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15AC" w14:textId="18FEA714" w:rsidR="00D01653" w:rsidRPr="009006A4" w:rsidRDefault="00D01653" w:rsidP="00016BC1">
      <w:pPr>
        <w:jc w:val="both"/>
        <w:rPr>
          <w:b/>
          <w:sz w:val="24"/>
          <w:szCs w:val="24"/>
          <w:lang w:val="fr-FR"/>
        </w:rPr>
        <w:sectPr w:rsidR="00D01653" w:rsidRPr="009006A4" w:rsidSect="001A5058">
          <w:headerReference w:type="default" r:id="rId8"/>
          <w:footerReference w:type="even" r:id="rId9"/>
          <w:footerReference w:type="default" r:id="rId10"/>
          <w:pgSz w:w="11907" w:h="16840" w:code="9"/>
          <w:pgMar w:top="1021" w:right="1134" w:bottom="851" w:left="1134" w:header="576" w:footer="851" w:gutter="0"/>
          <w:pgNumType w:start="1"/>
          <w:cols w:space="708"/>
          <w:docGrid w:linePitch="299"/>
        </w:sectPr>
      </w:pPr>
    </w:p>
    <w:p w14:paraId="1B081686" w14:textId="3D4613DF" w:rsidR="0082027A" w:rsidRPr="009006A4" w:rsidRDefault="0082027A" w:rsidP="00016BC1">
      <w:pPr>
        <w:jc w:val="both"/>
        <w:rPr>
          <w:b/>
          <w:sz w:val="24"/>
          <w:szCs w:val="24"/>
          <w:lang w:val="fr-FR"/>
        </w:rPr>
      </w:pPr>
    </w:p>
    <w:p w14:paraId="67FF6D6A" w14:textId="3BE0656D" w:rsidR="003378F6" w:rsidRPr="009006A4" w:rsidRDefault="009006A4" w:rsidP="00016BC1">
      <w:pPr>
        <w:jc w:val="center"/>
        <w:rPr>
          <w:b/>
          <w:sz w:val="24"/>
          <w:szCs w:val="24"/>
          <w:lang w:val="fr-FR"/>
        </w:rPr>
      </w:pPr>
      <w:r w:rsidRPr="009006A4">
        <w:rPr>
          <w:b/>
          <w:sz w:val="24"/>
          <w:szCs w:val="24"/>
          <w:lang w:val="fr-FR"/>
        </w:rPr>
        <w:t>AVANT-PROJET DE</w:t>
      </w:r>
      <w:r w:rsidR="003378F6" w:rsidRPr="009006A4">
        <w:rPr>
          <w:b/>
          <w:sz w:val="24"/>
          <w:szCs w:val="24"/>
          <w:lang w:val="fr-FR"/>
        </w:rPr>
        <w:t xml:space="preserve"> R</w:t>
      </w:r>
      <w:r w:rsidRPr="009006A4">
        <w:rPr>
          <w:b/>
          <w:sz w:val="24"/>
          <w:szCs w:val="24"/>
          <w:lang w:val="fr-FR"/>
        </w:rPr>
        <w:t>A</w:t>
      </w:r>
      <w:r w:rsidR="003378F6" w:rsidRPr="009006A4">
        <w:rPr>
          <w:b/>
          <w:sz w:val="24"/>
          <w:szCs w:val="24"/>
          <w:lang w:val="fr-FR"/>
        </w:rPr>
        <w:t>P</w:t>
      </w:r>
      <w:r w:rsidRPr="009006A4">
        <w:rPr>
          <w:b/>
          <w:sz w:val="24"/>
          <w:szCs w:val="24"/>
          <w:lang w:val="fr-FR"/>
        </w:rPr>
        <w:t>P</w:t>
      </w:r>
      <w:r w:rsidR="003378F6" w:rsidRPr="009006A4">
        <w:rPr>
          <w:b/>
          <w:sz w:val="24"/>
          <w:szCs w:val="24"/>
          <w:lang w:val="fr-FR"/>
        </w:rPr>
        <w:t xml:space="preserve">ORT </w:t>
      </w:r>
      <w:r w:rsidRPr="009006A4">
        <w:rPr>
          <w:b/>
          <w:sz w:val="24"/>
          <w:szCs w:val="24"/>
          <w:lang w:val="fr-FR"/>
        </w:rPr>
        <w:t>DE LA</w:t>
      </w:r>
      <w:r w:rsidR="003378F6" w:rsidRPr="009006A4">
        <w:rPr>
          <w:b/>
          <w:sz w:val="24"/>
          <w:szCs w:val="24"/>
          <w:lang w:val="fr-FR"/>
        </w:rPr>
        <w:t xml:space="preserve"> </w:t>
      </w:r>
      <w:r w:rsidR="00E86E06" w:rsidRPr="009006A4">
        <w:rPr>
          <w:b/>
          <w:sz w:val="24"/>
          <w:szCs w:val="24"/>
          <w:lang w:val="fr-FR"/>
        </w:rPr>
        <w:t>8</w:t>
      </w:r>
      <w:r w:rsidRPr="009006A4">
        <w:rPr>
          <w:b/>
          <w:sz w:val="24"/>
          <w:szCs w:val="24"/>
          <w:vertAlign w:val="superscript"/>
          <w:lang w:val="fr-FR"/>
        </w:rPr>
        <w:t>e</w:t>
      </w:r>
      <w:r>
        <w:rPr>
          <w:b/>
          <w:sz w:val="24"/>
          <w:szCs w:val="24"/>
          <w:lang w:val="fr-FR"/>
        </w:rPr>
        <w:t xml:space="preserve"> </w:t>
      </w:r>
      <w:r w:rsidR="003378F6" w:rsidRPr="009006A4">
        <w:rPr>
          <w:b/>
          <w:sz w:val="24"/>
          <w:szCs w:val="24"/>
          <w:vertAlign w:val="superscript"/>
          <w:lang w:val="fr-FR"/>
        </w:rPr>
        <w:t xml:space="preserve"> </w:t>
      </w:r>
      <w:r w:rsidR="003378F6" w:rsidRPr="009006A4">
        <w:rPr>
          <w:b/>
          <w:sz w:val="24"/>
          <w:szCs w:val="24"/>
          <w:lang w:val="fr-FR"/>
        </w:rPr>
        <w:t xml:space="preserve">SESSION </w:t>
      </w:r>
      <w:r>
        <w:rPr>
          <w:b/>
          <w:sz w:val="24"/>
          <w:szCs w:val="24"/>
          <w:lang w:val="fr-FR"/>
        </w:rPr>
        <w:t>DE LA RÉUNION DES</w:t>
      </w:r>
      <w:r w:rsidR="003378F6" w:rsidRPr="009006A4">
        <w:rPr>
          <w:b/>
          <w:sz w:val="24"/>
          <w:szCs w:val="24"/>
          <w:lang w:val="fr-FR"/>
        </w:rPr>
        <w:t xml:space="preserve"> PARTIES (MOP</w:t>
      </w:r>
      <w:r w:rsidR="00E86E06" w:rsidRPr="009006A4">
        <w:rPr>
          <w:b/>
          <w:sz w:val="24"/>
          <w:szCs w:val="24"/>
          <w:lang w:val="fr-FR"/>
        </w:rPr>
        <w:t>8</w:t>
      </w:r>
      <w:r w:rsidR="003378F6" w:rsidRPr="009006A4">
        <w:rPr>
          <w:b/>
          <w:sz w:val="24"/>
          <w:szCs w:val="24"/>
          <w:lang w:val="fr-FR"/>
        </w:rPr>
        <w:t>)</w:t>
      </w:r>
    </w:p>
    <w:p w14:paraId="4D155E7D" w14:textId="6FB84A63" w:rsidR="003378F6" w:rsidRPr="009006A4" w:rsidRDefault="009006A4" w:rsidP="00016BC1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DE L’ACCORD SUR LA CONSERVATION DES OISEAUX D’EAU MIGRATEURS D’AFRIQUE-EURASIE</w:t>
      </w:r>
      <w:r w:rsidR="003378F6" w:rsidRPr="009006A4">
        <w:rPr>
          <w:b/>
          <w:sz w:val="24"/>
          <w:szCs w:val="24"/>
          <w:lang w:val="fr-FR"/>
        </w:rPr>
        <w:t xml:space="preserve"> (AEWA),</w:t>
      </w:r>
    </w:p>
    <w:p w14:paraId="2054E447" w14:textId="7A511DED" w:rsidR="0011193C" w:rsidRPr="009006A4" w:rsidRDefault="00E86E06" w:rsidP="00016BC1">
      <w:pPr>
        <w:jc w:val="center"/>
        <w:rPr>
          <w:b/>
          <w:sz w:val="24"/>
          <w:szCs w:val="24"/>
          <w:lang w:val="fr-FR"/>
        </w:rPr>
      </w:pPr>
      <w:r w:rsidRPr="009006A4">
        <w:rPr>
          <w:b/>
          <w:sz w:val="24"/>
          <w:szCs w:val="24"/>
          <w:lang w:val="fr-FR"/>
        </w:rPr>
        <w:t>26</w:t>
      </w:r>
      <w:r w:rsidR="003378F6" w:rsidRPr="009006A4">
        <w:rPr>
          <w:b/>
          <w:sz w:val="24"/>
          <w:szCs w:val="24"/>
          <w:lang w:val="fr-FR"/>
        </w:rPr>
        <w:t>–</w:t>
      </w:r>
      <w:r w:rsidRPr="009006A4">
        <w:rPr>
          <w:b/>
          <w:sz w:val="24"/>
          <w:szCs w:val="24"/>
          <w:lang w:val="fr-FR"/>
        </w:rPr>
        <w:t>30</w:t>
      </w:r>
      <w:r w:rsidR="003378F6" w:rsidRPr="009006A4">
        <w:rPr>
          <w:b/>
          <w:sz w:val="24"/>
          <w:szCs w:val="24"/>
          <w:lang w:val="fr-FR"/>
        </w:rPr>
        <w:t xml:space="preserve"> </w:t>
      </w:r>
      <w:r w:rsidRPr="009006A4">
        <w:rPr>
          <w:b/>
          <w:sz w:val="24"/>
          <w:szCs w:val="24"/>
          <w:lang w:val="fr-FR"/>
        </w:rPr>
        <w:t>SEPTEMBR</w:t>
      </w:r>
      <w:r w:rsidR="009006A4">
        <w:rPr>
          <w:b/>
          <w:sz w:val="24"/>
          <w:szCs w:val="24"/>
          <w:lang w:val="fr-FR"/>
        </w:rPr>
        <w:t>E</w:t>
      </w:r>
      <w:r w:rsidR="003378F6" w:rsidRPr="009006A4">
        <w:rPr>
          <w:b/>
          <w:sz w:val="24"/>
          <w:szCs w:val="24"/>
          <w:lang w:val="fr-FR"/>
        </w:rPr>
        <w:t xml:space="preserve"> 20</w:t>
      </w:r>
      <w:r w:rsidRPr="009006A4">
        <w:rPr>
          <w:b/>
          <w:sz w:val="24"/>
          <w:szCs w:val="24"/>
          <w:lang w:val="fr-FR"/>
        </w:rPr>
        <w:t>22</w:t>
      </w:r>
      <w:r w:rsidR="003378F6" w:rsidRPr="009006A4">
        <w:rPr>
          <w:b/>
          <w:sz w:val="24"/>
          <w:szCs w:val="24"/>
          <w:lang w:val="fr-FR"/>
        </w:rPr>
        <w:t xml:space="preserve">, </w:t>
      </w:r>
      <w:r w:rsidRPr="009006A4">
        <w:rPr>
          <w:b/>
          <w:sz w:val="24"/>
          <w:szCs w:val="24"/>
          <w:lang w:val="fr-FR"/>
        </w:rPr>
        <w:t>BUDAPEST</w:t>
      </w:r>
      <w:r w:rsidR="003378F6" w:rsidRPr="009006A4">
        <w:rPr>
          <w:b/>
          <w:sz w:val="24"/>
          <w:szCs w:val="24"/>
          <w:lang w:val="fr-FR"/>
        </w:rPr>
        <w:t xml:space="preserve">, </w:t>
      </w:r>
      <w:r w:rsidRPr="009006A4">
        <w:rPr>
          <w:b/>
          <w:sz w:val="24"/>
          <w:szCs w:val="24"/>
          <w:lang w:val="fr-FR"/>
        </w:rPr>
        <w:t>H</w:t>
      </w:r>
      <w:r w:rsidR="009006A4">
        <w:rPr>
          <w:b/>
          <w:sz w:val="24"/>
          <w:szCs w:val="24"/>
          <w:lang w:val="fr-FR"/>
        </w:rPr>
        <w:t>ONGRIE</w:t>
      </w:r>
    </w:p>
    <w:p w14:paraId="105AAC1C" w14:textId="77777777" w:rsidR="00106E40" w:rsidRPr="009006A4" w:rsidRDefault="00106E40" w:rsidP="00106E40">
      <w:pPr>
        <w:jc w:val="both"/>
        <w:rPr>
          <w:b/>
          <w:sz w:val="24"/>
          <w:szCs w:val="24"/>
          <w:lang w:val="fr-FR"/>
        </w:rPr>
      </w:pPr>
    </w:p>
    <w:p w14:paraId="358C303D" w14:textId="78D8E9E3" w:rsidR="00106E40" w:rsidRPr="009006A4" w:rsidRDefault="009006A4" w:rsidP="00016BC1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AVANT-PROJET DE</w:t>
      </w:r>
      <w:r w:rsidR="00106E40" w:rsidRPr="009006A4">
        <w:rPr>
          <w:b/>
          <w:sz w:val="24"/>
          <w:szCs w:val="24"/>
          <w:lang w:val="fr-FR"/>
        </w:rPr>
        <w:t xml:space="preserve"> R</w:t>
      </w:r>
      <w:r>
        <w:rPr>
          <w:b/>
          <w:sz w:val="24"/>
          <w:szCs w:val="24"/>
          <w:lang w:val="fr-FR"/>
        </w:rPr>
        <w:t>A</w:t>
      </w:r>
      <w:r w:rsidR="00106E40" w:rsidRPr="009006A4">
        <w:rPr>
          <w:b/>
          <w:sz w:val="24"/>
          <w:szCs w:val="24"/>
          <w:lang w:val="fr-FR"/>
        </w:rPr>
        <w:t>P</w:t>
      </w:r>
      <w:r>
        <w:rPr>
          <w:b/>
          <w:sz w:val="24"/>
          <w:szCs w:val="24"/>
          <w:lang w:val="fr-FR"/>
        </w:rPr>
        <w:t>P</w:t>
      </w:r>
      <w:r w:rsidR="00106E40" w:rsidRPr="009006A4">
        <w:rPr>
          <w:b/>
          <w:sz w:val="24"/>
          <w:szCs w:val="24"/>
          <w:lang w:val="fr-FR"/>
        </w:rPr>
        <w:t xml:space="preserve">ORT </w:t>
      </w:r>
      <w:r>
        <w:rPr>
          <w:b/>
          <w:sz w:val="24"/>
          <w:szCs w:val="24"/>
          <w:lang w:val="fr-FR"/>
        </w:rPr>
        <w:t>DU GROUPE DE TRAVAIL</w:t>
      </w:r>
      <w:r w:rsidR="008B3346" w:rsidRPr="009006A4">
        <w:rPr>
          <w:b/>
          <w:sz w:val="24"/>
          <w:szCs w:val="24"/>
          <w:lang w:val="fr-FR"/>
        </w:rPr>
        <w:t xml:space="preserve"> </w:t>
      </w:r>
      <w:r w:rsidR="00794EF1">
        <w:rPr>
          <w:b/>
          <w:sz w:val="24"/>
          <w:szCs w:val="24"/>
          <w:lang w:val="fr-FR"/>
        </w:rPr>
        <w:t>2</w:t>
      </w:r>
    </w:p>
    <w:p w14:paraId="2E38D503" w14:textId="3D4BCC62" w:rsidR="008B3346" w:rsidRPr="009006A4" w:rsidRDefault="009006A4" w:rsidP="00016BC1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QUESTIONS FINANCIÈRES ET </w:t>
      </w:r>
      <w:r w:rsidR="008B3346" w:rsidRPr="009006A4">
        <w:rPr>
          <w:b/>
          <w:sz w:val="24"/>
          <w:szCs w:val="24"/>
          <w:lang w:val="fr-FR"/>
        </w:rPr>
        <w:t>ADMIN</w:t>
      </w:r>
      <w:r w:rsidR="00E94F53">
        <w:rPr>
          <w:b/>
          <w:sz w:val="24"/>
          <w:szCs w:val="24"/>
          <w:lang w:val="fr-FR"/>
        </w:rPr>
        <w:t>I</w:t>
      </w:r>
      <w:r w:rsidR="008B3346" w:rsidRPr="009006A4">
        <w:rPr>
          <w:b/>
          <w:sz w:val="24"/>
          <w:szCs w:val="24"/>
          <w:lang w:val="fr-FR"/>
        </w:rPr>
        <w:t>STRATIVE</w:t>
      </w:r>
      <w:r>
        <w:rPr>
          <w:b/>
          <w:sz w:val="24"/>
          <w:szCs w:val="24"/>
          <w:lang w:val="fr-FR"/>
        </w:rPr>
        <w:t>S</w:t>
      </w:r>
    </w:p>
    <w:p w14:paraId="25988A54" w14:textId="77777777" w:rsidR="003378F6" w:rsidRPr="009006A4" w:rsidRDefault="003378F6" w:rsidP="00016BC1">
      <w:pPr>
        <w:jc w:val="both"/>
        <w:rPr>
          <w:b/>
          <w:sz w:val="24"/>
          <w:szCs w:val="24"/>
          <w:lang w:val="fr-FR"/>
        </w:rPr>
      </w:pPr>
    </w:p>
    <w:p w14:paraId="33212B7D" w14:textId="56E8391A" w:rsidR="00950E99" w:rsidRPr="009006A4" w:rsidRDefault="00F673D1" w:rsidP="005D7050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1</w:t>
      </w:r>
      <w:r w:rsidR="00681A35" w:rsidRPr="009006A4">
        <w:rPr>
          <w:bCs/>
          <w:sz w:val="24"/>
          <w:szCs w:val="24"/>
          <w:lang w:val="fr-FR"/>
        </w:rPr>
        <w:t xml:space="preserve">. </w:t>
      </w:r>
      <w:r w:rsidR="00697015">
        <w:rPr>
          <w:bCs/>
          <w:sz w:val="24"/>
          <w:szCs w:val="24"/>
          <w:lang w:val="fr-FR"/>
        </w:rPr>
        <w:t>Le groupe de travail s’est réuni le 27 septembre de</w:t>
      </w:r>
      <w:r w:rsidR="00106E40" w:rsidRPr="009006A4">
        <w:rPr>
          <w:bCs/>
          <w:sz w:val="24"/>
          <w:szCs w:val="24"/>
          <w:lang w:val="fr-FR"/>
        </w:rPr>
        <w:t xml:space="preserve"> 16</w:t>
      </w:r>
      <w:r w:rsidR="00697015">
        <w:rPr>
          <w:bCs/>
          <w:sz w:val="24"/>
          <w:szCs w:val="24"/>
          <w:lang w:val="fr-FR"/>
        </w:rPr>
        <w:t>h</w:t>
      </w:r>
      <w:r w:rsidR="00106E40" w:rsidRPr="009006A4">
        <w:rPr>
          <w:bCs/>
          <w:sz w:val="24"/>
          <w:szCs w:val="24"/>
          <w:lang w:val="fr-FR"/>
        </w:rPr>
        <w:t xml:space="preserve">30 </w:t>
      </w:r>
      <w:r w:rsidR="00697015">
        <w:rPr>
          <w:bCs/>
          <w:sz w:val="24"/>
          <w:szCs w:val="24"/>
          <w:lang w:val="fr-FR"/>
        </w:rPr>
        <w:t>à</w:t>
      </w:r>
      <w:r w:rsidR="00106E40" w:rsidRPr="009006A4">
        <w:rPr>
          <w:bCs/>
          <w:sz w:val="24"/>
          <w:szCs w:val="24"/>
          <w:lang w:val="fr-FR"/>
        </w:rPr>
        <w:t xml:space="preserve"> 18</w:t>
      </w:r>
      <w:r w:rsidR="00697015">
        <w:rPr>
          <w:bCs/>
          <w:sz w:val="24"/>
          <w:szCs w:val="24"/>
          <w:lang w:val="fr-FR"/>
        </w:rPr>
        <w:t>h</w:t>
      </w:r>
      <w:r w:rsidR="00106E40" w:rsidRPr="009006A4">
        <w:rPr>
          <w:bCs/>
          <w:sz w:val="24"/>
          <w:szCs w:val="24"/>
          <w:lang w:val="fr-FR"/>
        </w:rPr>
        <w:t xml:space="preserve">05. </w:t>
      </w:r>
      <w:r w:rsidR="00697015">
        <w:rPr>
          <w:bCs/>
          <w:sz w:val="24"/>
          <w:szCs w:val="24"/>
          <w:lang w:val="fr-FR"/>
        </w:rPr>
        <w:t>Il était présidé par le Royaume Uni</w:t>
      </w:r>
      <w:r w:rsidR="00106E40" w:rsidRPr="009006A4">
        <w:rPr>
          <w:bCs/>
          <w:sz w:val="24"/>
          <w:szCs w:val="24"/>
          <w:lang w:val="fr-FR"/>
        </w:rPr>
        <w:t>, repr</w:t>
      </w:r>
      <w:r w:rsidR="00697015">
        <w:rPr>
          <w:bCs/>
          <w:sz w:val="24"/>
          <w:szCs w:val="24"/>
          <w:lang w:val="fr-FR"/>
        </w:rPr>
        <w:t>é</w:t>
      </w:r>
      <w:r w:rsidR="00106E40" w:rsidRPr="009006A4">
        <w:rPr>
          <w:bCs/>
          <w:sz w:val="24"/>
          <w:szCs w:val="24"/>
          <w:lang w:val="fr-FR"/>
        </w:rPr>
        <w:t>sent</w:t>
      </w:r>
      <w:r w:rsidR="00697015">
        <w:rPr>
          <w:bCs/>
          <w:sz w:val="24"/>
          <w:szCs w:val="24"/>
          <w:lang w:val="fr-FR"/>
        </w:rPr>
        <w:t>é par</w:t>
      </w:r>
      <w:r w:rsidR="00106E40" w:rsidRPr="009006A4">
        <w:rPr>
          <w:bCs/>
          <w:sz w:val="24"/>
          <w:szCs w:val="24"/>
          <w:lang w:val="fr-FR"/>
        </w:rPr>
        <w:t xml:space="preserve"> M</w:t>
      </w:r>
      <w:r w:rsidR="00697015">
        <w:rPr>
          <w:bCs/>
          <w:sz w:val="24"/>
          <w:szCs w:val="24"/>
          <w:lang w:val="fr-FR"/>
        </w:rPr>
        <w:t>.</w:t>
      </w:r>
      <w:r w:rsidR="00106E40" w:rsidRPr="009006A4">
        <w:rPr>
          <w:bCs/>
          <w:sz w:val="24"/>
          <w:szCs w:val="24"/>
          <w:lang w:val="fr-FR"/>
        </w:rPr>
        <w:t xml:space="preserve"> Simon Mackown,</w:t>
      </w:r>
      <w:r w:rsidR="00681A35" w:rsidRPr="009006A4">
        <w:rPr>
          <w:bCs/>
          <w:sz w:val="24"/>
          <w:szCs w:val="24"/>
          <w:lang w:val="fr-FR"/>
        </w:rPr>
        <w:t xml:space="preserve"> </w:t>
      </w:r>
      <w:r w:rsidR="00697015">
        <w:rPr>
          <w:bCs/>
          <w:sz w:val="24"/>
          <w:szCs w:val="24"/>
          <w:lang w:val="fr-FR"/>
        </w:rPr>
        <w:t>l’Ou</w:t>
      </w:r>
      <w:r w:rsidR="00681A35" w:rsidRPr="009006A4">
        <w:rPr>
          <w:bCs/>
          <w:sz w:val="24"/>
          <w:szCs w:val="24"/>
          <w:lang w:val="fr-FR"/>
        </w:rPr>
        <w:t xml:space="preserve">ganda </w:t>
      </w:r>
      <w:r w:rsidR="00697015">
        <w:rPr>
          <w:bCs/>
          <w:sz w:val="24"/>
          <w:szCs w:val="24"/>
          <w:lang w:val="fr-FR"/>
        </w:rPr>
        <w:t>faisant office de vice-président</w:t>
      </w:r>
      <w:r w:rsidR="00681A35" w:rsidRPr="009006A4">
        <w:rPr>
          <w:bCs/>
          <w:sz w:val="24"/>
          <w:szCs w:val="24"/>
          <w:lang w:val="fr-FR"/>
        </w:rPr>
        <w:t xml:space="preserve">, </w:t>
      </w:r>
      <w:r w:rsidR="00697015">
        <w:rPr>
          <w:bCs/>
          <w:sz w:val="24"/>
          <w:szCs w:val="24"/>
          <w:lang w:val="fr-FR"/>
        </w:rPr>
        <w:t xml:space="preserve">avec le soutien du </w:t>
      </w:r>
      <w:r w:rsidR="00265132" w:rsidRPr="009006A4">
        <w:rPr>
          <w:bCs/>
          <w:sz w:val="24"/>
          <w:szCs w:val="24"/>
          <w:lang w:val="fr-FR"/>
        </w:rPr>
        <w:t>Secr</w:t>
      </w:r>
      <w:r w:rsidR="00697015">
        <w:rPr>
          <w:bCs/>
          <w:sz w:val="24"/>
          <w:szCs w:val="24"/>
          <w:lang w:val="fr-FR"/>
        </w:rPr>
        <w:t>é</w:t>
      </w:r>
      <w:r w:rsidR="00265132" w:rsidRPr="009006A4">
        <w:rPr>
          <w:bCs/>
          <w:sz w:val="24"/>
          <w:szCs w:val="24"/>
          <w:lang w:val="fr-FR"/>
        </w:rPr>
        <w:t>ta</w:t>
      </w:r>
      <w:r w:rsidR="00697015">
        <w:rPr>
          <w:bCs/>
          <w:sz w:val="24"/>
          <w:szCs w:val="24"/>
          <w:lang w:val="fr-FR"/>
        </w:rPr>
        <w:t>ire exécutif</w:t>
      </w:r>
      <w:r w:rsidR="00265132" w:rsidRPr="009006A4">
        <w:rPr>
          <w:bCs/>
          <w:sz w:val="24"/>
          <w:szCs w:val="24"/>
          <w:lang w:val="fr-FR"/>
        </w:rPr>
        <w:t xml:space="preserve"> </w:t>
      </w:r>
      <w:r w:rsidR="00697015">
        <w:rPr>
          <w:bCs/>
          <w:sz w:val="24"/>
          <w:szCs w:val="24"/>
          <w:lang w:val="fr-FR"/>
        </w:rPr>
        <w:t>et du Spécialiste d</w:t>
      </w:r>
      <w:r w:rsidR="002A7C94">
        <w:rPr>
          <w:bCs/>
          <w:sz w:val="24"/>
          <w:szCs w:val="24"/>
          <w:lang w:val="fr-FR"/>
        </w:rPr>
        <w:t>e l</w:t>
      </w:r>
      <w:r w:rsidR="00697015">
        <w:rPr>
          <w:bCs/>
          <w:sz w:val="24"/>
          <w:szCs w:val="24"/>
          <w:lang w:val="fr-FR"/>
        </w:rPr>
        <w:t>’administration de l’Unité de gestion a</w:t>
      </w:r>
      <w:r w:rsidR="00252828" w:rsidRPr="009006A4">
        <w:rPr>
          <w:bCs/>
          <w:sz w:val="24"/>
          <w:szCs w:val="24"/>
          <w:lang w:val="fr-FR"/>
        </w:rPr>
        <w:t xml:space="preserve">dministrative </w:t>
      </w:r>
      <w:r w:rsidR="00697015">
        <w:rPr>
          <w:bCs/>
          <w:sz w:val="24"/>
          <w:szCs w:val="24"/>
          <w:lang w:val="fr-FR"/>
        </w:rPr>
        <w:t xml:space="preserve">et financière </w:t>
      </w:r>
      <w:r w:rsidR="00252828" w:rsidRPr="009006A4">
        <w:rPr>
          <w:bCs/>
          <w:sz w:val="24"/>
          <w:szCs w:val="24"/>
          <w:lang w:val="fr-FR"/>
        </w:rPr>
        <w:t xml:space="preserve">– </w:t>
      </w:r>
      <w:r w:rsidR="00697015">
        <w:rPr>
          <w:bCs/>
          <w:sz w:val="24"/>
          <w:szCs w:val="24"/>
          <w:lang w:val="fr-FR"/>
        </w:rPr>
        <w:t>PNUE</w:t>
      </w:r>
      <w:r w:rsidR="00252828" w:rsidRPr="009006A4">
        <w:rPr>
          <w:bCs/>
          <w:sz w:val="24"/>
          <w:szCs w:val="24"/>
          <w:lang w:val="fr-FR"/>
        </w:rPr>
        <w:t>/</w:t>
      </w:r>
      <w:r w:rsidR="00697015">
        <w:rPr>
          <w:bCs/>
          <w:sz w:val="24"/>
          <w:szCs w:val="24"/>
          <w:lang w:val="fr-FR"/>
        </w:rPr>
        <w:t xml:space="preserve">Famille </w:t>
      </w:r>
      <w:r w:rsidR="00252828" w:rsidRPr="009006A4">
        <w:rPr>
          <w:bCs/>
          <w:sz w:val="24"/>
          <w:szCs w:val="24"/>
          <w:lang w:val="fr-FR"/>
        </w:rPr>
        <w:t>CMS</w:t>
      </w:r>
      <w:r w:rsidR="00265132" w:rsidRPr="009006A4">
        <w:rPr>
          <w:bCs/>
          <w:sz w:val="24"/>
          <w:szCs w:val="24"/>
          <w:lang w:val="fr-FR"/>
        </w:rPr>
        <w:t>.</w:t>
      </w:r>
    </w:p>
    <w:p w14:paraId="0BBF192B" w14:textId="77777777" w:rsidR="00950E99" w:rsidRPr="009006A4" w:rsidRDefault="00950E99" w:rsidP="005D7050">
      <w:pPr>
        <w:jc w:val="both"/>
        <w:rPr>
          <w:b/>
          <w:sz w:val="24"/>
          <w:szCs w:val="24"/>
          <w:lang w:val="fr-FR"/>
        </w:rPr>
      </w:pPr>
    </w:p>
    <w:p w14:paraId="3DECF97A" w14:textId="7CEF4526" w:rsidR="003E1229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2</w:t>
      </w:r>
      <w:r w:rsidR="00681A35" w:rsidRPr="009006A4">
        <w:rPr>
          <w:bCs/>
          <w:sz w:val="24"/>
          <w:szCs w:val="24"/>
          <w:lang w:val="fr-FR"/>
        </w:rPr>
        <w:t xml:space="preserve">. </w:t>
      </w:r>
      <w:r w:rsidR="00697015">
        <w:rPr>
          <w:bCs/>
          <w:sz w:val="24"/>
          <w:szCs w:val="24"/>
          <w:lang w:val="fr-FR"/>
        </w:rPr>
        <w:t>Sur l’invitation du</w:t>
      </w:r>
      <w:r w:rsidR="00265132" w:rsidRPr="009006A4">
        <w:rPr>
          <w:bCs/>
          <w:sz w:val="24"/>
          <w:szCs w:val="24"/>
          <w:lang w:val="fr-FR"/>
        </w:rPr>
        <w:t xml:space="preserve"> </w:t>
      </w:r>
      <w:r w:rsidR="00697015">
        <w:rPr>
          <w:b/>
          <w:sz w:val="24"/>
          <w:szCs w:val="24"/>
          <w:lang w:val="fr-FR"/>
        </w:rPr>
        <w:t>Président</w:t>
      </w:r>
      <w:r w:rsidR="00265132" w:rsidRPr="009006A4">
        <w:rPr>
          <w:bCs/>
          <w:sz w:val="24"/>
          <w:szCs w:val="24"/>
          <w:lang w:val="fr-FR"/>
        </w:rPr>
        <w:t xml:space="preserve">, </w:t>
      </w:r>
      <w:r w:rsidR="00697015">
        <w:rPr>
          <w:bCs/>
          <w:sz w:val="24"/>
          <w:szCs w:val="24"/>
          <w:lang w:val="fr-FR"/>
        </w:rPr>
        <w:t xml:space="preserve">les </w:t>
      </w:r>
      <w:r w:rsidR="00265132" w:rsidRPr="009006A4">
        <w:rPr>
          <w:bCs/>
          <w:sz w:val="24"/>
          <w:szCs w:val="24"/>
          <w:lang w:val="fr-FR"/>
        </w:rPr>
        <w:t xml:space="preserve">Parties </w:t>
      </w:r>
      <w:r w:rsidR="00697015">
        <w:rPr>
          <w:bCs/>
          <w:sz w:val="24"/>
          <w:szCs w:val="24"/>
          <w:lang w:val="fr-FR"/>
        </w:rPr>
        <w:t xml:space="preserve">ont </w:t>
      </w:r>
      <w:r w:rsidR="00265132" w:rsidRPr="009006A4">
        <w:rPr>
          <w:bCs/>
          <w:sz w:val="24"/>
          <w:szCs w:val="24"/>
          <w:lang w:val="fr-FR"/>
        </w:rPr>
        <w:t>confirm</w:t>
      </w:r>
      <w:r w:rsidR="00697015">
        <w:rPr>
          <w:bCs/>
          <w:sz w:val="24"/>
          <w:szCs w:val="24"/>
          <w:lang w:val="fr-FR"/>
        </w:rPr>
        <w:t>é que le groupe de travail</w:t>
      </w:r>
      <w:r w:rsidR="00265132" w:rsidRPr="009006A4">
        <w:rPr>
          <w:bCs/>
          <w:sz w:val="24"/>
          <w:szCs w:val="24"/>
          <w:lang w:val="fr-FR"/>
        </w:rPr>
        <w:t xml:space="preserve"> </w:t>
      </w:r>
      <w:r w:rsidR="007E7421">
        <w:rPr>
          <w:bCs/>
          <w:sz w:val="24"/>
          <w:szCs w:val="24"/>
          <w:lang w:val="fr-FR"/>
        </w:rPr>
        <w:t>se réunirait en</w:t>
      </w:r>
      <w:r w:rsidR="00265132" w:rsidRPr="009006A4">
        <w:rPr>
          <w:bCs/>
          <w:sz w:val="24"/>
          <w:szCs w:val="24"/>
          <w:lang w:val="fr-FR"/>
        </w:rPr>
        <w:t xml:space="preserve"> session</w:t>
      </w:r>
      <w:r w:rsidR="007E7421">
        <w:rPr>
          <w:bCs/>
          <w:sz w:val="24"/>
          <w:szCs w:val="24"/>
          <w:lang w:val="fr-FR"/>
        </w:rPr>
        <w:t xml:space="preserve"> ouverte</w:t>
      </w:r>
      <w:r w:rsidR="00265132" w:rsidRPr="009006A4">
        <w:rPr>
          <w:bCs/>
          <w:sz w:val="24"/>
          <w:szCs w:val="24"/>
          <w:lang w:val="fr-FR"/>
        </w:rPr>
        <w:t xml:space="preserve">, </w:t>
      </w:r>
      <w:r w:rsidR="007E7421">
        <w:rPr>
          <w:bCs/>
          <w:sz w:val="24"/>
          <w:szCs w:val="24"/>
          <w:lang w:val="fr-FR"/>
        </w:rPr>
        <w:t>en la présence d’observateurs</w:t>
      </w:r>
      <w:r w:rsidR="00265132" w:rsidRPr="009006A4">
        <w:rPr>
          <w:bCs/>
          <w:sz w:val="24"/>
          <w:szCs w:val="24"/>
          <w:lang w:val="fr-FR"/>
        </w:rPr>
        <w:t>.</w:t>
      </w:r>
    </w:p>
    <w:p w14:paraId="6ED74CE6" w14:textId="54ADFDCE" w:rsidR="00A25053" w:rsidRPr="009006A4" w:rsidRDefault="00A25053" w:rsidP="00714211">
      <w:pPr>
        <w:jc w:val="both"/>
        <w:rPr>
          <w:bCs/>
          <w:sz w:val="24"/>
          <w:szCs w:val="24"/>
          <w:lang w:val="fr-FR"/>
        </w:rPr>
      </w:pPr>
    </w:p>
    <w:p w14:paraId="31EE9C95" w14:textId="3CFA56FD" w:rsidR="00A25053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3</w:t>
      </w:r>
      <w:r w:rsidR="00681A35" w:rsidRPr="009006A4">
        <w:rPr>
          <w:bCs/>
          <w:sz w:val="24"/>
          <w:szCs w:val="24"/>
          <w:lang w:val="fr-FR"/>
        </w:rPr>
        <w:t xml:space="preserve">. </w:t>
      </w:r>
      <w:r w:rsidR="007E7421">
        <w:rPr>
          <w:bCs/>
          <w:sz w:val="24"/>
          <w:szCs w:val="24"/>
          <w:lang w:val="fr-FR"/>
        </w:rPr>
        <w:t>Le</w:t>
      </w:r>
      <w:r w:rsidR="00265132" w:rsidRPr="009006A4">
        <w:rPr>
          <w:bCs/>
          <w:sz w:val="24"/>
          <w:szCs w:val="24"/>
          <w:lang w:val="fr-FR"/>
        </w:rPr>
        <w:t xml:space="preserve"> </w:t>
      </w:r>
      <w:r w:rsidR="007E7421">
        <w:rPr>
          <w:b/>
          <w:sz w:val="24"/>
          <w:szCs w:val="24"/>
          <w:lang w:val="fr-FR"/>
        </w:rPr>
        <w:t xml:space="preserve">Président </w:t>
      </w:r>
      <w:r w:rsidR="007E7421">
        <w:rPr>
          <w:bCs/>
          <w:sz w:val="24"/>
          <w:szCs w:val="24"/>
          <w:lang w:val="fr-FR"/>
        </w:rPr>
        <w:t>propos</w:t>
      </w:r>
      <w:r w:rsidR="006D3CB5">
        <w:rPr>
          <w:bCs/>
          <w:sz w:val="24"/>
          <w:szCs w:val="24"/>
          <w:lang w:val="fr-FR"/>
        </w:rPr>
        <w:t>e</w:t>
      </w:r>
      <w:r w:rsidR="007E7421">
        <w:rPr>
          <w:bCs/>
          <w:sz w:val="24"/>
          <w:szCs w:val="24"/>
          <w:lang w:val="fr-FR"/>
        </w:rPr>
        <w:t xml:space="preserve"> que cette première</w:t>
      </w:r>
      <w:r w:rsidR="00265132" w:rsidRPr="009006A4">
        <w:rPr>
          <w:bCs/>
          <w:sz w:val="24"/>
          <w:szCs w:val="24"/>
          <w:lang w:val="fr-FR"/>
        </w:rPr>
        <w:t xml:space="preserve"> session </w:t>
      </w:r>
      <w:r w:rsidR="007E7421">
        <w:rPr>
          <w:bCs/>
          <w:sz w:val="24"/>
          <w:szCs w:val="24"/>
          <w:lang w:val="fr-FR"/>
        </w:rPr>
        <w:t>se limite aux déclarations initiales</w:t>
      </w:r>
      <w:r w:rsidR="00A559D8" w:rsidRPr="009006A4">
        <w:rPr>
          <w:bCs/>
          <w:sz w:val="24"/>
          <w:szCs w:val="24"/>
          <w:lang w:val="fr-FR"/>
        </w:rPr>
        <w:t xml:space="preserve"> </w:t>
      </w:r>
      <w:r w:rsidR="007E7421">
        <w:rPr>
          <w:bCs/>
          <w:sz w:val="24"/>
          <w:szCs w:val="24"/>
          <w:lang w:val="fr-FR"/>
        </w:rPr>
        <w:t xml:space="preserve">et </w:t>
      </w:r>
      <w:r w:rsidR="00E94F53">
        <w:rPr>
          <w:bCs/>
          <w:sz w:val="24"/>
          <w:szCs w:val="24"/>
          <w:lang w:val="fr-FR"/>
        </w:rPr>
        <w:t>aux</w:t>
      </w:r>
      <w:r w:rsidR="007E7421">
        <w:rPr>
          <w:bCs/>
          <w:sz w:val="24"/>
          <w:szCs w:val="24"/>
          <w:lang w:val="fr-FR"/>
        </w:rPr>
        <w:t xml:space="preserve"> indication</w:t>
      </w:r>
      <w:r w:rsidR="00E94F53">
        <w:rPr>
          <w:bCs/>
          <w:sz w:val="24"/>
          <w:szCs w:val="24"/>
          <w:lang w:val="fr-FR"/>
        </w:rPr>
        <w:t>s</w:t>
      </w:r>
      <w:r w:rsidR="007E7421">
        <w:rPr>
          <w:bCs/>
          <w:sz w:val="24"/>
          <w:szCs w:val="24"/>
          <w:lang w:val="fr-FR"/>
        </w:rPr>
        <w:t xml:space="preserve"> des positions des</w:t>
      </w:r>
      <w:r w:rsidR="00A559D8" w:rsidRPr="009006A4">
        <w:rPr>
          <w:bCs/>
          <w:sz w:val="24"/>
          <w:szCs w:val="24"/>
          <w:lang w:val="fr-FR"/>
        </w:rPr>
        <w:t xml:space="preserve"> Parties </w:t>
      </w:r>
      <w:r w:rsidR="007E7421">
        <w:rPr>
          <w:bCs/>
          <w:sz w:val="24"/>
          <w:szCs w:val="24"/>
          <w:lang w:val="fr-FR"/>
        </w:rPr>
        <w:t>concernant</w:t>
      </w:r>
      <w:r w:rsidR="00A559D8" w:rsidRPr="009006A4">
        <w:rPr>
          <w:bCs/>
          <w:sz w:val="24"/>
          <w:szCs w:val="24"/>
          <w:lang w:val="fr-FR"/>
        </w:rPr>
        <w:t xml:space="preserve"> </w:t>
      </w:r>
      <w:r w:rsidR="007E7421">
        <w:rPr>
          <w:bCs/>
          <w:sz w:val="24"/>
          <w:szCs w:val="24"/>
          <w:lang w:val="fr-FR"/>
        </w:rPr>
        <w:t>la gamme de scénarios budgétaires</w:t>
      </w:r>
      <w:r w:rsidR="00A559D8" w:rsidRPr="009006A4">
        <w:rPr>
          <w:bCs/>
          <w:sz w:val="24"/>
          <w:szCs w:val="24"/>
          <w:lang w:val="fr-FR"/>
        </w:rPr>
        <w:t xml:space="preserve"> cont</w:t>
      </w:r>
      <w:r w:rsidR="007E7421">
        <w:rPr>
          <w:bCs/>
          <w:sz w:val="24"/>
          <w:szCs w:val="24"/>
          <w:lang w:val="fr-FR"/>
        </w:rPr>
        <w:t>enus dans le d</w:t>
      </w:r>
      <w:r w:rsidR="00A559D8" w:rsidRPr="009006A4">
        <w:rPr>
          <w:bCs/>
          <w:sz w:val="24"/>
          <w:szCs w:val="24"/>
          <w:lang w:val="fr-FR"/>
        </w:rPr>
        <w:t xml:space="preserve">ocument AEWA/MOP 8.39 Corr. 1 </w:t>
      </w:r>
      <w:r w:rsidR="007E7421">
        <w:rPr>
          <w:bCs/>
          <w:i/>
          <w:iCs/>
          <w:sz w:val="24"/>
          <w:szCs w:val="24"/>
          <w:lang w:val="fr-FR"/>
        </w:rPr>
        <w:t xml:space="preserve">Projet de budget pour </w:t>
      </w:r>
      <w:r w:rsidR="00A559D8" w:rsidRPr="009006A4">
        <w:rPr>
          <w:bCs/>
          <w:i/>
          <w:iCs/>
          <w:sz w:val="24"/>
          <w:szCs w:val="24"/>
          <w:lang w:val="fr-FR"/>
        </w:rPr>
        <w:t>2023 – 2025</w:t>
      </w:r>
      <w:r w:rsidR="00A559D8" w:rsidRPr="009006A4">
        <w:rPr>
          <w:bCs/>
          <w:sz w:val="24"/>
          <w:szCs w:val="24"/>
          <w:lang w:val="fr-FR"/>
        </w:rPr>
        <w:t xml:space="preserve">. </w:t>
      </w:r>
      <w:r w:rsidR="007E7421">
        <w:rPr>
          <w:bCs/>
          <w:sz w:val="24"/>
          <w:szCs w:val="24"/>
          <w:lang w:val="fr-FR"/>
        </w:rPr>
        <w:t>Il fait remarquer que ces</w:t>
      </w:r>
      <w:r w:rsidR="009D5D80" w:rsidRPr="009006A4">
        <w:rPr>
          <w:bCs/>
          <w:sz w:val="24"/>
          <w:szCs w:val="24"/>
          <w:lang w:val="fr-FR"/>
        </w:rPr>
        <w:t xml:space="preserve"> sc</w:t>
      </w:r>
      <w:r w:rsidR="007E7421">
        <w:rPr>
          <w:bCs/>
          <w:sz w:val="24"/>
          <w:szCs w:val="24"/>
          <w:lang w:val="fr-FR"/>
        </w:rPr>
        <w:t>é</w:t>
      </w:r>
      <w:r w:rsidR="009D5D80" w:rsidRPr="009006A4">
        <w:rPr>
          <w:bCs/>
          <w:sz w:val="24"/>
          <w:szCs w:val="24"/>
          <w:lang w:val="fr-FR"/>
        </w:rPr>
        <w:t>narios</w:t>
      </w:r>
      <w:r w:rsidR="00A559D8" w:rsidRPr="009006A4">
        <w:rPr>
          <w:bCs/>
          <w:sz w:val="24"/>
          <w:szCs w:val="24"/>
          <w:lang w:val="fr-FR"/>
        </w:rPr>
        <w:t xml:space="preserve"> </w:t>
      </w:r>
      <w:r w:rsidR="006D3CB5">
        <w:rPr>
          <w:bCs/>
          <w:sz w:val="24"/>
          <w:szCs w:val="24"/>
          <w:lang w:val="fr-FR"/>
        </w:rPr>
        <w:t>ont</w:t>
      </w:r>
      <w:r w:rsidR="007E7421">
        <w:rPr>
          <w:bCs/>
          <w:sz w:val="24"/>
          <w:szCs w:val="24"/>
          <w:lang w:val="fr-FR"/>
        </w:rPr>
        <w:t xml:space="preserve"> déjà été présentés en séance plénière par le</w:t>
      </w:r>
      <w:r w:rsidR="00A559D8" w:rsidRPr="009006A4">
        <w:rPr>
          <w:bCs/>
          <w:sz w:val="24"/>
          <w:szCs w:val="24"/>
          <w:lang w:val="fr-FR"/>
        </w:rPr>
        <w:t xml:space="preserve"> Secr</w:t>
      </w:r>
      <w:r w:rsidR="007E7421">
        <w:rPr>
          <w:bCs/>
          <w:sz w:val="24"/>
          <w:szCs w:val="24"/>
          <w:lang w:val="fr-FR"/>
        </w:rPr>
        <w:t>étaire exécutif</w:t>
      </w:r>
      <w:r w:rsidR="00A559D8" w:rsidRPr="009006A4">
        <w:rPr>
          <w:bCs/>
          <w:sz w:val="24"/>
          <w:szCs w:val="24"/>
          <w:lang w:val="fr-FR"/>
        </w:rPr>
        <w:t>.</w:t>
      </w:r>
    </w:p>
    <w:p w14:paraId="6FBFF9F7" w14:textId="32E5714B" w:rsidR="00A25053" w:rsidRPr="009006A4" w:rsidRDefault="00A25053" w:rsidP="00714211">
      <w:pPr>
        <w:jc w:val="both"/>
        <w:rPr>
          <w:bCs/>
          <w:sz w:val="24"/>
          <w:szCs w:val="24"/>
          <w:lang w:val="fr-FR"/>
        </w:rPr>
      </w:pPr>
    </w:p>
    <w:p w14:paraId="7500534C" w14:textId="6D345808" w:rsidR="0039373C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4</w:t>
      </w:r>
      <w:r w:rsidR="00681A35" w:rsidRPr="009006A4">
        <w:rPr>
          <w:bCs/>
          <w:sz w:val="24"/>
          <w:szCs w:val="24"/>
          <w:lang w:val="fr-FR"/>
        </w:rPr>
        <w:t xml:space="preserve">. </w:t>
      </w:r>
      <w:r w:rsidR="00E81F61">
        <w:rPr>
          <w:bCs/>
          <w:sz w:val="24"/>
          <w:szCs w:val="24"/>
          <w:lang w:val="fr-FR"/>
        </w:rPr>
        <w:t>Le</w:t>
      </w:r>
      <w:r w:rsidR="00A559D8" w:rsidRPr="009006A4">
        <w:rPr>
          <w:bCs/>
          <w:sz w:val="24"/>
          <w:szCs w:val="24"/>
          <w:lang w:val="fr-FR"/>
        </w:rPr>
        <w:t xml:space="preserve"> </w:t>
      </w:r>
      <w:r w:rsidR="00E81F61">
        <w:rPr>
          <w:b/>
          <w:sz w:val="24"/>
          <w:szCs w:val="24"/>
          <w:lang w:val="fr-FR"/>
        </w:rPr>
        <w:t xml:space="preserve">Président </w:t>
      </w:r>
      <w:r w:rsidR="00E81F61">
        <w:rPr>
          <w:bCs/>
          <w:sz w:val="24"/>
          <w:szCs w:val="24"/>
          <w:lang w:val="fr-FR"/>
        </w:rPr>
        <w:t>fait observer que le</w:t>
      </w:r>
      <w:r w:rsidR="00A25053" w:rsidRPr="009006A4">
        <w:rPr>
          <w:bCs/>
          <w:sz w:val="24"/>
          <w:szCs w:val="24"/>
          <w:lang w:val="fr-FR"/>
        </w:rPr>
        <w:t xml:space="preserve"> Sec</w:t>
      </w:r>
      <w:r w:rsidR="00A559D8" w:rsidRPr="009006A4">
        <w:rPr>
          <w:bCs/>
          <w:sz w:val="24"/>
          <w:szCs w:val="24"/>
          <w:lang w:val="fr-FR"/>
        </w:rPr>
        <w:t>r</w:t>
      </w:r>
      <w:r w:rsidR="00E81F61">
        <w:rPr>
          <w:bCs/>
          <w:sz w:val="24"/>
          <w:szCs w:val="24"/>
          <w:lang w:val="fr-FR"/>
        </w:rPr>
        <w:t>é</w:t>
      </w:r>
      <w:r w:rsidR="00A559D8" w:rsidRPr="009006A4">
        <w:rPr>
          <w:bCs/>
          <w:sz w:val="24"/>
          <w:szCs w:val="24"/>
          <w:lang w:val="fr-FR"/>
        </w:rPr>
        <w:t>taria</w:t>
      </w:r>
      <w:r w:rsidR="00A25053" w:rsidRPr="009006A4">
        <w:rPr>
          <w:bCs/>
          <w:sz w:val="24"/>
          <w:szCs w:val="24"/>
          <w:lang w:val="fr-FR"/>
        </w:rPr>
        <w:t xml:space="preserve">t </w:t>
      </w:r>
      <w:r w:rsidR="006D3CB5">
        <w:rPr>
          <w:bCs/>
          <w:sz w:val="24"/>
          <w:szCs w:val="24"/>
          <w:lang w:val="fr-FR"/>
        </w:rPr>
        <w:t>est</w:t>
      </w:r>
      <w:r w:rsidR="00E81F61">
        <w:rPr>
          <w:bCs/>
          <w:sz w:val="24"/>
          <w:szCs w:val="24"/>
          <w:lang w:val="fr-FR"/>
        </w:rPr>
        <w:t xml:space="preserve"> déjà soumis à une pression importante</w:t>
      </w:r>
      <w:r w:rsidR="00A559D8" w:rsidRPr="009006A4">
        <w:rPr>
          <w:bCs/>
          <w:sz w:val="24"/>
          <w:szCs w:val="24"/>
          <w:lang w:val="fr-FR"/>
        </w:rPr>
        <w:t xml:space="preserve"> </w:t>
      </w:r>
      <w:r w:rsidR="00E81F61">
        <w:rPr>
          <w:bCs/>
          <w:sz w:val="24"/>
          <w:szCs w:val="24"/>
          <w:lang w:val="fr-FR"/>
        </w:rPr>
        <w:t>et qu’il n</w:t>
      </w:r>
      <w:r w:rsidR="006D3CB5">
        <w:rPr>
          <w:bCs/>
          <w:sz w:val="24"/>
          <w:szCs w:val="24"/>
          <w:lang w:val="fr-FR"/>
        </w:rPr>
        <w:t>e sera</w:t>
      </w:r>
      <w:r w:rsidR="00E81F61">
        <w:rPr>
          <w:bCs/>
          <w:sz w:val="24"/>
          <w:szCs w:val="24"/>
          <w:lang w:val="fr-FR"/>
        </w:rPr>
        <w:t xml:space="preserve"> pas possible pour le</w:t>
      </w:r>
      <w:r w:rsidR="00A25053" w:rsidRPr="009006A4">
        <w:rPr>
          <w:bCs/>
          <w:sz w:val="24"/>
          <w:szCs w:val="24"/>
          <w:lang w:val="fr-FR"/>
        </w:rPr>
        <w:t xml:space="preserve"> Secr</w:t>
      </w:r>
      <w:r w:rsidR="00E81F61">
        <w:rPr>
          <w:bCs/>
          <w:sz w:val="24"/>
          <w:szCs w:val="24"/>
          <w:lang w:val="fr-FR"/>
        </w:rPr>
        <w:t>é</w:t>
      </w:r>
      <w:r w:rsidR="00A25053" w:rsidRPr="009006A4">
        <w:rPr>
          <w:bCs/>
          <w:sz w:val="24"/>
          <w:szCs w:val="24"/>
          <w:lang w:val="fr-FR"/>
        </w:rPr>
        <w:t xml:space="preserve">tariat </w:t>
      </w:r>
      <w:r w:rsidR="00E81F61">
        <w:rPr>
          <w:bCs/>
          <w:sz w:val="24"/>
          <w:szCs w:val="24"/>
          <w:lang w:val="fr-FR"/>
        </w:rPr>
        <w:t>de fournir les résultats de</w:t>
      </w:r>
      <w:r w:rsidR="00A25053" w:rsidRPr="009006A4">
        <w:rPr>
          <w:bCs/>
          <w:sz w:val="24"/>
          <w:szCs w:val="24"/>
          <w:lang w:val="fr-FR"/>
        </w:rPr>
        <w:t xml:space="preserve"> conservation </w:t>
      </w:r>
      <w:r w:rsidR="00E81F61">
        <w:rPr>
          <w:bCs/>
          <w:sz w:val="24"/>
          <w:szCs w:val="24"/>
          <w:lang w:val="fr-FR"/>
        </w:rPr>
        <w:t>que les</w:t>
      </w:r>
      <w:r w:rsidR="00A25053" w:rsidRPr="009006A4">
        <w:rPr>
          <w:bCs/>
          <w:sz w:val="24"/>
          <w:szCs w:val="24"/>
          <w:lang w:val="fr-FR"/>
        </w:rPr>
        <w:t xml:space="preserve"> </w:t>
      </w:r>
      <w:r w:rsidR="00C412F5" w:rsidRPr="009006A4">
        <w:rPr>
          <w:bCs/>
          <w:sz w:val="24"/>
          <w:szCs w:val="24"/>
          <w:lang w:val="fr-FR"/>
        </w:rPr>
        <w:t xml:space="preserve">Parties </w:t>
      </w:r>
      <w:r w:rsidR="00E81F61">
        <w:rPr>
          <w:bCs/>
          <w:sz w:val="24"/>
          <w:szCs w:val="24"/>
          <w:lang w:val="fr-FR"/>
        </w:rPr>
        <w:t>souhaitent obtenir au cours de la prochaine période triennale sans une augmentation des ressources</w:t>
      </w:r>
      <w:r w:rsidR="00A25053" w:rsidRPr="009006A4">
        <w:rPr>
          <w:bCs/>
          <w:sz w:val="24"/>
          <w:szCs w:val="24"/>
          <w:lang w:val="fr-FR"/>
        </w:rPr>
        <w:t xml:space="preserve">. </w:t>
      </w:r>
      <w:r w:rsidR="00E81F61">
        <w:rPr>
          <w:bCs/>
          <w:sz w:val="24"/>
          <w:szCs w:val="24"/>
          <w:lang w:val="fr-FR"/>
        </w:rPr>
        <w:t>Les exigences envers le</w:t>
      </w:r>
      <w:r w:rsidR="00C412F5" w:rsidRPr="009006A4">
        <w:rPr>
          <w:bCs/>
          <w:sz w:val="24"/>
          <w:szCs w:val="24"/>
          <w:lang w:val="fr-FR"/>
        </w:rPr>
        <w:t xml:space="preserve"> </w:t>
      </w:r>
      <w:r w:rsidR="00A25053" w:rsidRPr="009006A4">
        <w:rPr>
          <w:bCs/>
          <w:sz w:val="24"/>
          <w:szCs w:val="24"/>
          <w:lang w:val="fr-FR"/>
        </w:rPr>
        <w:t>Sec</w:t>
      </w:r>
      <w:r w:rsidR="00C412F5" w:rsidRPr="009006A4">
        <w:rPr>
          <w:bCs/>
          <w:sz w:val="24"/>
          <w:szCs w:val="24"/>
          <w:lang w:val="fr-FR"/>
        </w:rPr>
        <w:t>r</w:t>
      </w:r>
      <w:r w:rsidR="00E81F61">
        <w:rPr>
          <w:bCs/>
          <w:sz w:val="24"/>
          <w:szCs w:val="24"/>
          <w:lang w:val="fr-FR"/>
        </w:rPr>
        <w:t>é</w:t>
      </w:r>
      <w:r w:rsidR="00C412F5" w:rsidRPr="009006A4">
        <w:rPr>
          <w:bCs/>
          <w:sz w:val="24"/>
          <w:szCs w:val="24"/>
          <w:lang w:val="fr-FR"/>
        </w:rPr>
        <w:t>taria</w:t>
      </w:r>
      <w:r w:rsidR="00A25053" w:rsidRPr="009006A4">
        <w:rPr>
          <w:bCs/>
          <w:sz w:val="24"/>
          <w:szCs w:val="24"/>
          <w:lang w:val="fr-FR"/>
        </w:rPr>
        <w:t xml:space="preserve">t </w:t>
      </w:r>
      <w:r w:rsidR="00E81F61">
        <w:rPr>
          <w:bCs/>
          <w:sz w:val="24"/>
          <w:szCs w:val="24"/>
          <w:lang w:val="fr-FR"/>
        </w:rPr>
        <w:t>et le Comité technique</w:t>
      </w:r>
      <w:r w:rsidR="00A25053" w:rsidRPr="009006A4">
        <w:rPr>
          <w:bCs/>
          <w:sz w:val="24"/>
          <w:szCs w:val="24"/>
          <w:lang w:val="fr-FR"/>
        </w:rPr>
        <w:t xml:space="preserve"> </w:t>
      </w:r>
      <w:r w:rsidR="00E81F61">
        <w:rPr>
          <w:bCs/>
          <w:sz w:val="24"/>
          <w:szCs w:val="24"/>
          <w:lang w:val="fr-FR"/>
        </w:rPr>
        <w:t>sont élevées, et il semble actuellement y avoir un</w:t>
      </w:r>
      <w:r w:rsidR="00E94F53">
        <w:rPr>
          <w:bCs/>
          <w:sz w:val="24"/>
          <w:szCs w:val="24"/>
          <w:lang w:val="fr-FR"/>
        </w:rPr>
        <w:t xml:space="preserve"> fossé</w:t>
      </w:r>
      <w:r w:rsidR="00E81F61">
        <w:rPr>
          <w:bCs/>
          <w:sz w:val="24"/>
          <w:szCs w:val="24"/>
          <w:lang w:val="fr-FR"/>
        </w:rPr>
        <w:t xml:space="preserve"> entre d’une part,</w:t>
      </w:r>
      <w:r w:rsidR="00C412F5" w:rsidRPr="009006A4">
        <w:rPr>
          <w:bCs/>
          <w:sz w:val="24"/>
          <w:szCs w:val="24"/>
          <w:lang w:val="fr-FR"/>
        </w:rPr>
        <w:t xml:space="preserve"> </w:t>
      </w:r>
      <w:r w:rsidR="00E81F61">
        <w:rPr>
          <w:bCs/>
          <w:sz w:val="24"/>
          <w:szCs w:val="24"/>
          <w:lang w:val="fr-FR"/>
        </w:rPr>
        <w:t>les</w:t>
      </w:r>
      <w:r w:rsidR="00A25053" w:rsidRPr="009006A4">
        <w:rPr>
          <w:bCs/>
          <w:sz w:val="24"/>
          <w:szCs w:val="24"/>
          <w:lang w:val="fr-FR"/>
        </w:rPr>
        <w:t xml:space="preserve"> ambitions</w:t>
      </w:r>
      <w:r w:rsidR="00C412F5" w:rsidRPr="009006A4">
        <w:rPr>
          <w:bCs/>
          <w:sz w:val="24"/>
          <w:szCs w:val="24"/>
          <w:lang w:val="fr-FR"/>
        </w:rPr>
        <w:t xml:space="preserve"> </w:t>
      </w:r>
      <w:r w:rsidR="00E81F61">
        <w:rPr>
          <w:bCs/>
          <w:sz w:val="24"/>
          <w:szCs w:val="24"/>
          <w:lang w:val="fr-FR"/>
        </w:rPr>
        <w:t>et d’autre part, ce qui peut être réalisé</w:t>
      </w:r>
      <w:r w:rsidR="00A25053" w:rsidRPr="009006A4">
        <w:rPr>
          <w:bCs/>
          <w:sz w:val="24"/>
          <w:szCs w:val="24"/>
          <w:lang w:val="fr-FR"/>
        </w:rPr>
        <w:t>.</w:t>
      </w:r>
      <w:r w:rsidR="00EF7E4D" w:rsidRPr="009006A4">
        <w:rPr>
          <w:bCs/>
          <w:sz w:val="24"/>
          <w:szCs w:val="24"/>
          <w:lang w:val="fr-FR"/>
        </w:rPr>
        <w:t xml:space="preserve"> </w:t>
      </w:r>
      <w:r w:rsidR="00C37056">
        <w:rPr>
          <w:bCs/>
          <w:sz w:val="24"/>
          <w:szCs w:val="24"/>
          <w:lang w:val="fr-FR"/>
        </w:rPr>
        <w:t>Il rappe</w:t>
      </w:r>
      <w:r w:rsidR="006D3CB5">
        <w:rPr>
          <w:bCs/>
          <w:sz w:val="24"/>
          <w:szCs w:val="24"/>
          <w:lang w:val="fr-FR"/>
        </w:rPr>
        <w:t>lle</w:t>
      </w:r>
      <w:r w:rsidR="00C37056">
        <w:rPr>
          <w:bCs/>
          <w:sz w:val="24"/>
          <w:szCs w:val="24"/>
          <w:lang w:val="fr-FR"/>
        </w:rPr>
        <w:t xml:space="preserve"> que la</w:t>
      </w:r>
      <w:r w:rsidR="00EF7E4D" w:rsidRPr="009006A4">
        <w:rPr>
          <w:bCs/>
          <w:sz w:val="24"/>
          <w:szCs w:val="24"/>
          <w:lang w:val="fr-FR"/>
        </w:rPr>
        <w:t xml:space="preserve"> MOP7 </w:t>
      </w:r>
      <w:r w:rsidR="00C37056">
        <w:rPr>
          <w:bCs/>
          <w:sz w:val="24"/>
          <w:szCs w:val="24"/>
          <w:lang w:val="fr-FR"/>
        </w:rPr>
        <w:t>a décidé</w:t>
      </w:r>
      <w:r w:rsidR="00EF7E4D" w:rsidRPr="009006A4">
        <w:rPr>
          <w:bCs/>
          <w:sz w:val="24"/>
          <w:szCs w:val="24"/>
          <w:lang w:val="fr-FR"/>
        </w:rPr>
        <w:t xml:space="preserve"> </w:t>
      </w:r>
      <w:r w:rsidR="00C37056">
        <w:rPr>
          <w:bCs/>
          <w:sz w:val="24"/>
          <w:szCs w:val="24"/>
          <w:lang w:val="fr-FR"/>
        </w:rPr>
        <w:t>de se diriger vers</w:t>
      </w:r>
      <w:r w:rsidR="00EF7E4D" w:rsidRPr="009006A4">
        <w:rPr>
          <w:bCs/>
          <w:sz w:val="24"/>
          <w:szCs w:val="24"/>
          <w:lang w:val="fr-FR"/>
        </w:rPr>
        <w:t xml:space="preserve"> </w:t>
      </w:r>
      <w:r w:rsidR="00C37056">
        <w:rPr>
          <w:bCs/>
          <w:sz w:val="24"/>
          <w:szCs w:val="24"/>
          <w:lang w:val="fr-FR"/>
        </w:rPr>
        <w:t>l’</w:t>
      </w:r>
      <w:r w:rsidR="00EF7E4D" w:rsidRPr="009006A4">
        <w:rPr>
          <w:bCs/>
          <w:sz w:val="24"/>
          <w:szCs w:val="24"/>
          <w:lang w:val="fr-FR"/>
        </w:rPr>
        <w:t xml:space="preserve">application </w:t>
      </w:r>
      <w:r w:rsidR="00C37056">
        <w:rPr>
          <w:bCs/>
          <w:sz w:val="24"/>
          <w:szCs w:val="24"/>
          <w:lang w:val="fr-FR"/>
        </w:rPr>
        <w:t>du barème d’évaluation de l’ONU à partir de la</w:t>
      </w:r>
      <w:r w:rsidR="00EF7E4D" w:rsidRPr="009006A4">
        <w:rPr>
          <w:bCs/>
          <w:sz w:val="24"/>
          <w:szCs w:val="24"/>
          <w:lang w:val="fr-FR"/>
        </w:rPr>
        <w:t xml:space="preserve"> MOP8</w:t>
      </w:r>
      <w:r w:rsidR="00C37056">
        <w:rPr>
          <w:bCs/>
          <w:sz w:val="24"/>
          <w:szCs w:val="24"/>
          <w:lang w:val="fr-FR"/>
        </w:rPr>
        <w:t>, et esp</w:t>
      </w:r>
      <w:r w:rsidR="006D3CB5">
        <w:rPr>
          <w:bCs/>
          <w:sz w:val="24"/>
          <w:szCs w:val="24"/>
          <w:lang w:val="fr-FR"/>
        </w:rPr>
        <w:t>ère</w:t>
      </w:r>
      <w:r w:rsidR="00C37056">
        <w:rPr>
          <w:bCs/>
          <w:sz w:val="24"/>
          <w:szCs w:val="24"/>
          <w:lang w:val="fr-FR"/>
        </w:rPr>
        <w:t xml:space="preserve"> que le groupe de travail</w:t>
      </w:r>
      <w:r w:rsidR="00EF7E4D" w:rsidRPr="009006A4">
        <w:rPr>
          <w:bCs/>
          <w:sz w:val="24"/>
          <w:szCs w:val="24"/>
          <w:lang w:val="fr-FR"/>
        </w:rPr>
        <w:t xml:space="preserve"> </w:t>
      </w:r>
      <w:r w:rsidR="00C37056">
        <w:rPr>
          <w:bCs/>
          <w:sz w:val="24"/>
          <w:szCs w:val="24"/>
          <w:lang w:val="fr-FR"/>
        </w:rPr>
        <w:t>pourra respecter les engagement pris lors de la</w:t>
      </w:r>
      <w:r w:rsidR="00EF7E4D" w:rsidRPr="009006A4">
        <w:rPr>
          <w:bCs/>
          <w:sz w:val="24"/>
          <w:szCs w:val="24"/>
          <w:lang w:val="fr-FR"/>
        </w:rPr>
        <w:t xml:space="preserve"> MOP7 </w:t>
      </w:r>
      <w:r w:rsidR="00C37056">
        <w:rPr>
          <w:bCs/>
          <w:sz w:val="24"/>
          <w:szCs w:val="24"/>
          <w:lang w:val="fr-FR"/>
        </w:rPr>
        <w:t>et éviter de rouvrir la</w:t>
      </w:r>
      <w:r w:rsidR="00EF7E4D" w:rsidRPr="009006A4">
        <w:rPr>
          <w:bCs/>
          <w:sz w:val="24"/>
          <w:szCs w:val="24"/>
          <w:lang w:val="fr-FR"/>
        </w:rPr>
        <w:t xml:space="preserve"> discussion </w:t>
      </w:r>
      <w:r w:rsidR="00C37056">
        <w:rPr>
          <w:bCs/>
          <w:sz w:val="24"/>
          <w:szCs w:val="24"/>
          <w:lang w:val="fr-FR"/>
        </w:rPr>
        <w:t>sur cette question</w:t>
      </w:r>
      <w:r w:rsidR="00EF7E4D" w:rsidRPr="009006A4">
        <w:rPr>
          <w:bCs/>
          <w:sz w:val="24"/>
          <w:szCs w:val="24"/>
          <w:lang w:val="fr-FR"/>
        </w:rPr>
        <w:t xml:space="preserve">. </w:t>
      </w:r>
      <w:r w:rsidR="00867392">
        <w:rPr>
          <w:bCs/>
          <w:sz w:val="24"/>
          <w:szCs w:val="24"/>
          <w:lang w:val="fr-FR"/>
        </w:rPr>
        <w:t>Il laiss</w:t>
      </w:r>
      <w:r w:rsidR="006D3CB5">
        <w:rPr>
          <w:bCs/>
          <w:sz w:val="24"/>
          <w:szCs w:val="24"/>
          <w:lang w:val="fr-FR"/>
        </w:rPr>
        <w:t>e</w:t>
      </w:r>
      <w:r w:rsidR="00867392">
        <w:rPr>
          <w:bCs/>
          <w:sz w:val="24"/>
          <w:szCs w:val="24"/>
          <w:lang w:val="fr-FR"/>
        </w:rPr>
        <w:t xml:space="preserve"> la parole aux participants pour commentaire</w:t>
      </w:r>
      <w:r w:rsidR="00EF7E4D" w:rsidRPr="009006A4">
        <w:rPr>
          <w:bCs/>
          <w:sz w:val="24"/>
          <w:szCs w:val="24"/>
          <w:lang w:val="fr-FR"/>
        </w:rPr>
        <w:t>.</w:t>
      </w:r>
    </w:p>
    <w:p w14:paraId="188B5557" w14:textId="77777777" w:rsidR="00EF7E4D" w:rsidRPr="009006A4" w:rsidRDefault="00EF7E4D" w:rsidP="00714211">
      <w:pPr>
        <w:jc w:val="both"/>
        <w:rPr>
          <w:bCs/>
          <w:sz w:val="24"/>
          <w:szCs w:val="24"/>
          <w:lang w:val="fr-FR"/>
        </w:rPr>
      </w:pPr>
    </w:p>
    <w:p w14:paraId="61AEAC78" w14:textId="5742F159" w:rsidR="000944B6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5</w:t>
      </w:r>
      <w:r w:rsidR="00681A35" w:rsidRPr="009006A4">
        <w:rPr>
          <w:bCs/>
          <w:sz w:val="24"/>
          <w:szCs w:val="24"/>
          <w:lang w:val="fr-FR"/>
        </w:rPr>
        <w:t xml:space="preserve">. </w:t>
      </w:r>
      <w:r w:rsidR="00867392">
        <w:rPr>
          <w:bCs/>
          <w:sz w:val="24"/>
          <w:szCs w:val="24"/>
          <w:lang w:val="fr-FR"/>
        </w:rPr>
        <w:t>Le</w:t>
      </w:r>
      <w:r w:rsidR="00EF7E4D" w:rsidRPr="009006A4">
        <w:rPr>
          <w:bCs/>
          <w:sz w:val="24"/>
          <w:szCs w:val="24"/>
          <w:lang w:val="fr-FR"/>
        </w:rPr>
        <w:t xml:space="preserve"> </w:t>
      </w:r>
      <w:r w:rsidR="00867392">
        <w:rPr>
          <w:b/>
          <w:sz w:val="24"/>
          <w:szCs w:val="24"/>
          <w:lang w:val="fr-FR"/>
        </w:rPr>
        <w:t>Royaume Uni</w:t>
      </w:r>
      <w:r w:rsidR="000944B6" w:rsidRPr="009006A4">
        <w:rPr>
          <w:bCs/>
          <w:sz w:val="24"/>
          <w:szCs w:val="24"/>
          <w:lang w:val="fr-FR"/>
        </w:rPr>
        <w:t xml:space="preserve"> </w:t>
      </w:r>
      <w:r w:rsidR="00867392">
        <w:rPr>
          <w:bCs/>
          <w:sz w:val="24"/>
          <w:szCs w:val="24"/>
          <w:lang w:val="fr-FR"/>
        </w:rPr>
        <w:t xml:space="preserve">fait part de son soutien </w:t>
      </w:r>
      <w:r w:rsidR="006D3CB5">
        <w:rPr>
          <w:bCs/>
          <w:sz w:val="24"/>
          <w:szCs w:val="24"/>
          <w:lang w:val="fr-FR"/>
        </w:rPr>
        <w:t>au</w:t>
      </w:r>
      <w:r w:rsidR="000944B6" w:rsidRPr="009006A4">
        <w:rPr>
          <w:bCs/>
          <w:sz w:val="24"/>
          <w:szCs w:val="24"/>
          <w:lang w:val="fr-FR"/>
        </w:rPr>
        <w:t xml:space="preserve"> </w:t>
      </w:r>
      <w:r w:rsidR="00EF7E4D" w:rsidRPr="009006A4">
        <w:rPr>
          <w:bCs/>
          <w:sz w:val="24"/>
          <w:szCs w:val="24"/>
          <w:lang w:val="fr-FR"/>
        </w:rPr>
        <w:t>Sc</w:t>
      </w:r>
      <w:r w:rsidR="00867392">
        <w:rPr>
          <w:bCs/>
          <w:sz w:val="24"/>
          <w:szCs w:val="24"/>
          <w:lang w:val="fr-FR"/>
        </w:rPr>
        <w:t>é</w:t>
      </w:r>
      <w:r w:rsidR="00EF7E4D" w:rsidRPr="009006A4">
        <w:rPr>
          <w:bCs/>
          <w:sz w:val="24"/>
          <w:szCs w:val="24"/>
          <w:lang w:val="fr-FR"/>
        </w:rPr>
        <w:t>nario</w:t>
      </w:r>
      <w:r w:rsidR="000944B6" w:rsidRPr="009006A4">
        <w:rPr>
          <w:bCs/>
          <w:sz w:val="24"/>
          <w:szCs w:val="24"/>
          <w:lang w:val="fr-FR"/>
        </w:rPr>
        <w:t xml:space="preserve"> 3</w:t>
      </w:r>
      <w:r w:rsidR="00867392">
        <w:rPr>
          <w:bCs/>
          <w:sz w:val="24"/>
          <w:szCs w:val="24"/>
          <w:lang w:val="fr-FR"/>
        </w:rPr>
        <w:t xml:space="preserve"> au minimum</w:t>
      </w:r>
      <w:r w:rsidR="00EF7E4D" w:rsidRPr="009006A4">
        <w:rPr>
          <w:bCs/>
          <w:sz w:val="24"/>
          <w:szCs w:val="24"/>
          <w:lang w:val="fr-FR"/>
        </w:rPr>
        <w:t xml:space="preserve">, </w:t>
      </w:r>
      <w:r w:rsidR="00867392">
        <w:rPr>
          <w:bCs/>
          <w:sz w:val="24"/>
          <w:szCs w:val="24"/>
          <w:lang w:val="fr-FR"/>
        </w:rPr>
        <w:t>situ</w:t>
      </w:r>
      <w:r w:rsidR="006D3CB5">
        <w:rPr>
          <w:bCs/>
          <w:sz w:val="24"/>
          <w:szCs w:val="24"/>
          <w:lang w:val="fr-FR"/>
        </w:rPr>
        <w:t>ant</w:t>
      </w:r>
      <w:r w:rsidR="00867392">
        <w:rPr>
          <w:bCs/>
          <w:sz w:val="24"/>
          <w:szCs w:val="24"/>
          <w:lang w:val="fr-FR"/>
        </w:rPr>
        <w:t xml:space="preserve"> sa préférence probablement entre les </w:t>
      </w:r>
      <w:r w:rsidR="006D3CB5">
        <w:rPr>
          <w:bCs/>
          <w:sz w:val="24"/>
          <w:szCs w:val="24"/>
          <w:lang w:val="fr-FR"/>
        </w:rPr>
        <w:t>s</w:t>
      </w:r>
      <w:r w:rsidR="00EF7E4D" w:rsidRPr="009006A4">
        <w:rPr>
          <w:bCs/>
          <w:sz w:val="24"/>
          <w:szCs w:val="24"/>
          <w:lang w:val="fr-FR"/>
        </w:rPr>
        <w:t>c</w:t>
      </w:r>
      <w:r w:rsidR="00867392">
        <w:rPr>
          <w:bCs/>
          <w:sz w:val="24"/>
          <w:szCs w:val="24"/>
          <w:lang w:val="fr-FR"/>
        </w:rPr>
        <w:t>é</w:t>
      </w:r>
      <w:r w:rsidR="00EF7E4D" w:rsidRPr="009006A4">
        <w:rPr>
          <w:bCs/>
          <w:sz w:val="24"/>
          <w:szCs w:val="24"/>
          <w:lang w:val="fr-FR"/>
        </w:rPr>
        <w:t>narios</w:t>
      </w:r>
      <w:r w:rsidR="000944B6" w:rsidRPr="009006A4">
        <w:rPr>
          <w:bCs/>
          <w:sz w:val="24"/>
          <w:szCs w:val="24"/>
          <w:lang w:val="fr-FR"/>
        </w:rPr>
        <w:t xml:space="preserve"> 3 </w:t>
      </w:r>
      <w:r w:rsidR="00867392">
        <w:rPr>
          <w:bCs/>
          <w:sz w:val="24"/>
          <w:szCs w:val="24"/>
          <w:lang w:val="fr-FR"/>
        </w:rPr>
        <w:t>et</w:t>
      </w:r>
      <w:r w:rsidR="000944B6" w:rsidRPr="009006A4">
        <w:rPr>
          <w:bCs/>
          <w:sz w:val="24"/>
          <w:szCs w:val="24"/>
          <w:lang w:val="fr-FR"/>
        </w:rPr>
        <w:t xml:space="preserve"> 4.</w:t>
      </w:r>
    </w:p>
    <w:p w14:paraId="39E980B4" w14:textId="77777777" w:rsidR="003B7AC7" w:rsidRPr="009006A4" w:rsidRDefault="003B7AC7" w:rsidP="00714211">
      <w:pPr>
        <w:jc w:val="both"/>
        <w:rPr>
          <w:bCs/>
          <w:sz w:val="24"/>
          <w:szCs w:val="24"/>
          <w:lang w:val="fr-FR"/>
        </w:rPr>
      </w:pPr>
    </w:p>
    <w:p w14:paraId="25E8D349" w14:textId="2336E1CC" w:rsidR="000944B6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6</w:t>
      </w:r>
      <w:r w:rsidR="00681A35" w:rsidRPr="009006A4">
        <w:rPr>
          <w:bCs/>
          <w:sz w:val="24"/>
          <w:szCs w:val="24"/>
          <w:lang w:val="fr-FR"/>
        </w:rPr>
        <w:t xml:space="preserve">. </w:t>
      </w:r>
      <w:r w:rsidR="00867392">
        <w:rPr>
          <w:bCs/>
          <w:sz w:val="24"/>
          <w:szCs w:val="24"/>
          <w:lang w:val="fr-FR"/>
        </w:rPr>
        <w:t>L’</w:t>
      </w:r>
      <w:r w:rsidR="00867392">
        <w:rPr>
          <w:b/>
          <w:sz w:val="24"/>
          <w:szCs w:val="24"/>
          <w:lang w:val="fr-FR"/>
        </w:rPr>
        <w:t xml:space="preserve">Allemagne </w:t>
      </w:r>
      <w:r w:rsidR="00867392">
        <w:rPr>
          <w:bCs/>
          <w:sz w:val="24"/>
          <w:szCs w:val="24"/>
          <w:lang w:val="fr-FR"/>
        </w:rPr>
        <w:t>rappel</w:t>
      </w:r>
      <w:r w:rsidR="006D3CB5">
        <w:rPr>
          <w:bCs/>
          <w:sz w:val="24"/>
          <w:szCs w:val="24"/>
          <w:lang w:val="fr-FR"/>
        </w:rPr>
        <w:t>le</w:t>
      </w:r>
      <w:r w:rsidR="00867392">
        <w:rPr>
          <w:bCs/>
          <w:sz w:val="24"/>
          <w:szCs w:val="24"/>
          <w:lang w:val="fr-FR"/>
        </w:rPr>
        <w:t xml:space="preserve"> son soutien de longue date à l’</w:t>
      </w:r>
      <w:r w:rsidR="00E84B96" w:rsidRPr="009006A4">
        <w:rPr>
          <w:bCs/>
          <w:sz w:val="24"/>
          <w:szCs w:val="24"/>
          <w:lang w:val="fr-FR"/>
        </w:rPr>
        <w:t xml:space="preserve">AEWA </w:t>
      </w:r>
      <w:r w:rsidR="00867392">
        <w:rPr>
          <w:bCs/>
          <w:sz w:val="24"/>
          <w:szCs w:val="24"/>
          <w:lang w:val="fr-FR"/>
        </w:rPr>
        <w:t>et comprend parfaitement la position difficile dans laquelle se trouve l’Accord</w:t>
      </w:r>
      <w:r w:rsidR="000944B6" w:rsidRPr="009006A4">
        <w:rPr>
          <w:bCs/>
          <w:sz w:val="24"/>
          <w:szCs w:val="24"/>
          <w:lang w:val="fr-FR"/>
        </w:rPr>
        <w:t xml:space="preserve">. </w:t>
      </w:r>
      <w:r w:rsidR="00442000">
        <w:rPr>
          <w:bCs/>
          <w:sz w:val="24"/>
          <w:szCs w:val="24"/>
          <w:lang w:val="fr-FR"/>
        </w:rPr>
        <w:t xml:space="preserve">Néanmoins, l’Allemagne opère sous des </w:t>
      </w:r>
      <w:r w:rsidR="00215F0E">
        <w:rPr>
          <w:bCs/>
          <w:sz w:val="24"/>
          <w:szCs w:val="24"/>
          <w:lang w:val="fr-FR"/>
        </w:rPr>
        <w:t>contraintes</w:t>
      </w:r>
      <w:r w:rsidR="00442000">
        <w:rPr>
          <w:bCs/>
          <w:sz w:val="24"/>
          <w:szCs w:val="24"/>
          <w:lang w:val="fr-FR"/>
        </w:rPr>
        <w:t xml:space="preserve"> budgétaires et</w:t>
      </w:r>
      <w:r w:rsidR="00E84B96" w:rsidRPr="009006A4">
        <w:rPr>
          <w:bCs/>
          <w:sz w:val="24"/>
          <w:szCs w:val="24"/>
          <w:lang w:val="fr-FR"/>
        </w:rPr>
        <w:t xml:space="preserve">, </w:t>
      </w:r>
      <w:r w:rsidR="00442000">
        <w:rPr>
          <w:bCs/>
          <w:sz w:val="24"/>
          <w:szCs w:val="24"/>
          <w:lang w:val="fr-FR"/>
        </w:rPr>
        <w:t>bien qu’il soit possible de soutenir une augmentation du budget</w:t>
      </w:r>
      <w:r w:rsidR="00E84B96" w:rsidRPr="009006A4">
        <w:rPr>
          <w:bCs/>
          <w:sz w:val="24"/>
          <w:szCs w:val="24"/>
          <w:lang w:val="fr-FR"/>
        </w:rPr>
        <w:t xml:space="preserve">, </w:t>
      </w:r>
      <w:r w:rsidR="00442000">
        <w:rPr>
          <w:bCs/>
          <w:sz w:val="24"/>
          <w:szCs w:val="24"/>
          <w:lang w:val="fr-FR"/>
        </w:rPr>
        <w:t xml:space="preserve">ce ne sera pas nécessairement </w:t>
      </w:r>
      <w:r w:rsidR="00E94F53">
        <w:rPr>
          <w:bCs/>
          <w:sz w:val="24"/>
          <w:szCs w:val="24"/>
          <w:lang w:val="fr-FR"/>
        </w:rPr>
        <w:t xml:space="preserve">conformément à </w:t>
      </w:r>
      <w:r w:rsidR="00442000">
        <w:rPr>
          <w:bCs/>
          <w:sz w:val="24"/>
          <w:szCs w:val="24"/>
          <w:lang w:val="fr-FR"/>
        </w:rPr>
        <w:t>l’un des</w:t>
      </w:r>
      <w:r w:rsidR="00E84B96" w:rsidRPr="009006A4">
        <w:rPr>
          <w:bCs/>
          <w:sz w:val="24"/>
          <w:szCs w:val="24"/>
          <w:lang w:val="fr-FR"/>
        </w:rPr>
        <w:t xml:space="preserve"> sc</w:t>
      </w:r>
      <w:r w:rsidR="00442000">
        <w:rPr>
          <w:bCs/>
          <w:sz w:val="24"/>
          <w:szCs w:val="24"/>
          <w:lang w:val="fr-FR"/>
        </w:rPr>
        <w:t>é</w:t>
      </w:r>
      <w:r w:rsidR="00E84B96" w:rsidRPr="009006A4">
        <w:rPr>
          <w:bCs/>
          <w:sz w:val="24"/>
          <w:szCs w:val="24"/>
          <w:lang w:val="fr-FR"/>
        </w:rPr>
        <w:t>narios pr</w:t>
      </w:r>
      <w:r w:rsidR="00442000">
        <w:rPr>
          <w:bCs/>
          <w:sz w:val="24"/>
          <w:szCs w:val="24"/>
          <w:lang w:val="fr-FR"/>
        </w:rPr>
        <w:t>é</w:t>
      </w:r>
      <w:r w:rsidR="00E84B96" w:rsidRPr="009006A4">
        <w:rPr>
          <w:bCs/>
          <w:sz w:val="24"/>
          <w:szCs w:val="24"/>
          <w:lang w:val="fr-FR"/>
        </w:rPr>
        <w:t>sent</w:t>
      </w:r>
      <w:r w:rsidR="00442000">
        <w:rPr>
          <w:bCs/>
          <w:sz w:val="24"/>
          <w:szCs w:val="24"/>
          <w:lang w:val="fr-FR"/>
        </w:rPr>
        <w:t>és</w:t>
      </w:r>
      <w:r w:rsidR="00E84B96" w:rsidRPr="009006A4">
        <w:rPr>
          <w:bCs/>
          <w:sz w:val="24"/>
          <w:szCs w:val="24"/>
          <w:lang w:val="fr-FR"/>
        </w:rPr>
        <w:t xml:space="preserve">, </w:t>
      </w:r>
      <w:r w:rsidR="00442000">
        <w:rPr>
          <w:bCs/>
          <w:sz w:val="24"/>
          <w:szCs w:val="24"/>
          <w:lang w:val="fr-FR"/>
        </w:rPr>
        <w:t>mais plutôt en utilisant une</w:t>
      </w:r>
      <w:r w:rsidR="00E84B96" w:rsidRPr="009006A4">
        <w:rPr>
          <w:bCs/>
          <w:sz w:val="24"/>
          <w:szCs w:val="24"/>
          <w:lang w:val="fr-FR"/>
        </w:rPr>
        <w:t xml:space="preserve"> combina</w:t>
      </w:r>
      <w:r w:rsidR="00442000">
        <w:rPr>
          <w:bCs/>
          <w:sz w:val="24"/>
          <w:szCs w:val="24"/>
          <w:lang w:val="fr-FR"/>
        </w:rPr>
        <w:t xml:space="preserve">ison d’éléments </w:t>
      </w:r>
      <w:r w:rsidR="00E94F53">
        <w:rPr>
          <w:bCs/>
          <w:sz w:val="24"/>
          <w:szCs w:val="24"/>
          <w:lang w:val="fr-FR"/>
        </w:rPr>
        <w:t xml:space="preserve">issus </w:t>
      </w:r>
      <w:r w:rsidR="00442000">
        <w:rPr>
          <w:bCs/>
          <w:sz w:val="24"/>
          <w:szCs w:val="24"/>
          <w:lang w:val="fr-FR"/>
        </w:rPr>
        <w:t>de divers</w:t>
      </w:r>
      <w:r w:rsidR="00E84B96" w:rsidRPr="009006A4">
        <w:rPr>
          <w:bCs/>
          <w:sz w:val="24"/>
          <w:szCs w:val="24"/>
          <w:lang w:val="fr-FR"/>
        </w:rPr>
        <w:t xml:space="preserve"> sc</w:t>
      </w:r>
      <w:r w:rsidR="00442000">
        <w:rPr>
          <w:bCs/>
          <w:sz w:val="24"/>
          <w:szCs w:val="24"/>
          <w:lang w:val="fr-FR"/>
        </w:rPr>
        <w:t>é</w:t>
      </w:r>
      <w:r w:rsidR="00E84B96" w:rsidRPr="009006A4">
        <w:rPr>
          <w:bCs/>
          <w:sz w:val="24"/>
          <w:szCs w:val="24"/>
          <w:lang w:val="fr-FR"/>
        </w:rPr>
        <w:t>narios</w:t>
      </w:r>
      <w:r w:rsidR="000944B6" w:rsidRPr="009006A4">
        <w:rPr>
          <w:bCs/>
          <w:sz w:val="24"/>
          <w:szCs w:val="24"/>
          <w:lang w:val="fr-FR"/>
        </w:rPr>
        <w:t>.</w:t>
      </w:r>
      <w:r w:rsidR="00E84B96" w:rsidRPr="009006A4">
        <w:rPr>
          <w:bCs/>
          <w:sz w:val="24"/>
          <w:szCs w:val="24"/>
          <w:lang w:val="fr-FR"/>
        </w:rPr>
        <w:t xml:space="preserve"> I</w:t>
      </w:r>
      <w:r w:rsidR="00442000">
        <w:rPr>
          <w:bCs/>
          <w:sz w:val="24"/>
          <w:szCs w:val="24"/>
          <w:lang w:val="fr-FR"/>
        </w:rPr>
        <w:t>l serait utile</w:t>
      </w:r>
      <w:r w:rsidR="00E84B96" w:rsidRPr="009006A4">
        <w:rPr>
          <w:bCs/>
          <w:sz w:val="24"/>
          <w:szCs w:val="24"/>
          <w:lang w:val="fr-FR"/>
        </w:rPr>
        <w:t xml:space="preserve">, </w:t>
      </w:r>
      <w:r w:rsidR="00442000">
        <w:rPr>
          <w:bCs/>
          <w:sz w:val="24"/>
          <w:szCs w:val="24"/>
          <w:lang w:val="fr-FR"/>
        </w:rPr>
        <w:t xml:space="preserve">comme lors des </w:t>
      </w:r>
      <w:r w:rsidR="00E84B96" w:rsidRPr="009006A4">
        <w:rPr>
          <w:bCs/>
          <w:sz w:val="24"/>
          <w:szCs w:val="24"/>
          <w:lang w:val="fr-FR"/>
        </w:rPr>
        <w:t>MOP</w:t>
      </w:r>
      <w:r w:rsidR="00E94F53">
        <w:rPr>
          <w:bCs/>
          <w:sz w:val="24"/>
          <w:szCs w:val="24"/>
          <w:lang w:val="fr-FR"/>
        </w:rPr>
        <w:t xml:space="preserve"> passées</w:t>
      </w:r>
      <w:r w:rsidR="00E84B96" w:rsidRPr="009006A4">
        <w:rPr>
          <w:bCs/>
          <w:sz w:val="24"/>
          <w:szCs w:val="24"/>
          <w:lang w:val="fr-FR"/>
        </w:rPr>
        <w:t xml:space="preserve">, </w:t>
      </w:r>
      <w:r w:rsidR="00442000">
        <w:rPr>
          <w:bCs/>
          <w:sz w:val="24"/>
          <w:szCs w:val="24"/>
          <w:lang w:val="fr-FR"/>
        </w:rPr>
        <w:t xml:space="preserve">de disposer d’un </w:t>
      </w:r>
      <w:r w:rsidR="00E84B96" w:rsidRPr="009006A4">
        <w:rPr>
          <w:bCs/>
          <w:sz w:val="24"/>
          <w:szCs w:val="24"/>
          <w:lang w:val="fr-FR"/>
        </w:rPr>
        <w:t>sc</w:t>
      </w:r>
      <w:r w:rsidR="00442000">
        <w:rPr>
          <w:bCs/>
          <w:sz w:val="24"/>
          <w:szCs w:val="24"/>
          <w:lang w:val="fr-FR"/>
        </w:rPr>
        <w:t>é</w:t>
      </w:r>
      <w:r w:rsidR="00E84B96" w:rsidRPr="009006A4">
        <w:rPr>
          <w:bCs/>
          <w:sz w:val="24"/>
          <w:szCs w:val="24"/>
          <w:lang w:val="fr-FR"/>
        </w:rPr>
        <w:t>nario</w:t>
      </w:r>
      <w:r w:rsidR="00060236" w:rsidRPr="009006A4">
        <w:rPr>
          <w:bCs/>
          <w:sz w:val="24"/>
          <w:szCs w:val="24"/>
          <w:lang w:val="fr-FR"/>
        </w:rPr>
        <w:t xml:space="preserve"> </w:t>
      </w:r>
      <w:r w:rsidR="00442000">
        <w:rPr>
          <w:bCs/>
          <w:sz w:val="24"/>
          <w:szCs w:val="24"/>
          <w:lang w:val="fr-FR"/>
        </w:rPr>
        <w:t>de base, prévoyant la</w:t>
      </w:r>
      <w:r w:rsidR="00465EF4" w:rsidRPr="009006A4">
        <w:rPr>
          <w:bCs/>
          <w:sz w:val="24"/>
          <w:szCs w:val="24"/>
          <w:lang w:val="fr-FR"/>
        </w:rPr>
        <w:t xml:space="preserve"> </w:t>
      </w:r>
      <w:r w:rsidR="00442000">
        <w:rPr>
          <w:bCs/>
          <w:sz w:val="24"/>
          <w:szCs w:val="24"/>
          <w:lang w:val="fr-FR"/>
        </w:rPr>
        <w:t>poursuite du travail du</w:t>
      </w:r>
      <w:r w:rsidR="00465EF4" w:rsidRPr="009006A4">
        <w:rPr>
          <w:bCs/>
          <w:sz w:val="24"/>
          <w:szCs w:val="24"/>
          <w:lang w:val="fr-FR"/>
        </w:rPr>
        <w:t xml:space="preserve"> Secr</w:t>
      </w:r>
      <w:r w:rsidR="00442000">
        <w:rPr>
          <w:bCs/>
          <w:sz w:val="24"/>
          <w:szCs w:val="24"/>
          <w:lang w:val="fr-FR"/>
        </w:rPr>
        <w:t>é</w:t>
      </w:r>
      <w:r w:rsidR="00465EF4" w:rsidRPr="009006A4">
        <w:rPr>
          <w:bCs/>
          <w:sz w:val="24"/>
          <w:szCs w:val="24"/>
          <w:lang w:val="fr-FR"/>
        </w:rPr>
        <w:t xml:space="preserve">tariat </w:t>
      </w:r>
      <w:r w:rsidR="00442000">
        <w:rPr>
          <w:bCs/>
          <w:sz w:val="24"/>
          <w:szCs w:val="24"/>
          <w:lang w:val="fr-FR"/>
        </w:rPr>
        <w:t>selon les lignes actuelles</w:t>
      </w:r>
      <w:r w:rsidR="00465EF4" w:rsidRPr="009006A4">
        <w:rPr>
          <w:bCs/>
          <w:sz w:val="24"/>
          <w:szCs w:val="24"/>
          <w:lang w:val="fr-FR"/>
        </w:rPr>
        <w:t>,</w:t>
      </w:r>
      <w:r w:rsidR="00E84B96" w:rsidRPr="009006A4">
        <w:rPr>
          <w:bCs/>
          <w:sz w:val="24"/>
          <w:szCs w:val="24"/>
          <w:lang w:val="fr-FR"/>
        </w:rPr>
        <w:t xml:space="preserve"> </w:t>
      </w:r>
      <w:r w:rsidR="00442000">
        <w:rPr>
          <w:bCs/>
          <w:sz w:val="24"/>
          <w:szCs w:val="24"/>
          <w:lang w:val="fr-FR"/>
        </w:rPr>
        <w:t>auxquelles s’ajouterait l’augmentation de l’</w:t>
      </w:r>
      <w:r w:rsidR="00465EF4" w:rsidRPr="009006A4">
        <w:rPr>
          <w:bCs/>
          <w:sz w:val="24"/>
          <w:szCs w:val="24"/>
          <w:lang w:val="fr-FR"/>
        </w:rPr>
        <w:t xml:space="preserve">inflation </w:t>
      </w:r>
      <w:r w:rsidR="00442000">
        <w:rPr>
          <w:bCs/>
          <w:sz w:val="24"/>
          <w:szCs w:val="24"/>
          <w:lang w:val="fr-FR"/>
        </w:rPr>
        <w:t>convenue lors de la</w:t>
      </w:r>
      <w:r w:rsidR="00465EF4" w:rsidRPr="009006A4">
        <w:rPr>
          <w:bCs/>
          <w:sz w:val="24"/>
          <w:szCs w:val="24"/>
          <w:lang w:val="fr-FR"/>
        </w:rPr>
        <w:t xml:space="preserve"> MOP7, </w:t>
      </w:r>
      <w:r w:rsidR="00442000">
        <w:rPr>
          <w:bCs/>
          <w:sz w:val="24"/>
          <w:szCs w:val="24"/>
          <w:lang w:val="fr-FR"/>
        </w:rPr>
        <w:t>afin que les</w:t>
      </w:r>
      <w:r w:rsidR="00CB637D" w:rsidRPr="009006A4">
        <w:rPr>
          <w:bCs/>
          <w:sz w:val="24"/>
          <w:szCs w:val="24"/>
          <w:lang w:val="fr-FR"/>
        </w:rPr>
        <w:t xml:space="preserve"> </w:t>
      </w:r>
      <w:r w:rsidR="00465EF4" w:rsidRPr="009006A4">
        <w:rPr>
          <w:bCs/>
          <w:sz w:val="24"/>
          <w:szCs w:val="24"/>
          <w:lang w:val="fr-FR"/>
        </w:rPr>
        <w:t>Parties</w:t>
      </w:r>
      <w:r w:rsidR="00CB637D" w:rsidRPr="009006A4">
        <w:rPr>
          <w:bCs/>
          <w:sz w:val="24"/>
          <w:szCs w:val="24"/>
          <w:lang w:val="fr-FR"/>
        </w:rPr>
        <w:t xml:space="preserve"> </w:t>
      </w:r>
      <w:r w:rsidR="00442000">
        <w:rPr>
          <w:bCs/>
          <w:sz w:val="24"/>
          <w:szCs w:val="24"/>
          <w:lang w:val="fr-FR"/>
        </w:rPr>
        <w:t xml:space="preserve">connaissent la </w:t>
      </w:r>
      <w:r w:rsidR="00465EF4" w:rsidRPr="009006A4">
        <w:rPr>
          <w:bCs/>
          <w:sz w:val="24"/>
          <w:szCs w:val="24"/>
          <w:lang w:val="fr-FR"/>
        </w:rPr>
        <w:t>position</w:t>
      </w:r>
      <w:r w:rsidR="00442000">
        <w:rPr>
          <w:bCs/>
          <w:sz w:val="24"/>
          <w:szCs w:val="24"/>
          <w:lang w:val="fr-FR"/>
        </w:rPr>
        <w:t xml:space="preserve"> de départ</w:t>
      </w:r>
      <w:r w:rsidR="00CB637D" w:rsidRPr="009006A4">
        <w:rPr>
          <w:bCs/>
          <w:sz w:val="24"/>
          <w:szCs w:val="24"/>
          <w:lang w:val="fr-FR"/>
        </w:rPr>
        <w:t xml:space="preserve">. </w:t>
      </w:r>
      <w:r w:rsidR="00DA5234">
        <w:rPr>
          <w:bCs/>
          <w:sz w:val="24"/>
          <w:szCs w:val="24"/>
          <w:lang w:val="fr-FR"/>
        </w:rPr>
        <w:t>À cela pourraient s’ajouter des</w:t>
      </w:r>
      <w:r w:rsidR="00465EF4" w:rsidRPr="009006A4">
        <w:rPr>
          <w:bCs/>
          <w:sz w:val="24"/>
          <w:szCs w:val="24"/>
          <w:lang w:val="fr-FR"/>
        </w:rPr>
        <w:t xml:space="preserve"> priorit</w:t>
      </w:r>
      <w:r w:rsidR="00DA5234">
        <w:rPr>
          <w:bCs/>
          <w:sz w:val="24"/>
          <w:szCs w:val="24"/>
          <w:lang w:val="fr-FR"/>
        </w:rPr>
        <w:t>és spécifiques</w:t>
      </w:r>
      <w:r w:rsidR="00465EF4" w:rsidRPr="009006A4">
        <w:rPr>
          <w:bCs/>
          <w:sz w:val="24"/>
          <w:szCs w:val="24"/>
          <w:lang w:val="fr-FR"/>
        </w:rPr>
        <w:t xml:space="preserve"> </w:t>
      </w:r>
      <w:r w:rsidR="00DA5234">
        <w:rPr>
          <w:bCs/>
          <w:sz w:val="24"/>
          <w:szCs w:val="24"/>
          <w:lang w:val="fr-FR"/>
        </w:rPr>
        <w:lastRenderedPageBreak/>
        <w:t>convenues par les</w:t>
      </w:r>
      <w:r w:rsidR="002C5E03" w:rsidRPr="009006A4">
        <w:rPr>
          <w:bCs/>
          <w:sz w:val="24"/>
          <w:szCs w:val="24"/>
          <w:lang w:val="fr-FR"/>
        </w:rPr>
        <w:t xml:space="preserve"> </w:t>
      </w:r>
      <w:r w:rsidR="00465EF4" w:rsidRPr="009006A4">
        <w:rPr>
          <w:bCs/>
          <w:sz w:val="24"/>
          <w:szCs w:val="24"/>
          <w:lang w:val="fr-FR"/>
        </w:rPr>
        <w:t xml:space="preserve">Parties, </w:t>
      </w:r>
      <w:r w:rsidR="00DA5234">
        <w:rPr>
          <w:bCs/>
          <w:sz w:val="24"/>
          <w:szCs w:val="24"/>
          <w:lang w:val="fr-FR"/>
        </w:rPr>
        <w:t>sur la base de négociations</w:t>
      </w:r>
      <w:r w:rsidR="00465EF4" w:rsidRPr="009006A4">
        <w:rPr>
          <w:bCs/>
          <w:sz w:val="24"/>
          <w:szCs w:val="24"/>
          <w:lang w:val="fr-FR"/>
        </w:rPr>
        <w:t xml:space="preserve">, </w:t>
      </w:r>
      <w:r w:rsidR="00DA5234">
        <w:rPr>
          <w:bCs/>
          <w:sz w:val="24"/>
          <w:szCs w:val="24"/>
          <w:lang w:val="fr-FR"/>
        </w:rPr>
        <w:t>qu’elles souhaitent soutenir</w:t>
      </w:r>
      <w:r w:rsidR="00465EF4" w:rsidRPr="009006A4">
        <w:rPr>
          <w:bCs/>
          <w:sz w:val="24"/>
          <w:szCs w:val="24"/>
          <w:lang w:val="fr-FR"/>
        </w:rPr>
        <w:t xml:space="preserve">. </w:t>
      </w:r>
      <w:r w:rsidR="00DA5234">
        <w:rPr>
          <w:bCs/>
          <w:sz w:val="24"/>
          <w:szCs w:val="24"/>
          <w:lang w:val="fr-FR"/>
        </w:rPr>
        <w:t xml:space="preserve">Pour l’Allemagne, une priorité </w:t>
      </w:r>
      <w:r w:rsidR="00E94F53">
        <w:rPr>
          <w:bCs/>
          <w:sz w:val="24"/>
          <w:szCs w:val="24"/>
          <w:lang w:val="fr-FR"/>
        </w:rPr>
        <w:t>sera</w:t>
      </w:r>
      <w:r w:rsidR="00DA5234">
        <w:rPr>
          <w:bCs/>
          <w:sz w:val="24"/>
          <w:szCs w:val="24"/>
          <w:lang w:val="fr-FR"/>
        </w:rPr>
        <w:t xml:space="preserve"> de trouver </w:t>
      </w:r>
      <w:r w:rsidR="00215F0E">
        <w:rPr>
          <w:bCs/>
          <w:sz w:val="24"/>
          <w:szCs w:val="24"/>
          <w:lang w:val="fr-FR"/>
        </w:rPr>
        <w:t>d</w:t>
      </w:r>
      <w:r w:rsidR="00DA5234">
        <w:rPr>
          <w:bCs/>
          <w:sz w:val="24"/>
          <w:szCs w:val="24"/>
          <w:lang w:val="fr-FR"/>
        </w:rPr>
        <w:t>es ressources</w:t>
      </w:r>
      <w:r w:rsidR="00465EF4" w:rsidRPr="009006A4">
        <w:rPr>
          <w:bCs/>
          <w:sz w:val="24"/>
          <w:szCs w:val="24"/>
          <w:lang w:val="fr-FR"/>
        </w:rPr>
        <w:t xml:space="preserve">, </w:t>
      </w:r>
      <w:r w:rsidR="00DA5234">
        <w:rPr>
          <w:bCs/>
          <w:sz w:val="24"/>
          <w:szCs w:val="24"/>
          <w:lang w:val="fr-FR"/>
        </w:rPr>
        <w:t>si possible par le biais d’économies</w:t>
      </w:r>
      <w:r w:rsidR="00465EF4" w:rsidRPr="009006A4">
        <w:rPr>
          <w:bCs/>
          <w:sz w:val="24"/>
          <w:szCs w:val="24"/>
          <w:lang w:val="fr-FR"/>
        </w:rPr>
        <w:t>,</w:t>
      </w:r>
      <w:r w:rsidR="003B7ACA" w:rsidRPr="009006A4">
        <w:rPr>
          <w:bCs/>
          <w:sz w:val="24"/>
          <w:szCs w:val="24"/>
          <w:lang w:val="fr-FR"/>
        </w:rPr>
        <w:t xml:space="preserve"> </w:t>
      </w:r>
      <w:r w:rsidR="00DA5234">
        <w:rPr>
          <w:bCs/>
          <w:sz w:val="24"/>
          <w:szCs w:val="24"/>
          <w:lang w:val="fr-FR"/>
        </w:rPr>
        <w:t>pour le poste d</w:t>
      </w:r>
      <w:r w:rsidR="00CC4477">
        <w:rPr>
          <w:bCs/>
          <w:sz w:val="24"/>
          <w:szCs w:val="24"/>
          <w:lang w:val="fr-FR"/>
        </w:rPr>
        <w:t>e Responsable des espèces au</w:t>
      </w:r>
      <w:r w:rsidR="00465EF4" w:rsidRPr="009006A4">
        <w:rPr>
          <w:bCs/>
          <w:sz w:val="24"/>
          <w:szCs w:val="24"/>
          <w:lang w:val="fr-FR"/>
        </w:rPr>
        <w:t xml:space="preserve"> Secr</w:t>
      </w:r>
      <w:r w:rsidR="00CC4477">
        <w:rPr>
          <w:bCs/>
          <w:sz w:val="24"/>
          <w:szCs w:val="24"/>
          <w:lang w:val="fr-FR"/>
        </w:rPr>
        <w:t>é</w:t>
      </w:r>
      <w:r w:rsidR="00465EF4" w:rsidRPr="009006A4">
        <w:rPr>
          <w:bCs/>
          <w:sz w:val="24"/>
          <w:szCs w:val="24"/>
          <w:lang w:val="fr-FR"/>
        </w:rPr>
        <w:t>tariat.</w:t>
      </w:r>
    </w:p>
    <w:p w14:paraId="671AD53C" w14:textId="0B735783" w:rsidR="00DD712F" w:rsidRPr="009006A4" w:rsidRDefault="00DD712F" w:rsidP="00714211">
      <w:pPr>
        <w:jc w:val="both"/>
        <w:rPr>
          <w:bCs/>
          <w:sz w:val="24"/>
          <w:szCs w:val="24"/>
          <w:lang w:val="fr-FR"/>
        </w:rPr>
      </w:pPr>
    </w:p>
    <w:p w14:paraId="4B872806" w14:textId="5613873F" w:rsidR="00465EF4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7</w:t>
      </w:r>
      <w:r w:rsidR="00681A35" w:rsidRPr="009006A4">
        <w:rPr>
          <w:bCs/>
          <w:sz w:val="24"/>
          <w:szCs w:val="24"/>
          <w:lang w:val="fr-FR"/>
        </w:rPr>
        <w:t xml:space="preserve">. </w:t>
      </w:r>
      <w:r w:rsidR="00CC4477">
        <w:rPr>
          <w:bCs/>
          <w:sz w:val="24"/>
          <w:szCs w:val="24"/>
          <w:lang w:val="fr-FR"/>
        </w:rPr>
        <w:t>Le</w:t>
      </w:r>
      <w:r w:rsidR="00465EF4" w:rsidRPr="009006A4">
        <w:rPr>
          <w:bCs/>
          <w:sz w:val="24"/>
          <w:szCs w:val="24"/>
          <w:lang w:val="fr-FR"/>
        </w:rPr>
        <w:t xml:space="preserve"> </w:t>
      </w:r>
      <w:r w:rsidR="00465EF4" w:rsidRPr="009006A4">
        <w:rPr>
          <w:b/>
          <w:sz w:val="24"/>
          <w:szCs w:val="24"/>
          <w:lang w:val="fr-FR"/>
        </w:rPr>
        <w:t>Secr</w:t>
      </w:r>
      <w:r w:rsidR="00CC4477">
        <w:rPr>
          <w:b/>
          <w:sz w:val="24"/>
          <w:szCs w:val="24"/>
          <w:lang w:val="fr-FR"/>
        </w:rPr>
        <w:t>é</w:t>
      </w:r>
      <w:r w:rsidR="00465EF4" w:rsidRPr="009006A4">
        <w:rPr>
          <w:b/>
          <w:sz w:val="24"/>
          <w:szCs w:val="24"/>
          <w:lang w:val="fr-FR"/>
        </w:rPr>
        <w:t>ta</w:t>
      </w:r>
      <w:r w:rsidR="00CC4477">
        <w:rPr>
          <w:b/>
          <w:sz w:val="24"/>
          <w:szCs w:val="24"/>
          <w:lang w:val="fr-FR"/>
        </w:rPr>
        <w:t>ire exécutif</w:t>
      </w:r>
      <w:r w:rsidR="00465EF4" w:rsidRPr="009006A4">
        <w:rPr>
          <w:bCs/>
          <w:sz w:val="24"/>
          <w:szCs w:val="24"/>
          <w:lang w:val="fr-FR"/>
        </w:rPr>
        <w:t xml:space="preserve"> confirm</w:t>
      </w:r>
      <w:r w:rsidR="00215F0E">
        <w:rPr>
          <w:bCs/>
          <w:sz w:val="24"/>
          <w:szCs w:val="24"/>
          <w:lang w:val="fr-FR"/>
        </w:rPr>
        <w:t>e</w:t>
      </w:r>
      <w:r w:rsidR="00CC4477">
        <w:rPr>
          <w:bCs/>
          <w:sz w:val="24"/>
          <w:szCs w:val="24"/>
          <w:lang w:val="fr-FR"/>
        </w:rPr>
        <w:t xml:space="preserve"> qu’il n’</w:t>
      </w:r>
      <w:r w:rsidR="00215F0E">
        <w:rPr>
          <w:bCs/>
          <w:sz w:val="24"/>
          <w:szCs w:val="24"/>
          <w:lang w:val="fr-FR"/>
        </w:rPr>
        <w:t>est</w:t>
      </w:r>
      <w:r w:rsidR="00CC4477">
        <w:rPr>
          <w:bCs/>
          <w:sz w:val="24"/>
          <w:szCs w:val="24"/>
          <w:lang w:val="fr-FR"/>
        </w:rPr>
        <w:t xml:space="preserve"> pas nécessaire pour les</w:t>
      </w:r>
      <w:r w:rsidR="00465EF4" w:rsidRPr="009006A4">
        <w:rPr>
          <w:bCs/>
          <w:sz w:val="24"/>
          <w:szCs w:val="24"/>
          <w:lang w:val="fr-FR"/>
        </w:rPr>
        <w:t xml:space="preserve"> Parties </w:t>
      </w:r>
      <w:r w:rsidR="00CC4477">
        <w:rPr>
          <w:bCs/>
          <w:sz w:val="24"/>
          <w:szCs w:val="24"/>
          <w:lang w:val="fr-FR"/>
        </w:rPr>
        <w:t>de ch</w:t>
      </w:r>
      <w:r w:rsidR="00215F0E">
        <w:rPr>
          <w:bCs/>
          <w:sz w:val="24"/>
          <w:szCs w:val="24"/>
          <w:lang w:val="fr-FR"/>
        </w:rPr>
        <w:t>o</w:t>
      </w:r>
      <w:r w:rsidR="00CC4477">
        <w:rPr>
          <w:bCs/>
          <w:sz w:val="24"/>
          <w:szCs w:val="24"/>
          <w:lang w:val="fr-FR"/>
        </w:rPr>
        <w:t xml:space="preserve">isir l’un des quatre </w:t>
      </w:r>
      <w:r w:rsidR="00465EF4" w:rsidRPr="009006A4">
        <w:rPr>
          <w:bCs/>
          <w:sz w:val="24"/>
          <w:szCs w:val="24"/>
          <w:lang w:val="fr-FR"/>
        </w:rPr>
        <w:t>sc</w:t>
      </w:r>
      <w:r w:rsidR="00CC4477">
        <w:rPr>
          <w:bCs/>
          <w:sz w:val="24"/>
          <w:szCs w:val="24"/>
          <w:lang w:val="fr-FR"/>
        </w:rPr>
        <w:t>é</w:t>
      </w:r>
      <w:r w:rsidR="00465EF4" w:rsidRPr="009006A4">
        <w:rPr>
          <w:bCs/>
          <w:sz w:val="24"/>
          <w:szCs w:val="24"/>
          <w:lang w:val="fr-FR"/>
        </w:rPr>
        <w:t xml:space="preserve">narios </w:t>
      </w:r>
      <w:r w:rsidR="00CC4477">
        <w:rPr>
          <w:bCs/>
          <w:sz w:val="24"/>
          <w:szCs w:val="24"/>
          <w:lang w:val="fr-FR"/>
        </w:rPr>
        <w:t>spécifiques présentés dans le</w:t>
      </w:r>
      <w:r w:rsidR="00465EF4" w:rsidRPr="009006A4">
        <w:rPr>
          <w:bCs/>
          <w:sz w:val="24"/>
          <w:szCs w:val="24"/>
          <w:lang w:val="fr-FR"/>
        </w:rPr>
        <w:t xml:space="preserve"> document. </w:t>
      </w:r>
      <w:r w:rsidR="00CC4477">
        <w:rPr>
          <w:bCs/>
          <w:sz w:val="24"/>
          <w:szCs w:val="24"/>
          <w:lang w:val="fr-FR"/>
        </w:rPr>
        <w:t>Le groupe de travail</w:t>
      </w:r>
      <w:r w:rsidR="00465EF4" w:rsidRPr="009006A4">
        <w:rPr>
          <w:bCs/>
          <w:sz w:val="24"/>
          <w:szCs w:val="24"/>
          <w:lang w:val="fr-FR"/>
        </w:rPr>
        <w:t xml:space="preserve"> </w:t>
      </w:r>
      <w:r w:rsidR="00CC4477">
        <w:rPr>
          <w:bCs/>
          <w:sz w:val="24"/>
          <w:szCs w:val="24"/>
          <w:lang w:val="fr-FR"/>
        </w:rPr>
        <w:t>pourrait demander la</w:t>
      </w:r>
      <w:r w:rsidR="00465EF4" w:rsidRPr="009006A4">
        <w:rPr>
          <w:bCs/>
          <w:sz w:val="24"/>
          <w:szCs w:val="24"/>
          <w:lang w:val="fr-FR"/>
        </w:rPr>
        <w:t xml:space="preserve"> r</w:t>
      </w:r>
      <w:r w:rsidR="00CC4477">
        <w:rPr>
          <w:bCs/>
          <w:sz w:val="24"/>
          <w:szCs w:val="24"/>
          <w:lang w:val="fr-FR"/>
        </w:rPr>
        <w:t>é</w:t>
      </w:r>
      <w:r w:rsidR="00E94F53">
        <w:rPr>
          <w:bCs/>
          <w:sz w:val="24"/>
          <w:szCs w:val="24"/>
          <w:lang w:val="fr-FR"/>
        </w:rPr>
        <w:t>daction</w:t>
      </w:r>
      <w:r w:rsidR="00465EF4" w:rsidRPr="009006A4">
        <w:rPr>
          <w:bCs/>
          <w:sz w:val="24"/>
          <w:szCs w:val="24"/>
          <w:lang w:val="fr-FR"/>
        </w:rPr>
        <w:t xml:space="preserve"> </w:t>
      </w:r>
      <w:r w:rsidR="00CC4477">
        <w:rPr>
          <w:bCs/>
          <w:sz w:val="24"/>
          <w:szCs w:val="24"/>
          <w:lang w:val="fr-FR"/>
        </w:rPr>
        <w:t>de scénarios</w:t>
      </w:r>
      <w:r w:rsidR="00465EF4" w:rsidRPr="009006A4">
        <w:rPr>
          <w:bCs/>
          <w:sz w:val="24"/>
          <w:szCs w:val="24"/>
          <w:lang w:val="fr-FR"/>
        </w:rPr>
        <w:t xml:space="preserve"> alternati</w:t>
      </w:r>
      <w:r w:rsidR="00CC4477">
        <w:rPr>
          <w:bCs/>
          <w:sz w:val="24"/>
          <w:szCs w:val="24"/>
          <w:lang w:val="fr-FR"/>
        </w:rPr>
        <w:t>fs</w:t>
      </w:r>
      <w:r w:rsidR="002C5E03" w:rsidRPr="009006A4">
        <w:rPr>
          <w:bCs/>
          <w:sz w:val="24"/>
          <w:szCs w:val="24"/>
          <w:lang w:val="fr-FR"/>
        </w:rPr>
        <w:t>,</w:t>
      </w:r>
      <w:r w:rsidR="00465EF4" w:rsidRPr="009006A4">
        <w:rPr>
          <w:bCs/>
          <w:sz w:val="24"/>
          <w:szCs w:val="24"/>
          <w:lang w:val="fr-FR"/>
        </w:rPr>
        <w:t xml:space="preserve"> </w:t>
      </w:r>
      <w:r w:rsidR="00CC4477">
        <w:rPr>
          <w:bCs/>
          <w:sz w:val="24"/>
          <w:szCs w:val="24"/>
          <w:lang w:val="fr-FR"/>
        </w:rPr>
        <w:t>et le</w:t>
      </w:r>
      <w:r w:rsidR="00465EF4" w:rsidRPr="009006A4">
        <w:rPr>
          <w:bCs/>
          <w:sz w:val="24"/>
          <w:szCs w:val="24"/>
          <w:lang w:val="fr-FR"/>
        </w:rPr>
        <w:t xml:space="preserve"> Secr</w:t>
      </w:r>
      <w:r w:rsidR="00CC4477">
        <w:rPr>
          <w:bCs/>
          <w:sz w:val="24"/>
          <w:szCs w:val="24"/>
          <w:lang w:val="fr-FR"/>
        </w:rPr>
        <w:t>é</w:t>
      </w:r>
      <w:r w:rsidR="00465EF4" w:rsidRPr="009006A4">
        <w:rPr>
          <w:bCs/>
          <w:sz w:val="24"/>
          <w:szCs w:val="24"/>
          <w:lang w:val="fr-FR"/>
        </w:rPr>
        <w:t xml:space="preserve">tariat </w:t>
      </w:r>
      <w:r w:rsidR="00CC4477">
        <w:rPr>
          <w:bCs/>
          <w:sz w:val="24"/>
          <w:szCs w:val="24"/>
          <w:lang w:val="fr-FR"/>
        </w:rPr>
        <w:t>s’assurerait</w:t>
      </w:r>
      <w:r w:rsidR="00507372" w:rsidRPr="009006A4">
        <w:rPr>
          <w:bCs/>
          <w:sz w:val="24"/>
          <w:szCs w:val="24"/>
          <w:lang w:val="fr-FR"/>
        </w:rPr>
        <w:t xml:space="preserve"> </w:t>
      </w:r>
      <w:r w:rsidR="00CC4477">
        <w:rPr>
          <w:bCs/>
          <w:sz w:val="24"/>
          <w:szCs w:val="24"/>
          <w:lang w:val="fr-FR"/>
        </w:rPr>
        <w:t>que les nouveaux calculs</w:t>
      </w:r>
      <w:r w:rsidR="00465EF4" w:rsidRPr="009006A4">
        <w:rPr>
          <w:bCs/>
          <w:sz w:val="24"/>
          <w:szCs w:val="24"/>
          <w:lang w:val="fr-FR"/>
        </w:rPr>
        <w:t xml:space="preserve"> correspond</w:t>
      </w:r>
      <w:r w:rsidR="00CC4477">
        <w:rPr>
          <w:bCs/>
          <w:sz w:val="24"/>
          <w:szCs w:val="24"/>
          <w:lang w:val="fr-FR"/>
        </w:rPr>
        <w:t>ants</w:t>
      </w:r>
      <w:r w:rsidR="00465EF4" w:rsidRPr="009006A4">
        <w:rPr>
          <w:bCs/>
          <w:sz w:val="24"/>
          <w:szCs w:val="24"/>
          <w:lang w:val="fr-FR"/>
        </w:rPr>
        <w:t xml:space="preserve"> </w:t>
      </w:r>
      <w:r w:rsidR="00CC4477">
        <w:rPr>
          <w:bCs/>
          <w:sz w:val="24"/>
          <w:szCs w:val="24"/>
          <w:lang w:val="fr-FR"/>
        </w:rPr>
        <w:t>soient rendus disponibles</w:t>
      </w:r>
      <w:r w:rsidR="00465EF4" w:rsidRPr="009006A4">
        <w:rPr>
          <w:bCs/>
          <w:sz w:val="24"/>
          <w:szCs w:val="24"/>
          <w:lang w:val="fr-FR"/>
        </w:rPr>
        <w:t>.</w:t>
      </w:r>
    </w:p>
    <w:p w14:paraId="359CEC73" w14:textId="6027DA02" w:rsidR="00DD712F" w:rsidRPr="009006A4" w:rsidRDefault="00DD712F" w:rsidP="00714211">
      <w:pPr>
        <w:jc w:val="both"/>
        <w:rPr>
          <w:bCs/>
          <w:sz w:val="24"/>
          <w:szCs w:val="24"/>
          <w:lang w:val="fr-FR"/>
        </w:rPr>
      </w:pPr>
    </w:p>
    <w:p w14:paraId="73E35D95" w14:textId="28C6FF0D" w:rsidR="00DD712F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8</w:t>
      </w:r>
      <w:r w:rsidR="00681A35" w:rsidRPr="009006A4">
        <w:rPr>
          <w:bCs/>
          <w:sz w:val="24"/>
          <w:szCs w:val="24"/>
          <w:lang w:val="fr-FR"/>
        </w:rPr>
        <w:t>.</w:t>
      </w:r>
      <w:r w:rsidR="00CC4477">
        <w:rPr>
          <w:bCs/>
          <w:sz w:val="24"/>
          <w:szCs w:val="24"/>
          <w:lang w:val="fr-FR"/>
        </w:rPr>
        <w:t xml:space="preserve"> La</w:t>
      </w:r>
      <w:r w:rsidR="00681A35" w:rsidRPr="009006A4">
        <w:rPr>
          <w:bCs/>
          <w:sz w:val="24"/>
          <w:szCs w:val="24"/>
          <w:lang w:val="fr-FR"/>
        </w:rPr>
        <w:t xml:space="preserve"> </w:t>
      </w:r>
      <w:r w:rsidR="00465EF4" w:rsidRPr="009006A4">
        <w:rPr>
          <w:b/>
          <w:sz w:val="24"/>
          <w:szCs w:val="24"/>
          <w:lang w:val="fr-FR"/>
        </w:rPr>
        <w:t>S</w:t>
      </w:r>
      <w:r w:rsidR="00CC4477">
        <w:rPr>
          <w:b/>
          <w:sz w:val="24"/>
          <w:szCs w:val="24"/>
          <w:lang w:val="fr-FR"/>
        </w:rPr>
        <w:t>uisse</w:t>
      </w:r>
      <w:r w:rsidR="00465EF4" w:rsidRPr="009006A4">
        <w:rPr>
          <w:bCs/>
          <w:sz w:val="24"/>
          <w:szCs w:val="24"/>
          <w:lang w:val="fr-FR"/>
        </w:rPr>
        <w:t xml:space="preserve"> </w:t>
      </w:r>
      <w:r w:rsidR="00215F0E">
        <w:rPr>
          <w:bCs/>
          <w:sz w:val="24"/>
          <w:szCs w:val="24"/>
          <w:lang w:val="fr-FR"/>
        </w:rPr>
        <w:t>est</w:t>
      </w:r>
      <w:r w:rsidR="00CC4477">
        <w:rPr>
          <w:bCs/>
          <w:sz w:val="24"/>
          <w:szCs w:val="24"/>
          <w:lang w:val="fr-FR"/>
        </w:rPr>
        <w:t xml:space="preserve"> fermement convaincue que</w:t>
      </w:r>
      <w:r w:rsidR="00DD712F" w:rsidRPr="009006A4">
        <w:rPr>
          <w:bCs/>
          <w:sz w:val="24"/>
          <w:szCs w:val="24"/>
          <w:lang w:val="fr-FR"/>
        </w:rPr>
        <w:t xml:space="preserve"> </w:t>
      </w:r>
      <w:r w:rsidR="00CC4477">
        <w:rPr>
          <w:bCs/>
          <w:sz w:val="24"/>
          <w:szCs w:val="24"/>
          <w:lang w:val="fr-FR"/>
        </w:rPr>
        <w:t>le</w:t>
      </w:r>
      <w:r w:rsidR="009149B8" w:rsidRPr="009006A4">
        <w:rPr>
          <w:bCs/>
          <w:sz w:val="24"/>
          <w:szCs w:val="24"/>
          <w:lang w:val="fr-FR"/>
        </w:rPr>
        <w:t xml:space="preserve"> </w:t>
      </w:r>
      <w:r w:rsidR="00DD712F" w:rsidRPr="009006A4">
        <w:rPr>
          <w:bCs/>
          <w:sz w:val="24"/>
          <w:szCs w:val="24"/>
          <w:lang w:val="fr-FR"/>
        </w:rPr>
        <w:t>Sec</w:t>
      </w:r>
      <w:r w:rsidR="009149B8" w:rsidRPr="009006A4">
        <w:rPr>
          <w:bCs/>
          <w:sz w:val="24"/>
          <w:szCs w:val="24"/>
          <w:lang w:val="fr-FR"/>
        </w:rPr>
        <w:t>r</w:t>
      </w:r>
      <w:r w:rsidR="00CC4477">
        <w:rPr>
          <w:bCs/>
          <w:sz w:val="24"/>
          <w:szCs w:val="24"/>
          <w:lang w:val="fr-FR"/>
        </w:rPr>
        <w:t>é</w:t>
      </w:r>
      <w:r w:rsidR="009149B8" w:rsidRPr="009006A4">
        <w:rPr>
          <w:bCs/>
          <w:sz w:val="24"/>
          <w:szCs w:val="24"/>
          <w:lang w:val="fr-FR"/>
        </w:rPr>
        <w:t xml:space="preserve">tariat </w:t>
      </w:r>
      <w:r w:rsidR="00215F0E">
        <w:rPr>
          <w:bCs/>
          <w:sz w:val="24"/>
          <w:szCs w:val="24"/>
          <w:lang w:val="fr-FR"/>
        </w:rPr>
        <w:t>est</w:t>
      </w:r>
      <w:r w:rsidR="00CC4477">
        <w:rPr>
          <w:bCs/>
          <w:sz w:val="24"/>
          <w:szCs w:val="24"/>
          <w:lang w:val="fr-FR"/>
        </w:rPr>
        <w:t xml:space="preserve"> actuellement en sous-effectif</w:t>
      </w:r>
      <w:r w:rsidR="00DD712F" w:rsidRPr="009006A4">
        <w:rPr>
          <w:bCs/>
          <w:sz w:val="24"/>
          <w:szCs w:val="24"/>
          <w:lang w:val="fr-FR"/>
        </w:rPr>
        <w:t xml:space="preserve"> </w:t>
      </w:r>
      <w:r w:rsidR="00CC4477">
        <w:rPr>
          <w:bCs/>
          <w:sz w:val="24"/>
          <w:szCs w:val="24"/>
          <w:lang w:val="fr-FR"/>
        </w:rPr>
        <w:t xml:space="preserve">et </w:t>
      </w:r>
      <w:r w:rsidR="006D3CB5">
        <w:rPr>
          <w:bCs/>
          <w:sz w:val="24"/>
          <w:szCs w:val="24"/>
          <w:lang w:val="fr-FR"/>
        </w:rPr>
        <w:t xml:space="preserve">elle </w:t>
      </w:r>
      <w:r w:rsidR="00215F0E">
        <w:rPr>
          <w:bCs/>
          <w:sz w:val="24"/>
          <w:szCs w:val="24"/>
          <w:lang w:val="fr-FR"/>
        </w:rPr>
        <w:t>est</w:t>
      </w:r>
      <w:r w:rsidR="006D3CB5">
        <w:rPr>
          <w:bCs/>
          <w:sz w:val="24"/>
          <w:szCs w:val="24"/>
          <w:lang w:val="fr-FR"/>
        </w:rPr>
        <w:t xml:space="preserve"> en mesure de soutenir le</w:t>
      </w:r>
      <w:r w:rsidR="00507372" w:rsidRPr="009006A4">
        <w:rPr>
          <w:bCs/>
          <w:sz w:val="24"/>
          <w:szCs w:val="24"/>
          <w:lang w:val="fr-FR"/>
        </w:rPr>
        <w:t xml:space="preserve"> Sc</w:t>
      </w:r>
      <w:r w:rsidR="006D3CB5">
        <w:rPr>
          <w:bCs/>
          <w:sz w:val="24"/>
          <w:szCs w:val="24"/>
          <w:lang w:val="fr-FR"/>
        </w:rPr>
        <w:t>é</w:t>
      </w:r>
      <w:r w:rsidR="00507372" w:rsidRPr="009006A4">
        <w:rPr>
          <w:bCs/>
          <w:sz w:val="24"/>
          <w:szCs w:val="24"/>
          <w:lang w:val="fr-FR"/>
        </w:rPr>
        <w:t>nario 4</w:t>
      </w:r>
      <w:r w:rsidR="006D3CB5">
        <w:rPr>
          <w:bCs/>
          <w:sz w:val="24"/>
          <w:szCs w:val="24"/>
          <w:lang w:val="fr-FR"/>
        </w:rPr>
        <w:t xml:space="preserve">, mais </w:t>
      </w:r>
      <w:r w:rsidR="00215F0E">
        <w:rPr>
          <w:bCs/>
          <w:sz w:val="24"/>
          <w:szCs w:val="24"/>
          <w:lang w:val="fr-FR"/>
        </w:rPr>
        <w:t>est</w:t>
      </w:r>
      <w:r w:rsidR="006D3CB5">
        <w:rPr>
          <w:bCs/>
          <w:sz w:val="24"/>
          <w:szCs w:val="24"/>
          <w:lang w:val="fr-FR"/>
        </w:rPr>
        <w:t xml:space="preserve"> </w:t>
      </w:r>
      <w:r w:rsidR="00E94F53">
        <w:rPr>
          <w:bCs/>
          <w:sz w:val="24"/>
          <w:szCs w:val="24"/>
          <w:lang w:val="fr-FR"/>
        </w:rPr>
        <w:t>également</w:t>
      </w:r>
      <w:r w:rsidR="006D3CB5">
        <w:rPr>
          <w:bCs/>
          <w:sz w:val="24"/>
          <w:szCs w:val="24"/>
          <w:lang w:val="fr-FR"/>
        </w:rPr>
        <w:t xml:space="preserve"> ouverte à une autre combinaison</w:t>
      </w:r>
      <w:r w:rsidR="00DD712F" w:rsidRPr="009006A4">
        <w:rPr>
          <w:bCs/>
          <w:sz w:val="24"/>
          <w:szCs w:val="24"/>
          <w:lang w:val="fr-FR"/>
        </w:rPr>
        <w:t>.</w:t>
      </w:r>
      <w:r w:rsidR="00507372" w:rsidRPr="009006A4">
        <w:rPr>
          <w:bCs/>
          <w:sz w:val="24"/>
          <w:szCs w:val="24"/>
          <w:lang w:val="fr-FR"/>
        </w:rPr>
        <w:t xml:space="preserve"> </w:t>
      </w:r>
      <w:r w:rsidR="006D3CB5">
        <w:rPr>
          <w:bCs/>
          <w:sz w:val="24"/>
          <w:szCs w:val="24"/>
          <w:lang w:val="fr-FR"/>
        </w:rPr>
        <w:t xml:space="preserve">La priorité de la </w:t>
      </w:r>
      <w:r w:rsidR="00507372" w:rsidRPr="009006A4">
        <w:rPr>
          <w:bCs/>
          <w:sz w:val="24"/>
          <w:szCs w:val="24"/>
          <w:lang w:val="fr-FR"/>
        </w:rPr>
        <w:t>S</w:t>
      </w:r>
      <w:r w:rsidR="006D3CB5">
        <w:rPr>
          <w:bCs/>
          <w:sz w:val="24"/>
          <w:szCs w:val="24"/>
          <w:lang w:val="fr-FR"/>
        </w:rPr>
        <w:t xml:space="preserve">uisse </w:t>
      </w:r>
      <w:r w:rsidR="00215F0E">
        <w:rPr>
          <w:bCs/>
          <w:sz w:val="24"/>
          <w:szCs w:val="24"/>
          <w:lang w:val="fr-FR"/>
        </w:rPr>
        <w:t>est</w:t>
      </w:r>
      <w:r w:rsidR="006D3CB5">
        <w:rPr>
          <w:bCs/>
          <w:sz w:val="24"/>
          <w:szCs w:val="24"/>
          <w:lang w:val="fr-FR"/>
        </w:rPr>
        <w:t xml:space="preserve"> d’éviter </w:t>
      </w:r>
      <w:r w:rsidR="00215F0E">
        <w:rPr>
          <w:bCs/>
          <w:sz w:val="24"/>
          <w:szCs w:val="24"/>
          <w:lang w:val="fr-FR"/>
        </w:rPr>
        <w:t>une</w:t>
      </w:r>
      <w:r w:rsidR="00507372" w:rsidRPr="009006A4">
        <w:rPr>
          <w:bCs/>
          <w:sz w:val="24"/>
          <w:szCs w:val="24"/>
          <w:lang w:val="fr-FR"/>
        </w:rPr>
        <w:t xml:space="preserve"> situation </w:t>
      </w:r>
      <w:r w:rsidR="00215F0E">
        <w:rPr>
          <w:bCs/>
          <w:sz w:val="24"/>
          <w:szCs w:val="24"/>
          <w:lang w:val="fr-FR"/>
        </w:rPr>
        <w:t xml:space="preserve">où une quantité importante du temps du </w:t>
      </w:r>
      <w:r w:rsidR="00507372" w:rsidRPr="009006A4">
        <w:rPr>
          <w:bCs/>
          <w:sz w:val="24"/>
          <w:szCs w:val="24"/>
          <w:lang w:val="fr-FR"/>
        </w:rPr>
        <w:t>Secr</w:t>
      </w:r>
      <w:r w:rsidR="00215F0E">
        <w:rPr>
          <w:bCs/>
          <w:sz w:val="24"/>
          <w:szCs w:val="24"/>
          <w:lang w:val="fr-FR"/>
        </w:rPr>
        <w:t>é</w:t>
      </w:r>
      <w:r w:rsidR="00507372" w:rsidRPr="009006A4">
        <w:rPr>
          <w:bCs/>
          <w:sz w:val="24"/>
          <w:szCs w:val="24"/>
          <w:lang w:val="fr-FR"/>
        </w:rPr>
        <w:t xml:space="preserve">tariat </w:t>
      </w:r>
      <w:r w:rsidR="00215F0E">
        <w:rPr>
          <w:bCs/>
          <w:sz w:val="24"/>
          <w:szCs w:val="24"/>
          <w:lang w:val="fr-FR"/>
        </w:rPr>
        <w:t>d</w:t>
      </w:r>
      <w:r w:rsidR="00E94F53">
        <w:rPr>
          <w:bCs/>
          <w:sz w:val="24"/>
          <w:szCs w:val="24"/>
          <w:lang w:val="fr-FR"/>
        </w:rPr>
        <w:t>oive</w:t>
      </w:r>
      <w:r w:rsidR="00215F0E">
        <w:rPr>
          <w:bCs/>
          <w:sz w:val="24"/>
          <w:szCs w:val="24"/>
          <w:lang w:val="fr-FR"/>
        </w:rPr>
        <w:t xml:space="preserve"> être consacrée</w:t>
      </w:r>
      <w:r w:rsidR="00507372" w:rsidRPr="009006A4">
        <w:rPr>
          <w:bCs/>
          <w:sz w:val="24"/>
          <w:szCs w:val="24"/>
          <w:lang w:val="fr-FR"/>
        </w:rPr>
        <w:t xml:space="preserve"> </w:t>
      </w:r>
      <w:r w:rsidR="00215F0E">
        <w:rPr>
          <w:bCs/>
          <w:sz w:val="24"/>
          <w:szCs w:val="24"/>
          <w:lang w:val="fr-FR"/>
        </w:rPr>
        <w:t xml:space="preserve">à </w:t>
      </w:r>
      <w:r w:rsidR="00E94F53">
        <w:rPr>
          <w:bCs/>
          <w:sz w:val="24"/>
          <w:szCs w:val="24"/>
          <w:lang w:val="fr-FR"/>
        </w:rPr>
        <w:t>assurer</w:t>
      </w:r>
      <w:r w:rsidR="00215F0E">
        <w:rPr>
          <w:bCs/>
          <w:sz w:val="24"/>
          <w:szCs w:val="24"/>
          <w:lang w:val="fr-FR"/>
        </w:rPr>
        <w:t xml:space="preserve"> </w:t>
      </w:r>
      <w:r w:rsidR="00E94F53">
        <w:rPr>
          <w:bCs/>
          <w:sz w:val="24"/>
          <w:szCs w:val="24"/>
          <w:lang w:val="fr-FR"/>
        </w:rPr>
        <w:t>l</w:t>
      </w:r>
      <w:r w:rsidR="00215F0E">
        <w:rPr>
          <w:bCs/>
          <w:sz w:val="24"/>
          <w:szCs w:val="24"/>
          <w:lang w:val="fr-FR"/>
        </w:rPr>
        <w:t>es</w:t>
      </w:r>
      <w:r w:rsidR="00507372" w:rsidRPr="009006A4">
        <w:rPr>
          <w:bCs/>
          <w:sz w:val="24"/>
          <w:szCs w:val="24"/>
          <w:lang w:val="fr-FR"/>
        </w:rPr>
        <w:t xml:space="preserve"> re</w:t>
      </w:r>
      <w:r w:rsidR="00215F0E">
        <w:rPr>
          <w:bCs/>
          <w:sz w:val="24"/>
          <w:szCs w:val="24"/>
          <w:lang w:val="fr-FR"/>
        </w:rPr>
        <w:t>s</w:t>
      </w:r>
      <w:r w:rsidR="00507372" w:rsidRPr="009006A4">
        <w:rPr>
          <w:bCs/>
          <w:sz w:val="24"/>
          <w:szCs w:val="24"/>
          <w:lang w:val="fr-FR"/>
        </w:rPr>
        <w:t xml:space="preserve">sources </w:t>
      </w:r>
      <w:r w:rsidR="00215F0E">
        <w:rPr>
          <w:bCs/>
          <w:sz w:val="24"/>
          <w:szCs w:val="24"/>
          <w:lang w:val="fr-FR"/>
        </w:rPr>
        <w:t>nécessaires pour des postes</w:t>
      </w:r>
      <w:r w:rsidR="00507372" w:rsidRPr="009006A4">
        <w:rPr>
          <w:bCs/>
          <w:sz w:val="24"/>
          <w:szCs w:val="24"/>
          <w:lang w:val="fr-FR"/>
        </w:rPr>
        <w:t xml:space="preserve"> </w:t>
      </w:r>
      <w:r w:rsidR="00215F0E">
        <w:rPr>
          <w:bCs/>
          <w:sz w:val="24"/>
          <w:szCs w:val="24"/>
          <w:lang w:val="fr-FR"/>
        </w:rPr>
        <w:t>qui ne sont pas encore entièrement financés</w:t>
      </w:r>
      <w:r w:rsidR="00507372" w:rsidRPr="009006A4">
        <w:rPr>
          <w:bCs/>
          <w:sz w:val="24"/>
          <w:szCs w:val="24"/>
          <w:lang w:val="fr-FR"/>
        </w:rPr>
        <w:t>.</w:t>
      </w:r>
    </w:p>
    <w:p w14:paraId="2DBDE9EB" w14:textId="69C3B1F0" w:rsidR="00DD712F" w:rsidRPr="009006A4" w:rsidRDefault="00DD712F" w:rsidP="00714211">
      <w:pPr>
        <w:jc w:val="both"/>
        <w:rPr>
          <w:bCs/>
          <w:sz w:val="24"/>
          <w:szCs w:val="24"/>
          <w:lang w:val="fr-FR"/>
        </w:rPr>
      </w:pPr>
    </w:p>
    <w:p w14:paraId="138E3A2A" w14:textId="5F7AE844" w:rsidR="00DD712F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9</w:t>
      </w:r>
      <w:r w:rsidR="00681A35" w:rsidRPr="009006A4">
        <w:rPr>
          <w:bCs/>
          <w:sz w:val="24"/>
          <w:szCs w:val="24"/>
          <w:lang w:val="fr-FR"/>
        </w:rPr>
        <w:t>.</w:t>
      </w:r>
      <w:r w:rsidR="00215F0E">
        <w:rPr>
          <w:bCs/>
          <w:sz w:val="24"/>
          <w:szCs w:val="24"/>
          <w:lang w:val="fr-FR"/>
        </w:rPr>
        <w:t xml:space="preserve"> La</w:t>
      </w:r>
      <w:r w:rsidR="00681A35" w:rsidRPr="009006A4">
        <w:rPr>
          <w:bCs/>
          <w:sz w:val="24"/>
          <w:szCs w:val="24"/>
          <w:lang w:val="fr-FR"/>
        </w:rPr>
        <w:t xml:space="preserve"> </w:t>
      </w:r>
      <w:r w:rsidR="00507372" w:rsidRPr="009006A4">
        <w:rPr>
          <w:b/>
          <w:sz w:val="24"/>
          <w:szCs w:val="24"/>
          <w:lang w:val="fr-FR"/>
        </w:rPr>
        <w:t>France</w:t>
      </w:r>
      <w:r w:rsidR="00507372" w:rsidRPr="009006A4">
        <w:rPr>
          <w:bCs/>
          <w:sz w:val="24"/>
          <w:szCs w:val="24"/>
          <w:lang w:val="fr-FR"/>
        </w:rPr>
        <w:t xml:space="preserve"> </w:t>
      </w:r>
      <w:r w:rsidR="00215F0E">
        <w:rPr>
          <w:bCs/>
          <w:sz w:val="24"/>
          <w:szCs w:val="24"/>
          <w:lang w:val="fr-FR"/>
        </w:rPr>
        <w:t>demande des</w:t>
      </w:r>
      <w:r w:rsidR="00507372" w:rsidRPr="009006A4">
        <w:rPr>
          <w:bCs/>
          <w:sz w:val="24"/>
          <w:szCs w:val="24"/>
          <w:lang w:val="fr-FR"/>
        </w:rPr>
        <w:t xml:space="preserve"> information</w:t>
      </w:r>
      <w:r w:rsidR="00215F0E">
        <w:rPr>
          <w:bCs/>
          <w:sz w:val="24"/>
          <w:szCs w:val="24"/>
          <w:lang w:val="fr-FR"/>
        </w:rPr>
        <w:t xml:space="preserve">s supplémentaires </w:t>
      </w:r>
      <w:r w:rsidR="00507372" w:rsidRPr="009006A4">
        <w:rPr>
          <w:bCs/>
          <w:sz w:val="24"/>
          <w:szCs w:val="24"/>
          <w:lang w:val="fr-FR"/>
        </w:rPr>
        <w:t>concern</w:t>
      </w:r>
      <w:r w:rsidR="00215F0E">
        <w:rPr>
          <w:bCs/>
          <w:sz w:val="24"/>
          <w:szCs w:val="24"/>
          <w:lang w:val="fr-FR"/>
        </w:rPr>
        <w:t>ant l’</w:t>
      </w:r>
      <w:r w:rsidR="00507372" w:rsidRPr="009006A4">
        <w:rPr>
          <w:bCs/>
          <w:sz w:val="24"/>
          <w:szCs w:val="24"/>
          <w:lang w:val="fr-FR"/>
        </w:rPr>
        <w:t xml:space="preserve">impact </w:t>
      </w:r>
      <w:r w:rsidR="00215F0E">
        <w:rPr>
          <w:bCs/>
          <w:sz w:val="24"/>
          <w:szCs w:val="24"/>
          <w:lang w:val="fr-FR"/>
        </w:rPr>
        <w:t>des fluctuations d</w:t>
      </w:r>
      <w:r w:rsidR="00E94F53">
        <w:rPr>
          <w:bCs/>
          <w:sz w:val="24"/>
          <w:szCs w:val="24"/>
          <w:lang w:val="fr-FR"/>
        </w:rPr>
        <w:t>u</w:t>
      </w:r>
      <w:r w:rsidR="00215F0E">
        <w:rPr>
          <w:bCs/>
          <w:sz w:val="24"/>
          <w:szCs w:val="24"/>
          <w:lang w:val="fr-FR"/>
        </w:rPr>
        <w:t xml:space="preserve"> taux de change</w:t>
      </w:r>
      <w:r w:rsidR="00507372" w:rsidRPr="009006A4">
        <w:rPr>
          <w:bCs/>
          <w:sz w:val="24"/>
          <w:szCs w:val="24"/>
          <w:lang w:val="fr-FR"/>
        </w:rPr>
        <w:t xml:space="preserve"> </w:t>
      </w:r>
      <w:r w:rsidR="00215F0E">
        <w:rPr>
          <w:bCs/>
          <w:sz w:val="24"/>
          <w:szCs w:val="24"/>
          <w:lang w:val="fr-FR"/>
        </w:rPr>
        <w:t>au cours de ces quatre dernières années</w:t>
      </w:r>
      <w:r w:rsidR="00507372" w:rsidRPr="009006A4">
        <w:rPr>
          <w:bCs/>
          <w:sz w:val="24"/>
          <w:szCs w:val="24"/>
          <w:lang w:val="fr-FR"/>
        </w:rPr>
        <w:t xml:space="preserve">, </w:t>
      </w:r>
      <w:r w:rsidR="00215F0E">
        <w:rPr>
          <w:bCs/>
          <w:sz w:val="24"/>
          <w:szCs w:val="24"/>
          <w:lang w:val="fr-FR"/>
        </w:rPr>
        <w:t>et demande également des éclaircissements en ce qui concerne l’application par l’</w:t>
      </w:r>
      <w:r w:rsidR="00AE5ACB" w:rsidRPr="009006A4">
        <w:rPr>
          <w:bCs/>
          <w:sz w:val="24"/>
          <w:szCs w:val="24"/>
          <w:lang w:val="fr-FR"/>
        </w:rPr>
        <w:t>AEWA</w:t>
      </w:r>
      <w:r w:rsidR="003707A0">
        <w:rPr>
          <w:bCs/>
          <w:sz w:val="24"/>
          <w:szCs w:val="24"/>
          <w:lang w:val="fr-FR"/>
        </w:rPr>
        <w:t xml:space="preserve"> du barème d’évaluation de l’ONU</w:t>
      </w:r>
      <w:r w:rsidR="00DD712F" w:rsidRPr="009006A4">
        <w:rPr>
          <w:bCs/>
          <w:sz w:val="24"/>
          <w:szCs w:val="24"/>
          <w:lang w:val="fr-FR"/>
        </w:rPr>
        <w:t>.</w:t>
      </w:r>
      <w:r w:rsidR="00AE5ACB" w:rsidRPr="009006A4">
        <w:rPr>
          <w:bCs/>
          <w:sz w:val="24"/>
          <w:szCs w:val="24"/>
          <w:lang w:val="fr-FR"/>
        </w:rPr>
        <w:t xml:space="preserve"> </w:t>
      </w:r>
      <w:r w:rsidR="003707A0">
        <w:rPr>
          <w:bCs/>
          <w:sz w:val="24"/>
          <w:szCs w:val="24"/>
          <w:lang w:val="fr-FR"/>
        </w:rPr>
        <w:t>Pour la France, une priorité budgétaire serait d’assurer le financement de la traduction intégrale de la documentation de la</w:t>
      </w:r>
      <w:r w:rsidR="00507372" w:rsidRPr="009006A4">
        <w:rPr>
          <w:bCs/>
          <w:sz w:val="24"/>
          <w:szCs w:val="24"/>
          <w:lang w:val="fr-FR"/>
        </w:rPr>
        <w:t xml:space="preserve"> </w:t>
      </w:r>
      <w:r w:rsidR="00AE5ACB" w:rsidRPr="009006A4">
        <w:rPr>
          <w:bCs/>
          <w:sz w:val="24"/>
          <w:szCs w:val="24"/>
          <w:lang w:val="fr-FR"/>
        </w:rPr>
        <w:t>MOP</w:t>
      </w:r>
      <w:r w:rsidR="00507372" w:rsidRPr="009006A4">
        <w:rPr>
          <w:bCs/>
          <w:sz w:val="24"/>
          <w:szCs w:val="24"/>
          <w:lang w:val="fr-FR"/>
        </w:rPr>
        <w:t xml:space="preserve">, </w:t>
      </w:r>
      <w:r w:rsidR="000451FC">
        <w:rPr>
          <w:bCs/>
          <w:sz w:val="24"/>
          <w:szCs w:val="24"/>
          <w:lang w:val="fr-FR"/>
        </w:rPr>
        <w:t>comme le prévoit le règlement intérieur</w:t>
      </w:r>
      <w:r w:rsidR="00507372" w:rsidRPr="009006A4">
        <w:rPr>
          <w:bCs/>
          <w:sz w:val="24"/>
          <w:szCs w:val="24"/>
          <w:lang w:val="fr-FR"/>
        </w:rPr>
        <w:t>.</w:t>
      </w:r>
    </w:p>
    <w:p w14:paraId="76644486" w14:textId="4C990CBA" w:rsidR="00F41E1B" w:rsidRPr="009006A4" w:rsidRDefault="00F41E1B" w:rsidP="00714211">
      <w:pPr>
        <w:jc w:val="both"/>
        <w:rPr>
          <w:bCs/>
          <w:sz w:val="24"/>
          <w:szCs w:val="24"/>
          <w:lang w:val="fr-FR"/>
        </w:rPr>
      </w:pPr>
    </w:p>
    <w:p w14:paraId="268A18DC" w14:textId="38438B72" w:rsidR="00AE5ACB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10</w:t>
      </w:r>
      <w:r w:rsidR="00681A35" w:rsidRPr="009006A4">
        <w:rPr>
          <w:bCs/>
          <w:sz w:val="24"/>
          <w:szCs w:val="24"/>
          <w:lang w:val="fr-FR"/>
        </w:rPr>
        <w:t xml:space="preserve">. </w:t>
      </w:r>
      <w:r w:rsidR="000451FC">
        <w:rPr>
          <w:bCs/>
          <w:sz w:val="24"/>
          <w:szCs w:val="24"/>
          <w:lang w:val="fr-FR"/>
        </w:rPr>
        <w:t>Le</w:t>
      </w:r>
      <w:r w:rsidR="00AE5ACB" w:rsidRPr="009006A4">
        <w:rPr>
          <w:bCs/>
          <w:sz w:val="24"/>
          <w:szCs w:val="24"/>
          <w:lang w:val="fr-FR"/>
        </w:rPr>
        <w:t xml:space="preserve"> </w:t>
      </w:r>
      <w:r w:rsidR="000451FC">
        <w:rPr>
          <w:b/>
          <w:sz w:val="24"/>
          <w:szCs w:val="24"/>
          <w:lang w:val="fr-FR"/>
        </w:rPr>
        <w:t>Secrétaire e</w:t>
      </w:r>
      <w:r w:rsidR="00AE5ACB" w:rsidRPr="009006A4">
        <w:rPr>
          <w:b/>
          <w:sz w:val="24"/>
          <w:szCs w:val="24"/>
          <w:lang w:val="fr-FR"/>
        </w:rPr>
        <w:t>x</w:t>
      </w:r>
      <w:r w:rsidR="000451FC">
        <w:rPr>
          <w:b/>
          <w:sz w:val="24"/>
          <w:szCs w:val="24"/>
          <w:lang w:val="fr-FR"/>
        </w:rPr>
        <w:t>é</w:t>
      </w:r>
      <w:r w:rsidR="00AE5ACB" w:rsidRPr="009006A4">
        <w:rPr>
          <w:b/>
          <w:sz w:val="24"/>
          <w:szCs w:val="24"/>
          <w:lang w:val="fr-FR"/>
        </w:rPr>
        <w:t>cuti</w:t>
      </w:r>
      <w:r w:rsidR="000451FC">
        <w:rPr>
          <w:b/>
          <w:sz w:val="24"/>
          <w:szCs w:val="24"/>
          <w:lang w:val="fr-FR"/>
        </w:rPr>
        <w:t>f</w:t>
      </w:r>
      <w:r w:rsidR="00AE5ACB" w:rsidRPr="009006A4">
        <w:rPr>
          <w:bCs/>
          <w:sz w:val="24"/>
          <w:szCs w:val="24"/>
          <w:lang w:val="fr-FR"/>
        </w:rPr>
        <w:t xml:space="preserve"> expl</w:t>
      </w:r>
      <w:r w:rsidR="000451FC">
        <w:rPr>
          <w:bCs/>
          <w:sz w:val="24"/>
          <w:szCs w:val="24"/>
          <w:lang w:val="fr-FR"/>
        </w:rPr>
        <w:t>ique</w:t>
      </w:r>
      <w:r w:rsidR="00AE5ACB" w:rsidRPr="009006A4">
        <w:rPr>
          <w:bCs/>
          <w:sz w:val="24"/>
          <w:szCs w:val="24"/>
          <w:lang w:val="fr-FR"/>
        </w:rPr>
        <w:t xml:space="preserve"> </w:t>
      </w:r>
      <w:r w:rsidR="000451FC">
        <w:rPr>
          <w:bCs/>
          <w:sz w:val="24"/>
          <w:szCs w:val="24"/>
          <w:lang w:val="fr-FR"/>
        </w:rPr>
        <w:t>que l’actuel barème d’évaluation de l’ONU</w:t>
      </w:r>
      <w:r w:rsidR="00252828" w:rsidRPr="009006A4">
        <w:rPr>
          <w:bCs/>
          <w:sz w:val="24"/>
          <w:szCs w:val="24"/>
          <w:lang w:val="fr-FR"/>
        </w:rPr>
        <w:t xml:space="preserve"> 2022-2024</w:t>
      </w:r>
      <w:r w:rsidR="00AE5ACB" w:rsidRPr="009006A4">
        <w:rPr>
          <w:bCs/>
          <w:sz w:val="24"/>
          <w:szCs w:val="24"/>
          <w:lang w:val="fr-FR"/>
        </w:rPr>
        <w:t xml:space="preserve"> </w:t>
      </w:r>
      <w:r w:rsidR="000451FC">
        <w:rPr>
          <w:bCs/>
          <w:sz w:val="24"/>
          <w:szCs w:val="24"/>
          <w:lang w:val="fr-FR"/>
        </w:rPr>
        <w:t>avait été appliqué en utilisant les critères mentionnés dans le</w:t>
      </w:r>
      <w:r w:rsidR="00252828" w:rsidRPr="009006A4">
        <w:rPr>
          <w:bCs/>
          <w:sz w:val="24"/>
          <w:szCs w:val="24"/>
          <w:lang w:val="fr-FR"/>
        </w:rPr>
        <w:t xml:space="preserve"> document</w:t>
      </w:r>
      <w:r w:rsidR="00AE5ACB" w:rsidRPr="009006A4">
        <w:rPr>
          <w:bCs/>
          <w:sz w:val="24"/>
          <w:szCs w:val="24"/>
          <w:lang w:val="fr-FR"/>
        </w:rPr>
        <w:t xml:space="preserve">. </w:t>
      </w:r>
      <w:r w:rsidR="000451FC">
        <w:rPr>
          <w:bCs/>
          <w:sz w:val="24"/>
          <w:szCs w:val="24"/>
          <w:lang w:val="fr-FR"/>
        </w:rPr>
        <w:t>En ce qui concerne  la traduction des documents</w:t>
      </w:r>
      <w:r w:rsidR="00AE5ACB" w:rsidRPr="009006A4">
        <w:rPr>
          <w:bCs/>
          <w:sz w:val="24"/>
          <w:szCs w:val="24"/>
          <w:lang w:val="fr-FR"/>
        </w:rPr>
        <w:t xml:space="preserve">, </w:t>
      </w:r>
      <w:r w:rsidR="000451FC">
        <w:rPr>
          <w:bCs/>
          <w:sz w:val="24"/>
          <w:szCs w:val="24"/>
          <w:lang w:val="fr-FR"/>
        </w:rPr>
        <w:t xml:space="preserve">il fait remarquer qu’il </w:t>
      </w:r>
      <w:r w:rsidR="00E94F53">
        <w:rPr>
          <w:bCs/>
          <w:sz w:val="24"/>
          <w:szCs w:val="24"/>
          <w:lang w:val="fr-FR"/>
        </w:rPr>
        <w:t>est</w:t>
      </w:r>
      <w:r w:rsidR="000451FC">
        <w:rPr>
          <w:bCs/>
          <w:sz w:val="24"/>
          <w:szCs w:val="24"/>
          <w:lang w:val="fr-FR"/>
        </w:rPr>
        <w:t xml:space="preserve"> beaucoup plus facile d’obtenir des</w:t>
      </w:r>
      <w:r w:rsidR="00AE5ACB" w:rsidRPr="009006A4">
        <w:rPr>
          <w:bCs/>
          <w:sz w:val="24"/>
          <w:szCs w:val="24"/>
          <w:lang w:val="fr-FR"/>
        </w:rPr>
        <w:t xml:space="preserve"> contributions </w:t>
      </w:r>
      <w:r w:rsidR="000451FC">
        <w:rPr>
          <w:bCs/>
          <w:sz w:val="24"/>
          <w:szCs w:val="24"/>
          <w:lang w:val="fr-FR"/>
        </w:rPr>
        <w:t xml:space="preserve">volontaires supplémentaires pour des postes </w:t>
      </w:r>
      <w:r w:rsidR="00E94F53">
        <w:rPr>
          <w:bCs/>
          <w:sz w:val="24"/>
          <w:szCs w:val="24"/>
          <w:lang w:val="fr-FR"/>
        </w:rPr>
        <w:t xml:space="preserve">de dépenses </w:t>
      </w:r>
      <w:r w:rsidR="000451FC">
        <w:rPr>
          <w:bCs/>
          <w:sz w:val="24"/>
          <w:szCs w:val="24"/>
          <w:lang w:val="fr-FR"/>
        </w:rPr>
        <w:t>tels que la</w:t>
      </w:r>
      <w:r w:rsidR="00AE5ACB" w:rsidRPr="009006A4">
        <w:rPr>
          <w:bCs/>
          <w:sz w:val="24"/>
          <w:szCs w:val="24"/>
          <w:lang w:val="fr-FR"/>
        </w:rPr>
        <w:t xml:space="preserve"> tra</w:t>
      </w:r>
      <w:r w:rsidR="000451FC">
        <w:rPr>
          <w:bCs/>
          <w:sz w:val="24"/>
          <w:szCs w:val="24"/>
          <w:lang w:val="fr-FR"/>
        </w:rPr>
        <w:t>duction que pour les frais de personnel</w:t>
      </w:r>
      <w:r w:rsidR="00681A35" w:rsidRPr="009006A4">
        <w:rPr>
          <w:bCs/>
          <w:sz w:val="24"/>
          <w:szCs w:val="24"/>
          <w:lang w:val="fr-FR"/>
        </w:rPr>
        <w:t>.</w:t>
      </w:r>
    </w:p>
    <w:p w14:paraId="7D274C8F" w14:textId="67B10667" w:rsidR="00FF5001" w:rsidRPr="009006A4" w:rsidRDefault="00FF5001" w:rsidP="00714211">
      <w:pPr>
        <w:jc w:val="both"/>
        <w:rPr>
          <w:bCs/>
          <w:sz w:val="24"/>
          <w:szCs w:val="24"/>
          <w:lang w:val="fr-FR"/>
        </w:rPr>
      </w:pPr>
    </w:p>
    <w:p w14:paraId="0D4F9262" w14:textId="5AE8F237" w:rsidR="00FF5001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11.</w:t>
      </w:r>
      <w:r w:rsidR="000451FC">
        <w:rPr>
          <w:bCs/>
          <w:sz w:val="24"/>
          <w:szCs w:val="24"/>
          <w:lang w:val="fr-FR"/>
        </w:rPr>
        <w:t xml:space="preserve"> La</w:t>
      </w:r>
      <w:r w:rsidRPr="009006A4">
        <w:rPr>
          <w:bCs/>
          <w:sz w:val="24"/>
          <w:szCs w:val="24"/>
          <w:lang w:val="fr-FR"/>
        </w:rPr>
        <w:t xml:space="preserve"> </w:t>
      </w:r>
      <w:r w:rsidR="00FF5001" w:rsidRPr="009006A4">
        <w:rPr>
          <w:b/>
          <w:sz w:val="24"/>
          <w:szCs w:val="24"/>
          <w:lang w:val="fr-FR"/>
        </w:rPr>
        <w:t>Finland</w:t>
      </w:r>
      <w:r w:rsidR="000451FC">
        <w:rPr>
          <w:b/>
          <w:sz w:val="24"/>
          <w:szCs w:val="24"/>
          <w:lang w:val="fr-FR"/>
        </w:rPr>
        <w:t>e</w:t>
      </w:r>
      <w:r w:rsidR="00681A35" w:rsidRPr="009006A4">
        <w:rPr>
          <w:bCs/>
          <w:sz w:val="24"/>
          <w:szCs w:val="24"/>
          <w:lang w:val="fr-FR"/>
        </w:rPr>
        <w:t xml:space="preserve"> </w:t>
      </w:r>
      <w:r w:rsidR="000451FC">
        <w:rPr>
          <w:bCs/>
          <w:sz w:val="24"/>
          <w:szCs w:val="24"/>
          <w:lang w:val="fr-FR"/>
        </w:rPr>
        <w:t>se dit préoccupée par la</w:t>
      </w:r>
      <w:r w:rsidR="00FF5001" w:rsidRPr="009006A4">
        <w:rPr>
          <w:bCs/>
          <w:sz w:val="24"/>
          <w:szCs w:val="24"/>
          <w:lang w:val="fr-FR"/>
        </w:rPr>
        <w:t xml:space="preserve"> cap</w:t>
      </w:r>
      <w:r w:rsidR="00681A35" w:rsidRPr="009006A4">
        <w:rPr>
          <w:bCs/>
          <w:sz w:val="24"/>
          <w:szCs w:val="24"/>
          <w:lang w:val="fr-FR"/>
        </w:rPr>
        <w:t>a</w:t>
      </w:r>
      <w:r w:rsidR="00FF5001" w:rsidRPr="009006A4">
        <w:rPr>
          <w:bCs/>
          <w:sz w:val="24"/>
          <w:szCs w:val="24"/>
          <w:lang w:val="fr-FR"/>
        </w:rPr>
        <w:t>cit</w:t>
      </w:r>
      <w:r w:rsidR="000451FC">
        <w:rPr>
          <w:bCs/>
          <w:sz w:val="24"/>
          <w:szCs w:val="24"/>
          <w:lang w:val="fr-FR"/>
        </w:rPr>
        <w:t>é du</w:t>
      </w:r>
      <w:r w:rsidR="00FF5001" w:rsidRPr="009006A4">
        <w:rPr>
          <w:bCs/>
          <w:sz w:val="24"/>
          <w:szCs w:val="24"/>
          <w:lang w:val="fr-FR"/>
        </w:rPr>
        <w:t xml:space="preserve"> Sec</w:t>
      </w:r>
      <w:r w:rsidR="003C2D99" w:rsidRPr="009006A4">
        <w:rPr>
          <w:bCs/>
          <w:sz w:val="24"/>
          <w:szCs w:val="24"/>
          <w:lang w:val="fr-FR"/>
        </w:rPr>
        <w:t>r</w:t>
      </w:r>
      <w:r w:rsidR="000451FC">
        <w:rPr>
          <w:bCs/>
          <w:sz w:val="24"/>
          <w:szCs w:val="24"/>
          <w:lang w:val="fr-FR"/>
        </w:rPr>
        <w:t>é</w:t>
      </w:r>
      <w:r w:rsidR="00681A35" w:rsidRPr="009006A4">
        <w:rPr>
          <w:bCs/>
          <w:sz w:val="24"/>
          <w:szCs w:val="24"/>
          <w:lang w:val="fr-FR"/>
        </w:rPr>
        <w:t xml:space="preserve">tariat </w:t>
      </w:r>
      <w:r w:rsidR="000451FC">
        <w:rPr>
          <w:bCs/>
          <w:sz w:val="24"/>
          <w:szCs w:val="24"/>
          <w:lang w:val="fr-FR"/>
        </w:rPr>
        <w:t>et déclare que sa priorité absolue est d’assurer une amélioration de cette</w:t>
      </w:r>
      <w:r w:rsidR="00FF5001" w:rsidRPr="009006A4">
        <w:rPr>
          <w:bCs/>
          <w:sz w:val="24"/>
          <w:szCs w:val="24"/>
          <w:lang w:val="fr-FR"/>
        </w:rPr>
        <w:t xml:space="preserve"> situation. </w:t>
      </w:r>
      <w:r w:rsidR="000451FC">
        <w:rPr>
          <w:bCs/>
          <w:sz w:val="24"/>
          <w:szCs w:val="24"/>
          <w:lang w:val="fr-FR"/>
        </w:rPr>
        <w:t xml:space="preserve">La </w:t>
      </w:r>
      <w:r w:rsidR="00681A35" w:rsidRPr="009006A4">
        <w:rPr>
          <w:bCs/>
          <w:sz w:val="24"/>
          <w:szCs w:val="24"/>
          <w:lang w:val="fr-FR"/>
        </w:rPr>
        <w:t>Finland</w:t>
      </w:r>
      <w:r w:rsidR="000451FC">
        <w:rPr>
          <w:bCs/>
          <w:sz w:val="24"/>
          <w:szCs w:val="24"/>
          <w:lang w:val="fr-FR"/>
        </w:rPr>
        <w:t>e pourrait soutenir</w:t>
      </w:r>
      <w:r w:rsidR="00681A35" w:rsidRPr="009006A4">
        <w:rPr>
          <w:bCs/>
          <w:sz w:val="24"/>
          <w:szCs w:val="24"/>
          <w:lang w:val="fr-FR"/>
        </w:rPr>
        <w:t xml:space="preserve"> </w:t>
      </w:r>
      <w:r w:rsidR="002E2FB3">
        <w:rPr>
          <w:bCs/>
          <w:sz w:val="24"/>
          <w:szCs w:val="24"/>
          <w:lang w:val="fr-FR"/>
        </w:rPr>
        <w:t>une augmentation globale à un niveau proche du</w:t>
      </w:r>
      <w:r w:rsidR="00FF5001" w:rsidRPr="009006A4">
        <w:rPr>
          <w:bCs/>
          <w:sz w:val="24"/>
          <w:szCs w:val="24"/>
          <w:lang w:val="fr-FR"/>
        </w:rPr>
        <w:t xml:space="preserve"> </w:t>
      </w:r>
      <w:r w:rsidR="00681A35" w:rsidRPr="009006A4">
        <w:rPr>
          <w:bCs/>
          <w:sz w:val="24"/>
          <w:szCs w:val="24"/>
          <w:lang w:val="fr-FR"/>
        </w:rPr>
        <w:t>S</w:t>
      </w:r>
      <w:r w:rsidR="00FF5001" w:rsidRPr="009006A4">
        <w:rPr>
          <w:bCs/>
          <w:sz w:val="24"/>
          <w:szCs w:val="24"/>
          <w:lang w:val="fr-FR"/>
        </w:rPr>
        <w:t>c</w:t>
      </w:r>
      <w:r w:rsidR="002E2FB3">
        <w:rPr>
          <w:bCs/>
          <w:sz w:val="24"/>
          <w:szCs w:val="24"/>
          <w:lang w:val="fr-FR"/>
        </w:rPr>
        <w:t>é</w:t>
      </w:r>
      <w:r w:rsidR="00FF5001" w:rsidRPr="009006A4">
        <w:rPr>
          <w:bCs/>
          <w:sz w:val="24"/>
          <w:szCs w:val="24"/>
          <w:lang w:val="fr-FR"/>
        </w:rPr>
        <w:t xml:space="preserve">nario 3, </w:t>
      </w:r>
      <w:r w:rsidR="002E2FB3">
        <w:rPr>
          <w:bCs/>
          <w:sz w:val="24"/>
          <w:szCs w:val="24"/>
          <w:lang w:val="fr-FR"/>
        </w:rPr>
        <w:t>mais pas avec les éléments exacts actuellement inclus dans ce</w:t>
      </w:r>
      <w:r w:rsidR="00681A35" w:rsidRPr="009006A4">
        <w:rPr>
          <w:bCs/>
          <w:sz w:val="24"/>
          <w:szCs w:val="24"/>
          <w:lang w:val="fr-FR"/>
        </w:rPr>
        <w:t xml:space="preserve"> </w:t>
      </w:r>
      <w:r w:rsidR="00A55AA0" w:rsidRPr="009006A4">
        <w:rPr>
          <w:bCs/>
          <w:sz w:val="24"/>
          <w:szCs w:val="24"/>
          <w:lang w:val="fr-FR"/>
        </w:rPr>
        <w:t>s</w:t>
      </w:r>
      <w:r w:rsidR="00681A35" w:rsidRPr="009006A4">
        <w:rPr>
          <w:bCs/>
          <w:sz w:val="24"/>
          <w:szCs w:val="24"/>
          <w:lang w:val="fr-FR"/>
        </w:rPr>
        <w:t>c</w:t>
      </w:r>
      <w:r w:rsidR="002E2FB3">
        <w:rPr>
          <w:bCs/>
          <w:sz w:val="24"/>
          <w:szCs w:val="24"/>
          <w:lang w:val="fr-FR"/>
        </w:rPr>
        <w:t>é</w:t>
      </w:r>
      <w:r w:rsidR="00681A35" w:rsidRPr="009006A4">
        <w:rPr>
          <w:bCs/>
          <w:sz w:val="24"/>
          <w:szCs w:val="24"/>
          <w:lang w:val="fr-FR"/>
        </w:rPr>
        <w:t>nario</w:t>
      </w:r>
      <w:r w:rsidR="00FF5001" w:rsidRPr="009006A4">
        <w:rPr>
          <w:bCs/>
          <w:sz w:val="24"/>
          <w:szCs w:val="24"/>
          <w:lang w:val="fr-FR"/>
        </w:rPr>
        <w:t xml:space="preserve">. </w:t>
      </w:r>
      <w:r w:rsidR="002E2FB3">
        <w:rPr>
          <w:bCs/>
          <w:sz w:val="24"/>
          <w:szCs w:val="24"/>
          <w:lang w:val="fr-FR"/>
        </w:rPr>
        <w:t>Comme pour l’Allemagne</w:t>
      </w:r>
      <w:r w:rsidR="00A55AA0" w:rsidRPr="009006A4">
        <w:rPr>
          <w:bCs/>
          <w:sz w:val="24"/>
          <w:szCs w:val="24"/>
          <w:lang w:val="fr-FR"/>
        </w:rPr>
        <w:t xml:space="preserve">, </w:t>
      </w:r>
      <w:r w:rsidR="002E2FB3">
        <w:rPr>
          <w:bCs/>
          <w:sz w:val="24"/>
          <w:szCs w:val="24"/>
          <w:lang w:val="fr-FR"/>
        </w:rPr>
        <w:t>le financement du poste de Responsable des espèces est clairement une priorité pour la</w:t>
      </w:r>
      <w:r w:rsidR="00FF5001" w:rsidRPr="009006A4">
        <w:rPr>
          <w:bCs/>
          <w:sz w:val="24"/>
          <w:szCs w:val="24"/>
          <w:lang w:val="fr-FR"/>
        </w:rPr>
        <w:t xml:space="preserve"> </w:t>
      </w:r>
      <w:r w:rsidR="00681A35" w:rsidRPr="009006A4">
        <w:rPr>
          <w:bCs/>
          <w:sz w:val="24"/>
          <w:szCs w:val="24"/>
          <w:lang w:val="fr-FR"/>
        </w:rPr>
        <w:t>Finland</w:t>
      </w:r>
      <w:r w:rsidR="002E2FB3">
        <w:rPr>
          <w:bCs/>
          <w:sz w:val="24"/>
          <w:szCs w:val="24"/>
          <w:lang w:val="fr-FR"/>
        </w:rPr>
        <w:t>e</w:t>
      </w:r>
      <w:r w:rsidR="00FF5001" w:rsidRPr="009006A4">
        <w:rPr>
          <w:bCs/>
          <w:sz w:val="24"/>
          <w:szCs w:val="24"/>
          <w:lang w:val="fr-FR"/>
        </w:rPr>
        <w:t>.</w:t>
      </w:r>
    </w:p>
    <w:p w14:paraId="084DB687" w14:textId="28600999" w:rsidR="00FF5001" w:rsidRPr="009006A4" w:rsidRDefault="00FF5001" w:rsidP="00714211">
      <w:pPr>
        <w:jc w:val="both"/>
        <w:rPr>
          <w:bCs/>
          <w:sz w:val="24"/>
          <w:szCs w:val="24"/>
          <w:lang w:val="fr-FR"/>
        </w:rPr>
      </w:pPr>
    </w:p>
    <w:p w14:paraId="075D0109" w14:textId="7427F10A" w:rsidR="00FF5001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12.</w:t>
      </w:r>
      <w:r w:rsidR="002E2FB3">
        <w:rPr>
          <w:bCs/>
          <w:sz w:val="24"/>
          <w:szCs w:val="24"/>
          <w:lang w:val="fr-FR"/>
        </w:rPr>
        <w:t xml:space="preserve"> L’</w:t>
      </w:r>
      <w:r w:rsidR="002E2FB3" w:rsidRPr="002E2FB3">
        <w:rPr>
          <w:b/>
          <w:sz w:val="24"/>
          <w:szCs w:val="24"/>
          <w:lang w:val="fr-FR"/>
        </w:rPr>
        <w:t>Ou</w:t>
      </w:r>
      <w:r w:rsidR="00FF5001" w:rsidRPr="009006A4">
        <w:rPr>
          <w:b/>
          <w:sz w:val="24"/>
          <w:szCs w:val="24"/>
          <w:lang w:val="fr-FR"/>
        </w:rPr>
        <w:t>ganda</w:t>
      </w:r>
      <w:r w:rsidR="00A55AA0" w:rsidRPr="009006A4">
        <w:rPr>
          <w:bCs/>
          <w:sz w:val="24"/>
          <w:szCs w:val="24"/>
          <w:lang w:val="fr-FR"/>
        </w:rPr>
        <w:t xml:space="preserve"> </w:t>
      </w:r>
      <w:r w:rsidR="00FF5001" w:rsidRPr="009006A4">
        <w:rPr>
          <w:bCs/>
          <w:sz w:val="24"/>
          <w:szCs w:val="24"/>
          <w:lang w:val="fr-FR"/>
        </w:rPr>
        <w:t>(</w:t>
      </w:r>
      <w:r w:rsidR="002E2FB3">
        <w:rPr>
          <w:bCs/>
          <w:sz w:val="24"/>
          <w:szCs w:val="24"/>
          <w:lang w:val="fr-FR"/>
        </w:rPr>
        <w:t>v</w:t>
      </w:r>
      <w:r w:rsidR="00FF5001" w:rsidRPr="009006A4">
        <w:rPr>
          <w:bCs/>
          <w:sz w:val="24"/>
          <w:szCs w:val="24"/>
          <w:lang w:val="fr-FR"/>
        </w:rPr>
        <w:t>ice</w:t>
      </w:r>
      <w:r w:rsidR="001D395C" w:rsidRPr="009006A4">
        <w:rPr>
          <w:bCs/>
          <w:sz w:val="24"/>
          <w:szCs w:val="24"/>
          <w:lang w:val="fr-FR"/>
        </w:rPr>
        <w:t>-</w:t>
      </w:r>
      <w:r w:rsidR="002E2FB3">
        <w:rPr>
          <w:bCs/>
          <w:sz w:val="24"/>
          <w:szCs w:val="24"/>
          <w:lang w:val="fr-FR"/>
        </w:rPr>
        <w:t>président</w:t>
      </w:r>
      <w:r w:rsidR="00FF5001" w:rsidRPr="009006A4">
        <w:rPr>
          <w:bCs/>
          <w:sz w:val="24"/>
          <w:szCs w:val="24"/>
          <w:lang w:val="fr-FR"/>
        </w:rPr>
        <w:t xml:space="preserve">) </w:t>
      </w:r>
      <w:r w:rsidR="002E2FB3">
        <w:rPr>
          <w:bCs/>
          <w:sz w:val="24"/>
          <w:szCs w:val="24"/>
          <w:lang w:val="fr-FR"/>
        </w:rPr>
        <w:t>remercie les</w:t>
      </w:r>
      <w:r w:rsidR="001D395C" w:rsidRPr="009006A4">
        <w:rPr>
          <w:bCs/>
          <w:sz w:val="24"/>
          <w:szCs w:val="24"/>
          <w:lang w:val="fr-FR"/>
        </w:rPr>
        <w:t xml:space="preserve"> </w:t>
      </w:r>
      <w:r w:rsidR="00FF5001" w:rsidRPr="009006A4">
        <w:rPr>
          <w:bCs/>
          <w:sz w:val="24"/>
          <w:szCs w:val="24"/>
          <w:lang w:val="fr-FR"/>
        </w:rPr>
        <w:t>P</w:t>
      </w:r>
      <w:r w:rsidR="00681A35" w:rsidRPr="009006A4">
        <w:rPr>
          <w:bCs/>
          <w:sz w:val="24"/>
          <w:szCs w:val="24"/>
          <w:lang w:val="fr-FR"/>
        </w:rPr>
        <w:t>artie</w:t>
      </w:r>
      <w:r w:rsidR="00FF5001" w:rsidRPr="009006A4">
        <w:rPr>
          <w:bCs/>
          <w:sz w:val="24"/>
          <w:szCs w:val="24"/>
          <w:lang w:val="fr-FR"/>
        </w:rPr>
        <w:t xml:space="preserve">s </w:t>
      </w:r>
      <w:r w:rsidR="002E2FB3">
        <w:rPr>
          <w:bCs/>
          <w:sz w:val="24"/>
          <w:szCs w:val="24"/>
          <w:lang w:val="fr-FR"/>
        </w:rPr>
        <w:t xml:space="preserve">qui ont déjà généreusement contribué aux efforts de </w:t>
      </w:r>
      <w:r w:rsidR="00681A35" w:rsidRPr="009006A4">
        <w:rPr>
          <w:bCs/>
          <w:sz w:val="24"/>
          <w:szCs w:val="24"/>
          <w:lang w:val="fr-FR"/>
        </w:rPr>
        <w:t xml:space="preserve">conservation </w:t>
      </w:r>
      <w:r w:rsidR="002E2FB3">
        <w:rPr>
          <w:bCs/>
          <w:sz w:val="24"/>
          <w:szCs w:val="24"/>
          <w:lang w:val="fr-FR"/>
        </w:rPr>
        <w:t>des oiseaux d’eau migrateurs</w:t>
      </w:r>
      <w:r w:rsidR="00681A35" w:rsidRPr="009006A4">
        <w:rPr>
          <w:bCs/>
          <w:sz w:val="24"/>
          <w:szCs w:val="24"/>
          <w:lang w:val="fr-FR"/>
        </w:rPr>
        <w:t>.</w:t>
      </w:r>
      <w:r w:rsidR="00FF5001" w:rsidRPr="009006A4">
        <w:rPr>
          <w:bCs/>
          <w:sz w:val="24"/>
          <w:szCs w:val="24"/>
          <w:lang w:val="fr-FR"/>
        </w:rPr>
        <w:t xml:space="preserve"> </w:t>
      </w:r>
      <w:r w:rsidR="002E2FB3">
        <w:rPr>
          <w:bCs/>
          <w:sz w:val="24"/>
          <w:szCs w:val="24"/>
          <w:lang w:val="fr-FR"/>
        </w:rPr>
        <w:t>Les déclarations faites jusqu’à présent</w:t>
      </w:r>
      <w:r w:rsidR="001D395C" w:rsidRPr="009006A4">
        <w:rPr>
          <w:bCs/>
          <w:sz w:val="24"/>
          <w:szCs w:val="24"/>
          <w:lang w:val="fr-FR"/>
        </w:rPr>
        <w:t xml:space="preserve"> </w:t>
      </w:r>
      <w:r w:rsidR="002E2FB3">
        <w:rPr>
          <w:bCs/>
          <w:sz w:val="24"/>
          <w:szCs w:val="24"/>
          <w:lang w:val="fr-FR"/>
        </w:rPr>
        <w:t xml:space="preserve">montrent clairement </w:t>
      </w:r>
      <w:r w:rsidR="004C7BD2">
        <w:rPr>
          <w:bCs/>
          <w:sz w:val="24"/>
          <w:szCs w:val="24"/>
          <w:lang w:val="fr-FR"/>
        </w:rPr>
        <w:t xml:space="preserve">que les Parties font toujours preuve de </w:t>
      </w:r>
      <w:r w:rsidR="002E2FB3">
        <w:rPr>
          <w:bCs/>
          <w:sz w:val="24"/>
          <w:szCs w:val="24"/>
          <w:lang w:val="fr-FR"/>
        </w:rPr>
        <w:t xml:space="preserve">bonne volonté </w:t>
      </w:r>
      <w:r w:rsidR="004C7BD2">
        <w:rPr>
          <w:bCs/>
          <w:sz w:val="24"/>
          <w:szCs w:val="24"/>
          <w:lang w:val="fr-FR"/>
        </w:rPr>
        <w:t>pour continuer à soutenir la</w:t>
      </w:r>
      <w:r w:rsidR="001D395C" w:rsidRPr="009006A4">
        <w:rPr>
          <w:bCs/>
          <w:sz w:val="24"/>
          <w:szCs w:val="24"/>
          <w:lang w:val="fr-FR"/>
        </w:rPr>
        <w:t xml:space="preserve"> cause</w:t>
      </w:r>
      <w:r w:rsidR="004C7BD2">
        <w:rPr>
          <w:bCs/>
          <w:sz w:val="24"/>
          <w:szCs w:val="24"/>
          <w:lang w:val="fr-FR"/>
        </w:rPr>
        <w:t>, malgré une période économique difficile</w:t>
      </w:r>
      <w:r w:rsidR="001D395C" w:rsidRPr="009006A4">
        <w:rPr>
          <w:bCs/>
          <w:sz w:val="24"/>
          <w:szCs w:val="24"/>
          <w:lang w:val="fr-FR"/>
        </w:rPr>
        <w:t>.</w:t>
      </w:r>
      <w:r w:rsidR="004720DA" w:rsidRPr="009006A4">
        <w:rPr>
          <w:bCs/>
          <w:sz w:val="24"/>
          <w:szCs w:val="24"/>
          <w:lang w:val="fr-FR"/>
        </w:rPr>
        <w:t xml:space="preserve"> </w:t>
      </w:r>
      <w:r w:rsidR="004C7BD2">
        <w:rPr>
          <w:bCs/>
          <w:sz w:val="24"/>
          <w:szCs w:val="24"/>
          <w:lang w:val="fr-FR"/>
        </w:rPr>
        <w:t>La</w:t>
      </w:r>
      <w:r w:rsidR="004720DA" w:rsidRPr="009006A4">
        <w:rPr>
          <w:bCs/>
          <w:sz w:val="24"/>
          <w:szCs w:val="24"/>
          <w:lang w:val="fr-FR"/>
        </w:rPr>
        <w:t xml:space="preserve"> c</w:t>
      </w:r>
      <w:r w:rsidR="001D395C" w:rsidRPr="009006A4">
        <w:rPr>
          <w:bCs/>
          <w:sz w:val="24"/>
          <w:szCs w:val="24"/>
          <w:lang w:val="fr-FR"/>
        </w:rPr>
        <w:t>ap</w:t>
      </w:r>
      <w:r w:rsidR="004720DA" w:rsidRPr="009006A4">
        <w:rPr>
          <w:bCs/>
          <w:sz w:val="24"/>
          <w:szCs w:val="24"/>
          <w:lang w:val="fr-FR"/>
        </w:rPr>
        <w:t>acit</w:t>
      </w:r>
      <w:r w:rsidR="004C7BD2">
        <w:rPr>
          <w:bCs/>
          <w:sz w:val="24"/>
          <w:szCs w:val="24"/>
          <w:lang w:val="fr-FR"/>
        </w:rPr>
        <w:t>é</w:t>
      </w:r>
      <w:r w:rsidR="001D395C" w:rsidRPr="009006A4">
        <w:rPr>
          <w:bCs/>
          <w:sz w:val="24"/>
          <w:szCs w:val="24"/>
          <w:lang w:val="fr-FR"/>
        </w:rPr>
        <w:t xml:space="preserve"> </w:t>
      </w:r>
      <w:r w:rsidR="004C7BD2">
        <w:rPr>
          <w:bCs/>
          <w:sz w:val="24"/>
          <w:szCs w:val="24"/>
          <w:lang w:val="fr-FR"/>
        </w:rPr>
        <w:t>des</w:t>
      </w:r>
      <w:r w:rsidR="001D395C" w:rsidRPr="009006A4">
        <w:rPr>
          <w:bCs/>
          <w:sz w:val="24"/>
          <w:szCs w:val="24"/>
          <w:lang w:val="fr-FR"/>
        </w:rPr>
        <w:t xml:space="preserve"> P</w:t>
      </w:r>
      <w:r w:rsidR="004720DA" w:rsidRPr="009006A4">
        <w:rPr>
          <w:bCs/>
          <w:sz w:val="24"/>
          <w:szCs w:val="24"/>
          <w:lang w:val="fr-FR"/>
        </w:rPr>
        <w:t>artie</w:t>
      </w:r>
      <w:r w:rsidR="001D395C" w:rsidRPr="009006A4">
        <w:rPr>
          <w:bCs/>
          <w:sz w:val="24"/>
          <w:szCs w:val="24"/>
          <w:lang w:val="fr-FR"/>
        </w:rPr>
        <w:t xml:space="preserve">s </w:t>
      </w:r>
      <w:r w:rsidR="004C7BD2">
        <w:rPr>
          <w:bCs/>
          <w:sz w:val="24"/>
          <w:szCs w:val="24"/>
          <w:lang w:val="fr-FR"/>
        </w:rPr>
        <w:t>africaines</w:t>
      </w:r>
      <w:r w:rsidR="001D395C" w:rsidRPr="009006A4">
        <w:rPr>
          <w:bCs/>
          <w:sz w:val="24"/>
          <w:szCs w:val="24"/>
          <w:lang w:val="fr-FR"/>
        </w:rPr>
        <w:t xml:space="preserve"> </w:t>
      </w:r>
      <w:r w:rsidR="004C7BD2">
        <w:rPr>
          <w:bCs/>
          <w:sz w:val="24"/>
          <w:szCs w:val="24"/>
          <w:lang w:val="fr-FR"/>
        </w:rPr>
        <w:t xml:space="preserve">à apporter une contribution </w:t>
      </w:r>
      <w:r w:rsidR="001D395C" w:rsidRPr="009006A4">
        <w:rPr>
          <w:bCs/>
          <w:sz w:val="24"/>
          <w:szCs w:val="24"/>
          <w:lang w:val="fr-FR"/>
        </w:rPr>
        <w:t>financi</w:t>
      </w:r>
      <w:r w:rsidR="004C7BD2">
        <w:rPr>
          <w:bCs/>
          <w:sz w:val="24"/>
          <w:szCs w:val="24"/>
          <w:lang w:val="fr-FR"/>
        </w:rPr>
        <w:t>ère est assez limitée</w:t>
      </w:r>
      <w:r w:rsidR="001D395C" w:rsidRPr="009006A4">
        <w:rPr>
          <w:bCs/>
          <w:sz w:val="24"/>
          <w:szCs w:val="24"/>
          <w:lang w:val="fr-FR"/>
        </w:rPr>
        <w:t xml:space="preserve">, </w:t>
      </w:r>
      <w:r w:rsidR="004C7BD2">
        <w:rPr>
          <w:bCs/>
          <w:sz w:val="24"/>
          <w:szCs w:val="24"/>
          <w:lang w:val="fr-FR"/>
        </w:rPr>
        <w:t>pourtant, leur</w:t>
      </w:r>
      <w:r w:rsidR="00A55AA0" w:rsidRPr="009006A4">
        <w:rPr>
          <w:bCs/>
          <w:sz w:val="24"/>
          <w:szCs w:val="24"/>
          <w:lang w:val="fr-FR"/>
        </w:rPr>
        <w:t xml:space="preserve"> </w:t>
      </w:r>
      <w:r w:rsidR="001D395C" w:rsidRPr="009006A4">
        <w:rPr>
          <w:bCs/>
          <w:sz w:val="24"/>
          <w:szCs w:val="24"/>
          <w:lang w:val="fr-FR"/>
        </w:rPr>
        <w:t>participation</w:t>
      </w:r>
      <w:r w:rsidR="004720DA" w:rsidRPr="009006A4">
        <w:rPr>
          <w:bCs/>
          <w:sz w:val="24"/>
          <w:szCs w:val="24"/>
          <w:lang w:val="fr-FR"/>
        </w:rPr>
        <w:t xml:space="preserve"> </w:t>
      </w:r>
      <w:r w:rsidR="004C7BD2">
        <w:rPr>
          <w:bCs/>
          <w:sz w:val="24"/>
          <w:szCs w:val="24"/>
          <w:lang w:val="fr-FR"/>
        </w:rPr>
        <w:t>active à la mise en œuvre de l’Accord est essentielle</w:t>
      </w:r>
      <w:r w:rsidR="001D395C" w:rsidRPr="009006A4">
        <w:rPr>
          <w:bCs/>
          <w:sz w:val="24"/>
          <w:szCs w:val="24"/>
          <w:lang w:val="fr-FR"/>
        </w:rPr>
        <w:t xml:space="preserve">. </w:t>
      </w:r>
      <w:r w:rsidR="004C7BD2">
        <w:rPr>
          <w:bCs/>
          <w:sz w:val="24"/>
          <w:szCs w:val="24"/>
          <w:lang w:val="fr-FR"/>
        </w:rPr>
        <w:t>Il semble que l’on se dirige grosso-modo vers le</w:t>
      </w:r>
      <w:r w:rsidR="001D395C" w:rsidRPr="009006A4">
        <w:rPr>
          <w:bCs/>
          <w:sz w:val="24"/>
          <w:szCs w:val="24"/>
          <w:lang w:val="fr-FR"/>
        </w:rPr>
        <w:t xml:space="preserve"> </w:t>
      </w:r>
      <w:r w:rsidR="00E94F53">
        <w:rPr>
          <w:bCs/>
          <w:sz w:val="24"/>
          <w:szCs w:val="24"/>
          <w:lang w:val="fr-FR"/>
        </w:rPr>
        <w:t xml:space="preserve">niveau du </w:t>
      </w:r>
      <w:r w:rsidR="001D395C" w:rsidRPr="009006A4">
        <w:rPr>
          <w:bCs/>
          <w:sz w:val="24"/>
          <w:szCs w:val="24"/>
          <w:lang w:val="fr-FR"/>
        </w:rPr>
        <w:t>Sc</w:t>
      </w:r>
      <w:r w:rsidR="004C7BD2">
        <w:rPr>
          <w:bCs/>
          <w:sz w:val="24"/>
          <w:szCs w:val="24"/>
          <w:lang w:val="fr-FR"/>
        </w:rPr>
        <w:t>é</w:t>
      </w:r>
      <w:r w:rsidR="001D395C" w:rsidRPr="009006A4">
        <w:rPr>
          <w:bCs/>
          <w:sz w:val="24"/>
          <w:szCs w:val="24"/>
          <w:lang w:val="fr-FR"/>
        </w:rPr>
        <w:t xml:space="preserve">nario 3, </w:t>
      </w:r>
      <w:r w:rsidR="004C7BD2">
        <w:rPr>
          <w:bCs/>
          <w:sz w:val="24"/>
          <w:szCs w:val="24"/>
          <w:lang w:val="fr-FR"/>
        </w:rPr>
        <w:t>que la région africaine apprécie énormément</w:t>
      </w:r>
      <w:r w:rsidR="004720DA" w:rsidRPr="009006A4">
        <w:rPr>
          <w:bCs/>
          <w:sz w:val="24"/>
          <w:szCs w:val="24"/>
          <w:lang w:val="fr-FR"/>
        </w:rPr>
        <w:t xml:space="preserve">, </w:t>
      </w:r>
      <w:r w:rsidR="004C7BD2">
        <w:rPr>
          <w:bCs/>
          <w:sz w:val="24"/>
          <w:szCs w:val="24"/>
          <w:lang w:val="fr-FR"/>
        </w:rPr>
        <w:t>mais il y a aussi des</w:t>
      </w:r>
      <w:r w:rsidR="004720DA" w:rsidRPr="009006A4">
        <w:rPr>
          <w:bCs/>
          <w:sz w:val="24"/>
          <w:szCs w:val="24"/>
          <w:lang w:val="fr-FR"/>
        </w:rPr>
        <w:t xml:space="preserve"> indications </w:t>
      </w:r>
      <w:r w:rsidR="004C7BD2">
        <w:rPr>
          <w:bCs/>
          <w:sz w:val="24"/>
          <w:szCs w:val="24"/>
          <w:lang w:val="fr-FR"/>
        </w:rPr>
        <w:t>selon lesquelles les spécificités contenues dans ce</w:t>
      </w:r>
      <w:r w:rsidR="00A55AA0" w:rsidRPr="009006A4">
        <w:rPr>
          <w:bCs/>
          <w:sz w:val="24"/>
          <w:szCs w:val="24"/>
          <w:lang w:val="fr-FR"/>
        </w:rPr>
        <w:t xml:space="preserve"> sc</w:t>
      </w:r>
      <w:r w:rsidR="004C7BD2">
        <w:rPr>
          <w:bCs/>
          <w:sz w:val="24"/>
          <w:szCs w:val="24"/>
          <w:lang w:val="fr-FR"/>
        </w:rPr>
        <w:t>é</w:t>
      </w:r>
      <w:r w:rsidR="00A55AA0" w:rsidRPr="009006A4">
        <w:rPr>
          <w:bCs/>
          <w:sz w:val="24"/>
          <w:szCs w:val="24"/>
          <w:lang w:val="fr-FR"/>
        </w:rPr>
        <w:t xml:space="preserve">nario </w:t>
      </w:r>
      <w:r w:rsidR="004C7BD2">
        <w:rPr>
          <w:bCs/>
          <w:sz w:val="24"/>
          <w:szCs w:val="24"/>
          <w:lang w:val="fr-FR"/>
        </w:rPr>
        <w:t>devraient être adaptées</w:t>
      </w:r>
      <w:r w:rsidR="001D395C" w:rsidRPr="009006A4">
        <w:rPr>
          <w:bCs/>
          <w:sz w:val="24"/>
          <w:szCs w:val="24"/>
          <w:lang w:val="fr-FR"/>
        </w:rPr>
        <w:t xml:space="preserve">. </w:t>
      </w:r>
      <w:r w:rsidR="004C7BD2">
        <w:rPr>
          <w:bCs/>
          <w:sz w:val="24"/>
          <w:szCs w:val="24"/>
          <w:lang w:val="fr-FR"/>
        </w:rPr>
        <w:t>Il est nécessaire de discuter</w:t>
      </w:r>
      <w:r w:rsidR="001D395C" w:rsidRPr="009006A4">
        <w:rPr>
          <w:bCs/>
          <w:sz w:val="24"/>
          <w:szCs w:val="24"/>
          <w:lang w:val="fr-FR"/>
        </w:rPr>
        <w:t xml:space="preserve"> </w:t>
      </w:r>
      <w:r w:rsidR="004C7BD2">
        <w:rPr>
          <w:bCs/>
          <w:sz w:val="24"/>
          <w:szCs w:val="24"/>
          <w:lang w:val="fr-FR"/>
        </w:rPr>
        <w:t xml:space="preserve">et de trouver une </w:t>
      </w:r>
      <w:r w:rsidR="00C15CEC">
        <w:rPr>
          <w:bCs/>
          <w:sz w:val="24"/>
          <w:szCs w:val="24"/>
          <w:lang w:val="fr-FR"/>
        </w:rPr>
        <w:t>solution pratique</w:t>
      </w:r>
      <w:r w:rsidR="001D395C" w:rsidRPr="009006A4">
        <w:rPr>
          <w:bCs/>
          <w:sz w:val="24"/>
          <w:szCs w:val="24"/>
          <w:lang w:val="fr-FR"/>
        </w:rPr>
        <w:t xml:space="preserve">. </w:t>
      </w:r>
      <w:r w:rsidR="00C15CEC">
        <w:rPr>
          <w:bCs/>
          <w:sz w:val="24"/>
          <w:szCs w:val="24"/>
          <w:lang w:val="fr-FR"/>
        </w:rPr>
        <w:t>Il semble que le</w:t>
      </w:r>
      <w:r w:rsidR="004720DA" w:rsidRPr="009006A4">
        <w:rPr>
          <w:bCs/>
          <w:sz w:val="24"/>
          <w:szCs w:val="24"/>
          <w:lang w:val="fr-FR"/>
        </w:rPr>
        <w:t xml:space="preserve"> </w:t>
      </w:r>
      <w:r w:rsidR="001D395C" w:rsidRPr="009006A4">
        <w:rPr>
          <w:bCs/>
          <w:sz w:val="24"/>
          <w:szCs w:val="24"/>
          <w:lang w:val="fr-FR"/>
        </w:rPr>
        <w:t>Sc</w:t>
      </w:r>
      <w:r w:rsidR="00C15CEC">
        <w:rPr>
          <w:bCs/>
          <w:sz w:val="24"/>
          <w:szCs w:val="24"/>
          <w:lang w:val="fr-FR"/>
        </w:rPr>
        <w:t>é</w:t>
      </w:r>
      <w:r w:rsidR="001D395C" w:rsidRPr="009006A4">
        <w:rPr>
          <w:bCs/>
          <w:sz w:val="24"/>
          <w:szCs w:val="24"/>
          <w:lang w:val="fr-FR"/>
        </w:rPr>
        <w:t xml:space="preserve">nario </w:t>
      </w:r>
      <w:r w:rsidR="004720DA" w:rsidRPr="009006A4">
        <w:rPr>
          <w:bCs/>
          <w:sz w:val="24"/>
          <w:szCs w:val="24"/>
          <w:lang w:val="fr-FR"/>
        </w:rPr>
        <w:t xml:space="preserve">1 </w:t>
      </w:r>
      <w:r w:rsidR="00C15CEC">
        <w:rPr>
          <w:bCs/>
          <w:sz w:val="24"/>
          <w:szCs w:val="24"/>
          <w:lang w:val="fr-FR"/>
        </w:rPr>
        <w:t>ne puisse pas apporter le changement que mérite l’Accord</w:t>
      </w:r>
      <w:r w:rsidR="001D395C" w:rsidRPr="009006A4">
        <w:rPr>
          <w:bCs/>
          <w:sz w:val="24"/>
          <w:szCs w:val="24"/>
          <w:lang w:val="fr-FR"/>
        </w:rPr>
        <w:t xml:space="preserve"> </w:t>
      </w:r>
      <w:r w:rsidR="00C15CEC">
        <w:rPr>
          <w:bCs/>
          <w:sz w:val="24"/>
          <w:szCs w:val="24"/>
          <w:lang w:val="fr-FR"/>
        </w:rPr>
        <w:t>et que son retrait peut donc être envisagé</w:t>
      </w:r>
      <w:r w:rsidR="004720DA" w:rsidRPr="009006A4">
        <w:rPr>
          <w:bCs/>
          <w:sz w:val="24"/>
          <w:szCs w:val="24"/>
          <w:lang w:val="fr-FR"/>
        </w:rPr>
        <w:t>.</w:t>
      </w:r>
      <w:r w:rsidR="001D395C" w:rsidRPr="009006A4">
        <w:rPr>
          <w:bCs/>
          <w:sz w:val="24"/>
          <w:szCs w:val="24"/>
          <w:lang w:val="fr-FR"/>
        </w:rPr>
        <w:t xml:space="preserve"> </w:t>
      </w:r>
      <w:r w:rsidR="00C15CEC">
        <w:rPr>
          <w:bCs/>
          <w:sz w:val="24"/>
          <w:szCs w:val="24"/>
          <w:lang w:val="fr-FR"/>
        </w:rPr>
        <w:t>L’accent devrait être mis</w:t>
      </w:r>
      <w:r w:rsidR="004720DA" w:rsidRPr="009006A4">
        <w:rPr>
          <w:bCs/>
          <w:sz w:val="24"/>
          <w:szCs w:val="24"/>
          <w:lang w:val="fr-FR"/>
        </w:rPr>
        <w:t xml:space="preserve"> </w:t>
      </w:r>
      <w:r w:rsidR="00C15CEC">
        <w:rPr>
          <w:bCs/>
          <w:sz w:val="24"/>
          <w:szCs w:val="24"/>
          <w:lang w:val="fr-FR"/>
        </w:rPr>
        <w:t xml:space="preserve">sur une </w:t>
      </w:r>
      <w:r w:rsidR="004720DA" w:rsidRPr="009006A4">
        <w:rPr>
          <w:bCs/>
          <w:sz w:val="24"/>
          <w:szCs w:val="24"/>
          <w:lang w:val="fr-FR"/>
        </w:rPr>
        <w:t>proposition</w:t>
      </w:r>
      <w:r w:rsidR="00C15CEC">
        <w:rPr>
          <w:bCs/>
          <w:sz w:val="24"/>
          <w:szCs w:val="24"/>
          <w:lang w:val="fr-FR"/>
        </w:rPr>
        <w:t xml:space="preserve"> tournée vers l’avenir</w:t>
      </w:r>
      <w:r w:rsidR="001D395C" w:rsidRPr="009006A4">
        <w:rPr>
          <w:bCs/>
          <w:sz w:val="24"/>
          <w:szCs w:val="24"/>
          <w:lang w:val="fr-FR"/>
        </w:rPr>
        <w:t>.</w:t>
      </w:r>
    </w:p>
    <w:p w14:paraId="3042CCB4" w14:textId="0DB3E87D" w:rsidR="001D395C" w:rsidRPr="009006A4" w:rsidRDefault="001D395C" w:rsidP="00714211">
      <w:pPr>
        <w:jc w:val="both"/>
        <w:rPr>
          <w:bCs/>
          <w:sz w:val="24"/>
          <w:szCs w:val="24"/>
          <w:lang w:val="fr-FR"/>
        </w:rPr>
      </w:pPr>
    </w:p>
    <w:p w14:paraId="49EAC7BF" w14:textId="3F5DC9B8" w:rsidR="001D395C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13.</w:t>
      </w:r>
      <w:r w:rsidR="00C15CEC">
        <w:rPr>
          <w:bCs/>
          <w:sz w:val="24"/>
          <w:szCs w:val="24"/>
          <w:lang w:val="fr-FR"/>
        </w:rPr>
        <w:t xml:space="preserve"> La</w:t>
      </w:r>
      <w:r w:rsidRPr="009006A4">
        <w:rPr>
          <w:bCs/>
          <w:sz w:val="24"/>
          <w:szCs w:val="24"/>
          <w:lang w:val="fr-FR"/>
        </w:rPr>
        <w:t xml:space="preserve"> </w:t>
      </w:r>
      <w:r w:rsidR="001D395C" w:rsidRPr="009006A4">
        <w:rPr>
          <w:b/>
          <w:sz w:val="24"/>
          <w:szCs w:val="24"/>
          <w:lang w:val="fr-FR"/>
        </w:rPr>
        <w:t>Nor</w:t>
      </w:r>
      <w:r w:rsidR="00C15CEC">
        <w:rPr>
          <w:b/>
          <w:sz w:val="24"/>
          <w:szCs w:val="24"/>
          <w:lang w:val="fr-FR"/>
        </w:rPr>
        <w:t>vège</w:t>
      </w:r>
      <w:r w:rsidR="004720DA" w:rsidRPr="009006A4">
        <w:rPr>
          <w:bCs/>
          <w:sz w:val="24"/>
          <w:szCs w:val="24"/>
          <w:lang w:val="fr-FR"/>
        </w:rPr>
        <w:t xml:space="preserve"> </w:t>
      </w:r>
      <w:r w:rsidR="00C15CEC">
        <w:rPr>
          <w:bCs/>
          <w:sz w:val="24"/>
          <w:szCs w:val="24"/>
          <w:lang w:val="fr-FR"/>
        </w:rPr>
        <w:t>remercie le</w:t>
      </w:r>
      <w:r w:rsidR="00461A1C" w:rsidRPr="009006A4">
        <w:rPr>
          <w:bCs/>
          <w:sz w:val="24"/>
          <w:szCs w:val="24"/>
          <w:lang w:val="fr-FR"/>
        </w:rPr>
        <w:t xml:space="preserve"> Sec</w:t>
      </w:r>
      <w:r w:rsidR="00D72A42" w:rsidRPr="009006A4">
        <w:rPr>
          <w:bCs/>
          <w:sz w:val="24"/>
          <w:szCs w:val="24"/>
          <w:lang w:val="fr-FR"/>
        </w:rPr>
        <w:t>r</w:t>
      </w:r>
      <w:r w:rsidR="00C15CEC">
        <w:rPr>
          <w:bCs/>
          <w:sz w:val="24"/>
          <w:szCs w:val="24"/>
          <w:lang w:val="fr-FR"/>
        </w:rPr>
        <w:t>é</w:t>
      </w:r>
      <w:r w:rsidR="00D72A42" w:rsidRPr="009006A4">
        <w:rPr>
          <w:bCs/>
          <w:sz w:val="24"/>
          <w:szCs w:val="24"/>
          <w:lang w:val="fr-FR"/>
        </w:rPr>
        <w:t>taria</w:t>
      </w:r>
      <w:r w:rsidR="00461A1C" w:rsidRPr="009006A4">
        <w:rPr>
          <w:bCs/>
          <w:sz w:val="24"/>
          <w:szCs w:val="24"/>
          <w:lang w:val="fr-FR"/>
        </w:rPr>
        <w:t xml:space="preserve">t </w:t>
      </w:r>
      <w:r w:rsidR="00C15CEC">
        <w:rPr>
          <w:bCs/>
          <w:sz w:val="24"/>
          <w:szCs w:val="24"/>
          <w:lang w:val="fr-FR"/>
        </w:rPr>
        <w:t>pour son travail acharné</w:t>
      </w:r>
      <w:r w:rsidR="00461A1C" w:rsidRPr="009006A4">
        <w:rPr>
          <w:bCs/>
          <w:sz w:val="24"/>
          <w:szCs w:val="24"/>
          <w:lang w:val="fr-FR"/>
        </w:rPr>
        <w:t xml:space="preserve"> </w:t>
      </w:r>
      <w:r w:rsidR="00C15CEC">
        <w:rPr>
          <w:bCs/>
          <w:sz w:val="24"/>
          <w:szCs w:val="24"/>
          <w:lang w:val="fr-FR"/>
        </w:rPr>
        <w:t>et ses</w:t>
      </w:r>
      <w:r w:rsidR="00461A1C" w:rsidRPr="009006A4">
        <w:rPr>
          <w:bCs/>
          <w:sz w:val="24"/>
          <w:szCs w:val="24"/>
          <w:lang w:val="fr-FR"/>
        </w:rPr>
        <w:t xml:space="preserve"> </w:t>
      </w:r>
      <w:r w:rsidR="00D72A42" w:rsidRPr="009006A4">
        <w:rPr>
          <w:bCs/>
          <w:sz w:val="24"/>
          <w:szCs w:val="24"/>
          <w:lang w:val="fr-FR"/>
        </w:rPr>
        <w:t>efforts</w:t>
      </w:r>
      <w:r w:rsidR="00461A1C" w:rsidRPr="009006A4">
        <w:rPr>
          <w:bCs/>
          <w:sz w:val="24"/>
          <w:szCs w:val="24"/>
          <w:lang w:val="fr-FR"/>
        </w:rPr>
        <w:t xml:space="preserve"> </w:t>
      </w:r>
      <w:r w:rsidR="00794EF1">
        <w:rPr>
          <w:bCs/>
          <w:sz w:val="24"/>
          <w:szCs w:val="24"/>
          <w:lang w:val="fr-FR"/>
        </w:rPr>
        <w:t>dans la mise en œuvre de l’</w:t>
      </w:r>
      <w:r w:rsidR="00461A1C" w:rsidRPr="009006A4">
        <w:rPr>
          <w:bCs/>
          <w:sz w:val="24"/>
          <w:szCs w:val="24"/>
          <w:lang w:val="fr-FR"/>
        </w:rPr>
        <w:t>A</w:t>
      </w:r>
      <w:r w:rsidR="00794EF1">
        <w:rPr>
          <w:bCs/>
          <w:sz w:val="24"/>
          <w:szCs w:val="24"/>
          <w:lang w:val="fr-FR"/>
        </w:rPr>
        <w:t>ccord</w:t>
      </w:r>
      <w:r w:rsidR="00783776" w:rsidRPr="009006A4">
        <w:rPr>
          <w:bCs/>
          <w:sz w:val="24"/>
          <w:szCs w:val="24"/>
          <w:lang w:val="fr-FR"/>
        </w:rPr>
        <w:t xml:space="preserve">. </w:t>
      </w:r>
      <w:r w:rsidR="00794EF1">
        <w:rPr>
          <w:bCs/>
          <w:sz w:val="24"/>
          <w:szCs w:val="24"/>
          <w:lang w:val="fr-FR"/>
        </w:rPr>
        <w:t xml:space="preserve">Le </w:t>
      </w:r>
      <w:r w:rsidR="00461A1C" w:rsidRPr="009006A4">
        <w:rPr>
          <w:bCs/>
          <w:sz w:val="24"/>
          <w:szCs w:val="24"/>
          <w:lang w:val="fr-FR"/>
        </w:rPr>
        <w:t>Sc</w:t>
      </w:r>
      <w:r w:rsidR="00794EF1">
        <w:rPr>
          <w:bCs/>
          <w:sz w:val="24"/>
          <w:szCs w:val="24"/>
          <w:lang w:val="fr-FR"/>
        </w:rPr>
        <w:t>é</w:t>
      </w:r>
      <w:r w:rsidR="00461A1C" w:rsidRPr="009006A4">
        <w:rPr>
          <w:bCs/>
          <w:sz w:val="24"/>
          <w:szCs w:val="24"/>
          <w:lang w:val="fr-FR"/>
        </w:rPr>
        <w:t xml:space="preserve">nario 1 </w:t>
      </w:r>
      <w:r w:rsidR="00794EF1">
        <w:rPr>
          <w:bCs/>
          <w:sz w:val="24"/>
          <w:szCs w:val="24"/>
          <w:lang w:val="fr-FR"/>
        </w:rPr>
        <w:t>est</w:t>
      </w:r>
      <w:r w:rsidR="00461A1C" w:rsidRPr="009006A4">
        <w:rPr>
          <w:bCs/>
          <w:sz w:val="24"/>
          <w:szCs w:val="24"/>
          <w:lang w:val="fr-FR"/>
        </w:rPr>
        <w:t xml:space="preserve"> </w:t>
      </w:r>
      <w:r w:rsidR="00794EF1">
        <w:rPr>
          <w:bCs/>
          <w:sz w:val="24"/>
          <w:szCs w:val="24"/>
          <w:lang w:val="fr-FR"/>
        </w:rPr>
        <w:t>i</w:t>
      </w:r>
      <w:r w:rsidR="00461A1C" w:rsidRPr="009006A4">
        <w:rPr>
          <w:bCs/>
          <w:sz w:val="24"/>
          <w:szCs w:val="24"/>
          <w:lang w:val="fr-FR"/>
        </w:rPr>
        <w:t>ntenable</w:t>
      </w:r>
      <w:r w:rsidR="00783776" w:rsidRPr="009006A4">
        <w:rPr>
          <w:bCs/>
          <w:sz w:val="24"/>
          <w:szCs w:val="24"/>
          <w:lang w:val="fr-FR"/>
        </w:rPr>
        <w:t xml:space="preserve"> </w:t>
      </w:r>
      <w:r w:rsidR="00794EF1">
        <w:rPr>
          <w:bCs/>
          <w:sz w:val="24"/>
          <w:szCs w:val="24"/>
          <w:lang w:val="fr-FR"/>
        </w:rPr>
        <w:t xml:space="preserve">et le </w:t>
      </w:r>
      <w:r w:rsidR="00461A1C" w:rsidRPr="009006A4">
        <w:rPr>
          <w:bCs/>
          <w:sz w:val="24"/>
          <w:szCs w:val="24"/>
          <w:lang w:val="fr-FR"/>
        </w:rPr>
        <w:t>Sc</w:t>
      </w:r>
      <w:r w:rsidR="00794EF1">
        <w:rPr>
          <w:bCs/>
          <w:sz w:val="24"/>
          <w:szCs w:val="24"/>
          <w:lang w:val="fr-FR"/>
        </w:rPr>
        <w:t>é</w:t>
      </w:r>
      <w:r w:rsidR="00461A1C" w:rsidRPr="009006A4">
        <w:rPr>
          <w:bCs/>
          <w:sz w:val="24"/>
          <w:szCs w:val="24"/>
          <w:lang w:val="fr-FR"/>
        </w:rPr>
        <w:t xml:space="preserve">nario 2 </w:t>
      </w:r>
      <w:r w:rsidR="00794EF1">
        <w:rPr>
          <w:bCs/>
          <w:sz w:val="24"/>
          <w:szCs w:val="24"/>
          <w:lang w:val="fr-FR"/>
        </w:rPr>
        <w:t>est considéré comme un</w:t>
      </w:r>
      <w:r w:rsidR="00461A1C" w:rsidRPr="009006A4">
        <w:rPr>
          <w:bCs/>
          <w:sz w:val="24"/>
          <w:szCs w:val="24"/>
          <w:lang w:val="fr-FR"/>
        </w:rPr>
        <w:t xml:space="preserve"> minimum. </w:t>
      </w:r>
      <w:r w:rsidR="00794EF1">
        <w:rPr>
          <w:bCs/>
          <w:sz w:val="24"/>
          <w:szCs w:val="24"/>
          <w:lang w:val="fr-FR"/>
        </w:rPr>
        <w:t>En termes de priorité</w:t>
      </w:r>
      <w:r w:rsidR="00783776" w:rsidRPr="009006A4">
        <w:rPr>
          <w:bCs/>
          <w:sz w:val="24"/>
          <w:szCs w:val="24"/>
          <w:lang w:val="fr-FR"/>
        </w:rPr>
        <w:t xml:space="preserve">, </w:t>
      </w:r>
      <w:r w:rsidR="00794EF1">
        <w:rPr>
          <w:bCs/>
          <w:sz w:val="24"/>
          <w:szCs w:val="24"/>
          <w:lang w:val="fr-FR"/>
        </w:rPr>
        <w:t xml:space="preserve">la </w:t>
      </w:r>
      <w:r w:rsidR="00783776" w:rsidRPr="009006A4">
        <w:rPr>
          <w:bCs/>
          <w:sz w:val="24"/>
          <w:szCs w:val="24"/>
          <w:lang w:val="fr-FR"/>
        </w:rPr>
        <w:t>Nor</w:t>
      </w:r>
      <w:r w:rsidR="00794EF1">
        <w:rPr>
          <w:bCs/>
          <w:sz w:val="24"/>
          <w:szCs w:val="24"/>
          <w:lang w:val="fr-FR"/>
        </w:rPr>
        <w:t>vège</w:t>
      </w:r>
      <w:r w:rsidR="00783776" w:rsidRPr="009006A4">
        <w:rPr>
          <w:bCs/>
          <w:sz w:val="24"/>
          <w:szCs w:val="24"/>
          <w:lang w:val="fr-FR"/>
        </w:rPr>
        <w:t xml:space="preserve"> </w:t>
      </w:r>
      <w:r w:rsidR="00794EF1">
        <w:rPr>
          <w:bCs/>
          <w:sz w:val="24"/>
          <w:szCs w:val="24"/>
          <w:lang w:val="fr-FR"/>
        </w:rPr>
        <w:t xml:space="preserve">considère que l’augmentation de la capacité du </w:t>
      </w:r>
      <w:r w:rsidR="00393E8F" w:rsidRPr="009006A4">
        <w:rPr>
          <w:bCs/>
          <w:sz w:val="24"/>
          <w:szCs w:val="24"/>
          <w:lang w:val="fr-FR"/>
        </w:rPr>
        <w:t>Sec</w:t>
      </w:r>
      <w:r w:rsidR="00783776" w:rsidRPr="009006A4">
        <w:rPr>
          <w:bCs/>
          <w:sz w:val="24"/>
          <w:szCs w:val="24"/>
          <w:lang w:val="fr-FR"/>
        </w:rPr>
        <w:t>r</w:t>
      </w:r>
      <w:r w:rsidR="00794EF1">
        <w:rPr>
          <w:bCs/>
          <w:sz w:val="24"/>
          <w:szCs w:val="24"/>
          <w:lang w:val="fr-FR"/>
        </w:rPr>
        <w:t>é</w:t>
      </w:r>
      <w:r w:rsidR="00783776" w:rsidRPr="009006A4">
        <w:rPr>
          <w:bCs/>
          <w:sz w:val="24"/>
          <w:szCs w:val="24"/>
          <w:lang w:val="fr-FR"/>
        </w:rPr>
        <w:t>taria</w:t>
      </w:r>
      <w:r w:rsidR="00393E8F" w:rsidRPr="009006A4">
        <w:rPr>
          <w:bCs/>
          <w:sz w:val="24"/>
          <w:szCs w:val="24"/>
          <w:lang w:val="fr-FR"/>
        </w:rPr>
        <w:t xml:space="preserve">t </w:t>
      </w:r>
      <w:r w:rsidR="00794EF1">
        <w:rPr>
          <w:bCs/>
          <w:sz w:val="24"/>
          <w:szCs w:val="24"/>
          <w:lang w:val="fr-FR"/>
        </w:rPr>
        <w:t>est</w:t>
      </w:r>
      <w:r w:rsidR="00393E8F" w:rsidRPr="009006A4">
        <w:rPr>
          <w:bCs/>
          <w:sz w:val="24"/>
          <w:szCs w:val="24"/>
          <w:lang w:val="fr-FR"/>
        </w:rPr>
        <w:t xml:space="preserve"> important</w:t>
      </w:r>
      <w:r w:rsidR="00794EF1">
        <w:rPr>
          <w:bCs/>
          <w:sz w:val="24"/>
          <w:szCs w:val="24"/>
          <w:lang w:val="fr-FR"/>
        </w:rPr>
        <w:t>e</w:t>
      </w:r>
      <w:r w:rsidR="00783776" w:rsidRPr="009006A4">
        <w:rPr>
          <w:bCs/>
          <w:sz w:val="24"/>
          <w:szCs w:val="24"/>
          <w:lang w:val="fr-FR"/>
        </w:rPr>
        <w:t xml:space="preserve">, </w:t>
      </w:r>
      <w:r w:rsidR="00794EF1">
        <w:rPr>
          <w:bCs/>
          <w:sz w:val="24"/>
          <w:szCs w:val="24"/>
          <w:lang w:val="fr-FR"/>
        </w:rPr>
        <w:t>mais qu’il y a de la place pour de la flexibilité</w:t>
      </w:r>
      <w:r w:rsidR="00393E8F" w:rsidRPr="009006A4">
        <w:rPr>
          <w:bCs/>
          <w:sz w:val="24"/>
          <w:szCs w:val="24"/>
          <w:lang w:val="fr-FR"/>
        </w:rPr>
        <w:t>.</w:t>
      </w:r>
    </w:p>
    <w:p w14:paraId="6F3869BA" w14:textId="3AC8449E" w:rsidR="00393E8F" w:rsidRPr="009006A4" w:rsidRDefault="00393E8F" w:rsidP="00714211">
      <w:pPr>
        <w:jc w:val="both"/>
        <w:rPr>
          <w:bCs/>
          <w:sz w:val="24"/>
          <w:szCs w:val="24"/>
          <w:lang w:val="fr-FR"/>
        </w:rPr>
      </w:pPr>
    </w:p>
    <w:p w14:paraId="55B7192D" w14:textId="026E82D0" w:rsidR="00393E8F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14.</w:t>
      </w:r>
      <w:r w:rsidR="00794EF1">
        <w:rPr>
          <w:bCs/>
          <w:sz w:val="24"/>
          <w:szCs w:val="24"/>
          <w:lang w:val="fr-FR"/>
        </w:rPr>
        <w:t xml:space="preserve"> L’</w:t>
      </w:r>
      <w:r w:rsidR="00393E8F" w:rsidRPr="009006A4">
        <w:rPr>
          <w:b/>
          <w:sz w:val="24"/>
          <w:szCs w:val="24"/>
          <w:lang w:val="fr-FR"/>
        </w:rPr>
        <w:t>Ital</w:t>
      </w:r>
      <w:r w:rsidR="00794EF1">
        <w:rPr>
          <w:b/>
          <w:sz w:val="24"/>
          <w:szCs w:val="24"/>
          <w:lang w:val="fr-FR"/>
        </w:rPr>
        <w:t>ie</w:t>
      </w:r>
      <w:r w:rsidR="00393E8F" w:rsidRPr="009006A4">
        <w:rPr>
          <w:bCs/>
          <w:sz w:val="24"/>
          <w:szCs w:val="24"/>
          <w:lang w:val="fr-FR"/>
        </w:rPr>
        <w:t xml:space="preserve"> </w:t>
      </w:r>
      <w:r w:rsidR="00794EF1">
        <w:rPr>
          <w:bCs/>
          <w:sz w:val="24"/>
          <w:szCs w:val="24"/>
          <w:lang w:val="fr-FR"/>
        </w:rPr>
        <w:t>remercie le</w:t>
      </w:r>
      <w:r w:rsidR="00393E8F" w:rsidRPr="009006A4">
        <w:rPr>
          <w:bCs/>
          <w:sz w:val="24"/>
          <w:szCs w:val="24"/>
          <w:lang w:val="fr-FR"/>
        </w:rPr>
        <w:t xml:space="preserve"> Secr</w:t>
      </w:r>
      <w:r w:rsidR="00794EF1">
        <w:rPr>
          <w:bCs/>
          <w:sz w:val="24"/>
          <w:szCs w:val="24"/>
          <w:lang w:val="fr-FR"/>
        </w:rPr>
        <w:t>é</w:t>
      </w:r>
      <w:r w:rsidR="00393E8F" w:rsidRPr="009006A4">
        <w:rPr>
          <w:bCs/>
          <w:sz w:val="24"/>
          <w:szCs w:val="24"/>
          <w:lang w:val="fr-FR"/>
        </w:rPr>
        <w:t xml:space="preserve">tariat </w:t>
      </w:r>
      <w:r w:rsidR="00794EF1">
        <w:rPr>
          <w:bCs/>
          <w:sz w:val="24"/>
          <w:szCs w:val="24"/>
          <w:lang w:val="fr-FR"/>
        </w:rPr>
        <w:t>pour la</w:t>
      </w:r>
      <w:r w:rsidR="00393E8F" w:rsidRPr="009006A4">
        <w:rPr>
          <w:bCs/>
          <w:sz w:val="24"/>
          <w:szCs w:val="24"/>
          <w:lang w:val="fr-FR"/>
        </w:rPr>
        <w:t xml:space="preserve"> pr</w:t>
      </w:r>
      <w:r w:rsidR="00794EF1">
        <w:rPr>
          <w:bCs/>
          <w:sz w:val="24"/>
          <w:szCs w:val="24"/>
          <w:lang w:val="fr-FR"/>
        </w:rPr>
        <w:t>é</w:t>
      </w:r>
      <w:r w:rsidR="00393E8F" w:rsidRPr="009006A4">
        <w:rPr>
          <w:bCs/>
          <w:sz w:val="24"/>
          <w:szCs w:val="24"/>
          <w:lang w:val="fr-FR"/>
        </w:rPr>
        <w:t>sent</w:t>
      </w:r>
      <w:r w:rsidR="00794EF1">
        <w:rPr>
          <w:bCs/>
          <w:sz w:val="24"/>
          <w:szCs w:val="24"/>
          <w:lang w:val="fr-FR"/>
        </w:rPr>
        <w:t>ation des quatre</w:t>
      </w:r>
      <w:r w:rsidR="00393E8F" w:rsidRPr="009006A4">
        <w:rPr>
          <w:bCs/>
          <w:sz w:val="24"/>
          <w:szCs w:val="24"/>
          <w:lang w:val="fr-FR"/>
        </w:rPr>
        <w:t xml:space="preserve"> sc</w:t>
      </w:r>
      <w:r w:rsidR="00794EF1">
        <w:rPr>
          <w:bCs/>
          <w:sz w:val="24"/>
          <w:szCs w:val="24"/>
          <w:lang w:val="fr-FR"/>
        </w:rPr>
        <w:t>é</w:t>
      </w:r>
      <w:r w:rsidR="00393E8F" w:rsidRPr="009006A4">
        <w:rPr>
          <w:bCs/>
          <w:sz w:val="24"/>
          <w:szCs w:val="24"/>
          <w:lang w:val="fr-FR"/>
        </w:rPr>
        <w:t>narios</w:t>
      </w:r>
      <w:r w:rsidR="00783776" w:rsidRPr="009006A4">
        <w:rPr>
          <w:bCs/>
          <w:sz w:val="24"/>
          <w:szCs w:val="24"/>
          <w:lang w:val="fr-FR"/>
        </w:rPr>
        <w:t xml:space="preserve"> </w:t>
      </w:r>
      <w:r w:rsidR="00794EF1">
        <w:rPr>
          <w:bCs/>
          <w:sz w:val="24"/>
          <w:szCs w:val="24"/>
          <w:lang w:val="fr-FR"/>
        </w:rPr>
        <w:t>et indique qu’elle est prête à envisager des augmentations limitées du</w:t>
      </w:r>
      <w:r w:rsidR="00393E8F" w:rsidRPr="009006A4">
        <w:rPr>
          <w:bCs/>
          <w:sz w:val="24"/>
          <w:szCs w:val="24"/>
          <w:lang w:val="fr-FR"/>
        </w:rPr>
        <w:t xml:space="preserve"> Sc</w:t>
      </w:r>
      <w:r w:rsidR="00794EF1">
        <w:rPr>
          <w:bCs/>
          <w:sz w:val="24"/>
          <w:szCs w:val="24"/>
          <w:lang w:val="fr-FR"/>
        </w:rPr>
        <w:t>é</w:t>
      </w:r>
      <w:r w:rsidR="00393E8F" w:rsidRPr="009006A4">
        <w:rPr>
          <w:bCs/>
          <w:sz w:val="24"/>
          <w:szCs w:val="24"/>
          <w:lang w:val="fr-FR"/>
        </w:rPr>
        <w:t>nario 1</w:t>
      </w:r>
      <w:r w:rsidR="00A55AA0" w:rsidRPr="009006A4">
        <w:rPr>
          <w:bCs/>
          <w:sz w:val="24"/>
          <w:szCs w:val="24"/>
          <w:lang w:val="fr-FR"/>
        </w:rPr>
        <w:t xml:space="preserve">, </w:t>
      </w:r>
      <w:r w:rsidR="00794EF1">
        <w:rPr>
          <w:bCs/>
          <w:sz w:val="24"/>
          <w:szCs w:val="24"/>
          <w:lang w:val="fr-FR"/>
        </w:rPr>
        <w:t>mais</w:t>
      </w:r>
      <w:r w:rsidR="00596700">
        <w:rPr>
          <w:bCs/>
          <w:sz w:val="24"/>
          <w:szCs w:val="24"/>
          <w:lang w:val="fr-FR"/>
        </w:rPr>
        <w:t xml:space="preserve"> que celles-ci devraient être liées exclusivement à des activités spécifiques</w:t>
      </w:r>
      <w:r w:rsidR="00393E8F" w:rsidRPr="009006A4">
        <w:rPr>
          <w:bCs/>
          <w:sz w:val="24"/>
          <w:szCs w:val="24"/>
          <w:lang w:val="fr-FR"/>
        </w:rPr>
        <w:t xml:space="preserve">. </w:t>
      </w:r>
      <w:r w:rsidR="00596700">
        <w:rPr>
          <w:bCs/>
          <w:sz w:val="24"/>
          <w:szCs w:val="24"/>
          <w:lang w:val="fr-FR"/>
        </w:rPr>
        <w:t>L’Italie suggère donc de commencer les</w:t>
      </w:r>
      <w:r w:rsidR="00393E8F" w:rsidRPr="009006A4">
        <w:rPr>
          <w:bCs/>
          <w:sz w:val="24"/>
          <w:szCs w:val="24"/>
          <w:lang w:val="fr-FR"/>
        </w:rPr>
        <w:t xml:space="preserve"> </w:t>
      </w:r>
      <w:r w:rsidR="00783776" w:rsidRPr="009006A4">
        <w:rPr>
          <w:bCs/>
          <w:sz w:val="24"/>
          <w:szCs w:val="24"/>
          <w:lang w:val="fr-FR"/>
        </w:rPr>
        <w:t>n</w:t>
      </w:r>
      <w:r w:rsidR="00596700">
        <w:rPr>
          <w:bCs/>
          <w:sz w:val="24"/>
          <w:szCs w:val="24"/>
          <w:lang w:val="fr-FR"/>
        </w:rPr>
        <w:t>é</w:t>
      </w:r>
      <w:r w:rsidR="00393E8F" w:rsidRPr="009006A4">
        <w:rPr>
          <w:bCs/>
          <w:sz w:val="24"/>
          <w:szCs w:val="24"/>
          <w:lang w:val="fr-FR"/>
        </w:rPr>
        <w:t>g</w:t>
      </w:r>
      <w:r w:rsidR="00783776" w:rsidRPr="009006A4">
        <w:rPr>
          <w:bCs/>
          <w:sz w:val="24"/>
          <w:szCs w:val="24"/>
          <w:lang w:val="fr-FR"/>
        </w:rPr>
        <w:t>o</w:t>
      </w:r>
      <w:r w:rsidR="00596700">
        <w:rPr>
          <w:bCs/>
          <w:sz w:val="24"/>
          <w:szCs w:val="24"/>
          <w:lang w:val="fr-FR"/>
        </w:rPr>
        <w:t>c</w:t>
      </w:r>
      <w:r w:rsidR="00783776" w:rsidRPr="009006A4">
        <w:rPr>
          <w:bCs/>
          <w:sz w:val="24"/>
          <w:szCs w:val="24"/>
          <w:lang w:val="fr-FR"/>
        </w:rPr>
        <w:t xml:space="preserve">iations </w:t>
      </w:r>
      <w:r w:rsidR="00596700">
        <w:rPr>
          <w:bCs/>
          <w:sz w:val="24"/>
          <w:szCs w:val="24"/>
          <w:lang w:val="fr-FR"/>
        </w:rPr>
        <w:t>sur la base du</w:t>
      </w:r>
      <w:r w:rsidR="00783776" w:rsidRPr="009006A4">
        <w:rPr>
          <w:bCs/>
          <w:sz w:val="24"/>
          <w:szCs w:val="24"/>
          <w:lang w:val="fr-FR"/>
        </w:rPr>
        <w:t xml:space="preserve"> </w:t>
      </w:r>
      <w:r w:rsidR="00393E8F" w:rsidRPr="009006A4">
        <w:rPr>
          <w:bCs/>
          <w:sz w:val="24"/>
          <w:szCs w:val="24"/>
          <w:lang w:val="fr-FR"/>
        </w:rPr>
        <w:t>Sc</w:t>
      </w:r>
      <w:r w:rsidR="00596700">
        <w:rPr>
          <w:bCs/>
          <w:sz w:val="24"/>
          <w:szCs w:val="24"/>
          <w:lang w:val="fr-FR"/>
        </w:rPr>
        <w:t>é</w:t>
      </w:r>
      <w:r w:rsidR="00393E8F" w:rsidRPr="009006A4">
        <w:rPr>
          <w:bCs/>
          <w:sz w:val="24"/>
          <w:szCs w:val="24"/>
          <w:lang w:val="fr-FR"/>
        </w:rPr>
        <w:t>nario</w:t>
      </w:r>
      <w:r w:rsidR="00A55AA0" w:rsidRPr="009006A4">
        <w:rPr>
          <w:bCs/>
          <w:sz w:val="24"/>
          <w:szCs w:val="24"/>
          <w:lang w:val="fr-FR"/>
        </w:rPr>
        <w:t xml:space="preserve"> 1</w:t>
      </w:r>
      <w:r w:rsidR="00783776" w:rsidRPr="009006A4">
        <w:rPr>
          <w:bCs/>
          <w:sz w:val="24"/>
          <w:szCs w:val="24"/>
          <w:lang w:val="fr-FR"/>
        </w:rPr>
        <w:t xml:space="preserve">, </w:t>
      </w:r>
      <w:r w:rsidR="00596700">
        <w:rPr>
          <w:bCs/>
          <w:sz w:val="24"/>
          <w:szCs w:val="24"/>
          <w:lang w:val="fr-FR"/>
        </w:rPr>
        <w:t>en ajoutant progressivement les priorités identifiées par les</w:t>
      </w:r>
      <w:r w:rsidR="00393E8F" w:rsidRPr="009006A4">
        <w:rPr>
          <w:bCs/>
          <w:sz w:val="24"/>
          <w:szCs w:val="24"/>
          <w:lang w:val="fr-FR"/>
        </w:rPr>
        <w:t xml:space="preserve"> </w:t>
      </w:r>
      <w:r w:rsidR="00783776" w:rsidRPr="009006A4">
        <w:rPr>
          <w:bCs/>
          <w:sz w:val="24"/>
          <w:szCs w:val="24"/>
          <w:lang w:val="fr-FR"/>
        </w:rPr>
        <w:t>P</w:t>
      </w:r>
      <w:r w:rsidR="00393E8F" w:rsidRPr="009006A4">
        <w:rPr>
          <w:bCs/>
          <w:sz w:val="24"/>
          <w:szCs w:val="24"/>
          <w:lang w:val="fr-FR"/>
        </w:rPr>
        <w:t>arties.</w:t>
      </w:r>
    </w:p>
    <w:p w14:paraId="2E834DBD" w14:textId="7E4A12FD" w:rsidR="006C7EE5" w:rsidRPr="009006A4" w:rsidRDefault="006C7EE5" w:rsidP="00714211">
      <w:pPr>
        <w:jc w:val="both"/>
        <w:rPr>
          <w:bCs/>
          <w:sz w:val="24"/>
          <w:szCs w:val="24"/>
          <w:lang w:val="fr-FR"/>
        </w:rPr>
      </w:pPr>
    </w:p>
    <w:p w14:paraId="7AC7711D" w14:textId="0CD53FBA" w:rsidR="006C7EE5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15.</w:t>
      </w:r>
      <w:r w:rsidR="00596700">
        <w:rPr>
          <w:bCs/>
          <w:sz w:val="24"/>
          <w:szCs w:val="24"/>
          <w:lang w:val="fr-FR"/>
        </w:rPr>
        <w:t xml:space="preserve"> Le</w:t>
      </w:r>
      <w:r w:rsidR="00783776" w:rsidRPr="009006A4">
        <w:rPr>
          <w:bCs/>
          <w:sz w:val="24"/>
          <w:szCs w:val="24"/>
          <w:lang w:val="fr-FR"/>
        </w:rPr>
        <w:t xml:space="preserve"> </w:t>
      </w:r>
      <w:r w:rsidR="00596700">
        <w:rPr>
          <w:b/>
          <w:sz w:val="24"/>
          <w:szCs w:val="24"/>
          <w:lang w:val="fr-FR"/>
        </w:rPr>
        <w:t xml:space="preserve">Président </w:t>
      </w:r>
      <w:r w:rsidR="00783776" w:rsidRPr="009006A4">
        <w:rPr>
          <w:bCs/>
          <w:sz w:val="24"/>
          <w:szCs w:val="24"/>
          <w:lang w:val="fr-FR"/>
        </w:rPr>
        <w:t>r</w:t>
      </w:r>
      <w:r w:rsidR="00596700">
        <w:rPr>
          <w:bCs/>
          <w:sz w:val="24"/>
          <w:szCs w:val="24"/>
          <w:lang w:val="fr-FR"/>
        </w:rPr>
        <w:t>appelle</w:t>
      </w:r>
      <w:r w:rsidR="00783776" w:rsidRPr="009006A4">
        <w:rPr>
          <w:bCs/>
          <w:sz w:val="24"/>
          <w:szCs w:val="24"/>
          <w:lang w:val="fr-FR"/>
        </w:rPr>
        <w:t xml:space="preserve"> </w:t>
      </w:r>
      <w:r w:rsidR="00596700">
        <w:rPr>
          <w:bCs/>
          <w:sz w:val="24"/>
          <w:szCs w:val="24"/>
          <w:lang w:val="fr-FR"/>
        </w:rPr>
        <w:t>que le</w:t>
      </w:r>
      <w:r w:rsidR="006C7EE5" w:rsidRPr="009006A4">
        <w:rPr>
          <w:bCs/>
          <w:sz w:val="24"/>
          <w:szCs w:val="24"/>
          <w:lang w:val="fr-FR"/>
        </w:rPr>
        <w:t xml:space="preserve"> Sc</w:t>
      </w:r>
      <w:r w:rsidR="00596700">
        <w:rPr>
          <w:bCs/>
          <w:sz w:val="24"/>
          <w:szCs w:val="24"/>
          <w:lang w:val="fr-FR"/>
        </w:rPr>
        <w:t>é</w:t>
      </w:r>
      <w:r w:rsidR="006C7EE5" w:rsidRPr="009006A4">
        <w:rPr>
          <w:bCs/>
          <w:sz w:val="24"/>
          <w:szCs w:val="24"/>
          <w:lang w:val="fr-FR"/>
        </w:rPr>
        <w:t xml:space="preserve">nario 1 </w:t>
      </w:r>
      <w:r w:rsidR="00783776" w:rsidRPr="009006A4">
        <w:rPr>
          <w:bCs/>
          <w:sz w:val="24"/>
          <w:szCs w:val="24"/>
          <w:lang w:val="fr-FR"/>
        </w:rPr>
        <w:t>repr</w:t>
      </w:r>
      <w:r w:rsidR="00596700">
        <w:rPr>
          <w:bCs/>
          <w:sz w:val="24"/>
          <w:szCs w:val="24"/>
          <w:lang w:val="fr-FR"/>
        </w:rPr>
        <w:t>é</w:t>
      </w:r>
      <w:r w:rsidR="00783776" w:rsidRPr="009006A4">
        <w:rPr>
          <w:bCs/>
          <w:sz w:val="24"/>
          <w:szCs w:val="24"/>
          <w:lang w:val="fr-FR"/>
        </w:rPr>
        <w:t>sente</w:t>
      </w:r>
      <w:r w:rsidR="006C7EE5" w:rsidRPr="009006A4">
        <w:rPr>
          <w:bCs/>
          <w:sz w:val="24"/>
          <w:szCs w:val="24"/>
          <w:lang w:val="fr-FR"/>
        </w:rPr>
        <w:t xml:space="preserve"> </w:t>
      </w:r>
      <w:r w:rsidR="00596700">
        <w:rPr>
          <w:bCs/>
          <w:sz w:val="24"/>
          <w:szCs w:val="24"/>
          <w:lang w:val="fr-FR"/>
        </w:rPr>
        <w:t>une réduction en termes réels</w:t>
      </w:r>
      <w:r w:rsidR="006C7EE5" w:rsidRPr="009006A4">
        <w:rPr>
          <w:bCs/>
          <w:sz w:val="24"/>
          <w:szCs w:val="24"/>
          <w:lang w:val="fr-FR"/>
        </w:rPr>
        <w:t xml:space="preserve">, </w:t>
      </w:r>
      <w:r w:rsidR="00596700">
        <w:rPr>
          <w:bCs/>
          <w:sz w:val="24"/>
          <w:szCs w:val="24"/>
          <w:lang w:val="fr-FR"/>
        </w:rPr>
        <w:t>de sorte que l’ajout d’activités au</w:t>
      </w:r>
      <w:r w:rsidR="006C7EE5" w:rsidRPr="009006A4">
        <w:rPr>
          <w:bCs/>
          <w:sz w:val="24"/>
          <w:szCs w:val="24"/>
          <w:lang w:val="fr-FR"/>
        </w:rPr>
        <w:t xml:space="preserve"> Sc</w:t>
      </w:r>
      <w:r w:rsidR="00596700">
        <w:rPr>
          <w:bCs/>
          <w:sz w:val="24"/>
          <w:szCs w:val="24"/>
          <w:lang w:val="fr-FR"/>
        </w:rPr>
        <w:t>é</w:t>
      </w:r>
      <w:r w:rsidR="006C7EE5" w:rsidRPr="009006A4">
        <w:rPr>
          <w:bCs/>
          <w:sz w:val="24"/>
          <w:szCs w:val="24"/>
          <w:lang w:val="fr-FR"/>
        </w:rPr>
        <w:t xml:space="preserve">nario 1 </w:t>
      </w:r>
      <w:r w:rsidR="00596700">
        <w:rPr>
          <w:bCs/>
          <w:sz w:val="24"/>
          <w:szCs w:val="24"/>
          <w:lang w:val="fr-FR"/>
        </w:rPr>
        <w:t>ne ferait que déplacer le</w:t>
      </w:r>
      <w:r w:rsidR="00783776" w:rsidRPr="009006A4">
        <w:rPr>
          <w:bCs/>
          <w:sz w:val="24"/>
          <w:szCs w:val="24"/>
          <w:lang w:val="fr-FR"/>
        </w:rPr>
        <w:t xml:space="preserve"> budget</w:t>
      </w:r>
      <w:r w:rsidR="006C7EE5" w:rsidRPr="009006A4">
        <w:rPr>
          <w:bCs/>
          <w:sz w:val="24"/>
          <w:szCs w:val="24"/>
          <w:lang w:val="fr-FR"/>
        </w:rPr>
        <w:t xml:space="preserve"> </w:t>
      </w:r>
      <w:r w:rsidR="00596700">
        <w:rPr>
          <w:bCs/>
          <w:sz w:val="24"/>
          <w:szCs w:val="24"/>
          <w:lang w:val="fr-FR"/>
        </w:rPr>
        <w:t>vers la parité</w:t>
      </w:r>
      <w:r w:rsidR="006C7EE5" w:rsidRPr="009006A4">
        <w:rPr>
          <w:bCs/>
          <w:sz w:val="24"/>
          <w:szCs w:val="24"/>
          <w:lang w:val="fr-FR"/>
        </w:rPr>
        <w:t xml:space="preserve"> </w:t>
      </w:r>
      <w:r w:rsidR="00596700">
        <w:rPr>
          <w:bCs/>
          <w:sz w:val="24"/>
          <w:szCs w:val="24"/>
          <w:lang w:val="fr-FR"/>
        </w:rPr>
        <w:t>dans la</w:t>
      </w:r>
      <w:r w:rsidR="006C7EE5" w:rsidRPr="009006A4">
        <w:rPr>
          <w:bCs/>
          <w:sz w:val="24"/>
          <w:szCs w:val="24"/>
          <w:lang w:val="fr-FR"/>
        </w:rPr>
        <w:t xml:space="preserve"> situation</w:t>
      </w:r>
      <w:r w:rsidR="00596700">
        <w:rPr>
          <w:bCs/>
          <w:sz w:val="24"/>
          <w:szCs w:val="24"/>
          <w:lang w:val="fr-FR"/>
        </w:rPr>
        <w:t xml:space="preserve"> actuelle</w:t>
      </w:r>
      <w:r w:rsidR="006C7EE5" w:rsidRPr="009006A4">
        <w:rPr>
          <w:bCs/>
          <w:sz w:val="24"/>
          <w:szCs w:val="24"/>
          <w:lang w:val="fr-FR"/>
        </w:rPr>
        <w:t xml:space="preserve">. </w:t>
      </w:r>
      <w:r w:rsidR="00596700">
        <w:rPr>
          <w:bCs/>
          <w:sz w:val="24"/>
          <w:szCs w:val="24"/>
          <w:lang w:val="fr-FR"/>
        </w:rPr>
        <w:t>L’</w:t>
      </w:r>
      <w:r w:rsidR="00783776" w:rsidRPr="009006A4">
        <w:rPr>
          <w:bCs/>
          <w:sz w:val="24"/>
          <w:szCs w:val="24"/>
          <w:lang w:val="fr-FR"/>
        </w:rPr>
        <w:t xml:space="preserve">AEWA </w:t>
      </w:r>
      <w:r w:rsidR="00596700">
        <w:rPr>
          <w:bCs/>
          <w:sz w:val="24"/>
          <w:szCs w:val="24"/>
          <w:lang w:val="fr-FR"/>
        </w:rPr>
        <w:t>pourrait ne pas</w:t>
      </w:r>
      <w:r w:rsidR="006C7EE5" w:rsidRPr="009006A4">
        <w:rPr>
          <w:bCs/>
          <w:sz w:val="24"/>
          <w:szCs w:val="24"/>
          <w:lang w:val="fr-FR"/>
        </w:rPr>
        <w:t xml:space="preserve"> </w:t>
      </w:r>
      <w:r w:rsidR="00783776" w:rsidRPr="009006A4">
        <w:rPr>
          <w:bCs/>
          <w:sz w:val="24"/>
          <w:szCs w:val="24"/>
          <w:lang w:val="fr-FR"/>
        </w:rPr>
        <w:t>progress</w:t>
      </w:r>
      <w:r w:rsidR="00596700">
        <w:rPr>
          <w:bCs/>
          <w:sz w:val="24"/>
          <w:szCs w:val="24"/>
          <w:lang w:val="fr-FR"/>
        </w:rPr>
        <w:t>er beaucoup dans une telle</w:t>
      </w:r>
      <w:r w:rsidR="00783776" w:rsidRPr="009006A4">
        <w:rPr>
          <w:bCs/>
          <w:sz w:val="24"/>
          <w:szCs w:val="24"/>
          <w:lang w:val="fr-FR"/>
        </w:rPr>
        <w:t xml:space="preserve"> </w:t>
      </w:r>
      <w:r w:rsidR="00A55AA0" w:rsidRPr="009006A4">
        <w:rPr>
          <w:bCs/>
          <w:sz w:val="24"/>
          <w:szCs w:val="24"/>
          <w:lang w:val="fr-FR"/>
        </w:rPr>
        <w:t>situation</w:t>
      </w:r>
      <w:r w:rsidR="006C7EE5" w:rsidRPr="009006A4">
        <w:rPr>
          <w:bCs/>
          <w:sz w:val="24"/>
          <w:szCs w:val="24"/>
          <w:lang w:val="fr-FR"/>
        </w:rPr>
        <w:t xml:space="preserve">. </w:t>
      </w:r>
      <w:r w:rsidR="00DC33FB" w:rsidRPr="009006A4">
        <w:rPr>
          <w:bCs/>
          <w:sz w:val="24"/>
          <w:szCs w:val="24"/>
          <w:lang w:val="fr-FR"/>
        </w:rPr>
        <w:t>N</w:t>
      </w:r>
      <w:r w:rsidR="00596700">
        <w:rPr>
          <w:bCs/>
          <w:sz w:val="24"/>
          <w:szCs w:val="24"/>
          <w:lang w:val="fr-FR"/>
        </w:rPr>
        <w:t>éanmoins</w:t>
      </w:r>
      <w:r w:rsidR="00DC33FB" w:rsidRPr="009006A4">
        <w:rPr>
          <w:bCs/>
          <w:sz w:val="24"/>
          <w:szCs w:val="24"/>
          <w:lang w:val="fr-FR"/>
        </w:rPr>
        <w:t xml:space="preserve">, </w:t>
      </w:r>
      <w:r w:rsidR="00596700">
        <w:rPr>
          <w:bCs/>
          <w:sz w:val="24"/>
          <w:szCs w:val="24"/>
          <w:lang w:val="fr-FR"/>
        </w:rPr>
        <w:t xml:space="preserve">il semble </w:t>
      </w:r>
      <w:r w:rsidR="00BD18C1">
        <w:rPr>
          <w:bCs/>
          <w:sz w:val="24"/>
          <w:szCs w:val="24"/>
          <w:lang w:val="fr-FR"/>
        </w:rPr>
        <w:t xml:space="preserve">que les participants montrent une </w:t>
      </w:r>
      <w:r w:rsidR="00DB00EE">
        <w:rPr>
          <w:bCs/>
          <w:sz w:val="24"/>
          <w:szCs w:val="24"/>
          <w:lang w:val="fr-FR"/>
        </w:rPr>
        <w:t>inclination pour l</w:t>
      </w:r>
      <w:r w:rsidR="00E94F53">
        <w:rPr>
          <w:bCs/>
          <w:sz w:val="24"/>
          <w:szCs w:val="24"/>
          <w:lang w:val="fr-FR"/>
        </w:rPr>
        <w:t>a mise en place</w:t>
      </w:r>
      <w:r w:rsidR="00DB00EE">
        <w:rPr>
          <w:bCs/>
          <w:sz w:val="24"/>
          <w:szCs w:val="24"/>
          <w:lang w:val="fr-FR"/>
        </w:rPr>
        <w:t xml:space="preserve"> d’un</w:t>
      </w:r>
      <w:r w:rsidR="00DC33FB" w:rsidRPr="009006A4">
        <w:rPr>
          <w:bCs/>
          <w:sz w:val="24"/>
          <w:szCs w:val="24"/>
          <w:lang w:val="fr-FR"/>
        </w:rPr>
        <w:t xml:space="preserve"> budget </w:t>
      </w:r>
      <w:r w:rsidR="00DB00EE">
        <w:rPr>
          <w:bCs/>
          <w:sz w:val="24"/>
          <w:szCs w:val="24"/>
          <w:lang w:val="fr-FR"/>
        </w:rPr>
        <w:t>de base auquel des éléments spécifiques pourraient être ajoutés</w:t>
      </w:r>
      <w:r w:rsidR="00DC33FB" w:rsidRPr="009006A4">
        <w:rPr>
          <w:bCs/>
          <w:sz w:val="24"/>
          <w:szCs w:val="24"/>
          <w:lang w:val="fr-FR"/>
        </w:rPr>
        <w:t>.</w:t>
      </w:r>
    </w:p>
    <w:p w14:paraId="11763C35" w14:textId="7FF07333" w:rsidR="006C7EE5" w:rsidRPr="009006A4" w:rsidRDefault="006C7EE5" w:rsidP="00714211">
      <w:pPr>
        <w:jc w:val="both"/>
        <w:rPr>
          <w:bCs/>
          <w:sz w:val="24"/>
          <w:szCs w:val="24"/>
          <w:lang w:val="fr-FR"/>
        </w:rPr>
      </w:pPr>
    </w:p>
    <w:p w14:paraId="46806356" w14:textId="359EBA8A" w:rsidR="006C7EE5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16. </w:t>
      </w:r>
      <w:r w:rsidR="00DB00EE">
        <w:rPr>
          <w:b/>
          <w:sz w:val="24"/>
          <w:szCs w:val="24"/>
          <w:lang w:val="fr-FR"/>
        </w:rPr>
        <w:t>Les Pays-Bas</w:t>
      </w:r>
      <w:r w:rsidR="00DC33FB" w:rsidRPr="009006A4">
        <w:rPr>
          <w:bCs/>
          <w:sz w:val="24"/>
          <w:szCs w:val="24"/>
          <w:lang w:val="fr-FR"/>
        </w:rPr>
        <w:t xml:space="preserve"> </w:t>
      </w:r>
      <w:r w:rsidR="00DB00EE">
        <w:rPr>
          <w:bCs/>
          <w:sz w:val="24"/>
          <w:szCs w:val="24"/>
          <w:lang w:val="fr-FR"/>
        </w:rPr>
        <w:t xml:space="preserve">voient la nécessité d’une augmentation pour </w:t>
      </w:r>
      <w:r w:rsidR="00E94F53">
        <w:rPr>
          <w:bCs/>
          <w:sz w:val="24"/>
          <w:szCs w:val="24"/>
          <w:lang w:val="fr-FR"/>
        </w:rPr>
        <w:t>du soutien au</w:t>
      </w:r>
      <w:r w:rsidR="00DB00EE">
        <w:rPr>
          <w:bCs/>
          <w:sz w:val="24"/>
          <w:szCs w:val="24"/>
          <w:lang w:val="fr-FR"/>
        </w:rPr>
        <w:t xml:space="preserve"> travail du</w:t>
      </w:r>
      <w:r w:rsidR="006C7EE5" w:rsidRPr="009006A4">
        <w:rPr>
          <w:bCs/>
          <w:sz w:val="24"/>
          <w:szCs w:val="24"/>
          <w:lang w:val="fr-FR"/>
        </w:rPr>
        <w:t xml:space="preserve"> Secr</w:t>
      </w:r>
      <w:r w:rsidR="00DB00EE">
        <w:rPr>
          <w:bCs/>
          <w:sz w:val="24"/>
          <w:szCs w:val="24"/>
          <w:lang w:val="fr-FR"/>
        </w:rPr>
        <w:t>é</w:t>
      </w:r>
      <w:r w:rsidR="006C7EE5" w:rsidRPr="009006A4">
        <w:rPr>
          <w:bCs/>
          <w:sz w:val="24"/>
          <w:szCs w:val="24"/>
          <w:lang w:val="fr-FR"/>
        </w:rPr>
        <w:t xml:space="preserve">tariat </w:t>
      </w:r>
      <w:r w:rsidR="00DB00EE">
        <w:rPr>
          <w:bCs/>
          <w:sz w:val="24"/>
          <w:szCs w:val="24"/>
          <w:lang w:val="fr-FR"/>
        </w:rPr>
        <w:t xml:space="preserve">et conviennent que les </w:t>
      </w:r>
      <w:r w:rsidR="00DC33FB" w:rsidRPr="009006A4">
        <w:rPr>
          <w:bCs/>
          <w:sz w:val="24"/>
          <w:szCs w:val="24"/>
          <w:lang w:val="fr-FR"/>
        </w:rPr>
        <w:t xml:space="preserve">discussions </w:t>
      </w:r>
      <w:r w:rsidR="00DB00EE">
        <w:rPr>
          <w:bCs/>
          <w:sz w:val="24"/>
          <w:szCs w:val="24"/>
          <w:lang w:val="fr-FR"/>
        </w:rPr>
        <w:t xml:space="preserve">devraient se dérouler à partir d’une </w:t>
      </w:r>
      <w:r w:rsidR="00A92B21">
        <w:rPr>
          <w:bCs/>
          <w:sz w:val="24"/>
          <w:szCs w:val="24"/>
          <w:lang w:val="fr-FR"/>
        </w:rPr>
        <w:t>base de référence</w:t>
      </w:r>
      <w:r w:rsidR="00DB00EE">
        <w:rPr>
          <w:bCs/>
          <w:sz w:val="24"/>
          <w:szCs w:val="24"/>
          <w:lang w:val="fr-FR"/>
        </w:rPr>
        <w:t xml:space="preserve"> donnée</w:t>
      </w:r>
      <w:r w:rsidR="00A55AA0" w:rsidRPr="009006A4">
        <w:rPr>
          <w:bCs/>
          <w:sz w:val="24"/>
          <w:szCs w:val="24"/>
          <w:lang w:val="fr-FR"/>
        </w:rPr>
        <w:t xml:space="preserve">. </w:t>
      </w:r>
      <w:r w:rsidR="00DB00EE">
        <w:rPr>
          <w:bCs/>
          <w:sz w:val="24"/>
          <w:szCs w:val="24"/>
          <w:lang w:val="fr-FR"/>
        </w:rPr>
        <w:t>Toutefois</w:t>
      </w:r>
      <w:r w:rsidR="00A55AA0" w:rsidRPr="009006A4">
        <w:rPr>
          <w:bCs/>
          <w:sz w:val="24"/>
          <w:szCs w:val="24"/>
          <w:lang w:val="fr-FR"/>
        </w:rPr>
        <w:t xml:space="preserve">, </w:t>
      </w:r>
      <w:r w:rsidR="00DB00EE">
        <w:rPr>
          <w:bCs/>
          <w:sz w:val="24"/>
          <w:szCs w:val="24"/>
          <w:lang w:val="fr-FR"/>
        </w:rPr>
        <w:t xml:space="preserve">cette </w:t>
      </w:r>
      <w:r w:rsidR="00A92B21">
        <w:rPr>
          <w:bCs/>
          <w:sz w:val="24"/>
          <w:szCs w:val="24"/>
          <w:lang w:val="fr-FR"/>
        </w:rPr>
        <w:t>base de référence</w:t>
      </w:r>
      <w:r w:rsidR="00DB00EE">
        <w:rPr>
          <w:bCs/>
          <w:sz w:val="24"/>
          <w:szCs w:val="24"/>
          <w:lang w:val="fr-FR"/>
        </w:rPr>
        <w:t xml:space="preserve"> devrait probablement être le</w:t>
      </w:r>
      <w:r w:rsidR="006C7EE5" w:rsidRPr="009006A4">
        <w:rPr>
          <w:bCs/>
          <w:sz w:val="24"/>
          <w:szCs w:val="24"/>
          <w:lang w:val="fr-FR"/>
        </w:rPr>
        <w:t xml:space="preserve"> Sc</w:t>
      </w:r>
      <w:r w:rsidR="00DB00EE">
        <w:rPr>
          <w:bCs/>
          <w:sz w:val="24"/>
          <w:szCs w:val="24"/>
          <w:lang w:val="fr-FR"/>
        </w:rPr>
        <w:t>é</w:t>
      </w:r>
      <w:r w:rsidR="006C7EE5" w:rsidRPr="009006A4">
        <w:rPr>
          <w:bCs/>
          <w:sz w:val="24"/>
          <w:szCs w:val="24"/>
          <w:lang w:val="fr-FR"/>
        </w:rPr>
        <w:t>nario 2</w:t>
      </w:r>
      <w:r w:rsidR="00A55AA0" w:rsidRPr="009006A4">
        <w:rPr>
          <w:bCs/>
          <w:sz w:val="24"/>
          <w:szCs w:val="24"/>
          <w:lang w:val="fr-FR"/>
        </w:rPr>
        <w:t>,</w:t>
      </w:r>
      <w:r w:rsidR="006C7EE5" w:rsidRPr="009006A4">
        <w:rPr>
          <w:bCs/>
          <w:sz w:val="24"/>
          <w:szCs w:val="24"/>
          <w:lang w:val="fr-FR"/>
        </w:rPr>
        <w:t xml:space="preserve"> </w:t>
      </w:r>
      <w:r w:rsidR="00DB00EE">
        <w:rPr>
          <w:bCs/>
          <w:sz w:val="24"/>
          <w:szCs w:val="24"/>
          <w:lang w:val="fr-FR"/>
        </w:rPr>
        <w:t>sans quoi</w:t>
      </w:r>
      <w:r w:rsidR="006C7EE5" w:rsidRPr="009006A4">
        <w:rPr>
          <w:bCs/>
          <w:sz w:val="24"/>
          <w:szCs w:val="24"/>
          <w:lang w:val="fr-FR"/>
        </w:rPr>
        <w:t xml:space="preserve"> </w:t>
      </w:r>
      <w:r w:rsidR="00DB00EE">
        <w:rPr>
          <w:bCs/>
          <w:sz w:val="24"/>
          <w:szCs w:val="24"/>
          <w:lang w:val="fr-FR"/>
        </w:rPr>
        <w:t>l’</w:t>
      </w:r>
      <w:r w:rsidR="00DC33FB" w:rsidRPr="009006A4">
        <w:rPr>
          <w:bCs/>
          <w:sz w:val="24"/>
          <w:szCs w:val="24"/>
          <w:lang w:val="fr-FR"/>
        </w:rPr>
        <w:t xml:space="preserve">AEWA </w:t>
      </w:r>
      <w:r w:rsidR="00DB00EE">
        <w:rPr>
          <w:bCs/>
          <w:sz w:val="24"/>
          <w:szCs w:val="24"/>
          <w:lang w:val="fr-FR"/>
        </w:rPr>
        <w:t>régresserait</w:t>
      </w:r>
      <w:r w:rsidR="006C7EE5" w:rsidRPr="009006A4">
        <w:rPr>
          <w:bCs/>
          <w:sz w:val="24"/>
          <w:szCs w:val="24"/>
          <w:lang w:val="fr-FR"/>
        </w:rPr>
        <w:t xml:space="preserve">. </w:t>
      </w:r>
      <w:r w:rsidR="00DB00EE">
        <w:rPr>
          <w:bCs/>
          <w:sz w:val="24"/>
          <w:szCs w:val="24"/>
          <w:lang w:val="fr-FR"/>
        </w:rPr>
        <w:t>Les Pays-Bas</w:t>
      </w:r>
      <w:r w:rsidR="006C7EE5" w:rsidRPr="009006A4">
        <w:rPr>
          <w:bCs/>
          <w:sz w:val="24"/>
          <w:szCs w:val="24"/>
          <w:lang w:val="fr-FR"/>
        </w:rPr>
        <w:t xml:space="preserve"> </w:t>
      </w:r>
      <w:r w:rsidR="00DB00EE">
        <w:rPr>
          <w:bCs/>
          <w:sz w:val="24"/>
          <w:szCs w:val="24"/>
          <w:lang w:val="fr-FR"/>
        </w:rPr>
        <w:t>pourraient envisager de soutenir</w:t>
      </w:r>
      <w:r w:rsidR="00DC33FB" w:rsidRPr="009006A4">
        <w:rPr>
          <w:bCs/>
          <w:sz w:val="24"/>
          <w:szCs w:val="24"/>
          <w:lang w:val="fr-FR"/>
        </w:rPr>
        <w:t xml:space="preserve"> </w:t>
      </w:r>
      <w:r w:rsidR="00DB00EE">
        <w:rPr>
          <w:bCs/>
          <w:sz w:val="24"/>
          <w:szCs w:val="24"/>
          <w:lang w:val="fr-FR"/>
        </w:rPr>
        <w:t>une augmentation</w:t>
      </w:r>
      <w:r w:rsidR="00DC33FB" w:rsidRPr="009006A4">
        <w:rPr>
          <w:bCs/>
          <w:sz w:val="24"/>
          <w:szCs w:val="24"/>
          <w:lang w:val="fr-FR"/>
        </w:rPr>
        <w:t xml:space="preserve"> </w:t>
      </w:r>
      <w:r w:rsidR="00DB00EE">
        <w:rPr>
          <w:bCs/>
          <w:sz w:val="24"/>
          <w:szCs w:val="24"/>
          <w:lang w:val="fr-FR"/>
        </w:rPr>
        <w:t>autour du niveau du</w:t>
      </w:r>
      <w:r w:rsidR="006C7EE5" w:rsidRPr="009006A4">
        <w:rPr>
          <w:bCs/>
          <w:sz w:val="24"/>
          <w:szCs w:val="24"/>
          <w:lang w:val="fr-FR"/>
        </w:rPr>
        <w:t xml:space="preserve"> Sc</w:t>
      </w:r>
      <w:r w:rsidR="00DB00EE">
        <w:rPr>
          <w:bCs/>
          <w:sz w:val="24"/>
          <w:szCs w:val="24"/>
          <w:lang w:val="fr-FR"/>
        </w:rPr>
        <w:t>é</w:t>
      </w:r>
      <w:r w:rsidR="006C7EE5" w:rsidRPr="009006A4">
        <w:rPr>
          <w:bCs/>
          <w:sz w:val="24"/>
          <w:szCs w:val="24"/>
          <w:lang w:val="fr-FR"/>
        </w:rPr>
        <w:t>nario 3.</w:t>
      </w:r>
    </w:p>
    <w:p w14:paraId="113BEC35" w14:textId="42E174BC" w:rsidR="004F0E60" w:rsidRPr="009006A4" w:rsidRDefault="004F0E60" w:rsidP="00714211">
      <w:pPr>
        <w:jc w:val="both"/>
        <w:rPr>
          <w:bCs/>
          <w:sz w:val="24"/>
          <w:szCs w:val="24"/>
          <w:lang w:val="fr-FR"/>
        </w:rPr>
      </w:pPr>
    </w:p>
    <w:p w14:paraId="5E483513" w14:textId="3F52A76B" w:rsidR="004F0E60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17. </w:t>
      </w:r>
      <w:r w:rsidR="00DB00EE">
        <w:rPr>
          <w:bCs/>
          <w:sz w:val="24"/>
          <w:szCs w:val="24"/>
          <w:lang w:val="fr-FR"/>
        </w:rPr>
        <w:t>Le</w:t>
      </w:r>
      <w:r w:rsidR="00DC33FB" w:rsidRPr="009006A4">
        <w:rPr>
          <w:bCs/>
          <w:sz w:val="24"/>
          <w:szCs w:val="24"/>
          <w:lang w:val="fr-FR"/>
        </w:rPr>
        <w:t xml:space="preserve"> </w:t>
      </w:r>
      <w:r w:rsidR="00DB00EE">
        <w:rPr>
          <w:b/>
          <w:sz w:val="24"/>
          <w:szCs w:val="24"/>
          <w:lang w:val="fr-FR"/>
        </w:rPr>
        <w:t>Secrétaire exécutif</w:t>
      </w:r>
      <w:r w:rsidR="00DC33FB" w:rsidRPr="009006A4">
        <w:rPr>
          <w:bCs/>
          <w:sz w:val="24"/>
          <w:szCs w:val="24"/>
          <w:lang w:val="fr-FR"/>
        </w:rPr>
        <w:t xml:space="preserve"> </w:t>
      </w:r>
      <w:r w:rsidR="00DB00EE">
        <w:rPr>
          <w:bCs/>
          <w:sz w:val="24"/>
          <w:szCs w:val="24"/>
          <w:lang w:val="fr-FR"/>
        </w:rPr>
        <w:t>résume les</w:t>
      </w:r>
      <w:r w:rsidR="00DC33FB" w:rsidRPr="009006A4">
        <w:rPr>
          <w:bCs/>
          <w:sz w:val="24"/>
          <w:szCs w:val="24"/>
          <w:lang w:val="fr-FR"/>
        </w:rPr>
        <w:t xml:space="preserve"> impacts </w:t>
      </w:r>
      <w:r w:rsidR="00DB00EE">
        <w:rPr>
          <w:bCs/>
          <w:sz w:val="24"/>
          <w:szCs w:val="24"/>
          <w:lang w:val="fr-FR"/>
        </w:rPr>
        <w:t>du travail du</w:t>
      </w:r>
      <w:r w:rsidR="00DC33FB" w:rsidRPr="009006A4">
        <w:rPr>
          <w:bCs/>
          <w:sz w:val="24"/>
          <w:szCs w:val="24"/>
          <w:lang w:val="fr-FR"/>
        </w:rPr>
        <w:t xml:space="preserve"> Secr</w:t>
      </w:r>
      <w:r w:rsidR="00DB00EE">
        <w:rPr>
          <w:bCs/>
          <w:sz w:val="24"/>
          <w:szCs w:val="24"/>
          <w:lang w:val="fr-FR"/>
        </w:rPr>
        <w:t>é</w:t>
      </w:r>
      <w:r w:rsidR="00DC33FB" w:rsidRPr="009006A4">
        <w:rPr>
          <w:bCs/>
          <w:sz w:val="24"/>
          <w:szCs w:val="24"/>
          <w:lang w:val="fr-FR"/>
        </w:rPr>
        <w:t xml:space="preserve">tariat </w:t>
      </w:r>
      <w:r w:rsidR="008073BB">
        <w:rPr>
          <w:bCs/>
          <w:sz w:val="24"/>
          <w:szCs w:val="24"/>
          <w:lang w:val="fr-FR"/>
        </w:rPr>
        <w:t>dans le cadre du</w:t>
      </w:r>
      <w:r w:rsidR="00DC33FB" w:rsidRPr="009006A4">
        <w:rPr>
          <w:bCs/>
          <w:sz w:val="24"/>
          <w:szCs w:val="24"/>
          <w:lang w:val="fr-FR"/>
        </w:rPr>
        <w:t xml:space="preserve"> Sc</w:t>
      </w:r>
      <w:r w:rsidR="008073BB">
        <w:rPr>
          <w:bCs/>
          <w:sz w:val="24"/>
          <w:szCs w:val="24"/>
          <w:lang w:val="fr-FR"/>
        </w:rPr>
        <w:t>é</w:t>
      </w:r>
      <w:r w:rsidR="00DC33FB" w:rsidRPr="009006A4">
        <w:rPr>
          <w:bCs/>
          <w:sz w:val="24"/>
          <w:szCs w:val="24"/>
          <w:lang w:val="fr-FR"/>
        </w:rPr>
        <w:t>nario 1</w:t>
      </w:r>
      <w:r w:rsidR="008073BB">
        <w:rPr>
          <w:bCs/>
          <w:sz w:val="24"/>
          <w:szCs w:val="24"/>
          <w:lang w:val="fr-FR"/>
        </w:rPr>
        <w:t xml:space="preserve"> proposé</w:t>
      </w:r>
      <w:r w:rsidR="00DC33FB" w:rsidRPr="009006A4">
        <w:rPr>
          <w:bCs/>
          <w:sz w:val="24"/>
          <w:szCs w:val="24"/>
          <w:lang w:val="fr-FR"/>
        </w:rPr>
        <w:t xml:space="preserve">. </w:t>
      </w:r>
      <w:r w:rsidR="008073BB">
        <w:rPr>
          <w:bCs/>
          <w:sz w:val="24"/>
          <w:szCs w:val="24"/>
          <w:lang w:val="fr-FR"/>
        </w:rPr>
        <w:t xml:space="preserve">Il s’agit notamment d’une réduction de deux-tiers du </w:t>
      </w:r>
      <w:r w:rsidR="00A55AA0" w:rsidRPr="009006A4">
        <w:rPr>
          <w:bCs/>
          <w:sz w:val="24"/>
          <w:szCs w:val="24"/>
          <w:lang w:val="fr-FR"/>
        </w:rPr>
        <w:t>budget</w:t>
      </w:r>
      <w:r w:rsidR="008073BB">
        <w:rPr>
          <w:bCs/>
          <w:sz w:val="24"/>
          <w:szCs w:val="24"/>
          <w:lang w:val="fr-FR"/>
        </w:rPr>
        <w:t xml:space="preserve"> réservé aux voyages, d’une réduction importante</w:t>
      </w:r>
      <w:r w:rsidR="00DC33FB" w:rsidRPr="009006A4">
        <w:rPr>
          <w:bCs/>
          <w:sz w:val="24"/>
          <w:szCs w:val="24"/>
          <w:lang w:val="fr-FR"/>
        </w:rPr>
        <w:t xml:space="preserve"> </w:t>
      </w:r>
      <w:r w:rsidR="008073BB">
        <w:rPr>
          <w:bCs/>
          <w:sz w:val="24"/>
          <w:szCs w:val="24"/>
          <w:lang w:val="fr-FR"/>
        </w:rPr>
        <w:t>des services</w:t>
      </w:r>
      <w:r w:rsidR="00DC33FB" w:rsidRPr="009006A4">
        <w:rPr>
          <w:bCs/>
          <w:sz w:val="24"/>
          <w:szCs w:val="24"/>
          <w:lang w:val="fr-FR"/>
        </w:rPr>
        <w:t xml:space="preserve"> </w:t>
      </w:r>
      <w:r w:rsidR="008073BB">
        <w:rPr>
          <w:bCs/>
          <w:sz w:val="24"/>
          <w:szCs w:val="24"/>
          <w:lang w:val="fr-FR"/>
        </w:rPr>
        <w:t>I</w:t>
      </w:r>
      <w:r w:rsidR="00A55AA0" w:rsidRPr="009006A4">
        <w:rPr>
          <w:bCs/>
          <w:sz w:val="24"/>
          <w:szCs w:val="24"/>
          <w:lang w:val="fr-FR"/>
        </w:rPr>
        <w:t>nternet</w:t>
      </w:r>
      <w:r w:rsidR="00DC33FB" w:rsidRPr="009006A4">
        <w:rPr>
          <w:bCs/>
          <w:sz w:val="24"/>
          <w:szCs w:val="24"/>
          <w:lang w:val="fr-FR"/>
        </w:rPr>
        <w:t xml:space="preserve">, </w:t>
      </w:r>
      <w:r w:rsidR="008073BB">
        <w:rPr>
          <w:bCs/>
          <w:sz w:val="24"/>
          <w:szCs w:val="24"/>
          <w:lang w:val="fr-FR"/>
        </w:rPr>
        <w:t>et d’une</w:t>
      </w:r>
      <w:r w:rsidR="00DC33FB" w:rsidRPr="009006A4">
        <w:rPr>
          <w:bCs/>
          <w:sz w:val="24"/>
          <w:szCs w:val="24"/>
          <w:lang w:val="fr-FR"/>
        </w:rPr>
        <w:t xml:space="preserve"> r</w:t>
      </w:r>
      <w:r w:rsidR="008073BB">
        <w:rPr>
          <w:bCs/>
          <w:sz w:val="24"/>
          <w:szCs w:val="24"/>
          <w:lang w:val="fr-FR"/>
        </w:rPr>
        <w:t>é</w:t>
      </w:r>
      <w:r w:rsidR="00DC33FB" w:rsidRPr="009006A4">
        <w:rPr>
          <w:bCs/>
          <w:sz w:val="24"/>
          <w:szCs w:val="24"/>
          <w:lang w:val="fr-FR"/>
        </w:rPr>
        <w:t xml:space="preserve">duction </w:t>
      </w:r>
      <w:r w:rsidR="008073BB">
        <w:rPr>
          <w:bCs/>
          <w:sz w:val="24"/>
          <w:szCs w:val="24"/>
          <w:lang w:val="fr-FR"/>
        </w:rPr>
        <w:t>du budget réservé aux traductions</w:t>
      </w:r>
      <w:r w:rsidR="00DC33FB" w:rsidRPr="009006A4">
        <w:rPr>
          <w:bCs/>
          <w:sz w:val="24"/>
          <w:szCs w:val="24"/>
          <w:lang w:val="fr-FR"/>
        </w:rPr>
        <w:t xml:space="preserve">. </w:t>
      </w:r>
      <w:r w:rsidR="008073BB">
        <w:rPr>
          <w:bCs/>
          <w:sz w:val="24"/>
          <w:szCs w:val="24"/>
          <w:lang w:val="fr-FR"/>
        </w:rPr>
        <w:t>Les lignes budgétaires pour la</w:t>
      </w:r>
      <w:r w:rsidR="00DC33FB" w:rsidRPr="009006A4">
        <w:rPr>
          <w:bCs/>
          <w:sz w:val="24"/>
          <w:szCs w:val="24"/>
          <w:lang w:val="fr-FR"/>
        </w:rPr>
        <w:t xml:space="preserve"> MOP9 </w:t>
      </w:r>
      <w:r w:rsidR="008073BB">
        <w:rPr>
          <w:bCs/>
          <w:sz w:val="24"/>
          <w:szCs w:val="24"/>
          <w:lang w:val="fr-FR"/>
        </w:rPr>
        <w:t>et pour les réunions du TC</w:t>
      </w:r>
      <w:r w:rsidR="00DC33FB" w:rsidRPr="009006A4">
        <w:rPr>
          <w:bCs/>
          <w:sz w:val="24"/>
          <w:szCs w:val="24"/>
          <w:lang w:val="fr-FR"/>
        </w:rPr>
        <w:t xml:space="preserve"> </w:t>
      </w:r>
      <w:r w:rsidR="008073BB">
        <w:rPr>
          <w:bCs/>
          <w:sz w:val="24"/>
          <w:szCs w:val="24"/>
          <w:lang w:val="fr-FR"/>
        </w:rPr>
        <w:t>seraient fixées à</w:t>
      </w:r>
      <w:r w:rsidR="00DC33FB" w:rsidRPr="009006A4">
        <w:rPr>
          <w:bCs/>
          <w:sz w:val="24"/>
          <w:szCs w:val="24"/>
          <w:lang w:val="fr-FR"/>
        </w:rPr>
        <w:t xml:space="preserve"> z</w:t>
      </w:r>
      <w:r w:rsidR="008073BB">
        <w:rPr>
          <w:bCs/>
          <w:sz w:val="24"/>
          <w:szCs w:val="24"/>
          <w:lang w:val="fr-FR"/>
        </w:rPr>
        <w:t>é</w:t>
      </w:r>
      <w:r w:rsidR="00DC33FB" w:rsidRPr="009006A4">
        <w:rPr>
          <w:bCs/>
          <w:sz w:val="24"/>
          <w:szCs w:val="24"/>
          <w:lang w:val="fr-FR"/>
        </w:rPr>
        <w:t xml:space="preserve">ro. </w:t>
      </w:r>
      <w:r w:rsidR="008073BB">
        <w:rPr>
          <w:bCs/>
          <w:sz w:val="24"/>
          <w:szCs w:val="24"/>
          <w:lang w:val="fr-FR"/>
        </w:rPr>
        <w:t>Tandis que l’Accord pourrait fonctionner avec des réunions virtuelles</w:t>
      </w:r>
      <w:r w:rsidR="00DC33FB" w:rsidRPr="009006A4">
        <w:rPr>
          <w:bCs/>
          <w:sz w:val="24"/>
          <w:szCs w:val="24"/>
          <w:lang w:val="fr-FR"/>
        </w:rPr>
        <w:t xml:space="preserve"> </w:t>
      </w:r>
      <w:r w:rsidR="008073BB">
        <w:rPr>
          <w:bCs/>
          <w:sz w:val="24"/>
          <w:szCs w:val="24"/>
          <w:lang w:val="fr-FR"/>
        </w:rPr>
        <w:t>du</w:t>
      </w:r>
      <w:r w:rsidR="00DC33FB" w:rsidRPr="009006A4">
        <w:rPr>
          <w:bCs/>
          <w:sz w:val="24"/>
          <w:szCs w:val="24"/>
          <w:lang w:val="fr-FR"/>
        </w:rPr>
        <w:t xml:space="preserve"> StC, </w:t>
      </w:r>
      <w:r w:rsidR="008073BB">
        <w:rPr>
          <w:bCs/>
          <w:sz w:val="24"/>
          <w:szCs w:val="24"/>
          <w:lang w:val="fr-FR"/>
        </w:rPr>
        <w:t>la</w:t>
      </w:r>
      <w:r w:rsidR="00DC33FB" w:rsidRPr="009006A4">
        <w:rPr>
          <w:bCs/>
          <w:sz w:val="24"/>
          <w:szCs w:val="24"/>
          <w:lang w:val="fr-FR"/>
        </w:rPr>
        <w:t xml:space="preserve"> </w:t>
      </w:r>
      <w:r w:rsidR="000F1A42" w:rsidRPr="009006A4">
        <w:rPr>
          <w:bCs/>
          <w:sz w:val="24"/>
          <w:szCs w:val="24"/>
          <w:lang w:val="fr-FR"/>
        </w:rPr>
        <w:t xml:space="preserve">nature </w:t>
      </w:r>
      <w:r w:rsidR="008073BB">
        <w:rPr>
          <w:bCs/>
          <w:sz w:val="24"/>
          <w:szCs w:val="24"/>
          <w:lang w:val="fr-FR"/>
        </w:rPr>
        <w:t>des questions traitées par le TC</w:t>
      </w:r>
      <w:r w:rsidR="000F1A42" w:rsidRPr="009006A4">
        <w:rPr>
          <w:bCs/>
          <w:sz w:val="24"/>
          <w:szCs w:val="24"/>
          <w:lang w:val="fr-FR"/>
        </w:rPr>
        <w:t xml:space="preserve"> </w:t>
      </w:r>
      <w:r w:rsidR="008073BB">
        <w:rPr>
          <w:bCs/>
          <w:sz w:val="24"/>
          <w:szCs w:val="24"/>
          <w:lang w:val="fr-FR"/>
        </w:rPr>
        <w:t>est telle qu’une ou deux réunions en présentiel sont nécessaires au cours de ch</w:t>
      </w:r>
      <w:r w:rsidR="006219CB">
        <w:rPr>
          <w:bCs/>
          <w:sz w:val="24"/>
          <w:szCs w:val="24"/>
          <w:lang w:val="fr-FR"/>
        </w:rPr>
        <w:t>a</w:t>
      </w:r>
      <w:r w:rsidR="008073BB">
        <w:rPr>
          <w:bCs/>
          <w:sz w:val="24"/>
          <w:szCs w:val="24"/>
          <w:lang w:val="fr-FR"/>
        </w:rPr>
        <w:t>que période triennale</w:t>
      </w:r>
      <w:r w:rsidR="000F1A42" w:rsidRPr="009006A4">
        <w:rPr>
          <w:bCs/>
          <w:sz w:val="24"/>
          <w:szCs w:val="24"/>
          <w:lang w:val="fr-FR"/>
        </w:rPr>
        <w:t xml:space="preserve">. </w:t>
      </w:r>
    </w:p>
    <w:p w14:paraId="5AC815B9" w14:textId="5D0BD9F2" w:rsidR="00AA5F4B" w:rsidRPr="009006A4" w:rsidRDefault="00AA5F4B" w:rsidP="00714211">
      <w:pPr>
        <w:jc w:val="both"/>
        <w:rPr>
          <w:bCs/>
          <w:sz w:val="24"/>
          <w:szCs w:val="24"/>
          <w:lang w:val="fr-FR"/>
        </w:rPr>
      </w:pPr>
    </w:p>
    <w:p w14:paraId="2AB50A0F" w14:textId="413A709B" w:rsidR="00AA5F4B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18.</w:t>
      </w:r>
      <w:r w:rsidR="008073BB">
        <w:rPr>
          <w:bCs/>
          <w:sz w:val="24"/>
          <w:szCs w:val="24"/>
          <w:lang w:val="fr-FR"/>
        </w:rPr>
        <w:t xml:space="preserve"> La </w:t>
      </w:r>
      <w:r w:rsidR="00AA5F4B" w:rsidRPr="009006A4">
        <w:rPr>
          <w:b/>
          <w:sz w:val="24"/>
          <w:szCs w:val="24"/>
          <w:lang w:val="fr-FR"/>
        </w:rPr>
        <w:t>S</w:t>
      </w:r>
      <w:r w:rsidR="008073BB">
        <w:rPr>
          <w:b/>
          <w:sz w:val="24"/>
          <w:szCs w:val="24"/>
          <w:lang w:val="fr-FR"/>
        </w:rPr>
        <w:t xml:space="preserve">uède </w:t>
      </w:r>
      <w:r w:rsidR="008073BB" w:rsidRPr="006219CB">
        <w:rPr>
          <w:bCs/>
          <w:sz w:val="24"/>
          <w:szCs w:val="24"/>
          <w:lang w:val="fr-FR"/>
        </w:rPr>
        <w:t>soutient l’</w:t>
      </w:r>
      <w:r w:rsidR="000F1A42" w:rsidRPr="006219CB">
        <w:rPr>
          <w:bCs/>
          <w:sz w:val="24"/>
          <w:szCs w:val="24"/>
          <w:lang w:val="fr-FR"/>
        </w:rPr>
        <w:t>intervention</w:t>
      </w:r>
      <w:r w:rsidR="006219CB">
        <w:rPr>
          <w:bCs/>
          <w:sz w:val="24"/>
          <w:szCs w:val="24"/>
          <w:lang w:val="fr-FR"/>
        </w:rPr>
        <w:t xml:space="preserve"> des Pays-Bas</w:t>
      </w:r>
      <w:r w:rsidR="00AA5F4B" w:rsidRPr="009006A4">
        <w:rPr>
          <w:bCs/>
          <w:sz w:val="24"/>
          <w:szCs w:val="24"/>
          <w:lang w:val="fr-FR"/>
        </w:rPr>
        <w:t xml:space="preserve"> </w:t>
      </w:r>
      <w:r w:rsidR="006219CB">
        <w:rPr>
          <w:bCs/>
          <w:sz w:val="24"/>
          <w:szCs w:val="24"/>
          <w:lang w:val="fr-FR"/>
        </w:rPr>
        <w:t>et accueille favorablement les</w:t>
      </w:r>
      <w:r w:rsidR="001F24BA" w:rsidRPr="009006A4">
        <w:rPr>
          <w:bCs/>
          <w:sz w:val="24"/>
          <w:szCs w:val="24"/>
          <w:lang w:val="fr-FR"/>
        </w:rPr>
        <w:t xml:space="preserve"> information</w:t>
      </w:r>
      <w:r w:rsidR="006219CB">
        <w:rPr>
          <w:bCs/>
          <w:sz w:val="24"/>
          <w:szCs w:val="24"/>
          <w:lang w:val="fr-FR"/>
        </w:rPr>
        <w:t>s supplémentaires fournies par le Secrétaire exécutif</w:t>
      </w:r>
      <w:r w:rsidR="001F24BA" w:rsidRPr="009006A4">
        <w:rPr>
          <w:bCs/>
          <w:sz w:val="24"/>
          <w:szCs w:val="24"/>
          <w:lang w:val="fr-FR"/>
        </w:rPr>
        <w:t xml:space="preserve"> </w:t>
      </w:r>
      <w:r w:rsidR="006219CB">
        <w:rPr>
          <w:bCs/>
          <w:sz w:val="24"/>
          <w:szCs w:val="24"/>
          <w:lang w:val="fr-FR"/>
        </w:rPr>
        <w:t xml:space="preserve">à propos des </w:t>
      </w:r>
      <w:r w:rsidR="001F24BA" w:rsidRPr="009006A4">
        <w:rPr>
          <w:bCs/>
          <w:sz w:val="24"/>
          <w:szCs w:val="24"/>
          <w:lang w:val="fr-FR"/>
        </w:rPr>
        <w:t xml:space="preserve">implications </w:t>
      </w:r>
      <w:r w:rsidR="006219CB">
        <w:rPr>
          <w:bCs/>
          <w:sz w:val="24"/>
          <w:szCs w:val="24"/>
          <w:lang w:val="fr-FR"/>
        </w:rPr>
        <w:t>du</w:t>
      </w:r>
      <w:r w:rsidR="001F24BA" w:rsidRPr="009006A4">
        <w:rPr>
          <w:bCs/>
          <w:sz w:val="24"/>
          <w:szCs w:val="24"/>
          <w:lang w:val="fr-FR"/>
        </w:rPr>
        <w:t xml:space="preserve"> Sc</w:t>
      </w:r>
      <w:r w:rsidR="006219CB">
        <w:rPr>
          <w:bCs/>
          <w:sz w:val="24"/>
          <w:szCs w:val="24"/>
          <w:lang w:val="fr-FR"/>
        </w:rPr>
        <w:t>é</w:t>
      </w:r>
      <w:r w:rsidR="001F24BA" w:rsidRPr="009006A4">
        <w:rPr>
          <w:bCs/>
          <w:sz w:val="24"/>
          <w:szCs w:val="24"/>
          <w:lang w:val="fr-FR"/>
        </w:rPr>
        <w:t>nario 1</w:t>
      </w:r>
      <w:r w:rsidR="00AA5F4B" w:rsidRPr="009006A4">
        <w:rPr>
          <w:bCs/>
          <w:sz w:val="24"/>
          <w:szCs w:val="24"/>
          <w:lang w:val="fr-FR"/>
        </w:rPr>
        <w:t xml:space="preserve">. </w:t>
      </w:r>
      <w:r w:rsidR="006219CB">
        <w:rPr>
          <w:bCs/>
          <w:sz w:val="24"/>
          <w:szCs w:val="24"/>
          <w:lang w:val="fr-FR"/>
        </w:rPr>
        <w:t xml:space="preserve">La </w:t>
      </w:r>
      <w:r w:rsidR="001F24BA" w:rsidRPr="009006A4">
        <w:rPr>
          <w:bCs/>
          <w:sz w:val="24"/>
          <w:szCs w:val="24"/>
          <w:lang w:val="fr-FR"/>
        </w:rPr>
        <w:t>S</w:t>
      </w:r>
      <w:r w:rsidR="006219CB">
        <w:rPr>
          <w:bCs/>
          <w:sz w:val="24"/>
          <w:szCs w:val="24"/>
          <w:lang w:val="fr-FR"/>
        </w:rPr>
        <w:t xml:space="preserve">uède se déclare favorable à l’idée de commencer par une </w:t>
      </w:r>
      <w:r w:rsidR="00A92B21">
        <w:rPr>
          <w:bCs/>
          <w:sz w:val="24"/>
          <w:szCs w:val="24"/>
          <w:lang w:val="fr-FR"/>
        </w:rPr>
        <w:t>base de référence</w:t>
      </w:r>
      <w:r w:rsidR="001F24BA" w:rsidRPr="009006A4">
        <w:rPr>
          <w:bCs/>
          <w:sz w:val="24"/>
          <w:szCs w:val="24"/>
          <w:lang w:val="fr-FR"/>
        </w:rPr>
        <w:t xml:space="preserve"> </w:t>
      </w:r>
      <w:r w:rsidR="006219CB">
        <w:rPr>
          <w:bCs/>
          <w:sz w:val="24"/>
          <w:szCs w:val="24"/>
          <w:lang w:val="fr-FR"/>
        </w:rPr>
        <w:t>fondée sur le</w:t>
      </w:r>
      <w:r w:rsidR="001F24BA" w:rsidRPr="009006A4">
        <w:rPr>
          <w:bCs/>
          <w:sz w:val="24"/>
          <w:szCs w:val="24"/>
          <w:lang w:val="fr-FR"/>
        </w:rPr>
        <w:t xml:space="preserve"> </w:t>
      </w:r>
      <w:r w:rsidR="00AA5F4B" w:rsidRPr="009006A4">
        <w:rPr>
          <w:bCs/>
          <w:sz w:val="24"/>
          <w:szCs w:val="24"/>
          <w:lang w:val="fr-FR"/>
        </w:rPr>
        <w:t>Sc</w:t>
      </w:r>
      <w:r w:rsidR="006219CB">
        <w:rPr>
          <w:bCs/>
          <w:sz w:val="24"/>
          <w:szCs w:val="24"/>
          <w:lang w:val="fr-FR"/>
        </w:rPr>
        <w:t>é</w:t>
      </w:r>
      <w:r w:rsidR="00AA5F4B" w:rsidRPr="009006A4">
        <w:rPr>
          <w:bCs/>
          <w:sz w:val="24"/>
          <w:szCs w:val="24"/>
          <w:lang w:val="fr-FR"/>
        </w:rPr>
        <w:t>nario 2</w:t>
      </w:r>
      <w:r w:rsidR="001F24BA" w:rsidRPr="009006A4">
        <w:rPr>
          <w:bCs/>
          <w:sz w:val="24"/>
          <w:szCs w:val="24"/>
          <w:lang w:val="fr-FR"/>
        </w:rPr>
        <w:t xml:space="preserve">, </w:t>
      </w:r>
      <w:r w:rsidR="006219CB">
        <w:rPr>
          <w:bCs/>
          <w:sz w:val="24"/>
          <w:szCs w:val="24"/>
          <w:lang w:val="fr-FR"/>
        </w:rPr>
        <w:t>avec la</w:t>
      </w:r>
      <w:r w:rsidR="001F24BA" w:rsidRPr="009006A4">
        <w:rPr>
          <w:bCs/>
          <w:sz w:val="24"/>
          <w:szCs w:val="24"/>
          <w:lang w:val="fr-FR"/>
        </w:rPr>
        <w:t xml:space="preserve"> possibilit</w:t>
      </w:r>
      <w:r w:rsidR="006219CB">
        <w:rPr>
          <w:bCs/>
          <w:sz w:val="24"/>
          <w:szCs w:val="24"/>
          <w:lang w:val="fr-FR"/>
        </w:rPr>
        <w:t>é d’aller jusqu’au</w:t>
      </w:r>
      <w:r w:rsidR="00AA5F4B" w:rsidRPr="009006A4">
        <w:rPr>
          <w:bCs/>
          <w:sz w:val="24"/>
          <w:szCs w:val="24"/>
          <w:lang w:val="fr-FR"/>
        </w:rPr>
        <w:t xml:space="preserve"> Sc</w:t>
      </w:r>
      <w:r w:rsidR="006219CB">
        <w:rPr>
          <w:bCs/>
          <w:sz w:val="24"/>
          <w:szCs w:val="24"/>
          <w:lang w:val="fr-FR"/>
        </w:rPr>
        <w:t>é</w:t>
      </w:r>
      <w:r w:rsidR="00AA5F4B" w:rsidRPr="009006A4">
        <w:rPr>
          <w:bCs/>
          <w:sz w:val="24"/>
          <w:szCs w:val="24"/>
          <w:lang w:val="fr-FR"/>
        </w:rPr>
        <w:t>nario 3</w:t>
      </w:r>
      <w:r w:rsidR="001F24BA" w:rsidRPr="009006A4">
        <w:rPr>
          <w:bCs/>
          <w:sz w:val="24"/>
          <w:szCs w:val="24"/>
          <w:lang w:val="fr-FR"/>
        </w:rPr>
        <w:t xml:space="preserve">, </w:t>
      </w:r>
      <w:r w:rsidR="006219CB">
        <w:rPr>
          <w:bCs/>
          <w:sz w:val="24"/>
          <w:szCs w:val="24"/>
          <w:lang w:val="fr-FR"/>
        </w:rPr>
        <w:t xml:space="preserve">et met en garde les </w:t>
      </w:r>
      <w:r w:rsidR="001F24BA" w:rsidRPr="009006A4">
        <w:rPr>
          <w:bCs/>
          <w:sz w:val="24"/>
          <w:szCs w:val="24"/>
          <w:lang w:val="fr-FR"/>
        </w:rPr>
        <w:t xml:space="preserve">Parties </w:t>
      </w:r>
      <w:r w:rsidR="006219CB">
        <w:rPr>
          <w:bCs/>
          <w:sz w:val="24"/>
          <w:szCs w:val="24"/>
          <w:lang w:val="fr-FR"/>
        </w:rPr>
        <w:t>contre une</w:t>
      </w:r>
      <w:r w:rsidR="00AA5F4B" w:rsidRPr="009006A4">
        <w:rPr>
          <w:bCs/>
          <w:sz w:val="24"/>
          <w:szCs w:val="24"/>
          <w:lang w:val="fr-FR"/>
        </w:rPr>
        <w:t xml:space="preserve"> micro-</w:t>
      </w:r>
      <w:r w:rsidR="006219CB">
        <w:rPr>
          <w:bCs/>
          <w:sz w:val="24"/>
          <w:szCs w:val="24"/>
          <w:lang w:val="fr-FR"/>
        </w:rPr>
        <w:t>gestion</w:t>
      </w:r>
      <w:r w:rsidR="00AA5F4B" w:rsidRPr="009006A4">
        <w:rPr>
          <w:bCs/>
          <w:sz w:val="24"/>
          <w:szCs w:val="24"/>
          <w:lang w:val="fr-FR"/>
        </w:rPr>
        <w:t xml:space="preserve"> </w:t>
      </w:r>
      <w:r w:rsidR="006219CB">
        <w:rPr>
          <w:bCs/>
          <w:sz w:val="24"/>
          <w:szCs w:val="24"/>
          <w:lang w:val="fr-FR"/>
        </w:rPr>
        <w:t>du</w:t>
      </w:r>
      <w:r w:rsidR="00AA5F4B" w:rsidRPr="009006A4">
        <w:rPr>
          <w:bCs/>
          <w:sz w:val="24"/>
          <w:szCs w:val="24"/>
          <w:lang w:val="fr-FR"/>
        </w:rPr>
        <w:t xml:space="preserve"> Secr</w:t>
      </w:r>
      <w:r w:rsidR="006219CB">
        <w:rPr>
          <w:bCs/>
          <w:sz w:val="24"/>
          <w:szCs w:val="24"/>
          <w:lang w:val="fr-FR"/>
        </w:rPr>
        <w:t>é</w:t>
      </w:r>
      <w:r w:rsidR="00AA5F4B" w:rsidRPr="009006A4">
        <w:rPr>
          <w:bCs/>
          <w:sz w:val="24"/>
          <w:szCs w:val="24"/>
          <w:lang w:val="fr-FR"/>
        </w:rPr>
        <w:t>tariat.</w:t>
      </w:r>
    </w:p>
    <w:p w14:paraId="2D5FDCA5" w14:textId="51A07CEF" w:rsidR="00AA5F4B" w:rsidRPr="009006A4" w:rsidRDefault="00AA5F4B" w:rsidP="00714211">
      <w:pPr>
        <w:jc w:val="both"/>
        <w:rPr>
          <w:bCs/>
          <w:sz w:val="24"/>
          <w:szCs w:val="24"/>
          <w:lang w:val="fr-FR"/>
        </w:rPr>
      </w:pPr>
    </w:p>
    <w:p w14:paraId="14E5B23F" w14:textId="3B1435DE" w:rsidR="00AA5F4B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19.</w:t>
      </w:r>
      <w:r w:rsidR="006219CB">
        <w:rPr>
          <w:bCs/>
          <w:sz w:val="24"/>
          <w:szCs w:val="24"/>
          <w:lang w:val="fr-FR"/>
        </w:rPr>
        <w:t xml:space="preserve"> Le</w:t>
      </w:r>
      <w:r w:rsidRPr="009006A4">
        <w:rPr>
          <w:bCs/>
          <w:sz w:val="24"/>
          <w:szCs w:val="24"/>
          <w:lang w:val="fr-FR"/>
        </w:rPr>
        <w:t xml:space="preserve"> </w:t>
      </w:r>
      <w:r w:rsidR="00AA5F4B" w:rsidRPr="009006A4">
        <w:rPr>
          <w:b/>
          <w:sz w:val="24"/>
          <w:szCs w:val="24"/>
          <w:lang w:val="fr-FR"/>
        </w:rPr>
        <w:t>D</w:t>
      </w:r>
      <w:r w:rsidR="006219CB">
        <w:rPr>
          <w:b/>
          <w:sz w:val="24"/>
          <w:szCs w:val="24"/>
          <w:lang w:val="fr-FR"/>
        </w:rPr>
        <w:t>anemark</w:t>
      </w:r>
      <w:r w:rsidR="001F24BA" w:rsidRPr="009006A4">
        <w:rPr>
          <w:bCs/>
          <w:sz w:val="24"/>
          <w:szCs w:val="24"/>
          <w:lang w:val="fr-FR"/>
        </w:rPr>
        <w:t xml:space="preserve"> </w:t>
      </w:r>
      <w:r w:rsidR="006219CB">
        <w:rPr>
          <w:bCs/>
          <w:sz w:val="24"/>
          <w:szCs w:val="24"/>
          <w:lang w:val="fr-FR"/>
        </w:rPr>
        <w:t>juge nécessaire</w:t>
      </w:r>
      <w:r w:rsidR="00AA5F4B" w:rsidRPr="009006A4">
        <w:rPr>
          <w:bCs/>
          <w:sz w:val="24"/>
          <w:szCs w:val="24"/>
          <w:lang w:val="fr-FR"/>
        </w:rPr>
        <w:t xml:space="preserve"> </w:t>
      </w:r>
      <w:r w:rsidR="006219CB">
        <w:rPr>
          <w:bCs/>
          <w:sz w:val="24"/>
          <w:szCs w:val="24"/>
          <w:lang w:val="fr-FR"/>
        </w:rPr>
        <w:t>de reconnaître la charge de travail et le sous-financement du</w:t>
      </w:r>
      <w:r w:rsidR="00AA5F4B" w:rsidRPr="009006A4">
        <w:rPr>
          <w:bCs/>
          <w:sz w:val="24"/>
          <w:szCs w:val="24"/>
          <w:lang w:val="fr-FR"/>
        </w:rPr>
        <w:t xml:space="preserve"> Sec</w:t>
      </w:r>
      <w:r w:rsidR="001F24BA" w:rsidRPr="009006A4">
        <w:rPr>
          <w:bCs/>
          <w:sz w:val="24"/>
          <w:szCs w:val="24"/>
          <w:lang w:val="fr-FR"/>
        </w:rPr>
        <w:t>r</w:t>
      </w:r>
      <w:r w:rsidR="006219CB">
        <w:rPr>
          <w:bCs/>
          <w:sz w:val="24"/>
          <w:szCs w:val="24"/>
          <w:lang w:val="fr-FR"/>
        </w:rPr>
        <w:t>é</w:t>
      </w:r>
      <w:r w:rsidR="001F24BA" w:rsidRPr="009006A4">
        <w:rPr>
          <w:bCs/>
          <w:sz w:val="24"/>
          <w:szCs w:val="24"/>
          <w:lang w:val="fr-FR"/>
        </w:rPr>
        <w:t>tariat.</w:t>
      </w:r>
      <w:r w:rsidR="00AA5F4B" w:rsidRPr="009006A4">
        <w:rPr>
          <w:bCs/>
          <w:sz w:val="24"/>
          <w:szCs w:val="24"/>
          <w:lang w:val="fr-FR"/>
        </w:rPr>
        <w:t xml:space="preserve"> </w:t>
      </w:r>
      <w:r w:rsidR="006219CB">
        <w:rPr>
          <w:bCs/>
          <w:sz w:val="24"/>
          <w:szCs w:val="24"/>
          <w:lang w:val="fr-FR"/>
        </w:rPr>
        <w:t>Cela signifie que le</w:t>
      </w:r>
      <w:r w:rsidR="00AA5F4B" w:rsidRPr="009006A4">
        <w:rPr>
          <w:bCs/>
          <w:sz w:val="24"/>
          <w:szCs w:val="24"/>
          <w:lang w:val="fr-FR"/>
        </w:rPr>
        <w:t xml:space="preserve"> Sc</w:t>
      </w:r>
      <w:r w:rsidR="006219CB">
        <w:rPr>
          <w:bCs/>
          <w:sz w:val="24"/>
          <w:szCs w:val="24"/>
          <w:lang w:val="fr-FR"/>
        </w:rPr>
        <w:t>é</w:t>
      </w:r>
      <w:r w:rsidR="00AA5F4B" w:rsidRPr="009006A4">
        <w:rPr>
          <w:bCs/>
          <w:sz w:val="24"/>
          <w:szCs w:val="24"/>
          <w:lang w:val="fr-FR"/>
        </w:rPr>
        <w:t xml:space="preserve">nario 3 </w:t>
      </w:r>
      <w:r w:rsidR="006219CB">
        <w:rPr>
          <w:bCs/>
          <w:sz w:val="24"/>
          <w:szCs w:val="24"/>
          <w:lang w:val="fr-FR"/>
        </w:rPr>
        <w:t xml:space="preserve">devrait être l’option choisie comme </w:t>
      </w:r>
      <w:r w:rsidR="00A92B21">
        <w:rPr>
          <w:bCs/>
          <w:sz w:val="24"/>
          <w:szCs w:val="24"/>
          <w:lang w:val="fr-FR"/>
        </w:rPr>
        <w:t>base de référence</w:t>
      </w:r>
      <w:r w:rsidR="00AA5F4B" w:rsidRPr="009006A4">
        <w:rPr>
          <w:bCs/>
          <w:sz w:val="24"/>
          <w:szCs w:val="24"/>
          <w:lang w:val="fr-FR"/>
        </w:rPr>
        <w:t xml:space="preserve">. </w:t>
      </w:r>
      <w:r w:rsidR="006219CB">
        <w:rPr>
          <w:bCs/>
          <w:sz w:val="24"/>
          <w:szCs w:val="24"/>
          <w:lang w:val="fr-FR"/>
        </w:rPr>
        <w:t xml:space="preserve">Le </w:t>
      </w:r>
      <w:r w:rsidR="003B7ED5" w:rsidRPr="009006A4">
        <w:rPr>
          <w:bCs/>
          <w:sz w:val="24"/>
          <w:szCs w:val="24"/>
          <w:lang w:val="fr-FR"/>
        </w:rPr>
        <w:t>D</w:t>
      </w:r>
      <w:r w:rsidR="006219CB">
        <w:rPr>
          <w:bCs/>
          <w:sz w:val="24"/>
          <w:szCs w:val="24"/>
          <w:lang w:val="fr-FR"/>
        </w:rPr>
        <w:t>anemark est ouvert à la</w:t>
      </w:r>
      <w:r w:rsidR="00AA5F4B" w:rsidRPr="009006A4">
        <w:rPr>
          <w:bCs/>
          <w:sz w:val="24"/>
          <w:szCs w:val="24"/>
          <w:lang w:val="fr-FR"/>
        </w:rPr>
        <w:t xml:space="preserve"> discuss</w:t>
      </w:r>
      <w:r w:rsidR="003B7ED5" w:rsidRPr="009006A4">
        <w:rPr>
          <w:bCs/>
          <w:sz w:val="24"/>
          <w:szCs w:val="24"/>
          <w:lang w:val="fr-FR"/>
        </w:rPr>
        <w:t>i</w:t>
      </w:r>
      <w:r w:rsidR="006219CB">
        <w:rPr>
          <w:bCs/>
          <w:sz w:val="24"/>
          <w:szCs w:val="24"/>
          <w:lang w:val="fr-FR"/>
        </w:rPr>
        <w:t>o</w:t>
      </w:r>
      <w:r w:rsidR="003B7ED5" w:rsidRPr="009006A4">
        <w:rPr>
          <w:bCs/>
          <w:sz w:val="24"/>
          <w:szCs w:val="24"/>
          <w:lang w:val="fr-FR"/>
        </w:rPr>
        <w:t>n</w:t>
      </w:r>
      <w:r w:rsidR="00AA5F4B" w:rsidRPr="009006A4">
        <w:rPr>
          <w:bCs/>
          <w:sz w:val="24"/>
          <w:szCs w:val="24"/>
          <w:lang w:val="fr-FR"/>
        </w:rPr>
        <w:t xml:space="preserve"> </w:t>
      </w:r>
      <w:r w:rsidR="006219CB">
        <w:rPr>
          <w:bCs/>
          <w:sz w:val="24"/>
          <w:szCs w:val="24"/>
          <w:lang w:val="fr-FR"/>
        </w:rPr>
        <w:t xml:space="preserve">concernant le </w:t>
      </w:r>
      <w:r w:rsidR="00AA5F4B" w:rsidRPr="009006A4">
        <w:rPr>
          <w:bCs/>
          <w:sz w:val="24"/>
          <w:szCs w:val="24"/>
          <w:lang w:val="fr-FR"/>
        </w:rPr>
        <w:t>Sc</w:t>
      </w:r>
      <w:r w:rsidR="006219CB">
        <w:rPr>
          <w:bCs/>
          <w:sz w:val="24"/>
          <w:szCs w:val="24"/>
          <w:lang w:val="fr-FR"/>
        </w:rPr>
        <w:t>é</w:t>
      </w:r>
      <w:r w:rsidR="00AA5F4B" w:rsidRPr="009006A4">
        <w:rPr>
          <w:bCs/>
          <w:sz w:val="24"/>
          <w:szCs w:val="24"/>
          <w:lang w:val="fr-FR"/>
        </w:rPr>
        <w:t>nario 2</w:t>
      </w:r>
      <w:r w:rsidR="006219CB">
        <w:rPr>
          <w:bCs/>
          <w:sz w:val="24"/>
          <w:szCs w:val="24"/>
          <w:lang w:val="fr-FR"/>
        </w:rPr>
        <w:t>, mais soutient pleinement le</w:t>
      </w:r>
      <w:r w:rsidR="00AA5F4B" w:rsidRPr="009006A4">
        <w:rPr>
          <w:bCs/>
          <w:sz w:val="24"/>
          <w:szCs w:val="24"/>
          <w:lang w:val="fr-FR"/>
        </w:rPr>
        <w:t xml:space="preserve"> Sc</w:t>
      </w:r>
      <w:r w:rsidR="006219CB">
        <w:rPr>
          <w:bCs/>
          <w:sz w:val="24"/>
          <w:szCs w:val="24"/>
          <w:lang w:val="fr-FR"/>
        </w:rPr>
        <w:t>é</w:t>
      </w:r>
      <w:r w:rsidR="00AA5F4B" w:rsidRPr="009006A4">
        <w:rPr>
          <w:bCs/>
          <w:sz w:val="24"/>
          <w:szCs w:val="24"/>
          <w:lang w:val="fr-FR"/>
        </w:rPr>
        <w:t xml:space="preserve">nario 4. </w:t>
      </w:r>
      <w:r w:rsidR="006219CB">
        <w:rPr>
          <w:bCs/>
          <w:sz w:val="24"/>
          <w:szCs w:val="24"/>
          <w:lang w:val="fr-FR"/>
        </w:rPr>
        <w:t xml:space="preserve">Les </w:t>
      </w:r>
      <w:r w:rsidR="003B7ED5" w:rsidRPr="009006A4">
        <w:rPr>
          <w:bCs/>
          <w:sz w:val="24"/>
          <w:szCs w:val="24"/>
          <w:lang w:val="fr-FR"/>
        </w:rPr>
        <w:t>Parties</w:t>
      </w:r>
      <w:r w:rsidR="00AA5F4B" w:rsidRPr="009006A4">
        <w:rPr>
          <w:bCs/>
          <w:sz w:val="24"/>
          <w:szCs w:val="24"/>
          <w:lang w:val="fr-FR"/>
        </w:rPr>
        <w:t xml:space="preserve"> </w:t>
      </w:r>
      <w:r w:rsidR="006219CB">
        <w:rPr>
          <w:bCs/>
          <w:sz w:val="24"/>
          <w:szCs w:val="24"/>
          <w:lang w:val="fr-FR"/>
        </w:rPr>
        <w:t>doivent tenir compte</w:t>
      </w:r>
      <w:r w:rsidR="00C30937">
        <w:rPr>
          <w:bCs/>
          <w:sz w:val="24"/>
          <w:szCs w:val="24"/>
          <w:lang w:val="fr-FR"/>
        </w:rPr>
        <w:t xml:space="preserve"> de leurs décisions passées </w:t>
      </w:r>
      <w:r w:rsidR="002C5E03" w:rsidRPr="009006A4">
        <w:rPr>
          <w:bCs/>
          <w:sz w:val="24"/>
          <w:szCs w:val="24"/>
          <w:lang w:val="fr-FR"/>
        </w:rPr>
        <w:t>;</w:t>
      </w:r>
      <w:r w:rsidR="00AA5F4B" w:rsidRPr="009006A4">
        <w:rPr>
          <w:bCs/>
          <w:sz w:val="24"/>
          <w:szCs w:val="24"/>
          <w:lang w:val="fr-FR"/>
        </w:rPr>
        <w:t xml:space="preserve"> </w:t>
      </w:r>
      <w:r w:rsidR="00C30937">
        <w:rPr>
          <w:bCs/>
          <w:sz w:val="24"/>
          <w:szCs w:val="24"/>
          <w:lang w:val="fr-FR"/>
        </w:rPr>
        <w:t xml:space="preserve">des </w:t>
      </w:r>
      <w:r w:rsidR="003B7ED5" w:rsidRPr="009006A4">
        <w:rPr>
          <w:bCs/>
          <w:sz w:val="24"/>
          <w:szCs w:val="24"/>
          <w:lang w:val="fr-FR"/>
        </w:rPr>
        <w:t>re</w:t>
      </w:r>
      <w:r w:rsidR="00C30937">
        <w:rPr>
          <w:bCs/>
          <w:sz w:val="24"/>
          <w:szCs w:val="24"/>
          <w:lang w:val="fr-FR"/>
        </w:rPr>
        <w:t>s</w:t>
      </w:r>
      <w:r w:rsidR="003B7ED5" w:rsidRPr="009006A4">
        <w:rPr>
          <w:bCs/>
          <w:sz w:val="24"/>
          <w:szCs w:val="24"/>
          <w:lang w:val="fr-FR"/>
        </w:rPr>
        <w:t>sources</w:t>
      </w:r>
      <w:r w:rsidR="002C5E03" w:rsidRPr="009006A4">
        <w:rPr>
          <w:bCs/>
          <w:sz w:val="24"/>
          <w:szCs w:val="24"/>
          <w:lang w:val="fr-FR"/>
        </w:rPr>
        <w:t xml:space="preserve"> </w:t>
      </w:r>
      <w:r w:rsidR="00C30937">
        <w:rPr>
          <w:bCs/>
          <w:sz w:val="24"/>
          <w:szCs w:val="24"/>
          <w:lang w:val="fr-FR"/>
        </w:rPr>
        <w:t xml:space="preserve">sont nécessaires pour la mise en œuvre </w:t>
      </w:r>
      <w:r w:rsidR="00831498" w:rsidRPr="009006A4">
        <w:rPr>
          <w:bCs/>
          <w:sz w:val="24"/>
          <w:szCs w:val="24"/>
          <w:lang w:val="fr-FR"/>
        </w:rPr>
        <w:t>–</w:t>
      </w:r>
      <w:r w:rsidR="00AA5F4B" w:rsidRPr="009006A4">
        <w:rPr>
          <w:bCs/>
          <w:sz w:val="24"/>
          <w:szCs w:val="24"/>
          <w:lang w:val="fr-FR"/>
        </w:rPr>
        <w:t xml:space="preserve"> </w:t>
      </w:r>
      <w:r w:rsidR="00C30937">
        <w:rPr>
          <w:bCs/>
          <w:sz w:val="24"/>
          <w:szCs w:val="24"/>
          <w:lang w:val="fr-FR"/>
        </w:rPr>
        <w:t>sinon,</w:t>
      </w:r>
      <w:r w:rsidR="00AA5F4B" w:rsidRPr="009006A4">
        <w:rPr>
          <w:bCs/>
          <w:sz w:val="24"/>
          <w:szCs w:val="24"/>
          <w:lang w:val="fr-FR"/>
        </w:rPr>
        <w:t xml:space="preserve"> </w:t>
      </w:r>
      <w:r w:rsidR="00C30937">
        <w:rPr>
          <w:bCs/>
          <w:sz w:val="24"/>
          <w:szCs w:val="24"/>
          <w:lang w:val="fr-FR"/>
        </w:rPr>
        <w:t>ces décisions n’existent que sur papier</w:t>
      </w:r>
      <w:r w:rsidR="00AA5F4B" w:rsidRPr="009006A4">
        <w:rPr>
          <w:bCs/>
          <w:sz w:val="24"/>
          <w:szCs w:val="24"/>
          <w:lang w:val="fr-FR"/>
        </w:rPr>
        <w:t>.</w:t>
      </w:r>
    </w:p>
    <w:p w14:paraId="4FA94768" w14:textId="77777777" w:rsidR="00AA5F4B" w:rsidRPr="009006A4" w:rsidRDefault="00AA5F4B" w:rsidP="00714211">
      <w:pPr>
        <w:jc w:val="both"/>
        <w:rPr>
          <w:bCs/>
          <w:sz w:val="24"/>
          <w:szCs w:val="24"/>
          <w:lang w:val="fr-FR"/>
        </w:rPr>
      </w:pPr>
    </w:p>
    <w:p w14:paraId="2B20008A" w14:textId="324741AB" w:rsidR="00AA5F4B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20.</w:t>
      </w:r>
      <w:r w:rsidR="00C30937">
        <w:rPr>
          <w:bCs/>
          <w:sz w:val="24"/>
          <w:szCs w:val="24"/>
          <w:lang w:val="fr-FR"/>
        </w:rPr>
        <w:t xml:space="preserve"> L’</w:t>
      </w:r>
      <w:r w:rsidR="00C30937">
        <w:rPr>
          <w:b/>
          <w:sz w:val="24"/>
          <w:szCs w:val="24"/>
          <w:lang w:val="fr-FR"/>
        </w:rPr>
        <w:t>Afrique du Sud</w:t>
      </w:r>
      <w:r w:rsidR="00CF7AE1" w:rsidRPr="009006A4">
        <w:rPr>
          <w:bCs/>
          <w:sz w:val="24"/>
          <w:szCs w:val="24"/>
          <w:lang w:val="fr-FR"/>
        </w:rPr>
        <w:t xml:space="preserve"> </w:t>
      </w:r>
      <w:r w:rsidR="00C30937">
        <w:rPr>
          <w:bCs/>
          <w:sz w:val="24"/>
          <w:szCs w:val="24"/>
          <w:lang w:val="fr-FR"/>
        </w:rPr>
        <w:t>est favorable à un</w:t>
      </w:r>
      <w:r w:rsidR="00AA5F4B" w:rsidRPr="009006A4">
        <w:rPr>
          <w:bCs/>
          <w:sz w:val="24"/>
          <w:szCs w:val="24"/>
          <w:lang w:val="fr-FR"/>
        </w:rPr>
        <w:t xml:space="preserve"> Secr</w:t>
      </w:r>
      <w:r w:rsidR="00C30937">
        <w:rPr>
          <w:bCs/>
          <w:sz w:val="24"/>
          <w:szCs w:val="24"/>
          <w:lang w:val="fr-FR"/>
        </w:rPr>
        <w:t>é</w:t>
      </w:r>
      <w:r w:rsidR="00AA5F4B" w:rsidRPr="009006A4">
        <w:rPr>
          <w:bCs/>
          <w:sz w:val="24"/>
          <w:szCs w:val="24"/>
          <w:lang w:val="fr-FR"/>
        </w:rPr>
        <w:t>tariat</w:t>
      </w:r>
      <w:r w:rsidR="00CF7AE1" w:rsidRPr="009006A4">
        <w:rPr>
          <w:bCs/>
          <w:sz w:val="24"/>
          <w:szCs w:val="24"/>
          <w:lang w:val="fr-FR"/>
        </w:rPr>
        <w:t xml:space="preserve"> </w:t>
      </w:r>
      <w:r w:rsidR="00C30937">
        <w:rPr>
          <w:bCs/>
          <w:sz w:val="24"/>
          <w:szCs w:val="24"/>
          <w:lang w:val="fr-FR"/>
        </w:rPr>
        <w:t>pleinement opérationnel, mais n’est pas favorable au soutien du</w:t>
      </w:r>
      <w:r w:rsidR="00AA5F4B" w:rsidRPr="009006A4">
        <w:rPr>
          <w:bCs/>
          <w:sz w:val="24"/>
          <w:szCs w:val="24"/>
          <w:lang w:val="fr-FR"/>
        </w:rPr>
        <w:t xml:space="preserve"> Sc</w:t>
      </w:r>
      <w:r w:rsidR="00C30937">
        <w:rPr>
          <w:bCs/>
          <w:sz w:val="24"/>
          <w:szCs w:val="24"/>
          <w:lang w:val="fr-FR"/>
        </w:rPr>
        <w:t>é</w:t>
      </w:r>
      <w:r w:rsidR="00AA5F4B" w:rsidRPr="009006A4">
        <w:rPr>
          <w:bCs/>
          <w:sz w:val="24"/>
          <w:szCs w:val="24"/>
          <w:lang w:val="fr-FR"/>
        </w:rPr>
        <w:t xml:space="preserve">nario 4 </w:t>
      </w:r>
      <w:r w:rsidR="00C30937">
        <w:rPr>
          <w:bCs/>
          <w:sz w:val="24"/>
          <w:szCs w:val="24"/>
          <w:lang w:val="fr-FR"/>
        </w:rPr>
        <w:t>dans son intégralité</w:t>
      </w:r>
      <w:r w:rsidR="00AA5F4B" w:rsidRPr="009006A4">
        <w:rPr>
          <w:bCs/>
          <w:sz w:val="24"/>
          <w:szCs w:val="24"/>
          <w:lang w:val="fr-FR"/>
        </w:rPr>
        <w:t xml:space="preserve">. </w:t>
      </w:r>
      <w:r w:rsidR="00C30937">
        <w:rPr>
          <w:bCs/>
          <w:sz w:val="24"/>
          <w:szCs w:val="24"/>
          <w:lang w:val="fr-FR"/>
        </w:rPr>
        <w:t xml:space="preserve">Les </w:t>
      </w:r>
      <w:r w:rsidR="00CF7AE1" w:rsidRPr="009006A4">
        <w:rPr>
          <w:bCs/>
          <w:sz w:val="24"/>
          <w:szCs w:val="24"/>
          <w:lang w:val="fr-FR"/>
        </w:rPr>
        <w:t xml:space="preserve">Parties </w:t>
      </w:r>
      <w:r w:rsidR="00C30937">
        <w:rPr>
          <w:bCs/>
          <w:sz w:val="24"/>
          <w:szCs w:val="24"/>
          <w:lang w:val="fr-FR"/>
        </w:rPr>
        <w:t xml:space="preserve">devraient se concentrer sur la meilleure façon de </w:t>
      </w:r>
      <w:r w:rsidR="000F53A4">
        <w:rPr>
          <w:bCs/>
          <w:sz w:val="24"/>
          <w:szCs w:val="24"/>
          <w:lang w:val="fr-FR"/>
        </w:rPr>
        <w:t>réaliser</w:t>
      </w:r>
      <w:r w:rsidR="00E97233">
        <w:rPr>
          <w:bCs/>
          <w:sz w:val="24"/>
          <w:szCs w:val="24"/>
          <w:lang w:val="fr-FR"/>
        </w:rPr>
        <w:t xml:space="preserve"> leurs </w:t>
      </w:r>
      <w:r w:rsidR="00AA5F4B" w:rsidRPr="009006A4">
        <w:rPr>
          <w:bCs/>
          <w:sz w:val="24"/>
          <w:szCs w:val="24"/>
          <w:lang w:val="fr-FR"/>
        </w:rPr>
        <w:t>priorit</w:t>
      </w:r>
      <w:r w:rsidR="00E97233">
        <w:rPr>
          <w:bCs/>
          <w:sz w:val="24"/>
          <w:szCs w:val="24"/>
          <w:lang w:val="fr-FR"/>
        </w:rPr>
        <w:t xml:space="preserve">és </w:t>
      </w:r>
      <w:r w:rsidR="00CF7AE1" w:rsidRPr="009006A4">
        <w:rPr>
          <w:bCs/>
          <w:sz w:val="24"/>
          <w:szCs w:val="24"/>
          <w:lang w:val="fr-FR"/>
        </w:rPr>
        <w:t xml:space="preserve">; </w:t>
      </w:r>
      <w:r w:rsidR="00E97233">
        <w:rPr>
          <w:bCs/>
          <w:sz w:val="24"/>
          <w:szCs w:val="24"/>
          <w:lang w:val="fr-FR"/>
        </w:rPr>
        <w:t>pour l’Afrique du Sud, l’une d’entre elles serait le financement intégral du poste de Coordinateur de l’Initiative africaine</w:t>
      </w:r>
      <w:r w:rsidR="00AA5F4B" w:rsidRPr="009006A4">
        <w:rPr>
          <w:bCs/>
          <w:sz w:val="24"/>
          <w:szCs w:val="24"/>
          <w:lang w:val="fr-FR"/>
        </w:rPr>
        <w:t>.</w:t>
      </w:r>
    </w:p>
    <w:p w14:paraId="45BEB524" w14:textId="4037EE4F" w:rsidR="00AA5F4B" w:rsidRPr="009006A4" w:rsidRDefault="00AA5F4B" w:rsidP="00714211">
      <w:pPr>
        <w:jc w:val="both"/>
        <w:rPr>
          <w:bCs/>
          <w:sz w:val="24"/>
          <w:szCs w:val="24"/>
          <w:lang w:val="fr-FR"/>
        </w:rPr>
      </w:pPr>
    </w:p>
    <w:p w14:paraId="3CBE2A6F" w14:textId="72AF0BDE" w:rsidR="00AA5F4B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21.</w:t>
      </w:r>
      <w:r w:rsidR="00E97233">
        <w:rPr>
          <w:bCs/>
          <w:sz w:val="24"/>
          <w:szCs w:val="24"/>
          <w:lang w:val="fr-FR"/>
        </w:rPr>
        <w:t> La</w:t>
      </w:r>
      <w:r w:rsidRPr="009006A4">
        <w:rPr>
          <w:bCs/>
          <w:sz w:val="24"/>
          <w:szCs w:val="24"/>
          <w:lang w:val="fr-FR"/>
        </w:rPr>
        <w:t xml:space="preserve"> </w:t>
      </w:r>
      <w:r w:rsidR="00E97233">
        <w:rPr>
          <w:b/>
          <w:sz w:val="24"/>
          <w:szCs w:val="24"/>
          <w:lang w:val="fr-FR"/>
        </w:rPr>
        <w:t xml:space="preserve">Belgique </w:t>
      </w:r>
      <w:r w:rsidR="00E97233" w:rsidRPr="00E97233">
        <w:rPr>
          <w:bCs/>
          <w:sz w:val="24"/>
          <w:szCs w:val="24"/>
          <w:lang w:val="fr-FR"/>
        </w:rPr>
        <w:t xml:space="preserve">estime que le </w:t>
      </w:r>
      <w:r w:rsidR="00AA5F4B" w:rsidRPr="009006A4">
        <w:rPr>
          <w:bCs/>
          <w:sz w:val="24"/>
          <w:szCs w:val="24"/>
          <w:lang w:val="fr-FR"/>
        </w:rPr>
        <w:t xml:space="preserve">budget </w:t>
      </w:r>
      <w:r w:rsidR="00E97233">
        <w:rPr>
          <w:bCs/>
          <w:sz w:val="24"/>
          <w:szCs w:val="24"/>
          <w:lang w:val="fr-FR"/>
        </w:rPr>
        <w:t>principal devrait financer le travail de base</w:t>
      </w:r>
      <w:r w:rsidR="00AA5F4B" w:rsidRPr="009006A4">
        <w:rPr>
          <w:bCs/>
          <w:sz w:val="24"/>
          <w:szCs w:val="24"/>
          <w:lang w:val="fr-FR"/>
        </w:rPr>
        <w:t xml:space="preserve">. </w:t>
      </w:r>
      <w:r w:rsidR="00E97233">
        <w:rPr>
          <w:bCs/>
          <w:sz w:val="24"/>
          <w:szCs w:val="24"/>
          <w:lang w:val="fr-FR"/>
        </w:rPr>
        <w:t>Les revalorisations du personnel P</w:t>
      </w:r>
      <w:r w:rsidR="00CF7AE1" w:rsidRPr="009006A4">
        <w:rPr>
          <w:bCs/>
          <w:sz w:val="24"/>
          <w:szCs w:val="24"/>
          <w:lang w:val="fr-FR"/>
        </w:rPr>
        <w:t xml:space="preserve"> </w:t>
      </w:r>
      <w:r w:rsidR="00E97233">
        <w:rPr>
          <w:bCs/>
          <w:sz w:val="24"/>
          <w:szCs w:val="24"/>
          <w:lang w:val="fr-FR"/>
        </w:rPr>
        <w:t xml:space="preserve">du </w:t>
      </w:r>
      <w:r w:rsidR="00CF7AE1" w:rsidRPr="009006A4">
        <w:rPr>
          <w:bCs/>
          <w:sz w:val="24"/>
          <w:szCs w:val="24"/>
          <w:lang w:val="fr-FR"/>
        </w:rPr>
        <w:t>Secr</w:t>
      </w:r>
      <w:r w:rsidR="00E97233">
        <w:rPr>
          <w:bCs/>
          <w:sz w:val="24"/>
          <w:szCs w:val="24"/>
          <w:lang w:val="fr-FR"/>
        </w:rPr>
        <w:t>é</w:t>
      </w:r>
      <w:r w:rsidR="00CF7AE1" w:rsidRPr="009006A4">
        <w:rPr>
          <w:bCs/>
          <w:sz w:val="24"/>
          <w:szCs w:val="24"/>
          <w:lang w:val="fr-FR"/>
        </w:rPr>
        <w:t xml:space="preserve">tariat </w:t>
      </w:r>
      <w:r w:rsidR="00E97233">
        <w:rPr>
          <w:bCs/>
          <w:sz w:val="24"/>
          <w:szCs w:val="24"/>
          <w:lang w:val="fr-FR"/>
        </w:rPr>
        <w:t>ont déjà été au cœur des</w:t>
      </w:r>
      <w:r w:rsidR="00CF7AE1" w:rsidRPr="009006A4">
        <w:rPr>
          <w:bCs/>
          <w:sz w:val="24"/>
          <w:szCs w:val="24"/>
          <w:lang w:val="fr-FR"/>
        </w:rPr>
        <w:t xml:space="preserve"> </w:t>
      </w:r>
      <w:r w:rsidR="00E97233">
        <w:rPr>
          <w:bCs/>
          <w:sz w:val="24"/>
          <w:szCs w:val="24"/>
          <w:lang w:val="fr-FR"/>
        </w:rPr>
        <w:t>discussions de la</w:t>
      </w:r>
      <w:r w:rsidR="00AA5F4B" w:rsidRPr="009006A4">
        <w:rPr>
          <w:bCs/>
          <w:sz w:val="24"/>
          <w:szCs w:val="24"/>
          <w:lang w:val="fr-FR"/>
        </w:rPr>
        <w:t xml:space="preserve"> MOP7. </w:t>
      </w:r>
      <w:r w:rsidR="00E97233">
        <w:rPr>
          <w:bCs/>
          <w:sz w:val="24"/>
          <w:szCs w:val="24"/>
          <w:lang w:val="fr-FR"/>
        </w:rPr>
        <w:t>Si le PNUE</w:t>
      </w:r>
      <w:r w:rsidR="00CF7AE1" w:rsidRPr="009006A4">
        <w:rPr>
          <w:bCs/>
          <w:sz w:val="24"/>
          <w:szCs w:val="24"/>
          <w:lang w:val="fr-FR"/>
        </w:rPr>
        <w:t xml:space="preserve"> </w:t>
      </w:r>
      <w:r w:rsidR="00AA5F4B" w:rsidRPr="009006A4">
        <w:rPr>
          <w:bCs/>
          <w:sz w:val="24"/>
          <w:szCs w:val="24"/>
          <w:lang w:val="fr-FR"/>
        </w:rPr>
        <w:t>recomm</w:t>
      </w:r>
      <w:r w:rsidR="00E97233">
        <w:rPr>
          <w:bCs/>
          <w:sz w:val="24"/>
          <w:szCs w:val="24"/>
          <w:lang w:val="fr-FR"/>
        </w:rPr>
        <w:t>a</w:t>
      </w:r>
      <w:r w:rsidR="00AA5F4B" w:rsidRPr="009006A4">
        <w:rPr>
          <w:bCs/>
          <w:sz w:val="24"/>
          <w:szCs w:val="24"/>
          <w:lang w:val="fr-FR"/>
        </w:rPr>
        <w:t xml:space="preserve">nde </w:t>
      </w:r>
      <w:r w:rsidR="000A5A94">
        <w:rPr>
          <w:bCs/>
          <w:sz w:val="24"/>
          <w:szCs w:val="24"/>
          <w:lang w:val="fr-FR"/>
        </w:rPr>
        <w:t>ce genre de revalorisation, les estimant nécessaires pour</w:t>
      </w:r>
      <w:r w:rsidR="00AA5F4B" w:rsidRPr="009006A4">
        <w:rPr>
          <w:bCs/>
          <w:sz w:val="24"/>
          <w:szCs w:val="24"/>
          <w:lang w:val="fr-FR"/>
        </w:rPr>
        <w:t xml:space="preserve"> </w:t>
      </w:r>
      <w:r w:rsidR="000A5A94">
        <w:rPr>
          <w:bCs/>
          <w:sz w:val="24"/>
          <w:szCs w:val="24"/>
          <w:lang w:val="fr-FR"/>
        </w:rPr>
        <w:t>se conformer aux règles de l’ONU</w:t>
      </w:r>
      <w:r w:rsidR="00AA5F4B" w:rsidRPr="009006A4">
        <w:rPr>
          <w:bCs/>
          <w:sz w:val="24"/>
          <w:szCs w:val="24"/>
          <w:lang w:val="fr-FR"/>
        </w:rPr>
        <w:t xml:space="preserve">, </w:t>
      </w:r>
      <w:r w:rsidR="000A5A94">
        <w:rPr>
          <w:bCs/>
          <w:sz w:val="24"/>
          <w:szCs w:val="24"/>
          <w:lang w:val="fr-FR"/>
        </w:rPr>
        <w:t>la Belgique pourrait soutenir ces revalorisations</w:t>
      </w:r>
      <w:r w:rsidR="00AA5F4B" w:rsidRPr="009006A4">
        <w:rPr>
          <w:bCs/>
          <w:sz w:val="24"/>
          <w:szCs w:val="24"/>
          <w:lang w:val="fr-FR"/>
        </w:rPr>
        <w:t>.</w:t>
      </w:r>
    </w:p>
    <w:p w14:paraId="01D312D5" w14:textId="19863479" w:rsidR="00AA5F4B" w:rsidRPr="009006A4" w:rsidRDefault="00AA5F4B" w:rsidP="00714211">
      <w:pPr>
        <w:jc w:val="both"/>
        <w:rPr>
          <w:bCs/>
          <w:sz w:val="24"/>
          <w:szCs w:val="24"/>
          <w:lang w:val="fr-FR"/>
        </w:rPr>
      </w:pPr>
    </w:p>
    <w:p w14:paraId="559EABA3" w14:textId="2DAC0090" w:rsidR="00157630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22.</w:t>
      </w:r>
      <w:r w:rsidR="000A5A94">
        <w:rPr>
          <w:bCs/>
          <w:sz w:val="24"/>
          <w:szCs w:val="24"/>
          <w:lang w:val="fr-FR"/>
        </w:rPr>
        <w:t xml:space="preserve"> La</w:t>
      </w:r>
      <w:r w:rsidRPr="009006A4">
        <w:rPr>
          <w:bCs/>
          <w:sz w:val="24"/>
          <w:szCs w:val="24"/>
          <w:lang w:val="fr-FR"/>
        </w:rPr>
        <w:t xml:space="preserve"> </w:t>
      </w:r>
      <w:r w:rsidR="00AA5F4B" w:rsidRPr="009006A4">
        <w:rPr>
          <w:b/>
          <w:sz w:val="24"/>
          <w:szCs w:val="24"/>
          <w:lang w:val="fr-FR"/>
        </w:rPr>
        <w:t>France</w:t>
      </w:r>
      <w:r w:rsidR="00CF7AE1" w:rsidRPr="009006A4">
        <w:rPr>
          <w:bCs/>
          <w:sz w:val="24"/>
          <w:szCs w:val="24"/>
          <w:lang w:val="fr-FR"/>
        </w:rPr>
        <w:t xml:space="preserve"> </w:t>
      </w:r>
      <w:r w:rsidR="000A5A94">
        <w:rPr>
          <w:bCs/>
          <w:sz w:val="24"/>
          <w:szCs w:val="24"/>
          <w:lang w:val="fr-FR"/>
        </w:rPr>
        <w:t>est préoccupée par l’un des</w:t>
      </w:r>
      <w:r w:rsidR="00872DC8" w:rsidRPr="009006A4">
        <w:rPr>
          <w:bCs/>
          <w:sz w:val="24"/>
          <w:szCs w:val="24"/>
          <w:lang w:val="fr-FR"/>
        </w:rPr>
        <w:t xml:space="preserve"> </w:t>
      </w:r>
      <w:r w:rsidR="00CF7AE1" w:rsidRPr="009006A4">
        <w:rPr>
          <w:bCs/>
          <w:sz w:val="24"/>
          <w:szCs w:val="24"/>
          <w:lang w:val="fr-FR"/>
        </w:rPr>
        <w:t>principe</w:t>
      </w:r>
      <w:r w:rsidR="00872DC8" w:rsidRPr="009006A4">
        <w:rPr>
          <w:bCs/>
          <w:sz w:val="24"/>
          <w:szCs w:val="24"/>
          <w:lang w:val="fr-FR"/>
        </w:rPr>
        <w:t>s</w:t>
      </w:r>
      <w:r w:rsidR="00CF7AE1" w:rsidRPr="009006A4">
        <w:rPr>
          <w:bCs/>
          <w:sz w:val="24"/>
          <w:szCs w:val="24"/>
          <w:lang w:val="fr-FR"/>
        </w:rPr>
        <w:t xml:space="preserve"> </w:t>
      </w:r>
      <w:r w:rsidR="000A5A94">
        <w:rPr>
          <w:bCs/>
          <w:sz w:val="24"/>
          <w:szCs w:val="24"/>
          <w:lang w:val="fr-FR"/>
        </w:rPr>
        <w:t>budgétaires énoncés par le</w:t>
      </w:r>
      <w:r w:rsidR="00872DC8" w:rsidRPr="009006A4">
        <w:rPr>
          <w:bCs/>
          <w:sz w:val="24"/>
          <w:szCs w:val="24"/>
          <w:lang w:val="fr-FR"/>
        </w:rPr>
        <w:t xml:space="preserve"> Secr</w:t>
      </w:r>
      <w:r w:rsidR="000A5A94">
        <w:rPr>
          <w:bCs/>
          <w:sz w:val="24"/>
          <w:szCs w:val="24"/>
          <w:lang w:val="fr-FR"/>
        </w:rPr>
        <w:t>é</w:t>
      </w:r>
      <w:r w:rsidR="00872DC8" w:rsidRPr="009006A4">
        <w:rPr>
          <w:bCs/>
          <w:sz w:val="24"/>
          <w:szCs w:val="24"/>
          <w:lang w:val="fr-FR"/>
        </w:rPr>
        <w:t>ta</w:t>
      </w:r>
      <w:r w:rsidR="000A5A94">
        <w:rPr>
          <w:bCs/>
          <w:sz w:val="24"/>
          <w:szCs w:val="24"/>
          <w:lang w:val="fr-FR"/>
        </w:rPr>
        <w:t>ire exécutif durant la séance plénière</w:t>
      </w:r>
      <w:r w:rsidR="00872DC8" w:rsidRPr="009006A4">
        <w:rPr>
          <w:bCs/>
          <w:sz w:val="24"/>
          <w:szCs w:val="24"/>
          <w:lang w:val="fr-FR"/>
        </w:rPr>
        <w:t xml:space="preserve">, </w:t>
      </w:r>
      <w:r w:rsidR="000A5A94">
        <w:rPr>
          <w:bCs/>
          <w:sz w:val="24"/>
          <w:szCs w:val="24"/>
          <w:lang w:val="fr-FR"/>
        </w:rPr>
        <w:t xml:space="preserve">à savoir que la contribution annuelle d’aucune </w:t>
      </w:r>
      <w:r w:rsidR="00872DC8" w:rsidRPr="009006A4">
        <w:rPr>
          <w:bCs/>
          <w:sz w:val="24"/>
          <w:szCs w:val="24"/>
          <w:lang w:val="fr-FR"/>
        </w:rPr>
        <w:t>Part</w:t>
      </w:r>
      <w:r w:rsidR="000A5A94">
        <w:rPr>
          <w:bCs/>
          <w:sz w:val="24"/>
          <w:szCs w:val="24"/>
          <w:lang w:val="fr-FR"/>
        </w:rPr>
        <w:t>ie ne devait diminuer</w:t>
      </w:r>
      <w:r w:rsidR="00872DC8" w:rsidRPr="009006A4">
        <w:rPr>
          <w:bCs/>
          <w:sz w:val="24"/>
          <w:szCs w:val="24"/>
          <w:lang w:val="fr-FR"/>
        </w:rPr>
        <w:t xml:space="preserve">. </w:t>
      </w:r>
      <w:r w:rsidR="000A5A94">
        <w:rPr>
          <w:bCs/>
          <w:sz w:val="24"/>
          <w:szCs w:val="24"/>
          <w:lang w:val="fr-FR"/>
        </w:rPr>
        <w:t>Il est difficile de concevoir comment cela pourrait être possible</w:t>
      </w:r>
      <w:r w:rsidR="00872DC8" w:rsidRPr="009006A4">
        <w:rPr>
          <w:bCs/>
          <w:sz w:val="24"/>
          <w:szCs w:val="24"/>
          <w:lang w:val="fr-FR"/>
        </w:rPr>
        <w:t xml:space="preserve">. </w:t>
      </w:r>
      <w:r w:rsidR="000A5A94">
        <w:rPr>
          <w:bCs/>
          <w:sz w:val="24"/>
          <w:szCs w:val="24"/>
          <w:lang w:val="fr-FR"/>
        </w:rPr>
        <w:t xml:space="preserve">La </w:t>
      </w:r>
      <w:r w:rsidR="00872DC8" w:rsidRPr="009006A4">
        <w:rPr>
          <w:bCs/>
          <w:sz w:val="24"/>
          <w:szCs w:val="24"/>
          <w:lang w:val="fr-FR"/>
        </w:rPr>
        <w:t xml:space="preserve">France </w:t>
      </w:r>
      <w:r w:rsidR="000A5A94">
        <w:rPr>
          <w:bCs/>
          <w:sz w:val="24"/>
          <w:szCs w:val="24"/>
          <w:lang w:val="fr-FR"/>
        </w:rPr>
        <w:t xml:space="preserve">est </w:t>
      </w:r>
      <w:r w:rsidR="00872DC8" w:rsidRPr="009006A4">
        <w:rPr>
          <w:bCs/>
          <w:sz w:val="24"/>
          <w:szCs w:val="24"/>
          <w:lang w:val="fr-FR"/>
        </w:rPr>
        <w:t>favor</w:t>
      </w:r>
      <w:r w:rsidR="000A5A94">
        <w:rPr>
          <w:bCs/>
          <w:sz w:val="24"/>
          <w:szCs w:val="24"/>
          <w:lang w:val="fr-FR"/>
        </w:rPr>
        <w:t xml:space="preserve">able  à une </w:t>
      </w:r>
      <w:r w:rsidR="00A92B21">
        <w:rPr>
          <w:bCs/>
          <w:sz w:val="24"/>
          <w:szCs w:val="24"/>
          <w:lang w:val="fr-FR"/>
        </w:rPr>
        <w:t>base de référence</w:t>
      </w:r>
      <w:r w:rsidR="000A5A94">
        <w:rPr>
          <w:bCs/>
          <w:sz w:val="24"/>
          <w:szCs w:val="24"/>
          <w:lang w:val="fr-FR"/>
        </w:rPr>
        <w:t xml:space="preserve"> </w:t>
      </w:r>
      <w:r w:rsidR="00AE4E77">
        <w:rPr>
          <w:bCs/>
          <w:sz w:val="24"/>
          <w:szCs w:val="24"/>
          <w:lang w:val="fr-FR"/>
        </w:rPr>
        <w:t>fondée sur le</w:t>
      </w:r>
      <w:r w:rsidR="00872DC8" w:rsidRPr="009006A4">
        <w:rPr>
          <w:bCs/>
          <w:sz w:val="24"/>
          <w:szCs w:val="24"/>
          <w:lang w:val="fr-FR"/>
        </w:rPr>
        <w:t xml:space="preserve"> </w:t>
      </w:r>
      <w:r w:rsidR="00157630" w:rsidRPr="009006A4">
        <w:rPr>
          <w:bCs/>
          <w:sz w:val="24"/>
          <w:szCs w:val="24"/>
          <w:lang w:val="fr-FR"/>
        </w:rPr>
        <w:t>Sc</w:t>
      </w:r>
      <w:r w:rsidR="00AE4E77">
        <w:rPr>
          <w:bCs/>
          <w:sz w:val="24"/>
          <w:szCs w:val="24"/>
          <w:lang w:val="fr-FR"/>
        </w:rPr>
        <w:t>é</w:t>
      </w:r>
      <w:r w:rsidR="00157630" w:rsidRPr="009006A4">
        <w:rPr>
          <w:bCs/>
          <w:sz w:val="24"/>
          <w:szCs w:val="24"/>
          <w:lang w:val="fr-FR"/>
        </w:rPr>
        <w:t>nario 1 o</w:t>
      </w:r>
      <w:r w:rsidR="00AE4E77">
        <w:rPr>
          <w:bCs/>
          <w:sz w:val="24"/>
          <w:szCs w:val="24"/>
          <w:lang w:val="fr-FR"/>
        </w:rPr>
        <w:t>u</w:t>
      </w:r>
      <w:r w:rsidR="00157630" w:rsidRPr="009006A4">
        <w:rPr>
          <w:bCs/>
          <w:sz w:val="24"/>
          <w:szCs w:val="24"/>
          <w:lang w:val="fr-FR"/>
        </w:rPr>
        <w:t xml:space="preserve"> </w:t>
      </w:r>
      <w:r w:rsidR="00AE4E77">
        <w:rPr>
          <w:bCs/>
          <w:sz w:val="24"/>
          <w:szCs w:val="24"/>
          <w:lang w:val="fr-FR"/>
        </w:rPr>
        <w:t xml:space="preserve">le </w:t>
      </w:r>
      <w:r w:rsidR="00157630" w:rsidRPr="009006A4">
        <w:rPr>
          <w:bCs/>
          <w:sz w:val="24"/>
          <w:szCs w:val="24"/>
          <w:lang w:val="fr-FR"/>
        </w:rPr>
        <w:t>Sc</w:t>
      </w:r>
      <w:r w:rsidR="00AE4E77">
        <w:rPr>
          <w:bCs/>
          <w:sz w:val="24"/>
          <w:szCs w:val="24"/>
          <w:lang w:val="fr-FR"/>
        </w:rPr>
        <w:t>é</w:t>
      </w:r>
      <w:r w:rsidR="00157630" w:rsidRPr="009006A4">
        <w:rPr>
          <w:bCs/>
          <w:sz w:val="24"/>
          <w:szCs w:val="24"/>
          <w:lang w:val="fr-FR"/>
        </w:rPr>
        <w:t xml:space="preserve">nario 1+ </w:t>
      </w:r>
      <w:r w:rsidR="00831498" w:rsidRPr="009006A4">
        <w:rPr>
          <w:bCs/>
          <w:sz w:val="24"/>
          <w:szCs w:val="24"/>
          <w:lang w:val="fr-FR"/>
        </w:rPr>
        <w:t>(</w:t>
      </w:r>
      <w:r w:rsidR="00AE4E77">
        <w:rPr>
          <w:bCs/>
          <w:sz w:val="24"/>
          <w:szCs w:val="24"/>
          <w:lang w:val="fr-FR"/>
        </w:rPr>
        <w:t>comprenant uniquement</w:t>
      </w:r>
      <w:r w:rsidR="00872DC8" w:rsidRPr="009006A4">
        <w:rPr>
          <w:bCs/>
          <w:sz w:val="24"/>
          <w:szCs w:val="24"/>
          <w:lang w:val="fr-FR"/>
        </w:rPr>
        <w:t xml:space="preserve"> </w:t>
      </w:r>
      <w:r w:rsidR="00AE4E77">
        <w:rPr>
          <w:bCs/>
          <w:sz w:val="24"/>
          <w:szCs w:val="24"/>
          <w:lang w:val="fr-FR"/>
        </w:rPr>
        <w:t>u</w:t>
      </w:r>
      <w:r w:rsidR="00872DC8" w:rsidRPr="009006A4">
        <w:rPr>
          <w:bCs/>
          <w:sz w:val="24"/>
          <w:szCs w:val="24"/>
          <w:lang w:val="fr-FR"/>
        </w:rPr>
        <w:t>n ajust</w:t>
      </w:r>
      <w:r w:rsidR="00AE4E77">
        <w:rPr>
          <w:bCs/>
          <w:sz w:val="24"/>
          <w:szCs w:val="24"/>
          <w:lang w:val="fr-FR"/>
        </w:rPr>
        <w:t>e</w:t>
      </w:r>
      <w:r w:rsidR="00872DC8" w:rsidRPr="009006A4">
        <w:rPr>
          <w:bCs/>
          <w:sz w:val="24"/>
          <w:szCs w:val="24"/>
          <w:lang w:val="fr-FR"/>
        </w:rPr>
        <w:t xml:space="preserve">ment </w:t>
      </w:r>
      <w:r w:rsidR="00AE4E77">
        <w:rPr>
          <w:bCs/>
          <w:sz w:val="24"/>
          <w:szCs w:val="24"/>
          <w:lang w:val="fr-FR"/>
        </w:rPr>
        <w:t>à l’</w:t>
      </w:r>
      <w:r w:rsidR="00872DC8" w:rsidRPr="009006A4">
        <w:rPr>
          <w:bCs/>
          <w:sz w:val="24"/>
          <w:szCs w:val="24"/>
          <w:lang w:val="fr-FR"/>
        </w:rPr>
        <w:t>inflation)</w:t>
      </w:r>
      <w:r w:rsidR="00157630" w:rsidRPr="009006A4">
        <w:rPr>
          <w:bCs/>
          <w:sz w:val="24"/>
          <w:szCs w:val="24"/>
          <w:lang w:val="fr-FR"/>
        </w:rPr>
        <w:t>.</w:t>
      </w:r>
    </w:p>
    <w:p w14:paraId="567E9CD5" w14:textId="77777777" w:rsidR="001829D7" w:rsidRPr="009006A4" w:rsidRDefault="001829D7" w:rsidP="00714211">
      <w:pPr>
        <w:jc w:val="both"/>
        <w:rPr>
          <w:bCs/>
          <w:sz w:val="24"/>
          <w:szCs w:val="24"/>
          <w:lang w:val="fr-FR"/>
        </w:rPr>
      </w:pPr>
    </w:p>
    <w:p w14:paraId="744189E2" w14:textId="4067402E" w:rsidR="00157630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23. </w:t>
      </w:r>
      <w:r w:rsidR="00AE4E77">
        <w:rPr>
          <w:bCs/>
          <w:sz w:val="24"/>
          <w:szCs w:val="24"/>
          <w:lang w:val="fr-FR"/>
        </w:rPr>
        <w:t>E</w:t>
      </w:r>
      <w:r w:rsidR="00872DC8" w:rsidRPr="009006A4">
        <w:rPr>
          <w:bCs/>
          <w:sz w:val="24"/>
          <w:szCs w:val="24"/>
          <w:lang w:val="fr-FR"/>
        </w:rPr>
        <w:t>n r</w:t>
      </w:r>
      <w:r w:rsidR="00AE4E77">
        <w:rPr>
          <w:bCs/>
          <w:sz w:val="24"/>
          <w:szCs w:val="24"/>
          <w:lang w:val="fr-FR"/>
        </w:rPr>
        <w:t>é</w:t>
      </w:r>
      <w:r w:rsidR="00872DC8" w:rsidRPr="009006A4">
        <w:rPr>
          <w:bCs/>
          <w:sz w:val="24"/>
          <w:szCs w:val="24"/>
          <w:lang w:val="fr-FR"/>
        </w:rPr>
        <w:t xml:space="preserve">ponse </w:t>
      </w:r>
      <w:r w:rsidR="00AE4E77">
        <w:rPr>
          <w:bCs/>
          <w:sz w:val="24"/>
          <w:szCs w:val="24"/>
          <w:lang w:val="fr-FR"/>
        </w:rPr>
        <w:t>aux</w:t>
      </w:r>
      <w:r w:rsidR="00872DC8" w:rsidRPr="009006A4">
        <w:rPr>
          <w:bCs/>
          <w:sz w:val="24"/>
          <w:szCs w:val="24"/>
          <w:lang w:val="fr-FR"/>
        </w:rPr>
        <w:t xml:space="preserve"> questions </w:t>
      </w:r>
      <w:r w:rsidR="00AE4E77">
        <w:rPr>
          <w:bCs/>
          <w:sz w:val="24"/>
          <w:szCs w:val="24"/>
          <w:lang w:val="fr-FR"/>
        </w:rPr>
        <w:t>de la</w:t>
      </w:r>
      <w:r w:rsidR="00872DC8" w:rsidRPr="009006A4">
        <w:rPr>
          <w:bCs/>
          <w:sz w:val="24"/>
          <w:szCs w:val="24"/>
          <w:lang w:val="fr-FR"/>
        </w:rPr>
        <w:t xml:space="preserve"> France </w:t>
      </w:r>
      <w:r w:rsidR="00AE4E77">
        <w:rPr>
          <w:bCs/>
          <w:sz w:val="24"/>
          <w:szCs w:val="24"/>
          <w:lang w:val="fr-FR"/>
        </w:rPr>
        <w:t>et de l’Allemagne</w:t>
      </w:r>
      <w:r w:rsidR="00872DC8" w:rsidRPr="009006A4">
        <w:rPr>
          <w:bCs/>
          <w:sz w:val="24"/>
          <w:szCs w:val="24"/>
          <w:lang w:val="fr-FR"/>
        </w:rPr>
        <w:t xml:space="preserve">, </w:t>
      </w:r>
      <w:r w:rsidR="00AE4E77">
        <w:rPr>
          <w:bCs/>
          <w:sz w:val="24"/>
          <w:szCs w:val="24"/>
          <w:lang w:val="fr-FR"/>
        </w:rPr>
        <w:t>le</w:t>
      </w:r>
      <w:r w:rsidR="00872DC8" w:rsidRPr="009006A4">
        <w:rPr>
          <w:bCs/>
          <w:sz w:val="24"/>
          <w:szCs w:val="24"/>
          <w:lang w:val="fr-FR"/>
        </w:rPr>
        <w:t xml:space="preserve"> </w:t>
      </w:r>
      <w:r w:rsidR="00AE4E77">
        <w:rPr>
          <w:b/>
          <w:sz w:val="24"/>
          <w:szCs w:val="24"/>
          <w:lang w:val="fr-FR"/>
        </w:rPr>
        <w:t>Secrétaire exécutif</w:t>
      </w:r>
      <w:r w:rsidR="00872DC8" w:rsidRPr="009006A4">
        <w:rPr>
          <w:bCs/>
          <w:sz w:val="24"/>
          <w:szCs w:val="24"/>
          <w:lang w:val="fr-FR"/>
        </w:rPr>
        <w:t xml:space="preserve"> </w:t>
      </w:r>
      <w:r w:rsidR="00AE4E77">
        <w:rPr>
          <w:bCs/>
          <w:sz w:val="24"/>
          <w:szCs w:val="24"/>
          <w:lang w:val="fr-FR"/>
        </w:rPr>
        <w:t>fourni</w:t>
      </w:r>
      <w:r w:rsidR="000F53A4">
        <w:rPr>
          <w:bCs/>
          <w:sz w:val="24"/>
          <w:szCs w:val="24"/>
          <w:lang w:val="fr-FR"/>
        </w:rPr>
        <w:t>t</w:t>
      </w:r>
      <w:r w:rsidR="00AE4E77">
        <w:rPr>
          <w:bCs/>
          <w:sz w:val="24"/>
          <w:szCs w:val="24"/>
          <w:lang w:val="fr-FR"/>
        </w:rPr>
        <w:t xml:space="preserve"> des informations supplémentaires sur la manière dont les</w:t>
      </w:r>
      <w:r w:rsidR="00872DC8" w:rsidRPr="009006A4">
        <w:rPr>
          <w:bCs/>
          <w:sz w:val="24"/>
          <w:szCs w:val="24"/>
          <w:lang w:val="fr-FR"/>
        </w:rPr>
        <w:t xml:space="preserve"> ajust</w:t>
      </w:r>
      <w:r w:rsidR="00AE4E77">
        <w:rPr>
          <w:bCs/>
          <w:sz w:val="24"/>
          <w:szCs w:val="24"/>
          <w:lang w:val="fr-FR"/>
        </w:rPr>
        <w:t>e</w:t>
      </w:r>
      <w:r w:rsidR="00872DC8" w:rsidRPr="009006A4">
        <w:rPr>
          <w:bCs/>
          <w:sz w:val="24"/>
          <w:szCs w:val="24"/>
          <w:lang w:val="fr-FR"/>
        </w:rPr>
        <w:t xml:space="preserve">ments </w:t>
      </w:r>
      <w:r w:rsidR="00AE4E77">
        <w:rPr>
          <w:bCs/>
          <w:sz w:val="24"/>
          <w:szCs w:val="24"/>
          <w:lang w:val="fr-FR"/>
        </w:rPr>
        <w:t>au coût de la vie ont été appliqués  aux</w:t>
      </w:r>
      <w:r w:rsidR="00BC60AE" w:rsidRPr="009006A4">
        <w:rPr>
          <w:bCs/>
          <w:sz w:val="24"/>
          <w:szCs w:val="24"/>
          <w:lang w:val="fr-FR"/>
        </w:rPr>
        <w:t xml:space="preserve"> sc</w:t>
      </w:r>
      <w:r w:rsidR="00AE4E77">
        <w:rPr>
          <w:bCs/>
          <w:sz w:val="24"/>
          <w:szCs w:val="24"/>
          <w:lang w:val="fr-FR"/>
        </w:rPr>
        <w:t>é</w:t>
      </w:r>
      <w:r w:rsidR="00BC60AE" w:rsidRPr="009006A4">
        <w:rPr>
          <w:bCs/>
          <w:sz w:val="24"/>
          <w:szCs w:val="24"/>
          <w:lang w:val="fr-FR"/>
        </w:rPr>
        <w:t>narios</w:t>
      </w:r>
      <w:r w:rsidR="00872DC8" w:rsidRPr="009006A4">
        <w:rPr>
          <w:bCs/>
          <w:sz w:val="24"/>
          <w:szCs w:val="24"/>
          <w:lang w:val="fr-FR"/>
        </w:rPr>
        <w:t xml:space="preserve"> </w:t>
      </w:r>
      <w:r w:rsidR="00AE4E77">
        <w:rPr>
          <w:bCs/>
          <w:sz w:val="24"/>
          <w:szCs w:val="24"/>
          <w:lang w:val="fr-FR"/>
        </w:rPr>
        <w:t>budgétisés pour chaque année de la prochaine période triennale</w:t>
      </w:r>
      <w:r w:rsidR="003C291E" w:rsidRPr="009006A4">
        <w:rPr>
          <w:bCs/>
          <w:sz w:val="24"/>
          <w:szCs w:val="24"/>
          <w:lang w:val="fr-FR"/>
        </w:rPr>
        <w:t>.</w:t>
      </w:r>
      <w:r w:rsidR="00BC60AE" w:rsidRPr="009006A4">
        <w:rPr>
          <w:bCs/>
          <w:sz w:val="24"/>
          <w:szCs w:val="24"/>
          <w:lang w:val="fr-FR"/>
        </w:rPr>
        <w:t xml:space="preserve"> </w:t>
      </w:r>
      <w:r w:rsidR="00AE4E77">
        <w:rPr>
          <w:bCs/>
          <w:sz w:val="24"/>
          <w:szCs w:val="24"/>
          <w:lang w:val="fr-FR"/>
        </w:rPr>
        <w:t>Il rappelle que lors des</w:t>
      </w:r>
      <w:r w:rsidR="00252828" w:rsidRPr="009006A4">
        <w:rPr>
          <w:bCs/>
          <w:sz w:val="24"/>
          <w:szCs w:val="24"/>
          <w:lang w:val="fr-FR"/>
        </w:rPr>
        <w:t xml:space="preserve"> discussions </w:t>
      </w:r>
      <w:r w:rsidR="00AE4E77">
        <w:rPr>
          <w:bCs/>
          <w:sz w:val="24"/>
          <w:szCs w:val="24"/>
          <w:lang w:val="fr-FR"/>
        </w:rPr>
        <w:t>qui ont eu lieu lors de la</w:t>
      </w:r>
      <w:r w:rsidR="00252828" w:rsidRPr="009006A4">
        <w:rPr>
          <w:bCs/>
          <w:sz w:val="24"/>
          <w:szCs w:val="24"/>
          <w:lang w:val="fr-FR"/>
        </w:rPr>
        <w:t xml:space="preserve"> MOP7, </w:t>
      </w:r>
      <w:r w:rsidR="00AE4E77">
        <w:rPr>
          <w:bCs/>
          <w:sz w:val="24"/>
          <w:szCs w:val="24"/>
          <w:lang w:val="fr-FR"/>
        </w:rPr>
        <w:t>il a été décidé de fixer un critère</w:t>
      </w:r>
      <w:r w:rsidR="00252828" w:rsidRPr="009006A4">
        <w:rPr>
          <w:bCs/>
          <w:sz w:val="24"/>
          <w:szCs w:val="24"/>
          <w:lang w:val="fr-FR"/>
        </w:rPr>
        <w:t xml:space="preserve"> </w:t>
      </w:r>
      <w:r w:rsidR="00AE4E77">
        <w:rPr>
          <w:bCs/>
          <w:sz w:val="24"/>
          <w:szCs w:val="24"/>
          <w:lang w:val="fr-FR"/>
        </w:rPr>
        <w:t xml:space="preserve">de « non diminution </w:t>
      </w:r>
      <w:r w:rsidR="00AE4E77">
        <w:rPr>
          <w:bCs/>
          <w:sz w:val="24"/>
          <w:szCs w:val="24"/>
          <w:lang w:val="fr-FR"/>
        </w:rPr>
        <w:lastRenderedPageBreak/>
        <w:t>des contributions »</w:t>
      </w:r>
      <w:r w:rsidR="00252828" w:rsidRPr="009006A4">
        <w:rPr>
          <w:bCs/>
          <w:sz w:val="24"/>
          <w:szCs w:val="24"/>
          <w:lang w:val="fr-FR"/>
        </w:rPr>
        <w:t xml:space="preserve"> </w:t>
      </w:r>
      <w:r w:rsidR="00AE4E77">
        <w:rPr>
          <w:bCs/>
          <w:sz w:val="24"/>
          <w:szCs w:val="24"/>
          <w:lang w:val="fr-FR"/>
        </w:rPr>
        <w:t>et</w:t>
      </w:r>
      <w:r w:rsidR="00D422BC">
        <w:rPr>
          <w:bCs/>
          <w:sz w:val="24"/>
          <w:szCs w:val="24"/>
          <w:lang w:val="fr-FR"/>
        </w:rPr>
        <w:t xml:space="preserve"> d’utiliser les économies résultantes pour éviter des augmentations trop importantes pour les</w:t>
      </w:r>
      <w:r w:rsidR="00252828" w:rsidRPr="009006A4">
        <w:rPr>
          <w:bCs/>
          <w:sz w:val="24"/>
          <w:szCs w:val="24"/>
          <w:lang w:val="fr-FR"/>
        </w:rPr>
        <w:t xml:space="preserve"> Parties.</w:t>
      </w:r>
    </w:p>
    <w:p w14:paraId="6962CD17" w14:textId="0E62E9C3" w:rsidR="00C75FF1" w:rsidRPr="009006A4" w:rsidRDefault="00C75FF1" w:rsidP="00714211">
      <w:pPr>
        <w:jc w:val="both"/>
        <w:rPr>
          <w:bCs/>
          <w:sz w:val="24"/>
          <w:szCs w:val="24"/>
          <w:lang w:val="fr-FR"/>
        </w:rPr>
      </w:pPr>
    </w:p>
    <w:p w14:paraId="67AC9A6E" w14:textId="7716C446" w:rsidR="007C6856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24. </w:t>
      </w:r>
      <w:r w:rsidR="00D422BC">
        <w:rPr>
          <w:bCs/>
          <w:sz w:val="24"/>
          <w:szCs w:val="24"/>
          <w:lang w:val="fr-FR"/>
        </w:rPr>
        <w:t>La</w:t>
      </w:r>
      <w:r w:rsidRPr="009006A4">
        <w:rPr>
          <w:bCs/>
          <w:sz w:val="24"/>
          <w:szCs w:val="24"/>
          <w:lang w:val="fr-FR"/>
        </w:rPr>
        <w:t xml:space="preserve"> </w:t>
      </w:r>
      <w:r w:rsidR="00D422BC">
        <w:rPr>
          <w:b/>
          <w:sz w:val="24"/>
          <w:szCs w:val="24"/>
          <w:lang w:val="fr-FR"/>
        </w:rPr>
        <w:t>République tchèque</w:t>
      </w:r>
      <w:r w:rsidR="00BC60AE" w:rsidRPr="009006A4">
        <w:rPr>
          <w:bCs/>
          <w:sz w:val="24"/>
          <w:szCs w:val="24"/>
          <w:lang w:val="fr-FR"/>
        </w:rPr>
        <w:t xml:space="preserve"> </w:t>
      </w:r>
      <w:r w:rsidR="00D422BC">
        <w:rPr>
          <w:bCs/>
          <w:sz w:val="24"/>
          <w:szCs w:val="24"/>
          <w:lang w:val="fr-FR"/>
        </w:rPr>
        <w:t>fait part de son soutien général aux positions exprimées par la</w:t>
      </w:r>
      <w:r w:rsidR="007C6856" w:rsidRPr="009006A4">
        <w:rPr>
          <w:bCs/>
          <w:sz w:val="24"/>
          <w:szCs w:val="24"/>
          <w:lang w:val="fr-FR"/>
        </w:rPr>
        <w:t xml:space="preserve"> S</w:t>
      </w:r>
      <w:r w:rsidR="00D422BC">
        <w:rPr>
          <w:bCs/>
          <w:sz w:val="24"/>
          <w:szCs w:val="24"/>
          <w:lang w:val="fr-FR"/>
        </w:rPr>
        <w:t>uisse</w:t>
      </w:r>
      <w:r w:rsidR="007C6856" w:rsidRPr="009006A4">
        <w:rPr>
          <w:bCs/>
          <w:sz w:val="24"/>
          <w:szCs w:val="24"/>
          <w:lang w:val="fr-FR"/>
        </w:rPr>
        <w:t xml:space="preserve">, </w:t>
      </w:r>
      <w:r w:rsidR="00D422BC">
        <w:rPr>
          <w:bCs/>
          <w:sz w:val="24"/>
          <w:szCs w:val="24"/>
          <w:lang w:val="fr-FR"/>
        </w:rPr>
        <w:t xml:space="preserve">la </w:t>
      </w:r>
      <w:r w:rsidR="007C6856" w:rsidRPr="009006A4">
        <w:rPr>
          <w:bCs/>
          <w:sz w:val="24"/>
          <w:szCs w:val="24"/>
          <w:lang w:val="fr-FR"/>
        </w:rPr>
        <w:t>Finland</w:t>
      </w:r>
      <w:r w:rsidR="00D422BC">
        <w:rPr>
          <w:bCs/>
          <w:sz w:val="24"/>
          <w:szCs w:val="24"/>
          <w:lang w:val="fr-FR"/>
        </w:rPr>
        <w:t>e</w:t>
      </w:r>
      <w:r w:rsidR="007C6856" w:rsidRPr="009006A4">
        <w:rPr>
          <w:bCs/>
          <w:sz w:val="24"/>
          <w:szCs w:val="24"/>
          <w:lang w:val="fr-FR"/>
        </w:rPr>
        <w:t xml:space="preserve">, </w:t>
      </w:r>
      <w:r w:rsidR="00D422BC">
        <w:rPr>
          <w:bCs/>
          <w:sz w:val="24"/>
          <w:szCs w:val="24"/>
          <w:lang w:val="fr-FR"/>
        </w:rPr>
        <w:t xml:space="preserve">la </w:t>
      </w:r>
      <w:r w:rsidR="007C6856" w:rsidRPr="009006A4">
        <w:rPr>
          <w:bCs/>
          <w:sz w:val="24"/>
          <w:szCs w:val="24"/>
          <w:lang w:val="fr-FR"/>
        </w:rPr>
        <w:t>S</w:t>
      </w:r>
      <w:r w:rsidR="00D422BC">
        <w:rPr>
          <w:bCs/>
          <w:sz w:val="24"/>
          <w:szCs w:val="24"/>
          <w:lang w:val="fr-FR"/>
        </w:rPr>
        <w:t>uède et les Pays-Bas</w:t>
      </w:r>
      <w:r w:rsidR="00BC60AE" w:rsidRPr="009006A4">
        <w:rPr>
          <w:bCs/>
          <w:sz w:val="24"/>
          <w:szCs w:val="24"/>
          <w:lang w:val="fr-FR"/>
        </w:rPr>
        <w:t xml:space="preserve">, </w:t>
      </w:r>
      <w:r w:rsidR="00D422BC">
        <w:rPr>
          <w:bCs/>
          <w:sz w:val="24"/>
          <w:szCs w:val="24"/>
          <w:lang w:val="fr-FR"/>
        </w:rPr>
        <w:t>et fait remarquer l’écart entre</w:t>
      </w:r>
      <w:r w:rsidR="007C6856" w:rsidRPr="009006A4">
        <w:rPr>
          <w:bCs/>
          <w:sz w:val="24"/>
          <w:szCs w:val="24"/>
          <w:lang w:val="fr-FR"/>
        </w:rPr>
        <w:t xml:space="preserve"> </w:t>
      </w:r>
      <w:r w:rsidR="00D422BC">
        <w:rPr>
          <w:bCs/>
          <w:sz w:val="24"/>
          <w:szCs w:val="24"/>
          <w:lang w:val="fr-FR"/>
        </w:rPr>
        <w:t>le</w:t>
      </w:r>
      <w:r w:rsidR="007C6856" w:rsidRPr="009006A4">
        <w:rPr>
          <w:bCs/>
          <w:sz w:val="24"/>
          <w:szCs w:val="24"/>
          <w:lang w:val="fr-FR"/>
        </w:rPr>
        <w:t xml:space="preserve"> budget </w:t>
      </w:r>
      <w:r w:rsidR="00D422BC">
        <w:rPr>
          <w:bCs/>
          <w:sz w:val="24"/>
          <w:szCs w:val="24"/>
          <w:lang w:val="fr-FR"/>
        </w:rPr>
        <w:t xml:space="preserve">et le niveau d’ambition des </w:t>
      </w:r>
      <w:r w:rsidR="001829D7" w:rsidRPr="009006A4">
        <w:rPr>
          <w:bCs/>
          <w:sz w:val="24"/>
          <w:szCs w:val="24"/>
          <w:lang w:val="fr-FR"/>
        </w:rPr>
        <w:t>Parties</w:t>
      </w:r>
      <w:r w:rsidR="007C6856" w:rsidRPr="009006A4">
        <w:rPr>
          <w:bCs/>
          <w:sz w:val="24"/>
          <w:szCs w:val="24"/>
          <w:lang w:val="fr-FR"/>
        </w:rPr>
        <w:t xml:space="preserve">. </w:t>
      </w:r>
      <w:r w:rsidR="00D422BC">
        <w:rPr>
          <w:bCs/>
          <w:sz w:val="24"/>
          <w:szCs w:val="24"/>
          <w:lang w:val="fr-FR"/>
        </w:rPr>
        <w:t>La République tchèque</w:t>
      </w:r>
      <w:r w:rsidR="001829D7" w:rsidRPr="009006A4">
        <w:rPr>
          <w:bCs/>
          <w:sz w:val="24"/>
          <w:szCs w:val="24"/>
          <w:lang w:val="fr-FR"/>
        </w:rPr>
        <w:t xml:space="preserve"> </w:t>
      </w:r>
      <w:r w:rsidR="00D422BC">
        <w:rPr>
          <w:bCs/>
          <w:sz w:val="24"/>
          <w:szCs w:val="24"/>
          <w:lang w:val="fr-FR"/>
        </w:rPr>
        <w:t>soutient donc une augmentation budgétaire</w:t>
      </w:r>
      <w:r w:rsidR="001829D7" w:rsidRPr="009006A4">
        <w:rPr>
          <w:bCs/>
          <w:sz w:val="24"/>
          <w:szCs w:val="24"/>
          <w:lang w:val="fr-FR"/>
        </w:rPr>
        <w:t xml:space="preserve">, </w:t>
      </w:r>
      <w:r w:rsidR="00D422BC">
        <w:rPr>
          <w:bCs/>
          <w:sz w:val="24"/>
          <w:szCs w:val="24"/>
          <w:lang w:val="fr-FR"/>
        </w:rPr>
        <w:t>jusqu’à un niveau approchant le</w:t>
      </w:r>
      <w:r w:rsidR="007C6856" w:rsidRPr="009006A4">
        <w:rPr>
          <w:bCs/>
          <w:sz w:val="24"/>
          <w:szCs w:val="24"/>
          <w:lang w:val="fr-FR"/>
        </w:rPr>
        <w:t xml:space="preserve"> Sc</w:t>
      </w:r>
      <w:r w:rsidR="00D422BC">
        <w:rPr>
          <w:bCs/>
          <w:sz w:val="24"/>
          <w:szCs w:val="24"/>
          <w:lang w:val="fr-FR"/>
        </w:rPr>
        <w:t>é</w:t>
      </w:r>
      <w:r w:rsidR="007C6856" w:rsidRPr="009006A4">
        <w:rPr>
          <w:bCs/>
          <w:sz w:val="24"/>
          <w:szCs w:val="24"/>
          <w:lang w:val="fr-FR"/>
        </w:rPr>
        <w:t>nario 3</w:t>
      </w:r>
      <w:r w:rsidR="00897E76" w:rsidRPr="009006A4">
        <w:rPr>
          <w:bCs/>
          <w:sz w:val="24"/>
          <w:szCs w:val="24"/>
          <w:lang w:val="fr-FR"/>
        </w:rPr>
        <w:t>.</w:t>
      </w:r>
    </w:p>
    <w:p w14:paraId="675FDDCC" w14:textId="63CCD65D" w:rsidR="00A9373D" w:rsidRPr="009006A4" w:rsidRDefault="00A9373D" w:rsidP="00714211">
      <w:pPr>
        <w:jc w:val="both"/>
        <w:rPr>
          <w:bCs/>
          <w:sz w:val="24"/>
          <w:szCs w:val="24"/>
          <w:lang w:val="fr-FR"/>
        </w:rPr>
      </w:pPr>
    </w:p>
    <w:p w14:paraId="4448A645" w14:textId="49E4EAF1" w:rsidR="00A9373D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25. </w:t>
      </w:r>
      <w:r w:rsidR="00D422BC">
        <w:rPr>
          <w:bCs/>
          <w:sz w:val="24"/>
          <w:szCs w:val="24"/>
          <w:lang w:val="fr-FR"/>
        </w:rPr>
        <w:t>Le</w:t>
      </w:r>
      <w:r w:rsidR="001829D7" w:rsidRPr="009006A4">
        <w:rPr>
          <w:bCs/>
          <w:sz w:val="24"/>
          <w:szCs w:val="24"/>
          <w:lang w:val="fr-FR"/>
        </w:rPr>
        <w:t xml:space="preserve"> </w:t>
      </w:r>
      <w:r w:rsidR="00D422BC">
        <w:rPr>
          <w:b/>
          <w:sz w:val="24"/>
          <w:szCs w:val="24"/>
          <w:lang w:val="fr-FR"/>
        </w:rPr>
        <w:t xml:space="preserve">Président </w:t>
      </w:r>
      <w:r w:rsidR="00D422BC">
        <w:rPr>
          <w:bCs/>
          <w:sz w:val="24"/>
          <w:szCs w:val="24"/>
          <w:lang w:val="fr-FR"/>
        </w:rPr>
        <w:t>estime qu’il y a eu une certaine</w:t>
      </w:r>
      <w:r w:rsidR="00A9373D" w:rsidRPr="009006A4">
        <w:rPr>
          <w:bCs/>
          <w:sz w:val="24"/>
          <w:szCs w:val="24"/>
          <w:lang w:val="fr-FR"/>
        </w:rPr>
        <w:t xml:space="preserve"> confusion </w:t>
      </w:r>
      <w:r w:rsidR="00D422BC">
        <w:rPr>
          <w:bCs/>
          <w:sz w:val="24"/>
          <w:szCs w:val="24"/>
          <w:lang w:val="fr-FR"/>
        </w:rPr>
        <w:t>autour de ce qui sembl</w:t>
      </w:r>
      <w:r w:rsidR="000F53A4">
        <w:rPr>
          <w:bCs/>
          <w:sz w:val="24"/>
          <w:szCs w:val="24"/>
          <w:lang w:val="fr-FR"/>
        </w:rPr>
        <w:t>e</w:t>
      </w:r>
      <w:r w:rsidR="00D422BC">
        <w:rPr>
          <w:bCs/>
          <w:sz w:val="24"/>
          <w:szCs w:val="24"/>
          <w:lang w:val="fr-FR"/>
        </w:rPr>
        <w:t xml:space="preserve"> être des coûts de personnel supplémentaires</w:t>
      </w:r>
      <w:r w:rsidR="00A9373D" w:rsidRPr="009006A4">
        <w:rPr>
          <w:bCs/>
          <w:sz w:val="24"/>
          <w:szCs w:val="24"/>
          <w:lang w:val="fr-FR"/>
        </w:rPr>
        <w:t xml:space="preserve"> </w:t>
      </w:r>
      <w:r w:rsidR="00D422BC">
        <w:rPr>
          <w:bCs/>
          <w:sz w:val="24"/>
          <w:szCs w:val="24"/>
          <w:lang w:val="fr-FR"/>
        </w:rPr>
        <w:t>dans le cadre du</w:t>
      </w:r>
      <w:r w:rsidR="00A9373D" w:rsidRPr="009006A4">
        <w:rPr>
          <w:bCs/>
          <w:sz w:val="24"/>
          <w:szCs w:val="24"/>
          <w:lang w:val="fr-FR"/>
        </w:rPr>
        <w:t xml:space="preserve"> Sc</w:t>
      </w:r>
      <w:r w:rsidR="00D422BC">
        <w:rPr>
          <w:bCs/>
          <w:sz w:val="24"/>
          <w:szCs w:val="24"/>
          <w:lang w:val="fr-FR"/>
        </w:rPr>
        <w:t>é</w:t>
      </w:r>
      <w:r w:rsidR="00A9373D" w:rsidRPr="009006A4">
        <w:rPr>
          <w:bCs/>
          <w:sz w:val="24"/>
          <w:szCs w:val="24"/>
          <w:lang w:val="fr-FR"/>
        </w:rPr>
        <w:t xml:space="preserve">nario 2. </w:t>
      </w:r>
      <w:r w:rsidR="00D422BC">
        <w:rPr>
          <w:bCs/>
          <w:sz w:val="24"/>
          <w:szCs w:val="24"/>
          <w:lang w:val="fr-FR"/>
        </w:rPr>
        <w:t>Plutôt que de choisir d’augmenter les salaires du personnel</w:t>
      </w:r>
      <w:r w:rsidR="00A9373D" w:rsidRPr="009006A4">
        <w:rPr>
          <w:bCs/>
          <w:sz w:val="24"/>
          <w:szCs w:val="24"/>
          <w:lang w:val="fr-FR"/>
        </w:rPr>
        <w:t xml:space="preserve"> P</w:t>
      </w:r>
      <w:r w:rsidR="001829D7" w:rsidRPr="009006A4">
        <w:rPr>
          <w:bCs/>
          <w:sz w:val="24"/>
          <w:szCs w:val="24"/>
          <w:lang w:val="fr-FR"/>
        </w:rPr>
        <w:t>,</w:t>
      </w:r>
      <w:r w:rsidR="00A9373D" w:rsidRPr="009006A4">
        <w:rPr>
          <w:bCs/>
          <w:sz w:val="24"/>
          <w:szCs w:val="24"/>
          <w:lang w:val="fr-FR"/>
        </w:rPr>
        <w:t xml:space="preserve"> </w:t>
      </w:r>
      <w:r w:rsidR="00D422BC">
        <w:rPr>
          <w:bCs/>
          <w:sz w:val="24"/>
          <w:szCs w:val="24"/>
          <w:lang w:val="fr-FR"/>
        </w:rPr>
        <w:t>ce personnel a été maintenu au même niveau que les années précédentes</w:t>
      </w:r>
      <w:r w:rsidR="001829D7" w:rsidRPr="009006A4">
        <w:rPr>
          <w:bCs/>
          <w:sz w:val="24"/>
          <w:szCs w:val="24"/>
          <w:lang w:val="fr-FR"/>
        </w:rPr>
        <w:t xml:space="preserve">, </w:t>
      </w:r>
      <w:r w:rsidR="00D422BC">
        <w:rPr>
          <w:bCs/>
          <w:sz w:val="24"/>
          <w:szCs w:val="24"/>
          <w:lang w:val="fr-FR"/>
        </w:rPr>
        <w:t xml:space="preserve">les augmentations étant </w:t>
      </w:r>
      <w:r w:rsidR="00744C17">
        <w:rPr>
          <w:bCs/>
          <w:sz w:val="24"/>
          <w:szCs w:val="24"/>
          <w:lang w:val="fr-FR"/>
        </w:rPr>
        <w:t>à la place attribuées</w:t>
      </w:r>
      <w:r w:rsidR="001829D7" w:rsidRPr="009006A4">
        <w:rPr>
          <w:bCs/>
          <w:sz w:val="24"/>
          <w:szCs w:val="24"/>
          <w:lang w:val="fr-FR"/>
        </w:rPr>
        <w:t xml:space="preserve"> </w:t>
      </w:r>
      <w:r w:rsidR="00744C17">
        <w:rPr>
          <w:bCs/>
          <w:sz w:val="24"/>
          <w:szCs w:val="24"/>
          <w:lang w:val="fr-FR"/>
        </w:rPr>
        <w:t>à un personnel à mi-temps plus jeune</w:t>
      </w:r>
      <w:r w:rsidR="00A9373D" w:rsidRPr="009006A4">
        <w:rPr>
          <w:bCs/>
          <w:sz w:val="24"/>
          <w:szCs w:val="24"/>
          <w:lang w:val="fr-FR"/>
        </w:rPr>
        <w:t xml:space="preserve">. </w:t>
      </w:r>
      <w:r w:rsidR="00744C17">
        <w:rPr>
          <w:bCs/>
          <w:sz w:val="24"/>
          <w:szCs w:val="24"/>
          <w:lang w:val="fr-FR"/>
        </w:rPr>
        <w:t>Les coûts salariaux généraux</w:t>
      </w:r>
      <w:r w:rsidR="00A9373D" w:rsidRPr="009006A4">
        <w:rPr>
          <w:bCs/>
          <w:sz w:val="24"/>
          <w:szCs w:val="24"/>
          <w:lang w:val="fr-FR"/>
        </w:rPr>
        <w:t xml:space="preserve"> </w:t>
      </w:r>
      <w:r w:rsidR="00744C17">
        <w:rPr>
          <w:bCs/>
          <w:sz w:val="24"/>
          <w:szCs w:val="24"/>
          <w:lang w:val="fr-FR"/>
        </w:rPr>
        <w:t>n’ont pas changé</w:t>
      </w:r>
      <w:r w:rsidR="00A9373D" w:rsidRPr="009006A4">
        <w:rPr>
          <w:bCs/>
          <w:sz w:val="24"/>
          <w:szCs w:val="24"/>
          <w:lang w:val="fr-FR"/>
        </w:rPr>
        <w:t>, i</w:t>
      </w:r>
      <w:r w:rsidR="00744C17">
        <w:rPr>
          <w:bCs/>
          <w:sz w:val="24"/>
          <w:szCs w:val="24"/>
          <w:lang w:val="fr-FR"/>
        </w:rPr>
        <w:t>l s’agit</w:t>
      </w:r>
      <w:r w:rsidR="001829D7" w:rsidRPr="009006A4">
        <w:rPr>
          <w:bCs/>
          <w:sz w:val="24"/>
          <w:szCs w:val="24"/>
          <w:lang w:val="fr-FR"/>
        </w:rPr>
        <w:t xml:space="preserve"> </w:t>
      </w:r>
      <w:r w:rsidR="00744C17">
        <w:rPr>
          <w:bCs/>
          <w:sz w:val="24"/>
          <w:szCs w:val="24"/>
          <w:lang w:val="fr-FR"/>
        </w:rPr>
        <w:t xml:space="preserve">simplement de savoir précisément à quoi les ressources </w:t>
      </w:r>
      <w:r w:rsidR="000F53A4">
        <w:rPr>
          <w:bCs/>
          <w:sz w:val="24"/>
          <w:szCs w:val="24"/>
          <w:lang w:val="fr-FR"/>
        </w:rPr>
        <w:t>pour le</w:t>
      </w:r>
      <w:r w:rsidR="00744C17">
        <w:rPr>
          <w:bCs/>
          <w:sz w:val="24"/>
          <w:szCs w:val="24"/>
          <w:lang w:val="fr-FR"/>
        </w:rPr>
        <w:t xml:space="preserve"> temps du personnel ont été allouées</w:t>
      </w:r>
      <w:r w:rsidR="00A9373D" w:rsidRPr="009006A4">
        <w:rPr>
          <w:bCs/>
          <w:sz w:val="24"/>
          <w:szCs w:val="24"/>
          <w:lang w:val="fr-FR"/>
        </w:rPr>
        <w:t>.</w:t>
      </w:r>
    </w:p>
    <w:p w14:paraId="07F72C12" w14:textId="30627606" w:rsidR="00866735" w:rsidRPr="009006A4" w:rsidRDefault="00866735" w:rsidP="00714211">
      <w:pPr>
        <w:jc w:val="both"/>
        <w:rPr>
          <w:bCs/>
          <w:sz w:val="24"/>
          <w:szCs w:val="24"/>
          <w:lang w:val="fr-FR"/>
        </w:rPr>
      </w:pPr>
    </w:p>
    <w:p w14:paraId="4C568298" w14:textId="23162CAA" w:rsidR="00866735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26.</w:t>
      </w:r>
      <w:r w:rsidR="00744C17">
        <w:rPr>
          <w:bCs/>
          <w:sz w:val="24"/>
          <w:szCs w:val="24"/>
          <w:lang w:val="fr-FR"/>
        </w:rPr>
        <w:t xml:space="preserve"> La</w:t>
      </w:r>
      <w:r w:rsidRPr="009006A4">
        <w:rPr>
          <w:bCs/>
          <w:sz w:val="24"/>
          <w:szCs w:val="24"/>
          <w:lang w:val="fr-FR"/>
        </w:rPr>
        <w:t xml:space="preserve"> </w:t>
      </w:r>
      <w:r w:rsidR="00866735" w:rsidRPr="009006A4">
        <w:rPr>
          <w:b/>
          <w:sz w:val="24"/>
          <w:szCs w:val="24"/>
          <w:lang w:val="fr-FR"/>
        </w:rPr>
        <w:t>France</w:t>
      </w:r>
      <w:r w:rsidR="00BA0B59" w:rsidRPr="009006A4">
        <w:rPr>
          <w:bCs/>
          <w:sz w:val="24"/>
          <w:szCs w:val="24"/>
          <w:lang w:val="fr-FR"/>
        </w:rPr>
        <w:t xml:space="preserve"> </w:t>
      </w:r>
      <w:r w:rsidR="00744C17">
        <w:rPr>
          <w:bCs/>
          <w:sz w:val="24"/>
          <w:szCs w:val="24"/>
          <w:lang w:val="fr-FR"/>
        </w:rPr>
        <w:t>fait observer que même dans le cadre du</w:t>
      </w:r>
      <w:r w:rsidR="00866735" w:rsidRPr="009006A4">
        <w:rPr>
          <w:bCs/>
          <w:sz w:val="24"/>
          <w:szCs w:val="24"/>
          <w:lang w:val="fr-FR"/>
        </w:rPr>
        <w:t xml:space="preserve"> Sc</w:t>
      </w:r>
      <w:r w:rsidR="00744C17">
        <w:rPr>
          <w:bCs/>
          <w:sz w:val="24"/>
          <w:szCs w:val="24"/>
          <w:lang w:val="fr-FR"/>
        </w:rPr>
        <w:t>é</w:t>
      </w:r>
      <w:r w:rsidR="00866735" w:rsidRPr="009006A4">
        <w:rPr>
          <w:bCs/>
          <w:sz w:val="24"/>
          <w:szCs w:val="24"/>
          <w:lang w:val="fr-FR"/>
        </w:rPr>
        <w:t>nario 1</w:t>
      </w:r>
      <w:r w:rsidR="00744C17">
        <w:rPr>
          <w:bCs/>
          <w:sz w:val="24"/>
          <w:szCs w:val="24"/>
          <w:lang w:val="fr-FR"/>
        </w:rPr>
        <w:t>, ses contributions augmenteraient</w:t>
      </w:r>
      <w:r w:rsidR="00866735" w:rsidRPr="009006A4">
        <w:rPr>
          <w:bCs/>
          <w:sz w:val="24"/>
          <w:szCs w:val="24"/>
          <w:lang w:val="fr-FR"/>
        </w:rPr>
        <w:t>.</w:t>
      </w:r>
    </w:p>
    <w:p w14:paraId="6349AD0D" w14:textId="1C80A6B0" w:rsidR="00BA0B59" w:rsidRPr="009006A4" w:rsidRDefault="00BA0B59" w:rsidP="00714211">
      <w:pPr>
        <w:jc w:val="both"/>
        <w:rPr>
          <w:bCs/>
          <w:sz w:val="24"/>
          <w:szCs w:val="24"/>
          <w:lang w:val="fr-FR"/>
        </w:rPr>
      </w:pPr>
    </w:p>
    <w:p w14:paraId="3169FB0B" w14:textId="65B34A0B" w:rsidR="00252828" w:rsidRPr="009006A4" w:rsidRDefault="00F673D1" w:rsidP="00252828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27. </w:t>
      </w:r>
      <w:r w:rsidR="00744C17">
        <w:rPr>
          <w:bCs/>
          <w:sz w:val="24"/>
          <w:szCs w:val="24"/>
          <w:lang w:val="fr-FR"/>
        </w:rPr>
        <w:t>Se référant au document AEWA/MOP8.39 Corr. 1 annexe 1, le</w:t>
      </w:r>
      <w:r w:rsidR="00252828" w:rsidRPr="009006A4">
        <w:rPr>
          <w:bCs/>
          <w:sz w:val="24"/>
          <w:szCs w:val="24"/>
          <w:lang w:val="fr-FR"/>
        </w:rPr>
        <w:t xml:space="preserve"> </w:t>
      </w:r>
      <w:r w:rsidR="00744C17">
        <w:rPr>
          <w:b/>
          <w:sz w:val="24"/>
          <w:szCs w:val="24"/>
          <w:lang w:val="fr-FR"/>
        </w:rPr>
        <w:t>Secrétaire exécutif</w:t>
      </w:r>
      <w:r w:rsidR="00252828" w:rsidRPr="009006A4">
        <w:rPr>
          <w:bCs/>
          <w:sz w:val="24"/>
          <w:szCs w:val="24"/>
          <w:lang w:val="fr-FR"/>
        </w:rPr>
        <w:t xml:space="preserve"> </w:t>
      </w:r>
      <w:r w:rsidR="00744C17">
        <w:rPr>
          <w:bCs/>
          <w:sz w:val="24"/>
          <w:szCs w:val="24"/>
          <w:lang w:val="fr-FR"/>
        </w:rPr>
        <w:t>fait remarquer que pour la France, les</w:t>
      </w:r>
      <w:r w:rsidR="00252828" w:rsidRPr="009006A4">
        <w:rPr>
          <w:bCs/>
          <w:sz w:val="24"/>
          <w:szCs w:val="24"/>
          <w:lang w:val="fr-FR"/>
        </w:rPr>
        <w:t xml:space="preserve"> contributions </w:t>
      </w:r>
      <w:r w:rsidR="00744C17">
        <w:rPr>
          <w:bCs/>
          <w:sz w:val="24"/>
          <w:szCs w:val="24"/>
          <w:lang w:val="fr-FR"/>
        </w:rPr>
        <w:t>étaient les mêmes pour la</w:t>
      </w:r>
      <w:r w:rsidR="00252828" w:rsidRPr="009006A4">
        <w:rPr>
          <w:bCs/>
          <w:sz w:val="24"/>
          <w:szCs w:val="24"/>
          <w:lang w:val="fr-FR"/>
        </w:rPr>
        <w:t xml:space="preserve"> MOP7 </w:t>
      </w:r>
      <w:r w:rsidR="00744C17">
        <w:rPr>
          <w:bCs/>
          <w:sz w:val="24"/>
          <w:szCs w:val="24"/>
          <w:lang w:val="fr-FR"/>
        </w:rPr>
        <w:t>et pour le Scénario 1 proposé pour la</w:t>
      </w:r>
      <w:r w:rsidR="00326474" w:rsidRPr="009006A4">
        <w:rPr>
          <w:bCs/>
          <w:sz w:val="24"/>
          <w:szCs w:val="24"/>
          <w:lang w:val="fr-FR"/>
        </w:rPr>
        <w:t xml:space="preserve"> </w:t>
      </w:r>
      <w:r w:rsidR="00252828" w:rsidRPr="009006A4">
        <w:rPr>
          <w:bCs/>
          <w:sz w:val="24"/>
          <w:szCs w:val="24"/>
          <w:lang w:val="fr-FR"/>
        </w:rPr>
        <w:t>MOP8.</w:t>
      </w:r>
    </w:p>
    <w:p w14:paraId="4EFF40E9" w14:textId="77777777" w:rsidR="00252828" w:rsidRPr="009006A4" w:rsidRDefault="00252828" w:rsidP="00714211">
      <w:pPr>
        <w:jc w:val="both"/>
        <w:rPr>
          <w:bCs/>
          <w:sz w:val="24"/>
          <w:szCs w:val="24"/>
          <w:lang w:val="fr-FR"/>
        </w:rPr>
      </w:pPr>
    </w:p>
    <w:p w14:paraId="0E87750C" w14:textId="3F250639" w:rsidR="00BA0B59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28. </w:t>
      </w:r>
      <w:r w:rsidR="00CA4615">
        <w:rPr>
          <w:bCs/>
          <w:sz w:val="24"/>
          <w:szCs w:val="24"/>
          <w:lang w:val="fr-FR"/>
        </w:rPr>
        <w:t>Le</w:t>
      </w:r>
      <w:r w:rsidR="00BA0B59" w:rsidRPr="009006A4">
        <w:rPr>
          <w:bCs/>
          <w:sz w:val="24"/>
          <w:szCs w:val="24"/>
          <w:lang w:val="fr-FR"/>
        </w:rPr>
        <w:t xml:space="preserve"> </w:t>
      </w:r>
      <w:r w:rsidR="00CA4615">
        <w:rPr>
          <w:b/>
          <w:sz w:val="24"/>
          <w:szCs w:val="24"/>
          <w:lang w:val="fr-FR"/>
        </w:rPr>
        <w:t xml:space="preserve">Président </w:t>
      </w:r>
      <w:r w:rsidR="00BA0B59" w:rsidRPr="009006A4">
        <w:rPr>
          <w:bCs/>
          <w:sz w:val="24"/>
          <w:szCs w:val="24"/>
          <w:lang w:val="fr-FR"/>
        </w:rPr>
        <w:t>r</w:t>
      </w:r>
      <w:r w:rsidR="00CA4615">
        <w:rPr>
          <w:bCs/>
          <w:sz w:val="24"/>
          <w:szCs w:val="24"/>
          <w:lang w:val="fr-FR"/>
        </w:rPr>
        <w:t>appelle</w:t>
      </w:r>
      <w:r w:rsidR="00BA0B59" w:rsidRPr="009006A4">
        <w:rPr>
          <w:bCs/>
          <w:sz w:val="24"/>
          <w:szCs w:val="24"/>
          <w:lang w:val="fr-FR"/>
        </w:rPr>
        <w:t xml:space="preserve"> </w:t>
      </w:r>
      <w:r w:rsidR="00CA4615">
        <w:rPr>
          <w:bCs/>
          <w:sz w:val="24"/>
          <w:szCs w:val="24"/>
          <w:lang w:val="fr-FR"/>
        </w:rPr>
        <w:t>qu’il s’agit d’une conséquence de la</w:t>
      </w:r>
      <w:r w:rsidR="00BA0B59" w:rsidRPr="009006A4">
        <w:rPr>
          <w:bCs/>
          <w:sz w:val="24"/>
          <w:szCs w:val="24"/>
          <w:lang w:val="fr-FR"/>
        </w:rPr>
        <w:t xml:space="preserve"> d</w:t>
      </w:r>
      <w:r w:rsidR="00CA4615">
        <w:rPr>
          <w:bCs/>
          <w:sz w:val="24"/>
          <w:szCs w:val="24"/>
          <w:lang w:val="fr-FR"/>
        </w:rPr>
        <w:t>é</w:t>
      </w:r>
      <w:r w:rsidR="00BA0B59" w:rsidRPr="009006A4">
        <w:rPr>
          <w:bCs/>
          <w:sz w:val="24"/>
          <w:szCs w:val="24"/>
          <w:lang w:val="fr-FR"/>
        </w:rPr>
        <w:t xml:space="preserve">cision </w:t>
      </w:r>
      <w:r w:rsidR="00CA4615">
        <w:rPr>
          <w:bCs/>
          <w:sz w:val="24"/>
          <w:szCs w:val="24"/>
          <w:lang w:val="fr-FR"/>
        </w:rPr>
        <w:t>prise par la</w:t>
      </w:r>
      <w:r w:rsidR="00BA0B59" w:rsidRPr="009006A4">
        <w:rPr>
          <w:bCs/>
          <w:sz w:val="24"/>
          <w:szCs w:val="24"/>
          <w:lang w:val="fr-FR"/>
        </w:rPr>
        <w:t xml:space="preserve"> MOP7 </w:t>
      </w:r>
      <w:r w:rsidR="00CA4615">
        <w:rPr>
          <w:bCs/>
          <w:sz w:val="24"/>
          <w:szCs w:val="24"/>
          <w:lang w:val="fr-FR"/>
        </w:rPr>
        <w:t>de se diriger vers l’application du barème d’évaluation de l’ONU</w:t>
      </w:r>
      <w:r w:rsidR="00801508" w:rsidRPr="009006A4">
        <w:rPr>
          <w:bCs/>
          <w:sz w:val="24"/>
          <w:szCs w:val="24"/>
          <w:lang w:val="fr-FR"/>
        </w:rPr>
        <w:t xml:space="preserve">. </w:t>
      </w:r>
      <w:r w:rsidR="00CA4615">
        <w:rPr>
          <w:bCs/>
          <w:sz w:val="24"/>
          <w:szCs w:val="24"/>
          <w:lang w:val="fr-FR"/>
        </w:rPr>
        <w:t>Ce dernier est basé sur la capacité de paiement et pourrait donc signifier une augmentation pour certaines</w:t>
      </w:r>
      <w:r w:rsidR="00801508" w:rsidRPr="009006A4">
        <w:rPr>
          <w:bCs/>
          <w:sz w:val="24"/>
          <w:szCs w:val="24"/>
          <w:lang w:val="fr-FR"/>
        </w:rPr>
        <w:t xml:space="preserve"> Parties</w:t>
      </w:r>
      <w:r w:rsidR="00CA4615">
        <w:rPr>
          <w:bCs/>
          <w:sz w:val="24"/>
          <w:szCs w:val="24"/>
          <w:lang w:val="fr-FR"/>
        </w:rPr>
        <w:t>, quel que soit le scénario budgétaire.</w:t>
      </w:r>
      <w:r w:rsidR="00BA0B59" w:rsidRPr="009006A4">
        <w:rPr>
          <w:bCs/>
          <w:sz w:val="24"/>
          <w:szCs w:val="24"/>
          <w:lang w:val="fr-FR"/>
        </w:rPr>
        <w:t xml:space="preserve"> </w:t>
      </w:r>
    </w:p>
    <w:p w14:paraId="3E653CA3" w14:textId="40D41F09" w:rsidR="00866735" w:rsidRPr="009006A4" w:rsidRDefault="00866735" w:rsidP="00714211">
      <w:pPr>
        <w:jc w:val="both"/>
        <w:rPr>
          <w:bCs/>
          <w:sz w:val="24"/>
          <w:szCs w:val="24"/>
          <w:lang w:val="fr-FR"/>
        </w:rPr>
      </w:pPr>
    </w:p>
    <w:p w14:paraId="496F73D5" w14:textId="690E8490" w:rsidR="002F5701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29. </w:t>
      </w:r>
      <w:r w:rsidR="00CA4615">
        <w:rPr>
          <w:bCs/>
          <w:sz w:val="24"/>
          <w:szCs w:val="24"/>
          <w:lang w:val="fr-FR"/>
        </w:rPr>
        <w:t>Le</w:t>
      </w:r>
      <w:r w:rsidR="0032134E" w:rsidRPr="009006A4">
        <w:rPr>
          <w:bCs/>
          <w:sz w:val="24"/>
          <w:szCs w:val="24"/>
          <w:lang w:val="fr-FR"/>
        </w:rPr>
        <w:t xml:space="preserve"> </w:t>
      </w:r>
      <w:r w:rsidR="00CA4615">
        <w:rPr>
          <w:b/>
          <w:sz w:val="24"/>
          <w:szCs w:val="24"/>
          <w:lang w:val="fr-FR"/>
        </w:rPr>
        <w:t xml:space="preserve">Secrétaire exécutif </w:t>
      </w:r>
      <w:r w:rsidR="00CA4615" w:rsidRPr="00CA4615">
        <w:rPr>
          <w:bCs/>
          <w:sz w:val="24"/>
          <w:szCs w:val="24"/>
          <w:lang w:val="fr-FR"/>
        </w:rPr>
        <w:t>fournit des éclaircissements</w:t>
      </w:r>
      <w:r w:rsidR="0032134E" w:rsidRPr="00CA4615">
        <w:rPr>
          <w:bCs/>
          <w:sz w:val="24"/>
          <w:szCs w:val="24"/>
          <w:lang w:val="fr-FR"/>
        </w:rPr>
        <w:t xml:space="preserve"> </w:t>
      </w:r>
      <w:r w:rsidR="00CA4615">
        <w:rPr>
          <w:bCs/>
          <w:sz w:val="24"/>
          <w:szCs w:val="24"/>
          <w:lang w:val="fr-FR"/>
        </w:rPr>
        <w:t>sur la façon dont le barème de l’ONU a été appliqué dans le</w:t>
      </w:r>
      <w:r w:rsidR="0032134E" w:rsidRPr="009006A4">
        <w:rPr>
          <w:bCs/>
          <w:sz w:val="24"/>
          <w:szCs w:val="24"/>
          <w:lang w:val="fr-FR"/>
        </w:rPr>
        <w:t xml:space="preserve"> context</w:t>
      </w:r>
      <w:r w:rsidR="00CA4615">
        <w:rPr>
          <w:bCs/>
          <w:sz w:val="24"/>
          <w:szCs w:val="24"/>
          <w:lang w:val="fr-FR"/>
        </w:rPr>
        <w:t>e de l’</w:t>
      </w:r>
      <w:r w:rsidR="0032134E" w:rsidRPr="009006A4">
        <w:rPr>
          <w:bCs/>
          <w:sz w:val="24"/>
          <w:szCs w:val="24"/>
          <w:lang w:val="fr-FR"/>
        </w:rPr>
        <w:t xml:space="preserve">AEWA, </w:t>
      </w:r>
      <w:r w:rsidR="00CA4615">
        <w:rPr>
          <w:bCs/>
          <w:sz w:val="24"/>
          <w:szCs w:val="24"/>
          <w:lang w:val="fr-FR"/>
        </w:rPr>
        <w:t>conformément à la décision prise lors de la</w:t>
      </w:r>
      <w:r w:rsidR="0032134E" w:rsidRPr="009006A4">
        <w:rPr>
          <w:bCs/>
          <w:sz w:val="24"/>
          <w:szCs w:val="24"/>
          <w:lang w:val="fr-FR"/>
        </w:rPr>
        <w:t xml:space="preserve"> MOP7, </w:t>
      </w:r>
      <w:r w:rsidR="00CA4615">
        <w:rPr>
          <w:bCs/>
          <w:sz w:val="24"/>
          <w:szCs w:val="24"/>
          <w:lang w:val="fr-FR"/>
        </w:rPr>
        <w:t>et s’engage à fournir des</w:t>
      </w:r>
      <w:r w:rsidR="0032134E" w:rsidRPr="009006A4">
        <w:rPr>
          <w:bCs/>
          <w:sz w:val="24"/>
          <w:szCs w:val="24"/>
          <w:lang w:val="fr-FR"/>
        </w:rPr>
        <w:t xml:space="preserve"> information</w:t>
      </w:r>
      <w:r w:rsidR="00CA4615">
        <w:rPr>
          <w:bCs/>
          <w:sz w:val="24"/>
          <w:szCs w:val="24"/>
          <w:lang w:val="fr-FR"/>
        </w:rPr>
        <w:t xml:space="preserve">s supplémentaires en réponse aux préoccupations </w:t>
      </w:r>
      <w:r w:rsidR="0032134E" w:rsidRPr="009006A4">
        <w:rPr>
          <w:bCs/>
          <w:sz w:val="24"/>
          <w:szCs w:val="24"/>
          <w:lang w:val="fr-FR"/>
        </w:rPr>
        <w:t>sp</w:t>
      </w:r>
      <w:r w:rsidR="00CA4615">
        <w:rPr>
          <w:bCs/>
          <w:sz w:val="24"/>
          <w:szCs w:val="24"/>
          <w:lang w:val="fr-FR"/>
        </w:rPr>
        <w:t>é</w:t>
      </w:r>
      <w:r w:rsidR="0032134E" w:rsidRPr="009006A4">
        <w:rPr>
          <w:bCs/>
          <w:sz w:val="24"/>
          <w:szCs w:val="24"/>
          <w:lang w:val="fr-FR"/>
        </w:rPr>
        <w:t>cifi</w:t>
      </w:r>
      <w:r w:rsidR="00CA4615">
        <w:rPr>
          <w:bCs/>
          <w:sz w:val="24"/>
          <w:szCs w:val="24"/>
          <w:lang w:val="fr-FR"/>
        </w:rPr>
        <w:t xml:space="preserve">ques soulevées par la </w:t>
      </w:r>
      <w:r w:rsidR="0032134E" w:rsidRPr="009006A4">
        <w:rPr>
          <w:bCs/>
          <w:sz w:val="24"/>
          <w:szCs w:val="24"/>
          <w:lang w:val="fr-FR"/>
        </w:rPr>
        <w:t>France.</w:t>
      </w:r>
      <w:r w:rsidR="00FF3A81" w:rsidRPr="009006A4">
        <w:rPr>
          <w:bCs/>
          <w:sz w:val="24"/>
          <w:szCs w:val="24"/>
          <w:lang w:val="fr-FR"/>
        </w:rPr>
        <w:t xml:space="preserve"> </w:t>
      </w:r>
      <w:r w:rsidR="00CA4615">
        <w:rPr>
          <w:bCs/>
          <w:sz w:val="24"/>
          <w:szCs w:val="24"/>
          <w:lang w:val="fr-FR"/>
        </w:rPr>
        <w:t>Il rappelle que les</w:t>
      </w:r>
      <w:r w:rsidR="00FF3A81" w:rsidRPr="009006A4">
        <w:rPr>
          <w:bCs/>
          <w:sz w:val="24"/>
          <w:szCs w:val="24"/>
          <w:lang w:val="fr-FR"/>
        </w:rPr>
        <w:t xml:space="preserve"> Parties </w:t>
      </w:r>
      <w:r w:rsidR="00CA4615">
        <w:rPr>
          <w:bCs/>
          <w:sz w:val="24"/>
          <w:szCs w:val="24"/>
          <w:lang w:val="fr-FR"/>
        </w:rPr>
        <w:t>africaines se sont engagées</w:t>
      </w:r>
      <w:r w:rsidR="00FF3A81" w:rsidRPr="009006A4">
        <w:rPr>
          <w:bCs/>
          <w:sz w:val="24"/>
          <w:szCs w:val="24"/>
          <w:lang w:val="fr-FR"/>
        </w:rPr>
        <w:t xml:space="preserve"> </w:t>
      </w:r>
      <w:r w:rsidR="00CA4615">
        <w:rPr>
          <w:bCs/>
          <w:sz w:val="24"/>
          <w:szCs w:val="24"/>
          <w:lang w:val="fr-FR"/>
        </w:rPr>
        <w:t>à respecter un seuil minimum de</w:t>
      </w:r>
      <w:r w:rsidR="00FF3A81" w:rsidRPr="009006A4">
        <w:rPr>
          <w:bCs/>
          <w:sz w:val="24"/>
          <w:szCs w:val="24"/>
          <w:lang w:val="fr-FR"/>
        </w:rPr>
        <w:t xml:space="preserve"> 2</w:t>
      </w:r>
      <w:r w:rsidR="00CA4615">
        <w:rPr>
          <w:bCs/>
          <w:sz w:val="24"/>
          <w:szCs w:val="24"/>
          <w:lang w:val="fr-FR"/>
        </w:rPr>
        <w:t> </w:t>
      </w:r>
      <w:r w:rsidR="00FF3A81" w:rsidRPr="009006A4">
        <w:rPr>
          <w:bCs/>
          <w:sz w:val="24"/>
          <w:szCs w:val="24"/>
          <w:lang w:val="fr-FR"/>
        </w:rPr>
        <w:t xml:space="preserve">000 </w:t>
      </w:r>
      <w:r w:rsidR="00CA4615">
        <w:rPr>
          <w:bCs/>
          <w:sz w:val="24"/>
          <w:szCs w:val="24"/>
          <w:lang w:val="fr-FR"/>
        </w:rPr>
        <w:t>EUR</w:t>
      </w:r>
      <w:r w:rsidR="00852703">
        <w:rPr>
          <w:bCs/>
          <w:sz w:val="24"/>
          <w:szCs w:val="24"/>
          <w:lang w:val="fr-FR"/>
        </w:rPr>
        <w:t xml:space="preserve"> pour les</w:t>
      </w:r>
      <w:r w:rsidR="00FF3A81" w:rsidRPr="009006A4">
        <w:rPr>
          <w:bCs/>
          <w:sz w:val="24"/>
          <w:szCs w:val="24"/>
          <w:lang w:val="fr-FR"/>
        </w:rPr>
        <w:t xml:space="preserve"> contributions </w:t>
      </w:r>
      <w:r w:rsidR="00852703">
        <w:rPr>
          <w:bCs/>
          <w:sz w:val="24"/>
          <w:szCs w:val="24"/>
          <w:lang w:val="fr-FR"/>
        </w:rPr>
        <w:t>nationales, en signe</w:t>
      </w:r>
      <w:r w:rsidR="00FF3A81" w:rsidRPr="009006A4">
        <w:rPr>
          <w:bCs/>
          <w:sz w:val="24"/>
          <w:szCs w:val="24"/>
          <w:lang w:val="fr-FR"/>
        </w:rPr>
        <w:t xml:space="preserve"> important </w:t>
      </w:r>
      <w:r w:rsidR="00852703">
        <w:rPr>
          <w:bCs/>
          <w:sz w:val="24"/>
          <w:szCs w:val="24"/>
          <w:lang w:val="fr-FR"/>
        </w:rPr>
        <w:t>de</w:t>
      </w:r>
      <w:r w:rsidR="00FF3A81" w:rsidRPr="009006A4">
        <w:rPr>
          <w:bCs/>
          <w:sz w:val="24"/>
          <w:szCs w:val="24"/>
          <w:lang w:val="fr-FR"/>
        </w:rPr>
        <w:t xml:space="preserve"> solidarit</w:t>
      </w:r>
      <w:r w:rsidR="00852703">
        <w:rPr>
          <w:bCs/>
          <w:sz w:val="24"/>
          <w:szCs w:val="24"/>
          <w:lang w:val="fr-FR"/>
        </w:rPr>
        <w:t>é avec les objectifs de l’Accord</w:t>
      </w:r>
      <w:r w:rsidR="00FF3A81" w:rsidRPr="009006A4">
        <w:rPr>
          <w:bCs/>
          <w:sz w:val="24"/>
          <w:szCs w:val="24"/>
          <w:lang w:val="fr-FR"/>
        </w:rPr>
        <w:t>.</w:t>
      </w:r>
    </w:p>
    <w:p w14:paraId="656BF01B" w14:textId="17FC1B9E" w:rsidR="001C0993" w:rsidRPr="009006A4" w:rsidRDefault="001C0993" w:rsidP="00714211">
      <w:pPr>
        <w:jc w:val="both"/>
        <w:rPr>
          <w:bCs/>
          <w:sz w:val="24"/>
          <w:szCs w:val="24"/>
          <w:lang w:val="fr-FR"/>
        </w:rPr>
      </w:pPr>
    </w:p>
    <w:p w14:paraId="160EE214" w14:textId="04608494" w:rsidR="008C57CA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30.</w:t>
      </w:r>
      <w:r w:rsidR="00852703">
        <w:rPr>
          <w:bCs/>
          <w:sz w:val="24"/>
          <w:szCs w:val="24"/>
          <w:lang w:val="fr-FR"/>
        </w:rPr>
        <w:t xml:space="preserve"> L’</w:t>
      </w:r>
      <w:r w:rsidR="00852703">
        <w:rPr>
          <w:b/>
          <w:sz w:val="24"/>
          <w:szCs w:val="24"/>
          <w:lang w:val="fr-FR"/>
        </w:rPr>
        <w:t>Allemagne</w:t>
      </w:r>
      <w:r w:rsidR="00FF3A81" w:rsidRPr="009006A4">
        <w:rPr>
          <w:bCs/>
          <w:sz w:val="24"/>
          <w:szCs w:val="24"/>
          <w:lang w:val="fr-FR"/>
        </w:rPr>
        <w:t xml:space="preserve"> </w:t>
      </w:r>
      <w:r w:rsidR="008C57CA" w:rsidRPr="009006A4">
        <w:rPr>
          <w:bCs/>
          <w:sz w:val="24"/>
          <w:szCs w:val="24"/>
          <w:lang w:val="fr-FR"/>
        </w:rPr>
        <w:t>sugg</w:t>
      </w:r>
      <w:r w:rsidR="00852703">
        <w:rPr>
          <w:bCs/>
          <w:sz w:val="24"/>
          <w:szCs w:val="24"/>
          <w:lang w:val="fr-FR"/>
        </w:rPr>
        <w:t xml:space="preserve">ère qu’il serait utile de travailler sur une </w:t>
      </w:r>
      <w:r w:rsidR="00A92B21">
        <w:rPr>
          <w:bCs/>
          <w:sz w:val="24"/>
          <w:szCs w:val="24"/>
          <w:lang w:val="fr-FR"/>
        </w:rPr>
        <w:t>base de référence</w:t>
      </w:r>
      <w:r w:rsidR="00852703">
        <w:rPr>
          <w:bCs/>
          <w:sz w:val="24"/>
          <w:szCs w:val="24"/>
          <w:lang w:val="fr-FR"/>
        </w:rPr>
        <w:t xml:space="preserve"> commune absolue, représentant les exigences légales de base</w:t>
      </w:r>
      <w:r w:rsidR="00FF3A81" w:rsidRPr="009006A4">
        <w:rPr>
          <w:bCs/>
          <w:sz w:val="24"/>
          <w:szCs w:val="24"/>
          <w:lang w:val="fr-FR"/>
        </w:rPr>
        <w:t xml:space="preserve">, </w:t>
      </w:r>
      <w:r w:rsidR="00852703">
        <w:rPr>
          <w:bCs/>
          <w:sz w:val="24"/>
          <w:szCs w:val="24"/>
          <w:lang w:val="fr-FR"/>
        </w:rPr>
        <w:t>un incrément de</w:t>
      </w:r>
      <w:r w:rsidR="00FF3A81" w:rsidRPr="009006A4">
        <w:rPr>
          <w:bCs/>
          <w:sz w:val="24"/>
          <w:szCs w:val="24"/>
          <w:lang w:val="fr-FR"/>
        </w:rPr>
        <w:t xml:space="preserve"> 2% p</w:t>
      </w:r>
      <w:r w:rsidR="00852703">
        <w:rPr>
          <w:bCs/>
          <w:sz w:val="24"/>
          <w:szCs w:val="24"/>
          <w:lang w:val="fr-FR"/>
        </w:rPr>
        <w:t>a</w:t>
      </w:r>
      <w:r w:rsidR="00FF3A81" w:rsidRPr="009006A4">
        <w:rPr>
          <w:bCs/>
          <w:sz w:val="24"/>
          <w:szCs w:val="24"/>
          <w:lang w:val="fr-FR"/>
        </w:rPr>
        <w:t>r an,</w:t>
      </w:r>
      <w:r w:rsidR="008C57CA" w:rsidRPr="009006A4">
        <w:rPr>
          <w:bCs/>
          <w:sz w:val="24"/>
          <w:szCs w:val="24"/>
          <w:lang w:val="fr-FR"/>
        </w:rPr>
        <w:t xml:space="preserve"> plus</w:t>
      </w:r>
      <w:r w:rsidR="00FF3A81" w:rsidRPr="009006A4">
        <w:rPr>
          <w:bCs/>
          <w:sz w:val="24"/>
          <w:szCs w:val="24"/>
          <w:lang w:val="fr-FR"/>
        </w:rPr>
        <w:t xml:space="preserve"> </w:t>
      </w:r>
      <w:r w:rsidR="00852703">
        <w:rPr>
          <w:bCs/>
          <w:sz w:val="24"/>
          <w:szCs w:val="24"/>
          <w:lang w:val="fr-FR"/>
        </w:rPr>
        <w:t>un montant minimum requis</w:t>
      </w:r>
      <w:r w:rsidR="00FF3A81" w:rsidRPr="009006A4">
        <w:rPr>
          <w:bCs/>
          <w:sz w:val="24"/>
          <w:szCs w:val="24"/>
          <w:lang w:val="fr-FR"/>
        </w:rPr>
        <w:t xml:space="preserve"> </w:t>
      </w:r>
      <w:r w:rsidR="00852703">
        <w:rPr>
          <w:bCs/>
          <w:sz w:val="24"/>
          <w:szCs w:val="24"/>
          <w:lang w:val="fr-FR"/>
        </w:rPr>
        <w:t>pour l’</w:t>
      </w:r>
      <w:r w:rsidR="00FF3A81" w:rsidRPr="009006A4">
        <w:rPr>
          <w:bCs/>
          <w:sz w:val="24"/>
          <w:szCs w:val="24"/>
          <w:lang w:val="fr-FR"/>
        </w:rPr>
        <w:t xml:space="preserve">organisation </w:t>
      </w:r>
      <w:r w:rsidR="00852703">
        <w:rPr>
          <w:bCs/>
          <w:sz w:val="24"/>
          <w:szCs w:val="24"/>
          <w:lang w:val="fr-FR"/>
        </w:rPr>
        <w:t>de la</w:t>
      </w:r>
      <w:r w:rsidR="00FF3A81" w:rsidRPr="009006A4">
        <w:rPr>
          <w:bCs/>
          <w:sz w:val="24"/>
          <w:szCs w:val="24"/>
          <w:lang w:val="fr-FR"/>
        </w:rPr>
        <w:t xml:space="preserve"> </w:t>
      </w:r>
      <w:r w:rsidR="008C57CA" w:rsidRPr="009006A4">
        <w:rPr>
          <w:bCs/>
          <w:sz w:val="24"/>
          <w:szCs w:val="24"/>
          <w:lang w:val="fr-FR"/>
        </w:rPr>
        <w:t>MOP</w:t>
      </w:r>
      <w:r w:rsidR="008A1C94" w:rsidRPr="009006A4">
        <w:rPr>
          <w:bCs/>
          <w:sz w:val="24"/>
          <w:szCs w:val="24"/>
          <w:lang w:val="fr-FR"/>
        </w:rPr>
        <w:t>9</w:t>
      </w:r>
      <w:r w:rsidR="00FF3A81" w:rsidRPr="009006A4">
        <w:rPr>
          <w:bCs/>
          <w:sz w:val="24"/>
          <w:szCs w:val="24"/>
          <w:lang w:val="fr-FR"/>
        </w:rPr>
        <w:t xml:space="preserve">. </w:t>
      </w:r>
      <w:r w:rsidR="00852703">
        <w:rPr>
          <w:bCs/>
          <w:sz w:val="24"/>
          <w:szCs w:val="24"/>
          <w:lang w:val="fr-FR"/>
        </w:rPr>
        <w:t xml:space="preserve">La « liste de souhaits » relatives aux priorités des </w:t>
      </w:r>
      <w:r w:rsidR="00FF3A81" w:rsidRPr="009006A4">
        <w:rPr>
          <w:bCs/>
          <w:sz w:val="24"/>
          <w:szCs w:val="24"/>
          <w:lang w:val="fr-FR"/>
        </w:rPr>
        <w:t>Parties</w:t>
      </w:r>
      <w:r w:rsidR="00852703">
        <w:rPr>
          <w:bCs/>
          <w:sz w:val="24"/>
          <w:szCs w:val="24"/>
          <w:lang w:val="fr-FR"/>
        </w:rPr>
        <w:t xml:space="preserve"> pourrait ensuite être ajoutée à cette </w:t>
      </w:r>
      <w:r w:rsidR="00A92B21">
        <w:rPr>
          <w:bCs/>
          <w:sz w:val="24"/>
          <w:szCs w:val="24"/>
          <w:lang w:val="fr-FR"/>
        </w:rPr>
        <w:t>base de référence</w:t>
      </w:r>
      <w:r w:rsidR="008C57CA" w:rsidRPr="009006A4">
        <w:rPr>
          <w:bCs/>
          <w:sz w:val="24"/>
          <w:szCs w:val="24"/>
          <w:lang w:val="fr-FR"/>
        </w:rPr>
        <w:t xml:space="preserve">. </w:t>
      </w:r>
      <w:r w:rsidR="00852703">
        <w:rPr>
          <w:bCs/>
          <w:sz w:val="24"/>
          <w:szCs w:val="24"/>
          <w:lang w:val="fr-FR"/>
        </w:rPr>
        <w:t>L’Allemagne suggère en outre une augmentation non-linéaire</w:t>
      </w:r>
      <w:r w:rsidR="008A1C94" w:rsidRPr="009006A4">
        <w:rPr>
          <w:bCs/>
          <w:sz w:val="24"/>
          <w:szCs w:val="24"/>
          <w:lang w:val="fr-FR"/>
        </w:rPr>
        <w:t xml:space="preserve"> </w:t>
      </w:r>
      <w:r w:rsidR="00852703">
        <w:rPr>
          <w:bCs/>
          <w:sz w:val="24"/>
          <w:szCs w:val="24"/>
          <w:lang w:val="fr-FR"/>
        </w:rPr>
        <w:t>au cours de la période triennale</w:t>
      </w:r>
      <w:r w:rsidR="008A1C94" w:rsidRPr="009006A4">
        <w:rPr>
          <w:bCs/>
          <w:sz w:val="24"/>
          <w:szCs w:val="24"/>
          <w:lang w:val="fr-FR"/>
        </w:rPr>
        <w:t xml:space="preserve">, </w:t>
      </w:r>
      <w:r w:rsidR="00852703">
        <w:rPr>
          <w:bCs/>
          <w:sz w:val="24"/>
          <w:szCs w:val="24"/>
          <w:lang w:val="fr-FR"/>
        </w:rPr>
        <w:t>telle que décidée lors de la</w:t>
      </w:r>
      <w:r w:rsidR="008A1C94" w:rsidRPr="009006A4">
        <w:rPr>
          <w:bCs/>
          <w:sz w:val="24"/>
          <w:szCs w:val="24"/>
          <w:lang w:val="fr-FR"/>
        </w:rPr>
        <w:t xml:space="preserve"> MOP7, </w:t>
      </w:r>
      <w:r w:rsidR="00903481">
        <w:rPr>
          <w:bCs/>
          <w:sz w:val="24"/>
          <w:szCs w:val="24"/>
          <w:lang w:val="fr-FR"/>
        </w:rPr>
        <w:t>par laquelle l’augmentation globale</w:t>
      </w:r>
      <w:r w:rsidR="008A1C94" w:rsidRPr="009006A4">
        <w:rPr>
          <w:bCs/>
          <w:sz w:val="24"/>
          <w:szCs w:val="24"/>
          <w:lang w:val="fr-FR"/>
        </w:rPr>
        <w:t xml:space="preserve"> </w:t>
      </w:r>
      <w:r w:rsidR="00903481">
        <w:rPr>
          <w:bCs/>
          <w:sz w:val="24"/>
          <w:szCs w:val="24"/>
          <w:lang w:val="fr-FR"/>
        </w:rPr>
        <w:t>pour</w:t>
      </w:r>
      <w:r w:rsidR="008A1C94" w:rsidRPr="009006A4">
        <w:rPr>
          <w:bCs/>
          <w:sz w:val="24"/>
          <w:szCs w:val="24"/>
          <w:lang w:val="fr-FR"/>
        </w:rPr>
        <w:t xml:space="preserve"> 2018-2021 </w:t>
      </w:r>
      <w:r w:rsidR="00903481">
        <w:rPr>
          <w:bCs/>
          <w:sz w:val="24"/>
          <w:szCs w:val="24"/>
          <w:lang w:val="fr-FR"/>
        </w:rPr>
        <w:t>a été fixée à</w:t>
      </w:r>
      <w:r w:rsidR="008A1C94" w:rsidRPr="009006A4">
        <w:rPr>
          <w:bCs/>
          <w:sz w:val="24"/>
          <w:szCs w:val="24"/>
          <w:lang w:val="fr-FR"/>
        </w:rPr>
        <w:t xml:space="preserve"> 30%, 33% </w:t>
      </w:r>
      <w:r w:rsidR="00903481">
        <w:rPr>
          <w:bCs/>
          <w:sz w:val="24"/>
          <w:szCs w:val="24"/>
          <w:lang w:val="fr-FR"/>
        </w:rPr>
        <w:t>et</w:t>
      </w:r>
      <w:r w:rsidR="008A1C94" w:rsidRPr="009006A4">
        <w:rPr>
          <w:bCs/>
          <w:sz w:val="24"/>
          <w:szCs w:val="24"/>
          <w:lang w:val="fr-FR"/>
        </w:rPr>
        <w:t xml:space="preserve"> 37% </w:t>
      </w:r>
      <w:r w:rsidR="00903481">
        <w:rPr>
          <w:bCs/>
          <w:sz w:val="24"/>
          <w:szCs w:val="24"/>
          <w:lang w:val="fr-FR"/>
        </w:rPr>
        <w:t>au cours de la période triennale</w:t>
      </w:r>
    </w:p>
    <w:p w14:paraId="7BD00E92" w14:textId="77CBE87A" w:rsidR="00452BE9" w:rsidRPr="009006A4" w:rsidRDefault="00452BE9" w:rsidP="00714211">
      <w:pPr>
        <w:jc w:val="both"/>
        <w:rPr>
          <w:bCs/>
          <w:sz w:val="24"/>
          <w:szCs w:val="24"/>
          <w:lang w:val="fr-FR"/>
        </w:rPr>
      </w:pPr>
    </w:p>
    <w:p w14:paraId="64A290D2" w14:textId="683EE4EF" w:rsidR="00452BE9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31. </w:t>
      </w:r>
      <w:r w:rsidR="00903481">
        <w:rPr>
          <w:bCs/>
          <w:sz w:val="24"/>
          <w:szCs w:val="24"/>
          <w:lang w:val="fr-FR"/>
        </w:rPr>
        <w:t>Le</w:t>
      </w:r>
      <w:r w:rsidR="008A1C94" w:rsidRPr="009006A4">
        <w:rPr>
          <w:bCs/>
          <w:sz w:val="24"/>
          <w:szCs w:val="24"/>
          <w:lang w:val="fr-FR"/>
        </w:rPr>
        <w:t xml:space="preserve"> </w:t>
      </w:r>
      <w:r w:rsidR="00903481">
        <w:rPr>
          <w:b/>
          <w:sz w:val="24"/>
          <w:szCs w:val="24"/>
          <w:lang w:val="fr-FR"/>
        </w:rPr>
        <w:t>Secrétaire exécutif</w:t>
      </w:r>
      <w:r w:rsidR="008A1C94" w:rsidRPr="009006A4">
        <w:rPr>
          <w:bCs/>
          <w:sz w:val="24"/>
          <w:szCs w:val="24"/>
          <w:lang w:val="fr-FR"/>
        </w:rPr>
        <w:t xml:space="preserve"> </w:t>
      </w:r>
      <w:r w:rsidR="00903481">
        <w:rPr>
          <w:bCs/>
          <w:sz w:val="24"/>
          <w:szCs w:val="24"/>
          <w:lang w:val="fr-FR"/>
        </w:rPr>
        <w:t>s’engage à préparer une série de nouveaux scénarios budgétaires</w:t>
      </w:r>
      <w:r w:rsidR="008A1C94" w:rsidRPr="009006A4">
        <w:rPr>
          <w:bCs/>
          <w:sz w:val="24"/>
          <w:szCs w:val="24"/>
          <w:lang w:val="fr-FR"/>
        </w:rPr>
        <w:t xml:space="preserve"> </w:t>
      </w:r>
      <w:r w:rsidR="000F53A4">
        <w:rPr>
          <w:bCs/>
          <w:sz w:val="24"/>
          <w:szCs w:val="24"/>
          <w:lang w:val="fr-FR"/>
        </w:rPr>
        <w:t>en</w:t>
      </w:r>
      <w:r w:rsidR="00903481">
        <w:rPr>
          <w:bCs/>
          <w:sz w:val="24"/>
          <w:szCs w:val="24"/>
          <w:lang w:val="fr-FR"/>
        </w:rPr>
        <w:t xml:space="preserve"> temps</w:t>
      </w:r>
      <w:r w:rsidR="000F53A4">
        <w:rPr>
          <w:bCs/>
          <w:sz w:val="24"/>
          <w:szCs w:val="24"/>
          <w:lang w:val="fr-FR"/>
        </w:rPr>
        <w:t xml:space="preserve"> opportun</w:t>
      </w:r>
      <w:r w:rsidR="00903481">
        <w:rPr>
          <w:bCs/>
          <w:sz w:val="24"/>
          <w:szCs w:val="24"/>
          <w:lang w:val="fr-FR"/>
        </w:rPr>
        <w:t xml:space="preserve"> pour que le groupe de travail</w:t>
      </w:r>
      <w:r w:rsidR="008A1C94" w:rsidRPr="009006A4">
        <w:rPr>
          <w:bCs/>
          <w:sz w:val="24"/>
          <w:szCs w:val="24"/>
          <w:lang w:val="fr-FR"/>
        </w:rPr>
        <w:t xml:space="preserve"> </w:t>
      </w:r>
      <w:r w:rsidR="00903481">
        <w:rPr>
          <w:bCs/>
          <w:sz w:val="24"/>
          <w:szCs w:val="24"/>
          <w:lang w:val="fr-FR"/>
        </w:rPr>
        <w:t>puisse les examiner le</w:t>
      </w:r>
      <w:r w:rsidR="008A1C94" w:rsidRPr="009006A4">
        <w:rPr>
          <w:bCs/>
          <w:sz w:val="24"/>
          <w:szCs w:val="24"/>
          <w:lang w:val="fr-FR"/>
        </w:rPr>
        <w:t xml:space="preserve"> 28 </w:t>
      </w:r>
      <w:r w:rsidR="00903481">
        <w:rPr>
          <w:bCs/>
          <w:sz w:val="24"/>
          <w:szCs w:val="24"/>
          <w:lang w:val="fr-FR"/>
        </w:rPr>
        <w:t>s</w:t>
      </w:r>
      <w:r w:rsidR="008A1C94" w:rsidRPr="009006A4">
        <w:rPr>
          <w:bCs/>
          <w:sz w:val="24"/>
          <w:szCs w:val="24"/>
          <w:lang w:val="fr-FR"/>
        </w:rPr>
        <w:t>eptembr</w:t>
      </w:r>
      <w:r w:rsidR="00903481">
        <w:rPr>
          <w:bCs/>
          <w:sz w:val="24"/>
          <w:szCs w:val="24"/>
          <w:lang w:val="fr-FR"/>
        </w:rPr>
        <w:t>e</w:t>
      </w:r>
      <w:r w:rsidR="008A1C94" w:rsidRPr="009006A4">
        <w:rPr>
          <w:bCs/>
          <w:sz w:val="24"/>
          <w:szCs w:val="24"/>
          <w:lang w:val="fr-FR"/>
        </w:rPr>
        <w:t xml:space="preserve">. </w:t>
      </w:r>
      <w:r w:rsidR="00903481">
        <w:rPr>
          <w:bCs/>
          <w:sz w:val="24"/>
          <w:szCs w:val="24"/>
          <w:lang w:val="fr-FR"/>
        </w:rPr>
        <w:t>Ceux-ci devraient montrer clairement les coûts pour chaque</w:t>
      </w:r>
      <w:r w:rsidR="008A1C94" w:rsidRPr="009006A4">
        <w:rPr>
          <w:bCs/>
          <w:sz w:val="24"/>
          <w:szCs w:val="24"/>
          <w:lang w:val="fr-FR"/>
        </w:rPr>
        <w:t xml:space="preserve"> Part</w:t>
      </w:r>
      <w:r w:rsidR="00903481">
        <w:rPr>
          <w:bCs/>
          <w:sz w:val="24"/>
          <w:szCs w:val="24"/>
          <w:lang w:val="fr-FR"/>
        </w:rPr>
        <w:t>ie</w:t>
      </w:r>
      <w:r w:rsidR="002B0656" w:rsidRPr="009006A4">
        <w:rPr>
          <w:bCs/>
          <w:sz w:val="24"/>
          <w:szCs w:val="24"/>
          <w:lang w:val="fr-FR"/>
        </w:rPr>
        <w:t xml:space="preserve"> (a)</w:t>
      </w:r>
      <w:r w:rsidR="008A1C94" w:rsidRPr="009006A4">
        <w:rPr>
          <w:bCs/>
          <w:sz w:val="24"/>
          <w:szCs w:val="24"/>
          <w:lang w:val="fr-FR"/>
        </w:rPr>
        <w:t xml:space="preserve"> </w:t>
      </w:r>
      <w:r w:rsidR="00903481">
        <w:rPr>
          <w:bCs/>
          <w:sz w:val="24"/>
          <w:szCs w:val="24"/>
          <w:lang w:val="fr-FR"/>
        </w:rPr>
        <w:t xml:space="preserve">des composantes de base </w:t>
      </w:r>
      <w:r w:rsidR="002B0656" w:rsidRPr="009006A4">
        <w:rPr>
          <w:bCs/>
          <w:sz w:val="24"/>
          <w:szCs w:val="24"/>
          <w:lang w:val="fr-FR"/>
        </w:rPr>
        <w:t>sugg</w:t>
      </w:r>
      <w:r w:rsidR="00903481">
        <w:rPr>
          <w:bCs/>
          <w:sz w:val="24"/>
          <w:szCs w:val="24"/>
          <w:lang w:val="fr-FR"/>
        </w:rPr>
        <w:t>érées par l’Allemagne</w:t>
      </w:r>
      <w:r w:rsidR="002B0656" w:rsidRPr="009006A4">
        <w:rPr>
          <w:bCs/>
          <w:sz w:val="24"/>
          <w:szCs w:val="24"/>
          <w:lang w:val="fr-FR"/>
        </w:rPr>
        <w:t xml:space="preserve">, (b) </w:t>
      </w:r>
      <w:r w:rsidR="000F53A4">
        <w:rPr>
          <w:bCs/>
          <w:sz w:val="24"/>
          <w:szCs w:val="24"/>
          <w:lang w:val="fr-FR"/>
        </w:rPr>
        <w:t>l</w:t>
      </w:r>
      <w:r w:rsidR="00903481">
        <w:rPr>
          <w:bCs/>
          <w:sz w:val="24"/>
          <w:szCs w:val="24"/>
          <w:lang w:val="fr-FR"/>
        </w:rPr>
        <w:t xml:space="preserve">es coûts supplémentaires qui seraient entraînés par la </w:t>
      </w:r>
      <w:r w:rsidR="001E2BF8">
        <w:rPr>
          <w:bCs/>
          <w:sz w:val="24"/>
          <w:szCs w:val="24"/>
          <w:lang w:val="fr-FR"/>
        </w:rPr>
        <w:t>nomination d’un Responsable des espèces</w:t>
      </w:r>
      <w:r w:rsidR="00111401" w:rsidRPr="009006A4">
        <w:rPr>
          <w:bCs/>
          <w:sz w:val="24"/>
          <w:szCs w:val="24"/>
          <w:lang w:val="fr-FR"/>
        </w:rPr>
        <w:t xml:space="preserve"> P3, </w:t>
      </w:r>
      <w:r w:rsidR="002B0656" w:rsidRPr="009006A4">
        <w:rPr>
          <w:bCs/>
          <w:sz w:val="24"/>
          <w:szCs w:val="24"/>
          <w:lang w:val="fr-FR"/>
        </w:rPr>
        <w:t xml:space="preserve">(c) </w:t>
      </w:r>
      <w:r w:rsidR="001E2BF8">
        <w:rPr>
          <w:bCs/>
          <w:sz w:val="24"/>
          <w:szCs w:val="24"/>
          <w:lang w:val="fr-FR"/>
        </w:rPr>
        <w:t>les coûts supplémentaires</w:t>
      </w:r>
      <w:r w:rsidRPr="009006A4">
        <w:rPr>
          <w:bCs/>
          <w:sz w:val="24"/>
          <w:szCs w:val="24"/>
          <w:lang w:val="fr-FR"/>
        </w:rPr>
        <w:t xml:space="preserve"> </w:t>
      </w:r>
      <w:r w:rsidR="001E2BF8">
        <w:rPr>
          <w:bCs/>
          <w:sz w:val="24"/>
          <w:szCs w:val="24"/>
          <w:lang w:val="fr-FR"/>
        </w:rPr>
        <w:t>qui seraient entraînés par la nomination d’un Responsable des espèces</w:t>
      </w:r>
      <w:r w:rsidRPr="009006A4">
        <w:rPr>
          <w:bCs/>
          <w:sz w:val="24"/>
          <w:szCs w:val="24"/>
          <w:lang w:val="fr-FR"/>
        </w:rPr>
        <w:t xml:space="preserve"> P2 </w:t>
      </w:r>
      <w:r w:rsidR="001E2BF8">
        <w:rPr>
          <w:bCs/>
          <w:sz w:val="24"/>
          <w:szCs w:val="24"/>
          <w:lang w:val="fr-FR"/>
        </w:rPr>
        <w:t>et</w:t>
      </w:r>
      <w:r w:rsidR="002B0656" w:rsidRPr="009006A4">
        <w:rPr>
          <w:bCs/>
          <w:sz w:val="24"/>
          <w:szCs w:val="24"/>
          <w:lang w:val="fr-FR"/>
        </w:rPr>
        <w:t xml:space="preserve"> (d) </w:t>
      </w:r>
      <w:r w:rsidR="001E2BF8">
        <w:rPr>
          <w:bCs/>
          <w:sz w:val="24"/>
          <w:szCs w:val="24"/>
          <w:lang w:val="fr-FR"/>
        </w:rPr>
        <w:t>les couts supplémentaires</w:t>
      </w:r>
      <w:r w:rsidRPr="009006A4">
        <w:rPr>
          <w:bCs/>
          <w:sz w:val="24"/>
          <w:szCs w:val="24"/>
          <w:lang w:val="fr-FR"/>
        </w:rPr>
        <w:t xml:space="preserve"> </w:t>
      </w:r>
      <w:r w:rsidR="000F53A4">
        <w:rPr>
          <w:bCs/>
          <w:sz w:val="24"/>
          <w:szCs w:val="24"/>
          <w:lang w:val="fr-FR"/>
        </w:rPr>
        <w:t>occasionnés</w:t>
      </w:r>
      <w:r w:rsidR="001E2BF8">
        <w:rPr>
          <w:bCs/>
          <w:sz w:val="24"/>
          <w:szCs w:val="24"/>
          <w:lang w:val="fr-FR"/>
        </w:rPr>
        <w:t xml:space="preserve"> par la nomination d’un</w:t>
      </w:r>
      <w:r w:rsidRPr="009006A4">
        <w:rPr>
          <w:bCs/>
          <w:sz w:val="24"/>
          <w:szCs w:val="24"/>
          <w:lang w:val="fr-FR"/>
        </w:rPr>
        <w:t xml:space="preserve"> </w:t>
      </w:r>
      <w:r w:rsidR="001E2BF8">
        <w:rPr>
          <w:bCs/>
          <w:sz w:val="24"/>
          <w:szCs w:val="24"/>
          <w:lang w:val="fr-FR"/>
        </w:rPr>
        <w:t>Coordinateur de l’Initiative africaine à temps plein</w:t>
      </w:r>
      <w:r w:rsidR="00111401" w:rsidRPr="009006A4">
        <w:rPr>
          <w:bCs/>
          <w:sz w:val="24"/>
          <w:szCs w:val="24"/>
          <w:lang w:val="fr-FR"/>
        </w:rPr>
        <w:t>.</w:t>
      </w:r>
      <w:r w:rsidR="00D81952" w:rsidRPr="009006A4">
        <w:rPr>
          <w:bCs/>
          <w:sz w:val="24"/>
          <w:szCs w:val="24"/>
          <w:lang w:val="fr-FR"/>
        </w:rPr>
        <w:t xml:space="preserve"> </w:t>
      </w:r>
      <w:r w:rsidR="001E2BF8">
        <w:rPr>
          <w:bCs/>
          <w:sz w:val="24"/>
          <w:szCs w:val="24"/>
          <w:lang w:val="fr-FR"/>
        </w:rPr>
        <w:t>Les</w:t>
      </w:r>
      <w:r w:rsidR="00D81952" w:rsidRPr="009006A4">
        <w:rPr>
          <w:bCs/>
          <w:sz w:val="24"/>
          <w:szCs w:val="24"/>
          <w:lang w:val="fr-FR"/>
        </w:rPr>
        <w:t xml:space="preserve"> sc</w:t>
      </w:r>
      <w:r w:rsidR="001E2BF8">
        <w:rPr>
          <w:bCs/>
          <w:sz w:val="24"/>
          <w:szCs w:val="24"/>
          <w:lang w:val="fr-FR"/>
        </w:rPr>
        <w:t>é</w:t>
      </w:r>
      <w:r w:rsidR="00D81952" w:rsidRPr="009006A4">
        <w:rPr>
          <w:bCs/>
          <w:sz w:val="24"/>
          <w:szCs w:val="24"/>
          <w:lang w:val="fr-FR"/>
        </w:rPr>
        <w:t xml:space="preserve">narios </w:t>
      </w:r>
      <w:r w:rsidR="001E2BF8">
        <w:rPr>
          <w:bCs/>
          <w:sz w:val="24"/>
          <w:szCs w:val="24"/>
          <w:lang w:val="fr-FR"/>
        </w:rPr>
        <w:t>révisés n’incluraient pas</w:t>
      </w:r>
      <w:r w:rsidR="00D81952" w:rsidRPr="009006A4">
        <w:rPr>
          <w:bCs/>
          <w:sz w:val="24"/>
          <w:szCs w:val="24"/>
          <w:lang w:val="fr-FR"/>
        </w:rPr>
        <w:t xml:space="preserve"> </w:t>
      </w:r>
      <w:r w:rsidR="001E2BF8">
        <w:rPr>
          <w:bCs/>
          <w:sz w:val="24"/>
          <w:szCs w:val="24"/>
          <w:lang w:val="fr-FR"/>
        </w:rPr>
        <w:t>les postes de</w:t>
      </w:r>
      <w:r w:rsidR="00D81952" w:rsidRPr="009006A4">
        <w:rPr>
          <w:bCs/>
          <w:sz w:val="24"/>
          <w:szCs w:val="24"/>
          <w:lang w:val="fr-FR"/>
        </w:rPr>
        <w:t xml:space="preserve"> </w:t>
      </w:r>
      <w:r w:rsidR="00A97CA0">
        <w:rPr>
          <w:bCs/>
          <w:sz w:val="24"/>
          <w:szCs w:val="24"/>
          <w:lang w:val="fr-FR"/>
        </w:rPr>
        <w:t>Responsable de la conformité</w:t>
      </w:r>
      <w:r w:rsidR="00D81952" w:rsidRPr="009006A4">
        <w:rPr>
          <w:bCs/>
          <w:sz w:val="24"/>
          <w:szCs w:val="24"/>
          <w:lang w:val="fr-FR"/>
        </w:rPr>
        <w:t xml:space="preserve"> </w:t>
      </w:r>
      <w:r w:rsidR="00A97CA0">
        <w:rPr>
          <w:bCs/>
          <w:sz w:val="24"/>
          <w:szCs w:val="24"/>
          <w:lang w:val="fr-FR"/>
        </w:rPr>
        <w:t xml:space="preserve">et d’Agent de soutien du TC, prévus dans l’actuel </w:t>
      </w:r>
      <w:r w:rsidR="00D81952" w:rsidRPr="009006A4">
        <w:rPr>
          <w:bCs/>
          <w:sz w:val="24"/>
          <w:szCs w:val="24"/>
          <w:lang w:val="fr-FR"/>
        </w:rPr>
        <w:t>Sc</w:t>
      </w:r>
      <w:r w:rsidR="00A97CA0">
        <w:rPr>
          <w:bCs/>
          <w:sz w:val="24"/>
          <w:szCs w:val="24"/>
          <w:lang w:val="fr-FR"/>
        </w:rPr>
        <w:t>é</w:t>
      </w:r>
      <w:r w:rsidR="00D81952" w:rsidRPr="009006A4">
        <w:rPr>
          <w:bCs/>
          <w:sz w:val="24"/>
          <w:szCs w:val="24"/>
          <w:lang w:val="fr-FR"/>
        </w:rPr>
        <w:t>nario 4.</w:t>
      </w:r>
    </w:p>
    <w:p w14:paraId="1404507C" w14:textId="04906BA2" w:rsidR="00111401" w:rsidRPr="009006A4" w:rsidRDefault="00111401" w:rsidP="00714211">
      <w:pPr>
        <w:jc w:val="both"/>
        <w:rPr>
          <w:bCs/>
          <w:sz w:val="24"/>
          <w:szCs w:val="24"/>
          <w:lang w:val="fr-FR"/>
        </w:rPr>
      </w:pPr>
    </w:p>
    <w:p w14:paraId="337DDD60" w14:textId="52AE0E52" w:rsidR="00111401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32. </w:t>
      </w:r>
      <w:r w:rsidR="00A97CA0">
        <w:rPr>
          <w:bCs/>
          <w:sz w:val="24"/>
          <w:szCs w:val="24"/>
          <w:lang w:val="fr-FR"/>
        </w:rPr>
        <w:t>Le</w:t>
      </w:r>
      <w:r w:rsidR="002B0656" w:rsidRPr="009006A4">
        <w:rPr>
          <w:bCs/>
          <w:sz w:val="24"/>
          <w:szCs w:val="24"/>
          <w:lang w:val="fr-FR"/>
        </w:rPr>
        <w:t xml:space="preserve"> </w:t>
      </w:r>
      <w:r w:rsidR="00A97CA0">
        <w:rPr>
          <w:b/>
          <w:sz w:val="24"/>
          <w:szCs w:val="24"/>
          <w:lang w:val="fr-FR"/>
        </w:rPr>
        <w:t>Royaume Uni</w:t>
      </w:r>
      <w:r w:rsidR="002B0656" w:rsidRPr="009006A4">
        <w:rPr>
          <w:bCs/>
          <w:sz w:val="24"/>
          <w:szCs w:val="24"/>
          <w:lang w:val="fr-FR"/>
        </w:rPr>
        <w:t xml:space="preserve"> </w:t>
      </w:r>
      <w:r w:rsidR="00A97CA0">
        <w:rPr>
          <w:bCs/>
          <w:sz w:val="24"/>
          <w:szCs w:val="24"/>
          <w:lang w:val="fr-FR"/>
        </w:rPr>
        <w:t>estime</w:t>
      </w:r>
      <w:r w:rsidR="002B0656" w:rsidRPr="009006A4">
        <w:rPr>
          <w:bCs/>
          <w:sz w:val="24"/>
          <w:szCs w:val="24"/>
          <w:lang w:val="fr-FR"/>
        </w:rPr>
        <w:t xml:space="preserve"> </w:t>
      </w:r>
      <w:r w:rsidR="00A97CA0">
        <w:rPr>
          <w:bCs/>
          <w:sz w:val="24"/>
          <w:szCs w:val="24"/>
          <w:lang w:val="fr-FR"/>
        </w:rPr>
        <w:t xml:space="preserve">que la </w:t>
      </w:r>
      <w:r w:rsidR="00A92B21">
        <w:rPr>
          <w:bCs/>
          <w:sz w:val="24"/>
          <w:szCs w:val="24"/>
          <w:lang w:val="fr-FR"/>
        </w:rPr>
        <w:t>base de référence</w:t>
      </w:r>
      <w:r w:rsidR="00111401" w:rsidRPr="009006A4">
        <w:rPr>
          <w:bCs/>
          <w:sz w:val="24"/>
          <w:szCs w:val="24"/>
          <w:lang w:val="fr-FR"/>
        </w:rPr>
        <w:t xml:space="preserve"> </w:t>
      </w:r>
      <w:r w:rsidR="00A97CA0">
        <w:rPr>
          <w:bCs/>
          <w:sz w:val="24"/>
          <w:szCs w:val="24"/>
          <w:lang w:val="fr-FR"/>
        </w:rPr>
        <w:t>devrait s’appuyer sur la reconnaissance par la</w:t>
      </w:r>
      <w:r w:rsidR="00111401" w:rsidRPr="009006A4">
        <w:rPr>
          <w:bCs/>
          <w:sz w:val="24"/>
          <w:szCs w:val="24"/>
          <w:lang w:val="fr-FR"/>
        </w:rPr>
        <w:t xml:space="preserve"> MOP7 </w:t>
      </w:r>
      <w:r w:rsidR="00A97CA0">
        <w:rPr>
          <w:bCs/>
          <w:sz w:val="24"/>
          <w:szCs w:val="24"/>
          <w:lang w:val="fr-FR"/>
        </w:rPr>
        <w:t>que le personnel du</w:t>
      </w:r>
      <w:r w:rsidR="00111401" w:rsidRPr="009006A4">
        <w:rPr>
          <w:bCs/>
          <w:sz w:val="24"/>
          <w:szCs w:val="24"/>
          <w:lang w:val="fr-FR"/>
        </w:rPr>
        <w:t xml:space="preserve"> Secr</w:t>
      </w:r>
      <w:r w:rsidR="00A97CA0">
        <w:rPr>
          <w:bCs/>
          <w:sz w:val="24"/>
          <w:szCs w:val="24"/>
          <w:lang w:val="fr-FR"/>
        </w:rPr>
        <w:t>é</w:t>
      </w:r>
      <w:r w:rsidR="00111401" w:rsidRPr="009006A4">
        <w:rPr>
          <w:bCs/>
          <w:sz w:val="24"/>
          <w:szCs w:val="24"/>
          <w:lang w:val="fr-FR"/>
        </w:rPr>
        <w:t xml:space="preserve">tariat </w:t>
      </w:r>
      <w:r w:rsidR="00A97CA0">
        <w:rPr>
          <w:bCs/>
          <w:sz w:val="24"/>
          <w:szCs w:val="24"/>
          <w:lang w:val="fr-FR"/>
        </w:rPr>
        <w:t>de l’AEWA</w:t>
      </w:r>
      <w:r w:rsidR="002B0656" w:rsidRPr="009006A4">
        <w:rPr>
          <w:bCs/>
          <w:sz w:val="24"/>
          <w:szCs w:val="24"/>
          <w:lang w:val="fr-FR"/>
        </w:rPr>
        <w:t xml:space="preserve"> </w:t>
      </w:r>
      <w:r w:rsidR="00A97CA0">
        <w:rPr>
          <w:bCs/>
          <w:sz w:val="24"/>
          <w:szCs w:val="24"/>
          <w:lang w:val="fr-FR"/>
        </w:rPr>
        <w:t>a été sous-payé selon les règles du PNUE</w:t>
      </w:r>
      <w:r w:rsidR="00111401" w:rsidRPr="009006A4">
        <w:rPr>
          <w:bCs/>
          <w:sz w:val="24"/>
          <w:szCs w:val="24"/>
          <w:lang w:val="fr-FR"/>
        </w:rPr>
        <w:t xml:space="preserve">. </w:t>
      </w:r>
      <w:r w:rsidR="002B0656" w:rsidRPr="009006A4">
        <w:rPr>
          <w:bCs/>
          <w:sz w:val="24"/>
          <w:szCs w:val="24"/>
          <w:lang w:val="fr-FR"/>
        </w:rPr>
        <w:t>I</w:t>
      </w:r>
      <w:r w:rsidR="00A97CA0">
        <w:rPr>
          <w:bCs/>
          <w:sz w:val="24"/>
          <w:szCs w:val="24"/>
          <w:lang w:val="fr-FR"/>
        </w:rPr>
        <w:t xml:space="preserve">l n’est </w:t>
      </w:r>
      <w:r w:rsidR="00A97CA0">
        <w:rPr>
          <w:bCs/>
          <w:sz w:val="24"/>
          <w:szCs w:val="24"/>
          <w:lang w:val="fr-FR"/>
        </w:rPr>
        <w:lastRenderedPageBreak/>
        <w:t>pas juste d’attendre de ces personnes qu’elles effectuent un travail à un niveau plus élevé, sans être payées en conséquence</w:t>
      </w:r>
      <w:r w:rsidR="00111401" w:rsidRPr="009006A4">
        <w:rPr>
          <w:bCs/>
          <w:sz w:val="24"/>
          <w:szCs w:val="24"/>
          <w:lang w:val="fr-FR"/>
        </w:rPr>
        <w:t xml:space="preserve"> </w:t>
      </w:r>
      <w:r w:rsidR="00D160F4">
        <w:rPr>
          <w:bCs/>
          <w:sz w:val="24"/>
          <w:szCs w:val="24"/>
          <w:lang w:val="fr-FR"/>
        </w:rPr>
        <w:t>pendant trois années supplémentaires</w:t>
      </w:r>
      <w:r w:rsidR="00111401" w:rsidRPr="009006A4">
        <w:rPr>
          <w:bCs/>
          <w:sz w:val="24"/>
          <w:szCs w:val="24"/>
          <w:lang w:val="fr-FR"/>
        </w:rPr>
        <w:t>.</w:t>
      </w:r>
    </w:p>
    <w:p w14:paraId="3B4B2FC7" w14:textId="4E74B3BE" w:rsidR="00111401" w:rsidRPr="009006A4" w:rsidRDefault="00111401" w:rsidP="00714211">
      <w:pPr>
        <w:jc w:val="both"/>
        <w:rPr>
          <w:bCs/>
          <w:sz w:val="24"/>
          <w:szCs w:val="24"/>
          <w:lang w:val="fr-FR"/>
        </w:rPr>
      </w:pPr>
    </w:p>
    <w:p w14:paraId="11E677ED" w14:textId="4E3D9104" w:rsidR="00D81952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33. </w:t>
      </w:r>
      <w:r w:rsidR="00D160F4">
        <w:rPr>
          <w:bCs/>
          <w:sz w:val="24"/>
          <w:szCs w:val="24"/>
          <w:lang w:val="fr-FR"/>
        </w:rPr>
        <w:t>Le</w:t>
      </w:r>
      <w:r w:rsidR="002B0656" w:rsidRPr="009006A4">
        <w:rPr>
          <w:bCs/>
          <w:sz w:val="24"/>
          <w:szCs w:val="24"/>
          <w:lang w:val="fr-FR"/>
        </w:rPr>
        <w:t xml:space="preserve"> </w:t>
      </w:r>
      <w:r w:rsidR="00D160F4">
        <w:rPr>
          <w:b/>
          <w:sz w:val="24"/>
          <w:szCs w:val="24"/>
          <w:lang w:val="fr-FR"/>
        </w:rPr>
        <w:t>Secrétaire exécutif</w:t>
      </w:r>
      <w:r w:rsidR="002B0656" w:rsidRPr="009006A4">
        <w:rPr>
          <w:bCs/>
          <w:sz w:val="24"/>
          <w:szCs w:val="24"/>
          <w:lang w:val="fr-FR"/>
        </w:rPr>
        <w:t xml:space="preserve"> </w:t>
      </w:r>
      <w:r w:rsidR="00D160F4">
        <w:rPr>
          <w:bCs/>
          <w:sz w:val="24"/>
          <w:szCs w:val="24"/>
          <w:lang w:val="fr-FR"/>
        </w:rPr>
        <w:t>fait remarquer</w:t>
      </w:r>
      <w:r w:rsidR="002B0656" w:rsidRPr="009006A4">
        <w:rPr>
          <w:bCs/>
          <w:sz w:val="24"/>
          <w:szCs w:val="24"/>
          <w:lang w:val="fr-FR"/>
        </w:rPr>
        <w:t xml:space="preserve"> </w:t>
      </w:r>
      <w:r w:rsidR="00D160F4">
        <w:rPr>
          <w:bCs/>
          <w:sz w:val="24"/>
          <w:szCs w:val="24"/>
          <w:lang w:val="fr-FR"/>
        </w:rPr>
        <w:t xml:space="preserve">que le </w:t>
      </w:r>
      <w:r w:rsidR="00111401" w:rsidRPr="009006A4">
        <w:rPr>
          <w:bCs/>
          <w:sz w:val="24"/>
          <w:szCs w:val="24"/>
          <w:lang w:val="fr-FR"/>
        </w:rPr>
        <w:t>Sc</w:t>
      </w:r>
      <w:r w:rsidR="00D160F4">
        <w:rPr>
          <w:bCs/>
          <w:sz w:val="24"/>
          <w:szCs w:val="24"/>
          <w:lang w:val="fr-FR"/>
        </w:rPr>
        <w:t>é</w:t>
      </w:r>
      <w:r w:rsidR="00111401" w:rsidRPr="009006A4">
        <w:rPr>
          <w:bCs/>
          <w:sz w:val="24"/>
          <w:szCs w:val="24"/>
          <w:lang w:val="fr-FR"/>
        </w:rPr>
        <w:t xml:space="preserve">nario </w:t>
      </w:r>
      <w:r w:rsidR="00D160F4">
        <w:rPr>
          <w:bCs/>
          <w:sz w:val="24"/>
          <w:szCs w:val="24"/>
          <w:lang w:val="fr-FR"/>
        </w:rPr>
        <w:t xml:space="preserve">budgétaire </w:t>
      </w:r>
      <w:r w:rsidR="00111401" w:rsidRPr="009006A4">
        <w:rPr>
          <w:bCs/>
          <w:sz w:val="24"/>
          <w:szCs w:val="24"/>
          <w:lang w:val="fr-FR"/>
        </w:rPr>
        <w:t xml:space="preserve">3 </w:t>
      </w:r>
      <w:r w:rsidR="00D160F4">
        <w:rPr>
          <w:bCs/>
          <w:sz w:val="24"/>
          <w:szCs w:val="24"/>
          <w:lang w:val="fr-FR"/>
        </w:rPr>
        <w:t>propose une revalorisation de l’ensemble du personnel</w:t>
      </w:r>
      <w:r w:rsidR="00111401" w:rsidRPr="009006A4">
        <w:rPr>
          <w:bCs/>
          <w:sz w:val="24"/>
          <w:szCs w:val="24"/>
          <w:lang w:val="fr-FR"/>
        </w:rPr>
        <w:t xml:space="preserve"> P</w:t>
      </w:r>
      <w:r w:rsidR="002B0656" w:rsidRPr="009006A4">
        <w:rPr>
          <w:bCs/>
          <w:sz w:val="24"/>
          <w:szCs w:val="24"/>
          <w:lang w:val="fr-FR"/>
        </w:rPr>
        <w:t xml:space="preserve">. </w:t>
      </w:r>
      <w:r w:rsidR="00D160F4">
        <w:rPr>
          <w:bCs/>
          <w:sz w:val="24"/>
          <w:szCs w:val="24"/>
          <w:lang w:val="fr-FR"/>
        </w:rPr>
        <w:t>Cela pourrait peut-être se faire en deux étapes</w:t>
      </w:r>
      <w:r w:rsidR="00111401" w:rsidRPr="009006A4">
        <w:rPr>
          <w:bCs/>
          <w:sz w:val="24"/>
          <w:szCs w:val="24"/>
          <w:lang w:val="fr-FR"/>
        </w:rPr>
        <w:t>.</w:t>
      </w:r>
    </w:p>
    <w:p w14:paraId="572F4F66" w14:textId="77777777" w:rsidR="002B0656" w:rsidRPr="009006A4" w:rsidRDefault="002B0656" w:rsidP="00714211">
      <w:pPr>
        <w:jc w:val="both"/>
        <w:rPr>
          <w:bCs/>
          <w:sz w:val="24"/>
          <w:szCs w:val="24"/>
          <w:lang w:val="fr-FR"/>
        </w:rPr>
      </w:pPr>
    </w:p>
    <w:p w14:paraId="45B120D8" w14:textId="7471AA96" w:rsidR="000022D0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34.</w:t>
      </w:r>
      <w:r w:rsidR="00D160F4">
        <w:rPr>
          <w:bCs/>
          <w:sz w:val="24"/>
          <w:szCs w:val="24"/>
          <w:lang w:val="fr-FR"/>
        </w:rPr>
        <w:t xml:space="preserve"> La</w:t>
      </w:r>
      <w:r w:rsidRPr="009006A4">
        <w:rPr>
          <w:bCs/>
          <w:sz w:val="24"/>
          <w:szCs w:val="24"/>
          <w:lang w:val="fr-FR"/>
        </w:rPr>
        <w:t xml:space="preserve"> </w:t>
      </w:r>
      <w:r w:rsidR="000022D0" w:rsidRPr="009006A4">
        <w:rPr>
          <w:b/>
          <w:sz w:val="24"/>
          <w:szCs w:val="24"/>
          <w:lang w:val="fr-FR"/>
        </w:rPr>
        <w:t>France</w:t>
      </w:r>
      <w:r w:rsidR="002B0656" w:rsidRPr="009006A4">
        <w:rPr>
          <w:bCs/>
          <w:sz w:val="24"/>
          <w:szCs w:val="24"/>
          <w:lang w:val="fr-FR"/>
        </w:rPr>
        <w:t xml:space="preserve"> indi</w:t>
      </w:r>
      <w:r w:rsidR="00D160F4">
        <w:rPr>
          <w:bCs/>
          <w:sz w:val="24"/>
          <w:szCs w:val="24"/>
          <w:lang w:val="fr-FR"/>
        </w:rPr>
        <w:t>que qu’elle est prête</w:t>
      </w:r>
      <w:r w:rsidR="002B0656" w:rsidRPr="009006A4">
        <w:rPr>
          <w:bCs/>
          <w:sz w:val="24"/>
          <w:szCs w:val="24"/>
          <w:lang w:val="fr-FR"/>
        </w:rPr>
        <w:t xml:space="preserve"> </w:t>
      </w:r>
      <w:r w:rsidR="00D160F4">
        <w:rPr>
          <w:bCs/>
          <w:sz w:val="24"/>
          <w:szCs w:val="24"/>
          <w:lang w:val="fr-FR"/>
        </w:rPr>
        <w:t>à entamer la</w:t>
      </w:r>
      <w:r w:rsidR="00D81952" w:rsidRPr="009006A4">
        <w:rPr>
          <w:bCs/>
          <w:sz w:val="24"/>
          <w:szCs w:val="24"/>
          <w:lang w:val="fr-FR"/>
        </w:rPr>
        <w:t xml:space="preserve"> </w:t>
      </w:r>
      <w:r w:rsidR="000022D0" w:rsidRPr="009006A4">
        <w:rPr>
          <w:bCs/>
          <w:sz w:val="24"/>
          <w:szCs w:val="24"/>
          <w:lang w:val="fr-FR"/>
        </w:rPr>
        <w:t xml:space="preserve">discussion </w:t>
      </w:r>
      <w:r w:rsidR="00D160F4">
        <w:rPr>
          <w:bCs/>
          <w:sz w:val="24"/>
          <w:szCs w:val="24"/>
          <w:lang w:val="fr-FR"/>
        </w:rPr>
        <w:t>sur la base de l’actuel</w:t>
      </w:r>
      <w:r w:rsidR="000022D0" w:rsidRPr="009006A4">
        <w:rPr>
          <w:bCs/>
          <w:sz w:val="24"/>
          <w:szCs w:val="24"/>
          <w:lang w:val="fr-FR"/>
        </w:rPr>
        <w:t xml:space="preserve"> Sc</w:t>
      </w:r>
      <w:r w:rsidR="00D160F4">
        <w:rPr>
          <w:bCs/>
          <w:sz w:val="24"/>
          <w:szCs w:val="24"/>
          <w:lang w:val="fr-FR"/>
        </w:rPr>
        <w:t>é</w:t>
      </w:r>
      <w:r w:rsidR="000022D0" w:rsidRPr="009006A4">
        <w:rPr>
          <w:bCs/>
          <w:sz w:val="24"/>
          <w:szCs w:val="24"/>
          <w:lang w:val="fr-FR"/>
        </w:rPr>
        <w:t xml:space="preserve">nario 2. </w:t>
      </w:r>
      <w:r w:rsidR="00D160F4">
        <w:rPr>
          <w:bCs/>
          <w:sz w:val="24"/>
          <w:szCs w:val="24"/>
          <w:lang w:val="fr-FR"/>
        </w:rPr>
        <w:t>Les priorités de la</w:t>
      </w:r>
      <w:r w:rsidR="00D81952" w:rsidRPr="009006A4">
        <w:rPr>
          <w:bCs/>
          <w:sz w:val="24"/>
          <w:szCs w:val="24"/>
          <w:lang w:val="fr-FR"/>
        </w:rPr>
        <w:t xml:space="preserve"> France </w:t>
      </w:r>
      <w:r w:rsidR="00D160F4">
        <w:rPr>
          <w:bCs/>
          <w:sz w:val="24"/>
          <w:szCs w:val="24"/>
          <w:lang w:val="fr-FR"/>
        </w:rPr>
        <w:t>sont le financement intégral du poste de Coordinateur de l’Initiative africaine et de la traduction des</w:t>
      </w:r>
      <w:r w:rsidR="00D81952" w:rsidRPr="009006A4">
        <w:rPr>
          <w:bCs/>
          <w:sz w:val="24"/>
          <w:szCs w:val="24"/>
          <w:lang w:val="fr-FR"/>
        </w:rPr>
        <w:t xml:space="preserve"> documents</w:t>
      </w:r>
      <w:r w:rsidR="000022D0" w:rsidRPr="009006A4">
        <w:rPr>
          <w:bCs/>
          <w:sz w:val="24"/>
          <w:szCs w:val="24"/>
          <w:lang w:val="fr-FR"/>
        </w:rPr>
        <w:t>.</w:t>
      </w:r>
    </w:p>
    <w:p w14:paraId="16F3F3E3" w14:textId="27E00C81" w:rsidR="00BD41AA" w:rsidRPr="009006A4" w:rsidRDefault="00BD41AA" w:rsidP="00714211">
      <w:pPr>
        <w:jc w:val="both"/>
        <w:rPr>
          <w:bCs/>
          <w:sz w:val="24"/>
          <w:szCs w:val="24"/>
          <w:lang w:val="fr-FR"/>
        </w:rPr>
      </w:pPr>
    </w:p>
    <w:p w14:paraId="594C7DD0" w14:textId="299D4DF0" w:rsidR="00BD41AA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>35.</w:t>
      </w:r>
      <w:r w:rsidR="00D160F4">
        <w:rPr>
          <w:bCs/>
          <w:sz w:val="24"/>
          <w:szCs w:val="24"/>
          <w:lang w:val="fr-FR"/>
        </w:rPr>
        <w:t xml:space="preserve"> L’</w:t>
      </w:r>
      <w:r w:rsidR="00D160F4">
        <w:rPr>
          <w:b/>
          <w:sz w:val="24"/>
          <w:szCs w:val="24"/>
          <w:lang w:val="fr-FR"/>
        </w:rPr>
        <w:t>Allemagne</w:t>
      </w:r>
      <w:r w:rsidR="00D81952" w:rsidRPr="009006A4">
        <w:rPr>
          <w:bCs/>
          <w:sz w:val="24"/>
          <w:szCs w:val="24"/>
          <w:lang w:val="fr-FR"/>
        </w:rPr>
        <w:t xml:space="preserve"> </w:t>
      </w:r>
      <w:r w:rsidR="00D160F4">
        <w:rPr>
          <w:bCs/>
          <w:sz w:val="24"/>
          <w:szCs w:val="24"/>
          <w:lang w:val="fr-FR"/>
        </w:rPr>
        <w:t>comprend qu’il y a un bon argument à faire valoir</w:t>
      </w:r>
      <w:r w:rsidR="00BD41AA" w:rsidRPr="009006A4">
        <w:rPr>
          <w:bCs/>
          <w:sz w:val="24"/>
          <w:szCs w:val="24"/>
          <w:lang w:val="fr-FR"/>
        </w:rPr>
        <w:t xml:space="preserve"> </w:t>
      </w:r>
      <w:r w:rsidR="00D160F4">
        <w:rPr>
          <w:bCs/>
          <w:sz w:val="24"/>
          <w:szCs w:val="24"/>
          <w:lang w:val="fr-FR"/>
        </w:rPr>
        <w:t>pour la revalorisation des postes</w:t>
      </w:r>
      <w:r w:rsidR="00D81952" w:rsidRPr="009006A4">
        <w:rPr>
          <w:bCs/>
          <w:sz w:val="24"/>
          <w:szCs w:val="24"/>
          <w:lang w:val="fr-FR"/>
        </w:rPr>
        <w:t xml:space="preserve"> P</w:t>
      </w:r>
      <w:r w:rsidR="00D160F4">
        <w:rPr>
          <w:bCs/>
          <w:sz w:val="24"/>
          <w:szCs w:val="24"/>
          <w:lang w:val="fr-FR"/>
        </w:rPr>
        <w:t>, conformément aux règles du PNUE</w:t>
      </w:r>
      <w:r w:rsidR="00BD41AA" w:rsidRPr="009006A4">
        <w:rPr>
          <w:bCs/>
          <w:sz w:val="24"/>
          <w:szCs w:val="24"/>
          <w:lang w:val="fr-FR"/>
        </w:rPr>
        <w:t xml:space="preserve">, </w:t>
      </w:r>
      <w:r w:rsidR="00D160F4">
        <w:rPr>
          <w:bCs/>
          <w:sz w:val="24"/>
          <w:szCs w:val="24"/>
          <w:lang w:val="fr-FR"/>
        </w:rPr>
        <w:t>mais il faut également prendre en compte</w:t>
      </w:r>
      <w:r w:rsidR="00BD41AA" w:rsidRPr="009006A4">
        <w:rPr>
          <w:bCs/>
          <w:sz w:val="24"/>
          <w:szCs w:val="24"/>
          <w:lang w:val="fr-FR"/>
        </w:rPr>
        <w:t xml:space="preserve"> </w:t>
      </w:r>
      <w:r w:rsidR="00D160F4">
        <w:rPr>
          <w:bCs/>
          <w:sz w:val="24"/>
          <w:szCs w:val="24"/>
          <w:lang w:val="fr-FR"/>
        </w:rPr>
        <w:t xml:space="preserve">que cela pourrait </w:t>
      </w:r>
      <w:r w:rsidR="00A92B21">
        <w:rPr>
          <w:bCs/>
          <w:sz w:val="24"/>
          <w:szCs w:val="24"/>
          <w:lang w:val="fr-FR"/>
        </w:rPr>
        <w:t>empêcher la</w:t>
      </w:r>
      <w:r w:rsidR="00D160F4">
        <w:rPr>
          <w:bCs/>
          <w:sz w:val="24"/>
          <w:szCs w:val="24"/>
          <w:lang w:val="fr-FR"/>
        </w:rPr>
        <w:t xml:space="preserve"> cré</w:t>
      </w:r>
      <w:r w:rsidR="00A92B21">
        <w:rPr>
          <w:bCs/>
          <w:sz w:val="24"/>
          <w:szCs w:val="24"/>
          <w:lang w:val="fr-FR"/>
        </w:rPr>
        <w:t>ation de</w:t>
      </w:r>
      <w:r w:rsidR="00D160F4">
        <w:rPr>
          <w:bCs/>
          <w:sz w:val="24"/>
          <w:szCs w:val="24"/>
          <w:lang w:val="fr-FR"/>
        </w:rPr>
        <w:t xml:space="preserve"> nouveaux postes</w:t>
      </w:r>
      <w:r w:rsidR="00BD41AA" w:rsidRPr="009006A4">
        <w:rPr>
          <w:bCs/>
          <w:sz w:val="24"/>
          <w:szCs w:val="24"/>
          <w:lang w:val="fr-FR"/>
        </w:rPr>
        <w:t xml:space="preserve">. </w:t>
      </w:r>
      <w:r w:rsidR="00A92B21">
        <w:rPr>
          <w:bCs/>
          <w:sz w:val="24"/>
          <w:szCs w:val="24"/>
          <w:lang w:val="fr-FR"/>
        </w:rPr>
        <w:t>L’Allemagne préfère une base de référence</w:t>
      </w:r>
      <w:r w:rsidR="00BD41AA" w:rsidRPr="009006A4">
        <w:rPr>
          <w:bCs/>
          <w:sz w:val="24"/>
          <w:szCs w:val="24"/>
          <w:lang w:val="fr-FR"/>
        </w:rPr>
        <w:t xml:space="preserve"> </w:t>
      </w:r>
      <w:r w:rsidR="00A92B21">
        <w:rPr>
          <w:bCs/>
          <w:sz w:val="24"/>
          <w:szCs w:val="24"/>
          <w:lang w:val="fr-FR"/>
        </w:rPr>
        <w:t xml:space="preserve">qui traite </w:t>
      </w:r>
      <w:r w:rsidR="000F53A4">
        <w:rPr>
          <w:bCs/>
          <w:sz w:val="24"/>
          <w:szCs w:val="24"/>
          <w:lang w:val="fr-FR"/>
        </w:rPr>
        <w:t xml:space="preserve">de </w:t>
      </w:r>
      <w:r w:rsidR="00A92B21">
        <w:rPr>
          <w:bCs/>
          <w:sz w:val="24"/>
          <w:szCs w:val="24"/>
          <w:lang w:val="fr-FR"/>
        </w:rPr>
        <w:t>la revalorisation comme un ajout</w:t>
      </w:r>
      <w:r w:rsidR="00D81952" w:rsidRPr="009006A4">
        <w:rPr>
          <w:bCs/>
          <w:sz w:val="24"/>
          <w:szCs w:val="24"/>
          <w:lang w:val="fr-FR"/>
        </w:rPr>
        <w:t xml:space="preserve">, </w:t>
      </w:r>
      <w:r w:rsidR="00A92B21">
        <w:rPr>
          <w:bCs/>
          <w:sz w:val="24"/>
          <w:szCs w:val="24"/>
          <w:lang w:val="fr-FR"/>
        </w:rPr>
        <w:t>faisant remarquer que l’</w:t>
      </w:r>
      <w:r w:rsidR="00516509" w:rsidRPr="009006A4">
        <w:rPr>
          <w:bCs/>
          <w:sz w:val="24"/>
          <w:szCs w:val="24"/>
          <w:lang w:val="fr-FR"/>
        </w:rPr>
        <w:t xml:space="preserve">AEWA </w:t>
      </w:r>
      <w:r w:rsidR="00A92B21">
        <w:rPr>
          <w:bCs/>
          <w:sz w:val="24"/>
          <w:szCs w:val="24"/>
          <w:lang w:val="fr-FR"/>
        </w:rPr>
        <w:t>doit être considéré dans le contexte de la Famille CMS au sens large</w:t>
      </w:r>
      <w:r w:rsidR="00BD41AA" w:rsidRPr="009006A4">
        <w:rPr>
          <w:bCs/>
          <w:sz w:val="24"/>
          <w:szCs w:val="24"/>
          <w:lang w:val="fr-FR"/>
        </w:rPr>
        <w:t>.</w:t>
      </w:r>
    </w:p>
    <w:p w14:paraId="6956F52A" w14:textId="48082ECA" w:rsidR="00637BDC" w:rsidRPr="009006A4" w:rsidRDefault="00637BDC" w:rsidP="00714211">
      <w:pPr>
        <w:jc w:val="both"/>
        <w:rPr>
          <w:bCs/>
          <w:sz w:val="24"/>
          <w:szCs w:val="24"/>
          <w:lang w:val="fr-FR"/>
        </w:rPr>
      </w:pPr>
    </w:p>
    <w:p w14:paraId="785E4443" w14:textId="7BC291D0" w:rsidR="009C39B1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36. </w:t>
      </w:r>
      <w:r w:rsidR="00A92B21">
        <w:rPr>
          <w:bCs/>
          <w:sz w:val="24"/>
          <w:szCs w:val="24"/>
          <w:lang w:val="fr-FR"/>
        </w:rPr>
        <w:t>La</w:t>
      </w:r>
      <w:r w:rsidR="00516509" w:rsidRPr="009006A4">
        <w:rPr>
          <w:b/>
          <w:sz w:val="24"/>
          <w:szCs w:val="24"/>
          <w:lang w:val="fr-FR"/>
        </w:rPr>
        <w:t xml:space="preserve"> </w:t>
      </w:r>
      <w:r w:rsidR="009C39B1" w:rsidRPr="009006A4">
        <w:rPr>
          <w:b/>
          <w:sz w:val="24"/>
          <w:szCs w:val="24"/>
          <w:lang w:val="fr-FR"/>
        </w:rPr>
        <w:t>C</w:t>
      </w:r>
      <w:r w:rsidR="00516509" w:rsidRPr="009006A4">
        <w:rPr>
          <w:b/>
          <w:sz w:val="24"/>
          <w:szCs w:val="24"/>
          <w:lang w:val="fr-FR"/>
        </w:rPr>
        <w:t>ommission</w:t>
      </w:r>
      <w:r w:rsidR="00A92B21">
        <w:rPr>
          <w:b/>
          <w:sz w:val="24"/>
          <w:szCs w:val="24"/>
          <w:lang w:val="fr-FR"/>
        </w:rPr>
        <w:t xml:space="preserve"> européenne</w:t>
      </w:r>
      <w:r w:rsidR="00516509" w:rsidRPr="009006A4">
        <w:rPr>
          <w:bCs/>
          <w:sz w:val="24"/>
          <w:szCs w:val="24"/>
          <w:lang w:val="fr-FR"/>
        </w:rPr>
        <w:t xml:space="preserve"> </w:t>
      </w:r>
      <w:r w:rsidR="00A92B21">
        <w:rPr>
          <w:bCs/>
          <w:sz w:val="24"/>
          <w:szCs w:val="24"/>
          <w:lang w:val="fr-FR"/>
        </w:rPr>
        <w:t>d</w:t>
      </w:r>
      <w:r w:rsidR="00516509" w:rsidRPr="009006A4">
        <w:rPr>
          <w:bCs/>
          <w:sz w:val="24"/>
          <w:szCs w:val="24"/>
          <w:lang w:val="fr-FR"/>
        </w:rPr>
        <w:t>e</w:t>
      </w:r>
      <w:r w:rsidR="00A92B21">
        <w:rPr>
          <w:bCs/>
          <w:sz w:val="24"/>
          <w:szCs w:val="24"/>
          <w:lang w:val="fr-FR"/>
        </w:rPr>
        <w:t>mande des éclaircissements</w:t>
      </w:r>
      <w:r w:rsidR="00516509" w:rsidRPr="009006A4">
        <w:rPr>
          <w:bCs/>
          <w:sz w:val="24"/>
          <w:szCs w:val="24"/>
          <w:lang w:val="fr-FR"/>
        </w:rPr>
        <w:t xml:space="preserve"> </w:t>
      </w:r>
      <w:r w:rsidR="00A92B21">
        <w:rPr>
          <w:bCs/>
          <w:sz w:val="24"/>
          <w:szCs w:val="24"/>
          <w:lang w:val="fr-FR"/>
        </w:rPr>
        <w:t>sur la raison pour laquelle certains nouveaux postes proposés ont été classés au niveau</w:t>
      </w:r>
      <w:r w:rsidR="00516509" w:rsidRPr="009006A4">
        <w:rPr>
          <w:bCs/>
          <w:sz w:val="24"/>
          <w:szCs w:val="24"/>
          <w:lang w:val="fr-FR"/>
        </w:rPr>
        <w:t xml:space="preserve"> P2 </w:t>
      </w:r>
      <w:r w:rsidR="00A92B21">
        <w:rPr>
          <w:bCs/>
          <w:sz w:val="24"/>
          <w:szCs w:val="24"/>
          <w:lang w:val="fr-FR"/>
        </w:rPr>
        <w:t>et d’autres au niveau</w:t>
      </w:r>
      <w:r w:rsidR="009C39B1" w:rsidRPr="009006A4">
        <w:rPr>
          <w:bCs/>
          <w:sz w:val="24"/>
          <w:szCs w:val="24"/>
          <w:lang w:val="fr-FR"/>
        </w:rPr>
        <w:t xml:space="preserve"> P3.</w:t>
      </w:r>
    </w:p>
    <w:p w14:paraId="78BD4606" w14:textId="10343A89" w:rsidR="009C39B1" w:rsidRPr="009006A4" w:rsidRDefault="009C39B1" w:rsidP="00714211">
      <w:pPr>
        <w:jc w:val="both"/>
        <w:rPr>
          <w:bCs/>
          <w:sz w:val="24"/>
          <w:szCs w:val="24"/>
          <w:lang w:val="fr-FR"/>
        </w:rPr>
      </w:pPr>
    </w:p>
    <w:p w14:paraId="779E032B" w14:textId="2B8E6C3C" w:rsidR="009C39B1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37. </w:t>
      </w:r>
      <w:r w:rsidR="00A92B21">
        <w:rPr>
          <w:bCs/>
          <w:sz w:val="24"/>
          <w:szCs w:val="24"/>
          <w:lang w:val="fr-FR"/>
        </w:rPr>
        <w:t>Le</w:t>
      </w:r>
      <w:r w:rsidR="00516509" w:rsidRPr="009006A4">
        <w:rPr>
          <w:bCs/>
          <w:sz w:val="24"/>
          <w:szCs w:val="24"/>
          <w:lang w:val="fr-FR"/>
        </w:rPr>
        <w:t xml:space="preserve"> </w:t>
      </w:r>
      <w:r w:rsidR="00516509" w:rsidRPr="009006A4">
        <w:rPr>
          <w:b/>
          <w:sz w:val="24"/>
          <w:szCs w:val="24"/>
          <w:lang w:val="fr-FR"/>
        </w:rPr>
        <w:t>Secr</w:t>
      </w:r>
      <w:r w:rsidR="00A92B21">
        <w:rPr>
          <w:b/>
          <w:sz w:val="24"/>
          <w:szCs w:val="24"/>
          <w:lang w:val="fr-FR"/>
        </w:rPr>
        <w:t>é</w:t>
      </w:r>
      <w:r w:rsidR="00516509" w:rsidRPr="009006A4">
        <w:rPr>
          <w:b/>
          <w:sz w:val="24"/>
          <w:szCs w:val="24"/>
          <w:lang w:val="fr-FR"/>
        </w:rPr>
        <w:t>ta</w:t>
      </w:r>
      <w:r w:rsidR="00A92B21">
        <w:rPr>
          <w:b/>
          <w:sz w:val="24"/>
          <w:szCs w:val="24"/>
          <w:lang w:val="fr-FR"/>
        </w:rPr>
        <w:t>ire exécutif</w:t>
      </w:r>
      <w:r w:rsidR="00516509" w:rsidRPr="009006A4">
        <w:rPr>
          <w:bCs/>
          <w:sz w:val="24"/>
          <w:szCs w:val="24"/>
          <w:lang w:val="fr-FR"/>
        </w:rPr>
        <w:t xml:space="preserve"> confirme</w:t>
      </w:r>
      <w:r w:rsidR="00A92B21">
        <w:rPr>
          <w:bCs/>
          <w:sz w:val="24"/>
          <w:szCs w:val="24"/>
          <w:lang w:val="fr-FR"/>
        </w:rPr>
        <w:t xml:space="preserve"> que cela a été fait sur les conseils du PNUE</w:t>
      </w:r>
      <w:r w:rsidR="00516509" w:rsidRPr="009006A4">
        <w:rPr>
          <w:bCs/>
          <w:sz w:val="24"/>
          <w:szCs w:val="24"/>
          <w:lang w:val="fr-FR"/>
        </w:rPr>
        <w:t xml:space="preserve">, </w:t>
      </w:r>
      <w:r w:rsidR="00A92B21">
        <w:rPr>
          <w:bCs/>
          <w:sz w:val="24"/>
          <w:szCs w:val="24"/>
          <w:lang w:val="fr-FR"/>
        </w:rPr>
        <w:t>après une évaluation initiale du degré d’autonomie et des contacts externes de haut niveau</w:t>
      </w:r>
      <w:r w:rsidR="0007578E">
        <w:rPr>
          <w:bCs/>
          <w:sz w:val="24"/>
          <w:szCs w:val="24"/>
          <w:lang w:val="fr-FR"/>
        </w:rPr>
        <w:t xml:space="preserve"> prévus pour chaque poste</w:t>
      </w:r>
      <w:r w:rsidR="00516509" w:rsidRPr="009006A4">
        <w:rPr>
          <w:bCs/>
          <w:sz w:val="24"/>
          <w:szCs w:val="24"/>
          <w:lang w:val="fr-FR"/>
        </w:rPr>
        <w:t>.</w:t>
      </w:r>
    </w:p>
    <w:p w14:paraId="0C9D35D7" w14:textId="0627423E" w:rsidR="009C39B1" w:rsidRPr="009006A4" w:rsidRDefault="009C39B1" w:rsidP="00714211">
      <w:pPr>
        <w:jc w:val="both"/>
        <w:rPr>
          <w:bCs/>
          <w:sz w:val="24"/>
          <w:szCs w:val="24"/>
          <w:lang w:val="fr-FR"/>
        </w:rPr>
      </w:pPr>
    </w:p>
    <w:p w14:paraId="3AA9A9D0" w14:textId="15E1ABA3" w:rsidR="00A25053" w:rsidRPr="009006A4" w:rsidRDefault="00F673D1" w:rsidP="00714211">
      <w:pPr>
        <w:jc w:val="both"/>
        <w:rPr>
          <w:bCs/>
          <w:sz w:val="24"/>
          <w:szCs w:val="24"/>
          <w:lang w:val="fr-FR"/>
        </w:rPr>
      </w:pPr>
      <w:r w:rsidRPr="009006A4">
        <w:rPr>
          <w:bCs/>
          <w:sz w:val="24"/>
          <w:szCs w:val="24"/>
          <w:lang w:val="fr-FR"/>
        </w:rPr>
        <w:t xml:space="preserve">38. </w:t>
      </w:r>
      <w:r w:rsidR="0007578E">
        <w:rPr>
          <w:bCs/>
          <w:sz w:val="24"/>
          <w:szCs w:val="24"/>
          <w:lang w:val="fr-FR"/>
        </w:rPr>
        <w:t>Le</w:t>
      </w:r>
      <w:r w:rsidR="00516509" w:rsidRPr="009006A4">
        <w:rPr>
          <w:bCs/>
          <w:sz w:val="24"/>
          <w:szCs w:val="24"/>
          <w:lang w:val="fr-FR"/>
        </w:rPr>
        <w:t xml:space="preserve"> </w:t>
      </w:r>
      <w:r w:rsidR="0007578E">
        <w:rPr>
          <w:b/>
          <w:sz w:val="24"/>
          <w:szCs w:val="24"/>
          <w:lang w:val="fr-FR"/>
        </w:rPr>
        <w:t>Président</w:t>
      </w:r>
      <w:r w:rsidR="00516509" w:rsidRPr="009006A4">
        <w:rPr>
          <w:bCs/>
          <w:sz w:val="24"/>
          <w:szCs w:val="24"/>
          <w:lang w:val="fr-FR"/>
        </w:rPr>
        <w:t xml:space="preserve"> conclu</w:t>
      </w:r>
      <w:r w:rsidR="0007578E">
        <w:rPr>
          <w:bCs/>
          <w:sz w:val="24"/>
          <w:szCs w:val="24"/>
          <w:lang w:val="fr-FR"/>
        </w:rPr>
        <w:t>t cette session du groupe de travail</w:t>
      </w:r>
      <w:r w:rsidR="00516509" w:rsidRPr="009006A4">
        <w:rPr>
          <w:bCs/>
          <w:sz w:val="24"/>
          <w:szCs w:val="24"/>
          <w:lang w:val="fr-FR"/>
        </w:rPr>
        <w:t xml:space="preserve">, </w:t>
      </w:r>
      <w:r w:rsidR="0007578E">
        <w:rPr>
          <w:bCs/>
          <w:sz w:val="24"/>
          <w:szCs w:val="24"/>
          <w:lang w:val="fr-FR"/>
        </w:rPr>
        <w:t>en remerciant les</w:t>
      </w:r>
      <w:r w:rsidR="00516509" w:rsidRPr="009006A4">
        <w:rPr>
          <w:bCs/>
          <w:sz w:val="24"/>
          <w:szCs w:val="24"/>
          <w:lang w:val="fr-FR"/>
        </w:rPr>
        <w:t xml:space="preserve"> Parties </w:t>
      </w:r>
      <w:r w:rsidR="0007578E">
        <w:rPr>
          <w:bCs/>
          <w:sz w:val="24"/>
          <w:szCs w:val="24"/>
          <w:lang w:val="fr-FR"/>
        </w:rPr>
        <w:t>pour cette discussion vraiment</w:t>
      </w:r>
      <w:r w:rsidR="009C39B1" w:rsidRPr="009006A4">
        <w:rPr>
          <w:bCs/>
          <w:sz w:val="24"/>
          <w:szCs w:val="24"/>
          <w:lang w:val="fr-FR"/>
        </w:rPr>
        <w:t xml:space="preserve"> constructive. </w:t>
      </w:r>
      <w:r w:rsidR="0007578E">
        <w:rPr>
          <w:bCs/>
          <w:sz w:val="24"/>
          <w:szCs w:val="24"/>
          <w:lang w:val="fr-FR"/>
        </w:rPr>
        <w:t xml:space="preserve">Il était nécessaire de disposer d’une gamme de </w:t>
      </w:r>
      <w:r w:rsidR="009C39B1" w:rsidRPr="009006A4">
        <w:rPr>
          <w:bCs/>
          <w:sz w:val="24"/>
          <w:szCs w:val="24"/>
          <w:lang w:val="fr-FR"/>
        </w:rPr>
        <w:t>sc</w:t>
      </w:r>
      <w:r w:rsidR="0007578E">
        <w:rPr>
          <w:bCs/>
          <w:sz w:val="24"/>
          <w:szCs w:val="24"/>
          <w:lang w:val="fr-FR"/>
        </w:rPr>
        <w:t>é</w:t>
      </w:r>
      <w:r w:rsidR="009C39B1" w:rsidRPr="009006A4">
        <w:rPr>
          <w:bCs/>
          <w:sz w:val="24"/>
          <w:szCs w:val="24"/>
          <w:lang w:val="fr-FR"/>
        </w:rPr>
        <w:t>narios</w:t>
      </w:r>
      <w:r w:rsidR="008A3F43" w:rsidRPr="009006A4">
        <w:rPr>
          <w:bCs/>
          <w:sz w:val="24"/>
          <w:szCs w:val="24"/>
          <w:lang w:val="fr-FR"/>
        </w:rPr>
        <w:t xml:space="preserve"> </w:t>
      </w:r>
      <w:r w:rsidR="0007578E">
        <w:rPr>
          <w:bCs/>
          <w:sz w:val="24"/>
          <w:szCs w:val="24"/>
          <w:lang w:val="fr-FR"/>
        </w:rPr>
        <w:t>initiaux, pour permettre aux</w:t>
      </w:r>
      <w:r w:rsidR="008A3F43" w:rsidRPr="009006A4">
        <w:rPr>
          <w:bCs/>
          <w:sz w:val="24"/>
          <w:szCs w:val="24"/>
          <w:lang w:val="fr-FR"/>
        </w:rPr>
        <w:t xml:space="preserve"> </w:t>
      </w:r>
      <w:r w:rsidR="00945E41" w:rsidRPr="009006A4">
        <w:rPr>
          <w:bCs/>
          <w:sz w:val="24"/>
          <w:szCs w:val="24"/>
          <w:lang w:val="fr-FR"/>
        </w:rPr>
        <w:t xml:space="preserve">Parties </w:t>
      </w:r>
      <w:r w:rsidR="0007578E">
        <w:rPr>
          <w:bCs/>
          <w:sz w:val="24"/>
          <w:szCs w:val="24"/>
          <w:lang w:val="fr-FR"/>
        </w:rPr>
        <w:t>de mesurer les</w:t>
      </w:r>
      <w:r w:rsidR="00945E41" w:rsidRPr="009006A4">
        <w:rPr>
          <w:bCs/>
          <w:sz w:val="24"/>
          <w:szCs w:val="24"/>
          <w:lang w:val="fr-FR"/>
        </w:rPr>
        <w:t xml:space="preserve"> implications </w:t>
      </w:r>
      <w:r w:rsidR="0007578E">
        <w:rPr>
          <w:bCs/>
          <w:sz w:val="24"/>
          <w:szCs w:val="24"/>
          <w:lang w:val="fr-FR"/>
        </w:rPr>
        <w:t>des différentes</w:t>
      </w:r>
      <w:r w:rsidR="00945E41" w:rsidRPr="009006A4">
        <w:rPr>
          <w:bCs/>
          <w:sz w:val="24"/>
          <w:szCs w:val="24"/>
          <w:lang w:val="fr-FR"/>
        </w:rPr>
        <w:t xml:space="preserve"> </w:t>
      </w:r>
      <w:r w:rsidR="008A3F43" w:rsidRPr="009006A4">
        <w:rPr>
          <w:bCs/>
          <w:sz w:val="24"/>
          <w:szCs w:val="24"/>
          <w:lang w:val="fr-FR"/>
        </w:rPr>
        <w:t>options</w:t>
      </w:r>
      <w:r w:rsidR="00945E41" w:rsidRPr="009006A4">
        <w:rPr>
          <w:bCs/>
          <w:sz w:val="24"/>
          <w:szCs w:val="24"/>
          <w:lang w:val="fr-FR"/>
        </w:rPr>
        <w:t xml:space="preserve"> </w:t>
      </w:r>
      <w:r w:rsidR="0007578E">
        <w:rPr>
          <w:bCs/>
          <w:sz w:val="24"/>
          <w:szCs w:val="24"/>
          <w:lang w:val="fr-FR"/>
        </w:rPr>
        <w:t xml:space="preserve">et </w:t>
      </w:r>
      <w:r w:rsidR="000F53A4">
        <w:rPr>
          <w:bCs/>
          <w:sz w:val="24"/>
          <w:szCs w:val="24"/>
          <w:lang w:val="fr-FR"/>
        </w:rPr>
        <w:t>aider ainsi l</w:t>
      </w:r>
      <w:r w:rsidR="0007578E">
        <w:rPr>
          <w:bCs/>
          <w:sz w:val="24"/>
          <w:szCs w:val="24"/>
          <w:lang w:val="fr-FR"/>
        </w:rPr>
        <w:t>es négociations</w:t>
      </w:r>
      <w:r w:rsidR="00945E41" w:rsidRPr="009006A4">
        <w:rPr>
          <w:bCs/>
          <w:sz w:val="24"/>
          <w:szCs w:val="24"/>
          <w:lang w:val="fr-FR"/>
        </w:rPr>
        <w:t xml:space="preserve">. </w:t>
      </w:r>
      <w:r w:rsidR="0007578E">
        <w:rPr>
          <w:bCs/>
          <w:sz w:val="24"/>
          <w:szCs w:val="24"/>
          <w:lang w:val="fr-FR"/>
        </w:rPr>
        <w:t>Toutefois</w:t>
      </w:r>
      <w:r w:rsidR="00945E41" w:rsidRPr="009006A4">
        <w:rPr>
          <w:bCs/>
          <w:sz w:val="24"/>
          <w:szCs w:val="24"/>
          <w:lang w:val="fr-FR"/>
        </w:rPr>
        <w:t xml:space="preserve">, </w:t>
      </w:r>
      <w:r w:rsidR="0007578E">
        <w:rPr>
          <w:bCs/>
          <w:sz w:val="24"/>
          <w:szCs w:val="24"/>
          <w:lang w:val="fr-FR"/>
        </w:rPr>
        <w:t xml:space="preserve">il est à présent </w:t>
      </w:r>
      <w:r w:rsidR="00945E41" w:rsidRPr="009006A4">
        <w:rPr>
          <w:bCs/>
          <w:sz w:val="24"/>
          <w:szCs w:val="24"/>
          <w:lang w:val="fr-FR"/>
        </w:rPr>
        <w:t>possible</w:t>
      </w:r>
      <w:r w:rsidR="0007578E">
        <w:rPr>
          <w:bCs/>
          <w:sz w:val="24"/>
          <w:szCs w:val="24"/>
          <w:lang w:val="fr-FR"/>
        </w:rPr>
        <w:t xml:space="preserve"> d’élaborer des</w:t>
      </w:r>
      <w:r w:rsidR="00945E41" w:rsidRPr="009006A4">
        <w:rPr>
          <w:bCs/>
          <w:sz w:val="24"/>
          <w:szCs w:val="24"/>
          <w:lang w:val="fr-FR"/>
        </w:rPr>
        <w:t xml:space="preserve"> sc</w:t>
      </w:r>
      <w:r w:rsidR="0007578E">
        <w:rPr>
          <w:bCs/>
          <w:sz w:val="24"/>
          <w:szCs w:val="24"/>
          <w:lang w:val="fr-FR"/>
        </w:rPr>
        <w:t>é</w:t>
      </w:r>
      <w:r w:rsidR="00945E41" w:rsidRPr="009006A4">
        <w:rPr>
          <w:bCs/>
          <w:sz w:val="24"/>
          <w:szCs w:val="24"/>
          <w:lang w:val="fr-FR"/>
        </w:rPr>
        <w:t xml:space="preserve">narios </w:t>
      </w:r>
      <w:r w:rsidR="0007578E">
        <w:rPr>
          <w:bCs/>
          <w:sz w:val="24"/>
          <w:szCs w:val="24"/>
          <w:lang w:val="fr-FR"/>
        </w:rPr>
        <w:t>modifiés, reflétant les préoccupations et les</w:t>
      </w:r>
      <w:r w:rsidR="00945E41" w:rsidRPr="009006A4">
        <w:rPr>
          <w:bCs/>
          <w:sz w:val="24"/>
          <w:szCs w:val="24"/>
          <w:lang w:val="fr-FR"/>
        </w:rPr>
        <w:t xml:space="preserve"> priorit</w:t>
      </w:r>
      <w:r w:rsidR="0007578E">
        <w:rPr>
          <w:bCs/>
          <w:sz w:val="24"/>
          <w:szCs w:val="24"/>
          <w:lang w:val="fr-FR"/>
        </w:rPr>
        <w:t>és formulées</w:t>
      </w:r>
      <w:r w:rsidR="00945E41" w:rsidRPr="009006A4">
        <w:rPr>
          <w:bCs/>
          <w:sz w:val="24"/>
          <w:szCs w:val="24"/>
          <w:lang w:val="fr-FR"/>
        </w:rPr>
        <w:t xml:space="preserve">. </w:t>
      </w:r>
      <w:r w:rsidR="0007578E">
        <w:rPr>
          <w:bCs/>
          <w:sz w:val="24"/>
          <w:szCs w:val="24"/>
          <w:lang w:val="fr-FR"/>
        </w:rPr>
        <w:t>Le</w:t>
      </w:r>
      <w:r w:rsidR="00945E41" w:rsidRPr="009006A4">
        <w:rPr>
          <w:bCs/>
          <w:sz w:val="24"/>
          <w:szCs w:val="24"/>
          <w:lang w:val="fr-FR"/>
        </w:rPr>
        <w:t xml:space="preserve"> Secr</w:t>
      </w:r>
      <w:r w:rsidR="0007578E">
        <w:rPr>
          <w:bCs/>
          <w:sz w:val="24"/>
          <w:szCs w:val="24"/>
          <w:lang w:val="fr-FR"/>
        </w:rPr>
        <w:t>é</w:t>
      </w:r>
      <w:r w:rsidR="00945E41" w:rsidRPr="009006A4">
        <w:rPr>
          <w:bCs/>
          <w:sz w:val="24"/>
          <w:szCs w:val="24"/>
          <w:lang w:val="fr-FR"/>
        </w:rPr>
        <w:t xml:space="preserve">tariat </w:t>
      </w:r>
      <w:r w:rsidR="0007578E">
        <w:rPr>
          <w:bCs/>
          <w:sz w:val="24"/>
          <w:szCs w:val="24"/>
          <w:lang w:val="fr-FR"/>
        </w:rPr>
        <w:t>les préparera pour que le groupe de travail les examine lors de sa</w:t>
      </w:r>
      <w:r w:rsidR="00945E41" w:rsidRPr="009006A4">
        <w:rPr>
          <w:bCs/>
          <w:sz w:val="24"/>
          <w:szCs w:val="24"/>
          <w:lang w:val="fr-FR"/>
        </w:rPr>
        <w:t xml:space="preserve"> session </w:t>
      </w:r>
      <w:r w:rsidR="0007578E">
        <w:rPr>
          <w:bCs/>
          <w:sz w:val="24"/>
          <w:szCs w:val="24"/>
          <w:lang w:val="fr-FR"/>
        </w:rPr>
        <w:t>du</w:t>
      </w:r>
      <w:r w:rsidR="00945E41" w:rsidRPr="009006A4">
        <w:rPr>
          <w:bCs/>
          <w:sz w:val="24"/>
          <w:szCs w:val="24"/>
          <w:lang w:val="fr-FR"/>
        </w:rPr>
        <w:t xml:space="preserve"> 28 </w:t>
      </w:r>
      <w:r w:rsidR="0007578E">
        <w:rPr>
          <w:bCs/>
          <w:sz w:val="24"/>
          <w:szCs w:val="24"/>
          <w:lang w:val="fr-FR"/>
        </w:rPr>
        <w:t>s</w:t>
      </w:r>
      <w:r w:rsidR="00945E41" w:rsidRPr="009006A4">
        <w:rPr>
          <w:bCs/>
          <w:sz w:val="24"/>
          <w:szCs w:val="24"/>
          <w:lang w:val="fr-FR"/>
        </w:rPr>
        <w:t>eptembr</w:t>
      </w:r>
      <w:r w:rsidR="0007578E">
        <w:rPr>
          <w:bCs/>
          <w:sz w:val="24"/>
          <w:szCs w:val="24"/>
          <w:lang w:val="fr-FR"/>
        </w:rPr>
        <w:t>e</w:t>
      </w:r>
      <w:r w:rsidR="00945E41" w:rsidRPr="009006A4">
        <w:rPr>
          <w:bCs/>
          <w:sz w:val="24"/>
          <w:szCs w:val="24"/>
          <w:lang w:val="fr-FR"/>
        </w:rPr>
        <w:t xml:space="preserve">, </w:t>
      </w:r>
      <w:r w:rsidR="0007578E">
        <w:rPr>
          <w:bCs/>
          <w:sz w:val="24"/>
          <w:szCs w:val="24"/>
          <w:lang w:val="fr-FR"/>
        </w:rPr>
        <w:t>qui débutera à</w:t>
      </w:r>
      <w:r w:rsidR="00945E41" w:rsidRPr="009006A4">
        <w:rPr>
          <w:bCs/>
          <w:sz w:val="24"/>
          <w:szCs w:val="24"/>
          <w:lang w:val="fr-FR"/>
        </w:rPr>
        <w:t xml:space="preserve"> 09</w:t>
      </w:r>
      <w:r w:rsidR="0007578E">
        <w:rPr>
          <w:bCs/>
          <w:sz w:val="24"/>
          <w:szCs w:val="24"/>
          <w:lang w:val="fr-FR"/>
        </w:rPr>
        <w:t>h</w:t>
      </w:r>
      <w:r w:rsidR="00945E41" w:rsidRPr="009006A4">
        <w:rPr>
          <w:bCs/>
          <w:sz w:val="24"/>
          <w:szCs w:val="24"/>
          <w:lang w:val="fr-FR"/>
        </w:rPr>
        <w:t>00.</w:t>
      </w:r>
    </w:p>
    <w:sectPr w:rsidR="00A25053" w:rsidRPr="009006A4" w:rsidSect="00D01653">
      <w:headerReference w:type="default" r:id="rId11"/>
      <w:type w:val="continuous"/>
      <w:pgSz w:w="11907" w:h="16840" w:code="9"/>
      <w:pgMar w:top="1021" w:right="1134" w:bottom="851" w:left="1134" w:header="851" w:footer="851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5362" w14:textId="77777777" w:rsidR="008D54A8" w:rsidRDefault="008D54A8">
      <w:r>
        <w:separator/>
      </w:r>
    </w:p>
  </w:endnote>
  <w:endnote w:type="continuationSeparator" w:id="0">
    <w:p w14:paraId="76CB6821" w14:textId="77777777" w:rsidR="008D54A8" w:rsidRDefault="008D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ĝ嫠Ή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103E" w14:textId="77777777" w:rsidR="00A22168" w:rsidRDefault="00A22168" w:rsidP="00A5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F1C3C" w14:textId="77777777" w:rsidR="00A22168" w:rsidRDefault="00A22168" w:rsidP="003378F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23635" w14:textId="77777777" w:rsidR="00A22168" w:rsidRDefault="00A22168" w:rsidP="003378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1615" w14:textId="77777777" w:rsidR="00A22168" w:rsidRDefault="00A22168" w:rsidP="00A5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9856E77" w14:textId="77777777" w:rsidR="00A22168" w:rsidRDefault="00A22168" w:rsidP="008202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5A31" w14:textId="77777777" w:rsidR="008D54A8" w:rsidRDefault="008D54A8">
      <w:r>
        <w:separator/>
      </w:r>
    </w:p>
  </w:footnote>
  <w:footnote w:type="continuationSeparator" w:id="0">
    <w:p w14:paraId="09EF4D71" w14:textId="77777777" w:rsidR="008D54A8" w:rsidRDefault="008D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5940"/>
      <w:gridCol w:w="1800"/>
    </w:tblGrid>
    <w:tr w:rsidR="00A22168" w:rsidRPr="005745FB" w14:paraId="46B1DE36" w14:textId="77777777" w:rsidTr="00BC5F9C">
      <w:trPr>
        <w:trHeight w:val="1256"/>
      </w:trPr>
      <w:tc>
        <w:tcPr>
          <w:tcW w:w="1980" w:type="dxa"/>
        </w:tcPr>
        <w:p w14:paraId="7038B9F4" w14:textId="64F35D1E" w:rsidR="00A22168" w:rsidRPr="005745FB" w:rsidRDefault="00A22168" w:rsidP="00BC5F9C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82164F" wp14:editId="000F45BF">
                    <wp:simplePos x="0" y="0"/>
                    <wp:positionH relativeFrom="column">
                      <wp:posOffset>-102870</wp:posOffset>
                    </wp:positionH>
                    <wp:positionV relativeFrom="paragraph">
                      <wp:posOffset>-6350</wp:posOffset>
                    </wp:positionV>
                    <wp:extent cx="1062990" cy="952500"/>
                    <wp:effectExtent l="0" t="0" r="3810" b="635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299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7DE1F2" w14:textId="7BF07E24" w:rsidR="00A22168" w:rsidRDefault="00A22168" w:rsidP="00CC2318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2F0F1ED" wp14:editId="30886752">
                                      <wp:extent cx="863600" cy="723900"/>
                                      <wp:effectExtent l="0" t="0" r="0" b="12700"/>
                                      <wp:docPr id="5" name="Picture 4" descr="AEWA_4Colour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AEWA_4Colour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3600" cy="723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851DA61" w14:textId="77777777" w:rsidR="00A22168" w:rsidRDefault="00A22168" w:rsidP="00CC2318"/>
                              <w:p w14:paraId="5733906E" w14:textId="77777777" w:rsidR="00A22168" w:rsidRDefault="00A22168" w:rsidP="00CC23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8216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8.1pt;margin-top:-.5pt;width:83.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" filled="f" stroked="f">
                    <v:textbox>
                      <w:txbxContent>
                        <w:p w14:paraId="607DE1F2" w14:textId="7BF07E24" w:rsidR="00A22168" w:rsidRDefault="00A22168" w:rsidP="00CC2318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2F0F1ED" wp14:editId="30886752">
                                <wp:extent cx="863600" cy="723900"/>
                                <wp:effectExtent l="0" t="0" r="0" b="12700"/>
                                <wp:docPr id="5" name="Picture 4" descr="AEWA_4Colou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EWA_4Colou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36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51DA61" w14:textId="77777777" w:rsidR="00A22168" w:rsidRDefault="00A22168" w:rsidP="00CC2318"/>
                        <w:p w14:paraId="5733906E" w14:textId="77777777" w:rsidR="00A22168" w:rsidRDefault="00A22168" w:rsidP="00CC2318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940" w:type="dxa"/>
        </w:tcPr>
        <w:p w14:paraId="59A7587E" w14:textId="5C3DE3DB" w:rsidR="00A22168" w:rsidRPr="005745FB" w:rsidRDefault="009006A4" w:rsidP="00BC5F9C">
          <w:pPr>
            <w:jc w:val="center"/>
          </w:pPr>
          <w:r w:rsidRPr="00932557">
            <w:rPr>
              <w:i/>
              <w:szCs w:val="22"/>
              <w:lang w:val="fr-FR"/>
            </w:rPr>
            <w:t>ACCORD SUR LA CONSERVATION DES OISEAUX D’EAU MIGRATEURS D’AFRIQUE-EURASIE</w:t>
          </w:r>
        </w:p>
      </w:tc>
      <w:tc>
        <w:tcPr>
          <w:tcW w:w="1800" w:type="dxa"/>
        </w:tcPr>
        <w:p w14:paraId="03FAC706" w14:textId="67483298" w:rsidR="00A22168" w:rsidRPr="005745FB" w:rsidRDefault="00A22168" w:rsidP="00BC5F9C">
          <w:pPr>
            <w:jc w:val="right"/>
          </w:pPr>
        </w:p>
      </w:tc>
    </w:tr>
    <w:tr w:rsidR="00A22168" w:rsidRPr="005745FB" w14:paraId="6D1F0171" w14:textId="77777777" w:rsidTr="00BC5F9C">
      <w:tc>
        <w:tcPr>
          <w:tcW w:w="9720" w:type="dxa"/>
          <w:gridSpan w:val="3"/>
        </w:tcPr>
        <w:p w14:paraId="64FA32DC" w14:textId="77777777" w:rsidR="009006A4" w:rsidRPr="001A5058" w:rsidRDefault="009006A4" w:rsidP="00496E82">
          <w:pPr>
            <w:jc w:val="center"/>
            <w:rPr>
              <w:iCs/>
              <w:lang w:val="de-DE"/>
            </w:rPr>
          </w:pPr>
          <w:r w:rsidRPr="00932557">
            <w:rPr>
              <w:b/>
              <w:bCs/>
              <w:sz w:val="26"/>
              <w:szCs w:val="26"/>
              <w:lang w:val="fr-FR"/>
            </w:rPr>
            <w:t>8</w:t>
          </w:r>
          <w:r w:rsidRPr="00932557">
            <w:rPr>
              <w:b/>
              <w:bCs/>
              <w:sz w:val="26"/>
              <w:szCs w:val="26"/>
              <w:vertAlign w:val="superscript"/>
              <w:lang w:val="fr-FR"/>
            </w:rPr>
            <w:t>e</w:t>
          </w:r>
          <w:r w:rsidRPr="00932557">
            <w:rPr>
              <w:b/>
              <w:bCs/>
              <w:sz w:val="26"/>
              <w:szCs w:val="26"/>
              <w:lang w:val="fr-FR"/>
            </w:rPr>
            <w:t xml:space="preserve"> SESSION DE LA RÉUNION DES PARTIES</w:t>
          </w:r>
          <w:r w:rsidRPr="001A5058">
            <w:rPr>
              <w:iCs/>
              <w:lang w:val="de-DE"/>
            </w:rPr>
            <w:t xml:space="preserve"> </w:t>
          </w:r>
        </w:p>
        <w:p w14:paraId="03018A30" w14:textId="3746F0F5" w:rsidR="00A22168" w:rsidRPr="005745FB" w:rsidRDefault="009006A4" w:rsidP="009006A4">
          <w:pPr>
            <w:spacing w:line="254" w:lineRule="auto"/>
            <w:jc w:val="center"/>
          </w:pPr>
          <w:r w:rsidRPr="00932557">
            <w:rPr>
              <w:i/>
              <w:szCs w:val="22"/>
              <w:lang w:val="fr-FR"/>
            </w:rPr>
            <w:t>26 – 30 septembre 2022, Budapest, Hongrie</w:t>
          </w:r>
        </w:p>
      </w:tc>
    </w:tr>
    <w:tr w:rsidR="00A22168" w:rsidRPr="005745FB" w14:paraId="33CDA196" w14:textId="77777777" w:rsidTr="00BC5F9C">
      <w:trPr>
        <w:trHeight w:val="702"/>
      </w:trPr>
      <w:tc>
        <w:tcPr>
          <w:tcW w:w="9720" w:type="dxa"/>
          <w:gridSpan w:val="3"/>
          <w:vAlign w:val="center"/>
        </w:tcPr>
        <w:p w14:paraId="59873A1F" w14:textId="5CEBA657" w:rsidR="00A22168" w:rsidRPr="00E80063" w:rsidRDefault="009006A4" w:rsidP="00496E82">
          <w:pPr>
            <w:pStyle w:val="BodyText2"/>
            <w:jc w:val="center"/>
            <w:rPr>
              <w:rFonts w:cs="Times New Roman"/>
              <w:bCs/>
              <w:i/>
              <w:sz w:val="24"/>
              <w:lang w:val="en-US"/>
            </w:rPr>
          </w:pPr>
          <w:r w:rsidRPr="00932557">
            <w:rPr>
              <w:i/>
              <w:lang w:val="fr-FR"/>
            </w:rPr>
            <w:t>« Renforcer la</w:t>
          </w:r>
          <w:r w:rsidRPr="00932557">
            <w:rPr>
              <w:bCs/>
              <w:i/>
              <w:szCs w:val="22"/>
              <w:lang w:val="fr-FR"/>
            </w:rPr>
            <w:t xml:space="preserve"> conservation des voies de migration dans un monde en mutation »</w:t>
          </w:r>
        </w:p>
      </w:tc>
    </w:tr>
  </w:tbl>
  <w:p w14:paraId="07093E7F" w14:textId="77777777" w:rsidR="00A22168" w:rsidRDefault="00A22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719D" w14:textId="77777777" w:rsidR="00A22168" w:rsidRDefault="00A22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17C"/>
    <w:multiLevelType w:val="hybridMultilevel"/>
    <w:tmpl w:val="5C1AD45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F9978BF"/>
    <w:multiLevelType w:val="hybridMultilevel"/>
    <w:tmpl w:val="4DD2FF62"/>
    <w:lvl w:ilvl="0" w:tplc="186434AE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15BE"/>
    <w:multiLevelType w:val="hybridMultilevel"/>
    <w:tmpl w:val="DBAE3CC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F828E6"/>
    <w:multiLevelType w:val="hybridMultilevel"/>
    <w:tmpl w:val="6C1A902C"/>
    <w:lvl w:ilvl="0" w:tplc="5764FE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D575E"/>
    <w:multiLevelType w:val="hybridMultilevel"/>
    <w:tmpl w:val="EBB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44F3B"/>
    <w:multiLevelType w:val="hybridMultilevel"/>
    <w:tmpl w:val="AD48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05DC1"/>
    <w:multiLevelType w:val="hybridMultilevel"/>
    <w:tmpl w:val="FC96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37C2"/>
    <w:multiLevelType w:val="hybridMultilevel"/>
    <w:tmpl w:val="BE3CBD8A"/>
    <w:lvl w:ilvl="0" w:tplc="6BFE635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 w15:restartNumberingAfterBreak="0">
    <w:nsid w:val="57FB0206"/>
    <w:multiLevelType w:val="hybridMultilevel"/>
    <w:tmpl w:val="35C07516"/>
    <w:lvl w:ilvl="0" w:tplc="623E7B24">
      <w:start w:val="1"/>
      <w:numFmt w:val="lowerLetter"/>
      <w:lvlText w:val="%1."/>
      <w:lvlJc w:val="left"/>
      <w:pPr>
        <w:ind w:left="1282" w:hanging="420"/>
      </w:pPr>
      <w:rPr>
        <w:rFonts w:ascii="Times New Roman" w:eastAsia="Times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C4103FF"/>
    <w:multiLevelType w:val="hybridMultilevel"/>
    <w:tmpl w:val="E4FA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60AE"/>
    <w:multiLevelType w:val="hybridMultilevel"/>
    <w:tmpl w:val="A0E4D836"/>
    <w:lvl w:ilvl="0" w:tplc="1AEE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C9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89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E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7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5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A0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E9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2E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C60166"/>
    <w:multiLevelType w:val="hybridMultilevel"/>
    <w:tmpl w:val="BDDC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A62C3"/>
    <w:multiLevelType w:val="hybridMultilevel"/>
    <w:tmpl w:val="45D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55438"/>
    <w:multiLevelType w:val="hybridMultilevel"/>
    <w:tmpl w:val="7E1A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52254"/>
    <w:multiLevelType w:val="hybridMultilevel"/>
    <w:tmpl w:val="32BA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B1D94"/>
    <w:multiLevelType w:val="hybridMultilevel"/>
    <w:tmpl w:val="EB12B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DC5846"/>
    <w:multiLevelType w:val="hybridMultilevel"/>
    <w:tmpl w:val="9D2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F1F0F"/>
    <w:multiLevelType w:val="hybridMultilevel"/>
    <w:tmpl w:val="52167C6E"/>
    <w:lvl w:ilvl="0" w:tplc="F4785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62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8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48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4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4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2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BB0B33"/>
    <w:multiLevelType w:val="hybridMultilevel"/>
    <w:tmpl w:val="A4B0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D1DC0"/>
    <w:multiLevelType w:val="hybridMultilevel"/>
    <w:tmpl w:val="2346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0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3"/>
  </w:num>
  <w:num w:numId="19">
    <w:abstractNumId w:val="1"/>
  </w:num>
  <w:num w:numId="20">
    <w:abstractNumId w:val="18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CE"/>
    <w:rsid w:val="000015FC"/>
    <w:rsid w:val="000022D0"/>
    <w:rsid w:val="00002A54"/>
    <w:rsid w:val="00003C58"/>
    <w:rsid w:val="00006454"/>
    <w:rsid w:val="0001295F"/>
    <w:rsid w:val="00012ACA"/>
    <w:rsid w:val="00016BC1"/>
    <w:rsid w:val="00031250"/>
    <w:rsid w:val="0003499C"/>
    <w:rsid w:val="000349C5"/>
    <w:rsid w:val="000358B1"/>
    <w:rsid w:val="00036D40"/>
    <w:rsid w:val="00037126"/>
    <w:rsid w:val="00037B7D"/>
    <w:rsid w:val="0004392B"/>
    <w:rsid w:val="000451FC"/>
    <w:rsid w:val="000456B4"/>
    <w:rsid w:val="00046D54"/>
    <w:rsid w:val="00050E60"/>
    <w:rsid w:val="00053B5C"/>
    <w:rsid w:val="000567D7"/>
    <w:rsid w:val="00060236"/>
    <w:rsid w:val="0007578E"/>
    <w:rsid w:val="000764C8"/>
    <w:rsid w:val="00081953"/>
    <w:rsid w:val="00083B7C"/>
    <w:rsid w:val="000852F2"/>
    <w:rsid w:val="0008751A"/>
    <w:rsid w:val="00091F13"/>
    <w:rsid w:val="000920E7"/>
    <w:rsid w:val="000930F6"/>
    <w:rsid w:val="000944B6"/>
    <w:rsid w:val="000965C4"/>
    <w:rsid w:val="00096AA5"/>
    <w:rsid w:val="000A414C"/>
    <w:rsid w:val="000A4380"/>
    <w:rsid w:val="000A5A94"/>
    <w:rsid w:val="000A7077"/>
    <w:rsid w:val="000A7CF9"/>
    <w:rsid w:val="000B3C11"/>
    <w:rsid w:val="000B46D0"/>
    <w:rsid w:val="000C300E"/>
    <w:rsid w:val="000C360B"/>
    <w:rsid w:val="000C451C"/>
    <w:rsid w:val="000C6DE9"/>
    <w:rsid w:val="000C7627"/>
    <w:rsid w:val="000D6531"/>
    <w:rsid w:val="000E277D"/>
    <w:rsid w:val="000E3CF6"/>
    <w:rsid w:val="000E46CB"/>
    <w:rsid w:val="000F1A42"/>
    <w:rsid w:val="000F1AF6"/>
    <w:rsid w:val="000F53A4"/>
    <w:rsid w:val="001012F7"/>
    <w:rsid w:val="00105422"/>
    <w:rsid w:val="00106DE5"/>
    <w:rsid w:val="00106E40"/>
    <w:rsid w:val="00111401"/>
    <w:rsid w:val="0011193C"/>
    <w:rsid w:val="00111A1C"/>
    <w:rsid w:val="00114189"/>
    <w:rsid w:val="00117BFE"/>
    <w:rsid w:val="001253C6"/>
    <w:rsid w:val="001256CA"/>
    <w:rsid w:val="00130316"/>
    <w:rsid w:val="00134C21"/>
    <w:rsid w:val="00140442"/>
    <w:rsid w:val="001459D6"/>
    <w:rsid w:val="00154C86"/>
    <w:rsid w:val="00157630"/>
    <w:rsid w:val="00157F06"/>
    <w:rsid w:val="0016095F"/>
    <w:rsid w:val="00163FD0"/>
    <w:rsid w:val="00181ED9"/>
    <w:rsid w:val="001829D7"/>
    <w:rsid w:val="001836E1"/>
    <w:rsid w:val="0018782A"/>
    <w:rsid w:val="00195E24"/>
    <w:rsid w:val="001A5058"/>
    <w:rsid w:val="001B17B8"/>
    <w:rsid w:val="001B2DF7"/>
    <w:rsid w:val="001C0993"/>
    <w:rsid w:val="001C0AFB"/>
    <w:rsid w:val="001C1A21"/>
    <w:rsid w:val="001C4371"/>
    <w:rsid w:val="001D395C"/>
    <w:rsid w:val="001E0C51"/>
    <w:rsid w:val="001E20F6"/>
    <w:rsid w:val="001E2BF8"/>
    <w:rsid w:val="001E3FCB"/>
    <w:rsid w:val="001E66E2"/>
    <w:rsid w:val="001E7798"/>
    <w:rsid w:val="001F24BA"/>
    <w:rsid w:val="001F28AD"/>
    <w:rsid w:val="00202FA6"/>
    <w:rsid w:val="00206001"/>
    <w:rsid w:val="002103C9"/>
    <w:rsid w:val="002112B4"/>
    <w:rsid w:val="00212BBE"/>
    <w:rsid w:val="00215F0E"/>
    <w:rsid w:val="00222D5B"/>
    <w:rsid w:val="00232C0B"/>
    <w:rsid w:val="00233B92"/>
    <w:rsid w:val="00233E53"/>
    <w:rsid w:val="00234355"/>
    <w:rsid w:val="002408BD"/>
    <w:rsid w:val="00244BB0"/>
    <w:rsid w:val="00252828"/>
    <w:rsid w:val="0025462E"/>
    <w:rsid w:val="00256BC0"/>
    <w:rsid w:val="00265132"/>
    <w:rsid w:val="002654D0"/>
    <w:rsid w:val="00265FA0"/>
    <w:rsid w:val="002703B7"/>
    <w:rsid w:val="00273809"/>
    <w:rsid w:val="00276E72"/>
    <w:rsid w:val="002776DA"/>
    <w:rsid w:val="002778D6"/>
    <w:rsid w:val="002826BC"/>
    <w:rsid w:val="00282C10"/>
    <w:rsid w:val="00283E08"/>
    <w:rsid w:val="00285FA2"/>
    <w:rsid w:val="00287D11"/>
    <w:rsid w:val="002A29F1"/>
    <w:rsid w:val="002A52D5"/>
    <w:rsid w:val="002A7C94"/>
    <w:rsid w:val="002B0656"/>
    <w:rsid w:val="002B1F70"/>
    <w:rsid w:val="002C4BD9"/>
    <w:rsid w:val="002C4E34"/>
    <w:rsid w:val="002C5E03"/>
    <w:rsid w:val="002C7AB4"/>
    <w:rsid w:val="002D3186"/>
    <w:rsid w:val="002D39E6"/>
    <w:rsid w:val="002D5738"/>
    <w:rsid w:val="002E2FB3"/>
    <w:rsid w:val="002E37B4"/>
    <w:rsid w:val="002E4767"/>
    <w:rsid w:val="002F1E00"/>
    <w:rsid w:val="002F3A61"/>
    <w:rsid w:val="002F42FD"/>
    <w:rsid w:val="002F5701"/>
    <w:rsid w:val="002F722E"/>
    <w:rsid w:val="0032134E"/>
    <w:rsid w:val="00321E1A"/>
    <w:rsid w:val="00323933"/>
    <w:rsid w:val="00326474"/>
    <w:rsid w:val="003378F6"/>
    <w:rsid w:val="00345E3C"/>
    <w:rsid w:val="0034772E"/>
    <w:rsid w:val="003477A2"/>
    <w:rsid w:val="00357899"/>
    <w:rsid w:val="003665C0"/>
    <w:rsid w:val="003707A0"/>
    <w:rsid w:val="00374397"/>
    <w:rsid w:val="0038062D"/>
    <w:rsid w:val="00385530"/>
    <w:rsid w:val="00387CE0"/>
    <w:rsid w:val="0039373C"/>
    <w:rsid w:val="00393E8F"/>
    <w:rsid w:val="00393EE1"/>
    <w:rsid w:val="00397C15"/>
    <w:rsid w:val="003A0099"/>
    <w:rsid w:val="003A2C35"/>
    <w:rsid w:val="003A4118"/>
    <w:rsid w:val="003B58BB"/>
    <w:rsid w:val="003B5BA1"/>
    <w:rsid w:val="003B6CD1"/>
    <w:rsid w:val="003B7AC7"/>
    <w:rsid w:val="003B7ACA"/>
    <w:rsid w:val="003B7ED5"/>
    <w:rsid w:val="003C291E"/>
    <w:rsid w:val="003C2D99"/>
    <w:rsid w:val="003D1282"/>
    <w:rsid w:val="003D61B4"/>
    <w:rsid w:val="003D6BFA"/>
    <w:rsid w:val="003E1229"/>
    <w:rsid w:val="003E402B"/>
    <w:rsid w:val="003F4966"/>
    <w:rsid w:val="003F75AA"/>
    <w:rsid w:val="0041122E"/>
    <w:rsid w:val="00412861"/>
    <w:rsid w:val="004171F2"/>
    <w:rsid w:val="00423E3B"/>
    <w:rsid w:val="00424AE0"/>
    <w:rsid w:val="0042565F"/>
    <w:rsid w:val="00442000"/>
    <w:rsid w:val="00442792"/>
    <w:rsid w:val="004437D3"/>
    <w:rsid w:val="00446A11"/>
    <w:rsid w:val="00452BE9"/>
    <w:rsid w:val="004573BE"/>
    <w:rsid w:val="00460E39"/>
    <w:rsid w:val="00461A1C"/>
    <w:rsid w:val="00461A7C"/>
    <w:rsid w:val="00462836"/>
    <w:rsid w:val="00464F9B"/>
    <w:rsid w:val="00465EF4"/>
    <w:rsid w:val="0047180E"/>
    <w:rsid w:val="004720DA"/>
    <w:rsid w:val="00496E82"/>
    <w:rsid w:val="004979D9"/>
    <w:rsid w:val="004A1600"/>
    <w:rsid w:val="004A35FA"/>
    <w:rsid w:val="004B0E29"/>
    <w:rsid w:val="004B2EEE"/>
    <w:rsid w:val="004B42B6"/>
    <w:rsid w:val="004C2558"/>
    <w:rsid w:val="004C3BB5"/>
    <w:rsid w:val="004C6599"/>
    <w:rsid w:val="004C7BD2"/>
    <w:rsid w:val="004D405D"/>
    <w:rsid w:val="004D62F1"/>
    <w:rsid w:val="004E6D16"/>
    <w:rsid w:val="004E7E4F"/>
    <w:rsid w:val="004F094A"/>
    <w:rsid w:val="004F0E60"/>
    <w:rsid w:val="004F682B"/>
    <w:rsid w:val="005059DB"/>
    <w:rsid w:val="00507372"/>
    <w:rsid w:val="0051104C"/>
    <w:rsid w:val="005119F8"/>
    <w:rsid w:val="00513421"/>
    <w:rsid w:val="0051411B"/>
    <w:rsid w:val="0051436B"/>
    <w:rsid w:val="00516509"/>
    <w:rsid w:val="00517E11"/>
    <w:rsid w:val="00522022"/>
    <w:rsid w:val="00523462"/>
    <w:rsid w:val="00530C2B"/>
    <w:rsid w:val="00533816"/>
    <w:rsid w:val="00534E75"/>
    <w:rsid w:val="005369CF"/>
    <w:rsid w:val="0053752E"/>
    <w:rsid w:val="00542679"/>
    <w:rsid w:val="0054456A"/>
    <w:rsid w:val="00546F19"/>
    <w:rsid w:val="0055177D"/>
    <w:rsid w:val="005559BD"/>
    <w:rsid w:val="00556850"/>
    <w:rsid w:val="0056259C"/>
    <w:rsid w:val="0056610D"/>
    <w:rsid w:val="005745FB"/>
    <w:rsid w:val="00576080"/>
    <w:rsid w:val="00584E42"/>
    <w:rsid w:val="00591D4A"/>
    <w:rsid w:val="00596700"/>
    <w:rsid w:val="00597576"/>
    <w:rsid w:val="005A0377"/>
    <w:rsid w:val="005A1852"/>
    <w:rsid w:val="005A26B9"/>
    <w:rsid w:val="005A5021"/>
    <w:rsid w:val="005A782C"/>
    <w:rsid w:val="005B103D"/>
    <w:rsid w:val="005C7308"/>
    <w:rsid w:val="005C7382"/>
    <w:rsid w:val="005D34AE"/>
    <w:rsid w:val="005D39FA"/>
    <w:rsid w:val="005D7050"/>
    <w:rsid w:val="005D72ED"/>
    <w:rsid w:val="005D7C30"/>
    <w:rsid w:val="006039C1"/>
    <w:rsid w:val="006049B7"/>
    <w:rsid w:val="00611AD5"/>
    <w:rsid w:val="0061299F"/>
    <w:rsid w:val="00613C96"/>
    <w:rsid w:val="00616894"/>
    <w:rsid w:val="006219CB"/>
    <w:rsid w:val="00622BC0"/>
    <w:rsid w:val="006243F0"/>
    <w:rsid w:val="006244D3"/>
    <w:rsid w:val="0063381B"/>
    <w:rsid w:val="00635051"/>
    <w:rsid w:val="00637BDC"/>
    <w:rsid w:val="00646635"/>
    <w:rsid w:val="00651B07"/>
    <w:rsid w:val="00655791"/>
    <w:rsid w:val="00662322"/>
    <w:rsid w:val="00663E5D"/>
    <w:rsid w:val="00681A35"/>
    <w:rsid w:val="00683198"/>
    <w:rsid w:val="006921FC"/>
    <w:rsid w:val="00692444"/>
    <w:rsid w:val="00697015"/>
    <w:rsid w:val="006974C0"/>
    <w:rsid w:val="006A1FE2"/>
    <w:rsid w:val="006A2312"/>
    <w:rsid w:val="006A41CE"/>
    <w:rsid w:val="006B40A7"/>
    <w:rsid w:val="006B62CF"/>
    <w:rsid w:val="006C23C9"/>
    <w:rsid w:val="006C5233"/>
    <w:rsid w:val="006C7EE5"/>
    <w:rsid w:val="006C7EEC"/>
    <w:rsid w:val="006D3CB5"/>
    <w:rsid w:val="006D704E"/>
    <w:rsid w:val="006E4CD6"/>
    <w:rsid w:val="006E7FD8"/>
    <w:rsid w:val="006F18A1"/>
    <w:rsid w:val="006F6DB2"/>
    <w:rsid w:val="007053FB"/>
    <w:rsid w:val="00707B73"/>
    <w:rsid w:val="00714211"/>
    <w:rsid w:val="007146F1"/>
    <w:rsid w:val="00715209"/>
    <w:rsid w:val="00717C09"/>
    <w:rsid w:val="00731F34"/>
    <w:rsid w:val="00732A62"/>
    <w:rsid w:val="00735F5F"/>
    <w:rsid w:val="007441D6"/>
    <w:rsid w:val="00744C17"/>
    <w:rsid w:val="007474C1"/>
    <w:rsid w:val="007572A6"/>
    <w:rsid w:val="0076622B"/>
    <w:rsid w:val="007733BD"/>
    <w:rsid w:val="00773407"/>
    <w:rsid w:val="00777796"/>
    <w:rsid w:val="00777D2C"/>
    <w:rsid w:val="00781268"/>
    <w:rsid w:val="00783257"/>
    <w:rsid w:val="00783593"/>
    <w:rsid w:val="00783776"/>
    <w:rsid w:val="00785B9C"/>
    <w:rsid w:val="007869D7"/>
    <w:rsid w:val="00794EF1"/>
    <w:rsid w:val="007974CA"/>
    <w:rsid w:val="007A372D"/>
    <w:rsid w:val="007B4EA3"/>
    <w:rsid w:val="007C0D17"/>
    <w:rsid w:val="007C181E"/>
    <w:rsid w:val="007C335E"/>
    <w:rsid w:val="007C38CD"/>
    <w:rsid w:val="007C50C4"/>
    <w:rsid w:val="007C6856"/>
    <w:rsid w:val="007D27A7"/>
    <w:rsid w:val="007D4493"/>
    <w:rsid w:val="007E192B"/>
    <w:rsid w:val="007E7421"/>
    <w:rsid w:val="007F24E1"/>
    <w:rsid w:val="00801508"/>
    <w:rsid w:val="008024C1"/>
    <w:rsid w:val="00802CDC"/>
    <w:rsid w:val="008070BA"/>
    <w:rsid w:val="008073BB"/>
    <w:rsid w:val="008127B2"/>
    <w:rsid w:val="0081307D"/>
    <w:rsid w:val="0082027A"/>
    <w:rsid w:val="00821F7E"/>
    <w:rsid w:val="00831498"/>
    <w:rsid w:val="008334D9"/>
    <w:rsid w:val="008414ED"/>
    <w:rsid w:val="00841513"/>
    <w:rsid w:val="00843D91"/>
    <w:rsid w:val="00852703"/>
    <w:rsid w:val="00853254"/>
    <w:rsid w:val="00860869"/>
    <w:rsid w:val="00863055"/>
    <w:rsid w:val="00866735"/>
    <w:rsid w:val="00867392"/>
    <w:rsid w:val="00872DC8"/>
    <w:rsid w:val="00884EA4"/>
    <w:rsid w:val="00890A6A"/>
    <w:rsid w:val="00892F6E"/>
    <w:rsid w:val="00894C1B"/>
    <w:rsid w:val="00897E76"/>
    <w:rsid w:val="008A1C94"/>
    <w:rsid w:val="008A32B0"/>
    <w:rsid w:val="008A3F43"/>
    <w:rsid w:val="008B3346"/>
    <w:rsid w:val="008B3D11"/>
    <w:rsid w:val="008B570F"/>
    <w:rsid w:val="008C217B"/>
    <w:rsid w:val="008C4A67"/>
    <w:rsid w:val="008C57CA"/>
    <w:rsid w:val="008D54A8"/>
    <w:rsid w:val="008F0DC5"/>
    <w:rsid w:val="009006A4"/>
    <w:rsid w:val="00901331"/>
    <w:rsid w:val="00901860"/>
    <w:rsid w:val="00901D88"/>
    <w:rsid w:val="00903481"/>
    <w:rsid w:val="009043CF"/>
    <w:rsid w:val="00905135"/>
    <w:rsid w:val="009064F2"/>
    <w:rsid w:val="00913334"/>
    <w:rsid w:val="009149B8"/>
    <w:rsid w:val="00915C0F"/>
    <w:rsid w:val="009202D2"/>
    <w:rsid w:val="00926992"/>
    <w:rsid w:val="0093527B"/>
    <w:rsid w:val="00936D1D"/>
    <w:rsid w:val="00941438"/>
    <w:rsid w:val="00945E41"/>
    <w:rsid w:val="00947AF9"/>
    <w:rsid w:val="00950648"/>
    <w:rsid w:val="00950E99"/>
    <w:rsid w:val="009530D1"/>
    <w:rsid w:val="00961556"/>
    <w:rsid w:val="00965BC9"/>
    <w:rsid w:val="00966D47"/>
    <w:rsid w:val="00967772"/>
    <w:rsid w:val="00971A32"/>
    <w:rsid w:val="00973455"/>
    <w:rsid w:val="009775FB"/>
    <w:rsid w:val="00983469"/>
    <w:rsid w:val="009854C8"/>
    <w:rsid w:val="00990951"/>
    <w:rsid w:val="009956D3"/>
    <w:rsid w:val="0099579A"/>
    <w:rsid w:val="009A294A"/>
    <w:rsid w:val="009A3191"/>
    <w:rsid w:val="009C39B1"/>
    <w:rsid w:val="009C6ADD"/>
    <w:rsid w:val="009D5D80"/>
    <w:rsid w:val="009D66C5"/>
    <w:rsid w:val="009E223B"/>
    <w:rsid w:val="009E747C"/>
    <w:rsid w:val="009F4AD7"/>
    <w:rsid w:val="009F4B2C"/>
    <w:rsid w:val="00A000F9"/>
    <w:rsid w:val="00A03025"/>
    <w:rsid w:val="00A0348C"/>
    <w:rsid w:val="00A07908"/>
    <w:rsid w:val="00A10645"/>
    <w:rsid w:val="00A115C3"/>
    <w:rsid w:val="00A120B8"/>
    <w:rsid w:val="00A147C2"/>
    <w:rsid w:val="00A22168"/>
    <w:rsid w:val="00A24037"/>
    <w:rsid w:val="00A25053"/>
    <w:rsid w:val="00A25114"/>
    <w:rsid w:val="00A25E38"/>
    <w:rsid w:val="00A279F2"/>
    <w:rsid w:val="00A32B35"/>
    <w:rsid w:val="00A37CE7"/>
    <w:rsid w:val="00A44604"/>
    <w:rsid w:val="00A538D4"/>
    <w:rsid w:val="00A559D8"/>
    <w:rsid w:val="00A55AA0"/>
    <w:rsid w:val="00A56D28"/>
    <w:rsid w:val="00A570AA"/>
    <w:rsid w:val="00A5775B"/>
    <w:rsid w:val="00A57888"/>
    <w:rsid w:val="00A643B4"/>
    <w:rsid w:val="00A6491A"/>
    <w:rsid w:val="00A70489"/>
    <w:rsid w:val="00A72F23"/>
    <w:rsid w:val="00A74835"/>
    <w:rsid w:val="00A76DCD"/>
    <w:rsid w:val="00A8086E"/>
    <w:rsid w:val="00A827CB"/>
    <w:rsid w:val="00A840B3"/>
    <w:rsid w:val="00A84F13"/>
    <w:rsid w:val="00A85D32"/>
    <w:rsid w:val="00A92B21"/>
    <w:rsid w:val="00A9373D"/>
    <w:rsid w:val="00A956C3"/>
    <w:rsid w:val="00A95B34"/>
    <w:rsid w:val="00A97CA0"/>
    <w:rsid w:val="00AA53CE"/>
    <w:rsid w:val="00AA5F4B"/>
    <w:rsid w:val="00AA7C4A"/>
    <w:rsid w:val="00AB085A"/>
    <w:rsid w:val="00AB1627"/>
    <w:rsid w:val="00AD4F05"/>
    <w:rsid w:val="00AE2D6D"/>
    <w:rsid w:val="00AE4E77"/>
    <w:rsid w:val="00AE5ACB"/>
    <w:rsid w:val="00AF4D45"/>
    <w:rsid w:val="00AF7B65"/>
    <w:rsid w:val="00B05E19"/>
    <w:rsid w:val="00B162F0"/>
    <w:rsid w:val="00B27959"/>
    <w:rsid w:val="00B41BA3"/>
    <w:rsid w:val="00B444B9"/>
    <w:rsid w:val="00B45A14"/>
    <w:rsid w:val="00B52FAB"/>
    <w:rsid w:val="00B55017"/>
    <w:rsid w:val="00B64512"/>
    <w:rsid w:val="00B64D6F"/>
    <w:rsid w:val="00B66D1B"/>
    <w:rsid w:val="00B67E8E"/>
    <w:rsid w:val="00BA0B59"/>
    <w:rsid w:val="00BA1847"/>
    <w:rsid w:val="00BA29B2"/>
    <w:rsid w:val="00BB4B69"/>
    <w:rsid w:val="00BC2D37"/>
    <w:rsid w:val="00BC5B9C"/>
    <w:rsid w:val="00BC5CF3"/>
    <w:rsid w:val="00BC5F9C"/>
    <w:rsid w:val="00BC60AE"/>
    <w:rsid w:val="00BD18C1"/>
    <w:rsid w:val="00BD3100"/>
    <w:rsid w:val="00BD3BEA"/>
    <w:rsid w:val="00BD41AA"/>
    <w:rsid w:val="00BE6D71"/>
    <w:rsid w:val="00BF02D9"/>
    <w:rsid w:val="00BF2FA0"/>
    <w:rsid w:val="00BF3E45"/>
    <w:rsid w:val="00C054EC"/>
    <w:rsid w:val="00C06123"/>
    <w:rsid w:val="00C12DDA"/>
    <w:rsid w:val="00C15CEC"/>
    <w:rsid w:val="00C16B27"/>
    <w:rsid w:val="00C171FD"/>
    <w:rsid w:val="00C24E15"/>
    <w:rsid w:val="00C25AC6"/>
    <w:rsid w:val="00C30937"/>
    <w:rsid w:val="00C37056"/>
    <w:rsid w:val="00C412F5"/>
    <w:rsid w:val="00C44746"/>
    <w:rsid w:val="00C63975"/>
    <w:rsid w:val="00C7058A"/>
    <w:rsid w:val="00C71EA0"/>
    <w:rsid w:val="00C73C5F"/>
    <w:rsid w:val="00C75FF1"/>
    <w:rsid w:val="00C8176A"/>
    <w:rsid w:val="00C81990"/>
    <w:rsid w:val="00C830DD"/>
    <w:rsid w:val="00C861CB"/>
    <w:rsid w:val="00C936C4"/>
    <w:rsid w:val="00C975DE"/>
    <w:rsid w:val="00CA2931"/>
    <w:rsid w:val="00CA3F26"/>
    <w:rsid w:val="00CA4615"/>
    <w:rsid w:val="00CB55F5"/>
    <w:rsid w:val="00CB637D"/>
    <w:rsid w:val="00CB64B3"/>
    <w:rsid w:val="00CB74A9"/>
    <w:rsid w:val="00CC2318"/>
    <w:rsid w:val="00CC42C9"/>
    <w:rsid w:val="00CC4477"/>
    <w:rsid w:val="00CC45A0"/>
    <w:rsid w:val="00CD50E9"/>
    <w:rsid w:val="00CD6363"/>
    <w:rsid w:val="00CE2FD1"/>
    <w:rsid w:val="00CF5E2E"/>
    <w:rsid w:val="00CF7AE1"/>
    <w:rsid w:val="00D01653"/>
    <w:rsid w:val="00D11DAE"/>
    <w:rsid w:val="00D15B65"/>
    <w:rsid w:val="00D160F4"/>
    <w:rsid w:val="00D203E9"/>
    <w:rsid w:val="00D22364"/>
    <w:rsid w:val="00D27EB7"/>
    <w:rsid w:val="00D33AE1"/>
    <w:rsid w:val="00D36189"/>
    <w:rsid w:val="00D419CD"/>
    <w:rsid w:val="00D422BC"/>
    <w:rsid w:val="00D4387A"/>
    <w:rsid w:val="00D444D8"/>
    <w:rsid w:val="00D44EB3"/>
    <w:rsid w:val="00D66015"/>
    <w:rsid w:val="00D661EE"/>
    <w:rsid w:val="00D70066"/>
    <w:rsid w:val="00D72A42"/>
    <w:rsid w:val="00D7302A"/>
    <w:rsid w:val="00D751E8"/>
    <w:rsid w:val="00D76270"/>
    <w:rsid w:val="00D77CE2"/>
    <w:rsid w:val="00D8031A"/>
    <w:rsid w:val="00D81952"/>
    <w:rsid w:val="00D87A02"/>
    <w:rsid w:val="00D9018E"/>
    <w:rsid w:val="00D916DE"/>
    <w:rsid w:val="00D93C0E"/>
    <w:rsid w:val="00DA2BA4"/>
    <w:rsid w:val="00DA2E3A"/>
    <w:rsid w:val="00DA3A94"/>
    <w:rsid w:val="00DA5234"/>
    <w:rsid w:val="00DB00EE"/>
    <w:rsid w:val="00DB15F7"/>
    <w:rsid w:val="00DB2472"/>
    <w:rsid w:val="00DC0E18"/>
    <w:rsid w:val="00DC1AAB"/>
    <w:rsid w:val="00DC33FB"/>
    <w:rsid w:val="00DC48A4"/>
    <w:rsid w:val="00DC59FD"/>
    <w:rsid w:val="00DC76D9"/>
    <w:rsid w:val="00DD0BA4"/>
    <w:rsid w:val="00DD526D"/>
    <w:rsid w:val="00DD712F"/>
    <w:rsid w:val="00DD719B"/>
    <w:rsid w:val="00DE02C2"/>
    <w:rsid w:val="00DE40C6"/>
    <w:rsid w:val="00DF4E69"/>
    <w:rsid w:val="00E0117A"/>
    <w:rsid w:val="00E158C9"/>
    <w:rsid w:val="00E220C9"/>
    <w:rsid w:val="00E24056"/>
    <w:rsid w:val="00E24C95"/>
    <w:rsid w:val="00E26200"/>
    <w:rsid w:val="00E368BD"/>
    <w:rsid w:val="00E43C50"/>
    <w:rsid w:val="00E44EBC"/>
    <w:rsid w:val="00E46C07"/>
    <w:rsid w:val="00E61D54"/>
    <w:rsid w:val="00E731EA"/>
    <w:rsid w:val="00E73DA1"/>
    <w:rsid w:val="00E77522"/>
    <w:rsid w:val="00E80063"/>
    <w:rsid w:val="00E81F61"/>
    <w:rsid w:val="00E8491D"/>
    <w:rsid w:val="00E84B96"/>
    <w:rsid w:val="00E86E06"/>
    <w:rsid w:val="00E9034F"/>
    <w:rsid w:val="00E90BA1"/>
    <w:rsid w:val="00E94F53"/>
    <w:rsid w:val="00E97233"/>
    <w:rsid w:val="00EA34A2"/>
    <w:rsid w:val="00EA4EF8"/>
    <w:rsid w:val="00ED2A0B"/>
    <w:rsid w:val="00EE0054"/>
    <w:rsid w:val="00EE330A"/>
    <w:rsid w:val="00EE65CA"/>
    <w:rsid w:val="00EF0109"/>
    <w:rsid w:val="00EF7E4D"/>
    <w:rsid w:val="00F00D6C"/>
    <w:rsid w:val="00F04697"/>
    <w:rsid w:val="00F04811"/>
    <w:rsid w:val="00F04C02"/>
    <w:rsid w:val="00F14EC4"/>
    <w:rsid w:val="00F27AD0"/>
    <w:rsid w:val="00F33021"/>
    <w:rsid w:val="00F374A3"/>
    <w:rsid w:val="00F4066D"/>
    <w:rsid w:val="00F41E1B"/>
    <w:rsid w:val="00F41E9F"/>
    <w:rsid w:val="00F43CFD"/>
    <w:rsid w:val="00F47754"/>
    <w:rsid w:val="00F47AD9"/>
    <w:rsid w:val="00F503A0"/>
    <w:rsid w:val="00F532C3"/>
    <w:rsid w:val="00F611DB"/>
    <w:rsid w:val="00F61FD1"/>
    <w:rsid w:val="00F65C0F"/>
    <w:rsid w:val="00F673D1"/>
    <w:rsid w:val="00F70D61"/>
    <w:rsid w:val="00F71385"/>
    <w:rsid w:val="00F71CA8"/>
    <w:rsid w:val="00F72DE3"/>
    <w:rsid w:val="00F756A4"/>
    <w:rsid w:val="00F85BB7"/>
    <w:rsid w:val="00F86E5C"/>
    <w:rsid w:val="00F950E2"/>
    <w:rsid w:val="00FA4944"/>
    <w:rsid w:val="00FA64B3"/>
    <w:rsid w:val="00FB1C3E"/>
    <w:rsid w:val="00FB6701"/>
    <w:rsid w:val="00FB7291"/>
    <w:rsid w:val="00FB7337"/>
    <w:rsid w:val="00FC0E65"/>
    <w:rsid w:val="00FC16B9"/>
    <w:rsid w:val="00FD0D7F"/>
    <w:rsid w:val="00FE45F3"/>
    <w:rsid w:val="00FE6E5F"/>
    <w:rsid w:val="00FF3A81"/>
    <w:rsid w:val="00FF44A9"/>
    <w:rsid w:val="00FF500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296627"/>
  <w14:defaultImageDpi w14:val="300"/>
  <w15:docId w15:val="{1E8A4294-FA85-2A42-99CC-2DA589E8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rsid w:val="00DF570E"/>
    <w:pPr>
      <w:keepNext/>
      <w:numPr>
        <w:numId w:val="1"/>
      </w:numPr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DF570E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F04C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F57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70E"/>
  </w:style>
  <w:style w:type="paragraph" w:styleId="CommentText">
    <w:name w:val="annotation text"/>
    <w:basedOn w:val="Normal"/>
    <w:semiHidden/>
    <w:rsid w:val="00F22195"/>
    <w:rPr>
      <w:sz w:val="20"/>
    </w:rPr>
  </w:style>
  <w:style w:type="paragraph" w:styleId="BalloonText">
    <w:name w:val="Balloon Text"/>
    <w:basedOn w:val="Normal"/>
    <w:semiHidden/>
    <w:rsid w:val="00A240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A231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A2312"/>
    <w:rPr>
      <w:b/>
      <w:bCs/>
    </w:rPr>
  </w:style>
  <w:style w:type="paragraph" w:styleId="FootnoteText">
    <w:name w:val="footnote text"/>
    <w:basedOn w:val="Normal"/>
    <w:semiHidden/>
    <w:rsid w:val="00387CE0"/>
    <w:rPr>
      <w:sz w:val="20"/>
    </w:rPr>
  </w:style>
  <w:style w:type="character" w:styleId="FootnoteReference">
    <w:name w:val="footnote reference"/>
    <w:basedOn w:val="DefaultParagraphFont"/>
    <w:semiHidden/>
    <w:rsid w:val="00387CE0"/>
    <w:rPr>
      <w:vertAlign w:val="superscript"/>
    </w:rPr>
  </w:style>
  <w:style w:type="paragraph" w:styleId="Header">
    <w:name w:val="header"/>
    <w:basedOn w:val="Normal"/>
    <w:rsid w:val="005745FB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5745FB"/>
    <w:rPr>
      <w:rFonts w:eastAsia="Times New Roman" w:cs="Arial"/>
      <w:szCs w:val="24"/>
    </w:rPr>
  </w:style>
  <w:style w:type="paragraph" w:styleId="ListParagraph">
    <w:name w:val="List Paragraph"/>
    <w:basedOn w:val="Normal"/>
    <w:uiPriority w:val="34"/>
    <w:qFormat/>
    <w:rsid w:val="00C936C4"/>
    <w:pPr>
      <w:ind w:left="720"/>
    </w:pPr>
    <w:rPr>
      <w:rFonts w:eastAsia="Times New Roman"/>
      <w:sz w:val="24"/>
      <w:szCs w:val="24"/>
      <w:lang w:val="en-US"/>
    </w:rPr>
  </w:style>
  <w:style w:type="character" w:customStyle="1" w:styleId="st">
    <w:name w:val="st"/>
    <w:rsid w:val="00E220C9"/>
  </w:style>
  <w:style w:type="paragraph" w:customStyle="1" w:styleId="Default">
    <w:name w:val="Default"/>
    <w:rsid w:val="00157F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Normal1">
    <w:name w:val="Normal1"/>
    <w:uiPriority w:val="99"/>
    <w:rsid w:val="009775FB"/>
    <w:rPr>
      <w:rFonts w:ascii="Times New Roman" w:eastAsia="Times New Roman" w:hAnsi="Times New Roman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rsid w:val="00F04C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76080"/>
    <w:rPr>
      <w:b/>
      <w:bCs/>
    </w:rPr>
  </w:style>
  <w:style w:type="character" w:styleId="Emphasis">
    <w:name w:val="Emphasis"/>
    <w:basedOn w:val="DefaultParagraphFont"/>
    <w:uiPriority w:val="20"/>
    <w:qFormat/>
    <w:rsid w:val="007974CA"/>
    <w:rPr>
      <w:i/>
      <w:iCs/>
    </w:rPr>
  </w:style>
  <w:style w:type="paragraph" w:styleId="Revision">
    <w:name w:val="Revision"/>
    <w:hidden/>
    <w:uiPriority w:val="99"/>
    <w:semiHidden/>
    <w:rsid w:val="002703B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06D1-A26B-4711-969A-920DE79C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2546</Words>
  <Characters>13836</Characters>
  <Application>Microsoft Office Word</Application>
  <DocSecurity>4</DocSecurity>
  <Lines>115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item 1 Opening</vt:lpstr>
      <vt:lpstr>Agenda item 1 Opening</vt:lpstr>
    </vt:vector>
  </TitlesOfParts>
  <Company>DJEnvironmental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1 Opening</dc:title>
  <dc:subject/>
  <dc:creator>Tim Jones</dc:creator>
  <cp:keywords/>
  <cp:lastModifiedBy>Jeannine Dicken</cp:lastModifiedBy>
  <cp:revision>2</cp:revision>
  <cp:lastPrinted>2008-11-26T10:00:00Z</cp:lastPrinted>
  <dcterms:created xsi:type="dcterms:W3CDTF">2022-09-29T20:21:00Z</dcterms:created>
  <dcterms:modified xsi:type="dcterms:W3CDTF">2022-09-29T20:21:00Z</dcterms:modified>
</cp:coreProperties>
</file>