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15AC" w14:textId="18FEA714" w:rsidR="00D01653" w:rsidRPr="00584E42" w:rsidRDefault="00D01653" w:rsidP="00016BC1">
      <w:pPr>
        <w:jc w:val="both"/>
        <w:rPr>
          <w:b/>
          <w:sz w:val="24"/>
          <w:szCs w:val="24"/>
        </w:rPr>
        <w:sectPr w:rsidR="00D01653" w:rsidRPr="00584E42" w:rsidSect="003378F6">
          <w:headerReference w:type="default" r:id="rId7"/>
          <w:footerReference w:type="even" r:id="rId8"/>
          <w:footerReference w:type="default" r:id="rId9"/>
          <w:pgSz w:w="11907" w:h="16840" w:code="9"/>
          <w:pgMar w:top="1021" w:right="1134" w:bottom="851" w:left="1134" w:header="851" w:footer="851" w:gutter="0"/>
          <w:pgNumType w:start="1"/>
          <w:cols w:space="708"/>
        </w:sectPr>
      </w:pPr>
    </w:p>
    <w:p w14:paraId="1B081686" w14:textId="3D4613DF" w:rsidR="0082027A" w:rsidRPr="00584E42" w:rsidRDefault="0082027A" w:rsidP="00016BC1">
      <w:pPr>
        <w:jc w:val="both"/>
        <w:rPr>
          <w:b/>
          <w:sz w:val="24"/>
          <w:szCs w:val="24"/>
        </w:rPr>
      </w:pPr>
    </w:p>
    <w:p w14:paraId="67FF6D6A" w14:textId="06CFE776" w:rsidR="003378F6" w:rsidRPr="00584E42" w:rsidRDefault="003378F6" w:rsidP="00016BC1">
      <w:pPr>
        <w:jc w:val="center"/>
        <w:rPr>
          <w:b/>
          <w:sz w:val="24"/>
          <w:szCs w:val="24"/>
        </w:rPr>
      </w:pPr>
      <w:r w:rsidRPr="00584E42">
        <w:rPr>
          <w:b/>
          <w:sz w:val="24"/>
          <w:szCs w:val="24"/>
        </w:rPr>
        <w:t xml:space="preserve">DRAFT REPORT OF THE </w:t>
      </w:r>
      <w:r w:rsidR="00E86E06">
        <w:rPr>
          <w:b/>
          <w:sz w:val="24"/>
          <w:szCs w:val="24"/>
        </w:rPr>
        <w:t>8</w:t>
      </w:r>
      <w:r w:rsidRPr="00584E42">
        <w:rPr>
          <w:b/>
          <w:sz w:val="24"/>
          <w:szCs w:val="24"/>
          <w:vertAlign w:val="superscript"/>
        </w:rPr>
        <w:t xml:space="preserve">th </w:t>
      </w:r>
      <w:r w:rsidRPr="00584E42">
        <w:rPr>
          <w:b/>
          <w:sz w:val="24"/>
          <w:szCs w:val="24"/>
        </w:rPr>
        <w:t>SESSION OF THE MEETING OF THE PARTIES (MOP</w:t>
      </w:r>
      <w:r w:rsidR="00E86E06">
        <w:rPr>
          <w:b/>
          <w:sz w:val="24"/>
          <w:szCs w:val="24"/>
        </w:rPr>
        <w:t>8</w:t>
      </w:r>
      <w:r w:rsidRPr="00584E42">
        <w:rPr>
          <w:b/>
          <w:sz w:val="24"/>
          <w:szCs w:val="24"/>
        </w:rPr>
        <w:t>)</w:t>
      </w:r>
    </w:p>
    <w:p w14:paraId="4D155E7D" w14:textId="77777777" w:rsidR="003378F6" w:rsidRPr="00584E42" w:rsidRDefault="003378F6" w:rsidP="00016BC1">
      <w:pPr>
        <w:jc w:val="center"/>
        <w:rPr>
          <w:b/>
          <w:sz w:val="24"/>
          <w:szCs w:val="24"/>
        </w:rPr>
      </w:pPr>
      <w:r w:rsidRPr="00584E42">
        <w:rPr>
          <w:b/>
          <w:sz w:val="24"/>
          <w:szCs w:val="24"/>
        </w:rPr>
        <w:t>TO THE AFRICAN-EURASIAN MIGRATORY WATERBIRD AGREEMENT (AEWA),</w:t>
      </w:r>
    </w:p>
    <w:p w14:paraId="2054E447" w14:textId="363F2063" w:rsidR="0011193C" w:rsidRDefault="00E86E06" w:rsidP="00016BC1">
      <w:pPr>
        <w:jc w:val="center"/>
        <w:rPr>
          <w:b/>
          <w:sz w:val="24"/>
          <w:szCs w:val="24"/>
        </w:rPr>
      </w:pPr>
      <w:r>
        <w:rPr>
          <w:b/>
          <w:sz w:val="24"/>
          <w:szCs w:val="24"/>
        </w:rPr>
        <w:t>26</w:t>
      </w:r>
      <w:r w:rsidR="003378F6" w:rsidRPr="00584E42">
        <w:rPr>
          <w:b/>
          <w:sz w:val="24"/>
          <w:szCs w:val="24"/>
        </w:rPr>
        <w:t>–</w:t>
      </w:r>
      <w:r>
        <w:rPr>
          <w:b/>
          <w:sz w:val="24"/>
          <w:szCs w:val="24"/>
        </w:rPr>
        <w:t>30</w:t>
      </w:r>
      <w:r w:rsidR="003378F6" w:rsidRPr="00584E42">
        <w:rPr>
          <w:b/>
          <w:sz w:val="24"/>
          <w:szCs w:val="24"/>
        </w:rPr>
        <w:t xml:space="preserve"> </w:t>
      </w:r>
      <w:r>
        <w:rPr>
          <w:b/>
          <w:sz w:val="24"/>
          <w:szCs w:val="24"/>
        </w:rPr>
        <w:t>SEPTEMBER</w:t>
      </w:r>
      <w:r w:rsidR="003378F6" w:rsidRPr="00584E42">
        <w:rPr>
          <w:b/>
          <w:sz w:val="24"/>
          <w:szCs w:val="24"/>
        </w:rPr>
        <w:t xml:space="preserve"> 20</w:t>
      </w:r>
      <w:r>
        <w:rPr>
          <w:b/>
          <w:sz w:val="24"/>
          <w:szCs w:val="24"/>
        </w:rPr>
        <w:t>22</w:t>
      </w:r>
      <w:r w:rsidR="003378F6" w:rsidRPr="00584E42">
        <w:rPr>
          <w:b/>
          <w:sz w:val="24"/>
          <w:szCs w:val="24"/>
        </w:rPr>
        <w:t xml:space="preserve">, </w:t>
      </w:r>
      <w:r>
        <w:rPr>
          <w:b/>
          <w:sz w:val="24"/>
          <w:szCs w:val="24"/>
        </w:rPr>
        <w:t>BUDAPEST</w:t>
      </w:r>
      <w:r w:rsidR="003378F6" w:rsidRPr="00584E42">
        <w:rPr>
          <w:b/>
          <w:sz w:val="24"/>
          <w:szCs w:val="24"/>
        </w:rPr>
        <w:t xml:space="preserve">, </w:t>
      </w:r>
      <w:r>
        <w:rPr>
          <w:b/>
          <w:sz w:val="24"/>
          <w:szCs w:val="24"/>
        </w:rPr>
        <w:t>HUNGARY</w:t>
      </w:r>
    </w:p>
    <w:p w14:paraId="105AAC1C" w14:textId="77777777" w:rsidR="00106E40" w:rsidRPr="00584E42" w:rsidRDefault="00106E40" w:rsidP="00106E40">
      <w:pPr>
        <w:jc w:val="both"/>
        <w:rPr>
          <w:b/>
          <w:sz w:val="24"/>
          <w:szCs w:val="24"/>
        </w:rPr>
      </w:pPr>
    </w:p>
    <w:p w14:paraId="358C303D" w14:textId="5DE39039" w:rsidR="00106E40" w:rsidRDefault="00106E40" w:rsidP="00016BC1">
      <w:pPr>
        <w:jc w:val="center"/>
        <w:rPr>
          <w:b/>
          <w:sz w:val="24"/>
          <w:szCs w:val="24"/>
        </w:rPr>
      </w:pPr>
      <w:r>
        <w:rPr>
          <w:b/>
          <w:sz w:val="24"/>
          <w:szCs w:val="24"/>
        </w:rPr>
        <w:t xml:space="preserve">DRAFT REPORT OF </w:t>
      </w:r>
      <w:r w:rsidR="008B3346">
        <w:rPr>
          <w:b/>
          <w:sz w:val="24"/>
          <w:szCs w:val="24"/>
        </w:rPr>
        <w:t xml:space="preserve">WORKING GROUP </w:t>
      </w:r>
      <w:r w:rsidR="00BE0641">
        <w:rPr>
          <w:b/>
          <w:sz w:val="24"/>
          <w:szCs w:val="24"/>
        </w:rPr>
        <w:t>2</w:t>
      </w:r>
    </w:p>
    <w:p w14:paraId="2E38D503" w14:textId="68A8FA03" w:rsidR="008B3346" w:rsidRPr="00584E42" w:rsidRDefault="008B3346" w:rsidP="00016BC1">
      <w:pPr>
        <w:jc w:val="center"/>
        <w:rPr>
          <w:b/>
          <w:sz w:val="24"/>
          <w:szCs w:val="24"/>
        </w:rPr>
      </w:pPr>
      <w:r>
        <w:rPr>
          <w:b/>
          <w:sz w:val="24"/>
          <w:szCs w:val="24"/>
        </w:rPr>
        <w:t>– FINANCIAL &amp; ADMINSTRATIVE MATTERS</w:t>
      </w:r>
    </w:p>
    <w:p w14:paraId="25988A54" w14:textId="77777777" w:rsidR="003378F6" w:rsidRPr="00584E42" w:rsidRDefault="003378F6" w:rsidP="00016BC1">
      <w:pPr>
        <w:jc w:val="both"/>
        <w:rPr>
          <w:b/>
          <w:sz w:val="24"/>
          <w:szCs w:val="24"/>
        </w:rPr>
      </w:pPr>
    </w:p>
    <w:p w14:paraId="33212B7D" w14:textId="20929F06" w:rsidR="00950E99" w:rsidRDefault="00F673D1" w:rsidP="005D7050">
      <w:pPr>
        <w:jc w:val="both"/>
        <w:rPr>
          <w:bCs/>
          <w:sz w:val="24"/>
          <w:szCs w:val="24"/>
        </w:rPr>
      </w:pPr>
      <w:r>
        <w:rPr>
          <w:bCs/>
          <w:sz w:val="24"/>
          <w:szCs w:val="24"/>
        </w:rPr>
        <w:t>1</w:t>
      </w:r>
      <w:r w:rsidR="00681A35">
        <w:rPr>
          <w:bCs/>
          <w:sz w:val="24"/>
          <w:szCs w:val="24"/>
        </w:rPr>
        <w:t xml:space="preserve">. </w:t>
      </w:r>
      <w:r w:rsidR="00106E40" w:rsidRPr="00106E40">
        <w:rPr>
          <w:bCs/>
          <w:sz w:val="24"/>
          <w:szCs w:val="24"/>
        </w:rPr>
        <w:t>The</w:t>
      </w:r>
      <w:r w:rsidR="00106E40">
        <w:rPr>
          <w:bCs/>
          <w:sz w:val="24"/>
          <w:szCs w:val="24"/>
        </w:rPr>
        <w:t xml:space="preserve"> Working Group met from 16:30 to 18:05 on 27 September. It was chaired by the United Kingdom, represented by Mr Simon </w:t>
      </w:r>
      <w:proofErr w:type="spellStart"/>
      <w:r w:rsidR="00106E40">
        <w:rPr>
          <w:bCs/>
          <w:sz w:val="24"/>
          <w:szCs w:val="24"/>
        </w:rPr>
        <w:t>Mackown</w:t>
      </w:r>
      <w:proofErr w:type="spellEnd"/>
      <w:r w:rsidR="00106E40">
        <w:rPr>
          <w:bCs/>
          <w:sz w:val="24"/>
          <w:szCs w:val="24"/>
        </w:rPr>
        <w:t>,</w:t>
      </w:r>
      <w:r w:rsidR="00681A35">
        <w:rPr>
          <w:bCs/>
          <w:sz w:val="24"/>
          <w:szCs w:val="24"/>
        </w:rPr>
        <w:t xml:space="preserve"> with Uganda </w:t>
      </w:r>
      <w:r w:rsidR="00945E41">
        <w:rPr>
          <w:bCs/>
          <w:sz w:val="24"/>
          <w:szCs w:val="24"/>
        </w:rPr>
        <w:t xml:space="preserve">serving </w:t>
      </w:r>
      <w:r w:rsidR="00681A35">
        <w:rPr>
          <w:bCs/>
          <w:sz w:val="24"/>
          <w:szCs w:val="24"/>
        </w:rPr>
        <w:t>as Vice-Chair, and</w:t>
      </w:r>
      <w:r w:rsidR="00945E41">
        <w:rPr>
          <w:bCs/>
          <w:sz w:val="24"/>
          <w:szCs w:val="24"/>
        </w:rPr>
        <w:t xml:space="preserve"> was</w:t>
      </w:r>
      <w:r w:rsidR="00106E40">
        <w:rPr>
          <w:bCs/>
          <w:sz w:val="24"/>
          <w:szCs w:val="24"/>
        </w:rPr>
        <w:t xml:space="preserve"> supported by the Executiv</w:t>
      </w:r>
      <w:r w:rsidR="00265132">
        <w:rPr>
          <w:bCs/>
          <w:sz w:val="24"/>
          <w:szCs w:val="24"/>
        </w:rPr>
        <w:t>e Secretary and</w:t>
      </w:r>
      <w:r w:rsidR="00252828">
        <w:rPr>
          <w:bCs/>
          <w:sz w:val="24"/>
          <w:szCs w:val="24"/>
        </w:rPr>
        <w:t xml:space="preserve"> the</w:t>
      </w:r>
      <w:r w:rsidR="00265132">
        <w:rPr>
          <w:bCs/>
          <w:sz w:val="24"/>
          <w:szCs w:val="24"/>
        </w:rPr>
        <w:t xml:space="preserve"> </w:t>
      </w:r>
      <w:r w:rsidR="00252828" w:rsidRPr="0044786E">
        <w:rPr>
          <w:bCs/>
          <w:sz w:val="24"/>
          <w:szCs w:val="24"/>
        </w:rPr>
        <w:t xml:space="preserve">Administrative Officer </w:t>
      </w:r>
      <w:r w:rsidR="00252828">
        <w:rPr>
          <w:bCs/>
          <w:sz w:val="24"/>
          <w:szCs w:val="24"/>
        </w:rPr>
        <w:t xml:space="preserve">of the </w:t>
      </w:r>
      <w:r w:rsidR="00252828" w:rsidRPr="0044786E">
        <w:rPr>
          <w:bCs/>
          <w:sz w:val="24"/>
          <w:szCs w:val="24"/>
        </w:rPr>
        <w:t xml:space="preserve">Administrative and Fund Management Unit </w:t>
      </w:r>
      <w:r w:rsidR="00252828">
        <w:rPr>
          <w:bCs/>
          <w:sz w:val="24"/>
          <w:szCs w:val="24"/>
        </w:rPr>
        <w:t xml:space="preserve">– </w:t>
      </w:r>
      <w:r w:rsidR="00252828" w:rsidRPr="0044786E">
        <w:rPr>
          <w:bCs/>
          <w:sz w:val="24"/>
          <w:szCs w:val="24"/>
        </w:rPr>
        <w:t>UNEP</w:t>
      </w:r>
      <w:r w:rsidR="00252828">
        <w:rPr>
          <w:bCs/>
          <w:sz w:val="24"/>
          <w:szCs w:val="24"/>
        </w:rPr>
        <w:t>/</w:t>
      </w:r>
      <w:r w:rsidR="00252828" w:rsidRPr="0044786E">
        <w:rPr>
          <w:bCs/>
          <w:sz w:val="24"/>
          <w:szCs w:val="24"/>
        </w:rPr>
        <w:t>CMS</w:t>
      </w:r>
      <w:r w:rsidR="00252828">
        <w:rPr>
          <w:bCs/>
          <w:sz w:val="24"/>
          <w:szCs w:val="24"/>
        </w:rPr>
        <w:t xml:space="preserve"> Family</w:t>
      </w:r>
      <w:r w:rsidR="00265132">
        <w:rPr>
          <w:bCs/>
          <w:sz w:val="24"/>
          <w:szCs w:val="24"/>
        </w:rPr>
        <w:t>.</w:t>
      </w:r>
    </w:p>
    <w:p w14:paraId="0BBF192B" w14:textId="77777777" w:rsidR="00950E99" w:rsidRDefault="00950E99" w:rsidP="005D7050">
      <w:pPr>
        <w:jc w:val="both"/>
        <w:rPr>
          <w:b/>
          <w:sz w:val="24"/>
          <w:szCs w:val="24"/>
        </w:rPr>
      </w:pPr>
    </w:p>
    <w:p w14:paraId="3DECF97A" w14:textId="6BF47529" w:rsidR="003E1229" w:rsidRPr="00265132" w:rsidRDefault="00F673D1" w:rsidP="00714211">
      <w:pPr>
        <w:jc w:val="both"/>
        <w:rPr>
          <w:bCs/>
          <w:sz w:val="24"/>
          <w:szCs w:val="24"/>
        </w:rPr>
      </w:pPr>
      <w:r>
        <w:rPr>
          <w:bCs/>
          <w:sz w:val="24"/>
          <w:szCs w:val="24"/>
        </w:rPr>
        <w:t>2</w:t>
      </w:r>
      <w:r w:rsidR="00681A35">
        <w:rPr>
          <w:bCs/>
          <w:sz w:val="24"/>
          <w:szCs w:val="24"/>
        </w:rPr>
        <w:t xml:space="preserve">. </w:t>
      </w:r>
      <w:r w:rsidR="00265132">
        <w:rPr>
          <w:bCs/>
          <w:sz w:val="24"/>
          <w:szCs w:val="24"/>
        </w:rPr>
        <w:t xml:space="preserve">At the invitation of the </w:t>
      </w:r>
      <w:r w:rsidR="00265132" w:rsidRPr="00F673D1">
        <w:rPr>
          <w:b/>
          <w:sz w:val="24"/>
          <w:szCs w:val="24"/>
        </w:rPr>
        <w:t>Chair</w:t>
      </w:r>
      <w:r w:rsidR="00265132">
        <w:rPr>
          <w:bCs/>
          <w:sz w:val="24"/>
          <w:szCs w:val="24"/>
        </w:rPr>
        <w:t>, Parties confirmed that the Working Group would meet in open session, with the attendance of observers.</w:t>
      </w:r>
    </w:p>
    <w:p w14:paraId="6ED74CE6" w14:textId="54ADFDCE" w:rsidR="00A25053" w:rsidRDefault="00A25053" w:rsidP="00714211">
      <w:pPr>
        <w:jc w:val="both"/>
        <w:rPr>
          <w:bCs/>
          <w:sz w:val="24"/>
          <w:szCs w:val="24"/>
        </w:rPr>
      </w:pPr>
    </w:p>
    <w:p w14:paraId="31EE9C95" w14:textId="4E0AFEE7" w:rsidR="00A25053" w:rsidRDefault="00F673D1" w:rsidP="00714211">
      <w:pPr>
        <w:jc w:val="both"/>
        <w:rPr>
          <w:bCs/>
          <w:sz w:val="24"/>
          <w:szCs w:val="24"/>
        </w:rPr>
      </w:pPr>
      <w:r>
        <w:rPr>
          <w:bCs/>
          <w:sz w:val="24"/>
          <w:szCs w:val="24"/>
        </w:rPr>
        <w:t>3</w:t>
      </w:r>
      <w:r w:rsidR="00681A35">
        <w:rPr>
          <w:bCs/>
          <w:sz w:val="24"/>
          <w:szCs w:val="24"/>
        </w:rPr>
        <w:t xml:space="preserve">. </w:t>
      </w:r>
      <w:r w:rsidR="00265132">
        <w:rPr>
          <w:bCs/>
          <w:sz w:val="24"/>
          <w:szCs w:val="24"/>
        </w:rPr>
        <w:t xml:space="preserve">The </w:t>
      </w:r>
      <w:r w:rsidR="00265132" w:rsidRPr="00F673D1">
        <w:rPr>
          <w:b/>
          <w:sz w:val="24"/>
          <w:szCs w:val="24"/>
        </w:rPr>
        <w:t>Chair</w:t>
      </w:r>
      <w:r w:rsidR="00265132">
        <w:rPr>
          <w:bCs/>
          <w:sz w:val="24"/>
          <w:szCs w:val="24"/>
        </w:rPr>
        <w:t xml:space="preserve"> proposed that this </w:t>
      </w:r>
      <w:r w:rsidR="009D5D80">
        <w:rPr>
          <w:bCs/>
          <w:sz w:val="24"/>
          <w:szCs w:val="24"/>
        </w:rPr>
        <w:t>first</w:t>
      </w:r>
      <w:r w:rsidR="00265132">
        <w:rPr>
          <w:bCs/>
          <w:sz w:val="24"/>
          <w:szCs w:val="24"/>
        </w:rPr>
        <w:t xml:space="preserve"> session be limited </w:t>
      </w:r>
      <w:r w:rsidR="00A559D8">
        <w:rPr>
          <w:bCs/>
          <w:sz w:val="24"/>
          <w:szCs w:val="24"/>
        </w:rPr>
        <w:t>to initial statements and indication</w:t>
      </w:r>
      <w:r w:rsidR="009D5D80">
        <w:rPr>
          <w:bCs/>
          <w:sz w:val="24"/>
          <w:szCs w:val="24"/>
        </w:rPr>
        <w:t>s</w:t>
      </w:r>
      <w:r w:rsidR="00A559D8">
        <w:rPr>
          <w:bCs/>
          <w:sz w:val="24"/>
          <w:szCs w:val="24"/>
        </w:rPr>
        <w:t xml:space="preserve"> of Parties’ positions relating to the range of budget scenarios contained in Document AEWA/MOP 8.39 Corr. 1 </w:t>
      </w:r>
      <w:r w:rsidR="00A559D8" w:rsidRPr="00A559D8">
        <w:rPr>
          <w:bCs/>
          <w:i/>
          <w:iCs/>
          <w:sz w:val="24"/>
          <w:szCs w:val="24"/>
        </w:rPr>
        <w:t>Draft Budget Proposal for 2023 – 2025</w:t>
      </w:r>
      <w:r w:rsidR="00A559D8">
        <w:rPr>
          <w:bCs/>
          <w:sz w:val="24"/>
          <w:szCs w:val="24"/>
        </w:rPr>
        <w:t>. He noted that these</w:t>
      </w:r>
      <w:r w:rsidR="009D5D80">
        <w:rPr>
          <w:bCs/>
          <w:sz w:val="24"/>
          <w:szCs w:val="24"/>
        </w:rPr>
        <w:t xml:space="preserve"> scenarios</w:t>
      </w:r>
      <w:r w:rsidR="00A559D8">
        <w:rPr>
          <w:bCs/>
          <w:sz w:val="24"/>
          <w:szCs w:val="24"/>
        </w:rPr>
        <w:t xml:space="preserve"> had already been introduced in plenary by the Executive Secretary.</w:t>
      </w:r>
    </w:p>
    <w:p w14:paraId="6FBFF9F7" w14:textId="32E5714B" w:rsidR="00A25053" w:rsidRDefault="00A25053" w:rsidP="00714211">
      <w:pPr>
        <w:jc w:val="both"/>
        <w:rPr>
          <w:bCs/>
          <w:sz w:val="24"/>
          <w:szCs w:val="24"/>
        </w:rPr>
      </w:pPr>
    </w:p>
    <w:p w14:paraId="7500534C" w14:textId="6C22B9B1" w:rsidR="0039373C" w:rsidRDefault="00F673D1" w:rsidP="00714211">
      <w:pPr>
        <w:jc w:val="both"/>
        <w:rPr>
          <w:bCs/>
          <w:sz w:val="24"/>
          <w:szCs w:val="24"/>
        </w:rPr>
      </w:pPr>
      <w:r>
        <w:rPr>
          <w:bCs/>
          <w:sz w:val="24"/>
          <w:szCs w:val="24"/>
        </w:rPr>
        <w:t>4</w:t>
      </w:r>
      <w:r w:rsidR="00681A35">
        <w:rPr>
          <w:bCs/>
          <w:sz w:val="24"/>
          <w:szCs w:val="24"/>
        </w:rPr>
        <w:t xml:space="preserve">. </w:t>
      </w:r>
      <w:r w:rsidR="00A559D8">
        <w:rPr>
          <w:bCs/>
          <w:sz w:val="24"/>
          <w:szCs w:val="24"/>
        </w:rPr>
        <w:t xml:space="preserve">The </w:t>
      </w:r>
      <w:r w:rsidR="00A559D8" w:rsidRPr="00F673D1">
        <w:rPr>
          <w:b/>
          <w:sz w:val="24"/>
          <w:szCs w:val="24"/>
        </w:rPr>
        <w:t>Chair</w:t>
      </w:r>
      <w:r w:rsidR="00A559D8">
        <w:rPr>
          <w:bCs/>
          <w:sz w:val="24"/>
          <w:szCs w:val="24"/>
        </w:rPr>
        <w:t xml:space="preserve"> observed that the</w:t>
      </w:r>
      <w:r w:rsidR="00A25053">
        <w:rPr>
          <w:bCs/>
          <w:sz w:val="24"/>
          <w:szCs w:val="24"/>
        </w:rPr>
        <w:t xml:space="preserve"> Sec</w:t>
      </w:r>
      <w:r w:rsidR="00A559D8">
        <w:rPr>
          <w:bCs/>
          <w:sz w:val="24"/>
          <w:szCs w:val="24"/>
        </w:rPr>
        <w:t>retaria</w:t>
      </w:r>
      <w:r w:rsidR="00A25053">
        <w:rPr>
          <w:bCs/>
          <w:sz w:val="24"/>
          <w:szCs w:val="24"/>
        </w:rPr>
        <w:t xml:space="preserve">t </w:t>
      </w:r>
      <w:r w:rsidR="00A559D8">
        <w:rPr>
          <w:bCs/>
          <w:sz w:val="24"/>
          <w:szCs w:val="24"/>
        </w:rPr>
        <w:t>was</w:t>
      </w:r>
      <w:r w:rsidR="00AD4F05">
        <w:rPr>
          <w:bCs/>
          <w:sz w:val="24"/>
          <w:szCs w:val="24"/>
        </w:rPr>
        <w:t xml:space="preserve"> already</w:t>
      </w:r>
      <w:r w:rsidR="00A559D8">
        <w:rPr>
          <w:bCs/>
          <w:sz w:val="24"/>
          <w:szCs w:val="24"/>
        </w:rPr>
        <w:t xml:space="preserve"> </w:t>
      </w:r>
      <w:r w:rsidR="00A25053">
        <w:rPr>
          <w:bCs/>
          <w:sz w:val="24"/>
          <w:szCs w:val="24"/>
        </w:rPr>
        <w:t xml:space="preserve">under significant </w:t>
      </w:r>
      <w:proofErr w:type="gramStart"/>
      <w:r w:rsidR="00A25053">
        <w:rPr>
          <w:bCs/>
          <w:sz w:val="24"/>
          <w:szCs w:val="24"/>
        </w:rPr>
        <w:t>pressure</w:t>
      </w:r>
      <w:proofErr w:type="gramEnd"/>
      <w:r w:rsidR="00A559D8">
        <w:rPr>
          <w:bCs/>
          <w:sz w:val="24"/>
          <w:szCs w:val="24"/>
        </w:rPr>
        <w:t xml:space="preserve"> and it would not be sustainable </w:t>
      </w:r>
      <w:r w:rsidR="00C412F5">
        <w:rPr>
          <w:bCs/>
          <w:sz w:val="24"/>
          <w:szCs w:val="24"/>
        </w:rPr>
        <w:t>for</w:t>
      </w:r>
      <w:r w:rsidR="00A25053">
        <w:rPr>
          <w:bCs/>
          <w:sz w:val="24"/>
          <w:szCs w:val="24"/>
        </w:rPr>
        <w:t xml:space="preserve"> the Secretariat to deliver the conservation outcomes </w:t>
      </w:r>
      <w:r w:rsidR="00C412F5">
        <w:rPr>
          <w:bCs/>
          <w:sz w:val="24"/>
          <w:szCs w:val="24"/>
        </w:rPr>
        <w:t xml:space="preserve">Parties wished </w:t>
      </w:r>
      <w:r w:rsidR="00A25053">
        <w:rPr>
          <w:bCs/>
          <w:sz w:val="24"/>
          <w:szCs w:val="24"/>
        </w:rPr>
        <w:t xml:space="preserve">to see </w:t>
      </w:r>
      <w:r w:rsidR="00AD4F05">
        <w:rPr>
          <w:bCs/>
          <w:sz w:val="24"/>
          <w:szCs w:val="24"/>
        </w:rPr>
        <w:t>during</w:t>
      </w:r>
      <w:r w:rsidR="00A25053">
        <w:rPr>
          <w:bCs/>
          <w:sz w:val="24"/>
          <w:szCs w:val="24"/>
        </w:rPr>
        <w:t xml:space="preserve"> the next triennium</w:t>
      </w:r>
      <w:r w:rsidR="00C412F5">
        <w:rPr>
          <w:bCs/>
          <w:sz w:val="24"/>
          <w:szCs w:val="24"/>
        </w:rPr>
        <w:t xml:space="preserve"> without increased resources</w:t>
      </w:r>
      <w:r w:rsidR="00A25053">
        <w:rPr>
          <w:bCs/>
          <w:sz w:val="24"/>
          <w:szCs w:val="24"/>
        </w:rPr>
        <w:t xml:space="preserve">. </w:t>
      </w:r>
      <w:r w:rsidR="00C412F5">
        <w:rPr>
          <w:bCs/>
          <w:sz w:val="24"/>
          <w:szCs w:val="24"/>
        </w:rPr>
        <w:t xml:space="preserve">The demands on the </w:t>
      </w:r>
      <w:r w:rsidR="00A25053">
        <w:rPr>
          <w:bCs/>
          <w:sz w:val="24"/>
          <w:szCs w:val="24"/>
        </w:rPr>
        <w:t>Sec</w:t>
      </w:r>
      <w:r w:rsidR="00C412F5">
        <w:rPr>
          <w:bCs/>
          <w:sz w:val="24"/>
          <w:szCs w:val="24"/>
        </w:rPr>
        <w:t>retaria</w:t>
      </w:r>
      <w:r w:rsidR="00A25053">
        <w:rPr>
          <w:bCs/>
          <w:sz w:val="24"/>
          <w:szCs w:val="24"/>
        </w:rPr>
        <w:t>t and T</w:t>
      </w:r>
      <w:r w:rsidR="00C412F5">
        <w:rPr>
          <w:bCs/>
          <w:sz w:val="24"/>
          <w:szCs w:val="24"/>
        </w:rPr>
        <w:t xml:space="preserve">echnical </w:t>
      </w:r>
      <w:r w:rsidR="00A25053">
        <w:rPr>
          <w:bCs/>
          <w:sz w:val="24"/>
          <w:szCs w:val="24"/>
        </w:rPr>
        <w:t>C</w:t>
      </w:r>
      <w:r w:rsidR="00C412F5">
        <w:rPr>
          <w:bCs/>
          <w:sz w:val="24"/>
          <w:szCs w:val="24"/>
        </w:rPr>
        <w:t>ommittee</w:t>
      </w:r>
      <w:r w:rsidR="00A25053">
        <w:rPr>
          <w:bCs/>
          <w:sz w:val="24"/>
          <w:szCs w:val="24"/>
        </w:rPr>
        <w:t xml:space="preserve"> </w:t>
      </w:r>
      <w:r w:rsidR="00C412F5">
        <w:rPr>
          <w:bCs/>
          <w:sz w:val="24"/>
          <w:szCs w:val="24"/>
        </w:rPr>
        <w:t>were</w:t>
      </w:r>
      <w:r w:rsidR="00A25053">
        <w:rPr>
          <w:bCs/>
          <w:sz w:val="24"/>
          <w:szCs w:val="24"/>
        </w:rPr>
        <w:t xml:space="preserve"> high </w:t>
      </w:r>
      <w:r w:rsidR="00C412F5">
        <w:rPr>
          <w:bCs/>
          <w:sz w:val="24"/>
          <w:szCs w:val="24"/>
        </w:rPr>
        <w:t xml:space="preserve">and there </w:t>
      </w:r>
      <w:r w:rsidR="00AD4F05">
        <w:rPr>
          <w:bCs/>
          <w:sz w:val="24"/>
          <w:szCs w:val="24"/>
        </w:rPr>
        <w:t xml:space="preserve">currently seemed to be </w:t>
      </w:r>
      <w:r w:rsidR="00C412F5">
        <w:rPr>
          <w:bCs/>
          <w:sz w:val="24"/>
          <w:szCs w:val="24"/>
        </w:rPr>
        <w:t>a</w:t>
      </w:r>
      <w:r w:rsidR="00A25053">
        <w:rPr>
          <w:bCs/>
          <w:sz w:val="24"/>
          <w:szCs w:val="24"/>
        </w:rPr>
        <w:t xml:space="preserve"> disconnect</w:t>
      </w:r>
      <w:r w:rsidR="00C412F5">
        <w:rPr>
          <w:bCs/>
          <w:sz w:val="24"/>
          <w:szCs w:val="24"/>
        </w:rPr>
        <w:t xml:space="preserve"> </w:t>
      </w:r>
      <w:r w:rsidR="00A25053">
        <w:rPr>
          <w:bCs/>
          <w:sz w:val="24"/>
          <w:szCs w:val="24"/>
        </w:rPr>
        <w:t>between ambitions</w:t>
      </w:r>
      <w:r w:rsidR="00C412F5">
        <w:rPr>
          <w:bCs/>
          <w:sz w:val="24"/>
          <w:szCs w:val="24"/>
        </w:rPr>
        <w:t xml:space="preserve"> on one hand</w:t>
      </w:r>
      <w:r w:rsidR="00A25053">
        <w:rPr>
          <w:bCs/>
          <w:sz w:val="24"/>
          <w:szCs w:val="24"/>
        </w:rPr>
        <w:t xml:space="preserve"> and</w:t>
      </w:r>
      <w:r w:rsidR="00C412F5">
        <w:rPr>
          <w:bCs/>
          <w:sz w:val="24"/>
          <w:szCs w:val="24"/>
        </w:rPr>
        <w:t xml:space="preserve"> the</w:t>
      </w:r>
      <w:r w:rsidR="00A25053">
        <w:rPr>
          <w:bCs/>
          <w:sz w:val="24"/>
          <w:szCs w:val="24"/>
        </w:rPr>
        <w:t xml:space="preserve"> reality of what c</w:t>
      </w:r>
      <w:r w:rsidR="00460E39">
        <w:rPr>
          <w:bCs/>
          <w:sz w:val="24"/>
          <w:szCs w:val="24"/>
        </w:rPr>
        <w:t>ould</w:t>
      </w:r>
      <w:r w:rsidR="00A25053">
        <w:rPr>
          <w:bCs/>
          <w:sz w:val="24"/>
          <w:szCs w:val="24"/>
        </w:rPr>
        <w:t xml:space="preserve"> be delivered</w:t>
      </w:r>
      <w:r w:rsidR="00C412F5">
        <w:rPr>
          <w:bCs/>
          <w:sz w:val="24"/>
          <w:szCs w:val="24"/>
        </w:rPr>
        <w:t xml:space="preserve"> on the other</w:t>
      </w:r>
      <w:r w:rsidR="00A25053">
        <w:rPr>
          <w:bCs/>
          <w:sz w:val="24"/>
          <w:szCs w:val="24"/>
        </w:rPr>
        <w:t>.</w:t>
      </w:r>
      <w:r w:rsidR="00EF7E4D">
        <w:rPr>
          <w:bCs/>
          <w:sz w:val="24"/>
          <w:szCs w:val="24"/>
        </w:rPr>
        <w:t xml:space="preserve"> He recalled that MOP7 had decided to move towards application of the UN </w:t>
      </w:r>
      <w:r w:rsidR="00060236">
        <w:rPr>
          <w:bCs/>
          <w:sz w:val="24"/>
          <w:szCs w:val="24"/>
        </w:rPr>
        <w:t>s</w:t>
      </w:r>
      <w:r w:rsidR="00EF7E4D">
        <w:rPr>
          <w:bCs/>
          <w:sz w:val="24"/>
          <w:szCs w:val="24"/>
        </w:rPr>
        <w:t xml:space="preserve">cale of </w:t>
      </w:r>
      <w:r w:rsidR="00060236">
        <w:rPr>
          <w:bCs/>
          <w:sz w:val="24"/>
          <w:szCs w:val="24"/>
        </w:rPr>
        <w:t>assessment</w:t>
      </w:r>
      <w:r w:rsidR="00EF7E4D">
        <w:rPr>
          <w:bCs/>
          <w:sz w:val="24"/>
          <w:szCs w:val="24"/>
        </w:rPr>
        <w:t xml:space="preserve"> with effect from MOP8 and hoped that the Working Group could abide by the commitments made at MOP7 and avoid reopening discussion of that issue. He opened the floor to comments.</w:t>
      </w:r>
    </w:p>
    <w:p w14:paraId="188B5557" w14:textId="77777777" w:rsidR="00EF7E4D" w:rsidRDefault="00EF7E4D" w:rsidP="00714211">
      <w:pPr>
        <w:jc w:val="both"/>
        <w:rPr>
          <w:bCs/>
          <w:sz w:val="24"/>
          <w:szCs w:val="24"/>
        </w:rPr>
      </w:pPr>
    </w:p>
    <w:p w14:paraId="61AEAC78" w14:textId="03AF1321" w:rsidR="000944B6" w:rsidRDefault="00F673D1" w:rsidP="00714211">
      <w:pPr>
        <w:jc w:val="both"/>
        <w:rPr>
          <w:bCs/>
          <w:sz w:val="24"/>
          <w:szCs w:val="24"/>
        </w:rPr>
      </w:pPr>
      <w:r>
        <w:rPr>
          <w:bCs/>
          <w:sz w:val="24"/>
          <w:szCs w:val="24"/>
        </w:rPr>
        <w:t>5</w:t>
      </w:r>
      <w:r w:rsidR="00681A35">
        <w:rPr>
          <w:bCs/>
          <w:sz w:val="24"/>
          <w:szCs w:val="24"/>
        </w:rPr>
        <w:t xml:space="preserve">. </w:t>
      </w:r>
      <w:r w:rsidR="00EF7E4D">
        <w:rPr>
          <w:bCs/>
          <w:sz w:val="24"/>
          <w:szCs w:val="24"/>
        </w:rPr>
        <w:t xml:space="preserve">The </w:t>
      </w:r>
      <w:r w:rsidR="000944B6" w:rsidRPr="00F673D1">
        <w:rPr>
          <w:b/>
          <w:sz w:val="24"/>
          <w:szCs w:val="24"/>
        </w:rPr>
        <w:t>U</w:t>
      </w:r>
      <w:r w:rsidR="002C5E03">
        <w:rPr>
          <w:b/>
          <w:sz w:val="24"/>
          <w:szCs w:val="24"/>
        </w:rPr>
        <w:t xml:space="preserve">nited </w:t>
      </w:r>
      <w:r w:rsidR="000944B6" w:rsidRPr="00F673D1">
        <w:rPr>
          <w:b/>
          <w:sz w:val="24"/>
          <w:szCs w:val="24"/>
        </w:rPr>
        <w:t>K</w:t>
      </w:r>
      <w:r w:rsidR="002C5E03">
        <w:rPr>
          <w:b/>
          <w:sz w:val="24"/>
          <w:szCs w:val="24"/>
        </w:rPr>
        <w:t>ingdom</w:t>
      </w:r>
      <w:r w:rsidR="000944B6">
        <w:rPr>
          <w:bCs/>
          <w:sz w:val="24"/>
          <w:szCs w:val="24"/>
        </w:rPr>
        <w:t xml:space="preserve"> </w:t>
      </w:r>
      <w:r w:rsidR="00EF7E4D">
        <w:rPr>
          <w:bCs/>
          <w:sz w:val="24"/>
          <w:szCs w:val="24"/>
        </w:rPr>
        <w:t>indicated its</w:t>
      </w:r>
      <w:r w:rsidR="000944B6">
        <w:rPr>
          <w:bCs/>
          <w:sz w:val="24"/>
          <w:szCs w:val="24"/>
        </w:rPr>
        <w:t xml:space="preserve"> support</w:t>
      </w:r>
      <w:r w:rsidR="00EF7E4D">
        <w:rPr>
          <w:bCs/>
          <w:sz w:val="24"/>
          <w:szCs w:val="24"/>
        </w:rPr>
        <w:t xml:space="preserve"> for</w:t>
      </w:r>
      <w:r w:rsidR="000944B6">
        <w:rPr>
          <w:bCs/>
          <w:sz w:val="24"/>
          <w:szCs w:val="24"/>
        </w:rPr>
        <w:t xml:space="preserve"> a minimum of </w:t>
      </w:r>
      <w:r w:rsidR="00EF7E4D">
        <w:rPr>
          <w:bCs/>
          <w:sz w:val="24"/>
          <w:szCs w:val="24"/>
        </w:rPr>
        <w:t>Scenario</w:t>
      </w:r>
      <w:r w:rsidR="000944B6">
        <w:rPr>
          <w:bCs/>
          <w:sz w:val="24"/>
          <w:szCs w:val="24"/>
        </w:rPr>
        <w:t xml:space="preserve"> 3</w:t>
      </w:r>
      <w:r w:rsidR="00EF7E4D">
        <w:rPr>
          <w:bCs/>
          <w:sz w:val="24"/>
          <w:szCs w:val="24"/>
        </w:rPr>
        <w:t xml:space="preserve">, </w:t>
      </w:r>
      <w:r w:rsidR="00060236">
        <w:rPr>
          <w:bCs/>
          <w:sz w:val="24"/>
          <w:szCs w:val="24"/>
        </w:rPr>
        <w:t xml:space="preserve">and probably </w:t>
      </w:r>
      <w:r w:rsidR="000944B6">
        <w:rPr>
          <w:bCs/>
          <w:sz w:val="24"/>
          <w:szCs w:val="24"/>
        </w:rPr>
        <w:t>somewhere between</w:t>
      </w:r>
      <w:r w:rsidR="00EF7E4D">
        <w:rPr>
          <w:bCs/>
          <w:sz w:val="24"/>
          <w:szCs w:val="24"/>
        </w:rPr>
        <w:t xml:space="preserve"> Scenarios</w:t>
      </w:r>
      <w:r w:rsidR="000944B6">
        <w:rPr>
          <w:bCs/>
          <w:sz w:val="24"/>
          <w:szCs w:val="24"/>
        </w:rPr>
        <w:t xml:space="preserve"> 3 &amp; 4.</w:t>
      </w:r>
    </w:p>
    <w:p w14:paraId="39E980B4" w14:textId="77777777" w:rsidR="003B7AC7" w:rsidRDefault="003B7AC7" w:rsidP="00714211">
      <w:pPr>
        <w:jc w:val="both"/>
        <w:rPr>
          <w:bCs/>
          <w:sz w:val="24"/>
          <w:szCs w:val="24"/>
        </w:rPr>
      </w:pPr>
    </w:p>
    <w:p w14:paraId="25E8D349" w14:textId="2635C0D5" w:rsidR="000944B6" w:rsidRDefault="00F673D1" w:rsidP="00714211">
      <w:pPr>
        <w:jc w:val="both"/>
        <w:rPr>
          <w:bCs/>
          <w:sz w:val="24"/>
          <w:szCs w:val="24"/>
        </w:rPr>
      </w:pPr>
      <w:r>
        <w:rPr>
          <w:bCs/>
          <w:sz w:val="24"/>
          <w:szCs w:val="24"/>
        </w:rPr>
        <w:t>6</w:t>
      </w:r>
      <w:r w:rsidR="00681A35">
        <w:rPr>
          <w:bCs/>
          <w:sz w:val="24"/>
          <w:szCs w:val="24"/>
        </w:rPr>
        <w:t xml:space="preserve">. </w:t>
      </w:r>
      <w:r w:rsidR="000944B6" w:rsidRPr="00F673D1">
        <w:rPr>
          <w:b/>
          <w:sz w:val="24"/>
          <w:szCs w:val="24"/>
        </w:rPr>
        <w:t>Germany</w:t>
      </w:r>
      <w:r w:rsidR="00E84B96">
        <w:rPr>
          <w:bCs/>
          <w:sz w:val="24"/>
          <w:szCs w:val="24"/>
        </w:rPr>
        <w:t xml:space="preserve"> recalled i</w:t>
      </w:r>
      <w:r w:rsidR="002C5E03">
        <w:rPr>
          <w:bCs/>
          <w:sz w:val="24"/>
          <w:szCs w:val="24"/>
        </w:rPr>
        <w:t>t</w:t>
      </w:r>
      <w:r w:rsidR="00E84B96">
        <w:rPr>
          <w:bCs/>
          <w:sz w:val="24"/>
          <w:szCs w:val="24"/>
        </w:rPr>
        <w:t>s long-standing support for AEWA and</w:t>
      </w:r>
      <w:r w:rsidR="003B7AC7">
        <w:rPr>
          <w:bCs/>
          <w:sz w:val="24"/>
          <w:szCs w:val="24"/>
        </w:rPr>
        <w:t xml:space="preserve"> fully understood</w:t>
      </w:r>
      <w:r w:rsidR="00DD712F">
        <w:rPr>
          <w:bCs/>
          <w:sz w:val="24"/>
          <w:szCs w:val="24"/>
        </w:rPr>
        <w:t xml:space="preserve"> the</w:t>
      </w:r>
      <w:r w:rsidR="000944B6">
        <w:rPr>
          <w:bCs/>
          <w:sz w:val="24"/>
          <w:szCs w:val="24"/>
        </w:rPr>
        <w:t xml:space="preserve"> difficult position </w:t>
      </w:r>
      <w:r w:rsidR="00DD712F">
        <w:rPr>
          <w:bCs/>
          <w:sz w:val="24"/>
          <w:szCs w:val="24"/>
        </w:rPr>
        <w:t>AEWA</w:t>
      </w:r>
      <w:r w:rsidR="000944B6">
        <w:rPr>
          <w:bCs/>
          <w:sz w:val="24"/>
          <w:szCs w:val="24"/>
        </w:rPr>
        <w:t xml:space="preserve"> </w:t>
      </w:r>
      <w:r w:rsidR="003B7AC7">
        <w:rPr>
          <w:bCs/>
          <w:sz w:val="24"/>
          <w:szCs w:val="24"/>
        </w:rPr>
        <w:t>was</w:t>
      </w:r>
      <w:r w:rsidR="000944B6">
        <w:rPr>
          <w:bCs/>
          <w:sz w:val="24"/>
          <w:szCs w:val="24"/>
        </w:rPr>
        <w:t xml:space="preserve"> </w:t>
      </w:r>
      <w:r w:rsidR="00E84B96">
        <w:rPr>
          <w:bCs/>
          <w:sz w:val="24"/>
          <w:szCs w:val="24"/>
        </w:rPr>
        <w:t>in</w:t>
      </w:r>
      <w:r w:rsidR="000944B6">
        <w:rPr>
          <w:bCs/>
          <w:sz w:val="24"/>
          <w:szCs w:val="24"/>
        </w:rPr>
        <w:t xml:space="preserve">. </w:t>
      </w:r>
      <w:r w:rsidR="00E84B96">
        <w:rPr>
          <w:bCs/>
          <w:sz w:val="24"/>
          <w:szCs w:val="24"/>
        </w:rPr>
        <w:t>Germany was nevertheless operating under</w:t>
      </w:r>
      <w:r w:rsidR="000944B6">
        <w:rPr>
          <w:bCs/>
          <w:sz w:val="24"/>
          <w:szCs w:val="24"/>
        </w:rPr>
        <w:t xml:space="preserve"> budget</w:t>
      </w:r>
      <w:r w:rsidR="00E84B96">
        <w:rPr>
          <w:bCs/>
          <w:sz w:val="24"/>
          <w:szCs w:val="24"/>
        </w:rPr>
        <w:t>ary</w:t>
      </w:r>
      <w:r w:rsidR="000944B6">
        <w:rPr>
          <w:bCs/>
          <w:sz w:val="24"/>
          <w:szCs w:val="24"/>
        </w:rPr>
        <w:t xml:space="preserve"> constraints</w:t>
      </w:r>
      <w:r w:rsidR="00E84B96">
        <w:rPr>
          <w:bCs/>
          <w:sz w:val="24"/>
          <w:szCs w:val="24"/>
        </w:rPr>
        <w:t xml:space="preserve"> and, although there would be a possibility to support an increased budget, this would not necessarily be according to any of the scenarios presented, but rather a combination of items from various scenarios</w:t>
      </w:r>
      <w:r w:rsidR="000944B6">
        <w:rPr>
          <w:bCs/>
          <w:sz w:val="24"/>
          <w:szCs w:val="24"/>
        </w:rPr>
        <w:t>.</w:t>
      </w:r>
      <w:r w:rsidR="00E84B96">
        <w:rPr>
          <w:bCs/>
          <w:sz w:val="24"/>
          <w:szCs w:val="24"/>
        </w:rPr>
        <w:t xml:space="preserve"> It would be helpful, as at past MOPs, to have a baseline scenario</w:t>
      </w:r>
      <w:r w:rsidR="00060236">
        <w:rPr>
          <w:bCs/>
          <w:sz w:val="24"/>
          <w:szCs w:val="24"/>
        </w:rPr>
        <w:t xml:space="preserve"> that</w:t>
      </w:r>
      <w:r w:rsidR="00465EF4">
        <w:rPr>
          <w:bCs/>
          <w:sz w:val="24"/>
          <w:szCs w:val="24"/>
        </w:rPr>
        <w:t xml:space="preserve"> provided for continuation of the work of the Secretariat along present lines,</w:t>
      </w:r>
      <w:r w:rsidR="00E84B96">
        <w:rPr>
          <w:bCs/>
          <w:sz w:val="24"/>
          <w:szCs w:val="24"/>
        </w:rPr>
        <w:t xml:space="preserve"> </w:t>
      </w:r>
      <w:r w:rsidR="00060236">
        <w:rPr>
          <w:bCs/>
          <w:sz w:val="24"/>
          <w:szCs w:val="24"/>
        </w:rPr>
        <w:t>plus</w:t>
      </w:r>
      <w:r w:rsidR="00465EF4">
        <w:rPr>
          <w:bCs/>
          <w:sz w:val="24"/>
          <w:szCs w:val="24"/>
        </w:rPr>
        <w:t xml:space="preserve"> the inflation increase agreed at MOP7, </w:t>
      </w:r>
      <w:r w:rsidR="00CB637D">
        <w:rPr>
          <w:bCs/>
          <w:sz w:val="24"/>
          <w:szCs w:val="24"/>
        </w:rPr>
        <w:t xml:space="preserve">so </w:t>
      </w:r>
      <w:r w:rsidR="00465EF4">
        <w:rPr>
          <w:bCs/>
          <w:sz w:val="24"/>
          <w:szCs w:val="24"/>
        </w:rPr>
        <w:t>Parties</w:t>
      </w:r>
      <w:r w:rsidR="00CB637D">
        <w:rPr>
          <w:bCs/>
          <w:sz w:val="24"/>
          <w:szCs w:val="24"/>
        </w:rPr>
        <w:t xml:space="preserve"> kn</w:t>
      </w:r>
      <w:r w:rsidR="00465EF4">
        <w:rPr>
          <w:bCs/>
          <w:sz w:val="24"/>
          <w:szCs w:val="24"/>
        </w:rPr>
        <w:t>e</w:t>
      </w:r>
      <w:r w:rsidR="00CB637D">
        <w:rPr>
          <w:bCs/>
          <w:sz w:val="24"/>
          <w:szCs w:val="24"/>
        </w:rPr>
        <w:t xml:space="preserve">w </w:t>
      </w:r>
      <w:r w:rsidR="00465EF4">
        <w:rPr>
          <w:bCs/>
          <w:sz w:val="24"/>
          <w:szCs w:val="24"/>
        </w:rPr>
        <w:t>the starting position</w:t>
      </w:r>
      <w:r w:rsidR="00CB637D">
        <w:rPr>
          <w:bCs/>
          <w:sz w:val="24"/>
          <w:szCs w:val="24"/>
        </w:rPr>
        <w:t xml:space="preserve">. </w:t>
      </w:r>
      <w:r w:rsidR="00465EF4">
        <w:rPr>
          <w:bCs/>
          <w:sz w:val="24"/>
          <w:szCs w:val="24"/>
        </w:rPr>
        <w:t>To this coul</w:t>
      </w:r>
      <w:r w:rsidR="00060236">
        <w:rPr>
          <w:bCs/>
          <w:sz w:val="24"/>
          <w:szCs w:val="24"/>
        </w:rPr>
        <w:t>d</w:t>
      </w:r>
      <w:r w:rsidR="00465EF4">
        <w:rPr>
          <w:bCs/>
          <w:sz w:val="24"/>
          <w:szCs w:val="24"/>
        </w:rPr>
        <w:t xml:space="preserve"> be</w:t>
      </w:r>
      <w:r w:rsidR="00CB637D">
        <w:rPr>
          <w:bCs/>
          <w:sz w:val="24"/>
          <w:szCs w:val="24"/>
        </w:rPr>
        <w:t xml:space="preserve"> add</w:t>
      </w:r>
      <w:r w:rsidR="00465EF4">
        <w:rPr>
          <w:bCs/>
          <w:sz w:val="24"/>
          <w:szCs w:val="24"/>
        </w:rPr>
        <w:t xml:space="preserve">ed specific priorities </w:t>
      </w:r>
      <w:r w:rsidR="002C5E03">
        <w:rPr>
          <w:bCs/>
          <w:sz w:val="24"/>
          <w:szCs w:val="24"/>
        </w:rPr>
        <w:t xml:space="preserve">agreed by </w:t>
      </w:r>
      <w:r w:rsidR="00465EF4">
        <w:rPr>
          <w:bCs/>
          <w:sz w:val="24"/>
          <w:szCs w:val="24"/>
        </w:rPr>
        <w:t xml:space="preserve">Parties, </w:t>
      </w:r>
      <w:proofErr w:type="gramStart"/>
      <w:r w:rsidR="00060236">
        <w:rPr>
          <w:bCs/>
          <w:sz w:val="24"/>
          <w:szCs w:val="24"/>
        </w:rPr>
        <w:t>on the basis of</w:t>
      </w:r>
      <w:proofErr w:type="gramEnd"/>
      <w:r w:rsidR="00465EF4">
        <w:rPr>
          <w:bCs/>
          <w:sz w:val="24"/>
          <w:szCs w:val="24"/>
        </w:rPr>
        <w:t xml:space="preserve"> negotiation, that they wished to support. A priority for Germany would be to find the</w:t>
      </w:r>
      <w:r w:rsidR="003B7ACA">
        <w:rPr>
          <w:bCs/>
          <w:sz w:val="24"/>
          <w:szCs w:val="24"/>
        </w:rPr>
        <w:t xml:space="preserve"> resources</w:t>
      </w:r>
      <w:r w:rsidR="00465EF4">
        <w:rPr>
          <w:bCs/>
          <w:sz w:val="24"/>
          <w:szCs w:val="24"/>
        </w:rPr>
        <w:t xml:space="preserve">, through </w:t>
      </w:r>
      <w:proofErr w:type="gramStart"/>
      <w:r w:rsidR="00465EF4">
        <w:rPr>
          <w:bCs/>
          <w:sz w:val="24"/>
          <w:szCs w:val="24"/>
        </w:rPr>
        <w:t>savings</w:t>
      </w:r>
      <w:proofErr w:type="gramEnd"/>
      <w:r w:rsidR="00465EF4">
        <w:rPr>
          <w:bCs/>
          <w:sz w:val="24"/>
          <w:szCs w:val="24"/>
        </w:rPr>
        <w:t xml:space="preserve"> if possible,</w:t>
      </w:r>
      <w:r w:rsidR="003B7ACA">
        <w:rPr>
          <w:bCs/>
          <w:sz w:val="24"/>
          <w:szCs w:val="24"/>
        </w:rPr>
        <w:t xml:space="preserve"> for the pos</w:t>
      </w:r>
      <w:r w:rsidR="00465EF4">
        <w:rPr>
          <w:bCs/>
          <w:sz w:val="24"/>
          <w:szCs w:val="24"/>
        </w:rPr>
        <w:t>ition</w:t>
      </w:r>
      <w:r w:rsidR="003B7ACA">
        <w:rPr>
          <w:bCs/>
          <w:sz w:val="24"/>
          <w:szCs w:val="24"/>
        </w:rPr>
        <w:t xml:space="preserve"> of Species Officer</w:t>
      </w:r>
      <w:r w:rsidR="00465EF4">
        <w:rPr>
          <w:bCs/>
          <w:sz w:val="24"/>
          <w:szCs w:val="24"/>
        </w:rPr>
        <w:t xml:space="preserve"> </w:t>
      </w:r>
      <w:r w:rsidR="002C5E03">
        <w:rPr>
          <w:bCs/>
          <w:sz w:val="24"/>
          <w:szCs w:val="24"/>
        </w:rPr>
        <w:t xml:space="preserve">at </w:t>
      </w:r>
      <w:r w:rsidR="00465EF4">
        <w:rPr>
          <w:bCs/>
          <w:sz w:val="24"/>
          <w:szCs w:val="24"/>
        </w:rPr>
        <w:t>the Secretariat.</w:t>
      </w:r>
    </w:p>
    <w:p w14:paraId="671AD53C" w14:textId="0B735783" w:rsidR="00DD712F" w:rsidRDefault="00DD712F" w:rsidP="00714211">
      <w:pPr>
        <w:jc w:val="both"/>
        <w:rPr>
          <w:bCs/>
          <w:sz w:val="24"/>
          <w:szCs w:val="24"/>
        </w:rPr>
      </w:pPr>
    </w:p>
    <w:p w14:paraId="4B872806" w14:textId="3E324A8B" w:rsidR="00465EF4" w:rsidRDefault="00F673D1" w:rsidP="00714211">
      <w:pPr>
        <w:jc w:val="both"/>
        <w:rPr>
          <w:bCs/>
          <w:sz w:val="24"/>
          <w:szCs w:val="24"/>
        </w:rPr>
      </w:pPr>
      <w:r>
        <w:rPr>
          <w:bCs/>
          <w:sz w:val="24"/>
          <w:szCs w:val="24"/>
        </w:rPr>
        <w:t>7</w:t>
      </w:r>
      <w:r w:rsidR="00681A35">
        <w:rPr>
          <w:bCs/>
          <w:sz w:val="24"/>
          <w:szCs w:val="24"/>
        </w:rPr>
        <w:t xml:space="preserve">. </w:t>
      </w:r>
      <w:r w:rsidR="00465EF4">
        <w:rPr>
          <w:bCs/>
          <w:sz w:val="24"/>
          <w:szCs w:val="24"/>
        </w:rPr>
        <w:t xml:space="preserve">The </w:t>
      </w:r>
      <w:r w:rsidR="00465EF4" w:rsidRPr="00F673D1">
        <w:rPr>
          <w:b/>
          <w:sz w:val="24"/>
          <w:szCs w:val="24"/>
        </w:rPr>
        <w:t>Executive Secretary</w:t>
      </w:r>
      <w:r w:rsidR="00465EF4">
        <w:rPr>
          <w:bCs/>
          <w:sz w:val="24"/>
          <w:szCs w:val="24"/>
        </w:rPr>
        <w:t xml:space="preserve"> confirmed that it was not necessary for Parties to select any of the four </w:t>
      </w:r>
      <w:r w:rsidR="00507372">
        <w:rPr>
          <w:bCs/>
          <w:sz w:val="24"/>
          <w:szCs w:val="24"/>
        </w:rPr>
        <w:t xml:space="preserve">specific </w:t>
      </w:r>
      <w:r w:rsidR="00465EF4">
        <w:rPr>
          <w:bCs/>
          <w:sz w:val="24"/>
          <w:szCs w:val="24"/>
        </w:rPr>
        <w:t xml:space="preserve">scenarios presented in the document. The </w:t>
      </w:r>
      <w:r w:rsidR="00252828">
        <w:rPr>
          <w:bCs/>
          <w:sz w:val="24"/>
          <w:szCs w:val="24"/>
        </w:rPr>
        <w:t>Working Group</w:t>
      </w:r>
      <w:r w:rsidR="00465EF4">
        <w:rPr>
          <w:bCs/>
          <w:sz w:val="24"/>
          <w:szCs w:val="24"/>
        </w:rPr>
        <w:t xml:space="preserve"> could request the preparation of alternative scenarios</w:t>
      </w:r>
      <w:r w:rsidR="002C5E03">
        <w:rPr>
          <w:bCs/>
          <w:sz w:val="24"/>
          <w:szCs w:val="24"/>
        </w:rPr>
        <w:t>,</w:t>
      </w:r>
      <w:r w:rsidR="00465EF4">
        <w:rPr>
          <w:bCs/>
          <w:sz w:val="24"/>
          <w:szCs w:val="24"/>
        </w:rPr>
        <w:t xml:space="preserve"> and the Secretariat would ensure</w:t>
      </w:r>
      <w:r w:rsidR="00507372">
        <w:rPr>
          <w:bCs/>
          <w:sz w:val="24"/>
          <w:szCs w:val="24"/>
        </w:rPr>
        <w:t xml:space="preserve"> that</w:t>
      </w:r>
      <w:r w:rsidR="00465EF4">
        <w:rPr>
          <w:bCs/>
          <w:sz w:val="24"/>
          <w:szCs w:val="24"/>
        </w:rPr>
        <w:t xml:space="preserve"> the corresponding recalculations were </w:t>
      </w:r>
      <w:r w:rsidR="003C2D99">
        <w:rPr>
          <w:bCs/>
          <w:sz w:val="24"/>
          <w:szCs w:val="24"/>
        </w:rPr>
        <w:t>made available</w:t>
      </w:r>
      <w:r w:rsidR="00465EF4">
        <w:rPr>
          <w:bCs/>
          <w:sz w:val="24"/>
          <w:szCs w:val="24"/>
        </w:rPr>
        <w:t>.</w:t>
      </w:r>
    </w:p>
    <w:p w14:paraId="359CEC73" w14:textId="6027DA02" w:rsidR="00DD712F" w:rsidRDefault="00DD712F" w:rsidP="00714211">
      <w:pPr>
        <w:jc w:val="both"/>
        <w:rPr>
          <w:bCs/>
          <w:sz w:val="24"/>
          <w:szCs w:val="24"/>
        </w:rPr>
      </w:pPr>
    </w:p>
    <w:p w14:paraId="73E35D95" w14:textId="7790B249" w:rsidR="00DD712F" w:rsidRDefault="00F673D1" w:rsidP="00714211">
      <w:pPr>
        <w:jc w:val="both"/>
        <w:rPr>
          <w:bCs/>
          <w:sz w:val="24"/>
          <w:szCs w:val="24"/>
        </w:rPr>
      </w:pPr>
      <w:r>
        <w:rPr>
          <w:bCs/>
          <w:sz w:val="24"/>
          <w:szCs w:val="24"/>
        </w:rPr>
        <w:t>8</w:t>
      </w:r>
      <w:r w:rsidR="00681A35">
        <w:rPr>
          <w:bCs/>
          <w:sz w:val="24"/>
          <w:szCs w:val="24"/>
        </w:rPr>
        <w:t xml:space="preserve">. </w:t>
      </w:r>
      <w:r w:rsidR="00465EF4" w:rsidRPr="00F673D1">
        <w:rPr>
          <w:b/>
          <w:sz w:val="24"/>
          <w:szCs w:val="24"/>
        </w:rPr>
        <w:t>Switzerland</w:t>
      </w:r>
      <w:r w:rsidR="00465EF4">
        <w:rPr>
          <w:bCs/>
          <w:sz w:val="24"/>
          <w:szCs w:val="24"/>
        </w:rPr>
        <w:t xml:space="preserve"> </w:t>
      </w:r>
      <w:r w:rsidR="009149B8">
        <w:rPr>
          <w:bCs/>
          <w:sz w:val="24"/>
          <w:szCs w:val="24"/>
        </w:rPr>
        <w:t>firmly believed that</w:t>
      </w:r>
      <w:r w:rsidR="00DD712F">
        <w:rPr>
          <w:bCs/>
          <w:sz w:val="24"/>
          <w:szCs w:val="24"/>
        </w:rPr>
        <w:t xml:space="preserve"> </w:t>
      </w:r>
      <w:r w:rsidR="009149B8">
        <w:rPr>
          <w:bCs/>
          <w:sz w:val="24"/>
          <w:szCs w:val="24"/>
        </w:rPr>
        <w:t xml:space="preserve">the </w:t>
      </w:r>
      <w:r w:rsidR="00DD712F">
        <w:rPr>
          <w:bCs/>
          <w:sz w:val="24"/>
          <w:szCs w:val="24"/>
        </w:rPr>
        <w:t>Sec</w:t>
      </w:r>
      <w:r w:rsidR="009149B8">
        <w:rPr>
          <w:bCs/>
          <w:sz w:val="24"/>
          <w:szCs w:val="24"/>
        </w:rPr>
        <w:t>retariat wa</w:t>
      </w:r>
      <w:r w:rsidR="00DD712F">
        <w:rPr>
          <w:bCs/>
          <w:sz w:val="24"/>
          <w:szCs w:val="24"/>
        </w:rPr>
        <w:t>s</w:t>
      </w:r>
      <w:r w:rsidR="009149B8">
        <w:rPr>
          <w:bCs/>
          <w:sz w:val="24"/>
          <w:szCs w:val="24"/>
        </w:rPr>
        <w:t xml:space="preserve"> currently</w:t>
      </w:r>
      <w:r w:rsidR="00DD712F">
        <w:rPr>
          <w:bCs/>
          <w:sz w:val="24"/>
          <w:szCs w:val="24"/>
        </w:rPr>
        <w:t xml:space="preserve"> understaffed </w:t>
      </w:r>
      <w:r w:rsidR="00507372">
        <w:rPr>
          <w:bCs/>
          <w:sz w:val="24"/>
          <w:szCs w:val="24"/>
        </w:rPr>
        <w:t>and would be able to support Scenario 4 but was also open to an alternative mix</w:t>
      </w:r>
      <w:r w:rsidR="00DD712F">
        <w:rPr>
          <w:bCs/>
          <w:sz w:val="24"/>
          <w:szCs w:val="24"/>
        </w:rPr>
        <w:t>.</w:t>
      </w:r>
      <w:r w:rsidR="00507372">
        <w:rPr>
          <w:bCs/>
          <w:sz w:val="24"/>
          <w:szCs w:val="24"/>
        </w:rPr>
        <w:t xml:space="preserve"> Switzerland’s priority was to avoid a situation where a significant amount of Secretariat time had to be devoted to securing resources for positions that were not yet fully funded.</w:t>
      </w:r>
    </w:p>
    <w:p w14:paraId="2DBDE9EB" w14:textId="69C3B1F0" w:rsidR="00DD712F" w:rsidRDefault="00DD712F" w:rsidP="00714211">
      <w:pPr>
        <w:jc w:val="both"/>
        <w:rPr>
          <w:bCs/>
          <w:sz w:val="24"/>
          <w:szCs w:val="24"/>
        </w:rPr>
      </w:pPr>
    </w:p>
    <w:p w14:paraId="138E3A2A" w14:textId="0044769E" w:rsidR="00DD712F" w:rsidRDefault="00F673D1" w:rsidP="00714211">
      <w:pPr>
        <w:jc w:val="both"/>
        <w:rPr>
          <w:bCs/>
          <w:sz w:val="24"/>
          <w:szCs w:val="24"/>
        </w:rPr>
      </w:pPr>
      <w:r>
        <w:rPr>
          <w:bCs/>
          <w:sz w:val="24"/>
          <w:szCs w:val="24"/>
        </w:rPr>
        <w:t>9</w:t>
      </w:r>
      <w:r w:rsidR="00681A35">
        <w:rPr>
          <w:bCs/>
          <w:sz w:val="24"/>
          <w:szCs w:val="24"/>
        </w:rPr>
        <w:t xml:space="preserve">. </w:t>
      </w:r>
      <w:r w:rsidR="00507372" w:rsidRPr="00F673D1">
        <w:rPr>
          <w:b/>
          <w:sz w:val="24"/>
          <w:szCs w:val="24"/>
        </w:rPr>
        <w:t>France</w:t>
      </w:r>
      <w:r w:rsidR="00507372">
        <w:rPr>
          <w:bCs/>
          <w:sz w:val="24"/>
          <w:szCs w:val="24"/>
        </w:rPr>
        <w:t xml:space="preserve"> requested additional information concerning the impact of </w:t>
      </w:r>
      <w:r w:rsidR="00DD712F">
        <w:rPr>
          <w:bCs/>
          <w:sz w:val="24"/>
          <w:szCs w:val="24"/>
        </w:rPr>
        <w:t>exc</w:t>
      </w:r>
      <w:r w:rsidR="00507372">
        <w:rPr>
          <w:bCs/>
          <w:sz w:val="24"/>
          <w:szCs w:val="24"/>
        </w:rPr>
        <w:t>h</w:t>
      </w:r>
      <w:r w:rsidR="00DD712F">
        <w:rPr>
          <w:bCs/>
          <w:sz w:val="24"/>
          <w:szCs w:val="24"/>
        </w:rPr>
        <w:t>a</w:t>
      </w:r>
      <w:r w:rsidR="00507372">
        <w:rPr>
          <w:bCs/>
          <w:sz w:val="24"/>
          <w:szCs w:val="24"/>
        </w:rPr>
        <w:t>n</w:t>
      </w:r>
      <w:r w:rsidR="00DD712F">
        <w:rPr>
          <w:bCs/>
          <w:sz w:val="24"/>
          <w:szCs w:val="24"/>
        </w:rPr>
        <w:t>ge rate</w:t>
      </w:r>
      <w:r w:rsidR="00507372">
        <w:rPr>
          <w:bCs/>
          <w:sz w:val="24"/>
          <w:szCs w:val="24"/>
        </w:rPr>
        <w:t xml:space="preserve"> fluctuations during the past four years, </w:t>
      </w:r>
      <w:proofErr w:type="gramStart"/>
      <w:r w:rsidR="00507372">
        <w:rPr>
          <w:bCs/>
          <w:sz w:val="24"/>
          <w:szCs w:val="24"/>
        </w:rPr>
        <w:t>and also</w:t>
      </w:r>
      <w:proofErr w:type="gramEnd"/>
      <w:r w:rsidR="00507372">
        <w:rPr>
          <w:bCs/>
          <w:sz w:val="24"/>
          <w:szCs w:val="24"/>
        </w:rPr>
        <w:t xml:space="preserve"> asked for clarificati</w:t>
      </w:r>
      <w:r w:rsidR="00AE5ACB">
        <w:rPr>
          <w:bCs/>
          <w:sz w:val="24"/>
          <w:szCs w:val="24"/>
        </w:rPr>
        <w:t xml:space="preserve">on regarding AEWA’s application of the UN scale of </w:t>
      </w:r>
      <w:r w:rsidR="003C2D99">
        <w:rPr>
          <w:bCs/>
          <w:sz w:val="24"/>
          <w:szCs w:val="24"/>
        </w:rPr>
        <w:t>assessment</w:t>
      </w:r>
      <w:r w:rsidR="00DD712F">
        <w:rPr>
          <w:bCs/>
          <w:sz w:val="24"/>
          <w:szCs w:val="24"/>
        </w:rPr>
        <w:t>.</w:t>
      </w:r>
      <w:r w:rsidR="00AE5ACB">
        <w:rPr>
          <w:bCs/>
          <w:sz w:val="24"/>
          <w:szCs w:val="24"/>
        </w:rPr>
        <w:t xml:space="preserve"> </w:t>
      </w:r>
      <w:r w:rsidR="00507372">
        <w:rPr>
          <w:bCs/>
          <w:sz w:val="24"/>
          <w:szCs w:val="24"/>
        </w:rPr>
        <w:t>A</w:t>
      </w:r>
      <w:r w:rsidR="00AE5ACB">
        <w:rPr>
          <w:bCs/>
          <w:sz w:val="24"/>
          <w:szCs w:val="24"/>
        </w:rPr>
        <w:t xml:space="preserve"> budgetary</w:t>
      </w:r>
      <w:r w:rsidR="00507372">
        <w:rPr>
          <w:bCs/>
          <w:sz w:val="24"/>
          <w:szCs w:val="24"/>
        </w:rPr>
        <w:t xml:space="preserve"> priority for France would be to secure funding for the full translation of </w:t>
      </w:r>
      <w:r w:rsidR="00AE5ACB">
        <w:rPr>
          <w:bCs/>
          <w:sz w:val="24"/>
          <w:szCs w:val="24"/>
        </w:rPr>
        <w:t xml:space="preserve">MOP </w:t>
      </w:r>
      <w:r w:rsidR="00507372">
        <w:rPr>
          <w:bCs/>
          <w:sz w:val="24"/>
          <w:szCs w:val="24"/>
        </w:rPr>
        <w:t>document</w:t>
      </w:r>
      <w:r w:rsidR="00AE5ACB">
        <w:rPr>
          <w:bCs/>
          <w:sz w:val="24"/>
          <w:szCs w:val="24"/>
        </w:rPr>
        <w:t>ation</w:t>
      </w:r>
      <w:r w:rsidR="00507372">
        <w:rPr>
          <w:bCs/>
          <w:sz w:val="24"/>
          <w:szCs w:val="24"/>
        </w:rPr>
        <w:t xml:space="preserve">, as foreseen </w:t>
      </w:r>
      <w:r w:rsidR="003C2D99">
        <w:rPr>
          <w:bCs/>
          <w:sz w:val="24"/>
          <w:szCs w:val="24"/>
        </w:rPr>
        <w:t>under</w:t>
      </w:r>
      <w:r w:rsidR="00507372">
        <w:rPr>
          <w:bCs/>
          <w:sz w:val="24"/>
          <w:szCs w:val="24"/>
        </w:rPr>
        <w:t xml:space="preserve"> the Rules of Procedure.</w:t>
      </w:r>
    </w:p>
    <w:p w14:paraId="76644486" w14:textId="4C990CBA" w:rsidR="00F41E1B" w:rsidRDefault="00F41E1B" w:rsidP="00714211">
      <w:pPr>
        <w:jc w:val="both"/>
        <w:rPr>
          <w:bCs/>
          <w:sz w:val="24"/>
          <w:szCs w:val="24"/>
        </w:rPr>
      </w:pPr>
    </w:p>
    <w:p w14:paraId="268A18DC" w14:textId="74FFB2B0" w:rsidR="00AE5ACB" w:rsidRDefault="00F673D1" w:rsidP="00714211">
      <w:pPr>
        <w:jc w:val="both"/>
        <w:rPr>
          <w:bCs/>
          <w:sz w:val="24"/>
          <w:szCs w:val="24"/>
        </w:rPr>
      </w:pPr>
      <w:r>
        <w:rPr>
          <w:bCs/>
          <w:sz w:val="24"/>
          <w:szCs w:val="24"/>
        </w:rPr>
        <w:t>10</w:t>
      </w:r>
      <w:r w:rsidR="00681A35">
        <w:rPr>
          <w:bCs/>
          <w:sz w:val="24"/>
          <w:szCs w:val="24"/>
        </w:rPr>
        <w:t xml:space="preserve">. </w:t>
      </w:r>
      <w:r w:rsidR="00AE5ACB">
        <w:rPr>
          <w:bCs/>
          <w:sz w:val="24"/>
          <w:szCs w:val="24"/>
        </w:rPr>
        <w:t xml:space="preserve">The </w:t>
      </w:r>
      <w:r w:rsidR="00AE5ACB" w:rsidRPr="00F673D1">
        <w:rPr>
          <w:b/>
          <w:sz w:val="24"/>
          <w:szCs w:val="24"/>
        </w:rPr>
        <w:t>Executive Secretary</w:t>
      </w:r>
      <w:r w:rsidR="00AE5ACB">
        <w:rPr>
          <w:bCs/>
          <w:sz w:val="24"/>
          <w:szCs w:val="24"/>
        </w:rPr>
        <w:t xml:space="preserve"> explained that the</w:t>
      </w:r>
      <w:r w:rsidR="00252828">
        <w:rPr>
          <w:bCs/>
          <w:sz w:val="24"/>
          <w:szCs w:val="24"/>
        </w:rPr>
        <w:t xml:space="preserve"> current</w:t>
      </w:r>
      <w:r w:rsidR="00AE5ACB">
        <w:rPr>
          <w:bCs/>
          <w:sz w:val="24"/>
          <w:szCs w:val="24"/>
        </w:rPr>
        <w:t xml:space="preserve"> UN scale of </w:t>
      </w:r>
      <w:r w:rsidR="003C2D99">
        <w:rPr>
          <w:bCs/>
          <w:sz w:val="24"/>
          <w:szCs w:val="24"/>
        </w:rPr>
        <w:t>assessment</w:t>
      </w:r>
      <w:r w:rsidR="00252828">
        <w:rPr>
          <w:bCs/>
          <w:sz w:val="24"/>
          <w:szCs w:val="24"/>
        </w:rPr>
        <w:t xml:space="preserve"> 2022-2024</w:t>
      </w:r>
      <w:r w:rsidR="00AE5ACB">
        <w:rPr>
          <w:bCs/>
          <w:sz w:val="24"/>
          <w:szCs w:val="24"/>
        </w:rPr>
        <w:t xml:space="preserve"> had been applied </w:t>
      </w:r>
      <w:r w:rsidR="00252828">
        <w:rPr>
          <w:bCs/>
          <w:sz w:val="24"/>
          <w:szCs w:val="24"/>
        </w:rPr>
        <w:t>using the criteria mentioned in the document</w:t>
      </w:r>
      <w:r w:rsidR="00AE5ACB">
        <w:rPr>
          <w:bCs/>
          <w:sz w:val="24"/>
          <w:szCs w:val="24"/>
        </w:rPr>
        <w:t xml:space="preserve">. </w:t>
      </w:r>
      <w:proofErr w:type="gramStart"/>
      <w:r w:rsidR="00AE5ACB">
        <w:rPr>
          <w:bCs/>
          <w:sz w:val="24"/>
          <w:szCs w:val="24"/>
        </w:rPr>
        <w:t>With regard to</w:t>
      </w:r>
      <w:proofErr w:type="gramEnd"/>
      <w:r w:rsidR="00AE5ACB">
        <w:rPr>
          <w:bCs/>
          <w:sz w:val="24"/>
          <w:szCs w:val="24"/>
        </w:rPr>
        <w:t xml:space="preserve"> document translation, he noted that it was</w:t>
      </w:r>
      <w:r w:rsidR="00681A35">
        <w:rPr>
          <w:bCs/>
          <w:sz w:val="24"/>
          <w:szCs w:val="24"/>
        </w:rPr>
        <w:t xml:space="preserve"> much</w:t>
      </w:r>
      <w:r w:rsidR="00AE5ACB">
        <w:rPr>
          <w:bCs/>
          <w:sz w:val="24"/>
          <w:szCs w:val="24"/>
        </w:rPr>
        <w:t xml:space="preserve"> easier to secure additional voluntary contributions for </w:t>
      </w:r>
      <w:r w:rsidR="00681A35">
        <w:rPr>
          <w:bCs/>
          <w:sz w:val="24"/>
          <w:szCs w:val="24"/>
        </w:rPr>
        <w:t>items such as</w:t>
      </w:r>
      <w:r w:rsidR="00AE5ACB">
        <w:rPr>
          <w:bCs/>
          <w:sz w:val="24"/>
          <w:szCs w:val="24"/>
        </w:rPr>
        <w:t xml:space="preserve"> translation</w:t>
      </w:r>
      <w:r w:rsidR="00681A35">
        <w:rPr>
          <w:bCs/>
          <w:sz w:val="24"/>
          <w:szCs w:val="24"/>
        </w:rPr>
        <w:t>, than for staff costs.</w:t>
      </w:r>
    </w:p>
    <w:p w14:paraId="7D274C8F" w14:textId="67B10667" w:rsidR="00FF5001" w:rsidRDefault="00FF5001" w:rsidP="00714211">
      <w:pPr>
        <w:jc w:val="both"/>
        <w:rPr>
          <w:bCs/>
          <w:sz w:val="24"/>
          <w:szCs w:val="24"/>
        </w:rPr>
      </w:pPr>
    </w:p>
    <w:p w14:paraId="0D4F9262" w14:textId="2A8E79BE" w:rsidR="00FF5001" w:rsidRDefault="00F673D1" w:rsidP="00714211">
      <w:pPr>
        <w:jc w:val="both"/>
        <w:rPr>
          <w:bCs/>
          <w:sz w:val="24"/>
          <w:szCs w:val="24"/>
        </w:rPr>
      </w:pPr>
      <w:r>
        <w:rPr>
          <w:bCs/>
          <w:sz w:val="24"/>
          <w:szCs w:val="24"/>
        </w:rPr>
        <w:t xml:space="preserve">11. </w:t>
      </w:r>
      <w:r w:rsidR="00FF5001" w:rsidRPr="00F673D1">
        <w:rPr>
          <w:b/>
          <w:sz w:val="24"/>
          <w:szCs w:val="24"/>
        </w:rPr>
        <w:t>Finland</w:t>
      </w:r>
      <w:r w:rsidR="00681A35">
        <w:rPr>
          <w:bCs/>
          <w:sz w:val="24"/>
          <w:szCs w:val="24"/>
        </w:rPr>
        <w:t xml:space="preserve"> expressed</w:t>
      </w:r>
      <w:r w:rsidR="00FF5001">
        <w:rPr>
          <w:bCs/>
          <w:sz w:val="24"/>
          <w:szCs w:val="24"/>
        </w:rPr>
        <w:t xml:space="preserve"> concer</w:t>
      </w:r>
      <w:r w:rsidR="00681A35">
        <w:rPr>
          <w:bCs/>
          <w:sz w:val="24"/>
          <w:szCs w:val="24"/>
        </w:rPr>
        <w:t>n</w:t>
      </w:r>
      <w:r w:rsidR="00FF5001">
        <w:rPr>
          <w:bCs/>
          <w:sz w:val="24"/>
          <w:szCs w:val="24"/>
        </w:rPr>
        <w:t xml:space="preserve"> about the cap</w:t>
      </w:r>
      <w:r w:rsidR="00681A35">
        <w:rPr>
          <w:bCs/>
          <w:sz w:val="24"/>
          <w:szCs w:val="24"/>
        </w:rPr>
        <w:t>a</w:t>
      </w:r>
      <w:r w:rsidR="00FF5001">
        <w:rPr>
          <w:bCs/>
          <w:sz w:val="24"/>
          <w:szCs w:val="24"/>
        </w:rPr>
        <w:t>city of the Sec</w:t>
      </w:r>
      <w:r w:rsidR="003C2D99">
        <w:rPr>
          <w:bCs/>
          <w:sz w:val="24"/>
          <w:szCs w:val="24"/>
        </w:rPr>
        <w:t>r</w:t>
      </w:r>
      <w:r w:rsidR="00681A35">
        <w:rPr>
          <w:bCs/>
          <w:sz w:val="24"/>
          <w:szCs w:val="24"/>
        </w:rPr>
        <w:t>etariat and stated that its</w:t>
      </w:r>
      <w:r w:rsidR="00FF5001">
        <w:rPr>
          <w:bCs/>
          <w:sz w:val="24"/>
          <w:szCs w:val="24"/>
        </w:rPr>
        <w:t xml:space="preserve"> </w:t>
      </w:r>
      <w:r w:rsidR="00681A35">
        <w:rPr>
          <w:bCs/>
          <w:sz w:val="24"/>
          <w:szCs w:val="24"/>
        </w:rPr>
        <w:t>top</w:t>
      </w:r>
      <w:r w:rsidR="00FF5001">
        <w:rPr>
          <w:bCs/>
          <w:sz w:val="24"/>
          <w:szCs w:val="24"/>
        </w:rPr>
        <w:t xml:space="preserve"> priority </w:t>
      </w:r>
      <w:r w:rsidR="00681A35">
        <w:rPr>
          <w:bCs/>
          <w:sz w:val="24"/>
          <w:szCs w:val="24"/>
        </w:rPr>
        <w:t>was</w:t>
      </w:r>
      <w:r w:rsidR="00FF5001">
        <w:rPr>
          <w:bCs/>
          <w:sz w:val="24"/>
          <w:szCs w:val="24"/>
        </w:rPr>
        <w:t xml:space="preserve"> to </w:t>
      </w:r>
      <w:r w:rsidR="00681A35">
        <w:rPr>
          <w:bCs/>
          <w:sz w:val="24"/>
          <w:szCs w:val="24"/>
        </w:rPr>
        <w:t>secure an</w:t>
      </w:r>
      <w:r w:rsidR="00FF5001">
        <w:rPr>
          <w:bCs/>
          <w:sz w:val="24"/>
          <w:szCs w:val="24"/>
        </w:rPr>
        <w:t xml:space="preserve"> improvement</w:t>
      </w:r>
      <w:r w:rsidR="00681A35">
        <w:rPr>
          <w:bCs/>
          <w:sz w:val="24"/>
          <w:szCs w:val="24"/>
        </w:rPr>
        <w:t xml:space="preserve"> </w:t>
      </w:r>
      <w:r w:rsidR="00A55AA0">
        <w:rPr>
          <w:bCs/>
          <w:sz w:val="24"/>
          <w:szCs w:val="24"/>
        </w:rPr>
        <w:t>in</w:t>
      </w:r>
      <w:r w:rsidR="00FF5001">
        <w:rPr>
          <w:bCs/>
          <w:sz w:val="24"/>
          <w:szCs w:val="24"/>
        </w:rPr>
        <w:t xml:space="preserve"> that situation. </w:t>
      </w:r>
      <w:r w:rsidR="00681A35">
        <w:rPr>
          <w:bCs/>
          <w:sz w:val="24"/>
          <w:szCs w:val="24"/>
        </w:rPr>
        <w:t xml:space="preserve">Finland could support an overall increase </w:t>
      </w:r>
      <w:r w:rsidR="00FF5001">
        <w:rPr>
          <w:bCs/>
          <w:sz w:val="24"/>
          <w:szCs w:val="24"/>
        </w:rPr>
        <w:t xml:space="preserve">to </w:t>
      </w:r>
      <w:r w:rsidR="00681A35">
        <w:rPr>
          <w:bCs/>
          <w:sz w:val="24"/>
          <w:szCs w:val="24"/>
        </w:rPr>
        <w:t xml:space="preserve">a </w:t>
      </w:r>
      <w:r w:rsidR="00FF5001">
        <w:rPr>
          <w:bCs/>
          <w:sz w:val="24"/>
          <w:szCs w:val="24"/>
        </w:rPr>
        <w:t xml:space="preserve">level around </w:t>
      </w:r>
      <w:r w:rsidR="00681A35">
        <w:rPr>
          <w:bCs/>
          <w:sz w:val="24"/>
          <w:szCs w:val="24"/>
        </w:rPr>
        <w:t>S</w:t>
      </w:r>
      <w:r w:rsidR="00FF5001">
        <w:rPr>
          <w:bCs/>
          <w:sz w:val="24"/>
          <w:szCs w:val="24"/>
        </w:rPr>
        <w:t xml:space="preserve">cenario 3, but not with </w:t>
      </w:r>
      <w:r w:rsidR="00681A35">
        <w:rPr>
          <w:bCs/>
          <w:sz w:val="24"/>
          <w:szCs w:val="24"/>
        </w:rPr>
        <w:t>the</w:t>
      </w:r>
      <w:r w:rsidR="00FF5001">
        <w:rPr>
          <w:bCs/>
          <w:sz w:val="24"/>
          <w:szCs w:val="24"/>
        </w:rPr>
        <w:t xml:space="preserve"> exact items</w:t>
      </w:r>
      <w:r w:rsidR="00681A35">
        <w:rPr>
          <w:bCs/>
          <w:sz w:val="24"/>
          <w:szCs w:val="24"/>
        </w:rPr>
        <w:t xml:space="preserve"> currently included in that </w:t>
      </w:r>
      <w:r w:rsidR="00A55AA0">
        <w:rPr>
          <w:bCs/>
          <w:sz w:val="24"/>
          <w:szCs w:val="24"/>
        </w:rPr>
        <w:t>s</w:t>
      </w:r>
      <w:r w:rsidR="00681A35">
        <w:rPr>
          <w:bCs/>
          <w:sz w:val="24"/>
          <w:szCs w:val="24"/>
        </w:rPr>
        <w:t>cenario</w:t>
      </w:r>
      <w:r w:rsidR="00FF5001">
        <w:rPr>
          <w:bCs/>
          <w:sz w:val="24"/>
          <w:szCs w:val="24"/>
        </w:rPr>
        <w:t xml:space="preserve">. </w:t>
      </w:r>
      <w:r w:rsidR="00A55AA0">
        <w:rPr>
          <w:bCs/>
          <w:sz w:val="24"/>
          <w:szCs w:val="24"/>
        </w:rPr>
        <w:t>As for Germany, f</w:t>
      </w:r>
      <w:r w:rsidR="00681A35">
        <w:rPr>
          <w:bCs/>
          <w:sz w:val="24"/>
          <w:szCs w:val="24"/>
        </w:rPr>
        <w:t xml:space="preserve">unding the position of </w:t>
      </w:r>
      <w:r w:rsidR="00FF5001">
        <w:rPr>
          <w:bCs/>
          <w:sz w:val="24"/>
          <w:szCs w:val="24"/>
        </w:rPr>
        <w:t xml:space="preserve">Species Officer </w:t>
      </w:r>
      <w:r w:rsidR="00681A35">
        <w:rPr>
          <w:bCs/>
          <w:sz w:val="24"/>
          <w:szCs w:val="24"/>
        </w:rPr>
        <w:t>was</w:t>
      </w:r>
      <w:r w:rsidR="00FF5001">
        <w:rPr>
          <w:bCs/>
          <w:sz w:val="24"/>
          <w:szCs w:val="24"/>
        </w:rPr>
        <w:t xml:space="preserve"> </w:t>
      </w:r>
      <w:r w:rsidR="00A55AA0">
        <w:rPr>
          <w:bCs/>
          <w:sz w:val="24"/>
          <w:szCs w:val="24"/>
        </w:rPr>
        <w:t xml:space="preserve">a </w:t>
      </w:r>
      <w:r w:rsidR="00FF5001">
        <w:rPr>
          <w:bCs/>
          <w:sz w:val="24"/>
          <w:szCs w:val="24"/>
        </w:rPr>
        <w:t xml:space="preserve">clear priority for </w:t>
      </w:r>
      <w:r w:rsidR="00681A35">
        <w:rPr>
          <w:bCs/>
          <w:sz w:val="24"/>
          <w:szCs w:val="24"/>
        </w:rPr>
        <w:t>Finland</w:t>
      </w:r>
      <w:r w:rsidR="00FF5001">
        <w:rPr>
          <w:bCs/>
          <w:sz w:val="24"/>
          <w:szCs w:val="24"/>
        </w:rPr>
        <w:t>.</w:t>
      </w:r>
    </w:p>
    <w:p w14:paraId="084DB687" w14:textId="28600999" w:rsidR="00FF5001" w:rsidRDefault="00FF5001" w:rsidP="00714211">
      <w:pPr>
        <w:jc w:val="both"/>
        <w:rPr>
          <w:bCs/>
          <w:sz w:val="24"/>
          <w:szCs w:val="24"/>
        </w:rPr>
      </w:pPr>
    </w:p>
    <w:p w14:paraId="075D0109" w14:textId="34FB1CAE" w:rsidR="00FF5001" w:rsidRDefault="00F673D1" w:rsidP="00714211">
      <w:pPr>
        <w:jc w:val="both"/>
        <w:rPr>
          <w:bCs/>
          <w:sz w:val="24"/>
          <w:szCs w:val="24"/>
        </w:rPr>
      </w:pPr>
      <w:r>
        <w:rPr>
          <w:bCs/>
          <w:sz w:val="24"/>
          <w:szCs w:val="24"/>
        </w:rPr>
        <w:t xml:space="preserve">12. </w:t>
      </w:r>
      <w:r w:rsidR="00FF5001" w:rsidRPr="00F673D1">
        <w:rPr>
          <w:b/>
          <w:sz w:val="24"/>
          <w:szCs w:val="24"/>
        </w:rPr>
        <w:t>Uganda</w:t>
      </w:r>
      <w:r w:rsidR="00A55AA0">
        <w:rPr>
          <w:bCs/>
          <w:sz w:val="24"/>
          <w:szCs w:val="24"/>
        </w:rPr>
        <w:t xml:space="preserve"> </w:t>
      </w:r>
      <w:r w:rsidR="00FF5001">
        <w:rPr>
          <w:bCs/>
          <w:sz w:val="24"/>
          <w:szCs w:val="24"/>
        </w:rPr>
        <w:t>(Vice</w:t>
      </w:r>
      <w:r w:rsidR="001D395C">
        <w:rPr>
          <w:bCs/>
          <w:sz w:val="24"/>
          <w:szCs w:val="24"/>
        </w:rPr>
        <w:t>-</w:t>
      </w:r>
      <w:r w:rsidR="00FF5001">
        <w:rPr>
          <w:bCs/>
          <w:sz w:val="24"/>
          <w:szCs w:val="24"/>
        </w:rPr>
        <w:t xml:space="preserve">Chair) </w:t>
      </w:r>
      <w:r w:rsidR="00681A35">
        <w:rPr>
          <w:bCs/>
          <w:sz w:val="24"/>
          <w:szCs w:val="24"/>
        </w:rPr>
        <w:t>t</w:t>
      </w:r>
      <w:r w:rsidR="00FF5001">
        <w:rPr>
          <w:bCs/>
          <w:sz w:val="24"/>
          <w:szCs w:val="24"/>
        </w:rPr>
        <w:t>hank</w:t>
      </w:r>
      <w:r w:rsidR="00681A35">
        <w:rPr>
          <w:bCs/>
          <w:sz w:val="24"/>
          <w:szCs w:val="24"/>
        </w:rPr>
        <w:t>ed</w:t>
      </w:r>
      <w:r w:rsidR="001D395C">
        <w:rPr>
          <w:bCs/>
          <w:sz w:val="24"/>
          <w:szCs w:val="24"/>
        </w:rPr>
        <w:t xml:space="preserve"> </w:t>
      </w:r>
      <w:r w:rsidR="00FF5001">
        <w:rPr>
          <w:bCs/>
          <w:sz w:val="24"/>
          <w:szCs w:val="24"/>
        </w:rPr>
        <w:t>P</w:t>
      </w:r>
      <w:r w:rsidR="00681A35">
        <w:rPr>
          <w:bCs/>
          <w:sz w:val="24"/>
          <w:szCs w:val="24"/>
        </w:rPr>
        <w:t>artie</w:t>
      </w:r>
      <w:r w:rsidR="00FF5001">
        <w:rPr>
          <w:bCs/>
          <w:sz w:val="24"/>
          <w:szCs w:val="24"/>
        </w:rPr>
        <w:t>s that ha</w:t>
      </w:r>
      <w:r w:rsidR="00681A35">
        <w:rPr>
          <w:bCs/>
          <w:sz w:val="24"/>
          <w:szCs w:val="24"/>
        </w:rPr>
        <w:t>d already contributed gen</w:t>
      </w:r>
      <w:r w:rsidR="00A55AA0">
        <w:rPr>
          <w:bCs/>
          <w:sz w:val="24"/>
          <w:szCs w:val="24"/>
        </w:rPr>
        <w:t>er</w:t>
      </w:r>
      <w:r w:rsidR="00681A35">
        <w:rPr>
          <w:bCs/>
          <w:sz w:val="24"/>
          <w:szCs w:val="24"/>
        </w:rPr>
        <w:t>ously</w:t>
      </w:r>
      <w:r w:rsidR="00FF5001">
        <w:rPr>
          <w:bCs/>
          <w:sz w:val="24"/>
          <w:szCs w:val="24"/>
        </w:rPr>
        <w:t xml:space="preserve"> </w:t>
      </w:r>
      <w:r w:rsidR="00681A35">
        <w:rPr>
          <w:bCs/>
          <w:sz w:val="24"/>
          <w:szCs w:val="24"/>
        </w:rPr>
        <w:t>to efforts for the conservation of migratory waterbirds.</w:t>
      </w:r>
      <w:r w:rsidR="00FF5001">
        <w:rPr>
          <w:bCs/>
          <w:sz w:val="24"/>
          <w:szCs w:val="24"/>
        </w:rPr>
        <w:t xml:space="preserve"> </w:t>
      </w:r>
      <w:r w:rsidR="004720DA">
        <w:rPr>
          <w:bCs/>
          <w:sz w:val="24"/>
          <w:szCs w:val="24"/>
        </w:rPr>
        <w:t>T</w:t>
      </w:r>
      <w:r w:rsidR="001D395C">
        <w:rPr>
          <w:bCs/>
          <w:sz w:val="24"/>
          <w:szCs w:val="24"/>
        </w:rPr>
        <w:t xml:space="preserve">he statements </w:t>
      </w:r>
      <w:r w:rsidR="00681A35">
        <w:rPr>
          <w:bCs/>
          <w:sz w:val="24"/>
          <w:szCs w:val="24"/>
        </w:rPr>
        <w:t>m</w:t>
      </w:r>
      <w:r w:rsidR="004720DA">
        <w:rPr>
          <w:bCs/>
          <w:sz w:val="24"/>
          <w:szCs w:val="24"/>
        </w:rPr>
        <w:t>a</w:t>
      </w:r>
      <w:r w:rsidR="00681A35">
        <w:rPr>
          <w:bCs/>
          <w:sz w:val="24"/>
          <w:szCs w:val="24"/>
        </w:rPr>
        <w:t>de so far</w:t>
      </w:r>
      <w:r w:rsidR="001D395C">
        <w:rPr>
          <w:bCs/>
          <w:sz w:val="24"/>
          <w:szCs w:val="24"/>
        </w:rPr>
        <w:t xml:space="preserve"> </w:t>
      </w:r>
      <w:r w:rsidR="004720DA">
        <w:rPr>
          <w:bCs/>
          <w:sz w:val="24"/>
          <w:szCs w:val="24"/>
        </w:rPr>
        <w:t xml:space="preserve">showed </w:t>
      </w:r>
      <w:r w:rsidR="001D395C">
        <w:rPr>
          <w:bCs/>
          <w:sz w:val="24"/>
          <w:szCs w:val="24"/>
        </w:rPr>
        <w:t xml:space="preserve">clearly </w:t>
      </w:r>
      <w:r w:rsidR="004720DA">
        <w:rPr>
          <w:bCs/>
          <w:sz w:val="24"/>
          <w:szCs w:val="24"/>
        </w:rPr>
        <w:t>that there was</w:t>
      </w:r>
      <w:r w:rsidR="001D395C">
        <w:rPr>
          <w:bCs/>
          <w:sz w:val="24"/>
          <w:szCs w:val="24"/>
        </w:rPr>
        <w:t xml:space="preserve"> still good will </w:t>
      </w:r>
      <w:r w:rsidR="004720DA">
        <w:rPr>
          <w:bCs/>
          <w:sz w:val="24"/>
          <w:szCs w:val="24"/>
        </w:rPr>
        <w:t>among</w:t>
      </w:r>
      <w:r w:rsidR="001D395C">
        <w:rPr>
          <w:bCs/>
          <w:sz w:val="24"/>
          <w:szCs w:val="24"/>
        </w:rPr>
        <w:t xml:space="preserve"> Parties to continue supporting the cause </w:t>
      </w:r>
      <w:proofErr w:type="gramStart"/>
      <w:r w:rsidR="001D395C">
        <w:rPr>
          <w:bCs/>
          <w:sz w:val="24"/>
          <w:szCs w:val="24"/>
        </w:rPr>
        <w:t xml:space="preserve">in spite </w:t>
      </w:r>
      <w:r w:rsidR="004720DA">
        <w:rPr>
          <w:bCs/>
          <w:sz w:val="24"/>
          <w:szCs w:val="24"/>
        </w:rPr>
        <w:t>of</w:t>
      </w:r>
      <w:proofErr w:type="gramEnd"/>
      <w:r w:rsidR="001D395C">
        <w:rPr>
          <w:bCs/>
          <w:sz w:val="24"/>
          <w:szCs w:val="24"/>
        </w:rPr>
        <w:t xml:space="preserve"> di</w:t>
      </w:r>
      <w:r w:rsidR="004720DA">
        <w:rPr>
          <w:bCs/>
          <w:sz w:val="24"/>
          <w:szCs w:val="24"/>
        </w:rPr>
        <w:t>fficult</w:t>
      </w:r>
      <w:r w:rsidR="001D395C">
        <w:rPr>
          <w:bCs/>
          <w:sz w:val="24"/>
          <w:szCs w:val="24"/>
        </w:rPr>
        <w:t xml:space="preserve"> ec</w:t>
      </w:r>
      <w:r w:rsidR="004720DA">
        <w:rPr>
          <w:bCs/>
          <w:sz w:val="24"/>
          <w:szCs w:val="24"/>
        </w:rPr>
        <w:t>onomic</w:t>
      </w:r>
      <w:r w:rsidR="001D395C">
        <w:rPr>
          <w:bCs/>
          <w:sz w:val="24"/>
          <w:szCs w:val="24"/>
        </w:rPr>
        <w:t xml:space="preserve"> times.</w:t>
      </w:r>
      <w:r w:rsidR="004720DA">
        <w:rPr>
          <w:bCs/>
          <w:sz w:val="24"/>
          <w:szCs w:val="24"/>
        </w:rPr>
        <w:t xml:space="preserve"> The c</w:t>
      </w:r>
      <w:r w:rsidR="001D395C">
        <w:rPr>
          <w:bCs/>
          <w:sz w:val="24"/>
          <w:szCs w:val="24"/>
        </w:rPr>
        <w:t>ap</w:t>
      </w:r>
      <w:r w:rsidR="004720DA">
        <w:rPr>
          <w:bCs/>
          <w:sz w:val="24"/>
          <w:szCs w:val="24"/>
        </w:rPr>
        <w:t>acity</w:t>
      </w:r>
      <w:r w:rsidR="001D395C">
        <w:rPr>
          <w:bCs/>
          <w:sz w:val="24"/>
          <w:szCs w:val="24"/>
        </w:rPr>
        <w:t xml:space="preserve"> of P</w:t>
      </w:r>
      <w:r w:rsidR="004720DA">
        <w:rPr>
          <w:bCs/>
          <w:sz w:val="24"/>
          <w:szCs w:val="24"/>
        </w:rPr>
        <w:t>artie</w:t>
      </w:r>
      <w:r w:rsidR="001D395C">
        <w:rPr>
          <w:bCs/>
          <w:sz w:val="24"/>
          <w:szCs w:val="24"/>
        </w:rPr>
        <w:t>s in Africa to contri</w:t>
      </w:r>
      <w:r w:rsidR="004720DA">
        <w:rPr>
          <w:bCs/>
          <w:sz w:val="24"/>
          <w:szCs w:val="24"/>
        </w:rPr>
        <w:t>b</w:t>
      </w:r>
      <w:r w:rsidR="001D395C">
        <w:rPr>
          <w:bCs/>
          <w:sz w:val="24"/>
          <w:szCs w:val="24"/>
        </w:rPr>
        <w:t xml:space="preserve">ute financially </w:t>
      </w:r>
      <w:r w:rsidR="004720DA">
        <w:rPr>
          <w:bCs/>
          <w:sz w:val="24"/>
          <w:szCs w:val="24"/>
        </w:rPr>
        <w:t>was</w:t>
      </w:r>
      <w:r w:rsidR="001D395C">
        <w:rPr>
          <w:bCs/>
          <w:sz w:val="24"/>
          <w:szCs w:val="24"/>
        </w:rPr>
        <w:t xml:space="preserve"> quite limited, yet their </w:t>
      </w:r>
      <w:r w:rsidR="00A55AA0">
        <w:rPr>
          <w:bCs/>
          <w:sz w:val="24"/>
          <w:szCs w:val="24"/>
        </w:rPr>
        <w:t xml:space="preserve">active </w:t>
      </w:r>
      <w:r w:rsidR="001D395C">
        <w:rPr>
          <w:bCs/>
          <w:sz w:val="24"/>
          <w:szCs w:val="24"/>
        </w:rPr>
        <w:t>participation</w:t>
      </w:r>
      <w:r w:rsidR="004720DA">
        <w:rPr>
          <w:bCs/>
          <w:sz w:val="24"/>
          <w:szCs w:val="24"/>
        </w:rPr>
        <w:t xml:space="preserve"> in implementing the Agreement</w:t>
      </w:r>
      <w:r w:rsidR="001D395C">
        <w:rPr>
          <w:bCs/>
          <w:sz w:val="24"/>
          <w:szCs w:val="24"/>
        </w:rPr>
        <w:t xml:space="preserve"> </w:t>
      </w:r>
      <w:r w:rsidR="004720DA">
        <w:rPr>
          <w:bCs/>
          <w:sz w:val="24"/>
          <w:szCs w:val="24"/>
        </w:rPr>
        <w:t>was</w:t>
      </w:r>
      <w:r w:rsidR="001D395C">
        <w:rPr>
          <w:bCs/>
          <w:sz w:val="24"/>
          <w:szCs w:val="24"/>
        </w:rPr>
        <w:t xml:space="preserve"> critical. </w:t>
      </w:r>
      <w:r w:rsidR="004720DA">
        <w:rPr>
          <w:bCs/>
          <w:sz w:val="24"/>
          <w:szCs w:val="24"/>
        </w:rPr>
        <w:t>There seemed to be</w:t>
      </w:r>
      <w:r w:rsidR="001D395C">
        <w:rPr>
          <w:bCs/>
          <w:sz w:val="24"/>
          <w:szCs w:val="24"/>
        </w:rPr>
        <w:t xml:space="preserve"> a pointer roughly towards</w:t>
      </w:r>
      <w:r w:rsidR="004720DA">
        <w:rPr>
          <w:bCs/>
          <w:sz w:val="24"/>
          <w:szCs w:val="24"/>
        </w:rPr>
        <w:t xml:space="preserve"> the level of</w:t>
      </w:r>
      <w:r w:rsidR="001D395C">
        <w:rPr>
          <w:bCs/>
          <w:sz w:val="24"/>
          <w:szCs w:val="24"/>
        </w:rPr>
        <w:t xml:space="preserve"> Scenario 3, which </w:t>
      </w:r>
      <w:r w:rsidR="004720DA">
        <w:rPr>
          <w:bCs/>
          <w:sz w:val="24"/>
          <w:szCs w:val="24"/>
        </w:rPr>
        <w:t>the African region deeply</w:t>
      </w:r>
      <w:r w:rsidR="001D395C">
        <w:rPr>
          <w:bCs/>
          <w:sz w:val="24"/>
          <w:szCs w:val="24"/>
        </w:rPr>
        <w:t xml:space="preserve"> appreciate</w:t>
      </w:r>
      <w:r w:rsidR="004720DA">
        <w:rPr>
          <w:bCs/>
          <w:sz w:val="24"/>
          <w:szCs w:val="24"/>
        </w:rPr>
        <w:t xml:space="preserve">d, but there were also indications that the specifics </w:t>
      </w:r>
      <w:r w:rsidR="00A55AA0">
        <w:rPr>
          <w:bCs/>
          <w:sz w:val="24"/>
          <w:szCs w:val="24"/>
        </w:rPr>
        <w:t xml:space="preserve">contained in that scenario </w:t>
      </w:r>
      <w:r w:rsidR="004720DA">
        <w:rPr>
          <w:bCs/>
          <w:sz w:val="24"/>
          <w:szCs w:val="24"/>
        </w:rPr>
        <w:t>should</w:t>
      </w:r>
      <w:r w:rsidR="001D395C">
        <w:rPr>
          <w:bCs/>
          <w:sz w:val="24"/>
          <w:szCs w:val="24"/>
        </w:rPr>
        <w:t xml:space="preserve"> be adapted. </w:t>
      </w:r>
      <w:r w:rsidR="004720DA">
        <w:rPr>
          <w:bCs/>
          <w:sz w:val="24"/>
          <w:szCs w:val="24"/>
        </w:rPr>
        <w:t>There was a</w:t>
      </w:r>
      <w:r w:rsidR="001D395C">
        <w:rPr>
          <w:bCs/>
          <w:sz w:val="24"/>
          <w:szCs w:val="24"/>
        </w:rPr>
        <w:t xml:space="preserve"> need to discuss and find a workable position. </w:t>
      </w:r>
      <w:r w:rsidR="004720DA">
        <w:rPr>
          <w:bCs/>
          <w:sz w:val="24"/>
          <w:szCs w:val="24"/>
        </w:rPr>
        <w:t xml:space="preserve">It seemed that </w:t>
      </w:r>
      <w:r w:rsidR="001D395C">
        <w:rPr>
          <w:bCs/>
          <w:sz w:val="24"/>
          <w:szCs w:val="24"/>
        </w:rPr>
        <w:t xml:space="preserve">Scenario </w:t>
      </w:r>
      <w:r w:rsidR="004720DA">
        <w:rPr>
          <w:bCs/>
          <w:sz w:val="24"/>
          <w:szCs w:val="24"/>
        </w:rPr>
        <w:t>1 could not deliver</w:t>
      </w:r>
      <w:r w:rsidR="001D395C">
        <w:rPr>
          <w:bCs/>
          <w:sz w:val="24"/>
          <w:szCs w:val="24"/>
        </w:rPr>
        <w:t xml:space="preserve"> the change that</w:t>
      </w:r>
      <w:r w:rsidR="004720DA">
        <w:rPr>
          <w:bCs/>
          <w:sz w:val="24"/>
          <w:szCs w:val="24"/>
        </w:rPr>
        <w:t xml:space="preserve"> the Agreement deserved</w:t>
      </w:r>
      <w:r w:rsidR="001D395C">
        <w:rPr>
          <w:bCs/>
          <w:sz w:val="24"/>
          <w:szCs w:val="24"/>
        </w:rPr>
        <w:t xml:space="preserve"> </w:t>
      </w:r>
      <w:r w:rsidR="004720DA">
        <w:rPr>
          <w:bCs/>
          <w:sz w:val="24"/>
          <w:szCs w:val="24"/>
        </w:rPr>
        <w:t>and so might be considered for withdrawal.</w:t>
      </w:r>
      <w:r w:rsidR="001D395C">
        <w:rPr>
          <w:bCs/>
          <w:sz w:val="24"/>
          <w:szCs w:val="24"/>
        </w:rPr>
        <w:t xml:space="preserve"> </w:t>
      </w:r>
      <w:r w:rsidR="004720DA">
        <w:rPr>
          <w:bCs/>
          <w:sz w:val="24"/>
          <w:szCs w:val="24"/>
        </w:rPr>
        <w:t>The emphasis should be on a forward-looking proposition</w:t>
      </w:r>
      <w:r w:rsidR="001D395C">
        <w:rPr>
          <w:bCs/>
          <w:sz w:val="24"/>
          <w:szCs w:val="24"/>
        </w:rPr>
        <w:t>.</w:t>
      </w:r>
    </w:p>
    <w:p w14:paraId="3042CCB4" w14:textId="0DB3E87D" w:rsidR="001D395C" w:rsidRDefault="001D395C" w:rsidP="00714211">
      <w:pPr>
        <w:jc w:val="both"/>
        <w:rPr>
          <w:bCs/>
          <w:sz w:val="24"/>
          <w:szCs w:val="24"/>
        </w:rPr>
      </w:pPr>
    </w:p>
    <w:p w14:paraId="49EAC7BF" w14:textId="208801AD" w:rsidR="001D395C" w:rsidRDefault="00F673D1" w:rsidP="00714211">
      <w:pPr>
        <w:jc w:val="both"/>
        <w:rPr>
          <w:bCs/>
          <w:sz w:val="24"/>
          <w:szCs w:val="24"/>
        </w:rPr>
      </w:pPr>
      <w:r>
        <w:rPr>
          <w:bCs/>
          <w:sz w:val="24"/>
          <w:szCs w:val="24"/>
        </w:rPr>
        <w:t xml:space="preserve">13. </w:t>
      </w:r>
      <w:r w:rsidR="001D395C" w:rsidRPr="00F673D1">
        <w:rPr>
          <w:b/>
          <w:sz w:val="24"/>
          <w:szCs w:val="24"/>
        </w:rPr>
        <w:t>Norway</w:t>
      </w:r>
      <w:r w:rsidR="004720DA">
        <w:rPr>
          <w:bCs/>
          <w:sz w:val="24"/>
          <w:szCs w:val="24"/>
        </w:rPr>
        <w:t xml:space="preserve"> thank</w:t>
      </w:r>
      <w:r w:rsidR="00A55AA0">
        <w:rPr>
          <w:bCs/>
          <w:sz w:val="24"/>
          <w:szCs w:val="24"/>
        </w:rPr>
        <w:t>ed</w:t>
      </w:r>
      <w:r w:rsidR="004720DA">
        <w:rPr>
          <w:bCs/>
          <w:sz w:val="24"/>
          <w:szCs w:val="24"/>
        </w:rPr>
        <w:t xml:space="preserve"> the</w:t>
      </w:r>
      <w:r w:rsidR="00461A1C">
        <w:rPr>
          <w:bCs/>
          <w:sz w:val="24"/>
          <w:szCs w:val="24"/>
        </w:rPr>
        <w:t xml:space="preserve"> Sec</w:t>
      </w:r>
      <w:r w:rsidR="00D72A42">
        <w:rPr>
          <w:bCs/>
          <w:sz w:val="24"/>
          <w:szCs w:val="24"/>
        </w:rPr>
        <w:t>retaria</w:t>
      </w:r>
      <w:r w:rsidR="00461A1C">
        <w:rPr>
          <w:bCs/>
          <w:sz w:val="24"/>
          <w:szCs w:val="24"/>
        </w:rPr>
        <w:t xml:space="preserve">t for its hard work and </w:t>
      </w:r>
      <w:r w:rsidR="00D72A42">
        <w:rPr>
          <w:bCs/>
          <w:sz w:val="24"/>
          <w:szCs w:val="24"/>
        </w:rPr>
        <w:t>efforts</w:t>
      </w:r>
      <w:r w:rsidR="00461A1C">
        <w:rPr>
          <w:bCs/>
          <w:sz w:val="24"/>
          <w:szCs w:val="24"/>
        </w:rPr>
        <w:t xml:space="preserve"> in impl</w:t>
      </w:r>
      <w:r w:rsidR="00D72A42">
        <w:rPr>
          <w:bCs/>
          <w:sz w:val="24"/>
          <w:szCs w:val="24"/>
        </w:rPr>
        <w:t>ementing</w:t>
      </w:r>
      <w:r w:rsidR="00461A1C">
        <w:rPr>
          <w:bCs/>
          <w:sz w:val="24"/>
          <w:szCs w:val="24"/>
        </w:rPr>
        <w:t xml:space="preserve"> the Agreement</w:t>
      </w:r>
      <w:r w:rsidR="00783776">
        <w:rPr>
          <w:bCs/>
          <w:sz w:val="24"/>
          <w:szCs w:val="24"/>
        </w:rPr>
        <w:t xml:space="preserve">. </w:t>
      </w:r>
      <w:r w:rsidR="00461A1C">
        <w:rPr>
          <w:bCs/>
          <w:sz w:val="24"/>
          <w:szCs w:val="24"/>
        </w:rPr>
        <w:t xml:space="preserve">Scenario 1 </w:t>
      </w:r>
      <w:r w:rsidR="004720DA">
        <w:rPr>
          <w:bCs/>
          <w:sz w:val="24"/>
          <w:szCs w:val="24"/>
        </w:rPr>
        <w:t>was</w:t>
      </w:r>
      <w:r w:rsidR="00461A1C">
        <w:rPr>
          <w:bCs/>
          <w:sz w:val="24"/>
          <w:szCs w:val="24"/>
        </w:rPr>
        <w:t xml:space="preserve"> </w:t>
      </w:r>
      <w:proofErr w:type="gramStart"/>
      <w:r w:rsidR="00461A1C">
        <w:rPr>
          <w:bCs/>
          <w:sz w:val="24"/>
          <w:szCs w:val="24"/>
        </w:rPr>
        <w:t>untenable</w:t>
      </w:r>
      <w:proofErr w:type="gramEnd"/>
      <w:r w:rsidR="00783776">
        <w:rPr>
          <w:bCs/>
          <w:sz w:val="24"/>
          <w:szCs w:val="24"/>
        </w:rPr>
        <w:t xml:space="preserve"> and </w:t>
      </w:r>
      <w:r w:rsidR="00461A1C">
        <w:rPr>
          <w:bCs/>
          <w:sz w:val="24"/>
          <w:szCs w:val="24"/>
        </w:rPr>
        <w:t xml:space="preserve">Scenario 2 </w:t>
      </w:r>
      <w:r w:rsidR="00783776">
        <w:rPr>
          <w:bCs/>
          <w:sz w:val="24"/>
          <w:szCs w:val="24"/>
        </w:rPr>
        <w:t>was considered to be a</w:t>
      </w:r>
      <w:r w:rsidR="00461A1C">
        <w:rPr>
          <w:bCs/>
          <w:sz w:val="24"/>
          <w:szCs w:val="24"/>
        </w:rPr>
        <w:t xml:space="preserve"> minimum. </w:t>
      </w:r>
      <w:r w:rsidR="00393E8F">
        <w:rPr>
          <w:bCs/>
          <w:sz w:val="24"/>
          <w:szCs w:val="24"/>
        </w:rPr>
        <w:t>In terms of priorities</w:t>
      </w:r>
      <w:r w:rsidR="00783776">
        <w:rPr>
          <w:bCs/>
          <w:sz w:val="24"/>
          <w:szCs w:val="24"/>
        </w:rPr>
        <w:t>, Norway viewed</w:t>
      </w:r>
      <w:r w:rsidR="00393E8F">
        <w:rPr>
          <w:bCs/>
          <w:sz w:val="24"/>
          <w:szCs w:val="24"/>
        </w:rPr>
        <w:t xml:space="preserve"> increased Sec</w:t>
      </w:r>
      <w:r w:rsidR="00783776">
        <w:rPr>
          <w:bCs/>
          <w:sz w:val="24"/>
          <w:szCs w:val="24"/>
        </w:rPr>
        <w:t>retaria</w:t>
      </w:r>
      <w:r w:rsidR="00393E8F">
        <w:rPr>
          <w:bCs/>
          <w:sz w:val="24"/>
          <w:szCs w:val="24"/>
        </w:rPr>
        <w:t>t capacity as important</w:t>
      </w:r>
      <w:r w:rsidR="00783776">
        <w:rPr>
          <w:bCs/>
          <w:sz w:val="24"/>
          <w:szCs w:val="24"/>
        </w:rPr>
        <w:t>, but there was room for flexibility</w:t>
      </w:r>
      <w:r w:rsidR="00393E8F">
        <w:rPr>
          <w:bCs/>
          <w:sz w:val="24"/>
          <w:szCs w:val="24"/>
        </w:rPr>
        <w:t>.</w:t>
      </w:r>
    </w:p>
    <w:p w14:paraId="6F3869BA" w14:textId="3AC8449E" w:rsidR="00393E8F" w:rsidRDefault="00393E8F" w:rsidP="00714211">
      <w:pPr>
        <w:jc w:val="both"/>
        <w:rPr>
          <w:bCs/>
          <w:sz w:val="24"/>
          <w:szCs w:val="24"/>
        </w:rPr>
      </w:pPr>
    </w:p>
    <w:p w14:paraId="55B7192D" w14:textId="131FF6C2" w:rsidR="00393E8F" w:rsidRDefault="00F673D1" w:rsidP="00714211">
      <w:pPr>
        <w:jc w:val="both"/>
        <w:rPr>
          <w:bCs/>
          <w:sz w:val="24"/>
          <w:szCs w:val="24"/>
        </w:rPr>
      </w:pPr>
      <w:r>
        <w:rPr>
          <w:bCs/>
          <w:sz w:val="24"/>
          <w:szCs w:val="24"/>
        </w:rPr>
        <w:t xml:space="preserve">14. </w:t>
      </w:r>
      <w:r w:rsidR="00393E8F" w:rsidRPr="00F673D1">
        <w:rPr>
          <w:b/>
          <w:sz w:val="24"/>
          <w:szCs w:val="24"/>
        </w:rPr>
        <w:t>Italy</w:t>
      </w:r>
      <w:r w:rsidR="00393E8F">
        <w:rPr>
          <w:bCs/>
          <w:sz w:val="24"/>
          <w:szCs w:val="24"/>
        </w:rPr>
        <w:t xml:space="preserve"> thank</w:t>
      </w:r>
      <w:r w:rsidR="00783776">
        <w:rPr>
          <w:bCs/>
          <w:sz w:val="24"/>
          <w:szCs w:val="24"/>
        </w:rPr>
        <w:t>ed</w:t>
      </w:r>
      <w:r w:rsidR="00393E8F">
        <w:rPr>
          <w:bCs/>
          <w:sz w:val="24"/>
          <w:szCs w:val="24"/>
        </w:rPr>
        <w:t xml:space="preserve"> the Secretariat for presenting the four scenarios</w:t>
      </w:r>
      <w:r w:rsidR="00783776">
        <w:rPr>
          <w:bCs/>
          <w:sz w:val="24"/>
          <w:szCs w:val="24"/>
        </w:rPr>
        <w:t xml:space="preserve"> and indicated willingness</w:t>
      </w:r>
      <w:r w:rsidR="00393E8F">
        <w:rPr>
          <w:bCs/>
          <w:sz w:val="24"/>
          <w:szCs w:val="24"/>
        </w:rPr>
        <w:t xml:space="preserve"> to consider limited increases </w:t>
      </w:r>
      <w:r w:rsidR="00783776">
        <w:rPr>
          <w:bCs/>
          <w:sz w:val="24"/>
          <w:szCs w:val="24"/>
        </w:rPr>
        <w:t>over</w:t>
      </w:r>
      <w:r w:rsidR="00393E8F">
        <w:rPr>
          <w:bCs/>
          <w:sz w:val="24"/>
          <w:szCs w:val="24"/>
        </w:rPr>
        <w:t xml:space="preserve"> Scenario 1</w:t>
      </w:r>
      <w:r w:rsidR="00A55AA0">
        <w:rPr>
          <w:bCs/>
          <w:sz w:val="24"/>
          <w:szCs w:val="24"/>
        </w:rPr>
        <w:t>, but these should be</w:t>
      </w:r>
      <w:r w:rsidR="00393E8F">
        <w:rPr>
          <w:bCs/>
          <w:sz w:val="24"/>
          <w:szCs w:val="24"/>
        </w:rPr>
        <w:t xml:space="preserve"> related exclusively to </w:t>
      </w:r>
      <w:r w:rsidR="00783776">
        <w:rPr>
          <w:bCs/>
          <w:sz w:val="24"/>
          <w:szCs w:val="24"/>
        </w:rPr>
        <w:t xml:space="preserve">specific </w:t>
      </w:r>
      <w:r w:rsidR="00393E8F">
        <w:rPr>
          <w:bCs/>
          <w:sz w:val="24"/>
          <w:szCs w:val="24"/>
        </w:rPr>
        <w:t xml:space="preserve">activities. </w:t>
      </w:r>
      <w:r w:rsidR="00783776">
        <w:rPr>
          <w:bCs/>
          <w:sz w:val="24"/>
          <w:szCs w:val="24"/>
        </w:rPr>
        <w:t>Italy therefore suggested</w:t>
      </w:r>
      <w:r w:rsidR="00393E8F">
        <w:rPr>
          <w:bCs/>
          <w:sz w:val="24"/>
          <w:szCs w:val="24"/>
        </w:rPr>
        <w:t xml:space="preserve"> </w:t>
      </w:r>
      <w:r w:rsidR="00783776">
        <w:rPr>
          <w:bCs/>
          <w:sz w:val="24"/>
          <w:szCs w:val="24"/>
        </w:rPr>
        <w:t>beginning</w:t>
      </w:r>
      <w:r w:rsidR="00393E8F">
        <w:rPr>
          <w:bCs/>
          <w:sz w:val="24"/>
          <w:szCs w:val="24"/>
        </w:rPr>
        <w:t xml:space="preserve"> </w:t>
      </w:r>
      <w:r w:rsidR="00783776">
        <w:rPr>
          <w:bCs/>
          <w:sz w:val="24"/>
          <w:szCs w:val="24"/>
        </w:rPr>
        <w:t>n</w:t>
      </w:r>
      <w:r w:rsidR="00393E8F">
        <w:rPr>
          <w:bCs/>
          <w:sz w:val="24"/>
          <w:szCs w:val="24"/>
        </w:rPr>
        <w:t>eg</w:t>
      </w:r>
      <w:r w:rsidR="00783776">
        <w:rPr>
          <w:bCs/>
          <w:sz w:val="24"/>
          <w:szCs w:val="24"/>
        </w:rPr>
        <w:t xml:space="preserve">otiations </w:t>
      </w:r>
      <w:proofErr w:type="gramStart"/>
      <w:r w:rsidR="00783776">
        <w:rPr>
          <w:bCs/>
          <w:sz w:val="24"/>
          <w:szCs w:val="24"/>
        </w:rPr>
        <w:t>on the basis of</w:t>
      </w:r>
      <w:proofErr w:type="gramEnd"/>
      <w:r w:rsidR="00783776">
        <w:rPr>
          <w:bCs/>
          <w:sz w:val="24"/>
          <w:szCs w:val="24"/>
        </w:rPr>
        <w:t xml:space="preserve"> </w:t>
      </w:r>
      <w:r w:rsidR="00393E8F">
        <w:rPr>
          <w:bCs/>
          <w:sz w:val="24"/>
          <w:szCs w:val="24"/>
        </w:rPr>
        <w:t>Scenario</w:t>
      </w:r>
      <w:r w:rsidR="00A55AA0">
        <w:rPr>
          <w:bCs/>
          <w:sz w:val="24"/>
          <w:szCs w:val="24"/>
        </w:rPr>
        <w:t xml:space="preserve"> 1</w:t>
      </w:r>
      <w:r w:rsidR="00783776">
        <w:rPr>
          <w:bCs/>
          <w:sz w:val="24"/>
          <w:szCs w:val="24"/>
        </w:rPr>
        <w:t xml:space="preserve">, gradually </w:t>
      </w:r>
      <w:r w:rsidR="00393E8F">
        <w:rPr>
          <w:bCs/>
          <w:sz w:val="24"/>
          <w:szCs w:val="24"/>
        </w:rPr>
        <w:t>add</w:t>
      </w:r>
      <w:r w:rsidR="00783776">
        <w:rPr>
          <w:bCs/>
          <w:sz w:val="24"/>
          <w:szCs w:val="24"/>
        </w:rPr>
        <w:t>ing the priorities</w:t>
      </w:r>
      <w:r w:rsidR="00393E8F">
        <w:rPr>
          <w:bCs/>
          <w:sz w:val="24"/>
          <w:szCs w:val="24"/>
        </w:rPr>
        <w:t xml:space="preserve"> </w:t>
      </w:r>
      <w:r w:rsidR="00A55AA0">
        <w:rPr>
          <w:bCs/>
          <w:sz w:val="24"/>
          <w:szCs w:val="24"/>
        </w:rPr>
        <w:t>identified</w:t>
      </w:r>
      <w:r w:rsidR="00393E8F">
        <w:rPr>
          <w:bCs/>
          <w:sz w:val="24"/>
          <w:szCs w:val="24"/>
        </w:rPr>
        <w:t xml:space="preserve"> by </w:t>
      </w:r>
      <w:r w:rsidR="00783776">
        <w:rPr>
          <w:bCs/>
          <w:sz w:val="24"/>
          <w:szCs w:val="24"/>
        </w:rPr>
        <w:t>P</w:t>
      </w:r>
      <w:r w:rsidR="00393E8F">
        <w:rPr>
          <w:bCs/>
          <w:sz w:val="24"/>
          <w:szCs w:val="24"/>
        </w:rPr>
        <w:t>arties.</w:t>
      </w:r>
    </w:p>
    <w:p w14:paraId="2E834DBD" w14:textId="7E4A12FD" w:rsidR="006C7EE5" w:rsidRDefault="006C7EE5" w:rsidP="00714211">
      <w:pPr>
        <w:jc w:val="both"/>
        <w:rPr>
          <w:bCs/>
          <w:sz w:val="24"/>
          <w:szCs w:val="24"/>
        </w:rPr>
      </w:pPr>
    </w:p>
    <w:p w14:paraId="7AC7711D" w14:textId="620DA644" w:rsidR="006C7EE5" w:rsidRDefault="00F673D1" w:rsidP="00714211">
      <w:pPr>
        <w:jc w:val="both"/>
        <w:rPr>
          <w:bCs/>
          <w:sz w:val="24"/>
          <w:szCs w:val="24"/>
        </w:rPr>
      </w:pPr>
      <w:r>
        <w:rPr>
          <w:bCs/>
          <w:sz w:val="24"/>
          <w:szCs w:val="24"/>
        </w:rPr>
        <w:t xml:space="preserve">15. </w:t>
      </w:r>
      <w:r w:rsidR="00783776">
        <w:rPr>
          <w:bCs/>
          <w:sz w:val="24"/>
          <w:szCs w:val="24"/>
        </w:rPr>
        <w:t xml:space="preserve">The </w:t>
      </w:r>
      <w:r w:rsidR="00783776" w:rsidRPr="00F673D1">
        <w:rPr>
          <w:b/>
          <w:sz w:val="24"/>
          <w:szCs w:val="24"/>
        </w:rPr>
        <w:t>Chair</w:t>
      </w:r>
      <w:r w:rsidR="00783776">
        <w:rPr>
          <w:bCs/>
          <w:sz w:val="24"/>
          <w:szCs w:val="24"/>
        </w:rPr>
        <w:t xml:space="preserve"> recalled that</w:t>
      </w:r>
      <w:r w:rsidR="006C7EE5">
        <w:rPr>
          <w:bCs/>
          <w:sz w:val="24"/>
          <w:szCs w:val="24"/>
        </w:rPr>
        <w:t xml:space="preserve"> Scenario 1 </w:t>
      </w:r>
      <w:r w:rsidR="00783776">
        <w:rPr>
          <w:bCs/>
          <w:sz w:val="24"/>
          <w:szCs w:val="24"/>
        </w:rPr>
        <w:t>represented</w:t>
      </w:r>
      <w:r w:rsidR="006C7EE5">
        <w:rPr>
          <w:bCs/>
          <w:sz w:val="24"/>
          <w:szCs w:val="24"/>
        </w:rPr>
        <w:t xml:space="preserve"> a </w:t>
      </w:r>
      <w:proofErr w:type="gramStart"/>
      <w:r w:rsidR="006C7EE5">
        <w:rPr>
          <w:bCs/>
          <w:sz w:val="24"/>
          <w:szCs w:val="24"/>
        </w:rPr>
        <w:t>real</w:t>
      </w:r>
      <w:r w:rsidR="00783776">
        <w:rPr>
          <w:bCs/>
          <w:sz w:val="24"/>
          <w:szCs w:val="24"/>
        </w:rPr>
        <w:t>-terms</w:t>
      </w:r>
      <w:proofErr w:type="gramEnd"/>
      <w:r w:rsidR="006C7EE5">
        <w:rPr>
          <w:bCs/>
          <w:sz w:val="24"/>
          <w:szCs w:val="24"/>
        </w:rPr>
        <w:t xml:space="preserve"> cut, so adding activities to Scenario 1 would only </w:t>
      </w:r>
      <w:r w:rsidR="00783776">
        <w:rPr>
          <w:bCs/>
          <w:sz w:val="24"/>
          <w:szCs w:val="24"/>
        </w:rPr>
        <w:t>move the budget</w:t>
      </w:r>
      <w:r w:rsidR="006C7EE5">
        <w:rPr>
          <w:bCs/>
          <w:sz w:val="24"/>
          <w:szCs w:val="24"/>
        </w:rPr>
        <w:t xml:space="preserve"> to</w:t>
      </w:r>
      <w:r w:rsidR="00783776">
        <w:rPr>
          <w:bCs/>
          <w:sz w:val="24"/>
          <w:szCs w:val="24"/>
        </w:rPr>
        <w:t>wards</w:t>
      </w:r>
      <w:r w:rsidR="006C7EE5">
        <w:rPr>
          <w:bCs/>
          <w:sz w:val="24"/>
          <w:szCs w:val="24"/>
        </w:rPr>
        <w:t xml:space="preserve"> parity with the current situation. </w:t>
      </w:r>
      <w:r w:rsidR="00783776">
        <w:rPr>
          <w:bCs/>
          <w:sz w:val="24"/>
          <w:szCs w:val="24"/>
        </w:rPr>
        <w:t>AEWA might</w:t>
      </w:r>
      <w:r w:rsidR="006C7EE5">
        <w:rPr>
          <w:bCs/>
          <w:sz w:val="24"/>
          <w:szCs w:val="24"/>
        </w:rPr>
        <w:t xml:space="preserve"> not </w:t>
      </w:r>
      <w:r w:rsidR="00783776">
        <w:rPr>
          <w:bCs/>
          <w:sz w:val="24"/>
          <w:szCs w:val="24"/>
        </w:rPr>
        <w:t>progress</w:t>
      </w:r>
      <w:r w:rsidR="006C7EE5">
        <w:rPr>
          <w:bCs/>
          <w:sz w:val="24"/>
          <w:szCs w:val="24"/>
        </w:rPr>
        <w:t xml:space="preserve"> far </w:t>
      </w:r>
      <w:r w:rsidR="00783776">
        <w:rPr>
          <w:bCs/>
          <w:sz w:val="24"/>
          <w:szCs w:val="24"/>
        </w:rPr>
        <w:t xml:space="preserve">under such a </w:t>
      </w:r>
      <w:r w:rsidR="00A55AA0">
        <w:rPr>
          <w:bCs/>
          <w:sz w:val="24"/>
          <w:szCs w:val="24"/>
        </w:rPr>
        <w:t>situation</w:t>
      </w:r>
      <w:r w:rsidR="006C7EE5">
        <w:rPr>
          <w:bCs/>
          <w:sz w:val="24"/>
          <w:szCs w:val="24"/>
        </w:rPr>
        <w:t xml:space="preserve">. </w:t>
      </w:r>
      <w:r w:rsidR="00DC33FB">
        <w:rPr>
          <w:bCs/>
          <w:sz w:val="24"/>
          <w:szCs w:val="24"/>
        </w:rPr>
        <w:t>Nevertheless, t</w:t>
      </w:r>
      <w:r w:rsidR="006C7EE5">
        <w:rPr>
          <w:bCs/>
          <w:sz w:val="24"/>
          <w:szCs w:val="24"/>
        </w:rPr>
        <w:t>here seem</w:t>
      </w:r>
      <w:r w:rsidR="00783776">
        <w:rPr>
          <w:bCs/>
          <w:sz w:val="24"/>
          <w:szCs w:val="24"/>
        </w:rPr>
        <w:t>ed</w:t>
      </w:r>
      <w:r w:rsidR="006C7EE5">
        <w:rPr>
          <w:bCs/>
          <w:sz w:val="24"/>
          <w:szCs w:val="24"/>
        </w:rPr>
        <w:t xml:space="preserve"> to be an appetite in the room </w:t>
      </w:r>
      <w:r w:rsidR="00DC33FB">
        <w:rPr>
          <w:bCs/>
          <w:sz w:val="24"/>
          <w:szCs w:val="24"/>
        </w:rPr>
        <w:t>for establishing a baseline budget to which specific items could be added.</w:t>
      </w:r>
    </w:p>
    <w:p w14:paraId="11763C35" w14:textId="7FF07333" w:rsidR="006C7EE5" w:rsidRDefault="006C7EE5" w:rsidP="00714211">
      <w:pPr>
        <w:jc w:val="both"/>
        <w:rPr>
          <w:bCs/>
          <w:sz w:val="24"/>
          <w:szCs w:val="24"/>
        </w:rPr>
      </w:pPr>
    </w:p>
    <w:p w14:paraId="46806356" w14:textId="7F982028" w:rsidR="006C7EE5" w:rsidRDefault="00F673D1" w:rsidP="00714211">
      <w:pPr>
        <w:jc w:val="both"/>
        <w:rPr>
          <w:bCs/>
          <w:sz w:val="24"/>
          <w:szCs w:val="24"/>
        </w:rPr>
      </w:pPr>
      <w:r>
        <w:rPr>
          <w:bCs/>
          <w:sz w:val="24"/>
          <w:szCs w:val="24"/>
        </w:rPr>
        <w:t xml:space="preserve">16. </w:t>
      </w:r>
      <w:r w:rsidR="00DC33FB" w:rsidRPr="00F673D1">
        <w:rPr>
          <w:b/>
          <w:sz w:val="24"/>
          <w:szCs w:val="24"/>
        </w:rPr>
        <w:t xml:space="preserve">The </w:t>
      </w:r>
      <w:r w:rsidR="006C7EE5" w:rsidRPr="00F673D1">
        <w:rPr>
          <w:b/>
          <w:sz w:val="24"/>
          <w:szCs w:val="24"/>
        </w:rPr>
        <w:t>Netherlands</w:t>
      </w:r>
      <w:r w:rsidR="00DC33FB">
        <w:rPr>
          <w:bCs/>
          <w:sz w:val="24"/>
          <w:szCs w:val="24"/>
        </w:rPr>
        <w:t xml:space="preserve"> saw </w:t>
      </w:r>
      <w:r w:rsidR="006C7EE5">
        <w:rPr>
          <w:bCs/>
          <w:sz w:val="24"/>
          <w:szCs w:val="24"/>
        </w:rPr>
        <w:t>the need for an increase to support the work of the Secretariat and agree</w:t>
      </w:r>
      <w:r w:rsidR="00DC33FB">
        <w:rPr>
          <w:bCs/>
          <w:sz w:val="24"/>
          <w:szCs w:val="24"/>
        </w:rPr>
        <w:t>d</w:t>
      </w:r>
      <w:r w:rsidR="006C7EE5">
        <w:rPr>
          <w:bCs/>
          <w:sz w:val="24"/>
          <w:szCs w:val="24"/>
        </w:rPr>
        <w:t xml:space="preserve"> that </w:t>
      </w:r>
      <w:r w:rsidR="00DC33FB">
        <w:rPr>
          <w:bCs/>
          <w:sz w:val="24"/>
          <w:szCs w:val="24"/>
        </w:rPr>
        <w:t>discussions should proceed from a</w:t>
      </w:r>
      <w:r w:rsidR="00A55AA0">
        <w:rPr>
          <w:bCs/>
          <w:sz w:val="24"/>
          <w:szCs w:val="24"/>
        </w:rPr>
        <w:t xml:space="preserve"> given</w:t>
      </w:r>
      <w:r w:rsidR="006C7EE5">
        <w:rPr>
          <w:bCs/>
          <w:sz w:val="24"/>
          <w:szCs w:val="24"/>
        </w:rPr>
        <w:t xml:space="preserve"> baseline</w:t>
      </w:r>
      <w:r w:rsidR="00A55AA0">
        <w:rPr>
          <w:bCs/>
          <w:sz w:val="24"/>
          <w:szCs w:val="24"/>
        </w:rPr>
        <w:t xml:space="preserve">. However, </w:t>
      </w:r>
      <w:r w:rsidR="006C7EE5">
        <w:rPr>
          <w:bCs/>
          <w:sz w:val="24"/>
          <w:szCs w:val="24"/>
        </w:rPr>
        <w:t>that</w:t>
      </w:r>
      <w:r w:rsidR="00DC33FB">
        <w:rPr>
          <w:bCs/>
          <w:sz w:val="24"/>
          <w:szCs w:val="24"/>
        </w:rPr>
        <w:t xml:space="preserve"> baseline</w:t>
      </w:r>
      <w:r w:rsidR="006C7EE5">
        <w:rPr>
          <w:bCs/>
          <w:sz w:val="24"/>
          <w:szCs w:val="24"/>
        </w:rPr>
        <w:t xml:space="preserve"> should probably be </w:t>
      </w:r>
      <w:r w:rsidR="006C7EE5">
        <w:rPr>
          <w:bCs/>
          <w:sz w:val="24"/>
          <w:szCs w:val="24"/>
        </w:rPr>
        <w:lastRenderedPageBreak/>
        <w:t>Scenario 2</w:t>
      </w:r>
      <w:r w:rsidR="00A55AA0">
        <w:rPr>
          <w:bCs/>
          <w:sz w:val="24"/>
          <w:szCs w:val="24"/>
        </w:rPr>
        <w:t>,</w:t>
      </w:r>
      <w:r w:rsidR="006C7EE5">
        <w:rPr>
          <w:bCs/>
          <w:sz w:val="24"/>
          <w:szCs w:val="24"/>
        </w:rPr>
        <w:t xml:space="preserve"> or </w:t>
      </w:r>
      <w:r w:rsidR="00DC33FB">
        <w:rPr>
          <w:bCs/>
          <w:sz w:val="24"/>
          <w:szCs w:val="24"/>
        </w:rPr>
        <w:t>AEWA would</w:t>
      </w:r>
      <w:r w:rsidR="006C7EE5">
        <w:rPr>
          <w:bCs/>
          <w:sz w:val="24"/>
          <w:szCs w:val="24"/>
        </w:rPr>
        <w:t xml:space="preserve"> go backwards. </w:t>
      </w:r>
      <w:r w:rsidR="00DC33FB">
        <w:rPr>
          <w:bCs/>
          <w:sz w:val="24"/>
          <w:szCs w:val="24"/>
        </w:rPr>
        <w:t>The Netherlands</w:t>
      </w:r>
      <w:r w:rsidR="006C7EE5">
        <w:rPr>
          <w:bCs/>
          <w:sz w:val="24"/>
          <w:szCs w:val="24"/>
        </w:rPr>
        <w:t xml:space="preserve"> could </w:t>
      </w:r>
      <w:r w:rsidR="00A55AA0">
        <w:rPr>
          <w:bCs/>
          <w:sz w:val="24"/>
          <w:szCs w:val="24"/>
        </w:rPr>
        <w:t>consider</w:t>
      </w:r>
      <w:r w:rsidR="006C7EE5">
        <w:rPr>
          <w:bCs/>
          <w:sz w:val="24"/>
          <w:szCs w:val="24"/>
        </w:rPr>
        <w:t xml:space="preserve"> </w:t>
      </w:r>
      <w:r w:rsidR="00DC33FB">
        <w:rPr>
          <w:bCs/>
          <w:sz w:val="24"/>
          <w:szCs w:val="24"/>
        </w:rPr>
        <w:t>support</w:t>
      </w:r>
      <w:r w:rsidR="00A55AA0">
        <w:rPr>
          <w:bCs/>
          <w:sz w:val="24"/>
          <w:szCs w:val="24"/>
        </w:rPr>
        <w:t>ing</w:t>
      </w:r>
      <w:r w:rsidR="00DC33FB">
        <w:rPr>
          <w:bCs/>
          <w:sz w:val="24"/>
          <w:szCs w:val="24"/>
        </w:rPr>
        <w:t xml:space="preserve"> an increase around the level of</w:t>
      </w:r>
      <w:r w:rsidR="006C7EE5">
        <w:rPr>
          <w:bCs/>
          <w:sz w:val="24"/>
          <w:szCs w:val="24"/>
        </w:rPr>
        <w:t xml:space="preserve"> Scenario 3.</w:t>
      </w:r>
    </w:p>
    <w:p w14:paraId="113BEC35" w14:textId="42E174BC" w:rsidR="004F0E60" w:rsidRDefault="004F0E60" w:rsidP="00714211">
      <w:pPr>
        <w:jc w:val="both"/>
        <w:rPr>
          <w:bCs/>
          <w:sz w:val="24"/>
          <w:szCs w:val="24"/>
        </w:rPr>
      </w:pPr>
    </w:p>
    <w:p w14:paraId="5E483513" w14:textId="1CB501BF" w:rsidR="004F0E60" w:rsidRDefault="00F673D1" w:rsidP="00714211">
      <w:pPr>
        <w:jc w:val="both"/>
        <w:rPr>
          <w:bCs/>
          <w:sz w:val="24"/>
          <w:szCs w:val="24"/>
        </w:rPr>
      </w:pPr>
      <w:r>
        <w:rPr>
          <w:bCs/>
          <w:sz w:val="24"/>
          <w:szCs w:val="24"/>
        </w:rPr>
        <w:t xml:space="preserve">17. </w:t>
      </w:r>
      <w:r w:rsidR="00DC33FB">
        <w:rPr>
          <w:bCs/>
          <w:sz w:val="24"/>
          <w:szCs w:val="24"/>
        </w:rPr>
        <w:t xml:space="preserve">The </w:t>
      </w:r>
      <w:r w:rsidR="00DC33FB" w:rsidRPr="00F673D1">
        <w:rPr>
          <w:b/>
          <w:sz w:val="24"/>
          <w:szCs w:val="24"/>
        </w:rPr>
        <w:t>Executive Secretary</w:t>
      </w:r>
      <w:r w:rsidR="00DC33FB">
        <w:rPr>
          <w:bCs/>
          <w:sz w:val="24"/>
          <w:szCs w:val="24"/>
        </w:rPr>
        <w:t xml:space="preserve"> summarised impacts on the work of the Secretariat under </w:t>
      </w:r>
      <w:r w:rsidR="00252828">
        <w:rPr>
          <w:bCs/>
          <w:sz w:val="24"/>
          <w:szCs w:val="24"/>
        </w:rPr>
        <w:t>the proposed</w:t>
      </w:r>
      <w:r w:rsidR="00DC33FB">
        <w:rPr>
          <w:bCs/>
          <w:sz w:val="24"/>
          <w:szCs w:val="24"/>
        </w:rPr>
        <w:t xml:space="preserve"> Scenario 1. These included a two-thirds reduction in travel</w:t>
      </w:r>
      <w:r w:rsidR="00A55AA0">
        <w:rPr>
          <w:bCs/>
          <w:sz w:val="24"/>
          <w:szCs w:val="24"/>
        </w:rPr>
        <w:t xml:space="preserve"> budget</w:t>
      </w:r>
      <w:r w:rsidR="00DC33FB">
        <w:rPr>
          <w:bCs/>
          <w:sz w:val="24"/>
          <w:szCs w:val="24"/>
        </w:rPr>
        <w:t>, a significa</w:t>
      </w:r>
      <w:r w:rsidR="00A55AA0">
        <w:rPr>
          <w:bCs/>
          <w:sz w:val="24"/>
          <w:szCs w:val="24"/>
        </w:rPr>
        <w:t>n</w:t>
      </w:r>
      <w:r w:rsidR="00DC33FB">
        <w:rPr>
          <w:bCs/>
          <w:sz w:val="24"/>
          <w:szCs w:val="24"/>
        </w:rPr>
        <w:t xml:space="preserve">t cut to </w:t>
      </w:r>
      <w:r w:rsidR="00A55AA0">
        <w:rPr>
          <w:bCs/>
          <w:sz w:val="24"/>
          <w:szCs w:val="24"/>
        </w:rPr>
        <w:t>internet</w:t>
      </w:r>
      <w:r w:rsidR="00DC33FB">
        <w:rPr>
          <w:bCs/>
          <w:sz w:val="24"/>
          <w:szCs w:val="24"/>
        </w:rPr>
        <w:t xml:space="preserve"> services, and a reduction in the translation budget. Budget lines for MOP9 and for TC meetings would be set at zero. Whilst the Agreement could function with virtual meetings of the </w:t>
      </w:r>
      <w:proofErr w:type="spellStart"/>
      <w:r w:rsidR="00DC33FB">
        <w:rPr>
          <w:bCs/>
          <w:sz w:val="24"/>
          <w:szCs w:val="24"/>
        </w:rPr>
        <w:t>StC</w:t>
      </w:r>
      <w:proofErr w:type="spellEnd"/>
      <w:r w:rsidR="00DC33FB">
        <w:rPr>
          <w:bCs/>
          <w:sz w:val="24"/>
          <w:szCs w:val="24"/>
        </w:rPr>
        <w:t xml:space="preserve">, the </w:t>
      </w:r>
      <w:r w:rsidR="000F1A42">
        <w:rPr>
          <w:bCs/>
          <w:sz w:val="24"/>
          <w:szCs w:val="24"/>
        </w:rPr>
        <w:t xml:space="preserve">nature of the issues addressed by </w:t>
      </w:r>
      <w:r w:rsidR="002C5E03">
        <w:rPr>
          <w:bCs/>
          <w:sz w:val="24"/>
          <w:szCs w:val="24"/>
        </w:rPr>
        <w:t xml:space="preserve">the </w:t>
      </w:r>
      <w:r w:rsidR="000F1A42">
        <w:rPr>
          <w:bCs/>
          <w:sz w:val="24"/>
          <w:szCs w:val="24"/>
        </w:rPr>
        <w:t>TC meant that one or two in-person meetings</w:t>
      </w:r>
      <w:r w:rsidR="00A55AA0">
        <w:rPr>
          <w:bCs/>
          <w:sz w:val="24"/>
          <w:szCs w:val="24"/>
        </w:rPr>
        <w:t xml:space="preserve"> were required </w:t>
      </w:r>
      <w:r w:rsidR="002C5E03">
        <w:rPr>
          <w:bCs/>
          <w:sz w:val="24"/>
          <w:szCs w:val="24"/>
        </w:rPr>
        <w:t>with</w:t>
      </w:r>
      <w:r w:rsidR="00A55AA0">
        <w:rPr>
          <w:bCs/>
          <w:sz w:val="24"/>
          <w:szCs w:val="24"/>
        </w:rPr>
        <w:t>in each triennium</w:t>
      </w:r>
      <w:r w:rsidR="000F1A42">
        <w:rPr>
          <w:bCs/>
          <w:sz w:val="24"/>
          <w:szCs w:val="24"/>
        </w:rPr>
        <w:t xml:space="preserve">. </w:t>
      </w:r>
    </w:p>
    <w:p w14:paraId="5AC815B9" w14:textId="5D0BD9F2" w:rsidR="00AA5F4B" w:rsidRDefault="00AA5F4B" w:rsidP="00714211">
      <w:pPr>
        <w:jc w:val="both"/>
        <w:rPr>
          <w:bCs/>
          <w:sz w:val="24"/>
          <w:szCs w:val="24"/>
        </w:rPr>
      </w:pPr>
    </w:p>
    <w:p w14:paraId="2AB50A0F" w14:textId="4E618C4D" w:rsidR="00AA5F4B" w:rsidRDefault="00F673D1" w:rsidP="00714211">
      <w:pPr>
        <w:jc w:val="both"/>
        <w:rPr>
          <w:bCs/>
          <w:sz w:val="24"/>
          <w:szCs w:val="24"/>
        </w:rPr>
      </w:pPr>
      <w:r>
        <w:rPr>
          <w:bCs/>
          <w:sz w:val="24"/>
          <w:szCs w:val="24"/>
        </w:rPr>
        <w:t xml:space="preserve">18. </w:t>
      </w:r>
      <w:r w:rsidR="00AA5F4B" w:rsidRPr="00F673D1">
        <w:rPr>
          <w:b/>
          <w:sz w:val="24"/>
          <w:szCs w:val="24"/>
        </w:rPr>
        <w:t>Sweden</w:t>
      </w:r>
      <w:r w:rsidR="000F1A42">
        <w:rPr>
          <w:bCs/>
          <w:sz w:val="24"/>
          <w:szCs w:val="24"/>
        </w:rPr>
        <w:t xml:space="preserve"> supported the intervention of The Netherlands</w:t>
      </w:r>
      <w:r w:rsidR="00AA5F4B">
        <w:rPr>
          <w:bCs/>
          <w:sz w:val="24"/>
          <w:szCs w:val="24"/>
        </w:rPr>
        <w:t xml:space="preserve"> and </w:t>
      </w:r>
      <w:r w:rsidR="001F24BA">
        <w:rPr>
          <w:bCs/>
          <w:sz w:val="24"/>
          <w:szCs w:val="24"/>
        </w:rPr>
        <w:t>welcomed the additional information provided by the Executive Secretary concerning the implications of Scenario 1</w:t>
      </w:r>
      <w:r w:rsidR="00AA5F4B">
        <w:rPr>
          <w:bCs/>
          <w:sz w:val="24"/>
          <w:szCs w:val="24"/>
        </w:rPr>
        <w:t xml:space="preserve">. </w:t>
      </w:r>
      <w:r w:rsidR="001F24BA">
        <w:rPr>
          <w:bCs/>
          <w:sz w:val="24"/>
          <w:szCs w:val="24"/>
        </w:rPr>
        <w:t>Sweden favoured starting with a</w:t>
      </w:r>
      <w:r w:rsidR="00AA5F4B">
        <w:rPr>
          <w:bCs/>
          <w:sz w:val="24"/>
          <w:szCs w:val="24"/>
        </w:rPr>
        <w:t xml:space="preserve"> Scenario 2 baseline</w:t>
      </w:r>
      <w:r w:rsidR="001F24BA">
        <w:rPr>
          <w:bCs/>
          <w:sz w:val="24"/>
          <w:szCs w:val="24"/>
        </w:rPr>
        <w:t xml:space="preserve">, with the possibility to </w:t>
      </w:r>
      <w:r w:rsidR="00AA5F4B">
        <w:rPr>
          <w:bCs/>
          <w:sz w:val="24"/>
          <w:szCs w:val="24"/>
        </w:rPr>
        <w:t>go up to Scenario 3</w:t>
      </w:r>
      <w:r w:rsidR="001F24BA">
        <w:rPr>
          <w:bCs/>
          <w:sz w:val="24"/>
          <w:szCs w:val="24"/>
        </w:rPr>
        <w:t>, and cautioned that Parties should avoid</w:t>
      </w:r>
      <w:r w:rsidR="00AA5F4B">
        <w:rPr>
          <w:bCs/>
          <w:sz w:val="24"/>
          <w:szCs w:val="24"/>
        </w:rPr>
        <w:t xml:space="preserve"> micro-manag</w:t>
      </w:r>
      <w:r w:rsidR="001F24BA">
        <w:rPr>
          <w:bCs/>
          <w:sz w:val="24"/>
          <w:szCs w:val="24"/>
        </w:rPr>
        <w:t>ing</w:t>
      </w:r>
      <w:r w:rsidR="00AA5F4B">
        <w:rPr>
          <w:bCs/>
          <w:sz w:val="24"/>
          <w:szCs w:val="24"/>
        </w:rPr>
        <w:t xml:space="preserve"> the Secretariat.</w:t>
      </w:r>
    </w:p>
    <w:p w14:paraId="2D5FDCA5" w14:textId="51A07CEF" w:rsidR="00AA5F4B" w:rsidRDefault="00AA5F4B" w:rsidP="00714211">
      <w:pPr>
        <w:jc w:val="both"/>
        <w:rPr>
          <w:bCs/>
          <w:sz w:val="24"/>
          <w:szCs w:val="24"/>
        </w:rPr>
      </w:pPr>
    </w:p>
    <w:p w14:paraId="14E5B23F" w14:textId="4536C1DC" w:rsidR="00AA5F4B" w:rsidRDefault="00F673D1" w:rsidP="00714211">
      <w:pPr>
        <w:jc w:val="both"/>
        <w:rPr>
          <w:bCs/>
          <w:sz w:val="24"/>
          <w:szCs w:val="24"/>
        </w:rPr>
      </w:pPr>
      <w:r>
        <w:rPr>
          <w:bCs/>
          <w:sz w:val="24"/>
          <w:szCs w:val="24"/>
        </w:rPr>
        <w:t xml:space="preserve">19. </w:t>
      </w:r>
      <w:r w:rsidR="00AA5F4B" w:rsidRPr="00F673D1">
        <w:rPr>
          <w:b/>
          <w:sz w:val="24"/>
          <w:szCs w:val="24"/>
        </w:rPr>
        <w:t>Denmark</w:t>
      </w:r>
      <w:r w:rsidR="001F24BA">
        <w:rPr>
          <w:bCs/>
          <w:sz w:val="24"/>
          <w:szCs w:val="24"/>
        </w:rPr>
        <w:t xml:space="preserve"> saw a</w:t>
      </w:r>
      <w:r w:rsidR="00AA5F4B">
        <w:rPr>
          <w:bCs/>
          <w:sz w:val="24"/>
          <w:szCs w:val="24"/>
        </w:rPr>
        <w:t xml:space="preserve"> need to acknowledge the workload and under-funding of the Sec</w:t>
      </w:r>
      <w:r w:rsidR="001F24BA">
        <w:rPr>
          <w:bCs/>
          <w:sz w:val="24"/>
          <w:szCs w:val="24"/>
        </w:rPr>
        <w:t>retariat.</w:t>
      </w:r>
      <w:r w:rsidR="00AA5F4B">
        <w:rPr>
          <w:bCs/>
          <w:sz w:val="24"/>
          <w:szCs w:val="24"/>
        </w:rPr>
        <w:t xml:space="preserve"> </w:t>
      </w:r>
      <w:r w:rsidR="003B7ED5">
        <w:rPr>
          <w:bCs/>
          <w:sz w:val="24"/>
          <w:szCs w:val="24"/>
        </w:rPr>
        <w:t>This meant that</w:t>
      </w:r>
      <w:r w:rsidR="00AA5F4B">
        <w:rPr>
          <w:bCs/>
          <w:sz w:val="24"/>
          <w:szCs w:val="24"/>
        </w:rPr>
        <w:t xml:space="preserve"> Scenario 3 </w:t>
      </w:r>
      <w:r w:rsidR="003B7ED5">
        <w:rPr>
          <w:bCs/>
          <w:sz w:val="24"/>
          <w:szCs w:val="24"/>
        </w:rPr>
        <w:t>should be</w:t>
      </w:r>
      <w:r w:rsidR="00AA5F4B">
        <w:rPr>
          <w:bCs/>
          <w:sz w:val="24"/>
          <w:szCs w:val="24"/>
        </w:rPr>
        <w:t xml:space="preserve"> </w:t>
      </w:r>
      <w:r w:rsidR="003B7ED5">
        <w:rPr>
          <w:bCs/>
          <w:sz w:val="24"/>
          <w:szCs w:val="24"/>
        </w:rPr>
        <w:t>the</w:t>
      </w:r>
      <w:r w:rsidR="00AA5F4B">
        <w:rPr>
          <w:bCs/>
          <w:sz w:val="24"/>
          <w:szCs w:val="24"/>
        </w:rPr>
        <w:t xml:space="preserve"> baseline</w:t>
      </w:r>
      <w:r w:rsidR="003B7ED5">
        <w:rPr>
          <w:bCs/>
          <w:sz w:val="24"/>
          <w:szCs w:val="24"/>
        </w:rPr>
        <w:t xml:space="preserve"> option</w:t>
      </w:r>
      <w:r w:rsidR="00AA5F4B">
        <w:rPr>
          <w:bCs/>
          <w:sz w:val="24"/>
          <w:szCs w:val="24"/>
        </w:rPr>
        <w:t xml:space="preserve">. </w:t>
      </w:r>
      <w:r w:rsidR="003B7ED5">
        <w:rPr>
          <w:bCs/>
          <w:sz w:val="24"/>
          <w:szCs w:val="24"/>
        </w:rPr>
        <w:t>Denmark was open to</w:t>
      </w:r>
      <w:r w:rsidR="00AA5F4B">
        <w:rPr>
          <w:bCs/>
          <w:sz w:val="24"/>
          <w:szCs w:val="24"/>
        </w:rPr>
        <w:t xml:space="preserve"> discuss</w:t>
      </w:r>
      <w:r w:rsidR="003B7ED5">
        <w:rPr>
          <w:bCs/>
          <w:sz w:val="24"/>
          <w:szCs w:val="24"/>
        </w:rPr>
        <w:t>ing</w:t>
      </w:r>
      <w:r w:rsidR="00AA5F4B">
        <w:rPr>
          <w:bCs/>
          <w:sz w:val="24"/>
          <w:szCs w:val="24"/>
        </w:rPr>
        <w:t xml:space="preserve"> Scenario 2 but fully support</w:t>
      </w:r>
      <w:r w:rsidR="003B7ED5">
        <w:rPr>
          <w:bCs/>
          <w:sz w:val="24"/>
          <w:szCs w:val="24"/>
        </w:rPr>
        <w:t>ed</w:t>
      </w:r>
      <w:r w:rsidR="00AA5F4B">
        <w:rPr>
          <w:bCs/>
          <w:sz w:val="24"/>
          <w:szCs w:val="24"/>
        </w:rPr>
        <w:t xml:space="preserve"> Scenario 4. </w:t>
      </w:r>
      <w:r w:rsidR="003B7ED5">
        <w:rPr>
          <w:bCs/>
          <w:sz w:val="24"/>
          <w:szCs w:val="24"/>
        </w:rPr>
        <w:t>Parties</w:t>
      </w:r>
      <w:r w:rsidR="00AA5F4B">
        <w:rPr>
          <w:bCs/>
          <w:sz w:val="24"/>
          <w:szCs w:val="24"/>
        </w:rPr>
        <w:t xml:space="preserve"> </w:t>
      </w:r>
      <w:r w:rsidR="003B7ED5">
        <w:rPr>
          <w:bCs/>
          <w:sz w:val="24"/>
          <w:szCs w:val="24"/>
        </w:rPr>
        <w:t>had</w:t>
      </w:r>
      <w:r w:rsidR="00AA5F4B">
        <w:rPr>
          <w:bCs/>
          <w:sz w:val="24"/>
          <w:szCs w:val="24"/>
        </w:rPr>
        <w:t xml:space="preserve"> to consider </w:t>
      </w:r>
      <w:r w:rsidR="003B7ED5">
        <w:rPr>
          <w:bCs/>
          <w:sz w:val="24"/>
          <w:szCs w:val="24"/>
        </w:rPr>
        <w:t>their</w:t>
      </w:r>
      <w:r w:rsidR="00AA5F4B">
        <w:rPr>
          <w:bCs/>
          <w:sz w:val="24"/>
          <w:szCs w:val="24"/>
        </w:rPr>
        <w:t xml:space="preserve"> past decisions</w:t>
      </w:r>
      <w:r w:rsidR="002C5E03">
        <w:rPr>
          <w:bCs/>
          <w:sz w:val="24"/>
          <w:szCs w:val="24"/>
        </w:rPr>
        <w:t>;</w:t>
      </w:r>
      <w:r w:rsidR="00AA5F4B">
        <w:rPr>
          <w:bCs/>
          <w:sz w:val="24"/>
          <w:szCs w:val="24"/>
        </w:rPr>
        <w:t xml:space="preserve"> </w:t>
      </w:r>
      <w:r w:rsidR="003B7ED5">
        <w:rPr>
          <w:bCs/>
          <w:sz w:val="24"/>
          <w:szCs w:val="24"/>
        </w:rPr>
        <w:t>resources</w:t>
      </w:r>
      <w:r w:rsidR="002C5E03">
        <w:rPr>
          <w:bCs/>
          <w:sz w:val="24"/>
          <w:szCs w:val="24"/>
        </w:rPr>
        <w:t xml:space="preserve"> were</w:t>
      </w:r>
      <w:r w:rsidR="003B7ED5">
        <w:rPr>
          <w:bCs/>
          <w:sz w:val="24"/>
          <w:szCs w:val="24"/>
        </w:rPr>
        <w:t xml:space="preserve"> </w:t>
      </w:r>
      <w:r w:rsidR="002C5E03">
        <w:rPr>
          <w:bCs/>
          <w:sz w:val="24"/>
          <w:szCs w:val="24"/>
        </w:rPr>
        <w:t xml:space="preserve">required </w:t>
      </w:r>
      <w:r w:rsidR="003B7ED5">
        <w:rPr>
          <w:bCs/>
          <w:sz w:val="24"/>
          <w:szCs w:val="24"/>
        </w:rPr>
        <w:t xml:space="preserve">for </w:t>
      </w:r>
      <w:r w:rsidR="00AA5F4B">
        <w:rPr>
          <w:bCs/>
          <w:sz w:val="24"/>
          <w:szCs w:val="24"/>
        </w:rPr>
        <w:t>implemen</w:t>
      </w:r>
      <w:r w:rsidR="003B7ED5">
        <w:rPr>
          <w:bCs/>
          <w:sz w:val="24"/>
          <w:szCs w:val="24"/>
        </w:rPr>
        <w:t>tation</w:t>
      </w:r>
      <w:r w:rsidR="00831498">
        <w:rPr>
          <w:bCs/>
          <w:sz w:val="24"/>
          <w:szCs w:val="24"/>
        </w:rPr>
        <w:t xml:space="preserve"> –</w:t>
      </w:r>
      <w:r w:rsidR="00AA5F4B">
        <w:rPr>
          <w:bCs/>
          <w:sz w:val="24"/>
          <w:szCs w:val="24"/>
        </w:rPr>
        <w:t xml:space="preserve"> otherwise </w:t>
      </w:r>
      <w:r w:rsidR="003B7ED5">
        <w:rPr>
          <w:bCs/>
          <w:sz w:val="24"/>
          <w:szCs w:val="24"/>
        </w:rPr>
        <w:t xml:space="preserve">they were </w:t>
      </w:r>
      <w:r w:rsidR="00AA5F4B">
        <w:rPr>
          <w:bCs/>
          <w:sz w:val="24"/>
          <w:szCs w:val="24"/>
        </w:rPr>
        <w:t>on paper</w:t>
      </w:r>
      <w:r w:rsidR="003B7ED5">
        <w:rPr>
          <w:bCs/>
          <w:sz w:val="24"/>
          <w:szCs w:val="24"/>
        </w:rPr>
        <w:t xml:space="preserve"> only</w:t>
      </w:r>
      <w:r w:rsidR="00AA5F4B">
        <w:rPr>
          <w:bCs/>
          <w:sz w:val="24"/>
          <w:szCs w:val="24"/>
        </w:rPr>
        <w:t>.</w:t>
      </w:r>
    </w:p>
    <w:p w14:paraId="4FA94768" w14:textId="77777777" w:rsidR="00AA5F4B" w:rsidRDefault="00AA5F4B" w:rsidP="00714211">
      <w:pPr>
        <w:jc w:val="both"/>
        <w:rPr>
          <w:bCs/>
          <w:sz w:val="24"/>
          <w:szCs w:val="24"/>
        </w:rPr>
      </w:pPr>
    </w:p>
    <w:p w14:paraId="2B20008A" w14:textId="01E0B644" w:rsidR="00AA5F4B" w:rsidRDefault="00F673D1" w:rsidP="00714211">
      <w:pPr>
        <w:jc w:val="both"/>
        <w:rPr>
          <w:bCs/>
          <w:sz w:val="24"/>
          <w:szCs w:val="24"/>
        </w:rPr>
      </w:pPr>
      <w:r>
        <w:rPr>
          <w:bCs/>
          <w:sz w:val="24"/>
          <w:szCs w:val="24"/>
        </w:rPr>
        <w:t xml:space="preserve">20. </w:t>
      </w:r>
      <w:r w:rsidR="00AA5F4B" w:rsidRPr="00F673D1">
        <w:rPr>
          <w:b/>
          <w:sz w:val="24"/>
          <w:szCs w:val="24"/>
        </w:rPr>
        <w:t>South Africa</w:t>
      </w:r>
      <w:r w:rsidR="00CF7AE1">
        <w:rPr>
          <w:bCs/>
          <w:sz w:val="24"/>
          <w:szCs w:val="24"/>
        </w:rPr>
        <w:t xml:space="preserve"> supported </w:t>
      </w:r>
      <w:r w:rsidR="00AA5F4B">
        <w:rPr>
          <w:bCs/>
          <w:sz w:val="24"/>
          <w:szCs w:val="24"/>
        </w:rPr>
        <w:t>a fully functioning Secretariat</w:t>
      </w:r>
      <w:r w:rsidR="00CF7AE1">
        <w:rPr>
          <w:bCs/>
          <w:sz w:val="24"/>
          <w:szCs w:val="24"/>
        </w:rPr>
        <w:t xml:space="preserve"> but was </w:t>
      </w:r>
      <w:r w:rsidR="00AA5F4B">
        <w:rPr>
          <w:bCs/>
          <w:sz w:val="24"/>
          <w:szCs w:val="24"/>
        </w:rPr>
        <w:t>uncomfortable with</w:t>
      </w:r>
      <w:r w:rsidR="00831498">
        <w:rPr>
          <w:bCs/>
          <w:sz w:val="24"/>
          <w:szCs w:val="24"/>
        </w:rPr>
        <w:t xml:space="preserve"> supporting</w:t>
      </w:r>
      <w:r w:rsidR="00AA5F4B">
        <w:rPr>
          <w:bCs/>
          <w:sz w:val="24"/>
          <w:szCs w:val="24"/>
        </w:rPr>
        <w:t xml:space="preserve"> Scenario 4 in its entirety. </w:t>
      </w:r>
      <w:r w:rsidR="00CF7AE1">
        <w:rPr>
          <w:bCs/>
          <w:sz w:val="24"/>
          <w:szCs w:val="24"/>
        </w:rPr>
        <w:t>Parties should focus on</w:t>
      </w:r>
      <w:r w:rsidR="00AA5F4B">
        <w:rPr>
          <w:bCs/>
          <w:sz w:val="24"/>
          <w:szCs w:val="24"/>
        </w:rPr>
        <w:t xml:space="preserve"> how best </w:t>
      </w:r>
      <w:r w:rsidR="00CF7AE1">
        <w:rPr>
          <w:bCs/>
          <w:sz w:val="24"/>
          <w:szCs w:val="24"/>
        </w:rPr>
        <w:t xml:space="preserve">their </w:t>
      </w:r>
      <w:r w:rsidR="00AA5F4B">
        <w:rPr>
          <w:bCs/>
          <w:sz w:val="24"/>
          <w:szCs w:val="24"/>
        </w:rPr>
        <w:t xml:space="preserve">priorities </w:t>
      </w:r>
      <w:r w:rsidR="00CF7AE1">
        <w:rPr>
          <w:bCs/>
          <w:sz w:val="24"/>
          <w:szCs w:val="24"/>
        </w:rPr>
        <w:t>could</w:t>
      </w:r>
      <w:r w:rsidR="00AA5F4B">
        <w:rPr>
          <w:bCs/>
          <w:sz w:val="24"/>
          <w:szCs w:val="24"/>
        </w:rPr>
        <w:t xml:space="preserve"> be covered</w:t>
      </w:r>
      <w:r w:rsidR="00CF7AE1">
        <w:rPr>
          <w:bCs/>
          <w:sz w:val="24"/>
          <w:szCs w:val="24"/>
        </w:rPr>
        <w:t xml:space="preserve">; for South Africa these would include full </w:t>
      </w:r>
      <w:r w:rsidR="00AA5F4B">
        <w:rPr>
          <w:bCs/>
          <w:sz w:val="24"/>
          <w:szCs w:val="24"/>
        </w:rPr>
        <w:t xml:space="preserve">funding </w:t>
      </w:r>
      <w:r w:rsidR="00CF7AE1">
        <w:rPr>
          <w:bCs/>
          <w:sz w:val="24"/>
          <w:szCs w:val="24"/>
        </w:rPr>
        <w:t xml:space="preserve">of </w:t>
      </w:r>
      <w:r w:rsidR="00AA5F4B">
        <w:rPr>
          <w:bCs/>
          <w:sz w:val="24"/>
          <w:szCs w:val="24"/>
        </w:rPr>
        <w:t>the African Coordinator position.</w:t>
      </w:r>
    </w:p>
    <w:p w14:paraId="45BEB524" w14:textId="4037EE4F" w:rsidR="00AA5F4B" w:rsidRDefault="00AA5F4B" w:rsidP="00714211">
      <w:pPr>
        <w:jc w:val="both"/>
        <w:rPr>
          <w:bCs/>
          <w:sz w:val="24"/>
          <w:szCs w:val="24"/>
        </w:rPr>
      </w:pPr>
    </w:p>
    <w:p w14:paraId="3CBE2A6F" w14:textId="7CAA8B2E" w:rsidR="00AA5F4B" w:rsidRDefault="00F673D1" w:rsidP="00714211">
      <w:pPr>
        <w:jc w:val="both"/>
        <w:rPr>
          <w:bCs/>
          <w:sz w:val="24"/>
          <w:szCs w:val="24"/>
        </w:rPr>
      </w:pPr>
      <w:r>
        <w:rPr>
          <w:bCs/>
          <w:sz w:val="24"/>
          <w:szCs w:val="24"/>
        </w:rPr>
        <w:t xml:space="preserve">21. </w:t>
      </w:r>
      <w:r w:rsidR="00AA5F4B" w:rsidRPr="00F673D1">
        <w:rPr>
          <w:b/>
          <w:sz w:val="24"/>
          <w:szCs w:val="24"/>
        </w:rPr>
        <w:t>Belgium</w:t>
      </w:r>
      <w:r w:rsidR="00CF7AE1">
        <w:rPr>
          <w:bCs/>
          <w:sz w:val="24"/>
          <w:szCs w:val="24"/>
        </w:rPr>
        <w:t xml:space="preserve"> considered that </w:t>
      </w:r>
      <w:r w:rsidR="00AA5F4B">
        <w:rPr>
          <w:bCs/>
          <w:sz w:val="24"/>
          <w:szCs w:val="24"/>
        </w:rPr>
        <w:t xml:space="preserve">the core budget should cover the core work. </w:t>
      </w:r>
      <w:r w:rsidR="00831498">
        <w:rPr>
          <w:bCs/>
          <w:sz w:val="24"/>
          <w:szCs w:val="24"/>
        </w:rPr>
        <w:t>U</w:t>
      </w:r>
      <w:r w:rsidR="00AA5F4B">
        <w:rPr>
          <w:bCs/>
          <w:sz w:val="24"/>
          <w:szCs w:val="24"/>
        </w:rPr>
        <w:t>pgrades of the P staff</w:t>
      </w:r>
      <w:r w:rsidR="00CF7AE1">
        <w:rPr>
          <w:bCs/>
          <w:sz w:val="24"/>
          <w:szCs w:val="24"/>
        </w:rPr>
        <w:t xml:space="preserve"> in the Secretariat had already been discussed </w:t>
      </w:r>
      <w:r w:rsidR="00AA5F4B">
        <w:rPr>
          <w:bCs/>
          <w:sz w:val="24"/>
          <w:szCs w:val="24"/>
        </w:rPr>
        <w:t xml:space="preserve">at MOP7. If </w:t>
      </w:r>
      <w:r w:rsidR="00CF7AE1">
        <w:rPr>
          <w:bCs/>
          <w:sz w:val="24"/>
          <w:szCs w:val="24"/>
        </w:rPr>
        <w:t xml:space="preserve">UNEP </w:t>
      </w:r>
      <w:r w:rsidR="00AA5F4B">
        <w:rPr>
          <w:bCs/>
          <w:sz w:val="24"/>
          <w:szCs w:val="24"/>
        </w:rPr>
        <w:t xml:space="preserve">recommended </w:t>
      </w:r>
      <w:r w:rsidR="00CF7AE1">
        <w:rPr>
          <w:bCs/>
          <w:sz w:val="24"/>
          <w:szCs w:val="24"/>
        </w:rPr>
        <w:t>that such upgrades were required</w:t>
      </w:r>
      <w:r w:rsidR="00AA5F4B">
        <w:rPr>
          <w:bCs/>
          <w:sz w:val="24"/>
          <w:szCs w:val="24"/>
        </w:rPr>
        <w:t xml:space="preserve"> t</w:t>
      </w:r>
      <w:r w:rsidR="00831498">
        <w:rPr>
          <w:bCs/>
          <w:sz w:val="24"/>
          <w:szCs w:val="24"/>
        </w:rPr>
        <w:t>o</w:t>
      </w:r>
      <w:r w:rsidR="00AA5F4B">
        <w:rPr>
          <w:bCs/>
          <w:sz w:val="24"/>
          <w:szCs w:val="24"/>
        </w:rPr>
        <w:t xml:space="preserve"> comply with UN rul</w:t>
      </w:r>
      <w:r w:rsidR="00CF7AE1">
        <w:rPr>
          <w:bCs/>
          <w:sz w:val="24"/>
          <w:szCs w:val="24"/>
        </w:rPr>
        <w:t>e</w:t>
      </w:r>
      <w:r w:rsidR="00AA5F4B">
        <w:rPr>
          <w:bCs/>
          <w:sz w:val="24"/>
          <w:szCs w:val="24"/>
        </w:rPr>
        <w:t xml:space="preserve">s, Belgium </w:t>
      </w:r>
      <w:r w:rsidR="00CF7AE1">
        <w:rPr>
          <w:bCs/>
          <w:sz w:val="24"/>
          <w:szCs w:val="24"/>
        </w:rPr>
        <w:t>could</w:t>
      </w:r>
      <w:r w:rsidR="00AA5F4B">
        <w:rPr>
          <w:bCs/>
          <w:sz w:val="24"/>
          <w:szCs w:val="24"/>
        </w:rPr>
        <w:t xml:space="preserve"> support the upgrades.</w:t>
      </w:r>
    </w:p>
    <w:p w14:paraId="01D312D5" w14:textId="19863479" w:rsidR="00AA5F4B" w:rsidRDefault="00AA5F4B" w:rsidP="00714211">
      <w:pPr>
        <w:jc w:val="both"/>
        <w:rPr>
          <w:bCs/>
          <w:sz w:val="24"/>
          <w:szCs w:val="24"/>
        </w:rPr>
      </w:pPr>
    </w:p>
    <w:p w14:paraId="559EABA3" w14:textId="61DF2E78" w:rsidR="00157630" w:rsidRDefault="00F673D1" w:rsidP="00714211">
      <w:pPr>
        <w:jc w:val="both"/>
        <w:rPr>
          <w:bCs/>
          <w:sz w:val="24"/>
          <w:szCs w:val="24"/>
        </w:rPr>
      </w:pPr>
      <w:r>
        <w:rPr>
          <w:bCs/>
          <w:sz w:val="24"/>
          <w:szCs w:val="24"/>
        </w:rPr>
        <w:t xml:space="preserve">22. </w:t>
      </w:r>
      <w:r w:rsidR="00AA5F4B" w:rsidRPr="00F673D1">
        <w:rPr>
          <w:b/>
          <w:sz w:val="24"/>
          <w:szCs w:val="24"/>
        </w:rPr>
        <w:t>France</w:t>
      </w:r>
      <w:r w:rsidR="00CF7AE1">
        <w:rPr>
          <w:bCs/>
          <w:sz w:val="24"/>
          <w:szCs w:val="24"/>
        </w:rPr>
        <w:t xml:space="preserve"> was concerned by</w:t>
      </w:r>
      <w:r w:rsidR="00872DC8">
        <w:rPr>
          <w:bCs/>
          <w:sz w:val="24"/>
          <w:szCs w:val="24"/>
        </w:rPr>
        <w:t xml:space="preserve"> one of</w:t>
      </w:r>
      <w:r w:rsidR="00CF7AE1">
        <w:rPr>
          <w:bCs/>
          <w:sz w:val="24"/>
          <w:szCs w:val="24"/>
        </w:rPr>
        <w:t xml:space="preserve"> the </w:t>
      </w:r>
      <w:r w:rsidR="00872DC8">
        <w:rPr>
          <w:bCs/>
          <w:sz w:val="24"/>
          <w:szCs w:val="24"/>
        </w:rPr>
        <w:t xml:space="preserve">budgetary </w:t>
      </w:r>
      <w:r w:rsidR="00CF7AE1">
        <w:rPr>
          <w:bCs/>
          <w:sz w:val="24"/>
          <w:szCs w:val="24"/>
        </w:rPr>
        <w:t>principle</w:t>
      </w:r>
      <w:r w:rsidR="00872DC8">
        <w:rPr>
          <w:bCs/>
          <w:sz w:val="24"/>
          <w:szCs w:val="24"/>
        </w:rPr>
        <w:t>s</w:t>
      </w:r>
      <w:r w:rsidR="00CF7AE1">
        <w:rPr>
          <w:bCs/>
          <w:sz w:val="24"/>
          <w:szCs w:val="24"/>
        </w:rPr>
        <w:t xml:space="preserve"> outlined </w:t>
      </w:r>
      <w:r w:rsidR="00872DC8">
        <w:rPr>
          <w:bCs/>
          <w:sz w:val="24"/>
          <w:szCs w:val="24"/>
        </w:rPr>
        <w:t>by the Executive Secretary during plenary, namely</w:t>
      </w:r>
      <w:r w:rsidR="00157630">
        <w:rPr>
          <w:bCs/>
          <w:sz w:val="24"/>
          <w:szCs w:val="24"/>
        </w:rPr>
        <w:t xml:space="preserve"> </w:t>
      </w:r>
      <w:r w:rsidR="00872DC8">
        <w:rPr>
          <w:bCs/>
          <w:sz w:val="24"/>
          <w:szCs w:val="24"/>
        </w:rPr>
        <w:t xml:space="preserve">that no Party’s annual contribution should decrease. It was hard to see how this could be the case. France favoured a baseline of </w:t>
      </w:r>
      <w:r w:rsidR="00157630">
        <w:rPr>
          <w:bCs/>
          <w:sz w:val="24"/>
          <w:szCs w:val="24"/>
        </w:rPr>
        <w:t xml:space="preserve">Scenario 1 or Scenario 1+ </w:t>
      </w:r>
      <w:r w:rsidR="00831498">
        <w:rPr>
          <w:bCs/>
          <w:sz w:val="24"/>
          <w:szCs w:val="24"/>
        </w:rPr>
        <w:t>(</w:t>
      </w:r>
      <w:r w:rsidR="00872DC8">
        <w:rPr>
          <w:bCs/>
          <w:sz w:val="24"/>
          <w:szCs w:val="24"/>
        </w:rPr>
        <w:t>including only an adjustment for inflation)</w:t>
      </w:r>
      <w:r w:rsidR="00157630">
        <w:rPr>
          <w:bCs/>
          <w:sz w:val="24"/>
          <w:szCs w:val="24"/>
        </w:rPr>
        <w:t>.</w:t>
      </w:r>
    </w:p>
    <w:p w14:paraId="567E9CD5" w14:textId="77777777" w:rsidR="001829D7" w:rsidRDefault="001829D7" w:rsidP="00714211">
      <w:pPr>
        <w:jc w:val="both"/>
        <w:rPr>
          <w:bCs/>
          <w:sz w:val="24"/>
          <w:szCs w:val="24"/>
        </w:rPr>
      </w:pPr>
    </w:p>
    <w:p w14:paraId="744189E2" w14:textId="1DB9DCD4" w:rsidR="00157630" w:rsidRDefault="00F673D1" w:rsidP="00714211">
      <w:pPr>
        <w:jc w:val="both"/>
        <w:rPr>
          <w:bCs/>
          <w:sz w:val="24"/>
          <w:szCs w:val="24"/>
        </w:rPr>
      </w:pPr>
      <w:r>
        <w:rPr>
          <w:bCs/>
          <w:sz w:val="24"/>
          <w:szCs w:val="24"/>
        </w:rPr>
        <w:t xml:space="preserve">23. </w:t>
      </w:r>
      <w:r w:rsidR="00872DC8">
        <w:rPr>
          <w:bCs/>
          <w:sz w:val="24"/>
          <w:szCs w:val="24"/>
        </w:rPr>
        <w:t xml:space="preserve">In response to questions from France and Germany, the </w:t>
      </w:r>
      <w:r w:rsidR="00872DC8" w:rsidRPr="00F673D1">
        <w:rPr>
          <w:b/>
          <w:sz w:val="24"/>
          <w:szCs w:val="24"/>
        </w:rPr>
        <w:t>Executive Secretary</w:t>
      </w:r>
      <w:r w:rsidR="00872DC8">
        <w:rPr>
          <w:bCs/>
          <w:sz w:val="24"/>
          <w:szCs w:val="24"/>
        </w:rPr>
        <w:t xml:space="preserve"> provided additional information on how cost of living adjustments had been applied to the</w:t>
      </w:r>
      <w:r w:rsidR="00BC60AE">
        <w:rPr>
          <w:bCs/>
          <w:sz w:val="24"/>
          <w:szCs w:val="24"/>
        </w:rPr>
        <w:t xml:space="preserve"> </w:t>
      </w:r>
      <w:r w:rsidR="00872DC8">
        <w:rPr>
          <w:bCs/>
          <w:sz w:val="24"/>
          <w:szCs w:val="24"/>
        </w:rPr>
        <w:t>budgeted</w:t>
      </w:r>
      <w:r w:rsidR="00BC60AE">
        <w:rPr>
          <w:bCs/>
          <w:sz w:val="24"/>
          <w:szCs w:val="24"/>
        </w:rPr>
        <w:t xml:space="preserve"> scenarios</w:t>
      </w:r>
      <w:r w:rsidR="00872DC8">
        <w:rPr>
          <w:bCs/>
          <w:sz w:val="24"/>
          <w:szCs w:val="24"/>
        </w:rPr>
        <w:t xml:space="preserve"> for each year of the </w:t>
      </w:r>
      <w:r w:rsidR="003C291E">
        <w:rPr>
          <w:bCs/>
          <w:sz w:val="24"/>
          <w:szCs w:val="24"/>
        </w:rPr>
        <w:t>coming triennium.</w:t>
      </w:r>
      <w:r w:rsidR="00BC60AE">
        <w:rPr>
          <w:bCs/>
          <w:sz w:val="24"/>
          <w:szCs w:val="24"/>
        </w:rPr>
        <w:t xml:space="preserve"> </w:t>
      </w:r>
      <w:r w:rsidR="00252828">
        <w:rPr>
          <w:bCs/>
          <w:sz w:val="24"/>
          <w:szCs w:val="24"/>
        </w:rPr>
        <w:t>He recalled that during discussions at MOP7, it had been decided to set a ‘no decreased contributions’ criterion and to use resulting savings to avoid overly steep increases for Parties.</w:t>
      </w:r>
    </w:p>
    <w:p w14:paraId="6962CD17" w14:textId="0E62E9C3" w:rsidR="00C75FF1" w:rsidRDefault="00C75FF1" w:rsidP="00714211">
      <w:pPr>
        <w:jc w:val="both"/>
        <w:rPr>
          <w:bCs/>
          <w:sz w:val="24"/>
          <w:szCs w:val="24"/>
        </w:rPr>
      </w:pPr>
    </w:p>
    <w:p w14:paraId="67AC9A6E" w14:textId="73B9C1F6" w:rsidR="007C6856" w:rsidRDefault="00F673D1" w:rsidP="00714211">
      <w:pPr>
        <w:jc w:val="both"/>
        <w:rPr>
          <w:bCs/>
          <w:sz w:val="24"/>
          <w:szCs w:val="24"/>
        </w:rPr>
      </w:pPr>
      <w:r>
        <w:rPr>
          <w:bCs/>
          <w:sz w:val="24"/>
          <w:szCs w:val="24"/>
        </w:rPr>
        <w:t xml:space="preserve">24. The </w:t>
      </w:r>
      <w:r w:rsidR="00C75FF1" w:rsidRPr="00F673D1">
        <w:rPr>
          <w:b/>
          <w:sz w:val="24"/>
          <w:szCs w:val="24"/>
        </w:rPr>
        <w:t>Czech Republic</w:t>
      </w:r>
      <w:r w:rsidR="00BC60AE">
        <w:rPr>
          <w:bCs/>
          <w:sz w:val="24"/>
          <w:szCs w:val="24"/>
        </w:rPr>
        <w:t xml:space="preserve"> indicated</w:t>
      </w:r>
      <w:r w:rsidR="007C6856">
        <w:rPr>
          <w:bCs/>
          <w:sz w:val="24"/>
          <w:szCs w:val="24"/>
        </w:rPr>
        <w:t xml:space="preserve"> general support </w:t>
      </w:r>
      <w:r w:rsidR="00BC60AE">
        <w:rPr>
          <w:bCs/>
          <w:sz w:val="24"/>
          <w:szCs w:val="24"/>
        </w:rPr>
        <w:t>for the position</w:t>
      </w:r>
      <w:r w:rsidR="00831498">
        <w:rPr>
          <w:bCs/>
          <w:sz w:val="24"/>
          <w:szCs w:val="24"/>
        </w:rPr>
        <w:t>s</w:t>
      </w:r>
      <w:r w:rsidR="00BC60AE">
        <w:rPr>
          <w:bCs/>
          <w:sz w:val="24"/>
          <w:szCs w:val="24"/>
        </w:rPr>
        <w:t xml:space="preserve"> expressed by</w:t>
      </w:r>
      <w:r w:rsidR="007C6856">
        <w:rPr>
          <w:bCs/>
          <w:sz w:val="24"/>
          <w:szCs w:val="24"/>
        </w:rPr>
        <w:t xml:space="preserve"> Switzerland, Finland, </w:t>
      </w:r>
      <w:proofErr w:type="gramStart"/>
      <w:r w:rsidR="007C6856">
        <w:rPr>
          <w:bCs/>
          <w:sz w:val="24"/>
          <w:szCs w:val="24"/>
        </w:rPr>
        <w:t>Sweden</w:t>
      </w:r>
      <w:proofErr w:type="gramEnd"/>
      <w:r w:rsidR="007C6856">
        <w:rPr>
          <w:bCs/>
          <w:sz w:val="24"/>
          <w:szCs w:val="24"/>
        </w:rPr>
        <w:t xml:space="preserve"> and</w:t>
      </w:r>
      <w:r w:rsidR="00BC60AE">
        <w:rPr>
          <w:bCs/>
          <w:sz w:val="24"/>
          <w:szCs w:val="24"/>
        </w:rPr>
        <w:t xml:space="preserve"> The</w:t>
      </w:r>
      <w:r w:rsidR="007C6856">
        <w:rPr>
          <w:bCs/>
          <w:sz w:val="24"/>
          <w:szCs w:val="24"/>
        </w:rPr>
        <w:t xml:space="preserve"> Netherlan</w:t>
      </w:r>
      <w:r w:rsidR="00BC60AE">
        <w:rPr>
          <w:bCs/>
          <w:sz w:val="24"/>
          <w:szCs w:val="24"/>
        </w:rPr>
        <w:t>d</w:t>
      </w:r>
      <w:r w:rsidR="00326474">
        <w:rPr>
          <w:bCs/>
          <w:sz w:val="24"/>
          <w:szCs w:val="24"/>
        </w:rPr>
        <w:t>s</w:t>
      </w:r>
      <w:r w:rsidR="00BC60AE">
        <w:rPr>
          <w:bCs/>
          <w:sz w:val="24"/>
          <w:szCs w:val="24"/>
        </w:rPr>
        <w:t>, and noted the</w:t>
      </w:r>
      <w:r w:rsidR="007C6856">
        <w:rPr>
          <w:bCs/>
          <w:sz w:val="24"/>
          <w:szCs w:val="24"/>
        </w:rPr>
        <w:t xml:space="preserve"> gap between the budget and the level of </w:t>
      </w:r>
      <w:r w:rsidR="001829D7">
        <w:rPr>
          <w:bCs/>
          <w:sz w:val="24"/>
          <w:szCs w:val="24"/>
        </w:rPr>
        <w:t>Parties’</w:t>
      </w:r>
      <w:r w:rsidR="007C6856">
        <w:rPr>
          <w:bCs/>
          <w:sz w:val="24"/>
          <w:szCs w:val="24"/>
        </w:rPr>
        <w:t xml:space="preserve"> ambition. </w:t>
      </w:r>
      <w:r w:rsidR="001829D7">
        <w:rPr>
          <w:bCs/>
          <w:sz w:val="24"/>
          <w:szCs w:val="24"/>
        </w:rPr>
        <w:t xml:space="preserve">The Czech Republic therefore supported a budgetary increase, up to a level </w:t>
      </w:r>
      <w:r w:rsidR="007C6856">
        <w:rPr>
          <w:bCs/>
          <w:sz w:val="24"/>
          <w:szCs w:val="24"/>
        </w:rPr>
        <w:t>around Scenario 3</w:t>
      </w:r>
      <w:r w:rsidR="00897E76">
        <w:rPr>
          <w:bCs/>
          <w:sz w:val="24"/>
          <w:szCs w:val="24"/>
        </w:rPr>
        <w:t>.</w:t>
      </w:r>
    </w:p>
    <w:p w14:paraId="675FDDCC" w14:textId="63CCD65D" w:rsidR="00A9373D" w:rsidRDefault="00A9373D" w:rsidP="00714211">
      <w:pPr>
        <w:jc w:val="both"/>
        <w:rPr>
          <w:bCs/>
          <w:sz w:val="24"/>
          <w:szCs w:val="24"/>
        </w:rPr>
      </w:pPr>
    </w:p>
    <w:p w14:paraId="4448A645" w14:textId="3852E1B2" w:rsidR="00A9373D" w:rsidRDefault="00F673D1" w:rsidP="00714211">
      <w:pPr>
        <w:jc w:val="both"/>
        <w:rPr>
          <w:bCs/>
          <w:sz w:val="24"/>
          <w:szCs w:val="24"/>
        </w:rPr>
      </w:pPr>
      <w:r>
        <w:rPr>
          <w:bCs/>
          <w:sz w:val="24"/>
          <w:szCs w:val="24"/>
        </w:rPr>
        <w:t xml:space="preserve">25. </w:t>
      </w:r>
      <w:r w:rsidR="001829D7">
        <w:rPr>
          <w:bCs/>
          <w:sz w:val="24"/>
          <w:szCs w:val="24"/>
        </w:rPr>
        <w:t xml:space="preserve">The </w:t>
      </w:r>
      <w:r w:rsidR="001829D7" w:rsidRPr="00F673D1">
        <w:rPr>
          <w:b/>
          <w:sz w:val="24"/>
          <w:szCs w:val="24"/>
        </w:rPr>
        <w:t>Chair</w:t>
      </w:r>
      <w:r w:rsidR="001829D7">
        <w:rPr>
          <w:bCs/>
          <w:sz w:val="24"/>
          <w:szCs w:val="24"/>
        </w:rPr>
        <w:t xml:space="preserve"> felt that there was s</w:t>
      </w:r>
      <w:r w:rsidR="00A9373D">
        <w:rPr>
          <w:bCs/>
          <w:sz w:val="24"/>
          <w:szCs w:val="24"/>
        </w:rPr>
        <w:t>ome confusion around what appear</w:t>
      </w:r>
      <w:r w:rsidR="001829D7">
        <w:rPr>
          <w:bCs/>
          <w:sz w:val="24"/>
          <w:szCs w:val="24"/>
        </w:rPr>
        <w:t>ed</w:t>
      </w:r>
      <w:r w:rsidR="00A9373D">
        <w:rPr>
          <w:bCs/>
          <w:sz w:val="24"/>
          <w:szCs w:val="24"/>
        </w:rPr>
        <w:t xml:space="preserve"> to be additional staff costs under Scenario 2. </w:t>
      </w:r>
      <w:r w:rsidR="001829D7">
        <w:rPr>
          <w:bCs/>
          <w:sz w:val="24"/>
          <w:szCs w:val="24"/>
        </w:rPr>
        <w:t>R</w:t>
      </w:r>
      <w:r w:rsidR="00A9373D">
        <w:rPr>
          <w:bCs/>
          <w:sz w:val="24"/>
          <w:szCs w:val="24"/>
        </w:rPr>
        <w:t xml:space="preserve">ather than </w:t>
      </w:r>
      <w:r w:rsidR="001829D7">
        <w:rPr>
          <w:bCs/>
          <w:sz w:val="24"/>
          <w:szCs w:val="24"/>
        </w:rPr>
        <w:t>choosing</w:t>
      </w:r>
      <w:r w:rsidR="00A9373D">
        <w:rPr>
          <w:bCs/>
          <w:sz w:val="24"/>
          <w:szCs w:val="24"/>
        </w:rPr>
        <w:t xml:space="preserve"> to increase P staff</w:t>
      </w:r>
      <w:r w:rsidR="001829D7">
        <w:rPr>
          <w:bCs/>
          <w:sz w:val="24"/>
          <w:szCs w:val="24"/>
        </w:rPr>
        <w:t xml:space="preserve"> salaries,</w:t>
      </w:r>
      <w:r w:rsidR="00A9373D">
        <w:rPr>
          <w:bCs/>
          <w:sz w:val="24"/>
          <w:szCs w:val="24"/>
        </w:rPr>
        <w:t xml:space="preserve"> P staff</w:t>
      </w:r>
      <w:r w:rsidR="001829D7">
        <w:rPr>
          <w:bCs/>
          <w:sz w:val="24"/>
          <w:szCs w:val="24"/>
        </w:rPr>
        <w:t xml:space="preserve"> had been</w:t>
      </w:r>
      <w:r w:rsidR="00A9373D">
        <w:rPr>
          <w:bCs/>
          <w:sz w:val="24"/>
          <w:szCs w:val="24"/>
        </w:rPr>
        <w:t xml:space="preserve"> </w:t>
      </w:r>
      <w:r w:rsidR="001829D7">
        <w:rPr>
          <w:bCs/>
          <w:sz w:val="24"/>
          <w:szCs w:val="24"/>
        </w:rPr>
        <w:t>held at t</w:t>
      </w:r>
      <w:r w:rsidR="00A9373D">
        <w:rPr>
          <w:bCs/>
          <w:sz w:val="24"/>
          <w:szCs w:val="24"/>
        </w:rPr>
        <w:t xml:space="preserve">he </w:t>
      </w:r>
      <w:r w:rsidR="001829D7">
        <w:rPr>
          <w:bCs/>
          <w:sz w:val="24"/>
          <w:szCs w:val="24"/>
        </w:rPr>
        <w:t xml:space="preserve">same </w:t>
      </w:r>
      <w:r w:rsidR="00A9373D">
        <w:rPr>
          <w:bCs/>
          <w:sz w:val="24"/>
          <w:szCs w:val="24"/>
        </w:rPr>
        <w:t xml:space="preserve">level </w:t>
      </w:r>
      <w:r w:rsidR="001829D7">
        <w:rPr>
          <w:bCs/>
          <w:sz w:val="24"/>
          <w:szCs w:val="24"/>
        </w:rPr>
        <w:t>as</w:t>
      </w:r>
      <w:r w:rsidR="00A9373D">
        <w:rPr>
          <w:bCs/>
          <w:sz w:val="24"/>
          <w:szCs w:val="24"/>
        </w:rPr>
        <w:t xml:space="preserve"> previous year</w:t>
      </w:r>
      <w:r w:rsidR="001829D7">
        <w:rPr>
          <w:bCs/>
          <w:sz w:val="24"/>
          <w:szCs w:val="24"/>
        </w:rPr>
        <w:t xml:space="preserve">s, with the increase instead </w:t>
      </w:r>
      <w:r w:rsidR="00A9373D">
        <w:rPr>
          <w:bCs/>
          <w:sz w:val="24"/>
          <w:szCs w:val="24"/>
        </w:rPr>
        <w:t xml:space="preserve">allocated to </w:t>
      </w:r>
      <w:r w:rsidR="001829D7">
        <w:rPr>
          <w:bCs/>
          <w:sz w:val="24"/>
          <w:szCs w:val="24"/>
        </w:rPr>
        <w:t xml:space="preserve">more junior </w:t>
      </w:r>
      <w:r w:rsidR="00A9373D">
        <w:rPr>
          <w:bCs/>
          <w:sz w:val="24"/>
          <w:szCs w:val="24"/>
        </w:rPr>
        <w:t>part-time</w:t>
      </w:r>
      <w:r w:rsidR="001829D7">
        <w:rPr>
          <w:bCs/>
          <w:sz w:val="24"/>
          <w:szCs w:val="24"/>
        </w:rPr>
        <w:t xml:space="preserve"> </w:t>
      </w:r>
      <w:r w:rsidR="00A9373D">
        <w:rPr>
          <w:bCs/>
          <w:sz w:val="24"/>
          <w:szCs w:val="24"/>
        </w:rPr>
        <w:t xml:space="preserve">staff. The overall </w:t>
      </w:r>
      <w:r w:rsidR="001829D7">
        <w:rPr>
          <w:bCs/>
          <w:sz w:val="24"/>
          <w:szCs w:val="24"/>
        </w:rPr>
        <w:t xml:space="preserve">salary </w:t>
      </w:r>
      <w:r w:rsidR="00A9373D">
        <w:rPr>
          <w:bCs/>
          <w:sz w:val="24"/>
          <w:szCs w:val="24"/>
        </w:rPr>
        <w:t>cost</w:t>
      </w:r>
      <w:r w:rsidR="001829D7">
        <w:rPr>
          <w:bCs/>
          <w:sz w:val="24"/>
          <w:szCs w:val="24"/>
        </w:rPr>
        <w:t>s</w:t>
      </w:r>
      <w:r w:rsidR="00A9373D">
        <w:rPr>
          <w:bCs/>
          <w:sz w:val="24"/>
          <w:szCs w:val="24"/>
        </w:rPr>
        <w:t xml:space="preserve"> </w:t>
      </w:r>
      <w:r w:rsidR="001829D7">
        <w:rPr>
          <w:bCs/>
          <w:sz w:val="24"/>
          <w:szCs w:val="24"/>
        </w:rPr>
        <w:t xml:space="preserve">hadn’t </w:t>
      </w:r>
      <w:r w:rsidR="00A9373D">
        <w:rPr>
          <w:bCs/>
          <w:sz w:val="24"/>
          <w:szCs w:val="24"/>
        </w:rPr>
        <w:t>change</w:t>
      </w:r>
      <w:r w:rsidR="00326474">
        <w:rPr>
          <w:bCs/>
          <w:sz w:val="24"/>
          <w:szCs w:val="24"/>
        </w:rPr>
        <w:t>d</w:t>
      </w:r>
      <w:r w:rsidR="00A9373D">
        <w:rPr>
          <w:bCs/>
          <w:sz w:val="24"/>
          <w:szCs w:val="24"/>
        </w:rPr>
        <w:t>, i</w:t>
      </w:r>
      <w:r w:rsidR="001829D7">
        <w:rPr>
          <w:bCs/>
          <w:sz w:val="24"/>
          <w:szCs w:val="24"/>
        </w:rPr>
        <w:t>t was</w:t>
      </w:r>
      <w:r w:rsidR="00A9373D">
        <w:rPr>
          <w:bCs/>
          <w:sz w:val="24"/>
          <w:szCs w:val="24"/>
        </w:rPr>
        <w:t xml:space="preserve"> </w:t>
      </w:r>
      <w:r w:rsidR="001829D7">
        <w:rPr>
          <w:bCs/>
          <w:sz w:val="24"/>
          <w:szCs w:val="24"/>
        </w:rPr>
        <w:t>simply</w:t>
      </w:r>
      <w:r w:rsidR="00A9373D">
        <w:rPr>
          <w:bCs/>
          <w:sz w:val="24"/>
          <w:szCs w:val="24"/>
        </w:rPr>
        <w:t xml:space="preserve"> a question of</w:t>
      </w:r>
      <w:r w:rsidR="001829D7">
        <w:rPr>
          <w:bCs/>
          <w:sz w:val="24"/>
          <w:szCs w:val="24"/>
        </w:rPr>
        <w:t xml:space="preserve"> precisely</w:t>
      </w:r>
      <w:r w:rsidR="00A9373D">
        <w:rPr>
          <w:bCs/>
          <w:sz w:val="24"/>
          <w:szCs w:val="24"/>
        </w:rPr>
        <w:t xml:space="preserve"> where resources for staff time ha</w:t>
      </w:r>
      <w:r w:rsidR="001829D7">
        <w:rPr>
          <w:bCs/>
          <w:sz w:val="24"/>
          <w:szCs w:val="24"/>
        </w:rPr>
        <w:t>d</w:t>
      </w:r>
      <w:r w:rsidR="00A9373D">
        <w:rPr>
          <w:bCs/>
          <w:sz w:val="24"/>
          <w:szCs w:val="24"/>
        </w:rPr>
        <w:t xml:space="preserve"> been allocated.</w:t>
      </w:r>
    </w:p>
    <w:p w14:paraId="07F72C12" w14:textId="30627606" w:rsidR="00866735" w:rsidRDefault="00866735" w:rsidP="00714211">
      <w:pPr>
        <w:jc w:val="both"/>
        <w:rPr>
          <w:bCs/>
          <w:sz w:val="24"/>
          <w:szCs w:val="24"/>
        </w:rPr>
      </w:pPr>
    </w:p>
    <w:p w14:paraId="4C568298" w14:textId="2C462111" w:rsidR="00866735" w:rsidRDefault="00F673D1" w:rsidP="00714211">
      <w:pPr>
        <w:jc w:val="both"/>
        <w:rPr>
          <w:bCs/>
          <w:sz w:val="24"/>
          <w:szCs w:val="24"/>
        </w:rPr>
      </w:pPr>
      <w:r>
        <w:rPr>
          <w:bCs/>
          <w:sz w:val="24"/>
          <w:szCs w:val="24"/>
        </w:rPr>
        <w:t xml:space="preserve">26. </w:t>
      </w:r>
      <w:r w:rsidR="00866735" w:rsidRPr="00F673D1">
        <w:rPr>
          <w:b/>
          <w:sz w:val="24"/>
          <w:szCs w:val="24"/>
        </w:rPr>
        <w:t>France</w:t>
      </w:r>
      <w:r w:rsidR="00BA0B59">
        <w:rPr>
          <w:bCs/>
          <w:sz w:val="24"/>
          <w:szCs w:val="24"/>
        </w:rPr>
        <w:t xml:space="preserve"> observed that even under</w:t>
      </w:r>
      <w:r w:rsidR="00866735">
        <w:rPr>
          <w:bCs/>
          <w:sz w:val="24"/>
          <w:szCs w:val="24"/>
        </w:rPr>
        <w:t xml:space="preserve"> Scenario 1 there </w:t>
      </w:r>
      <w:r w:rsidR="00BA0B59">
        <w:rPr>
          <w:bCs/>
          <w:sz w:val="24"/>
          <w:szCs w:val="24"/>
        </w:rPr>
        <w:t>would be</w:t>
      </w:r>
      <w:r w:rsidR="00866735">
        <w:rPr>
          <w:bCs/>
          <w:sz w:val="24"/>
          <w:szCs w:val="24"/>
        </w:rPr>
        <w:t xml:space="preserve"> an increase in</w:t>
      </w:r>
      <w:r w:rsidR="00801508">
        <w:rPr>
          <w:bCs/>
          <w:sz w:val="24"/>
          <w:szCs w:val="24"/>
        </w:rPr>
        <w:t xml:space="preserve"> its</w:t>
      </w:r>
      <w:r w:rsidR="00BA0B59">
        <w:rPr>
          <w:bCs/>
          <w:sz w:val="24"/>
          <w:szCs w:val="24"/>
        </w:rPr>
        <w:t xml:space="preserve"> </w:t>
      </w:r>
      <w:r w:rsidR="00866735">
        <w:rPr>
          <w:bCs/>
          <w:sz w:val="24"/>
          <w:szCs w:val="24"/>
        </w:rPr>
        <w:t>contributions.</w:t>
      </w:r>
    </w:p>
    <w:p w14:paraId="6349AD0D" w14:textId="1C80A6B0" w:rsidR="00BA0B59" w:rsidRDefault="00BA0B59" w:rsidP="00714211">
      <w:pPr>
        <w:jc w:val="both"/>
        <w:rPr>
          <w:bCs/>
          <w:sz w:val="24"/>
          <w:szCs w:val="24"/>
        </w:rPr>
      </w:pPr>
    </w:p>
    <w:p w14:paraId="3169FB0B" w14:textId="4E15C918" w:rsidR="00252828" w:rsidRDefault="00F673D1" w:rsidP="00252828">
      <w:pPr>
        <w:jc w:val="both"/>
        <w:rPr>
          <w:bCs/>
          <w:sz w:val="24"/>
          <w:szCs w:val="24"/>
        </w:rPr>
      </w:pPr>
      <w:r>
        <w:rPr>
          <w:bCs/>
          <w:sz w:val="24"/>
          <w:szCs w:val="24"/>
        </w:rPr>
        <w:lastRenderedPageBreak/>
        <w:t xml:space="preserve">27. </w:t>
      </w:r>
      <w:r w:rsidR="00252828" w:rsidRPr="0014669D">
        <w:rPr>
          <w:bCs/>
          <w:sz w:val="24"/>
          <w:szCs w:val="24"/>
        </w:rPr>
        <w:t xml:space="preserve">The </w:t>
      </w:r>
      <w:r w:rsidR="00252828" w:rsidRPr="00F673D1">
        <w:rPr>
          <w:b/>
          <w:sz w:val="24"/>
          <w:szCs w:val="24"/>
        </w:rPr>
        <w:t>Executive Secretary</w:t>
      </w:r>
      <w:r w:rsidR="00252828">
        <w:rPr>
          <w:bCs/>
          <w:sz w:val="24"/>
          <w:szCs w:val="24"/>
        </w:rPr>
        <w:t>, refer</w:t>
      </w:r>
      <w:r w:rsidR="00326474">
        <w:rPr>
          <w:bCs/>
          <w:sz w:val="24"/>
          <w:szCs w:val="24"/>
        </w:rPr>
        <w:t>r</w:t>
      </w:r>
      <w:r w:rsidR="00252828">
        <w:rPr>
          <w:bCs/>
          <w:sz w:val="24"/>
          <w:szCs w:val="24"/>
        </w:rPr>
        <w:t xml:space="preserve">ing to document AEWA/MOP 8.39 Corr. 1 annex 1, noted that the contributions for France were the same for MOP7 and </w:t>
      </w:r>
      <w:r w:rsidR="00326474">
        <w:rPr>
          <w:bCs/>
          <w:sz w:val="24"/>
          <w:szCs w:val="24"/>
        </w:rPr>
        <w:t xml:space="preserve">for </w:t>
      </w:r>
      <w:r w:rsidR="00252828">
        <w:rPr>
          <w:bCs/>
          <w:sz w:val="24"/>
          <w:szCs w:val="24"/>
        </w:rPr>
        <w:t>MOP8 proposed Scenario</w:t>
      </w:r>
      <w:r w:rsidR="00326474">
        <w:rPr>
          <w:bCs/>
          <w:sz w:val="24"/>
          <w:szCs w:val="24"/>
        </w:rPr>
        <w:t xml:space="preserve"> </w:t>
      </w:r>
      <w:r w:rsidR="00252828">
        <w:rPr>
          <w:bCs/>
          <w:sz w:val="24"/>
          <w:szCs w:val="24"/>
        </w:rPr>
        <w:t>1.</w:t>
      </w:r>
    </w:p>
    <w:p w14:paraId="4EFF40E9" w14:textId="77777777" w:rsidR="00252828" w:rsidRDefault="00252828" w:rsidP="00714211">
      <w:pPr>
        <w:jc w:val="both"/>
        <w:rPr>
          <w:bCs/>
          <w:sz w:val="24"/>
          <w:szCs w:val="24"/>
        </w:rPr>
      </w:pPr>
    </w:p>
    <w:p w14:paraId="0E87750C" w14:textId="19D009DF" w:rsidR="00BA0B59" w:rsidRDefault="00F673D1" w:rsidP="00714211">
      <w:pPr>
        <w:jc w:val="both"/>
        <w:rPr>
          <w:bCs/>
          <w:sz w:val="24"/>
          <w:szCs w:val="24"/>
        </w:rPr>
      </w:pPr>
      <w:r>
        <w:rPr>
          <w:bCs/>
          <w:sz w:val="24"/>
          <w:szCs w:val="24"/>
        </w:rPr>
        <w:t xml:space="preserve">28. </w:t>
      </w:r>
      <w:r w:rsidR="00BA0B59">
        <w:rPr>
          <w:bCs/>
          <w:sz w:val="24"/>
          <w:szCs w:val="24"/>
        </w:rPr>
        <w:t>Th</w:t>
      </w:r>
      <w:r w:rsidR="00831498">
        <w:rPr>
          <w:bCs/>
          <w:sz w:val="24"/>
          <w:szCs w:val="24"/>
        </w:rPr>
        <w:t>e</w:t>
      </w:r>
      <w:r w:rsidR="00BA0B59">
        <w:rPr>
          <w:bCs/>
          <w:sz w:val="24"/>
          <w:szCs w:val="24"/>
        </w:rPr>
        <w:t xml:space="preserve"> </w:t>
      </w:r>
      <w:r w:rsidR="00BA0B59" w:rsidRPr="00F673D1">
        <w:rPr>
          <w:b/>
          <w:sz w:val="24"/>
          <w:szCs w:val="24"/>
        </w:rPr>
        <w:t>Chair</w:t>
      </w:r>
      <w:r w:rsidR="00BA0B59">
        <w:rPr>
          <w:bCs/>
          <w:sz w:val="24"/>
          <w:szCs w:val="24"/>
        </w:rPr>
        <w:t xml:space="preserve"> recalled that this was a consequence of the decision taken by MOP7 to </w:t>
      </w:r>
      <w:r w:rsidR="00801508">
        <w:rPr>
          <w:bCs/>
          <w:sz w:val="24"/>
          <w:szCs w:val="24"/>
        </w:rPr>
        <w:t>move</w:t>
      </w:r>
      <w:r w:rsidR="00BA0B59">
        <w:rPr>
          <w:bCs/>
          <w:sz w:val="24"/>
          <w:szCs w:val="24"/>
        </w:rPr>
        <w:t xml:space="preserve"> toward</w:t>
      </w:r>
      <w:r w:rsidR="00801508">
        <w:rPr>
          <w:bCs/>
          <w:sz w:val="24"/>
          <w:szCs w:val="24"/>
        </w:rPr>
        <w:t>s</w:t>
      </w:r>
      <w:r w:rsidR="00BA0B59">
        <w:rPr>
          <w:bCs/>
          <w:sz w:val="24"/>
          <w:szCs w:val="24"/>
        </w:rPr>
        <w:t xml:space="preserve"> appl</w:t>
      </w:r>
      <w:r w:rsidR="00801508">
        <w:rPr>
          <w:bCs/>
          <w:sz w:val="24"/>
          <w:szCs w:val="24"/>
        </w:rPr>
        <w:t xml:space="preserve">ying </w:t>
      </w:r>
      <w:r w:rsidR="00BA0B59">
        <w:rPr>
          <w:bCs/>
          <w:sz w:val="24"/>
          <w:szCs w:val="24"/>
        </w:rPr>
        <w:t xml:space="preserve">the UN scale of </w:t>
      </w:r>
      <w:r w:rsidR="00801508">
        <w:rPr>
          <w:bCs/>
          <w:sz w:val="24"/>
          <w:szCs w:val="24"/>
        </w:rPr>
        <w:t xml:space="preserve">assessment. The latter </w:t>
      </w:r>
      <w:r w:rsidR="00BA0B59">
        <w:rPr>
          <w:bCs/>
          <w:sz w:val="24"/>
          <w:szCs w:val="24"/>
        </w:rPr>
        <w:t>was based on</w:t>
      </w:r>
      <w:r w:rsidR="00801508">
        <w:rPr>
          <w:bCs/>
          <w:sz w:val="24"/>
          <w:szCs w:val="24"/>
        </w:rPr>
        <w:t xml:space="preserve"> ability to pay and </w:t>
      </w:r>
      <w:r w:rsidR="0032134E">
        <w:rPr>
          <w:bCs/>
          <w:sz w:val="24"/>
          <w:szCs w:val="24"/>
        </w:rPr>
        <w:t>could therefore</w:t>
      </w:r>
      <w:r w:rsidR="00801508">
        <w:rPr>
          <w:bCs/>
          <w:sz w:val="24"/>
          <w:szCs w:val="24"/>
        </w:rPr>
        <w:t xml:space="preserve"> mean an increase for some Parties under </w:t>
      </w:r>
      <w:r w:rsidR="0032134E">
        <w:rPr>
          <w:bCs/>
          <w:sz w:val="24"/>
          <w:szCs w:val="24"/>
        </w:rPr>
        <w:t>all</w:t>
      </w:r>
      <w:r w:rsidR="00801508">
        <w:rPr>
          <w:bCs/>
          <w:sz w:val="24"/>
          <w:szCs w:val="24"/>
        </w:rPr>
        <w:t xml:space="preserve"> budget scenarios.</w:t>
      </w:r>
      <w:r w:rsidR="00BA0B59">
        <w:rPr>
          <w:bCs/>
          <w:sz w:val="24"/>
          <w:szCs w:val="24"/>
        </w:rPr>
        <w:t xml:space="preserve"> </w:t>
      </w:r>
    </w:p>
    <w:p w14:paraId="3E653CA3" w14:textId="40D41F09" w:rsidR="00866735" w:rsidRDefault="00866735" w:rsidP="00714211">
      <w:pPr>
        <w:jc w:val="both"/>
        <w:rPr>
          <w:bCs/>
          <w:sz w:val="24"/>
          <w:szCs w:val="24"/>
        </w:rPr>
      </w:pPr>
    </w:p>
    <w:p w14:paraId="496F73D5" w14:textId="65508414" w:rsidR="002F5701" w:rsidRDefault="00F673D1" w:rsidP="00714211">
      <w:pPr>
        <w:jc w:val="both"/>
        <w:rPr>
          <w:bCs/>
          <w:sz w:val="24"/>
          <w:szCs w:val="24"/>
        </w:rPr>
      </w:pPr>
      <w:r>
        <w:rPr>
          <w:bCs/>
          <w:sz w:val="24"/>
          <w:szCs w:val="24"/>
        </w:rPr>
        <w:t xml:space="preserve">29. </w:t>
      </w:r>
      <w:r w:rsidR="0032134E">
        <w:rPr>
          <w:bCs/>
          <w:sz w:val="24"/>
          <w:szCs w:val="24"/>
        </w:rPr>
        <w:t xml:space="preserve">The </w:t>
      </w:r>
      <w:r w:rsidR="0032134E" w:rsidRPr="00F673D1">
        <w:rPr>
          <w:b/>
          <w:sz w:val="24"/>
          <w:szCs w:val="24"/>
        </w:rPr>
        <w:t>Executive Secretary</w:t>
      </w:r>
      <w:r w:rsidR="0032134E">
        <w:rPr>
          <w:bCs/>
          <w:sz w:val="24"/>
          <w:szCs w:val="24"/>
        </w:rPr>
        <w:t xml:space="preserve"> provided clarification on how the UN scale had been applied in the context of AEWA, in conformity with the decision taken at MOP7, and committed to providing additional information in respons</w:t>
      </w:r>
      <w:r w:rsidR="00831498">
        <w:rPr>
          <w:bCs/>
          <w:sz w:val="24"/>
          <w:szCs w:val="24"/>
        </w:rPr>
        <w:t>e</w:t>
      </w:r>
      <w:r w:rsidR="0032134E">
        <w:rPr>
          <w:bCs/>
          <w:sz w:val="24"/>
          <w:szCs w:val="24"/>
        </w:rPr>
        <w:t xml:space="preserve"> to the specific concerns raised by France.</w:t>
      </w:r>
      <w:r w:rsidR="00FF3A81">
        <w:rPr>
          <w:bCs/>
          <w:sz w:val="24"/>
          <w:szCs w:val="24"/>
        </w:rPr>
        <w:t xml:space="preserve"> He recalled th</w:t>
      </w:r>
      <w:r w:rsidR="00831498">
        <w:rPr>
          <w:bCs/>
          <w:sz w:val="24"/>
          <w:szCs w:val="24"/>
        </w:rPr>
        <w:t>at</w:t>
      </w:r>
      <w:r w:rsidR="00FF3A81">
        <w:rPr>
          <w:bCs/>
          <w:sz w:val="24"/>
          <w:szCs w:val="24"/>
        </w:rPr>
        <w:t xml:space="preserve"> African Parties had committed to a EUR 2,000 minimum threshold for national contributions as an important sign of solidarity with the aims of the Agreement.</w:t>
      </w:r>
    </w:p>
    <w:p w14:paraId="656BF01B" w14:textId="17FC1B9E" w:rsidR="001C0993" w:rsidRDefault="001C0993" w:rsidP="00714211">
      <w:pPr>
        <w:jc w:val="both"/>
        <w:rPr>
          <w:bCs/>
          <w:sz w:val="24"/>
          <w:szCs w:val="24"/>
        </w:rPr>
      </w:pPr>
    </w:p>
    <w:p w14:paraId="160EE214" w14:textId="34D08186" w:rsidR="008C57CA" w:rsidRDefault="00F673D1" w:rsidP="00714211">
      <w:pPr>
        <w:jc w:val="both"/>
        <w:rPr>
          <w:bCs/>
          <w:sz w:val="24"/>
          <w:szCs w:val="24"/>
        </w:rPr>
      </w:pPr>
      <w:r>
        <w:rPr>
          <w:bCs/>
          <w:sz w:val="24"/>
          <w:szCs w:val="24"/>
        </w:rPr>
        <w:t xml:space="preserve">30. </w:t>
      </w:r>
      <w:r w:rsidR="008C57CA" w:rsidRPr="00F673D1">
        <w:rPr>
          <w:b/>
          <w:sz w:val="24"/>
          <w:szCs w:val="24"/>
        </w:rPr>
        <w:t>Germany</w:t>
      </w:r>
      <w:r w:rsidR="00FF3A81">
        <w:rPr>
          <w:bCs/>
          <w:sz w:val="24"/>
          <w:szCs w:val="24"/>
        </w:rPr>
        <w:t xml:space="preserve"> </w:t>
      </w:r>
      <w:r w:rsidR="008C57CA">
        <w:rPr>
          <w:bCs/>
          <w:sz w:val="24"/>
          <w:szCs w:val="24"/>
        </w:rPr>
        <w:t>suggest</w:t>
      </w:r>
      <w:r w:rsidR="00FF3A81">
        <w:rPr>
          <w:bCs/>
          <w:sz w:val="24"/>
          <w:szCs w:val="24"/>
        </w:rPr>
        <w:t>ed that it</w:t>
      </w:r>
      <w:r w:rsidR="008C57CA">
        <w:rPr>
          <w:bCs/>
          <w:sz w:val="24"/>
          <w:szCs w:val="24"/>
        </w:rPr>
        <w:t xml:space="preserve"> would be helpful to work on </w:t>
      </w:r>
      <w:r w:rsidR="00FF3A81">
        <w:rPr>
          <w:bCs/>
          <w:sz w:val="24"/>
          <w:szCs w:val="24"/>
        </w:rPr>
        <w:t xml:space="preserve">a </w:t>
      </w:r>
      <w:r w:rsidR="008C57CA">
        <w:rPr>
          <w:bCs/>
          <w:sz w:val="24"/>
          <w:szCs w:val="24"/>
        </w:rPr>
        <w:t xml:space="preserve">common absolute baseline, </w:t>
      </w:r>
      <w:r w:rsidR="00FF3A81">
        <w:rPr>
          <w:bCs/>
          <w:sz w:val="24"/>
          <w:szCs w:val="24"/>
        </w:rPr>
        <w:t>representing basic legal</w:t>
      </w:r>
      <w:r w:rsidR="008C57CA">
        <w:rPr>
          <w:bCs/>
          <w:sz w:val="24"/>
          <w:szCs w:val="24"/>
        </w:rPr>
        <w:t xml:space="preserve"> requirements</w:t>
      </w:r>
      <w:r w:rsidR="00FF3A81">
        <w:rPr>
          <w:bCs/>
          <w:sz w:val="24"/>
          <w:szCs w:val="24"/>
        </w:rPr>
        <w:t>, a 2% per annum increment,</w:t>
      </w:r>
      <w:r w:rsidR="008C57CA">
        <w:rPr>
          <w:bCs/>
          <w:sz w:val="24"/>
          <w:szCs w:val="24"/>
        </w:rPr>
        <w:t xml:space="preserve"> plus</w:t>
      </w:r>
      <w:r w:rsidR="00FF3A81">
        <w:rPr>
          <w:bCs/>
          <w:sz w:val="24"/>
          <w:szCs w:val="24"/>
        </w:rPr>
        <w:t xml:space="preserve"> a </w:t>
      </w:r>
      <w:r w:rsidR="008A1C94">
        <w:rPr>
          <w:bCs/>
          <w:sz w:val="24"/>
          <w:szCs w:val="24"/>
        </w:rPr>
        <w:t>minimum required amount</w:t>
      </w:r>
      <w:r w:rsidR="00FF3A81">
        <w:rPr>
          <w:bCs/>
          <w:sz w:val="24"/>
          <w:szCs w:val="24"/>
        </w:rPr>
        <w:t xml:space="preserve"> for organisation of </w:t>
      </w:r>
      <w:r w:rsidR="008C57CA">
        <w:rPr>
          <w:bCs/>
          <w:sz w:val="24"/>
          <w:szCs w:val="24"/>
        </w:rPr>
        <w:t>MOP</w:t>
      </w:r>
      <w:r w:rsidR="008A1C94">
        <w:rPr>
          <w:bCs/>
          <w:sz w:val="24"/>
          <w:szCs w:val="24"/>
        </w:rPr>
        <w:t>9</w:t>
      </w:r>
      <w:r w:rsidR="00FF3A81">
        <w:rPr>
          <w:bCs/>
          <w:sz w:val="24"/>
          <w:szCs w:val="24"/>
        </w:rPr>
        <w:t>. Parties</w:t>
      </w:r>
      <w:r w:rsidR="00326474">
        <w:rPr>
          <w:bCs/>
          <w:sz w:val="24"/>
          <w:szCs w:val="24"/>
        </w:rPr>
        <w:t>’</w:t>
      </w:r>
      <w:r w:rsidR="00FF3A81">
        <w:rPr>
          <w:bCs/>
          <w:sz w:val="24"/>
          <w:szCs w:val="24"/>
        </w:rPr>
        <w:t xml:space="preserve"> ‘</w:t>
      </w:r>
      <w:r w:rsidR="008C57CA">
        <w:rPr>
          <w:bCs/>
          <w:sz w:val="24"/>
          <w:szCs w:val="24"/>
        </w:rPr>
        <w:t>wish list</w:t>
      </w:r>
      <w:r w:rsidR="00FF3A81">
        <w:rPr>
          <w:bCs/>
          <w:sz w:val="24"/>
          <w:szCs w:val="24"/>
        </w:rPr>
        <w:t>’ of priorities could then be added to this baseline</w:t>
      </w:r>
      <w:r w:rsidR="008C57CA">
        <w:rPr>
          <w:bCs/>
          <w:sz w:val="24"/>
          <w:szCs w:val="24"/>
        </w:rPr>
        <w:t xml:space="preserve">. </w:t>
      </w:r>
      <w:r w:rsidR="008A1C94">
        <w:rPr>
          <w:bCs/>
          <w:sz w:val="24"/>
          <w:szCs w:val="24"/>
        </w:rPr>
        <w:t>Germany further suggested a non-</w:t>
      </w:r>
      <w:r w:rsidR="008C57CA">
        <w:rPr>
          <w:bCs/>
          <w:sz w:val="24"/>
          <w:szCs w:val="24"/>
        </w:rPr>
        <w:t>linear increase</w:t>
      </w:r>
      <w:r w:rsidR="008A1C94">
        <w:rPr>
          <w:bCs/>
          <w:sz w:val="24"/>
          <w:szCs w:val="24"/>
        </w:rPr>
        <w:t xml:space="preserve"> over the course of the triennium, </w:t>
      </w:r>
      <w:r w:rsidR="00831498">
        <w:rPr>
          <w:bCs/>
          <w:sz w:val="24"/>
          <w:szCs w:val="24"/>
        </w:rPr>
        <w:t xml:space="preserve">such </w:t>
      </w:r>
      <w:r w:rsidR="008A1C94">
        <w:rPr>
          <w:bCs/>
          <w:sz w:val="24"/>
          <w:szCs w:val="24"/>
        </w:rPr>
        <w:t>as</w:t>
      </w:r>
      <w:r w:rsidR="00831498">
        <w:rPr>
          <w:bCs/>
          <w:sz w:val="24"/>
          <w:szCs w:val="24"/>
        </w:rPr>
        <w:t xml:space="preserve"> that</w:t>
      </w:r>
      <w:r w:rsidR="008A1C94">
        <w:rPr>
          <w:bCs/>
          <w:sz w:val="24"/>
          <w:szCs w:val="24"/>
        </w:rPr>
        <w:t xml:space="preserve"> decided at MOP7, </w:t>
      </w:r>
      <w:r w:rsidR="00831498">
        <w:rPr>
          <w:bCs/>
          <w:sz w:val="24"/>
          <w:szCs w:val="24"/>
        </w:rPr>
        <w:t>through which the</w:t>
      </w:r>
      <w:r w:rsidR="008A1C94">
        <w:rPr>
          <w:bCs/>
          <w:sz w:val="24"/>
          <w:szCs w:val="24"/>
        </w:rPr>
        <w:t xml:space="preserve"> overall increase for 2018-2021 was allocated at 30%, 33% and 37% across the triennium.</w:t>
      </w:r>
    </w:p>
    <w:p w14:paraId="7BD00E92" w14:textId="77CBE87A" w:rsidR="00452BE9" w:rsidRDefault="00452BE9" w:rsidP="00714211">
      <w:pPr>
        <w:jc w:val="both"/>
        <w:rPr>
          <w:bCs/>
          <w:sz w:val="24"/>
          <w:szCs w:val="24"/>
        </w:rPr>
      </w:pPr>
    </w:p>
    <w:p w14:paraId="64A290D2" w14:textId="7814A966" w:rsidR="00452BE9" w:rsidRDefault="00F673D1" w:rsidP="00714211">
      <w:pPr>
        <w:jc w:val="both"/>
        <w:rPr>
          <w:bCs/>
          <w:sz w:val="24"/>
          <w:szCs w:val="24"/>
        </w:rPr>
      </w:pPr>
      <w:r>
        <w:rPr>
          <w:bCs/>
          <w:sz w:val="24"/>
          <w:szCs w:val="24"/>
        </w:rPr>
        <w:t xml:space="preserve">31. </w:t>
      </w:r>
      <w:r w:rsidR="008A1C94">
        <w:rPr>
          <w:bCs/>
          <w:sz w:val="24"/>
          <w:szCs w:val="24"/>
        </w:rPr>
        <w:t xml:space="preserve">The </w:t>
      </w:r>
      <w:r w:rsidR="002B0656" w:rsidRPr="00F673D1">
        <w:rPr>
          <w:b/>
          <w:sz w:val="24"/>
          <w:szCs w:val="24"/>
        </w:rPr>
        <w:t>Executive Secretary</w:t>
      </w:r>
      <w:r w:rsidR="008A1C94">
        <w:rPr>
          <w:bCs/>
          <w:sz w:val="24"/>
          <w:szCs w:val="24"/>
        </w:rPr>
        <w:t xml:space="preserve"> undertook to prepare a series of new </w:t>
      </w:r>
      <w:r w:rsidR="002B0656">
        <w:rPr>
          <w:bCs/>
          <w:sz w:val="24"/>
          <w:szCs w:val="24"/>
        </w:rPr>
        <w:t xml:space="preserve">budget </w:t>
      </w:r>
      <w:r w:rsidR="008A1C94">
        <w:rPr>
          <w:bCs/>
          <w:sz w:val="24"/>
          <w:szCs w:val="24"/>
        </w:rPr>
        <w:t xml:space="preserve">scenarios in time for the Working Group to consider on 28 September. These would </w:t>
      </w:r>
      <w:proofErr w:type="gramStart"/>
      <w:r w:rsidR="008A1C94">
        <w:rPr>
          <w:bCs/>
          <w:sz w:val="24"/>
          <w:szCs w:val="24"/>
        </w:rPr>
        <w:t>show clearly</w:t>
      </w:r>
      <w:proofErr w:type="gramEnd"/>
      <w:r w:rsidR="008A1C94">
        <w:rPr>
          <w:bCs/>
          <w:sz w:val="24"/>
          <w:szCs w:val="24"/>
        </w:rPr>
        <w:t xml:space="preserve"> the costs to each Party of</w:t>
      </w:r>
      <w:r w:rsidR="002B0656">
        <w:rPr>
          <w:bCs/>
          <w:sz w:val="24"/>
          <w:szCs w:val="24"/>
        </w:rPr>
        <w:t xml:space="preserve"> (a)</w:t>
      </w:r>
      <w:r w:rsidR="008A1C94">
        <w:rPr>
          <w:bCs/>
          <w:sz w:val="24"/>
          <w:szCs w:val="24"/>
        </w:rPr>
        <w:t xml:space="preserve"> the baseline</w:t>
      </w:r>
      <w:r w:rsidR="002B0656">
        <w:rPr>
          <w:bCs/>
          <w:sz w:val="24"/>
          <w:szCs w:val="24"/>
        </w:rPr>
        <w:t xml:space="preserve"> </w:t>
      </w:r>
      <w:r w:rsidR="00516509">
        <w:rPr>
          <w:bCs/>
          <w:sz w:val="24"/>
          <w:szCs w:val="24"/>
        </w:rPr>
        <w:t xml:space="preserve">components </w:t>
      </w:r>
      <w:r w:rsidR="002B0656">
        <w:rPr>
          <w:bCs/>
          <w:sz w:val="24"/>
          <w:szCs w:val="24"/>
        </w:rPr>
        <w:t>suggested by Germany, (b) the additional costs that would</w:t>
      </w:r>
      <w:r w:rsidR="00111401">
        <w:rPr>
          <w:bCs/>
          <w:sz w:val="24"/>
          <w:szCs w:val="24"/>
        </w:rPr>
        <w:t xml:space="preserve"> be </w:t>
      </w:r>
      <w:r w:rsidR="002B0656">
        <w:rPr>
          <w:bCs/>
          <w:sz w:val="24"/>
          <w:szCs w:val="24"/>
        </w:rPr>
        <w:t>incurred by inclusion of</w:t>
      </w:r>
      <w:r w:rsidR="00111401">
        <w:rPr>
          <w:bCs/>
          <w:sz w:val="24"/>
          <w:szCs w:val="24"/>
        </w:rPr>
        <w:t xml:space="preserve"> a P3 Species Officer, </w:t>
      </w:r>
      <w:r w:rsidR="002B0656">
        <w:rPr>
          <w:bCs/>
          <w:sz w:val="24"/>
          <w:szCs w:val="24"/>
        </w:rPr>
        <w:t xml:space="preserve">(c) </w:t>
      </w:r>
      <w:r w:rsidRPr="0014669D">
        <w:rPr>
          <w:bCs/>
          <w:sz w:val="24"/>
          <w:szCs w:val="24"/>
        </w:rPr>
        <w:t>the additional costs that would be incurred by inclusion of a P</w:t>
      </w:r>
      <w:r>
        <w:rPr>
          <w:bCs/>
          <w:sz w:val="24"/>
          <w:szCs w:val="24"/>
        </w:rPr>
        <w:t>2</w:t>
      </w:r>
      <w:r w:rsidRPr="0014669D">
        <w:rPr>
          <w:bCs/>
          <w:sz w:val="24"/>
          <w:szCs w:val="24"/>
        </w:rPr>
        <w:t xml:space="preserve"> Species Officer</w:t>
      </w:r>
      <w:r>
        <w:rPr>
          <w:bCs/>
          <w:sz w:val="24"/>
          <w:szCs w:val="24"/>
        </w:rPr>
        <w:t xml:space="preserve"> </w:t>
      </w:r>
      <w:r w:rsidR="002B0656">
        <w:rPr>
          <w:bCs/>
          <w:sz w:val="24"/>
          <w:szCs w:val="24"/>
        </w:rPr>
        <w:t>and (d) the</w:t>
      </w:r>
      <w:r w:rsidRPr="00F673D1">
        <w:rPr>
          <w:bCs/>
          <w:sz w:val="24"/>
          <w:szCs w:val="24"/>
        </w:rPr>
        <w:t xml:space="preserve"> </w:t>
      </w:r>
      <w:r>
        <w:rPr>
          <w:bCs/>
          <w:sz w:val="24"/>
          <w:szCs w:val="24"/>
        </w:rPr>
        <w:t>additional costs for inclusion of a full-time African Coordinator</w:t>
      </w:r>
      <w:r w:rsidR="00111401">
        <w:rPr>
          <w:bCs/>
          <w:sz w:val="24"/>
          <w:szCs w:val="24"/>
        </w:rPr>
        <w:t>.</w:t>
      </w:r>
      <w:r w:rsidR="00D81952">
        <w:rPr>
          <w:bCs/>
          <w:sz w:val="24"/>
          <w:szCs w:val="24"/>
        </w:rPr>
        <w:t xml:space="preserve"> The revised scenarios would not include the positions of Compliance Officer and TC Support Officer provided for in current Scenario 4.</w:t>
      </w:r>
    </w:p>
    <w:p w14:paraId="1404507C" w14:textId="04906BA2" w:rsidR="00111401" w:rsidRDefault="00111401" w:rsidP="00714211">
      <w:pPr>
        <w:jc w:val="both"/>
        <w:rPr>
          <w:bCs/>
          <w:sz w:val="24"/>
          <w:szCs w:val="24"/>
        </w:rPr>
      </w:pPr>
    </w:p>
    <w:p w14:paraId="337DDD60" w14:textId="75F7CFE7" w:rsidR="00111401" w:rsidRDefault="00F673D1" w:rsidP="00714211">
      <w:pPr>
        <w:jc w:val="both"/>
        <w:rPr>
          <w:bCs/>
          <w:sz w:val="24"/>
          <w:szCs w:val="24"/>
        </w:rPr>
      </w:pPr>
      <w:r>
        <w:rPr>
          <w:bCs/>
          <w:sz w:val="24"/>
          <w:szCs w:val="24"/>
        </w:rPr>
        <w:t xml:space="preserve">32. </w:t>
      </w:r>
      <w:r w:rsidR="002B0656">
        <w:rPr>
          <w:bCs/>
          <w:sz w:val="24"/>
          <w:szCs w:val="24"/>
        </w:rPr>
        <w:t xml:space="preserve">The </w:t>
      </w:r>
      <w:r w:rsidR="002B0656" w:rsidRPr="00F673D1">
        <w:rPr>
          <w:b/>
          <w:sz w:val="24"/>
          <w:szCs w:val="24"/>
        </w:rPr>
        <w:t>U</w:t>
      </w:r>
      <w:r w:rsidR="00326474">
        <w:rPr>
          <w:b/>
          <w:sz w:val="24"/>
          <w:szCs w:val="24"/>
        </w:rPr>
        <w:t xml:space="preserve">nited </w:t>
      </w:r>
      <w:r w:rsidR="002B0656" w:rsidRPr="00F673D1">
        <w:rPr>
          <w:b/>
          <w:sz w:val="24"/>
          <w:szCs w:val="24"/>
        </w:rPr>
        <w:t>K</w:t>
      </w:r>
      <w:r w:rsidR="00326474">
        <w:rPr>
          <w:b/>
          <w:sz w:val="24"/>
          <w:szCs w:val="24"/>
        </w:rPr>
        <w:t>ingdom</w:t>
      </w:r>
      <w:r w:rsidR="002B0656">
        <w:rPr>
          <w:bCs/>
          <w:sz w:val="24"/>
          <w:szCs w:val="24"/>
        </w:rPr>
        <w:t xml:space="preserve"> considered that </w:t>
      </w:r>
      <w:r w:rsidR="00111401">
        <w:rPr>
          <w:bCs/>
          <w:sz w:val="24"/>
          <w:szCs w:val="24"/>
        </w:rPr>
        <w:t>the baseline should</w:t>
      </w:r>
      <w:r w:rsidR="002B0656">
        <w:rPr>
          <w:bCs/>
          <w:sz w:val="24"/>
          <w:szCs w:val="24"/>
        </w:rPr>
        <w:t xml:space="preserve"> build in</w:t>
      </w:r>
      <w:r w:rsidR="00111401">
        <w:rPr>
          <w:bCs/>
          <w:sz w:val="24"/>
          <w:szCs w:val="24"/>
        </w:rPr>
        <w:t xml:space="preserve"> recogn</w:t>
      </w:r>
      <w:r w:rsidR="00AB085A">
        <w:rPr>
          <w:bCs/>
          <w:sz w:val="24"/>
          <w:szCs w:val="24"/>
        </w:rPr>
        <w:t>ition</w:t>
      </w:r>
      <w:r w:rsidR="00111401">
        <w:rPr>
          <w:bCs/>
          <w:sz w:val="24"/>
          <w:szCs w:val="24"/>
        </w:rPr>
        <w:t xml:space="preserve"> </w:t>
      </w:r>
      <w:r w:rsidR="00B52FAB">
        <w:rPr>
          <w:bCs/>
          <w:sz w:val="24"/>
          <w:szCs w:val="24"/>
        </w:rPr>
        <w:t>by</w:t>
      </w:r>
      <w:r w:rsidR="00111401">
        <w:rPr>
          <w:bCs/>
          <w:sz w:val="24"/>
          <w:szCs w:val="24"/>
        </w:rPr>
        <w:t xml:space="preserve"> MOP7 that AEWA Secretariat </w:t>
      </w:r>
      <w:r w:rsidR="002B0656">
        <w:rPr>
          <w:bCs/>
          <w:sz w:val="24"/>
          <w:szCs w:val="24"/>
        </w:rPr>
        <w:t xml:space="preserve">staff </w:t>
      </w:r>
      <w:r w:rsidR="00111401">
        <w:rPr>
          <w:bCs/>
          <w:sz w:val="24"/>
          <w:szCs w:val="24"/>
        </w:rPr>
        <w:t xml:space="preserve">were being underpaid according to the rules of UNEP. </w:t>
      </w:r>
      <w:r w:rsidR="002B0656">
        <w:rPr>
          <w:bCs/>
          <w:sz w:val="24"/>
          <w:szCs w:val="24"/>
        </w:rPr>
        <w:t>It was not</w:t>
      </w:r>
      <w:r w:rsidR="00111401">
        <w:rPr>
          <w:bCs/>
          <w:sz w:val="24"/>
          <w:szCs w:val="24"/>
        </w:rPr>
        <w:t xml:space="preserve"> right </w:t>
      </w:r>
      <w:r w:rsidR="002B0656">
        <w:rPr>
          <w:bCs/>
          <w:sz w:val="24"/>
          <w:szCs w:val="24"/>
        </w:rPr>
        <w:t>to</w:t>
      </w:r>
      <w:r w:rsidR="00111401">
        <w:rPr>
          <w:bCs/>
          <w:sz w:val="24"/>
          <w:szCs w:val="24"/>
        </w:rPr>
        <w:t xml:space="preserve"> expect people </w:t>
      </w:r>
      <w:r w:rsidR="002B0656">
        <w:rPr>
          <w:bCs/>
          <w:sz w:val="24"/>
          <w:szCs w:val="24"/>
        </w:rPr>
        <w:t>to</w:t>
      </w:r>
      <w:r w:rsidR="00111401">
        <w:rPr>
          <w:bCs/>
          <w:sz w:val="24"/>
          <w:szCs w:val="24"/>
        </w:rPr>
        <w:t xml:space="preserve"> work above their grade but not </w:t>
      </w:r>
      <w:r w:rsidR="00326474">
        <w:rPr>
          <w:bCs/>
          <w:sz w:val="24"/>
          <w:szCs w:val="24"/>
        </w:rPr>
        <w:t xml:space="preserve">be </w:t>
      </w:r>
      <w:r w:rsidR="00111401">
        <w:rPr>
          <w:bCs/>
          <w:sz w:val="24"/>
          <w:szCs w:val="24"/>
        </w:rPr>
        <w:t xml:space="preserve">paid </w:t>
      </w:r>
      <w:r w:rsidR="002B0656">
        <w:rPr>
          <w:bCs/>
          <w:sz w:val="24"/>
          <w:szCs w:val="24"/>
        </w:rPr>
        <w:t>accordingly</w:t>
      </w:r>
      <w:r w:rsidR="00111401">
        <w:rPr>
          <w:bCs/>
          <w:sz w:val="24"/>
          <w:szCs w:val="24"/>
        </w:rPr>
        <w:t xml:space="preserve"> for a further three years.</w:t>
      </w:r>
    </w:p>
    <w:p w14:paraId="3B4B2FC7" w14:textId="4E74B3BE" w:rsidR="00111401" w:rsidRDefault="00111401" w:rsidP="00714211">
      <w:pPr>
        <w:jc w:val="both"/>
        <w:rPr>
          <w:bCs/>
          <w:sz w:val="24"/>
          <w:szCs w:val="24"/>
        </w:rPr>
      </w:pPr>
    </w:p>
    <w:p w14:paraId="11E677ED" w14:textId="2DDA3502" w:rsidR="00D81952" w:rsidRDefault="00F673D1" w:rsidP="00714211">
      <w:pPr>
        <w:jc w:val="both"/>
        <w:rPr>
          <w:bCs/>
          <w:sz w:val="24"/>
          <w:szCs w:val="24"/>
        </w:rPr>
      </w:pPr>
      <w:r>
        <w:rPr>
          <w:bCs/>
          <w:sz w:val="24"/>
          <w:szCs w:val="24"/>
        </w:rPr>
        <w:t xml:space="preserve">33. </w:t>
      </w:r>
      <w:r w:rsidR="002B0656">
        <w:rPr>
          <w:bCs/>
          <w:sz w:val="24"/>
          <w:szCs w:val="24"/>
        </w:rPr>
        <w:t xml:space="preserve">The </w:t>
      </w:r>
      <w:r w:rsidR="002B0656" w:rsidRPr="00F673D1">
        <w:rPr>
          <w:b/>
          <w:sz w:val="24"/>
          <w:szCs w:val="24"/>
        </w:rPr>
        <w:t>Executive Secretary</w:t>
      </w:r>
      <w:r w:rsidR="002B0656">
        <w:rPr>
          <w:bCs/>
          <w:sz w:val="24"/>
          <w:szCs w:val="24"/>
        </w:rPr>
        <w:t xml:space="preserve"> noted that current budget</w:t>
      </w:r>
      <w:r w:rsidR="00111401">
        <w:rPr>
          <w:bCs/>
          <w:sz w:val="24"/>
          <w:szCs w:val="24"/>
        </w:rPr>
        <w:t xml:space="preserve"> Scenario 3 propose</w:t>
      </w:r>
      <w:r w:rsidR="002B0656">
        <w:rPr>
          <w:bCs/>
          <w:sz w:val="24"/>
          <w:szCs w:val="24"/>
        </w:rPr>
        <w:t>d</w:t>
      </w:r>
      <w:r w:rsidR="00111401">
        <w:rPr>
          <w:bCs/>
          <w:sz w:val="24"/>
          <w:szCs w:val="24"/>
        </w:rPr>
        <w:t xml:space="preserve"> an upgrade of all P staff</w:t>
      </w:r>
      <w:r w:rsidR="002B0656">
        <w:rPr>
          <w:bCs/>
          <w:sz w:val="24"/>
          <w:szCs w:val="24"/>
        </w:rPr>
        <w:t xml:space="preserve">. This </w:t>
      </w:r>
      <w:r w:rsidR="00111401">
        <w:rPr>
          <w:bCs/>
          <w:sz w:val="24"/>
          <w:szCs w:val="24"/>
        </w:rPr>
        <w:t xml:space="preserve">could </w:t>
      </w:r>
      <w:r w:rsidR="002B0656">
        <w:rPr>
          <w:bCs/>
          <w:sz w:val="24"/>
          <w:szCs w:val="24"/>
        </w:rPr>
        <w:t>perhaps be</w:t>
      </w:r>
      <w:r w:rsidR="00111401">
        <w:rPr>
          <w:bCs/>
          <w:sz w:val="24"/>
          <w:szCs w:val="24"/>
        </w:rPr>
        <w:t xml:space="preserve"> </w:t>
      </w:r>
      <w:r w:rsidR="002B0656">
        <w:rPr>
          <w:bCs/>
          <w:sz w:val="24"/>
          <w:szCs w:val="24"/>
        </w:rPr>
        <w:t>done</w:t>
      </w:r>
      <w:r w:rsidR="00111401">
        <w:rPr>
          <w:bCs/>
          <w:sz w:val="24"/>
          <w:szCs w:val="24"/>
        </w:rPr>
        <w:t xml:space="preserve"> in two steps.</w:t>
      </w:r>
    </w:p>
    <w:p w14:paraId="572F4F66" w14:textId="77777777" w:rsidR="002B0656" w:rsidRDefault="002B0656" w:rsidP="00714211">
      <w:pPr>
        <w:jc w:val="both"/>
        <w:rPr>
          <w:bCs/>
          <w:sz w:val="24"/>
          <w:szCs w:val="24"/>
        </w:rPr>
      </w:pPr>
    </w:p>
    <w:p w14:paraId="45B120D8" w14:textId="045E75BE" w:rsidR="000022D0" w:rsidRDefault="00F673D1" w:rsidP="00714211">
      <w:pPr>
        <w:jc w:val="both"/>
        <w:rPr>
          <w:bCs/>
          <w:sz w:val="24"/>
          <w:szCs w:val="24"/>
        </w:rPr>
      </w:pPr>
      <w:r>
        <w:rPr>
          <w:bCs/>
          <w:sz w:val="24"/>
          <w:szCs w:val="24"/>
        </w:rPr>
        <w:t xml:space="preserve">34. </w:t>
      </w:r>
      <w:r w:rsidR="000022D0" w:rsidRPr="00F673D1">
        <w:rPr>
          <w:b/>
          <w:sz w:val="24"/>
          <w:szCs w:val="24"/>
        </w:rPr>
        <w:t>France</w:t>
      </w:r>
      <w:r w:rsidR="002B0656">
        <w:rPr>
          <w:bCs/>
          <w:sz w:val="24"/>
          <w:szCs w:val="24"/>
        </w:rPr>
        <w:t xml:space="preserve"> indicated its readiness to </w:t>
      </w:r>
      <w:r w:rsidR="00D81952">
        <w:rPr>
          <w:bCs/>
          <w:sz w:val="24"/>
          <w:szCs w:val="24"/>
        </w:rPr>
        <w:t xml:space="preserve">begin the </w:t>
      </w:r>
      <w:r w:rsidR="000022D0">
        <w:rPr>
          <w:bCs/>
          <w:sz w:val="24"/>
          <w:szCs w:val="24"/>
        </w:rPr>
        <w:t xml:space="preserve">discussion </w:t>
      </w:r>
      <w:proofErr w:type="gramStart"/>
      <w:r w:rsidR="00D81952">
        <w:rPr>
          <w:bCs/>
          <w:sz w:val="24"/>
          <w:szCs w:val="24"/>
        </w:rPr>
        <w:t>on the basis of</w:t>
      </w:r>
      <w:proofErr w:type="gramEnd"/>
      <w:r w:rsidR="00D81952">
        <w:rPr>
          <w:bCs/>
          <w:sz w:val="24"/>
          <w:szCs w:val="24"/>
        </w:rPr>
        <w:t xml:space="preserve"> current</w:t>
      </w:r>
      <w:r w:rsidR="000022D0">
        <w:rPr>
          <w:bCs/>
          <w:sz w:val="24"/>
          <w:szCs w:val="24"/>
        </w:rPr>
        <w:t xml:space="preserve"> Scenario 2. The priorities </w:t>
      </w:r>
      <w:r w:rsidR="00D81952">
        <w:rPr>
          <w:bCs/>
          <w:sz w:val="24"/>
          <w:szCs w:val="24"/>
        </w:rPr>
        <w:t>for France were fully</w:t>
      </w:r>
      <w:r w:rsidR="000022D0">
        <w:rPr>
          <w:bCs/>
          <w:sz w:val="24"/>
          <w:szCs w:val="24"/>
        </w:rPr>
        <w:t xml:space="preserve"> </w:t>
      </w:r>
      <w:r w:rsidR="00D81952">
        <w:rPr>
          <w:bCs/>
          <w:sz w:val="24"/>
          <w:szCs w:val="24"/>
        </w:rPr>
        <w:t xml:space="preserve">funding </w:t>
      </w:r>
      <w:r w:rsidR="000022D0">
        <w:rPr>
          <w:bCs/>
          <w:sz w:val="24"/>
          <w:szCs w:val="24"/>
        </w:rPr>
        <w:t>the African Coordinator</w:t>
      </w:r>
      <w:r w:rsidR="00D81952">
        <w:rPr>
          <w:bCs/>
          <w:sz w:val="24"/>
          <w:szCs w:val="24"/>
        </w:rPr>
        <w:t xml:space="preserve"> position</w:t>
      </w:r>
      <w:r w:rsidR="000022D0">
        <w:rPr>
          <w:bCs/>
          <w:sz w:val="24"/>
          <w:szCs w:val="24"/>
        </w:rPr>
        <w:t xml:space="preserve"> and</w:t>
      </w:r>
      <w:r w:rsidR="00D81952">
        <w:rPr>
          <w:bCs/>
          <w:sz w:val="24"/>
          <w:szCs w:val="24"/>
        </w:rPr>
        <w:t xml:space="preserve"> </w:t>
      </w:r>
      <w:r w:rsidR="000022D0">
        <w:rPr>
          <w:bCs/>
          <w:sz w:val="24"/>
          <w:szCs w:val="24"/>
        </w:rPr>
        <w:t>translation</w:t>
      </w:r>
      <w:r w:rsidR="00D81952">
        <w:rPr>
          <w:bCs/>
          <w:sz w:val="24"/>
          <w:szCs w:val="24"/>
        </w:rPr>
        <w:t xml:space="preserve"> of documents</w:t>
      </w:r>
      <w:r w:rsidR="000022D0">
        <w:rPr>
          <w:bCs/>
          <w:sz w:val="24"/>
          <w:szCs w:val="24"/>
        </w:rPr>
        <w:t>.</w:t>
      </w:r>
    </w:p>
    <w:p w14:paraId="16F3F3E3" w14:textId="27E00C81" w:rsidR="00BD41AA" w:rsidRDefault="00BD41AA" w:rsidP="00714211">
      <w:pPr>
        <w:jc w:val="both"/>
        <w:rPr>
          <w:bCs/>
          <w:sz w:val="24"/>
          <w:szCs w:val="24"/>
        </w:rPr>
      </w:pPr>
    </w:p>
    <w:p w14:paraId="594C7DD0" w14:textId="34E0441D" w:rsidR="00BD41AA" w:rsidRDefault="00F673D1" w:rsidP="00714211">
      <w:pPr>
        <w:jc w:val="both"/>
        <w:rPr>
          <w:bCs/>
          <w:sz w:val="24"/>
          <w:szCs w:val="24"/>
        </w:rPr>
      </w:pPr>
      <w:r>
        <w:rPr>
          <w:bCs/>
          <w:sz w:val="24"/>
          <w:szCs w:val="24"/>
        </w:rPr>
        <w:t xml:space="preserve">35. </w:t>
      </w:r>
      <w:r w:rsidR="00BD41AA" w:rsidRPr="00F673D1">
        <w:rPr>
          <w:b/>
          <w:sz w:val="24"/>
          <w:szCs w:val="24"/>
        </w:rPr>
        <w:t>Germany</w:t>
      </w:r>
      <w:r w:rsidR="00D81952">
        <w:rPr>
          <w:bCs/>
          <w:sz w:val="24"/>
          <w:szCs w:val="24"/>
        </w:rPr>
        <w:t xml:space="preserve"> </w:t>
      </w:r>
      <w:r w:rsidR="00BD41AA">
        <w:rPr>
          <w:bCs/>
          <w:sz w:val="24"/>
          <w:szCs w:val="24"/>
        </w:rPr>
        <w:t>underst</w:t>
      </w:r>
      <w:r w:rsidR="00D81952">
        <w:rPr>
          <w:bCs/>
          <w:sz w:val="24"/>
          <w:szCs w:val="24"/>
        </w:rPr>
        <w:t>ood</w:t>
      </w:r>
      <w:r w:rsidR="00BD41AA">
        <w:rPr>
          <w:bCs/>
          <w:sz w:val="24"/>
          <w:szCs w:val="24"/>
        </w:rPr>
        <w:t xml:space="preserve"> that there </w:t>
      </w:r>
      <w:r w:rsidR="00D81952">
        <w:rPr>
          <w:bCs/>
          <w:sz w:val="24"/>
          <w:szCs w:val="24"/>
        </w:rPr>
        <w:t>was</w:t>
      </w:r>
      <w:r w:rsidR="00BD41AA">
        <w:rPr>
          <w:bCs/>
          <w:sz w:val="24"/>
          <w:szCs w:val="24"/>
        </w:rPr>
        <w:t xml:space="preserve"> a good argument to be made </w:t>
      </w:r>
      <w:r w:rsidR="00D81952">
        <w:rPr>
          <w:bCs/>
          <w:sz w:val="24"/>
          <w:szCs w:val="24"/>
        </w:rPr>
        <w:t>for</w:t>
      </w:r>
      <w:r w:rsidR="00BD41AA">
        <w:rPr>
          <w:bCs/>
          <w:sz w:val="24"/>
          <w:szCs w:val="24"/>
        </w:rPr>
        <w:t xml:space="preserve"> upgrad</w:t>
      </w:r>
      <w:r w:rsidR="00D81952">
        <w:rPr>
          <w:bCs/>
          <w:sz w:val="24"/>
          <w:szCs w:val="24"/>
        </w:rPr>
        <w:t>ing P</w:t>
      </w:r>
      <w:r w:rsidR="00BD41AA">
        <w:rPr>
          <w:bCs/>
          <w:sz w:val="24"/>
          <w:szCs w:val="24"/>
        </w:rPr>
        <w:t xml:space="preserve"> positions in l</w:t>
      </w:r>
      <w:r w:rsidR="00D81952">
        <w:rPr>
          <w:bCs/>
          <w:sz w:val="24"/>
          <w:szCs w:val="24"/>
        </w:rPr>
        <w:t>i</w:t>
      </w:r>
      <w:r w:rsidR="00BD41AA">
        <w:rPr>
          <w:bCs/>
          <w:sz w:val="24"/>
          <w:szCs w:val="24"/>
        </w:rPr>
        <w:t xml:space="preserve">ne with UNEP rules, but </w:t>
      </w:r>
      <w:r w:rsidR="00D81952">
        <w:rPr>
          <w:bCs/>
          <w:sz w:val="24"/>
          <w:szCs w:val="24"/>
        </w:rPr>
        <w:t>there was</w:t>
      </w:r>
      <w:r w:rsidR="00516509">
        <w:rPr>
          <w:bCs/>
          <w:sz w:val="24"/>
          <w:szCs w:val="24"/>
        </w:rPr>
        <w:t xml:space="preserve"> also</w:t>
      </w:r>
      <w:r w:rsidR="00D81952">
        <w:rPr>
          <w:bCs/>
          <w:sz w:val="24"/>
          <w:szCs w:val="24"/>
        </w:rPr>
        <w:t xml:space="preserve"> a </w:t>
      </w:r>
      <w:r w:rsidR="00BD41AA">
        <w:rPr>
          <w:bCs/>
          <w:sz w:val="24"/>
          <w:szCs w:val="24"/>
        </w:rPr>
        <w:t xml:space="preserve">need to understand that </w:t>
      </w:r>
      <w:r w:rsidR="00D81952">
        <w:rPr>
          <w:bCs/>
          <w:sz w:val="24"/>
          <w:szCs w:val="24"/>
        </w:rPr>
        <w:t>this</w:t>
      </w:r>
      <w:r w:rsidR="00BD41AA">
        <w:rPr>
          <w:bCs/>
          <w:sz w:val="24"/>
          <w:szCs w:val="24"/>
        </w:rPr>
        <w:t xml:space="preserve"> could impede opportunities to create new pos</w:t>
      </w:r>
      <w:r w:rsidR="00D81952">
        <w:rPr>
          <w:bCs/>
          <w:sz w:val="24"/>
          <w:szCs w:val="24"/>
        </w:rPr>
        <w:t>ition</w:t>
      </w:r>
      <w:r w:rsidR="00BD41AA">
        <w:rPr>
          <w:bCs/>
          <w:sz w:val="24"/>
          <w:szCs w:val="24"/>
        </w:rPr>
        <w:t xml:space="preserve">s. </w:t>
      </w:r>
      <w:r w:rsidR="00D81952">
        <w:rPr>
          <w:bCs/>
          <w:sz w:val="24"/>
          <w:szCs w:val="24"/>
        </w:rPr>
        <w:t>Germany</w:t>
      </w:r>
      <w:r w:rsidR="00BD41AA">
        <w:rPr>
          <w:bCs/>
          <w:sz w:val="24"/>
          <w:szCs w:val="24"/>
        </w:rPr>
        <w:t xml:space="preserve"> prefer</w:t>
      </w:r>
      <w:r w:rsidR="00D81952">
        <w:rPr>
          <w:bCs/>
          <w:sz w:val="24"/>
          <w:szCs w:val="24"/>
        </w:rPr>
        <w:t>red</w:t>
      </w:r>
      <w:r w:rsidR="00BD41AA">
        <w:rPr>
          <w:bCs/>
          <w:sz w:val="24"/>
          <w:szCs w:val="24"/>
        </w:rPr>
        <w:t xml:space="preserve"> a baseline that treat</w:t>
      </w:r>
      <w:r w:rsidR="00D81952">
        <w:rPr>
          <w:bCs/>
          <w:sz w:val="24"/>
          <w:szCs w:val="24"/>
        </w:rPr>
        <w:t>ed</w:t>
      </w:r>
      <w:r w:rsidR="00BD41AA">
        <w:rPr>
          <w:bCs/>
          <w:sz w:val="24"/>
          <w:szCs w:val="24"/>
        </w:rPr>
        <w:t xml:space="preserve"> the upgrading as an add</w:t>
      </w:r>
      <w:r w:rsidR="00326474">
        <w:rPr>
          <w:bCs/>
          <w:sz w:val="24"/>
          <w:szCs w:val="24"/>
        </w:rPr>
        <w:t>-</w:t>
      </w:r>
      <w:r w:rsidR="00BD41AA">
        <w:rPr>
          <w:bCs/>
          <w:sz w:val="24"/>
          <w:szCs w:val="24"/>
        </w:rPr>
        <w:t>on</w:t>
      </w:r>
      <w:r w:rsidR="00D81952">
        <w:rPr>
          <w:bCs/>
          <w:sz w:val="24"/>
          <w:szCs w:val="24"/>
        </w:rPr>
        <w:t xml:space="preserve">, noting that </w:t>
      </w:r>
      <w:r w:rsidR="00516509">
        <w:rPr>
          <w:bCs/>
          <w:sz w:val="24"/>
          <w:szCs w:val="24"/>
        </w:rPr>
        <w:t>AEWA needed to be considered in the context of the wider</w:t>
      </w:r>
      <w:r w:rsidR="00D81952">
        <w:rPr>
          <w:bCs/>
          <w:sz w:val="24"/>
          <w:szCs w:val="24"/>
        </w:rPr>
        <w:t xml:space="preserve"> CMS Family</w:t>
      </w:r>
      <w:r w:rsidR="00BD41AA">
        <w:rPr>
          <w:bCs/>
          <w:sz w:val="24"/>
          <w:szCs w:val="24"/>
        </w:rPr>
        <w:t>.</w:t>
      </w:r>
    </w:p>
    <w:p w14:paraId="6956F52A" w14:textId="48082ECA" w:rsidR="00637BDC" w:rsidRDefault="00637BDC" w:rsidP="00714211">
      <w:pPr>
        <w:jc w:val="both"/>
        <w:rPr>
          <w:bCs/>
          <w:sz w:val="24"/>
          <w:szCs w:val="24"/>
        </w:rPr>
      </w:pPr>
    </w:p>
    <w:p w14:paraId="785E4443" w14:textId="1AA1D7D7" w:rsidR="009C39B1" w:rsidRDefault="00F673D1" w:rsidP="00714211">
      <w:pPr>
        <w:jc w:val="both"/>
        <w:rPr>
          <w:bCs/>
          <w:sz w:val="24"/>
          <w:szCs w:val="24"/>
        </w:rPr>
      </w:pPr>
      <w:r>
        <w:rPr>
          <w:bCs/>
          <w:sz w:val="24"/>
          <w:szCs w:val="24"/>
        </w:rPr>
        <w:t xml:space="preserve">36. </w:t>
      </w:r>
      <w:r w:rsidR="00516509">
        <w:rPr>
          <w:bCs/>
          <w:sz w:val="24"/>
          <w:szCs w:val="24"/>
        </w:rPr>
        <w:t xml:space="preserve">The </w:t>
      </w:r>
      <w:r w:rsidR="009C39B1" w:rsidRPr="00F673D1">
        <w:rPr>
          <w:b/>
          <w:sz w:val="24"/>
          <w:szCs w:val="24"/>
        </w:rPr>
        <w:t>E</w:t>
      </w:r>
      <w:r w:rsidR="00516509" w:rsidRPr="00F673D1">
        <w:rPr>
          <w:b/>
          <w:sz w:val="24"/>
          <w:szCs w:val="24"/>
        </w:rPr>
        <w:t xml:space="preserve">uropean </w:t>
      </w:r>
      <w:r w:rsidR="009C39B1" w:rsidRPr="00F673D1">
        <w:rPr>
          <w:b/>
          <w:sz w:val="24"/>
          <w:szCs w:val="24"/>
        </w:rPr>
        <w:t>C</w:t>
      </w:r>
      <w:r w:rsidR="00516509" w:rsidRPr="00F673D1">
        <w:rPr>
          <w:b/>
          <w:sz w:val="24"/>
          <w:szCs w:val="24"/>
        </w:rPr>
        <w:t>ommission</w:t>
      </w:r>
      <w:r w:rsidR="00516509">
        <w:rPr>
          <w:bCs/>
          <w:sz w:val="24"/>
          <w:szCs w:val="24"/>
        </w:rPr>
        <w:t xml:space="preserve"> re</w:t>
      </w:r>
      <w:r w:rsidR="009C39B1">
        <w:rPr>
          <w:bCs/>
          <w:sz w:val="24"/>
          <w:szCs w:val="24"/>
        </w:rPr>
        <w:t>quest</w:t>
      </w:r>
      <w:r w:rsidR="00516509">
        <w:rPr>
          <w:bCs/>
          <w:sz w:val="24"/>
          <w:szCs w:val="24"/>
        </w:rPr>
        <w:t>ed</w:t>
      </w:r>
      <w:r w:rsidR="009C39B1">
        <w:rPr>
          <w:bCs/>
          <w:sz w:val="24"/>
          <w:szCs w:val="24"/>
        </w:rPr>
        <w:t xml:space="preserve"> clarification</w:t>
      </w:r>
      <w:r w:rsidR="00516509">
        <w:rPr>
          <w:bCs/>
          <w:sz w:val="24"/>
          <w:szCs w:val="24"/>
        </w:rPr>
        <w:t xml:space="preserve"> </w:t>
      </w:r>
      <w:r w:rsidR="00326474">
        <w:rPr>
          <w:bCs/>
          <w:sz w:val="24"/>
          <w:szCs w:val="24"/>
        </w:rPr>
        <w:t xml:space="preserve">as to </w:t>
      </w:r>
      <w:r w:rsidR="00516509">
        <w:rPr>
          <w:bCs/>
          <w:sz w:val="24"/>
          <w:szCs w:val="24"/>
        </w:rPr>
        <w:t>why some proposed</w:t>
      </w:r>
      <w:r w:rsidR="009C39B1">
        <w:rPr>
          <w:bCs/>
          <w:sz w:val="24"/>
          <w:szCs w:val="24"/>
        </w:rPr>
        <w:t xml:space="preserve"> new p</w:t>
      </w:r>
      <w:r w:rsidR="001B2DF7">
        <w:rPr>
          <w:bCs/>
          <w:sz w:val="24"/>
          <w:szCs w:val="24"/>
        </w:rPr>
        <w:t>osi</w:t>
      </w:r>
      <w:r w:rsidR="009C39B1">
        <w:rPr>
          <w:bCs/>
          <w:sz w:val="24"/>
          <w:szCs w:val="24"/>
        </w:rPr>
        <w:t xml:space="preserve">tions </w:t>
      </w:r>
      <w:r w:rsidR="00516509">
        <w:rPr>
          <w:bCs/>
          <w:sz w:val="24"/>
          <w:szCs w:val="24"/>
        </w:rPr>
        <w:t>were graded at P2 and others at</w:t>
      </w:r>
      <w:r w:rsidR="009C39B1">
        <w:rPr>
          <w:bCs/>
          <w:sz w:val="24"/>
          <w:szCs w:val="24"/>
        </w:rPr>
        <w:t xml:space="preserve"> P3.</w:t>
      </w:r>
    </w:p>
    <w:p w14:paraId="78BD4606" w14:textId="10343A89" w:rsidR="009C39B1" w:rsidRDefault="009C39B1" w:rsidP="00714211">
      <w:pPr>
        <w:jc w:val="both"/>
        <w:rPr>
          <w:bCs/>
          <w:sz w:val="24"/>
          <w:szCs w:val="24"/>
        </w:rPr>
      </w:pPr>
    </w:p>
    <w:p w14:paraId="779E032B" w14:textId="1AFAAE86" w:rsidR="009C39B1" w:rsidRDefault="00F673D1" w:rsidP="00714211">
      <w:pPr>
        <w:jc w:val="both"/>
        <w:rPr>
          <w:bCs/>
          <w:sz w:val="24"/>
          <w:szCs w:val="24"/>
        </w:rPr>
      </w:pPr>
      <w:r>
        <w:rPr>
          <w:bCs/>
          <w:sz w:val="24"/>
          <w:szCs w:val="24"/>
        </w:rPr>
        <w:t xml:space="preserve">37. </w:t>
      </w:r>
      <w:r w:rsidR="00516509">
        <w:rPr>
          <w:bCs/>
          <w:sz w:val="24"/>
          <w:szCs w:val="24"/>
        </w:rPr>
        <w:t xml:space="preserve">The </w:t>
      </w:r>
      <w:r w:rsidR="00516509" w:rsidRPr="00F673D1">
        <w:rPr>
          <w:b/>
          <w:sz w:val="24"/>
          <w:szCs w:val="24"/>
        </w:rPr>
        <w:t>Executive Secretary</w:t>
      </w:r>
      <w:r w:rsidR="00516509">
        <w:rPr>
          <w:bCs/>
          <w:sz w:val="24"/>
          <w:szCs w:val="24"/>
        </w:rPr>
        <w:t xml:space="preserve"> confirmed that this had been done on the advice of UNEP, following an initial assessment of the degree of autonomy and senior external contacts anticipated for each position.</w:t>
      </w:r>
    </w:p>
    <w:p w14:paraId="0C9D35D7" w14:textId="0627423E" w:rsidR="009C39B1" w:rsidRDefault="009C39B1" w:rsidP="00714211">
      <w:pPr>
        <w:jc w:val="both"/>
        <w:rPr>
          <w:bCs/>
          <w:sz w:val="24"/>
          <w:szCs w:val="24"/>
        </w:rPr>
      </w:pPr>
    </w:p>
    <w:p w14:paraId="3AA9A9D0" w14:textId="69021E89" w:rsidR="00A25053" w:rsidRPr="00A25053" w:rsidRDefault="00F673D1" w:rsidP="00714211">
      <w:pPr>
        <w:jc w:val="both"/>
        <w:rPr>
          <w:bCs/>
          <w:sz w:val="24"/>
          <w:szCs w:val="24"/>
        </w:rPr>
      </w:pPr>
      <w:r>
        <w:rPr>
          <w:bCs/>
          <w:sz w:val="24"/>
          <w:szCs w:val="24"/>
        </w:rPr>
        <w:t xml:space="preserve">38. </w:t>
      </w:r>
      <w:r w:rsidR="00516509">
        <w:rPr>
          <w:bCs/>
          <w:sz w:val="24"/>
          <w:szCs w:val="24"/>
        </w:rPr>
        <w:t xml:space="preserve">The </w:t>
      </w:r>
      <w:r w:rsidR="009C39B1" w:rsidRPr="00F673D1">
        <w:rPr>
          <w:b/>
          <w:sz w:val="24"/>
          <w:szCs w:val="24"/>
        </w:rPr>
        <w:t>Chair</w:t>
      </w:r>
      <w:r w:rsidR="00516509">
        <w:rPr>
          <w:bCs/>
          <w:sz w:val="24"/>
          <w:szCs w:val="24"/>
        </w:rPr>
        <w:t xml:space="preserve"> concluded the current session of the Working Group, thanking Parties for</w:t>
      </w:r>
      <w:r w:rsidR="009C39B1">
        <w:rPr>
          <w:bCs/>
          <w:sz w:val="24"/>
          <w:szCs w:val="24"/>
        </w:rPr>
        <w:t xml:space="preserve"> </w:t>
      </w:r>
      <w:r w:rsidR="00516509">
        <w:rPr>
          <w:bCs/>
          <w:sz w:val="24"/>
          <w:szCs w:val="24"/>
        </w:rPr>
        <w:t>a</w:t>
      </w:r>
      <w:r w:rsidR="004979D9">
        <w:rPr>
          <w:bCs/>
          <w:sz w:val="24"/>
          <w:szCs w:val="24"/>
        </w:rPr>
        <w:t xml:space="preserve"> </w:t>
      </w:r>
      <w:proofErr w:type="gramStart"/>
      <w:r w:rsidR="009C39B1">
        <w:rPr>
          <w:bCs/>
          <w:sz w:val="24"/>
          <w:szCs w:val="24"/>
        </w:rPr>
        <w:t>really constructive</w:t>
      </w:r>
      <w:proofErr w:type="gramEnd"/>
      <w:r w:rsidR="009C39B1">
        <w:rPr>
          <w:bCs/>
          <w:sz w:val="24"/>
          <w:szCs w:val="24"/>
        </w:rPr>
        <w:t xml:space="preserve"> discussion. </w:t>
      </w:r>
      <w:r w:rsidR="00516509">
        <w:rPr>
          <w:bCs/>
          <w:sz w:val="24"/>
          <w:szCs w:val="24"/>
        </w:rPr>
        <w:t>There had been</w:t>
      </w:r>
      <w:r w:rsidR="009C39B1">
        <w:rPr>
          <w:bCs/>
          <w:sz w:val="24"/>
          <w:szCs w:val="24"/>
        </w:rPr>
        <w:t xml:space="preserve"> </w:t>
      </w:r>
      <w:r w:rsidR="00516509">
        <w:rPr>
          <w:bCs/>
          <w:sz w:val="24"/>
          <w:szCs w:val="24"/>
        </w:rPr>
        <w:t xml:space="preserve">a </w:t>
      </w:r>
      <w:r w:rsidR="009C39B1">
        <w:rPr>
          <w:bCs/>
          <w:sz w:val="24"/>
          <w:szCs w:val="24"/>
        </w:rPr>
        <w:t xml:space="preserve">need </w:t>
      </w:r>
      <w:r w:rsidR="00516509">
        <w:rPr>
          <w:bCs/>
          <w:sz w:val="24"/>
          <w:szCs w:val="24"/>
        </w:rPr>
        <w:t>for a set of</w:t>
      </w:r>
      <w:r w:rsidR="009C39B1">
        <w:rPr>
          <w:bCs/>
          <w:sz w:val="24"/>
          <w:szCs w:val="24"/>
        </w:rPr>
        <w:t xml:space="preserve"> initial scenarios</w:t>
      </w:r>
      <w:r w:rsidR="008A3F43">
        <w:rPr>
          <w:bCs/>
          <w:sz w:val="24"/>
          <w:szCs w:val="24"/>
        </w:rPr>
        <w:t xml:space="preserve"> to</w:t>
      </w:r>
      <w:r w:rsidR="00945E41">
        <w:rPr>
          <w:bCs/>
          <w:sz w:val="24"/>
          <w:szCs w:val="24"/>
        </w:rPr>
        <w:t xml:space="preserve"> enable</w:t>
      </w:r>
      <w:r w:rsidR="008A3F43">
        <w:rPr>
          <w:bCs/>
          <w:sz w:val="24"/>
          <w:szCs w:val="24"/>
        </w:rPr>
        <w:t xml:space="preserve"> </w:t>
      </w:r>
      <w:r w:rsidR="00945E41">
        <w:rPr>
          <w:bCs/>
          <w:sz w:val="24"/>
          <w:szCs w:val="24"/>
        </w:rPr>
        <w:t xml:space="preserve">Parties to see </w:t>
      </w:r>
      <w:r w:rsidR="00945E41">
        <w:rPr>
          <w:bCs/>
          <w:sz w:val="24"/>
          <w:szCs w:val="24"/>
        </w:rPr>
        <w:lastRenderedPageBreak/>
        <w:t>the implications of</w:t>
      </w:r>
      <w:r w:rsidR="008A3F43">
        <w:rPr>
          <w:bCs/>
          <w:sz w:val="24"/>
          <w:szCs w:val="24"/>
        </w:rPr>
        <w:t xml:space="preserve"> </w:t>
      </w:r>
      <w:r w:rsidR="00945E41">
        <w:rPr>
          <w:bCs/>
          <w:sz w:val="24"/>
          <w:szCs w:val="24"/>
        </w:rPr>
        <w:t xml:space="preserve">various </w:t>
      </w:r>
      <w:r w:rsidR="008A3F43">
        <w:rPr>
          <w:bCs/>
          <w:sz w:val="24"/>
          <w:szCs w:val="24"/>
        </w:rPr>
        <w:t>options</w:t>
      </w:r>
      <w:r w:rsidR="00945E41">
        <w:rPr>
          <w:bCs/>
          <w:sz w:val="24"/>
          <w:szCs w:val="24"/>
        </w:rPr>
        <w:t xml:space="preserve"> and to assist negot</w:t>
      </w:r>
      <w:r w:rsidR="00A570AA">
        <w:rPr>
          <w:bCs/>
          <w:sz w:val="24"/>
          <w:szCs w:val="24"/>
        </w:rPr>
        <w:t>i</w:t>
      </w:r>
      <w:r w:rsidR="00945E41">
        <w:rPr>
          <w:bCs/>
          <w:sz w:val="24"/>
          <w:szCs w:val="24"/>
        </w:rPr>
        <w:t>ations. However, it was now possible to develop amended scenarios reflecting concerns and priorities expressed. The Secretariat would prepare these for the Working Group to consider during its session on 28 September, beginning at 09:00.</w:t>
      </w:r>
    </w:p>
    <w:sectPr w:rsidR="00A25053" w:rsidRPr="00A25053" w:rsidSect="00D01653">
      <w:headerReference w:type="default" r:id="rId10"/>
      <w:type w:val="continuous"/>
      <w:pgSz w:w="11907" w:h="16840" w:code="9"/>
      <w:pgMar w:top="1021" w:right="1134" w:bottom="851" w:left="1134" w:header="851" w:footer="851"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7DDC" w14:textId="77777777" w:rsidR="00785B9C" w:rsidRDefault="00785B9C">
      <w:r>
        <w:separator/>
      </w:r>
    </w:p>
  </w:endnote>
  <w:endnote w:type="continuationSeparator" w:id="0">
    <w:p w14:paraId="5103C034" w14:textId="77777777" w:rsidR="00785B9C" w:rsidRDefault="0078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altName w:val="﷽﷽﷽﷽﷽﷽﷽﷽ĝ嫠Ή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103E" w14:textId="77777777" w:rsidR="00A22168" w:rsidRDefault="00A22168" w:rsidP="00A5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F1C3C" w14:textId="77777777" w:rsidR="00A22168" w:rsidRDefault="00A22168" w:rsidP="003378F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D23635" w14:textId="77777777" w:rsidR="00A22168" w:rsidRDefault="00A22168" w:rsidP="00337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1615" w14:textId="77777777" w:rsidR="00A22168" w:rsidRDefault="00A22168" w:rsidP="00A5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856E77" w14:textId="77777777" w:rsidR="00A22168" w:rsidRDefault="00A22168" w:rsidP="00820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E8EB" w14:textId="77777777" w:rsidR="00785B9C" w:rsidRDefault="00785B9C">
      <w:r>
        <w:separator/>
      </w:r>
    </w:p>
  </w:footnote>
  <w:footnote w:type="continuationSeparator" w:id="0">
    <w:p w14:paraId="3E845A39" w14:textId="77777777" w:rsidR="00785B9C" w:rsidRDefault="0078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bottom w:val="single" w:sz="8" w:space="0" w:color="auto"/>
      </w:tblBorders>
      <w:tblLayout w:type="fixed"/>
      <w:tblLook w:val="0000" w:firstRow="0" w:lastRow="0" w:firstColumn="0" w:lastColumn="0" w:noHBand="0" w:noVBand="0"/>
    </w:tblPr>
    <w:tblGrid>
      <w:gridCol w:w="1980"/>
      <w:gridCol w:w="5940"/>
      <w:gridCol w:w="1800"/>
    </w:tblGrid>
    <w:tr w:rsidR="00A22168" w:rsidRPr="005745FB" w14:paraId="46B1DE36" w14:textId="77777777" w:rsidTr="00BC5F9C">
      <w:trPr>
        <w:trHeight w:val="1256"/>
      </w:trPr>
      <w:tc>
        <w:tcPr>
          <w:tcW w:w="1980" w:type="dxa"/>
        </w:tcPr>
        <w:p w14:paraId="7038B9F4" w14:textId="64F35D1E" w:rsidR="00A22168" w:rsidRPr="005745FB" w:rsidRDefault="00A22168" w:rsidP="00BC5F9C">
          <w:r>
            <w:rPr>
              <w:noProof/>
              <w:lang w:val="en-US"/>
            </w:rPr>
            <mc:AlternateContent>
              <mc:Choice Requires="wps">
                <w:drawing>
                  <wp:anchor distT="0" distB="0" distL="114300" distR="114300" simplePos="0" relativeHeight="251659264" behindDoc="0" locked="0" layoutInCell="1" allowOverlap="1" wp14:anchorId="6382164F" wp14:editId="000F45BF">
                    <wp:simplePos x="0" y="0"/>
                    <wp:positionH relativeFrom="column">
                      <wp:posOffset>-102870</wp:posOffset>
                    </wp:positionH>
                    <wp:positionV relativeFrom="paragraph">
                      <wp:posOffset>-6350</wp:posOffset>
                    </wp:positionV>
                    <wp:extent cx="1062990" cy="952500"/>
                    <wp:effectExtent l="0" t="0" r="381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607DE1F2" w14:textId="7BF07E24" w:rsidR="00A22168" w:rsidRDefault="00A22168" w:rsidP="00CC2318">
                                <w:r>
                                  <w:rPr>
                                    <w:noProof/>
                                    <w:lang w:val="en-US"/>
                                  </w:rPr>
                                  <w:drawing>
                                    <wp:inline distT="0" distB="0" distL="0" distR="0" wp14:anchorId="32F0F1ED" wp14:editId="30886752">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851DA61" w14:textId="77777777" w:rsidR="00A22168" w:rsidRDefault="00A22168" w:rsidP="00CC2318"/>
                              <w:p w14:paraId="5733906E" w14:textId="77777777" w:rsidR="00A22168" w:rsidRDefault="00A22168" w:rsidP="00CC2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2164F" id="_x0000_t202" coordsize="21600,21600" o:spt="202" path="m,l,21600r21600,l21600,xe">
                    <v:stroke joinstyle="miter"/>
                    <v:path gradientshapeok="t" o:connecttype="rect"/>
                  </v:shapetype>
                  <v:shape id="Text Box 1"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" filled="f" stroked="f">
                    <v:textbox>
                      <w:txbxContent>
                        <w:p w14:paraId="607DE1F2" w14:textId="7BF07E24" w:rsidR="00A22168" w:rsidRDefault="00A22168" w:rsidP="00CC2318">
                          <w:r>
                            <w:rPr>
                              <w:noProof/>
                              <w:lang w:val="en-US"/>
                            </w:rPr>
                            <w:drawing>
                              <wp:inline distT="0" distB="0" distL="0" distR="0" wp14:anchorId="32F0F1ED" wp14:editId="30886752">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851DA61" w14:textId="77777777" w:rsidR="00A22168" w:rsidRDefault="00A22168" w:rsidP="00CC2318"/>
                        <w:p w14:paraId="5733906E" w14:textId="77777777" w:rsidR="00A22168" w:rsidRDefault="00A22168" w:rsidP="00CC2318"/>
                      </w:txbxContent>
                    </v:textbox>
                  </v:shape>
                </w:pict>
              </mc:Fallback>
            </mc:AlternateContent>
          </w:r>
        </w:p>
      </w:tc>
      <w:tc>
        <w:tcPr>
          <w:tcW w:w="5940" w:type="dxa"/>
        </w:tcPr>
        <w:p w14:paraId="4B42B85B" w14:textId="77777777" w:rsidR="00A22168" w:rsidRPr="005745FB" w:rsidRDefault="00A22168" w:rsidP="00BC5F9C">
          <w:pPr>
            <w:jc w:val="center"/>
            <w:rPr>
              <w:i/>
              <w:caps/>
            </w:rPr>
          </w:pPr>
          <w:r w:rsidRPr="005745FB">
            <w:rPr>
              <w:i/>
              <w:caps/>
            </w:rPr>
            <w:t xml:space="preserve">Agreement on the Conservation of </w:t>
          </w:r>
        </w:p>
        <w:p w14:paraId="59A7587E" w14:textId="77777777" w:rsidR="00A22168" w:rsidRPr="005745FB" w:rsidRDefault="00A22168" w:rsidP="00BC5F9C">
          <w:pPr>
            <w:jc w:val="center"/>
          </w:pPr>
          <w:r w:rsidRPr="005745FB">
            <w:rPr>
              <w:i/>
              <w:caps/>
            </w:rPr>
            <w:t>African-Eurasian Migratory Waterbirds</w:t>
          </w:r>
        </w:p>
      </w:tc>
      <w:tc>
        <w:tcPr>
          <w:tcW w:w="1800" w:type="dxa"/>
        </w:tcPr>
        <w:p w14:paraId="03FAC706" w14:textId="67483298" w:rsidR="00A22168" w:rsidRPr="005745FB" w:rsidRDefault="00A22168" w:rsidP="00BC5F9C">
          <w:pPr>
            <w:jc w:val="right"/>
          </w:pPr>
        </w:p>
      </w:tc>
    </w:tr>
    <w:tr w:rsidR="00A22168" w:rsidRPr="005745FB" w14:paraId="6D1F0171" w14:textId="77777777" w:rsidTr="00BC5F9C">
      <w:tc>
        <w:tcPr>
          <w:tcW w:w="9720" w:type="dxa"/>
          <w:gridSpan w:val="3"/>
        </w:tcPr>
        <w:p w14:paraId="30A69DD4" w14:textId="1FCAF35F" w:rsidR="00A22168" w:rsidRPr="005745FB" w:rsidRDefault="00E86E06" w:rsidP="00BC5F9C">
          <w:pPr>
            <w:pStyle w:val="BodyText2"/>
            <w:jc w:val="center"/>
            <w:rPr>
              <w:rFonts w:cs="Times New Roman"/>
              <w:b/>
              <w:bCs/>
              <w:caps/>
              <w:sz w:val="24"/>
            </w:rPr>
          </w:pPr>
          <w:r>
            <w:rPr>
              <w:rFonts w:cs="Times New Roman"/>
              <w:b/>
              <w:bCs/>
              <w:sz w:val="24"/>
              <w:lang w:val="en-US"/>
            </w:rPr>
            <w:t>8</w:t>
          </w:r>
          <w:r w:rsidR="00A22168" w:rsidRPr="005745FB">
            <w:rPr>
              <w:rFonts w:cs="Times New Roman"/>
              <w:b/>
              <w:bCs/>
              <w:sz w:val="24"/>
              <w:vertAlign w:val="superscript"/>
              <w:lang w:val="en-US"/>
            </w:rPr>
            <w:t>th</w:t>
          </w:r>
          <w:r w:rsidR="00A22168" w:rsidRPr="005745FB">
            <w:rPr>
              <w:rFonts w:cs="Times New Roman"/>
              <w:b/>
              <w:bCs/>
              <w:sz w:val="24"/>
              <w:lang w:val="en-US"/>
            </w:rPr>
            <w:t xml:space="preserve"> </w:t>
          </w:r>
          <w:r w:rsidR="00A22168" w:rsidRPr="005745FB">
            <w:rPr>
              <w:rFonts w:cs="Times New Roman"/>
              <w:b/>
              <w:bCs/>
              <w:caps/>
              <w:sz w:val="24"/>
            </w:rPr>
            <w:t>Session of the Meeting of the Parties</w:t>
          </w:r>
        </w:p>
        <w:p w14:paraId="03018A30" w14:textId="06AD9ED8" w:rsidR="00A22168" w:rsidRPr="005745FB" w:rsidRDefault="00E86E06" w:rsidP="00496E82">
          <w:pPr>
            <w:jc w:val="center"/>
          </w:pPr>
          <w:r>
            <w:rPr>
              <w:iCs/>
            </w:rPr>
            <w:t>26–30</w:t>
          </w:r>
          <w:r w:rsidR="00A22168" w:rsidRPr="005745FB">
            <w:rPr>
              <w:iCs/>
            </w:rPr>
            <w:t xml:space="preserve"> </w:t>
          </w:r>
          <w:r>
            <w:rPr>
              <w:iCs/>
            </w:rPr>
            <w:t>September</w:t>
          </w:r>
          <w:r w:rsidR="00A22168">
            <w:rPr>
              <w:iCs/>
            </w:rPr>
            <w:t xml:space="preserve"> 20</w:t>
          </w:r>
          <w:r>
            <w:rPr>
              <w:iCs/>
            </w:rPr>
            <w:t>22</w:t>
          </w:r>
          <w:r w:rsidR="00A22168" w:rsidRPr="005745FB">
            <w:rPr>
              <w:iCs/>
            </w:rPr>
            <w:t xml:space="preserve">, </w:t>
          </w:r>
          <w:r>
            <w:rPr>
              <w:iCs/>
            </w:rPr>
            <w:t>Budapest</w:t>
          </w:r>
          <w:r w:rsidR="00A22168" w:rsidRPr="005745FB">
            <w:rPr>
              <w:iCs/>
            </w:rPr>
            <w:t xml:space="preserve">, </w:t>
          </w:r>
          <w:r>
            <w:rPr>
              <w:iCs/>
            </w:rPr>
            <w:t>Hungary</w:t>
          </w:r>
        </w:p>
      </w:tc>
    </w:tr>
    <w:tr w:rsidR="00A22168" w:rsidRPr="005745FB" w14:paraId="33CDA196" w14:textId="77777777" w:rsidTr="00BC5F9C">
      <w:trPr>
        <w:trHeight w:val="702"/>
      </w:trPr>
      <w:tc>
        <w:tcPr>
          <w:tcW w:w="9720" w:type="dxa"/>
          <w:gridSpan w:val="3"/>
          <w:vAlign w:val="center"/>
        </w:tcPr>
        <w:p w14:paraId="59873A1F" w14:textId="01437C67" w:rsidR="00A22168" w:rsidRPr="00E80063" w:rsidRDefault="00A22168" w:rsidP="00496E82">
          <w:pPr>
            <w:pStyle w:val="BodyText2"/>
            <w:jc w:val="center"/>
            <w:rPr>
              <w:rFonts w:cs="Times New Roman"/>
              <w:bCs/>
              <w:i/>
              <w:sz w:val="24"/>
              <w:lang w:val="en-US"/>
            </w:rPr>
          </w:pPr>
          <w:r w:rsidRPr="00E80063">
            <w:rPr>
              <w:i/>
              <w:sz w:val="24"/>
            </w:rPr>
            <w:t>“</w:t>
          </w:r>
          <w:r w:rsidR="00E86E06">
            <w:rPr>
              <w:i/>
              <w:sz w:val="24"/>
            </w:rPr>
            <w:t xml:space="preserve">Strengthening Flyway Conservation in </w:t>
          </w:r>
          <w:r w:rsidR="000F1AF6">
            <w:rPr>
              <w:i/>
              <w:sz w:val="24"/>
            </w:rPr>
            <w:t xml:space="preserve">a </w:t>
          </w:r>
          <w:r w:rsidR="00E86E06">
            <w:rPr>
              <w:i/>
              <w:sz w:val="24"/>
            </w:rPr>
            <w:t>Changing World</w:t>
          </w:r>
          <w:r w:rsidRPr="00E80063">
            <w:rPr>
              <w:i/>
              <w:sz w:val="24"/>
            </w:rPr>
            <w:t>”</w:t>
          </w:r>
        </w:p>
      </w:tc>
    </w:tr>
  </w:tbl>
  <w:p w14:paraId="07093E7F" w14:textId="77777777" w:rsidR="00A22168" w:rsidRDefault="00A2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19D" w14:textId="77777777" w:rsidR="00A22168" w:rsidRDefault="00A2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317C"/>
    <w:multiLevelType w:val="hybridMultilevel"/>
    <w:tmpl w:val="5C1AD4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F9978BF"/>
    <w:multiLevelType w:val="hybridMultilevel"/>
    <w:tmpl w:val="4DD2FF62"/>
    <w:lvl w:ilvl="0" w:tplc="186434AE">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515BE"/>
    <w:multiLevelType w:val="hybridMultilevel"/>
    <w:tmpl w:val="DBAE3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3F828E6"/>
    <w:multiLevelType w:val="hybridMultilevel"/>
    <w:tmpl w:val="6C1A902C"/>
    <w:lvl w:ilvl="0" w:tplc="5764FE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0D575E"/>
    <w:multiLevelType w:val="hybridMultilevel"/>
    <w:tmpl w:val="EBB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44F3B"/>
    <w:multiLevelType w:val="hybridMultilevel"/>
    <w:tmpl w:val="AD48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D05DC1"/>
    <w:multiLevelType w:val="hybridMultilevel"/>
    <w:tmpl w:val="FC9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037C2"/>
    <w:multiLevelType w:val="hybridMultilevel"/>
    <w:tmpl w:val="BE3CBD8A"/>
    <w:lvl w:ilvl="0" w:tplc="6BFE635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57FB0206"/>
    <w:multiLevelType w:val="hybridMultilevel"/>
    <w:tmpl w:val="35C07516"/>
    <w:lvl w:ilvl="0" w:tplc="623E7B24">
      <w:start w:val="1"/>
      <w:numFmt w:val="lowerLetter"/>
      <w:lvlText w:val="%1."/>
      <w:lvlJc w:val="left"/>
      <w:pPr>
        <w:ind w:left="1282" w:hanging="420"/>
      </w:pPr>
      <w:rPr>
        <w:rFonts w:ascii="Times New Roman" w:eastAsia="Times" w:hAnsi="Times New Roman" w:cs="Times New Roman"/>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0" w15:restartNumberingAfterBreak="0">
    <w:nsid w:val="5C4103FF"/>
    <w:multiLevelType w:val="hybridMultilevel"/>
    <w:tmpl w:val="E4F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D60AE"/>
    <w:multiLevelType w:val="hybridMultilevel"/>
    <w:tmpl w:val="A0E4D836"/>
    <w:lvl w:ilvl="0" w:tplc="1AEE7904">
      <w:start w:val="1"/>
      <w:numFmt w:val="bullet"/>
      <w:lvlText w:val="•"/>
      <w:lvlJc w:val="left"/>
      <w:pPr>
        <w:tabs>
          <w:tab w:val="num" w:pos="720"/>
        </w:tabs>
        <w:ind w:left="720" w:hanging="360"/>
      </w:pPr>
      <w:rPr>
        <w:rFonts w:ascii="Arial" w:hAnsi="Arial" w:hint="default"/>
      </w:rPr>
    </w:lvl>
    <w:lvl w:ilvl="1" w:tplc="166C96E8" w:tentative="1">
      <w:start w:val="1"/>
      <w:numFmt w:val="bullet"/>
      <w:lvlText w:val="•"/>
      <w:lvlJc w:val="left"/>
      <w:pPr>
        <w:tabs>
          <w:tab w:val="num" w:pos="1440"/>
        </w:tabs>
        <w:ind w:left="1440" w:hanging="360"/>
      </w:pPr>
      <w:rPr>
        <w:rFonts w:ascii="Arial" w:hAnsi="Arial" w:hint="default"/>
      </w:rPr>
    </w:lvl>
    <w:lvl w:ilvl="2" w:tplc="A8289BFE" w:tentative="1">
      <w:start w:val="1"/>
      <w:numFmt w:val="bullet"/>
      <w:lvlText w:val="•"/>
      <w:lvlJc w:val="left"/>
      <w:pPr>
        <w:tabs>
          <w:tab w:val="num" w:pos="2160"/>
        </w:tabs>
        <w:ind w:left="2160" w:hanging="360"/>
      </w:pPr>
      <w:rPr>
        <w:rFonts w:ascii="Arial" w:hAnsi="Arial" w:hint="default"/>
      </w:rPr>
    </w:lvl>
    <w:lvl w:ilvl="3" w:tplc="C5CEE15A" w:tentative="1">
      <w:start w:val="1"/>
      <w:numFmt w:val="bullet"/>
      <w:lvlText w:val="•"/>
      <w:lvlJc w:val="left"/>
      <w:pPr>
        <w:tabs>
          <w:tab w:val="num" w:pos="2880"/>
        </w:tabs>
        <w:ind w:left="2880" w:hanging="360"/>
      </w:pPr>
      <w:rPr>
        <w:rFonts w:ascii="Arial" w:hAnsi="Arial" w:hint="default"/>
      </w:rPr>
    </w:lvl>
    <w:lvl w:ilvl="4" w:tplc="CC567588" w:tentative="1">
      <w:start w:val="1"/>
      <w:numFmt w:val="bullet"/>
      <w:lvlText w:val="•"/>
      <w:lvlJc w:val="left"/>
      <w:pPr>
        <w:tabs>
          <w:tab w:val="num" w:pos="3600"/>
        </w:tabs>
        <w:ind w:left="3600" w:hanging="360"/>
      </w:pPr>
      <w:rPr>
        <w:rFonts w:ascii="Arial" w:hAnsi="Arial" w:hint="default"/>
      </w:rPr>
    </w:lvl>
    <w:lvl w:ilvl="5" w:tplc="5C0253DA" w:tentative="1">
      <w:start w:val="1"/>
      <w:numFmt w:val="bullet"/>
      <w:lvlText w:val="•"/>
      <w:lvlJc w:val="left"/>
      <w:pPr>
        <w:tabs>
          <w:tab w:val="num" w:pos="4320"/>
        </w:tabs>
        <w:ind w:left="4320" w:hanging="360"/>
      </w:pPr>
      <w:rPr>
        <w:rFonts w:ascii="Arial" w:hAnsi="Arial" w:hint="default"/>
      </w:rPr>
    </w:lvl>
    <w:lvl w:ilvl="6" w:tplc="245A0ACA" w:tentative="1">
      <w:start w:val="1"/>
      <w:numFmt w:val="bullet"/>
      <w:lvlText w:val="•"/>
      <w:lvlJc w:val="left"/>
      <w:pPr>
        <w:tabs>
          <w:tab w:val="num" w:pos="5040"/>
        </w:tabs>
        <w:ind w:left="5040" w:hanging="360"/>
      </w:pPr>
      <w:rPr>
        <w:rFonts w:ascii="Arial" w:hAnsi="Arial" w:hint="default"/>
      </w:rPr>
    </w:lvl>
    <w:lvl w:ilvl="7" w:tplc="3CDE98CC" w:tentative="1">
      <w:start w:val="1"/>
      <w:numFmt w:val="bullet"/>
      <w:lvlText w:val="•"/>
      <w:lvlJc w:val="left"/>
      <w:pPr>
        <w:tabs>
          <w:tab w:val="num" w:pos="5760"/>
        </w:tabs>
        <w:ind w:left="5760" w:hanging="360"/>
      </w:pPr>
      <w:rPr>
        <w:rFonts w:ascii="Arial" w:hAnsi="Arial" w:hint="default"/>
      </w:rPr>
    </w:lvl>
    <w:lvl w:ilvl="8" w:tplc="7892E8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C60166"/>
    <w:multiLevelType w:val="hybridMultilevel"/>
    <w:tmpl w:val="BD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A62C3"/>
    <w:multiLevelType w:val="hybridMultilevel"/>
    <w:tmpl w:val="45D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438"/>
    <w:multiLevelType w:val="hybridMultilevel"/>
    <w:tmpl w:val="7E1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52254"/>
    <w:multiLevelType w:val="hybridMultilevel"/>
    <w:tmpl w:val="32B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B1D94"/>
    <w:multiLevelType w:val="hybridMultilevel"/>
    <w:tmpl w:val="EB12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DC5846"/>
    <w:multiLevelType w:val="hybridMultilevel"/>
    <w:tmpl w:val="9D2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F1F0F"/>
    <w:multiLevelType w:val="hybridMultilevel"/>
    <w:tmpl w:val="52167C6E"/>
    <w:lvl w:ilvl="0" w:tplc="F4785E50">
      <w:start w:val="1"/>
      <w:numFmt w:val="bullet"/>
      <w:lvlText w:val="•"/>
      <w:lvlJc w:val="left"/>
      <w:pPr>
        <w:tabs>
          <w:tab w:val="num" w:pos="720"/>
        </w:tabs>
        <w:ind w:left="720" w:hanging="360"/>
      </w:pPr>
      <w:rPr>
        <w:rFonts w:ascii="Arial" w:hAnsi="Arial" w:hint="default"/>
      </w:rPr>
    </w:lvl>
    <w:lvl w:ilvl="1" w:tplc="A2AAF1C0" w:tentative="1">
      <w:start w:val="1"/>
      <w:numFmt w:val="bullet"/>
      <w:lvlText w:val="•"/>
      <w:lvlJc w:val="left"/>
      <w:pPr>
        <w:tabs>
          <w:tab w:val="num" w:pos="1440"/>
        </w:tabs>
        <w:ind w:left="1440" w:hanging="360"/>
      </w:pPr>
      <w:rPr>
        <w:rFonts w:ascii="Arial" w:hAnsi="Arial" w:hint="default"/>
      </w:rPr>
    </w:lvl>
    <w:lvl w:ilvl="2" w:tplc="DE249076" w:tentative="1">
      <w:start w:val="1"/>
      <w:numFmt w:val="bullet"/>
      <w:lvlText w:val="•"/>
      <w:lvlJc w:val="left"/>
      <w:pPr>
        <w:tabs>
          <w:tab w:val="num" w:pos="2160"/>
        </w:tabs>
        <w:ind w:left="2160" w:hanging="360"/>
      </w:pPr>
      <w:rPr>
        <w:rFonts w:ascii="Arial" w:hAnsi="Arial" w:hint="default"/>
      </w:rPr>
    </w:lvl>
    <w:lvl w:ilvl="3" w:tplc="7926242A" w:tentative="1">
      <w:start w:val="1"/>
      <w:numFmt w:val="bullet"/>
      <w:lvlText w:val="•"/>
      <w:lvlJc w:val="left"/>
      <w:pPr>
        <w:tabs>
          <w:tab w:val="num" w:pos="2880"/>
        </w:tabs>
        <w:ind w:left="2880" w:hanging="360"/>
      </w:pPr>
      <w:rPr>
        <w:rFonts w:ascii="Arial" w:hAnsi="Arial" w:hint="default"/>
      </w:rPr>
    </w:lvl>
    <w:lvl w:ilvl="4" w:tplc="E1F88D48" w:tentative="1">
      <w:start w:val="1"/>
      <w:numFmt w:val="bullet"/>
      <w:lvlText w:val="•"/>
      <w:lvlJc w:val="left"/>
      <w:pPr>
        <w:tabs>
          <w:tab w:val="num" w:pos="3600"/>
        </w:tabs>
        <w:ind w:left="3600" w:hanging="360"/>
      </w:pPr>
      <w:rPr>
        <w:rFonts w:ascii="Arial" w:hAnsi="Arial" w:hint="default"/>
      </w:rPr>
    </w:lvl>
    <w:lvl w:ilvl="5" w:tplc="AAE488C2" w:tentative="1">
      <w:start w:val="1"/>
      <w:numFmt w:val="bullet"/>
      <w:lvlText w:val="•"/>
      <w:lvlJc w:val="left"/>
      <w:pPr>
        <w:tabs>
          <w:tab w:val="num" w:pos="4320"/>
        </w:tabs>
        <w:ind w:left="4320" w:hanging="360"/>
      </w:pPr>
      <w:rPr>
        <w:rFonts w:ascii="Arial" w:hAnsi="Arial" w:hint="default"/>
      </w:rPr>
    </w:lvl>
    <w:lvl w:ilvl="6" w:tplc="E7D44F5E" w:tentative="1">
      <w:start w:val="1"/>
      <w:numFmt w:val="bullet"/>
      <w:lvlText w:val="•"/>
      <w:lvlJc w:val="left"/>
      <w:pPr>
        <w:tabs>
          <w:tab w:val="num" w:pos="5040"/>
        </w:tabs>
        <w:ind w:left="5040" w:hanging="360"/>
      </w:pPr>
      <w:rPr>
        <w:rFonts w:ascii="Arial" w:hAnsi="Arial" w:hint="default"/>
      </w:rPr>
    </w:lvl>
    <w:lvl w:ilvl="7" w:tplc="39446E2E" w:tentative="1">
      <w:start w:val="1"/>
      <w:numFmt w:val="bullet"/>
      <w:lvlText w:val="•"/>
      <w:lvlJc w:val="left"/>
      <w:pPr>
        <w:tabs>
          <w:tab w:val="num" w:pos="5760"/>
        </w:tabs>
        <w:ind w:left="5760" w:hanging="360"/>
      </w:pPr>
      <w:rPr>
        <w:rFonts w:ascii="Arial" w:hAnsi="Arial" w:hint="default"/>
      </w:rPr>
    </w:lvl>
    <w:lvl w:ilvl="8" w:tplc="5EF2F3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BB0B33"/>
    <w:multiLevelType w:val="hybridMultilevel"/>
    <w:tmpl w:val="A4B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D1DC0"/>
    <w:multiLevelType w:val="hybridMultilevel"/>
    <w:tmpl w:val="2346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9"/>
  </w:num>
  <w:num w:numId="4">
    <w:abstractNumId w:val="17"/>
  </w:num>
  <w:num w:numId="5">
    <w:abstractNumId w:val="20"/>
  </w:num>
  <w:num w:numId="6">
    <w:abstractNumId w:val="6"/>
  </w:num>
  <w:num w:numId="7">
    <w:abstractNumId w:val="10"/>
  </w:num>
  <w:num w:numId="8">
    <w:abstractNumId w:val="0"/>
  </w:num>
  <w:num w:numId="9">
    <w:abstractNumId w:val="15"/>
  </w:num>
  <w:num w:numId="10">
    <w:abstractNumId w:val="16"/>
  </w:num>
  <w:num w:numId="11">
    <w:abstractNumId w:val="5"/>
  </w:num>
  <w:num w:numId="12">
    <w:abstractNumId w:val="2"/>
  </w:num>
  <w:num w:numId="13">
    <w:abstractNumId w:val="13"/>
  </w:num>
  <w:num w:numId="14">
    <w:abstractNumId w:val="4"/>
  </w:num>
  <w:num w:numId="15">
    <w:abstractNumId w:val="14"/>
  </w:num>
  <w:num w:numId="16">
    <w:abstractNumId w:val="7"/>
  </w:num>
  <w:num w:numId="17">
    <w:abstractNumId w:val="9"/>
  </w:num>
  <w:num w:numId="18">
    <w:abstractNumId w:val="3"/>
  </w:num>
  <w:num w:numId="19">
    <w:abstractNumId w:val="1"/>
  </w:num>
  <w:num w:numId="20">
    <w:abstractNumId w:val="18"/>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CE"/>
    <w:rsid w:val="000015FC"/>
    <w:rsid w:val="000022D0"/>
    <w:rsid w:val="00002A54"/>
    <w:rsid w:val="00003C58"/>
    <w:rsid w:val="00006454"/>
    <w:rsid w:val="0001295F"/>
    <w:rsid w:val="00012ACA"/>
    <w:rsid w:val="00016BC1"/>
    <w:rsid w:val="00031250"/>
    <w:rsid w:val="0003499C"/>
    <w:rsid w:val="000349C5"/>
    <w:rsid w:val="000358B1"/>
    <w:rsid w:val="00036D40"/>
    <w:rsid w:val="00037126"/>
    <w:rsid w:val="00037B7D"/>
    <w:rsid w:val="0004392B"/>
    <w:rsid w:val="000456B4"/>
    <w:rsid w:val="00046D54"/>
    <w:rsid w:val="00050E60"/>
    <w:rsid w:val="00053B5C"/>
    <w:rsid w:val="000567D7"/>
    <w:rsid w:val="00060236"/>
    <w:rsid w:val="000764C8"/>
    <w:rsid w:val="00081953"/>
    <w:rsid w:val="00083B7C"/>
    <w:rsid w:val="000852F2"/>
    <w:rsid w:val="0008751A"/>
    <w:rsid w:val="00091F13"/>
    <w:rsid w:val="000920E7"/>
    <w:rsid w:val="000930F6"/>
    <w:rsid w:val="000944B6"/>
    <w:rsid w:val="000965C4"/>
    <w:rsid w:val="00096AA5"/>
    <w:rsid w:val="000A414C"/>
    <w:rsid w:val="000A4380"/>
    <w:rsid w:val="000A7077"/>
    <w:rsid w:val="000A7CF9"/>
    <w:rsid w:val="000B3C11"/>
    <w:rsid w:val="000B46D0"/>
    <w:rsid w:val="000C300E"/>
    <w:rsid w:val="000C360B"/>
    <w:rsid w:val="000C451C"/>
    <w:rsid w:val="000C6DE9"/>
    <w:rsid w:val="000C7627"/>
    <w:rsid w:val="000D6531"/>
    <w:rsid w:val="000E277D"/>
    <w:rsid w:val="000E3CF6"/>
    <w:rsid w:val="000E46CB"/>
    <w:rsid w:val="000F1A42"/>
    <w:rsid w:val="000F1AF6"/>
    <w:rsid w:val="001012F7"/>
    <w:rsid w:val="00105422"/>
    <w:rsid w:val="00106DE5"/>
    <w:rsid w:val="00106E40"/>
    <w:rsid w:val="00111401"/>
    <w:rsid w:val="0011193C"/>
    <w:rsid w:val="00111A1C"/>
    <w:rsid w:val="00114189"/>
    <w:rsid w:val="00117BFE"/>
    <w:rsid w:val="001253C6"/>
    <w:rsid w:val="001256CA"/>
    <w:rsid w:val="00130316"/>
    <w:rsid w:val="00134C21"/>
    <w:rsid w:val="00140442"/>
    <w:rsid w:val="001459D6"/>
    <w:rsid w:val="00154C86"/>
    <w:rsid w:val="00157630"/>
    <w:rsid w:val="00157F06"/>
    <w:rsid w:val="0016095F"/>
    <w:rsid w:val="00163FD0"/>
    <w:rsid w:val="00181ED9"/>
    <w:rsid w:val="001829D7"/>
    <w:rsid w:val="001836E1"/>
    <w:rsid w:val="0018782A"/>
    <w:rsid w:val="00195E24"/>
    <w:rsid w:val="001B17B8"/>
    <w:rsid w:val="001B2DF7"/>
    <w:rsid w:val="001C0993"/>
    <w:rsid w:val="001C0AFB"/>
    <w:rsid w:val="001C1A21"/>
    <w:rsid w:val="001C4371"/>
    <w:rsid w:val="001D395C"/>
    <w:rsid w:val="001E0C51"/>
    <w:rsid w:val="001E20F6"/>
    <w:rsid w:val="001E3FCB"/>
    <w:rsid w:val="001E66E2"/>
    <w:rsid w:val="001E7798"/>
    <w:rsid w:val="001F24BA"/>
    <w:rsid w:val="001F28AD"/>
    <w:rsid w:val="00202FA6"/>
    <w:rsid w:val="00206001"/>
    <w:rsid w:val="002103C9"/>
    <w:rsid w:val="002112B4"/>
    <w:rsid w:val="00212BBE"/>
    <w:rsid w:val="00222D5B"/>
    <w:rsid w:val="00232C0B"/>
    <w:rsid w:val="00233B92"/>
    <w:rsid w:val="00233E53"/>
    <w:rsid w:val="00234355"/>
    <w:rsid w:val="002408BD"/>
    <w:rsid w:val="00244BB0"/>
    <w:rsid w:val="00252828"/>
    <w:rsid w:val="0025462E"/>
    <w:rsid w:val="00256BC0"/>
    <w:rsid w:val="00265132"/>
    <w:rsid w:val="002654D0"/>
    <w:rsid w:val="00265FA0"/>
    <w:rsid w:val="002703B7"/>
    <w:rsid w:val="00273809"/>
    <w:rsid w:val="00276E72"/>
    <w:rsid w:val="002776DA"/>
    <w:rsid w:val="002778D6"/>
    <w:rsid w:val="002826BC"/>
    <w:rsid w:val="00282C10"/>
    <w:rsid w:val="00283E08"/>
    <w:rsid w:val="00285FA2"/>
    <w:rsid w:val="00287D11"/>
    <w:rsid w:val="002A29F1"/>
    <w:rsid w:val="002A52D5"/>
    <w:rsid w:val="002B0656"/>
    <w:rsid w:val="002B1F70"/>
    <w:rsid w:val="002C4BD9"/>
    <w:rsid w:val="002C4E34"/>
    <w:rsid w:val="002C5E03"/>
    <w:rsid w:val="002C7AB4"/>
    <w:rsid w:val="002D3186"/>
    <w:rsid w:val="002D39E6"/>
    <w:rsid w:val="002D5738"/>
    <w:rsid w:val="002E37B4"/>
    <w:rsid w:val="002E4767"/>
    <w:rsid w:val="002F1E00"/>
    <w:rsid w:val="002F3A61"/>
    <w:rsid w:val="002F42FD"/>
    <w:rsid w:val="002F5701"/>
    <w:rsid w:val="002F722E"/>
    <w:rsid w:val="0032134E"/>
    <w:rsid w:val="00321E1A"/>
    <w:rsid w:val="00323933"/>
    <w:rsid w:val="00326474"/>
    <w:rsid w:val="003378F6"/>
    <w:rsid w:val="00345E3C"/>
    <w:rsid w:val="0034772E"/>
    <w:rsid w:val="003477A2"/>
    <w:rsid w:val="00357899"/>
    <w:rsid w:val="003665C0"/>
    <w:rsid w:val="00374397"/>
    <w:rsid w:val="0038062D"/>
    <w:rsid w:val="00385530"/>
    <w:rsid w:val="00387CE0"/>
    <w:rsid w:val="0039373C"/>
    <w:rsid w:val="00393E8F"/>
    <w:rsid w:val="00393EE1"/>
    <w:rsid w:val="00397C15"/>
    <w:rsid w:val="003A0099"/>
    <w:rsid w:val="003A2C35"/>
    <w:rsid w:val="003A4118"/>
    <w:rsid w:val="003B58BB"/>
    <w:rsid w:val="003B5BA1"/>
    <w:rsid w:val="003B6CD1"/>
    <w:rsid w:val="003B7AC7"/>
    <w:rsid w:val="003B7ACA"/>
    <w:rsid w:val="003B7ED5"/>
    <w:rsid w:val="003C291E"/>
    <w:rsid w:val="003C2D99"/>
    <w:rsid w:val="003D1282"/>
    <w:rsid w:val="003D61B4"/>
    <w:rsid w:val="003D6BFA"/>
    <w:rsid w:val="003E1229"/>
    <w:rsid w:val="003E402B"/>
    <w:rsid w:val="003F4966"/>
    <w:rsid w:val="003F75AA"/>
    <w:rsid w:val="0041122E"/>
    <w:rsid w:val="00412861"/>
    <w:rsid w:val="004171F2"/>
    <w:rsid w:val="00423E3B"/>
    <w:rsid w:val="00424AE0"/>
    <w:rsid w:val="0042565F"/>
    <w:rsid w:val="00442792"/>
    <w:rsid w:val="004437D3"/>
    <w:rsid w:val="00446A11"/>
    <w:rsid w:val="00452BE9"/>
    <w:rsid w:val="004573BE"/>
    <w:rsid w:val="00460E39"/>
    <w:rsid w:val="00461A1C"/>
    <w:rsid w:val="00461A7C"/>
    <w:rsid w:val="00462836"/>
    <w:rsid w:val="00464F9B"/>
    <w:rsid w:val="00465EF4"/>
    <w:rsid w:val="0047180E"/>
    <w:rsid w:val="004720DA"/>
    <w:rsid w:val="00496E82"/>
    <w:rsid w:val="004979D9"/>
    <w:rsid w:val="004A1600"/>
    <w:rsid w:val="004A35FA"/>
    <w:rsid w:val="004B0E29"/>
    <w:rsid w:val="004B2EEE"/>
    <w:rsid w:val="004B42B6"/>
    <w:rsid w:val="004C2558"/>
    <w:rsid w:val="004C3BB5"/>
    <w:rsid w:val="004C6599"/>
    <w:rsid w:val="004D62F1"/>
    <w:rsid w:val="004E6D16"/>
    <w:rsid w:val="004E7E4F"/>
    <w:rsid w:val="004F094A"/>
    <w:rsid w:val="004F0E60"/>
    <w:rsid w:val="004F682B"/>
    <w:rsid w:val="005059DB"/>
    <w:rsid w:val="00507372"/>
    <w:rsid w:val="0051104C"/>
    <w:rsid w:val="005119F8"/>
    <w:rsid w:val="00513421"/>
    <w:rsid w:val="0051411B"/>
    <w:rsid w:val="0051436B"/>
    <w:rsid w:val="00516509"/>
    <w:rsid w:val="00517E11"/>
    <w:rsid w:val="00522022"/>
    <w:rsid w:val="00523462"/>
    <w:rsid w:val="00530C2B"/>
    <w:rsid w:val="00533816"/>
    <w:rsid w:val="00534E75"/>
    <w:rsid w:val="005369CF"/>
    <w:rsid w:val="0053752E"/>
    <w:rsid w:val="00542679"/>
    <w:rsid w:val="0054456A"/>
    <w:rsid w:val="00546F19"/>
    <w:rsid w:val="0055177D"/>
    <w:rsid w:val="005559BD"/>
    <w:rsid w:val="00556850"/>
    <w:rsid w:val="0056259C"/>
    <w:rsid w:val="0056610D"/>
    <w:rsid w:val="005745FB"/>
    <w:rsid w:val="00576080"/>
    <w:rsid w:val="00584E42"/>
    <w:rsid w:val="00591D4A"/>
    <w:rsid w:val="00597576"/>
    <w:rsid w:val="005A0377"/>
    <w:rsid w:val="005A1852"/>
    <w:rsid w:val="005A26B9"/>
    <w:rsid w:val="005A5021"/>
    <w:rsid w:val="005A782C"/>
    <w:rsid w:val="005B103D"/>
    <w:rsid w:val="005C7308"/>
    <w:rsid w:val="005C7382"/>
    <w:rsid w:val="005D34AE"/>
    <w:rsid w:val="005D39FA"/>
    <w:rsid w:val="005D7050"/>
    <w:rsid w:val="005D72ED"/>
    <w:rsid w:val="005D7C30"/>
    <w:rsid w:val="006039C1"/>
    <w:rsid w:val="006049B7"/>
    <w:rsid w:val="00611AD5"/>
    <w:rsid w:val="0061299F"/>
    <w:rsid w:val="00613C96"/>
    <w:rsid w:val="00616894"/>
    <w:rsid w:val="00622BC0"/>
    <w:rsid w:val="006243F0"/>
    <w:rsid w:val="006244D3"/>
    <w:rsid w:val="0063381B"/>
    <w:rsid w:val="00635051"/>
    <w:rsid w:val="00637BDC"/>
    <w:rsid w:val="00646635"/>
    <w:rsid w:val="00651B07"/>
    <w:rsid w:val="00655791"/>
    <w:rsid w:val="00662322"/>
    <w:rsid w:val="00663E5D"/>
    <w:rsid w:val="00681A35"/>
    <w:rsid w:val="00683198"/>
    <w:rsid w:val="006921FC"/>
    <w:rsid w:val="00692444"/>
    <w:rsid w:val="006974C0"/>
    <w:rsid w:val="006A1FE2"/>
    <w:rsid w:val="006A2312"/>
    <w:rsid w:val="006A41CE"/>
    <w:rsid w:val="006B40A7"/>
    <w:rsid w:val="006B62CF"/>
    <w:rsid w:val="006C23C9"/>
    <w:rsid w:val="006C5233"/>
    <w:rsid w:val="006C7EE5"/>
    <w:rsid w:val="006C7EEC"/>
    <w:rsid w:val="006D704E"/>
    <w:rsid w:val="006E4CD6"/>
    <w:rsid w:val="006E7FD8"/>
    <w:rsid w:val="006F18A1"/>
    <w:rsid w:val="006F6DB2"/>
    <w:rsid w:val="007053FB"/>
    <w:rsid w:val="00707B73"/>
    <w:rsid w:val="00714211"/>
    <w:rsid w:val="007146F1"/>
    <w:rsid w:val="00715209"/>
    <w:rsid w:val="00717C09"/>
    <w:rsid w:val="00731F34"/>
    <w:rsid w:val="00732A62"/>
    <w:rsid w:val="00735F5F"/>
    <w:rsid w:val="007441D6"/>
    <w:rsid w:val="007474C1"/>
    <w:rsid w:val="007572A6"/>
    <w:rsid w:val="0076622B"/>
    <w:rsid w:val="007733BD"/>
    <w:rsid w:val="00773407"/>
    <w:rsid w:val="00777796"/>
    <w:rsid w:val="00777D2C"/>
    <w:rsid w:val="00781268"/>
    <w:rsid w:val="00783257"/>
    <w:rsid w:val="00783593"/>
    <w:rsid w:val="00783776"/>
    <w:rsid w:val="00785B9C"/>
    <w:rsid w:val="007869D7"/>
    <w:rsid w:val="007974CA"/>
    <w:rsid w:val="007A372D"/>
    <w:rsid w:val="007B4EA3"/>
    <w:rsid w:val="007C0D17"/>
    <w:rsid w:val="007C181E"/>
    <w:rsid w:val="007C335E"/>
    <w:rsid w:val="007C38CD"/>
    <w:rsid w:val="007C50C4"/>
    <w:rsid w:val="007C6856"/>
    <w:rsid w:val="007D27A7"/>
    <w:rsid w:val="007D4493"/>
    <w:rsid w:val="007E192B"/>
    <w:rsid w:val="007F24E1"/>
    <w:rsid w:val="00801508"/>
    <w:rsid w:val="008024C1"/>
    <w:rsid w:val="00802CDC"/>
    <w:rsid w:val="008070BA"/>
    <w:rsid w:val="008127B2"/>
    <w:rsid w:val="0081307D"/>
    <w:rsid w:val="0082027A"/>
    <w:rsid w:val="00821F7E"/>
    <w:rsid w:val="00831498"/>
    <w:rsid w:val="008334D9"/>
    <w:rsid w:val="008414ED"/>
    <w:rsid w:val="00841513"/>
    <w:rsid w:val="00843D91"/>
    <w:rsid w:val="00853254"/>
    <w:rsid w:val="00860869"/>
    <w:rsid w:val="00863055"/>
    <w:rsid w:val="00866735"/>
    <w:rsid w:val="00872DC8"/>
    <w:rsid w:val="00884EA4"/>
    <w:rsid w:val="00890A6A"/>
    <w:rsid w:val="00892F6E"/>
    <w:rsid w:val="00894C1B"/>
    <w:rsid w:val="00897E76"/>
    <w:rsid w:val="008A1C94"/>
    <w:rsid w:val="008A32B0"/>
    <w:rsid w:val="008A3F43"/>
    <w:rsid w:val="008B3346"/>
    <w:rsid w:val="008B3D11"/>
    <w:rsid w:val="008B570F"/>
    <w:rsid w:val="008C217B"/>
    <w:rsid w:val="008C4A67"/>
    <w:rsid w:val="008C57CA"/>
    <w:rsid w:val="008F0DC5"/>
    <w:rsid w:val="00901331"/>
    <w:rsid w:val="00901860"/>
    <w:rsid w:val="00901D88"/>
    <w:rsid w:val="009043CF"/>
    <w:rsid w:val="00905135"/>
    <w:rsid w:val="009064F2"/>
    <w:rsid w:val="00913334"/>
    <w:rsid w:val="009149B8"/>
    <w:rsid w:val="00915C0F"/>
    <w:rsid w:val="009202D2"/>
    <w:rsid w:val="00926992"/>
    <w:rsid w:val="0093527B"/>
    <w:rsid w:val="00936D1D"/>
    <w:rsid w:val="00941438"/>
    <w:rsid w:val="00945E41"/>
    <w:rsid w:val="00947AF9"/>
    <w:rsid w:val="00950648"/>
    <w:rsid w:val="00950E99"/>
    <w:rsid w:val="009530D1"/>
    <w:rsid w:val="00961556"/>
    <w:rsid w:val="00965BC9"/>
    <w:rsid w:val="00966D47"/>
    <w:rsid w:val="00967772"/>
    <w:rsid w:val="00971A32"/>
    <w:rsid w:val="00973455"/>
    <w:rsid w:val="009775FB"/>
    <w:rsid w:val="00983469"/>
    <w:rsid w:val="009854C8"/>
    <w:rsid w:val="00990951"/>
    <w:rsid w:val="009956D3"/>
    <w:rsid w:val="0099579A"/>
    <w:rsid w:val="009A294A"/>
    <w:rsid w:val="009A3191"/>
    <w:rsid w:val="009C39B1"/>
    <w:rsid w:val="009C6ADD"/>
    <w:rsid w:val="009D5D80"/>
    <w:rsid w:val="009D66C5"/>
    <w:rsid w:val="009E223B"/>
    <w:rsid w:val="009E747C"/>
    <w:rsid w:val="009F4AD7"/>
    <w:rsid w:val="009F4B2C"/>
    <w:rsid w:val="00A000F9"/>
    <w:rsid w:val="00A03025"/>
    <w:rsid w:val="00A0348C"/>
    <w:rsid w:val="00A07908"/>
    <w:rsid w:val="00A10645"/>
    <w:rsid w:val="00A115C3"/>
    <w:rsid w:val="00A120B8"/>
    <w:rsid w:val="00A147C2"/>
    <w:rsid w:val="00A22168"/>
    <w:rsid w:val="00A24037"/>
    <w:rsid w:val="00A25053"/>
    <w:rsid w:val="00A25114"/>
    <w:rsid w:val="00A25E38"/>
    <w:rsid w:val="00A279F2"/>
    <w:rsid w:val="00A32B35"/>
    <w:rsid w:val="00A37CE7"/>
    <w:rsid w:val="00A44604"/>
    <w:rsid w:val="00A538D4"/>
    <w:rsid w:val="00A559D8"/>
    <w:rsid w:val="00A55AA0"/>
    <w:rsid w:val="00A56D28"/>
    <w:rsid w:val="00A570AA"/>
    <w:rsid w:val="00A5775B"/>
    <w:rsid w:val="00A57888"/>
    <w:rsid w:val="00A643B4"/>
    <w:rsid w:val="00A6491A"/>
    <w:rsid w:val="00A70489"/>
    <w:rsid w:val="00A72F23"/>
    <w:rsid w:val="00A74835"/>
    <w:rsid w:val="00A76DCD"/>
    <w:rsid w:val="00A8086E"/>
    <w:rsid w:val="00A827CB"/>
    <w:rsid w:val="00A840B3"/>
    <w:rsid w:val="00A84F13"/>
    <w:rsid w:val="00A85D32"/>
    <w:rsid w:val="00A9373D"/>
    <w:rsid w:val="00A956C3"/>
    <w:rsid w:val="00A95B34"/>
    <w:rsid w:val="00AA53CE"/>
    <w:rsid w:val="00AA5F4B"/>
    <w:rsid w:val="00AB085A"/>
    <w:rsid w:val="00AB1627"/>
    <w:rsid w:val="00AD4F05"/>
    <w:rsid w:val="00AE2D6D"/>
    <w:rsid w:val="00AE5ACB"/>
    <w:rsid w:val="00AF4D45"/>
    <w:rsid w:val="00AF7B65"/>
    <w:rsid w:val="00B05E19"/>
    <w:rsid w:val="00B162F0"/>
    <w:rsid w:val="00B27959"/>
    <w:rsid w:val="00B41BA3"/>
    <w:rsid w:val="00B444B9"/>
    <w:rsid w:val="00B45A14"/>
    <w:rsid w:val="00B52FAB"/>
    <w:rsid w:val="00B55017"/>
    <w:rsid w:val="00B64512"/>
    <w:rsid w:val="00B64D6F"/>
    <w:rsid w:val="00B66D1B"/>
    <w:rsid w:val="00B67E8E"/>
    <w:rsid w:val="00BA0B59"/>
    <w:rsid w:val="00BA1847"/>
    <w:rsid w:val="00BA29B2"/>
    <w:rsid w:val="00BB4B69"/>
    <w:rsid w:val="00BC2D37"/>
    <w:rsid w:val="00BC5B9C"/>
    <w:rsid w:val="00BC5CF3"/>
    <w:rsid w:val="00BC5F9C"/>
    <w:rsid w:val="00BC60AE"/>
    <w:rsid w:val="00BD3100"/>
    <w:rsid w:val="00BD3BEA"/>
    <w:rsid w:val="00BD41AA"/>
    <w:rsid w:val="00BE0641"/>
    <w:rsid w:val="00BE6D71"/>
    <w:rsid w:val="00BF02D9"/>
    <w:rsid w:val="00BF2FA0"/>
    <w:rsid w:val="00BF3E45"/>
    <w:rsid w:val="00C054EC"/>
    <w:rsid w:val="00C06123"/>
    <w:rsid w:val="00C12DDA"/>
    <w:rsid w:val="00C16B27"/>
    <w:rsid w:val="00C171FD"/>
    <w:rsid w:val="00C24E15"/>
    <w:rsid w:val="00C25AC6"/>
    <w:rsid w:val="00C412F5"/>
    <w:rsid w:val="00C44746"/>
    <w:rsid w:val="00C63975"/>
    <w:rsid w:val="00C7058A"/>
    <w:rsid w:val="00C71EA0"/>
    <w:rsid w:val="00C73C5F"/>
    <w:rsid w:val="00C75FF1"/>
    <w:rsid w:val="00C8176A"/>
    <w:rsid w:val="00C81990"/>
    <w:rsid w:val="00C830DD"/>
    <w:rsid w:val="00C861CB"/>
    <w:rsid w:val="00C936C4"/>
    <w:rsid w:val="00C975DE"/>
    <w:rsid w:val="00CA2931"/>
    <w:rsid w:val="00CA3F26"/>
    <w:rsid w:val="00CB55F5"/>
    <w:rsid w:val="00CB637D"/>
    <w:rsid w:val="00CB64B3"/>
    <w:rsid w:val="00CB74A9"/>
    <w:rsid w:val="00CC2318"/>
    <w:rsid w:val="00CC42C9"/>
    <w:rsid w:val="00CC45A0"/>
    <w:rsid w:val="00CD50E9"/>
    <w:rsid w:val="00CD6363"/>
    <w:rsid w:val="00CE2FD1"/>
    <w:rsid w:val="00CF5E2E"/>
    <w:rsid w:val="00CF7AE1"/>
    <w:rsid w:val="00D01653"/>
    <w:rsid w:val="00D11DAE"/>
    <w:rsid w:val="00D15B65"/>
    <w:rsid w:val="00D203E9"/>
    <w:rsid w:val="00D22364"/>
    <w:rsid w:val="00D27EB7"/>
    <w:rsid w:val="00D33AE1"/>
    <w:rsid w:val="00D36189"/>
    <w:rsid w:val="00D419CD"/>
    <w:rsid w:val="00D4387A"/>
    <w:rsid w:val="00D444D8"/>
    <w:rsid w:val="00D44EB3"/>
    <w:rsid w:val="00D66015"/>
    <w:rsid w:val="00D661EE"/>
    <w:rsid w:val="00D70066"/>
    <w:rsid w:val="00D72A42"/>
    <w:rsid w:val="00D751E8"/>
    <w:rsid w:val="00D76270"/>
    <w:rsid w:val="00D77CE2"/>
    <w:rsid w:val="00D8031A"/>
    <w:rsid w:val="00D81952"/>
    <w:rsid w:val="00D87A02"/>
    <w:rsid w:val="00D9018E"/>
    <w:rsid w:val="00D916DE"/>
    <w:rsid w:val="00D93C0E"/>
    <w:rsid w:val="00DA2BA4"/>
    <w:rsid w:val="00DA2E3A"/>
    <w:rsid w:val="00DA3A94"/>
    <w:rsid w:val="00DB15F7"/>
    <w:rsid w:val="00DB2472"/>
    <w:rsid w:val="00DC0E18"/>
    <w:rsid w:val="00DC1AAB"/>
    <w:rsid w:val="00DC33FB"/>
    <w:rsid w:val="00DC48A4"/>
    <w:rsid w:val="00DC59FD"/>
    <w:rsid w:val="00DC76D9"/>
    <w:rsid w:val="00DD0BA4"/>
    <w:rsid w:val="00DD526D"/>
    <w:rsid w:val="00DD712F"/>
    <w:rsid w:val="00DD719B"/>
    <w:rsid w:val="00DE02C2"/>
    <w:rsid w:val="00DE40C6"/>
    <w:rsid w:val="00DF4E69"/>
    <w:rsid w:val="00E0117A"/>
    <w:rsid w:val="00E158C9"/>
    <w:rsid w:val="00E220C9"/>
    <w:rsid w:val="00E24056"/>
    <w:rsid w:val="00E24C95"/>
    <w:rsid w:val="00E26200"/>
    <w:rsid w:val="00E368BD"/>
    <w:rsid w:val="00E43C50"/>
    <w:rsid w:val="00E44EBC"/>
    <w:rsid w:val="00E46C07"/>
    <w:rsid w:val="00E61D54"/>
    <w:rsid w:val="00E731EA"/>
    <w:rsid w:val="00E73DA1"/>
    <w:rsid w:val="00E77522"/>
    <w:rsid w:val="00E80063"/>
    <w:rsid w:val="00E8491D"/>
    <w:rsid w:val="00E84B96"/>
    <w:rsid w:val="00E86E06"/>
    <w:rsid w:val="00E9034F"/>
    <w:rsid w:val="00E90BA1"/>
    <w:rsid w:val="00EA34A2"/>
    <w:rsid w:val="00EA4EF8"/>
    <w:rsid w:val="00ED2A0B"/>
    <w:rsid w:val="00EE0054"/>
    <w:rsid w:val="00EE330A"/>
    <w:rsid w:val="00EE65CA"/>
    <w:rsid w:val="00EF0109"/>
    <w:rsid w:val="00EF7E4D"/>
    <w:rsid w:val="00F00D6C"/>
    <w:rsid w:val="00F04697"/>
    <w:rsid w:val="00F04811"/>
    <w:rsid w:val="00F04C02"/>
    <w:rsid w:val="00F14EC4"/>
    <w:rsid w:val="00F27AD0"/>
    <w:rsid w:val="00F33021"/>
    <w:rsid w:val="00F374A3"/>
    <w:rsid w:val="00F4066D"/>
    <w:rsid w:val="00F41E1B"/>
    <w:rsid w:val="00F41E9F"/>
    <w:rsid w:val="00F43CFD"/>
    <w:rsid w:val="00F47754"/>
    <w:rsid w:val="00F47AD9"/>
    <w:rsid w:val="00F503A0"/>
    <w:rsid w:val="00F532C3"/>
    <w:rsid w:val="00F611DB"/>
    <w:rsid w:val="00F61FD1"/>
    <w:rsid w:val="00F65C0F"/>
    <w:rsid w:val="00F673D1"/>
    <w:rsid w:val="00F70D61"/>
    <w:rsid w:val="00F71385"/>
    <w:rsid w:val="00F71CA8"/>
    <w:rsid w:val="00F72DE3"/>
    <w:rsid w:val="00F756A4"/>
    <w:rsid w:val="00F85BB7"/>
    <w:rsid w:val="00F86E5C"/>
    <w:rsid w:val="00F950E2"/>
    <w:rsid w:val="00FA4944"/>
    <w:rsid w:val="00FA64B3"/>
    <w:rsid w:val="00FB1C3E"/>
    <w:rsid w:val="00FB6701"/>
    <w:rsid w:val="00FB7291"/>
    <w:rsid w:val="00FB7337"/>
    <w:rsid w:val="00FC0E65"/>
    <w:rsid w:val="00FC16B9"/>
    <w:rsid w:val="00FD0D7F"/>
    <w:rsid w:val="00FE45F3"/>
    <w:rsid w:val="00FE6E5F"/>
    <w:rsid w:val="00FF3A81"/>
    <w:rsid w:val="00FF44A9"/>
    <w:rsid w:val="00FF5001"/>
    <w:rsid w:val="00FF6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296627"/>
  <w14:defaultImageDpi w14:val="300"/>
  <w15:docId w15:val="{1E8A4294-FA85-2A42-99CC-2DA589E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qFormat/>
    <w:rsid w:val="00DF570E"/>
    <w:pPr>
      <w:keepNext/>
      <w:numPr>
        <w:numId w:val="1"/>
      </w:numPr>
      <w:outlineLvl w:val="0"/>
    </w:pPr>
    <w:rPr>
      <w:rFonts w:eastAsia="Times New Roman"/>
      <w:b/>
      <w:bCs/>
      <w:sz w:val="24"/>
      <w:szCs w:val="24"/>
    </w:rPr>
  </w:style>
  <w:style w:type="paragraph" w:styleId="Heading2">
    <w:name w:val="heading 2"/>
    <w:basedOn w:val="Normal"/>
    <w:next w:val="Normal"/>
    <w:qFormat/>
    <w:rsid w:val="00DF570E"/>
    <w:pPr>
      <w:keepNext/>
      <w:numPr>
        <w:ilvl w:val="1"/>
        <w:numId w:val="1"/>
      </w:numPr>
      <w:spacing w:before="240" w:after="60"/>
      <w:outlineLvl w:val="1"/>
    </w:pPr>
    <w:rPr>
      <w:rFonts w:ascii="Arial" w:eastAsia="Times New Roman" w:hAnsi="Arial"/>
      <w:b/>
      <w:bCs/>
      <w:i/>
      <w:iCs/>
      <w:sz w:val="28"/>
      <w:szCs w:val="28"/>
      <w:lang w:val="en-US"/>
    </w:rPr>
  </w:style>
  <w:style w:type="paragraph" w:styleId="Heading9">
    <w:name w:val="heading 9"/>
    <w:basedOn w:val="Normal"/>
    <w:next w:val="Normal"/>
    <w:link w:val="Heading9Char"/>
    <w:unhideWhenUsed/>
    <w:qFormat/>
    <w:rsid w:val="00F04C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semiHidden/>
    <w:rsid w:val="00F22195"/>
    <w:rPr>
      <w:sz w:val="20"/>
    </w:rPr>
  </w:style>
  <w:style w:type="paragraph" w:styleId="BalloonText">
    <w:name w:val="Balloon Text"/>
    <w:basedOn w:val="Normal"/>
    <w:semiHidden/>
    <w:rsid w:val="00A24037"/>
    <w:rPr>
      <w:rFonts w:ascii="Tahoma" w:hAnsi="Tahoma" w:cs="Tahoma"/>
      <w:sz w:val="16"/>
      <w:szCs w:val="16"/>
    </w:rPr>
  </w:style>
  <w:style w:type="character" w:styleId="CommentReference">
    <w:name w:val="annotation reference"/>
    <w:basedOn w:val="DefaultParagraphFont"/>
    <w:semiHidden/>
    <w:rsid w:val="006A2312"/>
    <w:rPr>
      <w:sz w:val="16"/>
      <w:szCs w:val="16"/>
    </w:rPr>
  </w:style>
  <w:style w:type="paragraph" w:styleId="CommentSubject">
    <w:name w:val="annotation subject"/>
    <w:basedOn w:val="CommentText"/>
    <w:next w:val="CommentText"/>
    <w:semiHidden/>
    <w:rsid w:val="006A2312"/>
    <w:rPr>
      <w:b/>
      <w:bCs/>
    </w:rPr>
  </w:style>
  <w:style w:type="paragraph" w:styleId="FootnoteText">
    <w:name w:val="footnote text"/>
    <w:basedOn w:val="Normal"/>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rsid w:val="005745FB"/>
    <w:pPr>
      <w:tabs>
        <w:tab w:val="center" w:pos="4536"/>
        <w:tab w:val="right" w:pos="9072"/>
      </w:tabs>
    </w:pPr>
  </w:style>
  <w:style w:type="paragraph" w:styleId="BodyText2">
    <w:name w:val="Body Text 2"/>
    <w:basedOn w:val="Normal"/>
    <w:rsid w:val="005745FB"/>
    <w:rPr>
      <w:rFonts w:eastAsia="Times New Roman" w:cs="Arial"/>
      <w:szCs w:val="24"/>
    </w:rPr>
  </w:style>
  <w:style w:type="paragraph" w:styleId="ListParagraph">
    <w:name w:val="List Paragraph"/>
    <w:basedOn w:val="Normal"/>
    <w:uiPriority w:val="34"/>
    <w:qFormat/>
    <w:rsid w:val="00C936C4"/>
    <w:pPr>
      <w:ind w:left="720"/>
    </w:pPr>
    <w:rPr>
      <w:rFonts w:eastAsia="Times New Roman"/>
      <w:sz w:val="24"/>
      <w:szCs w:val="24"/>
      <w:lang w:val="en-US"/>
    </w:rPr>
  </w:style>
  <w:style w:type="character" w:customStyle="1" w:styleId="st">
    <w:name w:val="st"/>
    <w:rsid w:val="00E220C9"/>
  </w:style>
  <w:style w:type="paragraph" w:customStyle="1" w:styleId="Default">
    <w:name w:val="Default"/>
    <w:rsid w:val="00157F06"/>
    <w:pPr>
      <w:widowControl w:val="0"/>
      <w:autoSpaceDE w:val="0"/>
      <w:autoSpaceDN w:val="0"/>
      <w:adjustRightInd w:val="0"/>
    </w:pPr>
    <w:rPr>
      <w:rFonts w:ascii="Times New Roman" w:hAnsi="Times New Roman"/>
      <w:color w:val="000000"/>
      <w:sz w:val="24"/>
      <w:szCs w:val="24"/>
      <w:lang w:val="en-US"/>
    </w:rPr>
  </w:style>
  <w:style w:type="paragraph" w:customStyle="1" w:styleId="Normal1">
    <w:name w:val="Normal1"/>
    <w:uiPriority w:val="99"/>
    <w:rsid w:val="009775FB"/>
    <w:rPr>
      <w:rFonts w:ascii="Times New Roman" w:eastAsia="Times New Roman" w:hAnsi="Times New Roman"/>
      <w:color w:val="000000"/>
      <w:sz w:val="24"/>
    </w:rPr>
  </w:style>
  <w:style w:type="character" w:customStyle="1" w:styleId="Heading9Char">
    <w:name w:val="Heading 9 Char"/>
    <w:basedOn w:val="DefaultParagraphFont"/>
    <w:link w:val="Heading9"/>
    <w:rsid w:val="00F04C02"/>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576080"/>
    <w:rPr>
      <w:b/>
      <w:bCs/>
    </w:rPr>
  </w:style>
  <w:style w:type="character" w:styleId="Emphasis">
    <w:name w:val="Emphasis"/>
    <w:basedOn w:val="DefaultParagraphFont"/>
    <w:uiPriority w:val="20"/>
    <w:qFormat/>
    <w:rsid w:val="007974CA"/>
    <w:rPr>
      <w:i/>
      <w:iCs/>
    </w:rPr>
  </w:style>
  <w:style w:type="paragraph" w:styleId="Revision">
    <w:name w:val="Revision"/>
    <w:hidden/>
    <w:uiPriority w:val="99"/>
    <w:semiHidden/>
    <w:rsid w:val="002703B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3580">
      <w:bodyDiv w:val="1"/>
      <w:marLeft w:val="0"/>
      <w:marRight w:val="0"/>
      <w:marTop w:val="0"/>
      <w:marBottom w:val="0"/>
      <w:divBdr>
        <w:top w:val="none" w:sz="0" w:space="0" w:color="auto"/>
        <w:left w:val="none" w:sz="0" w:space="0" w:color="auto"/>
        <w:bottom w:val="none" w:sz="0" w:space="0" w:color="auto"/>
        <w:right w:val="none" w:sz="0" w:space="0" w:color="auto"/>
      </w:divBdr>
    </w:div>
    <w:div w:id="208760429">
      <w:bodyDiv w:val="1"/>
      <w:marLeft w:val="0"/>
      <w:marRight w:val="0"/>
      <w:marTop w:val="0"/>
      <w:marBottom w:val="0"/>
      <w:divBdr>
        <w:top w:val="none" w:sz="0" w:space="0" w:color="auto"/>
        <w:left w:val="none" w:sz="0" w:space="0" w:color="auto"/>
        <w:bottom w:val="none" w:sz="0" w:space="0" w:color="auto"/>
        <w:right w:val="none" w:sz="0" w:space="0" w:color="auto"/>
      </w:divBdr>
    </w:div>
    <w:div w:id="876894677">
      <w:bodyDiv w:val="1"/>
      <w:marLeft w:val="0"/>
      <w:marRight w:val="0"/>
      <w:marTop w:val="0"/>
      <w:marBottom w:val="0"/>
      <w:divBdr>
        <w:top w:val="none" w:sz="0" w:space="0" w:color="auto"/>
        <w:left w:val="none" w:sz="0" w:space="0" w:color="auto"/>
        <w:bottom w:val="none" w:sz="0" w:space="0" w:color="auto"/>
        <w:right w:val="none" w:sz="0" w:space="0" w:color="auto"/>
      </w:divBdr>
    </w:div>
    <w:div w:id="1141965023">
      <w:bodyDiv w:val="1"/>
      <w:marLeft w:val="0"/>
      <w:marRight w:val="0"/>
      <w:marTop w:val="0"/>
      <w:marBottom w:val="0"/>
      <w:divBdr>
        <w:top w:val="none" w:sz="0" w:space="0" w:color="auto"/>
        <w:left w:val="none" w:sz="0" w:space="0" w:color="auto"/>
        <w:bottom w:val="none" w:sz="0" w:space="0" w:color="auto"/>
        <w:right w:val="none" w:sz="0" w:space="0" w:color="auto"/>
      </w:divBdr>
      <w:divsChild>
        <w:div w:id="985088126">
          <w:marLeft w:val="360"/>
          <w:marRight w:val="0"/>
          <w:marTop w:val="200"/>
          <w:marBottom w:val="0"/>
          <w:divBdr>
            <w:top w:val="none" w:sz="0" w:space="0" w:color="auto"/>
            <w:left w:val="none" w:sz="0" w:space="0" w:color="auto"/>
            <w:bottom w:val="none" w:sz="0" w:space="0" w:color="auto"/>
            <w:right w:val="none" w:sz="0" w:space="0" w:color="auto"/>
          </w:divBdr>
        </w:div>
        <w:div w:id="1468276132">
          <w:marLeft w:val="360"/>
          <w:marRight w:val="0"/>
          <w:marTop w:val="200"/>
          <w:marBottom w:val="0"/>
          <w:divBdr>
            <w:top w:val="none" w:sz="0" w:space="0" w:color="auto"/>
            <w:left w:val="none" w:sz="0" w:space="0" w:color="auto"/>
            <w:bottom w:val="none" w:sz="0" w:space="0" w:color="auto"/>
            <w:right w:val="none" w:sz="0" w:space="0" w:color="auto"/>
          </w:divBdr>
        </w:div>
        <w:div w:id="1396272931">
          <w:marLeft w:val="360"/>
          <w:marRight w:val="0"/>
          <w:marTop w:val="200"/>
          <w:marBottom w:val="0"/>
          <w:divBdr>
            <w:top w:val="none" w:sz="0" w:space="0" w:color="auto"/>
            <w:left w:val="none" w:sz="0" w:space="0" w:color="auto"/>
            <w:bottom w:val="none" w:sz="0" w:space="0" w:color="auto"/>
            <w:right w:val="none" w:sz="0" w:space="0" w:color="auto"/>
          </w:divBdr>
        </w:div>
        <w:div w:id="2067678178">
          <w:marLeft w:val="360"/>
          <w:marRight w:val="0"/>
          <w:marTop w:val="200"/>
          <w:marBottom w:val="0"/>
          <w:divBdr>
            <w:top w:val="none" w:sz="0" w:space="0" w:color="auto"/>
            <w:left w:val="none" w:sz="0" w:space="0" w:color="auto"/>
            <w:bottom w:val="none" w:sz="0" w:space="0" w:color="auto"/>
            <w:right w:val="none" w:sz="0" w:space="0" w:color="auto"/>
          </w:divBdr>
        </w:div>
        <w:div w:id="1247302944">
          <w:marLeft w:val="360"/>
          <w:marRight w:val="0"/>
          <w:marTop w:val="200"/>
          <w:marBottom w:val="0"/>
          <w:divBdr>
            <w:top w:val="none" w:sz="0" w:space="0" w:color="auto"/>
            <w:left w:val="none" w:sz="0" w:space="0" w:color="auto"/>
            <w:bottom w:val="none" w:sz="0" w:space="0" w:color="auto"/>
            <w:right w:val="none" w:sz="0" w:space="0" w:color="auto"/>
          </w:divBdr>
        </w:div>
      </w:divsChild>
    </w:div>
    <w:div w:id="1622154344">
      <w:bodyDiv w:val="1"/>
      <w:marLeft w:val="0"/>
      <w:marRight w:val="0"/>
      <w:marTop w:val="0"/>
      <w:marBottom w:val="0"/>
      <w:divBdr>
        <w:top w:val="none" w:sz="0" w:space="0" w:color="auto"/>
        <w:left w:val="none" w:sz="0" w:space="0" w:color="auto"/>
        <w:bottom w:val="none" w:sz="0" w:space="0" w:color="auto"/>
        <w:right w:val="none" w:sz="0" w:space="0" w:color="auto"/>
      </w:divBdr>
    </w:div>
    <w:div w:id="1892689741">
      <w:bodyDiv w:val="1"/>
      <w:marLeft w:val="0"/>
      <w:marRight w:val="0"/>
      <w:marTop w:val="0"/>
      <w:marBottom w:val="0"/>
      <w:divBdr>
        <w:top w:val="none" w:sz="0" w:space="0" w:color="auto"/>
        <w:left w:val="none" w:sz="0" w:space="0" w:color="auto"/>
        <w:bottom w:val="none" w:sz="0" w:space="0" w:color="auto"/>
        <w:right w:val="none" w:sz="0" w:space="0" w:color="auto"/>
      </w:divBdr>
      <w:divsChild>
        <w:div w:id="1357079945">
          <w:marLeft w:val="0"/>
          <w:marRight w:val="0"/>
          <w:marTop w:val="0"/>
          <w:marBottom w:val="0"/>
          <w:divBdr>
            <w:top w:val="none" w:sz="0" w:space="0" w:color="auto"/>
            <w:left w:val="none" w:sz="0" w:space="0" w:color="auto"/>
            <w:bottom w:val="none" w:sz="0" w:space="0" w:color="auto"/>
            <w:right w:val="none" w:sz="0" w:space="0" w:color="auto"/>
          </w:divBdr>
          <w:divsChild>
            <w:div w:id="821430296">
              <w:marLeft w:val="0"/>
              <w:marRight w:val="0"/>
              <w:marTop w:val="0"/>
              <w:marBottom w:val="0"/>
              <w:divBdr>
                <w:top w:val="none" w:sz="0" w:space="0" w:color="auto"/>
                <w:left w:val="none" w:sz="0" w:space="0" w:color="auto"/>
                <w:bottom w:val="none" w:sz="0" w:space="0" w:color="auto"/>
                <w:right w:val="none" w:sz="0" w:space="0" w:color="auto"/>
              </w:divBdr>
            </w:div>
            <w:div w:id="253634618">
              <w:marLeft w:val="0"/>
              <w:marRight w:val="0"/>
              <w:marTop w:val="0"/>
              <w:marBottom w:val="0"/>
              <w:divBdr>
                <w:top w:val="none" w:sz="0" w:space="0" w:color="auto"/>
                <w:left w:val="none" w:sz="0" w:space="0" w:color="auto"/>
                <w:bottom w:val="none" w:sz="0" w:space="0" w:color="auto"/>
                <w:right w:val="none" w:sz="0" w:space="0" w:color="auto"/>
              </w:divBdr>
            </w:div>
            <w:div w:id="1176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7228">
      <w:bodyDiv w:val="1"/>
      <w:marLeft w:val="0"/>
      <w:marRight w:val="0"/>
      <w:marTop w:val="0"/>
      <w:marBottom w:val="0"/>
      <w:divBdr>
        <w:top w:val="none" w:sz="0" w:space="0" w:color="auto"/>
        <w:left w:val="none" w:sz="0" w:space="0" w:color="auto"/>
        <w:bottom w:val="none" w:sz="0" w:space="0" w:color="auto"/>
        <w:right w:val="none" w:sz="0" w:space="0" w:color="auto"/>
      </w:divBdr>
    </w:div>
    <w:div w:id="206884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11614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Agenda item 1 Opening</vt:lpstr>
    </vt:vector>
  </TitlesOfParts>
  <Company>DJEnvironmental</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 Opening</dc:title>
  <dc:subject/>
  <dc:creator>Tim Jones</dc:creator>
  <cp:keywords/>
  <cp:lastModifiedBy>Jeannine Dicken</cp:lastModifiedBy>
  <cp:revision>2</cp:revision>
  <cp:lastPrinted>2008-11-26T10:00:00Z</cp:lastPrinted>
  <dcterms:created xsi:type="dcterms:W3CDTF">2022-09-29T17:50:00Z</dcterms:created>
  <dcterms:modified xsi:type="dcterms:W3CDTF">2022-09-29T17:50:00Z</dcterms:modified>
</cp:coreProperties>
</file>