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6ECF" w:rsidRPr="008B0F73" w:rsidRDefault="00AC6ECF">
      <w:pPr>
        <w:pStyle w:val="Normal1"/>
        <w:jc w:val="center"/>
        <w:rPr>
          <w:szCs w:val="24"/>
        </w:rPr>
      </w:pPr>
      <w:r w:rsidRPr="008B0F73">
        <w:rPr>
          <w:b/>
          <w:smallCaps/>
          <w:szCs w:val="24"/>
        </w:rPr>
        <w:t>REPORT ON THE</w:t>
      </w:r>
      <w:r w:rsidRPr="008B0F73">
        <w:rPr>
          <w:b/>
          <w:szCs w:val="24"/>
        </w:rPr>
        <w:t xml:space="preserve"> DEVELOPMENT OF WATERBIRD MONITORING </w:t>
      </w:r>
    </w:p>
    <w:p w:rsidR="00AC6ECF" w:rsidRPr="008B0F73" w:rsidRDefault="00AC6ECF">
      <w:pPr>
        <w:pStyle w:val="Normal1"/>
        <w:jc w:val="center"/>
        <w:rPr>
          <w:szCs w:val="24"/>
        </w:rPr>
      </w:pPr>
      <w:r w:rsidRPr="008B0F73">
        <w:rPr>
          <w:b/>
          <w:szCs w:val="24"/>
        </w:rPr>
        <w:t>ALONG THE AFRICAN-EURASIAN FLYWAYS</w:t>
      </w:r>
    </w:p>
    <w:p w:rsidR="00AC6ECF" w:rsidRPr="008B0F73" w:rsidRDefault="00AC6ECF">
      <w:pPr>
        <w:pStyle w:val="Title"/>
      </w:pPr>
      <w:r w:rsidRPr="008B0F73">
        <w:rPr>
          <w:rFonts w:ascii="Times New Roman" w:hAnsi="Times New Roman" w:cs="Times New Roman"/>
          <w:b w:val="0"/>
          <w:i/>
          <w:sz w:val="24"/>
        </w:rPr>
        <w:t>Compiled by Wetlands International and the UNEP/AEWA Secretariat</w:t>
      </w:r>
    </w:p>
    <w:p w:rsidR="00AC6ECF" w:rsidRPr="008B0F73" w:rsidRDefault="00AC6ECF">
      <w:pPr>
        <w:pStyle w:val="Heading3"/>
        <w:jc w:val="both"/>
        <w:rPr>
          <w:rFonts w:ascii="Times New Roman" w:hAnsi="Times New Roman" w:cs="Times New Roman"/>
          <w:sz w:val="24"/>
          <w:szCs w:val="24"/>
        </w:rPr>
      </w:pPr>
      <w:r w:rsidRPr="008B0F73">
        <w:rPr>
          <w:rFonts w:ascii="Times New Roman" w:hAnsi="Times New Roman" w:cs="Times New Roman"/>
          <w:sz w:val="24"/>
          <w:szCs w:val="24"/>
        </w:rPr>
        <w:t>Executive Summary</w:t>
      </w:r>
    </w:p>
    <w:p w:rsidR="009456DC" w:rsidRPr="008B0F73" w:rsidRDefault="009456DC" w:rsidP="009456DC">
      <w:pPr>
        <w:pStyle w:val="Normal1"/>
      </w:pPr>
    </w:p>
    <w:p w:rsidR="00AC6ECF" w:rsidRPr="008B0F73" w:rsidRDefault="00AC6ECF" w:rsidP="009456DC">
      <w:pPr>
        <w:pStyle w:val="Normal1"/>
        <w:jc w:val="both"/>
        <w:rPr>
          <w:sz w:val="22"/>
          <w:szCs w:val="22"/>
        </w:rPr>
      </w:pPr>
      <w:r w:rsidRPr="008B0F73">
        <w:rPr>
          <w:sz w:val="22"/>
          <w:szCs w:val="22"/>
        </w:rPr>
        <w:t xml:space="preserve">This paper presents an overview of the progress that has been made by the </w:t>
      </w:r>
      <w:r w:rsidRPr="008B0F73">
        <w:rPr>
          <w:i/>
          <w:sz w:val="22"/>
          <w:szCs w:val="22"/>
        </w:rPr>
        <w:t>African-Eurasian Waterbird</w:t>
      </w:r>
      <w:r w:rsidRPr="008B0F73">
        <w:rPr>
          <w:sz w:val="22"/>
          <w:szCs w:val="22"/>
        </w:rPr>
        <w:t xml:space="preserve"> </w:t>
      </w:r>
      <w:r w:rsidRPr="008B0F73">
        <w:rPr>
          <w:i/>
          <w:sz w:val="22"/>
          <w:szCs w:val="22"/>
        </w:rPr>
        <w:t>Monitoring Partnership</w:t>
      </w:r>
      <w:r w:rsidRPr="008B0F73">
        <w:rPr>
          <w:sz w:val="22"/>
          <w:szCs w:val="22"/>
        </w:rPr>
        <w:t xml:space="preserve"> since MOP5 in response to </w:t>
      </w:r>
      <w:r w:rsidR="00767BDC" w:rsidRPr="008B0F73">
        <w:rPr>
          <w:sz w:val="22"/>
          <w:szCs w:val="22"/>
        </w:rPr>
        <w:t>operative p</w:t>
      </w:r>
      <w:r w:rsidRPr="008B0F73">
        <w:rPr>
          <w:sz w:val="22"/>
          <w:szCs w:val="22"/>
        </w:rPr>
        <w:t xml:space="preserve">aragraph 1 of Resolution 5.22. The report describes the achievements made in the field of network and capacity development, the technical improvements and outputs from the </w:t>
      </w:r>
      <w:r w:rsidR="00453A60">
        <w:rPr>
          <w:sz w:val="22"/>
          <w:szCs w:val="22"/>
        </w:rPr>
        <w:t xml:space="preserve">International </w:t>
      </w:r>
      <w:proofErr w:type="spellStart"/>
      <w:r w:rsidR="00453A60">
        <w:rPr>
          <w:sz w:val="22"/>
          <w:szCs w:val="22"/>
        </w:rPr>
        <w:t>Waterbird</w:t>
      </w:r>
      <w:proofErr w:type="spellEnd"/>
      <w:r w:rsidR="00453A60">
        <w:rPr>
          <w:sz w:val="22"/>
          <w:szCs w:val="22"/>
        </w:rPr>
        <w:t xml:space="preserve"> Census (</w:t>
      </w:r>
      <w:r w:rsidRPr="008B0F73">
        <w:rPr>
          <w:sz w:val="22"/>
          <w:szCs w:val="22"/>
        </w:rPr>
        <w:t>IWC</w:t>
      </w:r>
      <w:r w:rsidR="00453A60">
        <w:rPr>
          <w:sz w:val="22"/>
          <w:szCs w:val="22"/>
        </w:rPr>
        <w:t>)</w:t>
      </w:r>
      <w:r w:rsidRPr="008B0F73">
        <w:rPr>
          <w:sz w:val="22"/>
          <w:szCs w:val="22"/>
        </w:rPr>
        <w:t>. However, it also highlights that funding for all these activities is largely based on short-term project funding (except data management that is funded by Wetlands International) with no long-term sustainability and addressing this issue requires urgent measures. To this end the paper proposes five actions:</w:t>
      </w:r>
    </w:p>
    <w:p w:rsidR="009F35C7" w:rsidRPr="008B0F73" w:rsidRDefault="009F35C7" w:rsidP="009456DC">
      <w:pPr>
        <w:pStyle w:val="Normal1"/>
        <w:jc w:val="both"/>
        <w:rPr>
          <w:sz w:val="22"/>
          <w:szCs w:val="22"/>
        </w:rPr>
      </w:pPr>
    </w:p>
    <w:p w:rsidR="00AC6ECF" w:rsidRDefault="00AC6ECF" w:rsidP="009456DC">
      <w:pPr>
        <w:pStyle w:val="Normal1"/>
        <w:numPr>
          <w:ilvl w:val="0"/>
          <w:numId w:val="2"/>
        </w:numPr>
        <w:ind w:hanging="360"/>
        <w:contextualSpacing/>
        <w:jc w:val="both"/>
        <w:rPr>
          <w:sz w:val="22"/>
          <w:szCs w:val="22"/>
        </w:rPr>
      </w:pPr>
      <w:r w:rsidRPr="008B0F73">
        <w:rPr>
          <w:sz w:val="22"/>
          <w:szCs w:val="22"/>
        </w:rPr>
        <w:t xml:space="preserve">Create a Waterbird Monitoring Fund under AEWA and invite voluntary contributions from donor Parties to support low-income Parties in monitoring the internationally important sites on their territory. </w:t>
      </w:r>
    </w:p>
    <w:p w:rsidR="003C36F4" w:rsidRPr="008B0F73" w:rsidRDefault="003C36F4" w:rsidP="003C36F4">
      <w:pPr>
        <w:pStyle w:val="Normal1"/>
        <w:ind w:left="720"/>
        <w:contextualSpacing/>
        <w:jc w:val="both"/>
        <w:rPr>
          <w:sz w:val="22"/>
          <w:szCs w:val="22"/>
        </w:rPr>
      </w:pPr>
    </w:p>
    <w:p w:rsidR="00AC6ECF" w:rsidRDefault="00AC6ECF" w:rsidP="009456DC">
      <w:pPr>
        <w:pStyle w:val="Normal1"/>
        <w:numPr>
          <w:ilvl w:val="0"/>
          <w:numId w:val="2"/>
        </w:numPr>
        <w:ind w:hanging="360"/>
        <w:contextualSpacing/>
        <w:jc w:val="both"/>
        <w:rPr>
          <w:sz w:val="22"/>
          <w:szCs w:val="22"/>
        </w:rPr>
      </w:pPr>
      <w:r w:rsidRPr="008B0F73">
        <w:rPr>
          <w:sz w:val="22"/>
          <w:szCs w:val="22"/>
        </w:rPr>
        <w:t xml:space="preserve">Suggest Contracting Parties and other stakeholders to incorporate waterbird monitoring into the twinning schemes they were encouraged to establish under Resolution 5.20 or other flyway-related collaborative programmes. </w:t>
      </w:r>
    </w:p>
    <w:p w:rsidR="003C36F4" w:rsidRDefault="003C36F4" w:rsidP="003C36F4">
      <w:pPr>
        <w:pStyle w:val="ListParagraph"/>
        <w:rPr>
          <w:sz w:val="22"/>
          <w:szCs w:val="22"/>
        </w:rPr>
      </w:pPr>
    </w:p>
    <w:p w:rsidR="00AC6ECF" w:rsidRDefault="00AC6ECF" w:rsidP="009456DC">
      <w:pPr>
        <w:pStyle w:val="Normal1"/>
        <w:numPr>
          <w:ilvl w:val="0"/>
          <w:numId w:val="2"/>
        </w:numPr>
        <w:ind w:hanging="360"/>
        <w:contextualSpacing/>
        <w:jc w:val="both"/>
        <w:rPr>
          <w:sz w:val="22"/>
          <w:szCs w:val="22"/>
        </w:rPr>
      </w:pPr>
      <w:r w:rsidRPr="008B0F73">
        <w:rPr>
          <w:sz w:val="22"/>
          <w:szCs w:val="22"/>
        </w:rPr>
        <w:t xml:space="preserve">Invite the flyway coordinator to identify funding needs and through the UNEP/AEWA Secretariat inform Contracting Parties and other stakeholders about gaps to be filled on an annual basis. </w:t>
      </w:r>
    </w:p>
    <w:p w:rsidR="003C36F4" w:rsidRPr="008B0F73" w:rsidRDefault="003C36F4" w:rsidP="003C36F4">
      <w:pPr>
        <w:pStyle w:val="Normal1"/>
        <w:ind w:left="720"/>
        <w:contextualSpacing/>
        <w:jc w:val="both"/>
        <w:rPr>
          <w:sz w:val="22"/>
          <w:szCs w:val="22"/>
        </w:rPr>
      </w:pPr>
    </w:p>
    <w:p w:rsidR="00AC6ECF" w:rsidRDefault="00AC6ECF" w:rsidP="009456DC">
      <w:pPr>
        <w:pStyle w:val="Normal1"/>
        <w:numPr>
          <w:ilvl w:val="0"/>
          <w:numId w:val="2"/>
        </w:numPr>
        <w:ind w:hanging="360"/>
        <w:contextualSpacing/>
        <w:jc w:val="both"/>
        <w:rPr>
          <w:sz w:val="22"/>
          <w:szCs w:val="22"/>
        </w:rPr>
      </w:pPr>
      <w:r w:rsidRPr="008B0F73">
        <w:rPr>
          <w:sz w:val="22"/>
          <w:szCs w:val="22"/>
        </w:rPr>
        <w:t xml:space="preserve">Invite the organisations participating in the Waterbird Monitoring Partnership to jointly establish a Waterbird Partnership Fund to raise funds for waterbird monitoring and other AEWA-related activities primarily from the private and corporate sector. </w:t>
      </w:r>
    </w:p>
    <w:p w:rsidR="003C36F4" w:rsidRPr="008B0F73" w:rsidRDefault="003C36F4" w:rsidP="003C36F4">
      <w:pPr>
        <w:pStyle w:val="Normal1"/>
        <w:ind w:left="720"/>
        <w:contextualSpacing/>
        <w:jc w:val="both"/>
        <w:rPr>
          <w:sz w:val="22"/>
          <w:szCs w:val="22"/>
        </w:rPr>
      </w:pPr>
    </w:p>
    <w:p w:rsidR="00AC6ECF" w:rsidRPr="008B0F73" w:rsidRDefault="00AC6ECF" w:rsidP="009456DC">
      <w:pPr>
        <w:pStyle w:val="Normal1"/>
        <w:numPr>
          <w:ilvl w:val="0"/>
          <w:numId w:val="2"/>
        </w:numPr>
        <w:ind w:hanging="360"/>
        <w:contextualSpacing/>
        <w:jc w:val="both"/>
        <w:rPr>
          <w:sz w:val="22"/>
          <w:szCs w:val="22"/>
        </w:rPr>
      </w:pPr>
      <w:r w:rsidRPr="008B0F73">
        <w:rPr>
          <w:sz w:val="22"/>
          <w:szCs w:val="22"/>
        </w:rPr>
        <w:t xml:space="preserve">Invite Contracting Parties, non-governmental organisations and other organisations to use the World Migratory Bird Day events as fundraising opportunities. </w:t>
      </w:r>
    </w:p>
    <w:p w:rsidR="00AC6ECF" w:rsidRPr="008B0F73" w:rsidRDefault="00AC6ECF" w:rsidP="009456DC">
      <w:pPr>
        <w:pStyle w:val="Normal1"/>
        <w:jc w:val="both"/>
        <w:rPr>
          <w:sz w:val="22"/>
          <w:szCs w:val="22"/>
        </w:rPr>
      </w:pPr>
      <w:r w:rsidRPr="008B0F73">
        <w:rPr>
          <w:sz w:val="22"/>
          <w:szCs w:val="22"/>
        </w:rPr>
        <w:t xml:space="preserve">  </w:t>
      </w:r>
    </w:p>
    <w:p w:rsidR="00AC6ECF" w:rsidRPr="008B0F73" w:rsidRDefault="00AC6ECF">
      <w:pPr>
        <w:pStyle w:val="Heading3"/>
        <w:jc w:val="both"/>
        <w:rPr>
          <w:sz w:val="24"/>
          <w:szCs w:val="24"/>
        </w:rPr>
      </w:pPr>
      <w:r w:rsidRPr="008B0F73">
        <w:rPr>
          <w:rFonts w:ascii="Times New Roman" w:hAnsi="Times New Roman" w:cs="Times New Roman"/>
          <w:sz w:val="24"/>
          <w:szCs w:val="24"/>
        </w:rPr>
        <w:t>Background</w:t>
      </w:r>
    </w:p>
    <w:p w:rsidR="00AC6ECF" w:rsidRPr="008B0F73" w:rsidRDefault="00AC6ECF">
      <w:pPr>
        <w:pStyle w:val="Normal1"/>
        <w:jc w:val="both"/>
      </w:pPr>
    </w:p>
    <w:p w:rsidR="006052D1" w:rsidRPr="008B0F73" w:rsidRDefault="00AC6ECF">
      <w:pPr>
        <w:pStyle w:val="Normal1"/>
        <w:jc w:val="both"/>
        <w:rPr>
          <w:sz w:val="22"/>
        </w:rPr>
        <w:sectPr w:rsidR="006052D1" w:rsidRPr="008B0F73" w:rsidSect="00F34179">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pgNumType w:start="1"/>
          <w:cols w:space="720"/>
        </w:sectPr>
      </w:pPr>
      <w:r w:rsidRPr="008B0F73">
        <w:rPr>
          <w:sz w:val="22"/>
        </w:rPr>
        <w:t>As described in document AEWA/MOP5</w:t>
      </w:r>
      <w:r w:rsidR="00884AC0" w:rsidRPr="008B0F73">
        <w:rPr>
          <w:sz w:val="22"/>
        </w:rPr>
        <w:t xml:space="preserve"> </w:t>
      </w:r>
      <w:r w:rsidRPr="008B0F73">
        <w:rPr>
          <w:sz w:val="22"/>
        </w:rPr>
        <w:t>42 Rev.1 (</w:t>
      </w:r>
      <w:r w:rsidRPr="008B0F73">
        <w:rPr>
          <w:i/>
          <w:sz w:val="22"/>
        </w:rPr>
        <w:t>Strategic Development of the Waterbird Monitoring in the African-Eurasian Flyways</w:t>
      </w:r>
      <w:r w:rsidRPr="008B0F73">
        <w:rPr>
          <w:sz w:val="22"/>
        </w:rPr>
        <w:t>), waterbird monitoring is an essential tool for the implementation of the Agreement in many respects, however, the capacity at site, national and international level is insufficient for adequate monitoring of waterbird populations in the Agreement area. As the 6</w:t>
      </w:r>
      <w:r w:rsidRPr="008B0F73">
        <w:rPr>
          <w:sz w:val="22"/>
          <w:vertAlign w:val="superscript"/>
        </w:rPr>
        <w:t>th</w:t>
      </w:r>
      <w:r w:rsidRPr="008B0F73">
        <w:rPr>
          <w:sz w:val="22"/>
        </w:rPr>
        <w:t xml:space="preserve"> edition of the AEWA Conservation Status Report </w:t>
      </w:r>
      <w:r w:rsidR="00453A60">
        <w:rPr>
          <w:sz w:val="22"/>
        </w:rPr>
        <w:t xml:space="preserve">(CSR6) </w:t>
      </w:r>
      <w:r w:rsidRPr="008B0F73">
        <w:rPr>
          <w:sz w:val="22"/>
        </w:rPr>
        <w:t xml:space="preserve">again shows, only about 1/3 of the status assessment of the AEWA populations are based on monitoring activities. </w:t>
      </w:r>
    </w:p>
    <w:p w:rsidR="00AC6ECF" w:rsidRPr="008B0F73" w:rsidRDefault="00AC6ECF">
      <w:pPr>
        <w:pStyle w:val="Normal1"/>
        <w:jc w:val="both"/>
      </w:pPr>
      <w:r w:rsidRPr="008B0F73">
        <w:rPr>
          <w:sz w:val="22"/>
        </w:rPr>
        <w:lastRenderedPageBreak/>
        <w:t xml:space="preserve">Recognising that inadequate funding represents a major impediment to the future development of waterbird monitoring activities across the flyway, </w:t>
      </w:r>
      <w:r w:rsidR="00D15A16">
        <w:rPr>
          <w:sz w:val="22"/>
        </w:rPr>
        <w:t>which are needed</w:t>
      </w:r>
      <w:bookmarkStart w:id="0" w:name="_GoBack"/>
      <w:bookmarkEnd w:id="0"/>
      <w:r w:rsidR="00234075">
        <w:rPr>
          <w:sz w:val="22"/>
        </w:rPr>
        <w:t xml:space="preserve"> for </w:t>
      </w:r>
      <w:r w:rsidRPr="008B0F73">
        <w:rPr>
          <w:sz w:val="22"/>
        </w:rPr>
        <w:t xml:space="preserve">mobilising and curating information needed for the compilation of the AEWA Conservation Status Reports, the Meeting of the Parties has adopted Resolution 5.22 on </w:t>
      </w:r>
      <w:r w:rsidRPr="008B0F73">
        <w:rPr>
          <w:i/>
          <w:sz w:val="22"/>
        </w:rPr>
        <w:t xml:space="preserve">establishing a long-term basic structural funding regime for the international waterbird census in the African-Eurasian region. </w:t>
      </w:r>
    </w:p>
    <w:p w:rsidR="00AC6ECF" w:rsidRPr="008B0F73" w:rsidRDefault="00AC6ECF">
      <w:pPr>
        <w:pStyle w:val="Normal1"/>
        <w:jc w:val="both"/>
      </w:pPr>
    </w:p>
    <w:p w:rsidR="00AC6ECF" w:rsidRPr="008B0F73" w:rsidRDefault="00AC6ECF">
      <w:pPr>
        <w:pStyle w:val="Normal1"/>
        <w:jc w:val="both"/>
      </w:pPr>
      <w:r w:rsidRPr="008B0F73">
        <w:rPr>
          <w:sz w:val="22"/>
        </w:rPr>
        <w:t xml:space="preserve">Paragraph 1 of this resolution </w:t>
      </w:r>
      <w:r w:rsidRPr="008B0F73">
        <w:rPr>
          <w:i/>
          <w:sz w:val="22"/>
        </w:rPr>
        <w:t>"Invites the Technical Committee to work with the Waterbird Monitoring Partnership to make progress towards the monitoring-related targets of the AEWA Strategic Plan 2009-2017 and to report to MOP6 and, if required, to propose this issue to be revisited at MOP6 with the aim to secure a long-term, sustainable solution for international waterbird monitoring"</w:t>
      </w:r>
      <w:r w:rsidRPr="008B0F73">
        <w:rPr>
          <w:sz w:val="22"/>
        </w:rPr>
        <w:t>. This report outlines the progress made since the 5</w:t>
      </w:r>
      <w:r w:rsidRPr="008B0F73">
        <w:rPr>
          <w:sz w:val="22"/>
          <w:vertAlign w:val="superscript"/>
        </w:rPr>
        <w:t xml:space="preserve">th </w:t>
      </w:r>
      <w:r w:rsidRPr="008B0F73">
        <w:rPr>
          <w:sz w:val="22"/>
        </w:rPr>
        <w:t xml:space="preserve">Session of the Meeting of the Parties to AEWA (MOP5) and assesses the long-term adequacy and sustainability of the current arrangements.   </w:t>
      </w:r>
    </w:p>
    <w:p w:rsidR="00AC6ECF" w:rsidRPr="008B0F73" w:rsidRDefault="00AC6ECF">
      <w:pPr>
        <w:pStyle w:val="Normal1"/>
      </w:pPr>
    </w:p>
    <w:p w:rsidR="00AC6ECF" w:rsidRPr="008B0F73" w:rsidRDefault="00AC6ECF">
      <w:pPr>
        <w:pStyle w:val="Heading3"/>
        <w:spacing w:before="0" w:after="0"/>
      </w:pPr>
      <w:r w:rsidRPr="008B0F73">
        <w:rPr>
          <w:rFonts w:ascii="Times New Roman" w:hAnsi="Times New Roman" w:cs="Times New Roman"/>
          <w:sz w:val="24"/>
        </w:rPr>
        <w:t>Organisational development</w:t>
      </w:r>
    </w:p>
    <w:p w:rsidR="00AC6ECF" w:rsidRPr="008B0F73" w:rsidRDefault="00AC6ECF">
      <w:pPr>
        <w:pStyle w:val="Normal1"/>
      </w:pPr>
    </w:p>
    <w:p w:rsidR="00AC6ECF" w:rsidRPr="008B0F73" w:rsidRDefault="00AC6ECF">
      <w:pPr>
        <w:pStyle w:val="Normal1"/>
        <w:jc w:val="both"/>
        <w:rPr>
          <w:sz w:val="22"/>
          <w:szCs w:val="22"/>
        </w:rPr>
      </w:pPr>
      <w:r w:rsidRPr="008B0F73">
        <w:rPr>
          <w:sz w:val="22"/>
          <w:szCs w:val="22"/>
        </w:rPr>
        <w:t xml:space="preserve">The </w:t>
      </w:r>
      <w:r w:rsidRPr="008B0F73">
        <w:rPr>
          <w:i/>
          <w:sz w:val="22"/>
          <w:szCs w:val="22"/>
        </w:rPr>
        <w:t xml:space="preserve">Strategic Working Group </w:t>
      </w:r>
      <w:r w:rsidRPr="008B0F73">
        <w:rPr>
          <w:sz w:val="22"/>
          <w:szCs w:val="22"/>
        </w:rPr>
        <w:t>of the</w:t>
      </w:r>
      <w:r w:rsidRPr="008B0F73">
        <w:rPr>
          <w:i/>
          <w:sz w:val="22"/>
          <w:szCs w:val="22"/>
        </w:rPr>
        <w:t xml:space="preserve"> African-Eurasian Waterbird Monitoring Partnership</w:t>
      </w:r>
      <w:r w:rsidRPr="008B0F73">
        <w:rPr>
          <w:sz w:val="22"/>
          <w:szCs w:val="22"/>
        </w:rPr>
        <w:t xml:space="preserve">, established in 2011, continued to meet biannually and has slightly expanded its membership. The Strategic Working Group includes organisations with long-term strategic interest in the development of waterbird monitoring at regional, sub-regional or flyway scale. </w:t>
      </w:r>
    </w:p>
    <w:p w:rsidR="00AC6ECF" w:rsidRPr="008B0F73" w:rsidRDefault="00AC6ECF">
      <w:pPr>
        <w:pStyle w:val="Normal1"/>
        <w:jc w:val="both"/>
        <w:rPr>
          <w:sz w:val="22"/>
          <w:szCs w:val="22"/>
        </w:rPr>
      </w:pPr>
    </w:p>
    <w:p w:rsidR="00AC6ECF" w:rsidRPr="008B0F73" w:rsidRDefault="00AC6ECF">
      <w:pPr>
        <w:pStyle w:val="Normal1"/>
        <w:jc w:val="both"/>
        <w:rPr>
          <w:sz w:val="22"/>
          <w:szCs w:val="22"/>
        </w:rPr>
      </w:pPr>
      <w:r w:rsidRPr="008B0F73">
        <w:rPr>
          <w:sz w:val="22"/>
          <w:szCs w:val="22"/>
        </w:rPr>
        <w:t>It is chaired by Dr Johan Mooij as representative of the Member Delegates of Wetlands International and includes the UNEP/AEWA Secretariat, BirdLife International, the British Trust for Ornithology (BTO), the European Bird Census Council, the Federation of Associations for Hunting and Conservation of the European Union (FACE), the French Hunting and Wildlife Agency (ONCFS), the Dutch Centre for Field Ornithology (SOVON), Tour du Valat Fondation (TdV), the Wildfowl and Wetlands Trust (representing the WI/IUCN SSC Species Specialist Groups) and Wetlands International. Regional meetings of the national International Waterbird Census (IWC) coordinators from Africa and the Western Palearctic elected their representatives for the Strategic Working Group in 2012 and 2013 respectively.</w:t>
      </w:r>
    </w:p>
    <w:p w:rsidR="00AC6ECF" w:rsidRPr="008B0F73" w:rsidRDefault="00AC6ECF">
      <w:pPr>
        <w:pStyle w:val="Normal1"/>
        <w:jc w:val="both"/>
        <w:rPr>
          <w:sz w:val="22"/>
          <w:szCs w:val="22"/>
        </w:rPr>
      </w:pPr>
    </w:p>
    <w:p w:rsidR="00A01877" w:rsidRPr="008B0F73" w:rsidRDefault="00AC6ECF">
      <w:pPr>
        <w:pStyle w:val="Normal1"/>
        <w:jc w:val="both"/>
        <w:rPr>
          <w:sz w:val="22"/>
          <w:szCs w:val="22"/>
        </w:rPr>
      </w:pPr>
      <w:r w:rsidRPr="008B0F73">
        <w:rPr>
          <w:sz w:val="22"/>
          <w:szCs w:val="22"/>
        </w:rPr>
        <w:t>A regularly updated website</w:t>
      </w:r>
      <w:r w:rsidRPr="008B0F73">
        <w:rPr>
          <w:sz w:val="22"/>
          <w:szCs w:val="22"/>
          <w:vertAlign w:val="superscript"/>
        </w:rPr>
        <w:footnoteReference w:id="1"/>
      </w:r>
      <w:r w:rsidRPr="008B0F73">
        <w:rPr>
          <w:sz w:val="22"/>
          <w:szCs w:val="22"/>
        </w:rPr>
        <w:t>, quarterly newsletters and a waterbird forum facilitate the exchange of information amongst the national coordinator</w:t>
      </w:r>
      <w:r w:rsidR="00A01877" w:rsidRPr="008B0F73">
        <w:rPr>
          <w:sz w:val="22"/>
          <w:szCs w:val="22"/>
        </w:rPr>
        <w:t>s</w:t>
      </w:r>
      <w:r w:rsidRPr="008B0F73">
        <w:rPr>
          <w:sz w:val="22"/>
          <w:szCs w:val="22"/>
        </w:rPr>
        <w:t xml:space="preserve"> and wider group of stakeholders including AEWA and Ramsar</w:t>
      </w:r>
    </w:p>
    <w:p w:rsidR="00AC6ECF" w:rsidRPr="008B0F73" w:rsidRDefault="00AC6ECF">
      <w:pPr>
        <w:pStyle w:val="Normal1"/>
        <w:jc w:val="both"/>
        <w:rPr>
          <w:sz w:val="22"/>
          <w:szCs w:val="22"/>
        </w:rPr>
      </w:pPr>
      <w:r w:rsidRPr="008B0F73">
        <w:rPr>
          <w:sz w:val="22"/>
          <w:szCs w:val="22"/>
        </w:rPr>
        <w:t>National Focal Points.</w:t>
      </w:r>
    </w:p>
    <w:p w:rsidR="009456DC" w:rsidRPr="008B0F73" w:rsidRDefault="009456DC" w:rsidP="009456DC">
      <w:pPr>
        <w:pStyle w:val="Normal1"/>
        <w:rPr>
          <w:sz w:val="22"/>
          <w:szCs w:val="22"/>
        </w:rPr>
      </w:pPr>
    </w:p>
    <w:p w:rsidR="00AC6ECF" w:rsidRPr="008B0F73" w:rsidRDefault="00AC6ECF" w:rsidP="00A01877">
      <w:pPr>
        <w:pStyle w:val="Normal1"/>
        <w:tabs>
          <w:tab w:val="left" w:pos="1545"/>
        </w:tabs>
        <w:jc w:val="both"/>
        <w:rPr>
          <w:sz w:val="22"/>
          <w:szCs w:val="22"/>
        </w:rPr>
      </w:pPr>
      <w:r w:rsidRPr="008B0F73">
        <w:rPr>
          <w:sz w:val="22"/>
          <w:szCs w:val="22"/>
        </w:rPr>
        <w:t>Five major projects, of which four were co-funded by the MAVA Foundation (the first four in the list below), have contributed to strengthening the national wate</w:t>
      </w:r>
      <w:r w:rsidR="002B2244" w:rsidRPr="008B0F73">
        <w:rPr>
          <w:sz w:val="22"/>
          <w:szCs w:val="22"/>
        </w:rPr>
        <w:t>r</w:t>
      </w:r>
      <w:r w:rsidRPr="008B0F73">
        <w:rPr>
          <w:sz w:val="22"/>
          <w:szCs w:val="22"/>
        </w:rPr>
        <w:t>b</w:t>
      </w:r>
      <w:r w:rsidR="00F34179" w:rsidRPr="008B0F73">
        <w:rPr>
          <w:sz w:val="22"/>
          <w:szCs w:val="22"/>
        </w:rPr>
        <w:t>ir</w:t>
      </w:r>
      <w:r w:rsidRPr="008B0F73">
        <w:rPr>
          <w:sz w:val="22"/>
          <w:szCs w:val="22"/>
        </w:rPr>
        <w:t xml:space="preserve">d monitoring schemes: </w:t>
      </w:r>
    </w:p>
    <w:p w:rsidR="00022B10" w:rsidRPr="008B0F73" w:rsidRDefault="00022B10" w:rsidP="009456DC">
      <w:pPr>
        <w:pStyle w:val="Normal1"/>
        <w:tabs>
          <w:tab w:val="left" w:pos="1545"/>
        </w:tabs>
        <w:rPr>
          <w:sz w:val="22"/>
          <w:szCs w:val="22"/>
        </w:rPr>
      </w:pPr>
    </w:p>
    <w:p w:rsidR="00AC6ECF" w:rsidRPr="008B0F73" w:rsidRDefault="00AC6ECF">
      <w:pPr>
        <w:pStyle w:val="Normal1"/>
        <w:numPr>
          <w:ilvl w:val="0"/>
          <w:numId w:val="1"/>
        </w:numPr>
        <w:ind w:hanging="360"/>
        <w:jc w:val="both"/>
        <w:rPr>
          <w:sz w:val="22"/>
          <w:szCs w:val="22"/>
        </w:rPr>
      </w:pPr>
      <w:r w:rsidRPr="008B0F73">
        <w:rPr>
          <w:sz w:val="22"/>
          <w:szCs w:val="22"/>
        </w:rPr>
        <w:t xml:space="preserve">The </w:t>
      </w:r>
      <w:r w:rsidRPr="008B0F73">
        <w:rPr>
          <w:i/>
          <w:sz w:val="22"/>
          <w:szCs w:val="22"/>
        </w:rPr>
        <w:t xml:space="preserve">Conserving Migratory Birds </w:t>
      </w:r>
      <w:r w:rsidRPr="008B0F73">
        <w:rPr>
          <w:sz w:val="22"/>
          <w:szCs w:val="22"/>
        </w:rPr>
        <w:t xml:space="preserve">in West Africa together with the </w:t>
      </w:r>
      <w:r w:rsidRPr="008B0F73">
        <w:rPr>
          <w:i/>
          <w:sz w:val="22"/>
          <w:szCs w:val="22"/>
        </w:rPr>
        <w:t>Wadden Sea Flyway Initiative</w:t>
      </w:r>
      <w:r w:rsidR="003E2A0F" w:rsidRPr="008B0F73">
        <w:rPr>
          <w:i/>
          <w:sz w:val="22"/>
          <w:szCs w:val="22"/>
        </w:rPr>
        <w:t>,</w:t>
      </w:r>
      <w:r w:rsidRPr="008B0F73">
        <w:rPr>
          <w:sz w:val="22"/>
          <w:szCs w:val="22"/>
        </w:rPr>
        <w:t xml:space="preserve"> coordinated by SOVON, BirdLife International and the Africa Office of Wetlands International supported seven coastal countries from Mauritania to Sierra Leone;</w:t>
      </w:r>
    </w:p>
    <w:p w:rsidR="00AC6ECF" w:rsidRPr="008B0F73" w:rsidRDefault="00AC6ECF">
      <w:pPr>
        <w:pStyle w:val="Normal1"/>
        <w:numPr>
          <w:ilvl w:val="0"/>
          <w:numId w:val="1"/>
        </w:numPr>
        <w:ind w:hanging="360"/>
        <w:jc w:val="both"/>
        <w:rPr>
          <w:sz w:val="22"/>
          <w:szCs w:val="22"/>
        </w:rPr>
      </w:pPr>
      <w:r w:rsidRPr="008B0F73">
        <w:rPr>
          <w:sz w:val="22"/>
          <w:szCs w:val="22"/>
        </w:rPr>
        <w:t xml:space="preserve">The </w:t>
      </w:r>
      <w:r w:rsidRPr="008B0F73">
        <w:rPr>
          <w:i/>
          <w:sz w:val="22"/>
          <w:szCs w:val="22"/>
        </w:rPr>
        <w:t>Mediterranean Waterbird Monitoring Project</w:t>
      </w:r>
      <w:r w:rsidRPr="008B0F73">
        <w:rPr>
          <w:sz w:val="22"/>
          <w:szCs w:val="22"/>
        </w:rPr>
        <w:t>, coordinated by Tour du Valat and ONCFS, supported the five countries of North Africa;</w:t>
      </w:r>
    </w:p>
    <w:p w:rsidR="00AC6ECF" w:rsidRPr="008B0F73" w:rsidRDefault="00AC6ECF">
      <w:pPr>
        <w:pStyle w:val="Normal1"/>
        <w:numPr>
          <w:ilvl w:val="0"/>
          <w:numId w:val="1"/>
        </w:numPr>
        <w:ind w:hanging="360"/>
        <w:jc w:val="both"/>
        <w:rPr>
          <w:sz w:val="22"/>
          <w:szCs w:val="22"/>
        </w:rPr>
      </w:pPr>
      <w:r w:rsidRPr="008B0F73">
        <w:rPr>
          <w:sz w:val="22"/>
          <w:szCs w:val="22"/>
        </w:rPr>
        <w:t xml:space="preserve">The </w:t>
      </w:r>
      <w:r w:rsidRPr="008B0F73">
        <w:rPr>
          <w:i/>
          <w:sz w:val="22"/>
          <w:szCs w:val="22"/>
        </w:rPr>
        <w:t>Adriatic Flyway Initiative</w:t>
      </w:r>
      <w:r w:rsidRPr="008B0F73">
        <w:rPr>
          <w:sz w:val="22"/>
          <w:szCs w:val="22"/>
        </w:rPr>
        <w:t>, led by EuroNatur, has supported Albania and countries of the former Yugoslavia;</w:t>
      </w:r>
    </w:p>
    <w:p w:rsidR="00AC6ECF" w:rsidRPr="008B0F73" w:rsidRDefault="00AC6ECF">
      <w:pPr>
        <w:pStyle w:val="Normal1"/>
        <w:numPr>
          <w:ilvl w:val="0"/>
          <w:numId w:val="1"/>
        </w:numPr>
        <w:ind w:hanging="360"/>
        <w:jc w:val="both"/>
        <w:rPr>
          <w:sz w:val="22"/>
          <w:szCs w:val="22"/>
        </w:rPr>
      </w:pPr>
      <w:r w:rsidRPr="008B0F73">
        <w:rPr>
          <w:sz w:val="22"/>
          <w:szCs w:val="22"/>
        </w:rPr>
        <w:t xml:space="preserve">The </w:t>
      </w:r>
      <w:r w:rsidRPr="008B0F73">
        <w:rPr>
          <w:i/>
          <w:sz w:val="22"/>
          <w:szCs w:val="22"/>
        </w:rPr>
        <w:t>Strengthening of the International Waterbird Census in the African-Eurasian Flyway</w:t>
      </w:r>
      <w:r w:rsidRPr="008B0F73">
        <w:rPr>
          <w:sz w:val="22"/>
          <w:szCs w:val="22"/>
        </w:rPr>
        <w:t xml:space="preserve"> project, coordinated by Wetlands International, has supported another 30 countries; and finally</w:t>
      </w:r>
      <w:r w:rsidR="00022B10" w:rsidRPr="008B0F73">
        <w:rPr>
          <w:sz w:val="22"/>
          <w:szCs w:val="22"/>
        </w:rPr>
        <w:t>;</w:t>
      </w:r>
      <w:r w:rsidRPr="008B0F73">
        <w:rPr>
          <w:sz w:val="22"/>
          <w:szCs w:val="22"/>
        </w:rPr>
        <w:t xml:space="preserve"> </w:t>
      </w:r>
    </w:p>
    <w:p w:rsidR="00AC6ECF" w:rsidRPr="008B0F73" w:rsidRDefault="00AC6ECF">
      <w:pPr>
        <w:pStyle w:val="Normal1"/>
        <w:numPr>
          <w:ilvl w:val="0"/>
          <w:numId w:val="1"/>
        </w:numPr>
        <w:ind w:hanging="360"/>
        <w:jc w:val="both"/>
        <w:rPr>
          <w:sz w:val="22"/>
          <w:szCs w:val="22"/>
        </w:rPr>
      </w:pPr>
      <w:r w:rsidRPr="008B0F73">
        <w:rPr>
          <w:sz w:val="22"/>
          <w:szCs w:val="22"/>
        </w:rPr>
        <w:t xml:space="preserve">The Technical Support Unit of the AEWA African Initiative (ONCFS/TdV) has organised a data management workshop for the Francophone countries in Africa and supported counts in Senegal, Sudan &amp; Egypt. </w:t>
      </w:r>
    </w:p>
    <w:p w:rsidR="00AC6ECF" w:rsidRPr="008B0F73" w:rsidRDefault="00AC6ECF">
      <w:pPr>
        <w:pStyle w:val="Normal1"/>
        <w:jc w:val="both"/>
        <w:rPr>
          <w:sz w:val="22"/>
          <w:szCs w:val="22"/>
        </w:rPr>
      </w:pPr>
    </w:p>
    <w:p w:rsidR="00AC6ECF" w:rsidRPr="008B0F73" w:rsidRDefault="00AC6ECF">
      <w:pPr>
        <w:pStyle w:val="Normal1"/>
        <w:jc w:val="both"/>
        <w:rPr>
          <w:sz w:val="22"/>
          <w:szCs w:val="22"/>
        </w:rPr>
      </w:pPr>
      <w:r w:rsidRPr="008B0F73">
        <w:rPr>
          <w:sz w:val="22"/>
          <w:szCs w:val="22"/>
        </w:rPr>
        <w:t>As the result of such support, countries’ participation and willingness to report their observations has increased substantially (Figures 1 and 2). However, support to counts and national capacity building activities in low-income countries was very irregular. The majority of the support was available to West Africa and the Mediterranean and more limited support could be provided to Eastern Europe, Central Asia and East Africa.</w:t>
      </w:r>
    </w:p>
    <w:p w:rsidR="00AC6ECF" w:rsidRPr="008B0F73" w:rsidRDefault="00AC6ECF">
      <w:pPr>
        <w:pStyle w:val="Normal1"/>
        <w:jc w:val="both"/>
        <w:rPr>
          <w:sz w:val="22"/>
          <w:szCs w:val="22"/>
        </w:rPr>
      </w:pPr>
    </w:p>
    <w:p w:rsidR="00AC6ECF" w:rsidRPr="008B0F73" w:rsidRDefault="00AC6ECF">
      <w:pPr>
        <w:pStyle w:val="Normal1"/>
        <w:jc w:val="both"/>
        <w:rPr>
          <w:sz w:val="22"/>
          <w:szCs w:val="22"/>
        </w:rPr>
      </w:pPr>
      <w:r w:rsidRPr="008B0F73">
        <w:rPr>
          <w:sz w:val="22"/>
          <w:szCs w:val="22"/>
        </w:rPr>
        <w:t xml:space="preserve">Flyway level coordination was supported, apart from the MAVA project (2012-2013), by voluntary contributions from the Swiss Federal Office for the Environment (2012-2014), the UK Department for </w:t>
      </w:r>
      <w:r w:rsidRPr="008B0F73">
        <w:rPr>
          <w:sz w:val="22"/>
          <w:szCs w:val="22"/>
        </w:rPr>
        <w:lastRenderedPageBreak/>
        <w:t>Environment, Food and Rural Affairs (2013) the French  Ministry of Ecology</w:t>
      </w:r>
      <w:r w:rsidR="009A2058" w:rsidRPr="008B0F73">
        <w:rPr>
          <w:sz w:val="22"/>
          <w:szCs w:val="22"/>
        </w:rPr>
        <w:t>, Sustainable Development and Energy</w:t>
      </w:r>
      <w:r w:rsidRPr="008B0F73">
        <w:rPr>
          <w:sz w:val="22"/>
          <w:szCs w:val="22"/>
        </w:rPr>
        <w:t xml:space="preserve"> (MEDDE), Sustainable Development and Energy (2014) and the EU LIFE+ NGO Operational Grant (2014). However, at the time of writing, funding for the coordination position </w:t>
      </w:r>
      <w:r w:rsidR="009A2058" w:rsidRPr="008B0F73">
        <w:rPr>
          <w:sz w:val="22"/>
          <w:szCs w:val="22"/>
        </w:rPr>
        <w:t>was</w:t>
      </w:r>
      <w:r w:rsidRPr="008B0F73">
        <w:rPr>
          <w:sz w:val="22"/>
          <w:szCs w:val="22"/>
        </w:rPr>
        <w:t xml:space="preserve"> still not available for 2015.</w:t>
      </w:r>
    </w:p>
    <w:p w:rsidR="00AC6ECF" w:rsidRPr="008B0F73" w:rsidRDefault="00AC6ECF">
      <w:pPr>
        <w:pStyle w:val="Normal1"/>
        <w:jc w:val="both"/>
        <w:rPr>
          <w:sz w:val="22"/>
          <w:szCs w:val="22"/>
        </w:rPr>
      </w:pPr>
    </w:p>
    <w:p w:rsidR="00AC6ECF" w:rsidRPr="008B0F73" w:rsidRDefault="00AC6ECF">
      <w:pPr>
        <w:pStyle w:val="Normal1"/>
        <w:jc w:val="both"/>
        <w:rPr>
          <w:sz w:val="22"/>
          <w:szCs w:val="22"/>
        </w:rPr>
      </w:pPr>
      <w:r w:rsidRPr="008B0F73">
        <w:rPr>
          <w:sz w:val="22"/>
          <w:szCs w:val="22"/>
        </w:rPr>
        <w:t xml:space="preserve">Ongoing data acquisition and curating was funded by Wetlands International, which ensured timely production of annual count total reports and was fundamental in rebuilding the trust of the network of coordinators.  </w:t>
      </w:r>
    </w:p>
    <w:p w:rsidR="00AC6ECF" w:rsidRPr="008B0F73" w:rsidRDefault="00AC6ECF">
      <w:pPr>
        <w:pStyle w:val="Heading3"/>
        <w:jc w:val="both"/>
        <w:rPr>
          <w:sz w:val="24"/>
          <w:szCs w:val="24"/>
        </w:rPr>
      </w:pPr>
      <w:r w:rsidRPr="008B0F73">
        <w:rPr>
          <w:rFonts w:ascii="Times New Roman" w:hAnsi="Times New Roman" w:cs="Times New Roman"/>
          <w:sz w:val="24"/>
          <w:szCs w:val="24"/>
        </w:rPr>
        <w:t>Technical improvements</w:t>
      </w:r>
    </w:p>
    <w:p w:rsidR="00AC6ECF" w:rsidRPr="008B0F73" w:rsidRDefault="00AC6ECF">
      <w:pPr>
        <w:pStyle w:val="Normal1"/>
        <w:rPr>
          <w:sz w:val="22"/>
          <w:szCs w:val="22"/>
        </w:rPr>
      </w:pPr>
    </w:p>
    <w:p w:rsidR="00AC6ECF" w:rsidRPr="008B0F73" w:rsidRDefault="00AC6ECF">
      <w:pPr>
        <w:pStyle w:val="Normal1"/>
        <w:jc w:val="both"/>
        <w:rPr>
          <w:sz w:val="22"/>
          <w:szCs w:val="22"/>
        </w:rPr>
      </w:pPr>
      <w:r w:rsidRPr="008B0F73">
        <w:rPr>
          <w:sz w:val="22"/>
          <w:szCs w:val="22"/>
        </w:rPr>
        <w:t>With the support of the MAVA Foundation</w:t>
      </w:r>
      <w:r w:rsidR="009A2058" w:rsidRPr="008B0F73">
        <w:rPr>
          <w:sz w:val="22"/>
          <w:szCs w:val="22"/>
        </w:rPr>
        <w:t>,</w:t>
      </w:r>
      <w:r w:rsidRPr="008B0F73">
        <w:rPr>
          <w:sz w:val="22"/>
          <w:szCs w:val="22"/>
        </w:rPr>
        <w:t xml:space="preserve"> an existing online data gathering portal</w:t>
      </w:r>
      <w:r w:rsidR="009A2058" w:rsidRPr="008B0F73">
        <w:rPr>
          <w:sz w:val="22"/>
          <w:szCs w:val="22"/>
        </w:rPr>
        <w:t xml:space="preserve"> (</w:t>
      </w:r>
      <w:r w:rsidRPr="008B0F73">
        <w:rPr>
          <w:sz w:val="22"/>
          <w:szCs w:val="22"/>
        </w:rPr>
        <w:t>www.observado.org</w:t>
      </w:r>
      <w:r w:rsidR="009A2058" w:rsidRPr="008B0F73">
        <w:rPr>
          <w:sz w:val="22"/>
          <w:szCs w:val="22"/>
        </w:rPr>
        <w:t>)</w:t>
      </w:r>
      <w:r w:rsidRPr="008B0F73">
        <w:rPr>
          <w:sz w:val="22"/>
          <w:szCs w:val="22"/>
        </w:rPr>
        <w:t xml:space="preserve">, was modified to cater for the needs of national schemes that cannot afford to develop their own online database. Also, a new global online IWC database was developed that allows national coordinators to directly upload, download and share their data. The aim of these activities is to accelerate data flow in the future. </w:t>
      </w:r>
    </w:p>
    <w:p w:rsidR="00AC6ECF" w:rsidRPr="008B0F73" w:rsidRDefault="00AC6ECF">
      <w:pPr>
        <w:pStyle w:val="Heading3"/>
        <w:jc w:val="both"/>
        <w:rPr>
          <w:sz w:val="24"/>
          <w:szCs w:val="24"/>
        </w:rPr>
      </w:pPr>
      <w:r w:rsidRPr="008B0F73">
        <w:rPr>
          <w:rFonts w:ascii="Times New Roman" w:hAnsi="Times New Roman" w:cs="Times New Roman"/>
          <w:sz w:val="24"/>
          <w:szCs w:val="24"/>
        </w:rPr>
        <w:t>Impact</w:t>
      </w:r>
    </w:p>
    <w:p w:rsidR="00AC6ECF" w:rsidRPr="008B0F73" w:rsidRDefault="00AC6ECF">
      <w:pPr>
        <w:pStyle w:val="Normal1"/>
        <w:rPr>
          <w:sz w:val="22"/>
          <w:szCs w:val="22"/>
        </w:rPr>
      </w:pPr>
    </w:p>
    <w:p w:rsidR="00AC6ECF" w:rsidRPr="008B0F73" w:rsidRDefault="00AC6ECF">
      <w:pPr>
        <w:pStyle w:val="Normal1"/>
        <w:jc w:val="both"/>
        <w:rPr>
          <w:sz w:val="22"/>
          <w:szCs w:val="22"/>
        </w:rPr>
      </w:pPr>
      <w:r w:rsidRPr="008B0F73">
        <w:rPr>
          <w:sz w:val="22"/>
          <w:szCs w:val="22"/>
        </w:rPr>
        <w:t xml:space="preserve">As the result of reorganising the scheme coordination, embracing the partnership approach and the technical improvements, it was possible to reduce the time-lag between the last year of the trend period used for trend analysis in the AEWA Conservation Status Report from five years in CSR5 to only three - in </w:t>
      </w:r>
      <w:r w:rsidR="009A2058" w:rsidRPr="008B0F73">
        <w:rPr>
          <w:sz w:val="22"/>
          <w:szCs w:val="22"/>
        </w:rPr>
        <w:t xml:space="preserve">the </w:t>
      </w:r>
      <w:r w:rsidRPr="008B0F73">
        <w:rPr>
          <w:sz w:val="22"/>
          <w:szCs w:val="22"/>
        </w:rPr>
        <w:t xml:space="preserve">case of West African populations even to one year - in CSR6. </w:t>
      </w:r>
    </w:p>
    <w:p w:rsidR="00AC6ECF" w:rsidRPr="008B0F73" w:rsidRDefault="00AC6ECF">
      <w:pPr>
        <w:pStyle w:val="Normal1"/>
        <w:jc w:val="both"/>
        <w:rPr>
          <w:sz w:val="22"/>
          <w:szCs w:val="22"/>
        </w:rPr>
      </w:pPr>
    </w:p>
    <w:p w:rsidR="00AC6ECF" w:rsidRPr="008B0F73" w:rsidRDefault="00AC6ECF">
      <w:pPr>
        <w:pStyle w:val="Normal1"/>
        <w:jc w:val="both"/>
        <w:rPr>
          <w:sz w:val="22"/>
          <w:szCs w:val="22"/>
        </w:rPr>
      </w:pPr>
      <w:r w:rsidRPr="008B0F73">
        <w:rPr>
          <w:sz w:val="22"/>
          <w:szCs w:val="22"/>
        </w:rPr>
        <w:t>Annual IWC count totals have been produced every year since 2011. Population size and trend estimates are produced for the AEWA Conservation Status and the Waterbird Population Estimates are now published in a searchable online database (wpe.wetlands.org) and the online database also allows for consultation with the expert networks. These latest developments contributed to meeting the indicator of Target 3.1 of the AEWA Strategic Plan 2009-2017.</w:t>
      </w:r>
    </w:p>
    <w:p w:rsidR="00AC6ECF" w:rsidRPr="008B0F73" w:rsidRDefault="00AC6ECF">
      <w:pPr>
        <w:pStyle w:val="Normal1"/>
        <w:jc w:val="both"/>
        <w:rPr>
          <w:sz w:val="22"/>
          <w:szCs w:val="22"/>
        </w:rPr>
      </w:pPr>
    </w:p>
    <w:p w:rsidR="00AC6ECF" w:rsidRPr="008B0F73" w:rsidRDefault="00AC6ECF">
      <w:pPr>
        <w:pStyle w:val="Normal1"/>
        <w:jc w:val="both"/>
        <w:rPr>
          <w:sz w:val="22"/>
          <w:szCs w:val="22"/>
        </w:rPr>
      </w:pPr>
      <w:r w:rsidRPr="008B0F73">
        <w:rPr>
          <w:sz w:val="22"/>
          <w:szCs w:val="22"/>
        </w:rPr>
        <w:t>Since 2011, 18 data request were served</w:t>
      </w:r>
      <w:r w:rsidR="009A2058" w:rsidRPr="008B0F73">
        <w:rPr>
          <w:sz w:val="22"/>
          <w:szCs w:val="22"/>
        </w:rPr>
        <w:t>,</w:t>
      </w:r>
      <w:r w:rsidRPr="008B0F73">
        <w:rPr>
          <w:sz w:val="22"/>
          <w:szCs w:val="22"/>
        </w:rPr>
        <w:t xml:space="preserve"> which resulted in 12 scientific articles or repor</w:t>
      </w:r>
      <w:bookmarkStart w:id="1" w:name="x"/>
      <w:bookmarkEnd w:id="1"/>
      <w:r w:rsidRPr="008B0F73">
        <w:rPr>
          <w:sz w:val="22"/>
          <w:szCs w:val="22"/>
        </w:rPr>
        <w:t xml:space="preserve">ts (see full list in </w:t>
      </w:r>
      <w:r w:rsidR="001E32FF">
        <w:rPr>
          <w:sz w:val="22"/>
          <w:szCs w:val="22"/>
        </w:rPr>
        <w:t>Appendix</w:t>
      </w:r>
      <w:r w:rsidRPr="008B0F73">
        <w:rPr>
          <w:sz w:val="22"/>
          <w:szCs w:val="22"/>
        </w:rPr>
        <w:t xml:space="preserve">). These reports addressed issues such as range shifts caused by climate change, the effectiveness of protected area networks and indicators.  </w:t>
      </w:r>
    </w:p>
    <w:p w:rsidR="00AC6ECF" w:rsidRPr="008B0F73" w:rsidRDefault="00AC6ECF">
      <w:pPr>
        <w:pStyle w:val="Normal1"/>
        <w:jc w:val="both"/>
        <w:rPr>
          <w:sz w:val="22"/>
          <w:szCs w:val="22"/>
        </w:rPr>
      </w:pPr>
    </w:p>
    <w:p w:rsidR="00AC6ECF" w:rsidRPr="008B0F73" w:rsidRDefault="00AC6ECF">
      <w:pPr>
        <w:pStyle w:val="Normal1"/>
        <w:jc w:val="both"/>
        <w:rPr>
          <w:sz w:val="22"/>
          <w:szCs w:val="22"/>
        </w:rPr>
      </w:pPr>
      <w:r w:rsidRPr="008B0F73">
        <w:rPr>
          <w:sz w:val="22"/>
          <w:szCs w:val="22"/>
        </w:rPr>
        <w:t xml:space="preserve">The number of populations whose status could be analysed based on monitoring data has increased by 75% (the AEWA Strategic Plan 2009-2017 target 3.1. indicator was </w:t>
      </w:r>
      <w:r w:rsidR="009A2058" w:rsidRPr="008B0F73">
        <w:rPr>
          <w:sz w:val="22"/>
          <w:szCs w:val="22"/>
        </w:rPr>
        <w:t xml:space="preserve">a </w:t>
      </w:r>
      <w:r w:rsidRPr="008B0F73">
        <w:rPr>
          <w:sz w:val="22"/>
          <w:szCs w:val="22"/>
        </w:rPr>
        <w:t>50% increase) and now 36% of the AEWA populations is assessed based on regular monitoring data, although this was not only the result of the improvement in the IWC, but also the data mobilisation for the Art. 12 reporting under the EU Birds Directive and the European Red List of Birds projects</w:t>
      </w:r>
      <w:r w:rsidR="009A2058" w:rsidRPr="008B0F73">
        <w:rPr>
          <w:sz w:val="22"/>
          <w:szCs w:val="22"/>
        </w:rPr>
        <w:t>, which</w:t>
      </w:r>
      <w:r w:rsidRPr="008B0F73">
        <w:rPr>
          <w:sz w:val="22"/>
          <w:szCs w:val="22"/>
        </w:rPr>
        <w:t xml:space="preserve"> also played an important role in the improvements. </w:t>
      </w:r>
    </w:p>
    <w:p w:rsidR="00AC6ECF" w:rsidRPr="008B0F73" w:rsidRDefault="00AC6ECF">
      <w:pPr>
        <w:pStyle w:val="Normal1"/>
        <w:jc w:val="both"/>
        <w:rPr>
          <w:sz w:val="22"/>
          <w:szCs w:val="22"/>
        </w:rPr>
      </w:pPr>
    </w:p>
    <w:p w:rsidR="00AC6ECF" w:rsidRPr="008B0F73" w:rsidRDefault="00AC6ECF" w:rsidP="0097269A">
      <w:pPr>
        <w:pStyle w:val="Heading3"/>
        <w:spacing w:before="0" w:after="0"/>
        <w:jc w:val="both"/>
        <w:rPr>
          <w:sz w:val="24"/>
          <w:szCs w:val="24"/>
        </w:rPr>
      </w:pPr>
      <w:r w:rsidRPr="008B0F73">
        <w:rPr>
          <w:rFonts w:ascii="Times New Roman" w:hAnsi="Times New Roman" w:cs="Times New Roman"/>
          <w:sz w:val="24"/>
          <w:szCs w:val="24"/>
        </w:rPr>
        <w:t>Funding and its sustainability</w:t>
      </w:r>
    </w:p>
    <w:p w:rsidR="00AC6ECF" w:rsidRPr="008B0F73" w:rsidRDefault="00AC6ECF" w:rsidP="0097269A">
      <w:pPr>
        <w:pStyle w:val="Normal1"/>
        <w:keepNext/>
        <w:rPr>
          <w:sz w:val="22"/>
          <w:szCs w:val="22"/>
        </w:rPr>
      </w:pPr>
    </w:p>
    <w:p w:rsidR="00AC6ECF" w:rsidRPr="008B0F73" w:rsidRDefault="00AC6ECF">
      <w:pPr>
        <w:pStyle w:val="Normal1"/>
        <w:jc w:val="both"/>
        <w:rPr>
          <w:sz w:val="22"/>
          <w:szCs w:val="22"/>
        </w:rPr>
      </w:pPr>
      <w:r w:rsidRPr="008B0F73">
        <w:rPr>
          <w:sz w:val="22"/>
          <w:szCs w:val="22"/>
        </w:rPr>
        <w:t xml:space="preserve">With the exception of the special counts and the support to counts in low-income countries, the financial targets set out in document AEWA/MOP 5.42 were largely met. In total, an estimated 427 thousand Euro was raised for various components in 2014. In </w:t>
      </w:r>
      <w:r w:rsidR="009A2058" w:rsidRPr="008B0F73">
        <w:rPr>
          <w:sz w:val="22"/>
          <w:szCs w:val="22"/>
        </w:rPr>
        <w:t xml:space="preserve">the </w:t>
      </w:r>
      <w:r w:rsidRPr="008B0F73">
        <w:rPr>
          <w:sz w:val="22"/>
          <w:szCs w:val="22"/>
        </w:rPr>
        <w:t xml:space="preserve">case of capacity development, available funding to the five projects mentioned above has even exceeded the minimum estimates. </w:t>
      </w:r>
    </w:p>
    <w:p w:rsidR="00AC6ECF" w:rsidRPr="008B0F73" w:rsidRDefault="00AC6ECF">
      <w:pPr>
        <w:pStyle w:val="Normal1"/>
        <w:jc w:val="both"/>
        <w:rPr>
          <w:sz w:val="22"/>
          <w:szCs w:val="22"/>
        </w:rPr>
      </w:pPr>
    </w:p>
    <w:p w:rsidR="00AC6ECF" w:rsidRPr="008B0F73" w:rsidRDefault="00AC6ECF">
      <w:pPr>
        <w:pStyle w:val="Normal1"/>
        <w:jc w:val="both"/>
        <w:rPr>
          <w:sz w:val="22"/>
          <w:szCs w:val="22"/>
        </w:rPr>
      </w:pPr>
      <w:r w:rsidRPr="008B0F73">
        <w:rPr>
          <w:sz w:val="22"/>
          <w:szCs w:val="22"/>
        </w:rPr>
        <w:t xml:space="preserve">However, apart from the funding from Wetlands International to data management, all funding is project-based and short- or maximum medium-term without any guarantee of long-term sustainability. This is particularly problematic in the case of count support in low-income countries and flyway level coordination. </w:t>
      </w:r>
    </w:p>
    <w:p w:rsidR="00AC6ECF" w:rsidRPr="008B0F73" w:rsidRDefault="00AC6ECF">
      <w:pPr>
        <w:pStyle w:val="Normal1"/>
        <w:jc w:val="both"/>
        <w:rPr>
          <w:sz w:val="22"/>
          <w:szCs w:val="22"/>
        </w:rPr>
      </w:pPr>
    </w:p>
    <w:p w:rsidR="00AC6ECF" w:rsidRPr="008B0F73" w:rsidRDefault="00AC6ECF">
      <w:pPr>
        <w:pStyle w:val="Normal1"/>
        <w:jc w:val="both"/>
      </w:pPr>
      <w:r w:rsidRPr="008B0F73">
        <w:rPr>
          <w:sz w:val="22"/>
          <w:szCs w:val="22"/>
        </w:rPr>
        <w:t xml:space="preserve">In the case of the former, this results in irregular and insufficient coverage of key sites, which leads to highly fluctuating and uncertain population size and trend estimates at flyway level. In the case </w:t>
      </w:r>
      <w:r w:rsidR="009A2058" w:rsidRPr="008B0F73">
        <w:rPr>
          <w:sz w:val="22"/>
          <w:szCs w:val="22"/>
        </w:rPr>
        <w:t>o</w:t>
      </w:r>
      <w:r w:rsidRPr="008B0F73">
        <w:rPr>
          <w:sz w:val="22"/>
          <w:szCs w:val="22"/>
        </w:rPr>
        <w:t>f the latter, this hinders ongoing coordination between various stakeholders (e.g. national coordinators, expert groups, organisations leading on capacity building, donors, UNEP/AEWA Secretariat and Technical Committee), and systematic work on the implementation work plan of the partnership although the experience of the last three</w:t>
      </w:r>
      <w:r w:rsidRPr="008B0F73">
        <w:rPr>
          <w:sz w:val="22"/>
        </w:rPr>
        <w:t xml:space="preserve"> years has shown the value of these activities. The failure to develop the guidelines requested in Paragraphs </w:t>
      </w:r>
      <w:r w:rsidR="009A2058" w:rsidRPr="008B0F73">
        <w:rPr>
          <w:sz w:val="22"/>
        </w:rPr>
        <w:br w:type="textWrapping" w:clear="all"/>
      </w:r>
      <w:r w:rsidRPr="008B0F73">
        <w:rPr>
          <w:sz w:val="22"/>
        </w:rPr>
        <w:t xml:space="preserve">2-4 of Resolution 5.2 is a clear example for strategic tasks that </w:t>
      </w:r>
      <w:r w:rsidR="009A2058" w:rsidRPr="008B0F73">
        <w:rPr>
          <w:sz w:val="22"/>
        </w:rPr>
        <w:t>could not be</w:t>
      </w:r>
      <w:r w:rsidRPr="008B0F73">
        <w:rPr>
          <w:sz w:val="22"/>
        </w:rPr>
        <w:t xml:space="preserve"> implemented</w:t>
      </w:r>
      <w:r w:rsidR="009A2058" w:rsidRPr="008B0F73">
        <w:rPr>
          <w:sz w:val="22"/>
        </w:rPr>
        <w:t>, due to</w:t>
      </w:r>
      <w:r w:rsidRPr="008B0F73">
        <w:rPr>
          <w:sz w:val="22"/>
        </w:rPr>
        <w:t xml:space="preserve"> the absence of funding for flyway level coordination. </w:t>
      </w:r>
    </w:p>
    <w:p w:rsidR="00AC6ECF" w:rsidRPr="008B0F73" w:rsidRDefault="00AC6ECF">
      <w:pPr>
        <w:pStyle w:val="Normal1"/>
        <w:jc w:val="both"/>
      </w:pPr>
    </w:p>
    <w:p w:rsidR="00A74894" w:rsidRPr="008B0F73" w:rsidRDefault="00AC6ECF">
      <w:pPr>
        <w:pStyle w:val="Normal1"/>
        <w:jc w:val="both"/>
        <w:rPr>
          <w:sz w:val="22"/>
        </w:rPr>
      </w:pPr>
      <w:r w:rsidRPr="008B0F73">
        <w:rPr>
          <w:sz w:val="22"/>
        </w:rPr>
        <w:lastRenderedPageBreak/>
        <w:t>It is clear from the above that the current funding regime does not provide the long-term predictable structural funding necessary to fulfil the needs of AEWA</w:t>
      </w:r>
      <w:r w:rsidR="009A2058" w:rsidRPr="008B0F73">
        <w:rPr>
          <w:sz w:val="22"/>
        </w:rPr>
        <w:t>,</w:t>
      </w:r>
      <w:r w:rsidRPr="008B0F73">
        <w:rPr>
          <w:sz w:val="22"/>
        </w:rPr>
        <w:t xml:space="preserve"> neither at international nor at national level in low-income countries. However, the experience of the last three to four years demonstrates what can be achieved with a programmatic approach and sufficient capacity if the necessary funding is available. To maintain the achievements so far</w:t>
      </w:r>
      <w:r w:rsidR="009A2058" w:rsidRPr="008B0F73">
        <w:rPr>
          <w:sz w:val="22"/>
        </w:rPr>
        <w:t>,</w:t>
      </w:r>
      <w:r w:rsidRPr="008B0F73">
        <w:rPr>
          <w:sz w:val="22"/>
        </w:rPr>
        <w:t xml:space="preserve"> the amounts estimated as part of the JNCC funded IWC review and presented in AEWA/MOP 5.42 (see the second column in the table attached to this paper) would be necessary including the 80,000 Euro for supporting counts of critical sites in low income countries and a further 65,000 Euro for the flyway level coordination. </w:t>
      </w:r>
    </w:p>
    <w:p w:rsidR="00A74894" w:rsidRPr="008B0F73" w:rsidRDefault="00A74894">
      <w:pPr>
        <w:pStyle w:val="Normal1"/>
        <w:jc w:val="both"/>
        <w:rPr>
          <w:sz w:val="22"/>
        </w:rPr>
      </w:pPr>
    </w:p>
    <w:p w:rsidR="00AC6ECF" w:rsidRPr="008B0F73" w:rsidRDefault="00AC6ECF">
      <w:pPr>
        <w:pStyle w:val="Normal1"/>
        <w:jc w:val="both"/>
      </w:pPr>
      <w:r w:rsidRPr="008B0F73">
        <w:rPr>
          <w:sz w:val="22"/>
        </w:rPr>
        <w:t>So far</w:t>
      </w:r>
      <w:r w:rsidR="00A74894" w:rsidRPr="008B0F73">
        <w:rPr>
          <w:sz w:val="22"/>
        </w:rPr>
        <w:t>,</w:t>
      </w:r>
      <w:r w:rsidRPr="008B0F73">
        <w:rPr>
          <w:sz w:val="22"/>
        </w:rPr>
        <w:t xml:space="preserve"> </w:t>
      </w:r>
      <w:r w:rsidR="00041564" w:rsidRPr="008B0F73">
        <w:rPr>
          <w:sz w:val="22"/>
        </w:rPr>
        <w:t xml:space="preserve">amongst the capacity building projects, </w:t>
      </w:r>
      <w:r w:rsidR="00A74894" w:rsidRPr="008B0F73">
        <w:rPr>
          <w:sz w:val="22"/>
        </w:rPr>
        <w:t>only the Adriatic Flyway 3 Project, was</w:t>
      </w:r>
      <w:r w:rsidR="00041564" w:rsidRPr="008B0F73">
        <w:rPr>
          <w:sz w:val="22"/>
        </w:rPr>
        <w:t xml:space="preserve"> approved for continuation until the end of February 2018. The </w:t>
      </w:r>
      <w:r w:rsidRPr="008B0F73">
        <w:rPr>
          <w:sz w:val="22"/>
        </w:rPr>
        <w:t xml:space="preserve">Wadden Sea Flyway Initiative </w:t>
      </w:r>
      <w:r w:rsidR="00041564" w:rsidRPr="008B0F73">
        <w:rPr>
          <w:sz w:val="22"/>
        </w:rPr>
        <w:t>phas</w:t>
      </w:r>
      <w:r w:rsidR="00A74894" w:rsidRPr="008B0F73">
        <w:rPr>
          <w:sz w:val="22"/>
        </w:rPr>
        <w:t>e</w:t>
      </w:r>
      <w:r w:rsidR="00041564" w:rsidRPr="008B0F73">
        <w:rPr>
          <w:sz w:val="22"/>
        </w:rPr>
        <w:t xml:space="preserve"> t</w:t>
      </w:r>
      <w:r w:rsidR="00BD61D8" w:rsidRPr="008B0F73">
        <w:rPr>
          <w:sz w:val="22"/>
        </w:rPr>
        <w:t>wo</w:t>
      </w:r>
      <w:r w:rsidR="00041564" w:rsidRPr="008B0F73">
        <w:rPr>
          <w:sz w:val="22"/>
        </w:rPr>
        <w:t xml:space="preserve"> is planned to run from 2015 to 2018, but confirmation is still pending.</w:t>
      </w:r>
      <w:r w:rsidRPr="008B0F73">
        <w:rPr>
          <w:sz w:val="22"/>
        </w:rPr>
        <w:t xml:space="preserve"> It is already known that the application of the Wetlands International European Association to the EU LIFE+ NGO Operational Grant scheme, which included a significant proportion of the funding for flyway level coordination, was not successful and at the time of writing this report, no funding </w:t>
      </w:r>
      <w:r w:rsidR="00BD61D8" w:rsidRPr="008B0F73">
        <w:rPr>
          <w:sz w:val="22"/>
        </w:rPr>
        <w:t>had been</w:t>
      </w:r>
      <w:r w:rsidRPr="008B0F73">
        <w:rPr>
          <w:sz w:val="22"/>
        </w:rPr>
        <w:t xml:space="preserve"> pledged for the flyway</w:t>
      </w:r>
      <w:r w:rsidR="00BD61D8" w:rsidRPr="008B0F73">
        <w:rPr>
          <w:sz w:val="22"/>
        </w:rPr>
        <w:t>-</w:t>
      </w:r>
      <w:r w:rsidRPr="008B0F73">
        <w:rPr>
          <w:sz w:val="22"/>
        </w:rPr>
        <w:t xml:space="preserve">level coordination or for counts in low-income countries in 2015.   </w:t>
      </w:r>
    </w:p>
    <w:p w:rsidR="00AC6ECF" w:rsidRPr="008B0F73" w:rsidRDefault="00AC6ECF">
      <w:pPr>
        <w:pStyle w:val="Normal1"/>
        <w:jc w:val="both"/>
      </w:pPr>
    </w:p>
    <w:p w:rsidR="00AC6ECF" w:rsidRPr="008B0F73" w:rsidRDefault="00AC6ECF">
      <w:pPr>
        <w:pStyle w:val="Normal1"/>
        <w:jc w:val="both"/>
      </w:pPr>
      <w:r w:rsidRPr="008B0F73">
        <w:rPr>
          <w:sz w:val="22"/>
        </w:rPr>
        <w:t xml:space="preserve">Document AEWA/MOP 5.42 has explored five different options. The options “business as usual” and “incorporating the costs of the IWC into products” are clearly not to be pursued because past experience shows that they do not work. Based on the discussions at MOP5 and the understanding that the financial situation of both the UNEP/AEWA Secretariat (and other MEA Secretariats) as well as Contracting Parties, make </w:t>
      </w:r>
      <w:r w:rsidR="00BD61D8" w:rsidRPr="008B0F73">
        <w:rPr>
          <w:sz w:val="22"/>
        </w:rPr>
        <w:t xml:space="preserve">it unlikely that </w:t>
      </w:r>
      <w:r w:rsidRPr="008B0F73">
        <w:rPr>
          <w:sz w:val="22"/>
        </w:rPr>
        <w:t xml:space="preserve">the option of a) incorporating the costs of the IWC into the AEWA core budget or b) contributing proportionately to a dedicated budget line of the AEWA Trust Fund, </w:t>
      </w:r>
      <w:r w:rsidR="00BD61D8" w:rsidRPr="008B0F73">
        <w:rPr>
          <w:sz w:val="22"/>
        </w:rPr>
        <w:t>will be</w:t>
      </w:r>
      <w:r w:rsidRPr="008B0F73">
        <w:rPr>
          <w:sz w:val="22"/>
        </w:rPr>
        <w:t xml:space="preserve"> accepted at the next MOP. However, a multipronged approach that combines a range of options suited for different audiences could produce results.  </w:t>
      </w:r>
    </w:p>
    <w:p w:rsidR="00AC6ECF" w:rsidRPr="008B0F73" w:rsidRDefault="00AC6ECF">
      <w:pPr>
        <w:pStyle w:val="Heading3"/>
        <w:jc w:val="both"/>
        <w:rPr>
          <w:sz w:val="24"/>
          <w:szCs w:val="24"/>
        </w:rPr>
      </w:pPr>
      <w:r w:rsidRPr="008B0F73">
        <w:rPr>
          <w:rFonts w:ascii="Times New Roman" w:hAnsi="Times New Roman" w:cs="Times New Roman"/>
          <w:sz w:val="24"/>
          <w:szCs w:val="24"/>
        </w:rPr>
        <w:t>Recommendations</w:t>
      </w:r>
    </w:p>
    <w:p w:rsidR="00AC6ECF" w:rsidRPr="008B0F73" w:rsidRDefault="00AC6ECF">
      <w:pPr>
        <w:pStyle w:val="Normal1"/>
      </w:pPr>
    </w:p>
    <w:p w:rsidR="00AC6ECF" w:rsidRPr="008B0F73" w:rsidRDefault="00AC6ECF">
      <w:pPr>
        <w:pStyle w:val="Normal1"/>
        <w:jc w:val="both"/>
        <w:rPr>
          <w:sz w:val="22"/>
        </w:rPr>
      </w:pPr>
      <w:r w:rsidRPr="008B0F73">
        <w:rPr>
          <w:sz w:val="22"/>
        </w:rPr>
        <w:t xml:space="preserve">The following options could still improve the predictability of funding for IWC counts in low-income countries and for flyway level coordination: </w:t>
      </w:r>
    </w:p>
    <w:p w:rsidR="00022B10" w:rsidRPr="008B0F73" w:rsidRDefault="00022B10">
      <w:pPr>
        <w:pStyle w:val="Normal1"/>
        <w:jc w:val="both"/>
      </w:pPr>
    </w:p>
    <w:p w:rsidR="00AC6ECF" w:rsidRPr="008B0F73" w:rsidRDefault="00AC6ECF" w:rsidP="0097269A">
      <w:pPr>
        <w:pStyle w:val="Normal1"/>
        <w:numPr>
          <w:ilvl w:val="0"/>
          <w:numId w:val="3"/>
        </w:numPr>
        <w:ind w:hanging="360"/>
        <w:jc w:val="both"/>
        <w:rPr>
          <w:sz w:val="22"/>
        </w:rPr>
      </w:pPr>
      <w:r w:rsidRPr="008B0F73">
        <w:rPr>
          <w:sz w:val="22"/>
        </w:rPr>
        <w:t xml:space="preserve">Create a </w:t>
      </w:r>
      <w:r w:rsidRPr="003C36F4">
        <w:rPr>
          <w:b/>
          <w:sz w:val="22"/>
        </w:rPr>
        <w:t>Waterbird Monitoring Fund</w:t>
      </w:r>
      <w:r w:rsidRPr="008B0F73">
        <w:rPr>
          <w:sz w:val="22"/>
        </w:rPr>
        <w:t xml:space="preserve"> under AEWA and invite voluntary contributions from donor Parties to support low-income Parties in monitoring the internationally important sites on their territory. A proportion of the contributions could be reserved for the coaching activities to be provided by the flyway level coordinator to make sure that the counts are carried out according to the best practices for waterbird monitoring and the results are useful for flyway level population size and trend analyses (This option builds on the fourth option in document AEWA/MOP 5.42). This fund would work under the UNEP</w:t>
      </w:r>
      <w:r w:rsidR="00BD61D8" w:rsidRPr="008B0F73">
        <w:rPr>
          <w:sz w:val="22"/>
        </w:rPr>
        <w:t>-</w:t>
      </w:r>
      <w:r w:rsidRPr="008B0F73">
        <w:rPr>
          <w:sz w:val="22"/>
        </w:rPr>
        <w:t xml:space="preserve"> managed AEWA Trust Fund.</w:t>
      </w:r>
    </w:p>
    <w:p w:rsidR="00BD61D8" w:rsidRPr="008B0F73" w:rsidRDefault="00BD61D8" w:rsidP="00BD61D8">
      <w:pPr>
        <w:pStyle w:val="Normal1"/>
        <w:ind w:left="720"/>
        <w:jc w:val="both"/>
        <w:rPr>
          <w:sz w:val="22"/>
        </w:rPr>
      </w:pPr>
    </w:p>
    <w:p w:rsidR="00AC6ECF" w:rsidRPr="008B0F73" w:rsidRDefault="00AC6ECF" w:rsidP="0097269A">
      <w:pPr>
        <w:pStyle w:val="Normal1"/>
        <w:numPr>
          <w:ilvl w:val="0"/>
          <w:numId w:val="3"/>
        </w:numPr>
        <w:ind w:hanging="360"/>
        <w:jc w:val="both"/>
        <w:rPr>
          <w:sz w:val="22"/>
        </w:rPr>
      </w:pPr>
      <w:r w:rsidRPr="008B0F73">
        <w:rPr>
          <w:sz w:val="22"/>
        </w:rPr>
        <w:t xml:space="preserve">Suggest Contracting Parties and other stakeholders to incorporate waterbird monitoring into the twinning schemes they were encouraged to establish under Resolution 5.20 or other flyway-related collaborative programmes. Good examples for such arrangements exist e.g. under the Wadden Sea Flyway Initiative between the Wadden Sea and Banc d'Arguin or between France, Sudan and Egypt. </w:t>
      </w:r>
    </w:p>
    <w:p w:rsidR="00BD61D8" w:rsidRPr="008B0F73" w:rsidRDefault="00BD61D8" w:rsidP="00BD61D8">
      <w:pPr>
        <w:pStyle w:val="ListParagraph"/>
        <w:rPr>
          <w:sz w:val="22"/>
        </w:rPr>
      </w:pPr>
    </w:p>
    <w:p w:rsidR="00AC6ECF" w:rsidRPr="008B0F73" w:rsidRDefault="00AC6ECF" w:rsidP="0097269A">
      <w:pPr>
        <w:pStyle w:val="Normal1"/>
        <w:numPr>
          <w:ilvl w:val="0"/>
          <w:numId w:val="3"/>
        </w:numPr>
        <w:ind w:hanging="360"/>
        <w:jc w:val="both"/>
        <w:rPr>
          <w:sz w:val="22"/>
        </w:rPr>
      </w:pPr>
      <w:r w:rsidRPr="008B0F73">
        <w:rPr>
          <w:sz w:val="22"/>
        </w:rPr>
        <w:t xml:space="preserve">Invite the flyway coordinator to identify funding needs and through the UNEP/AEWA Secretariat inform Contracting Parties and other stakeholders about gaps to be filled on an annual basis. </w:t>
      </w:r>
    </w:p>
    <w:p w:rsidR="00BD61D8" w:rsidRPr="008B0F73" w:rsidRDefault="00BD61D8" w:rsidP="00BD61D8">
      <w:pPr>
        <w:pStyle w:val="ListParagraph"/>
        <w:rPr>
          <w:sz w:val="22"/>
        </w:rPr>
      </w:pPr>
    </w:p>
    <w:p w:rsidR="00AC6ECF" w:rsidRPr="008B0F73" w:rsidRDefault="00AC6ECF" w:rsidP="0097269A">
      <w:pPr>
        <w:pStyle w:val="Normal1"/>
        <w:numPr>
          <w:ilvl w:val="0"/>
          <w:numId w:val="3"/>
        </w:numPr>
        <w:ind w:hanging="360"/>
        <w:jc w:val="both"/>
        <w:rPr>
          <w:sz w:val="22"/>
        </w:rPr>
      </w:pPr>
      <w:r w:rsidRPr="008B0F73">
        <w:rPr>
          <w:sz w:val="22"/>
        </w:rPr>
        <w:t xml:space="preserve">Invite the organisations participating in the Waterbird Monitoring Partnership to jointly establish a </w:t>
      </w:r>
      <w:r w:rsidRPr="003C36F4">
        <w:rPr>
          <w:b/>
          <w:sz w:val="22"/>
        </w:rPr>
        <w:t xml:space="preserve">Waterbird </w:t>
      </w:r>
      <w:r w:rsidR="00A25044" w:rsidRPr="003C36F4">
        <w:rPr>
          <w:b/>
          <w:sz w:val="22"/>
        </w:rPr>
        <w:t xml:space="preserve">Partnership </w:t>
      </w:r>
      <w:r w:rsidRPr="003C36F4">
        <w:rPr>
          <w:b/>
          <w:sz w:val="22"/>
        </w:rPr>
        <w:t>Fund</w:t>
      </w:r>
      <w:r w:rsidRPr="008B0F73">
        <w:rPr>
          <w:sz w:val="22"/>
        </w:rPr>
        <w:t xml:space="preserve"> to raise funds for waterbird monitoring and other AEWA-related activities. </w:t>
      </w:r>
    </w:p>
    <w:p w:rsidR="00A25044" w:rsidRPr="008B0F73" w:rsidRDefault="00A25044" w:rsidP="00A25044">
      <w:pPr>
        <w:pStyle w:val="ListParagraph"/>
        <w:rPr>
          <w:sz w:val="22"/>
        </w:rPr>
      </w:pPr>
    </w:p>
    <w:p w:rsidR="00AC6ECF" w:rsidRPr="008B0F73" w:rsidRDefault="00AC6ECF" w:rsidP="0097269A">
      <w:pPr>
        <w:pStyle w:val="Normal1"/>
        <w:numPr>
          <w:ilvl w:val="0"/>
          <w:numId w:val="3"/>
        </w:numPr>
        <w:ind w:hanging="360"/>
        <w:contextualSpacing/>
        <w:jc w:val="both"/>
      </w:pPr>
      <w:r w:rsidRPr="008B0F73">
        <w:rPr>
          <w:sz w:val="22"/>
        </w:rPr>
        <w:t xml:space="preserve">Invite Contracting Parties, non-governmental organisations and other organisations to use the World Migratory Bird Day events as fundraising opportunities and to contribute to the Waterbird Monitoring Fund or to the </w:t>
      </w:r>
      <w:r w:rsidRPr="00932744">
        <w:rPr>
          <w:sz w:val="22"/>
        </w:rPr>
        <w:t>Waterbird Partnership Fund</w:t>
      </w:r>
      <w:r w:rsidRPr="008B0F73">
        <w:rPr>
          <w:sz w:val="22"/>
        </w:rPr>
        <w:t>. Also, invite the Secretariat and the Partnership to provide guidelines to the Contracting Parties in this respect.</w:t>
      </w:r>
    </w:p>
    <w:p w:rsidR="00AC6ECF" w:rsidRPr="008B0F73" w:rsidRDefault="008B0F73">
      <w:pPr>
        <w:pStyle w:val="Normal1"/>
      </w:pPr>
      <w:r w:rsidRPr="008B0F73">
        <w:rPr>
          <w:noProof/>
          <w:lang w:eastAsia="en-GB"/>
        </w:rPr>
        <w:lastRenderedPageBreak/>
        <w:drawing>
          <wp:anchor distT="0" distB="0" distL="114300" distR="114300" simplePos="0" relativeHeight="251666432" behindDoc="1" locked="0" layoutInCell="1" allowOverlap="1" wp14:anchorId="1C90DEB0" wp14:editId="7CBBC792">
            <wp:simplePos x="0" y="0"/>
            <wp:positionH relativeFrom="margin">
              <wp:posOffset>3318510</wp:posOffset>
            </wp:positionH>
            <wp:positionV relativeFrom="paragraph">
              <wp:posOffset>8255</wp:posOffset>
            </wp:positionV>
            <wp:extent cx="2622550" cy="3537585"/>
            <wp:effectExtent l="0" t="0" r="6350" b="5715"/>
            <wp:wrapTight wrapText="bothSides">
              <wp:wrapPolygon edited="0">
                <wp:start x="0" y="0"/>
                <wp:lineTo x="0" y="21519"/>
                <wp:lineTo x="21495" y="21519"/>
                <wp:lineTo x="21495" y="0"/>
                <wp:lineTo x="0" y="0"/>
              </wp:wrapPolygon>
            </wp:wrapTight>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0" cy="353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395" w:rsidRPr="008B0F73">
        <w:rPr>
          <w:noProof/>
          <w:lang w:eastAsia="en-GB"/>
        </w:rPr>
        <w:drawing>
          <wp:anchor distT="0" distB="0" distL="114300" distR="114300" simplePos="0" relativeHeight="251668480" behindDoc="0" locked="0" layoutInCell="0" allowOverlap="0" wp14:anchorId="3C286B4E" wp14:editId="75A95EFB">
            <wp:simplePos x="0" y="0"/>
            <wp:positionH relativeFrom="margin">
              <wp:posOffset>3375660</wp:posOffset>
            </wp:positionH>
            <wp:positionV relativeFrom="paragraph">
              <wp:posOffset>2560955</wp:posOffset>
            </wp:positionV>
            <wp:extent cx="895350" cy="925830"/>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925830"/>
                    </a:xfrm>
                    <a:prstGeom prst="rect">
                      <a:avLst/>
                    </a:prstGeom>
                    <a:noFill/>
                  </pic:spPr>
                </pic:pic>
              </a:graphicData>
            </a:graphic>
            <wp14:sizeRelH relativeFrom="page">
              <wp14:pctWidth>0</wp14:pctWidth>
            </wp14:sizeRelH>
            <wp14:sizeRelV relativeFrom="page">
              <wp14:pctHeight>0</wp14:pctHeight>
            </wp14:sizeRelV>
          </wp:anchor>
        </w:drawing>
      </w:r>
      <w:r w:rsidR="00A25044" w:rsidRPr="008B0F73">
        <w:rPr>
          <w:noProof/>
          <w:lang w:eastAsia="en-GB"/>
        </w:rPr>
        <w:drawing>
          <wp:anchor distT="0" distB="0" distL="114300" distR="114300" simplePos="0" relativeHeight="251658240" behindDoc="0" locked="0" layoutInCell="0" allowOverlap="0" wp14:anchorId="52B9BA67" wp14:editId="3A30F0FD">
            <wp:simplePos x="0" y="0"/>
            <wp:positionH relativeFrom="margin">
              <wp:posOffset>74295</wp:posOffset>
            </wp:positionH>
            <wp:positionV relativeFrom="paragraph">
              <wp:posOffset>2569845</wp:posOffset>
            </wp:positionV>
            <wp:extent cx="880110" cy="972185"/>
            <wp:effectExtent l="0" t="0" r="0" b="0"/>
            <wp:wrapNone/>
            <wp:docPr id="1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0110" cy="972185"/>
                    </a:xfrm>
                    <a:prstGeom prst="rect">
                      <a:avLst/>
                    </a:prstGeom>
                    <a:noFill/>
                  </pic:spPr>
                </pic:pic>
              </a:graphicData>
            </a:graphic>
            <wp14:sizeRelH relativeFrom="page">
              <wp14:pctWidth>0</wp14:pctWidth>
            </wp14:sizeRelH>
            <wp14:sizeRelV relativeFrom="page">
              <wp14:pctHeight>0</wp14:pctHeight>
            </wp14:sizeRelV>
          </wp:anchor>
        </w:drawing>
      </w:r>
      <w:r w:rsidR="00252734" w:rsidRPr="008B0F73">
        <w:rPr>
          <w:noProof/>
          <w:lang w:eastAsia="en-GB"/>
        </w:rPr>
        <w:drawing>
          <wp:inline distT="0" distB="0" distL="0" distR="0" wp14:anchorId="0299DF26" wp14:editId="641261FC">
            <wp:extent cx="2612390" cy="3526790"/>
            <wp:effectExtent l="0" t="0" r="3810" b="381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2390" cy="3526790"/>
                    </a:xfrm>
                    <a:prstGeom prst="rect">
                      <a:avLst/>
                    </a:prstGeom>
                    <a:noFill/>
                    <a:ln>
                      <a:noFill/>
                    </a:ln>
                  </pic:spPr>
                </pic:pic>
              </a:graphicData>
            </a:graphic>
          </wp:inline>
        </w:drawing>
      </w:r>
      <w:r w:rsidR="00AC6ECF" w:rsidRPr="008B0F73">
        <w:t xml:space="preserve">  </w:t>
      </w:r>
    </w:p>
    <w:p w:rsidR="008B0F73" w:rsidRDefault="008B0F73">
      <w:pPr>
        <w:pStyle w:val="Normal1"/>
      </w:pPr>
    </w:p>
    <w:p w:rsidR="00AC6ECF" w:rsidRPr="008B0F73" w:rsidRDefault="00AC6ECF">
      <w:pPr>
        <w:pStyle w:val="Normal1"/>
      </w:pPr>
      <w:r w:rsidRPr="008B0F73">
        <w:t>Figure 1. Data availability in 2011 and 2013</w:t>
      </w:r>
    </w:p>
    <w:p w:rsidR="00A25044" w:rsidRPr="008B0F73" w:rsidRDefault="00A25044">
      <w:pPr>
        <w:pStyle w:val="Normal1"/>
      </w:pPr>
    </w:p>
    <w:p w:rsidR="00A25044" w:rsidRPr="008B0F73" w:rsidRDefault="00A25044">
      <w:pPr>
        <w:pStyle w:val="Normal1"/>
      </w:pPr>
    </w:p>
    <w:p w:rsidR="00AC6ECF" w:rsidRPr="008B0F73" w:rsidRDefault="00252734">
      <w:pPr>
        <w:pStyle w:val="Normal1"/>
      </w:pPr>
      <w:r w:rsidRPr="008B0F73">
        <w:rPr>
          <w:noProof/>
          <w:lang w:eastAsia="en-GB"/>
        </w:rPr>
        <w:drawing>
          <wp:inline distT="0" distB="0" distL="0" distR="0">
            <wp:extent cx="4629600" cy="4431600"/>
            <wp:effectExtent l="0" t="0" r="0" b="7620"/>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600" cy="4431600"/>
                    </a:xfrm>
                    <a:prstGeom prst="rect">
                      <a:avLst/>
                    </a:prstGeom>
                    <a:noFill/>
                    <a:ln>
                      <a:noFill/>
                    </a:ln>
                  </pic:spPr>
                </pic:pic>
              </a:graphicData>
            </a:graphic>
          </wp:inline>
        </w:drawing>
      </w:r>
    </w:p>
    <w:p w:rsidR="008B0F73" w:rsidRDefault="008B0F73" w:rsidP="00A25044">
      <w:pPr>
        <w:pStyle w:val="Normal1"/>
      </w:pPr>
    </w:p>
    <w:p w:rsidR="00AC6ECF" w:rsidRPr="008B0F73" w:rsidRDefault="00AC6ECF" w:rsidP="00A25044">
      <w:pPr>
        <w:pStyle w:val="Normal1"/>
      </w:pPr>
      <w:r w:rsidRPr="008B0F73">
        <w:t>Figure 2. Latest data available in 2014</w:t>
      </w:r>
      <w:r w:rsidRPr="008B0F73">
        <w:br w:type="page"/>
      </w:r>
    </w:p>
    <w:tbl>
      <w:tblPr>
        <w:tblW w:w="5000" w:type="pct"/>
        <w:tblLook w:val="00A0" w:firstRow="1" w:lastRow="0" w:firstColumn="1" w:lastColumn="0" w:noHBand="0" w:noVBand="0"/>
      </w:tblPr>
      <w:tblGrid>
        <w:gridCol w:w="4819"/>
        <w:gridCol w:w="4820"/>
      </w:tblGrid>
      <w:tr w:rsidR="00AC6ECF" w:rsidRPr="008B0F73" w:rsidTr="008351AC">
        <w:tc>
          <w:tcPr>
            <w:tcW w:w="2500" w:type="pct"/>
            <w:vAlign w:val="center"/>
          </w:tcPr>
          <w:p w:rsidR="00AC6ECF" w:rsidRPr="008B0F73" w:rsidRDefault="00A25044" w:rsidP="006B2AEC">
            <w:pPr>
              <w:pStyle w:val="Normal1"/>
              <w:jc w:val="center"/>
            </w:pPr>
            <w:r w:rsidRPr="008B0F73">
              <w:rPr>
                <w:noProof/>
                <w:lang w:eastAsia="en-GB"/>
              </w:rPr>
              <w:lastRenderedPageBreak/>
              <w:drawing>
                <wp:anchor distT="0" distB="0" distL="114300" distR="114300" simplePos="0" relativeHeight="251661312" behindDoc="1" locked="0" layoutInCell="1" allowOverlap="1" wp14:anchorId="33D36306" wp14:editId="4F8AB7D8">
                  <wp:simplePos x="0" y="0"/>
                  <wp:positionH relativeFrom="column">
                    <wp:posOffset>598170</wp:posOffset>
                  </wp:positionH>
                  <wp:positionV relativeFrom="paragraph">
                    <wp:posOffset>43815</wp:posOffset>
                  </wp:positionV>
                  <wp:extent cx="1933575" cy="2371725"/>
                  <wp:effectExtent l="0" t="0" r="9525" b="9525"/>
                  <wp:wrapTight wrapText="bothSides">
                    <wp:wrapPolygon edited="0">
                      <wp:start x="0" y="0"/>
                      <wp:lineTo x="0" y="21513"/>
                      <wp:lineTo x="21494" y="21513"/>
                      <wp:lineTo x="21494" y="0"/>
                      <wp:lineTo x="0" y="0"/>
                    </wp:wrapPolygon>
                  </wp:wrapTight>
                  <wp:docPr id="4" name="image20.png" descr="Screen Shot 2015-03-12 at 13.1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descr="Screen Shot 2015-03-12 at 13.18.5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CF" w:rsidRPr="008B0F73">
              <w:t xml:space="preserve"> </w:t>
            </w:r>
            <w:r w:rsidRPr="008B0F73">
              <w:t>2011</w:t>
            </w:r>
          </w:p>
        </w:tc>
        <w:tc>
          <w:tcPr>
            <w:tcW w:w="2500" w:type="pct"/>
            <w:vAlign w:val="center"/>
          </w:tcPr>
          <w:p w:rsidR="00AC6ECF" w:rsidRPr="008B0F73" w:rsidRDefault="00252734" w:rsidP="006B2AEC">
            <w:pPr>
              <w:pStyle w:val="Normal1"/>
              <w:jc w:val="center"/>
            </w:pPr>
            <w:r w:rsidRPr="008B0F73">
              <w:rPr>
                <w:noProof/>
                <w:lang w:eastAsia="en-GB"/>
              </w:rPr>
              <w:drawing>
                <wp:anchor distT="0" distB="0" distL="114300" distR="114300" simplePos="0" relativeHeight="251662336" behindDoc="1" locked="0" layoutInCell="1" allowOverlap="1">
                  <wp:simplePos x="0" y="0"/>
                  <wp:positionH relativeFrom="column">
                    <wp:posOffset>592455</wp:posOffset>
                  </wp:positionH>
                  <wp:positionV relativeFrom="paragraph">
                    <wp:posOffset>-5080</wp:posOffset>
                  </wp:positionV>
                  <wp:extent cx="1828800" cy="2311400"/>
                  <wp:effectExtent l="0" t="0" r="0" b="0"/>
                  <wp:wrapTight wrapText="bothSides">
                    <wp:wrapPolygon edited="0">
                      <wp:start x="0" y="0"/>
                      <wp:lineTo x="0" y="21363"/>
                      <wp:lineTo x="21375" y="21363"/>
                      <wp:lineTo x="21375" y="0"/>
                      <wp:lineTo x="0" y="0"/>
                    </wp:wrapPolygon>
                  </wp:wrapTight>
                  <wp:docPr id="5" name="image19.png" descr="Screen Shot 2015-03-12 at 13.2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Screen Shot 2015-03-12 at 13.22.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044" w:rsidRPr="008B0F73">
              <w:t>2012</w:t>
            </w:r>
          </w:p>
        </w:tc>
      </w:tr>
      <w:tr w:rsidR="00AC6ECF" w:rsidRPr="008B0F73" w:rsidTr="008351AC">
        <w:tc>
          <w:tcPr>
            <w:tcW w:w="2500" w:type="pct"/>
            <w:vAlign w:val="center"/>
          </w:tcPr>
          <w:p w:rsidR="00A25044" w:rsidRPr="008B0F73" w:rsidRDefault="00A25044" w:rsidP="001E2CBF">
            <w:pPr>
              <w:pStyle w:val="Normal1"/>
            </w:pPr>
          </w:p>
          <w:p w:rsidR="008351AC" w:rsidRPr="008B0F73" w:rsidRDefault="008351AC" w:rsidP="008351AC">
            <w:pPr>
              <w:pStyle w:val="Normal1"/>
              <w:rPr>
                <w:sz w:val="12"/>
                <w:szCs w:val="12"/>
              </w:rPr>
            </w:pPr>
          </w:p>
          <w:p w:rsidR="00AC6ECF" w:rsidRPr="008B0F73" w:rsidRDefault="008351AC" w:rsidP="008351AC">
            <w:pPr>
              <w:pStyle w:val="Normal1"/>
            </w:pPr>
            <w:r w:rsidRPr="008B0F73">
              <w:rPr>
                <w:noProof/>
                <w:lang w:eastAsia="en-GB"/>
              </w:rPr>
              <w:drawing>
                <wp:anchor distT="0" distB="0" distL="114300" distR="114300" simplePos="0" relativeHeight="251663360" behindDoc="1" locked="0" layoutInCell="1" allowOverlap="1" wp14:anchorId="43D85A11" wp14:editId="5E0415D7">
                  <wp:simplePos x="0" y="0"/>
                  <wp:positionH relativeFrom="column">
                    <wp:posOffset>592455</wp:posOffset>
                  </wp:positionH>
                  <wp:positionV relativeFrom="paragraph">
                    <wp:posOffset>24130</wp:posOffset>
                  </wp:positionV>
                  <wp:extent cx="1939290" cy="2352675"/>
                  <wp:effectExtent l="0" t="0" r="3810" b="9525"/>
                  <wp:wrapTight wrapText="bothSides">
                    <wp:wrapPolygon edited="0">
                      <wp:start x="0" y="0"/>
                      <wp:lineTo x="0" y="21513"/>
                      <wp:lineTo x="21430" y="21513"/>
                      <wp:lineTo x="21430" y="0"/>
                      <wp:lineTo x="0" y="0"/>
                    </wp:wrapPolygon>
                  </wp:wrapTight>
                  <wp:docPr id="7" name="image10.png" descr="Screen Shot 2015-03-12 at 13.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Screen Shot 2015-03-12 at 13.24.1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929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F73">
              <w:t xml:space="preserve"> </w:t>
            </w:r>
            <w:r w:rsidR="00A25044" w:rsidRPr="008B0F73">
              <w:t>2013</w:t>
            </w:r>
          </w:p>
        </w:tc>
        <w:tc>
          <w:tcPr>
            <w:tcW w:w="2500" w:type="pct"/>
            <w:vAlign w:val="center"/>
          </w:tcPr>
          <w:p w:rsidR="008351AC" w:rsidRPr="008B0F73" w:rsidRDefault="008351AC" w:rsidP="008351AC">
            <w:pPr>
              <w:pStyle w:val="Normal1"/>
            </w:pPr>
          </w:p>
          <w:p w:rsidR="00064EDA" w:rsidRPr="008B0F73" w:rsidRDefault="007B1157" w:rsidP="00064EDA">
            <w:pPr>
              <w:pStyle w:val="Normal1"/>
              <w:rPr>
                <w:sz w:val="6"/>
                <w:szCs w:val="6"/>
              </w:rPr>
            </w:pPr>
            <w:r w:rsidRPr="008B0F73">
              <w:rPr>
                <w:noProof/>
                <w:lang w:eastAsia="en-GB"/>
              </w:rPr>
              <w:drawing>
                <wp:anchor distT="0" distB="0" distL="114300" distR="114300" simplePos="0" relativeHeight="251660288" behindDoc="1" locked="0" layoutInCell="1" allowOverlap="1" wp14:anchorId="2E22C4DD" wp14:editId="06E72E3A">
                  <wp:simplePos x="0" y="0"/>
                  <wp:positionH relativeFrom="column">
                    <wp:posOffset>582930</wp:posOffset>
                  </wp:positionH>
                  <wp:positionV relativeFrom="paragraph">
                    <wp:posOffset>161925</wp:posOffset>
                  </wp:positionV>
                  <wp:extent cx="1802765" cy="2314575"/>
                  <wp:effectExtent l="0" t="0" r="6985" b="9525"/>
                  <wp:wrapTight wrapText="bothSides">
                    <wp:wrapPolygon edited="0">
                      <wp:start x="0" y="0"/>
                      <wp:lineTo x="0" y="21511"/>
                      <wp:lineTo x="21455" y="21511"/>
                      <wp:lineTo x="21455" y="0"/>
                      <wp:lineTo x="0" y="0"/>
                    </wp:wrapPolygon>
                  </wp:wrapTight>
                  <wp:docPr id="8" name="image21.png" descr="Screen Shot 2015-03-12 at 13.2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descr="Screen Shot 2015-03-12 at 13.25.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276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EDA" w:rsidRPr="008B0F73" w:rsidRDefault="00064EDA" w:rsidP="00064EDA">
            <w:pPr>
              <w:pStyle w:val="Normal1"/>
              <w:rPr>
                <w:sz w:val="6"/>
                <w:szCs w:val="6"/>
              </w:rPr>
            </w:pPr>
          </w:p>
          <w:p w:rsidR="00AC6ECF" w:rsidRPr="008B0F73" w:rsidRDefault="008351AC" w:rsidP="00064EDA">
            <w:pPr>
              <w:pStyle w:val="Normal1"/>
            </w:pPr>
            <w:r w:rsidRPr="008B0F73">
              <w:t xml:space="preserve"> </w:t>
            </w:r>
            <w:r w:rsidR="00A25044" w:rsidRPr="008B0F73">
              <w:t>2014</w:t>
            </w:r>
          </w:p>
        </w:tc>
      </w:tr>
    </w:tbl>
    <w:p w:rsidR="00A25044" w:rsidRPr="008B0F73" w:rsidRDefault="00A25044">
      <w:pPr>
        <w:pStyle w:val="Normal1"/>
      </w:pPr>
    </w:p>
    <w:p w:rsidR="007B1157" w:rsidRPr="008B0F73" w:rsidRDefault="007B1157" w:rsidP="007B1157">
      <w:pPr>
        <w:pStyle w:val="Normal1"/>
      </w:pPr>
      <w:r w:rsidRPr="008B0F73">
        <w:rPr>
          <w:noProof/>
          <w:lang w:eastAsia="en-GB"/>
        </w:rPr>
        <w:drawing>
          <wp:anchor distT="0" distB="0" distL="114300" distR="114300" simplePos="0" relativeHeight="251665408" behindDoc="1" locked="0" layoutInCell="1" allowOverlap="1" wp14:anchorId="29995C1B" wp14:editId="7B6F3985">
            <wp:simplePos x="0" y="0"/>
            <wp:positionH relativeFrom="margin">
              <wp:posOffset>699135</wp:posOffset>
            </wp:positionH>
            <wp:positionV relativeFrom="paragraph">
              <wp:posOffset>25400</wp:posOffset>
            </wp:positionV>
            <wp:extent cx="895350" cy="1174750"/>
            <wp:effectExtent l="0" t="0" r="0" b="6350"/>
            <wp:wrapTight wrapText="bothSides">
              <wp:wrapPolygon edited="0">
                <wp:start x="0" y="0"/>
                <wp:lineTo x="0" y="21366"/>
                <wp:lineTo x="21140" y="21366"/>
                <wp:lineTo x="21140" y="0"/>
                <wp:lineTo x="0" y="0"/>
              </wp:wrapPolygon>
            </wp:wrapTight>
            <wp:docPr id="12" name="image12.png" descr="Screen Shot 2015-03-12 at 13.2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Screen Shot 2015-03-12 at 13.26.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35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57" w:rsidRPr="008B0F73" w:rsidRDefault="007B1157" w:rsidP="007B1157">
      <w:pPr>
        <w:pStyle w:val="Normal1"/>
      </w:pPr>
    </w:p>
    <w:p w:rsidR="007B1157" w:rsidRPr="008B0F73" w:rsidRDefault="007B1157" w:rsidP="007B1157">
      <w:pPr>
        <w:pStyle w:val="Normal1"/>
      </w:pPr>
    </w:p>
    <w:p w:rsidR="007B1157" w:rsidRPr="008B0F73" w:rsidRDefault="007B1157" w:rsidP="007B1157">
      <w:pPr>
        <w:pStyle w:val="Normal1"/>
      </w:pPr>
    </w:p>
    <w:p w:rsidR="007B1157" w:rsidRPr="008B0F73" w:rsidRDefault="007B1157" w:rsidP="007B1157">
      <w:pPr>
        <w:pStyle w:val="Normal1"/>
      </w:pPr>
    </w:p>
    <w:p w:rsidR="007B1157" w:rsidRPr="008B0F73" w:rsidRDefault="007B1157" w:rsidP="007B1157">
      <w:pPr>
        <w:pStyle w:val="Normal1"/>
      </w:pPr>
    </w:p>
    <w:p w:rsidR="007B1157" w:rsidRPr="008B0F73" w:rsidRDefault="007B1157" w:rsidP="007B1157">
      <w:pPr>
        <w:pStyle w:val="Normal1"/>
      </w:pPr>
    </w:p>
    <w:p w:rsidR="007B1157" w:rsidRPr="008B0F73" w:rsidRDefault="007B1157" w:rsidP="007B1157">
      <w:pPr>
        <w:pStyle w:val="Normal1"/>
      </w:pPr>
    </w:p>
    <w:p w:rsidR="007B1157" w:rsidRPr="008B0F73" w:rsidRDefault="007B1157" w:rsidP="007B1157">
      <w:pPr>
        <w:pStyle w:val="Normal1"/>
      </w:pPr>
    </w:p>
    <w:p w:rsidR="00A25044" w:rsidRPr="008B0F73" w:rsidRDefault="00AC6ECF" w:rsidP="007B1157">
      <w:pPr>
        <w:pStyle w:val="Normal1"/>
      </w:pPr>
      <w:r w:rsidRPr="008B0F73">
        <w:t xml:space="preserve">Figure 3. Number of </w:t>
      </w:r>
      <w:r w:rsidR="00891A01" w:rsidRPr="008B0F73">
        <w:t xml:space="preserve">site </w:t>
      </w:r>
      <w:r w:rsidRPr="008B0F73">
        <w:t xml:space="preserve">visits per country </w:t>
      </w:r>
    </w:p>
    <w:p w:rsidR="00A25044" w:rsidRPr="008B0F73" w:rsidRDefault="00A25044" w:rsidP="00A25044"/>
    <w:p w:rsidR="00A25044" w:rsidRPr="008B0F73" w:rsidRDefault="00A25044" w:rsidP="00A25044"/>
    <w:p w:rsidR="00A25044" w:rsidRPr="008B0F73" w:rsidRDefault="00A25044" w:rsidP="00A25044"/>
    <w:p w:rsidR="00A25044" w:rsidRPr="008B0F73" w:rsidRDefault="00A25044" w:rsidP="00A25044"/>
    <w:p w:rsidR="00A25044" w:rsidRPr="008B0F73" w:rsidRDefault="00A25044" w:rsidP="00A25044"/>
    <w:p w:rsidR="00A25044" w:rsidRPr="008B0F73" w:rsidRDefault="00A25044" w:rsidP="00A25044"/>
    <w:p w:rsidR="00A25044" w:rsidRPr="008B0F73" w:rsidRDefault="00A25044" w:rsidP="00A25044">
      <w:pPr>
        <w:tabs>
          <w:tab w:val="left" w:pos="2670"/>
        </w:tabs>
      </w:pPr>
      <w:r w:rsidRPr="008B0F73">
        <w:tab/>
      </w:r>
    </w:p>
    <w:p w:rsidR="00A25044" w:rsidRPr="008B0F73" w:rsidRDefault="00A25044" w:rsidP="00A25044"/>
    <w:p w:rsidR="00022B10" w:rsidRPr="008B0F73" w:rsidRDefault="00022B10" w:rsidP="00A25044">
      <w:pPr>
        <w:sectPr w:rsidR="00022B10" w:rsidRPr="008B0F73" w:rsidSect="00F34179">
          <w:headerReference w:type="default" r:id="rId24"/>
          <w:footerReference w:type="default" r:id="rId25"/>
          <w:pgSz w:w="11907" w:h="16840" w:code="9"/>
          <w:pgMar w:top="1021" w:right="1134" w:bottom="851" w:left="1134" w:header="851" w:footer="510" w:gutter="0"/>
          <w:pgNumType w:start="1"/>
          <w:cols w:space="720"/>
        </w:sectPr>
      </w:pPr>
    </w:p>
    <w:p w:rsidR="00AC6ECF" w:rsidRPr="008B0F73" w:rsidRDefault="00AC6ECF">
      <w:pPr>
        <w:pStyle w:val="Heading3"/>
      </w:pPr>
      <w:r w:rsidRPr="008B0F73">
        <w:rPr>
          <w:rFonts w:ascii="Times New Roman" w:hAnsi="Times New Roman" w:cs="Times New Roman"/>
          <w:sz w:val="24"/>
        </w:rPr>
        <w:lastRenderedPageBreak/>
        <w:t>Financial overview based on estimates in document AEWA/MOP 5.42</w:t>
      </w:r>
    </w:p>
    <w:p w:rsidR="00AC6ECF" w:rsidRPr="008B0F73" w:rsidRDefault="00AC6ECF">
      <w:pPr>
        <w:pStyle w:val="Normal1"/>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9"/>
        <w:gridCol w:w="1666"/>
        <w:gridCol w:w="1627"/>
        <w:gridCol w:w="6276"/>
      </w:tblGrid>
      <w:tr w:rsidR="00AC6ECF" w:rsidRPr="008B0F73" w:rsidTr="008351AC">
        <w:trPr>
          <w:tblHeader/>
        </w:trPr>
        <w:tc>
          <w:tcPr>
            <w:tcW w:w="1801" w:type="pct"/>
            <w:shd w:val="clear" w:color="auto" w:fill="F2F2F2" w:themeFill="background1" w:themeFillShade="F2"/>
            <w:vAlign w:val="center"/>
          </w:tcPr>
          <w:p w:rsidR="00AC6ECF" w:rsidRPr="008B0F73" w:rsidRDefault="00AC6ECF" w:rsidP="006B2AEC">
            <w:pPr>
              <w:pStyle w:val="Normal1"/>
              <w:jc w:val="center"/>
            </w:pPr>
            <w:r w:rsidRPr="008B0F73">
              <w:rPr>
                <w:b/>
                <w:sz w:val="22"/>
              </w:rPr>
              <w:t>Component</w:t>
            </w:r>
          </w:p>
        </w:tc>
        <w:tc>
          <w:tcPr>
            <w:tcW w:w="557" w:type="pct"/>
            <w:shd w:val="clear" w:color="auto" w:fill="F2F2F2" w:themeFill="background1" w:themeFillShade="F2"/>
            <w:vAlign w:val="center"/>
          </w:tcPr>
          <w:p w:rsidR="00AC6ECF" w:rsidRPr="008B0F73" w:rsidRDefault="00AC6ECF" w:rsidP="006B2AEC">
            <w:pPr>
              <w:pStyle w:val="Normal1"/>
              <w:jc w:val="center"/>
              <w:rPr>
                <w:b/>
                <w:sz w:val="22"/>
              </w:rPr>
            </w:pPr>
            <w:r w:rsidRPr="008B0F73">
              <w:rPr>
                <w:b/>
                <w:sz w:val="22"/>
              </w:rPr>
              <w:t>Total estimated</w:t>
            </w:r>
          </w:p>
          <w:p w:rsidR="007B1157" w:rsidRPr="008B0F73" w:rsidRDefault="007B1157" w:rsidP="006B2AEC">
            <w:pPr>
              <w:pStyle w:val="Normal1"/>
              <w:jc w:val="center"/>
              <w:rPr>
                <w:sz w:val="20"/>
              </w:rPr>
            </w:pPr>
            <w:r w:rsidRPr="008B0F73">
              <w:rPr>
                <w:sz w:val="20"/>
              </w:rPr>
              <w:t>(</w:t>
            </w:r>
            <w:r w:rsidR="008351AC" w:rsidRPr="008B0F73">
              <w:rPr>
                <w:sz w:val="20"/>
              </w:rPr>
              <w:t>all costs</w:t>
            </w:r>
          </w:p>
          <w:p w:rsidR="008351AC" w:rsidRPr="008B0F73" w:rsidRDefault="008351AC" w:rsidP="006B2AEC">
            <w:pPr>
              <w:pStyle w:val="Normal1"/>
              <w:jc w:val="center"/>
              <w:rPr>
                <w:sz w:val="20"/>
              </w:rPr>
            </w:pPr>
            <w:r w:rsidRPr="008B0F73">
              <w:rPr>
                <w:sz w:val="20"/>
              </w:rPr>
              <w:t xml:space="preserve"> x1,000 €</w:t>
            </w:r>
            <w:r w:rsidR="007B1157" w:rsidRPr="008B0F73">
              <w:rPr>
                <w:sz w:val="20"/>
              </w:rPr>
              <w:t>)</w:t>
            </w:r>
          </w:p>
        </w:tc>
        <w:tc>
          <w:tcPr>
            <w:tcW w:w="544" w:type="pct"/>
            <w:shd w:val="clear" w:color="auto" w:fill="F2F2F2" w:themeFill="background1" w:themeFillShade="F2"/>
            <w:vAlign w:val="center"/>
          </w:tcPr>
          <w:p w:rsidR="00AC6ECF" w:rsidRPr="008B0F73" w:rsidRDefault="00AC6ECF" w:rsidP="008351AC">
            <w:pPr>
              <w:pStyle w:val="Normal1"/>
              <w:jc w:val="center"/>
              <w:rPr>
                <w:b/>
                <w:sz w:val="22"/>
              </w:rPr>
            </w:pPr>
            <w:r w:rsidRPr="008B0F73">
              <w:rPr>
                <w:b/>
                <w:sz w:val="22"/>
              </w:rPr>
              <w:t>Realised in 2014</w:t>
            </w:r>
          </w:p>
          <w:p w:rsidR="007B1157" w:rsidRPr="008B0F73" w:rsidRDefault="007B1157" w:rsidP="008351AC">
            <w:pPr>
              <w:pStyle w:val="Normal1"/>
              <w:jc w:val="center"/>
              <w:rPr>
                <w:sz w:val="20"/>
              </w:rPr>
            </w:pPr>
            <w:r w:rsidRPr="008B0F73">
              <w:rPr>
                <w:sz w:val="20"/>
              </w:rPr>
              <w:t>(</w:t>
            </w:r>
            <w:r w:rsidR="008351AC" w:rsidRPr="008B0F73">
              <w:rPr>
                <w:sz w:val="20"/>
              </w:rPr>
              <w:t>all costs</w:t>
            </w:r>
          </w:p>
          <w:p w:rsidR="008351AC" w:rsidRPr="008B0F73" w:rsidRDefault="008351AC" w:rsidP="008351AC">
            <w:pPr>
              <w:pStyle w:val="Normal1"/>
              <w:jc w:val="center"/>
              <w:rPr>
                <w:sz w:val="20"/>
              </w:rPr>
            </w:pPr>
            <w:r w:rsidRPr="008B0F73">
              <w:rPr>
                <w:sz w:val="20"/>
              </w:rPr>
              <w:t xml:space="preserve"> x1,000 €</w:t>
            </w:r>
            <w:r w:rsidR="007B1157" w:rsidRPr="008B0F73">
              <w:rPr>
                <w:sz w:val="20"/>
              </w:rPr>
              <w:t>)</w:t>
            </w:r>
          </w:p>
        </w:tc>
        <w:tc>
          <w:tcPr>
            <w:tcW w:w="2098" w:type="pct"/>
            <w:shd w:val="clear" w:color="auto" w:fill="F2F2F2" w:themeFill="background1" w:themeFillShade="F2"/>
            <w:vAlign w:val="center"/>
          </w:tcPr>
          <w:p w:rsidR="00AC6ECF" w:rsidRPr="008B0F73" w:rsidRDefault="00AC6ECF" w:rsidP="006B2AEC">
            <w:pPr>
              <w:pStyle w:val="Normal1"/>
              <w:jc w:val="center"/>
            </w:pPr>
            <w:r w:rsidRPr="008B0F73">
              <w:rPr>
                <w:b/>
                <w:sz w:val="22"/>
              </w:rPr>
              <w:t>Comments</w:t>
            </w:r>
          </w:p>
        </w:tc>
      </w:tr>
      <w:tr w:rsidR="00AC6ECF" w:rsidRPr="008B0F73" w:rsidTr="008351AC">
        <w:tc>
          <w:tcPr>
            <w:tcW w:w="1801" w:type="pct"/>
          </w:tcPr>
          <w:p w:rsidR="00AC6ECF" w:rsidRPr="008B0F73" w:rsidRDefault="00AC6ECF">
            <w:pPr>
              <w:pStyle w:val="Normal1"/>
            </w:pPr>
            <w:r w:rsidRPr="008B0F73">
              <w:rPr>
                <w:b/>
                <w:sz w:val="22"/>
              </w:rPr>
              <w:t>Annually recurring activities</w:t>
            </w:r>
          </w:p>
        </w:tc>
        <w:tc>
          <w:tcPr>
            <w:tcW w:w="557" w:type="pct"/>
          </w:tcPr>
          <w:p w:rsidR="00AC6ECF" w:rsidRPr="008B0F73" w:rsidRDefault="00AC6ECF" w:rsidP="006B2AEC">
            <w:pPr>
              <w:pStyle w:val="Normal1"/>
              <w:jc w:val="right"/>
            </w:pPr>
          </w:p>
        </w:tc>
        <w:tc>
          <w:tcPr>
            <w:tcW w:w="544" w:type="pct"/>
          </w:tcPr>
          <w:p w:rsidR="00AC6ECF" w:rsidRPr="008B0F73" w:rsidRDefault="00AC6ECF" w:rsidP="006B2AEC">
            <w:pPr>
              <w:pStyle w:val="Normal1"/>
              <w:jc w:val="right"/>
            </w:pPr>
          </w:p>
        </w:tc>
        <w:tc>
          <w:tcPr>
            <w:tcW w:w="2098" w:type="pct"/>
          </w:tcPr>
          <w:p w:rsidR="00AC6ECF" w:rsidRPr="008B0F73" w:rsidRDefault="00AC6ECF">
            <w:pPr>
              <w:pStyle w:val="Normal1"/>
            </w:pPr>
          </w:p>
        </w:tc>
      </w:tr>
      <w:tr w:rsidR="00AC6ECF" w:rsidRPr="008B0F73" w:rsidTr="008351AC">
        <w:tc>
          <w:tcPr>
            <w:tcW w:w="1801" w:type="pct"/>
          </w:tcPr>
          <w:p w:rsidR="00AC6ECF" w:rsidRPr="008B0F73" w:rsidRDefault="00AC6ECF" w:rsidP="006B2AEC">
            <w:pPr>
              <w:pStyle w:val="Normal1"/>
              <w:ind w:left="540"/>
            </w:pPr>
            <w:r w:rsidRPr="008B0F73">
              <w:rPr>
                <w:sz w:val="22"/>
              </w:rPr>
              <w:t>Global coordination and data management</w:t>
            </w:r>
          </w:p>
        </w:tc>
        <w:tc>
          <w:tcPr>
            <w:tcW w:w="557" w:type="pct"/>
          </w:tcPr>
          <w:p w:rsidR="00AC6ECF" w:rsidRPr="008B0F73" w:rsidRDefault="00AC6ECF" w:rsidP="006B2AEC">
            <w:pPr>
              <w:pStyle w:val="Normal1"/>
              <w:jc w:val="right"/>
            </w:pPr>
            <w:r w:rsidRPr="008B0F73">
              <w:rPr>
                <w:sz w:val="22"/>
              </w:rPr>
              <w:t>100</w:t>
            </w:r>
          </w:p>
        </w:tc>
        <w:tc>
          <w:tcPr>
            <w:tcW w:w="544" w:type="pct"/>
          </w:tcPr>
          <w:p w:rsidR="00AC6ECF" w:rsidRPr="008B0F73" w:rsidRDefault="00AC6ECF" w:rsidP="006B2AEC">
            <w:pPr>
              <w:pStyle w:val="Normal1"/>
              <w:jc w:val="right"/>
            </w:pPr>
            <w:r w:rsidRPr="008B0F73">
              <w:rPr>
                <w:sz w:val="22"/>
              </w:rPr>
              <w:t>100</w:t>
            </w:r>
          </w:p>
        </w:tc>
        <w:tc>
          <w:tcPr>
            <w:tcW w:w="2098" w:type="pct"/>
          </w:tcPr>
          <w:p w:rsidR="00AC6ECF" w:rsidRPr="008B0F73" w:rsidRDefault="00AC6ECF">
            <w:pPr>
              <w:pStyle w:val="Normal1"/>
            </w:pPr>
            <w:r w:rsidRPr="008B0F73">
              <w:rPr>
                <w:sz w:val="22"/>
              </w:rPr>
              <w:t>Association of the Members of Wetlands International</w:t>
            </w:r>
          </w:p>
        </w:tc>
      </w:tr>
      <w:tr w:rsidR="00AC6ECF" w:rsidRPr="008B0F73" w:rsidTr="008351AC">
        <w:tc>
          <w:tcPr>
            <w:tcW w:w="1801" w:type="pct"/>
          </w:tcPr>
          <w:p w:rsidR="00AC6ECF" w:rsidRPr="008B0F73" w:rsidRDefault="00AC6ECF" w:rsidP="006B2AEC">
            <w:pPr>
              <w:pStyle w:val="Normal1"/>
              <w:ind w:left="540"/>
            </w:pPr>
            <w:r w:rsidRPr="008B0F73">
              <w:rPr>
                <w:sz w:val="22"/>
              </w:rPr>
              <w:t>Basic regional coordination</w:t>
            </w:r>
          </w:p>
        </w:tc>
        <w:tc>
          <w:tcPr>
            <w:tcW w:w="557" w:type="pct"/>
          </w:tcPr>
          <w:p w:rsidR="00AC6ECF" w:rsidRPr="008B0F73" w:rsidRDefault="00AC6ECF" w:rsidP="006B2AEC">
            <w:pPr>
              <w:pStyle w:val="Normal1"/>
              <w:jc w:val="right"/>
            </w:pPr>
            <w:r w:rsidRPr="008B0F73">
              <w:rPr>
                <w:sz w:val="22"/>
              </w:rPr>
              <w:t>65</w:t>
            </w:r>
          </w:p>
        </w:tc>
        <w:tc>
          <w:tcPr>
            <w:tcW w:w="544" w:type="pct"/>
          </w:tcPr>
          <w:p w:rsidR="00AC6ECF" w:rsidRPr="008B0F73" w:rsidRDefault="00AC6ECF" w:rsidP="006B2AEC">
            <w:pPr>
              <w:pStyle w:val="Normal1"/>
              <w:jc w:val="right"/>
            </w:pPr>
            <w:r w:rsidRPr="008B0F73">
              <w:rPr>
                <w:sz w:val="22"/>
              </w:rPr>
              <w:t>54</w:t>
            </w:r>
          </w:p>
        </w:tc>
        <w:tc>
          <w:tcPr>
            <w:tcW w:w="2098" w:type="pct"/>
          </w:tcPr>
          <w:p w:rsidR="00AC6ECF" w:rsidRPr="008B0F73" w:rsidRDefault="00AC6ECF">
            <w:pPr>
              <w:pStyle w:val="Normal1"/>
            </w:pPr>
            <w:r w:rsidRPr="008B0F73">
              <w:rPr>
                <w:sz w:val="22"/>
              </w:rPr>
              <w:t xml:space="preserve">Supported by the EU LIFE+ NGO Operational Grant, voluntary contributions of Switzerland and France in 2014. Funding for 2015 is not yet secured. </w:t>
            </w:r>
          </w:p>
        </w:tc>
      </w:tr>
      <w:tr w:rsidR="00AC6ECF" w:rsidRPr="008B0F73" w:rsidTr="008351AC">
        <w:tc>
          <w:tcPr>
            <w:tcW w:w="1801" w:type="pct"/>
          </w:tcPr>
          <w:p w:rsidR="00AC6ECF" w:rsidRPr="008B0F73" w:rsidRDefault="00AC6ECF" w:rsidP="006B2AEC">
            <w:pPr>
              <w:pStyle w:val="Normal1"/>
              <w:ind w:left="540"/>
            </w:pPr>
            <w:r w:rsidRPr="008B0F73">
              <w:rPr>
                <w:sz w:val="22"/>
              </w:rPr>
              <w:t>IWC coordinators’ meeting (one meeting per region per year, three regions)</w:t>
            </w:r>
          </w:p>
        </w:tc>
        <w:tc>
          <w:tcPr>
            <w:tcW w:w="557" w:type="pct"/>
          </w:tcPr>
          <w:p w:rsidR="00AC6ECF" w:rsidRPr="008B0F73" w:rsidRDefault="00AC6ECF" w:rsidP="006B2AEC">
            <w:pPr>
              <w:pStyle w:val="Normal1"/>
              <w:jc w:val="right"/>
            </w:pPr>
            <w:r w:rsidRPr="008B0F73">
              <w:rPr>
                <w:sz w:val="22"/>
              </w:rPr>
              <w:t>30</w:t>
            </w:r>
          </w:p>
        </w:tc>
        <w:tc>
          <w:tcPr>
            <w:tcW w:w="544" w:type="pct"/>
          </w:tcPr>
          <w:p w:rsidR="00AC6ECF" w:rsidRPr="008B0F73" w:rsidRDefault="00AC6ECF" w:rsidP="006B2AEC">
            <w:pPr>
              <w:pStyle w:val="Normal1"/>
              <w:jc w:val="right"/>
            </w:pPr>
            <w:r w:rsidRPr="008B0F73">
              <w:rPr>
                <w:sz w:val="22"/>
              </w:rPr>
              <w:t>n.a.</w:t>
            </w:r>
          </w:p>
        </w:tc>
        <w:tc>
          <w:tcPr>
            <w:tcW w:w="2098" w:type="pct"/>
          </w:tcPr>
          <w:p w:rsidR="00AC6ECF" w:rsidRPr="008B0F73" w:rsidRDefault="00AC6ECF">
            <w:pPr>
              <w:pStyle w:val="Normal1"/>
            </w:pPr>
            <w:r w:rsidRPr="008B0F73">
              <w:rPr>
                <w:sz w:val="22"/>
              </w:rPr>
              <w:t>Not applicable in 2014, but it was funded by the MAVA Foundation. However, both the Pan-African Ornithological Congress and the European Bird Census Council Conferences will be in 2016 and this means that c. 50-60 thousand Euro will be needed to support the participation of national coordinators at these events</w:t>
            </w:r>
          </w:p>
        </w:tc>
      </w:tr>
      <w:tr w:rsidR="00AC6ECF" w:rsidRPr="008B0F73" w:rsidTr="008351AC">
        <w:tc>
          <w:tcPr>
            <w:tcW w:w="1801" w:type="pct"/>
          </w:tcPr>
          <w:p w:rsidR="00AC6ECF" w:rsidRPr="008B0F73" w:rsidRDefault="00AC6ECF" w:rsidP="006B2AEC">
            <w:pPr>
              <w:pStyle w:val="Normal1"/>
              <w:ind w:left="540"/>
            </w:pPr>
            <w:r w:rsidRPr="008B0F73">
              <w:rPr>
                <w:sz w:val="22"/>
              </w:rPr>
              <w:t>Capacity development in countries with insufficient coverage of key sites</w:t>
            </w:r>
          </w:p>
        </w:tc>
        <w:tc>
          <w:tcPr>
            <w:tcW w:w="557" w:type="pct"/>
          </w:tcPr>
          <w:p w:rsidR="00AC6ECF" w:rsidRPr="008B0F73" w:rsidRDefault="00AC6ECF" w:rsidP="006B2AEC">
            <w:pPr>
              <w:pStyle w:val="Normal1"/>
              <w:jc w:val="right"/>
            </w:pPr>
            <w:r w:rsidRPr="008B0F73">
              <w:rPr>
                <w:sz w:val="22"/>
              </w:rPr>
              <w:t>min.   40</w:t>
            </w:r>
          </w:p>
        </w:tc>
        <w:tc>
          <w:tcPr>
            <w:tcW w:w="544" w:type="pct"/>
          </w:tcPr>
          <w:p w:rsidR="00AC6ECF" w:rsidRPr="008B0F73" w:rsidRDefault="00AC6ECF" w:rsidP="006B2AEC">
            <w:pPr>
              <w:pStyle w:val="Normal1"/>
              <w:jc w:val="right"/>
            </w:pPr>
            <w:r w:rsidRPr="008B0F73">
              <w:rPr>
                <w:sz w:val="22"/>
              </w:rPr>
              <w:t>c. 200</w:t>
            </w:r>
          </w:p>
        </w:tc>
        <w:tc>
          <w:tcPr>
            <w:tcW w:w="2098" w:type="pct"/>
          </w:tcPr>
          <w:p w:rsidR="00AC6ECF" w:rsidRPr="008B0F73" w:rsidRDefault="00AC6ECF">
            <w:pPr>
              <w:pStyle w:val="Normal1"/>
            </w:pPr>
            <w:r w:rsidRPr="008B0F73">
              <w:rPr>
                <w:sz w:val="22"/>
              </w:rPr>
              <w:t>Wadden Sea Flyway Initiative addresses countries along the East Atlantic Flyway in Africa. Focus countries are: Mauritania, Senegal, Ca</w:t>
            </w:r>
            <w:r w:rsidR="008351AC" w:rsidRPr="008B0F73">
              <w:rPr>
                <w:sz w:val="22"/>
              </w:rPr>
              <w:t>bo</w:t>
            </w:r>
            <w:r w:rsidRPr="008B0F73">
              <w:rPr>
                <w:sz w:val="22"/>
              </w:rPr>
              <w:t xml:space="preserve"> Verde, Guinea Bissau, Guinea and Sierra Leone. Currently this work is supported by the Netherlands and Germany.  </w:t>
            </w:r>
          </w:p>
          <w:p w:rsidR="00AC6ECF" w:rsidRPr="008B0F73" w:rsidRDefault="00AC6ECF">
            <w:pPr>
              <w:pStyle w:val="Normal1"/>
            </w:pPr>
          </w:p>
          <w:p w:rsidR="00AC6ECF" w:rsidRPr="008B0F73" w:rsidRDefault="00AC6ECF">
            <w:pPr>
              <w:pStyle w:val="Normal1"/>
            </w:pPr>
            <w:r w:rsidRPr="008B0F73">
              <w:rPr>
                <w:sz w:val="22"/>
              </w:rPr>
              <w:t>Tour du Valat/ONCFS Mediterranean Waterbird Monitoring project focuses on North Africa: Morocco, Algeria, Tunisia, Libya and Egypt. EuroNatur focuses on supporting Bosnia-Herzegovina, Serbia, Montenegro, Macedonia and Albania. Plan of Action for Africa: ONCFS and Tour du Valat are still in the process of defining their priorities, but it is likely to be the Sahelian zone building on their earlier work in Sudan, South Sudan, Chad, Mali and Senegal.</w:t>
            </w:r>
          </w:p>
        </w:tc>
      </w:tr>
      <w:tr w:rsidR="00AC6ECF" w:rsidRPr="008B0F73" w:rsidTr="008351AC">
        <w:tc>
          <w:tcPr>
            <w:tcW w:w="1801" w:type="pct"/>
          </w:tcPr>
          <w:p w:rsidR="00AC6ECF" w:rsidRPr="008B0F73" w:rsidRDefault="00AC6ECF" w:rsidP="008351AC">
            <w:pPr>
              <w:pStyle w:val="Normal1"/>
              <w:ind w:left="540"/>
            </w:pPr>
            <w:r w:rsidRPr="008B0F73">
              <w:rPr>
                <w:sz w:val="22"/>
              </w:rPr>
              <w:t>Small grants for general IWC counts in developing countries</w:t>
            </w:r>
          </w:p>
        </w:tc>
        <w:tc>
          <w:tcPr>
            <w:tcW w:w="557" w:type="pct"/>
          </w:tcPr>
          <w:p w:rsidR="00AC6ECF" w:rsidRPr="008B0F73" w:rsidRDefault="00AC6ECF" w:rsidP="006B2AEC">
            <w:pPr>
              <w:pStyle w:val="Normal1"/>
              <w:jc w:val="right"/>
            </w:pPr>
            <w:r w:rsidRPr="008B0F73">
              <w:rPr>
                <w:sz w:val="22"/>
              </w:rPr>
              <w:t>min.   80</w:t>
            </w:r>
          </w:p>
        </w:tc>
        <w:tc>
          <w:tcPr>
            <w:tcW w:w="544" w:type="pct"/>
          </w:tcPr>
          <w:p w:rsidR="00AC6ECF" w:rsidRPr="008B0F73" w:rsidRDefault="00AC6ECF" w:rsidP="006B2AEC">
            <w:pPr>
              <w:pStyle w:val="Normal1"/>
              <w:jc w:val="right"/>
            </w:pPr>
            <w:r w:rsidRPr="008B0F73">
              <w:rPr>
                <w:sz w:val="22"/>
              </w:rPr>
              <w:t>c. 64</w:t>
            </w:r>
          </w:p>
        </w:tc>
        <w:tc>
          <w:tcPr>
            <w:tcW w:w="2098" w:type="pct"/>
          </w:tcPr>
          <w:p w:rsidR="00AC6ECF" w:rsidRPr="008B0F73" w:rsidRDefault="00AC6ECF">
            <w:pPr>
              <w:pStyle w:val="Normal1"/>
              <w:rPr>
                <w:sz w:val="22"/>
              </w:rPr>
            </w:pPr>
            <w:r w:rsidRPr="008B0F73">
              <w:rPr>
                <w:sz w:val="22"/>
              </w:rPr>
              <w:t xml:space="preserve">No funding is available yet other than in the above- mentioned capacity building projects. In </w:t>
            </w:r>
            <w:r w:rsidR="008351AC" w:rsidRPr="008B0F73">
              <w:rPr>
                <w:sz w:val="22"/>
              </w:rPr>
              <w:t xml:space="preserve">the </w:t>
            </w:r>
            <w:r w:rsidRPr="008B0F73">
              <w:rPr>
                <w:sz w:val="22"/>
              </w:rPr>
              <w:t xml:space="preserve">case of West Africa, this was €12k in 2013 and €43k (+€36k to support assistance by European counters) in 2013. It was c. €11k in North Africa. The MAVA project has also contributed some €10k to counts as part of training counts. This sum does not include costs at ONCFS (Sudan and South Sudan) and EuroNatur. </w:t>
            </w:r>
          </w:p>
          <w:p w:rsidR="008351AC" w:rsidRPr="008B0F73" w:rsidRDefault="008351AC">
            <w:pPr>
              <w:pStyle w:val="Normal1"/>
              <w:rPr>
                <w:sz w:val="22"/>
              </w:rPr>
            </w:pPr>
          </w:p>
          <w:p w:rsidR="009F35C7" w:rsidRPr="008B0F73" w:rsidRDefault="009F35C7">
            <w:pPr>
              <w:pStyle w:val="Normal1"/>
            </w:pPr>
          </w:p>
          <w:p w:rsidR="00AC6ECF" w:rsidRPr="008B0F73" w:rsidRDefault="00AC6ECF">
            <w:pPr>
              <w:pStyle w:val="Normal1"/>
            </w:pPr>
          </w:p>
        </w:tc>
      </w:tr>
      <w:tr w:rsidR="00AC6ECF" w:rsidRPr="008B0F73" w:rsidTr="008351AC">
        <w:tc>
          <w:tcPr>
            <w:tcW w:w="1801" w:type="pct"/>
          </w:tcPr>
          <w:p w:rsidR="00AC6ECF" w:rsidRPr="008B0F73" w:rsidRDefault="00AC6ECF" w:rsidP="006B2AEC">
            <w:pPr>
              <w:pStyle w:val="Normal1"/>
              <w:ind w:left="540"/>
            </w:pPr>
            <w:r w:rsidRPr="008B0F73">
              <w:rPr>
                <w:sz w:val="22"/>
              </w:rPr>
              <w:lastRenderedPageBreak/>
              <w:t>Goose and swan counts</w:t>
            </w:r>
          </w:p>
        </w:tc>
        <w:tc>
          <w:tcPr>
            <w:tcW w:w="557" w:type="pct"/>
          </w:tcPr>
          <w:p w:rsidR="00AC6ECF" w:rsidRPr="008B0F73" w:rsidRDefault="00AC6ECF" w:rsidP="006B2AEC">
            <w:pPr>
              <w:pStyle w:val="Normal1"/>
              <w:jc w:val="right"/>
            </w:pPr>
            <w:r w:rsidRPr="008B0F73">
              <w:rPr>
                <w:sz w:val="22"/>
              </w:rPr>
              <w:t>min.   22</w:t>
            </w:r>
          </w:p>
        </w:tc>
        <w:tc>
          <w:tcPr>
            <w:tcW w:w="544" w:type="pct"/>
          </w:tcPr>
          <w:p w:rsidR="00AC6ECF" w:rsidRPr="008B0F73" w:rsidRDefault="00AC6ECF" w:rsidP="006B2AEC">
            <w:pPr>
              <w:pStyle w:val="Normal1"/>
              <w:jc w:val="right"/>
            </w:pPr>
            <w:r w:rsidRPr="008B0F73">
              <w:rPr>
                <w:sz w:val="22"/>
              </w:rPr>
              <w:t>0</w:t>
            </w:r>
          </w:p>
        </w:tc>
        <w:tc>
          <w:tcPr>
            <w:tcW w:w="2098" w:type="pct"/>
          </w:tcPr>
          <w:p w:rsidR="00AC6ECF" w:rsidRPr="008B0F73" w:rsidRDefault="00AC6ECF">
            <w:pPr>
              <w:pStyle w:val="Normal1"/>
            </w:pPr>
          </w:p>
        </w:tc>
      </w:tr>
      <w:tr w:rsidR="00AC6ECF" w:rsidRPr="008B0F73" w:rsidTr="008351AC">
        <w:tc>
          <w:tcPr>
            <w:tcW w:w="1801" w:type="pct"/>
          </w:tcPr>
          <w:p w:rsidR="00AC6ECF" w:rsidRPr="008B0F73" w:rsidRDefault="00AC6ECF" w:rsidP="006B2AEC">
            <w:pPr>
              <w:pStyle w:val="Normal1"/>
              <w:ind w:left="540"/>
            </w:pPr>
            <w:r w:rsidRPr="008B0F73">
              <w:rPr>
                <w:sz w:val="22"/>
              </w:rPr>
              <w:t>Seaduck counts coordination</w:t>
            </w:r>
          </w:p>
        </w:tc>
        <w:tc>
          <w:tcPr>
            <w:tcW w:w="557" w:type="pct"/>
          </w:tcPr>
          <w:p w:rsidR="00AC6ECF" w:rsidRPr="008B0F73" w:rsidRDefault="00AC6ECF" w:rsidP="006B2AEC">
            <w:pPr>
              <w:pStyle w:val="Normal1"/>
              <w:jc w:val="right"/>
            </w:pPr>
            <w:r w:rsidRPr="008B0F73">
              <w:rPr>
                <w:sz w:val="22"/>
              </w:rPr>
              <w:t>min.   16</w:t>
            </w:r>
          </w:p>
        </w:tc>
        <w:tc>
          <w:tcPr>
            <w:tcW w:w="544" w:type="pct"/>
          </w:tcPr>
          <w:p w:rsidR="00AC6ECF" w:rsidRPr="008B0F73" w:rsidRDefault="00AC6ECF" w:rsidP="006B2AEC">
            <w:pPr>
              <w:pStyle w:val="Normal1"/>
              <w:jc w:val="right"/>
            </w:pPr>
            <w:r w:rsidRPr="008B0F73">
              <w:rPr>
                <w:sz w:val="22"/>
              </w:rPr>
              <w:t>9</w:t>
            </w:r>
          </w:p>
        </w:tc>
        <w:tc>
          <w:tcPr>
            <w:tcW w:w="2098" w:type="pct"/>
          </w:tcPr>
          <w:p w:rsidR="00AC6ECF" w:rsidRPr="008B0F73" w:rsidRDefault="00AC6ECF">
            <w:pPr>
              <w:pStyle w:val="Normal1"/>
            </w:pPr>
            <w:r w:rsidRPr="008B0F73">
              <w:rPr>
                <w:sz w:val="22"/>
              </w:rPr>
              <w:t>EU LIFE+ NGO Operational Grant and AEWA</w:t>
            </w:r>
          </w:p>
        </w:tc>
      </w:tr>
      <w:tr w:rsidR="00AC6ECF" w:rsidRPr="008B0F73" w:rsidTr="008351AC">
        <w:tc>
          <w:tcPr>
            <w:tcW w:w="1801" w:type="pct"/>
          </w:tcPr>
          <w:p w:rsidR="00AC6ECF" w:rsidRPr="008B0F73" w:rsidRDefault="00AC6ECF">
            <w:pPr>
              <w:pStyle w:val="Normal1"/>
            </w:pPr>
            <w:r w:rsidRPr="008B0F73">
              <w:rPr>
                <w:b/>
                <w:sz w:val="22"/>
              </w:rPr>
              <w:t>Total of annual costs</w:t>
            </w:r>
          </w:p>
        </w:tc>
        <w:tc>
          <w:tcPr>
            <w:tcW w:w="557" w:type="pct"/>
          </w:tcPr>
          <w:p w:rsidR="00AC6ECF" w:rsidRPr="008B0F73" w:rsidRDefault="00AC6ECF" w:rsidP="006B2AEC">
            <w:pPr>
              <w:pStyle w:val="Normal1"/>
              <w:jc w:val="right"/>
            </w:pPr>
            <w:r w:rsidRPr="008B0F73">
              <w:rPr>
                <w:b/>
                <w:sz w:val="22"/>
              </w:rPr>
              <w:t>min. 353</w:t>
            </w:r>
          </w:p>
        </w:tc>
        <w:tc>
          <w:tcPr>
            <w:tcW w:w="544" w:type="pct"/>
          </w:tcPr>
          <w:p w:rsidR="00AC6ECF" w:rsidRPr="00932744" w:rsidRDefault="00453A60" w:rsidP="006B2AEC">
            <w:pPr>
              <w:pStyle w:val="Normal1"/>
              <w:jc w:val="right"/>
              <w:rPr>
                <w:b/>
                <w:sz w:val="22"/>
                <w:szCs w:val="22"/>
              </w:rPr>
            </w:pPr>
            <w:r w:rsidRPr="00932744">
              <w:rPr>
                <w:b/>
                <w:sz w:val="22"/>
                <w:szCs w:val="22"/>
              </w:rPr>
              <w:t>427</w:t>
            </w:r>
          </w:p>
        </w:tc>
        <w:tc>
          <w:tcPr>
            <w:tcW w:w="2098" w:type="pct"/>
          </w:tcPr>
          <w:p w:rsidR="00AC6ECF" w:rsidRPr="008B0F73" w:rsidRDefault="00AC6ECF">
            <w:pPr>
              <w:pStyle w:val="Normal1"/>
            </w:pPr>
          </w:p>
        </w:tc>
      </w:tr>
      <w:tr w:rsidR="00AC6ECF" w:rsidRPr="008B0F73" w:rsidTr="008351AC">
        <w:tc>
          <w:tcPr>
            <w:tcW w:w="1801" w:type="pct"/>
          </w:tcPr>
          <w:p w:rsidR="00AC6ECF" w:rsidRPr="008B0F73" w:rsidRDefault="00AC6ECF">
            <w:pPr>
              <w:pStyle w:val="Normal1"/>
            </w:pPr>
          </w:p>
        </w:tc>
        <w:tc>
          <w:tcPr>
            <w:tcW w:w="557" w:type="pct"/>
          </w:tcPr>
          <w:p w:rsidR="00AC6ECF" w:rsidRPr="008B0F73" w:rsidRDefault="00AC6ECF" w:rsidP="006B2AEC">
            <w:pPr>
              <w:pStyle w:val="Normal1"/>
              <w:jc w:val="right"/>
            </w:pPr>
          </w:p>
        </w:tc>
        <w:tc>
          <w:tcPr>
            <w:tcW w:w="544" w:type="pct"/>
          </w:tcPr>
          <w:p w:rsidR="00AC6ECF" w:rsidRPr="008B0F73" w:rsidRDefault="00AC6ECF" w:rsidP="006B2AEC">
            <w:pPr>
              <w:pStyle w:val="Normal1"/>
              <w:jc w:val="right"/>
            </w:pPr>
          </w:p>
        </w:tc>
        <w:tc>
          <w:tcPr>
            <w:tcW w:w="2098" w:type="pct"/>
          </w:tcPr>
          <w:p w:rsidR="00AC6ECF" w:rsidRPr="008B0F73" w:rsidRDefault="00AC6ECF">
            <w:pPr>
              <w:pStyle w:val="Normal1"/>
            </w:pPr>
          </w:p>
        </w:tc>
      </w:tr>
      <w:tr w:rsidR="00AC6ECF" w:rsidRPr="008B0F73" w:rsidTr="008351AC">
        <w:tc>
          <w:tcPr>
            <w:tcW w:w="1801" w:type="pct"/>
          </w:tcPr>
          <w:p w:rsidR="00AC6ECF" w:rsidRPr="008B0F73" w:rsidRDefault="00AC6ECF">
            <w:pPr>
              <w:pStyle w:val="Normal1"/>
            </w:pPr>
            <w:r w:rsidRPr="008B0F73">
              <w:rPr>
                <w:b/>
                <w:sz w:val="22"/>
              </w:rPr>
              <w:t>Triannual costs</w:t>
            </w:r>
          </w:p>
        </w:tc>
        <w:tc>
          <w:tcPr>
            <w:tcW w:w="557" w:type="pct"/>
          </w:tcPr>
          <w:p w:rsidR="00AC6ECF" w:rsidRPr="008B0F73" w:rsidRDefault="00AC6ECF" w:rsidP="006B2AEC">
            <w:pPr>
              <w:pStyle w:val="Normal1"/>
              <w:jc w:val="right"/>
            </w:pPr>
          </w:p>
        </w:tc>
        <w:tc>
          <w:tcPr>
            <w:tcW w:w="544" w:type="pct"/>
          </w:tcPr>
          <w:p w:rsidR="00AC6ECF" w:rsidRPr="008B0F73" w:rsidRDefault="00AC6ECF" w:rsidP="006B2AEC">
            <w:pPr>
              <w:pStyle w:val="Normal1"/>
              <w:jc w:val="right"/>
            </w:pPr>
          </w:p>
        </w:tc>
        <w:tc>
          <w:tcPr>
            <w:tcW w:w="2098" w:type="pct"/>
          </w:tcPr>
          <w:p w:rsidR="00AC6ECF" w:rsidRPr="008B0F73" w:rsidRDefault="00AC6ECF">
            <w:pPr>
              <w:pStyle w:val="Normal1"/>
            </w:pPr>
          </w:p>
        </w:tc>
      </w:tr>
      <w:tr w:rsidR="00AC6ECF" w:rsidRPr="008B0F73" w:rsidTr="008351AC">
        <w:tc>
          <w:tcPr>
            <w:tcW w:w="1801" w:type="pct"/>
          </w:tcPr>
          <w:p w:rsidR="00AC6ECF" w:rsidRPr="008B0F73" w:rsidRDefault="00AC6ECF" w:rsidP="006B2AEC">
            <w:pPr>
              <w:pStyle w:val="Normal1"/>
              <w:ind w:left="540"/>
            </w:pPr>
            <w:r w:rsidRPr="008B0F73">
              <w:rPr>
                <w:sz w:val="22"/>
              </w:rPr>
              <w:t>Seaduck counts</w:t>
            </w:r>
          </w:p>
        </w:tc>
        <w:tc>
          <w:tcPr>
            <w:tcW w:w="557" w:type="pct"/>
          </w:tcPr>
          <w:p w:rsidR="00AC6ECF" w:rsidRPr="008B0F73" w:rsidRDefault="00AC6ECF" w:rsidP="006B2AEC">
            <w:pPr>
              <w:pStyle w:val="Normal1"/>
              <w:jc w:val="right"/>
            </w:pPr>
            <w:r w:rsidRPr="008B0F73">
              <w:rPr>
                <w:sz w:val="22"/>
              </w:rPr>
              <w:t>85</w:t>
            </w:r>
          </w:p>
        </w:tc>
        <w:tc>
          <w:tcPr>
            <w:tcW w:w="544" w:type="pct"/>
          </w:tcPr>
          <w:p w:rsidR="00AC6ECF" w:rsidRPr="008B0F73" w:rsidRDefault="00AC6ECF" w:rsidP="006B2AEC">
            <w:pPr>
              <w:pStyle w:val="Normal1"/>
              <w:jc w:val="right"/>
            </w:pPr>
            <w:r w:rsidRPr="008B0F73">
              <w:rPr>
                <w:sz w:val="22"/>
              </w:rPr>
              <w:t>0</w:t>
            </w:r>
          </w:p>
        </w:tc>
        <w:tc>
          <w:tcPr>
            <w:tcW w:w="2098" w:type="pct"/>
          </w:tcPr>
          <w:p w:rsidR="00AC6ECF" w:rsidRPr="008B0F73" w:rsidRDefault="00AC6ECF">
            <w:pPr>
              <w:pStyle w:val="Normal1"/>
            </w:pPr>
            <w:r w:rsidRPr="008B0F73">
              <w:rPr>
                <w:sz w:val="22"/>
              </w:rPr>
              <w:t>Coordinated counts are planned for 2016/17 in the Baltic Sea</w:t>
            </w:r>
          </w:p>
        </w:tc>
      </w:tr>
      <w:tr w:rsidR="00AC6ECF" w:rsidRPr="008B0F73" w:rsidTr="008351AC">
        <w:tc>
          <w:tcPr>
            <w:tcW w:w="1801" w:type="pct"/>
          </w:tcPr>
          <w:p w:rsidR="00AC6ECF" w:rsidRPr="008B0F73" w:rsidRDefault="00AC6ECF" w:rsidP="006B2AEC">
            <w:pPr>
              <w:pStyle w:val="Normal1"/>
              <w:ind w:left="540"/>
            </w:pPr>
            <w:r w:rsidRPr="008B0F73">
              <w:rPr>
                <w:sz w:val="22"/>
              </w:rPr>
              <w:t>Tidal wetland counts in Africa and the Middle East</w:t>
            </w:r>
          </w:p>
        </w:tc>
        <w:tc>
          <w:tcPr>
            <w:tcW w:w="557" w:type="pct"/>
          </w:tcPr>
          <w:p w:rsidR="00AC6ECF" w:rsidRPr="008B0F73" w:rsidRDefault="00AC6ECF" w:rsidP="006B2AEC">
            <w:pPr>
              <w:pStyle w:val="Normal1"/>
              <w:jc w:val="right"/>
            </w:pPr>
            <w:r w:rsidRPr="008B0F73">
              <w:rPr>
                <w:sz w:val="22"/>
              </w:rPr>
              <w:t>70</w:t>
            </w:r>
          </w:p>
        </w:tc>
        <w:tc>
          <w:tcPr>
            <w:tcW w:w="544" w:type="pct"/>
          </w:tcPr>
          <w:p w:rsidR="00AC6ECF" w:rsidRPr="008B0F73" w:rsidRDefault="00AC6ECF" w:rsidP="006B2AEC">
            <w:pPr>
              <w:pStyle w:val="Normal1"/>
              <w:jc w:val="right"/>
            </w:pPr>
            <w:r w:rsidRPr="008B0F73">
              <w:rPr>
                <w:sz w:val="22"/>
              </w:rPr>
              <w:t>0</w:t>
            </w:r>
          </w:p>
        </w:tc>
        <w:tc>
          <w:tcPr>
            <w:tcW w:w="2098" w:type="pct"/>
          </w:tcPr>
          <w:p w:rsidR="00AC6ECF" w:rsidRPr="008B0F73" w:rsidRDefault="00AC6ECF">
            <w:pPr>
              <w:pStyle w:val="Normal1"/>
            </w:pPr>
            <w:r w:rsidRPr="008B0F73">
              <w:rPr>
                <w:sz w:val="22"/>
              </w:rPr>
              <w:t>The CMB/WFI contributed to this in West Africa</w:t>
            </w:r>
          </w:p>
        </w:tc>
      </w:tr>
      <w:tr w:rsidR="00AC6ECF" w:rsidRPr="008B0F73" w:rsidTr="008351AC">
        <w:tc>
          <w:tcPr>
            <w:tcW w:w="1801" w:type="pct"/>
          </w:tcPr>
          <w:p w:rsidR="00AC6ECF" w:rsidRPr="008B0F73" w:rsidRDefault="00AC6ECF" w:rsidP="006B2AEC">
            <w:pPr>
              <w:pStyle w:val="Normal1"/>
              <w:ind w:left="540"/>
            </w:pPr>
            <w:r w:rsidRPr="008B0F73">
              <w:rPr>
                <w:sz w:val="22"/>
              </w:rPr>
              <w:t>AEWA Conservation Status Report</w:t>
            </w:r>
          </w:p>
        </w:tc>
        <w:tc>
          <w:tcPr>
            <w:tcW w:w="557" w:type="pct"/>
          </w:tcPr>
          <w:p w:rsidR="00AC6ECF" w:rsidRPr="008B0F73" w:rsidRDefault="00AC6ECF" w:rsidP="006B2AEC">
            <w:pPr>
              <w:pStyle w:val="Normal1"/>
              <w:jc w:val="right"/>
            </w:pPr>
            <w:r w:rsidRPr="008B0F73">
              <w:rPr>
                <w:sz w:val="22"/>
              </w:rPr>
              <w:t>55</w:t>
            </w:r>
          </w:p>
        </w:tc>
        <w:tc>
          <w:tcPr>
            <w:tcW w:w="544" w:type="pct"/>
          </w:tcPr>
          <w:p w:rsidR="00AC6ECF" w:rsidRPr="008B0F73" w:rsidRDefault="00AC6ECF" w:rsidP="006B2AEC">
            <w:pPr>
              <w:pStyle w:val="Normal1"/>
              <w:jc w:val="right"/>
            </w:pPr>
            <w:r w:rsidRPr="008B0F73">
              <w:rPr>
                <w:sz w:val="22"/>
              </w:rPr>
              <w:t>71</w:t>
            </w:r>
          </w:p>
        </w:tc>
        <w:tc>
          <w:tcPr>
            <w:tcW w:w="2098" w:type="pct"/>
          </w:tcPr>
          <w:p w:rsidR="00AC6ECF" w:rsidRPr="008B0F73" w:rsidRDefault="00AC6ECF">
            <w:pPr>
              <w:pStyle w:val="Normal1"/>
            </w:pPr>
            <w:r w:rsidRPr="008B0F73">
              <w:rPr>
                <w:sz w:val="22"/>
              </w:rPr>
              <w:t>AEWA and Switzerland</w:t>
            </w:r>
          </w:p>
        </w:tc>
      </w:tr>
      <w:tr w:rsidR="00AC6ECF" w:rsidRPr="008B0F73" w:rsidTr="008351AC">
        <w:tc>
          <w:tcPr>
            <w:tcW w:w="1801" w:type="pct"/>
          </w:tcPr>
          <w:p w:rsidR="00AC6ECF" w:rsidRPr="008B0F73" w:rsidRDefault="00AC6ECF" w:rsidP="006B2AEC">
            <w:pPr>
              <w:pStyle w:val="Normal1"/>
              <w:ind w:left="540"/>
            </w:pPr>
            <w:r w:rsidRPr="008B0F73">
              <w:rPr>
                <w:sz w:val="22"/>
              </w:rPr>
              <w:t>CSN Tool update</w:t>
            </w:r>
          </w:p>
        </w:tc>
        <w:tc>
          <w:tcPr>
            <w:tcW w:w="557" w:type="pct"/>
          </w:tcPr>
          <w:p w:rsidR="00AC6ECF" w:rsidRPr="008B0F73" w:rsidRDefault="00AC6ECF" w:rsidP="006B2AEC">
            <w:pPr>
              <w:pStyle w:val="Normal1"/>
              <w:jc w:val="right"/>
            </w:pPr>
            <w:r w:rsidRPr="008B0F73">
              <w:rPr>
                <w:sz w:val="22"/>
              </w:rPr>
              <w:t>50</w:t>
            </w:r>
          </w:p>
        </w:tc>
        <w:tc>
          <w:tcPr>
            <w:tcW w:w="544" w:type="pct"/>
          </w:tcPr>
          <w:p w:rsidR="00AC6ECF" w:rsidRPr="008B0F73" w:rsidRDefault="00AC6ECF" w:rsidP="006B2AEC">
            <w:pPr>
              <w:pStyle w:val="Normal1"/>
              <w:jc w:val="right"/>
            </w:pPr>
            <w:r w:rsidRPr="008B0F73">
              <w:rPr>
                <w:sz w:val="22"/>
              </w:rPr>
              <w:t>0</w:t>
            </w:r>
          </w:p>
        </w:tc>
        <w:tc>
          <w:tcPr>
            <w:tcW w:w="2098" w:type="pct"/>
          </w:tcPr>
          <w:p w:rsidR="00AC6ECF" w:rsidRPr="008B0F73" w:rsidRDefault="00AC6ECF">
            <w:pPr>
              <w:pStyle w:val="Normal1"/>
            </w:pPr>
          </w:p>
        </w:tc>
      </w:tr>
      <w:tr w:rsidR="00AC6ECF" w:rsidRPr="008B0F73" w:rsidTr="008351AC">
        <w:tc>
          <w:tcPr>
            <w:tcW w:w="1801" w:type="pct"/>
          </w:tcPr>
          <w:p w:rsidR="00AC6ECF" w:rsidRPr="008B0F73" w:rsidRDefault="00AC6ECF" w:rsidP="006B2AEC">
            <w:pPr>
              <w:pStyle w:val="Normal1"/>
              <w:ind w:left="540"/>
            </w:pPr>
            <w:r w:rsidRPr="008B0F73">
              <w:rPr>
                <w:sz w:val="22"/>
              </w:rPr>
              <w:t>Waterbird Population Estimates</w:t>
            </w:r>
          </w:p>
        </w:tc>
        <w:tc>
          <w:tcPr>
            <w:tcW w:w="557" w:type="pct"/>
          </w:tcPr>
          <w:p w:rsidR="00AC6ECF" w:rsidRPr="008B0F73" w:rsidRDefault="00AC6ECF" w:rsidP="006B2AEC">
            <w:pPr>
              <w:pStyle w:val="Normal1"/>
              <w:jc w:val="right"/>
            </w:pPr>
            <w:r w:rsidRPr="008B0F73">
              <w:rPr>
                <w:sz w:val="22"/>
              </w:rPr>
              <w:t>min. 30</w:t>
            </w:r>
          </w:p>
        </w:tc>
        <w:tc>
          <w:tcPr>
            <w:tcW w:w="544" w:type="pct"/>
          </w:tcPr>
          <w:p w:rsidR="00AC6ECF" w:rsidRPr="008B0F73" w:rsidRDefault="00AC6ECF" w:rsidP="006B2AEC">
            <w:pPr>
              <w:pStyle w:val="Normal1"/>
              <w:jc w:val="right"/>
            </w:pPr>
            <w:r w:rsidRPr="008B0F73">
              <w:rPr>
                <w:sz w:val="22"/>
              </w:rPr>
              <w:t>0</w:t>
            </w:r>
          </w:p>
        </w:tc>
        <w:tc>
          <w:tcPr>
            <w:tcW w:w="2098" w:type="pct"/>
          </w:tcPr>
          <w:p w:rsidR="00AC6ECF" w:rsidRPr="008B0F73" w:rsidRDefault="00AC6ECF">
            <w:pPr>
              <w:pStyle w:val="Normal1"/>
            </w:pPr>
          </w:p>
        </w:tc>
      </w:tr>
      <w:tr w:rsidR="00AC6ECF" w:rsidRPr="008B0F73" w:rsidTr="008351AC">
        <w:tc>
          <w:tcPr>
            <w:tcW w:w="1801" w:type="pct"/>
          </w:tcPr>
          <w:p w:rsidR="00AC6ECF" w:rsidRPr="008B0F73" w:rsidRDefault="00AC6ECF" w:rsidP="006B2AEC">
            <w:pPr>
              <w:pStyle w:val="Normal1"/>
              <w:ind w:left="540"/>
            </w:pPr>
            <w:r w:rsidRPr="008B0F73">
              <w:rPr>
                <w:sz w:val="22"/>
              </w:rPr>
              <w:t>Policy relevant indicators</w:t>
            </w:r>
          </w:p>
        </w:tc>
        <w:tc>
          <w:tcPr>
            <w:tcW w:w="557" w:type="pct"/>
          </w:tcPr>
          <w:p w:rsidR="00AC6ECF" w:rsidRPr="008B0F73" w:rsidRDefault="00AC6ECF" w:rsidP="006B2AEC">
            <w:pPr>
              <w:pStyle w:val="Normal1"/>
              <w:jc w:val="right"/>
            </w:pPr>
            <w:r w:rsidRPr="008B0F73">
              <w:rPr>
                <w:sz w:val="22"/>
              </w:rPr>
              <w:t>n.a.</w:t>
            </w:r>
          </w:p>
        </w:tc>
        <w:tc>
          <w:tcPr>
            <w:tcW w:w="544" w:type="pct"/>
          </w:tcPr>
          <w:p w:rsidR="00AC6ECF" w:rsidRPr="008B0F73" w:rsidRDefault="00AC6ECF" w:rsidP="006B2AEC">
            <w:pPr>
              <w:pStyle w:val="Normal1"/>
              <w:jc w:val="right"/>
            </w:pPr>
          </w:p>
        </w:tc>
        <w:tc>
          <w:tcPr>
            <w:tcW w:w="2098" w:type="pct"/>
          </w:tcPr>
          <w:p w:rsidR="00AC6ECF" w:rsidRPr="008B0F73" w:rsidRDefault="00AC6ECF">
            <w:pPr>
              <w:pStyle w:val="Normal1"/>
            </w:pPr>
            <w:r w:rsidRPr="008B0F73">
              <w:rPr>
                <w:sz w:val="22"/>
              </w:rPr>
              <w:t>Indices for wintering waterbirds in the EU were developed under the EU LIFE+ NGO operational grant</w:t>
            </w:r>
          </w:p>
        </w:tc>
      </w:tr>
      <w:tr w:rsidR="00AC6ECF" w:rsidRPr="008B0F73" w:rsidTr="008351AC">
        <w:tc>
          <w:tcPr>
            <w:tcW w:w="1801" w:type="pct"/>
          </w:tcPr>
          <w:p w:rsidR="00AC6ECF" w:rsidRPr="008B0F73" w:rsidRDefault="00AC6ECF" w:rsidP="006B2AEC">
            <w:pPr>
              <w:pStyle w:val="Normal1"/>
              <w:ind w:left="540"/>
            </w:pPr>
            <w:r w:rsidRPr="008B0F73">
              <w:rPr>
                <w:sz w:val="22"/>
              </w:rPr>
              <w:t>Special analyses</w:t>
            </w:r>
          </w:p>
        </w:tc>
        <w:tc>
          <w:tcPr>
            <w:tcW w:w="557" w:type="pct"/>
          </w:tcPr>
          <w:p w:rsidR="00AC6ECF" w:rsidRPr="008B0F73" w:rsidRDefault="00AC6ECF" w:rsidP="006B2AEC">
            <w:pPr>
              <w:pStyle w:val="Normal1"/>
              <w:jc w:val="right"/>
            </w:pPr>
            <w:r w:rsidRPr="008B0F73">
              <w:rPr>
                <w:sz w:val="22"/>
              </w:rPr>
              <w:t>n.a.</w:t>
            </w:r>
          </w:p>
        </w:tc>
        <w:tc>
          <w:tcPr>
            <w:tcW w:w="544" w:type="pct"/>
          </w:tcPr>
          <w:p w:rsidR="00AC6ECF" w:rsidRPr="008B0F73" w:rsidRDefault="00AC6ECF" w:rsidP="006B2AEC">
            <w:pPr>
              <w:pStyle w:val="Normal1"/>
              <w:jc w:val="right"/>
            </w:pPr>
            <w:r w:rsidRPr="008B0F73">
              <w:rPr>
                <w:sz w:val="22"/>
              </w:rPr>
              <w:t>16</w:t>
            </w:r>
          </w:p>
        </w:tc>
        <w:tc>
          <w:tcPr>
            <w:tcW w:w="2098" w:type="pct"/>
          </w:tcPr>
          <w:p w:rsidR="00AC6ECF" w:rsidRPr="008B0F73" w:rsidRDefault="00AC6ECF">
            <w:pPr>
              <w:pStyle w:val="Normal1"/>
            </w:pPr>
            <w:r w:rsidRPr="008B0F73">
              <w:rPr>
                <w:sz w:val="22"/>
              </w:rPr>
              <w:t xml:space="preserve">Pan-European and European Union level trend analyses contributed to the European Red List of Birds project </w:t>
            </w:r>
          </w:p>
        </w:tc>
      </w:tr>
      <w:tr w:rsidR="00AC6ECF" w:rsidRPr="008B0F73" w:rsidTr="008351AC">
        <w:tc>
          <w:tcPr>
            <w:tcW w:w="1801" w:type="pct"/>
          </w:tcPr>
          <w:p w:rsidR="00AC6ECF" w:rsidRPr="008B0F73" w:rsidRDefault="00AC6ECF">
            <w:pPr>
              <w:pStyle w:val="Normal1"/>
            </w:pPr>
            <w:r w:rsidRPr="008B0F73">
              <w:rPr>
                <w:b/>
                <w:sz w:val="22"/>
              </w:rPr>
              <w:t>Total periodic costs</w:t>
            </w:r>
          </w:p>
        </w:tc>
        <w:tc>
          <w:tcPr>
            <w:tcW w:w="557" w:type="pct"/>
          </w:tcPr>
          <w:p w:rsidR="00AC6ECF" w:rsidRPr="008B0F73" w:rsidRDefault="00AC6ECF" w:rsidP="006B2AEC">
            <w:pPr>
              <w:pStyle w:val="Normal1"/>
              <w:jc w:val="right"/>
            </w:pPr>
            <w:r w:rsidRPr="008B0F73">
              <w:rPr>
                <w:b/>
                <w:sz w:val="22"/>
              </w:rPr>
              <w:t>290</w:t>
            </w:r>
          </w:p>
        </w:tc>
        <w:tc>
          <w:tcPr>
            <w:tcW w:w="544" w:type="pct"/>
          </w:tcPr>
          <w:p w:rsidR="00AC6ECF" w:rsidRPr="008B0F73" w:rsidRDefault="00453A60" w:rsidP="006B2AEC">
            <w:pPr>
              <w:pStyle w:val="Normal1"/>
              <w:jc w:val="right"/>
              <w:rPr>
                <w:b/>
                <w:sz w:val="22"/>
                <w:szCs w:val="22"/>
              </w:rPr>
            </w:pPr>
            <w:r>
              <w:rPr>
                <w:b/>
                <w:sz w:val="22"/>
                <w:szCs w:val="22"/>
              </w:rPr>
              <w:t>87</w:t>
            </w:r>
          </w:p>
        </w:tc>
        <w:tc>
          <w:tcPr>
            <w:tcW w:w="2098" w:type="pct"/>
          </w:tcPr>
          <w:p w:rsidR="00AC6ECF" w:rsidRPr="008B0F73" w:rsidRDefault="00AC6ECF">
            <w:pPr>
              <w:pStyle w:val="Normal1"/>
            </w:pPr>
          </w:p>
        </w:tc>
      </w:tr>
    </w:tbl>
    <w:p w:rsidR="00AC6ECF" w:rsidRPr="008B0F73" w:rsidRDefault="00AC6ECF">
      <w:pPr>
        <w:pStyle w:val="Normal1"/>
      </w:pPr>
    </w:p>
    <w:p w:rsidR="00AC6ECF" w:rsidRPr="008B0F73" w:rsidRDefault="00AC6ECF">
      <w:pPr>
        <w:pStyle w:val="Normal1"/>
      </w:pPr>
      <w:r w:rsidRPr="008B0F73">
        <w:rPr>
          <w:b/>
        </w:rPr>
        <w:t>Keys</w:t>
      </w:r>
      <w:r w:rsidRPr="008B0F73">
        <w:t>:</w:t>
      </w:r>
    </w:p>
    <w:p w:rsidR="00AC6ECF" w:rsidRPr="008B0F73" w:rsidRDefault="00AC6ECF">
      <w:pPr>
        <w:pStyle w:val="Normal1"/>
      </w:pPr>
      <w:r w:rsidRPr="008B0F73">
        <w:rPr>
          <w:sz w:val="22"/>
        </w:rPr>
        <w:t xml:space="preserve">min.: </w:t>
      </w:r>
      <w:r w:rsidRPr="008B0F73">
        <w:rPr>
          <w:sz w:val="22"/>
        </w:rPr>
        <w:tab/>
        <w:t>indicates a minimum cost estimate, but projects with enhanced content may actually cost more.</w:t>
      </w:r>
    </w:p>
    <w:p w:rsidR="00AC6ECF" w:rsidRPr="008B0F73" w:rsidRDefault="00AC6ECF">
      <w:pPr>
        <w:pStyle w:val="Normal1"/>
      </w:pPr>
      <w:r w:rsidRPr="008B0F73">
        <w:rPr>
          <w:sz w:val="22"/>
        </w:rPr>
        <w:t>n.a.:</w:t>
      </w:r>
      <w:r w:rsidRPr="008B0F73">
        <w:rPr>
          <w:sz w:val="22"/>
        </w:rPr>
        <w:tab/>
        <w:t>indicates that the activity responds to needs to be defined bilaterally and it is not possible to estimate the costs here.</w:t>
      </w:r>
    </w:p>
    <w:p w:rsidR="00AC6ECF" w:rsidRPr="008B0F73" w:rsidRDefault="00AC6ECF">
      <w:pPr>
        <w:pStyle w:val="Normal1"/>
      </w:pPr>
    </w:p>
    <w:p w:rsidR="00AC6ECF" w:rsidRPr="008B0F73" w:rsidRDefault="00AC6ECF">
      <w:pPr>
        <w:pStyle w:val="Normal1"/>
        <w:sectPr w:rsidR="00AC6ECF" w:rsidRPr="008B0F73" w:rsidSect="007B1157">
          <w:pgSz w:w="16840" w:h="11907" w:orient="landscape" w:code="9"/>
          <w:pgMar w:top="1134" w:right="1021" w:bottom="1134" w:left="851" w:header="851" w:footer="510" w:gutter="0"/>
          <w:cols w:space="720"/>
          <w:docGrid w:linePitch="326"/>
        </w:sectPr>
      </w:pPr>
    </w:p>
    <w:p w:rsidR="00AC6ECF" w:rsidRPr="008B0F73" w:rsidRDefault="001E32FF">
      <w:pPr>
        <w:pStyle w:val="Normal1"/>
        <w:rPr>
          <w:b/>
          <w:szCs w:val="24"/>
        </w:rPr>
      </w:pPr>
      <w:r>
        <w:rPr>
          <w:b/>
          <w:szCs w:val="24"/>
        </w:rPr>
        <w:lastRenderedPageBreak/>
        <w:t>Appendix</w:t>
      </w:r>
      <w:r w:rsidR="00AC6ECF" w:rsidRPr="008B0F73">
        <w:rPr>
          <w:b/>
          <w:szCs w:val="24"/>
        </w:rPr>
        <w:t>: List of publications that used the IWC data and IWC data requests</w:t>
      </w:r>
    </w:p>
    <w:p w:rsidR="00AC6ECF" w:rsidRPr="008B0F73" w:rsidRDefault="00AC6ECF">
      <w:pPr>
        <w:pStyle w:val="Normal1"/>
      </w:pPr>
    </w:p>
    <w:p w:rsidR="00AC6ECF" w:rsidRPr="008B0F73" w:rsidRDefault="00AC6ECF" w:rsidP="00022B10">
      <w:pPr>
        <w:pStyle w:val="Normal1"/>
        <w:jc w:val="both"/>
        <w:rPr>
          <w:b/>
          <w:sz w:val="22"/>
          <w:szCs w:val="22"/>
        </w:rPr>
      </w:pPr>
      <w:r w:rsidRPr="008B0F73">
        <w:rPr>
          <w:b/>
          <w:sz w:val="22"/>
          <w:szCs w:val="22"/>
        </w:rPr>
        <w:t>2015</w:t>
      </w:r>
    </w:p>
    <w:p w:rsidR="00AC6ECF" w:rsidRPr="008B0F73" w:rsidRDefault="00AC6ECF" w:rsidP="00022B10">
      <w:pPr>
        <w:pStyle w:val="Normal1"/>
        <w:jc w:val="both"/>
        <w:rPr>
          <w:sz w:val="22"/>
          <w:szCs w:val="22"/>
        </w:rPr>
      </w:pPr>
      <w:r w:rsidRPr="008B0F73">
        <w:rPr>
          <w:sz w:val="22"/>
          <w:szCs w:val="22"/>
        </w:rPr>
        <w:t xml:space="preserve">1. Nagy, Szabolcs, </w:t>
      </w:r>
      <w:proofErr w:type="spellStart"/>
      <w:r w:rsidRPr="008B0F73">
        <w:rPr>
          <w:sz w:val="22"/>
          <w:szCs w:val="22"/>
        </w:rPr>
        <w:t>Langendoen</w:t>
      </w:r>
      <w:proofErr w:type="spellEnd"/>
      <w:r w:rsidRPr="008B0F73">
        <w:rPr>
          <w:sz w:val="22"/>
          <w:szCs w:val="22"/>
        </w:rPr>
        <w:t xml:space="preserve">, Tom &amp; </w:t>
      </w:r>
      <w:proofErr w:type="spellStart"/>
      <w:r w:rsidRPr="008B0F73">
        <w:rPr>
          <w:sz w:val="22"/>
          <w:szCs w:val="22"/>
        </w:rPr>
        <w:t>Flink</w:t>
      </w:r>
      <w:proofErr w:type="spellEnd"/>
      <w:r w:rsidRPr="008B0F73">
        <w:rPr>
          <w:sz w:val="22"/>
          <w:szCs w:val="22"/>
        </w:rPr>
        <w:t xml:space="preserve">, Stephan: </w:t>
      </w:r>
      <w:r w:rsidRPr="008B0F73">
        <w:rPr>
          <w:i/>
          <w:sz w:val="22"/>
          <w:szCs w:val="22"/>
        </w:rPr>
        <w:t xml:space="preserve">A Pilot Wintering Waterbird Indicator for the European Union. </w:t>
      </w:r>
      <w:r w:rsidRPr="008B0F73">
        <w:rPr>
          <w:sz w:val="22"/>
          <w:szCs w:val="22"/>
        </w:rPr>
        <w:t>Wetlands International European Association, Ede.</w:t>
      </w:r>
    </w:p>
    <w:p w:rsidR="00AC6ECF" w:rsidRPr="008B0F73" w:rsidRDefault="00AC6ECF" w:rsidP="00022B10">
      <w:pPr>
        <w:pStyle w:val="Normal1"/>
        <w:jc w:val="both"/>
        <w:rPr>
          <w:sz w:val="22"/>
          <w:szCs w:val="22"/>
        </w:rPr>
      </w:pPr>
      <w:r w:rsidRPr="008B0F73">
        <w:rPr>
          <w:color w:val="1155CC"/>
          <w:sz w:val="22"/>
          <w:szCs w:val="22"/>
          <w:u w:val="single"/>
        </w:rPr>
        <w:t>http://www.wetlands.org/WatchRead/Currentpublications/tabid/56/mod/1570/articleType/ArticleView/articleId/3711/Default.aspx</w:t>
      </w:r>
      <w:r w:rsidRPr="008B0F73">
        <w:rPr>
          <w:sz w:val="22"/>
          <w:szCs w:val="22"/>
        </w:rPr>
        <w:t xml:space="preserve"> </w:t>
      </w:r>
    </w:p>
    <w:p w:rsidR="00AC6ECF" w:rsidRPr="008B0F73" w:rsidRDefault="00AC6ECF" w:rsidP="00022B10">
      <w:pPr>
        <w:pStyle w:val="Normal1"/>
        <w:jc w:val="both"/>
        <w:rPr>
          <w:sz w:val="22"/>
          <w:szCs w:val="22"/>
        </w:rPr>
      </w:pPr>
    </w:p>
    <w:p w:rsidR="00AC6ECF" w:rsidRPr="008B0F73" w:rsidRDefault="00AC6ECF" w:rsidP="00022B10">
      <w:pPr>
        <w:pStyle w:val="Normal1"/>
        <w:jc w:val="both"/>
        <w:rPr>
          <w:sz w:val="22"/>
          <w:szCs w:val="22"/>
        </w:rPr>
      </w:pPr>
      <w:r w:rsidRPr="008B0F73">
        <w:rPr>
          <w:sz w:val="22"/>
          <w:szCs w:val="22"/>
        </w:rPr>
        <w:t xml:space="preserve">2. </w:t>
      </w:r>
      <w:proofErr w:type="spellStart"/>
      <w:r w:rsidRPr="008B0F73">
        <w:rPr>
          <w:sz w:val="22"/>
          <w:szCs w:val="22"/>
        </w:rPr>
        <w:t>Pavón-Jordán</w:t>
      </w:r>
      <w:proofErr w:type="spellEnd"/>
      <w:r w:rsidRPr="008B0F73">
        <w:rPr>
          <w:sz w:val="22"/>
          <w:szCs w:val="22"/>
        </w:rPr>
        <w:t xml:space="preserve">, Diego, Fox, Anthony D., Clausen, </w:t>
      </w:r>
      <w:proofErr w:type="spellStart"/>
      <w:r w:rsidRPr="008B0F73">
        <w:rPr>
          <w:sz w:val="22"/>
          <w:szCs w:val="22"/>
        </w:rPr>
        <w:t>Preben</w:t>
      </w:r>
      <w:proofErr w:type="spellEnd"/>
      <w:r w:rsidRPr="008B0F73">
        <w:rPr>
          <w:sz w:val="22"/>
          <w:szCs w:val="22"/>
        </w:rPr>
        <w:t xml:space="preserve">, </w:t>
      </w:r>
      <w:proofErr w:type="spellStart"/>
      <w:r w:rsidRPr="008B0F73">
        <w:rPr>
          <w:sz w:val="22"/>
          <w:szCs w:val="22"/>
        </w:rPr>
        <w:t>Dagys</w:t>
      </w:r>
      <w:proofErr w:type="spellEnd"/>
      <w:r w:rsidRPr="008B0F73">
        <w:rPr>
          <w:sz w:val="22"/>
          <w:szCs w:val="22"/>
        </w:rPr>
        <w:t xml:space="preserve">, </w:t>
      </w:r>
      <w:proofErr w:type="spellStart"/>
      <w:r w:rsidRPr="008B0F73">
        <w:rPr>
          <w:sz w:val="22"/>
          <w:szCs w:val="22"/>
        </w:rPr>
        <w:t>Mindaugas</w:t>
      </w:r>
      <w:proofErr w:type="spellEnd"/>
      <w:r w:rsidRPr="008B0F73">
        <w:rPr>
          <w:sz w:val="22"/>
          <w:szCs w:val="22"/>
        </w:rPr>
        <w:t xml:space="preserve">, </w:t>
      </w:r>
      <w:proofErr w:type="spellStart"/>
      <w:r w:rsidRPr="008B0F73">
        <w:rPr>
          <w:sz w:val="22"/>
          <w:szCs w:val="22"/>
        </w:rPr>
        <w:t>Deceuninck</w:t>
      </w:r>
      <w:proofErr w:type="spellEnd"/>
      <w:r w:rsidRPr="008B0F73">
        <w:rPr>
          <w:sz w:val="22"/>
          <w:szCs w:val="22"/>
        </w:rPr>
        <w:t xml:space="preserve">, Bernard, </w:t>
      </w:r>
      <w:proofErr w:type="spellStart"/>
      <w:r w:rsidRPr="008B0F73">
        <w:rPr>
          <w:sz w:val="22"/>
          <w:szCs w:val="22"/>
        </w:rPr>
        <w:t>Devos</w:t>
      </w:r>
      <w:proofErr w:type="spellEnd"/>
      <w:r w:rsidRPr="008B0F73">
        <w:rPr>
          <w:sz w:val="22"/>
          <w:szCs w:val="22"/>
        </w:rPr>
        <w:t xml:space="preserve">, Koen, Hearn, Richard D., Holt, Chas A., </w:t>
      </w:r>
      <w:proofErr w:type="spellStart"/>
      <w:r w:rsidRPr="008B0F73">
        <w:rPr>
          <w:sz w:val="22"/>
          <w:szCs w:val="22"/>
        </w:rPr>
        <w:t>Hornman</w:t>
      </w:r>
      <w:proofErr w:type="spellEnd"/>
      <w:r w:rsidRPr="008B0F73">
        <w:rPr>
          <w:sz w:val="22"/>
          <w:szCs w:val="22"/>
        </w:rPr>
        <w:t xml:space="preserve">, Menno, Keller, </w:t>
      </w:r>
      <w:proofErr w:type="spellStart"/>
      <w:r w:rsidRPr="008B0F73">
        <w:rPr>
          <w:sz w:val="22"/>
          <w:szCs w:val="22"/>
        </w:rPr>
        <w:t>Verena</w:t>
      </w:r>
      <w:proofErr w:type="spellEnd"/>
      <w:r w:rsidRPr="008B0F73">
        <w:rPr>
          <w:sz w:val="22"/>
          <w:szCs w:val="22"/>
        </w:rPr>
        <w:t xml:space="preserve">, </w:t>
      </w:r>
      <w:proofErr w:type="spellStart"/>
      <w:r w:rsidRPr="008B0F73">
        <w:rPr>
          <w:sz w:val="22"/>
          <w:szCs w:val="22"/>
        </w:rPr>
        <w:t>Langendoen</w:t>
      </w:r>
      <w:proofErr w:type="spellEnd"/>
      <w:r w:rsidRPr="008B0F73">
        <w:rPr>
          <w:sz w:val="22"/>
          <w:szCs w:val="22"/>
        </w:rPr>
        <w:t xml:space="preserve">, Tom, </w:t>
      </w:r>
      <w:proofErr w:type="spellStart"/>
      <w:r w:rsidRPr="008B0F73">
        <w:rPr>
          <w:sz w:val="22"/>
          <w:szCs w:val="22"/>
        </w:rPr>
        <w:t>Ławicki</w:t>
      </w:r>
      <w:proofErr w:type="spellEnd"/>
      <w:r w:rsidRPr="008B0F73">
        <w:rPr>
          <w:sz w:val="22"/>
          <w:szCs w:val="22"/>
        </w:rPr>
        <w:t xml:space="preserve">, </w:t>
      </w:r>
      <w:proofErr w:type="spellStart"/>
      <w:r w:rsidRPr="008B0F73">
        <w:rPr>
          <w:sz w:val="22"/>
          <w:szCs w:val="22"/>
        </w:rPr>
        <w:t>Łukasz</w:t>
      </w:r>
      <w:proofErr w:type="spellEnd"/>
      <w:r w:rsidRPr="008B0F73">
        <w:rPr>
          <w:sz w:val="22"/>
          <w:szCs w:val="22"/>
        </w:rPr>
        <w:t xml:space="preserve">, </w:t>
      </w:r>
      <w:proofErr w:type="spellStart"/>
      <w:r w:rsidRPr="008B0F73">
        <w:rPr>
          <w:sz w:val="22"/>
          <w:szCs w:val="22"/>
        </w:rPr>
        <w:t>Lorentsen</w:t>
      </w:r>
      <w:proofErr w:type="spellEnd"/>
      <w:r w:rsidRPr="008B0F73">
        <w:rPr>
          <w:sz w:val="22"/>
          <w:szCs w:val="22"/>
        </w:rPr>
        <w:t xml:space="preserve">, </w:t>
      </w:r>
      <w:proofErr w:type="spellStart"/>
      <w:r w:rsidRPr="008B0F73">
        <w:rPr>
          <w:sz w:val="22"/>
          <w:szCs w:val="22"/>
        </w:rPr>
        <w:t>Svein</w:t>
      </w:r>
      <w:proofErr w:type="spellEnd"/>
      <w:r w:rsidRPr="008B0F73">
        <w:rPr>
          <w:sz w:val="22"/>
          <w:szCs w:val="22"/>
        </w:rPr>
        <w:t xml:space="preserve"> H., </w:t>
      </w:r>
      <w:proofErr w:type="spellStart"/>
      <w:r w:rsidRPr="008B0F73">
        <w:rPr>
          <w:sz w:val="22"/>
          <w:szCs w:val="22"/>
        </w:rPr>
        <w:t>Luigujõe</w:t>
      </w:r>
      <w:proofErr w:type="spellEnd"/>
      <w:r w:rsidRPr="008B0F73">
        <w:rPr>
          <w:sz w:val="22"/>
          <w:szCs w:val="22"/>
        </w:rPr>
        <w:t xml:space="preserve">, </w:t>
      </w:r>
      <w:proofErr w:type="spellStart"/>
      <w:r w:rsidRPr="008B0F73">
        <w:rPr>
          <w:sz w:val="22"/>
          <w:szCs w:val="22"/>
        </w:rPr>
        <w:t>Leho</w:t>
      </w:r>
      <w:proofErr w:type="spellEnd"/>
      <w:r w:rsidRPr="008B0F73">
        <w:rPr>
          <w:sz w:val="22"/>
          <w:szCs w:val="22"/>
        </w:rPr>
        <w:t xml:space="preserve">, Meissner, </w:t>
      </w:r>
      <w:proofErr w:type="spellStart"/>
      <w:r w:rsidRPr="008B0F73">
        <w:rPr>
          <w:sz w:val="22"/>
          <w:szCs w:val="22"/>
        </w:rPr>
        <w:t>Włodzimierz</w:t>
      </w:r>
      <w:proofErr w:type="spellEnd"/>
      <w:r w:rsidRPr="008B0F73">
        <w:rPr>
          <w:sz w:val="22"/>
          <w:szCs w:val="22"/>
        </w:rPr>
        <w:t xml:space="preserve">, </w:t>
      </w:r>
      <w:proofErr w:type="spellStart"/>
      <w:r w:rsidRPr="008B0F73">
        <w:rPr>
          <w:sz w:val="22"/>
          <w:szCs w:val="22"/>
        </w:rPr>
        <w:t>Musil</w:t>
      </w:r>
      <w:proofErr w:type="spellEnd"/>
      <w:r w:rsidRPr="008B0F73">
        <w:rPr>
          <w:sz w:val="22"/>
          <w:szCs w:val="22"/>
        </w:rPr>
        <w:t xml:space="preserve">, Petr, Nilsson, Leif, </w:t>
      </w:r>
      <w:proofErr w:type="spellStart"/>
      <w:r w:rsidRPr="008B0F73">
        <w:rPr>
          <w:sz w:val="22"/>
          <w:szCs w:val="22"/>
        </w:rPr>
        <w:t>Paquet</w:t>
      </w:r>
      <w:proofErr w:type="spellEnd"/>
      <w:r w:rsidRPr="008B0F73">
        <w:rPr>
          <w:sz w:val="22"/>
          <w:szCs w:val="22"/>
        </w:rPr>
        <w:t xml:space="preserve">, Jean-Yves, </w:t>
      </w:r>
      <w:proofErr w:type="spellStart"/>
      <w:r w:rsidRPr="008B0F73">
        <w:rPr>
          <w:sz w:val="22"/>
          <w:szCs w:val="22"/>
        </w:rPr>
        <w:t>Stipniece</w:t>
      </w:r>
      <w:proofErr w:type="spellEnd"/>
      <w:r w:rsidRPr="008B0F73">
        <w:rPr>
          <w:sz w:val="22"/>
          <w:szCs w:val="22"/>
        </w:rPr>
        <w:t xml:space="preserve">, Antra, Stroud, David A., Wahl, Johannes, </w:t>
      </w:r>
      <w:proofErr w:type="spellStart"/>
      <w:r w:rsidRPr="008B0F73">
        <w:rPr>
          <w:sz w:val="22"/>
          <w:szCs w:val="22"/>
        </w:rPr>
        <w:t>Zenatello</w:t>
      </w:r>
      <w:proofErr w:type="spellEnd"/>
      <w:r w:rsidRPr="008B0F73">
        <w:rPr>
          <w:sz w:val="22"/>
          <w:szCs w:val="22"/>
        </w:rPr>
        <w:t xml:space="preserve">, Marco, </w:t>
      </w:r>
      <w:proofErr w:type="spellStart"/>
      <w:r w:rsidRPr="008B0F73">
        <w:rPr>
          <w:sz w:val="22"/>
          <w:szCs w:val="22"/>
        </w:rPr>
        <w:t>Lehikoinen</w:t>
      </w:r>
      <w:proofErr w:type="spellEnd"/>
      <w:r w:rsidRPr="008B0F73">
        <w:rPr>
          <w:sz w:val="22"/>
          <w:szCs w:val="22"/>
        </w:rPr>
        <w:t xml:space="preserve">, </w:t>
      </w:r>
      <w:proofErr w:type="spellStart"/>
      <w:r w:rsidRPr="008B0F73">
        <w:rPr>
          <w:sz w:val="22"/>
          <w:szCs w:val="22"/>
        </w:rPr>
        <w:t>Aleksi</w:t>
      </w:r>
      <w:proofErr w:type="spellEnd"/>
      <w:r w:rsidRPr="008B0F73">
        <w:rPr>
          <w:sz w:val="22"/>
          <w:szCs w:val="22"/>
        </w:rPr>
        <w:t xml:space="preserve"> 2015. Climate-driven changes in winter abundance of a migratory waterbird in relation to EU protected areas. Diversity and Distributions, 1472-4642</w:t>
      </w:r>
    </w:p>
    <w:p w:rsidR="00AC6ECF" w:rsidRPr="008B0F73" w:rsidRDefault="00D15A16" w:rsidP="00022B10">
      <w:pPr>
        <w:pStyle w:val="Normal1"/>
        <w:jc w:val="both"/>
        <w:rPr>
          <w:sz w:val="22"/>
          <w:szCs w:val="22"/>
        </w:rPr>
      </w:pPr>
      <w:hyperlink r:id="rId26" w:history="1">
        <w:r w:rsidR="00AC6ECF" w:rsidRPr="008B0F73">
          <w:rPr>
            <w:color w:val="1155CC"/>
            <w:sz w:val="22"/>
            <w:szCs w:val="22"/>
            <w:u w:val="single"/>
          </w:rPr>
          <w:t>http://dx.doi.org/10.1111/ddi.12300</w:t>
        </w:r>
      </w:hyperlink>
    </w:p>
    <w:p w:rsidR="00252734" w:rsidRPr="008B0F73" w:rsidRDefault="00252734" w:rsidP="00022B10">
      <w:pPr>
        <w:pStyle w:val="Normal1"/>
        <w:jc w:val="both"/>
        <w:rPr>
          <w:sz w:val="22"/>
          <w:szCs w:val="22"/>
        </w:rPr>
      </w:pPr>
    </w:p>
    <w:p w:rsidR="00252734" w:rsidRPr="008B0F73" w:rsidRDefault="00D15A16" w:rsidP="00022B10">
      <w:pPr>
        <w:pStyle w:val="Normal1"/>
        <w:jc w:val="both"/>
        <w:rPr>
          <w:b/>
          <w:sz w:val="22"/>
          <w:szCs w:val="22"/>
        </w:rPr>
      </w:pPr>
      <w:hyperlink r:id="rId27" w:history="1">
        <w:r w:rsidR="00AC6ECF" w:rsidRPr="008B0F73">
          <w:rPr>
            <w:b/>
            <w:sz w:val="22"/>
            <w:szCs w:val="22"/>
          </w:rPr>
          <w:t>2014</w:t>
        </w:r>
      </w:hyperlink>
    </w:p>
    <w:p w:rsidR="00AC6ECF" w:rsidRPr="008B0F73" w:rsidRDefault="00AC6ECF" w:rsidP="00022B10">
      <w:pPr>
        <w:pStyle w:val="Normal1"/>
        <w:jc w:val="both"/>
        <w:rPr>
          <w:sz w:val="22"/>
          <w:szCs w:val="22"/>
        </w:rPr>
      </w:pPr>
      <w:r w:rsidRPr="008B0F73">
        <w:rPr>
          <w:sz w:val="22"/>
          <w:szCs w:val="22"/>
        </w:rPr>
        <w:t xml:space="preserve">1. </w:t>
      </w:r>
      <w:hyperlink r:id="rId28" w:history="1">
        <w:proofErr w:type="spellStart"/>
        <w:r w:rsidRPr="008B0F73">
          <w:rPr>
            <w:sz w:val="22"/>
            <w:szCs w:val="22"/>
          </w:rPr>
          <w:t>Kleijn</w:t>
        </w:r>
        <w:proofErr w:type="spellEnd"/>
        <w:r w:rsidRPr="008B0F73">
          <w:rPr>
            <w:sz w:val="22"/>
            <w:szCs w:val="22"/>
          </w:rPr>
          <w:t xml:space="preserve">, D., </w:t>
        </w:r>
        <w:proofErr w:type="spellStart"/>
        <w:r w:rsidRPr="008B0F73">
          <w:rPr>
            <w:sz w:val="22"/>
            <w:szCs w:val="22"/>
          </w:rPr>
          <w:t>Cherkaoui</w:t>
        </w:r>
        <w:proofErr w:type="spellEnd"/>
        <w:r w:rsidRPr="008B0F73">
          <w:rPr>
            <w:sz w:val="22"/>
            <w:szCs w:val="22"/>
          </w:rPr>
          <w:t xml:space="preserve">, I., </w:t>
        </w:r>
        <w:proofErr w:type="spellStart"/>
        <w:r w:rsidRPr="008B0F73">
          <w:rPr>
            <w:sz w:val="22"/>
            <w:szCs w:val="22"/>
          </w:rPr>
          <w:t>Goedhart</w:t>
        </w:r>
        <w:proofErr w:type="spellEnd"/>
        <w:r w:rsidRPr="008B0F73">
          <w:rPr>
            <w:sz w:val="22"/>
            <w:szCs w:val="22"/>
          </w:rPr>
          <w:t xml:space="preserve">, P. W., </w:t>
        </w:r>
        <w:proofErr w:type="spellStart"/>
        <w:r w:rsidRPr="008B0F73">
          <w:rPr>
            <w:sz w:val="22"/>
            <w:szCs w:val="22"/>
          </w:rPr>
          <w:t>Hout</w:t>
        </w:r>
        <w:proofErr w:type="spellEnd"/>
        <w:r w:rsidRPr="008B0F73">
          <w:rPr>
            <w:sz w:val="22"/>
            <w:szCs w:val="22"/>
          </w:rPr>
          <w:t xml:space="preserve">, J., &amp; </w:t>
        </w:r>
        <w:proofErr w:type="spellStart"/>
        <w:r w:rsidRPr="008B0F73">
          <w:rPr>
            <w:sz w:val="22"/>
            <w:szCs w:val="22"/>
          </w:rPr>
          <w:t>Lammertsma</w:t>
        </w:r>
        <w:proofErr w:type="spellEnd"/>
        <w:r w:rsidRPr="008B0F73">
          <w:rPr>
            <w:sz w:val="22"/>
            <w:szCs w:val="22"/>
          </w:rPr>
          <w:t xml:space="preserve">, D. (2014). </w:t>
        </w:r>
        <w:proofErr w:type="spellStart"/>
        <w:r w:rsidRPr="008B0F73">
          <w:rPr>
            <w:sz w:val="22"/>
            <w:szCs w:val="22"/>
          </w:rPr>
          <w:t>Waterbirds</w:t>
        </w:r>
        <w:proofErr w:type="spellEnd"/>
        <w:r w:rsidRPr="008B0F73">
          <w:rPr>
            <w:sz w:val="22"/>
            <w:szCs w:val="22"/>
          </w:rPr>
          <w:t xml:space="preserve"> increase more rapidly in Ramsar-designated wetlands than in unprotected wetlands. </w:t>
        </w:r>
      </w:hyperlink>
      <w:hyperlink r:id="rId29" w:history="1">
        <w:r w:rsidRPr="008B0F73">
          <w:rPr>
            <w:i/>
            <w:sz w:val="22"/>
            <w:szCs w:val="22"/>
          </w:rPr>
          <w:t>Journal of Applied Ecology</w:t>
        </w:r>
      </w:hyperlink>
      <w:hyperlink r:id="rId30" w:history="1">
        <w:r w:rsidRPr="008B0F73">
          <w:rPr>
            <w:sz w:val="22"/>
            <w:szCs w:val="22"/>
          </w:rPr>
          <w:t xml:space="preserve">, </w:t>
        </w:r>
      </w:hyperlink>
      <w:hyperlink r:id="rId31" w:history="1">
        <w:r w:rsidRPr="008B0F73">
          <w:rPr>
            <w:i/>
            <w:sz w:val="22"/>
            <w:szCs w:val="22"/>
          </w:rPr>
          <w:t>51</w:t>
        </w:r>
      </w:hyperlink>
      <w:hyperlink r:id="rId32" w:history="1">
        <w:r w:rsidRPr="008B0F73">
          <w:rPr>
            <w:sz w:val="22"/>
            <w:szCs w:val="22"/>
          </w:rPr>
          <w:t>(2), 289-298.</w:t>
        </w:r>
      </w:hyperlink>
    </w:p>
    <w:p w:rsidR="00AC6ECF" w:rsidRPr="008B0F73" w:rsidRDefault="00D15A16" w:rsidP="00022B10">
      <w:pPr>
        <w:pStyle w:val="Normal1"/>
        <w:jc w:val="both"/>
        <w:rPr>
          <w:color w:val="1155CC"/>
          <w:sz w:val="22"/>
          <w:szCs w:val="22"/>
          <w:u w:val="single"/>
        </w:rPr>
      </w:pPr>
      <w:hyperlink r:id="rId33" w:history="1">
        <w:r w:rsidR="00AC6ECF" w:rsidRPr="008B0F73">
          <w:rPr>
            <w:color w:val="1155CC"/>
            <w:sz w:val="22"/>
            <w:szCs w:val="22"/>
            <w:u w:val="single"/>
          </w:rPr>
          <w:t>http://onlinelibrary.wiley.com/doi/10.1111/1365-2664.12193/abstract</w:t>
        </w:r>
      </w:hyperlink>
    </w:p>
    <w:p w:rsidR="00252734" w:rsidRPr="008B0F73" w:rsidRDefault="00252734" w:rsidP="00022B10">
      <w:pPr>
        <w:pStyle w:val="Normal1"/>
        <w:jc w:val="both"/>
        <w:rPr>
          <w:sz w:val="22"/>
          <w:szCs w:val="22"/>
        </w:rPr>
      </w:pPr>
    </w:p>
    <w:p w:rsidR="00AC6ECF" w:rsidRPr="008B0F73" w:rsidRDefault="00AC6ECF" w:rsidP="00022B10">
      <w:pPr>
        <w:pStyle w:val="Normal1"/>
        <w:jc w:val="both"/>
        <w:rPr>
          <w:sz w:val="22"/>
          <w:szCs w:val="22"/>
        </w:rPr>
      </w:pPr>
      <w:r w:rsidRPr="008B0F73">
        <w:rPr>
          <w:sz w:val="22"/>
          <w:szCs w:val="22"/>
        </w:rPr>
        <w:t xml:space="preserve">2. </w:t>
      </w:r>
      <w:hyperlink r:id="rId34" w:history="1">
        <w:r w:rsidRPr="008B0F73">
          <w:rPr>
            <w:sz w:val="22"/>
            <w:szCs w:val="22"/>
          </w:rPr>
          <w:t xml:space="preserve">Nagy, Szabolcs, </w:t>
        </w:r>
        <w:proofErr w:type="spellStart"/>
        <w:r w:rsidRPr="008B0F73">
          <w:rPr>
            <w:sz w:val="22"/>
            <w:szCs w:val="22"/>
          </w:rPr>
          <w:t>Flink</w:t>
        </w:r>
        <w:proofErr w:type="spellEnd"/>
        <w:r w:rsidRPr="008B0F73">
          <w:rPr>
            <w:sz w:val="22"/>
            <w:szCs w:val="22"/>
          </w:rPr>
          <w:t xml:space="preserve">, Stephan &amp; </w:t>
        </w:r>
        <w:proofErr w:type="spellStart"/>
        <w:r w:rsidRPr="008B0F73">
          <w:rPr>
            <w:sz w:val="22"/>
            <w:szCs w:val="22"/>
          </w:rPr>
          <w:t>Langendoen</w:t>
        </w:r>
        <w:proofErr w:type="spellEnd"/>
        <w:r w:rsidRPr="008B0F73">
          <w:rPr>
            <w:sz w:val="22"/>
            <w:szCs w:val="22"/>
          </w:rPr>
          <w:t xml:space="preserve">, Tom 2014. </w:t>
        </w:r>
      </w:hyperlink>
      <w:hyperlink r:id="rId35" w:history="1">
        <w:r w:rsidRPr="008B0F73">
          <w:rPr>
            <w:i/>
            <w:sz w:val="22"/>
            <w:szCs w:val="22"/>
          </w:rPr>
          <w:t>Waterbird trends 1988-2012: Results of trend analyses of data from the International Waterbird Census in the African-Eurasian Flyway</w:t>
        </w:r>
      </w:hyperlink>
      <w:hyperlink r:id="rId36" w:history="1">
        <w:r w:rsidRPr="008B0F73">
          <w:rPr>
            <w:sz w:val="22"/>
            <w:szCs w:val="22"/>
          </w:rPr>
          <w:t xml:space="preserve">. Wetlands International, Ede. </w:t>
        </w:r>
      </w:hyperlink>
    </w:p>
    <w:p w:rsidR="00AC6ECF" w:rsidRPr="008B0F73" w:rsidRDefault="00D15A16" w:rsidP="00022B10">
      <w:pPr>
        <w:pStyle w:val="Normal1"/>
        <w:jc w:val="both"/>
        <w:rPr>
          <w:sz w:val="22"/>
          <w:szCs w:val="22"/>
        </w:rPr>
      </w:pPr>
      <w:hyperlink r:id="rId37" w:history="1">
        <w:r w:rsidR="00AC6ECF" w:rsidRPr="008B0F73">
          <w:rPr>
            <w:color w:val="1155CC"/>
            <w:sz w:val="22"/>
            <w:szCs w:val="22"/>
            <w:u w:val="single"/>
          </w:rPr>
          <w:t>http://www.wetlands.org/Portals/0/TRIM%20Report%202014_10_05.pdf</w:t>
        </w:r>
      </w:hyperlink>
      <w:hyperlink r:id="rId38" w:history="1">
        <w:r w:rsidR="00AC6ECF" w:rsidRPr="008B0F73">
          <w:rPr>
            <w:color w:val="1155CC"/>
            <w:sz w:val="22"/>
            <w:szCs w:val="22"/>
            <w:u w:val="single"/>
          </w:rPr>
          <w:t xml:space="preserve"> </w:t>
        </w:r>
      </w:hyperlink>
    </w:p>
    <w:p w:rsidR="00252734" w:rsidRPr="008B0F73" w:rsidRDefault="00252734" w:rsidP="00022B10">
      <w:pPr>
        <w:pStyle w:val="Normal1"/>
        <w:jc w:val="both"/>
        <w:rPr>
          <w:sz w:val="22"/>
          <w:szCs w:val="22"/>
        </w:rPr>
      </w:pPr>
    </w:p>
    <w:p w:rsidR="00AC6ECF" w:rsidRPr="008B0F73" w:rsidRDefault="00AC6ECF" w:rsidP="00022B10">
      <w:pPr>
        <w:pStyle w:val="Normal1"/>
        <w:jc w:val="both"/>
        <w:rPr>
          <w:sz w:val="22"/>
          <w:szCs w:val="22"/>
        </w:rPr>
      </w:pPr>
      <w:r w:rsidRPr="008B0F73">
        <w:rPr>
          <w:sz w:val="22"/>
          <w:szCs w:val="22"/>
        </w:rPr>
        <w:t xml:space="preserve">3. </w:t>
      </w:r>
      <w:hyperlink r:id="rId39" w:history="1">
        <w:r w:rsidRPr="008B0F73">
          <w:rPr>
            <w:sz w:val="22"/>
            <w:szCs w:val="22"/>
          </w:rPr>
          <w:t xml:space="preserve">van </w:t>
        </w:r>
        <w:proofErr w:type="spellStart"/>
        <w:r w:rsidRPr="008B0F73">
          <w:rPr>
            <w:sz w:val="22"/>
            <w:szCs w:val="22"/>
          </w:rPr>
          <w:t>Roomen</w:t>
        </w:r>
        <w:proofErr w:type="spellEnd"/>
        <w:r w:rsidRPr="008B0F73">
          <w:rPr>
            <w:sz w:val="22"/>
            <w:szCs w:val="22"/>
          </w:rPr>
          <w:t xml:space="preserve">, M., van </w:t>
        </w:r>
        <w:proofErr w:type="spellStart"/>
        <w:r w:rsidRPr="008B0F73">
          <w:rPr>
            <w:sz w:val="22"/>
            <w:szCs w:val="22"/>
          </w:rPr>
          <w:t>Winden</w:t>
        </w:r>
        <w:proofErr w:type="spellEnd"/>
        <w:r w:rsidRPr="008B0F73">
          <w:rPr>
            <w:sz w:val="22"/>
            <w:szCs w:val="22"/>
          </w:rPr>
          <w:t xml:space="preserve">, E. &amp; T. Langendoen 2014. </w:t>
        </w:r>
      </w:hyperlink>
      <w:hyperlink r:id="rId40" w:history="1">
        <w:r w:rsidRPr="008B0F73">
          <w:rPr>
            <w:i/>
            <w:sz w:val="22"/>
            <w:szCs w:val="22"/>
          </w:rPr>
          <w:t>The assessment of trends and population sizes of a selection of waterbird species and populations from the coastal East Atlantic Flyway for Conservation Status Report 6 of the African Eurasian Waterbird Agreement</w:t>
        </w:r>
      </w:hyperlink>
      <w:hyperlink r:id="rId41" w:history="1">
        <w:r w:rsidRPr="008B0F73">
          <w:rPr>
            <w:sz w:val="22"/>
            <w:szCs w:val="22"/>
          </w:rPr>
          <w:t>. Wadden Sea Flyway Initiative, Wetlands International &amp; Birdlife International, Nijmegen.</w:t>
        </w:r>
      </w:hyperlink>
    </w:p>
    <w:p w:rsidR="00AC6ECF" w:rsidRPr="008B0F73" w:rsidRDefault="00D15A16" w:rsidP="00022B10">
      <w:pPr>
        <w:pStyle w:val="Normal1"/>
        <w:jc w:val="both"/>
        <w:rPr>
          <w:sz w:val="22"/>
          <w:szCs w:val="22"/>
        </w:rPr>
      </w:pPr>
      <w:hyperlink r:id="rId42" w:history="1">
        <w:r w:rsidR="00AC6ECF" w:rsidRPr="008B0F73">
          <w:rPr>
            <w:color w:val="1155CC"/>
            <w:sz w:val="22"/>
            <w:szCs w:val="22"/>
            <w:u w:val="single"/>
          </w:rPr>
          <w:t>http://www.wetlands.org/Portals/0/EAF_selection%20of%20species2014_2.doc.pdf</w:t>
        </w:r>
      </w:hyperlink>
    </w:p>
    <w:p w:rsidR="00AC6ECF" w:rsidRPr="008B0F73" w:rsidRDefault="00AC6ECF" w:rsidP="00022B10">
      <w:pPr>
        <w:pStyle w:val="Normal1"/>
        <w:jc w:val="both"/>
        <w:rPr>
          <w:b/>
          <w:sz w:val="22"/>
          <w:szCs w:val="22"/>
        </w:rPr>
      </w:pPr>
      <w:r w:rsidRPr="008B0F73">
        <w:rPr>
          <w:b/>
          <w:sz w:val="22"/>
          <w:szCs w:val="22"/>
        </w:rPr>
        <w:t xml:space="preserve"> </w:t>
      </w:r>
    </w:p>
    <w:p w:rsidR="00AC6ECF" w:rsidRPr="008B0F73" w:rsidRDefault="00AC6ECF" w:rsidP="00022B10">
      <w:pPr>
        <w:pStyle w:val="Normal1"/>
        <w:keepNext/>
        <w:jc w:val="both"/>
        <w:rPr>
          <w:b/>
          <w:sz w:val="22"/>
          <w:szCs w:val="22"/>
        </w:rPr>
      </w:pPr>
      <w:r w:rsidRPr="008B0F73">
        <w:rPr>
          <w:b/>
          <w:sz w:val="22"/>
          <w:szCs w:val="22"/>
        </w:rPr>
        <w:t>2013</w:t>
      </w:r>
    </w:p>
    <w:p w:rsidR="00AC6ECF" w:rsidRPr="008B0F73" w:rsidRDefault="00AC6ECF" w:rsidP="00022B10">
      <w:pPr>
        <w:pStyle w:val="Normal1"/>
        <w:jc w:val="both"/>
        <w:rPr>
          <w:sz w:val="22"/>
          <w:szCs w:val="22"/>
        </w:rPr>
      </w:pPr>
      <w:r w:rsidRPr="008B0F73">
        <w:rPr>
          <w:sz w:val="22"/>
          <w:szCs w:val="22"/>
        </w:rPr>
        <w:t xml:space="preserve">1. </w:t>
      </w:r>
      <w:proofErr w:type="spellStart"/>
      <w:r w:rsidRPr="008B0F73">
        <w:rPr>
          <w:sz w:val="22"/>
          <w:szCs w:val="22"/>
        </w:rPr>
        <w:t>Aunins</w:t>
      </w:r>
      <w:proofErr w:type="spellEnd"/>
      <w:r w:rsidRPr="008B0F73">
        <w:rPr>
          <w:sz w:val="22"/>
          <w:szCs w:val="22"/>
        </w:rPr>
        <w:t xml:space="preserve">, A., Nilsson, L., </w:t>
      </w:r>
      <w:proofErr w:type="spellStart"/>
      <w:r w:rsidRPr="008B0F73">
        <w:rPr>
          <w:sz w:val="22"/>
          <w:szCs w:val="22"/>
        </w:rPr>
        <w:t>Hario</w:t>
      </w:r>
      <w:proofErr w:type="spellEnd"/>
      <w:r w:rsidRPr="008B0F73">
        <w:rPr>
          <w:sz w:val="22"/>
          <w:szCs w:val="22"/>
        </w:rPr>
        <w:t xml:space="preserve">, M., </w:t>
      </w:r>
      <w:proofErr w:type="spellStart"/>
      <w:r w:rsidRPr="008B0F73">
        <w:rPr>
          <w:sz w:val="22"/>
          <w:szCs w:val="22"/>
        </w:rPr>
        <w:t>Garthe</w:t>
      </w:r>
      <w:proofErr w:type="spellEnd"/>
      <w:r w:rsidRPr="008B0F73">
        <w:rPr>
          <w:sz w:val="22"/>
          <w:szCs w:val="22"/>
        </w:rPr>
        <w:t xml:space="preserve">, S., </w:t>
      </w:r>
      <w:proofErr w:type="spellStart"/>
      <w:r w:rsidRPr="008B0F73">
        <w:rPr>
          <w:sz w:val="22"/>
          <w:szCs w:val="22"/>
        </w:rPr>
        <w:t>Dagys</w:t>
      </w:r>
      <w:proofErr w:type="spellEnd"/>
      <w:r w:rsidRPr="008B0F73">
        <w:rPr>
          <w:sz w:val="22"/>
          <w:szCs w:val="22"/>
        </w:rPr>
        <w:t xml:space="preserve">, M., Pedersen, K. I., &amp; </w:t>
      </w:r>
      <w:proofErr w:type="spellStart"/>
      <w:r w:rsidRPr="008B0F73">
        <w:rPr>
          <w:sz w:val="22"/>
          <w:szCs w:val="22"/>
        </w:rPr>
        <w:t>Skov</w:t>
      </w:r>
      <w:proofErr w:type="spellEnd"/>
      <w:r w:rsidRPr="008B0F73">
        <w:rPr>
          <w:sz w:val="22"/>
          <w:szCs w:val="22"/>
        </w:rPr>
        <w:t xml:space="preserve">, H. (2013). Abundance of </w:t>
      </w:r>
      <w:proofErr w:type="spellStart"/>
      <w:r w:rsidRPr="008B0F73">
        <w:rPr>
          <w:sz w:val="22"/>
          <w:szCs w:val="22"/>
        </w:rPr>
        <w:t>waterbirds</w:t>
      </w:r>
      <w:proofErr w:type="spellEnd"/>
      <w:r w:rsidRPr="008B0F73">
        <w:rPr>
          <w:sz w:val="22"/>
          <w:szCs w:val="22"/>
        </w:rPr>
        <w:t xml:space="preserve"> in the wintering season. HELCOM Core Indicator of Biodiversity. </w:t>
      </w:r>
    </w:p>
    <w:p w:rsidR="00AC6ECF" w:rsidRPr="008B0F73" w:rsidRDefault="00AC6ECF" w:rsidP="00022B10">
      <w:pPr>
        <w:pStyle w:val="Normal1"/>
        <w:jc w:val="both"/>
        <w:rPr>
          <w:sz w:val="22"/>
          <w:szCs w:val="22"/>
        </w:rPr>
      </w:pPr>
      <w:r w:rsidRPr="008B0F73">
        <w:rPr>
          <w:sz w:val="22"/>
          <w:szCs w:val="22"/>
        </w:rPr>
        <w:t>http://www.helcom.fi/Core%20Indicators/HELCOM-CoreIndicator_Abundance_of_waterbirds_in_the_wintering_season.pdf</w:t>
      </w:r>
    </w:p>
    <w:p w:rsidR="00AC6ECF" w:rsidRPr="008B0F73" w:rsidRDefault="00AC6ECF" w:rsidP="00022B10">
      <w:pPr>
        <w:pStyle w:val="Normal1"/>
        <w:jc w:val="both"/>
        <w:rPr>
          <w:sz w:val="22"/>
          <w:szCs w:val="22"/>
        </w:rPr>
      </w:pPr>
    </w:p>
    <w:p w:rsidR="00AC6ECF" w:rsidRPr="008B0F73" w:rsidRDefault="00AC6ECF" w:rsidP="00022B10">
      <w:pPr>
        <w:pStyle w:val="Normal1"/>
        <w:jc w:val="both"/>
        <w:rPr>
          <w:sz w:val="22"/>
          <w:szCs w:val="22"/>
        </w:rPr>
      </w:pPr>
      <w:r w:rsidRPr="008B0F73">
        <w:rPr>
          <w:sz w:val="22"/>
          <w:szCs w:val="22"/>
        </w:rPr>
        <w:t xml:space="preserve">2. </w:t>
      </w:r>
      <w:proofErr w:type="spellStart"/>
      <w:r w:rsidRPr="008B0F73">
        <w:rPr>
          <w:sz w:val="22"/>
          <w:szCs w:val="22"/>
        </w:rPr>
        <w:t>Lehikoinen</w:t>
      </w:r>
      <w:proofErr w:type="spellEnd"/>
      <w:r w:rsidRPr="008B0F73">
        <w:rPr>
          <w:sz w:val="22"/>
          <w:szCs w:val="22"/>
        </w:rPr>
        <w:t xml:space="preserve">, </w:t>
      </w:r>
      <w:proofErr w:type="spellStart"/>
      <w:r w:rsidRPr="008B0F73">
        <w:rPr>
          <w:sz w:val="22"/>
          <w:szCs w:val="22"/>
        </w:rPr>
        <w:t>Aleksi</w:t>
      </w:r>
      <w:proofErr w:type="spellEnd"/>
      <w:r w:rsidRPr="008B0F73">
        <w:rPr>
          <w:sz w:val="22"/>
          <w:szCs w:val="22"/>
        </w:rPr>
        <w:t xml:space="preserve">, </w:t>
      </w:r>
      <w:proofErr w:type="spellStart"/>
      <w:r w:rsidRPr="008B0F73">
        <w:rPr>
          <w:sz w:val="22"/>
          <w:szCs w:val="22"/>
        </w:rPr>
        <w:t>Jaatinen</w:t>
      </w:r>
      <w:proofErr w:type="spellEnd"/>
      <w:r w:rsidRPr="008B0F73">
        <w:rPr>
          <w:sz w:val="22"/>
          <w:szCs w:val="22"/>
        </w:rPr>
        <w:t xml:space="preserve">, Kim, </w:t>
      </w:r>
      <w:proofErr w:type="spellStart"/>
      <w:r w:rsidRPr="008B0F73">
        <w:rPr>
          <w:sz w:val="22"/>
          <w:szCs w:val="22"/>
        </w:rPr>
        <w:t>Vähätalo</w:t>
      </w:r>
      <w:proofErr w:type="spellEnd"/>
      <w:r w:rsidRPr="008B0F73">
        <w:rPr>
          <w:sz w:val="22"/>
          <w:szCs w:val="22"/>
        </w:rPr>
        <w:t xml:space="preserve">, </w:t>
      </w:r>
      <w:proofErr w:type="spellStart"/>
      <w:r w:rsidRPr="008B0F73">
        <w:rPr>
          <w:sz w:val="22"/>
          <w:szCs w:val="22"/>
        </w:rPr>
        <w:t>Anssi</w:t>
      </w:r>
      <w:proofErr w:type="spellEnd"/>
      <w:r w:rsidRPr="008B0F73">
        <w:rPr>
          <w:sz w:val="22"/>
          <w:szCs w:val="22"/>
        </w:rPr>
        <w:t xml:space="preserve"> V., Clausen, </w:t>
      </w:r>
      <w:proofErr w:type="spellStart"/>
      <w:r w:rsidRPr="008B0F73">
        <w:rPr>
          <w:sz w:val="22"/>
          <w:szCs w:val="22"/>
        </w:rPr>
        <w:t>Preben</w:t>
      </w:r>
      <w:proofErr w:type="spellEnd"/>
      <w:r w:rsidRPr="008B0F73">
        <w:rPr>
          <w:sz w:val="22"/>
          <w:szCs w:val="22"/>
        </w:rPr>
        <w:t xml:space="preserve">, Crowe, Olivia, </w:t>
      </w:r>
      <w:proofErr w:type="spellStart"/>
      <w:r w:rsidRPr="008B0F73">
        <w:rPr>
          <w:sz w:val="22"/>
          <w:szCs w:val="22"/>
        </w:rPr>
        <w:t>Deceuninck</w:t>
      </w:r>
      <w:proofErr w:type="spellEnd"/>
      <w:r w:rsidRPr="008B0F73">
        <w:rPr>
          <w:sz w:val="22"/>
          <w:szCs w:val="22"/>
        </w:rPr>
        <w:t xml:space="preserve">, Bernard, Hearn, Richard, Holt, Chas A., </w:t>
      </w:r>
      <w:proofErr w:type="spellStart"/>
      <w:r w:rsidRPr="008B0F73">
        <w:rPr>
          <w:sz w:val="22"/>
          <w:szCs w:val="22"/>
        </w:rPr>
        <w:t>Hornman</w:t>
      </w:r>
      <w:proofErr w:type="spellEnd"/>
      <w:r w:rsidRPr="008B0F73">
        <w:rPr>
          <w:sz w:val="22"/>
          <w:szCs w:val="22"/>
        </w:rPr>
        <w:t xml:space="preserve">, Menno, Keller, </w:t>
      </w:r>
      <w:proofErr w:type="spellStart"/>
      <w:r w:rsidRPr="008B0F73">
        <w:rPr>
          <w:sz w:val="22"/>
          <w:szCs w:val="22"/>
        </w:rPr>
        <w:t>Verena</w:t>
      </w:r>
      <w:proofErr w:type="spellEnd"/>
      <w:r w:rsidRPr="008B0F73">
        <w:rPr>
          <w:sz w:val="22"/>
          <w:szCs w:val="22"/>
        </w:rPr>
        <w:t xml:space="preserve">, Nilsson, Leif, </w:t>
      </w:r>
      <w:proofErr w:type="spellStart"/>
      <w:r w:rsidRPr="008B0F73">
        <w:rPr>
          <w:sz w:val="22"/>
          <w:szCs w:val="22"/>
        </w:rPr>
        <w:t>Langendoen</w:t>
      </w:r>
      <w:proofErr w:type="spellEnd"/>
      <w:r w:rsidRPr="008B0F73">
        <w:rPr>
          <w:sz w:val="22"/>
          <w:szCs w:val="22"/>
        </w:rPr>
        <w:t xml:space="preserve">, Tom, </w:t>
      </w:r>
      <w:proofErr w:type="spellStart"/>
      <w:r w:rsidRPr="008B0F73">
        <w:rPr>
          <w:sz w:val="22"/>
          <w:szCs w:val="22"/>
        </w:rPr>
        <w:t>Tománková</w:t>
      </w:r>
      <w:proofErr w:type="spellEnd"/>
      <w:r w:rsidRPr="008B0F73">
        <w:rPr>
          <w:sz w:val="22"/>
          <w:szCs w:val="22"/>
        </w:rPr>
        <w:t>, Irena, Wahl, Johannes, Fox, Anthony D. 2013. Rapid climate driven shifts in wintering distributions of three common waterbird species. Global Change Biology 19: 1365-2486</w:t>
      </w:r>
    </w:p>
    <w:p w:rsidR="00AC6ECF" w:rsidRPr="008B0F73" w:rsidRDefault="00D15A16" w:rsidP="00022B10">
      <w:pPr>
        <w:pStyle w:val="Normal1"/>
        <w:jc w:val="both"/>
        <w:rPr>
          <w:sz w:val="22"/>
          <w:szCs w:val="22"/>
        </w:rPr>
      </w:pPr>
      <w:hyperlink r:id="rId43" w:history="1">
        <w:r w:rsidR="00AC6ECF" w:rsidRPr="008B0F73">
          <w:rPr>
            <w:color w:val="1155CC"/>
            <w:sz w:val="22"/>
            <w:szCs w:val="22"/>
            <w:u w:val="single"/>
          </w:rPr>
          <w:t>http://dx.doi.org/10.1111/gcb.12200</w:t>
        </w:r>
      </w:hyperlink>
    </w:p>
    <w:p w:rsidR="00AC6ECF" w:rsidRPr="008B0F73" w:rsidRDefault="00AC6ECF" w:rsidP="00022B10">
      <w:pPr>
        <w:pStyle w:val="Normal1"/>
        <w:jc w:val="both"/>
        <w:rPr>
          <w:sz w:val="22"/>
          <w:szCs w:val="22"/>
        </w:rPr>
      </w:pPr>
      <w:r w:rsidRPr="008B0F73">
        <w:rPr>
          <w:sz w:val="22"/>
          <w:szCs w:val="22"/>
        </w:rPr>
        <w:t xml:space="preserve"> </w:t>
      </w:r>
    </w:p>
    <w:p w:rsidR="00AC6ECF" w:rsidRPr="008B0F73" w:rsidRDefault="00AC6ECF" w:rsidP="00022B10">
      <w:pPr>
        <w:pStyle w:val="Normal1"/>
        <w:jc w:val="both"/>
        <w:rPr>
          <w:sz w:val="22"/>
          <w:szCs w:val="22"/>
        </w:rPr>
      </w:pPr>
      <w:r w:rsidRPr="008B0F73">
        <w:rPr>
          <w:sz w:val="22"/>
          <w:szCs w:val="22"/>
        </w:rPr>
        <w:t xml:space="preserve">3. </w:t>
      </w:r>
      <w:proofErr w:type="spellStart"/>
      <w:r w:rsidRPr="008B0F73">
        <w:rPr>
          <w:sz w:val="22"/>
          <w:szCs w:val="22"/>
        </w:rPr>
        <w:t>Dalby</w:t>
      </w:r>
      <w:proofErr w:type="spellEnd"/>
      <w:r w:rsidRPr="008B0F73">
        <w:rPr>
          <w:sz w:val="22"/>
          <w:szCs w:val="22"/>
        </w:rPr>
        <w:t xml:space="preserve">, Lars; </w:t>
      </w:r>
      <w:proofErr w:type="spellStart"/>
      <w:r w:rsidRPr="008B0F73">
        <w:rPr>
          <w:sz w:val="22"/>
          <w:szCs w:val="22"/>
        </w:rPr>
        <w:t>Söderquist</w:t>
      </w:r>
      <w:proofErr w:type="spellEnd"/>
      <w:r w:rsidRPr="008B0F73">
        <w:rPr>
          <w:sz w:val="22"/>
          <w:szCs w:val="22"/>
        </w:rPr>
        <w:t xml:space="preserve">, </w:t>
      </w:r>
      <w:proofErr w:type="spellStart"/>
      <w:r w:rsidRPr="008B0F73">
        <w:rPr>
          <w:sz w:val="22"/>
          <w:szCs w:val="22"/>
        </w:rPr>
        <w:t>Pär</w:t>
      </w:r>
      <w:proofErr w:type="spellEnd"/>
      <w:r w:rsidRPr="008B0F73">
        <w:rPr>
          <w:sz w:val="22"/>
          <w:szCs w:val="22"/>
        </w:rPr>
        <w:t xml:space="preserve">; Christensen, Thomas K.; Clausen, </w:t>
      </w:r>
      <w:proofErr w:type="spellStart"/>
      <w:r w:rsidRPr="008B0F73">
        <w:rPr>
          <w:sz w:val="22"/>
          <w:szCs w:val="22"/>
        </w:rPr>
        <w:t>Preben</w:t>
      </w:r>
      <w:proofErr w:type="spellEnd"/>
      <w:r w:rsidRPr="008B0F73">
        <w:rPr>
          <w:sz w:val="22"/>
          <w:szCs w:val="22"/>
        </w:rPr>
        <w:t xml:space="preserve">; </w:t>
      </w:r>
      <w:proofErr w:type="spellStart"/>
      <w:r w:rsidRPr="008B0F73">
        <w:rPr>
          <w:sz w:val="22"/>
          <w:szCs w:val="22"/>
        </w:rPr>
        <w:t>Einarsson</w:t>
      </w:r>
      <w:proofErr w:type="spellEnd"/>
      <w:r w:rsidRPr="008B0F73">
        <w:rPr>
          <w:sz w:val="22"/>
          <w:szCs w:val="22"/>
        </w:rPr>
        <w:t xml:space="preserve">, </w:t>
      </w:r>
      <w:proofErr w:type="spellStart"/>
      <w:r w:rsidRPr="008B0F73">
        <w:rPr>
          <w:sz w:val="22"/>
          <w:szCs w:val="22"/>
        </w:rPr>
        <w:t>Árni</w:t>
      </w:r>
      <w:proofErr w:type="spellEnd"/>
      <w:r w:rsidRPr="008B0F73">
        <w:rPr>
          <w:sz w:val="22"/>
          <w:szCs w:val="22"/>
        </w:rPr>
        <w:t xml:space="preserve">; </w:t>
      </w:r>
      <w:proofErr w:type="spellStart"/>
      <w:r w:rsidRPr="008B0F73">
        <w:rPr>
          <w:sz w:val="22"/>
          <w:szCs w:val="22"/>
        </w:rPr>
        <w:t>Elmberg</w:t>
      </w:r>
      <w:proofErr w:type="spellEnd"/>
      <w:r w:rsidRPr="008B0F73">
        <w:rPr>
          <w:sz w:val="22"/>
          <w:szCs w:val="22"/>
        </w:rPr>
        <w:t xml:space="preserve">, Johan; Fox, Anthony D.; </w:t>
      </w:r>
      <w:proofErr w:type="spellStart"/>
      <w:r w:rsidRPr="008B0F73">
        <w:rPr>
          <w:sz w:val="22"/>
          <w:szCs w:val="22"/>
        </w:rPr>
        <w:t>Holmqvist</w:t>
      </w:r>
      <w:proofErr w:type="spellEnd"/>
      <w:r w:rsidRPr="008B0F73">
        <w:rPr>
          <w:sz w:val="22"/>
          <w:szCs w:val="22"/>
        </w:rPr>
        <w:t xml:space="preserve">, </w:t>
      </w:r>
      <w:proofErr w:type="spellStart"/>
      <w:r w:rsidRPr="008B0F73">
        <w:rPr>
          <w:sz w:val="22"/>
          <w:szCs w:val="22"/>
        </w:rPr>
        <w:t>Niklas</w:t>
      </w:r>
      <w:proofErr w:type="spellEnd"/>
      <w:r w:rsidRPr="008B0F73">
        <w:rPr>
          <w:sz w:val="22"/>
          <w:szCs w:val="22"/>
        </w:rPr>
        <w:t xml:space="preserve">; </w:t>
      </w:r>
      <w:proofErr w:type="spellStart"/>
      <w:r w:rsidRPr="008B0F73">
        <w:rPr>
          <w:sz w:val="22"/>
          <w:szCs w:val="22"/>
        </w:rPr>
        <w:t>Langendoen</w:t>
      </w:r>
      <w:proofErr w:type="spellEnd"/>
      <w:r w:rsidRPr="008B0F73">
        <w:rPr>
          <w:sz w:val="22"/>
          <w:szCs w:val="22"/>
        </w:rPr>
        <w:t xml:space="preserve">, Tom; </w:t>
      </w:r>
      <w:proofErr w:type="spellStart"/>
      <w:r w:rsidRPr="008B0F73">
        <w:rPr>
          <w:sz w:val="22"/>
          <w:szCs w:val="22"/>
        </w:rPr>
        <w:t>Lehikoinen</w:t>
      </w:r>
      <w:proofErr w:type="spellEnd"/>
      <w:r w:rsidRPr="008B0F73">
        <w:rPr>
          <w:sz w:val="22"/>
          <w:szCs w:val="22"/>
        </w:rPr>
        <w:t xml:space="preserve">, </w:t>
      </w:r>
      <w:proofErr w:type="spellStart"/>
      <w:r w:rsidRPr="008B0F73">
        <w:rPr>
          <w:sz w:val="22"/>
          <w:szCs w:val="22"/>
        </w:rPr>
        <w:t>Aleksi</w:t>
      </w:r>
      <w:proofErr w:type="spellEnd"/>
      <w:r w:rsidRPr="008B0F73">
        <w:rPr>
          <w:sz w:val="22"/>
          <w:szCs w:val="22"/>
        </w:rPr>
        <w:t xml:space="preserve">; </w:t>
      </w:r>
      <w:proofErr w:type="spellStart"/>
      <w:r w:rsidRPr="008B0F73">
        <w:rPr>
          <w:sz w:val="22"/>
          <w:szCs w:val="22"/>
        </w:rPr>
        <w:t>Lindström</w:t>
      </w:r>
      <w:proofErr w:type="spellEnd"/>
      <w:r w:rsidRPr="008B0F73">
        <w:rPr>
          <w:sz w:val="22"/>
          <w:szCs w:val="22"/>
        </w:rPr>
        <w:t xml:space="preserve">, </w:t>
      </w:r>
      <w:proofErr w:type="spellStart"/>
      <w:r w:rsidRPr="008B0F73">
        <w:rPr>
          <w:sz w:val="22"/>
          <w:szCs w:val="22"/>
        </w:rPr>
        <w:t>Åke</w:t>
      </w:r>
      <w:proofErr w:type="spellEnd"/>
      <w:r w:rsidRPr="008B0F73">
        <w:rPr>
          <w:sz w:val="22"/>
          <w:szCs w:val="22"/>
        </w:rPr>
        <w:t xml:space="preserve">; </w:t>
      </w:r>
      <w:proofErr w:type="spellStart"/>
      <w:r w:rsidRPr="008B0F73">
        <w:rPr>
          <w:sz w:val="22"/>
          <w:szCs w:val="22"/>
        </w:rPr>
        <w:t>Lorentsen</w:t>
      </w:r>
      <w:proofErr w:type="spellEnd"/>
      <w:r w:rsidRPr="008B0F73">
        <w:rPr>
          <w:sz w:val="22"/>
          <w:szCs w:val="22"/>
        </w:rPr>
        <w:t xml:space="preserve">, </w:t>
      </w:r>
      <w:proofErr w:type="spellStart"/>
      <w:r w:rsidRPr="008B0F73">
        <w:rPr>
          <w:sz w:val="22"/>
          <w:szCs w:val="22"/>
        </w:rPr>
        <w:t>Svein-Håkon</w:t>
      </w:r>
      <w:proofErr w:type="spellEnd"/>
      <w:r w:rsidRPr="008B0F73">
        <w:rPr>
          <w:sz w:val="22"/>
          <w:szCs w:val="22"/>
        </w:rPr>
        <w:t xml:space="preserve">; Nilsson, Leif; </w:t>
      </w:r>
      <w:proofErr w:type="spellStart"/>
      <w:r w:rsidRPr="008B0F73">
        <w:rPr>
          <w:sz w:val="22"/>
          <w:szCs w:val="22"/>
        </w:rPr>
        <w:t>Pöysä</w:t>
      </w:r>
      <w:proofErr w:type="spellEnd"/>
      <w:r w:rsidRPr="008B0F73">
        <w:rPr>
          <w:sz w:val="22"/>
          <w:szCs w:val="22"/>
        </w:rPr>
        <w:t xml:space="preserve">, </w:t>
      </w:r>
      <w:proofErr w:type="spellStart"/>
      <w:r w:rsidRPr="008B0F73">
        <w:rPr>
          <w:sz w:val="22"/>
          <w:szCs w:val="22"/>
        </w:rPr>
        <w:t>Hannu</w:t>
      </w:r>
      <w:proofErr w:type="spellEnd"/>
      <w:r w:rsidRPr="008B0F73">
        <w:rPr>
          <w:sz w:val="22"/>
          <w:szCs w:val="22"/>
        </w:rPr>
        <w:t xml:space="preserve">; </w:t>
      </w:r>
      <w:proofErr w:type="spellStart"/>
      <w:r w:rsidRPr="008B0F73">
        <w:rPr>
          <w:sz w:val="22"/>
          <w:szCs w:val="22"/>
        </w:rPr>
        <w:t>Rintala</w:t>
      </w:r>
      <w:proofErr w:type="spellEnd"/>
      <w:r w:rsidRPr="008B0F73">
        <w:rPr>
          <w:sz w:val="22"/>
          <w:szCs w:val="22"/>
        </w:rPr>
        <w:t xml:space="preserve">, </w:t>
      </w:r>
      <w:proofErr w:type="spellStart"/>
      <w:r w:rsidRPr="008B0F73">
        <w:rPr>
          <w:sz w:val="22"/>
          <w:szCs w:val="22"/>
        </w:rPr>
        <w:t>Jukka</w:t>
      </w:r>
      <w:proofErr w:type="spellEnd"/>
      <w:r w:rsidRPr="008B0F73">
        <w:rPr>
          <w:sz w:val="22"/>
          <w:szCs w:val="22"/>
        </w:rPr>
        <w:t xml:space="preserve">; </w:t>
      </w:r>
      <w:proofErr w:type="spellStart"/>
      <w:r w:rsidRPr="008B0F73">
        <w:rPr>
          <w:sz w:val="22"/>
          <w:szCs w:val="22"/>
        </w:rPr>
        <w:t>Sigfússon</w:t>
      </w:r>
      <w:proofErr w:type="spellEnd"/>
      <w:r w:rsidRPr="008B0F73">
        <w:rPr>
          <w:sz w:val="22"/>
          <w:szCs w:val="22"/>
        </w:rPr>
        <w:t xml:space="preserve">, </w:t>
      </w:r>
      <w:proofErr w:type="spellStart"/>
      <w:r w:rsidRPr="008B0F73">
        <w:rPr>
          <w:sz w:val="22"/>
          <w:szCs w:val="22"/>
        </w:rPr>
        <w:t>Arnór</w:t>
      </w:r>
      <w:proofErr w:type="spellEnd"/>
      <w:r w:rsidRPr="008B0F73">
        <w:rPr>
          <w:sz w:val="22"/>
          <w:szCs w:val="22"/>
        </w:rPr>
        <w:t xml:space="preserve"> Þ.; </w:t>
      </w:r>
      <w:proofErr w:type="spellStart"/>
      <w:r w:rsidRPr="008B0F73">
        <w:rPr>
          <w:sz w:val="22"/>
          <w:szCs w:val="22"/>
        </w:rPr>
        <w:t>Svenning</w:t>
      </w:r>
      <w:proofErr w:type="spellEnd"/>
      <w:r w:rsidRPr="008B0F73">
        <w:rPr>
          <w:sz w:val="22"/>
          <w:szCs w:val="22"/>
        </w:rPr>
        <w:t>, Jens-Christian. 2013. The status of the Nordic populations of the Mallard (</w:t>
      </w:r>
      <w:proofErr w:type="spellStart"/>
      <w:r w:rsidRPr="008B0F73">
        <w:rPr>
          <w:sz w:val="22"/>
          <w:szCs w:val="22"/>
        </w:rPr>
        <w:t>Anas</w:t>
      </w:r>
      <w:proofErr w:type="spellEnd"/>
      <w:r w:rsidRPr="008B0F73">
        <w:rPr>
          <w:sz w:val="22"/>
          <w:szCs w:val="22"/>
        </w:rPr>
        <w:t xml:space="preserve"> </w:t>
      </w:r>
      <w:proofErr w:type="spellStart"/>
      <w:r w:rsidRPr="008B0F73">
        <w:rPr>
          <w:sz w:val="22"/>
          <w:szCs w:val="22"/>
        </w:rPr>
        <w:t>platyrhynchos</w:t>
      </w:r>
      <w:proofErr w:type="spellEnd"/>
      <w:r w:rsidRPr="008B0F73">
        <w:rPr>
          <w:sz w:val="22"/>
          <w:szCs w:val="22"/>
        </w:rPr>
        <w:t xml:space="preserve">) in a changing world. </w:t>
      </w:r>
      <w:proofErr w:type="spellStart"/>
      <w:r w:rsidRPr="008B0F73">
        <w:rPr>
          <w:sz w:val="22"/>
          <w:szCs w:val="22"/>
        </w:rPr>
        <w:t>Ornis</w:t>
      </w:r>
      <w:proofErr w:type="spellEnd"/>
      <w:r w:rsidRPr="008B0F73">
        <w:rPr>
          <w:sz w:val="22"/>
          <w:szCs w:val="22"/>
        </w:rPr>
        <w:t xml:space="preserve"> </w:t>
      </w:r>
      <w:proofErr w:type="spellStart"/>
      <w:r w:rsidRPr="008B0F73">
        <w:rPr>
          <w:sz w:val="22"/>
          <w:szCs w:val="22"/>
        </w:rPr>
        <w:t>Fennica</w:t>
      </w:r>
      <w:proofErr w:type="spellEnd"/>
      <w:r w:rsidRPr="008B0F73">
        <w:rPr>
          <w:sz w:val="22"/>
          <w:szCs w:val="22"/>
        </w:rPr>
        <w:t xml:space="preserve"> 90: 2-15</w:t>
      </w:r>
    </w:p>
    <w:p w:rsidR="00AC6ECF" w:rsidRPr="008B0F73" w:rsidRDefault="00D15A16" w:rsidP="00022B10">
      <w:pPr>
        <w:pStyle w:val="Normal1"/>
        <w:jc w:val="both"/>
        <w:rPr>
          <w:sz w:val="22"/>
          <w:szCs w:val="22"/>
        </w:rPr>
      </w:pPr>
      <w:hyperlink r:id="rId44" w:history="1">
        <w:r w:rsidR="00AC6ECF" w:rsidRPr="008B0F73">
          <w:rPr>
            <w:color w:val="1155CC"/>
            <w:sz w:val="22"/>
            <w:szCs w:val="22"/>
            <w:u w:val="single"/>
          </w:rPr>
          <w:t>http://pure.au.dk/portal/files/54026900/Dalbyetal2013.pdf</w:t>
        </w:r>
      </w:hyperlink>
    </w:p>
    <w:p w:rsidR="00AC6ECF" w:rsidRPr="008B0F73" w:rsidRDefault="00AC6ECF" w:rsidP="00022B10">
      <w:pPr>
        <w:pStyle w:val="Normal1"/>
        <w:jc w:val="both"/>
        <w:rPr>
          <w:sz w:val="22"/>
          <w:szCs w:val="22"/>
        </w:rPr>
      </w:pPr>
      <w:r w:rsidRPr="008B0F73">
        <w:rPr>
          <w:sz w:val="22"/>
          <w:szCs w:val="22"/>
        </w:rPr>
        <w:t xml:space="preserve"> </w:t>
      </w:r>
    </w:p>
    <w:p w:rsidR="00AC6ECF" w:rsidRPr="008B0F73" w:rsidRDefault="00AC6ECF" w:rsidP="00022B10">
      <w:pPr>
        <w:pStyle w:val="Normal1"/>
        <w:jc w:val="both"/>
        <w:rPr>
          <w:b/>
          <w:sz w:val="22"/>
          <w:szCs w:val="22"/>
        </w:rPr>
      </w:pPr>
      <w:r w:rsidRPr="008B0F73">
        <w:rPr>
          <w:b/>
          <w:sz w:val="22"/>
          <w:szCs w:val="22"/>
        </w:rPr>
        <w:t>2012</w:t>
      </w:r>
    </w:p>
    <w:p w:rsidR="00AC6ECF" w:rsidRPr="008B0F73" w:rsidRDefault="00AC6ECF" w:rsidP="00022B10">
      <w:pPr>
        <w:pStyle w:val="Normal1"/>
        <w:jc w:val="both"/>
        <w:rPr>
          <w:sz w:val="22"/>
          <w:szCs w:val="22"/>
        </w:rPr>
      </w:pPr>
      <w:r w:rsidRPr="008B0F73">
        <w:rPr>
          <w:sz w:val="22"/>
          <w:szCs w:val="22"/>
        </w:rPr>
        <w:t xml:space="preserve">1. </w:t>
      </w:r>
      <w:proofErr w:type="spellStart"/>
      <w:r w:rsidRPr="008B0F73">
        <w:rPr>
          <w:sz w:val="22"/>
          <w:szCs w:val="22"/>
        </w:rPr>
        <w:t>Harebottle</w:t>
      </w:r>
      <w:proofErr w:type="spellEnd"/>
      <w:r w:rsidRPr="008B0F73">
        <w:rPr>
          <w:sz w:val="22"/>
          <w:szCs w:val="22"/>
        </w:rPr>
        <w:t xml:space="preserve">, Doug M. 2012. Assessing the Conservation Value of Wetlands and </w:t>
      </w:r>
      <w:proofErr w:type="spellStart"/>
      <w:r w:rsidRPr="008B0F73">
        <w:rPr>
          <w:sz w:val="22"/>
          <w:szCs w:val="22"/>
        </w:rPr>
        <w:t>Waterbirds</w:t>
      </w:r>
      <w:proofErr w:type="spellEnd"/>
      <w:r w:rsidRPr="008B0F73">
        <w:rPr>
          <w:sz w:val="22"/>
          <w:szCs w:val="22"/>
        </w:rPr>
        <w:t xml:space="preserve"> with a Focus on the Winter Rainfall Region of South Africa. Ph.D. Thesis. University of Cape Town: South Africa.</w:t>
      </w:r>
    </w:p>
    <w:p w:rsidR="00AC6ECF" w:rsidRPr="008B0F73" w:rsidRDefault="00D15A16" w:rsidP="00022B10">
      <w:pPr>
        <w:pStyle w:val="Normal1"/>
        <w:jc w:val="both"/>
        <w:rPr>
          <w:sz w:val="22"/>
          <w:szCs w:val="22"/>
        </w:rPr>
      </w:pPr>
      <w:hyperlink r:id="rId45" w:history="1">
        <w:r w:rsidR="00AC6ECF" w:rsidRPr="008B0F73">
          <w:rPr>
            <w:color w:val="1155CC"/>
            <w:sz w:val="22"/>
            <w:szCs w:val="22"/>
            <w:u w:val="single"/>
          </w:rPr>
          <w:t>http://adu.org.za/pdf/Harebottle_DM_PhD_thesis_UCT_May2012.pdf</w:t>
        </w:r>
      </w:hyperlink>
    </w:p>
    <w:p w:rsidR="00252734" w:rsidRPr="008B0F73" w:rsidRDefault="00252734" w:rsidP="00022B10">
      <w:pPr>
        <w:pStyle w:val="Normal1"/>
        <w:jc w:val="both"/>
        <w:rPr>
          <w:sz w:val="22"/>
        </w:rPr>
      </w:pPr>
    </w:p>
    <w:p w:rsidR="00AC6ECF" w:rsidRPr="00932744" w:rsidRDefault="00AC6ECF" w:rsidP="00022B10">
      <w:pPr>
        <w:pStyle w:val="Normal1"/>
        <w:jc w:val="both"/>
        <w:rPr>
          <w:sz w:val="22"/>
          <w:szCs w:val="22"/>
          <w:lang w:val="de-DE"/>
        </w:rPr>
      </w:pPr>
      <w:r w:rsidRPr="008B0F73">
        <w:rPr>
          <w:sz w:val="22"/>
          <w:szCs w:val="22"/>
        </w:rPr>
        <w:lastRenderedPageBreak/>
        <w:t xml:space="preserve">2. </w:t>
      </w:r>
      <w:proofErr w:type="spellStart"/>
      <w:r w:rsidRPr="008B0F73">
        <w:rPr>
          <w:sz w:val="22"/>
          <w:szCs w:val="22"/>
        </w:rPr>
        <w:t>Dalby</w:t>
      </w:r>
      <w:proofErr w:type="spellEnd"/>
      <w:r w:rsidRPr="008B0F73">
        <w:rPr>
          <w:sz w:val="22"/>
          <w:szCs w:val="22"/>
        </w:rPr>
        <w:t xml:space="preserve">, Lars, Fox, Anthony D., Petersen, </w:t>
      </w:r>
      <w:proofErr w:type="spellStart"/>
      <w:proofErr w:type="gramStart"/>
      <w:r w:rsidRPr="008B0F73">
        <w:rPr>
          <w:sz w:val="22"/>
          <w:szCs w:val="22"/>
        </w:rPr>
        <w:t>Ib</w:t>
      </w:r>
      <w:proofErr w:type="spellEnd"/>
      <w:proofErr w:type="gramEnd"/>
      <w:r w:rsidRPr="008B0F73">
        <w:rPr>
          <w:sz w:val="22"/>
          <w:szCs w:val="22"/>
        </w:rPr>
        <w:t xml:space="preserve"> K., Delany, Simon, </w:t>
      </w:r>
      <w:proofErr w:type="spellStart"/>
      <w:r w:rsidRPr="008B0F73">
        <w:rPr>
          <w:sz w:val="22"/>
          <w:szCs w:val="22"/>
        </w:rPr>
        <w:t>Svenning</w:t>
      </w:r>
      <w:proofErr w:type="spellEnd"/>
      <w:r w:rsidRPr="008B0F73">
        <w:rPr>
          <w:sz w:val="22"/>
          <w:szCs w:val="22"/>
        </w:rPr>
        <w:t xml:space="preserve">, Jens-Christian. 2012. Temperature does not dictate the wintering distributions of European dabbling duck species. </w:t>
      </w:r>
      <w:r w:rsidRPr="00932744">
        <w:rPr>
          <w:sz w:val="22"/>
          <w:szCs w:val="22"/>
          <w:lang w:val="de-DE"/>
        </w:rPr>
        <w:t>Ibis 155:80-88</w:t>
      </w:r>
    </w:p>
    <w:p w:rsidR="00AC6ECF" w:rsidRPr="00932744" w:rsidRDefault="00234075" w:rsidP="00022B10">
      <w:pPr>
        <w:pStyle w:val="Normal1"/>
        <w:jc w:val="both"/>
        <w:rPr>
          <w:sz w:val="22"/>
          <w:szCs w:val="22"/>
          <w:lang w:val="de-DE"/>
        </w:rPr>
      </w:pPr>
      <w:hyperlink r:id="rId46" w:history="1">
        <w:r w:rsidR="00AC6ECF" w:rsidRPr="00932744">
          <w:rPr>
            <w:color w:val="1155CC"/>
            <w:sz w:val="22"/>
            <w:szCs w:val="22"/>
            <w:u w:val="single"/>
            <w:lang w:val="de-DE"/>
          </w:rPr>
          <w:t>http://onlinelibrary.wiley.com/doi/10.1111/j.1474-919X.2012.01257.x/abstract;jsessionid=F7605ED4D36AEB1F26CB7FE39430DC31.d03t01</w:t>
        </w:r>
      </w:hyperlink>
    </w:p>
    <w:p w:rsidR="00AC6ECF" w:rsidRPr="00932744" w:rsidRDefault="00AC6ECF" w:rsidP="00022B10">
      <w:pPr>
        <w:pStyle w:val="Normal1"/>
        <w:jc w:val="both"/>
        <w:rPr>
          <w:sz w:val="22"/>
          <w:szCs w:val="22"/>
          <w:lang w:val="de-DE"/>
        </w:rPr>
      </w:pPr>
      <w:r w:rsidRPr="00932744">
        <w:rPr>
          <w:sz w:val="22"/>
          <w:szCs w:val="22"/>
          <w:lang w:val="de-DE"/>
        </w:rPr>
        <w:t xml:space="preserve"> </w:t>
      </w:r>
    </w:p>
    <w:p w:rsidR="00AC6ECF" w:rsidRPr="008B0F73" w:rsidRDefault="00AC6ECF" w:rsidP="00022B10">
      <w:pPr>
        <w:pStyle w:val="Normal1"/>
        <w:jc w:val="both"/>
        <w:rPr>
          <w:sz w:val="22"/>
          <w:szCs w:val="22"/>
        </w:rPr>
      </w:pPr>
      <w:r w:rsidRPr="008B0F73">
        <w:rPr>
          <w:sz w:val="22"/>
          <w:szCs w:val="22"/>
        </w:rPr>
        <w:t xml:space="preserve">3. van </w:t>
      </w:r>
      <w:proofErr w:type="spellStart"/>
      <w:r w:rsidRPr="008B0F73">
        <w:rPr>
          <w:sz w:val="22"/>
          <w:szCs w:val="22"/>
        </w:rPr>
        <w:t>Roomen</w:t>
      </w:r>
      <w:proofErr w:type="spellEnd"/>
      <w:r w:rsidRPr="008B0F73">
        <w:rPr>
          <w:sz w:val="22"/>
          <w:szCs w:val="22"/>
        </w:rPr>
        <w:t xml:space="preserve"> M., </w:t>
      </w:r>
      <w:proofErr w:type="spellStart"/>
      <w:r w:rsidRPr="008B0F73">
        <w:rPr>
          <w:sz w:val="22"/>
          <w:szCs w:val="22"/>
        </w:rPr>
        <w:t>Hornman</w:t>
      </w:r>
      <w:proofErr w:type="spellEnd"/>
      <w:r w:rsidRPr="008B0F73">
        <w:rPr>
          <w:sz w:val="22"/>
          <w:szCs w:val="22"/>
        </w:rPr>
        <w:t xml:space="preserve"> M., </w:t>
      </w:r>
      <w:proofErr w:type="spellStart"/>
      <w:r w:rsidRPr="008B0F73">
        <w:rPr>
          <w:sz w:val="22"/>
          <w:szCs w:val="22"/>
        </w:rPr>
        <w:t>Flink</w:t>
      </w:r>
      <w:proofErr w:type="spellEnd"/>
      <w:r w:rsidRPr="008B0F73">
        <w:rPr>
          <w:sz w:val="22"/>
          <w:szCs w:val="22"/>
        </w:rPr>
        <w:t xml:space="preserve"> S., Langendoen T., van </w:t>
      </w:r>
      <w:proofErr w:type="spellStart"/>
      <w:r w:rsidRPr="008B0F73">
        <w:rPr>
          <w:sz w:val="22"/>
          <w:szCs w:val="22"/>
        </w:rPr>
        <w:t>Winden</w:t>
      </w:r>
      <w:proofErr w:type="spellEnd"/>
      <w:r w:rsidRPr="008B0F73">
        <w:rPr>
          <w:sz w:val="22"/>
          <w:szCs w:val="22"/>
        </w:rPr>
        <w:t xml:space="preserve"> E., Nagy S. &amp; van </w:t>
      </w:r>
      <w:proofErr w:type="spellStart"/>
      <w:r w:rsidRPr="008B0F73">
        <w:rPr>
          <w:sz w:val="22"/>
          <w:szCs w:val="22"/>
        </w:rPr>
        <w:t>Turnhout</w:t>
      </w:r>
      <w:proofErr w:type="spellEnd"/>
      <w:r w:rsidRPr="008B0F73">
        <w:rPr>
          <w:sz w:val="22"/>
          <w:szCs w:val="22"/>
        </w:rPr>
        <w:t xml:space="preserve"> C. 2012. Flyway-trends for waterbird species important in Lakes </w:t>
      </w:r>
      <w:proofErr w:type="spellStart"/>
      <w:r w:rsidRPr="008B0F73">
        <w:rPr>
          <w:sz w:val="22"/>
          <w:szCs w:val="22"/>
        </w:rPr>
        <w:t>IJsselmeer</w:t>
      </w:r>
      <w:proofErr w:type="spellEnd"/>
      <w:r w:rsidRPr="008B0F73">
        <w:rPr>
          <w:sz w:val="22"/>
          <w:szCs w:val="22"/>
        </w:rPr>
        <w:t xml:space="preserve"> and </w:t>
      </w:r>
      <w:proofErr w:type="spellStart"/>
      <w:r w:rsidRPr="008B0F73">
        <w:rPr>
          <w:sz w:val="22"/>
          <w:szCs w:val="22"/>
        </w:rPr>
        <w:t>Markermeer</w:t>
      </w:r>
      <w:proofErr w:type="spellEnd"/>
      <w:r w:rsidRPr="008B0F73">
        <w:rPr>
          <w:sz w:val="22"/>
          <w:szCs w:val="22"/>
        </w:rPr>
        <w:t xml:space="preserve">. </w:t>
      </w:r>
      <w:proofErr w:type="spellStart"/>
      <w:r w:rsidRPr="008B0F73">
        <w:rPr>
          <w:sz w:val="22"/>
          <w:szCs w:val="22"/>
        </w:rPr>
        <w:t>Sovon</w:t>
      </w:r>
      <w:proofErr w:type="spellEnd"/>
      <w:r w:rsidRPr="008B0F73">
        <w:rPr>
          <w:sz w:val="22"/>
          <w:szCs w:val="22"/>
        </w:rPr>
        <w:t xml:space="preserve">-rapport 2012/22, </w:t>
      </w:r>
      <w:proofErr w:type="spellStart"/>
      <w:r w:rsidRPr="008B0F73">
        <w:rPr>
          <w:sz w:val="22"/>
          <w:szCs w:val="22"/>
        </w:rPr>
        <w:t>Sovon</w:t>
      </w:r>
      <w:proofErr w:type="spellEnd"/>
      <w:r w:rsidRPr="008B0F73">
        <w:rPr>
          <w:sz w:val="22"/>
          <w:szCs w:val="22"/>
        </w:rPr>
        <w:t xml:space="preserve"> Dutch Centre for Field Ornithology, Nijmegen - the Netherlands.</w:t>
      </w:r>
    </w:p>
    <w:p w:rsidR="00AC6ECF" w:rsidRPr="008B0F73" w:rsidRDefault="00D15A16" w:rsidP="00022B10">
      <w:pPr>
        <w:pStyle w:val="Normal1"/>
        <w:jc w:val="both"/>
        <w:rPr>
          <w:sz w:val="22"/>
          <w:szCs w:val="22"/>
        </w:rPr>
      </w:pPr>
      <w:hyperlink r:id="rId47" w:history="1">
        <w:r w:rsidR="00AC6ECF" w:rsidRPr="008B0F73">
          <w:rPr>
            <w:color w:val="1155CC"/>
            <w:sz w:val="22"/>
            <w:szCs w:val="22"/>
            <w:u w:val="single"/>
          </w:rPr>
          <w:t>http://www.wetlands.org/Portals/0/Rap_2012-22_FlywaytrendsTotaalLR.pdf</w:t>
        </w:r>
      </w:hyperlink>
    </w:p>
    <w:p w:rsidR="00AC6ECF" w:rsidRDefault="00AC6ECF" w:rsidP="00022B10">
      <w:pPr>
        <w:jc w:val="both"/>
        <w:rPr>
          <w:sz w:val="22"/>
          <w:szCs w:val="22"/>
        </w:rPr>
      </w:pPr>
    </w:p>
    <w:p w:rsidR="002E4695" w:rsidRPr="008B0F73" w:rsidRDefault="002E4695" w:rsidP="00022B10">
      <w:pPr>
        <w:jc w:val="both"/>
        <w:rPr>
          <w:sz w:val="22"/>
          <w:szCs w:val="22"/>
        </w:rPr>
      </w:pPr>
    </w:p>
    <w:p w:rsidR="00AC6ECF" w:rsidRPr="002E4695" w:rsidRDefault="00D15A16">
      <w:pPr>
        <w:pStyle w:val="Normal1"/>
        <w:rPr>
          <w:szCs w:val="24"/>
        </w:rPr>
      </w:pPr>
      <w:hyperlink r:id="rId48" w:history="1">
        <w:r w:rsidR="00AC6ECF" w:rsidRPr="002E4695">
          <w:rPr>
            <w:b/>
            <w:szCs w:val="24"/>
          </w:rPr>
          <w:t>Data requests:</w:t>
        </w:r>
      </w:hyperlink>
    </w:p>
    <w:p w:rsidR="00AC6ECF" w:rsidRPr="008B0F73" w:rsidRDefault="00D15A16">
      <w:pPr>
        <w:pStyle w:val="Normal1"/>
      </w:pPr>
      <w:hyperlink r:id="rId49" w:history="1">
        <w:r w:rsidR="00AC6ECF" w:rsidRPr="008B0F73">
          <w:rPr>
            <w:b/>
            <w:sz w:val="22"/>
          </w:rPr>
          <w:t xml:space="preserve"> </w:t>
        </w:r>
      </w:hyperlink>
    </w:p>
    <w:p w:rsidR="00AC6ECF" w:rsidRPr="008B0F73" w:rsidRDefault="00D15A16" w:rsidP="00022B10">
      <w:pPr>
        <w:pStyle w:val="Normal1"/>
        <w:jc w:val="both"/>
      </w:pPr>
      <w:hyperlink r:id="rId50" w:history="1">
        <w:r w:rsidR="00AC6ECF" w:rsidRPr="008B0F73">
          <w:rPr>
            <w:b/>
            <w:sz w:val="22"/>
          </w:rPr>
          <w:t>2015</w:t>
        </w:r>
      </w:hyperlink>
    </w:p>
    <w:p w:rsidR="00AC6ECF" w:rsidRPr="008B0F73" w:rsidRDefault="00AC6ECF" w:rsidP="00022B10">
      <w:pPr>
        <w:pStyle w:val="Normal1"/>
        <w:jc w:val="both"/>
        <w:rPr>
          <w:sz w:val="22"/>
          <w:szCs w:val="22"/>
        </w:rPr>
      </w:pPr>
      <w:r w:rsidRPr="008B0F73">
        <w:rPr>
          <w:sz w:val="22"/>
          <w:szCs w:val="22"/>
        </w:rPr>
        <w:t xml:space="preserve">1. </w:t>
      </w:r>
      <w:hyperlink r:id="rId51" w:history="1">
        <w:r w:rsidRPr="008B0F73">
          <w:rPr>
            <w:sz w:val="22"/>
            <w:szCs w:val="22"/>
          </w:rPr>
          <w:t>Goose Specialist Group: Update of population estimates for Bean Geese wintering in Europe</w:t>
        </w:r>
      </w:hyperlink>
    </w:p>
    <w:p w:rsidR="00AC6ECF" w:rsidRPr="008B0F73" w:rsidRDefault="00D15A16" w:rsidP="00022B10">
      <w:pPr>
        <w:pStyle w:val="Normal1"/>
        <w:jc w:val="both"/>
        <w:rPr>
          <w:sz w:val="22"/>
          <w:szCs w:val="22"/>
        </w:rPr>
      </w:pPr>
      <w:hyperlink r:id="rId52" w:history="1">
        <w:r w:rsidR="00AC6ECF" w:rsidRPr="008B0F73">
          <w:rPr>
            <w:rStyle w:val="Hyperlink"/>
            <w:sz w:val="22"/>
            <w:szCs w:val="22"/>
          </w:rPr>
          <w:t>http://www.wetlands.org/Portals/0/Rap_2012-22_FlywaytrendsTotaalLR.pdf</w:t>
        </w:r>
      </w:hyperlink>
    </w:p>
    <w:p w:rsidR="00767BDC" w:rsidRPr="008B0F73" w:rsidRDefault="00767BDC" w:rsidP="00022B10">
      <w:pPr>
        <w:pStyle w:val="Normal1"/>
        <w:jc w:val="both"/>
        <w:rPr>
          <w:sz w:val="22"/>
          <w:szCs w:val="22"/>
        </w:rPr>
      </w:pPr>
    </w:p>
    <w:p w:rsidR="00AC6ECF" w:rsidRPr="008B0F73" w:rsidRDefault="00D15A16" w:rsidP="00022B10">
      <w:pPr>
        <w:pStyle w:val="Normal1"/>
        <w:jc w:val="both"/>
        <w:rPr>
          <w:sz w:val="22"/>
          <w:szCs w:val="22"/>
        </w:rPr>
      </w:pPr>
      <w:hyperlink r:id="rId53" w:history="1">
        <w:r w:rsidR="00AC6ECF" w:rsidRPr="008B0F73">
          <w:rPr>
            <w:b/>
            <w:sz w:val="22"/>
            <w:szCs w:val="22"/>
          </w:rPr>
          <w:t>2014</w:t>
        </w:r>
      </w:hyperlink>
    </w:p>
    <w:p w:rsidR="00AC6ECF" w:rsidRPr="008B0F73" w:rsidRDefault="00AC6ECF" w:rsidP="00022B10">
      <w:pPr>
        <w:pStyle w:val="Normal1"/>
        <w:jc w:val="both"/>
        <w:rPr>
          <w:sz w:val="22"/>
          <w:szCs w:val="22"/>
        </w:rPr>
      </w:pPr>
      <w:r w:rsidRPr="008B0F73">
        <w:rPr>
          <w:sz w:val="22"/>
          <w:szCs w:val="22"/>
        </w:rPr>
        <w:t xml:space="preserve">1. </w:t>
      </w:r>
      <w:hyperlink r:id="rId54" w:history="1">
        <w:r w:rsidRPr="008B0F73">
          <w:rPr>
            <w:sz w:val="22"/>
            <w:szCs w:val="22"/>
          </w:rPr>
          <w:t xml:space="preserve">Society for the Protection of </w:t>
        </w:r>
        <w:proofErr w:type="spellStart"/>
        <w:r w:rsidRPr="008B0F73">
          <w:rPr>
            <w:sz w:val="22"/>
            <w:szCs w:val="22"/>
          </w:rPr>
          <w:t>Prespa</w:t>
        </w:r>
        <w:proofErr w:type="spellEnd"/>
        <w:r w:rsidRPr="008B0F73">
          <w:rPr>
            <w:sz w:val="22"/>
            <w:szCs w:val="22"/>
          </w:rPr>
          <w:t>. Conservation of pelicans in Greece and SE Europe.</w:t>
        </w:r>
      </w:hyperlink>
    </w:p>
    <w:p w:rsidR="00AC6ECF" w:rsidRPr="008B0F73" w:rsidRDefault="00AC6ECF" w:rsidP="00022B10">
      <w:pPr>
        <w:pStyle w:val="Normal1"/>
        <w:jc w:val="both"/>
        <w:rPr>
          <w:sz w:val="22"/>
          <w:szCs w:val="22"/>
        </w:rPr>
      </w:pPr>
      <w:r w:rsidRPr="008B0F73">
        <w:rPr>
          <w:sz w:val="22"/>
          <w:szCs w:val="22"/>
        </w:rPr>
        <w:t xml:space="preserve">2. </w:t>
      </w:r>
      <w:hyperlink r:id="rId55" w:history="1">
        <w:r w:rsidRPr="008B0F73">
          <w:rPr>
            <w:sz w:val="22"/>
            <w:szCs w:val="22"/>
          </w:rPr>
          <w:t xml:space="preserve">Cormorant Specialist Group (EU project </w:t>
        </w:r>
        <w:proofErr w:type="spellStart"/>
        <w:r w:rsidRPr="008B0F73">
          <w:rPr>
            <w:sz w:val="22"/>
            <w:szCs w:val="22"/>
          </w:rPr>
          <w:t>CorMan</w:t>
        </w:r>
        <w:proofErr w:type="spellEnd"/>
        <w:r w:rsidRPr="008B0F73">
          <w:rPr>
            <w:sz w:val="22"/>
            <w:szCs w:val="22"/>
          </w:rPr>
          <w:t>): Pan-European roost count Great Cormorant, January 2013.</w:t>
        </w:r>
      </w:hyperlink>
    </w:p>
    <w:p w:rsidR="00AC6ECF" w:rsidRPr="008B0F73" w:rsidRDefault="00AC6ECF" w:rsidP="00022B10">
      <w:pPr>
        <w:pStyle w:val="Normal1"/>
        <w:jc w:val="both"/>
        <w:rPr>
          <w:sz w:val="22"/>
          <w:szCs w:val="22"/>
        </w:rPr>
      </w:pPr>
      <w:r w:rsidRPr="008B0F73">
        <w:rPr>
          <w:sz w:val="22"/>
          <w:szCs w:val="22"/>
        </w:rPr>
        <w:t xml:space="preserve">3. </w:t>
      </w:r>
      <w:hyperlink r:id="rId56" w:history="1">
        <w:r w:rsidRPr="008B0F73">
          <w:rPr>
            <w:sz w:val="22"/>
            <w:szCs w:val="22"/>
          </w:rPr>
          <w:t xml:space="preserve">Division of Biology &amp; Conservation Ecology, School of Science &amp; the Environment, Manchester Metropolitan University: The Conservation and Management of Selected </w:t>
        </w:r>
        <w:proofErr w:type="spellStart"/>
        <w:r w:rsidRPr="008B0F73">
          <w:rPr>
            <w:sz w:val="22"/>
            <w:szCs w:val="22"/>
          </w:rPr>
          <w:t>Huntable</w:t>
        </w:r>
        <w:proofErr w:type="spellEnd"/>
        <w:r w:rsidRPr="008B0F73">
          <w:rPr>
            <w:sz w:val="22"/>
            <w:szCs w:val="22"/>
          </w:rPr>
          <w:t xml:space="preserve"> Bird Species in Europe</w:t>
        </w:r>
      </w:hyperlink>
    </w:p>
    <w:p w:rsidR="00AC6ECF" w:rsidRPr="008B0F73" w:rsidRDefault="00D15A16" w:rsidP="00022B10">
      <w:pPr>
        <w:pStyle w:val="Normal1"/>
        <w:jc w:val="both"/>
        <w:rPr>
          <w:sz w:val="22"/>
          <w:szCs w:val="22"/>
        </w:rPr>
      </w:pPr>
      <w:hyperlink r:id="rId57" w:history="1">
        <w:r w:rsidR="00AC6ECF" w:rsidRPr="008B0F73">
          <w:rPr>
            <w:rStyle w:val="Hyperlink"/>
            <w:sz w:val="22"/>
            <w:szCs w:val="22"/>
          </w:rPr>
          <w:t>http://www.wetlands.org/Portals/0/Rap_2012-22_FlywaytrendsTotaalLR.pdf</w:t>
        </w:r>
      </w:hyperlink>
    </w:p>
    <w:p w:rsidR="00767BDC" w:rsidRPr="008B0F73" w:rsidRDefault="00767BDC" w:rsidP="00022B10">
      <w:pPr>
        <w:pStyle w:val="Normal1"/>
        <w:jc w:val="both"/>
        <w:rPr>
          <w:sz w:val="22"/>
          <w:szCs w:val="22"/>
        </w:rPr>
      </w:pPr>
    </w:p>
    <w:p w:rsidR="00AC6ECF" w:rsidRPr="008B0F73" w:rsidRDefault="00D15A16" w:rsidP="00022B10">
      <w:pPr>
        <w:pStyle w:val="Normal1"/>
        <w:jc w:val="both"/>
        <w:rPr>
          <w:sz w:val="22"/>
          <w:szCs w:val="22"/>
        </w:rPr>
      </w:pPr>
      <w:hyperlink r:id="rId58" w:history="1">
        <w:r w:rsidR="00AC6ECF" w:rsidRPr="008B0F73">
          <w:rPr>
            <w:b/>
            <w:sz w:val="22"/>
            <w:szCs w:val="22"/>
          </w:rPr>
          <w:t>2013</w:t>
        </w:r>
      </w:hyperlink>
    </w:p>
    <w:p w:rsidR="00AC6ECF" w:rsidRPr="008B0F73" w:rsidRDefault="00AC6ECF" w:rsidP="00022B10">
      <w:pPr>
        <w:pStyle w:val="Normal1"/>
        <w:jc w:val="both"/>
        <w:rPr>
          <w:sz w:val="22"/>
          <w:szCs w:val="22"/>
        </w:rPr>
      </w:pPr>
      <w:r w:rsidRPr="008B0F73">
        <w:rPr>
          <w:sz w:val="22"/>
          <w:szCs w:val="22"/>
        </w:rPr>
        <w:t xml:space="preserve">1. </w:t>
      </w:r>
      <w:hyperlink r:id="rId59" w:history="1">
        <w:r w:rsidR="00767BDC" w:rsidRPr="008B0F73">
          <w:rPr>
            <w:sz w:val="22"/>
            <w:szCs w:val="22"/>
          </w:rPr>
          <w:t>ONCFS. PhD thesis</w:t>
        </w:r>
        <w:r w:rsidRPr="008B0F73">
          <w:rPr>
            <w:sz w:val="22"/>
            <w:szCs w:val="22"/>
          </w:rPr>
          <w:t>: Influence of post-harvest agricultural practices on rice field use by wintering ducks</w:t>
        </w:r>
      </w:hyperlink>
    </w:p>
    <w:p w:rsidR="00AC6ECF" w:rsidRPr="008B0F73" w:rsidRDefault="00D15A16" w:rsidP="00022B10">
      <w:pPr>
        <w:pStyle w:val="Normal1"/>
        <w:jc w:val="both"/>
        <w:rPr>
          <w:sz w:val="22"/>
          <w:szCs w:val="22"/>
        </w:rPr>
      </w:pPr>
      <w:hyperlink r:id="rId60" w:history="1">
        <w:r w:rsidR="00AC6ECF" w:rsidRPr="008B0F73">
          <w:rPr>
            <w:sz w:val="22"/>
            <w:szCs w:val="22"/>
          </w:rPr>
          <w:t>Wetlands International Foundation: Iraqi Marshlands World Heritage comparative analysis</w:t>
        </w:r>
      </w:hyperlink>
    </w:p>
    <w:p w:rsidR="00AC6ECF" w:rsidRPr="008B0F73" w:rsidRDefault="00D15A16" w:rsidP="00022B10">
      <w:pPr>
        <w:pStyle w:val="Normal1"/>
        <w:jc w:val="both"/>
        <w:rPr>
          <w:sz w:val="22"/>
          <w:szCs w:val="22"/>
        </w:rPr>
      </w:pPr>
      <w:hyperlink r:id="rId61" w:history="1">
        <w:r w:rsidR="00AC6ECF" w:rsidRPr="008B0F73">
          <w:rPr>
            <w:rStyle w:val="Hyperlink"/>
            <w:sz w:val="22"/>
            <w:szCs w:val="22"/>
          </w:rPr>
          <w:t>http://www.wetlands.org/Portals/0/Rap_2012-22_FlywaytrendsTotaalLR.pdf</w:t>
        </w:r>
      </w:hyperlink>
    </w:p>
    <w:p w:rsidR="00767BDC" w:rsidRPr="008B0F73" w:rsidRDefault="00767BDC" w:rsidP="00022B10">
      <w:pPr>
        <w:pStyle w:val="Normal1"/>
        <w:jc w:val="both"/>
        <w:rPr>
          <w:sz w:val="22"/>
          <w:szCs w:val="22"/>
        </w:rPr>
      </w:pPr>
    </w:p>
    <w:p w:rsidR="00AC6ECF" w:rsidRPr="002E4695" w:rsidRDefault="00234075" w:rsidP="00022B10">
      <w:pPr>
        <w:pStyle w:val="Normal1"/>
        <w:jc w:val="both"/>
        <w:rPr>
          <w:sz w:val="22"/>
          <w:szCs w:val="22"/>
          <w:lang w:val="fr-FR"/>
        </w:rPr>
      </w:pPr>
      <w:hyperlink r:id="rId62" w:history="1">
        <w:r w:rsidR="00AC6ECF" w:rsidRPr="002E4695">
          <w:rPr>
            <w:b/>
            <w:sz w:val="22"/>
            <w:szCs w:val="22"/>
            <w:lang w:val="fr-FR"/>
          </w:rPr>
          <w:t>2012</w:t>
        </w:r>
      </w:hyperlink>
    </w:p>
    <w:p w:rsidR="00AC6ECF" w:rsidRPr="00D15A16" w:rsidRDefault="00AC6ECF" w:rsidP="00022B10">
      <w:pPr>
        <w:pStyle w:val="Normal1"/>
        <w:jc w:val="both"/>
        <w:rPr>
          <w:sz w:val="22"/>
          <w:szCs w:val="22"/>
          <w:lang w:val="fr-FR"/>
        </w:rPr>
      </w:pPr>
      <w:r w:rsidRPr="002E4695">
        <w:rPr>
          <w:sz w:val="22"/>
          <w:szCs w:val="22"/>
          <w:lang w:val="fr-FR"/>
        </w:rPr>
        <w:t xml:space="preserve">1. </w:t>
      </w:r>
      <w:hyperlink r:id="rId63" w:history="1">
        <w:r w:rsidRPr="002E4695">
          <w:rPr>
            <w:sz w:val="22"/>
            <w:szCs w:val="22"/>
            <w:lang w:val="fr-FR"/>
          </w:rPr>
          <w:t xml:space="preserve">Ligue pour la Protection des Oiseaux. </w:t>
        </w:r>
        <w:r w:rsidRPr="00D15A16">
          <w:rPr>
            <w:sz w:val="22"/>
            <w:szCs w:val="22"/>
            <w:lang w:val="fr-FR"/>
          </w:rPr>
          <w:t xml:space="preserve">Trend </w:t>
        </w:r>
        <w:proofErr w:type="spellStart"/>
        <w:r w:rsidRPr="00D15A16">
          <w:rPr>
            <w:sz w:val="22"/>
            <w:szCs w:val="22"/>
            <w:lang w:val="fr-FR"/>
          </w:rPr>
          <w:t>analysis</w:t>
        </w:r>
        <w:proofErr w:type="spellEnd"/>
        <w:r w:rsidRPr="00D15A16">
          <w:rPr>
            <w:sz w:val="22"/>
            <w:szCs w:val="22"/>
            <w:lang w:val="fr-FR"/>
          </w:rPr>
          <w:t xml:space="preserve"> of non-</w:t>
        </w:r>
        <w:proofErr w:type="spellStart"/>
        <w:r w:rsidRPr="00D15A16">
          <w:rPr>
            <w:sz w:val="22"/>
            <w:szCs w:val="22"/>
            <w:lang w:val="fr-FR"/>
          </w:rPr>
          <w:t>breeding</w:t>
        </w:r>
        <w:proofErr w:type="spellEnd"/>
        <w:r w:rsidRPr="00D15A16">
          <w:rPr>
            <w:sz w:val="22"/>
            <w:szCs w:val="22"/>
            <w:lang w:val="fr-FR"/>
          </w:rPr>
          <w:t xml:space="preserve"> </w:t>
        </w:r>
        <w:proofErr w:type="spellStart"/>
        <w:r w:rsidRPr="00D15A16">
          <w:rPr>
            <w:sz w:val="22"/>
            <w:szCs w:val="22"/>
            <w:lang w:val="fr-FR"/>
          </w:rPr>
          <w:t>birds</w:t>
        </w:r>
        <w:proofErr w:type="spellEnd"/>
        <w:r w:rsidRPr="00D15A16">
          <w:rPr>
            <w:sz w:val="22"/>
            <w:szCs w:val="22"/>
            <w:lang w:val="fr-FR"/>
          </w:rPr>
          <w:t xml:space="preserve"> in France.</w:t>
        </w:r>
      </w:hyperlink>
    </w:p>
    <w:p w:rsidR="00AC6ECF" w:rsidRPr="008B0F73" w:rsidRDefault="00AC6ECF" w:rsidP="00022B10">
      <w:pPr>
        <w:pStyle w:val="Normal1"/>
        <w:jc w:val="both"/>
        <w:rPr>
          <w:sz w:val="22"/>
          <w:szCs w:val="22"/>
        </w:rPr>
      </w:pPr>
      <w:r w:rsidRPr="008B0F73">
        <w:rPr>
          <w:sz w:val="22"/>
          <w:szCs w:val="22"/>
        </w:rPr>
        <w:t xml:space="preserve">2. </w:t>
      </w:r>
      <w:hyperlink r:id="rId64" w:history="1">
        <w:proofErr w:type="spellStart"/>
        <w:r w:rsidRPr="008B0F73">
          <w:rPr>
            <w:sz w:val="22"/>
            <w:szCs w:val="22"/>
          </w:rPr>
          <w:t>Alterra</w:t>
        </w:r>
        <w:proofErr w:type="spellEnd"/>
        <w:r w:rsidRPr="008B0F73">
          <w:rPr>
            <w:sz w:val="22"/>
            <w:szCs w:val="22"/>
          </w:rPr>
          <w:t xml:space="preserve"> </w:t>
        </w:r>
        <w:proofErr w:type="spellStart"/>
        <w:r w:rsidRPr="008B0F73">
          <w:rPr>
            <w:sz w:val="22"/>
            <w:szCs w:val="22"/>
          </w:rPr>
          <w:t>Wageningen</w:t>
        </w:r>
        <w:proofErr w:type="spellEnd"/>
        <w:r w:rsidRPr="008B0F73">
          <w:rPr>
            <w:sz w:val="22"/>
            <w:szCs w:val="22"/>
          </w:rPr>
          <w:t xml:space="preserve"> UR. </w:t>
        </w:r>
        <w:proofErr w:type="spellStart"/>
        <w:r w:rsidRPr="008B0F73">
          <w:rPr>
            <w:sz w:val="22"/>
            <w:szCs w:val="22"/>
          </w:rPr>
          <w:t>Econet</w:t>
        </w:r>
        <w:proofErr w:type="spellEnd"/>
        <w:r w:rsidRPr="008B0F73">
          <w:rPr>
            <w:sz w:val="22"/>
            <w:szCs w:val="22"/>
          </w:rPr>
          <w:t>-flyways - analysis on flyway patterns</w:t>
        </w:r>
      </w:hyperlink>
    </w:p>
    <w:p w:rsidR="00AC6ECF" w:rsidRPr="008B0F73" w:rsidRDefault="00AC6ECF" w:rsidP="00022B10">
      <w:pPr>
        <w:pStyle w:val="Normal1"/>
        <w:jc w:val="both"/>
        <w:rPr>
          <w:sz w:val="22"/>
          <w:szCs w:val="22"/>
        </w:rPr>
      </w:pPr>
      <w:r w:rsidRPr="008B0F73">
        <w:rPr>
          <w:sz w:val="22"/>
          <w:szCs w:val="22"/>
        </w:rPr>
        <w:t xml:space="preserve">3. </w:t>
      </w:r>
      <w:hyperlink r:id="rId65" w:history="1">
        <w:r w:rsidRPr="008B0F73">
          <w:rPr>
            <w:sz w:val="22"/>
            <w:szCs w:val="22"/>
          </w:rPr>
          <w:t>Wildfowl &amp; Wetlands Trust: Understanding trends and distribution changes in wintering Red-breasted Goose</w:t>
        </w:r>
      </w:hyperlink>
    </w:p>
    <w:p w:rsidR="00AC6ECF" w:rsidRPr="00932744" w:rsidRDefault="00AC6ECF" w:rsidP="00022B10">
      <w:pPr>
        <w:pStyle w:val="Normal1"/>
        <w:jc w:val="both"/>
        <w:rPr>
          <w:sz w:val="22"/>
          <w:szCs w:val="22"/>
          <w:lang w:val="de-DE"/>
        </w:rPr>
      </w:pPr>
      <w:r w:rsidRPr="00932744">
        <w:rPr>
          <w:sz w:val="22"/>
          <w:szCs w:val="22"/>
          <w:lang w:val="de-DE"/>
        </w:rPr>
        <w:t xml:space="preserve">4. </w:t>
      </w:r>
      <w:hyperlink r:id="rId66" w:history="1">
        <w:proofErr w:type="spellStart"/>
        <w:r w:rsidRPr="00932744">
          <w:rPr>
            <w:sz w:val="22"/>
            <w:szCs w:val="22"/>
            <w:lang w:val="de-DE"/>
          </w:rPr>
          <w:t>Sovon</w:t>
        </w:r>
        <w:proofErr w:type="spellEnd"/>
        <w:r w:rsidRPr="00932744">
          <w:rPr>
            <w:sz w:val="22"/>
            <w:szCs w:val="22"/>
            <w:lang w:val="de-DE"/>
          </w:rPr>
          <w:t xml:space="preserve">: </w:t>
        </w:r>
        <w:proofErr w:type="spellStart"/>
        <w:r w:rsidRPr="00932744">
          <w:rPr>
            <w:sz w:val="22"/>
            <w:szCs w:val="22"/>
            <w:lang w:val="de-DE"/>
          </w:rPr>
          <w:t>Naar</w:t>
        </w:r>
        <w:proofErr w:type="spellEnd"/>
        <w:r w:rsidRPr="00932744">
          <w:rPr>
            <w:sz w:val="22"/>
            <w:szCs w:val="22"/>
            <w:lang w:val="de-DE"/>
          </w:rPr>
          <w:t xml:space="preserve"> </w:t>
        </w:r>
        <w:proofErr w:type="spellStart"/>
        <w:r w:rsidRPr="00932744">
          <w:rPr>
            <w:sz w:val="22"/>
            <w:szCs w:val="22"/>
            <w:lang w:val="de-DE"/>
          </w:rPr>
          <w:t>een</w:t>
        </w:r>
        <w:proofErr w:type="spellEnd"/>
        <w:r w:rsidRPr="00932744">
          <w:rPr>
            <w:sz w:val="22"/>
            <w:szCs w:val="22"/>
            <w:lang w:val="de-DE"/>
          </w:rPr>
          <w:t xml:space="preserve"> </w:t>
        </w:r>
        <w:proofErr w:type="spellStart"/>
        <w:r w:rsidRPr="00932744">
          <w:rPr>
            <w:sz w:val="22"/>
            <w:szCs w:val="22"/>
            <w:lang w:val="de-DE"/>
          </w:rPr>
          <w:t>effectief</w:t>
        </w:r>
        <w:proofErr w:type="spellEnd"/>
        <w:r w:rsidRPr="00932744">
          <w:rPr>
            <w:sz w:val="22"/>
            <w:szCs w:val="22"/>
            <w:lang w:val="de-DE"/>
          </w:rPr>
          <w:t xml:space="preserve"> en </w:t>
        </w:r>
        <w:proofErr w:type="spellStart"/>
        <w:r w:rsidRPr="00932744">
          <w:rPr>
            <w:sz w:val="22"/>
            <w:szCs w:val="22"/>
            <w:lang w:val="de-DE"/>
          </w:rPr>
          <w:t>internationaal</w:t>
        </w:r>
        <w:proofErr w:type="spellEnd"/>
        <w:r w:rsidRPr="00932744">
          <w:rPr>
            <w:sz w:val="22"/>
            <w:szCs w:val="22"/>
            <w:lang w:val="de-DE"/>
          </w:rPr>
          <w:t xml:space="preserve"> </w:t>
        </w:r>
        <w:proofErr w:type="spellStart"/>
        <w:r w:rsidRPr="00932744">
          <w:rPr>
            <w:sz w:val="22"/>
            <w:szCs w:val="22"/>
            <w:lang w:val="de-DE"/>
          </w:rPr>
          <w:t>verantwoord</w:t>
        </w:r>
        <w:proofErr w:type="spellEnd"/>
        <w:r w:rsidRPr="00932744">
          <w:rPr>
            <w:sz w:val="22"/>
            <w:szCs w:val="22"/>
            <w:lang w:val="de-DE"/>
          </w:rPr>
          <w:t xml:space="preserve"> </w:t>
        </w:r>
        <w:proofErr w:type="spellStart"/>
        <w:r w:rsidRPr="00932744">
          <w:rPr>
            <w:sz w:val="22"/>
            <w:szCs w:val="22"/>
            <w:lang w:val="de-DE"/>
          </w:rPr>
          <w:t>beheer</w:t>
        </w:r>
        <w:proofErr w:type="spellEnd"/>
        <w:r w:rsidRPr="00932744">
          <w:rPr>
            <w:sz w:val="22"/>
            <w:szCs w:val="22"/>
            <w:lang w:val="de-DE"/>
          </w:rPr>
          <w:t xml:space="preserve"> van de in </w:t>
        </w:r>
        <w:proofErr w:type="spellStart"/>
        <w:r w:rsidRPr="00932744">
          <w:rPr>
            <w:sz w:val="22"/>
            <w:szCs w:val="22"/>
            <w:lang w:val="de-DE"/>
          </w:rPr>
          <w:t>Nederland</w:t>
        </w:r>
        <w:proofErr w:type="spellEnd"/>
        <w:r w:rsidRPr="00932744">
          <w:rPr>
            <w:sz w:val="22"/>
            <w:szCs w:val="22"/>
            <w:lang w:val="de-DE"/>
          </w:rPr>
          <w:t xml:space="preserve"> </w:t>
        </w:r>
        <w:proofErr w:type="spellStart"/>
        <w:r w:rsidRPr="00932744">
          <w:rPr>
            <w:sz w:val="22"/>
            <w:szCs w:val="22"/>
            <w:lang w:val="de-DE"/>
          </w:rPr>
          <w:t>overwinterende</w:t>
        </w:r>
        <w:proofErr w:type="spellEnd"/>
        <w:r w:rsidRPr="00932744">
          <w:rPr>
            <w:sz w:val="22"/>
            <w:szCs w:val="22"/>
            <w:lang w:val="de-DE"/>
          </w:rPr>
          <w:t xml:space="preserve"> </w:t>
        </w:r>
        <w:proofErr w:type="spellStart"/>
        <w:r w:rsidRPr="00932744">
          <w:rPr>
            <w:sz w:val="22"/>
            <w:szCs w:val="22"/>
            <w:lang w:val="de-DE"/>
          </w:rPr>
          <w:t>populatie</w:t>
        </w:r>
        <w:proofErr w:type="spellEnd"/>
        <w:r w:rsidRPr="00932744">
          <w:rPr>
            <w:sz w:val="22"/>
            <w:szCs w:val="22"/>
            <w:lang w:val="de-DE"/>
          </w:rPr>
          <w:t xml:space="preserve"> </w:t>
        </w:r>
        <w:proofErr w:type="spellStart"/>
        <w:r w:rsidRPr="00932744">
          <w:rPr>
            <w:sz w:val="22"/>
            <w:szCs w:val="22"/>
            <w:lang w:val="de-DE"/>
          </w:rPr>
          <w:t>Kolganzen</w:t>
        </w:r>
        <w:proofErr w:type="spellEnd"/>
        <w:r w:rsidRPr="00932744">
          <w:rPr>
            <w:sz w:val="22"/>
            <w:szCs w:val="22"/>
            <w:lang w:val="de-DE"/>
          </w:rPr>
          <w:t xml:space="preserve"> (</w:t>
        </w:r>
      </w:hyperlink>
      <w:hyperlink r:id="rId67" w:history="1">
        <w:r w:rsidRPr="00932744">
          <w:rPr>
            <w:i/>
            <w:sz w:val="22"/>
            <w:szCs w:val="22"/>
            <w:lang w:val="de-DE"/>
          </w:rPr>
          <w:t xml:space="preserve">Anser </w:t>
        </w:r>
        <w:proofErr w:type="spellStart"/>
        <w:r w:rsidRPr="00932744">
          <w:rPr>
            <w:i/>
            <w:sz w:val="22"/>
            <w:szCs w:val="22"/>
            <w:lang w:val="de-DE"/>
          </w:rPr>
          <w:t>albifrons</w:t>
        </w:r>
        <w:proofErr w:type="spellEnd"/>
      </w:hyperlink>
      <w:hyperlink r:id="rId68" w:history="1">
        <w:r w:rsidRPr="00932744">
          <w:rPr>
            <w:sz w:val="22"/>
            <w:szCs w:val="22"/>
            <w:lang w:val="de-DE"/>
          </w:rPr>
          <w:t>)</w:t>
        </w:r>
      </w:hyperlink>
    </w:p>
    <w:p w:rsidR="00AC6ECF" w:rsidRPr="008B0F73" w:rsidRDefault="00AC6ECF" w:rsidP="00022B10">
      <w:pPr>
        <w:pStyle w:val="Normal1"/>
        <w:jc w:val="both"/>
        <w:rPr>
          <w:sz w:val="22"/>
          <w:szCs w:val="22"/>
        </w:rPr>
      </w:pPr>
      <w:r w:rsidRPr="008B0F73">
        <w:rPr>
          <w:sz w:val="22"/>
          <w:szCs w:val="22"/>
        </w:rPr>
        <w:t xml:space="preserve">5. </w:t>
      </w:r>
      <w:hyperlink r:id="rId69" w:history="1">
        <w:r w:rsidRPr="008B0F73">
          <w:rPr>
            <w:sz w:val="22"/>
            <w:szCs w:val="22"/>
          </w:rPr>
          <w:t xml:space="preserve">Centre </w:t>
        </w:r>
        <w:proofErr w:type="spellStart"/>
        <w:r w:rsidRPr="008B0F73">
          <w:rPr>
            <w:sz w:val="22"/>
            <w:szCs w:val="22"/>
          </w:rPr>
          <w:t>d'Etudes</w:t>
        </w:r>
        <w:proofErr w:type="spellEnd"/>
        <w:r w:rsidRPr="008B0F73">
          <w:rPr>
            <w:sz w:val="22"/>
            <w:szCs w:val="22"/>
          </w:rPr>
          <w:t xml:space="preserve"> </w:t>
        </w:r>
        <w:proofErr w:type="spellStart"/>
        <w:r w:rsidRPr="008B0F73">
          <w:rPr>
            <w:sz w:val="22"/>
            <w:szCs w:val="22"/>
          </w:rPr>
          <w:t>Biologiques</w:t>
        </w:r>
        <w:proofErr w:type="spellEnd"/>
        <w:r w:rsidRPr="008B0F73">
          <w:rPr>
            <w:sz w:val="22"/>
            <w:szCs w:val="22"/>
          </w:rPr>
          <w:t xml:space="preserve"> de </w:t>
        </w:r>
        <w:proofErr w:type="spellStart"/>
        <w:r w:rsidRPr="008B0F73">
          <w:rPr>
            <w:sz w:val="22"/>
            <w:szCs w:val="22"/>
          </w:rPr>
          <w:t>Chizé</w:t>
        </w:r>
        <w:proofErr w:type="spellEnd"/>
        <w:r w:rsidRPr="008B0F73">
          <w:rPr>
            <w:sz w:val="22"/>
            <w:szCs w:val="22"/>
          </w:rPr>
          <w:t xml:space="preserve"> </w:t>
        </w:r>
        <w:proofErr w:type="gramStart"/>
        <w:r w:rsidRPr="008B0F73">
          <w:rPr>
            <w:sz w:val="22"/>
            <w:szCs w:val="22"/>
          </w:rPr>
          <w:t>UPR :</w:t>
        </w:r>
        <w:proofErr w:type="gramEnd"/>
        <w:r w:rsidRPr="008B0F73">
          <w:rPr>
            <w:sz w:val="22"/>
            <w:szCs w:val="22"/>
          </w:rPr>
          <w:t xml:space="preserve"> Distribution and decline of Common and</w:t>
        </w:r>
      </w:hyperlink>
      <w:r w:rsidRPr="008B0F73">
        <w:rPr>
          <w:sz w:val="22"/>
          <w:szCs w:val="22"/>
        </w:rPr>
        <w:t xml:space="preserve"> </w:t>
      </w:r>
      <w:hyperlink r:id="rId70" w:history="1">
        <w:r w:rsidRPr="008B0F73">
          <w:rPr>
            <w:sz w:val="22"/>
            <w:szCs w:val="22"/>
          </w:rPr>
          <w:t>Brown Scoters in the Western Palaearctic region.</w:t>
        </w:r>
      </w:hyperlink>
    </w:p>
    <w:p w:rsidR="00AC6ECF" w:rsidRPr="008B0F73" w:rsidRDefault="00AC6ECF" w:rsidP="00022B10">
      <w:pPr>
        <w:pStyle w:val="Normal1"/>
        <w:jc w:val="both"/>
        <w:rPr>
          <w:sz w:val="22"/>
          <w:szCs w:val="22"/>
        </w:rPr>
      </w:pPr>
      <w:r w:rsidRPr="008B0F73">
        <w:rPr>
          <w:sz w:val="22"/>
          <w:szCs w:val="22"/>
        </w:rPr>
        <w:t xml:space="preserve">6. </w:t>
      </w:r>
      <w:hyperlink r:id="rId71" w:history="1">
        <w:r w:rsidRPr="008B0F73">
          <w:rPr>
            <w:sz w:val="22"/>
            <w:szCs w:val="22"/>
          </w:rPr>
          <w:t>ONCFS: Redaction of a monograph on Teal (</w:t>
        </w:r>
        <w:proofErr w:type="spellStart"/>
      </w:hyperlink>
      <w:hyperlink r:id="rId72" w:history="1">
        <w:r w:rsidRPr="008B0F73">
          <w:rPr>
            <w:i/>
            <w:sz w:val="22"/>
            <w:szCs w:val="22"/>
          </w:rPr>
          <w:t>Anas</w:t>
        </w:r>
        <w:proofErr w:type="spellEnd"/>
        <w:r w:rsidRPr="008B0F73">
          <w:rPr>
            <w:i/>
            <w:sz w:val="22"/>
            <w:szCs w:val="22"/>
          </w:rPr>
          <w:t xml:space="preserve"> </w:t>
        </w:r>
        <w:proofErr w:type="spellStart"/>
        <w:r w:rsidRPr="008B0F73">
          <w:rPr>
            <w:i/>
            <w:sz w:val="22"/>
            <w:szCs w:val="22"/>
          </w:rPr>
          <w:t>crecca</w:t>
        </w:r>
        <w:proofErr w:type="spellEnd"/>
      </w:hyperlink>
      <w:hyperlink r:id="rId73" w:history="1">
        <w:r w:rsidRPr="008B0F73">
          <w:rPr>
            <w:sz w:val="22"/>
            <w:szCs w:val="22"/>
          </w:rPr>
          <w:t>)</w:t>
        </w:r>
      </w:hyperlink>
    </w:p>
    <w:p w:rsidR="00AC6ECF" w:rsidRPr="008B0F73" w:rsidRDefault="00D15A16" w:rsidP="00022B10">
      <w:pPr>
        <w:pStyle w:val="Normal1"/>
        <w:jc w:val="both"/>
        <w:rPr>
          <w:sz w:val="22"/>
          <w:szCs w:val="22"/>
        </w:rPr>
      </w:pPr>
      <w:hyperlink r:id="rId74" w:history="1">
        <w:r w:rsidR="00AC6ECF" w:rsidRPr="008B0F73">
          <w:rPr>
            <w:sz w:val="22"/>
            <w:szCs w:val="22"/>
          </w:rPr>
          <w:t xml:space="preserve"> </w:t>
        </w:r>
      </w:hyperlink>
    </w:p>
    <w:p w:rsidR="00AC6ECF" w:rsidRPr="008B0F73" w:rsidRDefault="00D15A16" w:rsidP="00022B10">
      <w:pPr>
        <w:pStyle w:val="Normal1"/>
        <w:jc w:val="both"/>
        <w:rPr>
          <w:sz w:val="22"/>
          <w:szCs w:val="22"/>
        </w:rPr>
      </w:pPr>
      <w:hyperlink r:id="rId75" w:history="1">
        <w:r w:rsidR="00AC6ECF" w:rsidRPr="008B0F73">
          <w:rPr>
            <w:b/>
            <w:sz w:val="22"/>
            <w:szCs w:val="22"/>
          </w:rPr>
          <w:t>2011</w:t>
        </w:r>
      </w:hyperlink>
    </w:p>
    <w:p w:rsidR="00AC6ECF" w:rsidRPr="008B0F73" w:rsidRDefault="00AC6ECF" w:rsidP="00022B10">
      <w:pPr>
        <w:pStyle w:val="Normal1"/>
        <w:jc w:val="both"/>
        <w:rPr>
          <w:sz w:val="22"/>
          <w:szCs w:val="22"/>
        </w:rPr>
      </w:pPr>
      <w:r w:rsidRPr="008B0F73">
        <w:rPr>
          <w:sz w:val="22"/>
          <w:szCs w:val="22"/>
        </w:rPr>
        <w:t xml:space="preserve">1. </w:t>
      </w:r>
      <w:hyperlink r:id="rId76" w:history="1">
        <w:r w:rsidRPr="008B0F73">
          <w:rPr>
            <w:sz w:val="22"/>
            <w:szCs w:val="22"/>
          </w:rPr>
          <w:t xml:space="preserve">NOWAC initiative: Long-term trends in ecosystem effects on food quality and abundance, and the consequences for population trends in migratory </w:t>
        </w:r>
        <w:proofErr w:type="spellStart"/>
        <w:r w:rsidRPr="008B0F73">
          <w:rPr>
            <w:sz w:val="22"/>
            <w:szCs w:val="22"/>
          </w:rPr>
          <w:t>waterbirds</w:t>
        </w:r>
        <w:proofErr w:type="spellEnd"/>
        <w:r w:rsidRPr="008B0F73">
          <w:rPr>
            <w:sz w:val="22"/>
            <w:szCs w:val="22"/>
          </w:rPr>
          <w:t>.</w:t>
        </w:r>
      </w:hyperlink>
    </w:p>
    <w:p w:rsidR="00AC6ECF" w:rsidRPr="002E4695" w:rsidRDefault="00AC6ECF" w:rsidP="00022B10">
      <w:pPr>
        <w:pStyle w:val="Normal1"/>
        <w:jc w:val="both"/>
        <w:rPr>
          <w:sz w:val="22"/>
          <w:szCs w:val="22"/>
          <w:lang w:val="fr-FR"/>
        </w:rPr>
      </w:pPr>
      <w:r w:rsidRPr="002E4695">
        <w:rPr>
          <w:sz w:val="22"/>
          <w:szCs w:val="22"/>
          <w:lang w:val="fr-FR"/>
        </w:rPr>
        <w:t xml:space="preserve">2. </w:t>
      </w:r>
      <w:hyperlink r:id="rId77" w:history="1">
        <w:r w:rsidRPr="002E4695">
          <w:rPr>
            <w:sz w:val="22"/>
            <w:szCs w:val="22"/>
            <w:lang w:val="fr-FR"/>
          </w:rPr>
          <w:t xml:space="preserve">CIRAD ESUR Animal et Gestion intégrée des risques : GRIPAVI - </w:t>
        </w:r>
        <w:proofErr w:type="spellStart"/>
        <w:r w:rsidRPr="002E4695">
          <w:rPr>
            <w:sz w:val="22"/>
            <w:szCs w:val="22"/>
            <w:lang w:val="fr-FR"/>
          </w:rPr>
          <w:t>geographical</w:t>
        </w:r>
        <w:proofErr w:type="spellEnd"/>
        <w:r w:rsidRPr="002E4695">
          <w:rPr>
            <w:sz w:val="22"/>
            <w:szCs w:val="22"/>
            <w:lang w:val="fr-FR"/>
          </w:rPr>
          <w:t xml:space="preserve"> and </w:t>
        </w:r>
        <w:proofErr w:type="spellStart"/>
        <w:r w:rsidRPr="002E4695">
          <w:rPr>
            <w:sz w:val="22"/>
            <w:szCs w:val="22"/>
            <w:lang w:val="fr-FR"/>
          </w:rPr>
          <w:t>seasonal</w:t>
        </w:r>
        <w:proofErr w:type="spellEnd"/>
        <w:r w:rsidRPr="002E4695">
          <w:rPr>
            <w:sz w:val="22"/>
            <w:szCs w:val="22"/>
            <w:lang w:val="fr-FR"/>
          </w:rPr>
          <w:t xml:space="preserve"> variations in </w:t>
        </w:r>
        <w:proofErr w:type="spellStart"/>
        <w:r w:rsidRPr="002E4695">
          <w:rPr>
            <w:sz w:val="22"/>
            <w:szCs w:val="22"/>
            <w:lang w:val="fr-FR"/>
          </w:rPr>
          <w:t>avian</w:t>
        </w:r>
        <w:proofErr w:type="spellEnd"/>
        <w:r w:rsidRPr="002E4695">
          <w:rPr>
            <w:sz w:val="22"/>
            <w:szCs w:val="22"/>
            <w:lang w:val="fr-FR"/>
          </w:rPr>
          <w:t xml:space="preserve"> influenza </w:t>
        </w:r>
        <w:proofErr w:type="spellStart"/>
        <w:r w:rsidRPr="002E4695">
          <w:rPr>
            <w:sz w:val="22"/>
            <w:szCs w:val="22"/>
            <w:lang w:val="fr-FR"/>
          </w:rPr>
          <w:t>prevalence</w:t>
        </w:r>
        <w:proofErr w:type="spellEnd"/>
      </w:hyperlink>
    </w:p>
    <w:p w:rsidR="00AC6ECF" w:rsidRPr="008B0F73" w:rsidRDefault="00AC6ECF" w:rsidP="00022B10">
      <w:pPr>
        <w:pStyle w:val="Normal1"/>
        <w:jc w:val="both"/>
        <w:rPr>
          <w:sz w:val="22"/>
          <w:szCs w:val="22"/>
        </w:rPr>
      </w:pPr>
      <w:r w:rsidRPr="008B0F73">
        <w:rPr>
          <w:sz w:val="22"/>
          <w:szCs w:val="22"/>
        </w:rPr>
        <w:t xml:space="preserve">3. </w:t>
      </w:r>
      <w:hyperlink r:id="rId78" w:history="1">
        <w:r w:rsidRPr="008B0F73">
          <w:rPr>
            <w:sz w:val="22"/>
            <w:szCs w:val="22"/>
          </w:rPr>
          <w:t xml:space="preserve">IMARES PhD thesis: Trends of wintering </w:t>
        </w:r>
        <w:proofErr w:type="spellStart"/>
        <w:r w:rsidRPr="008B0F73">
          <w:rPr>
            <w:sz w:val="22"/>
            <w:szCs w:val="22"/>
          </w:rPr>
          <w:t>Scaup</w:t>
        </w:r>
        <w:proofErr w:type="spellEnd"/>
        <w:r w:rsidRPr="008B0F73">
          <w:rPr>
            <w:sz w:val="22"/>
            <w:szCs w:val="22"/>
          </w:rPr>
          <w:t xml:space="preserve"> in North-west Europe</w:t>
        </w:r>
      </w:hyperlink>
    </w:p>
    <w:p w:rsidR="00AC6ECF" w:rsidRPr="008B0F73" w:rsidRDefault="00AC6ECF" w:rsidP="00022B10">
      <w:pPr>
        <w:pStyle w:val="Normal1"/>
        <w:jc w:val="both"/>
        <w:rPr>
          <w:sz w:val="22"/>
          <w:szCs w:val="22"/>
        </w:rPr>
      </w:pPr>
      <w:r w:rsidRPr="008B0F73">
        <w:rPr>
          <w:sz w:val="22"/>
          <w:szCs w:val="22"/>
        </w:rPr>
        <w:t xml:space="preserve">4. </w:t>
      </w:r>
      <w:hyperlink r:id="rId79" w:history="1">
        <w:r w:rsidRPr="008B0F73">
          <w:rPr>
            <w:sz w:val="22"/>
            <w:szCs w:val="22"/>
          </w:rPr>
          <w:t>CNRS: Influence of global changes on wader communities</w:t>
        </w:r>
      </w:hyperlink>
    </w:p>
    <w:p w:rsidR="00AC6ECF" w:rsidRPr="008B0F73" w:rsidRDefault="00AC6ECF" w:rsidP="00022B10">
      <w:pPr>
        <w:pStyle w:val="Normal1"/>
        <w:jc w:val="both"/>
        <w:rPr>
          <w:sz w:val="22"/>
          <w:szCs w:val="22"/>
        </w:rPr>
      </w:pPr>
      <w:r w:rsidRPr="008B0F73">
        <w:rPr>
          <w:sz w:val="22"/>
          <w:szCs w:val="22"/>
        </w:rPr>
        <w:t xml:space="preserve">5. </w:t>
      </w:r>
      <w:hyperlink r:id="rId80" w:history="1">
        <w:r w:rsidRPr="008B0F73">
          <w:rPr>
            <w:sz w:val="22"/>
            <w:szCs w:val="22"/>
          </w:rPr>
          <w:t xml:space="preserve">University Lille: </w:t>
        </w:r>
        <w:proofErr w:type="spellStart"/>
        <w:r w:rsidRPr="008B0F73">
          <w:rPr>
            <w:sz w:val="22"/>
            <w:szCs w:val="22"/>
          </w:rPr>
          <w:t>Spatio</w:t>
        </w:r>
        <w:proofErr w:type="spellEnd"/>
        <w:r w:rsidRPr="008B0F73">
          <w:rPr>
            <w:sz w:val="22"/>
            <w:szCs w:val="22"/>
          </w:rPr>
          <w:t>-temporal evolution of the migration of sea ducks in European coasts.</w:t>
        </w:r>
      </w:hyperlink>
    </w:p>
    <w:p w:rsidR="00AC6ECF" w:rsidRPr="008B0F73" w:rsidRDefault="00AC6ECF" w:rsidP="00022B10">
      <w:pPr>
        <w:pStyle w:val="Normal1"/>
        <w:jc w:val="both"/>
        <w:rPr>
          <w:sz w:val="22"/>
          <w:szCs w:val="22"/>
        </w:rPr>
      </w:pPr>
      <w:r w:rsidRPr="008B0F73">
        <w:rPr>
          <w:sz w:val="22"/>
          <w:szCs w:val="22"/>
        </w:rPr>
        <w:t xml:space="preserve">6. </w:t>
      </w:r>
      <w:hyperlink r:id="rId81" w:history="1">
        <w:proofErr w:type="spellStart"/>
        <w:r w:rsidRPr="008B0F73">
          <w:rPr>
            <w:sz w:val="22"/>
            <w:szCs w:val="22"/>
          </w:rPr>
          <w:t>Doñana</w:t>
        </w:r>
        <w:proofErr w:type="spellEnd"/>
        <w:r w:rsidRPr="008B0F73">
          <w:rPr>
            <w:sz w:val="22"/>
            <w:szCs w:val="22"/>
          </w:rPr>
          <w:t xml:space="preserve"> Biological Reserve Station: Long distance dispersal of aquatic organisms by </w:t>
        </w:r>
        <w:proofErr w:type="spellStart"/>
        <w:r w:rsidRPr="008B0F73">
          <w:rPr>
            <w:sz w:val="22"/>
            <w:szCs w:val="22"/>
          </w:rPr>
          <w:t>waterbirds</w:t>
        </w:r>
        <w:proofErr w:type="spellEnd"/>
      </w:hyperlink>
    </w:p>
    <w:p w:rsidR="00AC6ECF" w:rsidRPr="008B0F73" w:rsidRDefault="00AC6ECF" w:rsidP="00022B10">
      <w:pPr>
        <w:pStyle w:val="Normal1"/>
        <w:jc w:val="both"/>
        <w:rPr>
          <w:sz w:val="22"/>
          <w:szCs w:val="22"/>
        </w:rPr>
      </w:pPr>
      <w:r w:rsidRPr="008B0F73">
        <w:rPr>
          <w:sz w:val="22"/>
          <w:szCs w:val="22"/>
        </w:rPr>
        <w:t xml:space="preserve">7. </w:t>
      </w:r>
      <w:hyperlink r:id="rId82" w:history="1">
        <w:r w:rsidRPr="008B0F73">
          <w:rPr>
            <w:sz w:val="22"/>
            <w:szCs w:val="22"/>
          </w:rPr>
          <w:t>Centre for Ecological Research an</w:t>
        </w:r>
        <w:r w:rsidR="00767BDC" w:rsidRPr="008B0F73">
          <w:rPr>
            <w:sz w:val="22"/>
            <w:szCs w:val="22"/>
          </w:rPr>
          <w:t>d Forestry Applications (CREAF)</w:t>
        </w:r>
        <w:r w:rsidRPr="008B0F73">
          <w:rPr>
            <w:sz w:val="22"/>
            <w:szCs w:val="22"/>
          </w:rPr>
          <w:t>: Shorebird populations trends</w:t>
        </w:r>
      </w:hyperlink>
    </w:p>
    <w:p w:rsidR="00AC6ECF" w:rsidRPr="008B0F73" w:rsidRDefault="00AC6ECF" w:rsidP="00022B10">
      <w:pPr>
        <w:pStyle w:val="Normal1"/>
        <w:jc w:val="both"/>
        <w:rPr>
          <w:sz w:val="22"/>
          <w:szCs w:val="22"/>
        </w:rPr>
      </w:pPr>
    </w:p>
    <w:p w:rsidR="00AC6ECF" w:rsidRPr="008B0F73" w:rsidRDefault="00AC6ECF" w:rsidP="00022B10">
      <w:pPr>
        <w:pStyle w:val="Normal1"/>
        <w:jc w:val="both"/>
        <w:rPr>
          <w:sz w:val="22"/>
          <w:szCs w:val="22"/>
        </w:rPr>
      </w:pPr>
    </w:p>
    <w:sectPr w:rsidR="00AC6ECF" w:rsidRPr="008B0F73" w:rsidSect="008B0F73">
      <w:pgSz w:w="11907" w:h="16840"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B81" w:rsidRDefault="008D3B81">
      <w:r>
        <w:separator/>
      </w:r>
    </w:p>
  </w:endnote>
  <w:endnote w:type="continuationSeparator" w:id="0">
    <w:p w:rsidR="008D3B81" w:rsidRDefault="008D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3B" w:rsidRDefault="002B2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3B" w:rsidRDefault="002B2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3B" w:rsidRDefault="002B26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7512421"/>
      <w:docPartObj>
        <w:docPartGallery w:val="Page Numbers (Bottom of Page)"/>
        <w:docPartUnique/>
      </w:docPartObj>
    </w:sdtPr>
    <w:sdtEndPr>
      <w:rPr>
        <w:noProof/>
      </w:rPr>
    </w:sdtEndPr>
    <w:sdtContent>
      <w:p w:rsidR="00321419" w:rsidRPr="00321419" w:rsidRDefault="00321419">
        <w:pPr>
          <w:pStyle w:val="Footer"/>
          <w:jc w:val="center"/>
          <w:rPr>
            <w:sz w:val="20"/>
          </w:rPr>
        </w:pPr>
        <w:r w:rsidRPr="00321419">
          <w:rPr>
            <w:sz w:val="20"/>
          </w:rPr>
          <w:fldChar w:fldCharType="begin"/>
        </w:r>
        <w:r w:rsidRPr="00321419">
          <w:rPr>
            <w:sz w:val="20"/>
          </w:rPr>
          <w:instrText xml:space="preserve"> PAGE   \* MERGEFORMAT </w:instrText>
        </w:r>
        <w:r w:rsidRPr="00321419">
          <w:rPr>
            <w:sz w:val="20"/>
          </w:rPr>
          <w:fldChar w:fldCharType="separate"/>
        </w:r>
        <w:r w:rsidR="00D15A16">
          <w:rPr>
            <w:noProof/>
            <w:sz w:val="20"/>
          </w:rPr>
          <w:t>9</w:t>
        </w:r>
        <w:r w:rsidRPr="0032141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B81" w:rsidRDefault="008D3B81">
      <w:r>
        <w:separator/>
      </w:r>
    </w:p>
  </w:footnote>
  <w:footnote w:type="continuationSeparator" w:id="0">
    <w:p w:rsidR="008D3B81" w:rsidRDefault="008D3B81">
      <w:r>
        <w:continuationSeparator/>
      </w:r>
    </w:p>
  </w:footnote>
  <w:footnote w:id="1">
    <w:p w:rsidR="00AC6ECF" w:rsidRDefault="00AC6ECF">
      <w:pPr>
        <w:pStyle w:val="Normal1"/>
      </w:pPr>
      <w:r>
        <w:rPr>
          <w:vertAlign w:val="superscript"/>
        </w:rPr>
        <w:footnoteRef/>
      </w:r>
      <w:r>
        <w:rPr>
          <w:sz w:val="20"/>
        </w:rPr>
        <w:t xml:space="preserve"> </w:t>
      </w:r>
      <w:hyperlink r:id="rId1" w:history="1">
        <w:r w:rsidR="00453A60" w:rsidRPr="004476EF">
          <w:rPr>
            <w:rStyle w:val="Hyperlink"/>
            <w:sz w:val="20"/>
          </w:rPr>
          <w:t>http://www.wetlands.org/AfricanEurasianWaterbirdCensus/tabid/2788/Default.aspx</w:t>
        </w:r>
      </w:hyperlink>
      <w:r w:rsidR="00453A60">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3B" w:rsidRDefault="002B2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6052D1" w:rsidRPr="00A61241" w:rsidTr="00E413B7">
      <w:trPr>
        <w:trHeight w:val="1256"/>
      </w:trPr>
      <w:tc>
        <w:tcPr>
          <w:tcW w:w="1147" w:type="pct"/>
        </w:tcPr>
        <w:p w:rsidR="006052D1" w:rsidRPr="00A61241" w:rsidRDefault="006052D1" w:rsidP="006052D1">
          <w:r w:rsidRPr="00A61241">
            <w:rPr>
              <w:noProof/>
              <w:lang w:eastAsia="en-GB"/>
            </w:rPr>
            <w:drawing>
              <wp:inline distT="0" distB="0" distL="0" distR="0" wp14:anchorId="342466A4" wp14:editId="73826EFA">
                <wp:extent cx="800100" cy="666750"/>
                <wp:effectExtent l="0" t="0" r="0" b="0"/>
                <wp:docPr id="11" name="Picture 1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6052D1" w:rsidRPr="00CF739E" w:rsidRDefault="006052D1" w:rsidP="006052D1">
          <w:pPr>
            <w:jc w:val="center"/>
            <w:rPr>
              <w:i/>
              <w:sz w:val="22"/>
              <w:szCs w:val="22"/>
            </w:rPr>
          </w:pPr>
          <w:r w:rsidRPr="00CF739E">
            <w:rPr>
              <w:i/>
              <w:sz w:val="22"/>
              <w:szCs w:val="22"/>
            </w:rPr>
            <w:t>AGREEMENT ON THE CONSERVATION OF</w:t>
          </w:r>
        </w:p>
        <w:p w:rsidR="006052D1" w:rsidRPr="00A61241" w:rsidRDefault="006052D1" w:rsidP="006052D1">
          <w:pPr>
            <w:jc w:val="center"/>
          </w:pPr>
          <w:r w:rsidRPr="00CF739E">
            <w:rPr>
              <w:i/>
              <w:sz w:val="22"/>
              <w:szCs w:val="22"/>
            </w:rPr>
            <w:t>AFRICAN-EURASIAN MIGRATORY WATERBIRDS</w:t>
          </w:r>
        </w:p>
      </w:tc>
      <w:tc>
        <w:tcPr>
          <w:tcW w:w="1194" w:type="pct"/>
        </w:tcPr>
        <w:p w:rsidR="006052D1" w:rsidRDefault="006052D1" w:rsidP="006052D1">
          <w:pPr>
            <w:jc w:val="right"/>
            <w:rPr>
              <w:i/>
              <w:iCs/>
              <w:sz w:val="20"/>
            </w:rPr>
          </w:pPr>
          <w:r w:rsidRPr="00A61241">
            <w:rPr>
              <w:i/>
              <w:iCs/>
              <w:sz w:val="20"/>
            </w:rPr>
            <w:t xml:space="preserve">Doc </w:t>
          </w:r>
          <w:proofErr w:type="spellStart"/>
          <w:r w:rsidRPr="00A61241">
            <w:rPr>
              <w:i/>
              <w:iCs/>
              <w:sz w:val="20"/>
            </w:rPr>
            <w:t>StC</w:t>
          </w:r>
          <w:proofErr w:type="spellEnd"/>
          <w:r w:rsidRPr="00A61241">
            <w:rPr>
              <w:i/>
              <w:iCs/>
              <w:sz w:val="20"/>
            </w:rPr>
            <w:t xml:space="preserve"> </w:t>
          </w:r>
          <w:r>
            <w:rPr>
              <w:i/>
              <w:iCs/>
              <w:sz w:val="20"/>
            </w:rPr>
            <w:t>10.</w:t>
          </w:r>
          <w:r w:rsidR="008B0F73">
            <w:rPr>
              <w:i/>
              <w:iCs/>
              <w:sz w:val="20"/>
            </w:rPr>
            <w:t>10</w:t>
          </w:r>
        </w:p>
        <w:p w:rsidR="006052D1" w:rsidRPr="00A61241" w:rsidRDefault="006052D1" w:rsidP="006052D1">
          <w:pPr>
            <w:jc w:val="right"/>
            <w:rPr>
              <w:bCs/>
              <w:i/>
              <w:iCs/>
              <w:sz w:val="20"/>
            </w:rPr>
          </w:pPr>
          <w:r w:rsidRPr="00A61241">
            <w:rPr>
              <w:i/>
              <w:iCs/>
              <w:sz w:val="20"/>
            </w:rPr>
            <w:t>Agenda item</w:t>
          </w:r>
          <w:r>
            <w:rPr>
              <w:i/>
              <w:iCs/>
              <w:sz w:val="20"/>
            </w:rPr>
            <w:t xml:space="preserve"> </w:t>
          </w:r>
          <w:r w:rsidR="008B0F73">
            <w:rPr>
              <w:i/>
              <w:iCs/>
              <w:sz w:val="20"/>
            </w:rPr>
            <w:t>11</w:t>
          </w:r>
          <w:r w:rsidRPr="00A61241">
            <w:rPr>
              <w:i/>
              <w:iCs/>
              <w:sz w:val="20"/>
            </w:rPr>
            <w:t xml:space="preserve"> </w:t>
          </w:r>
        </w:p>
        <w:p w:rsidR="006052D1" w:rsidRPr="00A61241" w:rsidRDefault="008B0F73" w:rsidP="00932744">
          <w:pPr>
            <w:jc w:val="right"/>
          </w:pPr>
          <w:r>
            <w:rPr>
              <w:i/>
              <w:iCs/>
              <w:sz w:val="20"/>
            </w:rPr>
            <w:t>1</w:t>
          </w:r>
          <w:r w:rsidR="00932744">
            <w:rPr>
              <w:i/>
              <w:iCs/>
              <w:sz w:val="20"/>
            </w:rPr>
            <w:t>3</w:t>
          </w:r>
          <w:r w:rsidR="006052D1">
            <w:rPr>
              <w:i/>
              <w:iCs/>
              <w:sz w:val="20"/>
            </w:rPr>
            <w:t xml:space="preserve"> </w:t>
          </w:r>
          <w:r w:rsidR="00884AC0">
            <w:rPr>
              <w:i/>
              <w:iCs/>
              <w:sz w:val="20"/>
            </w:rPr>
            <w:t>May</w:t>
          </w:r>
          <w:r w:rsidR="006052D1">
            <w:rPr>
              <w:i/>
              <w:iCs/>
              <w:sz w:val="20"/>
            </w:rPr>
            <w:t xml:space="preserve"> </w:t>
          </w:r>
          <w:r w:rsidR="006052D1" w:rsidRPr="00A61241">
            <w:rPr>
              <w:i/>
              <w:iCs/>
              <w:sz w:val="20"/>
            </w:rPr>
            <w:t>201</w:t>
          </w:r>
          <w:r w:rsidR="006052D1">
            <w:rPr>
              <w:i/>
              <w:iCs/>
              <w:sz w:val="20"/>
            </w:rPr>
            <w:t>5</w:t>
          </w:r>
        </w:p>
      </w:tc>
    </w:tr>
    <w:tr w:rsidR="006052D1" w:rsidRPr="00A61241" w:rsidTr="00E413B7">
      <w:tc>
        <w:tcPr>
          <w:tcW w:w="5000" w:type="pct"/>
          <w:gridSpan w:val="3"/>
        </w:tcPr>
        <w:p w:rsidR="006052D1" w:rsidRPr="00A61241" w:rsidRDefault="006052D1" w:rsidP="006052D1">
          <w:pPr>
            <w:jc w:val="center"/>
            <w:rPr>
              <w:b/>
              <w:bCs/>
              <w:caps/>
              <w:sz w:val="26"/>
              <w:szCs w:val="26"/>
            </w:rPr>
          </w:pPr>
          <w:r>
            <w:rPr>
              <w:b/>
              <w:bCs/>
              <w:sz w:val="26"/>
              <w:szCs w:val="26"/>
            </w:rPr>
            <w:t>10</w:t>
          </w:r>
          <w:r w:rsidRPr="00A61241">
            <w:rPr>
              <w:b/>
              <w:bCs/>
              <w:sz w:val="26"/>
              <w:szCs w:val="26"/>
              <w:vertAlign w:val="superscript"/>
            </w:rPr>
            <w:t>th</w:t>
          </w:r>
          <w:r w:rsidRPr="00A61241">
            <w:rPr>
              <w:b/>
              <w:bCs/>
              <w:sz w:val="26"/>
              <w:szCs w:val="26"/>
            </w:rPr>
            <w:t xml:space="preserve"> </w:t>
          </w:r>
          <w:r w:rsidRPr="00A61241">
            <w:rPr>
              <w:b/>
              <w:bCs/>
              <w:caps/>
              <w:sz w:val="26"/>
              <w:szCs w:val="26"/>
            </w:rPr>
            <w:t>Meeting of the STANDING COMMITTEE</w:t>
          </w:r>
        </w:p>
        <w:p w:rsidR="006052D1" w:rsidRPr="0010660A" w:rsidRDefault="006052D1" w:rsidP="002B263B">
          <w:pPr>
            <w:jc w:val="center"/>
            <w:rPr>
              <w:i/>
              <w:sz w:val="22"/>
              <w:szCs w:val="22"/>
            </w:rPr>
          </w:pPr>
          <w:r w:rsidRPr="0010660A">
            <w:rPr>
              <w:i/>
              <w:iCs/>
              <w:sz w:val="22"/>
              <w:szCs w:val="22"/>
            </w:rPr>
            <w:t>8-10 July 2015, Kampala, Uganda</w:t>
          </w:r>
        </w:p>
      </w:tc>
    </w:tr>
    <w:tr w:rsidR="006052D1" w:rsidRPr="00A61241" w:rsidTr="00E413B7">
      <w:trPr>
        <w:trHeight w:val="270"/>
      </w:trPr>
      <w:tc>
        <w:tcPr>
          <w:tcW w:w="5000" w:type="pct"/>
          <w:gridSpan w:val="3"/>
          <w:vAlign w:val="center"/>
        </w:tcPr>
        <w:p w:rsidR="006052D1" w:rsidRPr="00A61241" w:rsidRDefault="006052D1" w:rsidP="006052D1">
          <w:pPr>
            <w:rPr>
              <w:bCs/>
              <w:i/>
            </w:rPr>
          </w:pPr>
        </w:p>
      </w:tc>
    </w:tr>
  </w:tbl>
  <w:p w:rsidR="00AC6ECF" w:rsidRDefault="00AC6ECF">
    <w:pPr>
      <w:pStyle w:val="Normal1"/>
      <w:widowControl w:val="0"/>
      <w:spacing w:line="276" w:lineRule="auto"/>
    </w:pPr>
  </w:p>
  <w:p w:rsidR="00AC6ECF" w:rsidRDefault="00AC6ECF">
    <w:pPr>
      <w:pStyle w:val="Normal1"/>
      <w:tabs>
        <w:tab w:val="center" w:pos="453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3B" w:rsidRDefault="002B26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D1" w:rsidRPr="00A25044" w:rsidRDefault="006052D1" w:rsidP="00A2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600C"/>
    <w:multiLevelType w:val="multilevel"/>
    <w:tmpl w:val="FFE69EB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27CC6AB4"/>
    <w:multiLevelType w:val="multilevel"/>
    <w:tmpl w:val="80D0456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15:restartNumberingAfterBreak="0">
    <w:nsid w:val="48232EFD"/>
    <w:multiLevelType w:val="multilevel"/>
    <w:tmpl w:val="A0902890"/>
    <w:lvl w:ilvl="0">
      <w:start w:val="1"/>
      <w:numFmt w:val="decimal"/>
      <w:lvlText w:val="%1."/>
      <w:lvlJc w:val="left"/>
      <w:pPr>
        <w:ind w:left="720" w:firstLine="360"/>
      </w:pPr>
      <w:rPr>
        <w:rFonts w:cs="Times New Roman"/>
        <w:sz w:val="22"/>
        <w:szCs w:val="22"/>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trackRevisions/>
  <w:defaultTabStop w:val="720"/>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8"/>
    <w:rsid w:val="000211FD"/>
    <w:rsid w:val="00022B10"/>
    <w:rsid w:val="00041564"/>
    <w:rsid w:val="00064EDA"/>
    <w:rsid w:val="000B4E6C"/>
    <w:rsid w:val="001717B9"/>
    <w:rsid w:val="001E2CBF"/>
    <w:rsid w:val="001E32FF"/>
    <w:rsid w:val="00222F08"/>
    <w:rsid w:val="00234075"/>
    <w:rsid w:val="002500B2"/>
    <w:rsid w:val="00252734"/>
    <w:rsid w:val="002B2244"/>
    <w:rsid w:val="002B263B"/>
    <w:rsid w:val="002E4695"/>
    <w:rsid w:val="003150D5"/>
    <w:rsid w:val="00321419"/>
    <w:rsid w:val="003741AF"/>
    <w:rsid w:val="003C36F4"/>
    <w:rsid w:val="003E2A0F"/>
    <w:rsid w:val="00453A60"/>
    <w:rsid w:val="004D6AA4"/>
    <w:rsid w:val="006052D1"/>
    <w:rsid w:val="00630730"/>
    <w:rsid w:val="006B2AEC"/>
    <w:rsid w:val="00767BDC"/>
    <w:rsid w:val="007B1157"/>
    <w:rsid w:val="007E68A8"/>
    <w:rsid w:val="008351AC"/>
    <w:rsid w:val="00884AC0"/>
    <w:rsid w:val="00891A01"/>
    <w:rsid w:val="008B0F73"/>
    <w:rsid w:val="008D3B81"/>
    <w:rsid w:val="00932744"/>
    <w:rsid w:val="00934395"/>
    <w:rsid w:val="009456DC"/>
    <w:rsid w:val="0097269A"/>
    <w:rsid w:val="009A2058"/>
    <w:rsid w:val="009F35C7"/>
    <w:rsid w:val="00A01877"/>
    <w:rsid w:val="00A05F30"/>
    <w:rsid w:val="00A25044"/>
    <w:rsid w:val="00A74894"/>
    <w:rsid w:val="00AC6ECF"/>
    <w:rsid w:val="00AE631A"/>
    <w:rsid w:val="00B44F96"/>
    <w:rsid w:val="00BD61D8"/>
    <w:rsid w:val="00C074BD"/>
    <w:rsid w:val="00D0145E"/>
    <w:rsid w:val="00D15A16"/>
    <w:rsid w:val="00D50D42"/>
    <w:rsid w:val="00E9022C"/>
    <w:rsid w:val="00F341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F87AE4A-FBB4-4E1C-9193-CDCC4C6F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30"/>
    <w:rPr>
      <w:color w:val="000000"/>
      <w:sz w:val="24"/>
      <w:szCs w:val="20"/>
      <w:lang w:val="en-GB" w:eastAsia="en-US"/>
    </w:rPr>
  </w:style>
  <w:style w:type="paragraph" w:styleId="Heading1">
    <w:name w:val="heading 1"/>
    <w:basedOn w:val="Normal1"/>
    <w:next w:val="Normal1"/>
    <w:link w:val="Heading1Char"/>
    <w:uiPriority w:val="99"/>
    <w:qFormat/>
    <w:rsid w:val="00A05F30"/>
    <w:pPr>
      <w:keepNext/>
      <w:keepLines/>
      <w:spacing w:before="240" w:after="120"/>
      <w:ind w:left="432" w:hanging="432"/>
      <w:outlineLvl w:val="0"/>
    </w:pPr>
    <w:rPr>
      <w:b/>
      <w:sz w:val="32"/>
    </w:rPr>
  </w:style>
  <w:style w:type="paragraph" w:styleId="Heading2">
    <w:name w:val="heading 2"/>
    <w:basedOn w:val="Normal1"/>
    <w:next w:val="Normal1"/>
    <w:link w:val="Heading2Char"/>
    <w:uiPriority w:val="99"/>
    <w:qFormat/>
    <w:rsid w:val="00A05F30"/>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A05F30"/>
    <w:pPr>
      <w:keepNext/>
      <w:keepLines/>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A05F30"/>
    <w:pPr>
      <w:keepNext/>
      <w:keepLines/>
      <w:spacing w:before="240" w:after="60"/>
      <w:outlineLvl w:val="3"/>
    </w:pPr>
    <w:rPr>
      <w:b/>
      <w:sz w:val="28"/>
    </w:rPr>
  </w:style>
  <w:style w:type="paragraph" w:styleId="Heading5">
    <w:name w:val="heading 5"/>
    <w:basedOn w:val="Normal1"/>
    <w:next w:val="Normal1"/>
    <w:link w:val="Heading5Char"/>
    <w:uiPriority w:val="99"/>
    <w:qFormat/>
    <w:rsid w:val="00A05F30"/>
    <w:pPr>
      <w:keepNext/>
      <w:keepLines/>
      <w:spacing w:before="220" w:after="40"/>
      <w:contextualSpacing/>
      <w:outlineLvl w:val="4"/>
    </w:pPr>
    <w:rPr>
      <w:b/>
      <w:sz w:val="22"/>
    </w:rPr>
  </w:style>
  <w:style w:type="paragraph" w:styleId="Heading6">
    <w:name w:val="heading 6"/>
    <w:basedOn w:val="Normal1"/>
    <w:next w:val="Normal1"/>
    <w:link w:val="Heading6Char"/>
    <w:uiPriority w:val="99"/>
    <w:qFormat/>
    <w:rsid w:val="00A05F3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6D"/>
    <w:rPr>
      <w:rFonts w:asciiTheme="majorHAnsi" w:eastAsiaTheme="majorEastAsia" w:hAnsiTheme="majorHAnsi" w:cstheme="majorBidi"/>
      <w:b/>
      <w:bCs/>
      <w:color w:val="000000"/>
      <w:kern w:val="32"/>
      <w:sz w:val="32"/>
      <w:szCs w:val="32"/>
      <w:lang w:val="en-GB" w:eastAsia="en-US"/>
    </w:rPr>
  </w:style>
  <w:style w:type="character" w:customStyle="1" w:styleId="Heading2Char">
    <w:name w:val="Heading 2 Char"/>
    <w:basedOn w:val="DefaultParagraphFont"/>
    <w:link w:val="Heading2"/>
    <w:uiPriority w:val="9"/>
    <w:semiHidden/>
    <w:rsid w:val="00A5556D"/>
    <w:rPr>
      <w:rFonts w:asciiTheme="majorHAnsi" w:eastAsiaTheme="majorEastAsia" w:hAnsiTheme="majorHAnsi" w:cstheme="majorBidi"/>
      <w:b/>
      <w:bCs/>
      <w:i/>
      <w:iCs/>
      <w:color w:val="000000"/>
      <w:sz w:val="28"/>
      <w:szCs w:val="28"/>
      <w:lang w:val="en-GB" w:eastAsia="en-US"/>
    </w:rPr>
  </w:style>
  <w:style w:type="character" w:customStyle="1" w:styleId="Heading3Char">
    <w:name w:val="Heading 3 Char"/>
    <w:basedOn w:val="DefaultParagraphFont"/>
    <w:link w:val="Heading3"/>
    <w:uiPriority w:val="9"/>
    <w:semiHidden/>
    <w:rsid w:val="00A5556D"/>
    <w:rPr>
      <w:rFonts w:asciiTheme="majorHAnsi" w:eastAsiaTheme="majorEastAsia" w:hAnsiTheme="majorHAnsi" w:cstheme="majorBidi"/>
      <w:b/>
      <w:bCs/>
      <w:color w:val="000000"/>
      <w:sz w:val="26"/>
      <w:szCs w:val="26"/>
      <w:lang w:val="en-GB" w:eastAsia="en-US"/>
    </w:rPr>
  </w:style>
  <w:style w:type="character" w:customStyle="1" w:styleId="Heading4Char">
    <w:name w:val="Heading 4 Char"/>
    <w:basedOn w:val="DefaultParagraphFont"/>
    <w:link w:val="Heading4"/>
    <w:uiPriority w:val="9"/>
    <w:semiHidden/>
    <w:rsid w:val="00A5556D"/>
    <w:rPr>
      <w:rFonts w:asciiTheme="minorHAnsi" w:eastAsiaTheme="minorEastAsia" w:hAnsiTheme="minorHAnsi" w:cstheme="minorBidi"/>
      <w:b/>
      <w:bCs/>
      <w:color w:val="000000"/>
      <w:sz w:val="28"/>
      <w:szCs w:val="28"/>
      <w:lang w:val="en-GB" w:eastAsia="en-US"/>
    </w:rPr>
  </w:style>
  <w:style w:type="character" w:customStyle="1" w:styleId="Heading5Char">
    <w:name w:val="Heading 5 Char"/>
    <w:basedOn w:val="DefaultParagraphFont"/>
    <w:link w:val="Heading5"/>
    <w:uiPriority w:val="9"/>
    <w:semiHidden/>
    <w:rsid w:val="00A5556D"/>
    <w:rPr>
      <w:rFonts w:asciiTheme="minorHAnsi" w:eastAsiaTheme="minorEastAsia" w:hAnsiTheme="minorHAnsi" w:cstheme="minorBidi"/>
      <w:b/>
      <w:bCs/>
      <w:i/>
      <w:iCs/>
      <w:color w:val="000000"/>
      <w:sz w:val="26"/>
      <w:szCs w:val="26"/>
      <w:lang w:val="en-GB" w:eastAsia="en-US"/>
    </w:rPr>
  </w:style>
  <w:style w:type="character" w:customStyle="1" w:styleId="Heading6Char">
    <w:name w:val="Heading 6 Char"/>
    <w:basedOn w:val="DefaultParagraphFont"/>
    <w:link w:val="Heading6"/>
    <w:uiPriority w:val="9"/>
    <w:semiHidden/>
    <w:rsid w:val="00A5556D"/>
    <w:rPr>
      <w:rFonts w:asciiTheme="minorHAnsi" w:eastAsiaTheme="minorEastAsia" w:hAnsiTheme="minorHAnsi" w:cstheme="minorBidi"/>
      <w:b/>
      <w:bCs/>
      <w:color w:val="000000"/>
      <w:lang w:val="en-GB" w:eastAsia="en-US"/>
    </w:rPr>
  </w:style>
  <w:style w:type="paragraph" w:customStyle="1" w:styleId="Normal1">
    <w:name w:val="Normal1"/>
    <w:uiPriority w:val="99"/>
    <w:rsid w:val="00A05F30"/>
    <w:rPr>
      <w:color w:val="000000"/>
      <w:sz w:val="24"/>
      <w:szCs w:val="20"/>
      <w:lang w:val="en-GB" w:eastAsia="en-US"/>
    </w:rPr>
  </w:style>
  <w:style w:type="paragraph" w:styleId="Title">
    <w:name w:val="Title"/>
    <w:basedOn w:val="Normal1"/>
    <w:next w:val="Normal1"/>
    <w:link w:val="TitleChar"/>
    <w:uiPriority w:val="99"/>
    <w:qFormat/>
    <w:rsid w:val="00A05F30"/>
    <w:pPr>
      <w:keepNext/>
      <w:keepLines/>
      <w:spacing w:before="240" w:after="60"/>
      <w:jc w:val="center"/>
    </w:pPr>
    <w:rPr>
      <w:rFonts w:ascii="Arial" w:hAnsi="Arial" w:cs="Arial"/>
      <w:b/>
      <w:sz w:val="32"/>
    </w:rPr>
  </w:style>
  <w:style w:type="character" w:customStyle="1" w:styleId="TitleChar">
    <w:name w:val="Title Char"/>
    <w:basedOn w:val="DefaultParagraphFont"/>
    <w:link w:val="Title"/>
    <w:uiPriority w:val="10"/>
    <w:rsid w:val="00A5556D"/>
    <w:rPr>
      <w:rFonts w:asciiTheme="majorHAnsi" w:eastAsiaTheme="majorEastAsia" w:hAnsiTheme="majorHAnsi" w:cstheme="majorBidi"/>
      <w:b/>
      <w:bCs/>
      <w:color w:val="000000"/>
      <w:kern w:val="28"/>
      <w:sz w:val="32"/>
      <w:szCs w:val="32"/>
      <w:lang w:val="en-GB" w:eastAsia="en-US"/>
    </w:rPr>
  </w:style>
  <w:style w:type="paragraph" w:styleId="Subtitle">
    <w:name w:val="Subtitle"/>
    <w:basedOn w:val="Normal1"/>
    <w:next w:val="Normal1"/>
    <w:link w:val="SubtitleChar"/>
    <w:uiPriority w:val="99"/>
    <w:qFormat/>
    <w:rsid w:val="00A05F30"/>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A5556D"/>
    <w:rPr>
      <w:rFonts w:asciiTheme="majorHAnsi" w:eastAsiaTheme="majorEastAsia" w:hAnsiTheme="majorHAnsi" w:cstheme="majorBidi"/>
      <w:color w:val="000000"/>
      <w:sz w:val="24"/>
      <w:szCs w:val="24"/>
      <w:lang w:val="en-GB" w:eastAsia="en-US"/>
    </w:rPr>
  </w:style>
  <w:style w:type="table" w:customStyle="1" w:styleId="Style">
    <w:name w:val="Style"/>
    <w:uiPriority w:val="99"/>
    <w:rsid w:val="00A05F3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A05F30"/>
    <w:rPr>
      <w:sz w:val="20"/>
      <w:szCs w:val="2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A05F30"/>
    <w:rPr>
      <w:szCs w:val="24"/>
    </w:rPr>
  </w:style>
  <w:style w:type="character" w:customStyle="1" w:styleId="CommentTextChar">
    <w:name w:val="Comment Text Char"/>
    <w:basedOn w:val="DefaultParagraphFont"/>
    <w:link w:val="CommentText"/>
    <w:uiPriority w:val="99"/>
    <w:semiHidden/>
    <w:locked/>
    <w:rsid w:val="00A05F30"/>
    <w:rPr>
      <w:rFonts w:cs="Times New Roman"/>
      <w:sz w:val="24"/>
      <w:szCs w:val="24"/>
    </w:rPr>
  </w:style>
  <w:style w:type="character" w:styleId="CommentReference">
    <w:name w:val="annotation reference"/>
    <w:basedOn w:val="DefaultParagraphFont"/>
    <w:uiPriority w:val="99"/>
    <w:semiHidden/>
    <w:rsid w:val="00A05F30"/>
    <w:rPr>
      <w:rFonts w:cs="Times New Roman"/>
      <w:sz w:val="18"/>
      <w:szCs w:val="18"/>
    </w:rPr>
  </w:style>
  <w:style w:type="table" w:styleId="TableGrid">
    <w:name w:val="Table Grid"/>
    <w:basedOn w:val="TableNormal"/>
    <w:uiPriority w:val="99"/>
    <w:rsid w:val="002500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69A"/>
    <w:rPr>
      <w:color w:val="000000"/>
      <w:sz w:val="24"/>
      <w:szCs w:val="20"/>
      <w:lang w:val="en-GB" w:eastAsia="en-US"/>
    </w:rPr>
  </w:style>
  <w:style w:type="paragraph" w:styleId="BalloonText">
    <w:name w:val="Balloon Text"/>
    <w:basedOn w:val="Normal"/>
    <w:link w:val="BalloonTextChar"/>
    <w:uiPriority w:val="99"/>
    <w:semiHidden/>
    <w:rsid w:val="00972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7269A"/>
    <w:rPr>
      <w:rFonts w:ascii="Lucida Grande" w:hAnsi="Lucida Grande" w:cs="Lucida Grande"/>
      <w:sz w:val="18"/>
      <w:szCs w:val="18"/>
    </w:rPr>
  </w:style>
  <w:style w:type="paragraph" w:styleId="Header">
    <w:name w:val="header"/>
    <w:basedOn w:val="Normal"/>
    <w:link w:val="HeaderChar"/>
    <w:uiPriority w:val="99"/>
    <w:rsid w:val="00B44F96"/>
    <w:pPr>
      <w:tabs>
        <w:tab w:val="center" w:pos="4320"/>
        <w:tab w:val="right" w:pos="8640"/>
      </w:tabs>
    </w:pPr>
  </w:style>
  <w:style w:type="character" w:customStyle="1" w:styleId="HeaderChar">
    <w:name w:val="Header Char"/>
    <w:basedOn w:val="DefaultParagraphFont"/>
    <w:link w:val="Header"/>
    <w:uiPriority w:val="99"/>
    <w:locked/>
    <w:rsid w:val="00B44F96"/>
    <w:rPr>
      <w:rFonts w:cs="Times New Roman"/>
    </w:rPr>
  </w:style>
  <w:style w:type="paragraph" w:styleId="Footer">
    <w:name w:val="footer"/>
    <w:basedOn w:val="Normal"/>
    <w:link w:val="FooterChar"/>
    <w:uiPriority w:val="99"/>
    <w:rsid w:val="00B44F96"/>
    <w:pPr>
      <w:tabs>
        <w:tab w:val="center" w:pos="4320"/>
        <w:tab w:val="right" w:pos="8640"/>
      </w:tabs>
    </w:pPr>
  </w:style>
  <w:style w:type="character" w:customStyle="1" w:styleId="FooterChar">
    <w:name w:val="Footer Char"/>
    <w:basedOn w:val="DefaultParagraphFont"/>
    <w:link w:val="Footer"/>
    <w:uiPriority w:val="99"/>
    <w:locked/>
    <w:rsid w:val="00B44F96"/>
    <w:rPr>
      <w:rFonts w:cs="Times New Roman"/>
    </w:rPr>
  </w:style>
  <w:style w:type="character" w:styleId="Hyperlink">
    <w:name w:val="Hyperlink"/>
    <w:basedOn w:val="DefaultParagraphFont"/>
    <w:uiPriority w:val="99"/>
    <w:rsid w:val="003741AF"/>
    <w:rPr>
      <w:rFonts w:cs="Times New Roman"/>
      <w:color w:val="0000FF"/>
      <w:u w:val="single"/>
    </w:rPr>
  </w:style>
  <w:style w:type="paragraph" w:styleId="CommentSubject">
    <w:name w:val="annotation subject"/>
    <w:basedOn w:val="CommentText"/>
    <w:next w:val="CommentText"/>
    <w:link w:val="CommentSubjectChar"/>
    <w:uiPriority w:val="99"/>
    <w:semiHidden/>
    <w:rsid w:val="003741AF"/>
    <w:rPr>
      <w:b/>
      <w:bCs/>
      <w:sz w:val="20"/>
      <w:szCs w:val="20"/>
    </w:rPr>
  </w:style>
  <w:style w:type="character" w:customStyle="1" w:styleId="CommentSubjectChar">
    <w:name w:val="Comment Subject Char"/>
    <w:basedOn w:val="CommentTextChar"/>
    <w:link w:val="CommentSubject"/>
    <w:uiPriority w:val="99"/>
    <w:semiHidden/>
    <w:rsid w:val="00A5556D"/>
    <w:rPr>
      <w:rFonts w:cs="Times New Roman"/>
      <w:b/>
      <w:bCs/>
      <w:color w:val="000000"/>
      <w:sz w:val="20"/>
      <w:szCs w:val="20"/>
      <w:lang w:val="en-GB" w:eastAsia="en-US"/>
    </w:rPr>
  </w:style>
  <w:style w:type="paragraph" w:styleId="ListParagraph">
    <w:name w:val="List Paragraph"/>
    <w:basedOn w:val="Normal"/>
    <w:uiPriority w:val="34"/>
    <w:qFormat/>
    <w:rsid w:val="00BD61D8"/>
    <w:pPr>
      <w:ind w:left="720"/>
      <w:contextualSpacing/>
    </w:pPr>
  </w:style>
  <w:style w:type="paragraph" w:styleId="FootnoteText">
    <w:name w:val="footnote text"/>
    <w:basedOn w:val="Normal"/>
    <w:link w:val="FootnoteTextChar"/>
    <w:uiPriority w:val="99"/>
    <w:semiHidden/>
    <w:unhideWhenUsed/>
    <w:rsid w:val="008351AC"/>
    <w:rPr>
      <w:sz w:val="20"/>
    </w:rPr>
  </w:style>
  <w:style w:type="character" w:customStyle="1" w:styleId="FootnoteTextChar">
    <w:name w:val="Footnote Text Char"/>
    <w:basedOn w:val="DefaultParagraphFont"/>
    <w:link w:val="FootnoteText"/>
    <w:uiPriority w:val="99"/>
    <w:semiHidden/>
    <w:rsid w:val="008351AC"/>
    <w:rPr>
      <w:color w:val="000000"/>
      <w:sz w:val="20"/>
      <w:szCs w:val="20"/>
      <w:lang w:val="en-GB" w:eastAsia="en-US"/>
    </w:rPr>
  </w:style>
  <w:style w:type="character" w:styleId="FootnoteReference">
    <w:name w:val="footnote reference"/>
    <w:basedOn w:val="DefaultParagraphFont"/>
    <w:uiPriority w:val="99"/>
    <w:semiHidden/>
    <w:unhideWhenUsed/>
    <w:rsid w:val="00835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11/ddi.12300" TargetMode="External"/><Relationship Id="rId21" Type="http://schemas.openxmlformats.org/officeDocument/2006/relationships/image" Target="media/image9.png"/><Relationship Id="rId42" Type="http://schemas.openxmlformats.org/officeDocument/2006/relationships/hyperlink" Target="http://dx.doi.org/10.1111/ddi.12300" TargetMode="External"/><Relationship Id="rId47" Type="http://schemas.openxmlformats.org/officeDocument/2006/relationships/hyperlink" Target="http://www.wetlands.org/Portals/0/Rap_2012-22_FlywaytrendsTotaalLR.pdf" TargetMode="External"/><Relationship Id="rId63" Type="http://schemas.openxmlformats.org/officeDocument/2006/relationships/hyperlink" Target="http://www.wetlands.org/Portals/0/Rap_2012-22_FlywaytrendsTotaalLR.pdf" TargetMode="External"/><Relationship Id="rId68" Type="http://schemas.openxmlformats.org/officeDocument/2006/relationships/hyperlink" Target="http://www.wetlands.org/Portals/0/Rap_2012-22_FlywaytrendsTotaalLR.pdf" TargetMode="External"/><Relationship Id="rId84" Type="http://schemas.openxmlformats.org/officeDocument/2006/relationships/theme" Target="theme/theme1.xml"/><Relationship Id="rId16" Type="http://schemas.openxmlformats.org/officeDocument/2006/relationships/image" Target="media/image4.png"/><Relationship Id="rId11" Type="http://schemas.openxmlformats.org/officeDocument/2006/relationships/footer" Target="footer2.xml"/><Relationship Id="rId32" Type="http://schemas.openxmlformats.org/officeDocument/2006/relationships/hyperlink" Target="http://dx.doi.org/10.1111/ddi.12300" TargetMode="External"/><Relationship Id="rId37" Type="http://schemas.openxmlformats.org/officeDocument/2006/relationships/hyperlink" Target="http://www.wetlands.org/Portals/0/TRIM%20Report%202014_10_05.pdf" TargetMode="External"/><Relationship Id="rId53" Type="http://schemas.openxmlformats.org/officeDocument/2006/relationships/hyperlink" Target="http://www.wetlands.org/Portals/0/Rap_2012-22_FlywaytrendsTotaalLR.pdf" TargetMode="External"/><Relationship Id="rId58" Type="http://schemas.openxmlformats.org/officeDocument/2006/relationships/hyperlink" Target="http://www.wetlands.org/Portals/0/Rap_2012-22_FlywaytrendsTotaalLR.pdf" TargetMode="External"/><Relationship Id="rId74" Type="http://schemas.openxmlformats.org/officeDocument/2006/relationships/hyperlink" Target="http://www.wetlands.org/Portals/0/Rap_2012-22_FlywaytrendsTotaalLR.pdf" TargetMode="External"/><Relationship Id="rId79" Type="http://schemas.openxmlformats.org/officeDocument/2006/relationships/hyperlink" Target="http://www.wetlands.org/Portals/0/Rap_2012-22_FlywaytrendsTotaalLR.pdf" TargetMode="External"/><Relationship Id="rId5" Type="http://schemas.openxmlformats.org/officeDocument/2006/relationships/webSettings" Target="webSettings.xml"/><Relationship Id="rId61" Type="http://schemas.openxmlformats.org/officeDocument/2006/relationships/hyperlink" Target="http://www.wetlands.org/Portals/0/Rap_2012-22_FlywaytrendsTotaalLR.pdf" TargetMode="External"/><Relationship Id="rId82" Type="http://schemas.openxmlformats.org/officeDocument/2006/relationships/hyperlink" Target="http://www.wetlands.org/Portals/0/Rap_2012-22_FlywaytrendsTotaalLR.pdf"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dx.doi.org/10.1111/ddi.12300" TargetMode="External"/><Relationship Id="rId30" Type="http://schemas.openxmlformats.org/officeDocument/2006/relationships/hyperlink" Target="http://dx.doi.org/10.1111/ddi.12300" TargetMode="External"/><Relationship Id="rId35" Type="http://schemas.openxmlformats.org/officeDocument/2006/relationships/hyperlink" Target="http://dx.doi.org/10.1111/ddi.12300" TargetMode="External"/><Relationship Id="rId43" Type="http://schemas.openxmlformats.org/officeDocument/2006/relationships/hyperlink" Target="http://dx.doi.org/10.1111/gcb.12200" TargetMode="External"/><Relationship Id="rId48" Type="http://schemas.openxmlformats.org/officeDocument/2006/relationships/hyperlink" Target="http://www.wetlands.org/Portals/0/Rap_2012-22_FlywaytrendsTotaalLR.pdf" TargetMode="External"/><Relationship Id="rId56" Type="http://schemas.openxmlformats.org/officeDocument/2006/relationships/hyperlink" Target="http://www.wetlands.org/Portals/0/Rap_2012-22_FlywaytrendsTotaalLR.pdf" TargetMode="External"/><Relationship Id="rId64" Type="http://schemas.openxmlformats.org/officeDocument/2006/relationships/hyperlink" Target="http://www.wetlands.org/Portals/0/Rap_2012-22_FlywaytrendsTotaalLR.pdf" TargetMode="External"/><Relationship Id="rId69" Type="http://schemas.openxmlformats.org/officeDocument/2006/relationships/hyperlink" Target="http://www.wetlands.org/Portals/0/Rap_2012-22_FlywaytrendsTotaalLR.pdf" TargetMode="External"/><Relationship Id="rId77" Type="http://schemas.openxmlformats.org/officeDocument/2006/relationships/hyperlink" Target="http://www.wetlands.org/Portals/0/Rap_2012-22_FlywaytrendsTotaalLR.pdf" TargetMode="External"/><Relationship Id="rId8" Type="http://schemas.openxmlformats.org/officeDocument/2006/relationships/header" Target="header1.xml"/><Relationship Id="rId51" Type="http://schemas.openxmlformats.org/officeDocument/2006/relationships/hyperlink" Target="http://www.wetlands.org/Portals/0/Rap_2012-22_FlywaytrendsTotaalLR.pdf" TargetMode="External"/><Relationship Id="rId72" Type="http://schemas.openxmlformats.org/officeDocument/2006/relationships/hyperlink" Target="http://www.wetlands.org/Portals/0/Rap_2012-22_FlywaytrendsTotaalLR.pdf" TargetMode="External"/><Relationship Id="rId80" Type="http://schemas.openxmlformats.org/officeDocument/2006/relationships/hyperlink" Target="http://www.wetlands.org/Portals/0/Rap_2012-22_FlywaytrendsTotaalLR.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hyperlink" Target="http://onlinelibrary.wiley.com/doi/10.1111/1365-2664.12193/abstract" TargetMode="External"/><Relationship Id="rId38" Type="http://schemas.openxmlformats.org/officeDocument/2006/relationships/hyperlink" Target="http://dx.doi.org/10.1111/ddi.12300" TargetMode="External"/><Relationship Id="rId46" Type="http://schemas.openxmlformats.org/officeDocument/2006/relationships/hyperlink" Target="http://onlinelibrary.wiley.com/doi/10.1111/j.1474-919X.2012.01257.x/abstract;jsessionid=F7605ED4D36AEB1F26CB7FE39430DC31.d03t01" TargetMode="External"/><Relationship Id="rId59" Type="http://schemas.openxmlformats.org/officeDocument/2006/relationships/hyperlink" Target="http://www.wetlands.org/Portals/0/Rap_2012-22_FlywaytrendsTotaalLR.pdf" TargetMode="External"/><Relationship Id="rId67" Type="http://schemas.openxmlformats.org/officeDocument/2006/relationships/hyperlink" Target="http://www.wetlands.org/Portals/0/Rap_2012-22_FlywaytrendsTotaalLR.pdf" TargetMode="External"/><Relationship Id="rId20" Type="http://schemas.openxmlformats.org/officeDocument/2006/relationships/image" Target="media/image8.png"/><Relationship Id="rId41" Type="http://schemas.openxmlformats.org/officeDocument/2006/relationships/hyperlink" Target="http://dx.doi.org/10.1111/ddi.12300" TargetMode="External"/><Relationship Id="rId54" Type="http://schemas.openxmlformats.org/officeDocument/2006/relationships/hyperlink" Target="http://www.wetlands.org/Portals/0/Rap_2012-22_FlywaytrendsTotaalLR.pdf" TargetMode="External"/><Relationship Id="rId62" Type="http://schemas.openxmlformats.org/officeDocument/2006/relationships/hyperlink" Target="http://www.wetlands.org/Portals/0/Rap_2012-22_FlywaytrendsTotaalLR.pdf" TargetMode="External"/><Relationship Id="rId70" Type="http://schemas.openxmlformats.org/officeDocument/2006/relationships/hyperlink" Target="http://www.wetlands.org/Portals/0/Rap_2012-22_FlywaytrendsTotaalLR.pdf" TargetMode="External"/><Relationship Id="rId75" Type="http://schemas.openxmlformats.org/officeDocument/2006/relationships/hyperlink" Target="http://www.wetlands.org/Portals/0/Rap_2012-22_FlywaytrendsTotaalLR.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dx.doi.org/10.1111/ddi.12300" TargetMode="External"/><Relationship Id="rId36" Type="http://schemas.openxmlformats.org/officeDocument/2006/relationships/hyperlink" Target="http://dx.doi.org/10.1111/ddi.12300" TargetMode="External"/><Relationship Id="rId49" Type="http://schemas.openxmlformats.org/officeDocument/2006/relationships/hyperlink" Target="http://www.wetlands.org/Portals/0/Rap_2012-22_FlywaytrendsTotaalLR.pdf" TargetMode="External"/><Relationship Id="rId57" Type="http://schemas.openxmlformats.org/officeDocument/2006/relationships/hyperlink" Target="http://www.wetlands.org/Portals/0/Rap_2012-22_FlywaytrendsTotaalLR.pdf" TargetMode="External"/><Relationship Id="rId10" Type="http://schemas.openxmlformats.org/officeDocument/2006/relationships/footer" Target="footer1.xml"/><Relationship Id="rId31" Type="http://schemas.openxmlformats.org/officeDocument/2006/relationships/hyperlink" Target="http://dx.doi.org/10.1111/ddi.12300" TargetMode="External"/><Relationship Id="rId44" Type="http://schemas.openxmlformats.org/officeDocument/2006/relationships/hyperlink" Target="http://pure.au.dk/portal/files/54026900/Dalbyetal2013.pdf" TargetMode="External"/><Relationship Id="rId52" Type="http://schemas.openxmlformats.org/officeDocument/2006/relationships/hyperlink" Target="http://www.wetlands.org/Portals/0/Rap_2012-22_FlywaytrendsTotaalLR.pdf" TargetMode="External"/><Relationship Id="rId60" Type="http://schemas.openxmlformats.org/officeDocument/2006/relationships/hyperlink" Target="http://www.wetlands.org/Portals/0/Rap_2012-22_FlywaytrendsTotaalLR.pdf" TargetMode="External"/><Relationship Id="rId65" Type="http://schemas.openxmlformats.org/officeDocument/2006/relationships/hyperlink" Target="http://www.wetlands.org/Portals/0/Rap_2012-22_FlywaytrendsTotaalLR.pdf" TargetMode="External"/><Relationship Id="rId73" Type="http://schemas.openxmlformats.org/officeDocument/2006/relationships/hyperlink" Target="http://www.wetlands.org/Portals/0/Rap_2012-22_FlywaytrendsTotaalLR.pdf" TargetMode="External"/><Relationship Id="rId78" Type="http://schemas.openxmlformats.org/officeDocument/2006/relationships/hyperlink" Target="http://www.wetlands.org/Portals/0/Rap_2012-22_FlywaytrendsTotaalLR.pdf" TargetMode="External"/><Relationship Id="rId81" Type="http://schemas.openxmlformats.org/officeDocument/2006/relationships/hyperlink" Target="http://www.wetlands.org/Portals/0/Rap_2012-22_FlywaytrendsTotaalLR.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6.png"/><Relationship Id="rId39" Type="http://schemas.openxmlformats.org/officeDocument/2006/relationships/hyperlink" Target="http://dx.doi.org/10.1111/ddi.12300" TargetMode="External"/><Relationship Id="rId34" Type="http://schemas.openxmlformats.org/officeDocument/2006/relationships/hyperlink" Target="http://dx.doi.org/10.1111/ddi.12300" TargetMode="External"/><Relationship Id="rId50" Type="http://schemas.openxmlformats.org/officeDocument/2006/relationships/hyperlink" Target="http://www.wetlands.org/Portals/0/Rap_2012-22_FlywaytrendsTotaalLR.pdf" TargetMode="External"/><Relationship Id="rId55" Type="http://schemas.openxmlformats.org/officeDocument/2006/relationships/hyperlink" Target="http://www.wetlands.org/Portals/0/Rap_2012-22_FlywaytrendsTotaalLR.pdf" TargetMode="External"/><Relationship Id="rId76" Type="http://schemas.openxmlformats.org/officeDocument/2006/relationships/hyperlink" Target="http://www.wetlands.org/Portals/0/Rap_2012-22_FlywaytrendsTotaalLR.pdf" TargetMode="External"/><Relationship Id="rId7" Type="http://schemas.openxmlformats.org/officeDocument/2006/relationships/endnotes" Target="endnotes.xml"/><Relationship Id="rId71" Type="http://schemas.openxmlformats.org/officeDocument/2006/relationships/hyperlink" Target="http://www.wetlands.org/Portals/0/Rap_2012-22_FlywaytrendsTotaalLR.pdf" TargetMode="External"/><Relationship Id="rId2" Type="http://schemas.openxmlformats.org/officeDocument/2006/relationships/numbering" Target="numbering.xml"/><Relationship Id="rId29" Type="http://schemas.openxmlformats.org/officeDocument/2006/relationships/hyperlink" Target="http://dx.doi.org/10.1111/ddi.12300" TargetMode="External"/><Relationship Id="rId24" Type="http://schemas.openxmlformats.org/officeDocument/2006/relationships/header" Target="header4.xml"/><Relationship Id="rId40" Type="http://schemas.openxmlformats.org/officeDocument/2006/relationships/hyperlink" Target="http://dx.doi.org/10.1111/ddi.12300" TargetMode="External"/><Relationship Id="rId45" Type="http://schemas.openxmlformats.org/officeDocument/2006/relationships/hyperlink" Target="http://adu.org.za/pdf/Harebottle_DM_PhD_thesis_UCT_May2012.pdf" TargetMode="External"/><Relationship Id="rId66" Type="http://schemas.openxmlformats.org/officeDocument/2006/relationships/hyperlink" Target="http://www.wetlands.org/Portals/0/Rap_2012-22_FlywaytrendsTotaalL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etlands.org/AfricanEurasianWaterbirdCensus/tabid/2788/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C00E-F05E-435A-8BB6-CCD97A85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3494</Words>
  <Characters>25592</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REPORT ON THE DEVELOPMENT OF WATERBIRD MONITORING</vt:lpstr>
    </vt:vector>
  </TitlesOfParts>
  <Company>Rubicon Foundation</Company>
  <LinksUpToDate>false</LinksUpToDate>
  <CharactersWithSpaces>29028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DEVELOPMENT OF WATERBIRD MONITORING</dc:title>
  <dc:subject/>
  <dc:creator>Mondain-Monval</dc:creator>
  <cp:keywords/>
  <dc:description/>
  <cp:lastModifiedBy>Jolanta Kremer</cp:lastModifiedBy>
  <cp:revision>8</cp:revision>
  <cp:lastPrinted>2015-06-03T09:54:00Z</cp:lastPrinted>
  <dcterms:created xsi:type="dcterms:W3CDTF">2015-05-13T08:55:00Z</dcterms:created>
  <dcterms:modified xsi:type="dcterms:W3CDTF">2015-06-04T13:06:00Z</dcterms:modified>
</cp:coreProperties>
</file>