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A6" w:rsidRPr="00160605" w:rsidRDefault="007C70A6" w:rsidP="003A4612">
      <w:pPr>
        <w:jc w:val="center"/>
        <w:rPr>
          <w:bCs/>
          <w:sz w:val="20"/>
          <w:szCs w:val="20"/>
        </w:rPr>
      </w:pPr>
    </w:p>
    <w:p w:rsidR="00753A7A" w:rsidRDefault="00EA0504" w:rsidP="003A4612">
      <w:pPr>
        <w:jc w:val="center"/>
        <w:rPr>
          <w:bCs/>
        </w:rPr>
      </w:pPr>
      <w:r w:rsidRPr="00A62993">
        <w:rPr>
          <w:bCs/>
        </w:rPr>
        <w:t>RESOLUTION 5.</w:t>
      </w:r>
      <w:r w:rsidR="00753A7A">
        <w:rPr>
          <w:bCs/>
        </w:rPr>
        <w:t>5</w:t>
      </w:r>
    </w:p>
    <w:p w:rsidR="00EA0504" w:rsidRDefault="00EA0504" w:rsidP="003A4612">
      <w:pPr>
        <w:jc w:val="center"/>
        <w:rPr>
          <w:b/>
          <w:bCs/>
          <w:sz w:val="22"/>
          <w:szCs w:val="22"/>
        </w:rPr>
      </w:pPr>
    </w:p>
    <w:p w:rsidR="00EA0504" w:rsidRPr="00A62993" w:rsidRDefault="00EA0504" w:rsidP="00B27842">
      <w:pPr>
        <w:jc w:val="center"/>
        <w:rPr>
          <w:i/>
          <w:iCs/>
        </w:rPr>
      </w:pPr>
      <w:r w:rsidRPr="00A62993">
        <w:rPr>
          <w:b/>
          <w:bCs/>
        </w:rPr>
        <w:t xml:space="preserve">IMPLEMENTATION AND REVISION OF THE COMMUNICATION STRATEGY </w:t>
      </w:r>
    </w:p>
    <w:p w:rsidR="00EA0504" w:rsidRDefault="00EA0504" w:rsidP="007A614D">
      <w:pPr>
        <w:ind w:firstLine="720"/>
        <w:jc w:val="both"/>
        <w:rPr>
          <w:i/>
          <w:iCs/>
          <w:sz w:val="22"/>
          <w:szCs w:val="22"/>
        </w:rPr>
      </w:pPr>
    </w:p>
    <w:p w:rsidR="00EA0504" w:rsidRDefault="00EA0504" w:rsidP="007A614D">
      <w:pPr>
        <w:ind w:firstLine="720"/>
        <w:jc w:val="both"/>
        <w:rPr>
          <w:i/>
          <w:iCs/>
          <w:sz w:val="22"/>
          <w:szCs w:val="22"/>
        </w:rPr>
      </w:pPr>
    </w:p>
    <w:p w:rsidR="00EA0504" w:rsidRDefault="00EA0504" w:rsidP="007A614D">
      <w:pPr>
        <w:ind w:firstLine="720"/>
        <w:jc w:val="both"/>
        <w:rPr>
          <w:sz w:val="22"/>
          <w:szCs w:val="22"/>
        </w:rPr>
      </w:pPr>
      <w:r>
        <w:rPr>
          <w:i/>
          <w:iCs/>
          <w:sz w:val="22"/>
          <w:szCs w:val="22"/>
        </w:rPr>
        <w:t>Aware</w:t>
      </w:r>
      <w:r>
        <w:rPr>
          <w:sz w:val="22"/>
          <w:szCs w:val="22"/>
        </w:rPr>
        <w:t xml:space="preserve"> of the importance of communication as a central and cross-cutting element for implementing the Agreement on the Conservation of African-Eurasian Migratory</w:t>
      </w:r>
      <w:r w:rsidR="00B8352C">
        <w:rPr>
          <w:sz w:val="22"/>
          <w:szCs w:val="22"/>
        </w:rPr>
        <w:t xml:space="preserve"> </w:t>
      </w:r>
      <w:r>
        <w:rPr>
          <w:sz w:val="22"/>
          <w:szCs w:val="22"/>
        </w:rPr>
        <w:t>Waterbirds,</w:t>
      </w:r>
    </w:p>
    <w:p w:rsidR="00EA0504" w:rsidRDefault="00EA0504" w:rsidP="007A614D">
      <w:pPr>
        <w:ind w:firstLine="720"/>
        <w:jc w:val="both"/>
        <w:rPr>
          <w:sz w:val="22"/>
          <w:szCs w:val="22"/>
        </w:rPr>
      </w:pPr>
    </w:p>
    <w:p w:rsidR="00EA0504" w:rsidRDefault="00EA0504" w:rsidP="003A4612">
      <w:pPr>
        <w:ind w:firstLine="720"/>
        <w:jc w:val="both"/>
        <w:rPr>
          <w:sz w:val="22"/>
          <w:szCs w:val="22"/>
        </w:rPr>
      </w:pPr>
      <w:r>
        <w:rPr>
          <w:i/>
          <w:iCs/>
          <w:sz w:val="22"/>
          <w:szCs w:val="22"/>
        </w:rPr>
        <w:t xml:space="preserve">Recalling </w:t>
      </w:r>
      <w:r>
        <w:rPr>
          <w:sz w:val="22"/>
          <w:szCs w:val="22"/>
        </w:rPr>
        <w:t>Resolution 3.10 which adopted the Communication Strategy as an instrument to effectively address the conservation of waterbirds on the flyway level,</w:t>
      </w:r>
    </w:p>
    <w:p w:rsidR="00EA0504" w:rsidRDefault="00EA0504" w:rsidP="003A4612">
      <w:pPr>
        <w:ind w:firstLine="720"/>
        <w:jc w:val="both"/>
        <w:rPr>
          <w:sz w:val="22"/>
          <w:szCs w:val="22"/>
        </w:rPr>
      </w:pPr>
    </w:p>
    <w:p w:rsidR="00EA0504" w:rsidRDefault="00EA0504" w:rsidP="003A4612">
      <w:pPr>
        <w:ind w:firstLine="720"/>
        <w:jc w:val="both"/>
        <w:rPr>
          <w:sz w:val="22"/>
          <w:szCs w:val="22"/>
        </w:rPr>
      </w:pPr>
      <w:r w:rsidRPr="00516754">
        <w:rPr>
          <w:i/>
          <w:iCs/>
          <w:sz w:val="22"/>
          <w:szCs w:val="22"/>
        </w:rPr>
        <w:t xml:space="preserve">Further </w:t>
      </w:r>
      <w:r>
        <w:rPr>
          <w:i/>
          <w:iCs/>
          <w:sz w:val="22"/>
          <w:szCs w:val="22"/>
        </w:rPr>
        <w:t>r</w:t>
      </w:r>
      <w:r w:rsidRPr="00516754">
        <w:rPr>
          <w:i/>
          <w:iCs/>
          <w:sz w:val="22"/>
          <w:szCs w:val="22"/>
        </w:rPr>
        <w:t>ecalling</w:t>
      </w:r>
      <w:r w:rsidR="007C70A6">
        <w:rPr>
          <w:i/>
          <w:iCs/>
          <w:sz w:val="22"/>
          <w:szCs w:val="22"/>
        </w:rPr>
        <w:t xml:space="preserve"> </w:t>
      </w:r>
      <w:r>
        <w:rPr>
          <w:sz w:val="22"/>
          <w:szCs w:val="22"/>
        </w:rPr>
        <w:t xml:space="preserve">that Resolution 3.10 </w:t>
      </w:r>
      <w:r w:rsidRPr="00516754">
        <w:rPr>
          <w:sz w:val="22"/>
          <w:szCs w:val="22"/>
        </w:rPr>
        <w:t>instructed the Secretariat to implement the Communication Strategy to the exten</w:t>
      </w:r>
      <w:r>
        <w:rPr>
          <w:sz w:val="22"/>
          <w:szCs w:val="22"/>
        </w:rPr>
        <w:t>t</w:t>
      </w:r>
      <w:r w:rsidRPr="00516754">
        <w:rPr>
          <w:sz w:val="22"/>
          <w:szCs w:val="22"/>
        </w:rPr>
        <w:t xml:space="preserve"> possible taking into account resources available, to review and report on its effectiveness on a regular basis and to undertake fundraising efforts to support the implementatio</w:t>
      </w:r>
      <w:r>
        <w:rPr>
          <w:sz w:val="22"/>
          <w:szCs w:val="22"/>
        </w:rPr>
        <w:t>n of the Communication Strategy,</w:t>
      </w:r>
    </w:p>
    <w:p w:rsidR="00EA0504" w:rsidRDefault="00EA0504" w:rsidP="003A4612">
      <w:pPr>
        <w:ind w:firstLine="720"/>
        <w:jc w:val="both"/>
        <w:rPr>
          <w:sz w:val="22"/>
          <w:szCs w:val="22"/>
        </w:rPr>
      </w:pPr>
    </w:p>
    <w:p w:rsidR="00EA0504" w:rsidRDefault="00EA0504" w:rsidP="003A4612">
      <w:pPr>
        <w:ind w:firstLine="720"/>
        <w:jc w:val="both"/>
        <w:rPr>
          <w:sz w:val="22"/>
          <w:szCs w:val="22"/>
        </w:rPr>
      </w:pPr>
      <w:r w:rsidRPr="0068028B">
        <w:rPr>
          <w:i/>
          <w:iCs/>
          <w:sz w:val="22"/>
          <w:szCs w:val="22"/>
        </w:rPr>
        <w:t>Noting</w:t>
      </w:r>
      <w:r>
        <w:rPr>
          <w:sz w:val="22"/>
          <w:szCs w:val="22"/>
        </w:rPr>
        <w:t xml:space="preserve"> that the Communication Strategy</w:t>
      </w:r>
      <w:r w:rsidR="007C70A6">
        <w:rPr>
          <w:sz w:val="22"/>
          <w:szCs w:val="22"/>
        </w:rPr>
        <w:t>,</w:t>
      </w:r>
      <w:r>
        <w:rPr>
          <w:sz w:val="22"/>
          <w:szCs w:val="22"/>
        </w:rPr>
        <w:t xml:space="preserve"> adopted through Resolution 3.10, contained an annexed Communication Action Plan for the period 2006-2009</w:t>
      </w:r>
      <w:r w:rsidR="007C70A6">
        <w:rPr>
          <w:sz w:val="22"/>
          <w:szCs w:val="22"/>
        </w:rPr>
        <w:t>,</w:t>
      </w:r>
      <w:r>
        <w:rPr>
          <w:sz w:val="22"/>
          <w:szCs w:val="22"/>
        </w:rPr>
        <w:t xml:space="preserve"> which contains activities to be funded through voluntary contributions, and that only a limited number of those activities could be undertaken due to lack of resources</w:t>
      </w:r>
      <w:r>
        <w:rPr>
          <w:sz w:val="22"/>
          <w:szCs w:val="22"/>
          <w:lang w:val="en-GB"/>
        </w:rPr>
        <w:t>,</w:t>
      </w:r>
    </w:p>
    <w:p w:rsidR="00EA0504" w:rsidRDefault="00EA0504" w:rsidP="003A4612">
      <w:pPr>
        <w:ind w:firstLine="720"/>
        <w:jc w:val="both"/>
        <w:rPr>
          <w:sz w:val="22"/>
          <w:szCs w:val="22"/>
        </w:rPr>
      </w:pPr>
    </w:p>
    <w:p w:rsidR="00EA0504" w:rsidRDefault="00EA0504" w:rsidP="003A4612">
      <w:pPr>
        <w:ind w:firstLine="720"/>
        <w:jc w:val="both"/>
        <w:rPr>
          <w:sz w:val="22"/>
          <w:szCs w:val="22"/>
        </w:rPr>
      </w:pPr>
      <w:r w:rsidRPr="00516754">
        <w:rPr>
          <w:i/>
          <w:iCs/>
          <w:sz w:val="22"/>
          <w:szCs w:val="22"/>
        </w:rPr>
        <w:t xml:space="preserve">Further </w:t>
      </w:r>
      <w:r>
        <w:rPr>
          <w:i/>
          <w:iCs/>
          <w:sz w:val="22"/>
          <w:szCs w:val="22"/>
        </w:rPr>
        <w:t>r</w:t>
      </w:r>
      <w:r w:rsidRPr="00516754">
        <w:rPr>
          <w:i/>
          <w:iCs/>
          <w:sz w:val="22"/>
          <w:szCs w:val="22"/>
        </w:rPr>
        <w:t>ecalling</w:t>
      </w:r>
      <w:r w:rsidRPr="00516754">
        <w:rPr>
          <w:sz w:val="22"/>
          <w:szCs w:val="22"/>
        </w:rPr>
        <w:t xml:space="preserve"> that Resolution 3.10 invite</w:t>
      </w:r>
      <w:r>
        <w:rPr>
          <w:sz w:val="22"/>
          <w:szCs w:val="22"/>
        </w:rPr>
        <w:t>s</w:t>
      </w:r>
      <w:r w:rsidRPr="00516754">
        <w:rPr>
          <w:sz w:val="22"/>
          <w:szCs w:val="22"/>
        </w:rPr>
        <w:t xml:space="preserve"> all Parties, Range States and other stakeholders along the African-Eurasian Flyway to support the implementation of the Communication Strategy at the global, regional, national or local levels, as appropriate, with the expertise, networks, skills and resources they have at their disposal, and </w:t>
      </w:r>
      <w:r w:rsidRPr="003A5DE1">
        <w:rPr>
          <w:i/>
          <w:sz w:val="22"/>
          <w:szCs w:val="22"/>
        </w:rPr>
        <w:t>urges</w:t>
      </w:r>
      <w:r w:rsidRPr="00516754">
        <w:rPr>
          <w:sz w:val="22"/>
          <w:szCs w:val="22"/>
        </w:rPr>
        <w:t xml:space="preserve"> Contracting Parties, donors and private sector sponsors to provide supplementary financial support to enable the Secretariat to </w:t>
      </w:r>
      <w:proofErr w:type="spellStart"/>
      <w:r w:rsidRPr="00516754">
        <w:rPr>
          <w:sz w:val="22"/>
          <w:szCs w:val="22"/>
        </w:rPr>
        <w:t>reali</w:t>
      </w:r>
      <w:r w:rsidR="00160605">
        <w:rPr>
          <w:sz w:val="22"/>
          <w:szCs w:val="22"/>
        </w:rPr>
        <w:t>s</w:t>
      </w:r>
      <w:r w:rsidRPr="00516754">
        <w:rPr>
          <w:sz w:val="22"/>
          <w:szCs w:val="22"/>
        </w:rPr>
        <w:t>e</w:t>
      </w:r>
      <w:proofErr w:type="spellEnd"/>
      <w:r w:rsidRPr="00516754">
        <w:rPr>
          <w:sz w:val="22"/>
          <w:szCs w:val="22"/>
        </w:rPr>
        <w:t xml:space="preserve"> all identified activities of </w:t>
      </w:r>
      <w:r>
        <w:rPr>
          <w:sz w:val="22"/>
          <w:szCs w:val="22"/>
        </w:rPr>
        <w:t>the Strategy,</w:t>
      </w:r>
    </w:p>
    <w:p w:rsidR="00EA0504" w:rsidRDefault="00EA0504" w:rsidP="003A4612">
      <w:pPr>
        <w:ind w:firstLine="720"/>
        <w:jc w:val="both"/>
        <w:rPr>
          <w:sz w:val="22"/>
          <w:szCs w:val="22"/>
        </w:rPr>
      </w:pPr>
    </w:p>
    <w:p w:rsidR="00EA0504" w:rsidRDefault="00EA0504" w:rsidP="00FF411A">
      <w:pPr>
        <w:ind w:firstLine="720"/>
        <w:jc w:val="both"/>
        <w:rPr>
          <w:sz w:val="22"/>
          <w:szCs w:val="22"/>
        </w:rPr>
      </w:pPr>
      <w:r>
        <w:rPr>
          <w:i/>
          <w:iCs/>
          <w:sz w:val="22"/>
          <w:szCs w:val="22"/>
        </w:rPr>
        <w:t xml:space="preserve">Aware </w:t>
      </w:r>
      <w:r>
        <w:rPr>
          <w:sz w:val="22"/>
          <w:szCs w:val="22"/>
        </w:rPr>
        <w:t>that Article III of the AEWA Agreement Text states that in order to conserve migratory waterbirds, the Parties shall “</w:t>
      </w:r>
      <w:r w:rsidRPr="00160605">
        <w:rPr>
          <w:i/>
          <w:sz w:val="22"/>
          <w:szCs w:val="22"/>
        </w:rPr>
        <w:t xml:space="preserve">develop and maintain </w:t>
      </w:r>
      <w:proofErr w:type="spellStart"/>
      <w:r w:rsidRPr="00160605">
        <w:rPr>
          <w:i/>
          <w:sz w:val="22"/>
          <w:szCs w:val="22"/>
        </w:rPr>
        <w:t>programmes</w:t>
      </w:r>
      <w:proofErr w:type="spellEnd"/>
      <w:r w:rsidRPr="00160605">
        <w:rPr>
          <w:i/>
          <w:sz w:val="22"/>
          <w:szCs w:val="22"/>
        </w:rPr>
        <w:t xml:space="preserve"> to raise awareness and understanding of</w:t>
      </w:r>
      <w:r>
        <w:rPr>
          <w:sz w:val="22"/>
          <w:szCs w:val="22"/>
        </w:rPr>
        <w:t xml:space="preserve"> </w:t>
      </w:r>
      <w:r w:rsidRPr="00160605">
        <w:rPr>
          <w:i/>
          <w:sz w:val="22"/>
          <w:szCs w:val="22"/>
        </w:rPr>
        <w:t xml:space="preserve">migratory </w:t>
      </w:r>
      <w:proofErr w:type="spellStart"/>
      <w:r w:rsidRPr="00160605">
        <w:rPr>
          <w:i/>
          <w:sz w:val="22"/>
          <w:szCs w:val="22"/>
        </w:rPr>
        <w:t>waterbird</w:t>
      </w:r>
      <w:proofErr w:type="spellEnd"/>
      <w:r w:rsidRPr="00160605">
        <w:rPr>
          <w:i/>
          <w:sz w:val="22"/>
          <w:szCs w:val="22"/>
        </w:rPr>
        <w:t xml:space="preserve"> conservation issues in general and of the particular objectives and provisions of this</w:t>
      </w:r>
      <w:r>
        <w:rPr>
          <w:sz w:val="22"/>
          <w:szCs w:val="22"/>
        </w:rPr>
        <w:t xml:space="preserve"> </w:t>
      </w:r>
      <w:r w:rsidRPr="00160605">
        <w:rPr>
          <w:i/>
          <w:sz w:val="22"/>
          <w:szCs w:val="22"/>
        </w:rPr>
        <w:t>Agreement</w:t>
      </w:r>
      <w:r>
        <w:rPr>
          <w:sz w:val="22"/>
          <w:szCs w:val="22"/>
        </w:rPr>
        <w:t>”,</w:t>
      </w:r>
    </w:p>
    <w:p w:rsidR="00EA0504" w:rsidRDefault="00EA0504" w:rsidP="00FF411A">
      <w:pPr>
        <w:jc w:val="both"/>
        <w:rPr>
          <w:sz w:val="22"/>
          <w:szCs w:val="22"/>
        </w:rPr>
      </w:pPr>
    </w:p>
    <w:p w:rsidR="00EA0504" w:rsidRDefault="00EA0504" w:rsidP="00FF411A">
      <w:pPr>
        <w:ind w:firstLine="720"/>
        <w:jc w:val="both"/>
        <w:rPr>
          <w:sz w:val="22"/>
          <w:szCs w:val="22"/>
        </w:rPr>
      </w:pPr>
      <w:r>
        <w:rPr>
          <w:i/>
          <w:iCs/>
          <w:sz w:val="22"/>
          <w:szCs w:val="22"/>
        </w:rPr>
        <w:t>Also aware</w:t>
      </w:r>
      <w:r>
        <w:rPr>
          <w:sz w:val="22"/>
          <w:szCs w:val="22"/>
        </w:rPr>
        <w:t xml:space="preserve"> that according to chapter 6 of the AEWA Action Plan</w:t>
      </w:r>
      <w:r w:rsidR="00160605">
        <w:rPr>
          <w:sz w:val="22"/>
          <w:szCs w:val="22"/>
        </w:rPr>
        <w:t>,</w:t>
      </w:r>
      <w:r>
        <w:rPr>
          <w:sz w:val="22"/>
          <w:szCs w:val="22"/>
        </w:rPr>
        <w:t xml:space="preserve"> </w:t>
      </w:r>
      <w:r w:rsidR="004752F5">
        <w:rPr>
          <w:sz w:val="22"/>
          <w:szCs w:val="22"/>
        </w:rPr>
        <w:t xml:space="preserve">Parties shall </w:t>
      </w:r>
      <w:r>
        <w:rPr>
          <w:sz w:val="22"/>
          <w:szCs w:val="22"/>
        </w:rPr>
        <w:t xml:space="preserve">(1) where necessary, arrange for training </w:t>
      </w:r>
      <w:proofErr w:type="spellStart"/>
      <w:r>
        <w:rPr>
          <w:sz w:val="22"/>
          <w:szCs w:val="22"/>
        </w:rPr>
        <w:t>programmes</w:t>
      </w:r>
      <w:proofErr w:type="spellEnd"/>
      <w:r>
        <w:rPr>
          <w:sz w:val="22"/>
          <w:szCs w:val="22"/>
        </w:rPr>
        <w:t xml:space="preserve"> to ensure that personnel responsible for the implementation of the Action Plan have an adequate knowledge to implement it effectively; (2) cooperate with each other and the Agreement Secretariat with a view to developing training </w:t>
      </w:r>
      <w:proofErr w:type="spellStart"/>
      <w:r>
        <w:rPr>
          <w:sz w:val="22"/>
          <w:szCs w:val="22"/>
        </w:rPr>
        <w:t>programmes</w:t>
      </w:r>
      <w:proofErr w:type="spellEnd"/>
      <w:r>
        <w:rPr>
          <w:sz w:val="22"/>
          <w:szCs w:val="22"/>
        </w:rPr>
        <w:t xml:space="preserve"> and exchanging resource materials; (3) endeavor to develop </w:t>
      </w:r>
      <w:proofErr w:type="spellStart"/>
      <w:r>
        <w:rPr>
          <w:sz w:val="22"/>
          <w:szCs w:val="22"/>
        </w:rPr>
        <w:t>programmes</w:t>
      </w:r>
      <w:proofErr w:type="spellEnd"/>
      <w:r>
        <w:rPr>
          <w:sz w:val="22"/>
          <w:szCs w:val="22"/>
        </w:rPr>
        <w:t>, information materials and mechanisms to improve the level of awareness of the general public with regard to the objectives, provisions and contents of the Act</w:t>
      </w:r>
      <w:r w:rsidR="00B9139F">
        <w:rPr>
          <w:sz w:val="22"/>
          <w:szCs w:val="22"/>
        </w:rPr>
        <w:t>i</w:t>
      </w:r>
      <w:r>
        <w:rPr>
          <w:sz w:val="22"/>
          <w:szCs w:val="22"/>
        </w:rPr>
        <w:t>on Plan giving particular attention to those people living in and around important wetlands, to users of these wetlands (hunters, fishermen, tourists, etc.) and to local authorities and other decision makers; (4) endeavor to undertake specific public awareness campaigns for the conservation of the populations listed in Table 1,</w:t>
      </w:r>
    </w:p>
    <w:p w:rsidR="00EA0504" w:rsidRDefault="00EA0504" w:rsidP="003A4612">
      <w:pPr>
        <w:ind w:firstLine="720"/>
        <w:jc w:val="both"/>
        <w:rPr>
          <w:sz w:val="22"/>
          <w:szCs w:val="22"/>
        </w:rPr>
      </w:pPr>
    </w:p>
    <w:p w:rsidR="00EA0504" w:rsidRDefault="00EA0504" w:rsidP="0068028B">
      <w:pPr>
        <w:ind w:firstLine="720"/>
        <w:jc w:val="both"/>
        <w:rPr>
          <w:sz w:val="22"/>
          <w:szCs w:val="22"/>
        </w:rPr>
      </w:pPr>
      <w:proofErr w:type="spellStart"/>
      <w:r w:rsidRPr="00A536FB">
        <w:rPr>
          <w:i/>
          <w:iCs/>
          <w:sz w:val="22"/>
          <w:szCs w:val="22"/>
        </w:rPr>
        <w:t>Recogni</w:t>
      </w:r>
      <w:r w:rsidR="008A7E36">
        <w:rPr>
          <w:i/>
          <w:iCs/>
          <w:sz w:val="22"/>
          <w:szCs w:val="22"/>
        </w:rPr>
        <w:t>s</w:t>
      </w:r>
      <w:r w:rsidRPr="00A536FB">
        <w:rPr>
          <w:i/>
          <w:iCs/>
          <w:sz w:val="22"/>
          <w:szCs w:val="22"/>
        </w:rPr>
        <w:t>ing</w:t>
      </w:r>
      <w:proofErr w:type="spellEnd"/>
      <w:r w:rsidRPr="00A536FB">
        <w:rPr>
          <w:sz w:val="22"/>
          <w:szCs w:val="22"/>
        </w:rPr>
        <w:t xml:space="preserve"> the contribution </w:t>
      </w:r>
      <w:r>
        <w:rPr>
          <w:sz w:val="22"/>
          <w:szCs w:val="22"/>
        </w:rPr>
        <w:t xml:space="preserve">which </w:t>
      </w:r>
      <w:r w:rsidRPr="00A536FB">
        <w:rPr>
          <w:sz w:val="22"/>
          <w:szCs w:val="22"/>
        </w:rPr>
        <w:t xml:space="preserve">the </w:t>
      </w:r>
      <w:r w:rsidRPr="00A536FB">
        <w:rPr>
          <w:i/>
          <w:iCs/>
          <w:sz w:val="22"/>
          <w:szCs w:val="22"/>
        </w:rPr>
        <w:t>Wings Over Wetlands (WOW) UNEP-GEF African-Eurasian Flyways Project</w:t>
      </w:r>
      <w:r w:rsidRPr="00A536FB">
        <w:rPr>
          <w:sz w:val="22"/>
          <w:szCs w:val="22"/>
        </w:rPr>
        <w:t xml:space="preserve"> has made towards the implementation of the Communication Strategy</w:t>
      </w:r>
      <w:r>
        <w:rPr>
          <w:sz w:val="22"/>
          <w:szCs w:val="22"/>
        </w:rPr>
        <w:t xml:space="preserve"> from 2006</w:t>
      </w:r>
      <w:r w:rsidR="00A5124E">
        <w:rPr>
          <w:sz w:val="22"/>
          <w:szCs w:val="22"/>
        </w:rPr>
        <w:t xml:space="preserve"> to</w:t>
      </w:r>
      <w:r>
        <w:rPr>
          <w:sz w:val="22"/>
          <w:szCs w:val="22"/>
        </w:rPr>
        <w:t xml:space="preserve"> 2010</w:t>
      </w:r>
      <w:r w:rsidRPr="00A536FB">
        <w:rPr>
          <w:sz w:val="22"/>
          <w:szCs w:val="22"/>
        </w:rPr>
        <w:t>, in particular with regard to developing training materials, such as the Flyway Training Kit (FTK)</w:t>
      </w:r>
      <w:r w:rsidR="008A7E36">
        <w:rPr>
          <w:sz w:val="22"/>
          <w:szCs w:val="22"/>
        </w:rPr>
        <w:t xml:space="preserve">, </w:t>
      </w:r>
      <w:r w:rsidRPr="00A536FB">
        <w:rPr>
          <w:sz w:val="22"/>
          <w:szCs w:val="22"/>
        </w:rPr>
        <w:t xml:space="preserve">which, </w:t>
      </w:r>
      <w:r>
        <w:rPr>
          <w:sz w:val="22"/>
          <w:szCs w:val="22"/>
        </w:rPr>
        <w:t xml:space="preserve">subject to available resources, </w:t>
      </w:r>
      <w:r w:rsidRPr="00A536FB">
        <w:rPr>
          <w:sz w:val="22"/>
          <w:szCs w:val="22"/>
        </w:rPr>
        <w:t xml:space="preserve">could be used to </w:t>
      </w:r>
      <w:r>
        <w:rPr>
          <w:sz w:val="22"/>
          <w:szCs w:val="22"/>
        </w:rPr>
        <w:t>support</w:t>
      </w:r>
      <w:r w:rsidRPr="00A536FB">
        <w:rPr>
          <w:sz w:val="22"/>
          <w:szCs w:val="22"/>
        </w:rPr>
        <w:t xml:space="preserve"> capacity</w:t>
      </w:r>
      <w:r w:rsidR="008A7E36">
        <w:rPr>
          <w:sz w:val="22"/>
          <w:szCs w:val="22"/>
        </w:rPr>
        <w:t>-</w:t>
      </w:r>
      <w:r>
        <w:rPr>
          <w:sz w:val="22"/>
          <w:szCs w:val="22"/>
        </w:rPr>
        <w:t>building measures</w:t>
      </w:r>
      <w:r w:rsidR="008A7E36">
        <w:rPr>
          <w:sz w:val="22"/>
          <w:szCs w:val="22"/>
        </w:rPr>
        <w:t xml:space="preserve"> </w:t>
      </w:r>
      <w:r>
        <w:rPr>
          <w:sz w:val="22"/>
          <w:szCs w:val="22"/>
        </w:rPr>
        <w:t>identified in the Communication Strategy</w:t>
      </w:r>
      <w:r w:rsidRPr="00A536FB">
        <w:rPr>
          <w:sz w:val="22"/>
          <w:szCs w:val="22"/>
        </w:rPr>
        <w:t>,</w:t>
      </w:r>
    </w:p>
    <w:p w:rsidR="00EA0504" w:rsidRDefault="00EA0504" w:rsidP="009A47CF">
      <w:pPr>
        <w:ind w:firstLine="720"/>
        <w:jc w:val="both"/>
        <w:rPr>
          <w:sz w:val="22"/>
          <w:szCs w:val="22"/>
        </w:rPr>
      </w:pPr>
      <w:r w:rsidRPr="00D16BA9">
        <w:rPr>
          <w:i/>
          <w:iCs/>
          <w:sz w:val="22"/>
          <w:szCs w:val="22"/>
        </w:rPr>
        <w:lastRenderedPageBreak/>
        <w:t xml:space="preserve">Further </w:t>
      </w:r>
      <w:proofErr w:type="spellStart"/>
      <w:r>
        <w:rPr>
          <w:i/>
          <w:iCs/>
          <w:sz w:val="22"/>
          <w:szCs w:val="22"/>
        </w:rPr>
        <w:t>r</w:t>
      </w:r>
      <w:r w:rsidRPr="00D16BA9">
        <w:rPr>
          <w:i/>
          <w:iCs/>
          <w:sz w:val="22"/>
          <w:szCs w:val="22"/>
        </w:rPr>
        <w:t>ecogni</w:t>
      </w:r>
      <w:r w:rsidR="008A7E36">
        <w:rPr>
          <w:i/>
          <w:iCs/>
          <w:sz w:val="22"/>
          <w:szCs w:val="22"/>
        </w:rPr>
        <w:t>s</w:t>
      </w:r>
      <w:r w:rsidRPr="00D16BA9">
        <w:rPr>
          <w:i/>
          <w:iCs/>
          <w:sz w:val="22"/>
          <w:szCs w:val="22"/>
        </w:rPr>
        <w:t>ing</w:t>
      </w:r>
      <w:proofErr w:type="spellEnd"/>
      <w:r w:rsidRPr="00D16BA9">
        <w:rPr>
          <w:sz w:val="22"/>
          <w:szCs w:val="22"/>
        </w:rPr>
        <w:t xml:space="preserve"> the importance of World Migratory Bird Day (WMBD) as the key international public awareness</w:t>
      </w:r>
      <w:r>
        <w:rPr>
          <w:sz w:val="22"/>
          <w:szCs w:val="22"/>
        </w:rPr>
        <w:t>-</w:t>
      </w:r>
      <w:r w:rsidRPr="00D16BA9">
        <w:rPr>
          <w:sz w:val="22"/>
          <w:szCs w:val="22"/>
        </w:rPr>
        <w:t>raising campaign</w:t>
      </w:r>
      <w:r w:rsidR="008A7E36">
        <w:rPr>
          <w:sz w:val="22"/>
          <w:szCs w:val="22"/>
        </w:rPr>
        <w:t xml:space="preserve"> </w:t>
      </w:r>
      <w:r w:rsidRPr="00D16BA9">
        <w:rPr>
          <w:sz w:val="22"/>
          <w:szCs w:val="22"/>
        </w:rPr>
        <w:t xml:space="preserve">for the Agreement, presenting an </w:t>
      </w:r>
      <w:r>
        <w:rPr>
          <w:sz w:val="22"/>
          <w:szCs w:val="22"/>
        </w:rPr>
        <w:t>opportunity</w:t>
      </w:r>
      <w:r w:rsidRPr="00D16BA9">
        <w:rPr>
          <w:sz w:val="22"/>
          <w:szCs w:val="22"/>
        </w:rPr>
        <w:t xml:space="preserve"> for Parties, partner </w:t>
      </w:r>
      <w:proofErr w:type="spellStart"/>
      <w:r w:rsidRPr="00D16BA9">
        <w:rPr>
          <w:sz w:val="22"/>
          <w:szCs w:val="22"/>
        </w:rPr>
        <w:t>organi</w:t>
      </w:r>
      <w:r w:rsidR="008A7E36">
        <w:rPr>
          <w:sz w:val="22"/>
          <w:szCs w:val="22"/>
        </w:rPr>
        <w:t>s</w:t>
      </w:r>
      <w:r w:rsidRPr="00D16BA9">
        <w:rPr>
          <w:sz w:val="22"/>
          <w:szCs w:val="22"/>
        </w:rPr>
        <w:t>ations</w:t>
      </w:r>
      <w:proofErr w:type="spellEnd"/>
      <w:r w:rsidRPr="00D16BA9">
        <w:rPr>
          <w:sz w:val="22"/>
          <w:szCs w:val="22"/>
        </w:rPr>
        <w:t>, and local stakeholders to celebrate achievements and highlight continuing</w:t>
      </w:r>
      <w:r>
        <w:rPr>
          <w:sz w:val="22"/>
          <w:szCs w:val="22"/>
        </w:rPr>
        <w:t xml:space="preserve"> challenges in migratory </w:t>
      </w:r>
      <w:proofErr w:type="spellStart"/>
      <w:r>
        <w:rPr>
          <w:sz w:val="22"/>
          <w:szCs w:val="22"/>
        </w:rPr>
        <w:t>water</w:t>
      </w:r>
      <w:r w:rsidRPr="00D16BA9">
        <w:rPr>
          <w:sz w:val="22"/>
          <w:szCs w:val="22"/>
        </w:rPr>
        <w:t>bird</w:t>
      </w:r>
      <w:proofErr w:type="spellEnd"/>
      <w:r w:rsidRPr="00D16BA9">
        <w:rPr>
          <w:sz w:val="22"/>
          <w:szCs w:val="22"/>
        </w:rPr>
        <w:t xml:space="preserve"> and wetland conservation,</w:t>
      </w:r>
      <w:r>
        <w:rPr>
          <w:sz w:val="22"/>
          <w:szCs w:val="22"/>
        </w:rPr>
        <w:t xml:space="preserve"> as well as</w:t>
      </w:r>
      <w:r w:rsidRPr="00D16BA9">
        <w:rPr>
          <w:i/>
          <w:iCs/>
          <w:sz w:val="22"/>
          <w:szCs w:val="22"/>
        </w:rPr>
        <w:t xml:space="preserve"> noting with satisfaction</w:t>
      </w:r>
      <w:r>
        <w:rPr>
          <w:sz w:val="22"/>
          <w:szCs w:val="22"/>
        </w:rPr>
        <w:t xml:space="preserve"> the central role played by the Secretariat in the </w:t>
      </w:r>
      <w:proofErr w:type="spellStart"/>
      <w:r>
        <w:rPr>
          <w:sz w:val="22"/>
          <w:szCs w:val="22"/>
        </w:rPr>
        <w:t>organi</w:t>
      </w:r>
      <w:r w:rsidR="008A7E36">
        <w:rPr>
          <w:sz w:val="22"/>
          <w:szCs w:val="22"/>
        </w:rPr>
        <w:t>s</w:t>
      </w:r>
      <w:r>
        <w:rPr>
          <w:sz w:val="22"/>
          <w:szCs w:val="22"/>
        </w:rPr>
        <w:t>ation</w:t>
      </w:r>
      <w:proofErr w:type="spellEnd"/>
      <w:r>
        <w:rPr>
          <w:sz w:val="22"/>
          <w:szCs w:val="22"/>
        </w:rPr>
        <w:t xml:space="preserve"> of the campaign since 2006, </w:t>
      </w:r>
    </w:p>
    <w:p w:rsidR="00EA0504" w:rsidRDefault="00EA0504" w:rsidP="009A47CF">
      <w:pPr>
        <w:ind w:firstLine="720"/>
        <w:jc w:val="both"/>
        <w:rPr>
          <w:sz w:val="22"/>
          <w:szCs w:val="22"/>
        </w:rPr>
      </w:pPr>
    </w:p>
    <w:p w:rsidR="00EA0504" w:rsidRDefault="00EA0504" w:rsidP="00206693">
      <w:pPr>
        <w:ind w:firstLine="720"/>
        <w:jc w:val="both"/>
        <w:rPr>
          <w:sz w:val="22"/>
          <w:szCs w:val="22"/>
        </w:rPr>
      </w:pPr>
      <w:r>
        <w:rPr>
          <w:i/>
          <w:iCs/>
          <w:sz w:val="22"/>
          <w:szCs w:val="22"/>
        </w:rPr>
        <w:t xml:space="preserve">Reiterating </w:t>
      </w:r>
      <w:r w:rsidRPr="00E16984">
        <w:rPr>
          <w:iCs/>
          <w:sz w:val="22"/>
          <w:szCs w:val="22"/>
        </w:rPr>
        <w:t>the</w:t>
      </w:r>
      <w:r>
        <w:rPr>
          <w:sz w:val="22"/>
          <w:szCs w:val="22"/>
        </w:rPr>
        <w:t xml:space="preserve"> role of the </w:t>
      </w:r>
      <w:r w:rsidR="008A7E36">
        <w:rPr>
          <w:sz w:val="22"/>
          <w:szCs w:val="22"/>
        </w:rPr>
        <w:t>UNEP/</w:t>
      </w:r>
      <w:r>
        <w:rPr>
          <w:sz w:val="22"/>
          <w:szCs w:val="22"/>
        </w:rPr>
        <w:t xml:space="preserve">AEWA Secretariat as a process facilitator in bringing partners together to cooperate effectively towards the common goal of </w:t>
      </w:r>
      <w:proofErr w:type="spellStart"/>
      <w:r>
        <w:rPr>
          <w:sz w:val="22"/>
          <w:szCs w:val="22"/>
        </w:rPr>
        <w:t>waterbird</w:t>
      </w:r>
      <w:proofErr w:type="spellEnd"/>
      <w:r>
        <w:rPr>
          <w:sz w:val="22"/>
          <w:szCs w:val="22"/>
        </w:rPr>
        <w:t xml:space="preserve"> conservation along the African-Eurasian Flyways and </w:t>
      </w:r>
      <w:proofErr w:type="spellStart"/>
      <w:r>
        <w:rPr>
          <w:sz w:val="22"/>
          <w:szCs w:val="22"/>
        </w:rPr>
        <w:t>r</w:t>
      </w:r>
      <w:r w:rsidRPr="003B0C02">
        <w:rPr>
          <w:i/>
          <w:iCs/>
          <w:sz w:val="22"/>
          <w:szCs w:val="22"/>
        </w:rPr>
        <w:t>ecogni</w:t>
      </w:r>
      <w:r w:rsidR="008A7E36">
        <w:rPr>
          <w:i/>
          <w:iCs/>
          <w:sz w:val="22"/>
          <w:szCs w:val="22"/>
        </w:rPr>
        <w:t>s</w:t>
      </w:r>
      <w:r w:rsidRPr="003B0C02">
        <w:rPr>
          <w:i/>
          <w:iCs/>
          <w:sz w:val="22"/>
          <w:szCs w:val="22"/>
        </w:rPr>
        <w:t>ing</w:t>
      </w:r>
      <w:proofErr w:type="spellEnd"/>
      <w:r>
        <w:rPr>
          <w:sz w:val="22"/>
          <w:szCs w:val="22"/>
        </w:rPr>
        <w:t xml:space="preserve"> the role the </w:t>
      </w:r>
      <w:r w:rsidRPr="004A1B0B">
        <w:rPr>
          <w:sz w:val="22"/>
          <w:szCs w:val="22"/>
        </w:rPr>
        <w:t>“</w:t>
      </w:r>
      <w:r w:rsidRPr="004A1B0B">
        <w:rPr>
          <w:i/>
          <w:iCs/>
          <w:sz w:val="22"/>
          <w:szCs w:val="22"/>
        </w:rPr>
        <w:t>Partnership for the Conservation of Migratory Waterbirds and their Habitats (Wings Over Wetlands)</w:t>
      </w:r>
      <w:r w:rsidRPr="004A1B0B">
        <w:rPr>
          <w:sz w:val="22"/>
          <w:szCs w:val="22"/>
        </w:rPr>
        <w:t>”</w:t>
      </w:r>
      <w:r>
        <w:rPr>
          <w:sz w:val="22"/>
          <w:szCs w:val="22"/>
        </w:rPr>
        <w:t xml:space="preserve"> and the World Migratory Bird Day (WMBD) campaign can play in implementing the Communication Strategy,</w:t>
      </w:r>
    </w:p>
    <w:p w:rsidR="00EA0504" w:rsidRDefault="00EA0504" w:rsidP="00206693">
      <w:pPr>
        <w:ind w:firstLine="720"/>
        <w:jc w:val="both"/>
        <w:rPr>
          <w:sz w:val="22"/>
          <w:szCs w:val="22"/>
        </w:rPr>
      </w:pPr>
    </w:p>
    <w:p w:rsidR="00EA0504" w:rsidRDefault="00EA0504" w:rsidP="00206693">
      <w:pPr>
        <w:ind w:firstLine="720"/>
        <w:jc w:val="both"/>
        <w:rPr>
          <w:i/>
          <w:iCs/>
          <w:sz w:val="22"/>
          <w:szCs w:val="22"/>
        </w:rPr>
      </w:pPr>
      <w:r w:rsidRPr="00A91E95">
        <w:rPr>
          <w:i/>
          <w:iCs/>
          <w:sz w:val="22"/>
          <w:szCs w:val="22"/>
        </w:rPr>
        <w:t xml:space="preserve">Noting </w:t>
      </w:r>
      <w:r w:rsidRPr="00541AB8">
        <w:rPr>
          <w:sz w:val="22"/>
          <w:szCs w:val="22"/>
        </w:rPr>
        <w:t>the importance</w:t>
      </w:r>
      <w:r>
        <w:rPr>
          <w:sz w:val="22"/>
          <w:szCs w:val="22"/>
        </w:rPr>
        <w:t xml:space="preserve"> of revising the Communication Strategy so as to align it with the objectives and activities of the </w:t>
      </w:r>
      <w:r w:rsidRPr="00A91E95">
        <w:rPr>
          <w:i/>
          <w:iCs/>
          <w:sz w:val="22"/>
          <w:szCs w:val="22"/>
        </w:rPr>
        <w:t>Strategic Plan 2009 – 2017</w:t>
      </w:r>
      <w:r>
        <w:rPr>
          <w:sz w:val="22"/>
          <w:szCs w:val="22"/>
        </w:rPr>
        <w:t xml:space="preserve"> as adopted by Resolution 4.7, the </w:t>
      </w:r>
      <w:r w:rsidRPr="00A91E95">
        <w:rPr>
          <w:i/>
          <w:iCs/>
          <w:sz w:val="22"/>
          <w:szCs w:val="22"/>
        </w:rPr>
        <w:t>Plan of Action for Africa</w:t>
      </w:r>
      <w:r w:rsidR="00382D7A">
        <w:rPr>
          <w:sz w:val="22"/>
          <w:szCs w:val="22"/>
        </w:rPr>
        <w:t xml:space="preserve"> (</w:t>
      </w:r>
      <w:r w:rsidRPr="00A338B0">
        <w:rPr>
          <w:sz w:val="22"/>
          <w:szCs w:val="22"/>
        </w:rPr>
        <w:t xml:space="preserve">as </w:t>
      </w:r>
      <w:r w:rsidR="0012203C">
        <w:rPr>
          <w:sz w:val="22"/>
          <w:szCs w:val="22"/>
        </w:rPr>
        <w:t xml:space="preserve">adopted by </w:t>
      </w:r>
      <w:r w:rsidR="00B8352C">
        <w:rPr>
          <w:sz w:val="22"/>
          <w:szCs w:val="22"/>
        </w:rPr>
        <w:t>R</w:t>
      </w:r>
      <w:r w:rsidR="0012203C">
        <w:rPr>
          <w:sz w:val="22"/>
          <w:szCs w:val="22"/>
        </w:rPr>
        <w:t>esolution</w:t>
      </w:r>
      <w:r w:rsidR="00B8352C">
        <w:rPr>
          <w:sz w:val="22"/>
          <w:szCs w:val="22"/>
        </w:rPr>
        <w:t xml:space="preserve"> 5.9</w:t>
      </w:r>
      <w:r w:rsidR="0012203C">
        <w:rPr>
          <w:sz w:val="22"/>
          <w:szCs w:val="22"/>
        </w:rPr>
        <w:t>)</w:t>
      </w:r>
      <w:r w:rsidRPr="00A338B0">
        <w:rPr>
          <w:sz w:val="22"/>
          <w:szCs w:val="22"/>
        </w:rPr>
        <w:t>, and integrate and take full advantage of existing</w:t>
      </w:r>
      <w:r>
        <w:rPr>
          <w:sz w:val="22"/>
          <w:szCs w:val="22"/>
        </w:rPr>
        <w:t xml:space="preserve"> initiatives and tools such as the World Migratory Bird Day (WMBD) campaign and the communication and capacity building-related outputs of the </w:t>
      </w:r>
      <w:r w:rsidRPr="00A536FB">
        <w:rPr>
          <w:i/>
          <w:iCs/>
          <w:sz w:val="22"/>
          <w:szCs w:val="22"/>
        </w:rPr>
        <w:t>Wings Over Wetlands (WOW) UNEP-GEF African-Eurasian Flyways Projec</w:t>
      </w:r>
      <w:r>
        <w:rPr>
          <w:i/>
          <w:iCs/>
          <w:sz w:val="22"/>
          <w:szCs w:val="22"/>
        </w:rPr>
        <w:t>t,</w:t>
      </w:r>
    </w:p>
    <w:p w:rsidR="00A01D3C" w:rsidRDefault="00A01D3C" w:rsidP="00206693">
      <w:pPr>
        <w:ind w:firstLine="720"/>
        <w:jc w:val="both"/>
        <w:rPr>
          <w:i/>
          <w:iCs/>
          <w:sz w:val="22"/>
          <w:szCs w:val="22"/>
        </w:rPr>
      </w:pPr>
    </w:p>
    <w:p w:rsidR="00A01D3C" w:rsidRDefault="00A01D3C" w:rsidP="00206693">
      <w:pPr>
        <w:ind w:firstLine="720"/>
        <w:jc w:val="both"/>
        <w:rPr>
          <w:i/>
          <w:iCs/>
          <w:sz w:val="22"/>
          <w:szCs w:val="22"/>
        </w:rPr>
      </w:pPr>
      <w:r>
        <w:rPr>
          <w:i/>
          <w:iCs/>
          <w:sz w:val="22"/>
          <w:szCs w:val="22"/>
        </w:rPr>
        <w:t xml:space="preserve">Further recalling </w:t>
      </w:r>
      <w:r w:rsidRPr="00A01D3C">
        <w:rPr>
          <w:iCs/>
          <w:sz w:val="22"/>
          <w:szCs w:val="22"/>
        </w:rPr>
        <w:t>the importance of the goals of the Convention on Migratory Species (CMS) Future Structure and Strategies of the CMS and CMS Family, as set out in CMS COP10 Resolution 10.9, when revising the Communication Strategy,</w:t>
      </w:r>
    </w:p>
    <w:p w:rsidR="00EA0504" w:rsidRDefault="00EA0504" w:rsidP="00206693">
      <w:pPr>
        <w:ind w:firstLine="720"/>
        <w:jc w:val="both"/>
        <w:rPr>
          <w:i/>
          <w:iCs/>
          <w:sz w:val="22"/>
          <w:szCs w:val="22"/>
        </w:rPr>
      </w:pPr>
    </w:p>
    <w:p w:rsidR="00EA0504" w:rsidRDefault="00EA0504" w:rsidP="00206693">
      <w:pPr>
        <w:ind w:firstLine="720"/>
        <w:jc w:val="both"/>
        <w:rPr>
          <w:sz w:val="22"/>
          <w:szCs w:val="22"/>
        </w:rPr>
      </w:pPr>
      <w:r>
        <w:rPr>
          <w:i/>
          <w:iCs/>
          <w:sz w:val="22"/>
          <w:szCs w:val="22"/>
        </w:rPr>
        <w:t xml:space="preserve">Aware </w:t>
      </w:r>
      <w:r>
        <w:rPr>
          <w:sz w:val="22"/>
          <w:szCs w:val="22"/>
        </w:rPr>
        <w:t>of</w:t>
      </w:r>
      <w:r w:rsidR="00612622">
        <w:rPr>
          <w:sz w:val="22"/>
          <w:szCs w:val="22"/>
        </w:rPr>
        <w:t xml:space="preserve"> </w:t>
      </w:r>
      <w:r w:rsidRPr="00541AB8">
        <w:rPr>
          <w:sz w:val="22"/>
          <w:szCs w:val="22"/>
        </w:rPr>
        <w:t>the need</w:t>
      </w:r>
      <w:r w:rsidR="00612622">
        <w:rPr>
          <w:sz w:val="22"/>
          <w:szCs w:val="22"/>
        </w:rPr>
        <w:t xml:space="preserve"> </w:t>
      </w:r>
      <w:r w:rsidRPr="003B0C02">
        <w:rPr>
          <w:sz w:val="22"/>
          <w:szCs w:val="22"/>
        </w:rPr>
        <w:t>to</w:t>
      </w:r>
      <w:r w:rsidR="00612622">
        <w:rPr>
          <w:sz w:val="22"/>
          <w:szCs w:val="22"/>
        </w:rPr>
        <w:t xml:space="preserve"> </w:t>
      </w:r>
      <w:r>
        <w:rPr>
          <w:sz w:val="22"/>
          <w:szCs w:val="22"/>
        </w:rPr>
        <w:t>carefully consider the existing capacity for communication in terms of available human and financial resources and technical expertise at the Secretariat when identifying activities to be implemented by the Secretariat in the context of the Communication Strategy</w:t>
      </w:r>
      <w:r w:rsidR="00612622">
        <w:rPr>
          <w:sz w:val="22"/>
          <w:szCs w:val="22"/>
        </w:rPr>
        <w:t>,</w:t>
      </w:r>
    </w:p>
    <w:p w:rsidR="00EA0504" w:rsidRDefault="00EA0504" w:rsidP="003A4612">
      <w:pPr>
        <w:jc w:val="both"/>
        <w:rPr>
          <w:sz w:val="22"/>
          <w:szCs w:val="22"/>
        </w:rPr>
      </w:pPr>
    </w:p>
    <w:p w:rsidR="00A01D3C" w:rsidRDefault="00A01D3C" w:rsidP="00853632">
      <w:pPr>
        <w:ind w:firstLine="720"/>
        <w:jc w:val="both"/>
        <w:rPr>
          <w:sz w:val="22"/>
          <w:szCs w:val="22"/>
        </w:rPr>
      </w:pPr>
      <w:r w:rsidRPr="00853632">
        <w:rPr>
          <w:i/>
          <w:sz w:val="22"/>
          <w:szCs w:val="22"/>
        </w:rPr>
        <w:t>Also noting</w:t>
      </w:r>
      <w:r>
        <w:rPr>
          <w:sz w:val="22"/>
          <w:szCs w:val="22"/>
        </w:rPr>
        <w:t xml:space="preserve"> the adoption of Resolution 5.19 on Encouragement of further joint implementation of AEWA and the </w:t>
      </w:r>
      <w:proofErr w:type="spellStart"/>
      <w:r>
        <w:rPr>
          <w:sz w:val="22"/>
          <w:szCs w:val="22"/>
        </w:rPr>
        <w:t>Ramsar</w:t>
      </w:r>
      <w:proofErr w:type="spellEnd"/>
      <w:r>
        <w:rPr>
          <w:sz w:val="22"/>
          <w:szCs w:val="22"/>
        </w:rPr>
        <w:t xml:space="preserve"> Convention.</w:t>
      </w:r>
    </w:p>
    <w:p w:rsidR="00EA0504" w:rsidRDefault="00EA0504" w:rsidP="003A4612">
      <w:pPr>
        <w:jc w:val="both"/>
        <w:rPr>
          <w:sz w:val="22"/>
          <w:szCs w:val="22"/>
        </w:rPr>
      </w:pPr>
    </w:p>
    <w:p w:rsidR="00612622" w:rsidRDefault="00612622" w:rsidP="003A4612">
      <w:pPr>
        <w:jc w:val="both"/>
        <w:rPr>
          <w:sz w:val="22"/>
          <w:szCs w:val="22"/>
        </w:rPr>
      </w:pPr>
    </w:p>
    <w:p w:rsidR="00EA0504" w:rsidRDefault="00EA0504" w:rsidP="003A4612">
      <w:pPr>
        <w:jc w:val="both"/>
        <w:rPr>
          <w:i/>
          <w:iCs/>
          <w:sz w:val="22"/>
          <w:szCs w:val="22"/>
        </w:rPr>
      </w:pPr>
      <w:r w:rsidRPr="00206693">
        <w:rPr>
          <w:i/>
          <w:iCs/>
          <w:sz w:val="22"/>
          <w:szCs w:val="22"/>
        </w:rPr>
        <w:t xml:space="preserve">The </w:t>
      </w:r>
      <w:smartTag w:uri="urn:schemas-microsoft-com:office:smarttags" w:element="PersonName">
        <w:r w:rsidRPr="00206693">
          <w:rPr>
            <w:i/>
            <w:iCs/>
            <w:sz w:val="22"/>
            <w:szCs w:val="22"/>
          </w:rPr>
          <w:t>Meeting</w:t>
        </w:r>
      </w:smartTag>
      <w:r w:rsidRPr="00206693">
        <w:rPr>
          <w:i/>
          <w:iCs/>
          <w:sz w:val="22"/>
          <w:szCs w:val="22"/>
        </w:rPr>
        <w:t xml:space="preserve"> of the Parties:</w:t>
      </w:r>
    </w:p>
    <w:p w:rsidR="00EA0504" w:rsidRDefault="00EA0504" w:rsidP="003A4612">
      <w:pPr>
        <w:jc w:val="both"/>
        <w:rPr>
          <w:i/>
          <w:iCs/>
          <w:sz w:val="22"/>
          <w:szCs w:val="22"/>
        </w:rPr>
      </w:pPr>
    </w:p>
    <w:p w:rsidR="00EA0504" w:rsidRDefault="00EA0504" w:rsidP="007C48F2">
      <w:pPr>
        <w:jc w:val="both"/>
        <w:rPr>
          <w:sz w:val="22"/>
          <w:szCs w:val="22"/>
        </w:rPr>
      </w:pPr>
      <w:r w:rsidRPr="00A338B0">
        <w:rPr>
          <w:iCs/>
          <w:sz w:val="22"/>
          <w:szCs w:val="22"/>
        </w:rPr>
        <w:t>1.</w:t>
      </w:r>
      <w:r>
        <w:rPr>
          <w:i/>
          <w:iCs/>
          <w:sz w:val="22"/>
          <w:szCs w:val="22"/>
        </w:rPr>
        <w:tab/>
        <w:t xml:space="preserve">Expresses its appreciation </w:t>
      </w:r>
      <w:r>
        <w:rPr>
          <w:sz w:val="22"/>
          <w:szCs w:val="22"/>
        </w:rPr>
        <w:t xml:space="preserve">to the Governments of </w:t>
      </w:r>
      <w:r w:rsidRPr="00217396">
        <w:rPr>
          <w:sz w:val="22"/>
          <w:szCs w:val="22"/>
        </w:rPr>
        <w:t>France, Germany, Luxembourg, Norway, Switzerland and the United Kingdom</w:t>
      </w:r>
      <w:r>
        <w:rPr>
          <w:sz w:val="22"/>
          <w:szCs w:val="22"/>
        </w:rPr>
        <w:t xml:space="preserve"> for having generously contributed to the implementation of the Communication Strategy through providing voluntary funding towards activities outlined in the Communication Strategy and for the development of outreach and awareness</w:t>
      </w:r>
      <w:r w:rsidR="008A7E36">
        <w:rPr>
          <w:sz w:val="22"/>
          <w:szCs w:val="22"/>
        </w:rPr>
        <w:t>-</w:t>
      </w:r>
      <w:r>
        <w:rPr>
          <w:sz w:val="22"/>
          <w:szCs w:val="22"/>
        </w:rPr>
        <w:t>raising materials;</w:t>
      </w:r>
    </w:p>
    <w:p w:rsidR="00EA0504" w:rsidRDefault="00EA0504" w:rsidP="007C48F2">
      <w:pPr>
        <w:jc w:val="both"/>
        <w:rPr>
          <w:i/>
          <w:iCs/>
          <w:lang w:val="en-GB"/>
        </w:rPr>
      </w:pPr>
    </w:p>
    <w:p w:rsidR="00EA0504" w:rsidRDefault="00EA0504" w:rsidP="007C48F2">
      <w:pPr>
        <w:jc w:val="both"/>
        <w:rPr>
          <w:sz w:val="22"/>
          <w:szCs w:val="22"/>
          <w:lang w:val="en-GB"/>
        </w:rPr>
      </w:pPr>
      <w:r w:rsidRPr="00BD5A50">
        <w:rPr>
          <w:iCs/>
          <w:sz w:val="22"/>
          <w:szCs w:val="22"/>
          <w:lang w:val="en-GB"/>
        </w:rPr>
        <w:t>2.</w:t>
      </w:r>
      <w:r w:rsidRPr="007C48F2">
        <w:rPr>
          <w:i/>
          <w:iCs/>
          <w:sz w:val="22"/>
          <w:szCs w:val="22"/>
          <w:lang w:val="en-GB"/>
        </w:rPr>
        <w:tab/>
        <w:t xml:space="preserve">Further expresses its appreciation </w:t>
      </w:r>
      <w:r w:rsidRPr="007C48F2">
        <w:rPr>
          <w:sz w:val="22"/>
          <w:szCs w:val="22"/>
          <w:lang w:val="en-GB"/>
        </w:rPr>
        <w:t>to</w:t>
      </w:r>
      <w:r w:rsidR="00612622">
        <w:rPr>
          <w:sz w:val="22"/>
          <w:szCs w:val="22"/>
          <w:lang w:val="en-GB"/>
        </w:rPr>
        <w:t xml:space="preserve"> </w:t>
      </w:r>
      <w:r w:rsidRPr="007C48F2">
        <w:rPr>
          <w:sz w:val="22"/>
          <w:szCs w:val="22"/>
          <w:lang w:val="en-GB"/>
        </w:rPr>
        <w:t xml:space="preserve">the Government of Germany for providing a Junior </w:t>
      </w:r>
      <w:r w:rsidR="00A5124E">
        <w:rPr>
          <w:sz w:val="22"/>
          <w:szCs w:val="22"/>
          <w:lang w:val="en-GB"/>
        </w:rPr>
        <w:t>Professional Officer from 2006 to</w:t>
      </w:r>
      <w:r w:rsidRPr="007C48F2">
        <w:rPr>
          <w:sz w:val="22"/>
          <w:szCs w:val="22"/>
          <w:lang w:val="en-GB"/>
        </w:rPr>
        <w:t xml:space="preserve"> 2009 to support the implementation of the Communication Strategy;</w:t>
      </w:r>
    </w:p>
    <w:p w:rsidR="00EA0504" w:rsidRDefault="00EA0504" w:rsidP="007C48F2">
      <w:pPr>
        <w:jc w:val="both"/>
        <w:rPr>
          <w:sz w:val="22"/>
          <w:szCs w:val="22"/>
          <w:lang w:val="en-GB"/>
        </w:rPr>
      </w:pPr>
    </w:p>
    <w:p w:rsidR="00EA0504" w:rsidRDefault="00EA0504" w:rsidP="007C48F2">
      <w:pPr>
        <w:jc w:val="both"/>
        <w:rPr>
          <w:sz w:val="22"/>
          <w:szCs w:val="22"/>
        </w:rPr>
      </w:pPr>
      <w:r w:rsidRPr="00BD5A50">
        <w:rPr>
          <w:sz w:val="22"/>
          <w:szCs w:val="22"/>
        </w:rPr>
        <w:t>3.</w:t>
      </w:r>
      <w:r>
        <w:rPr>
          <w:sz w:val="22"/>
          <w:szCs w:val="22"/>
        </w:rPr>
        <w:tab/>
      </w:r>
      <w:r>
        <w:rPr>
          <w:i/>
          <w:iCs/>
          <w:sz w:val="22"/>
          <w:szCs w:val="22"/>
        </w:rPr>
        <w:t>Welcomes</w:t>
      </w:r>
      <w:r w:rsidRPr="00D16BA9">
        <w:rPr>
          <w:sz w:val="22"/>
          <w:szCs w:val="22"/>
        </w:rPr>
        <w:t xml:space="preserve"> the growing celebration of World Migratory Bird Day (WMBD) in a large number of countries and the central </w:t>
      </w:r>
      <w:r>
        <w:rPr>
          <w:sz w:val="22"/>
          <w:szCs w:val="22"/>
        </w:rPr>
        <w:t>r</w:t>
      </w:r>
      <w:r w:rsidRPr="00D16BA9">
        <w:rPr>
          <w:sz w:val="22"/>
          <w:szCs w:val="22"/>
        </w:rPr>
        <w:t xml:space="preserve">ole of AEWA in this campaign, </w:t>
      </w:r>
      <w:r>
        <w:rPr>
          <w:sz w:val="22"/>
          <w:szCs w:val="22"/>
        </w:rPr>
        <w:t xml:space="preserve">and </w:t>
      </w:r>
      <w:r>
        <w:rPr>
          <w:i/>
          <w:iCs/>
          <w:sz w:val="22"/>
          <w:szCs w:val="22"/>
        </w:rPr>
        <w:t>urges</w:t>
      </w:r>
      <w:r w:rsidRPr="00D16BA9">
        <w:rPr>
          <w:sz w:val="22"/>
          <w:szCs w:val="22"/>
        </w:rPr>
        <w:t xml:space="preserve"> Contracting Parties</w:t>
      </w:r>
      <w:r w:rsidR="00612622">
        <w:rPr>
          <w:sz w:val="22"/>
          <w:szCs w:val="22"/>
        </w:rPr>
        <w:t xml:space="preserve"> </w:t>
      </w:r>
      <w:r w:rsidRPr="00D16BA9">
        <w:rPr>
          <w:sz w:val="22"/>
          <w:szCs w:val="22"/>
        </w:rPr>
        <w:t xml:space="preserve">and partner </w:t>
      </w:r>
      <w:proofErr w:type="spellStart"/>
      <w:r w:rsidRPr="00D16BA9">
        <w:rPr>
          <w:sz w:val="22"/>
          <w:szCs w:val="22"/>
        </w:rPr>
        <w:t>organi</w:t>
      </w:r>
      <w:r w:rsidR="00612622">
        <w:rPr>
          <w:sz w:val="22"/>
          <w:szCs w:val="22"/>
        </w:rPr>
        <w:t>s</w:t>
      </w:r>
      <w:r w:rsidRPr="00D16BA9">
        <w:rPr>
          <w:sz w:val="22"/>
          <w:szCs w:val="22"/>
        </w:rPr>
        <w:t>ations</w:t>
      </w:r>
      <w:proofErr w:type="spellEnd"/>
      <w:r w:rsidRPr="00D16BA9">
        <w:rPr>
          <w:sz w:val="22"/>
          <w:szCs w:val="22"/>
        </w:rPr>
        <w:t xml:space="preserve"> to continue, or to begin, to use World Migratory Bird Day (WMBD) as an occasion to bring attention to their achievements and continuing challenges in migratory </w:t>
      </w:r>
      <w:proofErr w:type="spellStart"/>
      <w:r w:rsidRPr="00D16BA9">
        <w:rPr>
          <w:sz w:val="22"/>
          <w:szCs w:val="22"/>
        </w:rPr>
        <w:t>waterbird</w:t>
      </w:r>
      <w:proofErr w:type="spellEnd"/>
      <w:r w:rsidRPr="00D16BA9">
        <w:rPr>
          <w:sz w:val="22"/>
          <w:szCs w:val="22"/>
        </w:rPr>
        <w:t xml:space="preserve"> and wetland conservation</w:t>
      </w:r>
      <w:r>
        <w:rPr>
          <w:sz w:val="22"/>
          <w:szCs w:val="22"/>
        </w:rPr>
        <w:t>;</w:t>
      </w:r>
    </w:p>
    <w:p w:rsidR="00EA0504" w:rsidRDefault="00EA0504" w:rsidP="007C48F2">
      <w:pPr>
        <w:jc w:val="both"/>
        <w:rPr>
          <w:sz w:val="22"/>
          <w:szCs w:val="22"/>
        </w:rPr>
      </w:pPr>
    </w:p>
    <w:p w:rsidR="00EA0504" w:rsidRDefault="00EA0504" w:rsidP="007C48F2">
      <w:pPr>
        <w:jc w:val="both"/>
        <w:rPr>
          <w:sz w:val="22"/>
          <w:szCs w:val="22"/>
        </w:rPr>
      </w:pPr>
      <w:r w:rsidRPr="00BD5A50">
        <w:rPr>
          <w:iCs/>
          <w:sz w:val="22"/>
          <w:szCs w:val="22"/>
        </w:rPr>
        <w:t>4.</w:t>
      </w:r>
      <w:r>
        <w:rPr>
          <w:i/>
          <w:iCs/>
          <w:sz w:val="22"/>
          <w:szCs w:val="22"/>
        </w:rPr>
        <w:tab/>
      </w:r>
      <w:r w:rsidRPr="00091C10">
        <w:rPr>
          <w:i/>
          <w:iCs/>
          <w:sz w:val="22"/>
          <w:szCs w:val="22"/>
        </w:rPr>
        <w:t>Instructs</w:t>
      </w:r>
      <w:r>
        <w:rPr>
          <w:sz w:val="22"/>
          <w:szCs w:val="22"/>
        </w:rPr>
        <w:t xml:space="preserve"> the Secretariat to continue to implement the Communication Strategy as adopted by </w:t>
      </w:r>
      <w:r w:rsidRPr="007C48F2">
        <w:rPr>
          <w:sz w:val="22"/>
          <w:szCs w:val="22"/>
        </w:rPr>
        <w:t>Resolution 3.10 in</w:t>
      </w:r>
      <w:r w:rsidR="00612622">
        <w:rPr>
          <w:sz w:val="22"/>
          <w:szCs w:val="22"/>
        </w:rPr>
        <w:t xml:space="preserve"> </w:t>
      </w:r>
      <w:r w:rsidRPr="007C48F2">
        <w:rPr>
          <w:sz w:val="22"/>
          <w:szCs w:val="22"/>
        </w:rPr>
        <w:t>so</w:t>
      </w:r>
      <w:r w:rsidR="00612622">
        <w:rPr>
          <w:sz w:val="22"/>
          <w:szCs w:val="22"/>
        </w:rPr>
        <w:t xml:space="preserve"> </w:t>
      </w:r>
      <w:r w:rsidRPr="007C48F2">
        <w:rPr>
          <w:sz w:val="22"/>
          <w:szCs w:val="22"/>
        </w:rPr>
        <w:t>far as still applicable and within the limits of available resources, giving priority</w:t>
      </w:r>
      <w:r>
        <w:rPr>
          <w:sz w:val="22"/>
          <w:szCs w:val="22"/>
        </w:rPr>
        <w:t xml:space="preserve"> to the Communication, Education and Public Awareness (CEPA)</w:t>
      </w:r>
      <w:r w:rsidR="00A338B0">
        <w:rPr>
          <w:sz w:val="22"/>
          <w:szCs w:val="22"/>
        </w:rPr>
        <w:t>-</w:t>
      </w:r>
      <w:r>
        <w:rPr>
          <w:sz w:val="22"/>
          <w:szCs w:val="22"/>
        </w:rPr>
        <w:t>related activities listed under Objective 4 in the Strategic Plan 2009 – 2017</w:t>
      </w:r>
      <w:r w:rsidR="00A338B0">
        <w:rPr>
          <w:sz w:val="22"/>
          <w:szCs w:val="22"/>
        </w:rPr>
        <w:t>,</w:t>
      </w:r>
      <w:r>
        <w:rPr>
          <w:sz w:val="22"/>
          <w:szCs w:val="22"/>
        </w:rPr>
        <w:t xml:space="preserve"> until a new Communication Strategy is adopted;</w:t>
      </w:r>
    </w:p>
    <w:p w:rsidR="00EA0504" w:rsidRDefault="00EA0504" w:rsidP="007C48F2">
      <w:pPr>
        <w:jc w:val="both"/>
        <w:rPr>
          <w:sz w:val="22"/>
          <w:szCs w:val="22"/>
        </w:rPr>
      </w:pPr>
    </w:p>
    <w:p w:rsidR="00EA0504" w:rsidRDefault="00EA0504" w:rsidP="007C48F2">
      <w:pPr>
        <w:jc w:val="both"/>
        <w:rPr>
          <w:sz w:val="22"/>
          <w:szCs w:val="22"/>
        </w:rPr>
      </w:pPr>
      <w:r w:rsidRPr="00BD5A50">
        <w:rPr>
          <w:sz w:val="22"/>
          <w:szCs w:val="22"/>
        </w:rPr>
        <w:t>5.</w:t>
      </w:r>
      <w:r>
        <w:rPr>
          <w:sz w:val="22"/>
          <w:szCs w:val="22"/>
        </w:rPr>
        <w:tab/>
      </w:r>
      <w:r w:rsidRPr="00091C10">
        <w:rPr>
          <w:i/>
          <w:iCs/>
          <w:sz w:val="22"/>
          <w:szCs w:val="22"/>
        </w:rPr>
        <w:t xml:space="preserve">Further </w:t>
      </w:r>
      <w:r w:rsidR="00EC1BEB">
        <w:rPr>
          <w:i/>
          <w:iCs/>
          <w:sz w:val="22"/>
          <w:szCs w:val="22"/>
        </w:rPr>
        <w:t>i</w:t>
      </w:r>
      <w:r w:rsidRPr="00091C10">
        <w:rPr>
          <w:i/>
          <w:iCs/>
          <w:sz w:val="22"/>
          <w:szCs w:val="22"/>
        </w:rPr>
        <w:t>nstructs</w:t>
      </w:r>
      <w:r>
        <w:rPr>
          <w:sz w:val="22"/>
          <w:szCs w:val="22"/>
        </w:rPr>
        <w:t xml:space="preserve"> the Secretariat</w:t>
      </w:r>
      <w:r w:rsidR="00A01D3C">
        <w:rPr>
          <w:sz w:val="22"/>
          <w:szCs w:val="22"/>
        </w:rPr>
        <w:t>, taking into account CMS COP10 Res</w:t>
      </w:r>
      <w:r w:rsidR="00C85A77">
        <w:rPr>
          <w:sz w:val="22"/>
          <w:szCs w:val="22"/>
        </w:rPr>
        <w:t>o</w:t>
      </w:r>
      <w:r w:rsidR="00A01D3C">
        <w:rPr>
          <w:sz w:val="22"/>
          <w:szCs w:val="22"/>
        </w:rPr>
        <w:t>lution 10.9,</w:t>
      </w:r>
      <w:r>
        <w:rPr>
          <w:sz w:val="22"/>
          <w:szCs w:val="22"/>
        </w:rPr>
        <w:t xml:space="preserve"> to prepare a full revision of the Communication Strategy for adoption by the sixth </w:t>
      </w:r>
      <w:r w:rsidR="00A338B0">
        <w:rPr>
          <w:sz w:val="22"/>
          <w:szCs w:val="22"/>
        </w:rPr>
        <w:t>S</w:t>
      </w:r>
      <w:r>
        <w:rPr>
          <w:sz w:val="22"/>
          <w:szCs w:val="22"/>
        </w:rPr>
        <w:t>ession of the Meeting of the Parties, which would be based on a wide consultation process involving Contracting Parties, Range States, the Technical Committee, Partners as well as CEPA experts;</w:t>
      </w:r>
    </w:p>
    <w:p w:rsidR="00EA0504" w:rsidRDefault="00EA0504" w:rsidP="007C48F2">
      <w:pPr>
        <w:jc w:val="both"/>
        <w:rPr>
          <w:sz w:val="22"/>
          <w:szCs w:val="22"/>
        </w:rPr>
      </w:pPr>
    </w:p>
    <w:p w:rsidR="00EA0504" w:rsidRDefault="00EA0504" w:rsidP="007C48F2">
      <w:pPr>
        <w:jc w:val="both"/>
        <w:rPr>
          <w:sz w:val="22"/>
          <w:szCs w:val="22"/>
        </w:rPr>
      </w:pPr>
      <w:r>
        <w:rPr>
          <w:sz w:val="22"/>
          <w:szCs w:val="22"/>
        </w:rPr>
        <w:t>6.</w:t>
      </w:r>
      <w:r>
        <w:rPr>
          <w:sz w:val="22"/>
          <w:szCs w:val="22"/>
        </w:rPr>
        <w:tab/>
      </w:r>
      <w:r w:rsidRPr="003B0C02">
        <w:rPr>
          <w:i/>
          <w:iCs/>
          <w:sz w:val="22"/>
          <w:szCs w:val="22"/>
        </w:rPr>
        <w:t>Requests</w:t>
      </w:r>
      <w:r>
        <w:rPr>
          <w:sz w:val="22"/>
          <w:szCs w:val="22"/>
        </w:rPr>
        <w:t xml:space="preserve"> the Technical Committee to involve a CEPA expert in the Committee and to establish an expert working group on CEPA to support both the ongoing implementation and revision process for the Communication Strategy; </w:t>
      </w:r>
    </w:p>
    <w:p w:rsidR="00EA0504" w:rsidRDefault="00EA0504" w:rsidP="007C48F2">
      <w:pPr>
        <w:jc w:val="both"/>
        <w:rPr>
          <w:sz w:val="22"/>
          <w:szCs w:val="22"/>
        </w:rPr>
      </w:pPr>
    </w:p>
    <w:p w:rsidR="00EA0504" w:rsidRDefault="00EA0504" w:rsidP="007C48F2">
      <w:pPr>
        <w:jc w:val="both"/>
        <w:rPr>
          <w:sz w:val="22"/>
          <w:szCs w:val="22"/>
        </w:rPr>
      </w:pPr>
      <w:r>
        <w:rPr>
          <w:sz w:val="22"/>
          <w:szCs w:val="22"/>
        </w:rPr>
        <w:t>7.</w:t>
      </w:r>
      <w:r>
        <w:rPr>
          <w:sz w:val="22"/>
          <w:szCs w:val="22"/>
        </w:rPr>
        <w:tab/>
      </w:r>
      <w:r w:rsidR="00A01D3C">
        <w:rPr>
          <w:i/>
          <w:iCs/>
          <w:sz w:val="22"/>
          <w:szCs w:val="22"/>
        </w:rPr>
        <w:t>Invites</w:t>
      </w:r>
      <w:r w:rsidR="00B8352C">
        <w:rPr>
          <w:i/>
          <w:iCs/>
          <w:sz w:val="22"/>
          <w:szCs w:val="22"/>
        </w:rPr>
        <w:t xml:space="preserve"> </w:t>
      </w:r>
      <w:r>
        <w:rPr>
          <w:sz w:val="22"/>
          <w:szCs w:val="22"/>
        </w:rPr>
        <w:t xml:space="preserve">all Contracting Parties </w:t>
      </w:r>
      <w:r w:rsidRPr="00B13D97">
        <w:rPr>
          <w:sz w:val="22"/>
          <w:szCs w:val="22"/>
        </w:rPr>
        <w:t>to</w:t>
      </w:r>
      <w:r w:rsidR="00B8352C">
        <w:rPr>
          <w:sz w:val="22"/>
          <w:szCs w:val="22"/>
        </w:rPr>
        <w:t xml:space="preserve"> </w:t>
      </w:r>
      <w:r w:rsidRPr="00B13D97">
        <w:rPr>
          <w:sz w:val="22"/>
          <w:szCs w:val="22"/>
        </w:rPr>
        <w:t xml:space="preserve">nominate, by 31 December </w:t>
      </w:r>
      <w:r>
        <w:rPr>
          <w:sz w:val="22"/>
          <w:szCs w:val="22"/>
        </w:rPr>
        <w:t>2012</w:t>
      </w:r>
      <w:r w:rsidRPr="00B13D97">
        <w:rPr>
          <w:sz w:val="22"/>
          <w:szCs w:val="22"/>
        </w:rPr>
        <w:t xml:space="preserve">, </w:t>
      </w:r>
      <w:r>
        <w:rPr>
          <w:sz w:val="22"/>
          <w:szCs w:val="22"/>
        </w:rPr>
        <w:t xml:space="preserve">a </w:t>
      </w:r>
      <w:r w:rsidRPr="00B13D97">
        <w:rPr>
          <w:sz w:val="22"/>
          <w:szCs w:val="22"/>
        </w:rPr>
        <w:t xml:space="preserve">suitable </w:t>
      </w:r>
      <w:r>
        <w:rPr>
          <w:sz w:val="22"/>
          <w:szCs w:val="22"/>
        </w:rPr>
        <w:t>National</w:t>
      </w:r>
      <w:r w:rsidRPr="00B13D97">
        <w:rPr>
          <w:sz w:val="22"/>
          <w:szCs w:val="22"/>
        </w:rPr>
        <w:t xml:space="preserve"> Focal Point</w:t>
      </w:r>
      <w:r w:rsidR="00B8352C">
        <w:rPr>
          <w:sz w:val="22"/>
          <w:szCs w:val="22"/>
        </w:rPr>
        <w:t xml:space="preserve"> </w:t>
      </w:r>
      <w:r w:rsidRPr="00B13D97">
        <w:rPr>
          <w:sz w:val="22"/>
          <w:szCs w:val="22"/>
        </w:rPr>
        <w:t>for Communication, Education and Public Awareness (CEPA)</w:t>
      </w:r>
      <w:r w:rsidR="00A01D3C">
        <w:rPr>
          <w:sz w:val="22"/>
          <w:szCs w:val="22"/>
        </w:rPr>
        <w:t>, either from the governmental or non-governmental sector,</w:t>
      </w:r>
      <w:r w:rsidRPr="00B13D97">
        <w:rPr>
          <w:sz w:val="22"/>
          <w:szCs w:val="22"/>
        </w:rPr>
        <w:t xml:space="preserve"> to </w:t>
      </w:r>
      <w:r>
        <w:rPr>
          <w:sz w:val="22"/>
          <w:szCs w:val="22"/>
        </w:rPr>
        <w:t xml:space="preserve">coordinate national and regional implementation of the Communication Strategy, as well as </w:t>
      </w:r>
      <w:r w:rsidR="00EC1BEB">
        <w:rPr>
          <w:sz w:val="22"/>
          <w:szCs w:val="22"/>
        </w:rPr>
        <w:t xml:space="preserve">to </w:t>
      </w:r>
      <w:r>
        <w:rPr>
          <w:sz w:val="22"/>
          <w:szCs w:val="22"/>
        </w:rPr>
        <w:t>support its revision process;</w:t>
      </w:r>
    </w:p>
    <w:p w:rsidR="00A01D3C" w:rsidRDefault="00A01D3C" w:rsidP="007C48F2">
      <w:pPr>
        <w:jc w:val="both"/>
        <w:rPr>
          <w:sz w:val="22"/>
          <w:szCs w:val="22"/>
        </w:rPr>
      </w:pPr>
    </w:p>
    <w:p w:rsidR="00A01D3C" w:rsidRDefault="00A01D3C" w:rsidP="007C48F2">
      <w:pPr>
        <w:jc w:val="both"/>
        <w:rPr>
          <w:sz w:val="22"/>
          <w:szCs w:val="22"/>
        </w:rPr>
      </w:pPr>
      <w:r>
        <w:rPr>
          <w:sz w:val="22"/>
          <w:szCs w:val="22"/>
        </w:rPr>
        <w:t xml:space="preserve">8. </w:t>
      </w:r>
      <w:r>
        <w:rPr>
          <w:sz w:val="22"/>
          <w:szCs w:val="22"/>
        </w:rPr>
        <w:tab/>
      </w:r>
      <w:r w:rsidRPr="00394984">
        <w:rPr>
          <w:i/>
          <w:sz w:val="22"/>
          <w:szCs w:val="22"/>
        </w:rPr>
        <w:t>Encourages</w:t>
      </w:r>
      <w:r>
        <w:rPr>
          <w:sz w:val="22"/>
          <w:szCs w:val="22"/>
        </w:rPr>
        <w:t xml:space="preserve"> those Contracting Parties to AEWA which are at the same time Contracting Parti</w:t>
      </w:r>
      <w:r w:rsidR="00075452">
        <w:rPr>
          <w:sz w:val="22"/>
          <w:szCs w:val="22"/>
        </w:rPr>
        <w:t>e</w:t>
      </w:r>
      <w:r>
        <w:rPr>
          <w:sz w:val="22"/>
          <w:szCs w:val="22"/>
        </w:rPr>
        <w:t xml:space="preserve">s to the </w:t>
      </w:r>
      <w:proofErr w:type="spellStart"/>
      <w:r>
        <w:rPr>
          <w:sz w:val="22"/>
          <w:szCs w:val="22"/>
        </w:rPr>
        <w:t>Ramsar</w:t>
      </w:r>
      <w:proofErr w:type="spellEnd"/>
      <w:r>
        <w:rPr>
          <w:sz w:val="22"/>
          <w:szCs w:val="22"/>
        </w:rPr>
        <w:t xml:space="preserve"> Convention to ensure close cooperation between their appointed AEWA CEPA Focal Point and </w:t>
      </w:r>
      <w:proofErr w:type="spellStart"/>
      <w:r>
        <w:rPr>
          <w:sz w:val="22"/>
          <w:szCs w:val="22"/>
        </w:rPr>
        <w:t>Ramsar</w:t>
      </w:r>
      <w:proofErr w:type="spellEnd"/>
      <w:r>
        <w:rPr>
          <w:sz w:val="22"/>
          <w:szCs w:val="22"/>
        </w:rPr>
        <w:t xml:space="preserve"> CEPA Focal Point</w:t>
      </w:r>
      <w:r w:rsidR="00B8352C">
        <w:rPr>
          <w:sz w:val="22"/>
          <w:szCs w:val="22"/>
        </w:rPr>
        <w:t xml:space="preserve"> </w:t>
      </w:r>
      <w:r w:rsidR="00F83E62" w:rsidRPr="00B8352C">
        <w:rPr>
          <w:sz w:val="22"/>
          <w:szCs w:val="22"/>
        </w:rPr>
        <w:t>(governmental and non-governmental)</w:t>
      </w:r>
      <w:r>
        <w:rPr>
          <w:sz w:val="22"/>
          <w:szCs w:val="22"/>
        </w:rPr>
        <w:t xml:space="preserve"> where these are not identical;</w:t>
      </w:r>
    </w:p>
    <w:p w:rsidR="00EA0504" w:rsidRDefault="00EA0504" w:rsidP="007C48F2">
      <w:pPr>
        <w:jc w:val="both"/>
        <w:rPr>
          <w:sz w:val="22"/>
          <w:szCs w:val="22"/>
        </w:rPr>
      </w:pPr>
    </w:p>
    <w:p w:rsidR="00EA0504" w:rsidRDefault="00A01D3C" w:rsidP="007C48F2">
      <w:pPr>
        <w:jc w:val="both"/>
        <w:rPr>
          <w:sz w:val="22"/>
          <w:szCs w:val="22"/>
        </w:rPr>
      </w:pPr>
      <w:r>
        <w:rPr>
          <w:sz w:val="22"/>
          <w:szCs w:val="22"/>
        </w:rPr>
        <w:t>9</w:t>
      </w:r>
      <w:r w:rsidR="00EA0504">
        <w:rPr>
          <w:sz w:val="22"/>
          <w:szCs w:val="22"/>
        </w:rPr>
        <w:t>.</w:t>
      </w:r>
      <w:r w:rsidR="00EA0504">
        <w:rPr>
          <w:sz w:val="22"/>
          <w:szCs w:val="22"/>
        </w:rPr>
        <w:tab/>
      </w:r>
      <w:r w:rsidR="00EA0504">
        <w:rPr>
          <w:i/>
          <w:iCs/>
          <w:sz w:val="22"/>
          <w:szCs w:val="22"/>
        </w:rPr>
        <w:t>Encourages</w:t>
      </w:r>
      <w:r w:rsidR="00612622">
        <w:rPr>
          <w:i/>
          <w:iCs/>
          <w:sz w:val="22"/>
          <w:szCs w:val="22"/>
        </w:rPr>
        <w:t xml:space="preserve"> </w:t>
      </w:r>
      <w:r w:rsidR="00EA0504">
        <w:rPr>
          <w:sz w:val="22"/>
          <w:szCs w:val="22"/>
        </w:rPr>
        <w:t xml:space="preserve">the Secretariat to continue to play a central role in the </w:t>
      </w:r>
      <w:proofErr w:type="spellStart"/>
      <w:r w:rsidR="00EA0504">
        <w:rPr>
          <w:sz w:val="22"/>
          <w:szCs w:val="22"/>
        </w:rPr>
        <w:t>organi</w:t>
      </w:r>
      <w:r w:rsidR="00612622">
        <w:rPr>
          <w:sz w:val="22"/>
          <w:szCs w:val="22"/>
        </w:rPr>
        <w:t>s</w:t>
      </w:r>
      <w:r w:rsidR="00EA0504">
        <w:rPr>
          <w:sz w:val="22"/>
          <w:szCs w:val="22"/>
        </w:rPr>
        <w:t>ation</w:t>
      </w:r>
      <w:proofErr w:type="spellEnd"/>
      <w:r w:rsidR="00EA0504">
        <w:rPr>
          <w:sz w:val="22"/>
          <w:szCs w:val="22"/>
        </w:rPr>
        <w:t xml:space="preserve"> of the World Migratory Bird Day (WMBD) campaign, and to work with the </w:t>
      </w:r>
      <w:r w:rsidR="003A5DE1">
        <w:rPr>
          <w:sz w:val="22"/>
          <w:szCs w:val="22"/>
        </w:rPr>
        <w:t xml:space="preserve">Secretariat of the </w:t>
      </w:r>
      <w:r w:rsidR="00EA0504">
        <w:rPr>
          <w:sz w:val="22"/>
          <w:szCs w:val="22"/>
        </w:rPr>
        <w:t xml:space="preserve">Convention on Migratory Species (CMS), UNEP, </w:t>
      </w:r>
      <w:bookmarkStart w:id="0" w:name="_GoBack"/>
      <w:bookmarkEnd w:id="0"/>
      <w:proofErr w:type="spellStart"/>
      <w:r w:rsidR="00EA0504">
        <w:rPr>
          <w:sz w:val="22"/>
          <w:szCs w:val="22"/>
        </w:rPr>
        <w:t>BirdLife</w:t>
      </w:r>
      <w:proofErr w:type="spellEnd"/>
      <w:r w:rsidR="00EA0504">
        <w:rPr>
          <w:sz w:val="22"/>
          <w:szCs w:val="22"/>
        </w:rPr>
        <w:t xml:space="preserve"> International, Wetlands International, the </w:t>
      </w:r>
      <w:r w:rsidR="00EA0504" w:rsidRPr="00C20BB0">
        <w:rPr>
          <w:sz w:val="22"/>
          <w:szCs w:val="22"/>
        </w:rPr>
        <w:t>Partnership for the East Asian-Australasian Flyway (EAAFP)</w:t>
      </w:r>
      <w:r w:rsidR="00EA0504">
        <w:rPr>
          <w:sz w:val="22"/>
          <w:szCs w:val="22"/>
        </w:rPr>
        <w:t>, the International Council for Game and Wildlife Conservation (CIC)</w:t>
      </w:r>
      <w:r w:rsidR="00EA0504" w:rsidRPr="00C20BB0">
        <w:rPr>
          <w:sz w:val="22"/>
          <w:szCs w:val="22"/>
        </w:rPr>
        <w:t xml:space="preserve"> and other partners</w:t>
      </w:r>
      <w:r w:rsidR="00EA0504">
        <w:rPr>
          <w:sz w:val="22"/>
          <w:szCs w:val="22"/>
        </w:rPr>
        <w:t xml:space="preserve"> to continue to strengthen the international campaign;</w:t>
      </w:r>
    </w:p>
    <w:p w:rsidR="00EA0504" w:rsidRDefault="00EA0504" w:rsidP="007C48F2">
      <w:pPr>
        <w:jc w:val="both"/>
        <w:rPr>
          <w:sz w:val="22"/>
          <w:szCs w:val="22"/>
        </w:rPr>
      </w:pPr>
    </w:p>
    <w:p w:rsidR="00EA0504" w:rsidRDefault="00A01D3C" w:rsidP="007C48F2">
      <w:pPr>
        <w:jc w:val="both"/>
        <w:rPr>
          <w:sz w:val="22"/>
          <w:szCs w:val="22"/>
        </w:rPr>
      </w:pPr>
      <w:r>
        <w:rPr>
          <w:sz w:val="22"/>
          <w:szCs w:val="22"/>
        </w:rPr>
        <w:t>10</w:t>
      </w:r>
      <w:r w:rsidR="00EA0504">
        <w:rPr>
          <w:sz w:val="22"/>
          <w:szCs w:val="22"/>
        </w:rPr>
        <w:t>.</w:t>
      </w:r>
      <w:r w:rsidR="00EA0504">
        <w:rPr>
          <w:sz w:val="22"/>
          <w:szCs w:val="22"/>
        </w:rPr>
        <w:tab/>
      </w:r>
      <w:r>
        <w:rPr>
          <w:i/>
          <w:iCs/>
          <w:sz w:val="22"/>
          <w:szCs w:val="22"/>
        </w:rPr>
        <w:t xml:space="preserve">Invites </w:t>
      </w:r>
      <w:r w:rsidR="00EA0504">
        <w:rPr>
          <w:sz w:val="22"/>
          <w:szCs w:val="22"/>
        </w:rPr>
        <w:t xml:space="preserve">Contracting Parties, donors and private sector sponsors to provide supplementary financial support to enable the Secretariat to </w:t>
      </w:r>
      <w:proofErr w:type="spellStart"/>
      <w:r w:rsidR="00EA0504">
        <w:rPr>
          <w:sz w:val="22"/>
          <w:szCs w:val="22"/>
        </w:rPr>
        <w:t>reali</w:t>
      </w:r>
      <w:r w:rsidR="00612622">
        <w:rPr>
          <w:sz w:val="22"/>
          <w:szCs w:val="22"/>
        </w:rPr>
        <w:t>s</w:t>
      </w:r>
      <w:r w:rsidR="00EA0504">
        <w:rPr>
          <w:sz w:val="22"/>
          <w:szCs w:val="22"/>
        </w:rPr>
        <w:t>e</w:t>
      </w:r>
      <w:proofErr w:type="spellEnd"/>
      <w:r w:rsidR="00EA0504">
        <w:rPr>
          <w:sz w:val="22"/>
          <w:szCs w:val="22"/>
        </w:rPr>
        <w:t xml:space="preserve"> all identified activities of the Communication Strategy and to provide resources to support a coordinated revision process;</w:t>
      </w:r>
    </w:p>
    <w:p w:rsidR="00EA0504" w:rsidRDefault="00EA0504" w:rsidP="007C48F2">
      <w:pPr>
        <w:jc w:val="both"/>
        <w:rPr>
          <w:sz w:val="22"/>
          <w:szCs w:val="22"/>
        </w:rPr>
      </w:pPr>
    </w:p>
    <w:p w:rsidR="00EA0504" w:rsidRPr="007C48F2" w:rsidRDefault="00EA0504" w:rsidP="007C48F2">
      <w:pPr>
        <w:jc w:val="both"/>
        <w:rPr>
          <w:sz w:val="22"/>
          <w:szCs w:val="22"/>
        </w:rPr>
      </w:pPr>
      <w:r>
        <w:rPr>
          <w:sz w:val="22"/>
          <w:szCs w:val="22"/>
        </w:rPr>
        <w:t>1</w:t>
      </w:r>
      <w:r w:rsidR="00A01D3C">
        <w:rPr>
          <w:sz w:val="22"/>
          <w:szCs w:val="22"/>
        </w:rPr>
        <w:t>1</w:t>
      </w:r>
      <w:r>
        <w:rPr>
          <w:sz w:val="22"/>
          <w:szCs w:val="22"/>
        </w:rPr>
        <w:t>.</w:t>
      </w:r>
      <w:r>
        <w:rPr>
          <w:sz w:val="22"/>
          <w:szCs w:val="22"/>
        </w:rPr>
        <w:tab/>
      </w:r>
      <w:r>
        <w:rPr>
          <w:i/>
          <w:iCs/>
          <w:sz w:val="22"/>
          <w:szCs w:val="22"/>
        </w:rPr>
        <w:t>Invites</w:t>
      </w:r>
      <w:r>
        <w:rPr>
          <w:sz w:val="22"/>
          <w:szCs w:val="22"/>
        </w:rPr>
        <w:t xml:space="preserve"> all Parties, Range States and other stakeholders along the African-Eurasian Flyway to continue supporting the implementation and revision of the Communication Strategy at the global, regional, national or local levels, as appropriate, with the expertise, networks, skills and resources they have at their disposal.</w:t>
      </w:r>
    </w:p>
    <w:sectPr w:rsidR="00EA0504" w:rsidRPr="007C48F2" w:rsidSect="00753A7A">
      <w:footerReference w:type="default" r:id="rId9"/>
      <w:headerReference w:type="first" r:id="rId10"/>
      <w:pgSz w:w="11907" w:h="16840" w:code="9"/>
      <w:pgMar w:top="102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82" w:rsidRDefault="004F5182">
      <w:r>
        <w:separator/>
      </w:r>
    </w:p>
  </w:endnote>
  <w:endnote w:type="continuationSeparator" w:id="0">
    <w:p w:rsidR="004F5182" w:rsidRDefault="004F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82" w:rsidRDefault="004F5182" w:rsidP="00753A7A">
    <w:pPr>
      <w:pStyle w:val="Footer"/>
      <w:jc w:val="center"/>
    </w:pPr>
    <w:r w:rsidRPr="007C48F2">
      <w:rPr>
        <w:sz w:val="20"/>
        <w:szCs w:val="20"/>
      </w:rPr>
      <w:fldChar w:fldCharType="begin"/>
    </w:r>
    <w:r w:rsidRPr="007C48F2">
      <w:rPr>
        <w:sz w:val="20"/>
        <w:szCs w:val="20"/>
      </w:rPr>
      <w:instrText xml:space="preserve"> PAGE   \* MERGEFORMAT </w:instrText>
    </w:r>
    <w:r w:rsidRPr="007C48F2">
      <w:rPr>
        <w:sz w:val="20"/>
        <w:szCs w:val="20"/>
      </w:rPr>
      <w:fldChar w:fldCharType="separate"/>
    </w:r>
    <w:r w:rsidR="00D45CAA">
      <w:rPr>
        <w:noProof/>
        <w:sz w:val="20"/>
        <w:szCs w:val="20"/>
      </w:rPr>
      <w:t>3</w:t>
    </w:r>
    <w:r w:rsidRPr="007C48F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82" w:rsidRDefault="004F5182">
      <w:r>
        <w:separator/>
      </w:r>
    </w:p>
  </w:footnote>
  <w:footnote w:type="continuationSeparator" w:id="0">
    <w:p w:rsidR="004F5182" w:rsidRDefault="004F5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auto"/>
      </w:tblBorders>
      <w:tblLook w:val="0000" w:firstRow="0" w:lastRow="0" w:firstColumn="0" w:lastColumn="0" w:noHBand="0" w:noVBand="0"/>
    </w:tblPr>
    <w:tblGrid>
      <w:gridCol w:w="1971"/>
      <w:gridCol w:w="6175"/>
      <w:gridCol w:w="1709"/>
    </w:tblGrid>
    <w:tr w:rsidR="004F5182" w:rsidTr="00160605">
      <w:trPr>
        <w:trHeight w:val="2416"/>
      </w:trPr>
      <w:tc>
        <w:tcPr>
          <w:tcW w:w="1000" w:type="pct"/>
        </w:tcPr>
        <w:p w:rsidR="004F5182" w:rsidRDefault="004F5182" w:rsidP="00160605">
          <w:r>
            <w:rPr>
              <w:noProof/>
            </w:rPr>
            <w:drawing>
              <wp:anchor distT="0" distB="0" distL="114300" distR="114300" simplePos="0" relativeHeight="251660288" behindDoc="1" locked="0" layoutInCell="1" allowOverlap="1" wp14:anchorId="3192A03F" wp14:editId="611A5525">
                <wp:simplePos x="0" y="0"/>
                <wp:positionH relativeFrom="column">
                  <wp:posOffset>-68580</wp:posOffset>
                </wp:positionH>
                <wp:positionV relativeFrom="paragraph">
                  <wp:posOffset>6985</wp:posOffset>
                </wp:positionV>
                <wp:extent cx="1076400" cy="896400"/>
                <wp:effectExtent l="0" t="0" r="0" b="0"/>
                <wp:wrapTight wrapText="bothSides">
                  <wp:wrapPolygon edited="0">
                    <wp:start x="0" y="0"/>
                    <wp:lineTo x="0" y="21125"/>
                    <wp:lineTo x="21027" y="21125"/>
                    <wp:lineTo x="21027" y="0"/>
                    <wp:lineTo x="0" y="0"/>
                  </wp:wrapPolygon>
                </wp:wrapTight>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400" cy="89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33" w:type="pct"/>
        </w:tcPr>
        <w:p w:rsidR="004F5182" w:rsidRPr="009E3956" w:rsidRDefault="004F5182" w:rsidP="00160605">
          <w:pPr>
            <w:jc w:val="center"/>
            <w:rPr>
              <w:i/>
              <w:caps/>
              <w:sz w:val="22"/>
              <w:szCs w:val="22"/>
            </w:rPr>
          </w:pPr>
          <w:r w:rsidRPr="009E3956">
            <w:rPr>
              <w:i/>
              <w:caps/>
              <w:sz w:val="22"/>
              <w:szCs w:val="22"/>
            </w:rPr>
            <w:t xml:space="preserve">Agreement on the Conservation of </w:t>
          </w:r>
        </w:p>
        <w:p w:rsidR="004F5182" w:rsidRDefault="004F5182" w:rsidP="00160605">
          <w:pPr>
            <w:tabs>
              <w:tab w:val="left" w:pos="2415"/>
            </w:tabs>
            <w:jc w:val="center"/>
            <w:rPr>
              <w:i/>
              <w:caps/>
              <w:sz w:val="22"/>
              <w:szCs w:val="22"/>
            </w:rPr>
          </w:pPr>
          <w:r w:rsidRPr="009E3956">
            <w:rPr>
              <w:i/>
              <w:caps/>
              <w:sz w:val="22"/>
              <w:szCs w:val="22"/>
            </w:rPr>
            <w:t>African-Eurasian Migratory Waterbirds</w:t>
          </w:r>
        </w:p>
        <w:p w:rsidR="004F5182" w:rsidRDefault="004F5182" w:rsidP="00160605">
          <w:pPr>
            <w:tabs>
              <w:tab w:val="left" w:pos="2415"/>
            </w:tabs>
            <w:jc w:val="center"/>
            <w:rPr>
              <w:i/>
              <w:caps/>
              <w:sz w:val="22"/>
              <w:szCs w:val="22"/>
            </w:rPr>
          </w:pPr>
        </w:p>
        <w:p w:rsidR="004F5182" w:rsidRPr="00C15FF5" w:rsidRDefault="004F5182" w:rsidP="00160605">
          <w:pPr>
            <w:pStyle w:val="BodyText2"/>
            <w:spacing w:before="240"/>
            <w:jc w:val="center"/>
            <w:rPr>
              <w:b/>
              <w:bCs/>
              <w:caps/>
              <w:szCs w:val="26"/>
            </w:rPr>
          </w:pPr>
          <w:r w:rsidRPr="00C15FF5">
            <w:rPr>
              <w:b/>
              <w:bCs/>
              <w:szCs w:val="26"/>
            </w:rPr>
            <w:t>5</w:t>
          </w:r>
          <w:r w:rsidRPr="00C15FF5">
            <w:rPr>
              <w:b/>
              <w:bCs/>
              <w:szCs w:val="26"/>
              <w:vertAlign w:val="superscript"/>
            </w:rPr>
            <w:t>th</w:t>
          </w:r>
          <w:r w:rsidRPr="00C15FF5">
            <w:rPr>
              <w:b/>
              <w:bCs/>
              <w:szCs w:val="26"/>
            </w:rPr>
            <w:t xml:space="preserve"> </w:t>
          </w:r>
          <w:r w:rsidRPr="00C15FF5">
            <w:rPr>
              <w:b/>
              <w:bCs/>
              <w:caps/>
              <w:szCs w:val="26"/>
            </w:rPr>
            <w:t>Session of the Meeting of the Parties</w:t>
          </w:r>
        </w:p>
        <w:p w:rsidR="004F5182" w:rsidRPr="00C15FF5" w:rsidRDefault="004F5182" w:rsidP="00160605">
          <w:pPr>
            <w:tabs>
              <w:tab w:val="left" w:pos="2415"/>
            </w:tabs>
            <w:jc w:val="center"/>
            <w:rPr>
              <w:iCs/>
            </w:rPr>
          </w:pPr>
          <w:r w:rsidRPr="00C15FF5">
            <w:rPr>
              <w:iCs/>
            </w:rPr>
            <w:t>14 – 18 May 2012, La Rochelle, France</w:t>
          </w:r>
        </w:p>
        <w:p w:rsidR="004F5182" w:rsidRDefault="004F5182" w:rsidP="00160605">
          <w:pPr>
            <w:tabs>
              <w:tab w:val="left" w:pos="2415"/>
            </w:tabs>
            <w:jc w:val="center"/>
            <w:rPr>
              <w:i/>
              <w:iCs/>
            </w:rPr>
          </w:pPr>
        </w:p>
        <w:p w:rsidR="004F5182" w:rsidRPr="00C15FF5" w:rsidRDefault="004F5182" w:rsidP="00160605">
          <w:pPr>
            <w:tabs>
              <w:tab w:val="left" w:pos="2415"/>
            </w:tabs>
            <w:spacing w:before="240"/>
            <w:jc w:val="center"/>
            <w:rPr>
              <w:i/>
              <w:sz w:val="22"/>
            </w:rPr>
          </w:pPr>
          <w:r w:rsidRPr="00C15FF5">
            <w:rPr>
              <w:i/>
              <w:sz w:val="22"/>
            </w:rPr>
            <w:t>“Migratory waterbirds and people - sharing wetlands”</w:t>
          </w:r>
        </w:p>
        <w:p w:rsidR="004F5182" w:rsidRPr="007E1121" w:rsidRDefault="004F5182" w:rsidP="00160605">
          <w:pPr>
            <w:tabs>
              <w:tab w:val="left" w:pos="2415"/>
            </w:tabs>
            <w:jc w:val="center"/>
          </w:pPr>
        </w:p>
      </w:tc>
      <w:tc>
        <w:tcPr>
          <w:tcW w:w="867" w:type="pct"/>
        </w:tcPr>
        <w:p w:rsidR="004F5182" w:rsidRDefault="004F5182" w:rsidP="00160605">
          <w:pPr>
            <w:jc w:val="right"/>
          </w:pPr>
          <w:r>
            <w:rPr>
              <w:noProof/>
            </w:rPr>
            <w:drawing>
              <wp:anchor distT="0" distB="0" distL="114300" distR="114300" simplePos="0" relativeHeight="251659264" behindDoc="1" locked="0" layoutInCell="1" allowOverlap="1" wp14:anchorId="1A03EFB8" wp14:editId="24101CB1">
                <wp:simplePos x="0" y="0"/>
                <wp:positionH relativeFrom="column">
                  <wp:posOffset>457835</wp:posOffset>
                </wp:positionH>
                <wp:positionV relativeFrom="paragraph">
                  <wp:posOffset>-2540</wp:posOffset>
                </wp:positionV>
                <wp:extent cx="646430" cy="1533525"/>
                <wp:effectExtent l="0" t="0" r="1270" b="9525"/>
                <wp:wrapTight wrapText="bothSides">
                  <wp:wrapPolygon edited="0">
                    <wp:start x="0" y="0"/>
                    <wp:lineTo x="0" y="21466"/>
                    <wp:lineTo x="21006" y="21466"/>
                    <wp:lineTo x="210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ewa-mop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1533525"/>
                        </a:xfrm>
                        <a:prstGeom prst="rect">
                          <a:avLst/>
                        </a:prstGeom>
                      </pic:spPr>
                    </pic:pic>
                  </a:graphicData>
                </a:graphic>
                <wp14:sizeRelH relativeFrom="page">
                  <wp14:pctWidth>0</wp14:pctWidth>
                </wp14:sizeRelH>
                <wp14:sizeRelV relativeFrom="page">
                  <wp14:pctHeight>0</wp14:pctHeight>
                </wp14:sizeRelV>
              </wp:anchor>
            </w:drawing>
          </w:r>
        </w:p>
      </w:tc>
    </w:tr>
  </w:tbl>
  <w:p w:rsidR="004F5182" w:rsidRDefault="004F5182" w:rsidP="00753A7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1F1"/>
    <w:multiLevelType w:val="hybridMultilevel"/>
    <w:tmpl w:val="58261D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65685A"/>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
    <w:nsid w:val="0B2B3513"/>
    <w:multiLevelType w:val="hybridMultilevel"/>
    <w:tmpl w:val="77A21066"/>
    <w:lvl w:ilvl="0" w:tplc="985C9592">
      <w:start w:val="1"/>
      <w:numFmt w:val="lowerLetter"/>
      <w:lvlText w:val="%1)"/>
      <w:lvlJc w:val="left"/>
      <w:pPr>
        <w:ind w:left="862" w:hanging="360"/>
      </w:pPr>
      <w:rPr>
        <w:rFonts w:cs="Times New Roman" w:hint="default"/>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
    <w:nsid w:val="0CB07FD6"/>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4">
    <w:nsid w:val="0D482CEE"/>
    <w:multiLevelType w:val="hybridMultilevel"/>
    <w:tmpl w:val="8D16043A"/>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7162453E">
      <w:start w:val="3"/>
      <w:numFmt w:val="lowerLetter"/>
      <w:lvlText w:val="%3)"/>
      <w:lvlJc w:val="left"/>
      <w:pPr>
        <w:tabs>
          <w:tab w:val="num" w:pos="1980"/>
        </w:tabs>
        <w:ind w:left="1980" w:hanging="360"/>
      </w:pPr>
      <w:rPr>
        <w:rFonts w:cs="Times New Roman" w:hint="default"/>
        <w:b w:val="0"/>
        <w:bCs w:val="0"/>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1702557"/>
    <w:multiLevelType w:val="hybridMultilevel"/>
    <w:tmpl w:val="65AAB55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1F75EB5"/>
    <w:multiLevelType w:val="hybridMultilevel"/>
    <w:tmpl w:val="0492BDB4"/>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7">
    <w:nsid w:val="17DD3609"/>
    <w:multiLevelType w:val="hybridMultilevel"/>
    <w:tmpl w:val="41D27626"/>
    <w:lvl w:ilvl="0" w:tplc="04090019">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8">
    <w:nsid w:val="1D4D4F4B"/>
    <w:multiLevelType w:val="hybridMultilevel"/>
    <w:tmpl w:val="6F5CB430"/>
    <w:lvl w:ilvl="0" w:tplc="E1422156">
      <w:start w:val="1"/>
      <w:numFmt w:val="decimal"/>
      <w:lvlText w:val="%1."/>
      <w:lvlJc w:val="left"/>
      <w:pPr>
        <w:tabs>
          <w:tab w:val="num" w:pos="735"/>
        </w:tabs>
        <w:ind w:left="735" w:hanging="375"/>
      </w:pPr>
      <w:rPr>
        <w:rFonts w:ascii="Times New Roman" w:hAnsi="Times New Roman" w:cs="Times New Roman" w:hint="default"/>
        <w:sz w:val="24"/>
        <w:szCs w:val="24"/>
      </w:rPr>
    </w:lvl>
    <w:lvl w:ilvl="1" w:tplc="04090017">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340"/>
        </w:tabs>
        <w:ind w:left="2340" w:hanging="360"/>
      </w:pPr>
      <w:rPr>
        <w:rFonts w:cs="Times New Roman" w:hint="default"/>
        <w:sz w:val="24"/>
        <w:szCs w:val="24"/>
      </w:rPr>
    </w:lvl>
    <w:lvl w:ilvl="3" w:tplc="04090017">
      <w:start w:val="1"/>
      <w:numFmt w:val="lowerLetter"/>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5BA0A0F2">
      <w:start w:val="1"/>
      <w:numFmt w:val="lowerLetter"/>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0785CCB"/>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0">
    <w:nsid w:val="223515BE"/>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1">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A874954"/>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3">
    <w:nsid w:val="2BD959A9"/>
    <w:multiLevelType w:val="hybridMultilevel"/>
    <w:tmpl w:val="679C57A4"/>
    <w:lvl w:ilvl="0" w:tplc="40A422C0">
      <w:start w:val="1"/>
      <w:numFmt w:val="lowerLetter"/>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4">
    <w:nsid w:val="2E47045F"/>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5">
    <w:nsid w:val="30FA3648"/>
    <w:multiLevelType w:val="hybridMultilevel"/>
    <w:tmpl w:val="B4F6C7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1477899"/>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7">
    <w:nsid w:val="424F2516"/>
    <w:multiLevelType w:val="hybridMultilevel"/>
    <w:tmpl w:val="9CC6E06A"/>
    <w:lvl w:ilvl="0" w:tplc="04090017">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8">
    <w:nsid w:val="433913B8"/>
    <w:multiLevelType w:val="hybridMultilevel"/>
    <w:tmpl w:val="6DB076C2"/>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8616A0D"/>
    <w:multiLevelType w:val="hybridMultilevel"/>
    <w:tmpl w:val="98A450BA"/>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nsid w:val="4C7F705A"/>
    <w:multiLevelType w:val="hybridMultilevel"/>
    <w:tmpl w:val="F59C16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D4234D5"/>
    <w:multiLevelType w:val="multilevel"/>
    <w:tmpl w:val="31421284"/>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4EF30BA1"/>
    <w:multiLevelType w:val="hybridMultilevel"/>
    <w:tmpl w:val="B3FAF030"/>
    <w:lvl w:ilvl="0" w:tplc="4CB885E8">
      <w:start w:val="1"/>
      <w:numFmt w:val="lowerLetter"/>
      <w:lvlText w:val="%1."/>
      <w:lvlJc w:val="left"/>
      <w:pPr>
        <w:ind w:left="1222" w:hanging="360"/>
      </w:pPr>
      <w:rPr>
        <w:rFonts w:cs="Times New Roman" w:hint="default"/>
      </w:rPr>
    </w:lvl>
    <w:lvl w:ilvl="1" w:tplc="04090019">
      <w:start w:val="1"/>
      <w:numFmt w:val="lowerLetter"/>
      <w:lvlText w:val="%2."/>
      <w:lvlJc w:val="left"/>
      <w:pPr>
        <w:ind w:left="1942" w:hanging="360"/>
      </w:pPr>
      <w:rPr>
        <w:rFonts w:cs="Times New Roman"/>
      </w:rPr>
    </w:lvl>
    <w:lvl w:ilvl="2" w:tplc="0409001B">
      <w:start w:val="1"/>
      <w:numFmt w:val="lowerRoman"/>
      <w:lvlText w:val="%3."/>
      <w:lvlJc w:val="right"/>
      <w:pPr>
        <w:ind w:left="2662" w:hanging="180"/>
      </w:pPr>
      <w:rPr>
        <w:rFonts w:cs="Times New Roman"/>
      </w:rPr>
    </w:lvl>
    <w:lvl w:ilvl="3" w:tplc="0409000F">
      <w:start w:val="1"/>
      <w:numFmt w:val="decimal"/>
      <w:lvlText w:val="%4."/>
      <w:lvlJc w:val="left"/>
      <w:pPr>
        <w:ind w:left="3382" w:hanging="360"/>
      </w:pPr>
      <w:rPr>
        <w:rFonts w:cs="Times New Roman"/>
      </w:rPr>
    </w:lvl>
    <w:lvl w:ilvl="4" w:tplc="04090019">
      <w:start w:val="1"/>
      <w:numFmt w:val="lowerLetter"/>
      <w:lvlText w:val="%5."/>
      <w:lvlJc w:val="left"/>
      <w:pPr>
        <w:ind w:left="4102" w:hanging="360"/>
      </w:pPr>
      <w:rPr>
        <w:rFonts w:cs="Times New Roman"/>
      </w:rPr>
    </w:lvl>
    <w:lvl w:ilvl="5" w:tplc="0409001B">
      <w:start w:val="1"/>
      <w:numFmt w:val="lowerRoman"/>
      <w:lvlText w:val="%6."/>
      <w:lvlJc w:val="right"/>
      <w:pPr>
        <w:ind w:left="4822" w:hanging="180"/>
      </w:pPr>
      <w:rPr>
        <w:rFonts w:cs="Times New Roman"/>
      </w:rPr>
    </w:lvl>
    <w:lvl w:ilvl="6" w:tplc="0409000F">
      <w:start w:val="1"/>
      <w:numFmt w:val="decimal"/>
      <w:lvlText w:val="%7."/>
      <w:lvlJc w:val="left"/>
      <w:pPr>
        <w:ind w:left="5542" w:hanging="360"/>
      </w:pPr>
      <w:rPr>
        <w:rFonts w:cs="Times New Roman"/>
      </w:rPr>
    </w:lvl>
    <w:lvl w:ilvl="7" w:tplc="04090019">
      <w:start w:val="1"/>
      <w:numFmt w:val="lowerLetter"/>
      <w:lvlText w:val="%8."/>
      <w:lvlJc w:val="left"/>
      <w:pPr>
        <w:ind w:left="6262" w:hanging="360"/>
      </w:pPr>
      <w:rPr>
        <w:rFonts w:cs="Times New Roman"/>
      </w:rPr>
    </w:lvl>
    <w:lvl w:ilvl="8" w:tplc="0409001B">
      <w:start w:val="1"/>
      <w:numFmt w:val="lowerRoman"/>
      <w:lvlText w:val="%9."/>
      <w:lvlJc w:val="right"/>
      <w:pPr>
        <w:ind w:left="6982" w:hanging="180"/>
      </w:pPr>
      <w:rPr>
        <w:rFonts w:cs="Times New Roman"/>
      </w:rPr>
    </w:lvl>
  </w:abstractNum>
  <w:abstractNum w:abstractNumId="23">
    <w:nsid w:val="4FDA1CCA"/>
    <w:multiLevelType w:val="hybridMultilevel"/>
    <w:tmpl w:val="78B88C5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26B104D"/>
    <w:multiLevelType w:val="multilevel"/>
    <w:tmpl w:val="3142128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53F402A2"/>
    <w:multiLevelType w:val="hybridMultilevel"/>
    <w:tmpl w:val="765AF3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6316D0E"/>
    <w:multiLevelType w:val="multilevel"/>
    <w:tmpl w:val="32566F1E"/>
    <w:lvl w:ilvl="0">
      <w:start w:val="1"/>
      <w:numFmt w:val="decimal"/>
      <w:lvlRestart w:val="0"/>
      <w:pStyle w:val="Heading1"/>
      <w:lvlText w:val="%1"/>
      <w:lvlJc w:val="left"/>
      <w:pPr>
        <w:tabs>
          <w:tab w:val="num" w:pos="360"/>
        </w:tabs>
      </w:pPr>
      <w:rPr>
        <w:rFonts w:ascii="Garamond" w:hAnsi="Garamond" w:cs="Garamond" w:hint="default"/>
        <w:b/>
        <w:bCs/>
        <w:i w:val="0"/>
        <w:iCs w:val="0"/>
        <w:sz w:val="24"/>
        <w:szCs w:val="24"/>
      </w:rPr>
    </w:lvl>
    <w:lvl w:ilvl="1">
      <w:start w:val="1"/>
      <w:numFmt w:val="decimal"/>
      <w:pStyle w:val="Heading2"/>
      <w:lvlText w:val="%1.%2"/>
      <w:lvlJc w:val="left"/>
      <w:pPr>
        <w:tabs>
          <w:tab w:val="num" w:pos="720"/>
        </w:tabs>
        <w:ind w:left="360" w:hanging="360"/>
      </w:pPr>
      <w:rPr>
        <w:rFonts w:ascii="Garamond" w:hAnsi="Garamond" w:cs="Garamond" w:hint="default"/>
        <w:b/>
        <w:bCs/>
        <w:i w:val="0"/>
        <w:iCs w:val="0"/>
        <w:sz w:val="24"/>
        <w:szCs w:val="24"/>
      </w:rPr>
    </w:lvl>
    <w:lvl w:ilvl="2">
      <w:start w:val="1"/>
      <w:numFmt w:val="decimal"/>
      <w:lvlText w:val="%1.%2.%3"/>
      <w:lvlJc w:val="left"/>
      <w:pPr>
        <w:tabs>
          <w:tab w:val="num" w:pos="1080"/>
        </w:tabs>
        <w:ind w:left="720" w:hanging="360"/>
      </w:pPr>
      <w:rPr>
        <w:rFonts w:ascii="Garamond" w:hAnsi="Garamond" w:cs="Garamond" w:hint="default"/>
        <w:b w:val="0"/>
        <w:bCs w:val="0"/>
        <w:i w:val="0"/>
        <w:iCs w:val="0"/>
        <w:sz w:val="24"/>
        <w:szCs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7">
    <w:nsid w:val="5A3A2F80"/>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8">
    <w:nsid w:val="5CBB3AAE"/>
    <w:multiLevelType w:val="hybridMultilevel"/>
    <w:tmpl w:val="DD1E8AE6"/>
    <w:lvl w:ilvl="0" w:tplc="0409000F">
      <w:start w:val="1"/>
      <w:numFmt w:val="decimal"/>
      <w:lvlText w:val="%1."/>
      <w:lvlJc w:val="left"/>
      <w:pPr>
        <w:ind w:left="1582" w:hanging="360"/>
      </w:pPr>
      <w:rPr>
        <w:rFonts w:cs="Times New Roman"/>
      </w:rPr>
    </w:lvl>
    <w:lvl w:ilvl="1" w:tplc="04090019">
      <w:start w:val="1"/>
      <w:numFmt w:val="lowerLetter"/>
      <w:lvlText w:val="%2."/>
      <w:lvlJc w:val="left"/>
      <w:pPr>
        <w:ind w:left="2302" w:hanging="360"/>
      </w:pPr>
      <w:rPr>
        <w:rFonts w:cs="Times New Roman"/>
      </w:rPr>
    </w:lvl>
    <w:lvl w:ilvl="2" w:tplc="0409001B">
      <w:start w:val="1"/>
      <w:numFmt w:val="lowerRoman"/>
      <w:lvlText w:val="%3."/>
      <w:lvlJc w:val="right"/>
      <w:pPr>
        <w:ind w:left="3022" w:hanging="180"/>
      </w:pPr>
      <w:rPr>
        <w:rFonts w:cs="Times New Roman"/>
      </w:rPr>
    </w:lvl>
    <w:lvl w:ilvl="3" w:tplc="0409000F">
      <w:start w:val="1"/>
      <w:numFmt w:val="decimal"/>
      <w:lvlText w:val="%4."/>
      <w:lvlJc w:val="left"/>
      <w:pPr>
        <w:ind w:left="3742" w:hanging="360"/>
      </w:pPr>
      <w:rPr>
        <w:rFonts w:cs="Times New Roman"/>
      </w:rPr>
    </w:lvl>
    <w:lvl w:ilvl="4" w:tplc="04090019">
      <w:start w:val="1"/>
      <w:numFmt w:val="lowerLetter"/>
      <w:lvlText w:val="%5."/>
      <w:lvlJc w:val="left"/>
      <w:pPr>
        <w:ind w:left="4462" w:hanging="360"/>
      </w:pPr>
      <w:rPr>
        <w:rFonts w:cs="Times New Roman"/>
      </w:rPr>
    </w:lvl>
    <w:lvl w:ilvl="5" w:tplc="0409001B">
      <w:start w:val="1"/>
      <w:numFmt w:val="lowerRoman"/>
      <w:lvlText w:val="%6."/>
      <w:lvlJc w:val="right"/>
      <w:pPr>
        <w:ind w:left="5182" w:hanging="180"/>
      </w:pPr>
      <w:rPr>
        <w:rFonts w:cs="Times New Roman"/>
      </w:rPr>
    </w:lvl>
    <w:lvl w:ilvl="6" w:tplc="0409000F">
      <w:start w:val="1"/>
      <w:numFmt w:val="decimal"/>
      <w:lvlText w:val="%7."/>
      <w:lvlJc w:val="left"/>
      <w:pPr>
        <w:ind w:left="5902" w:hanging="360"/>
      </w:pPr>
      <w:rPr>
        <w:rFonts w:cs="Times New Roman"/>
      </w:rPr>
    </w:lvl>
    <w:lvl w:ilvl="7" w:tplc="04090019">
      <w:start w:val="1"/>
      <w:numFmt w:val="lowerLetter"/>
      <w:lvlText w:val="%8."/>
      <w:lvlJc w:val="left"/>
      <w:pPr>
        <w:ind w:left="6622" w:hanging="360"/>
      </w:pPr>
      <w:rPr>
        <w:rFonts w:cs="Times New Roman"/>
      </w:rPr>
    </w:lvl>
    <w:lvl w:ilvl="8" w:tplc="0409001B">
      <w:start w:val="1"/>
      <w:numFmt w:val="lowerRoman"/>
      <w:lvlText w:val="%9."/>
      <w:lvlJc w:val="right"/>
      <w:pPr>
        <w:ind w:left="7342" w:hanging="180"/>
      </w:pPr>
      <w:rPr>
        <w:rFonts w:cs="Times New Roman"/>
      </w:rPr>
    </w:lvl>
  </w:abstractNum>
  <w:abstractNum w:abstractNumId="29">
    <w:nsid w:val="5D0B3D3B"/>
    <w:multiLevelType w:val="hybridMultilevel"/>
    <w:tmpl w:val="10445DFA"/>
    <w:lvl w:ilvl="0" w:tplc="04090019">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0">
    <w:nsid w:val="60277BDB"/>
    <w:multiLevelType w:val="hybridMultilevel"/>
    <w:tmpl w:val="38B4A0A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4835189"/>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2">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0193602"/>
    <w:multiLevelType w:val="hybridMultilevel"/>
    <w:tmpl w:val="7020DF7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725921F0"/>
    <w:multiLevelType w:val="hybridMultilevel"/>
    <w:tmpl w:val="152464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522AC6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4140190"/>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6">
    <w:nsid w:val="7C6E5258"/>
    <w:multiLevelType w:val="hybridMultilevel"/>
    <w:tmpl w:val="7DD287FE"/>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D51579C"/>
    <w:multiLevelType w:val="multilevel"/>
    <w:tmpl w:val="8FF64E04"/>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5"/>
  </w:num>
  <w:num w:numId="4">
    <w:abstractNumId w:val="32"/>
  </w:num>
  <w:num w:numId="5">
    <w:abstractNumId w:val="26"/>
  </w:num>
  <w:num w:numId="6">
    <w:abstractNumId w:val="4"/>
  </w:num>
  <w:num w:numId="7">
    <w:abstractNumId w:val="36"/>
  </w:num>
  <w:num w:numId="8">
    <w:abstractNumId w:val="18"/>
  </w:num>
  <w:num w:numId="9">
    <w:abstractNumId w:val="10"/>
  </w:num>
  <w:num w:numId="10">
    <w:abstractNumId w:val="7"/>
  </w:num>
  <w:num w:numId="11">
    <w:abstractNumId w:val="6"/>
  </w:num>
  <w:num w:numId="12">
    <w:abstractNumId w:val="29"/>
  </w:num>
  <w:num w:numId="13">
    <w:abstractNumId w:val="17"/>
  </w:num>
  <w:num w:numId="14">
    <w:abstractNumId w:val="28"/>
  </w:num>
  <w:num w:numId="15">
    <w:abstractNumId w:val="22"/>
  </w:num>
  <w:num w:numId="16">
    <w:abstractNumId w:val="8"/>
  </w:num>
  <w:num w:numId="17">
    <w:abstractNumId w:val="30"/>
  </w:num>
  <w:num w:numId="18">
    <w:abstractNumId w:val="19"/>
  </w:num>
  <w:num w:numId="19">
    <w:abstractNumId w:val="13"/>
  </w:num>
  <w:num w:numId="20">
    <w:abstractNumId w:val="2"/>
  </w:num>
  <w:num w:numId="21">
    <w:abstractNumId w:val="23"/>
  </w:num>
  <w:num w:numId="22">
    <w:abstractNumId w:val="34"/>
  </w:num>
  <w:num w:numId="23">
    <w:abstractNumId w:val="31"/>
  </w:num>
  <w:num w:numId="24">
    <w:abstractNumId w:val="35"/>
  </w:num>
  <w:num w:numId="25">
    <w:abstractNumId w:val="9"/>
  </w:num>
  <w:num w:numId="26">
    <w:abstractNumId w:val="12"/>
  </w:num>
  <w:num w:numId="27">
    <w:abstractNumId w:val="27"/>
  </w:num>
  <w:num w:numId="28">
    <w:abstractNumId w:val="16"/>
  </w:num>
  <w:num w:numId="29">
    <w:abstractNumId w:val="14"/>
  </w:num>
  <w:num w:numId="30">
    <w:abstractNumId w:val="1"/>
  </w:num>
  <w:num w:numId="31">
    <w:abstractNumId w:val="3"/>
  </w:num>
  <w:num w:numId="32">
    <w:abstractNumId w:val="0"/>
  </w:num>
  <w:num w:numId="33">
    <w:abstractNumId w:val="5"/>
  </w:num>
  <w:num w:numId="34">
    <w:abstractNumId w:val="21"/>
  </w:num>
  <w:num w:numId="35">
    <w:abstractNumId w:val="24"/>
  </w:num>
  <w:num w:numId="36">
    <w:abstractNumId w:val="37"/>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A1"/>
    <w:rsid w:val="00001541"/>
    <w:rsid w:val="00016612"/>
    <w:rsid w:val="00016E7B"/>
    <w:rsid w:val="000375C2"/>
    <w:rsid w:val="00060494"/>
    <w:rsid w:val="0006065A"/>
    <w:rsid w:val="0006129C"/>
    <w:rsid w:val="0006594D"/>
    <w:rsid w:val="00075452"/>
    <w:rsid w:val="000818E3"/>
    <w:rsid w:val="0009186C"/>
    <w:rsid w:val="00091C10"/>
    <w:rsid w:val="000975B8"/>
    <w:rsid w:val="000977BB"/>
    <w:rsid w:val="000A2F0B"/>
    <w:rsid w:val="000A5A47"/>
    <w:rsid w:val="000B4280"/>
    <w:rsid w:val="000C240A"/>
    <w:rsid w:val="000C2851"/>
    <w:rsid w:val="000D3009"/>
    <w:rsid w:val="000D4F56"/>
    <w:rsid w:val="000E153E"/>
    <w:rsid w:val="000E4CAE"/>
    <w:rsid w:val="000F71A8"/>
    <w:rsid w:val="001009FE"/>
    <w:rsid w:val="001024AC"/>
    <w:rsid w:val="00104C13"/>
    <w:rsid w:val="0012203C"/>
    <w:rsid w:val="0012301E"/>
    <w:rsid w:val="00123271"/>
    <w:rsid w:val="00133628"/>
    <w:rsid w:val="00145E99"/>
    <w:rsid w:val="001466F1"/>
    <w:rsid w:val="00147B09"/>
    <w:rsid w:val="00147DF3"/>
    <w:rsid w:val="00151551"/>
    <w:rsid w:val="001524B5"/>
    <w:rsid w:val="00160605"/>
    <w:rsid w:val="00167D59"/>
    <w:rsid w:val="00174F9D"/>
    <w:rsid w:val="00182DCC"/>
    <w:rsid w:val="00186687"/>
    <w:rsid w:val="0018695A"/>
    <w:rsid w:val="0019152C"/>
    <w:rsid w:val="0019217E"/>
    <w:rsid w:val="00196E67"/>
    <w:rsid w:val="001A00B6"/>
    <w:rsid w:val="001A3A4C"/>
    <w:rsid w:val="001B186D"/>
    <w:rsid w:val="001C167D"/>
    <w:rsid w:val="001D21F7"/>
    <w:rsid w:val="001D511A"/>
    <w:rsid w:val="001D7C9B"/>
    <w:rsid w:val="001E0CCD"/>
    <w:rsid w:val="001E5901"/>
    <w:rsid w:val="001E72CB"/>
    <w:rsid w:val="001F1D9A"/>
    <w:rsid w:val="002051D9"/>
    <w:rsid w:val="002062B3"/>
    <w:rsid w:val="00206693"/>
    <w:rsid w:val="00207325"/>
    <w:rsid w:val="00217396"/>
    <w:rsid w:val="002318FA"/>
    <w:rsid w:val="0024024F"/>
    <w:rsid w:val="00252BD6"/>
    <w:rsid w:val="002777F4"/>
    <w:rsid w:val="00280C80"/>
    <w:rsid w:val="00286103"/>
    <w:rsid w:val="002875B2"/>
    <w:rsid w:val="00290461"/>
    <w:rsid w:val="002962F8"/>
    <w:rsid w:val="002A3D00"/>
    <w:rsid w:val="002B311E"/>
    <w:rsid w:val="002C119E"/>
    <w:rsid w:val="002D1CC3"/>
    <w:rsid w:val="002D76DC"/>
    <w:rsid w:val="002E4C1F"/>
    <w:rsid w:val="002E6092"/>
    <w:rsid w:val="002F0141"/>
    <w:rsid w:val="002F7147"/>
    <w:rsid w:val="00303606"/>
    <w:rsid w:val="003072A9"/>
    <w:rsid w:val="003119C2"/>
    <w:rsid w:val="003126B7"/>
    <w:rsid w:val="00312BA0"/>
    <w:rsid w:val="003209C2"/>
    <w:rsid w:val="0033023B"/>
    <w:rsid w:val="003412DF"/>
    <w:rsid w:val="00343971"/>
    <w:rsid w:val="00353767"/>
    <w:rsid w:val="00365117"/>
    <w:rsid w:val="00366512"/>
    <w:rsid w:val="00382D7A"/>
    <w:rsid w:val="00383FCF"/>
    <w:rsid w:val="00394984"/>
    <w:rsid w:val="00395587"/>
    <w:rsid w:val="003A4612"/>
    <w:rsid w:val="003A4E89"/>
    <w:rsid w:val="003A596F"/>
    <w:rsid w:val="003A5DE1"/>
    <w:rsid w:val="003A6C16"/>
    <w:rsid w:val="003B05C0"/>
    <w:rsid w:val="003B0C02"/>
    <w:rsid w:val="003B2918"/>
    <w:rsid w:val="003B4398"/>
    <w:rsid w:val="003C320A"/>
    <w:rsid w:val="003D6389"/>
    <w:rsid w:val="003E0DB9"/>
    <w:rsid w:val="003E7D09"/>
    <w:rsid w:val="003E7D4C"/>
    <w:rsid w:val="003F4C65"/>
    <w:rsid w:val="003F600C"/>
    <w:rsid w:val="00407D1C"/>
    <w:rsid w:val="004313BF"/>
    <w:rsid w:val="004370A6"/>
    <w:rsid w:val="00444A2F"/>
    <w:rsid w:val="00454391"/>
    <w:rsid w:val="004623B2"/>
    <w:rsid w:val="00472453"/>
    <w:rsid w:val="004752F5"/>
    <w:rsid w:val="00497689"/>
    <w:rsid w:val="004A1B0B"/>
    <w:rsid w:val="004B562F"/>
    <w:rsid w:val="004B57A6"/>
    <w:rsid w:val="004B698D"/>
    <w:rsid w:val="004B75C0"/>
    <w:rsid w:val="004E390F"/>
    <w:rsid w:val="004F4E6A"/>
    <w:rsid w:val="004F5182"/>
    <w:rsid w:val="004F71B1"/>
    <w:rsid w:val="00516754"/>
    <w:rsid w:val="00517C62"/>
    <w:rsid w:val="00530506"/>
    <w:rsid w:val="00536EF5"/>
    <w:rsid w:val="00541AB8"/>
    <w:rsid w:val="005426DD"/>
    <w:rsid w:val="005640F3"/>
    <w:rsid w:val="00567628"/>
    <w:rsid w:val="00575367"/>
    <w:rsid w:val="005816D2"/>
    <w:rsid w:val="005970C7"/>
    <w:rsid w:val="005A3CF6"/>
    <w:rsid w:val="005D1C79"/>
    <w:rsid w:val="005D4501"/>
    <w:rsid w:val="005D54ED"/>
    <w:rsid w:val="005F00B0"/>
    <w:rsid w:val="005F11C9"/>
    <w:rsid w:val="00603A4E"/>
    <w:rsid w:val="006075EE"/>
    <w:rsid w:val="006122CD"/>
    <w:rsid w:val="00612622"/>
    <w:rsid w:val="00614C8C"/>
    <w:rsid w:val="00630325"/>
    <w:rsid w:val="00650283"/>
    <w:rsid w:val="00656C3E"/>
    <w:rsid w:val="00657A1D"/>
    <w:rsid w:val="0068028B"/>
    <w:rsid w:val="00685DBA"/>
    <w:rsid w:val="0069010A"/>
    <w:rsid w:val="00691E86"/>
    <w:rsid w:val="006A3E3F"/>
    <w:rsid w:val="006A4A6F"/>
    <w:rsid w:val="006A6B51"/>
    <w:rsid w:val="006B1C97"/>
    <w:rsid w:val="006B3BD7"/>
    <w:rsid w:val="006B6B98"/>
    <w:rsid w:val="006C4AD5"/>
    <w:rsid w:val="006D28F3"/>
    <w:rsid w:val="006D5B59"/>
    <w:rsid w:val="006E115D"/>
    <w:rsid w:val="006E5438"/>
    <w:rsid w:val="0070257F"/>
    <w:rsid w:val="00703647"/>
    <w:rsid w:val="00704B4A"/>
    <w:rsid w:val="007122FA"/>
    <w:rsid w:val="0071612F"/>
    <w:rsid w:val="00721E31"/>
    <w:rsid w:val="007226AA"/>
    <w:rsid w:val="0074087E"/>
    <w:rsid w:val="00753A7A"/>
    <w:rsid w:val="0076106B"/>
    <w:rsid w:val="00776D32"/>
    <w:rsid w:val="00786AF1"/>
    <w:rsid w:val="007967F7"/>
    <w:rsid w:val="0079698D"/>
    <w:rsid w:val="00796FCB"/>
    <w:rsid w:val="007A614D"/>
    <w:rsid w:val="007A7DEC"/>
    <w:rsid w:val="007C48F2"/>
    <w:rsid w:val="007C70A6"/>
    <w:rsid w:val="007E054A"/>
    <w:rsid w:val="007E1121"/>
    <w:rsid w:val="007E168C"/>
    <w:rsid w:val="007E2ADC"/>
    <w:rsid w:val="007E5503"/>
    <w:rsid w:val="007F1F56"/>
    <w:rsid w:val="00806BB8"/>
    <w:rsid w:val="00806D64"/>
    <w:rsid w:val="008115B4"/>
    <w:rsid w:val="0082215E"/>
    <w:rsid w:val="008235E1"/>
    <w:rsid w:val="0083696C"/>
    <w:rsid w:val="00853632"/>
    <w:rsid w:val="0085572C"/>
    <w:rsid w:val="00862CFA"/>
    <w:rsid w:val="008650A4"/>
    <w:rsid w:val="0087707B"/>
    <w:rsid w:val="008A30F9"/>
    <w:rsid w:val="008A7E36"/>
    <w:rsid w:val="008B1536"/>
    <w:rsid w:val="008B3285"/>
    <w:rsid w:val="008B3502"/>
    <w:rsid w:val="008D305B"/>
    <w:rsid w:val="008D6C3F"/>
    <w:rsid w:val="008E43CA"/>
    <w:rsid w:val="008F0DEA"/>
    <w:rsid w:val="008F155A"/>
    <w:rsid w:val="008F4E75"/>
    <w:rsid w:val="008F635D"/>
    <w:rsid w:val="008F673B"/>
    <w:rsid w:val="00903E6E"/>
    <w:rsid w:val="0090748E"/>
    <w:rsid w:val="00912C40"/>
    <w:rsid w:val="00915632"/>
    <w:rsid w:val="009164F2"/>
    <w:rsid w:val="00917A9E"/>
    <w:rsid w:val="009271A1"/>
    <w:rsid w:val="0095479F"/>
    <w:rsid w:val="00960705"/>
    <w:rsid w:val="0096358C"/>
    <w:rsid w:val="0096757D"/>
    <w:rsid w:val="0096780E"/>
    <w:rsid w:val="00980723"/>
    <w:rsid w:val="00990AB9"/>
    <w:rsid w:val="00995D7F"/>
    <w:rsid w:val="00996828"/>
    <w:rsid w:val="009A47CF"/>
    <w:rsid w:val="009B7EED"/>
    <w:rsid w:val="009E320C"/>
    <w:rsid w:val="009F13F1"/>
    <w:rsid w:val="009F4622"/>
    <w:rsid w:val="009F47B1"/>
    <w:rsid w:val="009F6DE5"/>
    <w:rsid w:val="00A0113D"/>
    <w:rsid w:val="00A01D3C"/>
    <w:rsid w:val="00A0507F"/>
    <w:rsid w:val="00A13B54"/>
    <w:rsid w:val="00A338B0"/>
    <w:rsid w:val="00A340B4"/>
    <w:rsid w:val="00A36A12"/>
    <w:rsid w:val="00A43C8F"/>
    <w:rsid w:val="00A5124E"/>
    <w:rsid w:val="00A536FB"/>
    <w:rsid w:val="00A5513A"/>
    <w:rsid w:val="00A62993"/>
    <w:rsid w:val="00A84DF2"/>
    <w:rsid w:val="00A86EF9"/>
    <w:rsid w:val="00A91E95"/>
    <w:rsid w:val="00A93466"/>
    <w:rsid w:val="00A96070"/>
    <w:rsid w:val="00AC55DC"/>
    <w:rsid w:val="00AF4489"/>
    <w:rsid w:val="00AF6F88"/>
    <w:rsid w:val="00B03C07"/>
    <w:rsid w:val="00B04408"/>
    <w:rsid w:val="00B10D26"/>
    <w:rsid w:val="00B10E59"/>
    <w:rsid w:val="00B13D97"/>
    <w:rsid w:val="00B243D5"/>
    <w:rsid w:val="00B27842"/>
    <w:rsid w:val="00B30BE0"/>
    <w:rsid w:val="00B342DD"/>
    <w:rsid w:val="00B37692"/>
    <w:rsid w:val="00B37E95"/>
    <w:rsid w:val="00B41173"/>
    <w:rsid w:val="00B56DEB"/>
    <w:rsid w:val="00B61FA1"/>
    <w:rsid w:val="00B67FF9"/>
    <w:rsid w:val="00B71F68"/>
    <w:rsid w:val="00B8352C"/>
    <w:rsid w:val="00B9139F"/>
    <w:rsid w:val="00BA2B02"/>
    <w:rsid w:val="00BA790F"/>
    <w:rsid w:val="00BB60C5"/>
    <w:rsid w:val="00BB60D2"/>
    <w:rsid w:val="00BC1F70"/>
    <w:rsid w:val="00BD17AE"/>
    <w:rsid w:val="00BD5A50"/>
    <w:rsid w:val="00BE634D"/>
    <w:rsid w:val="00BF6F6E"/>
    <w:rsid w:val="00C00558"/>
    <w:rsid w:val="00C061F0"/>
    <w:rsid w:val="00C10107"/>
    <w:rsid w:val="00C152CC"/>
    <w:rsid w:val="00C20BB0"/>
    <w:rsid w:val="00C248B7"/>
    <w:rsid w:val="00C31A30"/>
    <w:rsid w:val="00C37179"/>
    <w:rsid w:val="00C57ECB"/>
    <w:rsid w:val="00C645F5"/>
    <w:rsid w:val="00C72EF1"/>
    <w:rsid w:val="00C80D6A"/>
    <w:rsid w:val="00C83EC9"/>
    <w:rsid w:val="00C85A77"/>
    <w:rsid w:val="00C90EAC"/>
    <w:rsid w:val="00C978F8"/>
    <w:rsid w:val="00CB1CAA"/>
    <w:rsid w:val="00CC0413"/>
    <w:rsid w:val="00CC3D4A"/>
    <w:rsid w:val="00CC3F9D"/>
    <w:rsid w:val="00CC509F"/>
    <w:rsid w:val="00CE532C"/>
    <w:rsid w:val="00CF5F07"/>
    <w:rsid w:val="00D009A6"/>
    <w:rsid w:val="00D16BA9"/>
    <w:rsid w:val="00D40D33"/>
    <w:rsid w:val="00D42017"/>
    <w:rsid w:val="00D45CAA"/>
    <w:rsid w:val="00D5283A"/>
    <w:rsid w:val="00D57E81"/>
    <w:rsid w:val="00D724D2"/>
    <w:rsid w:val="00D76A66"/>
    <w:rsid w:val="00D801A7"/>
    <w:rsid w:val="00D82D72"/>
    <w:rsid w:val="00DA2E04"/>
    <w:rsid w:val="00DB6FF8"/>
    <w:rsid w:val="00DD06D1"/>
    <w:rsid w:val="00DD42FD"/>
    <w:rsid w:val="00DE5932"/>
    <w:rsid w:val="00DE5E53"/>
    <w:rsid w:val="00DE6C76"/>
    <w:rsid w:val="00DF26A5"/>
    <w:rsid w:val="00E02643"/>
    <w:rsid w:val="00E043A4"/>
    <w:rsid w:val="00E105E8"/>
    <w:rsid w:val="00E11D69"/>
    <w:rsid w:val="00E16984"/>
    <w:rsid w:val="00E30DCE"/>
    <w:rsid w:val="00E35F10"/>
    <w:rsid w:val="00E36B8C"/>
    <w:rsid w:val="00E5162C"/>
    <w:rsid w:val="00E55F1B"/>
    <w:rsid w:val="00E56046"/>
    <w:rsid w:val="00E61D8D"/>
    <w:rsid w:val="00E719DA"/>
    <w:rsid w:val="00E7226C"/>
    <w:rsid w:val="00E7357B"/>
    <w:rsid w:val="00E965A8"/>
    <w:rsid w:val="00EA0504"/>
    <w:rsid w:val="00EA1BA4"/>
    <w:rsid w:val="00EB38A4"/>
    <w:rsid w:val="00EB55A1"/>
    <w:rsid w:val="00EC038F"/>
    <w:rsid w:val="00EC1BEB"/>
    <w:rsid w:val="00EC5018"/>
    <w:rsid w:val="00EC59E3"/>
    <w:rsid w:val="00EC74DE"/>
    <w:rsid w:val="00EE02FE"/>
    <w:rsid w:val="00EF4688"/>
    <w:rsid w:val="00F057E0"/>
    <w:rsid w:val="00F3655D"/>
    <w:rsid w:val="00F42807"/>
    <w:rsid w:val="00F52FF0"/>
    <w:rsid w:val="00F627E9"/>
    <w:rsid w:val="00F64A71"/>
    <w:rsid w:val="00F81B26"/>
    <w:rsid w:val="00F81EEA"/>
    <w:rsid w:val="00F83E62"/>
    <w:rsid w:val="00F85886"/>
    <w:rsid w:val="00FA6D32"/>
    <w:rsid w:val="00FB78EE"/>
    <w:rsid w:val="00FD1E6F"/>
    <w:rsid w:val="00FE4106"/>
    <w:rsid w:val="00FF411A"/>
    <w:rsid w:val="00FF604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12"/>
    <w:rPr>
      <w:sz w:val="24"/>
      <w:szCs w:val="24"/>
      <w:lang w:val="en-US" w:eastAsia="en-US"/>
    </w:rPr>
  </w:style>
  <w:style w:type="paragraph" w:styleId="Heading1">
    <w:name w:val="heading 1"/>
    <w:basedOn w:val="Normal"/>
    <w:next w:val="Normal"/>
    <w:link w:val="Heading1Char"/>
    <w:uiPriority w:val="99"/>
    <w:qFormat/>
    <w:rsid w:val="008F0DEA"/>
    <w:pPr>
      <w:keepNext/>
      <w:numPr>
        <w:numId w:val="5"/>
      </w:numP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7C70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78EE"/>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9"/>
    <w:semiHidden/>
    <w:locked/>
    <w:rsid w:val="00FB78EE"/>
    <w:rPr>
      <w:rFonts w:ascii="Cambria" w:hAnsi="Cambria" w:cs="Times New Roman"/>
      <w:b/>
      <w:i/>
      <w:sz w:val="28"/>
      <w:lang w:val="en-US" w:eastAsia="en-US"/>
    </w:rPr>
  </w:style>
  <w:style w:type="paragraph" w:styleId="BalloonText">
    <w:name w:val="Balloon Text"/>
    <w:basedOn w:val="Normal"/>
    <w:link w:val="BalloonTextChar"/>
    <w:uiPriority w:val="99"/>
    <w:semiHidden/>
    <w:rsid w:val="00B61FA1"/>
    <w:rPr>
      <w:rFonts w:ascii="Tahoma" w:hAnsi="Tahoma"/>
      <w:sz w:val="16"/>
      <w:szCs w:val="16"/>
      <w:lang w:val="en-GB"/>
    </w:rPr>
  </w:style>
  <w:style w:type="character" w:customStyle="1" w:styleId="BalloonTextChar">
    <w:name w:val="Balloon Text Char"/>
    <w:basedOn w:val="DefaultParagraphFont"/>
    <w:link w:val="BalloonText"/>
    <w:uiPriority w:val="99"/>
    <w:locked/>
    <w:rsid w:val="00B61FA1"/>
    <w:rPr>
      <w:rFonts w:ascii="Tahoma" w:hAnsi="Tahoma" w:cs="Times New Roman"/>
      <w:sz w:val="16"/>
    </w:rPr>
  </w:style>
  <w:style w:type="paragraph" w:styleId="Header">
    <w:name w:val="header"/>
    <w:basedOn w:val="Normal"/>
    <w:link w:val="HeaderChar"/>
    <w:uiPriority w:val="99"/>
    <w:rsid w:val="00F627E9"/>
    <w:pPr>
      <w:tabs>
        <w:tab w:val="center" w:pos="4320"/>
        <w:tab w:val="right" w:pos="8640"/>
      </w:tabs>
    </w:pPr>
  </w:style>
  <w:style w:type="character" w:customStyle="1" w:styleId="HeaderChar">
    <w:name w:val="Header Char"/>
    <w:basedOn w:val="DefaultParagraphFont"/>
    <w:link w:val="Header"/>
    <w:uiPriority w:val="99"/>
    <w:semiHidden/>
    <w:locked/>
    <w:rsid w:val="00FB78EE"/>
    <w:rPr>
      <w:rFonts w:cs="Times New Roman"/>
      <w:sz w:val="24"/>
      <w:lang w:val="en-US" w:eastAsia="en-US"/>
    </w:rPr>
  </w:style>
  <w:style w:type="paragraph" w:styleId="Footer">
    <w:name w:val="footer"/>
    <w:basedOn w:val="Normal"/>
    <w:link w:val="FooterChar"/>
    <w:uiPriority w:val="99"/>
    <w:rsid w:val="00F627E9"/>
    <w:pPr>
      <w:tabs>
        <w:tab w:val="center" w:pos="4320"/>
        <w:tab w:val="right" w:pos="8640"/>
      </w:tabs>
    </w:pPr>
  </w:style>
  <w:style w:type="character" w:customStyle="1" w:styleId="FooterChar">
    <w:name w:val="Footer Char"/>
    <w:basedOn w:val="DefaultParagraphFont"/>
    <w:link w:val="Footer"/>
    <w:uiPriority w:val="99"/>
    <w:locked/>
    <w:rsid w:val="00FB78EE"/>
    <w:rPr>
      <w:rFonts w:cs="Times New Roman"/>
      <w:sz w:val="24"/>
      <w:lang w:val="en-US" w:eastAsia="en-US"/>
    </w:rPr>
  </w:style>
  <w:style w:type="paragraph" w:styleId="BodyText2">
    <w:name w:val="Body Text 2"/>
    <w:basedOn w:val="Normal"/>
    <w:link w:val="BodyText2Char"/>
    <w:rsid w:val="00F627E9"/>
  </w:style>
  <w:style w:type="character" w:customStyle="1" w:styleId="BodyText2Char">
    <w:name w:val="Body Text 2 Char"/>
    <w:basedOn w:val="DefaultParagraphFont"/>
    <w:link w:val="BodyText2"/>
    <w:uiPriority w:val="99"/>
    <w:semiHidden/>
    <w:locked/>
    <w:rsid w:val="00FB78EE"/>
    <w:rPr>
      <w:rFonts w:cs="Times New Roman"/>
      <w:sz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rPr>
  </w:style>
  <w:style w:type="character" w:customStyle="1" w:styleId="FootnoteTextChar">
    <w:name w:val="Footnote Text Char"/>
    <w:basedOn w:val="DefaultParagraphFont"/>
    <w:link w:val="FootnoteText"/>
    <w:uiPriority w:val="99"/>
    <w:semiHidden/>
    <w:locked/>
    <w:rsid w:val="00FB78EE"/>
    <w:rPr>
      <w:rFonts w:cs="Times New Roman"/>
      <w:sz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ListParagraph">
    <w:name w:val="List Paragraph"/>
    <w:basedOn w:val="Normal"/>
    <w:uiPriority w:val="99"/>
    <w:qFormat/>
    <w:rsid w:val="0070257F"/>
    <w:pPr>
      <w:ind w:left="720"/>
    </w:pPr>
  </w:style>
  <w:style w:type="paragraph" w:styleId="BodyTextIndent2">
    <w:name w:val="Body Text Indent 2"/>
    <w:basedOn w:val="Normal"/>
    <w:link w:val="BodyTextIndent2Char"/>
    <w:uiPriority w:val="99"/>
    <w:rsid w:val="0024024F"/>
    <w:pPr>
      <w:spacing w:after="120" w:line="480" w:lineRule="auto"/>
      <w:ind w:left="360"/>
    </w:pPr>
    <w:rPr>
      <w:lang w:val="en-GB"/>
    </w:rPr>
  </w:style>
  <w:style w:type="character" w:customStyle="1" w:styleId="BodyTextIndent2Char">
    <w:name w:val="Body Text Indent 2 Char"/>
    <w:basedOn w:val="DefaultParagraphFont"/>
    <w:link w:val="BodyTextIndent2"/>
    <w:uiPriority w:val="99"/>
    <w:locked/>
    <w:rsid w:val="0024024F"/>
    <w:rPr>
      <w:rFonts w:cs="Times New Roman"/>
      <w:sz w:val="24"/>
    </w:rPr>
  </w:style>
  <w:style w:type="paragraph" w:styleId="BodyTextIndent">
    <w:name w:val="Body Text Indent"/>
    <w:basedOn w:val="Normal"/>
    <w:link w:val="BodyTextIndentChar"/>
    <w:uiPriority w:val="99"/>
    <w:rsid w:val="00147DF3"/>
    <w:pPr>
      <w:spacing w:after="120"/>
      <w:ind w:left="360"/>
    </w:pPr>
    <w:rPr>
      <w:lang w:val="en-GB"/>
    </w:rPr>
  </w:style>
  <w:style w:type="character" w:customStyle="1" w:styleId="BodyTextIndentChar">
    <w:name w:val="Body Text Indent Char"/>
    <w:basedOn w:val="DefaultParagraphFont"/>
    <w:link w:val="BodyTextIndent"/>
    <w:uiPriority w:val="99"/>
    <w:locked/>
    <w:rsid w:val="00147DF3"/>
    <w:rPr>
      <w:rFonts w:cs="Times New Roman"/>
      <w:sz w:val="24"/>
    </w:rPr>
  </w:style>
  <w:style w:type="character" w:styleId="Hyperlink">
    <w:name w:val="Hyperlink"/>
    <w:basedOn w:val="DefaultParagraphFont"/>
    <w:uiPriority w:val="99"/>
    <w:rsid w:val="00FA6D32"/>
    <w:rPr>
      <w:rFonts w:cs="Times New Roman"/>
      <w:color w:val="0000FF"/>
      <w:u w:val="single"/>
    </w:rPr>
  </w:style>
  <w:style w:type="paragraph" w:styleId="BodyText3">
    <w:name w:val="Body Text 3"/>
    <w:basedOn w:val="Normal"/>
    <w:link w:val="BodyText3Char"/>
    <w:uiPriority w:val="99"/>
    <w:rsid w:val="0006065A"/>
    <w:pPr>
      <w:spacing w:after="120"/>
    </w:pPr>
    <w:rPr>
      <w:sz w:val="16"/>
      <w:szCs w:val="16"/>
    </w:rPr>
  </w:style>
  <w:style w:type="character" w:customStyle="1" w:styleId="BodyText3Char">
    <w:name w:val="Body Text 3 Char"/>
    <w:basedOn w:val="DefaultParagraphFont"/>
    <w:link w:val="BodyText3"/>
    <w:uiPriority w:val="99"/>
    <w:semiHidden/>
    <w:locked/>
    <w:rsid w:val="0006065A"/>
    <w:rPr>
      <w:rFonts w:cs="Times New Roman"/>
      <w:sz w:val="16"/>
      <w:lang w:val="en-US" w:eastAsia="en-US"/>
    </w:rPr>
  </w:style>
  <w:style w:type="character" w:styleId="CommentReference">
    <w:name w:val="annotation reference"/>
    <w:basedOn w:val="DefaultParagraphFont"/>
    <w:uiPriority w:val="99"/>
    <w:semiHidden/>
    <w:rsid w:val="008F635D"/>
    <w:rPr>
      <w:rFonts w:cs="Times New Roman"/>
      <w:sz w:val="16"/>
    </w:rPr>
  </w:style>
  <w:style w:type="paragraph" w:styleId="CommentText">
    <w:name w:val="annotation text"/>
    <w:basedOn w:val="Normal"/>
    <w:link w:val="CommentTextChar"/>
    <w:uiPriority w:val="99"/>
    <w:semiHidden/>
    <w:rsid w:val="008F635D"/>
    <w:rPr>
      <w:sz w:val="20"/>
      <w:szCs w:val="20"/>
    </w:rPr>
  </w:style>
  <w:style w:type="character" w:customStyle="1" w:styleId="CommentTextChar">
    <w:name w:val="Comment Text Char"/>
    <w:basedOn w:val="DefaultParagraphFont"/>
    <w:link w:val="CommentText"/>
    <w:uiPriority w:val="99"/>
    <w:semiHidden/>
    <w:locked/>
    <w:rsid w:val="00AF4489"/>
    <w:rPr>
      <w:rFonts w:cs="Times New Roman"/>
      <w:sz w:val="20"/>
      <w:lang w:val="en-US" w:eastAsia="en-US"/>
    </w:rPr>
  </w:style>
  <w:style w:type="paragraph" w:styleId="CommentSubject">
    <w:name w:val="annotation subject"/>
    <w:basedOn w:val="CommentText"/>
    <w:next w:val="CommentText"/>
    <w:link w:val="CommentSubjectChar"/>
    <w:uiPriority w:val="99"/>
    <w:semiHidden/>
    <w:rsid w:val="008F635D"/>
    <w:rPr>
      <w:b/>
      <w:bCs/>
    </w:rPr>
  </w:style>
  <w:style w:type="character" w:customStyle="1" w:styleId="CommentSubjectChar">
    <w:name w:val="Comment Subject Char"/>
    <w:basedOn w:val="CommentTextChar"/>
    <w:link w:val="CommentSubject"/>
    <w:uiPriority w:val="99"/>
    <w:semiHidden/>
    <w:locked/>
    <w:rsid w:val="00AF4489"/>
    <w:rPr>
      <w:rFonts w:cs="Times New Roman"/>
      <w:b/>
      <w:sz w:val="20"/>
      <w:lang w:val="en-US" w:eastAsia="en-US"/>
    </w:rPr>
  </w:style>
  <w:style w:type="character" w:customStyle="1" w:styleId="Heading3Char">
    <w:name w:val="Heading 3 Char"/>
    <w:basedOn w:val="DefaultParagraphFont"/>
    <w:link w:val="Heading3"/>
    <w:rsid w:val="007C70A6"/>
    <w:rPr>
      <w:rFonts w:asciiTheme="majorHAnsi" w:eastAsiaTheme="majorEastAsia" w:hAnsiTheme="majorHAnsi" w:cstheme="majorBidi"/>
      <w:b/>
      <w:b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12"/>
    <w:rPr>
      <w:sz w:val="24"/>
      <w:szCs w:val="24"/>
      <w:lang w:val="en-US" w:eastAsia="en-US"/>
    </w:rPr>
  </w:style>
  <w:style w:type="paragraph" w:styleId="Heading1">
    <w:name w:val="heading 1"/>
    <w:basedOn w:val="Normal"/>
    <w:next w:val="Normal"/>
    <w:link w:val="Heading1Char"/>
    <w:uiPriority w:val="99"/>
    <w:qFormat/>
    <w:rsid w:val="008F0DEA"/>
    <w:pPr>
      <w:keepNext/>
      <w:numPr>
        <w:numId w:val="5"/>
      </w:numP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7C70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78EE"/>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9"/>
    <w:semiHidden/>
    <w:locked/>
    <w:rsid w:val="00FB78EE"/>
    <w:rPr>
      <w:rFonts w:ascii="Cambria" w:hAnsi="Cambria" w:cs="Times New Roman"/>
      <w:b/>
      <w:i/>
      <w:sz w:val="28"/>
      <w:lang w:val="en-US" w:eastAsia="en-US"/>
    </w:rPr>
  </w:style>
  <w:style w:type="paragraph" w:styleId="BalloonText">
    <w:name w:val="Balloon Text"/>
    <w:basedOn w:val="Normal"/>
    <w:link w:val="BalloonTextChar"/>
    <w:uiPriority w:val="99"/>
    <w:semiHidden/>
    <w:rsid w:val="00B61FA1"/>
    <w:rPr>
      <w:rFonts w:ascii="Tahoma" w:hAnsi="Tahoma"/>
      <w:sz w:val="16"/>
      <w:szCs w:val="16"/>
      <w:lang w:val="en-GB"/>
    </w:rPr>
  </w:style>
  <w:style w:type="character" w:customStyle="1" w:styleId="BalloonTextChar">
    <w:name w:val="Balloon Text Char"/>
    <w:basedOn w:val="DefaultParagraphFont"/>
    <w:link w:val="BalloonText"/>
    <w:uiPriority w:val="99"/>
    <w:locked/>
    <w:rsid w:val="00B61FA1"/>
    <w:rPr>
      <w:rFonts w:ascii="Tahoma" w:hAnsi="Tahoma" w:cs="Times New Roman"/>
      <w:sz w:val="16"/>
    </w:rPr>
  </w:style>
  <w:style w:type="paragraph" w:styleId="Header">
    <w:name w:val="header"/>
    <w:basedOn w:val="Normal"/>
    <w:link w:val="HeaderChar"/>
    <w:uiPriority w:val="99"/>
    <w:rsid w:val="00F627E9"/>
    <w:pPr>
      <w:tabs>
        <w:tab w:val="center" w:pos="4320"/>
        <w:tab w:val="right" w:pos="8640"/>
      </w:tabs>
    </w:pPr>
  </w:style>
  <w:style w:type="character" w:customStyle="1" w:styleId="HeaderChar">
    <w:name w:val="Header Char"/>
    <w:basedOn w:val="DefaultParagraphFont"/>
    <w:link w:val="Header"/>
    <w:uiPriority w:val="99"/>
    <w:semiHidden/>
    <w:locked/>
    <w:rsid w:val="00FB78EE"/>
    <w:rPr>
      <w:rFonts w:cs="Times New Roman"/>
      <w:sz w:val="24"/>
      <w:lang w:val="en-US" w:eastAsia="en-US"/>
    </w:rPr>
  </w:style>
  <w:style w:type="paragraph" w:styleId="Footer">
    <w:name w:val="footer"/>
    <w:basedOn w:val="Normal"/>
    <w:link w:val="FooterChar"/>
    <w:uiPriority w:val="99"/>
    <w:rsid w:val="00F627E9"/>
    <w:pPr>
      <w:tabs>
        <w:tab w:val="center" w:pos="4320"/>
        <w:tab w:val="right" w:pos="8640"/>
      </w:tabs>
    </w:pPr>
  </w:style>
  <w:style w:type="character" w:customStyle="1" w:styleId="FooterChar">
    <w:name w:val="Footer Char"/>
    <w:basedOn w:val="DefaultParagraphFont"/>
    <w:link w:val="Footer"/>
    <w:uiPriority w:val="99"/>
    <w:locked/>
    <w:rsid w:val="00FB78EE"/>
    <w:rPr>
      <w:rFonts w:cs="Times New Roman"/>
      <w:sz w:val="24"/>
      <w:lang w:val="en-US" w:eastAsia="en-US"/>
    </w:rPr>
  </w:style>
  <w:style w:type="paragraph" w:styleId="BodyText2">
    <w:name w:val="Body Text 2"/>
    <w:basedOn w:val="Normal"/>
    <w:link w:val="BodyText2Char"/>
    <w:rsid w:val="00F627E9"/>
  </w:style>
  <w:style w:type="character" w:customStyle="1" w:styleId="BodyText2Char">
    <w:name w:val="Body Text 2 Char"/>
    <w:basedOn w:val="DefaultParagraphFont"/>
    <w:link w:val="BodyText2"/>
    <w:uiPriority w:val="99"/>
    <w:semiHidden/>
    <w:locked/>
    <w:rsid w:val="00FB78EE"/>
    <w:rPr>
      <w:rFonts w:cs="Times New Roman"/>
      <w:sz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rPr>
  </w:style>
  <w:style w:type="character" w:customStyle="1" w:styleId="FootnoteTextChar">
    <w:name w:val="Footnote Text Char"/>
    <w:basedOn w:val="DefaultParagraphFont"/>
    <w:link w:val="FootnoteText"/>
    <w:uiPriority w:val="99"/>
    <w:semiHidden/>
    <w:locked/>
    <w:rsid w:val="00FB78EE"/>
    <w:rPr>
      <w:rFonts w:cs="Times New Roman"/>
      <w:sz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ListParagraph">
    <w:name w:val="List Paragraph"/>
    <w:basedOn w:val="Normal"/>
    <w:uiPriority w:val="99"/>
    <w:qFormat/>
    <w:rsid w:val="0070257F"/>
    <w:pPr>
      <w:ind w:left="720"/>
    </w:pPr>
  </w:style>
  <w:style w:type="paragraph" w:styleId="BodyTextIndent2">
    <w:name w:val="Body Text Indent 2"/>
    <w:basedOn w:val="Normal"/>
    <w:link w:val="BodyTextIndent2Char"/>
    <w:uiPriority w:val="99"/>
    <w:rsid w:val="0024024F"/>
    <w:pPr>
      <w:spacing w:after="120" w:line="480" w:lineRule="auto"/>
      <w:ind w:left="360"/>
    </w:pPr>
    <w:rPr>
      <w:lang w:val="en-GB"/>
    </w:rPr>
  </w:style>
  <w:style w:type="character" w:customStyle="1" w:styleId="BodyTextIndent2Char">
    <w:name w:val="Body Text Indent 2 Char"/>
    <w:basedOn w:val="DefaultParagraphFont"/>
    <w:link w:val="BodyTextIndent2"/>
    <w:uiPriority w:val="99"/>
    <w:locked/>
    <w:rsid w:val="0024024F"/>
    <w:rPr>
      <w:rFonts w:cs="Times New Roman"/>
      <w:sz w:val="24"/>
    </w:rPr>
  </w:style>
  <w:style w:type="paragraph" w:styleId="BodyTextIndent">
    <w:name w:val="Body Text Indent"/>
    <w:basedOn w:val="Normal"/>
    <w:link w:val="BodyTextIndentChar"/>
    <w:uiPriority w:val="99"/>
    <w:rsid w:val="00147DF3"/>
    <w:pPr>
      <w:spacing w:after="120"/>
      <w:ind w:left="360"/>
    </w:pPr>
    <w:rPr>
      <w:lang w:val="en-GB"/>
    </w:rPr>
  </w:style>
  <w:style w:type="character" w:customStyle="1" w:styleId="BodyTextIndentChar">
    <w:name w:val="Body Text Indent Char"/>
    <w:basedOn w:val="DefaultParagraphFont"/>
    <w:link w:val="BodyTextIndent"/>
    <w:uiPriority w:val="99"/>
    <w:locked/>
    <w:rsid w:val="00147DF3"/>
    <w:rPr>
      <w:rFonts w:cs="Times New Roman"/>
      <w:sz w:val="24"/>
    </w:rPr>
  </w:style>
  <w:style w:type="character" w:styleId="Hyperlink">
    <w:name w:val="Hyperlink"/>
    <w:basedOn w:val="DefaultParagraphFont"/>
    <w:uiPriority w:val="99"/>
    <w:rsid w:val="00FA6D32"/>
    <w:rPr>
      <w:rFonts w:cs="Times New Roman"/>
      <w:color w:val="0000FF"/>
      <w:u w:val="single"/>
    </w:rPr>
  </w:style>
  <w:style w:type="paragraph" w:styleId="BodyText3">
    <w:name w:val="Body Text 3"/>
    <w:basedOn w:val="Normal"/>
    <w:link w:val="BodyText3Char"/>
    <w:uiPriority w:val="99"/>
    <w:rsid w:val="0006065A"/>
    <w:pPr>
      <w:spacing w:after="120"/>
    </w:pPr>
    <w:rPr>
      <w:sz w:val="16"/>
      <w:szCs w:val="16"/>
    </w:rPr>
  </w:style>
  <w:style w:type="character" w:customStyle="1" w:styleId="BodyText3Char">
    <w:name w:val="Body Text 3 Char"/>
    <w:basedOn w:val="DefaultParagraphFont"/>
    <w:link w:val="BodyText3"/>
    <w:uiPriority w:val="99"/>
    <w:semiHidden/>
    <w:locked/>
    <w:rsid w:val="0006065A"/>
    <w:rPr>
      <w:rFonts w:cs="Times New Roman"/>
      <w:sz w:val="16"/>
      <w:lang w:val="en-US" w:eastAsia="en-US"/>
    </w:rPr>
  </w:style>
  <w:style w:type="character" w:styleId="CommentReference">
    <w:name w:val="annotation reference"/>
    <w:basedOn w:val="DefaultParagraphFont"/>
    <w:uiPriority w:val="99"/>
    <w:semiHidden/>
    <w:rsid w:val="008F635D"/>
    <w:rPr>
      <w:rFonts w:cs="Times New Roman"/>
      <w:sz w:val="16"/>
    </w:rPr>
  </w:style>
  <w:style w:type="paragraph" w:styleId="CommentText">
    <w:name w:val="annotation text"/>
    <w:basedOn w:val="Normal"/>
    <w:link w:val="CommentTextChar"/>
    <w:uiPriority w:val="99"/>
    <w:semiHidden/>
    <w:rsid w:val="008F635D"/>
    <w:rPr>
      <w:sz w:val="20"/>
      <w:szCs w:val="20"/>
    </w:rPr>
  </w:style>
  <w:style w:type="character" w:customStyle="1" w:styleId="CommentTextChar">
    <w:name w:val="Comment Text Char"/>
    <w:basedOn w:val="DefaultParagraphFont"/>
    <w:link w:val="CommentText"/>
    <w:uiPriority w:val="99"/>
    <w:semiHidden/>
    <w:locked/>
    <w:rsid w:val="00AF4489"/>
    <w:rPr>
      <w:rFonts w:cs="Times New Roman"/>
      <w:sz w:val="20"/>
      <w:lang w:val="en-US" w:eastAsia="en-US"/>
    </w:rPr>
  </w:style>
  <w:style w:type="paragraph" w:styleId="CommentSubject">
    <w:name w:val="annotation subject"/>
    <w:basedOn w:val="CommentText"/>
    <w:next w:val="CommentText"/>
    <w:link w:val="CommentSubjectChar"/>
    <w:uiPriority w:val="99"/>
    <w:semiHidden/>
    <w:rsid w:val="008F635D"/>
    <w:rPr>
      <w:b/>
      <w:bCs/>
    </w:rPr>
  </w:style>
  <w:style w:type="character" w:customStyle="1" w:styleId="CommentSubjectChar">
    <w:name w:val="Comment Subject Char"/>
    <w:basedOn w:val="CommentTextChar"/>
    <w:link w:val="CommentSubject"/>
    <w:uiPriority w:val="99"/>
    <w:semiHidden/>
    <w:locked/>
    <w:rsid w:val="00AF4489"/>
    <w:rPr>
      <w:rFonts w:cs="Times New Roman"/>
      <w:b/>
      <w:sz w:val="20"/>
      <w:lang w:val="en-US" w:eastAsia="en-US"/>
    </w:rPr>
  </w:style>
  <w:style w:type="character" w:customStyle="1" w:styleId="Heading3Char">
    <w:name w:val="Heading 3 Char"/>
    <w:basedOn w:val="DefaultParagraphFont"/>
    <w:link w:val="Heading3"/>
    <w:rsid w:val="007C70A6"/>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264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CD37-6E72-4B0B-8D89-844D6724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1295</Words>
  <Characters>7717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aewa</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Jolanta Kremer (UNEP/AEWA Secretariat)</cp:lastModifiedBy>
  <cp:revision>7</cp:revision>
  <cp:lastPrinted>2012-06-26T14:49:00Z</cp:lastPrinted>
  <dcterms:created xsi:type="dcterms:W3CDTF">2012-06-26T14:22:00Z</dcterms:created>
  <dcterms:modified xsi:type="dcterms:W3CDTF">2012-07-18T11:49:00Z</dcterms:modified>
</cp:coreProperties>
</file>