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20C98" w14:textId="00E867A6" w:rsidR="00061412" w:rsidRPr="00057D99" w:rsidRDefault="00061412" w:rsidP="00854AF0">
      <w:pPr>
        <w:jc w:val="center"/>
        <w:rPr>
          <w:lang w:val="fr-FR"/>
        </w:rPr>
      </w:pPr>
      <w:r w:rsidRPr="00057D99">
        <w:rPr>
          <w:lang w:val="fr-FR"/>
        </w:rPr>
        <w:t>RÉSOLUTION 5.2</w:t>
      </w:r>
    </w:p>
    <w:p w14:paraId="19920C99" w14:textId="77777777" w:rsidR="00061412" w:rsidRPr="00057D99" w:rsidRDefault="00061412" w:rsidP="00854AF0">
      <w:pPr>
        <w:jc w:val="center"/>
        <w:rPr>
          <w:b/>
          <w:sz w:val="28"/>
          <w:szCs w:val="28"/>
          <w:lang w:val="fr-FR"/>
        </w:rPr>
      </w:pPr>
    </w:p>
    <w:p w14:paraId="19920C9A" w14:textId="77777777" w:rsidR="00061412" w:rsidRPr="008A741F" w:rsidRDefault="00061412" w:rsidP="00854AF0">
      <w:pPr>
        <w:jc w:val="center"/>
        <w:rPr>
          <w:b/>
          <w:lang w:val="fr-FR"/>
        </w:rPr>
      </w:pPr>
      <w:r w:rsidRPr="008A741F">
        <w:rPr>
          <w:b/>
          <w:lang w:val="fr-FR"/>
        </w:rPr>
        <w:t>PRISE EN MAIN DES LACUNES DANS LES CONNAISSANCES DES POPULATIONS D’OISEAUX D’EAU ET DES SITES IMPORTANTS POUR CES DERNIERS, ET ACTIONS DE CONSERVATION À CET EFFET</w:t>
      </w:r>
    </w:p>
    <w:p w14:paraId="19920C9B" w14:textId="77777777" w:rsidR="00061412" w:rsidRPr="00057D99" w:rsidRDefault="00061412">
      <w:pPr>
        <w:rPr>
          <w:lang w:val="fr-FR"/>
        </w:rPr>
      </w:pPr>
    </w:p>
    <w:p w14:paraId="19920C9C" w14:textId="77777777" w:rsidR="00061412" w:rsidRPr="00057D99" w:rsidRDefault="00061412">
      <w:pPr>
        <w:rPr>
          <w:lang w:val="fr-FR"/>
        </w:rPr>
      </w:pPr>
    </w:p>
    <w:p w14:paraId="19920C9D" w14:textId="77777777" w:rsidR="00061412" w:rsidRPr="00057D99" w:rsidRDefault="00061412" w:rsidP="00EF5E97">
      <w:pPr>
        <w:ind w:firstLine="720"/>
        <w:jc w:val="both"/>
        <w:rPr>
          <w:sz w:val="22"/>
          <w:szCs w:val="22"/>
          <w:lang w:val="fr-FR"/>
        </w:rPr>
      </w:pPr>
      <w:r w:rsidRPr="00057D99">
        <w:rPr>
          <w:i/>
          <w:sz w:val="22"/>
          <w:szCs w:val="22"/>
          <w:lang w:val="fr-FR"/>
        </w:rPr>
        <w:t xml:space="preserve">Rappelant </w:t>
      </w:r>
      <w:r w:rsidRPr="00057D99">
        <w:rPr>
          <w:sz w:val="22"/>
          <w:szCs w:val="22"/>
          <w:lang w:val="fr-FR"/>
        </w:rPr>
        <w:t>la Résolution 4.2</w:t>
      </w:r>
      <w:r w:rsidRPr="00057D99">
        <w:rPr>
          <w:i/>
          <w:sz w:val="22"/>
          <w:szCs w:val="22"/>
          <w:lang w:val="fr-FR"/>
        </w:rPr>
        <w:t xml:space="preserve"> « Répondre au besoin de progression des connaissances relatives à l’état de certaines populations d’oiseau d’eau et aux facteurs conduisant à leur déclin »,</w:t>
      </w:r>
    </w:p>
    <w:p w14:paraId="19920C9E" w14:textId="77777777" w:rsidR="00061412" w:rsidRPr="00057D99" w:rsidRDefault="00061412" w:rsidP="00EF5E97">
      <w:pPr>
        <w:ind w:firstLine="720"/>
        <w:jc w:val="both"/>
        <w:rPr>
          <w:sz w:val="22"/>
          <w:szCs w:val="22"/>
          <w:lang w:val="fr-FR"/>
        </w:rPr>
      </w:pPr>
    </w:p>
    <w:p w14:paraId="19920C9F" w14:textId="1880CB29" w:rsidR="00061412" w:rsidRPr="00057D99" w:rsidRDefault="00061412" w:rsidP="003D60CD">
      <w:pPr>
        <w:autoSpaceDE w:val="0"/>
        <w:autoSpaceDN w:val="0"/>
        <w:adjustRightInd w:val="0"/>
        <w:ind w:firstLine="720"/>
        <w:jc w:val="both"/>
        <w:rPr>
          <w:sz w:val="22"/>
          <w:szCs w:val="22"/>
          <w:lang w:val="fr-FR" w:eastAsia="en-GB"/>
        </w:rPr>
      </w:pPr>
      <w:r w:rsidRPr="00057D99">
        <w:rPr>
          <w:i/>
          <w:sz w:val="22"/>
          <w:szCs w:val="22"/>
          <w:lang w:val="fr-FR"/>
        </w:rPr>
        <w:t xml:space="preserve">Tenant </w:t>
      </w:r>
      <w:r w:rsidRPr="00057D99">
        <w:rPr>
          <w:sz w:val="22"/>
          <w:szCs w:val="22"/>
          <w:lang w:val="fr-FR"/>
        </w:rPr>
        <w:t xml:space="preserve">pleinement compte des documents AEWA/MOP 5.14 </w:t>
      </w:r>
      <w:r w:rsidRPr="00057D99">
        <w:rPr>
          <w:i/>
          <w:sz w:val="22"/>
          <w:szCs w:val="22"/>
          <w:lang w:val="fr-FR"/>
        </w:rPr>
        <w:t>« Rapport sur l’état de conservation des oiseaux d’eau migrateurs dans la zone de l’Accord – 5</w:t>
      </w:r>
      <w:r w:rsidRPr="00057D99">
        <w:rPr>
          <w:i/>
          <w:sz w:val="22"/>
          <w:szCs w:val="22"/>
          <w:vertAlign w:val="superscript"/>
          <w:lang w:val="fr-FR"/>
        </w:rPr>
        <w:t>ème</w:t>
      </w:r>
      <w:r w:rsidRPr="00057D99">
        <w:rPr>
          <w:i/>
          <w:sz w:val="22"/>
          <w:szCs w:val="22"/>
          <w:lang w:val="fr-FR"/>
        </w:rPr>
        <w:t xml:space="preserve"> édition »</w:t>
      </w:r>
      <w:r w:rsidRPr="00057D99">
        <w:rPr>
          <w:sz w:val="22"/>
          <w:szCs w:val="22"/>
          <w:lang w:val="fr-FR"/>
        </w:rPr>
        <w:t xml:space="preserve"> (couramment appelé CSR5) et AEWA/MOP 5.15 </w:t>
      </w:r>
      <w:r w:rsidRPr="00057D99">
        <w:rPr>
          <w:i/>
          <w:sz w:val="22"/>
          <w:szCs w:val="22"/>
          <w:lang w:val="fr-FR"/>
        </w:rPr>
        <w:t xml:space="preserve">« Rapport </w:t>
      </w:r>
      <w:r w:rsidR="00A12181">
        <w:rPr>
          <w:i/>
          <w:sz w:val="22"/>
          <w:szCs w:val="22"/>
          <w:lang w:val="fr-FR"/>
        </w:rPr>
        <w:t xml:space="preserve">préliminaire </w:t>
      </w:r>
      <w:r w:rsidRPr="00057D99">
        <w:rPr>
          <w:i/>
          <w:sz w:val="22"/>
          <w:szCs w:val="22"/>
          <w:lang w:val="fr-FR"/>
        </w:rPr>
        <w:t>sur le Réseau de sites pour les oiseaux d’eau dans la zone de l’Accord</w:t>
      </w:r>
      <w:r w:rsidR="00CA5158">
        <w:rPr>
          <w:i/>
          <w:sz w:val="22"/>
          <w:szCs w:val="22"/>
          <w:lang w:val="fr-FR"/>
        </w:rPr>
        <w:t xml:space="preserve"> – 1</w:t>
      </w:r>
      <w:r w:rsidR="00CA5158" w:rsidRPr="00542C40">
        <w:rPr>
          <w:i/>
          <w:sz w:val="22"/>
          <w:szCs w:val="22"/>
          <w:vertAlign w:val="superscript"/>
          <w:lang w:val="fr-FR"/>
        </w:rPr>
        <w:t>ère</w:t>
      </w:r>
      <w:r w:rsidR="00CA5158">
        <w:rPr>
          <w:i/>
          <w:sz w:val="22"/>
          <w:szCs w:val="22"/>
          <w:lang w:val="fr-FR"/>
        </w:rPr>
        <w:t xml:space="preserve"> édition</w:t>
      </w:r>
      <w:r w:rsidRPr="00057D99">
        <w:rPr>
          <w:i/>
          <w:sz w:val="22"/>
          <w:szCs w:val="22"/>
          <w:lang w:val="fr-FR"/>
        </w:rPr>
        <w:t> »</w:t>
      </w:r>
      <w:r w:rsidRPr="00057D99">
        <w:rPr>
          <w:sz w:val="22"/>
          <w:szCs w:val="22"/>
          <w:lang w:val="fr-FR" w:eastAsia="en-GB"/>
        </w:rPr>
        <w:t>,</w:t>
      </w:r>
    </w:p>
    <w:p w14:paraId="19920CA0" w14:textId="77777777" w:rsidR="00061412" w:rsidRPr="00057D99" w:rsidRDefault="00061412" w:rsidP="004B3670">
      <w:pPr>
        <w:jc w:val="both"/>
        <w:rPr>
          <w:sz w:val="22"/>
          <w:szCs w:val="22"/>
          <w:lang w:val="fr-FR"/>
        </w:rPr>
      </w:pPr>
    </w:p>
    <w:p w14:paraId="19920CA1" w14:textId="77777777" w:rsidR="00061412" w:rsidRPr="00057D99" w:rsidRDefault="00061412" w:rsidP="00EF5E97">
      <w:pPr>
        <w:ind w:firstLine="720"/>
        <w:jc w:val="both"/>
        <w:rPr>
          <w:sz w:val="22"/>
          <w:szCs w:val="22"/>
          <w:lang w:val="fr-FR"/>
        </w:rPr>
      </w:pPr>
      <w:r w:rsidRPr="00057D99">
        <w:rPr>
          <w:i/>
          <w:sz w:val="22"/>
          <w:szCs w:val="22"/>
          <w:lang w:val="fr-FR"/>
        </w:rPr>
        <w:t xml:space="preserve">Consciente </w:t>
      </w:r>
      <w:r w:rsidRPr="00057D99">
        <w:rPr>
          <w:sz w:val="22"/>
          <w:szCs w:val="22"/>
          <w:lang w:val="fr-FR"/>
        </w:rPr>
        <w:t>qu’il n’y a eu depuis la 4</w:t>
      </w:r>
      <w:r w:rsidRPr="00057D99">
        <w:rPr>
          <w:sz w:val="22"/>
          <w:szCs w:val="22"/>
          <w:vertAlign w:val="superscript"/>
          <w:lang w:val="fr-FR"/>
        </w:rPr>
        <w:t>ème</w:t>
      </w:r>
      <w:r w:rsidRPr="00057D99">
        <w:rPr>
          <w:sz w:val="22"/>
          <w:szCs w:val="22"/>
          <w:lang w:val="fr-FR"/>
        </w:rPr>
        <w:t xml:space="preserve"> édition du CSR (CSR4) aucune amélioration des connaissances sur les tailles de populations, tant du point de vue qualitatif que quantitatif, 2 % des populations n’ayant toujours pas d’estimations des effectifs, seulement 5 % ayant des estimations basées sur des données de recensement et les estimations restantes étant soit des « meilleures suppositions » (20 %) soit des opinions d’expert (73 %),</w:t>
      </w:r>
    </w:p>
    <w:p w14:paraId="19920CA2" w14:textId="77777777" w:rsidR="00061412" w:rsidRPr="00057D99" w:rsidRDefault="00061412" w:rsidP="00EF5E97">
      <w:pPr>
        <w:ind w:firstLine="720"/>
        <w:jc w:val="both"/>
        <w:rPr>
          <w:sz w:val="22"/>
          <w:szCs w:val="22"/>
          <w:lang w:val="fr-FR"/>
        </w:rPr>
      </w:pPr>
    </w:p>
    <w:p w14:paraId="19920CA3" w14:textId="17F9C6C6" w:rsidR="00061412" w:rsidRPr="00057D99" w:rsidRDefault="00061412" w:rsidP="00EF5E97">
      <w:pPr>
        <w:ind w:firstLine="720"/>
        <w:jc w:val="both"/>
        <w:rPr>
          <w:i/>
          <w:sz w:val="22"/>
          <w:szCs w:val="22"/>
          <w:lang w:val="fr-FR"/>
        </w:rPr>
      </w:pPr>
      <w:r w:rsidRPr="00057D99">
        <w:rPr>
          <w:i/>
          <w:sz w:val="22"/>
          <w:szCs w:val="22"/>
          <w:lang w:val="fr-FR"/>
        </w:rPr>
        <w:t xml:space="preserve">Consciente en outre </w:t>
      </w:r>
      <w:r w:rsidRPr="00057D99">
        <w:rPr>
          <w:sz w:val="22"/>
          <w:szCs w:val="22"/>
          <w:lang w:val="fr-FR"/>
        </w:rPr>
        <w:t>qu</w:t>
      </w:r>
      <w:r>
        <w:rPr>
          <w:sz w:val="22"/>
          <w:szCs w:val="22"/>
          <w:lang w:val="fr-FR"/>
        </w:rPr>
        <w:t>’il est ressorti d</w:t>
      </w:r>
      <w:r w:rsidRPr="00057D99">
        <w:rPr>
          <w:sz w:val="22"/>
          <w:szCs w:val="22"/>
          <w:lang w:val="fr-FR"/>
        </w:rPr>
        <w:t xml:space="preserve">e l’évaluation des tendances de population s’appuyant sur la méthodologie mise au point par le Groupe international d’étude des échassiers </w:t>
      </w:r>
      <w:r>
        <w:rPr>
          <w:sz w:val="22"/>
          <w:szCs w:val="22"/>
          <w:lang w:val="fr-FR"/>
        </w:rPr>
        <w:t>que</w:t>
      </w:r>
      <w:r w:rsidRPr="00057D99">
        <w:rPr>
          <w:sz w:val="22"/>
          <w:szCs w:val="22"/>
          <w:lang w:val="fr-FR"/>
        </w:rPr>
        <w:t xml:space="preserve"> 37 % des populations n’avaient aucune estimation de tendances, </w:t>
      </w:r>
      <w:r>
        <w:rPr>
          <w:sz w:val="22"/>
          <w:szCs w:val="22"/>
          <w:lang w:val="fr-FR"/>
        </w:rPr>
        <w:t xml:space="preserve">que </w:t>
      </w:r>
      <w:r w:rsidRPr="00057D99">
        <w:rPr>
          <w:sz w:val="22"/>
          <w:szCs w:val="22"/>
          <w:lang w:val="fr-FR"/>
        </w:rPr>
        <w:t xml:space="preserve">la majorité des estimations disponibles était de qualité médiocre (45 %), et </w:t>
      </w:r>
      <w:r>
        <w:rPr>
          <w:sz w:val="22"/>
          <w:szCs w:val="22"/>
          <w:lang w:val="fr-FR"/>
        </w:rPr>
        <w:t xml:space="preserve">que </w:t>
      </w:r>
      <w:r w:rsidRPr="00057D99">
        <w:rPr>
          <w:sz w:val="22"/>
          <w:szCs w:val="22"/>
          <w:lang w:val="fr-FR"/>
        </w:rPr>
        <w:t>seulement 11% étai</w:t>
      </w:r>
      <w:r>
        <w:rPr>
          <w:sz w:val="22"/>
          <w:szCs w:val="22"/>
          <w:lang w:val="fr-FR"/>
        </w:rPr>
        <w:t>en</w:t>
      </w:r>
      <w:r w:rsidRPr="00057D99">
        <w:rPr>
          <w:sz w:val="22"/>
          <w:szCs w:val="22"/>
          <w:lang w:val="fr-FR"/>
        </w:rPr>
        <w:t xml:space="preserve">t d’une qualité raisonnable et 7 % </w:t>
      </w:r>
      <w:r w:rsidR="00CA5158">
        <w:rPr>
          <w:sz w:val="22"/>
          <w:szCs w:val="22"/>
          <w:lang w:val="fr-FR"/>
        </w:rPr>
        <w:t xml:space="preserve">uniquement </w:t>
      </w:r>
      <w:r w:rsidRPr="00057D99">
        <w:rPr>
          <w:sz w:val="22"/>
          <w:szCs w:val="22"/>
          <w:lang w:val="fr-FR"/>
        </w:rPr>
        <w:t xml:space="preserve">de bonne qualité, </w:t>
      </w:r>
    </w:p>
    <w:p w14:paraId="19920CA4" w14:textId="77777777" w:rsidR="00061412" w:rsidRPr="00057D99" w:rsidRDefault="00061412" w:rsidP="004B3670">
      <w:pPr>
        <w:jc w:val="both"/>
        <w:rPr>
          <w:sz w:val="22"/>
          <w:szCs w:val="22"/>
          <w:lang w:val="fr-FR"/>
        </w:rPr>
      </w:pPr>
    </w:p>
    <w:p w14:paraId="19920CA5" w14:textId="0163DEDD" w:rsidR="00061412" w:rsidRPr="00057D99" w:rsidRDefault="00061412" w:rsidP="00713FE7">
      <w:pPr>
        <w:ind w:firstLine="720"/>
        <w:jc w:val="both"/>
        <w:rPr>
          <w:sz w:val="22"/>
          <w:szCs w:val="22"/>
          <w:lang w:val="fr-FR"/>
        </w:rPr>
      </w:pPr>
      <w:r w:rsidRPr="00057D99">
        <w:rPr>
          <w:i/>
          <w:sz w:val="22"/>
          <w:szCs w:val="22"/>
          <w:lang w:val="fr-FR"/>
        </w:rPr>
        <w:t xml:space="preserve">Préoccupée </w:t>
      </w:r>
      <w:r w:rsidRPr="00057D99">
        <w:rPr>
          <w:sz w:val="22"/>
          <w:szCs w:val="22"/>
          <w:lang w:val="fr-FR"/>
        </w:rPr>
        <w:t>qu’une proportion élevée</w:t>
      </w:r>
      <w:r w:rsidRPr="00057D99">
        <w:rPr>
          <w:i/>
          <w:sz w:val="22"/>
          <w:szCs w:val="22"/>
          <w:lang w:val="fr-FR"/>
        </w:rPr>
        <w:t xml:space="preserve"> </w:t>
      </w:r>
      <w:r w:rsidRPr="00057D99">
        <w:rPr>
          <w:sz w:val="22"/>
          <w:szCs w:val="22"/>
          <w:lang w:val="fr-FR"/>
        </w:rPr>
        <w:t xml:space="preserve">(38 %) des populations dont les tendances sont connues </w:t>
      </w:r>
      <w:proofErr w:type="gramStart"/>
      <w:r w:rsidR="00CA5158">
        <w:rPr>
          <w:sz w:val="22"/>
          <w:szCs w:val="22"/>
          <w:lang w:val="fr-FR"/>
        </w:rPr>
        <w:t>continue</w:t>
      </w:r>
      <w:proofErr w:type="gramEnd"/>
      <w:r w:rsidR="00CA5158">
        <w:rPr>
          <w:sz w:val="22"/>
          <w:szCs w:val="22"/>
          <w:lang w:val="fr-FR"/>
        </w:rPr>
        <w:t xml:space="preserve"> d’indiquer un</w:t>
      </w:r>
      <w:r w:rsidR="00CA5158" w:rsidRPr="00057D99">
        <w:rPr>
          <w:sz w:val="22"/>
          <w:szCs w:val="22"/>
          <w:lang w:val="fr-FR"/>
        </w:rPr>
        <w:t xml:space="preserve"> </w:t>
      </w:r>
      <w:r w:rsidRPr="00057D99">
        <w:rPr>
          <w:sz w:val="22"/>
          <w:szCs w:val="22"/>
          <w:lang w:val="fr-FR"/>
        </w:rPr>
        <w:t>déclin par rapport à 27 % des populations étant en augmentation,</w:t>
      </w:r>
    </w:p>
    <w:p w14:paraId="19920CA6" w14:textId="77777777" w:rsidR="00061412" w:rsidRPr="00057D99" w:rsidRDefault="00061412" w:rsidP="00713FE7">
      <w:pPr>
        <w:ind w:firstLine="720"/>
        <w:jc w:val="both"/>
        <w:rPr>
          <w:sz w:val="22"/>
          <w:szCs w:val="22"/>
          <w:lang w:val="fr-FR"/>
        </w:rPr>
      </w:pPr>
    </w:p>
    <w:p w14:paraId="19920CA7" w14:textId="77777777" w:rsidR="00061412" w:rsidRPr="00057D99" w:rsidRDefault="00061412" w:rsidP="00713FE7">
      <w:pPr>
        <w:ind w:firstLine="720"/>
        <w:jc w:val="both"/>
        <w:rPr>
          <w:sz w:val="22"/>
          <w:szCs w:val="22"/>
          <w:lang w:val="fr-FR"/>
        </w:rPr>
      </w:pPr>
      <w:r w:rsidRPr="00057D99">
        <w:rPr>
          <w:i/>
          <w:sz w:val="22"/>
          <w:szCs w:val="22"/>
          <w:lang w:val="fr-FR"/>
        </w:rPr>
        <w:t xml:space="preserve">Notant </w:t>
      </w:r>
      <w:r w:rsidRPr="00057D99">
        <w:rPr>
          <w:sz w:val="22"/>
          <w:szCs w:val="22"/>
          <w:lang w:val="fr-FR"/>
        </w:rPr>
        <w:t>que le Recensement international des oiseaux d’eau (IWC) et les programmes qui s’y rapportent peuvent fournir une bonne base pour l’estimation des tailles et des tendances des populations pour respectivement 32 % et 52 % des populations d’oiseaux d’eau dans la zone de l’Accord, à condition que la couverture de ces programmes soit améliorée,</w:t>
      </w:r>
    </w:p>
    <w:p w14:paraId="19920CA8" w14:textId="77777777" w:rsidR="00061412" w:rsidRPr="00057D99" w:rsidRDefault="00061412" w:rsidP="00713FE7">
      <w:pPr>
        <w:ind w:firstLine="720"/>
        <w:jc w:val="both"/>
        <w:rPr>
          <w:sz w:val="22"/>
          <w:szCs w:val="22"/>
          <w:lang w:val="fr-FR"/>
        </w:rPr>
      </w:pPr>
    </w:p>
    <w:p w14:paraId="19920CA9" w14:textId="77777777" w:rsidR="00061412" w:rsidRPr="00057D99" w:rsidRDefault="00061412" w:rsidP="00713FE7">
      <w:pPr>
        <w:ind w:firstLine="720"/>
        <w:jc w:val="both"/>
        <w:rPr>
          <w:sz w:val="22"/>
          <w:szCs w:val="22"/>
          <w:lang w:val="fr-FR"/>
        </w:rPr>
      </w:pPr>
      <w:r w:rsidRPr="00057D99">
        <w:rPr>
          <w:i/>
          <w:sz w:val="22"/>
          <w:szCs w:val="22"/>
          <w:lang w:val="fr-FR"/>
        </w:rPr>
        <w:t>Notant en outre</w:t>
      </w:r>
      <w:r w:rsidRPr="00057D99">
        <w:rPr>
          <w:sz w:val="22"/>
          <w:szCs w:val="22"/>
          <w:lang w:val="fr-FR"/>
        </w:rPr>
        <w:t xml:space="preserve"> que les estimations des tailles et des tendances de populations peuvent s’appuyer sur des programmes</w:t>
      </w:r>
      <w:r w:rsidRPr="00057D99">
        <w:rPr>
          <w:i/>
          <w:sz w:val="22"/>
          <w:szCs w:val="22"/>
          <w:lang w:val="fr-FR"/>
        </w:rPr>
        <w:t xml:space="preserve"> </w:t>
      </w:r>
      <w:r w:rsidRPr="00057D99">
        <w:rPr>
          <w:sz w:val="22"/>
          <w:szCs w:val="22"/>
          <w:lang w:val="fr-FR"/>
        </w:rPr>
        <w:t>visant les oiseaux coloniaux reproducteurs dans la zone de l’Accord dans le cas de 32 % et de 27 % des populations, à condition qu’il existe un programme complet couvrant la région,</w:t>
      </w:r>
    </w:p>
    <w:p w14:paraId="19920CAA" w14:textId="77777777" w:rsidR="00061412" w:rsidRPr="00057D99" w:rsidRDefault="00061412" w:rsidP="00713FE7">
      <w:pPr>
        <w:ind w:firstLine="720"/>
        <w:jc w:val="both"/>
        <w:rPr>
          <w:sz w:val="22"/>
          <w:szCs w:val="22"/>
          <w:lang w:val="fr-FR"/>
        </w:rPr>
      </w:pPr>
    </w:p>
    <w:p w14:paraId="48EF1895" w14:textId="77777777" w:rsidR="00542C40" w:rsidRDefault="00061412" w:rsidP="00713FE7">
      <w:pPr>
        <w:ind w:firstLine="720"/>
        <w:jc w:val="both"/>
        <w:rPr>
          <w:sz w:val="22"/>
          <w:szCs w:val="22"/>
          <w:lang w:val="fr-FR"/>
        </w:rPr>
      </w:pPr>
      <w:r w:rsidRPr="00057D99">
        <w:rPr>
          <w:i/>
          <w:sz w:val="22"/>
          <w:szCs w:val="22"/>
          <w:lang w:val="fr-FR"/>
        </w:rPr>
        <w:t xml:space="preserve">Prenant note </w:t>
      </w:r>
      <w:r w:rsidRPr="00057D99">
        <w:rPr>
          <w:sz w:val="22"/>
          <w:szCs w:val="22"/>
          <w:lang w:val="fr-FR"/>
        </w:rPr>
        <w:t>que les espèces ayant des estimations de taille et de tendances très médiocres voire aucune estimation sont généralement celles qui ne peuvent pas être couvertes par des programmes de surveillance génériques tels que l’IWC,</w:t>
      </w:r>
    </w:p>
    <w:p w14:paraId="178EF8ED" w14:textId="77777777" w:rsidR="00542C40" w:rsidRDefault="00542C40" w:rsidP="00713FE7">
      <w:pPr>
        <w:ind w:firstLine="720"/>
        <w:jc w:val="both"/>
        <w:rPr>
          <w:sz w:val="22"/>
          <w:szCs w:val="22"/>
          <w:lang w:val="fr-FR"/>
        </w:rPr>
        <w:sectPr w:rsidR="00542C40" w:rsidSect="00850DA6">
          <w:headerReference w:type="default" r:id="rId9"/>
          <w:footerReference w:type="default" r:id="rId10"/>
          <w:pgSz w:w="11907" w:h="16840" w:code="9"/>
          <w:pgMar w:top="1021" w:right="1134" w:bottom="851" w:left="1134" w:header="709" w:footer="709" w:gutter="0"/>
          <w:cols w:space="708"/>
          <w:docGrid w:linePitch="360"/>
        </w:sectPr>
      </w:pPr>
    </w:p>
    <w:p w14:paraId="4D41C700" w14:textId="39D9DFE5" w:rsidR="00542C40" w:rsidRDefault="00061412" w:rsidP="00713FE7">
      <w:pPr>
        <w:ind w:firstLine="720"/>
        <w:jc w:val="both"/>
        <w:rPr>
          <w:sz w:val="22"/>
          <w:szCs w:val="22"/>
          <w:lang w:val="fr-FR"/>
        </w:rPr>
      </w:pPr>
      <w:r w:rsidRPr="00057D99">
        <w:rPr>
          <w:i/>
          <w:sz w:val="22"/>
          <w:szCs w:val="22"/>
          <w:lang w:val="fr-FR"/>
        </w:rPr>
        <w:lastRenderedPageBreak/>
        <w:t>Prenant également note</w:t>
      </w:r>
      <w:r w:rsidRPr="00057D99">
        <w:rPr>
          <w:sz w:val="22"/>
          <w:szCs w:val="22"/>
          <w:lang w:val="fr-FR"/>
        </w:rPr>
        <w:t xml:space="preserve"> que les régions d’Asie occidentale et centrale ainsi que la région afro</w:t>
      </w:r>
      <w:r w:rsidR="00CA5158">
        <w:rPr>
          <w:sz w:val="22"/>
          <w:szCs w:val="22"/>
          <w:lang w:val="fr-FR"/>
        </w:rPr>
        <w:t xml:space="preserve"> </w:t>
      </w:r>
      <w:r w:rsidRPr="00057D99">
        <w:rPr>
          <w:sz w:val="22"/>
          <w:szCs w:val="22"/>
          <w:lang w:val="fr-FR"/>
        </w:rPr>
        <w:t xml:space="preserve">tropicale ont les estimations de tailles de populations et les estimations de tendances de population </w:t>
      </w:r>
      <w:r w:rsidR="00CA5158">
        <w:rPr>
          <w:sz w:val="22"/>
          <w:szCs w:val="22"/>
          <w:lang w:val="fr-FR"/>
        </w:rPr>
        <w:t>la moins exhaustive</w:t>
      </w:r>
      <w:r w:rsidRPr="00057D99">
        <w:rPr>
          <w:sz w:val="22"/>
          <w:szCs w:val="22"/>
          <w:lang w:val="fr-FR"/>
        </w:rPr>
        <w:t xml:space="preserve"> d’un point de vue qualitatif et la proportion la plus élevée de populations en déclin,</w:t>
      </w:r>
    </w:p>
    <w:p w14:paraId="093956CC" w14:textId="77777777" w:rsidR="00542C40" w:rsidRDefault="00542C40" w:rsidP="00713FE7">
      <w:pPr>
        <w:ind w:firstLine="720"/>
        <w:jc w:val="both"/>
        <w:rPr>
          <w:sz w:val="22"/>
          <w:szCs w:val="22"/>
          <w:lang w:val="fr-FR"/>
        </w:rPr>
      </w:pPr>
    </w:p>
    <w:p w14:paraId="19920CAE" w14:textId="77777777" w:rsidR="00061412" w:rsidRDefault="00061412" w:rsidP="00542C40">
      <w:pPr>
        <w:ind w:firstLine="720"/>
        <w:jc w:val="both"/>
        <w:rPr>
          <w:sz w:val="22"/>
          <w:szCs w:val="22"/>
          <w:lang w:val="fr-FR"/>
        </w:rPr>
      </w:pPr>
      <w:r w:rsidRPr="00057D99">
        <w:rPr>
          <w:i/>
          <w:sz w:val="22"/>
          <w:szCs w:val="22"/>
          <w:lang w:val="fr-FR"/>
        </w:rPr>
        <w:t xml:space="preserve">Reconnaissant </w:t>
      </w:r>
      <w:r w:rsidRPr="00057D99">
        <w:rPr>
          <w:sz w:val="22"/>
          <w:szCs w:val="22"/>
          <w:lang w:val="fr-FR"/>
        </w:rPr>
        <w:t>que dans le</w:t>
      </w:r>
      <w:r w:rsidRPr="00057D99">
        <w:rPr>
          <w:i/>
          <w:sz w:val="22"/>
          <w:szCs w:val="22"/>
          <w:lang w:val="fr-FR"/>
        </w:rPr>
        <w:t xml:space="preserve"> </w:t>
      </w:r>
      <w:r w:rsidRPr="00057D99">
        <w:rPr>
          <w:sz w:val="22"/>
          <w:szCs w:val="22"/>
          <w:lang w:val="fr-FR"/>
        </w:rPr>
        <w:t>CSR5, l’augmentation des populations dont l’état est évalué sur la base de données régulières de surveillance n’est que de 5 % par rapport au CSR4, alors que l’objectif du Plan stratégique était de 50%,</w:t>
      </w:r>
    </w:p>
    <w:p w14:paraId="19920CAF" w14:textId="77777777" w:rsidR="008A741F" w:rsidRDefault="008A741F" w:rsidP="002A2672">
      <w:pPr>
        <w:ind w:firstLine="720"/>
        <w:rPr>
          <w:sz w:val="22"/>
          <w:szCs w:val="22"/>
          <w:lang w:val="fr-FR"/>
        </w:rPr>
      </w:pPr>
    </w:p>
    <w:p w14:paraId="19920CB0" w14:textId="77777777" w:rsidR="00061412" w:rsidRDefault="00061412" w:rsidP="00713FE7">
      <w:pPr>
        <w:ind w:firstLine="720"/>
        <w:jc w:val="both"/>
        <w:rPr>
          <w:sz w:val="22"/>
          <w:szCs w:val="22"/>
          <w:lang w:val="fr-FR"/>
        </w:rPr>
      </w:pPr>
      <w:r w:rsidRPr="00057D99">
        <w:rPr>
          <w:i/>
          <w:sz w:val="22"/>
          <w:szCs w:val="22"/>
          <w:lang w:val="fr-FR"/>
        </w:rPr>
        <w:t xml:space="preserve">Rappelant </w:t>
      </w:r>
      <w:r w:rsidRPr="00057D99">
        <w:rPr>
          <w:sz w:val="22"/>
          <w:szCs w:val="22"/>
          <w:lang w:val="fr-FR"/>
        </w:rPr>
        <w:t>que le Plan stratégique de l’AEWA pour 2009-2017 se propose de prendre des mesures de conservation destinées à améliorer ou maintenir l’état de conservation des espèces d’oiseaux d’eau et de leurs populations au moyen, entre autres, d’un réseau complet et cohérent</w:t>
      </w:r>
      <w:r>
        <w:rPr>
          <w:sz w:val="22"/>
          <w:szCs w:val="22"/>
          <w:lang w:val="fr-FR"/>
        </w:rPr>
        <w:t>,</w:t>
      </w:r>
      <w:r w:rsidRPr="00057D99">
        <w:rPr>
          <w:sz w:val="22"/>
          <w:szCs w:val="22"/>
          <w:lang w:val="fr-FR"/>
        </w:rPr>
        <w:t xml:space="preserve"> au niveau de la voie de migration</w:t>
      </w:r>
      <w:r>
        <w:rPr>
          <w:sz w:val="22"/>
          <w:szCs w:val="22"/>
          <w:lang w:val="fr-FR"/>
        </w:rPr>
        <w:t>,</w:t>
      </w:r>
      <w:r w:rsidRPr="00057D99">
        <w:rPr>
          <w:sz w:val="22"/>
          <w:szCs w:val="22"/>
          <w:lang w:val="fr-FR"/>
        </w:rPr>
        <w:t xml:space="preserve"> de sites protégés et gérés ainsi que d’autres sites gérés de façon adéquate, d’importance nationale ou internationale pour les oiseaux d’eau, </w:t>
      </w:r>
      <w:r>
        <w:rPr>
          <w:sz w:val="22"/>
          <w:szCs w:val="22"/>
          <w:lang w:val="fr-FR"/>
        </w:rPr>
        <w:t xml:space="preserve">sites </w:t>
      </w:r>
      <w:r w:rsidRPr="00057D99">
        <w:rPr>
          <w:sz w:val="22"/>
          <w:szCs w:val="22"/>
          <w:lang w:val="fr-FR"/>
        </w:rPr>
        <w:t>qui sont mis en place et entretenus, en tenant compte des réseaux existants et du changement climatique,</w:t>
      </w:r>
    </w:p>
    <w:p w14:paraId="135C0D23" w14:textId="77777777" w:rsidR="00CA5158" w:rsidRDefault="00CA5158" w:rsidP="00713FE7">
      <w:pPr>
        <w:ind w:firstLine="720"/>
        <w:jc w:val="both"/>
        <w:rPr>
          <w:sz w:val="22"/>
          <w:szCs w:val="22"/>
          <w:lang w:val="fr-FR"/>
        </w:rPr>
      </w:pPr>
    </w:p>
    <w:p w14:paraId="4D70C304" w14:textId="06D1FD5B" w:rsidR="00CA5158" w:rsidRPr="00CA5158" w:rsidRDefault="00CA5158" w:rsidP="00713FE7">
      <w:pPr>
        <w:ind w:firstLine="720"/>
        <w:jc w:val="both"/>
        <w:rPr>
          <w:sz w:val="22"/>
          <w:szCs w:val="22"/>
          <w:lang w:val="fr-FR"/>
        </w:rPr>
      </w:pPr>
      <w:r w:rsidRPr="00542C40">
        <w:rPr>
          <w:i/>
          <w:sz w:val="22"/>
          <w:szCs w:val="22"/>
          <w:lang w:val="fr-FR"/>
        </w:rPr>
        <w:t>Rappelant</w:t>
      </w:r>
      <w:r>
        <w:rPr>
          <w:sz w:val="22"/>
          <w:szCs w:val="22"/>
          <w:lang w:val="fr-FR"/>
        </w:rPr>
        <w:t xml:space="preserve"> le </w:t>
      </w:r>
      <w:r w:rsidRPr="00542C40">
        <w:rPr>
          <w:i/>
          <w:sz w:val="22"/>
          <w:szCs w:val="22"/>
          <w:lang w:val="fr-FR"/>
        </w:rPr>
        <w:t>cadre stratégique et les lignes directrices pour le développement d’une liste de zones humides d’importance internationale</w:t>
      </w:r>
      <w:r>
        <w:rPr>
          <w:i/>
          <w:sz w:val="22"/>
          <w:szCs w:val="22"/>
          <w:lang w:val="fr-FR"/>
        </w:rPr>
        <w:t xml:space="preserve"> </w:t>
      </w:r>
      <w:r>
        <w:rPr>
          <w:sz w:val="22"/>
          <w:szCs w:val="22"/>
          <w:lang w:val="fr-FR"/>
        </w:rPr>
        <w:t xml:space="preserve">de la Convention de </w:t>
      </w:r>
      <w:proofErr w:type="spellStart"/>
      <w:r>
        <w:rPr>
          <w:sz w:val="22"/>
          <w:szCs w:val="22"/>
          <w:lang w:val="fr-FR"/>
        </w:rPr>
        <w:t>Ramsar</w:t>
      </w:r>
      <w:proofErr w:type="spellEnd"/>
      <w:r>
        <w:rPr>
          <w:sz w:val="22"/>
          <w:szCs w:val="22"/>
          <w:lang w:val="fr-FR"/>
        </w:rPr>
        <w:t xml:space="preserve">, qui prie ses Parties d’entreprendre une approche stratégique à l’identification et la désignation d’un réseau national de zones humides protégées, </w:t>
      </w:r>
      <w:r w:rsidR="00B41825">
        <w:rPr>
          <w:sz w:val="22"/>
          <w:szCs w:val="22"/>
          <w:lang w:val="fr-FR"/>
        </w:rPr>
        <w:t>notamment pour la conservation d’oiseaux d’eau et qui fournit une orientation et des objectifs à cette fin,</w:t>
      </w:r>
    </w:p>
    <w:p w14:paraId="19920CB1" w14:textId="77777777" w:rsidR="00061412" w:rsidRPr="00057D99" w:rsidRDefault="00061412" w:rsidP="00713FE7">
      <w:pPr>
        <w:ind w:firstLine="720"/>
        <w:jc w:val="both"/>
        <w:rPr>
          <w:i/>
          <w:sz w:val="22"/>
          <w:szCs w:val="22"/>
          <w:lang w:val="fr-FR"/>
        </w:rPr>
      </w:pPr>
    </w:p>
    <w:p w14:paraId="19920CB2" w14:textId="2370AD21" w:rsidR="00061412" w:rsidRPr="00057D99" w:rsidRDefault="00061412" w:rsidP="00713FE7">
      <w:pPr>
        <w:ind w:firstLine="720"/>
        <w:jc w:val="both"/>
        <w:rPr>
          <w:sz w:val="22"/>
          <w:szCs w:val="22"/>
          <w:lang w:val="fr-FR"/>
        </w:rPr>
      </w:pPr>
      <w:r w:rsidRPr="00057D99">
        <w:rPr>
          <w:i/>
          <w:sz w:val="22"/>
          <w:szCs w:val="22"/>
          <w:lang w:val="fr-FR"/>
        </w:rPr>
        <w:t xml:space="preserve">Consciente </w:t>
      </w:r>
      <w:r w:rsidRPr="00057D99">
        <w:rPr>
          <w:sz w:val="22"/>
          <w:szCs w:val="22"/>
          <w:lang w:val="fr-FR"/>
        </w:rPr>
        <w:t>qu</w:t>
      </w:r>
      <w:r w:rsidR="00B41825">
        <w:rPr>
          <w:sz w:val="22"/>
          <w:szCs w:val="22"/>
          <w:lang w:val="fr-FR"/>
        </w:rPr>
        <w:t>’en 2012</w:t>
      </w:r>
      <w:r w:rsidRPr="00057D99">
        <w:rPr>
          <w:sz w:val="22"/>
          <w:szCs w:val="22"/>
          <w:lang w:val="fr-FR"/>
        </w:rPr>
        <w:t xml:space="preserve"> la moitié des sites critiques, tels que définis par l’Outil de Réseau de sites critiques, pour les oiseaux d’eau migrateurs dans la zone de l’Accord n’ont qu’une partie, une faible partie voir aucune partie de leur superficie couvertes par des zones protégées</w:t>
      </w:r>
      <w:r w:rsidRPr="00057D99">
        <w:rPr>
          <w:i/>
          <w:sz w:val="22"/>
          <w:szCs w:val="22"/>
          <w:lang w:val="fr-FR"/>
        </w:rPr>
        <w:t xml:space="preserve"> </w:t>
      </w:r>
      <w:r w:rsidRPr="00057D99">
        <w:rPr>
          <w:sz w:val="22"/>
          <w:szCs w:val="22"/>
          <w:lang w:val="fr-FR"/>
        </w:rPr>
        <w:t xml:space="preserve">(internationales et/ou nationales) ou bien leur état de protection est inconnu, en dépit du fait que tous ces sites correspondent au Critère 2 ou au Critère 6 pour l’identification des Zones humides d’importance internationale qui sont tous deux des critères d’importance acceptés internationalement, mentionnés </w:t>
      </w:r>
      <w:r w:rsidR="00B41825">
        <w:rPr>
          <w:sz w:val="22"/>
          <w:szCs w:val="22"/>
          <w:lang w:val="fr-FR"/>
        </w:rPr>
        <w:t>dans le contexte du</w:t>
      </w:r>
      <w:r w:rsidR="00B41825" w:rsidRPr="00057D99">
        <w:rPr>
          <w:sz w:val="22"/>
          <w:szCs w:val="22"/>
          <w:lang w:val="fr-FR"/>
        </w:rPr>
        <w:t xml:space="preserve"> </w:t>
      </w:r>
      <w:r w:rsidRPr="00057D99">
        <w:rPr>
          <w:sz w:val="22"/>
          <w:szCs w:val="22"/>
          <w:lang w:val="fr-FR"/>
        </w:rPr>
        <w:t>paragraphe 3.2.2 du Plan d’action de l’AEWA,</w:t>
      </w:r>
    </w:p>
    <w:p w14:paraId="19920CB3" w14:textId="77777777" w:rsidR="00061412" w:rsidRPr="00057D99" w:rsidRDefault="00061412" w:rsidP="00713FE7">
      <w:pPr>
        <w:ind w:firstLine="720"/>
        <w:jc w:val="both"/>
        <w:rPr>
          <w:sz w:val="22"/>
          <w:szCs w:val="22"/>
          <w:lang w:val="fr-FR"/>
        </w:rPr>
      </w:pPr>
    </w:p>
    <w:p w14:paraId="19920CB4" w14:textId="34AE9DEF" w:rsidR="008A741F" w:rsidRDefault="00061412" w:rsidP="008A741F">
      <w:pPr>
        <w:ind w:firstLine="720"/>
        <w:jc w:val="both"/>
        <w:rPr>
          <w:sz w:val="22"/>
          <w:szCs w:val="22"/>
          <w:lang w:val="fr-FR" w:eastAsia="nl-NL"/>
        </w:rPr>
      </w:pPr>
      <w:r w:rsidRPr="00057D99">
        <w:rPr>
          <w:i/>
          <w:sz w:val="22"/>
          <w:szCs w:val="22"/>
          <w:lang w:val="fr-FR" w:eastAsia="nl-NL"/>
        </w:rPr>
        <w:t xml:space="preserve">Consciente également </w:t>
      </w:r>
      <w:r w:rsidRPr="00057D99">
        <w:rPr>
          <w:sz w:val="22"/>
          <w:szCs w:val="22"/>
          <w:lang w:val="fr-FR" w:eastAsia="nl-NL"/>
        </w:rPr>
        <w:t>que, selon les informations disponibles, seul</w:t>
      </w:r>
      <w:r>
        <w:rPr>
          <w:sz w:val="22"/>
          <w:szCs w:val="22"/>
          <w:lang w:val="fr-FR" w:eastAsia="nl-NL"/>
        </w:rPr>
        <w:t>s</w:t>
      </w:r>
      <w:r w:rsidRPr="00057D99">
        <w:rPr>
          <w:sz w:val="22"/>
          <w:szCs w:val="22"/>
          <w:lang w:val="fr-FR" w:eastAsia="nl-NL"/>
        </w:rPr>
        <w:t xml:space="preserve"> 3 % des sites critiques ont des plans de gestion complets et appropriés qui ont pour objectif de maintenir ou d’améliorer les populations des espèces ayant droit à une protection, 5 % ont quelques plans mais qui ne sont plus à jour ou ne sont pas complets, et dans 2 % des cas, il a été indiqué que le plan de gestion avait démarré, tandis que pour les 90 % de sites restants soit il n’y a pas de plan de gestion</w:t>
      </w:r>
      <w:r>
        <w:rPr>
          <w:sz w:val="22"/>
          <w:szCs w:val="22"/>
          <w:lang w:val="fr-FR" w:eastAsia="nl-NL"/>
        </w:rPr>
        <w:t>, soit</w:t>
      </w:r>
      <w:r w:rsidRPr="00057D99">
        <w:rPr>
          <w:sz w:val="22"/>
          <w:szCs w:val="22"/>
          <w:lang w:val="fr-FR" w:eastAsia="nl-NL"/>
        </w:rPr>
        <w:t xml:space="preserve"> il n’y a pas d’informations disponibles concernant </w:t>
      </w:r>
      <w:r w:rsidR="00B41825">
        <w:rPr>
          <w:sz w:val="22"/>
          <w:szCs w:val="22"/>
          <w:lang w:val="fr-FR" w:eastAsia="nl-NL"/>
        </w:rPr>
        <w:t>une</w:t>
      </w:r>
      <w:r w:rsidR="00B41825" w:rsidRPr="00057D99">
        <w:rPr>
          <w:sz w:val="22"/>
          <w:szCs w:val="22"/>
          <w:lang w:val="fr-FR" w:eastAsia="nl-NL"/>
        </w:rPr>
        <w:t xml:space="preserve"> </w:t>
      </w:r>
      <w:r w:rsidRPr="00057D99">
        <w:rPr>
          <w:sz w:val="22"/>
          <w:szCs w:val="22"/>
          <w:lang w:val="fr-FR" w:eastAsia="nl-NL"/>
        </w:rPr>
        <w:t>planification de la gestion,</w:t>
      </w:r>
    </w:p>
    <w:p w14:paraId="19920CB5" w14:textId="77777777" w:rsidR="008A741F" w:rsidRDefault="008A741F" w:rsidP="008A741F">
      <w:pPr>
        <w:ind w:firstLine="720"/>
        <w:jc w:val="both"/>
        <w:rPr>
          <w:sz w:val="22"/>
          <w:szCs w:val="22"/>
          <w:lang w:val="fr-FR" w:eastAsia="nl-NL"/>
        </w:rPr>
      </w:pPr>
    </w:p>
    <w:p w14:paraId="19920CB6" w14:textId="1F826D63" w:rsidR="008A741F" w:rsidRDefault="00061412" w:rsidP="008A741F">
      <w:pPr>
        <w:ind w:firstLine="720"/>
        <w:jc w:val="both"/>
        <w:rPr>
          <w:sz w:val="22"/>
          <w:szCs w:val="22"/>
          <w:lang w:val="fr-FR" w:eastAsia="nl-NL"/>
        </w:rPr>
      </w:pPr>
      <w:r w:rsidRPr="00057D99">
        <w:rPr>
          <w:i/>
          <w:sz w:val="22"/>
          <w:szCs w:val="22"/>
          <w:lang w:val="fr-FR" w:eastAsia="nl-NL"/>
        </w:rPr>
        <w:t xml:space="preserve">Sachant en outre </w:t>
      </w:r>
      <w:r w:rsidRPr="00057D99">
        <w:rPr>
          <w:sz w:val="22"/>
          <w:szCs w:val="22"/>
          <w:lang w:val="fr-FR" w:eastAsia="nl-NL"/>
        </w:rPr>
        <w:t xml:space="preserve">qu’une mise en œuvre complète et efficace des mesures de conservation sur les sites critiques a été communiquée </w:t>
      </w:r>
      <w:r w:rsidR="00B41825">
        <w:rPr>
          <w:sz w:val="22"/>
          <w:szCs w:val="22"/>
          <w:lang w:val="fr-FR" w:eastAsia="nl-NL"/>
        </w:rPr>
        <w:t xml:space="preserve">dans le rapport préliminaire sur les sites critiques </w:t>
      </w:r>
      <w:r w:rsidRPr="00057D99">
        <w:rPr>
          <w:sz w:val="22"/>
          <w:szCs w:val="22"/>
          <w:lang w:val="fr-FR" w:eastAsia="nl-NL"/>
        </w:rPr>
        <w:t xml:space="preserve">pour 1 % d’entre eux, que pour 5 % il a été rapporté que des mesures de conservation importantes étaient mise en œuvre et pour </w:t>
      </w:r>
      <w:r>
        <w:rPr>
          <w:sz w:val="22"/>
          <w:szCs w:val="22"/>
          <w:lang w:val="fr-FR" w:eastAsia="nl-NL"/>
        </w:rPr>
        <w:t xml:space="preserve"> </w:t>
      </w:r>
      <w:r w:rsidRPr="00057D99">
        <w:rPr>
          <w:sz w:val="22"/>
          <w:szCs w:val="22"/>
          <w:lang w:val="fr-FR" w:eastAsia="nl-NL"/>
        </w:rPr>
        <w:t xml:space="preserve">5 % </w:t>
      </w:r>
      <w:r>
        <w:rPr>
          <w:sz w:val="22"/>
          <w:szCs w:val="22"/>
          <w:lang w:val="fr-FR" w:eastAsia="nl-NL"/>
        </w:rPr>
        <w:t xml:space="preserve">encore </w:t>
      </w:r>
      <w:r w:rsidRPr="00057D99">
        <w:rPr>
          <w:sz w:val="22"/>
          <w:szCs w:val="22"/>
          <w:lang w:val="fr-FR" w:eastAsia="nl-NL"/>
        </w:rPr>
        <w:t>des mesures de conservation limitées étaient communiquées, mais que pour la majorité des sites (8</w:t>
      </w:r>
      <w:r w:rsidR="00375959">
        <w:rPr>
          <w:sz w:val="22"/>
          <w:szCs w:val="22"/>
          <w:lang w:val="fr-FR" w:eastAsia="nl-NL"/>
        </w:rPr>
        <w:t>9</w:t>
      </w:r>
      <w:r w:rsidRPr="00057D99">
        <w:rPr>
          <w:sz w:val="22"/>
          <w:szCs w:val="22"/>
          <w:lang w:val="fr-FR" w:eastAsia="nl-NL"/>
        </w:rPr>
        <w:t> %) il n’a été fait part que d’actions de conservation très réduites ou bien rien n’a été communiqué,</w:t>
      </w:r>
    </w:p>
    <w:p w14:paraId="19920CB7" w14:textId="77777777" w:rsidR="008A741F" w:rsidRDefault="008A741F" w:rsidP="008A741F">
      <w:pPr>
        <w:ind w:firstLine="720"/>
        <w:jc w:val="both"/>
        <w:rPr>
          <w:sz w:val="22"/>
          <w:szCs w:val="22"/>
          <w:lang w:val="fr-FR" w:eastAsia="nl-NL"/>
        </w:rPr>
      </w:pPr>
    </w:p>
    <w:p w14:paraId="19920CB8" w14:textId="77777777" w:rsidR="008A741F" w:rsidRDefault="00061412" w:rsidP="008A741F">
      <w:pPr>
        <w:ind w:firstLine="720"/>
        <w:jc w:val="both"/>
        <w:rPr>
          <w:sz w:val="22"/>
          <w:szCs w:val="22"/>
          <w:lang w:val="fr-FR" w:eastAsia="nl-NL"/>
        </w:rPr>
      </w:pPr>
      <w:r w:rsidRPr="00057D99">
        <w:rPr>
          <w:i/>
          <w:sz w:val="22"/>
          <w:szCs w:val="22"/>
          <w:lang w:val="fr-FR" w:eastAsia="nl-NL"/>
        </w:rPr>
        <w:t xml:space="preserve">Notant </w:t>
      </w:r>
      <w:r w:rsidRPr="00057D99">
        <w:rPr>
          <w:sz w:val="22"/>
          <w:szCs w:val="22"/>
          <w:lang w:val="fr-FR" w:eastAsia="nl-NL"/>
        </w:rPr>
        <w:t>que la taille moyenne estimée des populations de l’AEWA couvertes par des réseaux de zones protégées ne représente que 55 % de la couverture fournie par le Réseau de sites critiques,</w:t>
      </w:r>
    </w:p>
    <w:p w14:paraId="19920CB9" w14:textId="77777777" w:rsidR="008A741F" w:rsidRDefault="008A741F" w:rsidP="008A741F">
      <w:pPr>
        <w:ind w:firstLine="720"/>
        <w:jc w:val="both"/>
        <w:rPr>
          <w:sz w:val="22"/>
          <w:szCs w:val="22"/>
          <w:lang w:val="fr-FR" w:eastAsia="nl-NL"/>
        </w:rPr>
      </w:pPr>
    </w:p>
    <w:p w14:paraId="19920CBA" w14:textId="77777777" w:rsidR="008A741F" w:rsidRDefault="00061412" w:rsidP="008A741F">
      <w:pPr>
        <w:ind w:firstLine="720"/>
        <w:jc w:val="both"/>
        <w:rPr>
          <w:sz w:val="22"/>
          <w:szCs w:val="22"/>
          <w:lang w:val="fr-FR" w:eastAsia="nl-NL"/>
        </w:rPr>
      </w:pPr>
      <w:r w:rsidRPr="00057D99">
        <w:rPr>
          <w:i/>
          <w:sz w:val="22"/>
          <w:szCs w:val="22"/>
          <w:lang w:val="fr-FR" w:eastAsia="nl-NL"/>
        </w:rPr>
        <w:t xml:space="preserve">Notant également </w:t>
      </w:r>
      <w:r w:rsidRPr="00057D99">
        <w:rPr>
          <w:sz w:val="22"/>
          <w:szCs w:val="22"/>
          <w:lang w:val="fr-FR" w:eastAsia="nl-NL"/>
        </w:rPr>
        <w:t>que 19 populations (4 % de toutes les populations de l’AEWA apparaissant dans l’Outil CSN), couvertes par le Réseau de sites critiques dans des effectifs importants (c’est-à-dire plus de 10 % de leurs populations), ne sont pas couvertes par le réseau existant de zones protégées,</w:t>
      </w:r>
    </w:p>
    <w:p w14:paraId="19920CBB" w14:textId="77777777" w:rsidR="008A741F" w:rsidRDefault="008A741F" w:rsidP="008A741F">
      <w:pPr>
        <w:ind w:firstLine="720"/>
        <w:jc w:val="both"/>
        <w:rPr>
          <w:sz w:val="22"/>
          <w:szCs w:val="22"/>
          <w:lang w:val="fr-FR" w:eastAsia="nl-NL"/>
        </w:rPr>
      </w:pPr>
    </w:p>
    <w:p w14:paraId="19920CBC" w14:textId="77777777" w:rsidR="008A741F" w:rsidRDefault="00061412" w:rsidP="008A741F">
      <w:pPr>
        <w:ind w:firstLine="720"/>
        <w:jc w:val="both"/>
        <w:rPr>
          <w:sz w:val="22"/>
          <w:szCs w:val="22"/>
          <w:lang w:val="fr-FR" w:eastAsia="nl-NL"/>
        </w:rPr>
      </w:pPr>
      <w:r w:rsidRPr="00057D99">
        <w:rPr>
          <w:i/>
          <w:sz w:val="22"/>
          <w:szCs w:val="22"/>
          <w:lang w:val="fr-FR" w:eastAsia="nl-NL"/>
        </w:rPr>
        <w:t xml:space="preserve">Notant </w:t>
      </w:r>
      <w:r w:rsidRPr="00057D99">
        <w:rPr>
          <w:sz w:val="22"/>
          <w:szCs w:val="22"/>
          <w:lang w:val="fr-FR" w:eastAsia="nl-NL"/>
        </w:rPr>
        <w:t>que pour seulement 61 % des populations de l’AEWA, des sites d’importance internationale ont été identifiés, tant au cours de la saison de reproduction qu’en dehors, du fait qu’un grand nombre de ces populations ne sont pas suffisamment grégaires tout au long de l’année,</w:t>
      </w:r>
    </w:p>
    <w:p w14:paraId="19920CBD" w14:textId="77777777" w:rsidR="008A741F" w:rsidRDefault="008A741F" w:rsidP="008A741F">
      <w:pPr>
        <w:ind w:firstLine="720"/>
        <w:jc w:val="both"/>
        <w:rPr>
          <w:sz w:val="22"/>
          <w:szCs w:val="22"/>
          <w:lang w:val="fr-FR" w:eastAsia="nl-NL"/>
        </w:rPr>
      </w:pPr>
    </w:p>
    <w:p w14:paraId="19920CBE" w14:textId="77777777" w:rsidR="008A741F" w:rsidRDefault="00061412" w:rsidP="008A741F">
      <w:pPr>
        <w:ind w:firstLine="720"/>
        <w:jc w:val="both"/>
        <w:rPr>
          <w:sz w:val="22"/>
          <w:szCs w:val="22"/>
          <w:lang w:val="fr-FR" w:eastAsia="nl-NL"/>
        </w:rPr>
      </w:pPr>
      <w:r w:rsidRPr="00057D99">
        <w:rPr>
          <w:i/>
          <w:sz w:val="22"/>
          <w:szCs w:val="22"/>
          <w:lang w:val="fr-FR" w:eastAsia="nl-NL"/>
        </w:rPr>
        <w:t xml:space="preserve">Notant </w:t>
      </w:r>
      <w:r w:rsidRPr="00057D99">
        <w:rPr>
          <w:sz w:val="22"/>
          <w:szCs w:val="22"/>
          <w:lang w:val="fr-FR" w:eastAsia="nl-NL"/>
        </w:rPr>
        <w:t>que les</w:t>
      </w:r>
      <w:r w:rsidRPr="00057D99">
        <w:rPr>
          <w:i/>
          <w:sz w:val="22"/>
          <w:szCs w:val="22"/>
          <w:lang w:val="fr-FR" w:eastAsia="nl-NL"/>
        </w:rPr>
        <w:t xml:space="preserve"> </w:t>
      </w:r>
      <w:r w:rsidRPr="00057D99">
        <w:rPr>
          <w:sz w:val="22"/>
          <w:szCs w:val="22"/>
          <w:lang w:val="fr-FR" w:eastAsia="nl-NL"/>
        </w:rPr>
        <w:t>régions ayant les lacunes les plus importantes au niveau de la désignation des sites et de l</w:t>
      </w:r>
      <w:r w:rsidR="00375959">
        <w:rPr>
          <w:sz w:val="22"/>
          <w:szCs w:val="22"/>
          <w:lang w:val="fr-FR" w:eastAsia="nl-NL"/>
        </w:rPr>
        <w:t>a gestion sont l’Asie occidentale</w:t>
      </w:r>
      <w:r w:rsidRPr="00057D99">
        <w:rPr>
          <w:sz w:val="22"/>
          <w:szCs w:val="22"/>
          <w:lang w:val="fr-FR" w:eastAsia="nl-NL"/>
        </w:rPr>
        <w:t xml:space="preserve"> et l’Asie centrale,</w:t>
      </w:r>
    </w:p>
    <w:p w14:paraId="19920CBF" w14:textId="77777777" w:rsidR="008A741F" w:rsidRDefault="008A741F" w:rsidP="008A741F">
      <w:pPr>
        <w:ind w:firstLine="720"/>
        <w:jc w:val="both"/>
        <w:rPr>
          <w:sz w:val="22"/>
          <w:szCs w:val="22"/>
          <w:lang w:val="fr-FR" w:eastAsia="nl-NL"/>
        </w:rPr>
      </w:pPr>
    </w:p>
    <w:p w14:paraId="19920CC0" w14:textId="77777777" w:rsidR="008A741F" w:rsidRDefault="00061412" w:rsidP="008A741F">
      <w:pPr>
        <w:ind w:firstLine="720"/>
        <w:jc w:val="both"/>
        <w:rPr>
          <w:sz w:val="22"/>
          <w:szCs w:val="22"/>
          <w:lang w:val="fr-FR" w:eastAsia="nl-NL"/>
        </w:rPr>
      </w:pPr>
      <w:r w:rsidRPr="00057D99">
        <w:rPr>
          <w:i/>
          <w:sz w:val="22"/>
          <w:szCs w:val="22"/>
          <w:lang w:val="fr-FR" w:eastAsia="nl-NL"/>
        </w:rPr>
        <w:t xml:space="preserve">Notant en outre </w:t>
      </w:r>
      <w:r w:rsidRPr="00057D99">
        <w:rPr>
          <w:sz w:val="22"/>
          <w:szCs w:val="22"/>
          <w:lang w:val="fr-FR" w:eastAsia="nl-NL"/>
        </w:rPr>
        <w:t xml:space="preserve">que seuls cinq États de l’aire de </w:t>
      </w:r>
      <w:r w:rsidR="00375959">
        <w:rPr>
          <w:sz w:val="22"/>
          <w:szCs w:val="22"/>
          <w:lang w:val="fr-FR" w:eastAsia="nl-NL"/>
        </w:rPr>
        <w:t>répartition de l’Asie occidentale</w:t>
      </w:r>
      <w:r w:rsidRPr="00057D99">
        <w:rPr>
          <w:sz w:val="22"/>
          <w:szCs w:val="22"/>
          <w:lang w:val="fr-FR" w:eastAsia="nl-NL"/>
        </w:rPr>
        <w:t xml:space="preserve"> et de l’Asie centrale ont adhéré à l’Accord,</w:t>
      </w:r>
    </w:p>
    <w:p w14:paraId="19920CC1" w14:textId="77777777" w:rsidR="008A741F" w:rsidRDefault="008A741F" w:rsidP="008A741F">
      <w:pPr>
        <w:ind w:firstLine="720"/>
        <w:jc w:val="both"/>
        <w:rPr>
          <w:sz w:val="22"/>
          <w:szCs w:val="22"/>
          <w:lang w:val="fr-FR" w:eastAsia="nl-NL"/>
        </w:rPr>
      </w:pPr>
    </w:p>
    <w:p w14:paraId="19920CC2" w14:textId="77777777" w:rsidR="008A741F" w:rsidRDefault="00061412" w:rsidP="008A741F">
      <w:pPr>
        <w:ind w:firstLine="720"/>
        <w:jc w:val="both"/>
        <w:rPr>
          <w:sz w:val="22"/>
          <w:szCs w:val="22"/>
          <w:lang w:val="fr-FR" w:eastAsia="nl-NL"/>
        </w:rPr>
      </w:pPr>
      <w:r w:rsidRPr="00057D99">
        <w:rPr>
          <w:i/>
          <w:sz w:val="22"/>
          <w:szCs w:val="22"/>
          <w:lang w:val="fr-FR" w:eastAsia="nl-NL"/>
        </w:rPr>
        <w:lastRenderedPageBreak/>
        <w:t xml:space="preserve">Notant aussi </w:t>
      </w:r>
      <w:r w:rsidRPr="00057D99">
        <w:rPr>
          <w:sz w:val="22"/>
          <w:szCs w:val="22"/>
          <w:lang w:val="fr-FR" w:eastAsia="nl-NL"/>
        </w:rPr>
        <w:t>le faible taux de communication d’informations par les Parties contractantes au cours du processus d’élaboration du</w:t>
      </w:r>
      <w:r w:rsidRPr="00057D99">
        <w:rPr>
          <w:i/>
          <w:sz w:val="22"/>
          <w:szCs w:val="22"/>
          <w:lang w:val="fr-FR" w:eastAsia="nl-NL"/>
        </w:rPr>
        <w:t xml:space="preserve"> </w:t>
      </w:r>
      <w:r w:rsidRPr="00057D99">
        <w:rPr>
          <w:sz w:val="22"/>
          <w:szCs w:val="22"/>
          <w:lang w:val="fr-FR" w:eastAsia="nl-NL"/>
        </w:rPr>
        <w:t xml:space="preserve">document </w:t>
      </w:r>
      <w:r w:rsidRPr="00057D99">
        <w:rPr>
          <w:sz w:val="22"/>
          <w:szCs w:val="22"/>
          <w:lang w:val="fr-FR"/>
        </w:rPr>
        <w:t>AEWA/MOP 5.15 « </w:t>
      </w:r>
      <w:r w:rsidRPr="00057D99">
        <w:rPr>
          <w:i/>
          <w:sz w:val="22"/>
          <w:szCs w:val="22"/>
          <w:lang w:val="fr-FR"/>
        </w:rPr>
        <w:t>Rapport sur le Réseau de sites pour les oiseaux d’eau dans la zone de Accord</w:t>
      </w:r>
      <w:r w:rsidRPr="00057D99">
        <w:rPr>
          <w:sz w:val="22"/>
          <w:szCs w:val="22"/>
          <w:lang w:val="fr-FR"/>
        </w:rPr>
        <w:t xml:space="preserve"> » et que ce rapport s’appuie largement sur les informations recueillies par les ONG plutôt que sur les données officielles fournies par les </w:t>
      </w:r>
      <w:r w:rsidRPr="00057D99">
        <w:rPr>
          <w:sz w:val="22"/>
          <w:szCs w:val="22"/>
          <w:lang w:val="fr-FR" w:eastAsia="nl-NL"/>
        </w:rPr>
        <w:t>Parties,</w:t>
      </w:r>
    </w:p>
    <w:p w14:paraId="19920CC3" w14:textId="77777777" w:rsidR="008A741F" w:rsidRDefault="008A741F" w:rsidP="008A741F">
      <w:pPr>
        <w:ind w:firstLine="720"/>
        <w:jc w:val="both"/>
        <w:rPr>
          <w:sz w:val="22"/>
          <w:szCs w:val="22"/>
          <w:lang w:val="fr-FR" w:eastAsia="nl-NL"/>
        </w:rPr>
      </w:pPr>
    </w:p>
    <w:p w14:paraId="19920CC4" w14:textId="7B077E76" w:rsidR="00061412" w:rsidRPr="00057D99" w:rsidRDefault="00061412" w:rsidP="008A741F">
      <w:pPr>
        <w:ind w:firstLine="720"/>
        <w:jc w:val="both"/>
        <w:rPr>
          <w:sz w:val="22"/>
          <w:szCs w:val="22"/>
          <w:lang w:val="fr-FR" w:eastAsia="nl-NL"/>
        </w:rPr>
      </w:pPr>
      <w:r w:rsidRPr="00057D99">
        <w:rPr>
          <w:i/>
          <w:sz w:val="22"/>
          <w:szCs w:val="22"/>
          <w:lang w:val="fr-FR" w:eastAsia="nl-NL"/>
        </w:rPr>
        <w:t xml:space="preserve">Très attentive </w:t>
      </w:r>
      <w:r w:rsidRPr="00057D99">
        <w:rPr>
          <w:sz w:val="22"/>
          <w:szCs w:val="22"/>
          <w:lang w:val="fr-FR" w:eastAsia="nl-NL"/>
        </w:rPr>
        <w:t>au fait que les menaces les plus fréquemment enregistrées pour les espèces sont le changement climatique, bien qu’on ne connaisse pas son incidence au niveau des populations, l’utilisation non durable des ressources biologiques, telle que la chasse, le piégeage, l’exploitation du bois et celle des ressources aquatiques, ainsi que les modifications des systèmes naturels</w:t>
      </w:r>
      <w:r w:rsidR="00A12181">
        <w:rPr>
          <w:sz w:val="22"/>
          <w:szCs w:val="22"/>
          <w:lang w:val="fr-FR" w:eastAsia="nl-NL"/>
        </w:rPr>
        <w:t>, y compris divers activités de gestion de l’eau</w:t>
      </w:r>
      <w:r w:rsidRPr="00057D99">
        <w:rPr>
          <w:sz w:val="22"/>
          <w:szCs w:val="22"/>
          <w:lang w:val="fr-FR" w:eastAsia="nl-NL"/>
        </w:rPr>
        <w:t xml:space="preserve"> telles que la construction de barrage et les captages d’eau, tandis que l’agriculture et </w:t>
      </w:r>
      <w:r>
        <w:rPr>
          <w:sz w:val="22"/>
          <w:szCs w:val="22"/>
          <w:lang w:val="fr-FR" w:eastAsia="nl-NL"/>
        </w:rPr>
        <w:t>l’</w:t>
      </w:r>
      <w:r w:rsidRPr="00057D99">
        <w:rPr>
          <w:sz w:val="22"/>
          <w:szCs w:val="22"/>
          <w:lang w:val="fr-FR" w:eastAsia="nl-NL"/>
        </w:rPr>
        <w:t>aquaculture affectent moins d’espèces mais leurs impacts ont tendance à être plus forts.</w:t>
      </w:r>
    </w:p>
    <w:p w14:paraId="19920CC5" w14:textId="77777777" w:rsidR="00061412" w:rsidRDefault="00061412" w:rsidP="00854AF0">
      <w:pPr>
        <w:jc w:val="both"/>
        <w:rPr>
          <w:sz w:val="22"/>
          <w:szCs w:val="22"/>
          <w:lang w:val="fr-FR" w:eastAsia="nl-NL"/>
        </w:rPr>
      </w:pPr>
    </w:p>
    <w:p w14:paraId="2961A6DA" w14:textId="3167403E" w:rsidR="00B41825" w:rsidRDefault="00B41825" w:rsidP="00542C40">
      <w:pPr>
        <w:ind w:firstLine="720"/>
        <w:jc w:val="both"/>
        <w:rPr>
          <w:sz w:val="22"/>
          <w:szCs w:val="22"/>
          <w:lang w:val="fr-FR" w:eastAsia="nl-NL"/>
        </w:rPr>
      </w:pPr>
      <w:r w:rsidRPr="00542C40">
        <w:rPr>
          <w:i/>
          <w:sz w:val="22"/>
          <w:szCs w:val="22"/>
          <w:lang w:val="fr-FR" w:eastAsia="nl-NL"/>
        </w:rPr>
        <w:t>Notant</w:t>
      </w:r>
      <w:r>
        <w:rPr>
          <w:sz w:val="22"/>
          <w:szCs w:val="22"/>
          <w:lang w:val="fr-FR" w:eastAsia="nl-NL"/>
        </w:rPr>
        <w:t xml:space="preserve"> également le manque de banques de données internationales sur les oiseaux de mer et </w:t>
      </w:r>
      <w:r w:rsidR="00B74E08">
        <w:rPr>
          <w:sz w:val="22"/>
          <w:szCs w:val="22"/>
          <w:lang w:val="fr-FR" w:eastAsia="nl-NL"/>
        </w:rPr>
        <w:t>l</w:t>
      </w:r>
      <w:r w:rsidR="00A12181">
        <w:rPr>
          <w:sz w:val="22"/>
          <w:szCs w:val="22"/>
          <w:lang w:val="fr-FR" w:eastAsia="nl-NL"/>
        </w:rPr>
        <w:t xml:space="preserve">es </w:t>
      </w:r>
      <w:r w:rsidR="00B74E08">
        <w:rPr>
          <w:sz w:val="22"/>
          <w:szCs w:val="22"/>
          <w:lang w:val="fr-FR" w:eastAsia="nl-NL"/>
        </w:rPr>
        <w:t xml:space="preserve">oiseaux </w:t>
      </w:r>
      <w:r>
        <w:rPr>
          <w:sz w:val="22"/>
          <w:szCs w:val="22"/>
          <w:lang w:val="fr-FR" w:eastAsia="nl-NL"/>
        </w:rPr>
        <w:t xml:space="preserve">d’eau </w:t>
      </w:r>
      <w:r w:rsidR="00A12181">
        <w:rPr>
          <w:sz w:val="22"/>
          <w:szCs w:val="22"/>
          <w:lang w:val="fr-FR" w:eastAsia="nl-NL"/>
        </w:rPr>
        <w:t>nichant en colonies</w:t>
      </w:r>
      <w:r>
        <w:rPr>
          <w:sz w:val="22"/>
          <w:szCs w:val="22"/>
          <w:lang w:val="fr-FR" w:eastAsia="nl-NL"/>
        </w:rPr>
        <w:t xml:space="preserve"> </w:t>
      </w:r>
      <w:r w:rsidR="00A12181">
        <w:rPr>
          <w:sz w:val="22"/>
          <w:szCs w:val="22"/>
          <w:lang w:val="fr-FR" w:eastAsia="nl-NL"/>
        </w:rPr>
        <w:t>et l</w:t>
      </w:r>
      <w:r w:rsidR="00B74E08">
        <w:rPr>
          <w:sz w:val="22"/>
          <w:szCs w:val="22"/>
          <w:lang w:val="fr-FR" w:eastAsia="nl-NL"/>
        </w:rPr>
        <w:t>es systèmes de surveillance à une échelle appropriée sur de grande partie de la voie de migration,</w:t>
      </w:r>
    </w:p>
    <w:p w14:paraId="0FDA48FE" w14:textId="77777777" w:rsidR="00B74E08" w:rsidRDefault="00B74E08" w:rsidP="00542C40">
      <w:pPr>
        <w:ind w:firstLine="720"/>
        <w:jc w:val="both"/>
        <w:rPr>
          <w:sz w:val="22"/>
          <w:szCs w:val="22"/>
          <w:lang w:val="fr-FR" w:eastAsia="nl-NL"/>
        </w:rPr>
      </w:pPr>
    </w:p>
    <w:p w14:paraId="442EE71B" w14:textId="458AD0B9" w:rsidR="00B74E08" w:rsidRPr="00057D99" w:rsidRDefault="00B74E08" w:rsidP="00542C40">
      <w:pPr>
        <w:ind w:firstLine="720"/>
        <w:jc w:val="both"/>
        <w:rPr>
          <w:sz w:val="22"/>
          <w:szCs w:val="22"/>
          <w:lang w:val="fr-FR" w:eastAsia="nl-NL"/>
        </w:rPr>
      </w:pPr>
      <w:r w:rsidRPr="00A12181">
        <w:rPr>
          <w:i/>
          <w:sz w:val="22"/>
          <w:szCs w:val="22"/>
          <w:lang w:val="fr-FR" w:eastAsia="nl-NL"/>
        </w:rPr>
        <w:t>Prenant</w:t>
      </w:r>
      <w:r>
        <w:rPr>
          <w:sz w:val="22"/>
          <w:szCs w:val="22"/>
          <w:lang w:val="fr-FR" w:eastAsia="nl-NL"/>
        </w:rPr>
        <w:t xml:space="preserve"> en compte les conclusions et les recommandations du rapport du Comité permanent fait à la MOP5 sur le progrès de la mise en œuvre du plan stratégique 2009-2017 (AEWA/MOP 5.11)</w:t>
      </w:r>
      <w:r w:rsidR="00542C40">
        <w:rPr>
          <w:sz w:val="22"/>
          <w:szCs w:val="22"/>
          <w:lang w:val="fr-FR" w:eastAsia="nl-NL"/>
        </w:rPr>
        <w:t>.</w:t>
      </w:r>
      <w:r>
        <w:rPr>
          <w:sz w:val="22"/>
          <w:szCs w:val="22"/>
          <w:lang w:val="fr-FR" w:eastAsia="nl-NL"/>
        </w:rPr>
        <w:t xml:space="preserve"> </w:t>
      </w:r>
    </w:p>
    <w:p w14:paraId="19920CC6" w14:textId="77777777" w:rsidR="00061412" w:rsidRDefault="00061412" w:rsidP="00854AF0">
      <w:pPr>
        <w:jc w:val="both"/>
        <w:rPr>
          <w:sz w:val="22"/>
          <w:szCs w:val="22"/>
          <w:lang w:val="fr-FR" w:eastAsia="nl-NL"/>
        </w:rPr>
      </w:pPr>
    </w:p>
    <w:p w14:paraId="7E4C05E3" w14:textId="77777777" w:rsidR="00542C40" w:rsidRPr="00057D99" w:rsidRDefault="00542C40" w:rsidP="00854AF0">
      <w:pPr>
        <w:jc w:val="both"/>
        <w:rPr>
          <w:sz w:val="22"/>
          <w:szCs w:val="22"/>
          <w:lang w:val="fr-FR" w:eastAsia="nl-NL"/>
        </w:rPr>
      </w:pPr>
    </w:p>
    <w:p w14:paraId="19920CC7" w14:textId="77777777" w:rsidR="00061412" w:rsidRPr="00057D99" w:rsidRDefault="00061412" w:rsidP="004C56DF">
      <w:pPr>
        <w:jc w:val="both"/>
        <w:rPr>
          <w:sz w:val="22"/>
          <w:szCs w:val="22"/>
          <w:lang w:val="fr-FR"/>
        </w:rPr>
      </w:pPr>
      <w:r w:rsidRPr="00057D99">
        <w:rPr>
          <w:i/>
          <w:sz w:val="22"/>
          <w:szCs w:val="22"/>
          <w:lang w:val="fr-FR"/>
        </w:rPr>
        <w:t>La Réunion des Parties :</w:t>
      </w:r>
    </w:p>
    <w:p w14:paraId="19920CC8" w14:textId="77777777" w:rsidR="00061412" w:rsidRPr="00057D99" w:rsidRDefault="00061412" w:rsidP="004C56DF">
      <w:pPr>
        <w:jc w:val="both"/>
        <w:rPr>
          <w:sz w:val="22"/>
          <w:szCs w:val="22"/>
          <w:lang w:val="fr-FR"/>
        </w:rPr>
      </w:pPr>
    </w:p>
    <w:p w14:paraId="19920CC9" w14:textId="77777777" w:rsidR="00061412" w:rsidRPr="00057D99" w:rsidRDefault="00061412" w:rsidP="007A3A5E">
      <w:pPr>
        <w:pStyle w:val="ListParagraph"/>
        <w:numPr>
          <w:ilvl w:val="0"/>
          <w:numId w:val="5"/>
        </w:numPr>
        <w:ind w:left="0" w:firstLine="0"/>
        <w:jc w:val="both"/>
        <w:rPr>
          <w:sz w:val="22"/>
          <w:szCs w:val="22"/>
          <w:lang w:val="fr-FR"/>
        </w:rPr>
      </w:pPr>
      <w:r w:rsidRPr="00057D99">
        <w:rPr>
          <w:i/>
          <w:sz w:val="22"/>
          <w:szCs w:val="22"/>
          <w:lang w:val="fr-FR" w:eastAsia="nl-NL"/>
        </w:rPr>
        <w:t xml:space="preserve">Invite </w:t>
      </w:r>
      <w:r w:rsidRPr="00057D99">
        <w:rPr>
          <w:sz w:val="22"/>
          <w:szCs w:val="22"/>
          <w:lang w:val="fr-FR" w:eastAsia="nl-NL"/>
        </w:rPr>
        <w:t>les Parties à assurer que toutes les populations de l’AEWA sont couvertes par des programmes de surveillance internationaux qui sont appropriés au niveau de leur étendue et de leurs méthodes pour produire des estimations de tailles et de tendances de populations international</w:t>
      </w:r>
      <w:r>
        <w:rPr>
          <w:sz w:val="22"/>
          <w:szCs w:val="22"/>
          <w:lang w:val="fr-FR" w:eastAsia="nl-NL"/>
        </w:rPr>
        <w:t>es fiables</w:t>
      </w:r>
      <w:r w:rsidRPr="00057D99">
        <w:rPr>
          <w:sz w:val="22"/>
          <w:szCs w:val="22"/>
          <w:lang w:val="fr-FR" w:eastAsia="nl-NL"/>
        </w:rPr>
        <w:t xml:space="preserve"> ; </w:t>
      </w:r>
    </w:p>
    <w:p w14:paraId="19920CCA" w14:textId="77777777" w:rsidR="00061412" w:rsidRPr="00057D99" w:rsidRDefault="00061412" w:rsidP="007A3A5E">
      <w:pPr>
        <w:pStyle w:val="ListParagraph"/>
        <w:ind w:left="0"/>
        <w:jc w:val="both"/>
        <w:rPr>
          <w:i/>
          <w:sz w:val="22"/>
          <w:szCs w:val="22"/>
          <w:lang w:val="fr-FR" w:eastAsia="nl-NL"/>
        </w:rPr>
      </w:pPr>
    </w:p>
    <w:p w14:paraId="19920CCB" w14:textId="63303B71" w:rsidR="00061412" w:rsidRPr="00057D99" w:rsidRDefault="00061412" w:rsidP="007A3A5E">
      <w:pPr>
        <w:pStyle w:val="ListParagraph"/>
        <w:numPr>
          <w:ilvl w:val="0"/>
          <w:numId w:val="5"/>
        </w:numPr>
        <w:ind w:left="0" w:firstLine="0"/>
        <w:jc w:val="both"/>
        <w:rPr>
          <w:sz w:val="22"/>
          <w:szCs w:val="22"/>
          <w:lang w:val="fr-FR" w:eastAsia="nl-NL"/>
        </w:rPr>
      </w:pPr>
      <w:r w:rsidRPr="00057D99">
        <w:rPr>
          <w:i/>
          <w:sz w:val="22"/>
          <w:szCs w:val="22"/>
          <w:lang w:val="fr-FR" w:eastAsia="nl-NL"/>
        </w:rPr>
        <w:t>Demande</w:t>
      </w:r>
      <w:r w:rsidRPr="00057D99">
        <w:rPr>
          <w:sz w:val="22"/>
          <w:szCs w:val="22"/>
          <w:lang w:val="fr-FR" w:eastAsia="nl-NL"/>
        </w:rPr>
        <w:t xml:space="preserve"> au Secrétariat et au Comité technique, en collaboration avec les organisations internationales concernées, de fournir à cet égard, d’ici la MOP6, </w:t>
      </w:r>
      <w:r w:rsidR="00B74E08">
        <w:rPr>
          <w:sz w:val="22"/>
          <w:szCs w:val="22"/>
          <w:lang w:val="fr-FR" w:eastAsia="nl-NL"/>
        </w:rPr>
        <w:t xml:space="preserve">comprenant la </w:t>
      </w:r>
      <w:r w:rsidRPr="00057D99">
        <w:rPr>
          <w:sz w:val="22"/>
          <w:szCs w:val="22"/>
          <w:lang w:val="fr-FR" w:eastAsia="nl-NL"/>
        </w:rPr>
        <w:t xml:space="preserve">surveillance des oiseaux de mer </w:t>
      </w:r>
      <w:r w:rsidR="00B74E08">
        <w:rPr>
          <w:sz w:val="22"/>
          <w:szCs w:val="22"/>
          <w:lang w:val="fr-FR" w:eastAsia="nl-NL"/>
        </w:rPr>
        <w:t xml:space="preserve">et les </w:t>
      </w:r>
      <w:r w:rsidR="00A12181">
        <w:rPr>
          <w:sz w:val="22"/>
          <w:szCs w:val="22"/>
          <w:lang w:val="fr-FR" w:eastAsia="nl-NL"/>
        </w:rPr>
        <w:t>oiseaux d’eau nichant en colonies</w:t>
      </w:r>
      <w:r w:rsidRPr="00057D99">
        <w:rPr>
          <w:sz w:val="22"/>
          <w:szCs w:val="22"/>
          <w:lang w:val="fr-FR" w:eastAsia="nl-NL"/>
        </w:rPr>
        <w:t> ;</w:t>
      </w:r>
    </w:p>
    <w:p w14:paraId="19920CCC" w14:textId="77777777" w:rsidR="00061412" w:rsidRPr="00057D99" w:rsidRDefault="00061412" w:rsidP="007A3A5E">
      <w:pPr>
        <w:pStyle w:val="ListParagraph"/>
        <w:ind w:left="0"/>
        <w:jc w:val="both"/>
        <w:rPr>
          <w:i/>
          <w:sz w:val="22"/>
          <w:szCs w:val="22"/>
          <w:lang w:val="fr-FR" w:eastAsia="nl-NL"/>
        </w:rPr>
      </w:pPr>
    </w:p>
    <w:p w14:paraId="19920CCD" w14:textId="63AAA5A7" w:rsidR="00061412" w:rsidRPr="00057D99" w:rsidRDefault="00061412" w:rsidP="007A3A5E">
      <w:pPr>
        <w:pStyle w:val="ListParagraph"/>
        <w:numPr>
          <w:ilvl w:val="0"/>
          <w:numId w:val="5"/>
        </w:numPr>
        <w:ind w:left="0" w:firstLine="0"/>
        <w:jc w:val="both"/>
        <w:rPr>
          <w:sz w:val="22"/>
          <w:szCs w:val="22"/>
          <w:lang w:val="fr-FR" w:eastAsia="nl-NL"/>
        </w:rPr>
      </w:pPr>
      <w:r w:rsidRPr="00057D99">
        <w:rPr>
          <w:i/>
          <w:sz w:val="22"/>
          <w:szCs w:val="22"/>
          <w:lang w:val="fr-FR" w:eastAsia="nl-NL"/>
        </w:rPr>
        <w:t xml:space="preserve">Exhorte </w:t>
      </w:r>
      <w:r w:rsidRPr="00057D99">
        <w:rPr>
          <w:sz w:val="22"/>
          <w:szCs w:val="22"/>
          <w:lang w:val="fr-FR" w:eastAsia="nl-NL"/>
        </w:rPr>
        <w:t>les</w:t>
      </w:r>
      <w:r w:rsidRPr="00057D99">
        <w:rPr>
          <w:i/>
          <w:sz w:val="22"/>
          <w:szCs w:val="22"/>
          <w:lang w:val="fr-FR" w:eastAsia="nl-NL"/>
        </w:rPr>
        <w:t xml:space="preserve"> </w:t>
      </w:r>
      <w:r w:rsidRPr="00057D99">
        <w:rPr>
          <w:sz w:val="22"/>
          <w:szCs w:val="22"/>
          <w:lang w:val="fr-FR" w:eastAsia="nl-NL"/>
        </w:rPr>
        <w:t xml:space="preserve">Parties à élaborer des programmes individuels de surveillance </w:t>
      </w:r>
      <w:r w:rsidRPr="00C036D4">
        <w:rPr>
          <w:sz w:val="22"/>
          <w:szCs w:val="22"/>
          <w:lang w:val="fr-FR" w:eastAsia="nl-NL"/>
        </w:rPr>
        <w:t xml:space="preserve">appropriés en termes de portée et de méthodologie </w:t>
      </w:r>
      <w:r w:rsidRPr="00057D99">
        <w:rPr>
          <w:sz w:val="22"/>
          <w:szCs w:val="22"/>
          <w:lang w:val="fr-FR" w:eastAsia="nl-NL"/>
        </w:rPr>
        <w:t xml:space="preserve">pour obtenir des estimations fiables de tailles et de tendances des populations d’oiseaux d’eau se reproduisant ou hivernant sur leurs territoires tout en </w:t>
      </w:r>
      <w:r>
        <w:rPr>
          <w:sz w:val="22"/>
          <w:szCs w:val="22"/>
          <w:lang w:val="fr-FR" w:eastAsia="nl-NL"/>
        </w:rPr>
        <w:t>s’efforçant</w:t>
      </w:r>
      <w:r w:rsidRPr="00057D99">
        <w:rPr>
          <w:sz w:val="22"/>
          <w:szCs w:val="22"/>
          <w:lang w:val="fr-FR" w:eastAsia="nl-NL"/>
        </w:rPr>
        <w:t xml:space="preserve"> de parvenir à une méthodologie harmonisée conforme aux </w:t>
      </w:r>
      <w:r w:rsidR="00E20B6E">
        <w:rPr>
          <w:sz w:val="22"/>
          <w:szCs w:val="22"/>
          <w:lang w:val="fr-FR" w:eastAsia="nl-NL"/>
        </w:rPr>
        <w:t xml:space="preserve">nouvelles </w:t>
      </w:r>
      <w:r w:rsidRPr="00057D99">
        <w:rPr>
          <w:sz w:val="22"/>
          <w:szCs w:val="22"/>
          <w:lang w:val="fr-FR" w:eastAsia="nl-NL"/>
        </w:rPr>
        <w:t xml:space="preserve">lignes directrices </w:t>
      </w:r>
      <w:r w:rsidR="00E20B6E">
        <w:rPr>
          <w:sz w:val="22"/>
          <w:szCs w:val="22"/>
          <w:lang w:val="fr-FR" w:eastAsia="nl-NL"/>
        </w:rPr>
        <w:t xml:space="preserve">de conservation </w:t>
      </w:r>
      <w:r w:rsidRPr="00057D99">
        <w:rPr>
          <w:sz w:val="22"/>
          <w:szCs w:val="22"/>
          <w:lang w:val="fr-FR" w:eastAsia="nl-NL"/>
        </w:rPr>
        <w:t xml:space="preserve">de </w:t>
      </w:r>
      <w:r>
        <w:rPr>
          <w:sz w:val="22"/>
          <w:szCs w:val="22"/>
          <w:lang w:val="fr-FR" w:eastAsia="nl-NL"/>
        </w:rPr>
        <w:t>l’A</w:t>
      </w:r>
      <w:r w:rsidRPr="00057D99">
        <w:rPr>
          <w:sz w:val="22"/>
          <w:szCs w:val="22"/>
          <w:lang w:val="fr-FR" w:eastAsia="nl-NL"/>
        </w:rPr>
        <w:t>EWA </w:t>
      </w:r>
      <w:r w:rsidR="00A12181">
        <w:rPr>
          <w:sz w:val="22"/>
          <w:szCs w:val="22"/>
          <w:lang w:val="fr-FR" w:eastAsia="nl-NL"/>
        </w:rPr>
        <w:t xml:space="preserve">qui </w:t>
      </w:r>
      <w:r w:rsidR="00E20B6E">
        <w:rPr>
          <w:sz w:val="22"/>
          <w:szCs w:val="22"/>
          <w:lang w:val="fr-FR" w:eastAsia="nl-NL"/>
        </w:rPr>
        <w:t>seront mise</w:t>
      </w:r>
      <w:r w:rsidR="00A12181">
        <w:rPr>
          <w:sz w:val="22"/>
          <w:szCs w:val="22"/>
          <w:lang w:val="fr-FR" w:eastAsia="nl-NL"/>
        </w:rPr>
        <w:t>s</w:t>
      </w:r>
      <w:r w:rsidR="00E20B6E">
        <w:rPr>
          <w:sz w:val="22"/>
          <w:szCs w:val="22"/>
          <w:lang w:val="fr-FR" w:eastAsia="nl-NL"/>
        </w:rPr>
        <w:t xml:space="preserve"> au point par le Comité technique ;</w:t>
      </w:r>
      <w:r w:rsidRPr="00057D99">
        <w:rPr>
          <w:sz w:val="22"/>
          <w:szCs w:val="22"/>
          <w:lang w:val="fr-FR" w:eastAsia="nl-NL"/>
        </w:rPr>
        <w:t xml:space="preserve"> </w:t>
      </w:r>
    </w:p>
    <w:p w14:paraId="19920CCE" w14:textId="77777777" w:rsidR="00061412" w:rsidRPr="00057D99" w:rsidRDefault="00061412" w:rsidP="007A3A5E">
      <w:pPr>
        <w:pStyle w:val="ListParagraph"/>
        <w:ind w:left="0"/>
        <w:jc w:val="both"/>
        <w:rPr>
          <w:i/>
          <w:sz w:val="22"/>
          <w:szCs w:val="22"/>
          <w:lang w:val="fr-FR" w:eastAsia="nl-NL"/>
        </w:rPr>
      </w:pPr>
    </w:p>
    <w:p w14:paraId="19920CCF" w14:textId="77777777" w:rsidR="00061412" w:rsidRPr="00057D99" w:rsidRDefault="00061412" w:rsidP="007A3A5E">
      <w:pPr>
        <w:pStyle w:val="ListParagraph"/>
        <w:numPr>
          <w:ilvl w:val="0"/>
          <w:numId w:val="5"/>
        </w:numPr>
        <w:ind w:left="0" w:firstLine="0"/>
        <w:jc w:val="both"/>
        <w:rPr>
          <w:sz w:val="22"/>
          <w:szCs w:val="22"/>
          <w:lang w:val="fr-FR" w:eastAsia="nl-NL"/>
        </w:rPr>
      </w:pPr>
      <w:r w:rsidRPr="00057D99">
        <w:rPr>
          <w:i/>
          <w:sz w:val="22"/>
          <w:szCs w:val="22"/>
          <w:lang w:val="fr-FR" w:eastAsia="nl-NL"/>
        </w:rPr>
        <w:t xml:space="preserve">Demande </w:t>
      </w:r>
      <w:r w:rsidRPr="00057D99">
        <w:rPr>
          <w:sz w:val="22"/>
          <w:szCs w:val="22"/>
          <w:lang w:val="fr-FR" w:eastAsia="nl-NL"/>
        </w:rPr>
        <w:t xml:space="preserve">au Comité technique d’identifier les priorités </w:t>
      </w:r>
      <w:r>
        <w:rPr>
          <w:sz w:val="22"/>
          <w:szCs w:val="22"/>
          <w:lang w:val="fr-FR" w:eastAsia="nl-NL"/>
        </w:rPr>
        <w:t xml:space="preserve">pour le </w:t>
      </w:r>
      <w:r w:rsidRPr="00057D99">
        <w:rPr>
          <w:sz w:val="22"/>
          <w:szCs w:val="22"/>
          <w:lang w:val="fr-FR" w:eastAsia="nl-NL"/>
        </w:rPr>
        <w:t>développement systématique d</w:t>
      </w:r>
      <w:r>
        <w:rPr>
          <w:sz w:val="22"/>
          <w:szCs w:val="22"/>
          <w:lang w:val="fr-FR" w:eastAsia="nl-NL"/>
        </w:rPr>
        <w:t>’une</w:t>
      </w:r>
      <w:r w:rsidRPr="00057D99">
        <w:rPr>
          <w:sz w:val="22"/>
          <w:szCs w:val="22"/>
          <w:lang w:val="fr-FR" w:eastAsia="nl-NL"/>
        </w:rPr>
        <w:t xml:space="preserve"> surveillance des oiseaux d’eau, afin d’atteindre l’objectif de 50 % d’augmentation d’ici à 2017 du nombre de populations dont l’état est évalué sur la base de données de surveillance régulières, conformément au Plan stratégique de l’AEWA 2009-2017, prenant en compte l’état de conservation des populations, leur représentativité géographique et autres facteurs ;</w:t>
      </w:r>
    </w:p>
    <w:p w14:paraId="19920CD0" w14:textId="77777777" w:rsidR="00061412" w:rsidRPr="00057D99" w:rsidRDefault="00061412" w:rsidP="007A3A5E">
      <w:pPr>
        <w:pStyle w:val="ListParagraph"/>
        <w:ind w:left="0"/>
        <w:jc w:val="both"/>
        <w:rPr>
          <w:sz w:val="22"/>
          <w:szCs w:val="22"/>
          <w:lang w:val="fr-FR" w:eastAsia="nl-NL"/>
        </w:rPr>
      </w:pPr>
    </w:p>
    <w:p w14:paraId="19920CD1" w14:textId="77777777" w:rsidR="00061412" w:rsidRPr="00057D99" w:rsidRDefault="00061412" w:rsidP="007A3A5E">
      <w:pPr>
        <w:pStyle w:val="ListParagraph"/>
        <w:numPr>
          <w:ilvl w:val="0"/>
          <w:numId w:val="5"/>
        </w:numPr>
        <w:ind w:left="0" w:firstLine="0"/>
        <w:jc w:val="both"/>
        <w:rPr>
          <w:sz w:val="22"/>
          <w:szCs w:val="22"/>
          <w:lang w:val="fr-FR" w:eastAsia="nl-NL"/>
        </w:rPr>
      </w:pPr>
      <w:r w:rsidRPr="00057D99">
        <w:rPr>
          <w:i/>
          <w:sz w:val="22"/>
          <w:szCs w:val="22"/>
          <w:lang w:val="fr-FR" w:eastAsia="nl-NL"/>
        </w:rPr>
        <w:t xml:space="preserve">Invite </w:t>
      </w:r>
      <w:r w:rsidRPr="00057D99">
        <w:rPr>
          <w:sz w:val="22"/>
          <w:szCs w:val="22"/>
          <w:lang w:val="fr-FR" w:eastAsia="nl-NL"/>
        </w:rPr>
        <w:t>les Parties disposant d’une plus grande capacité technique et financière à aider les autres Parties et États de l’aire de répartition, tout particulièrement en Asie occidentale et centrale</w:t>
      </w:r>
      <w:r>
        <w:rPr>
          <w:sz w:val="22"/>
          <w:szCs w:val="22"/>
          <w:lang w:val="fr-FR" w:eastAsia="nl-NL"/>
        </w:rPr>
        <w:t>,</w:t>
      </w:r>
      <w:r w:rsidRPr="00057D99">
        <w:rPr>
          <w:sz w:val="22"/>
          <w:szCs w:val="22"/>
          <w:lang w:val="fr-FR" w:eastAsia="nl-NL"/>
        </w:rPr>
        <w:t xml:space="preserve"> et dans la région </w:t>
      </w:r>
      <w:proofErr w:type="spellStart"/>
      <w:r w:rsidRPr="00057D99">
        <w:rPr>
          <w:sz w:val="22"/>
          <w:szCs w:val="22"/>
          <w:lang w:val="fr-FR" w:eastAsia="nl-NL"/>
        </w:rPr>
        <w:t>afrotropicale</w:t>
      </w:r>
      <w:proofErr w:type="spellEnd"/>
      <w:r w:rsidRPr="00057D99">
        <w:rPr>
          <w:sz w:val="22"/>
          <w:szCs w:val="22"/>
          <w:lang w:val="fr-FR" w:eastAsia="nl-NL"/>
        </w:rPr>
        <w:t xml:space="preserve"> dans le cadre de l’Initiative africaine, à concevoir des programmes de surveillance appropriés et à développer leur capacité à recueillir des données fiables ;</w:t>
      </w:r>
    </w:p>
    <w:p w14:paraId="19920CD2" w14:textId="77777777" w:rsidR="00061412" w:rsidRPr="00057D99" w:rsidRDefault="00061412" w:rsidP="003846CB">
      <w:pPr>
        <w:pStyle w:val="ListParagraph"/>
        <w:ind w:left="0"/>
        <w:jc w:val="both"/>
        <w:rPr>
          <w:sz w:val="22"/>
          <w:szCs w:val="22"/>
          <w:lang w:val="fr-FR" w:eastAsia="nl-NL"/>
        </w:rPr>
      </w:pPr>
    </w:p>
    <w:p w14:paraId="19920CD3" w14:textId="77777777" w:rsidR="00061412" w:rsidRPr="00057D99" w:rsidRDefault="00061412" w:rsidP="007874A5">
      <w:pPr>
        <w:numPr>
          <w:ilvl w:val="0"/>
          <w:numId w:val="5"/>
        </w:numPr>
        <w:ind w:left="0" w:firstLine="0"/>
        <w:jc w:val="both"/>
        <w:rPr>
          <w:sz w:val="22"/>
          <w:szCs w:val="22"/>
          <w:lang w:val="fr-FR"/>
        </w:rPr>
      </w:pPr>
      <w:r w:rsidRPr="00057D99">
        <w:rPr>
          <w:i/>
          <w:sz w:val="22"/>
          <w:szCs w:val="22"/>
          <w:lang w:val="fr-FR" w:eastAsia="nl-NL"/>
        </w:rPr>
        <w:t xml:space="preserve">Encourage </w:t>
      </w:r>
      <w:r w:rsidRPr="00057D99">
        <w:rPr>
          <w:sz w:val="22"/>
          <w:szCs w:val="22"/>
          <w:lang w:val="fr-FR" w:eastAsia="nl-NL"/>
        </w:rPr>
        <w:t xml:space="preserve">les Parties, les États de l’aire de répartition et les autres parties prenantes à utiliser les Lignes directrices de conservation de l’AEWA et le programme de formation sur la surveillance élaboré dans le cadre du projet </w:t>
      </w:r>
      <w:proofErr w:type="spellStart"/>
      <w:r w:rsidRPr="00057D99">
        <w:rPr>
          <w:sz w:val="22"/>
          <w:szCs w:val="22"/>
          <w:lang w:val="fr-FR"/>
        </w:rPr>
        <w:t>Wings</w:t>
      </w:r>
      <w:proofErr w:type="spellEnd"/>
      <w:r w:rsidRPr="00057D99">
        <w:rPr>
          <w:sz w:val="22"/>
          <w:szCs w:val="22"/>
          <w:lang w:val="fr-FR"/>
        </w:rPr>
        <w:t xml:space="preserve"> Over </w:t>
      </w:r>
      <w:proofErr w:type="spellStart"/>
      <w:r w:rsidRPr="00057D99">
        <w:rPr>
          <w:sz w:val="22"/>
          <w:szCs w:val="22"/>
          <w:lang w:val="fr-FR"/>
        </w:rPr>
        <w:t>Wetlands</w:t>
      </w:r>
      <w:proofErr w:type="spellEnd"/>
      <w:r w:rsidRPr="00057D99">
        <w:rPr>
          <w:sz w:val="22"/>
          <w:szCs w:val="22"/>
          <w:lang w:val="fr-FR"/>
        </w:rPr>
        <w:t xml:space="preserve"> (WOW) du </w:t>
      </w:r>
      <w:r w:rsidRPr="00057D99">
        <w:rPr>
          <w:sz w:val="22"/>
          <w:szCs w:val="22"/>
          <w:lang w:val="fr-FR" w:eastAsia="nl-NL"/>
        </w:rPr>
        <w:t>PNUE-FEM sur les voies de migrations d’Afrique-Eurasie</w:t>
      </w:r>
      <w:r w:rsidRPr="00057D99">
        <w:rPr>
          <w:rStyle w:val="FootnoteReference"/>
          <w:sz w:val="22"/>
          <w:szCs w:val="22"/>
          <w:lang w:val="fr-FR"/>
        </w:rPr>
        <w:footnoteReference w:id="1"/>
      </w:r>
      <w:r w:rsidRPr="00057D99">
        <w:rPr>
          <w:sz w:val="22"/>
          <w:szCs w:val="22"/>
          <w:lang w:val="fr-FR" w:eastAsia="nl-NL"/>
        </w:rPr>
        <w:t> </w:t>
      </w:r>
      <w:r w:rsidRPr="00057D99">
        <w:rPr>
          <w:sz w:val="22"/>
          <w:szCs w:val="22"/>
          <w:lang w:val="fr-FR"/>
        </w:rPr>
        <w:t>;</w:t>
      </w:r>
    </w:p>
    <w:p w14:paraId="19920CD4" w14:textId="77777777" w:rsidR="00061412" w:rsidRPr="00057D99" w:rsidRDefault="00061412" w:rsidP="007874A5">
      <w:pPr>
        <w:pStyle w:val="ListParagraph"/>
        <w:ind w:left="0"/>
        <w:jc w:val="both"/>
        <w:rPr>
          <w:sz w:val="22"/>
          <w:szCs w:val="22"/>
          <w:lang w:val="fr-FR" w:eastAsia="nl-NL"/>
        </w:rPr>
      </w:pPr>
    </w:p>
    <w:p w14:paraId="19920CD5" w14:textId="022D7893" w:rsidR="00061412" w:rsidRPr="00057D99" w:rsidRDefault="00A12181" w:rsidP="003846CB">
      <w:pPr>
        <w:pStyle w:val="ListParagraph"/>
        <w:numPr>
          <w:ilvl w:val="0"/>
          <w:numId w:val="5"/>
        </w:numPr>
        <w:ind w:left="0" w:firstLine="0"/>
        <w:jc w:val="both"/>
        <w:rPr>
          <w:sz w:val="22"/>
          <w:szCs w:val="22"/>
          <w:lang w:val="fr-FR" w:eastAsia="nl-NL"/>
        </w:rPr>
      </w:pPr>
      <w:r>
        <w:rPr>
          <w:i/>
          <w:sz w:val="22"/>
          <w:szCs w:val="22"/>
          <w:lang w:val="fr-FR" w:eastAsia="nl-NL"/>
        </w:rPr>
        <w:t>Invite</w:t>
      </w:r>
      <w:r w:rsidR="00061412" w:rsidRPr="00057D99">
        <w:rPr>
          <w:i/>
          <w:sz w:val="22"/>
          <w:szCs w:val="22"/>
          <w:lang w:val="fr-FR" w:eastAsia="nl-NL"/>
        </w:rPr>
        <w:t xml:space="preserve"> le</w:t>
      </w:r>
      <w:r w:rsidR="00061412" w:rsidRPr="00057D99">
        <w:rPr>
          <w:sz w:val="22"/>
          <w:szCs w:val="22"/>
          <w:lang w:val="fr-FR" w:eastAsia="nl-NL"/>
        </w:rPr>
        <w:t xml:space="preserve"> Secrétariat et </w:t>
      </w:r>
      <w:r w:rsidR="00E20B6E">
        <w:rPr>
          <w:i/>
          <w:sz w:val="22"/>
          <w:szCs w:val="22"/>
          <w:lang w:val="fr-FR" w:eastAsia="nl-NL"/>
        </w:rPr>
        <w:t>p</w:t>
      </w:r>
      <w:r w:rsidR="00061412" w:rsidRPr="00057D99">
        <w:rPr>
          <w:i/>
          <w:sz w:val="22"/>
          <w:szCs w:val="22"/>
          <w:lang w:val="fr-FR" w:eastAsia="nl-NL"/>
        </w:rPr>
        <w:t>rie</w:t>
      </w:r>
      <w:r w:rsidR="00061412" w:rsidRPr="00057D99">
        <w:rPr>
          <w:sz w:val="22"/>
          <w:szCs w:val="22"/>
          <w:lang w:val="fr-FR" w:eastAsia="nl-NL"/>
        </w:rPr>
        <w:t xml:space="preserve"> les Parties </w:t>
      </w:r>
      <w:r w:rsidR="00E20B6E">
        <w:rPr>
          <w:sz w:val="22"/>
          <w:szCs w:val="22"/>
          <w:lang w:val="fr-FR" w:eastAsia="nl-NL"/>
        </w:rPr>
        <w:t>d’accroître</w:t>
      </w:r>
      <w:r w:rsidR="00E20B6E" w:rsidRPr="00057D99">
        <w:rPr>
          <w:sz w:val="22"/>
          <w:szCs w:val="22"/>
          <w:lang w:val="fr-FR" w:eastAsia="nl-NL"/>
        </w:rPr>
        <w:t xml:space="preserve"> </w:t>
      </w:r>
      <w:r w:rsidR="00061412" w:rsidRPr="00057D99">
        <w:rPr>
          <w:sz w:val="22"/>
          <w:szCs w:val="22"/>
          <w:lang w:val="fr-FR" w:eastAsia="nl-NL"/>
        </w:rPr>
        <w:t xml:space="preserve">leurs activités afin de recruter un plus </w:t>
      </w:r>
      <w:r w:rsidR="00061412">
        <w:rPr>
          <w:sz w:val="22"/>
          <w:szCs w:val="22"/>
          <w:lang w:val="fr-FR" w:eastAsia="nl-NL"/>
        </w:rPr>
        <w:t xml:space="preserve">grand </w:t>
      </w:r>
      <w:r w:rsidR="00061412" w:rsidRPr="00057D99">
        <w:rPr>
          <w:sz w:val="22"/>
          <w:szCs w:val="22"/>
          <w:lang w:val="fr-FR" w:eastAsia="nl-NL"/>
        </w:rPr>
        <w:t>nombre de Parties en Asie occidentale et centrale ;</w:t>
      </w:r>
    </w:p>
    <w:p w14:paraId="19920CD6" w14:textId="77777777" w:rsidR="00061412" w:rsidRPr="00057D99" w:rsidRDefault="00061412" w:rsidP="007A3A5E">
      <w:pPr>
        <w:pStyle w:val="ListParagraph"/>
        <w:ind w:left="0"/>
        <w:jc w:val="both"/>
        <w:rPr>
          <w:sz w:val="22"/>
          <w:szCs w:val="22"/>
          <w:lang w:val="fr-FR" w:eastAsia="nl-NL"/>
        </w:rPr>
      </w:pPr>
    </w:p>
    <w:p w14:paraId="19920CD7" w14:textId="0CFEDFAA" w:rsidR="00061412" w:rsidRPr="00057D99" w:rsidRDefault="00061412" w:rsidP="007A3A5E">
      <w:pPr>
        <w:pStyle w:val="ListParagraph"/>
        <w:numPr>
          <w:ilvl w:val="0"/>
          <w:numId w:val="5"/>
        </w:numPr>
        <w:ind w:left="0" w:firstLine="0"/>
        <w:jc w:val="both"/>
        <w:rPr>
          <w:sz w:val="22"/>
          <w:szCs w:val="22"/>
          <w:lang w:val="fr-FR" w:eastAsia="nl-NL"/>
        </w:rPr>
      </w:pPr>
      <w:r w:rsidRPr="00057D99">
        <w:rPr>
          <w:i/>
          <w:sz w:val="22"/>
          <w:szCs w:val="22"/>
          <w:lang w:val="fr-FR" w:eastAsia="nl-NL"/>
        </w:rPr>
        <w:t xml:space="preserve">Charge </w:t>
      </w:r>
      <w:r w:rsidRPr="00057D99">
        <w:rPr>
          <w:sz w:val="22"/>
          <w:szCs w:val="22"/>
          <w:lang w:val="fr-FR" w:eastAsia="nl-NL"/>
        </w:rPr>
        <w:t>le Secrétariat, si les fonds le permettent, d</w:t>
      </w:r>
      <w:r w:rsidR="00A12181">
        <w:rPr>
          <w:sz w:val="22"/>
          <w:szCs w:val="22"/>
          <w:lang w:val="fr-FR" w:eastAsia="nl-NL"/>
        </w:rPr>
        <w:t>e coordonner le développement d’un</w:t>
      </w:r>
      <w:r w:rsidRPr="00057D99">
        <w:rPr>
          <w:sz w:val="22"/>
          <w:szCs w:val="22"/>
          <w:lang w:val="fr-FR" w:eastAsia="nl-NL"/>
        </w:rPr>
        <w:t xml:space="preserve"> Plan d’action pour la mise en œuvre de l’AEWA en Asie occidentale et centrale en collaboration avec les Parties et le Comité technique, en s’appuyant sur l’expérience du Plan d’action pour l’Afrique ;</w:t>
      </w:r>
    </w:p>
    <w:p w14:paraId="19920CD8" w14:textId="77777777" w:rsidR="00061412" w:rsidRPr="00057D99" w:rsidRDefault="00061412" w:rsidP="007A3A5E">
      <w:pPr>
        <w:pStyle w:val="ListParagraph"/>
        <w:ind w:left="0"/>
        <w:jc w:val="both"/>
        <w:rPr>
          <w:i/>
          <w:sz w:val="22"/>
          <w:szCs w:val="22"/>
          <w:lang w:val="fr-FR" w:eastAsia="nl-NL"/>
        </w:rPr>
      </w:pPr>
    </w:p>
    <w:p w14:paraId="19920CD9" w14:textId="7C7DF442" w:rsidR="00061412" w:rsidRDefault="00061412" w:rsidP="007A3A5E">
      <w:pPr>
        <w:pStyle w:val="ListParagraph"/>
        <w:numPr>
          <w:ilvl w:val="0"/>
          <w:numId w:val="5"/>
        </w:numPr>
        <w:ind w:left="0" w:firstLine="0"/>
        <w:jc w:val="both"/>
        <w:rPr>
          <w:sz w:val="22"/>
          <w:szCs w:val="22"/>
          <w:lang w:val="fr-FR" w:eastAsia="nl-NL"/>
        </w:rPr>
      </w:pPr>
      <w:r w:rsidRPr="00057D99">
        <w:rPr>
          <w:i/>
          <w:sz w:val="22"/>
          <w:szCs w:val="22"/>
          <w:lang w:val="fr-FR" w:eastAsia="nl-NL"/>
        </w:rPr>
        <w:t xml:space="preserve">Charge </w:t>
      </w:r>
      <w:r w:rsidRPr="00057D99">
        <w:rPr>
          <w:sz w:val="22"/>
          <w:szCs w:val="22"/>
          <w:lang w:val="fr-FR" w:eastAsia="nl-NL"/>
        </w:rPr>
        <w:t>le</w:t>
      </w:r>
      <w:r w:rsidRPr="00057D99">
        <w:rPr>
          <w:i/>
          <w:sz w:val="22"/>
          <w:szCs w:val="22"/>
          <w:lang w:val="fr-FR" w:eastAsia="nl-NL"/>
        </w:rPr>
        <w:t xml:space="preserve"> </w:t>
      </w:r>
      <w:r w:rsidRPr="00057D99">
        <w:rPr>
          <w:sz w:val="22"/>
          <w:szCs w:val="22"/>
          <w:lang w:val="fr-FR" w:eastAsia="nl-NL"/>
        </w:rPr>
        <w:t xml:space="preserve">Secrétariat et le Comité technique du développement d’un modèle pour le format de rapport national sur la désignation et la gestion des sites importants </w:t>
      </w:r>
      <w:r>
        <w:rPr>
          <w:sz w:val="22"/>
          <w:szCs w:val="22"/>
          <w:lang w:val="fr-FR" w:eastAsia="nl-NL"/>
        </w:rPr>
        <w:t>qui pourra</w:t>
      </w:r>
      <w:r w:rsidRPr="00057D99">
        <w:rPr>
          <w:sz w:val="22"/>
          <w:szCs w:val="22"/>
          <w:lang w:val="fr-FR" w:eastAsia="nl-NL"/>
        </w:rPr>
        <w:t xml:space="preserve"> servir à la communication des informations pour les prochaines éditions du </w:t>
      </w:r>
      <w:r w:rsidR="00A12181">
        <w:rPr>
          <w:sz w:val="22"/>
          <w:szCs w:val="22"/>
          <w:lang w:val="fr-FR" w:eastAsia="nl-NL"/>
        </w:rPr>
        <w:t>« </w:t>
      </w:r>
      <w:r w:rsidRPr="00057D99">
        <w:rPr>
          <w:i/>
          <w:sz w:val="22"/>
          <w:szCs w:val="22"/>
          <w:lang w:val="fr-FR" w:eastAsia="nl-NL"/>
        </w:rPr>
        <w:t>Rapport sur le réseau des sites pour les oiseaux d’eau migrateurs dans la zone de l’Accord</w:t>
      </w:r>
      <w:r w:rsidR="00A12181">
        <w:rPr>
          <w:i/>
          <w:sz w:val="22"/>
          <w:szCs w:val="22"/>
          <w:lang w:val="fr-FR" w:eastAsia="nl-NL"/>
        </w:rPr>
        <w:t> »</w:t>
      </w:r>
      <w:r w:rsidR="00542C40">
        <w:rPr>
          <w:sz w:val="22"/>
          <w:szCs w:val="22"/>
          <w:lang w:val="fr-FR" w:eastAsia="nl-NL"/>
        </w:rPr>
        <w:t xml:space="preserve"> </w:t>
      </w:r>
      <w:r w:rsidRPr="00057D99">
        <w:rPr>
          <w:sz w:val="22"/>
          <w:szCs w:val="22"/>
          <w:lang w:val="fr-FR" w:eastAsia="nl-NL"/>
        </w:rPr>
        <w:t>;</w:t>
      </w:r>
    </w:p>
    <w:p w14:paraId="3AA8821B" w14:textId="77777777" w:rsidR="00305E65" w:rsidRPr="00542C40" w:rsidRDefault="00305E65" w:rsidP="00A12181">
      <w:pPr>
        <w:pStyle w:val="ListParagraph"/>
        <w:rPr>
          <w:sz w:val="22"/>
          <w:szCs w:val="22"/>
          <w:lang w:val="fr-FR" w:eastAsia="nl-NL"/>
        </w:rPr>
      </w:pPr>
    </w:p>
    <w:p w14:paraId="73E1DB57" w14:textId="719278CA" w:rsidR="00305E65" w:rsidRPr="00057D99" w:rsidRDefault="00305E65" w:rsidP="007A3A5E">
      <w:pPr>
        <w:pStyle w:val="ListParagraph"/>
        <w:numPr>
          <w:ilvl w:val="0"/>
          <w:numId w:val="5"/>
        </w:numPr>
        <w:ind w:left="0" w:firstLine="0"/>
        <w:jc w:val="both"/>
        <w:rPr>
          <w:sz w:val="22"/>
          <w:szCs w:val="22"/>
          <w:lang w:val="fr-FR" w:eastAsia="nl-NL"/>
        </w:rPr>
      </w:pPr>
      <w:r w:rsidRPr="009746F5">
        <w:rPr>
          <w:i/>
          <w:sz w:val="22"/>
          <w:szCs w:val="22"/>
          <w:lang w:val="fr-FR" w:eastAsia="nl-NL"/>
        </w:rPr>
        <w:t>Demande</w:t>
      </w:r>
      <w:r>
        <w:rPr>
          <w:sz w:val="22"/>
          <w:szCs w:val="22"/>
          <w:lang w:val="fr-FR" w:eastAsia="nl-NL"/>
        </w:rPr>
        <w:t xml:space="preserve"> au Comité technique, travaillant étroitement avec les Parties contractantes, de continuer à développer le </w:t>
      </w:r>
      <w:r w:rsidRPr="00A12181">
        <w:rPr>
          <w:i/>
          <w:sz w:val="22"/>
          <w:szCs w:val="22"/>
          <w:lang w:val="fr-FR" w:eastAsia="nl-NL"/>
        </w:rPr>
        <w:t>«</w:t>
      </w:r>
      <w:r w:rsidR="00A12181" w:rsidRPr="00A12181">
        <w:rPr>
          <w:i/>
          <w:sz w:val="22"/>
          <w:szCs w:val="22"/>
          <w:lang w:val="fr-FR" w:eastAsia="nl-NL"/>
        </w:rPr>
        <w:t xml:space="preserve"> R</w:t>
      </w:r>
      <w:r w:rsidRPr="00A12181">
        <w:rPr>
          <w:i/>
          <w:sz w:val="22"/>
          <w:szCs w:val="22"/>
          <w:lang w:val="fr-FR" w:eastAsia="nl-NL"/>
        </w:rPr>
        <w:t>apport sur le réseau de site pour les oiseaux d’eau dans l’aire de l’Accord »</w:t>
      </w:r>
      <w:r w:rsidR="00401BB8">
        <w:rPr>
          <w:sz w:val="22"/>
          <w:szCs w:val="22"/>
          <w:lang w:val="fr-FR" w:eastAsia="nl-NL"/>
        </w:rPr>
        <w:t xml:space="preserve"> afin de mieux refléter l’information sur l’état de la gestion et la conservation des sites clés, de développer des moyens de résumer l’information facile d’accès et d’apporter une version révisée et mise à jour du rapport à la 6</w:t>
      </w:r>
      <w:r w:rsidR="00401BB8" w:rsidRPr="00A12181">
        <w:rPr>
          <w:sz w:val="22"/>
          <w:szCs w:val="22"/>
          <w:vertAlign w:val="superscript"/>
          <w:lang w:val="fr-FR" w:eastAsia="nl-NL"/>
        </w:rPr>
        <w:t>ème</w:t>
      </w:r>
      <w:r w:rsidR="00401BB8">
        <w:rPr>
          <w:sz w:val="22"/>
          <w:szCs w:val="22"/>
          <w:lang w:val="fr-FR" w:eastAsia="nl-NL"/>
        </w:rPr>
        <w:t xml:space="preserve"> réunion des Parties ;</w:t>
      </w:r>
    </w:p>
    <w:p w14:paraId="19920CDA" w14:textId="77777777" w:rsidR="00061412" w:rsidRPr="00057D99" w:rsidRDefault="00061412" w:rsidP="007A3A5E">
      <w:pPr>
        <w:pStyle w:val="ListParagraph"/>
        <w:ind w:left="0"/>
        <w:jc w:val="both"/>
        <w:rPr>
          <w:i/>
          <w:sz w:val="22"/>
          <w:szCs w:val="22"/>
          <w:lang w:val="fr-FR" w:eastAsia="nl-NL"/>
        </w:rPr>
      </w:pPr>
    </w:p>
    <w:p w14:paraId="19920CDB" w14:textId="771CC77A" w:rsidR="00061412" w:rsidRPr="0020772D" w:rsidRDefault="00061412" w:rsidP="007A3A5E">
      <w:pPr>
        <w:pStyle w:val="ListParagraph"/>
        <w:numPr>
          <w:ilvl w:val="0"/>
          <w:numId w:val="5"/>
        </w:numPr>
        <w:ind w:left="0" w:firstLine="0"/>
        <w:jc w:val="both"/>
        <w:rPr>
          <w:lang w:val="fr-FR"/>
        </w:rPr>
      </w:pPr>
      <w:r w:rsidRPr="00057D99">
        <w:rPr>
          <w:i/>
          <w:sz w:val="22"/>
          <w:szCs w:val="22"/>
          <w:lang w:val="fr-FR" w:eastAsia="nl-NL"/>
        </w:rPr>
        <w:t xml:space="preserve">Exhorte </w:t>
      </w:r>
      <w:r w:rsidRPr="00057D99">
        <w:rPr>
          <w:sz w:val="22"/>
          <w:szCs w:val="22"/>
          <w:lang w:val="fr-FR" w:eastAsia="nl-NL"/>
        </w:rPr>
        <w:t>les Parties</w:t>
      </w:r>
      <w:r w:rsidRPr="00057D99">
        <w:rPr>
          <w:i/>
          <w:sz w:val="22"/>
          <w:szCs w:val="22"/>
          <w:lang w:val="fr-FR" w:eastAsia="nl-NL"/>
        </w:rPr>
        <w:t xml:space="preserve"> </w:t>
      </w:r>
      <w:r w:rsidRPr="00057D99">
        <w:rPr>
          <w:sz w:val="22"/>
          <w:szCs w:val="22"/>
          <w:lang w:val="fr-FR" w:eastAsia="nl-NL"/>
        </w:rPr>
        <w:t>à élaborer et à mettre en œuvre des plans d’action nationaux afin de combler les lacunes dans la désignation et</w:t>
      </w:r>
      <w:r w:rsidR="00401BB8">
        <w:rPr>
          <w:sz w:val="22"/>
          <w:szCs w:val="22"/>
          <w:lang w:val="fr-FR" w:eastAsia="nl-NL"/>
        </w:rPr>
        <w:t>/ou</w:t>
      </w:r>
      <w:r w:rsidRPr="00057D99">
        <w:rPr>
          <w:sz w:val="22"/>
          <w:szCs w:val="22"/>
          <w:lang w:val="fr-FR" w:eastAsia="nl-NL"/>
        </w:rPr>
        <w:t xml:space="preserve"> la gestion des sites importants nationalement et internationalement</w:t>
      </w:r>
      <w:r>
        <w:rPr>
          <w:sz w:val="22"/>
          <w:szCs w:val="22"/>
          <w:lang w:val="fr-FR" w:eastAsia="nl-NL"/>
        </w:rPr>
        <w:t>,</w:t>
      </w:r>
      <w:r w:rsidRPr="00057D99">
        <w:rPr>
          <w:sz w:val="22"/>
          <w:szCs w:val="22"/>
          <w:lang w:val="fr-FR" w:eastAsia="nl-NL"/>
        </w:rPr>
        <w:t xml:space="preserve"> afin d’établir d’ici à 2017</w:t>
      </w:r>
      <w:r w:rsidR="00A12181">
        <w:rPr>
          <w:sz w:val="22"/>
          <w:szCs w:val="22"/>
          <w:lang w:val="fr-FR" w:eastAsia="nl-NL"/>
        </w:rPr>
        <w:t xml:space="preserve"> </w:t>
      </w:r>
      <w:r w:rsidRPr="00057D99">
        <w:rPr>
          <w:sz w:val="22"/>
          <w:szCs w:val="22"/>
          <w:lang w:val="fr-FR" w:eastAsia="nl-NL"/>
        </w:rPr>
        <w:t>un réseau complet et cohérent à l’échelle de la voie de migration, s’appuyant</w:t>
      </w:r>
      <w:r w:rsidR="005B0C71">
        <w:rPr>
          <w:sz w:val="22"/>
          <w:szCs w:val="22"/>
          <w:lang w:val="fr-FR" w:eastAsia="nl-NL"/>
        </w:rPr>
        <w:t xml:space="preserve">, s’il y a lieu, </w:t>
      </w:r>
      <w:r w:rsidRPr="00057D99">
        <w:rPr>
          <w:sz w:val="22"/>
          <w:szCs w:val="22"/>
          <w:lang w:val="fr-FR" w:eastAsia="nl-NL"/>
        </w:rPr>
        <w:t xml:space="preserve">sur les profils priorisés des pays présentés à l’Annexe 2 du </w:t>
      </w:r>
      <w:r w:rsidR="00A12181" w:rsidRPr="00A12181">
        <w:rPr>
          <w:i/>
          <w:sz w:val="22"/>
          <w:szCs w:val="22"/>
          <w:lang w:val="fr-FR" w:eastAsia="nl-NL"/>
        </w:rPr>
        <w:t>« </w:t>
      </w:r>
      <w:r w:rsidRPr="00A12181">
        <w:rPr>
          <w:i/>
          <w:sz w:val="22"/>
          <w:szCs w:val="22"/>
          <w:lang w:val="fr-FR" w:eastAsia="nl-NL"/>
        </w:rPr>
        <w:t>Rapport sur le réseau des sites pour les oiseaux d’eau migrateurs dans la zone de l’Accord</w:t>
      </w:r>
      <w:r w:rsidR="00A12181" w:rsidRPr="00A12181">
        <w:rPr>
          <w:i/>
          <w:sz w:val="22"/>
          <w:szCs w:val="22"/>
          <w:lang w:val="fr-FR" w:eastAsia="nl-NL"/>
        </w:rPr>
        <w:t> »</w:t>
      </w:r>
      <w:r w:rsidRPr="00057D99">
        <w:rPr>
          <w:sz w:val="22"/>
          <w:szCs w:val="22"/>
          <w:lang w:val="fr-FR" w:eastAsia="nl-NL"/>
        </w:rPr>
        <w:t xml:space="preserve">, l’Outil de Réseau de sites critiques, les inventaires </w:t>
      </w:r>
      <w:r w:rsidRPr="0020772D">
        <w:rPr>
          <w:lang w:val="fr-FR"/>
        </w:rPr>
        <w:t xml:space="preserve">disponibles de zones humides et autres ressources appropriées </w:t>
      </w:r>
      <w:r w:rsidR="005B0C71" w:rsidRPr="0020772D">
        <w:rPr>
          <w:lang w:val="fr-FR"/>
        </w:rPr>
        <w:t xml:space="preserve">et de fournir un rapport sur le progrès </w:t>
      </w:r>
      <w:r w:rsidR="005D41E6" w:rsidRPr="0020772D">
        <w:rPr>
          <w:lang w:val="fr-FR"/>
        </w:rPr>
        <w:t>à</w:t>
      </w:r>
      <w:r w:rsidR="00C34A8F">
        <w:rPr>
          <w:lang w:val="fr-FR"/>
        </w:rPr>
        <w:t xml:space="preserve"> </w:t>
      </w:r>
      <w:r w:rsidR="005D41E6" w:rsidRPr="0020772D">
        <w:rPr>
          <w:lang w:val="fr-FR"/>
        </w:rPr>
        <w:t>cet</w:t>
      </w:r>
      <w:r w:rsidR="005B0C71" w:rsidRPr="0020772D">
        <w:rPr>
          <w:lang w:val="fr-FR"/>
        </w:rPr>
        <w:t xml:space="preserve"> effet à la MOP6</w:t>
      </w:r>
      <w:r w:rsidR="00FF76A4" w:rsidRPr="0020772D">
        <w:rPr>
          <w:lang w:val="fr-FR"/>
        </w:rPr>
        <w:t xml:space="preserve"> </w:t>
      </w:r>
      <w:r w:rsidRPr="0020772D">
        <w:rPr>
          <w:lang w:val="fr-FR"/>
        </w:rPr>
        <w:t>;</w:t>
      </w:r>
    </w:p>
    <w:p w14:paraId="19920CDC" w14:textId="77777777" w:rsidR="00061412" w:rsidRPr="00057D99" w:rsidRDefault="00061412" w:rsidP="007A3A5E">
      <w:pPr>
        <w:pStyle w:val="ListParagraph"/>
        <w:ind w:left="0"/>
        <w:jc w:val="both"/>
        <w:rPr>
          <w:i/>
          <w:sz w:val="22"/>
          <w:szCs w:val="22"/>
          <w:lang w:val="fr-FR" w:eastAsia="nl-NL"/>
        </w:rPr>
      </w:pPr>
    </w:p>
    <w:p w14:paraId="19920CDD" w14:textId="77777777" w:rsidR="00061412" w:rsidRPr="00057D99" w:rsidRDefault="00061412" w:rsidP="007A3A5E">
      <w:pPr>
        <w:pStyle w:val="ListParagraph"/>
        <w:numPr>
          <w:ilvl w:val="0"/>
          <w:numId w:val="5"/>
        </w:numPr>
        <w:ind w:left="0" w:firstLine="0"/>
        <w:jc w:val="both"/>
        <w:rPr>
          <w:sz w:val="22"/>
          <w:szCs w:val="22"/>
          <w:lang w:val="fr-FR" w:eastAsia="nl-NL"/>
        </w:rPr>
      </w:pPr>
      <w:r w:rsidRPr="00057D99">
        <w:rPr>
          <w:i/>
          <w:sz w:val="22"/>
          <w:szCs w:val="22"/>
          <w:lang w:val="fr-FR" w:eastAsia="nl-NL"/>
        </w:rPr>
        <w:t>Encourage</w:t>
      </w:r>
      <w:r w:rsidRPr="00057D99">
        <w:rPr>
          <w:sz w:val="22"/>
          <w:szCs w:val="22"/>
          <w:lang w:val="fr-FR" w:eastAsia="nl-NL"/>
        </w:rPr>
        <w:t xml:space="preserve"> les</w:t>
      </w:r>
      <w:r w:rsidRPr="00057D99">
        <w:rPr>
          <w:i/>
          <w:sz w:val="22"/>
          <w:szCs w:val="22"/>
          <w:lang w:val="fr-FR" w:eastAsia="nl-NL"/>
        </w:rPr>
        <w:t xml:space="preserve"> </w:t>
      </w:r>
      <w:r w:rsidRPr="00057D99">
        <w:rPr>
          <w:sz w:val="22"/>
          <w:szCs w:val="22"/>
          <w:lang w:val="fr-FR" w:eastAsia="nl-NL"/>
        </w:rPr>
        <w:t xml:space="preserve">Parties, les États de l’aire de répartition et autres Parties prenantes à effectuer des relevés destinés à combler les lacunes dans les régions mal connues, en particulier celles identifiées au cours des consultations </w:t>
      </w:r>
      <w:proofErr w:type="spellStart"/>
      <w:r w:rsidRPr="00057D99">
        <w:rPr>
          <w:sz w:val="22"/>
          <w:szCs w:val="22"/>
          <w:lang w:val="fr-FR" w:eastAsia="nl-NL"/>
        </w:rPr>
        <w:t>sous-régionales</w:t>
      </w:r>
      <w:proofErr w:type="spellEnd"/>
      <w:r w:rsidRPr="00057D99">
        <w:rPr>
          <w:sz w:val="22"/>
          <w:szCs w:val="22"/>
          <w:lang w:val="fr-FR" w:eastAsia="nl-NL"/>
        </w:rPr>
        <w:t xml:space="preserve"> dans le cadre des projets </w:t>
      </w:r>
      <w:proofErr w:type="spellStart"/>
      <w:r w:rsidRPr="00057D99">
        <w:rPr>
          <w:sz w:val="22"/>
          <w:szCs w:val="22"/>
          <w:lang w:val="fr-FR" w:eastAsia="nl-NL"/>
        </w:rPr>
        <w:t>Wings</w:t>
      </w:r>
      <w:proofErr w:type="spellEnd"/>
      <w:r w:rsidRPr="00057D99">
        <w:rPr>
          <w:sz w:val="22"/>
          <w:szCs w:val="22"/>
          <w:lang w:val="fr-FR" w:eastAsia="nl-NL"/>
        </w:rPr>
        <w:t xml:space="preserve"> Over </w:t>
      </w:r>
      <w:proofErr w:type="spellStart"/>
      <w:r w:rsidRPr="00057D99">
        <w:rPr>
          <w:sz w:val="22"/>
          <w:szCs w:val="22"/>
          <w:lang w:val="fr-FR" w:eastAsia="nl-NL"/>
        </w:rPr>
        <w:t>Wetlands</w:t>
      </w:r>
      <w:proofErr w:type="spellEnd"/>
      <w:r w:rsidRPr="00057D99">
        <w:rPr>
          <w:sz w:val="22"/>
          <w:szCs w:val="22"/>
          <w:lang w:val="fr-FR" w:eastAsia="nl-NL"/>
        </w:rPr>
        <w:t xml:space="preserve"> et </w:t>
      </w:r>
      <w:proofErr w:type="spellStart"/>
      <w:r w:rsidRPr="00057D99">
        <w:rPr>
          <w:sz w:val="22"/>
          <w:szCs w:val="22"/>
          <w:lang w:val="fr-FR" w:eastAsia="nl-NL"/>
        </w:rPr>
        <w:t>WetC</w:t>
      </w:r>
      <w:r w:rsidR="00612D2D">
        <w:rPr>
          <w:sz w:val="22"/>
          <w:szCs w:val="22"/>
          <w:lang w:val="fr-FR" w:eastAsia="nl-NL"/>
        </w:rPr>
        <w:t>ap</w:t>
      </w:r>
      <w:proofErr w:type="spellEnd"/>
      <w:r w:rsidRPr="00057D99">
        <w:rPr>
          <w:rStyle w:val="FootnoteReference"/>
          <w:sz w:val="22"/>
          <w:szCs w:val="22"/>
          <w:lang w:val="fr-FR" w:eastAsia="nl-NL"/>
        </w:rPr>
        <w:footnoteReference w:id="2"/>
      </w:r>
      <w:r w:rsidRPr="00057D99">
        <w:rPr>
          <w:sz w:val="22"/>
          <w:szCs w:val="22"/>
          <w:lang w:val="fr-FR" w:eastAsia="nl-NL"/>
        </w:rPr>
        <w:t>, afin d’évaluer leur importance internationale ;</w:t>
      </w:r>
    </w:p>
    <w:p w14:paraId="19920CDE" w14:textId="77777777" w:rsidR="00061412" w:rsidRPr="00057D99" w:rsidRDefault="00061412" w:rsidP="007A3A5E">
      <w:pPr>
        <w:pStyle w:val="ListParagraph"/>
        <w:ind w:left="0"/>
        <w:jc w:val="both"/>
        <w:rPr>
          <w:i/>
          <w:sz w:val="22"/>
          <w:szCs w:val="22"/>
          <w:lang w:val="fr-FR" w:eastAsia="nl-NL"/>
        </w:rPr>
      </w:pPr>
    </w:p>
    <w:p w14:paraId="19920CDF" w14:textId="662B9EA3" w:rsidR="00061412" w:rsidRPr="00057D99" w:rsidRDefault="00061412" w:rsidP="007A3A5E">
      <w:pPr>
        <w:pStyle w:val="ListParagraph"/>
        <w:numPr>
          <w:ilvl w:val="0"/>
          <w:numId w:val="5"/>
        </w:numPr>
        <w:ind w:left="0" w:firstLine="0"/>
        <w:jc w:val="both"/>
        <w:rPr>
          <w:sz w:val="22"/>
          <w:szCs w:val="22"/>
          <w:lang w:val="fr-FR" w:eastAsia="nl-NL"/>
        </w:rPr>
      </w:pPr>
      <w:r w:rsidRPr="00057D99">
        <w:rPr>
          <w:i/>
          <w:sz w:val="22"/>
          <w:szCs w:val="22"/>
          <w:lang w:val="fr-FR" w:eastAsia="nl-NL"/>
        </w:rPr>
        <w:t xml:space="preserve">Charge </w:t>
      </w:r>
      <w:r w:rsidRPr="00A12181">
        <w:rPr>
          <w:sz w:val="22"/>
          <w:szCs w:val="22"/>
          <w:lang w:val="fr-FR" w:eastAsia="nl-NL"/>
        </w:rPr>
        <w:t>le Secrétariat</w:t>
      </w:r>
      <w:r w:rsidRPr="00FF76A4">
        <w:rPr>
          <w:sz w:val="22"/>
          <w:szCs w:val="22"/>
          <w:lang w:val="fr-FR" w:eastAsia="nl-NL"/>
        </w:rPr>
        <w:t>,</w:t>
      </w:r>
      <w:r w:rsidRPr="00057D99">
        <w:rPr>
          <w:sz w:val="22"/>
          <w:szCs w:val="22"/>
          <w:lang w:val="fr-FR" w:eastAsia="nl-NL"/>
        </w:rPr>
        <w:t xml:space="preserve"> </w:t>
      </w:r>
      <w:r w:rsidR="003508BC">
        <w:rPr>
          <w:sz w:val="22"/>
          <w:szCs w:val="22"/>
          <w:lang w:val="fr-FR" w:eastAsia="nl-NL"/>
        </w:rPr>
        <w:t>si les fonds le permettent</w:t>
      </w:r>
      <w:r w:rsidRPr="00057D99">
        <w:rPr>
          <w:sz w:val="22"/>
          <w:szCs w:val="22"/>
          <w:lang w:val="fr-FR" w:eastAsia="nl-NL"/>
        </w:rPr>
        <w:t>, de coordonner le développement du plan d’action pour les habitats en Afrique et en Asie occidentale et centrale</w:t>
      </w:r>
      <w:r>
        <w:rPr>
          <w:sz w:val="22"/>
          <w:szCs w:val="22"/>
          <w:lang w:val="fr-FR" w:eastAsia="nl-NL"/>
        </w:rPr>
        <w:t>,</w:t>
      </w:r>
      <w:r w:rsidRPr="00057D99">
        <w:rPr>
          <w:sz w:val="22"/>
          <w:szCs w:val="22"/>
          <w:lang w:val="fr-FR" w:eastAsia="nl-NL"/>
        </w:rPr>
        <w:t xml:space="preserve"> afin de prendre en main les exigences de conservation des populations de l’AEWA au cours des phases de leur cycle biologique </w:t>
      </w:r>
      <w:r w:rsidR="005B0C71">
        <w:rPr>
          <w:sz w:val="22"/>
          <w:szCs w:val="22"/>
          <w:lang w:val="fr-FR" w:eastAsia="nl-NL"/>
        </w:rPr>
        <w:t xml:space="preserve">lorsque des approches de conservation fondées sur le site ne sont pas efficaces, </w:t>
      </w:r>
      <w:r w:rsidRPr="00057D99">
        <w:rPr>
          <w:sz w:val="22"/>
          <w:szCs w:val="22"/>
          <w:lang w:val="fr-FR" w:eastAsia="nl-NL"/>
        </w:rPr>
        <w:t>requ</w:t>
      </w:r>
      <w:r w:rsidR="005B0C71">
        <w:rPr>
          <w:sz w:val="22"/>
          <w:szCs w:val="22"/>
          <w:lang w:val="fr-FR" w:eastAsia="nl-NL"/>
        </w:rPr>
        <w:t>é</w:t>
      </w:r>
      <w:r w:rsidRPr="00057D99">
        <w:rPr>
          <w:sz w:val="22"/>
          <w:szCs w:val="22"/>
          <w:lang w:val="fr-FR" w:eastAsia="nl-NL"/>
        </w:rPr>
        <w:t>r</w:t>
      </w:r>
      <w:r w:rsidR="005B0C71">
        <w:rPr>
          <w:sz w:val="22"/>
          <w:szCs w:val="22"/>
          <w:lang w:val="fr-FR" w:eastAsia="nl-NL"/>
        </w:rPr>
        <w:t>a</w:t>
      </w:r>
      <w:r w:rsidRPr="00057D99">
        <w:rPr>
          <w:sz w:val="22"/>
          <w:szCs w:val="22"/>
          <w:lang w:val="fr-FR" w:eastAsia="nl-NL"/>
        </w:rPr>
        <w:t xml:space="preserve">nt une gestion </w:t>
      </w:r>
      <w:r w:rsidRPr="00965561">
        <w:rPr>
          <w:sz w:val="22"/>
          <w:szCs w:val="22"/>
          <w:lang w:val="fr-FR" w:eastAsia="nl-NL"/>
        </w:rPr>
        <w:t>attenti</w:t>
      </w:r>
      <w:r>
        <w:rPr>
          <w:sz w:val="22"/>
          <w:szCs w:val="22"/>
          <w:lang w:val="fr-FR" w:eastAsia="nl-NL"/>
        </w:rPr>
        <w:t>ve</w:t>
      </w:r>
      <w:r w:rsidRPr="00057D99">
        <w:rPr>
          <w:sz w:val="22"/>
          <w:szCs w:val="22"/>
          <w:lang w:val="fr-FR" w:eastAsia="nl-NL"/>
        </w:rPr>
        <w:t xml:space="preserve"> de leurs habitats dans de plus vastes paysages ;</w:t>
      </w:r>
    </w:p>
    <w:p w14:paraId="19920CE0" w14:textId="77777777" w:rsidR="00061412" w:rsidRPr="00057D99" w:rsidRDefault="00061412" w:rsidP="007A3A5E">
      <w:pPr>
        <w:pStyle w:val="ListParagraph"/>
        <w:ind w:left="0"/>
        <w:jc w:val="both"/>
        <w:rPr>
          <w:i/>
          <w:sz w:val="22"/>
          <w:szCs w:val="22"/>
          <w:lang w:val="fr-FR" w:eastAsia="nl-NL"/>
        </w:rPr>
      </w:pPr>
    </w:p>
    <w:p w14:paraId="19920CE1" w14:textId="6CF9A6E0" w:rsidR="00061412" w:rsidRPr="00057D99" w:rsidRDefault="00061412" w:rsidP="007A3A5E">
      <w:pPr>
        <w:pStyle w:val="ListParagraph"/>
        <w:numPr>
          <w:ilvl w:val="0"/>
          <w:numId w:val="5"/>
        </w:numPr>
        <w:ind w:left="0" w:firstLine="0"/>
        <w:jc w:val="both"/>
        <w:rPr>
          <w:sz w:val="22"/>
          <w:szCs w:val="22"/>
          <w:lang w:val="fr-FR" w:eastAsia="nl-NL"/>
        </w:rPr>
      </w:pPr>
      <w:r w:rsidRPr="00057D99">
        <w:rPr>
          <w:i/>
          <w:sz w:val="22"/>
          <w:szCs w:val="22"/>
          <w:lang w:val="fr-FR" w:eastAsia="nl-NL"/>
        </w:rPr>
        <w:t xml:space="preserve">Exhorte </w:t>
      </w:r>
      <w:r w:rsidRPr="00057D99">
        <w:rPr>
          <w:sz w:val="22"/>
          <w:szCs w:val="22"/>
          <w:lang w:val="fr-FR" w:eastAsia="nl-NL"/>
        </w:rPr>
        <w:t xml:space="preserve">les Parties à prendre des mesures plus efficaces pour réduire les impacts des différentes formes d’utilisation non durable des ressources biologiques </w:t>
      </w:r>
      <w:r w:rsidR="005B0C71">
        <w:rPr>
          <w:sz w:val="22"/>
          <w:szCs w:val="22"/>
          <w:lang w:val="fr-FR" w:eastAsia="nl-NL"/>
        </w:rPr>
        <w:t xml:space="preserve">en quantifiant les répercussions au niveau de la population et </w:t>
      </w:r>
      <w:r w:rsidR="003508BC">
        <w:rPr>
          <w:sz w:val="22"/>
          <w:szCs w:val="22"/>
          <w:lang w:val="fr-FR" w:eastAsia="nl-NL"/>
        </w:rPr>
        <w:t xml:space="preserve">en </w:t>
      </w:r>
      <w:r w:rsidR="005B0C71">
        <w:rPr>
          <w:sz w:val="22"/>
          <w:szCs w:val="22"/>
          <w:lang w:val="fr-FR" w:eastAsia="nl-NL"/>
        </w:rPr>
        <w:t>développant des mesures d’atténuation. D</w:t>
      </w:r>
      <w:r w:rsidR="004B340F">
        <w:rPr>
          <w:sz w:val="22"/>
          <w:szCs w:val="22"/>
          <w:lang w:val="fr-FR" w:eastAsia="nl-NL"/>
        </w:rPr>
        <w:t>e plus elle exhorte les Parties à</w:t>
      </w:r>
      <w:r>
        <w:rPr>
          <w:sz w:val="22"/>
          <w:szCs w:val="22"/>
          <w:lang w:val="fr-FR" w:eastAsia="nl-NL"/>
        </w:rPr>
        <w:t xml:space="preserve"> </w:t>
      </w:r>
      <w:r w:rsidRPr="00057D99">
        <w:rPr>
          <w:sz w:val="22"/>
          <w:szCs w:val="22"/>
          <w:lang w:val="fr-FR" w:eastAsia="nl-NL"/>
        </w:rPr>
        <w:t xml:space="preserve">coordonner l’utilisation durable des populations partagées, tout spécialement celles </w:t>
      </w:r>
      <w:r>
        <w:rPr>
          <w:sz w:val="22"/>
          <w:szCs w:val="22"/>
          <w:lang w:val="fr-FR" w:eastAsia="nl-NL"/>
        </w:rPr>
        <w:t xml:space="preserve">qui ont </w:t>
      </w:r>
      <w:r w:rsidRPr="00057D99">
        <w:rPr>
          <w:sz w:val="22"/>
          <w:szCs w:val="22"/>
          <w:lang w:val="fr-FR" w:eastAsia="nl-NL"/>
        </w:rPr>
        <w:t xml:space="preserve"> tendance</w:t>
      </w:r>
      <w:r>
        <w:rPr>
          <w:sz w:val="22"/>
          <w:szCs w:val="22"/>
          <w:lang w:val="fr-FR" w:eastAsia="nl-NL"/>
        </w:rPr>
        <w:t xml:space="preserve"> à être en déclin</w:t>
      </w:r>
      <w:r w:rsidRPr="00057D99">
        <w:rPr>
          <w:sz w:val="22"/>
          <w:szCs w:val="22"/>
          <w:lang w:val="fr-FR" w:eastAsia="nl-NL"/>
        </w:rPr>
        <w:t> </w:t>
      </w:r>
      <w:r w:rsidR="005B0C71">
        <w:rPr>
          <w:sz w:val="22"/>
          <w:szCs w:val="22"/>
          <w:lang w:val="fr-FR" w:eastAsia="nl-NL"/>
        </w:rPr>
        <w:t xml:space="preserve">notamment en développant des systèmes de gestion coordonnés de </w:t>
      </w:r>
      <w:r w:rsidR="00D3162F">
        <w:rPr>
          <w:sz w:val="22"/>
          <w:szCs w:val="22"/>
          <w:lang w:val="fr-FR" w:eastAsia="nl-NL"/>
        </w:rPr>
        <w:t>prélèvement</w:t>
      </w:r>
      <w:r w:rsidR="00542C40">
        <w:rPr>
          <w:sz w:val="22"/>
          <w:szCs w:val="22"/>
          <w:lang w:val="fr-FR" w:eastAsia="nl-NL"/>
        </w:rPr>
        <w:t xml:space="preserve"> </w:t>
      </w:r>
      <w:r w:rsidRPr="00057D99">
        <w:rPr>
          <w:sz w:val="22"/>
          <w:szCs w:val="22"/>
          <w:lang w:val="fr-FR" w:eastAsia="nl-NL"/>
        </w:rPr>
        <w:t>;</w:t>
      </w:r>
      <w:bookmarkStart w:id="0" w:name="_GoBack"/>
      <w:bookmarkEnd w:id="0"/>
    </w:p>
    <w:p w14:paraId="19920CE2" w14:textId="77777777" w:rsidR="00061412" w:rsidRPr="00057D99" w:rsidRDefault="00061412" w:rsidP="007A3A5E">
      <w:pPr>
        <w:pStyle w:val="ListParagraph"/>
        <w:ind w:left="0"/>
        <w:jc w:val="both"/>
        <w:rPr>
          <w:i/>
          <w:sz w:val="22"/>
          <w:szCs w:val="22"/>
          <w:lang w:val="fr-FR" w:eastAsia="nl-NL"/>
        </w:rPr>
      </w:pPr>
    </w:p>
    <w:p w14:paraId="19920CE3" w14:textId="55AA5356" w:rsidR="00061412" w:rsidRPr="00057D99" w:rsidRDefault="00061412" w:rsidP="007A3A5E">
      <w:pPr>
        <w:pStyle w:val="ListParagraph"/>
        <w:numPr>
          <w:ilvl w:val="0"/>
          <w:numId w:val="5"/>
        </w:numPr>
        <w:ind w:left="0" w:firstLine="0"/>
        <w:jc w:val="both"/>
        <w:rPr>
          <w:sz w:val="22"/>
          <w:szCs w:val="22"/>
          <w:lang w:val="fr-FR" w:eastAsia="nl-NL"/>
        </w:rPr>
      </w:pPr>
      <w:r w:rsidRPr="00057D99">
        <w:rPr>
          <w:i/>
          <w:sz w:val="22"/>
          <w:szCs w:val="22"/>
          <w:lang w:val="fr-FR" w:eastAsia="nl-NL"/>
        </w:rPr>
        <w:t xml:space="preserve">Invite </w:t>
      </w:r>
      <w:r w:rsidRPr="00057D99">
        <w:rPr>
          <w:sz w:val="22"/>
          <w:szCs w:val="22"/>
          <w:lang w:val="fr-FR" w:eastAsia="nl-NL"/>
        </w:rPr>
        <w:t xml:space="preserve">les Parties à </w:t>
      </w:r>
      <w:r>
        <w:rPr>
          <w:sz w:val="22"/>
          <w:szCs w:val="22"/>
          <w:lang w:val="fr-FR" w:eastAsia="nl-NL"/>
        </w:rPr>
        <w:t>entreprendre</w:t>
      </w:r>
      <w:r w:rsidRPr="00057D99">
        <w:rPr>
          <w:sz w:val="22"/>
          <w:szCs w:val="22"/>
          <w:lang w:val="fr-FR" w:eastAsia="nl-NL"/>
        </w:rPr>
        <w:t xml:space="preserve"> davantage d’actions concertées pour réduire les impacts des activités de gestion de l’eau </w:t>
      </w:r>
      <w:r w:rsidR="0020772D">
        <w:rPr>
          <w:sz w:val="22"/>
          <w:szCs w:val="22"/>
          <w:lang w:val="fr-FR" w:eastAsia="nl-NL"/>
        </w:rPr>
        <w:t>conformément au</w:t>
      </w:r>
      <w:r w:rsidRPr="00057D99">
        <w:rPr>
          <w:sz w:val="22"/>
          <w:szCs w:val="22"/>
          <w:lang w:val="fr-FR" w:eastAsia="nl-NL"/>
        </w:rPr>
        <w:t xml:space="preserve"> </w:t>
      </w:r>
      <w:r w:rsidR="00D3162F">
        <w:rPr>
          <w:sz w:val="22"/>
          <w:szCs w:val="22"/>
          <w:lang w:val="fr-FR" w:eastAsia="nl-NL"/>
        </w:rPr>
        <w:t xml:space="preserve">paragraphe 3.2 </w:t>
      </w:r>
      <w:r w:rsidR="00612D2D">
        <w:rPr>
          <w:sz w:val="22"/>
          <w:szCs w:val="22"/>
          <w:lang w:val="fr-FR" w:eastAsia="nl-NL"/>
        </w:rPr>
        <w:t>du Plan d’action de l’AEW</w:t>
      </w:r>
      <w:r w:rsidRPr="00057D99">
        <w:rPr>
          <w:sz w:val="22"/>
          <w:szCs w:val="22"/>
          <w:lang w:val="fr-FR" w:eastAsia="nl-NL"/>
        </w:rPr>
        <w:t>A</w:t>
      </w:r>
      <w:r w:rsidR="008A741F">
        <w:rPr>
          <w:sz w:val="22"/>
          <w:szCs w:val="22"/>
          <w:lang w:val="fr-FR" w:eastAsia="nl-NL"/>
        </w:rPr>
        <w:t xml:space="preserve"> </w:t>
      </w:r>
      <w:r w:rsidRPr="00057D99">
        <w:rPr>
          <w:sz w:val="22"/>
          <w:szCs w:val="22"/>
          <w:lang w:val="fr-FR" w:eastAsia="nl-NL"/>
        </w:rPr>
        <w:t>;</w:t>
      </w:r>
    </w:p>
    <w:p w14:paraId="19920CE4" w14:textId="77777777" w:rsidR="00061412" w:rsidRPr="00057D99" w:rsidRDefault="00061412" w:rsidP="007A3A5E">
      <w:pPr>
        <w:pStyle w:val="ListParagraph"/>
        <w:ind w:left="0"/>
        <w:jc w:val="both"/>
        <w:rPr>
          <w:i/>
          <w:sz w:val="22"/>
          <w:szCs w:val="22"/>
          <w:lang w:val="fr-FR" w:eastAsia="nl-NL"/>
        </w:rPr>
      </w:pPr>
    </w:p>
    <w:p w14:paraId="19920CE5" w14:textId="519C2387" w:rsidR="00061412" w:rsidRPr="00057D99" w:rsidRDefault="00061412" w:rsidP="007A3A5E">
      <w:pPr>
        <w:pStyle w:val="ListParagraph"/>
        <w:numPr>
          <w:ilvl w:val="0"/>
          <w:numId w:val="5"/>
        </w:numPr>
        <w:ind w:left="0" w:firstLine="0"/>
        <w:jc w:val="both"/>
        <w:rPr>
          <w:sz w:val="22"/>
          <w:szCs w:val="22"/>
          <w:lang w:val="fr-FR" w:eastAsia="nl-NL"/>
        </w:rPr>
      </w:pPr>
      <w:r w:rsidRPr="00057D99">
        <w:rPr>
          <w:i/>
          <w:sz w:val="22"/>
          <w:szCs w:val="22"/>
          <w:lang w:val="fr-FR" w:eastAsia="nl-NL"/>
        </w:rPr>
        <w:t xml:space="preserve">Charge </w:t>
      </w:r>
      <w:r w:rsidRPr="00057D99">
        <w:rPr>
          <w:sz w:val="22"/>
          <w:szCs w:val="22"/>
          <w:lang w:val="fr-FR" w:eastAsia="nl-NL"/>
        </w:rPr>
        <w:t>les</w:t>
      </w:r>
      <w:r w:rsidRPr="00057D99">
        <w:rPr>
          <w:i/>
          <w:sz w:val="22"/>
          <w:szCs w:val="22"/>
          <w:lang w:val="fr-FR" w:eastAsia="nl-NL"/>
        </w:rPr>
        <w:t xml:space="preserve"> </w:t>
      </w:r>
      <w:r w:rsidRPr="00057D99">
        <w:rPr>
          <w:sz w:val="22"/>
          <w:szCs w:val="22"/>
          <w:lang w:val="fr-FR" w:eastAsia="nl-NL"/>
        </w:rPr>
        <w:t>Parties, agissant en qualité de donateurs dans la coopération internationale au développement, de prendre en considération les exigences de l’AEWA dans la mise en œuvre de leurs politiques d’aide extérieure afin de prendre en main les impacts négatifs de la gestion de l’eau, des développements de l’agriculture et de l’aquaculture</w:t>
      </w:r>
      <w:r>
        <w:rPr>
          <w:sz w:val="22"/>
          <w:szCs w:val="22"/>
          <w:lang w:val="fr-FR" w:eastAsia="nl-NL"/>
        </w:rPr>
        <w:t>,</w:t>
      </w:r>
      <w:r w:rsidRPr="00057D99">
        <w:rPr>
          <w:sz w:val="22"/>
          <w:szCs w:val="22"/>
          <w:lang w:val="fr-FR" w:eastAsia="nl-NL"/>
        </w:rPr>
        <w:t xml:space="preserve"> </w:t>
      </w:r>
      <w:r w:rsidR="00D3162F">
        <w:rPr>
          <w:sz w:val="22"/>
          <w:szCs w:val="22"/>
          <w:lang w:val="fr-FR" w:eastAsia="nl-NL"/>
        </w:rPr>
        <w:t xml:space="preserve">le tourisme de chasse et de pêche </w:t>
      </w:r>
      <w:r w:rsidRPr="00057D99">
        <w:rPr>
          <w:sz w:val="22"/>
          <w:szCs w:val="22"/>
          <w:lang w:val="fr-FR" w:eastAsia="nl-NL"/>
        </w:rPr>
        <w:t>et d</w:t>
      </w:r>
      <w:r>
        <w:rPr>
          <w:sz w:val="22"/>
          <w:szCs w:val="22"/>
          <w:lang w:val="fr-FR" w:eastAsia="nl-NL"/>
        </w:rPr>
        <w:t>’aider</w:t>
      </w:r>
      <w:r w:rsidRPr="00057D99">
        <w:rPr>
          <w:sz w:val="22"/>
          <w:szCs w:val="22"/>
          <w:lang w:val="fr-FR" w:eastAsia="nl-NL"/>
        </w:rPr>
        <w:t xml:space="preserve"> à l’établissement d’un réseau complet et cohérent</w:t>
      </w:r>
      <w:r>
        <w:rPr>
          <w:sz w:val="22"/>
          <w:szCs w:val="22"/>
          <w:lang w:val="fr-FR" w:eastAsia="nl-NL"/>
        </w:rPr>
        <w:t>,</w:t>
      </w:r>
      <w:r w:rsidRPr="00057D99">
        <w:rPr>
          <w:sz w:val="22"/>
          <w:szCs w:val="22"/>
          <w:lang w:val="fr-FR" w:eastAsia="nl-NL"/>
        </w:rPr>
        <w:t xml:space="preserve"> au niveau de la voie de migration</w:t>
      </w:r>
      <w:r>
        <w:rPr>
          <w:sz w:val="22"/>
          <w:szCs w:val="22"/>
          <w:lang w:val="fr-FR" w:eastAsia="nl-NL"/>
        </w:rPr>
        <w:t>,</w:t>
      </w:r>
      <w:r w:rsidRPr="00057D99">
        <w:rPr>
          <w:sz w:val="22"/>
          <w:szCs w:val="22"/>
          <w:lang w:val="fr-FR" w:eastAsia="nl-NL"/>
        </w:rPr>
        <w:t xml:space="preserve"> de sites protégés et gérés </w:t>
      </w:r>
      <w:r w:rsidR="00D3162F">
        <w:rPr>
          <w:sz w:val="22"/>
          <w:szCs w:val="22"/>
          <w:lang w:val="fr-FR" w:eastAsia="nl-NL"/>
        </w:rPr>
        <w:t xml:space="preserve">et d’autres sites gérés de manière adéquate </w:t>
      </w:r>
      <w:r w:rsidRPr="00057D99">
        <w:rPr>
          <w:sz w:val="22"/>
          <w:szCs w:val="22"/>
          <w:lang w:val="fr-FR" w:eastAsia="nl-NL"/>
        </w:rPr>
        <w:t xml:space="preserve">qui répondent aux objectifs communs de l’AEWA, la Convention sur les espèces migratrices, la Convention sur la diversité biologique, la Convention de </w:t>
      </w:r>
      <w:proofErr w:type="spellStart"/>
      <w:r w:rsidRPr="00057D99">
        <w:rPr>
          <w:sz w:val="22"/>
          <w:szCs w:val="22"/>
          <w:lang w:val="fr-FR" w:eastAsia="nl-NL"/>
        </w:rPr>
        <w:t>Ramsar</w:t>
      </w:r>
      <w:proofErr w:type="spellEnd"/>
      <w:r w:rsidRPr="00057D99">
        <w:rPr>
          <w:sz w:val="22"/>
          <w:szCs w:val="22"/>
          <w:lang w:val="fr-FR" w:eastAsia="nl-NL"/>
        </w:rPr>
        <w:t xml:space="preserve"> sur les zones humides et autres traités internationaux ;</w:t>
      </w:r>
    </w:p>
    <w:p w14:paraId="19920CE6" w14:textId="77777777" w:rsidR="00061412" w:rsidRPr="00057D99" w:rsidRDefault="00061412" w:rsidP="007A3A5E">
      <w:pPr>
        <w:pStyle w:val="ListParagraph"/>
        <w:ind w:left="0"/>
        <w:jc w:val="both"/>
        <w:rPr>
          <w:i/>
          <w:sz w:val="22"/>
          <w:szCs w:val="22"/>
          <w:lang w:val="fr-FR" w:eastAsia="nl-NL"/>
        </w:rPr>
      </w:pPr>
    </w:p>
    <w:p w14:paraId="19920CE7" w14:textId="4FF45D22" w:rsidR="00061412" w:rsidRDefault="00061412" w:rsidP="007A3A5E">
      <w:pPr>
        <w:pStyle w:val="ListParagraph"/>
        <w:numPr>
          <w:ilvl w:val="0"/>
          <w:numId w:val="5"/>
        </w:numPr>
        <w:ind w:left="0" w:firstLine="0"/>
        <w:jc w:val="both"/>
        <w:rPr>
          <w:sz w:val="22"/>
          <w:szCs w:val="22"/>
          <w:lang w:val="fr-FR" w:eastAsia="nl-NL"/>
        </w:rPr>
      </w:pPr>
      <w:r w:rsidRPr="00057D99">
        <w:rPr>
          <w:i/>
          <w:sz w:val="22"/>
          <w:szCs w:val="22"/>
          <w:lang w:val="fr-FR" w:eastAsia="nl-NL"/>
        </w:rPr>
        <w:t xml:space="preserve">Charge </w:t>
      </w:r>
      <w:r w:rsidRPr="00057D99">
        <w:rPr>
          <w:sz w:val="22"/>
          <w:szCs w:val="22"/>
          <w:lang w:val="fr-FR" w:eastAsia="nl-NL"/>
        </w:rPr>
        <w:t xml:space="preserve">le Secrétariat, </w:t>
      </w:r>
      <w:r w:rsidR="003508BC" w:rsidRPr="003508BC">
        <w:rPr>
          <w:i/>
          <w:sz w:val="22"/>
          <w:szCs w:val="22"/>
          <w:lang w:val="fr-FR" w:eastAsia="nl-NL"/>
        </w:rPr>
        <w:t>exhorte</w:t>
      </w:r>
      <w:r w:rsidR="003508BC">
        <w:rPr>
          <w:sz w:val="22"/>
          <w:szCs w:val="22"/>
          <w:lang w:val="fr-FR" w:eastAsia="nl-NL"/>
        </w:rPr>
        <w:t xml:space="preserve"> les Parties et </w:t>
      </w:r>
      <w:r w:rsidR="003508BC" w:rsidRPr="003508BC">
        <w:rPr>
          <w:i/>
          <w:sz w:val="22"/>
          <w:szCs w:val="22"/>
          <w:lang w:val="fr-FR" w:eastAsia="nl-NL"/>
        </w:rPr>
        <w:t>invite</w:t>
      </w:r>
      <w:r w:rsidRPr="00057D99">
        <w:rPr>
          <w:sz w:val="22"/>
          <w:szCs w:val="22"/>
          <w:lang w:val="fr-FR" w:eastAsia="nl-NL"/>
        </w:rPr>
        <w:t xml:space="preserve"> les Secrétariats des autres AEM tels que la Convention sur les espèces migratrices et la Convention de </w:t>
      </w:r>
      <w:proofErr w:type="spellStart"/>
      <w:r w:rsidRPr="00057D99">
        <w:rPr>
          <w:sz w:val="22"/>
          <w:szCs w:val="22"/>
          <w:lang w:val="fr-FR" w:eastAsia="nl-NL"/>
        </w:rPr>
        <w:t>Ramsar</w:t>
      </w:r>
      <w:proofErr w:type="spellEnd"/>
      <w:r w:rsidRPr="00057D99">
        <w:rPr>
          <w:sz w:val="22"/>
          <w:szCs w:val="22"/>
          <w:lang w:val="fr-FR" w:eastAsia="nl-NL"/>
        </w:rPr>
        <w:t xml:space="preserve"> sur les zones humides</w:t>
      </w:r>
      <w:r>
        <w:rPr>
          <w:sz w:val="22"/>
          <w:szCs w:val="22"/>
          <w:lang w:val="fr-FR" w:eastAsia="nl-NL"/>
        </w:rPr>
        <w:t>,</w:t>
      </w:r>
      <w:r w:rsidRPr="00057D99">
        <w:rPr>
          <w:sz w:val="22"/>
          <w:szCs w:val="22"/>
          <w:lang w:val="fr-FR" w:eastAsia="nl-NL"/>
        </w:rPr>
        <w:t xml:space="preserve"> et les autres parties prenantes à promouvoir </w:t>
      </w:r>
      <w:r>
        <w:rPr>
          <w:sz w:val="22"/>
          <w:szCs w:val="22"/>
          <w:lang w:val="fr-FR" w:eastAsia="nl-NL"/>
        </w:rPr>
        <w:t>des</w:t>
      </w:r>
      <w:r w:rsidRPr="00057D99">
        <w:rPr>
          <w:sz w:val="22"/>
          <w:szCs w:val="22"/>
          <w:lang w:val="fr-FR" w:eastAsia="nl-NL"/>
        </w:rPr>
        <w:t xml:space="preserve"> conditions </w:t>
      </w:r>
      <w:r>
        <w:rPr>
          <w:sz w:val="22"/>
          <w:szCs w:val="22"/>
          <w:lang w:val="fr-FR" w:eastAsia="nl-NL"/>
        </w:rPr>
        <w:t xml:space="preserve">plus </w:t>
      </w:r>
      <w:r w:rsidRPr="00057D99">
        <w:rPr>
          <w:sz w:val="22"/>
          <w:szCs w:val="22"/>
          <w:lang w:val="fr-FR" w:eastAsia="nl-NL"/>
        </w:rPr>
        <w:t>favorables pour des projets pour les espèces migratrices à l’échelle de la voie de migration regroupant plusieurs pays par le biais des mécanismes de financement de la biodiversité internationale, tels que le Fonds pour l’environnement mondial</w:t>
      </w:r>
      <w:r w:rsidRPr="00057D99">
        <w:rPr>
          <w:rStyle w:val="FootnoteReference"/>
          <w:sz w:val="22"/>
          <w:szCs w:val="22"/>
          <w:lang w:val="fr-FR" w:eastAsia="nl-NL"/>
        </w:rPr>
        <w:footnoteReference w:id="3"/>
      </w:r>
      <w:r w:rsidRPr="00057D99">
        <w:rPr>
          <w:sz w:val="22"/>
          <w:szCs w:val="22"/>
          <w:lang w:val="fr-FR" w:eastAsia="nl-NL"/>
        </w:rPr>
        <w:t xml:space="preserve"> et LIFE+</w:t>
      </w:r>
      <w:r w:rsidRPr="00057D99">
        <w:rPr>
          <w:rStyle w:val="FootnoteReference"/>
          <w:sz w:val="22"/>
          <w:szCs w:val="22"/>
          <w:lang w:val="fr-FR" w:eastAsia="nl-NL"/>
        </w:rPr>
        <w:footnoteReference w:id="4"/>
      </w:r>
      <w:r w:rsidR="00D3162F">
        <w:rPr>
          <w:sz w:val="22"/>
          <w:szCs w:val="22"/>
          <w:lang w:val="fr-FR" w:eastAsia="nl-NL"/>
        </w:rPr>
        <w:t xml:space="preserve"> en adoptant des critères </w:t>
      </w:r>
      <w:proofErr w:type="spellStart"/>
      <w:r w:rsidR="00D3162F">
        <w:rPr>
          <w:sz w:val="22"/>
          <w:szCs w:val="22"/>
          <w:lang w:val="fr-FR" w:eastAsia="nl-NL"/>
        </w:rPr>
        <w:t>adminissibles</w:t>
      </w:r>
      <w:proofErr w:type="spellEnd"/>
      <w:r w:rsidR="00D3162F">
        <w:rPr>
          <w:sz w:val="22"/>
          <w:szCs w:val="22"/>
          <w:lang w:val="fr-FR" w:eastAsia="nl-NL"/>
        </w:rPr>
        <w:t xml:space="preserve"> conducteurs et en finançant des projets internationaux</w:t>
      </w:r>
      <w:r w:rsidR="00FF76A4">
        <w:rPr>
          <w:sz w:val="22"/>
          <w:szCs w:val="22"/>
          <w:lang w:val="fr-FR" w:eastAsia="nl-NL"/>
        </w:rPr>
        <w:t> ;</w:t>
      </w:r>
    </w:p>
    <w:p w14:paraId="70D66B45" w14:textId="77777777" w:rsidR="00D3162F" w:rsidRPr="00A12181" w:rsidRDefault="00D3162F" w:rsidP="00A12181">
      <w:pPr>
        <w:pStyle w:val="ListParagraph"/>
        <w:rPr>
          <w:sz w:val="22"/>
          <w:szCs w:val="22"/>
          <w:lang w:val="fr-FR" w:eastAsia="nl-NL"/>
        </w:rPr>
      </w:pPr>
    </w:p>
    <w:p w14:paraId="26FBDFA1" w14:textId="0F3773DE" w:rsidR="00D3162F" w:rsidRPr="00057D99" w:rsidRDefault="006D1548" w:rsidP="007A3A5E">
      <w:pPr>
        <w:pStyle w:val="ListParagraph"/>
        <w:numPr>
          <w:ilvl w:val="0"/>
          <w:numId w:val="5"/>
        </w:numPr>
        <w:ind w:left="0" w:firstLine="0"/>
        <w:jc w:val="both"/>
        <w:rPr>
          <w:sz w:val="22"/>
          <w:szCs w:val="22"/>
          <w:lang w:val="fr-FR" w:eastAsia="nl-NL"/>
        </w:rPr>
      </w:pPr>
      <w:r w:rsidRPr="00A12181">
        <w:rPr>
          <w:i/>
          <w:sz w:val="22"/>
          <w:szCs w:val="22"/>
          <w:lang w:val="fr-FR" w:eastAsia="nl-NL"/>
        </w:rPr>
        <w:t>Exhorte</w:t>
      </w:r>
      <w:r>
        <w:rPr>
          <w:sz w:val="22"/>
          <w:szCs w:val="22"/>
          <w:lang w:val="fr-FR" w:eastAsia="nl-NL"/>
        </w:rPr>
        <w:t xml:space="preserve"> les Parties, le Comité permanent et technique, et le Secrétariat de prévoir pour la mise en œuvre des recommandations</w:t>
      </w:r>
      <w:r w:rsidR="003508BC">
        <w:rPr>
          <w:sz w:val="22"/>
          <w:szCs w:val="22"/>
          <w:lang w:val="fr-FR" w:eastAsia="nl-NL"/>
        </w:rPr>
        <w:t xml:space="preserve"> du</w:t>
      </w:r>
      <w:r w:rsidR="00FC716D">
        <w:rPr>
          <w:sz w:val="22"/>
          <w:szCs w:val="22"/>
          <w:lang w:val="fr-FR" w:eastAsia="nl-NL"/>
        </w:rPr>
        <w:t xml:space="preserve"> rapport du Comité permanent fait à la MOP5 sur l</w:t>
      </w:r>
      <w:r w:rsidR="003508BC">
        <w:rPr>
          <w:sz w:val="22"/>
          <w:szCs w:val="22"/>
          <w:lang w:val="fr-FR" w:eastAsia="nl-NL"/>
        </w:rPr>
        <w:t>’ » Avancement</w:t>
      </w:r>
      <w:r w:rsidR="00FC716D">
        <w:rPr>
          <w:sz w:val="22"/>
          <w:szCs w:val="22"/>
          <w:lang w:val="fr-FR" w:eastAsia="nl-NL"/>
        </w:rPr>
        <w:t xml:space="preserve"> de la mise en œuvre du plan stratégique</w:t>
      </w:r>
      <w:r w:rsidR="003A3D44">
        <w:rPr>
          <w:sz w:val="22"/>
          <w:szCs w:val="22"/>
          <w:lang w:val="fr-FR" w:eastAsia="nl-NL"/>
        </w:rPr>
        <w:t xml:space="preserve"> 2009-2017 de l’AEWA</w:t>
      </w:r>
      <w:r w:rsidR="003508BC">
        <w:rPr>
          <w:sz w:val="22"/>
          <w:szCs w:val="22"/>
          <w:lang w:val="fr-FR" w:eastAsia="nl-NL"/>
        </w:rPr>
        <w:t> »</w:t>
      </w:r>
      <w:r w:rsidR="003A3D44">
        <w:rPr>
          <w:sz w:val="22"/>
          <w:szCs w:val="22"/>
          <w:lang w:val="fr-FR" w:eastAsia="nl-NL"/>
        </w:rPr>
        <w:t xml:space="preserve"> (AEWA/</w:t>
      </w:r>
      <w:r w:rsidR="003A3D44" w:rsidRPr="003508BC">
        <w:rPr>
          <w:sz w:val="22"/>
          <w:szCs w:val="22"/>
          <w:lang w:val="fr-FR" w:eastAsia="nl-NL"/>
        </w:rPr>
        <w:t xml:space="preserve">MOP5.11), </w:t>
      </w:r>
      <w:r w:rsidR="003508BC" w:rsidRPr="003508BC">
        <w:rPr>
          <w:sz w:val="22"/>
          <w:szCs w:val="22"/>
          <w:lang w:val="fr-FR" w:eastAsia="nl-NL"/>
        </w:rPr>
        <w:t>si nécessaire</w:t>
      </w:r>
      <w:r w:rsidR="003A3D44" w:rsidRPr="003508BC">
        <w:rPr>
          <w:sz w:val="22"/>
          <w:szCs w:val="22"/>
          <w:lang w:val="fr-FR" w:eastAsia="nl-NL"/>
        </w:rPr>
        <w:t>.</w:t>
      </w:r>
      <w:r>
        <w:rPr>
          <w:sz w:val="22"/>
          <w:szCs w:val="22"/>
          <w:lang w:val="fr-FR" w:eastAsia="nl-NL"/>
        </w:rPr>
        <w:t xml:space="preserve"> </w:t>
      </w:r>
    </w:p>
    <w:sectPr w:rsidR="00D3162F" w:rsidRPr="00057D99" w:rsidSect="00850DA6">
      <w:headerReference w:type="default" r:id="rId11"/>
      <w:footerReference w:type="default" r:id="rId12"/>
      <w:pgSz w:w="11907" w:h="16840"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31DAA" w14:textId="77777777" w:rsidR="0020772D" w:rsidRDefault="0020772D">
      <w:r>
        <w:separator/>
      </w:r>
    </w:p>
  </w:endnote>
  <w:endnote w:type="continuationSeparator" w:id="0">
    <w:p w14:paraId="71C3AE78" w14:textId="77777777" w:rsidR="0020772D" w:rsidRDefault="0020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20CFA" w14:textId="77777777" w:rsidR="0020772D" w:rsidRPr="00CB3800" w:rsidRDefault="0020772D" w:rsidP="00AA1D2F">
    <w:pPr>
      <w:pStyle w:val="Footer"/>
      <w:framePr w:wrap="around" w:vAnchor="text" w:hAnchor="margin" w:xAlign="center" w:y="1"/>
      <w:rPr>
        <w:rStyle w:val="PageNumber"/>
        <w:sz w:val="20"/>
        <w:szCs w:val="20"/>
      </w:rPr>
    </w:pPr>
  </w:p>
  <w:p w14:paraId="19920CFB" w14:textId="77777777" w:rsidR="0020772D" w:rsidRDefault="0020772D" w:rsidP="00850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20CFD" w14:textId="77777777" w:rsidR="0020772D" w:rsidRPr="00CB3800" w:rsidRDefault="0020772D" w:rsidP="00AA1D2F">
    <w:pPr>
      <w:pStyle w:val="Footer"/>
      <w:framePr w:wrap="around" w:vAnchor="text" w:hAnchor="margin" w:xAlign="center" w:y="1"/>
      <w:rPr>
        <w:rStyle w:val="PageNumber"/>
        <w:sz w:val="20"/>
        <w:szCs w:val="20"/>
      </w:rPr>
    </w:pPr>
    <w:r w:rsidRPr="00CB3800">
      <w:rPr>
        <w:rStyle w:val="PageNumber"/>
        <w:sz w:val="20"/>
        <w:szCs w:val="20"/>
      </w:rPr>
      <w:fldChar w:fldCharType="begin"/>
    </w:r>
    <w:r w:rsidRPr="00CB3800">
      <w:rPr>
        <w:rStyle w:val="PageNumber"/>
        <w:sz w:val="20"/>
        <w:szCs w:val="20"/>
      </w:rPr>
      <w:instrText xml:space="preserve">PAGE  </w:instrText>
    </w:r>
    <w:r w:rsidRPr="00CB3800">
      <w:rPr>
        <w:rStyle w:val="PageNumber"/>
        <w:sz w:val="20"/>
        <w:szCs w:val="20"/>
      </w:rPr>
      <w:fldChar w:fldCharType="separate"/>
    </w:r>
    <w:r w:rsidR="00BF7186">
      <w:rPr>
        <w:rStyle w:val="PageNumber"/>
        <w:noProof/>
        <w:sz w:val="20"/>
        <w:szCs w:val="20"/>
      </w:rPr>
      <w:t>4</w:t>
    </w:r>
    <w:r w:rsidRPr="00CB3800">
      <w:rPr>
        <w:rStyle w:val="PageNumber"/>
        <w:sz w:val="20"/>
        <w:szCs w:val="20"/>
      </w:rPr>
      <w:fldChar w:fldCharType="end"/>
    </w:r>
  </w:p>
  <w:p w14:paraId="19920CFE" w14:textId="77777777" w:rsidR="0020772D" w:rsidRDefault="0020772D" w:rsidP="00850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200FC" w14:textId="77777777" w:rsidR="0020772D" w:rsidRDefault="0020772D">
      <w:r>
        <w:separator/>
      </w:r>
    </w:p>
  </w:footnote>
  <w:footnote w:type="continuationSeparator" w:id="0">
    <w:p w14:paraId="08E977AE" w14:textId="77777777" w:rsidR="0020772D" w:rsidRDefault="0020772D">
      <w:r>
        <w:continuationSeparator/>
      </w:r>
    </w:p>
  </w:footnote>
  <w:footnote w:id="1">
    <w:p w14:paraId="19920D01" w14:textId="77777777" w:rsidR="0020772D" w:rsidRDefault="0020772D">
      <w:pPr>
        <w:pStyle w:val="FootnoteText"/>
      </w:pPr>
      <w:r>
        <w:rPr>
          <w:rStyle w:val="FootnoteReference"/>
        </w:rPr>
        <w:footnoteRef/>
      </w:r>
      <w:r>
        <w:t xml:space="preserve"> </w:t>
      </w:r>
      <w:r w:rsidRPr="003846CB">
        <w:t>http://www.wingsoverwetlands.org/</w:t>
      </w:r>
    </w:p>
  </w:footnote>
  <w:footnote w:id="2">
    <w:p w14:paraId="19920D02" w14:textId="4AB94154" w:rsidR="0020772D" w:rsidRDefault="0020772D">
      <w:pPr>
        <w:pStyle w:val="FootnoteText"/>
      </w:pPr>
      <w:r w:rsidRPr="006F5C09">
        <w:rPr>
          <w:rStyle w:val="FootnoteReference"/>
        </w:rPr>
        <w:footnoteRef/>
      </w:r>
      <w:r w:rsidRPr="006F5C09">
        <w:t xml:space="preserve"> </w:t>
      </w:r>
      <w:r w:rsidRPr="008105D7">
        <w:t>http://www.unep-aewa.org/activities/wetcap/fr/index.htm</w:t>
      </w:r>
    </w:p>
  </w:footnote>
  <w:footnote w:id="3">
    <w:p w14:paraId="19920D03" w14:textId="77777777" w:rsidR="0020772D" w:rsidRDefault="0020772D">
      <w:pPr>
        <w:pStyle w:val="FootnoteText"/>
      </w:pPr>
      <w:r>
        <w:rPr>
          <w:rStyle w:val="FootnoteReference"/>
        </w:rPr>
        <w:footnoteRef/>
      </w:r>
      <w:r w:rsidRPr="008A741F">
        <w:t xml:space="preserve"> http://www.thegef.org/gef/</w:t>
      </w:r>
    </w:p>
  </w:footnote>
  <w:footnote w:id="4">
    <w:p w14:paraId="19920D04" w14:textId="77777777" w:rsidR="0020772D" w:rsidRDefault="0020772D">
      <w:pPr>
        <w:pStyle w:val="FootnoteText"/>
      </w:pPr>
      <w:r>
        <w:rPr>
          <w:rStyle w:val="FootnoteReference"/>
        </w:rPr>
        <w:footnoteRef/>
      </w:r>
      <w:r w:rsidRPr="008A741F">
        <w:t xml:space="preserve"> http://ec.europa.eu/environment/life/funding/lifeplus.htm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A4626" w14:textId="77777777" w:rsidR="0020772D" w:rsidRPr="007620D4" w:rsidRDefault="0020772D" w:rsidP="00FF76A4">
    <w:pPr>
      <w:rPr>
        <w:rStyle w:val="Emphasis"/>
      </w:rPr>
    </w:pPr>
  </w:p>
  <w:tbl>
    <w:tblPr>
      <w:tblW w:w="4923" w:type="pct"/>
      <w:tblLayout w:type="fixed"/>
      <w:tblLook w:val="0000" w:firstRow="0" w:lastRow="0" w:firstColumn="0" w:lastColumn="0" w:noHBand="0" w:noVBand="0"/>
    </w:tblPr>
    <w:tblGrid>
      <w:gridCol w:w="1525"/>
      <w:gridCol w:w="7231"/>
      <w:gridCol w:w="947"/>
    </w:tblGrid>
    <w:tr w:rsidR="0020772D" w:rsidRPr="0020772D" w14:paraId="716F275D" w14:textId="77777777" w:rsidTr="0020772D">
      <w:trPr>
        <w:trHeight w:val="2164"/>
      </w:trPr>
      <w:tc>
        <w:tcPr>
          <w:tcW w:w="786" w:type="pct"/>
        </w:tcPr>
        <w:p w14:paraId="34C1F05B" w14:textId="77777777" w:rsidR="0020772D" w:rsidRDefault="0020772D" w:rsidP="0020772D">
          <w:pPr>
            <w:ind w:right="33"/>
          </w:pPr>
          <w:r>
            <w:rPr>
              <w:noProof/>
            </w:rPr>
            <w:drawing>
              <wp:anchor distT="0" distB="0" distL="114300" distR="114300" simplePos="0" relativeHeight="251660288" behindDoc="1" locked="0" layoutInCell="1" allowOverlap="1" wp14:anchorId="5A2DD22F" wp14:editId="2AE54133">
                <wp:simplePos x="0" y="0"/>
                <wp:positionH relativeFrom="column">
                  <wp:posOffset>-72390</wp:posOffset>
                </wp:positionH>
                <wp:positionV relativeFrom="paragraph">
                  <wp:posOffset>6985</wp:posOffset>
                </wp:positionV>
                <wp:extent cx="982980" cy="819150"/>
                <wp:effectExtent l="0" t="0" r="7620" b="0"/>
                <wp:wrapTight wrapText="bothSides">
                  <wp:wrapPolygon edited="0">
                    <wp:start x="0" y="0"/>
                    <wp:lineTo x="0" y="21098"/>
                    <wp:lineTo x="21349" y="21098"/>
                    <wp:lineTo x="21349" y="0"/>
                    <wp:lineTo x="0" y="0"/>
                  </wp:wrapPolygon>
                </wp:wrapTight>
                <wp:docPr id="5"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98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26" w:type="pct"/>
        </w:tcPr>
        <w:p w14:paraId="0F2E90A7" w14:textId="77777777" w:rsidR="0020772D" w:rsidRPr="00C606E5" w:rsidRDefault="0020772D" w:rsidP="0020772D">
          <w:pPr>
            <w:tabs>
              <w:tab w:val="left" w:pos="2415"/>
            </w:tabs>
            <w:rPr>
              <w:i/>
              <w:caps/>
              <w:sz w:val="22"/>
              <w:szCs w:val="20"/>
              <w:lang w:val="fr-FR"/>
            </w:rPr>
          </w:pPr>
          <w:r>
            <w:rPr>
              <w:i/>
              <w:caps/>
              <w:sz w:val="22"/>
              <w:szCs w:val="20"/>
              <w:lang w:val="fr-FR"/>
            </w:rPr>
            <w:t xml:space="preserve">            </w:t>
          </w:r>
          <w:r w:rsidRPr="00C606E5">
            <w:rPr>
              <w:i/>
              <w:caps/>
              <w:sz w:val="22"/>
              <w:szCs w:val="20"/>
              <w:lang w:val="fr-FR"/>
            </w:rPr>
            <w:t xml:space="preserve">ACCORD SUR LA CONSERVATION DES OISEAUX </w:t>
          </w:r>
        </w:p>
        <w:p w14:paraId="087015FC" w14:textId="77777777" w:rsidR="0020772D" w:rsidRPr="007620D4" w:rsidRDefault="0020772D" w:rsidP="0020772D">
          <w:pPr>
            <w:tabs>
              <w:tab w:val="left" w:pos="2415"/>
            </w:tabs>
            <w:rPr>
              <w:i/>
              <w:caps/>
              <w:szCs w:val="22"/>
              <w:lang w:val="fr-FR"/>
            </w:rPr>
          </w:pPr>
          <w:r>
            <w:rPr>
              <w:i/>
              <w:caps/>
              <w:sz w:val="22"/>
              <w:szCs w:val="20"/>
              <w:lang w:val="fr-FR"/>
            </w:rPr>
            <w:t xml:space="preserve">                 </w:t>
          </w:r>
          <w:r w:rsidRPr="007620D4">
            <w:rPr>
              <w:i/>
              <w:caps/>
              <w:sz w:val="22"/>
              <w:szCs w:val="20"/>
              <w:lang w:val="fr-FR"/>
            </w:rPr>
            <w:t>D’eau migrateurs D’afrique-eurasie</w:t>
          </w:r>
        </w:p>
        <w:p w14:paraId="4F082AAE" w14:textId="77777777" w:rsidR="0020772D" w:rsidRPr="007620D4" w:rsidRDefault="0020772D" w:rsidP="0020772D">
          <w:pPr>
            <w:tabs>
              <w:tab w:val="left" w:pos="2415"/>
            </w:tabs>
            <w:jc w:val="center"/>
            <w:rPr>
              <w:i/>
              <w:caps/>
              <w:sz w:val="22"/>
              <w:szCs w:val="22"/>
              <w:lang w:val="fr-FR"/>
            </w:rPr>
          </w:pPr>
        </w:p>
        <w:p w14:paraId="075A2FA7" w14:textId="77777777" w:rsidR="0020772D" w:rsidRPr="007620D4" w:rsidRDefault="0020772D" w:rsidP="0020772D">
          <w:pPr>
            <w:tabs>
              <w:tab w:val="left" w:pos="2415"/>
            </w:tabs>
            <w:jc w:val="center"/>
            <w:rPr>
              <w:i/>
              <w:caps/>
              <w:sz w:val="22"/>
              <w:szCs w:val="22"/>
              <w:lang w:val="fr-FR"/>
            </w:rPr>
          </w:pPr>
        </w:p>
        <w:p w14:paraId="29E2D65D" w14:textId="77777777" w:rsidR="0020772D" w:rsidRDefault="0020772D" w:rsidP="0020772D">
          <w:pPr>
            <w:pStyle w:val="BodyText2"/>
            <w:rPr>
              <w:b/>
              <w:bCs/>
              <w:caps/>
              <w:szCs w:val="26"/>
              <w:lang w:val="fr-FR"/>
            </w:rPr>
          </w:pPr>
          <w:r>
            <w:rPr>
              <w:b/>
              <w:bCs/>
              <w:szCs w:val="26"/>
              <w:lang w:val="fr-FR"/>
            </w:rPr>
            <w:t xml:space="preserve">           </w:t>
          </w:r>
          <w:r w:rsidRPr="00C606E5">
            <w:rPr>
              <w:b/>
              <w:bCs/>
              <w:szCs w:val="26"/>
              <w:lang w:val="fr-FR"/>
            </w:rPr>
            <w:t>5</w:t>
          </w:r>
          <w:r w:rsidRPr="00C606E5">
            <w:rPr>
              <w:b/>
              <w:bCs/>
              <w:szCs w:val="26"/>
              <w:vertAlign w:val="superscript"/>
              <w:lang w:val="fr-FR"/>
            </w:rPr>
            <w:t>ème</w:t>
          </w:r>
          <w:r w:rsidRPr="00C606E5">
            <w:rPr>
              <w:b/>
              <w:bCs/>
              <w:szCs w:val="26"/>
              <w:lang w:val="fr-FR"/>
            </w:rPr>
            <w:t xml:space="preserve"> </w:t>
          </w:r>
          <w:r w:rsidRPr="00C606E5">
            <w:rPr>
              <w:b/>
              <w:bCs/>
              <w:caps/>
              <w:szCs w:val="26"/>
              <w:lang w:val="fr-FR"/>
            </w:rPr>
            <w:t xml:space="preserve">Session de la rÉunion des parties </w:t>
          </w:r>
          <w:r>
            <w:rPr>
              <w:b/>
              <w:bCs/>
              <w:caps/>
              <w:szCs w:val="26"/>
              <w:lang w:val="fr-FR"/>
            </w:rPr>
            <w:t xml:space="preserve">    </w:t>
          </w:r>
        </w:p>
        <w:p w14:paraId="7E466634" w14:textId="77777777" w:rsidR="0020772D" w:rsidRPr="00C606E5" w:rsidRDefault="0020772D" w:rsidP="0020772D">
          <w:pPr>
            <w:pStyle w:val="BodyText2"/>
            <w:rPr>
              <w:b/>
              <w:bCs/>
              <w:caps/>
              <w:szCs w:val="26"/>
              <w:lang w:val="fr-FR"/>
            </w:rPr>
          </w:pPr>
          <w:r>
            <w:rPr>
              <w:b/>
              <w:bCs/>
              <w:caps/>
              <w:szCs w:val="26"/>
              <w:lang w:val="fr-FR"/>
            </w:rPr>
            <w:t xml:space="preserve">                                C</w:t>
          </w:r>
          <w:r w:rsidRPr="00C606E5">
            <w:rPr>
              <w:b/>
              <w:bCs/>
              <w:caps/>
              <w:szCs w:val="26"/>
              <w:lang w:val="fr-FR"/>
            </w:rPr>
            <w:t>ontractantes</w:t>
          </w:r>
        </w:p>
        <w:p w14:paraId="6DCBD079" w14:textId="77777777" w:rsidR="0020772D" w:rsidRPr="00C606E5" w:rsidRDefault="0020772D" w:rsidP="0020772D">
          <w:pPr>
            <w:tabs>
              <w:tab w:val="left" w:pos="2415"/>
              <w:tab w:val="left" w:pos="2975"/>
            </w:tabs>
            <w:rPr>
              <w:lang w:val="fr-FR"/>
            </w:rPr>
          </w:pPr>
          <w:r>
            <w:rPr>
              <w:iCs/>
              <w:lang w:val="fr-FR"/>
            </w:rPr>
            <w:t xml:space="preserve">                    </w:t>
          </w:r>
          <w:r w:rsidRPr="00C606E5">
            <w:rPr>
              <w:iCs/>
              <w:lang w:val="fr-FR"/>
            </w:rPr>
            <w:t>14 – 18 mai 2012, La Rochelle, France</w:t>
          </w:r>
        </w:p>
      </w:tc>
      <w:tc>
        <w:tcPr>
          <w:tcW w:w="488" w:type="pct"/>
        </w:tcPr>
        <w:p w14:paraId="3F09AE43" w14:textId="77777777" w:rsidR="0020772D" w:rsidRPr="00C606E5" w:rsidRDefault="0020772D" w:rsidP="0020772D">
          <w:pPr>
            <w:jc w:val="right"/>
            <w:rPr>
              <w:lang w:val="fr-FR"/>
            </w:rPr>
          </w:pPr>
          <w:r>
            <w:rPr>
              <w:noProof/>
            </w:rPr>
            <w:drawing>
              <wp:anchor distT="0" distB="0" distL="114300" distR="114300" simplePos="0" relativeHeight="251659264" behindDoc="0" locked="0" layoutInCell="1" allowOverlap="1" wp14:anchorId="3802F920" wp14:editId="651C11EC">
                <wp:simplePos x="0" y="0"/>
                <wp:positionH relativeFrom="column">
                  <wp:posOffset>90170</wp:posOffset>
                </wp:positionH>
                <wp:positionV relativeFrom="paragraph">
                  <wp:posOffset>-2540</wp:posOffset>
                </wp:positionV>
                <wp:extent cx="552450" cy="1310659"/>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wa-mop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5283" cy="1317380"/>
                        </a:xfrm>
                        <a:prstGeom prst="rect">
                          <a:avLst/>
                        </a:prstGeom>
                      </pic:spPr>
                    </pic:pic>
                  </a:graphicData>
                </a:graphic>
                <wp14:sizeRelH relativeFrom="page">
                  <wp14:pctWidth>0</wp14:pctWidth>
                </wp14:sizeRelH>
                <wp14:sizeRelV relativeFrom="page">
                  <wp14:pctHeight>0</wp14:pctHeight>
                </wp14:sizeRelV>
              </wp:anchor>
            </w:drawing>
          </w:r>
        </w:p>
      </w:tc>
    </w:tr>
  </w:tbl>
  <w:p w14:paraId="5046119F" w14:textId="77777777" w:rsidR="0020772D" w:rsidRDefault="0020772D" w:rsidP="00FF76A4">
    <w:pPr>
      <w:tabs>
        <w:tab w:val="left" w:pos="2415"/>
      </w:tabs>
      <w:ind w:left="108" w:hanging="108"/>
      <w:jc w:val="center"/>
      <w:rPr>
        <w:bCs/>
        <w:i/>
        <w:sz w:val="22"/>
        <w:lang w:val="fr-FR"/>
      </w:rPr>
    </w:pPr>
    <w:r w:rsidRPr="00C606E5">
      <w:rPr>
        <w:bCs/>
        <w:i/>
        <w:sz w:val="22"/>
        <w:lang w:val="fr-FR"/>
      </w:rPr>
      <w:t>« Les oiseaux d’eau migrateurs et les hommes – des zones humides en partage »</w:t>
    </w:r>
  </w:p>
  <w:p w14:paraId="2B1EDDC0" w14:textId="77777777" w:rsidR="0020772D" w:rsidRDefault="0020772D" w:rsidP="00FF76A4">
    <w:pPr>
      <w:tabs>
        <w:tab w:val="left" w:pos="2415"/>
      </w:tabs>
      <w:ind w:left="108" w:hanging="108"/>
      <w:jc w:val="center"/>
      <w:rPr>
        <w:bCs/>
        <w:i/>
        <w:sz w:val="22"/>
        <w:lang w:val="fr-FR"/>
      </w:rPr>
    </w:pPr>
    <w:r>
      <w:rPr>
        <w:bCs/>
        <w:i/>
        <w:sz w:val="22"/>
        <w:lang w:val="fr-FR"/>
      </w:rPr>
      <w:t>_______________________________________________________________________________</w:t>
    </w:r>
  </w:p>
  <w:p w14:paraId="19920CF9" w14:textId="77777777" w:rsidR="0020772D" w:rsidRPr="00DE485D" w:rsidRDefault="0020772D">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20CFC" w14:textId="77777777" w:rsidR="0020772D" w:rsidRDefault="00207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D42"/>
    <w:multiLevelType w:val="hybridMultilevel"/>
    <w:tmpl w:val="5AA4C9DE"/>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F05839"/>
    <w:multiLevelType w:val="multilevel"/>
    <w:tmpl w:val="8E8E77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3A7B3603"/>
    <w:multiLevelType w:val="hybridMultilevel"/>
    <w:tmpl w:val="C498A0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4">
    <w:nsid w:val="4D5F740C"/>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FA24D2E"/>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16E4E26"/>
    <w:multiLevelType w:val="multilevel"/>
    <w:tmpl w:val="6AD865C2"/>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71A93945"/>
    <w:multiLevelType w:val="hybridMultilevel"/>
    <w:tmpl w:val="7FCAE518"/>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03414F"/>
    <w:multiLevelType w:val="hybridMultilevel"/>
    <w:tmpl w:val="2F60C734"/>
    <w:lvl w:ilvl="0" w:tplc="8F589C8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5"/>
  </w:num>
  <w:num w:numId="3">
    <w:abstractNumId w:val="4"/>
  </w:num>
  <w:num w:numId="4">
    <w:abstractNumId w:val="2"/>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13"/>
    <w:rsid w:val="0000003C"/>
    <w:rsid w:val="000003B5"/>
    <w:rsid w:val="000049AA"/>
    <w:rsid w:val="00005503"/>
    <w:rsid w:val="00007CB6"/>
    <w:rsid w:val="00010216"/>
    <w:rsid w:val="00010798"/>
    <w:rsid w:val="0001309F"/>
    <w:rsid w:val="00014DC2"/>
    <w:rsid w:val="00021D0C"/>
    <w:rsid w:val="00023CE0"/>
    <w:rsid w:val="00024B21"/>
    <w:rsid w:val="00025D10"/>
    <w:rsid w:val="000262FF"/>
    <w:rsid w:val="000265AB"/>
    <w:rsid w:val="0003013E"/>
    <w:rsid w:val="0003218D"/>
    <w:rsid w:val="00033FA4"/>
    <w:rsid w:val="000368BE"/>
    <w:rsid w:val="00040250"/>
    <w:rsid w:val="00041270"/>
    <w:rsid w:val="00041649"/>
    <w:rsid w:val="00041795"/>
    <w:rsid w:val="000420C9"/>
    <w:rsid w:val="00044426"/>
    <w:rsid w:val="00044698"/>
    <w:rsid w:val="0004721A"/>
    <w:rsid w:val="000500DA"/>
    <w:rsid w:val="000515EE"/>
    <w:rsid w:val="000516CC"/>
    <w:rsid w:val="0005283B"/>
    <w:rsid w:val="0005449C"/>
    <w:rsid w:val="00054556"/>
    <w:rsid w:val="00054BED"/>
    <w:rsid w:val="00054DAD"/>
    <w:rsid w:val="00055AA0"/>
    <w:rsid w:val="0005611A"/>
    <w:rsid w:val="00057243"/>
    <w:rsid w:val="000573BC"/>
    <w:rsid w:val="0005767B"/>
    <w:rsid w:val="00057B65"/>
    <w:rsid w:val="00057D99"/>
    <w:rsid w:val="00061412"/>
    <w:rsid w:val="000623CB"/>
    <w:rsid w:val="00064121"/>
    <w:rsid w:val="0006611A"/>
    <w:rsid w:val="00067A64"/>
    <w:rsid w:val="000700DA"/>
    <w:rsid w:val="000714FD"/>
    <w:rsid w:val="00071D0E"/>
    <w:rsid w:val="00071F88"/>
    <w:rsid w:val="00072F5F"/>
    <w:rsid w:val="00074454"/>
    <w:rsid w:val="0007499B"/>
    <w:rsid w:val="00074B30"/>
    <w:rsid w:val="00075163"/>
    <w:rsid w:val="000772A0"/>
    <w:rsid w:val="00077A8F"/>
    <w:rsid w:val="0008039B"/>
    <w:rsid w:val="00080BE8"/>
    <w:rsid w:val="000817EF"/>
    <w:rsid w:val="00084A43"/>
    <w:rsid w:val="00087B1E"/>
    <w:rsid w:val="00090681"/>
    <w:rsid w:val="000917DE"/>
    <w:rsid w:val="00091EF2"/>
    <w:rsid w:val="00093AC4"/>
    <w:rsid w:val="00093EC8"/>
    <w:rsid w:val="00095AF3"/>
    <w:rsid w:val="00095B62"/>
    <w:rsid w:val="0009693D"/>
    <w:rsid w:val="00097A00"/>
    <w:rsid w:val="000A0898"/>
    <w:rsid w:val="000A2376"/>
    <w:rsid w:val="000A2C48"/>
    <w:rsid w:val="000A3F7A"/>
    <w:rsid w:val="000A4235"/>
    <w:rsid w:val="000A4F4C"/>
    <w:rsid w:val="000B3FF1"/>
    <w:rsid w:val="000B5E61"/>
    <w:rsid w:val="000B5F99"/>
    <w:rsid w:val="000B6395"/>
    <w:rsid w:val="000B7559"/>
    <w:rsid w:val="000C0BD4"/>
    <w:rsid w:val="000C1250"/>
    <w:rsid w:val="000C2204"/>
    <w:rsid w:val="000C51D8"/>
    <w:rsid w:val="000C6BB0"/>
    <w:rsid w:val="000C6C57"/>
    <w:rsid w:val="000C7D88"/>
    <w:rsid w:val="000D05E5"/>
    <w:rsid w:val="000D0C1C"/>
    <w:rsid w:val="000D1062"/>
    <w:rsid w:val="000D67FD"/>
    <w:rsid w:val="000E0389"/>
    <w:rsid w:val="000E0804"/>
    <w:rsid w:val="000E3A27"/>
    <w:rsid w:val="000E3B1B"/>
    <w:rsid w:val="000E3C4D"/>
    <w:rsid w:val="000E7C6D"/>
    <w:rsid w:val="000F19FF"/>
    <w:rsid w:val="000F4341"/>
    <w:rsid w:val="000F6B17"/>
    <w:rsid w:val="00100878"/>
    <w:rsid w:val="0010087D"/>
    <w:rsid w:val="001019EF"/>
    <w:rsid w:val="00103A80"/>
    <w:rsid w:val="00105651"/>
    <w:rsid w:val="00105A0F"/>
    <w:rsid w:val="00106F0F"/>
    <w:rsid w:val="001079D8"/>
    <w:rsid w:val="00107A86"/>
    <w:rsid w:val="00107DD2"/>
    <w:rsid w:val="00113FA1"/>
    <w:rsid w:val="00116FB2"/>
    <w:rsid w:val="00120C2B"/>
    <w:rsid w:val="001222A4"/>
    <w:rsid w:val="00126CED"/>
    <w:rsid w:val="00127278"/>
    <w:rsid w:val="001279B8"/>
    <w:rsid w:val="0013037A"/>
    <w:rsid w:val="00131A3D"/>
    <w:rsid w:val="00133535"/>
    <w:rsid w:val="001354B0"/>
    <w:rsid w:val="00135CE3"/>
    <w:rsid w:val="00140C01"/>
    <w:rsid w:val="00141AEA"/>
    <w:rsid w:val="0014497A"/>
    <w:rsid w:val="00144F0B"/>
    <w:rsid w:val="00145474"/>
    <w:rsid w:val="00145483"/>
    <w:rsid w:val="00145540"/>
    <w:rsid w:val="0014622C"/>
    <w:rsid w:val="001465B2"/>
    <w:rsid w:val="0014727C"/>
    <w:rsid w:val="00150F72"/>
    <w:rsid w:val="00151481"/>
    <w:rsid w:val="001518E4"/>
    <w:rsid w:val="00151A42"/>
    <w:rsid w:val="00154087"/>
    <w:rsid w:val="001554E4"/>
    <w:rsid w:val="00157550"/>
    <w:rsid w:val="00157DCD"/>
    <w:rsid w:val="00160732"/>
    <w:rsid w:val="00160A4B"/>
    <w:rsid w:val="00161B5A"/>
    <w:rsid w:val="0016266F"/>
    <w:rsid w:val="001633A6"/>
    <w:rsid w:val="001643F2"/>
    <w:rsid w:val="00171743"/>
    <w:rsid w:val="001730DC"/>
    <w:rsid w:val="00176ABD"/>
    <w:rsid w:val="001778D6"/>
    <w:rsid w:val="001803D1"/>
    <w:rsid w:val="00180F6E"/>
    <w:rsid w:val="00185F95"/>
    <w:rsid w:val="00186083"/>
    <w:rsid w:val="00187495"/>
    <w:rsid w:val="0019158F"/>
    <w:rsid w:val="00192337"/>
    <w:rsid w:val="0019244E"/>
    <w:rsid w:val="0019306B"/>
    <w:rsid w:val="001A0C2B"/>
    <w:rsid w:val="001A535E"/>
    <w:rsid w:val="001A5740"/>
    <w:rsid w:val="001A70EE"/>
    <w:rsid w:val="001A7772"/>
    <w:rsid w:val="001B1C13"/>
    <w:rsid w:val="001B1F68"/>
    <w:rsid w:val="001B4099"/>
    <w:rsid w:val="001B748D"/>
    <w:rsid w:val="001C2C9F"/>
    <w:rsid w:val="001C3701"/>
    <w:rsid w:val="001C6DCB"/>
    <w:rsid w:val="001D1953"/>
    <w:rsid w:val="001D4446"/>
    <w:rsid w:val="001D6C9B"/>
    <w:rsid w:val="001D768D"/>
    <w:rsid w:val="001D76BC"/>
    <w:rsid w:val="001D7C24"/>
    <w:rsid w:val="001E1660"/>
    <w:rsid w:val="001E27BF"/>
    <w:rsid w:val="001E314C"/>
    <w:rsid w:val="001E3390"/>
    <w:rsid w:val="001E3A79"/>
    <w:rsid w:val="001E6269"/>
    <w:rsid w:val="001E75C2"/>
    <w:rsid w:val="001F0615"/>
    <w:rsid w:val="001F1130"/>
    <w:rsid w:val="001F1FE7"/>
    <w:rsid w:val="001F5B2E"/>
    <w:rsid w:val="001F6CA4"/>
    <w:rsid w:val="001F6D5E"/>
    <w:rsid w:val="00202A4C"/>
    <w:rsid w:val="00203371"/>
    <w:rsid w:val="00205518"/>
    <w:rsid w:val="00205FB5"/>
    <w:rsid w:val="0020737D"/>
    <w:rsid w:val="0020772D"/>
    <w:rsid w:val="002078B3"/>
    <w:rsid w:val="00211112"/>
    <w:rsid w:val="00213721"/>
    <w:rsid w:val="0021454E"/>
    <w:rsid w:val="00217953"/>
    <w:rsid w:val="002202D9"/>
    <w:rsid w:val="00222FD1"/>
    <w:rsid w:val="0022367D"/>
    <w:rsid w:val="002253C2"/>
    <w:rsid w:val="00226311"/>
    <w:rsid w:val="00230DAC"/>
    <w:rsid w:val="002315E3"/>
    <w:rsid w:val="00231647"/>
    <w:rsid w:val="00234E5B"/>
    <w:rsid w:val="002353E9"/>
    <w:rsid w:val="0024066B"/>
    <w:rsid w:val="00240F62"/>
    <w:rsid w:val="002412BB"/>
    <w:rsid w:val="00242262"/>
    <w:rsid w:val="00244320"/>
    <w:rsid w:val="00244819"/>
    <w:rsid w:val="002454A0"/>
    <w:rsid w:val="0024553E"/>
    <w:rsid w:val="0024789A"/>
    <w:rsid w:val="002479FA"/>
    <w:rsid w:val="00250722"/>
    <w:rsid w:val="0025124B"/>
    <w:rsid w:val="0025134B"/>
    <w:rsid w:val="00251F6D"/>
    <w:rsid w:val="002534BC"/>
    <w:rsid w:val="00253C16"/>
    <w:rsid w:val="002544E8"/>
    <w:rsid w:val="00255365"/>
    <w:rsid w:val="00255D43"/>
    <w:rsid w:val="002564A7"/>
    <w:rsid w:val="0026703D"/>
    <w:rsid w:val="002670AD"/>
    <w:rsid w:val="0027010B"/>
    <w:rsid w:val="00272114"/>
    <w:rsid w:val="00274210"/>
    <w:rsid w:val="002742C9"/>
    <w:rsid w:val="00275FFA"/>
    <w:rsid w:val="00276FA0"/>
    <w:rsid w:val="00277471"/>
    <w:rsid w:val="00277C81"/>
    <w:rsid w:val="00283BC6"/>
    <w:rsid w:val="00284D42"/>
    <w:rsid w:val="00293468"/>
    <w:rsid w:val="00293936"/>
    <w:rsid w:val="00295238"/>
    <w:rsid w:val="002956CE"/>
    <w:rsid w:val="0029581F"/>
    <w:rsid w:val="00297265"/>
    <w:rsid w:val="002A2487"/>
    <w:rsid w:val="002A2672"/>
    <w:rsid w:val="002A3794"/>
    <w:rsid w:val="002A394F"/>
    <w:rsid w:val="002A39AF"/>
    <w:rsid w:val="002A4097"/>
    <w:rsid w:val="002B062F"/>
    <w:rsid w:val="002B296A"/>
    <w:rsid w:val="002B2C34"/>
    <w:rsid w:val="002B38A0"/>
    <w:rsid w:val="002B60B1"/>
    <w:rsid w:val="002C0A5D"/>
    <w:rsid w:val="002C173D"/>
    <w:rsid w:val="002C3198"/>
    <w:rsid w:val="002C5BC8"/>
    <w:rsid w:val="002C7C87"/>
    <w:rsid w:val="002D041F"/>
    <w:rsid w:val="002D0BE0"/>
    <w:rsid w:val="002D0E0B"/>
    <w:rsid w:val="002D154E"/>
    <w:rsid w:val="002D29FD"/>
    <w:rsid w:val="002D30BA"/>
    <w:rsid w:val="002D4E71"/>
    <w:rsid w:val="002E072A"/>
    <w:rsid w:val="002E0AB2"/>
    <w:rsid w:val="002E226C"/>
    <w:rsid w:val="002F086E"/>
    <w:rsid w:val="002F2633"/>
    <w:rsid w:val="002F427C"/>
    <w:rsid w:val="002F4BB1"/>
    <w:rsid w:val="002F5650"/>
    <w:rsid w:val="002F6093"/>
    <w:rsid w:val="003032E1"/>
    <w:rsid w:val="00304C67"/>
    <w:rsid w:val="00305DF8"/>
    <w:rsid w:val="00305E65"/>
    <w:rsid w:val="00306908"/>
    <w:rsid w:val="00310393"/>
    <w:rsid w:val="00310AAB"/>
    <w:rsid w:val="00310DA4"/>
    <w:rsid w:val="003115AE"/>
    <w:rsid w:val="00312186"/>
    <w:rsid w:val="0031334A"/>
    <w:rsid w:val="0031363B"/>
    <w:rsid w:val="00314A97"/>
    <w:rsid w:val="00316179"/>
    <w:rsid w:val="00325920"/>
    <w:rsid w:val="003303CB"/>
    <w:rsid w:val="003306B2"/>
    <w:rsid w:val="003317EF"/>
    <w:rsid w:val="00331D42"/>
    <w:rsid w:val="0033266C"/>
    <w:rsid w:val="00333E4A"/>
    <w:rsid w:val="00334223"/>
    <w:rsid w:val="00334CE3"/>
    <w:rsid w:val="00336884"/>
    <w:rsid w:val="00340C90"/>
    <w:rsid w:val="00341524"/>
    <w:rsid w:val="00341F30"/>
    <w:rsid w:val="00343D91"/>
    <w:rsid w:val="00344166"/>
    <w:rsid w:val="0034783F"/>
    <w:rsid w:val="00350088"/>
    <w:rsid w:val="003508BC"/>
    <w:rsid w:val="00350EF2"/>
    <w:rsid w:val="00351D64"/>
    <w:rsid w:val="0035203A"/>
    <w:rsid w:val="00352BC7"/>
    <w:rsid w:val="00357CA5"/>
    <w:rsid w:val="00357DFA"/>
    <w:rsid w:val="003606FE"/>
    <w:rsid w:val="00360788"/>
    <w:rsid w:val="00363714"/>
    <w:rsid w:val="003642F8"/>
    <w:rsid w:val="00365423"/>
    <w:rsid w:val="00366071"/>
    <w:rsid w:val="00367AB8"/>
    <w:rsid w:val="003706BF"/>
    <w:rsid w:val="00372629"/>
    <w:rsid w:val="0037311E"/>
    <w:rsid w:val="00373532"/>
    <w:rsid w:val="00375959"/>
    <w:rsid w:val="003765A8"/>
    <w:rsid w:val="00376D5C"/>
    <w:rsid w:val="00377DEE"/>
    <w:rsid w:val="00380095"/>
    <w:rsid w:val="00380B68"/>
    <w:rsid w:val="0038106F"/>
    <w:rsid w:val="003810BE"/>
    <w:rsid w:val="003846CB"/>
    <w:rsid w:val="003857D1"/>
    <w:rsid w:val="003872F6"/>
    <w:rsid w:val="0039078E"/>
    <w:rsid w:val="00391C9E"/>
    <w:rsid w:val="00395527"/>
    <w:rsid w:val="003961EE"/>
    <w:rsid w:val="003A06D8"/>
    <w:rsid w:val="003A1828"/>
    <w:rsid w:val="003A1B7F"/>
    <w:rsid w:val="003A3D44"/>
    <w:rsid w:val="003A3EAA"/>
    <w:rsid w:val="003A6408"/>
    <w:rsid w:val="003A7A60"/>
    <w:rsid w:val="003B086E"/>
    <w:rsid w:val="003B0886"/>
    <w:rsid w:val="003B088D"/>
    <w:rsid w:val="003B3591"/>
    <w:rsid w:val="003B35D5"/>
    <w:rsid w:val="003B3F3D"/>
    <w:rsid w:val="003B443D"/>
    <w:rsid w:val="003B557C"/>
    <w:rsid w:val="003B70BD"/>
    <w:rsid w:val="003C1B46"/>
    <w:rsid w:val="003C326D"/>
    <w:rsid w:val="003C47C7"/>
    <w:rsid w:val="003D0576"/>
    <w:rsid w:val="003D1B68"/>
    <w:rsid w:val="003D2C60"/>
    <w:rsid w:val="003D34DC"/>
    <w:rsid w:val="003D4DFA"/>
    <w:rsid w:val="003D58F8"/>
    <w:rsid w:val="003D60CD"/>
    <w:rsid w:val="003D63ED"/>
    <w:rsid w:val="003D668F"/>
    <w:rsid w:val="003D797C"/>
    <w:rsid w:val="003D7EA9"/>
    <w:rsid w:val="003E0438"/>
    <w:rsid w:val="003E4928"/>
    <w:rsid w:val="003F0A8D"/>
    <w:rsid w:val="003F0F66"/>
    <w:rsid w:val="003F143B"/>
    <w:rsid w:val="003F2B0B"/>
    <w:rsid w:val="003F308B"/>
    <w:rsid w:val="003F5C56"/>
    <w:rsid w:val="004004BB"/>
    <w:rsid w:val="00401BB8"/>
    <w:rsid w:val="00401F6A"/>
    <w:rsid w:val="0040629F"/>
    <w:rsid w:val="00406E0E"/>
    <w:rsid w:val="0041033F"/>
    <w:rsid w:val="00411A5D"/>
    <w:rsid w:val="0041305F"/>
    <w:rsid w:val="00416919"/>
    <w:rsid w:val="00417CC1"/>
    <w:rsid w:val="00425BE9"/>
    <w:rsid w:val="00431543"/>
    <w:rsid w:val="0043287A"/>
    <w:rsid w:val="0043706E"/>
    <w:rsid w:val="0043723C"/>
    <w:rsid w:val="0043742B"/>
    <w:rsid w:val="004411CA"/>
    <w:rsid w:val="00441BB8"/>
    <w:rsid w:val="004511B5"/>
    <w:rsid w:val="00451F77"/>
    <w:rsid w:val="00452D95"/>
    <w:rsid w:val="00452F17"/>
    <w:rsid w:val="00453EDB"/>
    <w:rsid w:val="00457E63"/>
    <w:rsid w:val="00463502"/>
    <w:rsid w:val="00465742"/>
    <w:rsid w:val="00467145"/>
    <w:rsid w:val="0047076B"/>
    <w:rsid w:val="004734FB"/>
    <w:rsid w:val="00475A6E"/>
    <w:rsid w:val="00477EBF"/>
    <w:rsid w:val="00481FC5"/>
    <w:rsid w:val="004836DE"/>
    <w:rsid w:val="00483861"/>
    <w:rsid w:val="00485F02"/>
    <w:rsid w:val="0048627F"/>
    <w:rsid w:val="00486975"/>
    <w:rsid w:val="004874F0"/>
    <w:rsid w:val="0049001D"/>
    <w:rsid w:val="00493D7C"/>
    <w:rsid w:val="004966BC"/>
    <w:rsid w:val="004A10E2"/>
    <w:rsid w:val="004A2403"/>
    <w:rsid w:val="004A3987"/>
    <w:rsid w:val="004A5CE8"/>
    <w:rsid w:val="004A66A0"/>
    <w:rsid w:val="004A7157"/>
    <w:rsid w:val="004B340F"/>
    <w:rsid w:val="004B3670"/>
    <w:rsid w:val="004B4802"/>
    <w:rsid w:val="004C4866"/>
    <w:rsid w:val="004C4EFF"/>
    <w:rsid w:val="004C5431"/>
    <w:rsid w:val="004C54E1"/>
    <w:rsid w:val="004C56DF"/>
    <w:rsid w:val="004D2155"/>
    <w:rsid w:val="004D6B91"/>
    <w:rsid w:val="004D7D27"/>
    <w:rsid w:val="004E054C"/>
    <w:rsid w:val="004E5C84"/>
    <w:rsid w:val="004F0352"/>
    <w:rsid w:val="004F0780"/>
    <w:rsid w:val="004F0DC4"/>
    <w:rsid w:val="004F0F1C"/>
    <w:rsid w:val="004F212B"/>
    <w:rsid w:val="004F5905"/>
    <w:rsid w:val="004F6978"/>
    <w:rsid w:val="00500B7A"/>
    <w:rsid w:val="00501C16"/>
    <w:rsid w:val="00504DB7"/>
    <w:rsid w:val="0050599F"/>
    <w:rsid w:val="00505BE3"/>
    <w:rsid w:val="0050794E"/>
    <w:rsid w:val="005145F6"/>
    <w:rsid w:val="005166C4"/>
    <w:rsid w:val="005173F8"/>
    <w:rsid w:val="00520821"/>
    <w:rsid w:val="005214E9"/>
    <w:rsid w:val="00522354"/>
    <w:rsid w:val="00522FA3"/>
    <w:rsid w:val="00526352"/>
    <w:rsid w:val="0052651F"/>
    <w:rsid w:val="005307D0"/>
    <w:rsid w:val="005318FF"/>
    <w:rsid w:val="00533651"/>
    <w:rsid w:val="005378F0"/>
    <w:rsid w:val="005404D0"/>
    <w:rsid w:val="0054084C"/>
    <w:rsid w:val="005410D8"/>
    <w:rsid w:val="00542C40"/>
    <w:rsid w:val="00542EFD"/>
    <w:rsid w:val="00543AB4"/>
    <w:rsid w:val="00545367"/>
    <w:rsid w:val="0054595C"/>
    <w:rsid w:val="0055096B"/>
    <w:rsid w:val="00551FF6"/>
    <w:rsid w:val="005523C7"/>
    <w:rsid w:val="0055429B"/>
    <w:rsid w:val="0055487E"/>
    <w:rsid w:val="005555BE"/>
    <w:rsid w:val="00555615"/>
    <w:rsid w:val="0056210D"/>
    <w:rsid w:val="00562602"/>
    <w:rsid w:val="00562A4B"/>
    <w:rsid w:val="005642E6"/>
    <w:rsid w:val="005648F4"/>
    <w:rsid w:val="00564A66"/>
    <w:rsid w:val="0056565B"/>
    <w:rsid w:val="00566B80"/>
    <w:rsid w:val="00567E77"/>
    <w:rsid w:val="00567FE1"/>
    <w:rsid w:val="005707CA"/>
    <w:rsid w:val="005717FC"/>
    <w:rsid w:val="0057191C"/>
    <w:rsid w:val="00573912"/>
    <w:rsid w:val="0058221A"/>
    <w:rsid w:val="0058378A"/>
    <w:rsid w:val="00587D6F"/>
    <w:rsid w:val="005903DC"/>
    <w:rsid w:val="00590B8D"/>
    <w:rsid w:val="005912A1"/>
    <w:rsid w:val="00592CB4"/>
    <w:rsid w:val="00592D3C"/>
    <w:rsid w:val="00594225"/>
    <w:rsid w:val="00594A22"/>
    <w:rsid w:val="0059555A"/>
    <w:rsid w:val="005955D2"/>
    <w:rsid w:val="00596953"/>
    <w:rsid w:val="00596D82"/>
    <w:rsid w:val="00596EF1"/>
    <w:rsid w:val="005A1098"/>
    <w:rsid w:val="005A1135"/>
    <w:rsid w:val="005A1563"/>
    <w:rsid w:val="005A18FD"/>
    <w:rsid w:val="005A1A9F"/>
    <w:rsid w:val="005A20D9"/>
    <w:rsid w:val="005A2180"/>
    <w:rsid w:val="005A22FE"/>
    <w:rsid w:val="005A2555"/>
    <w:rsid w:val="005A5DA1"/>
    <w:rsid w:val="005A6004"/>
    <w:rsid w:val="005A638B"/>
    <w:rsid w:val="005B053F"/>
    <w:rsid w:val="005B0610"/>
    <w:rsid w:val="005B0C71"/>
    <w:rsid w:val="005B24AC"/>
    <w:rsid w:val="005B3BA0"/>
    <w:rsid w:val="005C0C79"/>
    <w:rsid w:val="005C12D2"/>
    <w:rsid w:val="005C2D2F"/>
    <w:rsid w:val="005C634B"/>
    <w:rsid w:val="005C6FC1"/>
    <w:rsid w:val="005C77BD"/>
    <w:rsid w:val="005D0F90"/>
    <w:rsid w:val="005D2615"/>
    <w:rsid w:val="005D2D64"/>
    <w:rsid w:val="005D390A"/>
    <w:rsid w:val="005D41E6"/>
    <w:rsid w:val="005D46F8"/>
    <w:rsid w:val="005D6446"/>
    <w:rsid w:val="005D65BE"/>
    <w:rsid w:val="005D76D4"/>
    <w:rsid w:val="005E057A"/>
    <w:rsid w:val="005E4C8D"/>
    <w:rsid w:val="005E6617"/>
    <w:rsid w:val="005F1027"/>
    <w:rsid w:val="005F1206"/>
    <w:rsid w:val="005F487A"/>
    <w:rsid w:val="006004DE"/>
    <w:rsid w:val="00600F27"/>
    <w:rsid w:val="00601313"/>
    <w:rsid w:val="00603AE2"/>
    <w:rsid w:val="00604538"/>
    <w:rsid w:val="00607596"/>
    <w:rsid w:val="00612792"/>
    <w:rsid w:val="00612D2D"/>
    <w:rsid w:val="00614C79"/>
    <w:rsid w:val="00615ECB"/>
    <w:rsid w:val="00615F6B"/>
    <w:rsid w:val="00616450"/>
    <w:rsid w:val="0061738B"/>
    <w:rsid w:val="00617ECB"/>
    <w:rsid w:val="00620CFA"/>
    <w:rsid w:val="00624109"/>
    <w:rsid w:val="00624AD8"/>
    <w:rsid w:val="00625020"/>
    <w:rsid w:val="006253F2"/>
    <w:rsid w:val="00625DEC"/>
    <w:rsid w:val="00625ED8"/>
    <w:rsid w:val="00626D69"/>
    <w:rsid w:val="0062780D"/>
    <w:rsid w:val="00631E41"/>
    <w:rsid w:val="00632BAC"/>
    <w:rsid w:val="00636A67"/>
    <w:rsid w:val="0064118A"/>
    <w:rsid w:val="0064340F"/>
    <w:rsid w:val="00644611"/>
    <w:rsid w:val="0064718C"/>
    <w:rsid w:val="006473D2"/>
    <w:rsid w:val="00647E14"/>
    <w:rsid w:val="00650F93"/>
    <w:rsid w:val="006527C8"/>
    <w:rsid w:val="00653BA8"/>
    <w:rsid w:val="00654A7F"/>
    <w:rsid w:val="00661087"/>
    <w:rsid w:val="006619FA"/>
    <w:rsid w:val="00661A0D"/>
    <w:rsid w:val="0066245C"/>
    <w:rsid w:val="00662ABD"/>
    <w:rsid w:val="0066300B"/>
    <w:rsid w:val="00663A5B"/>
    <w:rsid w:val="006643F2"/>
    <w:rsid w:val="0066519F"/>
    <w:rsid w:val="00667906"/>
    <w:rsid w:val="00670388"/>
    <w:rsid w:val="00675A74"/>
    <w:rsid w:val="006777E4"/>
    <w:rsid w:val="00683794"/>
    <w:rsid w:val="00683CCE"/>
    <w:rsid w:val="00685742"/>
    <w:rsid w:val="00686629"/>
    <w:rsid w:val="00687318"/>
    <w:rsid w:val="00692825"/>
    <w:rsid w:val="00697169"/>
    <w:rsid w:val="00697C50"/>
    <w:rsid w:val="00697D92"/>
    <w:rsid w:val="006A0265"/>
    <w:rsid w:val="006A0882"/>
    <w:rsid w:val="006A1B09"/>
    <w:rsid w:val="006A3280"/>
    <w:rsid w:val="006A3A91"/>
    <w:rsid w:val="006A3B8F"/>
    <w:rsid w:val="006A5D5F"/>
    <w:rsid w:val="006B1075"/>
    <w:rsid w:val="006B17CC"/>
    <w:rsid w:val="006B1801"/>
    <w:rsid w:val="006B21B6"/>
    <w:rsid w:val="006B2914"/>
    <w:rsid w:val="006B60B6"/>
    <w:rsid w:val="006B6B79"/>
    <w:rsid w:val="006B6E67"/>
    <w:rsid w:val="006C6041"/>
    <w:rsid w:val="006C67EB"/>
    <w:rsid w:val="006C6874"/>
    <w:rsid w:val="006C6D79"/>
    <w:rsid w:val="006C7CCC"/>
    <w:rsid w:val="006D094A"/>
    <w:rsid w:val="006D12AD"/>
    <w:rsid w:val="006D1548"/>
    <w:rsid w:val="006D3A73"/>
    <w:rsid w:val="006D3C5E"/>
    <w:rsid w:val="006D6D6C"/>
    <w:rsid w:val="006D7700"/>
    <w:rsid w:val="006D7C14"/>
    <w:rsid w:val="006E0064"/>
    <w:rsid w:val="006F0B64"/>
    <w:rsid w:val="006F5C09"/>
    <w:rsid w:val="006F5D53"/>
    <w:rsid w:val="006F6563"/>
    <w:rsid w:val="00700518"/>
    <w:rsid w:val="0070358B"/>
    <w:rsid w:val="00703CD3"/>
    <w:rsid w:val="00705F61"/>
    <w:rsid w:val="00706259"/>
    <w:rsid w:val="0071299B"/>
    <w:rsid w:val="00713FE7"/>
    <w:rsid w:val="00716FF8"/>
    <w:rsid w:val="00721CF1"/>
    <w:rsid w:val="00721FC1"/>
    <w:rsid w:val="00722957"/>
    <w:rsid w:val="0072361E"/>
    <w:rsid w:val="007248B7"/>
    <w:rsid w:val="00725E3C"/>
    <w:rsid w:val="00726CE8"/>
    <w:rsid w:val="007278EF"/>
    <w:rsid w:val="00732864"/>
    <w:rsid w:val="00733AF4"/>
    <w:rsid w:val="007342C2"/>
    <w:rsid w:val="00734B43"/>
    <w:rsid w:val="00736F0C"/>
    <w:rsid w:val="00737D5B"/>
    <w:rsid w:val="007404A4"/>
    <w:rsid w:val="00740EC6"/>
    <w:rsid w:val="0074112B"/>
    <w:rsid w:val="00741BB0"/>
    <w:rsid w:val="0074344F"/>
    <w:rsid w:val="007506BA"/>
    <w:rsid w:val="00750736"/>
    <w:rsid w:val="00752220"/>
    <w:rsid w:val="00752AD5"/>
    <w:rsid w:val="00754BFE"/>
    <w:rsid w:val="007551FD"/>
    <w:rsid w:val="00755B36"/>
    <w:rsid w:val="00757D27"/>
    <w:rsid w:val="00760FF6"/>
    <w:rsid w:val="007639A9"/>
    <w:rsid w:val="007640AE"/>
    <w:rsid w:val="0076494E"/>
    <w:rsid w:val="007665CE"/>
    <w:rsid w:val="00766DC1"/>
    <w:rsid w:val="00766F6D"/>
    <w:rsid w:val="007676CB"/>
    <w:rsid w:val="0077200C"/>
    <w:rsid w:val="007726F5"/>
    <w:rsid w:val="00774DB5"/>
    <w:rsid w:val="00774EAF"/>
    <w:rsid w:val="00775337"/>
    <w:rsid w:val="00776775"/>
    <w:rsid w:val="00777034"/>
    <w:rsid w:val="007770F8"/>
    <w:rsid w:val="007811F7"/>
    <w:rsid w:val="007815D3"/>
    <w:rsid w:val="00781F9E"/>
    <w:rsid w:val="0078239D"/>
    <w:rsid w:val="00782600"/>
    <w:rsid w:val="007831F5"/>
    <w:rsid w:val="00784914"/>
    <w:rsid w:val="00784990"/>
    <w:rsid w:val="00785D82"/>
    <w:rsid w:val="0078664B"/>
    <w:rsid w:val="0078719B"/>
    <w:rsid w:val="007874A5"/>
    <w:rsid w:val="0079023B"/>
    <w:rsid w:val="00792E02"/>
    <w:rsid w:val="00793958"/>
    <w:rsid w:val="00794D57"/>
    <w:rsid w:val="00795DA1"/>
    <w:rsid w:val="007969A6"/>
    <w:rsid w:val="00797D08"/>
    <w:rsid w:val="00797FEC"/>
    <w:rsid w:val="007A20BC"/>
    <w:rsid w:val="007A3A5E"/>
    <w:rsid w:val="007A4956"/>
    <w:rsid w:val="007A559D"/>
    <w:rsid w:val="007A63F4"/>
    <w:rsid w:val="007A6498"/>
    <w:rsid w:val="007B26AD"/>
    <w:rsid w:val="007B4956"/>
    <w:rsid w:val="007B4D89"/>
    <w:rsid w:val="007B50D6"/>
    <w:rsid w:val="007B576E"/>
    <w:rsid w:val="007B601F"/>
    <w:rsid w:val="007B61CA"/>
    <w:rsid w:val="007B6213"/>
    <w:rsid w:val="007B730B"/>
    <w:rsid w:val="007B79CB"/>
    <w:rsid w:val="007B7E44"/>
    <w:rsid w:val="007C1879"/>
    <w:rsid w:val="007C2330"/>
    <w:rsid w:val="007C436C"/>
    <w:rsid w:val="007C4800"/>
    <w:rsid w:val="007C5D0A"/>
    <w:rsid w:val="007D13F1"/>
    <w:rsid w:val="007D4E24"/>
    <w:rsid w:val="007D6054"/>
    <w:rsid w:val="007D7457"/>
    <w:rsid w:val="007E0857"/>
    <w:rsid w:val="007E0883"/>
    <w:rsid w:val="007E0956"/>
    <w:rsid w:val="007E1121"/>
    <w:rsid w:val="007E27EB"/>
    <w:rsid w:val="007E2A95"/>
    <w:rsid w:val="007E3F22"/>
    <w:rsid w:val="007E4154"/>
    <w:rsid w:val="007E6CF0"/>
    <w:rsid w:val="007E79A6"/>
    <w:rsid w:val="007F46D5"/>
    <w:rsid w:val="007F67AA"/>
    <w:rsid w:val="007F79B1"/>
    <w:rsid w:val="00804F98"/>
    <w:rsid w:val="008105D7"/>
    <w:rsid w:val="00810909"/>
    <w:rsid w:val="00811109"/>
    <w:rsid w:val="00812329"/>
    <w:rsid w:val="008129A4"/>
    <w:rsid w:val="00815C57"/>
    <w:rsid w:val="008178A5"/>
    <w:rsid w:val="00820431"/>
    <w:rsid w:val="00824A50"/>
    <w:rsid w:val="0083297E"/>
    <w:rsid w:val="00833A9A"/>
    <w:rsid w:val="00836FDF"/>
    <w:rsid w:val="0084018F"/>
    <w:rsid w:val="00841F89"/>
    <w:rsid w:val="00844362"/>
    <w:rsid w:val="00846861"/>
    <w:rsid w:val="00846F90"/>
    <w:rsid w:val="0085040F"/>
    <w:rsid w:val="00850DA6"/>
    <w:rsid w:val="00852973"/>
    <w:rsid w:val="00852F05"/>
    <w:rsid w:val="00854804"/>
    <w:rsid w:val="00854995"/>
    <w:rsid w:val="00854AF0"/>
    <w:rsid w:val="00856A29"/>
    <w:rsid w:val="00856D32"/>
    <w:rsid w:val="00857200"/>
    <w:rsid w:val="00861437"/>
    <w:rsid w:val="00862CC4"/>
    <w:rsid w:val="00863287"/>
    <w:rsid w:val="00864117"/>
    <w:rsid w:val="0086517B"/>
    <w:rsid w:val="00865BB9"/>
    <w:rsid w:val="008664D5"/>
    <w:rsid w:val="00871442"/>
    <w:rsid w:val="0087589E"/>
    <w:rsid w:val="0087615A"/>
    <w:rsid w:val="0087667D"/>
    <w:rsid w:val="0087693E"/>
    <w:rsid w:val="008778BB"/>
    <w:rsid w:val="00881A43"/>
    <w:rsid w:val="00882F0F"/>
    <w:rsid w:val="008857A9"/>
    <w:rsid w:val="0088725A"/>
    <w:rsid w:val="00891035"/>
    <w:rsid w:val="00891ABE"/>
    <w:rsid w:val="00891D46"/>
    <w:rsid w:val="00893534"/>
    <w:rsid w:val="00894C95"/>
    <w:rsid w:val="00896D5C"/>
    <w:rsid w:val="00897A10"/>
    <w:rsid w:val="00897C17"/>
    <w:rsid w:val="008A0F59"/>
    <w:rsid w:val="008A1559"/>
    <w:rsid w:val="008A6277"/>
    <w:rsid w:val="008A741F"/>
    <w:rsid w:val="008A7E36"/>
    <w:rsid w:val="008B00A9"/>
    <w:rsid w:val="008B20AA"/>
    <w:rsid w:val="008B244B"/>
    <w:rsid w:val="008B39D2"/>
    <w:rsid w:val="008B448C"/>
    <w:rsid w:val="008B4A44"/>
    <w:rsid w:val="008B5085"/>
    <w:rsid w:val="008B50F9"/>
    <w:rsid w:val="008B58A4"/>
    <w:rsid w:val="008B6136"/>
    <w:rsid w:val="008C0188"/>
    <w:rsid w:val="008C25B3"/>
    <w:rsid w:val="008C4028"/>
    <w:rsid w:val="008C42BC"/>
    <w:rsid w:val="008C4735"/>
    <w:rsid w:val="008C49EF"/>
    <w:rsid w:val="008C72DE"/>
    <w:rsid w:val="008D124C"/>
    <w:rsid w:val="008D4A71"/>
    <w:rsid w:val="008D7614"/>
    <w:rsid w:val="008E4156"/>
    <w:rsid w:val="008E63F2"/>
    <w:rsid w:val="008E76B0"/>
    <w:rsid w:val="008E7E25"/>
    <w:rsid w:val="008F3EE1"/>
    <w:rsid w:val="008F50FA"/>
    <w:rsid w:val="008F5CE6"/>
    <w:rsid w:val="008F7DD6"/>
    <w:rsid w:val="00902567"/>
    <w:rsid w:val="009026DC"/>
    <w:rsid w:val="00903CC3"/>
    <w:rsid w:val="00906BF3"/>
    <w:rsid w:val="00911741"/>
    <w:rsid w:val="00911D10"/>
    <w:rsid w:val="00911D64"/>
    <w:rsid w:val="009122F6"/>
    <w:rsid w:val="009125E0"/>
    <w:rsid w:val="00913BC7"/>
    <w:rsid w:val="009151A0"/>
    <w:rsid w:val="009154E8"/>
    <w:rsid w:val="00915F46"/>
    <w:rsid w:val="00916685"/>
    <w:rsid w:val="00916D25"/>
    <w:rsid w:val="009176EA"/>
    <w:rsid w:val="0091780F"/>
    <w:rsid w:val="0092042D"/>
    <w:rsid w:val="0092322C"/>
    <w:rsid w:val="00926377"/>
    <w:rsid w:val="00927440"/>
    <w:rsid w:val="00931F10"/>
    <w:rsid w:val="00934059"/>
    <w:rsid w:val="009340EB"/>
    <w:rsid w:val="00934836"/>
    <w:rsid w:val="00936F2D"/>
    <w:rsid w:val="00937F34"/>
    <w:rsid w:val="00945603"/>
    <w:rsid w:val="009461BF"/>
    <w:rsid w:val="00955AD2"/>
    <w:rsid w:val="00956F46"/>
    <w:rsid w:val="00962E33"/>
    <w:rsid w:val="009639D7"/>
    <w:rsid w:val="00963CF7"/>
    <w:rsid w:val="00965561"/>
    <w:rsid w:val="009661E6"/>
    <w:rsid w:val="00967B3C"/>
    <w:rsid w:val="00974581"/>
    <w:rsid w:val="009746F5"/>
    <w:rsid w:val="009755AF"/>
    <w:rsid w:val="00976223"/>
    <w:rsid w:val="009762D8"/>
    <w:rsid w:val="0098206A"/>
    <w:rsid w:val="0098216A"/>
    <w:rsid w:val="009830EB"/>
    <w:rsid w:val="00983BF3"/>
    <w:rsid w:val="0098644A"/>
    <w:rsid w:val="0098674D"/>
    <w:rsid w:val="009930E7"/>
    <w:rsid w:val="00996740"/>
    <w:rsid w:val="00997A5C"/>
    <w:rsid w:val="009A00A4"/>
    <w:rsid w:val="009A00C6"/>
    <w:rsid w:val="009A0801"/>
    <w:rsid w:val="009A1329"/>
    <w:rsid w:val="009A16AA"/>
    <w:rsid w:val="009A3B52"/>
    <w:rsid w:val="009A5E54"/>
    <w:rsid w:val="009B0BFC"/>
    <w:rsid w:val="009B1386"/>
    <w:rsid w:val="009B401B"/>
    <w:rsid w:val="009B4468"/>
    <w:rsid w:val="009B5767"/>
    <w:rsid w:val="009B635E"/>
    <w:rsid w:val="009B67B9"/>
    <w:rsid w:val="009B77CD"/>
    <w:rsid w:val="009C2A63"/>
    <w:rsid w:val="009C2DE2"/>
    <w:rsid w:val="009C780D"/>
    <w:rsid w:val="009D29E2"/>
    <w:rsid w:val="009D414C"/>
    <w:rsid w:val="009D62D1"/>
    <w:rsid w:val="009D6865"/>
    <w:rsid w:val="009D7E76"/>
    <w:rsid w:val="009E0D11"/>
    <w:rsid w:val="009E26B0"/>
    <w:rsid w:val="009E3956"/>
    <w:rsid w:val="009E586B"/>
    <w:rsid w:val="009E6B74"/>
    <w:rsid w:val="009E7A4D"/>
    <w:rsid w:val="009E7AB1"/>
    <w:rsid w:val="009E7AF1"/>
    <w:rsid w:val="009F082E"/>
    <w:rsid w:val="009F0CE8"/>
    <w:rsid w:val="009F0D87"/>
    <w:rsid w:val="009F3860"/>
    <w:rsid w:val="009F3CE0"/>
    <w:rsid w:val="009F4236"/>
    <w:rsid w:val="009F4518"/>
    <w:rsid w:val="009F4CEA"/>
    <w:rsid w:val="009F6C51"/>
    <w:rsid w:val="00A006A1"/>
    <w:rsid w:val="00A0078E"/>
    <w:rsid w:val="00A00CF8"/>
    <w:rsid w:val="00A01329"/>
    <w:rsid w:val="00A03545"/>
    <w:rsid w:val="00A03F48"/>
    <w:rsid w:val="00A0447B"/>
    <w:rsid w:val="00A0554F"/>
    <w:rsid w:val="00A065D1"/>
    <w:rsid w:val="00A106B0"/>
    <w:rsid w:val="00A10916"/>
    <w:rsid w:val="00A12181"/>
    <w:rsid w:val="00A135AC"/>
    <w:rsid w:val="00A156FB"/>
    <w:rsid w:val="00A15EA3"/>
    <w:rsid w:val="00A1670A"/>
    <w:rsid w:val="00A2159B"/>
    <w:rsid w:val="00A22106"/>
    <w:rsid w:val="00A23187"/>
    <w:rsid w:val="00A24910"/>
    <w:rsid w:val="00A26B36"/>
    <w:rsid w:val="00A35247"/>
    <w:rsid w:val="00A35F71"/>
    <w:rsid w:val="00A360B4"/>
    <w:rsid w:val="00A36917"/>
    <w:rsid w:val="00A43D75"/>
    <w:rsid w:val="00A45122"/>
    <w:rsid w:val="00A457B6"/>
    <w:rsid w:val="00A46277"/>
    <w:rsid w:val="00A46C02"/>
    <w:rsid w:val="00A470C5"/>
    <w:rsid w:val="00A5266B"/>
    <w:rsid w:val="00A527C6"/>
    <w:rsid w:val="00A530C4"/>
    <w:rsid w:val="00A531CD"/>
    <w:rsid w:val="00A54D24"/>
    <w:rsid w:val="00A553C6"/>
    <w:rsid w:val="00A56F5E"/>
    <w:rsid w:val="00A6027F"/>
    <w:rsid w:val="00A60C4C"/>
    <w:rsid w:val="00A638F0"/>
    <w:rsid w:val="00A643CB"/>
    <w:rsid w:val="00A66C4D"/>
    <w:rsid w:val="00A679CB"/>
    <w:rsid w:val="00A713E5"/>
    <w:rsid w:val="00A72433"/>
    <w:rsid w:val="00A730B0"/>
    <w:rsid w:val="00A766D6"/>
    <w:rsid w:val="00A81082"/>
    <w:rsid w:val="00A817EB"/>
    <w:rsid w:val="00A827FC"/>
    <w:rsid w:val="00A87E78"/>
    <w:rsid w:val="00A9278E"/>
    <w:rsid w:val="00A92B3B"/>
    <w:rsid w:val="00A93108"/>
    <w:rsid w:val="00A94F1D"/>
    <w:rsid w:val="00A952C6"/>
    <w:rsid w:val="00A962A8"/>
    <w:rsid w:val="00A96A40"/>
    <w:rsid w:val="00A96AA5"/>
    <w:rsid w:val="00AA102C"/>
    <w:rsid w:val="00AA1B6C"/>
    <w:rsid w:val="00AA1D2F"/>
    <w:rsid w:val="00AA23CF"/>
    <w:rsid w:val="00AA33D5"/>
    <w:rsid w:val="00AB13C3"/>
    <w:rsid w:val="00AB2243"/>
    <w:rsid w:val="00AB4CF5"/>
    <w:rsid w:val="00AB503B"/>
    <w:rsid w:val="00AC284C"/>
    <w:rsid w:val="00AC46B1"/>
    <w:rsid w:val="00AC47C4"/>
    <w:rsid w:val="00AC5F85"/>
    <w:rsid w:val="00AC75DB"/>
    <w:rsid w:val="00AC79C5"/>
    <w:rsid w:val="00AD1746"/>
    <w:rsid w:val="00AD1FD9"/>
    <w:rsid w:val="00AD3A50"/>
    <w:rsid w:val="00AD3BB7"/>
    <w:rsid w:val="00AD48B1"/>
    <w:rsid w:val="00AE1C58"/>
    <w:rsid w:val="00AE1C78"/>
    <w:rsid w:val="00AE3459"/>
    <w:rsid w:val="00AE50FB"/>
    <w:rsid w:val="00AE766E"/>
    <w:rsid w:val="00AF0190"/>
    <w:rsid w:val="00AF11C9"/>
    <w:rsid w:val="00AF2FDC"/>
    <w:rsid w:val="00AF309E"/>
    <w:rsid w:val="00AF4098"/>
    <w:rsid w:val="00AF41B9"/>
    <w:rsid w:val="00AF49C0"/>
    <w:rsid w:val="00AF4B49"/>
    <w:rsid w:val="00AF4D96"/>
    <w:rsid w:val="00B0033E"/>
    <w:rsid w:val="00B00F77"/>
    <w:rsid w:val="00B0580C"/>
    <w:rsid w:val="00B0714B"/>
    <w:rsid w:val="00B10C76"/>
    <w:rsid w:val="00B10D37"/>
    <w:rsid w:val="00B12CF2"/>
    <w:rsid w:val="00B13860"/>
    <w:rsid w:val="00B1426A"/>
    <w:rsid w:val="00B14600"/>
    <w:rsid w:val="00B16E2F"/>
    <w:rsid w:val="00B2300F"/>
    <w:rsid w:val="00B234BE"/>
    <w:rsid w:val="00B23D0B"/>
    <w:rsid w:val="00B2749B"/>
    <w:rsid w:val="00B27CB3"/>
    <w:rsid w:val="00B27E4E"/>
    <w:rsid w:val="00B32909"/>
    <w:rsid w:val="00B32C48"/>
    <w:rsid w:val="00B339D2"/>
    <w:rsid w:val="00B37ABC"/>
    <w:rsid w:val="00B40727"/>
    <w:rsid w:val="00B40AF6"/>
    <w:rsid w:val="00B41825"/>
    <w:rsid w:val="00B41CCE"/>
    <w:rsid w:val="00B4212C"/>
    <w:rsid w:val="00B426FB"/>
    <w:rsid w:val="00B45093"/>
    <w:rsid w:val="00B45835"/>
    <w:rsid w:val="00B46322"/>
    <w:rsid w:val="00B46CBE"/>
    <w:rsid w:val="00B50DF9"/>
    <w:rsid w:val="00B51E59"/>
    <w:rsid w:val="00B53353"/>
    <w:rsid w:val="00B53DC7"/>
    <w:rsid w:val="00B5502F"/>
    <w:rsid w:val="00B56056"/>
    <w:rsid w:val="00B56D60"/>
    <w:rsid w:val="00B614D4"/>
    <w:rsid w:val="00B6162C"/>
    <w:rsid w:val="00B6171E"/>
    <w:rsid w:val="00B6175D"/>
    <w:rsid w:val="00B61AB9"/>
    <w:rsid w:val="00B62BC8"/>
    <w:rsid w:val="00B64306"/>
    <w:rsid w:val="00B64AFC"/>
    <w:rsid w:val="00B65A00"/>
    <w:rsid w:val="00B662A7"/>
    <w:rsid w:val="00B66AF6"/>
    <w:rsid w:val="00B705EF"/>
    <w:rsid w:val="00B71AC7"/>
    <w:rsid w:val="00B74E08"/>
    <w:rsid w:val="00B74E9E"/>
    <w:rsid w:val="00B750FD"/>
    <w:rsid w:val="00B75D77"/>
    <w:rsid w:val="00B7714D"/>
    <w:rsid w:val="00B77664"/>
    <w:rsid w:val="00B776CD"/>
    <w:rsid w:val="00B82121"/>
    <w:rsid w:val="00B8319B"/>
    <w:rsid w:val="00B849DF"/>
    <w:rsid w:val="00B8522D"/>
    <w:rsid w:val="00B8533C"/>
    <w:rsid w:val="00B85795"/>
    <w:rsid w:val="00B87589"/>
    <w:rsid w:val="00B90FA4"/>
    <w:rsid w:val="00B9155B"/>
    <w:rsid w:val="00B91E88"/>
    <w:rsid w:val="00B91F03"/>
    <w:rsid w:val="00B933D3"/>
    <w:rsid w:val="00B945CA"/>
    <w:rsid w:val="00B94F11"/>
    <w:rsid w:val="00BA0D63"/>
    <w:rsid w:val="00BA1AF2"/>
    <w:rsid w:val="00BA1EDE"/>
    <w:rsid w:val="00BA518A"/>
    <w:rsid w:val="00BA7E18"/>
    <w:rsid w:val="00BA7EAB"/>
    <w:rsid w:val="00BB195F"/>
    <w:rsid w:val="00BB1A25"/>
    <w:rsid w:val="00BB24A6"/>
    <w:rsid w:val="00BB43D2"/>
    <w:rsid w:val="00BB47C1"/>
    <w:rsid w:val="00BB4911"/>
    <w:rsid w:val="00BB5EC3"/>
    <w:rsid w:val="00BB72F0"/>
    <w:rsid w:val="00BC046F"/>
    <w:rsid w:val="00BC19B3"/>
    <w:rsid w:val="00BC275C"/>
    <w:rsid w:val="00BC41C9"/>
    <w:rsid w:val="00BC620E"/>
    <w:rsid w:val="00BD2395"/>
    <w:rsid w:val="00BD2A14"/>
    <w:rsid w:val="00BD37FA"/>
    <w:rsid w:val="00BE12EE"/>
    <w:rsid w:val="00BE18D1"/>
    <w:rsid w:val="00BE1F2F"/>
    <w:rsid w:val="00BE49B2"/>
    <w:rsid w:val="00BE4B95"/>
    <w:rsid w:val="00BE5668"/>
    <w:rsid w:val="00BE65F6"/>
    <w:rsid w:val="00BE66C5"/>
    <w:rsid w:val="00BF0288"/>
    <w:rsid w:val="00BF1115"/>
    <w:rsid w:val="00BF23FE"/>
    <w:rsid w:val="00BF2A22"/>
    <w:rsid w:val="00BF2EE1"/>
    <w:rsid w:val="00BF678F"/>
    <w:rsid w:val="00BF7186"/>
    <w:rsid w:val="00C010BC"/>
    <w:rsid w:val="00C035C1"/>
    <w:rsid w:val="00C036D4"/>
    <w:rsid w:val="00C037AD"/>
    <w:rsid w:val="00C038F5"/>
    <w:rsid w:val="00C04012"/>
    <w:rsid w:val="00C0485C"/>
    <w:rsid w:val="00C065A5"/>
    <w:rsid w:val="00C07686"/>
    <w:rsid w:val="00C07DF5"/>
    <w:rsid w:val="00C1380A"/>
    <w:rsid w:val="00C14089"/>
    <w:rsid w:val="00C140A3"/>
    <w:rsid w:val="00C1478C"/>
    <w:rsid w:val="00C14DBC"/>
    <w:rsid w:val="00C15D09"/>
    <w:rsid w:val="00C17C4C"/>
    <w:rsid w:val="00C204E4"/>
    <w:rsid w:val="00C20B95"/>
    <w:rsid w:val="00C20C36"/>
    <w:rsid w:val="00C20C8F"/>
    <w:rsid w:val="00C22684"/>
    <w:rsid w:val="00C23695"/>
    <w:rsid w:val="00C23842"/>
    <w:rsid w:val="00C23C85"/>
    <w:rsid w:val="00C2444B"/>
    <w:rsid w:val="00C30F9F"/>
    <w:rsid w:val="00C31213"/>
    <w:rsid w:val="00C32CF1"/>
    <w:rsid w:val="00C3340F"/>
    <w:rsid w:val="00C34A8F"/>
    <w:rsid w:val="00C35E99"/>
    <w:rsid w:val="00C36937"/>
    <w:rsid w:val="00C37543"/>
    <w:rsid w:val="00C41552"/>
    <w:rsid w:val="00C42A86"/>
    <w:rsid w:val="00C4326A"/>
    <w:rsid w:val="00C45D30"/>
    <w:rsid w:val="00C468AB"/>
    <w:rsid w:val="00C46968"/>
    <w:rsid w:val="00C46B0D"/>
    <w:rsid w:val="00C5214C"/>
    <w:rsid w:val="00C52311"/>
    <w:rsid w:val="00C536FC"/>
    <w:rsid w:val="00C53A06"/>
    <w:rsid w:val="00C549F3"/>
    <w:rsid w:val="00C60DEF"/>
    <w:rsid w:val="00C61468"/>
    <w:rsid w:val="00C61D01"/>
    <w:rsid w:val="00C61E6D"/>
    <w:rsid w:val="00C6344E"/>
    <w:rsid w:val="00C64F41"/>
    <w:rsid w:val="00C66F43"/>
    <w:rsid w:val="00C67DB4"/>
    <w:rsid w:val="00C70640"/>
    <w:rsid w:val="00C710C8"/>
    <w:rsid w:val="00C71191"/>
    <w:rsid w:val="00C72BA2"/>
    <w:rsid w:val="00C730DD"/>
    <w:rsid w:val="00C736B7"/>
    <w:rsid w:val="00C73A0A"/>
    <w:rsid w:val="00C73EFA"/>
    <w:rsid w:val="00C8034D"/>
    <w:rsid w:val="00C8281B"/>
    <w:rsid w:val="00C83C3A"/>
    <w:rsid w:val="00C86979"/>
    <w:rsid w:val="00C9156B"/>
    <w:rsid w:val="00C91A1D"/>
    <w:rsid w:val="00C93806"/>
    <w:rsid w:val="00C9490B"/>
    <w:rsid w:val="00C94D74"/>
    <w:rsid w:val="00C97791"/>
    <w:rsid w:val="00C97DC3"/>
    <w:rsid w:val="00CA1146"/>
    <w:rsid w:val="00CA191C"/>
    <w:rsid w:val="00CA4067"/>
    <w:rsid w:val="00CA5158"/>
    <w:rsid w:val="00CA5AF5"/>
    <w:rsid w:val="00CA628F"/>
    <w:rsid w:val="00CA654B"/>
    <w:rsid w:val="00CA7B4B"/>
    <w:rsid w:val="00CB0E0F"/>
    <w:rsid w:val="00CB2BB1"/>
    <w:rsid w:val="00CB3800"/>
    <w:rsid w:val="00CB606E"/>
    <w:rsid w:val="00CC0E70"/>
    <w:rsid w:val="00CC1F93"/>
    <w:rsid w:val="00CC2BCF"/>
    <w:rsid w:val="00CC4C6F"/>
    <w:rsid w:val="00CC5AE9"/>
    <w:rsid w:val="00CC636F"/>
    <w:rsid w:val="00CC65A4"/>
    <w:rsid w:val="00CC6C8A"/>
    <w:rsid w:val="00CD0FC1"/>
    <w:rsid w:val="00CD5C47"/>
    <w:rsid w:val="00CE0018"/>
    <w:rsid w:val="00CE17EF"/>
    <w:rsid w:val="00CE390E"/>
    <w:rsid w:val="00CE3951"/>
    <w:rsid w:val="00CF15B3"/>
    <w:rsid w:val="00CF3CF3"/>
    <w:rsid w:val="00CF48E7"/>
    <w:rsid w:val="00CF5010"/>
    <w:rsid w:val="00CF63C7"/>
    <w:rsid w:val="00CF6A99"/>
    <w:rsid w:val="00D032B1"/>
    <w:rsid w:val="00D03C01"/>
    <w:rsid w:val="00D04E24"/>
    <w:rsid w:val="00D05BC0"/>
    <w:rsid w:val="00D1007D"/>
    <w:rsid w:val="00D102A6"/>
    <w:rsid w:val="00D11564"/>
    <w:rsid w:val="00D11D8A"/>
    <w:rsid w:val="00D11F1A"/>
    <w:rsid w:val="00D12D82"/>
    <w:rsid w:val="00D1341A"/>
    <w:rsid w:val="00D13ABF"/>
    <w:rsid w:val="00D2071C"/>
    <w:rsid w:val="00D20D4C"/>
    <w:rsid w:val="00D227E6"/>
    <w:rsid w:val="00D25429"/>
    <w:rsid w:val="00D305E8"/>
    <w:rsid w:val="00D3063F"/>
    <w:rsid w:val="00D3162F"/>
    <w:rsid w:val="00D331D8"/>
    <w:rsid w:val="00D334C9"/>
    <w:rsid w:val="00D37536"/>
    <w:rsid w:val="00D429AA"/>
    <w:rsid w:val="00D44277"/>
    <w:rsid w:val="00D44F34"/>
    <w:rsid w:val="00D45FE2"/>
    <w:rsid w:val="00D55124"/>
    <w:rsid w:val="00D5521F"/>
    <w:rsid w:val="00D57244"/>
    <w:rsid w:val="00D6065D"/>
    <w:rsid w:val="00D613B9"/>
    <w:rsid w:val="00D62A17"/>
    <w:rsid w:val="00D63024"/>
    <w:rsid w:val="00D63097"/>
    <w:rsid w:val="00D6439F"/>
    <w:rsid w:val="00D644B1"/>
    <w:rsid w:val="00D6473E"/>
    <w:rsid w:val="00D6587A"/>
    <w:rsid w:val="00D66229"/>
    <w:rsid w:val="00D66B2F"/>
    <w:rsid w:val="00D7081B"/>
    <w:rsid w:val="00D71935"/>
    <w:rsid w:val="00D727CF"/>
    <w:rsid w:val="00D72A72"/>
    <w:rsid w:val="00D7506D"/>
    <w:rsid w:val="00D750FD"/>
    <w:rsid w:val="00D75816"/>
    <w:rsid w:val="00D76DB3"/>
    <w:rsid w:val="00D77387"/>
    <w:rsid w:val="00D775FF"/>
    <w:rsid w:val="00D80103"/>
    <w:rsid w:val="00D801A7"/>
    <w:rsid w:val="00D80FF7"/>
    <w:rsid w:val="00D8436A"/>
    <w:rsid w:val="00D84766"/>
    <w:rsid w:val="00D864F6"/>
    <w:rsid w:val="00D875B8"/>
    <w:rsid w:val="00D87C35"/>
    <w:rsid w:val="00D92467"/>
    <w:rsid w:val="00D9778B"/>
    <w:rsid w:val="00DA0E02"/>
    <w:rsid w:val="00DA2BA1"/>
    <w:rsid w:val="00DA32B1"/>
    <w:rsid w:val="00DA5B7B"/>
    <w:rsid w:val="00DA5C79"/>
    <w:rsid w:val="00DB092E"/>
    <w:rsid w:val="00DB1026"/>
    <w:rsid w:val="00DB43BF"/>
    <w:rsid w:val="00DC1C92"/>
    <w:rsid w:val="00DC4FB5"/>
    <w:rsid w:val="00DC585D"/>
    <w:rsid w:val="00DC6866"/>
    <w:rsid w:val="00DC6DC4"/>
    <w:rsid w:val="00DC76A7"/>
    <w:rsid w:val="00DD35DF"/>
    <w:rsid w:val="00DD55B9"/>
    <w:rsid w:val="00DD607F"/>
    <w:rsid w:val="00DD72D3"/>
    <w:rsid w:val="00DD78AF"/>
    <w:rsid w:val="00DD78BA"/>
    <w:rsid w:val="00DE3F17"/>
    <w:rsid w:val="00DE485D"/>
    <w:rsid w:val="00DE48E7"/>
    <w:rsid w:val="00DE4FD9"/>
    <w:rsid w:val="00DE5779"/>
    <w:rsid w:val="00DE5FB4"/>
    <w:rsid w:val="00DE6266"/>
    <w:rsid w:val="00DF4825"/>
    <w:rsid w:val="00E01E79"/>
    <w:rsid w:val="00E03DF1"/>
    <w:rsid w:val="00E03E3E"/>
    <w:rsid w:val="00E04067"/>
    <w:rsid w:val="00E056A6"/>
    <w:rsid w:val="00E0743B"/>
    <w:rsid w:val="00E1015B"/>
    <w:rsid w:val="00E11FFB"/>
    <w:rsid w:val="00E123BA"/>
    <w:rsid w:val="00E129C2"/>
    <w:rsid w:val="00E12B1F"/>
    <w:rsid w:val="00E12FB6"/>
    <w:rsid w:val="00E13886"/>
    <w:rsid w:val="00E16E41"/>
    <w:rsid w:val="00E1791E"/>
    <w:rsid w:val="00E20B6E"/>
    <w:rsid w:val="00E20DC6"/>
    <w:rsid w:val="00E20F48"/>
    <w:rsid w:val="00E2132A"/>
    <w:rsid w:val="00E219BB"/>
    <w:rsid w:val="00E222C2"/>
    <w:rsid w:val="00E2457E"/>
    <w:rsid w:val="00E2658D"/>
    <w:rsid w:val="00E271C7"/>
    <w:rsid w:val="00E2772D"/>
    <w:rsid w:val="00E32510"/>
    <w:rsid w:val="00E33F3F"/>
    <w:rsid w:val="00E34078"/>
    <w:rsid w:val="00E37243"/>
    <w:rsid w:val="00E37983"/>
    <w:rsid w:val="00E37EEE"/>
    <w:rsid w:val="00E37FE6"/>
    <w:rsid w:val="00E40299"/>
    <w:rsid w:val="00E4211F"/>
    <w:rsid w:val="00E43AC2"/>
    <w:rsid w:val="00E453E5"/>
    <w:rsid w:val="00E46B9B"/>
    <w:rsid w:val="00E46CCF"/>
    <w:rsid w:val="00E479DF"/>
    <w:rsid w:val="00E5011C"/>
    <w:rsid w:val="00E510ED"/>
    <w:rsid w:val="00E5676C"/>
    <w:rsid w:val="00E6128B"/>
    <w:rsid w:val="00E616A4"/>
    <w:rsid w:val="00E630E0"/>
    <w:rsid w:val="00E63900"/>
    <w:rsid w:val="00E65780"/>
    <w:rsid w:val="00E67935"/>
    <w:rsid w:val="00E71812"/>
    <w:rsid w:val="00E71AF2"/>
    <w:rsid w:val="00E7258C"/>
    <w:rsid w:val="00E72F4A"/>
    <w:rsid w:val="00E72FB0"/>
    <w:rsid w:val="00E73CA9"/>
    <w:rsid w:val="00E73F48"/>
    <w:rsid w:val="00E748B4"/>
    <w:rsid w:val="00E74D97"/>
    <w:rsid w:val="00E7598F"/>
    <w:rsid w:val="00E76C6C"/>
    <w:rsid w:val="00E804B5"/>
    <w:rsid w:val="00E806A4"/>
    <w:rsid w:val="00E81347"/>
    <w:rsid w:val="00E82C54"/>
    <w:rsid w:val="00E83081"/>
    <w:rsid w:val="00E87228"/>
    <w:rsid w:val="00E873C7"/>
    <w:rsid w:val="00E91600"/>
    <w:rsid w:val="00E92DD9"/>
    <w:rsid w:val="00E935F0"/>
    <w:rsid w:val="00E93FE8"/>
    <w:rsid w:val="00E95298"/>
    <w:rsid w:val="00E95992"/>
    <w:rsid w:val="00EA2BCA"/>
    <w:rsid w:val="00EA3608"/>
    <w:rsid w:val="00EA3B2D"/>
    <w:rsid w:val="00EA3B42"/>
    <w:rsid w:val="00EA4743"/>
    <w:rsid w:val="00EA47F2"/>
    <w:rsid w:val="00EA545E"/>
    <w:rsid w:val="00EB08B5"/>
    <w:rsid w:val="00EB1012"/>
    <w:rsid w:val="00EB1309"/>
    <w:rsid w:val="00EB2FCA"/>
    <w:rsid w:val="00EB6107"/>
    <w:rsid w:val="00EB718E"/>
    <w:rsid w:val="00EB7C59"/>
    <w:rsid w:val="00EC184C"/>
    <w:rsid w:val="00EC36D6"/>
    <w:rsid w:val="00EC4261"/>
    <w:rsid w:val="00EC6450"/>
    <w:rsid w:val="00EC7F6E"/>
    <w:rsid w:val="00ED30EE"/>
    <w:rsid w:val="00ED39CF"/>
    <w:rsid w:val="00ED4957"/>
    <w:rsid w:val="00ED63C2"/>
    <w:rsid w:val="00ED7D17"/>
    <w:rsid w:val="00EE14B3"/>
    <w:rsid w:val="00EE2307"/>
    <w:rsid w:val="00EE347C"/>
    <w:rsid w:val="00EE4079"/>
    <w:rsid w:val="00EE45E9"/>
    <w:rsid w:val="00EE5C26"/>
    <w:rsid w:val="00EE673E"/>
    <w:rsid w:val="00EE6C96"/>
    <w:rsid w:val="00EF2C0D"/>
    <w:rsid w:val="00EF5AAE"/>
    <w:rsid w:val="00EF5E97"/>
    <w:rsid w:val="00F0078A"/>
    <w:rsid w:val="00F02077"/>
    <w:rsid w:val="00F03869"/>
    <w:rsid w:val="00F05E85"/>
    <w:rsid w:val="00F07009"/>
    <w:rsid w:val="00F07601"/>
    <w:rsid w:val="00F10079"/>
    <w:rsid w:val="00F1173C"/>
    <w:rsid w:val="00F13A36"/>
    <w:rsid w:val="00F14896"/>
    <w:rsid w:val="00F15025"/>
    <w:rsid w:val="00F15AA0"/>
    <w:rsid w:val="00F176F9"/>
    <w:rsid w:val="00F21DED"/>
    <w:rsid w:val="00F239FA"/>
    <w:rsid w:val="00F2537E"/>
    <w:rsid w:val="00F30B04"/>
    <w:rsid w:val="00F31D87"/>
    <w:rsid w:val="00F3205D"/>
    <w:rsid w:val="00F3286A"/>
    <w:rsid w:val="00F32999"/>
    <w:rsid w:val="00F33ED9"/>
    <w:rsid w:val="00F352D2"/>
    <w:rsid w:val="00F40B18"/>
    <w:rsid w:val="00F411CC"/>
    <w:rsid w:val="00F41DA4"/>
    <w:rsid w:val="00F436C3"/>
    <w:rsid w:val="00F44F77"/>
    <w:rsid w:val="00F46658"/>
    <w:rsid w:val="00F50F45"/>
    <w:rsid w:val="00F52173"/>
    <w:rsid w:val="00F56C21"/>
    <w:rsid w:val="00F577B5"/>
    <w:rsid w:val="00F57A9D"/>
    <w:rsid w:val="00F60E3A"/>
    <w:rsid w:val="00F611CC"/>
    <w:rsid w:val="00F6204C"/>
    <w:rsid w:val="00F625FB"/>
    <w:rsid w:val="00F63295"/>
    <w:rsid w:val="00F64160"/>
    <w:rsid w:val="00F652D8"/>
    <w:rsid w:val="00F674AE"/>
    <w:rsid w:val="00F708AC"/>
    <w:rsid w:val="00F722B2"/>
    <w:rsid w:val="00F74C05"/>
    <w:rsid w:val="00F761EC"/>
    <w:rsid w:val="00F85DE1"/>
    <w:rsid w:val="00F86F38"/>
    <w:rsid w:val="00F973D0"/>
    <w:rsid w:val="00F97600"/>
    <w:rsid w:val="00FA15D7"/>
    <w:rsid w:val="00FA2D92"/>
    <w:rsid w:val="00FA56BB"/>
    <w:rsid w:val="00FA59E6"/>
    <w:rsid w:val="00FA5D4B"/>
    <w:rsid w:val="00FA695A"/>
    <w:rsid w:val="00FA7022"/>
    <w:rsid w:val="00FA7E42"/>
    <w:rsid w:val="00FB22E8"/>
    <w:rsid w:val="00FB3FC4"/>
    <w:rsid w:val="00FB5CEF"/>
    <w:rsid w:val="00FB5D6F"/>
    <w:rsid w:val="00FC00AE"/>
    <w:rsid w:val="00FC1063"/>
    <w:rsid w:val="00FC2E42"/>
    <w:rsid w:val="00FC3A6F"/>
    <w:rsid w:val="00FC40F7"/>
    <w:rsid w:val="00FC426A"/>
    <w:rsid w:val="00FC43E2"/>
    <w:rsid w:val="00FC5F1B"/>
    <w:rsid w:val="00FC716D"/>
    <w:rsid w:val="00FC7525"/>
    <w:rsid w:val="00FC7AB6"/>
    <w:rsid w:val="00FD0763"/>
    <w:rsid w:val="00FD1372"/>
    <w:rsid w:val="00FD2128"/>
    <w:rsid w:val="00FD22C1"/>
    <w:rsid w:val="00FD50A0"/>
    <w:rsid w:val="00FD6CCB"/>
    <w:rsid w:val="00FD70ED"/>
    <w:rsid w:val="00FD7ED8"/>
    <w:rsid w:val="00FD7F7E"/>
    <w:rsid w:val="00FE0565"/>
    <w:rsid w:val="00FE2E7D"/>
    <w:rsid w:val="00FE3C09"/>
    <w:rsid w:val="00FE416A"/>
    <w:rsid w:val="00FE663B"/>
    <w:rsid w:val="00FE7049"/>
    <w:rsid w:val="00FF147F"/>
    <w:rsid w:val="00FF3D60"/>
    <w:rsid w:val="00FF63DD"/>
    <w:rsid w:val="00FF7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992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D"/>
    <w:rPr>
      <w:sz w:val="24"/>
      <w:szCs w:val="24"/>
      <w:lang w:val="en-US" w:eastAsia="en-US"/>
    </w:rPr>
  </w:style>
  <w:style w:type="paragraph" w:styleId="Heading1">
    <w:name w:val="heading 1"/>
    <w:basedOn w:val="Normal"/>
    <w:next w:val="Normal"/>
    <w:link w:val="Heading1Char"/>
    <w:uiPriority w:val="99"/>
    <w:qFormat/>
    <w:locked/>
    <w:rsid w:val="00074B30"/>
    <w:pPr>
      <w:keepNext/>
      <w:numPr>
        <w:numId w:val="7"/>
      </w:numPr>
      <w:spacing w:before="240" w:after="120"/>
      <w:outlineLvl w:val="0"/>
    </w:pPr>
    <w:rPr>
      <w:b/>
      <w:bCs/>
      <w:sz w:val="32"/>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B30"/>
    <w:rPr>
      <w:rFonts w:cs="Times New Roman"/>
      <w:b/>
      <w:bCs/>
      <w:sz w:val="24"/>
      <w:szCs w:val="24"/>
      <w:lang w:eastAsia="nl-NL"/>
    </w:rPr>
  </w:style>
  <w:style w:type="paragraph" w:styleId="BalloonText">
    <w:name w:val="Balloon Text"/>
    <w:basedOn w:val="Normal"/>
    <w:link w:val="BalloonTextChar"/>
    <w:uiPriority w:val="99"/>
    <w:rsid w:val="0026703D"/>
    <w:rPr>
      <w:rFonts w:ascii="Tahoma" w:hAnsi="Tahoma" w:cs="Tahoma"/>
      <w:sz w:val="16"/>
      <w:szCs w:val="16"/>
    </w:rPr>
  </w:style>
  <w:style w:type="character" w:customStyle="1" w:styleId="BalloonTextChar">
    <w:name w:val="Balloon Text Char"/>
    <w:basedOn w:val="DefaultParagraphFont"/>
    <w:link w:val="BalloonText"/>
    <w:uiPriority w:val="99"/>
    <w:locked/>
    <w:rsid w:val="0026703D"/>
    <w:rPr>
      <w:rFonts w:ascii="Tahoma" w:hAnsi="Tahoma" w:cs="Tahoma"/>
      <w:sz w:val="16"/>
      <w:szCs w:val="16"/>
      <w:lang w:val="en-US" w:eastAsia="en-US"/>
    </w:rPr>
  </w:style>
  <w:style w:type="paragraph" w:styleId="ListParagraph">
    <w:name w:val="List Paragraph"/>
    <w:basedOn w:val="Normal"/>
    <w:uiPriority w:val="99"/>
    <w:qFormat/>
    <w:rsid w:val="00CA1146"/>
    <w:pPr>
      <w:ind w:left="720"/>
      <w:contextualSpacing/>
    </w:pPr>
  </w:style>
  <w:style w:type="character" w:styleId="CommentReference">
    <w:name w:val="annotation reference"/>
    <w:basedOn w:val="DefaultParagraphFont"/>
    <w:uiPriority w:val="99"/>
    <w:rsid w:val="0026703D"/>
    <w:rPr>
      <w:rFonts w:cs="Times New Roman"/>
      <w:sz w:val="16"/>
      <w:szCs w:val="16"/>
    </w:rPr>
  </w:style>
  <w:style w:type="paragraph" w:styleId="CommentText">
    <w:name w:val="annotation text"/>
    <w:basedOn w:val="Normal"/>
    <w:link w:val="CommentTextChar"/>
    <w:uiPriority w:val="99"/>
    <w:rsid w:val="0026703D"/>
    <w:rPr>
      <w:sz w:val="20"/>
      <w:szCs w:val="20"/>
    </w:rPr>
  </w:style>
  <w:style w:type="character" w:customStyle="1" w:styleId="CommentTextChar">
    <w:name w:val="Comment Text Char"/>
    <w:basedOn w:val="DefaultParagraphFont"/>
    <w:link w:val="CommentText"/>
    <w:uiPriority w:val="99"/>
    <w:locked/>
    <w:rsid w:val="0026703D"/>
    <w:rPr>
      <w:rFonts w:cs="Times New Roman"/>
      <w:lang w:val="en-US" w:eastAsia="en-US"/>
    </w:rPr>
  </w:style>
  <w:style w:type="paragraph" w:styleId="CommentSubject">
    <w:name w:val="annotation subject"/>
    <w:basedOn w:val="CommentText"/>
    <w:next w:val="CommentText"/>
    <w:link w:val="CommentSubjectChar"/>
    <w:uiPriority w:val="99"/>
    <w:rsid w:val="0026703D"/>
    <w:rPr>
      <w:b/>
      <w:bCs/>
    </w:rPr>
  </w:style>
  <w:style w:type="character" w:customStyle="1" w:styleId="CommentSubjectChar">
    <w:name w:val="Comment Subject Char"/>
    <w:basedOn w:val="CommentTextChar"/>
    <w:link w:val="CommentSubject"/>
    <w:uiPriority w:val="99"/>
    <w:locked/>
    <w:rsid w:val="0026703D"/>
    <w:rPr>
      <w:rFonts w:cs="Times New Roman"/>
      <w:b/>
      <w:bCs/>
      <w:lang w:val="en-US" w:eastAsia="en-US"/>
    </w:rPr>
  </w:style>
  <w:style w:type="paragraph" w:styleId="Header">
    <w:name w:val="header"/>
    <w:basedOn w:val="Normal"/>
    <w:link w:val="HeaderChar"/>
    <w:uiPriority w:val="99"/>
    <w:rsid w:val="00CB3800"/>
    <w:pPr>
      <w:tabs>
        <w:tab w:val="center" w:pos="4536"/>
        <w:tab w:val="right" w:pos="9072"/>
      </w:tabs>
    </w:pPr>
  </w:style>
  <w:style w:type="character" w:customStyle="1" w:styleId="HeaderChar">
    <w:name w:val="Header Char"/>
    <w:basedOn w:val="DefaultParagraphFont"/>
    <w:link w:val="Header"/>
    <w:uiPriority w:val="99"/>
    <w:semiHidden/>
    <w:locked/>
    <w:rsid w:val="00504DB7"/>
    <w:rPr>
      <w:rFonts w:cs="Times New Roman"/>
      <w:sz w:val="24"/>
      <w:szCs w:val="24"/>
      <w:lang w:val="en-US" w:eastAsia="en-US"/>
    </w:rPr>
  </w:style>
  <w:style w:type="paragraph" w:styleId="Footer">
    <w:name w:val="footer"/>
    <w:basedOn w:val="Normal"/>
    <w:link w:val="FooterChar"/>
    <w:uiPriority w:val="99"/>
    <w:rsid w:val="00CB3800"/>
    <w:pPr>
      <w:tabs>
        <w:tab w:val="center" w:pos="4536"/>
        <w:tab w:val="right" w:pos="9072"/>
      </w:tabs>
    </w:pPr>
  </w:style>
  <w:style w:type="character" w:customStyle="1" w:styleId="FooterChar">
    <w:name w:val="Footer Char"/>
    <w:basedOn w:val="DefaultParagraphFont"/>
    <w:link w:val="Footer"/>
    <w:uiPriority w:val="99"/>
    <w:semiHidden/>
    <w:locked/>
    <w:rsid w:val="00504DB7"/>
    <w:rPr>
      <w:rFonts w:cs="Times New Roman"/>
      <w:sz w:val="24"/>
      <w:szCs w:val="24"/>
      <w:lang w:val="en-US" w:eastAsia="en-US"/>
    </w:rPr>
  </w:style>
  <w:style w:type="paragraph" w:styleId="BodyText2">
    <w:name w:val="Body Text 2"/>
    <w:basedOn w:val="Normal"/>
    <w:link w:val="BodyText2Char"/>
    <w:rsid w:val="00CB3800"/>
    <w:rPr>
      <w:lang w:val="en-GB"/>
    </w:rPr>
  </w:style>
  <w:style w:type="character" w:customStyle="1" w:styleId="BodyText2Char">
    <w:name w:val="Body Text 2 Char"/>
    <w:basedOn w:val="DefaultParagraphFont"/>
    <w:link w:val="BodyText2"/>
    <w:locked/>
    <w:rsid w:val="00504DB7"/>
    <w:rPr>
      <w:rFonts w:cs="Times New Roman"/>
      <w:sz w:val="24"/>
      <w:szCs w:val="24"/>
      <w:lang w:val="en-US" w:eastAsia="en-US"/>
    </w:rPr>
  </w:style>
  <w:style w:type="character" w:styleId="PageNumber">
    <w:name w:val="page number"/>
    <w:basedOn w:val="DefaultParagraphFont"/>
    <w:uiPriority w:val="99"/>
    <w:rsid w:val="00CB3800"/>
    <w:rPr>
      <w:rFonts w:cs="Times New Roman"/>
    </w:rPr>
  </w:style>
  <w:style w:type="character" w:styleId="FootnoteReference">
    <w:name w:val="footnote reference"/>
    <w:basedOn w:val="DefaultParagraphFont"/>
    <w:uiPriority w:val="99"/>
    <w:semiHidden/>
    <w:rsid w:val="00074B30"/>
    <w:rPr>
      <w:rFonts w:cs="Times New Roman"/>
      <w:vertAlign w:val="superscript"/>
    </w:rPr>
  </w:style>
  <w:style w:type="paragraph" w:styleId="FootnoteText">
    <w:name w:val="footnote text"/>
    <w:basedOn w:val="Normal"/>
    <w:link w:val="FootnoteTextChar"/>
    <w:uiPriority w:val="99"/>
    <w:semiHidden/>
    <w:rsid w:val="003846CB"/>
    <w:rPr>
      <w:sz w:val="20"/>
      <w:szCs w:val="20"/>
    </w:rPr>
  </w:style>
  <w:style w:type="character" w:customStyle="1" w:styleId="FootnoteTextChar">
    <w:name w:val="Footnote Text Char"/>
    <w:basedOn w:val="DefaultParagraphFont"/>
    <w:link w:val="FootnoteText"/>
    <w:uiPriority w:val="99"/>
    <w:semiHidden/>
    <w:locked/>
    <w:rsid w:val="003846CB"/>
    <w:rPr>
      <w:rFonts w:cs="Times New Roman"/>
      <w:sz w:val="20"/>
      <w:szCs w:val="20"/>
    </w:rPr>
  </w:style>
  <w:style w:type="character" w:styleId="Emphasis">
    <w:name w:val="Emphasis"/>
    <w:basedOn w:val="DefaultParagraphFont"/>
    <w:qFormat/>
    <w:locked/>
    <w:rsid w:val="005C634B"/>
    <w:rPr>
      <w:rFonts w:cs="Times New Roman"/>
      <w:i/>
      <w:iCs/>
    </w:rPr>
  </w:style>
  <w:style w:type="character" w:customStyle="1" w:styleId="CharChar6">
    <w:name w:val="Char Char6"/>
    <w:uiPriority w:val="99"/>
    <w:semiHidden/>
    <w:locked/>
    <w:rsid w:val="006B6E67"/>
    <w:rPr>
      <w:sz w:val="24"/>
    </w:rPr>
  </w:style>
  <w:style w:type="character" w:styleId="Strong">
    <w:name w:val="Strong"/>
    <w:basedOn w:val="DefaultParagraphFont"/>
    <w:qFormat/>
    <w:locked/>
    <w:rsid w:val="00675A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D"/>
    <w:rPr>
      <w:sz w:val="24"/>
      <w:szCs w:val="24"/>
      <w:lang w:val="en-US" w:eastAsia="en-US"/>
    </w:rPr>
  </w:style>
  <w:style w:type="paragraph" w:styleId="Heading1">
    <w:name w:val="heading 1"/>
    <w:basedOn w:val="Normal"/>
    <w:next w:val="Normal"/>
    <w:link w:val="Heading1Char"/>
    <w:uiPriority w:val="99"/>
    <w:qFormat/>
    <w:locked/>
    <w:rsid w:val="00074B30"/>
    <w:pPr>
      <w:keepNext/>
      <w:numPr>
        <w:numId w:val="7"/>
      </w:numPr>
      <w:spacing w:before="240" w:after="120"/>
      <w:outlineLvl w:val="0"/>
    </w:pPr>
    <w:rPr>
      <w:b/>
      <w:bCs/>
      <w:sz w:val="32"/>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B30"/>
    <w:rPr>
      <w:rFonts w:cs="Times New Roman"/>
      <w:b/>
      <w:bCs/>
      <w:sz w:val="24"/>
      <w:szCs w:val="24"/>
      <w:lang w:eastAsia="nl-NL"/>
    </w:rPr>
  </w:style>
  <w:style w:type="paragraph" w:styleId="BalloonText">
    <w:name w:val="Balloon Text"/>
    <w:basedOn w:val="Normal"/>
    <w:link w:val="BalloonTextChar"/>
    <w:uiPriority w:val="99"/>
    <w:rsid w:val="0026703D"/>
    <w:rPr>
      <w:rFonts w:ascii="Tahoma" w:hAnsi="Tahoma" w:cs="Tahoma"/>
      <w:sz w:val="16"/>
      <w:szCs w:val="16"/>
    </w:rPr>
  </w:style>
  <w:style w:type="character" w:customStyle="1" w:styleId="BalloonTextChar">
    <w:name w:val="Balloon Text Char"/>
    <w:basedOn w:val="DefaultParagraphFont"/>
    <w:link w:val="BalloonText"/>
    <w:uiPriority w:val="99"/>
    <w:locked/>
    <w:rsid w:val="0026703D"/>
    <w:rPr>
      <w:rFonts w:ascii="Tahoma" w:hAnsi="Tahoma" w:cs="Tahoma"/>
      <w:sz w:val="16"/>
      <w:szCs w:val="16"/>
      <w:lang w:val="en-US" w:eastAsia="en-US"/>
    </w:rPr>
  </w:style>
  <w:style w:type="paragraph" w:styleId="ListParagraph">
    <w:name w:val="List Paragraph"/>
    <w:basedOn w:val="Normal"/>
    <w:uiPriority w:val="99"/>
    <w:qFormat/>
    <w:rsid w:val="00CA1146"/>
    <w:pPr>
      <w:ind w:left="720"/>
      <w:contextualSpacing/>
    </w:pPr>
  </w:style>
  <w:style w:type="character" w:styleId="CommentReference">
    <w:name w:val="annotation reference"/>
    <w:basedOn w:val="DefaultParagraphFont"/>
    <w:uiPriority w:val="99"/>
    <w:rsid w:val="0026703D"/>
    <w:rPr>
      <w:rFonts w:cs="Times New Roman"/>
      <w:sz w:val="16"/>
      <w:szCs w:val="16"/>
    </w:rPr>
  </w:style>
  <w:style w:type="paragraph" w:styleId="CommentText">
    <w:name w:val="annotation text"/>
    <w:basedOn w:val="Normal"/>
    <w:link w:val="CommentTextChar"/>
    <w:uiPriority w:val="99"/>
    <w:rsid w:val="0026703D"/>
    <w:rPr>
      <w:sz w:val="20"/>
      <w:szCs w:val="20"/>
    </w:rPr>
  </w:style>
  <w:style w:type="character" w:customStyle="1" w:styleId="CommentTextChar">
    <w:name w:val="Comment Text Char"/>
    <w:basedOn w:val="DefaultParagraphFont"/>
    <w:link w:val="CommentText"/>
    <w:uiPriority w:val="99"/>
    <w:locked/>
    <w:rsid w:val="0026703D"/>
    <w:rPr>
      <w:rFonts w:cs="Times New Roman"/>
      <w:lang w:val="en-US" w:eastAsia="en-US"/>
    </w:rPr>
  </w:style>
  <w:style w:type="paragraph" w:styleId="CommentSubject">
    <w:name w:val="annotation subject"/>
    <w:basedOn w:val="CommentText"/>
    <w:next w:val="CommentText"/>
    <w:link w:val="CommentSubjectChar"/>
    <w:uiPriority w:val="99"/>
    <w:rsid w:val="0026703D"/>
    <w:rPr>
      <w:b/>
      <w:bCs/>
    </w:rPr>
  </w:style>
  <w:style w:type="character" w:customStyle="1" w:styleId="CommentSubjectChar">
    <w:name w:val="Comment Subject Char"/>
    <w:basedOn w:val="CommentTextChar"/>
    <w:link w:val="CommentSubject"/>
    <w:uiPriority w:val="99"/>
    <w:locked/>
    <w:rsid w:val="0026703D"/>
    <w:rPr>
      <w:rFonts w:cs="Times New Roman"/>
      <w:b/>
      <w:bCs/>
      <w:lang w:val="en-US" w:eastAsia="en-US"/>
    </w:rPr>
  </w:style>
  <w:style w:type="paragraph" w:styleId="Header">
    <w:name w:val="header"/>
    <w:basedOn w:val="Normal"/>
    <w:link w:val="HeaderChar"/>
    <w:uiPriority w:val="99"/>
    <w:rsid w:val="00CB3800"/>
    <w:pPr>
      <w:tabs>
        <w:tab w:val="center" w:pos="4536"/>
        <w:tab w:val="right" w:pos="9072"/>
      </w:tabs>
    </w:pPr>
  </w:style>
  <w:style w:type="character" w:customStyle="1" w:styleId="HeaderChar">
    <w:name w:val="Header Char"/>
    <w:basedOn w:val="DefaultParagraphFont"/>
    <w:link w:val="Header"/>
    <w:uiPriority w:val="99"/>
    <w:semiHidden/>
    <w:locked/>
    <w:rsid w:val="00504DB7"/>
    <w:rPr>
      <w:rFonts w:cs="Times New Roman"/>
      <w:sz w:val="24"/>
      <w:szCs w:val="24"/>
      <w:lang w:val="en-US" w:eastAsia="en-US"/>
    </w:rPr>
  </w:style>
  <w:style w:type="paragraph" w:styleId="Footer">
    <w:name w:val="footer"/>
    <w:basedOn w:val="Normal"/>
    <w:link w:val="FooterChar"/>
    <w:uiPriority w:val="99"/>
    <w:rsid w:val="00CB3800"/>
    <w:pPr>
      <w:tabs>
        <w:tab w:val="center" w:pos="4536"/>
        <w:tab w:val="right" w:pos="9072"/>
      </w:tabs>
    </w:pPr>
  </w:style>
  <w:style w:type="character" w:customStyle="1" w:styleId="FooterChar">
    <w:name w:val="Footer Char"/>
    <w:basedOn w:val="DefaultParagraphFont"/>
    <w:link w:val="Footer"/>
    <w:uiPriority w:val="99"/>
    <w:semiHidden/>
    <w:locked/>
    <w:rsid w:val="00504DB7"/>
    <w:rPr>
      <w:rFonts w:cs="Times New Roman"/>
      <w:sz w:val="24"/>
      <w:szCs w:val="24"/>
      <w:lang w:val="en-US" w:eastAsia="en-US"/>
    </w:rPr>
  </w:style>
  <w:style w:type="paragraph" w:styleId="BodyText2">
    <w:name w:val="Body Text 2"/>
    <w:basedOn w:val="Normal"/>
    <w:link w:val="BodyText2Char"/>
    <w:rsid w:val="00CB3800"/>
    <w:rPr>
      <w:lang w:val="en-GB"/>
    </w:rPr>
  </w:style>
  <w:style w:type="character" w:customStyle="1" w:styleId="BodyText2Char">
    <w:name w:val="Body Text 2 Char"/>
    <w:basedOn w:val="DefaultParagraphFont"/>
    <w:link w:val="BodyText2"/>
    <w:locked/>
    <w:rsid w:val="00504DB7"/>
    <w:rPr>
      <w:rFonts w:cs="Times New Roman"/>
      <w:sz w:val="24"/>
      <w:szCs w:val="24"/>
      <w:lang w:val="en-US" w:eastAsia="en-US"/>
    </w:rPr>
  </w:style>
  <w:style w:type="character" w:styleId="PageNumber">
    <w:name w:val="page number"/>
    <w:basedOn w:val="DefaultParagraphFont"/>
    <w:uiPriority w:val="99"/>
    <w:rsid w:val="00CB3800"/>
    <w:rPr>
      <w:rFonts w:cs="Times New Roman"/>
    </w:rPr>
  </w:style>
  <w:style w:type="character" w:styleId="FootnoteReference">
    <w:name w:val="footnote reference"/>
    <w:basedOn w:val="DefaultParagraphFont"/>
    <w:uiPriority w:val="99"/>
    <w:semiHidden/>
    <w:rsid w:val="00074B30"/>
    <w:rPr>
      <w:rFonts w:cs="Times New Roman"/>
      <w:vertAlign w:val="superscript"/>
    </w:rPr>
  </w:style>
  <w:style w:type="paragraph" w:styleId="FootnoteText">
    <w:name w:val="footnote text"/>
    <w:basedOn w:val="Normal"/>
    <w:link w:val="FootnoteTextChar"/>
    <w:uiPriority w:val="99"/>
    <w:semiHidden/>
    <w:rsid w:val="003846CB"/>
    <w:rPr>
      <w:sz w:val="20"/>
      <w:szCs w:val="20"/>
    </w:rPr>
  </w:style>
  <w:style w:type="character" w:customStyle="1" w:styleId="FootnoteTextChar">
    <w:name w:val="Footnote Text Char"/>
    <w:basedOn w:val="DefaultParagraphFont"/>
    <w:link w:val="FootnoteText"/>
    <w:uiPriority w:val="99"/>
    <w:semiHidden/>
    <w:locked/>
    <w:rsid w:val="003846CB"/>
    <w:rPr>
      <w:rFonts w:cs="Times New Roman"/>
      <w:sz w:val="20"/>
      <w:szCs w:val="20"/>
    </w:rPr>
  </w:style>
  <w:style w:type="character" w:styleId="Emphasis">
    <w:name w:val="Emphasis"/>
    <w:basedOn w:val="DefaultParagraphFont"/>
    <w:qFormat/>
    <w:locked/>
    <w:rsid w:val="005C634B"/>
    <w:rPr>
      <w:rFonts w:cs="Times New Roman"/>
      <w:i/>
      <w:iCs/>
    </w:rPr>
  </w:style>
  <w:style w:type="character" w:customStyle="1" w:styleId="CharChar6">
    <w:name w:val="Char Char6"/>
    <w:uiPriority w:val="99"/>
    <w:semiHidden/>
    <w:locked/>
    <w:rsid w:val="006B6E67"/>
    <w:rPr>
      <w:sz w:val="24"/>
    </w:rPr>
  </w:style>
  <w:style w:type="character" w:styleId="Strong">
    <w:name w:val="Strong"/>
    <w:basedOn w:val="DefaultParagraphFont"/>
    <w:qFormat/>
    <w:locked/>
    <w:rsid w:val="00675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350E-30B9-47E1-A16E-FD075E45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2473</Words>
  <Characters>13124</Characters>
  <Application>Microsoft Office Word</Application>
  <DocSecurity>0</DocSecurity>
  <Lines>109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RESOLUTION 5</vt:lpstr>
      <vt:lpstr>DRAFT RESOLUTION 5</vt:lpstr>
    </vt:vector>
  </TitlesOfParts>
  <Company>UNEP</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5</dc:title>
  <dc:creator>Sergey Dereliev (UNEP/AEWA Secretariat)</dc:creator>
  <cp:lastModifiedBy>Jolanta Kremer (UNEP/AEWA Secretariat)</cp:lastModifiedBy>
  <cp:revision>4</cp:revision>
  <cp:lastPrinted>2012-05-18T04:16:00Z</cp:lastPrinted>
  <dcterms:created xsi:type="dcterms:W3CDTF">2012-09-17T11:33:00Z</dcterms:created>
  <dcterms:modified xsi:type="dcterms:W3CDTF">2012-09-19T13:04:00Z</dcterms:modified>
</cp:coreProperties>
</file>