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04DB4" w14:textId="5A2E3C36" w:rsidR="00C23322" w:rsidRPr="00955ACE" w:rsidRDefault="00C23322" w:rsidP="00955ACE">
      <w:pPr>
        <w:pStyle w:val="Heading1"/>
        <w:jc w:val="center"/>
        <w:rPr>
          <w:rFonts w:ascii="Times New Roman" w:hAnsi="Times New Roman" w:cs="Times New Roman"/>
          <w:b w:val="0"/>
          <w:sz w:val="24"/>
          <w:szCs w:val="24"/>
          <w:lang w:val="fr-FR"/>
        </w:rPr>
      </w:pPr>
      <w:r w:rsidRPr="00955ACE">
        <w:rPr>
          <w:rFonts w:ascii="Times New Roman" w:hAnsi="Times New Roman" w:cs="Times New Roman"/>
          <w:b w:val="0"/>
          <w:sz w:val="24"/>
          <w:szCs w:val="24"/>
          <w:lang w:val="fr-FR"/>
        </w:rPr>
        <w:t>RÉSOLUTION 5.22</w:t>
      </w:r>
    </w:p>
    <w:p w14:paraId="5B104DB5" w14:textId="77777777" w:rsidR="00C23322" w:rsidRPr="00757138" w:rsidRDefault="00C23322" w:rsidP="00854AF0">
      <w:pPr>
        <w:jc w:val="center"/>
        <w:rPr>
          <w:b/>
          <w:sz w:val="28"/>
          <w:szCs w:val="28"/>
          <w:lang w:val="fr-FR"/>
        </w:rPr>
      </w:pPr>
    </w:p>
    <w:p w14:paraId="5B104DB6" w14:textId="77777777" w:rsidR="00C23322" w:rsidRPr="00955ACE" w:rsidRDefault="00C23322" w:rsidP="00854AF0">
      <w:pPr>
        <w:jc w:val="center"/>
        <w:rPr>
          <w:b/>
          <w:lang w:val="fr-FR"/>
        </w:rPr>
      </w:pPr>
      <w:r w:rsidRPr="00955ACE">
        <w:rPr>
          <w:b/>
          <w:lang w:val="fr-FR"/>
        </w:rPr>
        <w:t>MISE EN PLACE D’UN RÉGIME STRUCTUREL DE FINANCEMENT DE BASE À LONG TERME POUR LE RECENSEMENT INTERNATIONAL DES OISEAUX D’EAU DANS LA RÉGION D’AFRIQUE-EURASIE</w:t>
      </w:r>
    </w:p>
    <w:p w14:paraId="5B104DB7" w14:textId="77777777" w:rsidR="00C23322" w:rsidRPr="00757138" w:rsidRDefault="00C23322">
      <w:pPr>
        <w:rPr>
          <w:lang w:val="fr-FR"/>
        </w:rPr>
      </w:pPr>
    </w:p>
    <w:p w14:paraId="5B104DB8" w14:textId="76383671" w:rsidR="00C23322" w:rsidRPr="00757138" w:rsidRDefault="00C23322" w:rsidP="00A903B5">
      <w:pPr>
        <w:jc w:val="center"/>
        <w:rPr>
          <w:i/>
          <w:lang w:val="fr-FR"/>
        </w:rPr>
      </w:pPr>
      <w:r w:rsidRPr="002A639C">
        <w:rPr>
          <w:i/>
          <w:lang w:val="fr-FR"/>
        </w:rPr>
        <w:t>Soumis</w:t>
      </w:r>
      <w:r w:rsidR="000D02B8">
        <w:rPr>
          <w:i/>
          <w:lang w:val="fr-FR"/>
        </w:rPr>
        <w:t>e</w:t>
      </w:r>
      <w:r w:rsidRPr="002A639C">
        <w:rPr>
          <w:i/>
          <w:lang w:val="fr-FR"/>
        </w:rPr>
        <w:t xml:space="preserve"> par la Suisse</w:t>
      </w:r>
    </w:p>
    <w:p w14:paraId="5B104DB9" w14:textId="77777777" w:rsidR="00C23322" w:rsidRPr="00757138" w:rsidRDefault="00C23322">
      <w:pPr>
        <w:rPr>
          <w:lang w:val="fr-FR"/>
        </w:rPr>
      </w:pPr>
    </w:p>
    <w:p w14:paraId="5B104DBA" w14:textId="77777777" w:rsidR="00C23322" w:rsidRPr="005B0615" w:rsidRDefault="00C23322">
      <w:pPr>
        <w:rPr>
          <w:sz w:val="22"/>
          <w:szCs w:val="22"/>
          <w:lang w:val="fr-FR"/>
        </w:rPr>
      </w:pPr>
    </w:p>
    <w:p w14:paraId="5B104DBB" w14:textId="1272A03F" w:rsidR="00C23322" w:rsidRPr="005B0615" w:rsidRDefault="00C23322" w:rsidP="003D60CD">
      <w:pPr>
        <w:autoSpaceDE w:val="0"/>
        <w:autoSpaceDN w:val="0"/>
        <w:adjustRightInd w:val="0"/>
        <w:ind w:firstLine="720"/>
        <w:jc w:val="both"/>
        <w:rPr>
          <w:sz w:val="22"/>
          <w:szCs w:val="22"/>
          <w:lang w:val="fr-FR" w:eastAsia="en-GB"/>
        </w:rPr>
      </w:pPr>
      <w:r w:rsidRPr="005B0615">
        <w:rPr>
          <w:i/>
          <w:sz w:val="22"/>
          <w:szCs w:val="22"/>
          <w:lang w:val="fr-FR"/>
        </w:rPr>
        <w:t>Notant avec inquiétude</w:t>
      </w:r>
      <w:r w:rsidRPr="005B0615">
        <w:rPr>
          <w:sz w:val="22"/>
          <w:szCs w:val="22"/>
          <w:lang w:val="fr-FR"/>
        </w:rPr>
        <w:t xml:space="preserve"> que selon les conclusions de la 5</w:t>
      </w:r>
      <w:r w:rsidRPr="005B0615">
        <w:rPr>
          <w:sz w:val="22"/>
          <w:szCs w:val="22"/>
          <w:vertAlign w:val="superscript"/>
          <w:lang w:val="fr-FR"/>
        </w:rPr>
        <w:t>ème</w:t>
      </w:r>
      <w:r w:rsidRPr="005B0615">
        <w:rPr>
          <w:sz w:val="22"/>
          <w:szCs w:val="22"/>
          <w:lang w:val="fr-FR"/>
        </w:rPr>
        <w:t xml:space="preserve"> édition du </w:t>
      </w:r>
      <w:r w:rsidRPr="000D02B8">
        <w:rPr>
          <w:i/>
          <w:sz w:val="22"/>
          <w:szCs w:val="22"/>
          <w:lang w:val="fr-FR"/>
        </w:rPr>
        <w:t>Rapport sur l’état de conservation des oiseaux d’eau migrateurs dans l</w:t>
      </w:r>
      <w:r w:rsidR="000D02B8">
        <w:rPr>
          <w:i/>
          <w:sz w:val="22"/>
          <w:szCs w:val="22"/>
          <w:lang w:val="fr-FR"/>
        </w:rPr>
        <w:t>’aire de l’Accord</w:t>
      </w:r>
      <w:r w:rsidRPr="005B0615">
        <w:rPr>
          <w:sz w:val="22"/>
          <w:szCs w:val="22"/>
          <w:lang w:val="fr-FR"/>
        </w:rPr>
        <w:t xml:space="preserve"> (document AEWA/MOP 5.14), la majorité des</w:t>
      </w:r>
      <w:r w:rsidRPr="005B0615">
        <w:rPr>
          <w:sz w:val="22"/>
          <w:szCs w:val="22"/>
          <w:lang w:val="fr-FR" w:eastAsia="en-GB"/>
        </w:rPr>
        <w:t xml:space="preserve"> populations de l’AEWA présentent des estimations de tendances de populations de mauvaise qualité (82 %) et que la plupart des estimations des tailles des populations sont basées sur l’opinion d’experts extrapolées à partir d’échantillons géographiques non représentatifs (seules 5 % étant basées sur les données d’un recensement tandis que pour 2 %, il n’y a aucune estimation disponible), ce qui vaut particulièrement pour l’Ouest de l’Asie et la région </w:t>
      </w:r>
      <w:proofErr w:type="spellStart"/>
      <w:r w:rsidRPr="005B0615">
        <w:rPr>
          <w:sz w:val="22"/>
          <w:szCs w:val="22"/>
          <w:lang w:val="fr-FR" w:eastAsia="en-GB"/>
        </w:rPr>
        <w:t>afrotropicale</w:t>
      </w:r>
      <w:proofErr w:type="spellEnd"/>
      <w:r w:rsidRPr="005B0615">
        <w:rPr>
          <w:sz w:val="22"/>
          <w:szCs w:val="22"/>
          <w:lang w:val="fr-FR" w:eastAsia="en-GB"/>
        </w:rPr>
        <w:t>,</w:t>
      </w:r>
    </w:p>
    <w:p w14:paraId="5B104DBC" w14:textId="77777777" w:rsidR="00C23322" w:rsidRPr="005B0615" w:rsidRDefault="00C23322" w:rsidP="004B3670">
      <w:pPr>
        <w:jc w:val="both"/>
        <w:rPr>
          <w:sz w:val="22"/>
          <w:szCs w:val="22"/>
          <w:lang w:val="fr-FR"/>
        </w:rPr>
      </w:pPr>
    </w:p>
    <w:p w14:paraId="5B104DBD" w14:textId="77777777" w:rsidR="00C23322" w:rsidRPr="005B0615" w:rsidRDefault="00C23322" w:rsidP="003D60CD">
      <w:pPr>
        <w:ind w:firstLine="720"/>
        <w:jc w:val="both"/>
        <w:rPr>
          <w:sz w:val="22"/>
          <w:szCs w:val="22"/>
          <w:lang w:val="fr-FR"/>
        </w:rPr>
      </w:pPr>
      <w:r w:rsidRPr="005B0615">
        <w:rPr>
          <w:i/>
          <w:sz w:val="22"/>
          <w:szCs w:val="22"/>
          <w:lang w:val="fr-FR"/>
        </w:rPr>
        <w:t>Soulignant</w:t>
      </w:r>
      <w:r w:rsidRPr="005B0615">
        <w:rPr>
          <w:sz w:val="22"/>
          <w:szCs w:val="22"/>
          <w:lang w:val="fr-FR"/>
        </w:rPr>
        <w:t xml:space="preserve"> que des informations actuelles et adéquates sur les tailles et les tendances des populations sont essentielles pour mettre en place des politiques de conservation réactives et mesurer les progrès réalisés en direction des objectifs de conservation stratégique, </w:t>
      </w:r>
    </w:p>
    <w:p w14:paraId="5B104DBE" w14:textId="77777777" w:rsidR="00C23322" w:rsidRPr="005B0615" w:rsidRDefault="00C23322" w:rsidP="004B3670">
      <w:pPr>
        <w:jc w:val="both"/>
        <w:rPr>
          <w:sz w:val="22"/>
          <w:szCs w:val="22"/>
          <w:lang w:val="fr-FR"/>
        </w:rPr>
      </w:pPr>
    </w:p>
    <w:p w14:paraId="5B104DBF" w14:textId="6C6F36D4" w:rsidR="00C23322" w:rsidRPr="005B0615" w:rsidRDefault="00C23322" w:rsidP="003D60CD">
      <w:pPr>
        <w:ind w:firstLine="720"/>
        <w:jc w:val="both"/>
        <w:rPr>
          <w:sz w:val="22"/>
          <w:szCs w:val="22"/>
          <w:lang w:val="fr-FR"/>
        </w:rPr>
      </w:pPr>
      <w:r w:rsidRPr="005B0615">
        <w:rPr>
          <w:i/>
          <w:sz w:val="22"/>
          <w:szCs w:val="22"/>
          <w:lang w:val="fr-FR"/>
        </w:rPr>
        <w:t xml:space="preserve">Réaffirmant </w:t>
      </w:r>
      <w:r w:rsidRPr="005B0615">
        <w:rPr>
          <w:sz w:val="22"/>
          <w:szCs w:val="22"/>
          <w:lang w:val="fr-FR"/>
        </w:rPr>
        <w:t xml:space="preserve">l’importance du Recensement international des oiseaux d’eau (IWC) en tant que générateur de données pour la production du Rapport triennal de l’AEWA sur l’état de conservation des oiseaux d’eau migrateurs et les Estimations de populations d’oiseaux d’eau dans le monde et </w:t>
      </w:r>
      <w:r w:rsidR="001C657D">
        <w:rPr>
          <w:i/>
          <w:sz w:val="22"/>
          <w:szCs w:val="22"/>
          <w:lang w:val="fr-FR"/>
        </w:rPr>
        <w:t>r</w:t>
      </w:r>
      <w:r w:rsidRPr="005B0615">
        <w:rPr>
          <w:i/>
          <w:sz w:val="22"/>
          <w:szCs w:val="22"/>
          <w:lang w:val="fr-FR"/>
        </w:rPr>
        <w:t>econnaissant</w:t>
      </w:r>
      <w:r w:rsidRPr="005B0615">
        <w:rPr>
          <w:sz w:val="22"/>
          <w:szCs w:val="22"/>
          <w:lang w:val="fr-FR"/>
        </w:rPr>
        <w:t xml:space="preserve"> que l’IWC est l’un des programmes de surveillance de la biodiversité qui sont mis en œuvre depuis le plus longtemps et sont le plus largement harmonisés du monde,</w:t>
      </w:r>
    </w:p>
    <w:p w14:paraId="5B104DC0" w14:textId="77777777" w:rsidR="00C23322" w:rsidRPr="005B0615" w:rsidRDefault="00C23322" w:rsidP="004B3670">
      <w:pPr>
        <w:jc w:val="both"/>
        <w:rPr>
          <w:sz w:val="22"/>
          <w:szCs w:val="22"/>
          <w:lang w:val="fr-FR"/>
        </w:rPr>
      </w:pPr>
    </w:p>
    <w:p w14:paraId="5B104DC1" w14:textId="77777777" w:rsidR="00C23322" w:rsidRPr="005B0615" w:rsidRDefault="00C23322" w:rsidP="003D60CD">
      <w:pPr>
        <w:ind w:firstLine="720"/>
        <w:jc w:val="both"/>
        <w:rPr>
          <w:sz w:val="22"/>
          <w:szCs w:val="22"/>
          <w:lang w:val="fr-FR"/>
        </w:rPr>
      </w:pPr>
      <w:r w:rsidRPr="005B0615">
        <w:rPr>
          <w:i/>
          <w:sz w:val="22"/>
          <w:szCs w:val="22"/>
          <w:lang w:val="fr-FR"/>
        </w:rPr>
        <w:t>Rappelant</w:t>
      </w:r>
      <w:r w:rsidRPr="005B0615">
        <w:rPr>
          <w:sz w:val="22"/>
          <w:szCs w:val="22"/>
          <w:lang w:val="fr-FR"/>
        </w:rPr>
        <w:t xml:space="preserve"> la Résolution 4.2 qui reconnaissait le besoin d’une surveillance supplémentaire et renforcée des oiseaux d’eau et l’importance de l’IWC et de ses bases de données associées chez </w:t>
      </w:r>
      <w:proofErr w:type="spellStart"/>
      <w:r w:rsidRPr="005B0615">
        <w:rPr>
          <w:sz w:val="22"/>
          <w:szCs w:val="22"/>
          <w:lang w:val="fr-FR"/>
        </w:rPr>
        <w:t>Wetlands</w:t>
      </w:r>
      <w:proofErr w:type="spellEnd"/>
      <w:r w:rsidRPr="005B0615">
        <w:rPr>
          <w:sz w:val="22"/>
          <w:szCs w:val="22"/>
          <w:lang w:val="fr-FR"/>
        </w:rPr>
        <w:t xml:space="preserve"> International en tant que programme de surveillance et dépositaire majeur de données,</w:t>
      </w:r>
    </w:p>
    <w:p w14:paraId="5B104DC2" w14:textId="77777777" w:rsidR="00C23322" w:rsidRPr="005B0615" w:rsidRDefault="00C23322" w:rsidP="00105A0F">
      <w:pPr>
        <w:keepNext/>
        <w:keepLines/>
        <w:jc w:val="both"/>
        <w:rPr>
          <w:i/>
          <w:sz w:val="22"/>
          <w:szCs w:val="22"/>
          <w:lang w:val="fr-FR"/>
        </w:rPr>
      </w:pPr>
    </w:p>
    <w:p w14:paraId="5B104DC3" w14:textId="77777777" w:rsidR="00C23322" w:rsidRPr="005B0615" w:rsidRDefault="00C23322" w:rsidP="003D60CD">
      <w:pPr>
        <w:keepNext/>
        <w:keepLines/>
        <w:ind w:firstLine="720"/>
        <w:jc w:val="both"/>
        <w:rPr>
          <w:sz w:val="22"/>
          <w:szCs w:val="22"/>
          <w:lang w:val="fr-FR"/>
        </w:rPr>
      </w:pPr>
      <w:r w:rsidRPr="005B0615">
        <w:rPr>
          <w:i/>
          <w:sz w:val="22"/>
          <w:szCs w:val="22"/>
          <w:lang w:val="fr-FR"/>
        </w:rPr>
        <w:t xml:space="preserve">Rappelant également </w:t>
      </w:r>
      <w:r w:rsidRPr="005B0615">
        <w:rPr>
          <w:sz w:val="22"/>
          <w:szCs w:val="22"/>
          <w:lang w:val="fr-FR"/>
        </w:rPr>
        <w:t>les Résolutions 3.11 et 4.10 qui réaffirmaient « </w:t>
      </w:r>
      <w:r w:rsidRPr="005B0615">
        <w:rPr>
          <w:i/>
          <w:sz w:val="22"/>
          <w:szCs w:val="22"/>
          <w:lang w:val="fr-FR"/>
        </w:rPr>
        <w:t>le besoin d’aider au maintien du Recensement international des oiseaux d’eau en Europe et ses futurs développements en Afrique, au Moyen-Orient, en Asie centrale et de l’Est, en tant que base de l’évaluation au plan international de l’état et des tendances des populations d’oiseaux d’eau, et donc de la mise en œuvre efficace de l’Accord</w:t>
      </w:r>
      <w:r w:rsidRPr="005B0615">
        <w:rPr>
          <w:sz w:val="22"/>
          <w:szCs w:val="22"/>
          <w:lang w:val="fr-FR"/>
        </w:rPr>
        <w:t> »,</w:t>
      </w:r>
    </w:p>
    <w:p w14:paraId="5B104DC4" w14:textId="77777777" w:rsidR="00C23322" w:rsidRPr="005B0615" w:rsidRDefault="00C23322" w:rsidP="00105A0F">
      <w:pPr>
        <w:keepNext/>
        <w:keepLines/>
        <w:jc w:val="both"/>
        <w:rPr>
          <w:sz w:val="22"/>
          <w:szCs w:val="22"/>
          <w:lang w:val="fr-FR"/>
        </w:rPr>
      </w:pPr>
    </w:p>
    <w:p w14:paraId="5B104DC5" w14:textId="77777777" w:rsidR="00955ACE" w:rsidRDefault="00C23322" w:rsidP="00955ACE">
      <w:pPr>
        <w:ind w:firstLine="720"/>
        <w:jc w:val="both"/>
        <w:rPr>
          <w:sz w:val="22"/>
          <w:szCs w:val="22"/>
          <w:lang w:val="fr-FR"/>
        </w:rPr>
      </w:pPr>
      <w:r w:rsidRPr="005B0615">
        <w:rPr>
          <w:i/>
          <w:sz w:val="22"/>
          <w:szCs w:val="22"/>
          <w:lang w:val="fr-FR"/>
        </w:rPr>
        <w:t>Rappelant également</w:t>
      </w:r>
      <w:r w:rsidRPr="005B0615">
        <w:rPr>
          <w:sz w:val="22"/>
          <w:szCs w:val="22"/>
          <w:lang w:val="fr-FR"/>
        </w:rPr>
        <w:t xml:space="preserve"> la Résolution 3.6, qui exhortait entre autres au « …</w:t>
      </w:r>
      <w:r w:rsidRPr="005B0615">
        <w:rPr>
          <w:i/>
          <w:sz w:val="22"/>
          <w:szCs w:val="22"/>
          <w:lang w:val="fr-FR"/>
        </w:rPr>
        <w:t xml:space="preserve">développement d’urgence d’un partenariat international en vue de fournir un régime de financement essentiel à long terme pour le Recensement international des oiseaux d’eau et les </w:t>
      </w:r>
      <w:proofErr w:type="spellStart"/>
      <w:r w:rsidRPr="005B0615">
        <w:rPr>
          <w:i/>
          <w:sz w:val="22"/>
          <w:szCs w:val="22"/>
          <w:lang w:val="fr-FR"/>
        </w:rPr>
        <w:t>Waterbird</w:t>
      </w:r>
      <w:proofErr w:type="spellEnd"/>
      <w:r w:rsidRPr="005B0615">
        <w:rPr>
          <w:i/>
          <w:sz w:val="22"/>
          <w:szCs w:val="22"/>
          <w:lang w:val="fr-FR"/>
        </w:rPr>
        <w:t xml:space="preserve"> Population </w:t>
      </w:r>
      <w:proofErr w:type="spellStart"/>
      <w:r w:rsidRPr="005B0615">
        <w:rPr>
          <w:i/>
          <w:sz w:val="22"/>
          <w:szCs w:val="22"/>
          <w:lang w:val="fr-FR"/>
        </w:rPr>
        <w:t>Estimates</w:t>
      </w:r>
      <w:proofErr w:type="spellEnd"/>
      <w:r w:rsidRPr="005B0615">
        <w:rPr>
          <w:i/>
          <w:sz w:val="22"/>
          <w:szCs w:val="22"/>
          <w:lang w:val="fr-FR"/>
        </w:rPr>
        <w:t xml:space="preserve"> (IWC)</w:t>
      </w:r>
      <w:r w:rsidRPr="005B0615">
        <w:rPr>
          <w:sz w:val="22"/>
          <w:szCs w:val="22"/>
          <w:lang w:val="fr-FR"/>
        </w:rPr>
        <w:t>… » </w:t>
      </w:r>
      <w:proofErr w:type="gramStart"/>
      <w:r w:rsidRPr="005B0615">
        <w:rPr>
          <w:sz w:val="22"/>
          <w:szCs w:val="22"/>
          <w:lang w:val="fr-FR"/>
        </w:rPr>
        <w:t>et</w:t>
      </w:r>
      <w:proofErr w:type="gramEnd"/>
      <w:r w:rsidRPr="005B0615">
        <w:rPr>
          <w:sz w:val="22"/>
          <w:szCs w:val="22"/>
          <w:lang w:val="fr-FR"/>
        </w:rPr>
        <w:t xml:space="preserve"> demandait « …</w:t>
      </w:r>
      <w:r w:rsidRPr="005B0615">
        <w:rPr>
          <w:i/>
          <w:sz w:val="22"/>
          <w:szCs w:val="22"/>
          <w:lang w:val="fr-FR"/>
        </w:rPr>
        <w:t xml:space="preserve">au Secrétariat de l’Accord de travailler avec </w:t>
      </w:r>
      <w:proofErr w:type="spellStart"/>
      <w:r w:rsidRPr="005B0615">
        <w:rPr>
          <w:i/>
          <w:sz w:val="22"/>
          <w:szCs w:val="22"/>
          <w:lang w:val="fr-FR"/>
        </w:rPr>
        <w:t>Wetlands</w:t>
      </w:r>
      <w:proofErr w:type="spellEnd"/>
      <w:r w:rsidRPr="005B0615">
        <w:rPr>
          <w:i/>
          <w:sz w:val="22"/>
          <w:szCs w:val="22"/>
          <w:lang w:val="fr-FR"/>
        </w:rPr>
        <w:t xml:space="preserve"> International pour développer des propositions (avec évaluation des coûts) à ces fins</w:t>
      </w:r>
      <w:r w:rsidRPr="005B0615">
        <w:rPr>
          <w:sz w:val="22"/>
          <w:szCs w:val="22"/>
          <w:lang w:val="fr-FR"/>
        </w:rPr>
        <w:t>… »,</w:t>
      </w:r>
    </w:p>
    <w:p w14:paraId="7B54E747" w14:textId="77777777" w:rsidR="005B0615" w:rsidRDefault="005B0615" w:rsidP="00955ACE">
      <w:pPr>
        <w:ind w:firstLine="720"/>
        <w:jc w:val="both"/>
        <w:rPr>
          <w:sz w:val="22"/>
          <w:szCs w:val="22"/>
          <w:lang w:val="fr-FR"/>
        </w:rPr>
      </w:pPr>
    </w:p>
    <w:p w14:paraId="03397E4A" w14:textId="77777777" w:rsidR="005B0615" w:rsidRDefault="005B0615" w:rsidP="00955ACE">
      <w:pPr>
        <w:ind w:firstLine="720"/>
        <w:jc w:val="both"/>
        <w:rPr>
          <w:sz w:val="22"/>
          <w:szCs w:val="22"/>
          <w:lang w:val="fr-FR"/>
        </w:rPr>
      </w:pPr>
    </w:p>
    <w:p w14:paraId="4FAE9B26" w14:textId="77777777" w:rsidR="005B0615" w:rsidRDefault="005B0615" w:rsidP="00955ACE">
      <w:pPr>
        <w:ind w:firstLine="720"/>
        <w:jc w:val="both"/>
        <w:rPr>
          <w:sz w:val="22"/>
          <w:szCs w:val="22"/>
          <w:lang w:val="fr-FR"/>
        </w:rPr>
      </w:pPr>
    </w:p>
    <w:p w14:paraId="7882D878" w14:textId="77777777" w:rsidR="005B0615" w:rsidRDefault="005B0615" w:rsidP="00955ACE">
      <w:pPr>
        <w:ind w:firstLine="720"/>
        <w:jc w:val="both"/>
        <w:rPr>
          <w:sz w:val="22"/>
          <w:szCs w:val="22"/>
          <w:lang w:val="fr-FR"/>
        </w:rPr>
      </w:pPr>
    </w:p>
    <w:p w14:paraId="4EB7785E" w14:textId="77777777" w:rsidR="005B0615" w:rsidRDefault="005B0615" w:rsidP="00955ACE">
      <w:pPr>
        <w:ind w:firstLine="720"/>
        <w:jc w:val="both"/>
        <w:rPr>
          <w:sz w:val="22"/>
          <w:szCs w:val="22"/>
          <w:lang w:val="fr-FR"/>
        </w:rPr>
      </w:pPr>
    </w:p>
    <w:p w14:paraId="2EF934A1" w14:textId="77777777" w:rsidR="005B0615" w:rsidRPr="005B0615" w:rsidRDefault="005B0615" w:rsidP="00955ACE">
      <w:pPr>
        <w:ind w:firstLine="720"/>
        <w:jc w:val="both"/>
        <w:rPr>
          <w:sz w:val="22"/>
          <w:szCs w:val="22"/>
          <w:lang w:val="fr-FR"/>
        </w:rPr>
        <w:sectPr w:rsidR="005B0615" w:rsidRPr="005B0615" w:rsidSect="00CB3800">
          <w:headerReference w:type="default" r:id="rId9"/>
          <w:footerReference w:type="even" r:id="rId10"/>
          <w:pgSz w:w="11907" w:h="16840" w:code="9"/>
          <w:pgMar w:top="1021" w:right="1134" w:bottom="851" w:left="1134" w:header="709" w:footer="709" w:gutter="0"/>
          <w:cols w:space="708"/>
          <w:docGrid w:linePitch="360"/>
        </w:sectPr>
      </w:pPr>
    </w:p>
    <w:p w14:paraId="5B104DC6" w14:textId="77777777" w:rsidR="00C23322" w:rsidRPr="005B0615" w:rsidRDefault="00C23322" w:rsidP="00955ACE">
      <w:pPr>
        <w:ind w:firstLine="720"/>
        <w:jc w:val="both"/>
        <w:rPr>
          <w:sz w:val="22"/>
          <w:szCs w:val="22"/>
          <w:lang w:val="fr-FR"/>
        </w:rPr>
      </w:pPr>
    </w:p>
    <w:p w14:paraId="5B104DC7" w14:textId="77777777" w:rsidR="00C23322" w:rsidRPr="005B0615" w:rsidRDefault="00C23322" w:rsidP="003D60CD">
      <w:pPr>
        <w:ind w:firstLine="720"/>
        <w:jc w:val="both"/>
        <w:rPr>
          <w:sz w:val="22"/>
          <w:szCs w:val="22"/>
          <w:lang w:val="fr-FR"/>
        </w:rPr>
      </w:pPr>
      <w:r w:rsidRPr="005B0615">
        <w:rPr>
          <w:i/>
          <w:sz w:val="22"/>
          <w:szCs w:val="22"/>
          <w:lang w:val="fr-FR"/>
        </w:rPr>
        <w:t xml:space="preserve">Rappelant également </w:t>
      </w:r>
      <w:r w:rsidRPr="005B0615">
        <w:rPr>
          <w:sz w:val="22"/>
          <w:szCs w:val="22"/>
          <w:lang w:val="fr-FR"/>
        </w:rPr>
        <w:t>la Résolution 4.7 sur l’adoption du Plan stratégique 2009–2017 de l’AEWA, qui a établi la cible 3.1 « </w:t>
      </w:r>
      <w:r w:rsidRPr="005B0615">
        <w:rPr>
          <w:i/>
          <w:sz w:val="22"/>
          <w:szCs w:val="22"/>
          <w:lang w:val="fr-FR"/>
        </w:rPr>
        <w:t>Les ressources nécessaires sont en place pour soutenir, à long terme, les processus internationaux de collecte de données de surveillance pour l’évaluation de l’état de conservation</w:t>
      </w:r>
      <w:r w:rsidRPr="005B0615">
        <w:rPr>
          <w:sz w:val="22"/>
          <w:szCs w:val="22"/>
          <w:lang w:val="fr-FR"/>
        </w:rPr>
        <w:t> » et a identifié les indicateurs suivants : « </w:t>
      </w:r>
      <w:r w:rsidRPr="005B0615">
        <w:rPr>
          <w:i/>
          <w:sz w:val="22"/>
          <w:szCs w:val="22"/>
          <w:lang w:val="fr-FR"/>
        </w:rPr>
        <w:t>Élaboration ponctuelle du rapport récapitulatif du Recensement international des oiseaux d’eau (IWC), du Rapport sur l’état de conservation de l’AEWA et des Estimations des populations d’oiseaux d’eau au niveau mondial</w:t>
      </w:r>
      <w:r w:rsidRPr="005B0615">
        <w:rPr>
          <w:sz w:val="22"/>
          <w:szCs w:val="22"/>
          <w:lang w:val="fr-FR"/>
        </w:rPr>
        <w:t xml:space="preserve"> » et « </w:t>
      </w:r>
      <w:r w:rsidRPr="005B0615">
        <w:rPr>
          <w:i/>
          <w:sz w:val="22"/>
          <w:szCs w:val="22"/>
          <w:lang w:val="fr-FR"/>
        </w:rPr>
        <w:t>l’augmentation de 50 % des espèces/populations dont l’état au niveau international fait l’objet d’évaluations sur la base de données de surveillance régulières</w:t>
      </w:r>
      <w:r w:rsidRPr="005B0615">
        <w:rPr>
          <w:sz w:val="22"/>
          <w:szCs w:val="22"/>
          <w:lang w:val="fr-FR"/>
        </w:rPr>
        <w:t xml:space="preserve"> »</w:t>
      </w:r>
      <w:r w:rsidR="00955ACE" w:rsidRPr="005B0615">
        <w:rPr>
          <w:sz w:val="22"/>
          <w:szCs w:val="22"/>
          <w:lang w:val="fr-FR"/>
        </w:rPr>
        <w:t>,</w:t>
      </w:r>
    </w:p>
    <w:p w14:paraId="5B104DC8" w14:textId="77777777" w:rsidR="00C23322" w:rsidRPr="005B0615" w:rsidRDefault="00C23322" w:rsidP="00854AF0">
      <w:pPr>
        <w:jc w:val="both"/>
        <w:rPr>
          <w:sz w:val="22"/>
          <w:szCs w:val="22"/>
          <w:lang w:val="fr-FR"/>
        </w:rPr>
      </w:pPr>
    </w:p>
    <w:p w14:paraId="5B104DC9" w14:textId="44328AFE" w:rsidR="00C23322" w:rsidRPr="005B0615" w:rsidRDefault="00C23322" w:rsidP="003D60CD">
      <w:pPr>
        <w:autoSpaceDE w:val="0"/>
        <w:autoSpaceDN w:val="0"/>
        <w:adjustRightInd w:val="0"/>
        <w:ind w:firstLine="720"/>
        <w:jc w:val="both"/>
        <w:rPr>
          <w:sz w:val="22"/>
          <w:szCs w:val="22"/>
          <w:lang w:val="fr-FR" w:eastAsia="en-GB"/>
        </w:rPr>
      </w:pPr>
      <w:r w:rsidRPr="005B0615">
        <w:rPr>
          <w:i/>
          <w:sz w:val="22"/>
          <w:szCs w:val="22"/>
          <w:lang w:val="fr-FR"/>
        </w:rPr>
        <w:t>Rappelant également</w:t>
      </w:r>
      <w:r w:rsidRPr="005B0615">
        <w:rPr>
          <w:sz w:val="22"/>
          <w:szCs w:val="22"/>
          <w:lang w:val="fr-FR"/>
        </w:rPr>
        <w:t xml:space="preserve"> </w:t>
      </w:r>
      <w:r w:rsidRPr="005B0615">
        <w:rPr>
          <w:i/>
          <w:sz w:val="22"/>
          <w:szCs w:val="22"/>
          <w:lang w:val="fr-FR"/>
        </w:rPr>
        <w:t>l’Énoncé d’action de La Haye</w:t>
      </w:r>
      <w:r w:rsidR="00C127DC" w:rsidRPr="005B0615">
        <w:rPr>
          <w:rStyle w:val="FootnoteReference"/>
          <w:i/>
          <w:sz w:val="22"/>
          <w:szCs w:val="22"/>
          <w:lang w:val="fr-FR"/>
        </w:rPr>
        <w:footnoteReference w:id="1"/>
      </w:r>
      <w:r w:rsidRPr="005B0615">
        <w:rPr>
          <w:sz w:val="22"/>
          <w:szCs w:val="22"/>
          <w:lang w:val="fr-FR"/>
        </w:rPr>
        <w:t>, résultat du symposium 2010 célébrant le 15</w:t>
      </w:r>
      <w:r w:rsidRPr="005B0615">
        <w:rPr>
          <w:sz w:val="22"/>
          <w:szCs w:val="22"/>
          <w:vertAlign w:val="superscript"/>
          <w:lang w:val="fr-FR"/>
        </w:rPr>
        <w:t>ème</w:t>
      </w:r>
      <w:r w:rsidRPr="005B0615">
        <w:rPr>
          <w:sz w:val="22"/>
          <w:szCs w:val="22"/>
          <w:lang w:val="fr-FR"/>
        </w:rPr>
        <w:t xml:space="preserve"> anniversaire de l’AEWA, qui appelait un vaste éventail de parties prenantes à établir un consortium d’ici la fin 2010 pour assurer conjointement des ressources financières appropriées pour le recueil de données internationales, l’analyse et la diffusion d’informations mises à jour et thématiques, indispensables à la conservation des oiseaux d’eau de la région de l’AEWA, en particulier au moyen du  Recensement international (IWC)</w:t>
      </w:r>
      <w:r w:rsidRPr="005B0615">
        <w:rPr>
          <w:sz w:val="22"/>
          <w:szCs w:val="22"/>
          <w:lang w:val="fr-FR" w:eastAsia="en-GB"/>
        </w:rPr>
        <w:t>,</w:t>
      </w:r>
    </w:p>
    <w:p w14:paraId="5B104DCA" w14:textId="77777777" w:rsidR="00C23322" w:rsidRPr="005B0615" w:rsidRDefault="00C23322" w:rsidP="00854AF0">
      <w:pPr>
        <w:jc w:val="both"/>
        <w:rPr>
          <w:sz w:val="22"/>
          <w:szCs w:val="22"/>
          <w:lang w:val="fr-FR"/>
        </w:rPr>
      </w:pPr>
    </w:p>
    <w:p w14:paraId="5B104DCB" w14:textId="77777777" w:rsidR="00C23322" w:rsidRPr="005B0615" w:rsidRDefault="00C23322" w:rsidP="004A115D">
      <w:pPr>
        <w:ind w:firstLine="720"/>
        <w:jc w:val="both"/>
        <w:rPr>
          <w:sz w:val="22"/>
          <w:szCs w:val="22"/>
          <w:lang w:val="fr-FR"/>
        </w:rPr>
      </w:pPr>
      <w:r w:rsidRPr="005B0615">
        <w:rPr>
          <w:i/>
          <w:iCs/>
          <w:sz w:val="22"/>
          <w:szCs w:val="22"/>
          <w:lang w:val="fr-FR"/>
        </w:rPr>
        <w:t>Reconnaissant</w:t>
      </w:r>
      <w:r w:rsidRPr="005B0615">
        <w:rPr>
          <w:sz w:val="22"/>
          <w:szCs w:val="22"/>
          <w:lang w:val="fr-FR"/>
        </w:rPr>
        <w:t xml:space="preserve"> qu’un IWC renforcé contribuerait à atteindre l’objectif 19 des Objectifs d’Aichi pour la diversité biologique approuvés par la COP10 de la CBD en 2010, établissant que « </w:t>
      </w:r>
      <w:r w:rsidRPr="005B0615">
        <w:rPr>
          <w:i/>
          <w:iCs/>
          <w:sz w:val="22"/>
          <w:szCs w:val="22"/>
          <w:lang w:val="fr-FR"/>
        </w:rPr>
        <w:t>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r w:rsidRPr="005B0615">
        <w:rPr>
          <w:sz w:val="22"/>
          <w:szCs w:val="22"/>
          <w:lang w:val="fr-FR"/>
        </w:rPr>
        <w:t> »,</w:t>
      </w:r>
    </w:p>
    <w:p w14:paraId="5B104DCC" w14:textId="77777777" w:rsidR="00C23322" w:rsidRPr="005B0615" w:rsidRDefault="00C23322" w:rsidP="004A115D">
      <w:pPr>
        <w:ind w:firstLine="720"/>
        <w:jc w:val="both"/>
        <w:rPr>
          <w:sz w:val="22"/>
          <w:szCs w:val="22"/>
          <w:lang w:val="fr-FR"/>
        </w:rPr>
      </w:pPr>
    </w:p>
    <w:p w14:paraId="5B104DCD" w14:textId="77777777" w:rsidR="00C23322" w:rsidRPr="005B0615" w:rsidRDefault="00C23322" w:rsidP="004A115D">
      <w:pPr>
        <w:ind w:firstLine="720"/>
        <w:jc w:val="both"/>
        <w:rPr>
          <w:sz w:val="22"/>
          <w:szCs w:val="22"/>
          <w:lang w:val="fr-FR"/>
        </w:rPr>
      </w:pPr>
      <w:r w:rsidRPr="005B0615">
        <w:rPr>
          <w:i/>
          <w:iCs/>
          <w:sz w:val="22"/>
          <w:szCs w:val="22"/>
          <w:lang w:val="fr-FR"/>
        </w:rPr>
        <w:t>Reconnaissant également</w:t>
      </w:r>
      <w:r w:rsidRPr="005B0615">
        <w:rPr>
          <w:sz w:val="22"/>
          <w:szCs w:val="22"/>
          <w:lang w:val="fr-FR"/>
        </w:rPr>
        <w:t xml:space="preserve"> que les autres AEM, et notamment la Convention de </w:t>
      </w:r>
      <w:proofErr w:type="spellStart"/>
      <w:r w:rsidRPr="005B0615">
        <w:rPr>
          <w:sz w:val="22"/>
          <w:szCs w:val="22"/>
          <w:lang w:val="fr-FR"/>
        </w:rPr>
        <w:t>Ramsar</w:t>
      </w:r>
      <w:proofErr w:type="spellEnd"/>
      <w:r w:rsidRPr="005B0615">
        <w:rPr>
          <w:sz w:val="22"/>
          <w:szCs w:val="22"/>
          <w:lang w:val="fr-FR"/>
        </w:rPr>
        <w:t xml:space="preserve"> sur les zones humides et la Convention sur les espèces migratrices, ainsi que la Directive Oiseaux de l’UE, nécessitent des données de surveillance régulières pour être opérationnelles, tel le critère 5 de </w:t>
      </w:r>
      <w:proofErr w:type="spellStart"/>
      <w:r w:rsidRPr="005B0615">
        <w:rPr>
          <w:sz w:val="22"/>
          <w:szCs w:val="22"/>
          <w:lang w:val="fr-FR"/>
        </w:rPr>
        <w:t>Ramsar</w:t>
      </w:r>
      <w:proofErr w:type="spellEnd"/>
      <w:r w:rsidRPr="005B0615">
        <w:rPr>
          <w:sz w:val="22"/>
          <w:szCs w:val="22"/>
          <w:lang w:val="fr-FR"/>
        </w:rPr>
        <w:t xml:space="preserve"> pour la désignation des zones humides d’importance internationale dont l’applicabilité est liée aux Estimations des populations d’oiseaux d’eau dérivées largement des données de l’IWC, </w:t>
      </w:r>
    </w:p>
    <w:p w14:paraId="5B104DCE" w14:textId="77777777" w:rsidR="00C23322" w:rsidRPr="005B0615" w:rsidRDefault="00C23322" w:rsidP="004A115D">
      <w:pPr>
        <w:jc w:val="both"/>
        <w:rPr>
          <w:sz w:val="22"/>
          <w:szCs w:val="22"/>
          <w:lang w:val="fr-FR"/>
        </w:rPr>
      </w:pPr>
    </w:p>
    <w:p w14:paraId="5B104DCF" w14:textId="77777777" w:rsidR="00C23322" w:rsidRPr="005B0615" w:rsidRDefault="00C23322" w:rsidP="004A115D">
      <w:pPr>
        <w:ind w:firstLine="720"/>
        <w:jc w:val="both"/>
        <w:rPr>
          <w:sz w:val="22"/>
          <w:szCs w:val="22"/>
          <w:lang w:val="fr-FR"/>
        </w:rPr>
      </w:pPr>
      <w:r w:rsidRPr="005B0615">
        <w:rPr>
          <w:i/>
          <w:iCs/>
          <w:sz w:val="22"/>
          <w:szCs w:val="22"/>
          <w:lang w:val="fr-FR"/>
        </w:rPr>
        <w:t xml:space="preserve">Soulignant </w:t>
      </w:r>
      <w:r w:rsidRPr="005B0615">
        <w:rPr>
          <w:sz w:val="22"/>
          <w:szCs w:val="22"/>
          <w:lang w:val="fr-FR"/>
        </w:rPr>
        <w:t>le besoin de maximiser les synergies entre les AEM et autres instruments juridiques, comme la Directive Oiseaux de l’UE, y compris les activités de surveillance des populations,</w:t>
      </w:r>
    </w:p>
    <w:p w14:paraId="5B104DD0" w14:textId="77777777" w:rsidR="00C23322" w:rsidRPr="005B0615" w:rsidRDefault="00C23322" w:rsidP="00854AF0">
      <w:pPr>
        <w:jc w:val="both"/>
        <w:rPr>
          <w:sz w:val="22"/>
          <w:szCs w:val="22"/>
          <w:lang w:val="fr-FR"/>
        </w:rPr>
      </w:pPr>
    </w:p>
    <w:p w14:paraId="5B104DD1" w14:textId="77777777" w:rsidR="00C23322" w:rsidRPr="005B0615" w:rsidRDefault="00C23322" w:rsidP="003D60CD">
      <w:pPr>
        <w:ind w:firstLine="720"/>
        <w:jc w:val="both"/>
        <w:rPr>
          <w:sz w:val="22"/>
          <w:szCs w:val="22"/>
          <w:lang w:val="fr-FR"/>
        </w:rPr>
      </w:pPr>
      <w:r w:rsidRPr="005B0615">
        <w:rPr>
          <w:i/>
          <w:sz w:val="22"/>
          <w:szCs w:val="22"/>
          <w:lang w:val="fr-FR"/>
        </w:rPr>
        <w:t xml:space="preserve">Remerciant </w:t>
      </w:r>
      <w:proofErr w:type="spellStart"/>
      <w:r w:rsidRPr="005B0615">
        <w:rPr>
          <w:sz w:val="22"/>
          <w:szCs w:val="22"/>
          <w:lang w:val="fr-FR"/>
        </w:rPr>
        <w:t>Wetlands</w:t>
      </w:r>
      <w:proofErr w:type="spellEnd"/>
      <w:r w:rsidRPr="005B0615">
        <w:rPr>
          <w:sz w:val="22"/>
          <w:szCs w:val="22"/>
          <w:lang w:val="fr-FR"/>
        </w:rPr>
        <w:t xml:space="preserve"> International et le Secrétariat de l’Accord d’avoir compilé le document AEWA/MOP 5.42 sur le Développement stratégique de la surveillance des oiseaux d’eau le long des voies de migrations d’Afrique-Eurasie, qui présente diverses options pour un financement de base à long terme de l’IWC,</w:t>
      </w:r>
    </w:p>
    <w:p w14:paraId="5B104DD2" w14:textId="77777777" w:rsidR="00C23322" w:rsidRPr="005B0615" w:rsidRDefault="00C23322" w:rsidP="003D60CD">
      <w:pPr>
        <w:ind w:firstLine="720"/>
        <w:jc w:val="both"/>
        <w:rPr>
          <w:sz w:val="22"/>
          <w:szCs w:val="22"/>
          <w:lang w:val="fr-FR"/>
        </w:rPr>
      </w:pPr>
    </w:p>
    <w:p w14:paraId="5B104DD3" w14:textId="527A4B54" w:rsidR="00C23322" w:rsidRPr="005B0615" w:rsidRDefault="00C23322" w:rsidP="003D60CD">
      <w:pPr>
        <w:ind w:firstLine="720"/>
        <w:jc w:val="both"/>
        <w:rPr>
          <w:i/>
          <w:sz w:val="22"/>
          <w:szCs w:val="22"/>
          <w:lang w:val="fr-FR"/>
        </w:rPr>
      </w:pPr>
      <w:r w:rsidRPr="005B0615">
        <w:rPr>
          <w:i/>
          <w:sz w:val="22"/>
          <w:szCs w:val="22"/>
          <w:lang w:val="fr-FR"/>
        </w:rPr>
        <w:t xml:space="preserve">Remerciant </w:t>
      </w:r>
      <w:r w:rsidRPr="005B0615">
        <w:rPr>
          <w:sz w:val="22"/>
          <w:szCs w:val="22"/>
          <w:lang w:val="fr-FR"/>
        </w:rPr>
        <w:t>les Parties contractantes, les organisations internationales et les autres parties prenantes, te</w:t>
      </w:r>
      <w:r w:rsidR="00EE4210" w:rsidRPr="005B0615">
        <w:rPr>
          <w:sz w:val="22"/>
          <w:szCs w:val="22"/>
          <w:lang w:val="fr-FR"/>
        </w:rPr>
        <w:t>lles que le Gouvernement français</w:t>
      </w:r>
      <w:r w:rsidRPr="005B0615">
        <w:rPr>
          <w:sz w:val="22"/>
          <w:szCs w:val="22"/>
          <w:lang w:val="fr-FR"/>
        </w:rPr>
        <w:t xml:space="preserve"> et la Fondation </w:t>
      </w:r>
      <w:proofErr w:type="spellStart"/>
      <w:r w:rsidRPr="005B0615">
        <w:rPr>
          <w:sz w:val="22"/>
          <w:szCs w:val="22"/>
          <w:lang w:val="fr-FR"/>
        </w:rPr>
        <w:t>Mava</w:t>
      </w:r>
      <w:proofErr w:type="spellEnd"/>
      <w:r w:rsidRPr="005B0615">
        <w:rPr>
          <w:sz w:val="22"/>
          <w:szCs w:val="22"/>
          <w:lang w:val="fr-FR"/>
        </w:rPr>
        <w:t>, pour la contribution financière et l’aide technique qu’elles ont apportées à l’IWC</w:t>
      </w:r>
      <w:r w:rsidR="000D02B8">
        <w:rPr>
          <w:sz w:val="22"/>
          <w:szCs w:val="22"/>
          <w:lang w:val="fr-FR"/>
        </w:rPr>
        <w:t>,</w:t>
      </w:r>
      <w:r w:rsidRPr="005B0615">
        <w:rPr>
          <w:i/>
          <w:sz w:val="22"/>
          <w:szCs w:val="22"/>
          <w:lang w:val="fr-FR"/>
        </w:rPr>
        <w:t xml:space="preserve"> </w:t>
      </w:r>
    </w:p>
    <w:p w14:paraId="5B104DD4" w14:textId="77777777" w:rsidR="00C23322" w:rsidRPr="005B0615" w:rsidRDefault="00C23322" w:rsidP="004A115D">
      <w:pPr>
        <w:ind w:firstLine="720"/>
        <w:jc w:val="both"/>
        <w:rPr>
          <w:i/>
          <w:iCs/>
          <w:sz w:val="22"/>
          <w:szCs w:val="22"/>
          <w:lang w:val="fr-FR"/>
        </w:rPr>
      </w:pPr>
    </w:p>
    <w:p w14:paraId="5B104DD5" w14:textId="77777777" w:rsidR="00C23322" w:rsidRPr="005B0615" w:rsidRDefault="00C23322" w:rsidP="004A115D">
      <w:pPr>
        <w:ind w:firstLine="720"/>
        <w:jc w:val="both"/>
        <w:rPr>
          <w:sz w:val="22"/>
          <w:szCs w:val="22"/>
          <w:lang w:val="fr-FR"/>
        </w:rPr>
      </w:pPr>
      <w:r w:rsidRPr="005B0615">
        <w:rPr>
          <w:i/>
          <w:iCs/>
          <w:sz w:val="22"/>
          <w:szCs w:val="22"/>
          <w:lang w:val="fr-FR"/>
        </w:rPr>
        <w:t>Reconnaissant</w:t>
      </w:r>
      <w:r w:rsidRPr="005B0615">
        <w:rPr>
          <w:sz w:val="22"/>
          <w:szCs w:val="22"/>
          <w:lang w:val="fr-FR"/>
        </w:rPr>
        <w:t xml:space="preserve"> l’engagement de </w:t>
      </w:r>
      <w:proofErr w:type="spellStart"/>
      <w:r w:rsidRPr="005B0615">
        <w:rPr>
          <w:sz w:val="22"/>
          <w:szCs w:val="22"/>
          <w:lang w:val="fr-FR"/>
        </w:rPr>
        <w:t>Wetlands</w:t>
      </w:r>
      <w:proofErr w:type="spellEnd"/>
      <w:r w:rsidRPr="005B0615">
        <w:rPr>
          <w:sz w:val="22"/>
          <w:szCs w:val="22"/>
          <w:lang w:val="fr-FR"/>
        </w:rPr>
        <w:t xml:space="preserve"> International à dédier une partie des ressources non affectées de l’organisation à la gestion des données de l’IWC,</w:t>
      </w:r>
    </w:p>
    <w:p w14:paraId="5B104DD6" w14:textId="77777777" w:rsidR="00C23322" w:rsidRPr="005B0615" w:rsidRDefault="00C23322" w:rsidP="00854AF0">
      <w:pPr>
        <w:jc w:val="both"/>
        <w:rPr>
          <w:sz w:val="22"/>
          <w:szCs w:val="22"/>
          <w:lang w:val="fr-FR"/>
        </w:rPr>
      </w:pPr>
    </w:p>
    <w:p w14:paraId="5B104DD7" w14:textId="0351338A" w:rsidR="00C23322" w:rsidRPr="005B0615" w:rsidRDefault="00C23322" w:rsidP="00E33C74">
      <w:pPr>
        <w:tabs>
          <w:tab w:val="left" w:pos="709"/>
        </w:tabs>
        <w:ind w:firstLine="720"/>
        <w:jc w:val="both"/>
        <w:rPr>
          <w:sz w:val="22"/>
          <w:szCs w:val="22"/>
          <w:lang w:val="fr-FR"/>
        </w:rPr>
      </w:pPr>
      <w:r w:rsidRPr="005B0615">
        <w:rPr>
          <w:i/>
          <w:sz w:val="22"/>
          <w:szCs w:val="22"/>
          <w:lang w:val="fr-FR"/>
        </w:rPr>
        <w:t xml:space="preserve">Accueillant favorablement </w:t>
      </w:r>
      <w:r w:rsidRPr="005B0615">
        <w:rPr>
          <w:sz w:val="22"/>
          <w:szCs w:val="22"/>
          <w:lang w:val="fr-FR"/>
        </w:rPr>
        <w:t>l’établissement du Partenariat pour la surveillance des oiseaux d’eau d’Afrique-Eurasie, qui comprend toutes les principales parties prenantes engagées dans la mise en œuvre de l’IWC ou utilisatrices des données générée</w:t>
      </w:r>
      <w:r w:rsidR="000D02B8">
        <w:rPr>
          <w:sz w:val="22"/>
          <w:szCs w:val="22"/>
          <w:lang w:val="fr-FR"/>
        </w:rPr>
        <w:t>s par le programme, et qui vise à</w:t>
      </w:r>
      <w:r w:rsidRPr="005B0615">
        <w:rPr>
          <w:sz w:val="22"/>
          <w:szCs w:val="22"/>
          <w:lang w:val="fr-FR"/>
        </w:rPr>
        <w:t xml:space="preserve"> renforcer la mise en œuvre et le développement de l’IWC le long des voies de migration d’Afrique-Eurasie.</w:t>
      </w:r>
    </w:p>
    <w:p w14:paraId="5B104DD9" w14:textId="77777777" w:rsidR="00955ACE" w:rsidRPr="00757138" w:rsidRDefault="00955ACE" w:rsidP="000C2204">
      <w:pPr>
        <w:ind w:firstLine="720"/>
        <w:jc w:val="both"/>
        <w:rPr>
          <w:lang w:val="fr-FR"/>
        </w:rPr>
      </w:pPr>
    </w:p>
    <w:p w14:paraId="5B104DDA" w14:textId="77777777" w:rsidR="00C23322" w:rsidRPr="00757138" w:rsidRDefault="00C23322" w:rsidP="000C2204">
      <w:pPr>
        <w:ind w:firstLine="720"/>
        <w:jc w:val="both"/>
        <w:rPr>
          <w:lang w:val="fr-FR"/>
        </w:rPr>
      </w:pPr>
    </w:p>
    <w:p w14:paraId="5B104DDB" w14:textId="77777777" w:rsidR="00C23322" w:rsidRPr="005B0615" w:rsidRDefault="00C23322" w:rsidP="00854AF0">
      <w:pPr>
        <w:jc w:val="both"/>
        <w:rPr>
          <w:sz w:val="22"/>
          <w:szCs w:val="22"/>
        </w:rPr>
      </w:pPr>
      <w:r w:rsidRPr="005B0615">
        <w:rPr>
          <w:i/>
          <w:sz w:val="22"/>
          <w:szCs w:val="22"/>
          <w:lang w:val="fr-FR"/>
        </w:rPr>
        <w:t>La Réunion des Parties :</w:t>
      </w:r>
    </w:p>
    <w:p w14:paraId="5B104DDC" w14:textId="77777777" w:rsidR="00C23322" w:rsidRPr="005B0615" w:rsidRDefault="00C23322" w:rsidP="00854AF0">
      <w:pPr>
        <w:jc w:val="both"/>
        <w:rPr>
          <w:sz w:val="22"/>
          <w:szCs w:val="22"/>
        </w:rPr>
      </w:pPr>
    </w:p>
    <w:p w14:paraId="5D32DE1E" w14:textId="4F089201" w:rsidR="000D02B8" w:rsidRPr="0099625D" w:rsidRDefault="0099625D" w:rsidP="00C127DC">
      <w:pPr>
        <w:pStyle w:val="ListParagraph"/>
        <w:numPr>
          <w:ilvl w:val="0"/>
          <w:numId w:val="2"/>
        </w:numPr>
        <w:tabs>
          <w:tab w:val="left" w:pos="709"/>
        </w:tabs>
        <w:ind w:left="284" w:firstLine="0"/>
        <w:jc w:val="both"/>
        <w:rPr>
          <w:sz w:val="22"/>
          <w:szCs w:val="22"/>
          <w:lang w:val="fr-FR"/>
        </w:rPr>
      </w:pPr>
      <w:r w:rsidRPr="00A72965">
        <w:rPr>
          <w:i/>
          <w:sz w:val="22"/>
          <w:szCs w:val="22"/>
          <w:lang w:val="fr-FR"/>
        </w:rPr>
        <w:t xml:space="preserve">Invite </w:t>
      </w:r>
      <w:r w:rsidRPr="0099625D">
        <w:rPr>
          <w:sz w:val="22"/>
          <w:szCs w:val="22"/>
          <w:lang w:val="fr-FR"/>
        </w:rPr>
        <w:t>le Comité technique à travailler avec le Partenariat pour la surveillance des oiseaux d’eau, afin de progresser dans la surveillance des cibles concernées du Plan stratégique 2009-2017 de l’AEWA et de présenter son rapport à la 6</w:t>
      </w:r>
      <w:r w:rsidRPr="0099625D">
        <w:rPr>
          <w:sz w:val="22"/>
          <w:szCs w:val="22"/>
          <w:vertAlign w:val="superscript"/>
          <w:lang w:val="fr-FR"/>
        </w:rPr>
        <w:t>ème</w:t>
      </w:r>
      <w:r w:rsidRPr="0099625D">
        <w:rPr>
          <w:sz w:val="22"/>
          <w:szCs w:val="22"/>
          <w:lang w:val="fr-FR"/>
        </w:rPr>
        <w:t xml:space="preserve"> Réunion des Parties et, si nécessaire, de proposer que ce sujet soit </w:t>
      </w:r>
      <w:r w:rsidRPr="0099625D">
        <w:rPr>
          <w:sz w:val="22"/>
          <w:szCs w:val="22"/>
          <w:lang w:val="fr-FR"/>
        </w:rPr>
        <w:lastRenderedPageBreak/>
        <w:t>réexaminé lors de la MOP6 dans le but d’assurer une solution durable à long terme pour la surveillance internationale des oiseaux d’eau</w:t>
      </w:r>
      <w:r>
        <w:rPr>
          <w:sz w:val="22"/>
          <w:szCs w:val="22"/>
          <w:lang w:val="fr-FR"/>
        </w:rPr>
        <w:t xml:space="preserve"> </w:t>
      </w:r>
      <w:r w:rsidR="00A2092F" w:rsidRPr="0099625D">
        <w:rPr>
          <w:sz w:val="22"/>
          <w:szCs w:val="22"/>
          <w:lang w:val="fr-FR"/>
        </w:rPr>
        <w:t>;</w:t>
      </w:r>
    </w:p>
    <w:p w14:paraId="29635DA1" w14:textId="77777777" w:rsidR="00A30165" w:rsidRPr="00A30165" w:rsidRDefault="00A30165" w:rsidP="00A30165">
      <w:pPr>
        <w:tabs>
          <w:tab w:val="left" w:pos="709"/>
        </w:tabs>
        <w:jc w:val="both"/>
        <w:rPr>
          <w:sz w:val="22"/>
          <w:szCs w:val="22"/>
          <w:lang w:val="fr-FR"/>
        </w:rPr>
      </w:pPr>
    </w:p>
    <w:p w14:paraId="3A62E532" w14:textId="2D5272BD" w:rsidR="00A30165" w:rsidRDefault="0099625D" w:rsidP="00C127DC">
      <w:pPr>
        <w:pStyle w:val="ListParagraph"/>
        <w:numPr>
          <w:ilvl w:val="0"/>
          <w:numId w:val="2"/>
        </w:numPr>
        <w:tabs>
          <w:tab w:val="left" w:pos="709"/>
        </w:tabs>
        <w:ind w:left="284" w:firstLine="0"/>
        <w:jc w:val="both"/>
        <w:rPr>
          <w:sz w:val="22"/>
          <w:szCs w:val="22"/>
          <w:lang w:val="fr-FR"/>
        </w:rPr>
      </w:pPr>
      <w:r w:rsidRPr="00A72965">
        <w:rPr>
          <w:i/>
          <w:sz w:val="22"/>
          <w:szCs w:val="22"/>
          <w:lang w:val="fr-FR"/>
        </w:rPr>
        <w:t xml:space="preserve">Incite </w:t>
      </w:r>
      <w:r w:rsidRPr="0099625D">
        <w:rPr>
          <w:sz w:val="22"/>
          <w:szCs w:val="22"/>
          <w:lang w:val="fr-FR"/>
        </w:rPr>
        <w:t>les Parties contractantes à envisager de verser des contributions volontaires pour aider au recueil de données pour la production du Rapport triennal de l’AEWA sur l’État de conservation et des Estimations mondiales de populations d’oiseaux d’eau </w:t>
      </w:r>
      <w:r w:rsidR="00A2092F" w:rsidRPr="0099625D">
        <w:rPr>
          <w:sz w:val="22"/>
          <w:szCs w:val="22"/>
          <w:lang w:val="fr-FR"/>
        </w:rPr>
        <w:t>;</w:t>
      </w:r>
    </w:p>
    <w:p w14:paraId="521DE18F" w14:textId="77777777" w:rsidR="00A30165" w:rsidRDefault="00A30165" w:rsidP="00A30165">
      <w:pPr>
        <w:pStyle w:val="ListParagraph"/>
        <w:tabs>
          <w:tab w:val="left" w:pos="709"/>
        </w:tabs>
        <w:ind w:left="284"/>
        <w:jc w:val="both"/>
        <w:rPr>
          <w:sz w:val="22"/>
          <w:szCs w:val="22"/>
          <w:lang w:val="fr-FR"/>
        </w:rPr>
      </w:pPr>
    </w:p>
    <w:p w14:paraId="54B670FD" w14:textId="3594B17B" w:rsidR="00A30165" w:rsidRPr="0099625D" w:rsidRDefault="0099625D" w:rsidP="00A30165">
      <w:pPr>
        <w:pStyle w:val="ListParagraph"/>
        <w:numPr>
          <w:ilvl w:val="0"/>
          <w:numId w:val="2"/>
        </w:numPr>
        <w:tabs>
          <w:tab w:val="left" w:pos="709"/>
        </w:tabs>
        <w:ind w:left="284" w:firstLine="0"/>
        <w:jc w:val="both"/>
        <w:rPr>
          <w:sz w:val="22"/>
          <w:szCs w:val="22"/>
          <w:lang w:val="fr-FR"/>
        </w:rPr>
      </w:pPr>
      <w:r w:rsidRPr="00A72965">
        <w:rPr>
          <w:i/>
          <w:sz w:val="22"/>
          <w:szCs w:val="22"/>
          <w:lang w:val="fr-FR"/>
        </w:rPr>
        <w:t xml:space="preserve">Invite </w:t>
      </w:r>
      <w:r w:rsidRPr="0099625D">
        <w:rPr>
          <w:sz w:val="22"/>
          <w:szCs w:val="22"/>
          <w:lang w:val="fr-FR"/>
        </w:rPr>
        <w:t>les Parties non contractantes, les organisations internationales et autres parties prenantes, à aider au recueil de données pour la production du Rapport triennal de l’AEWA sur l’État de conservation et des Estimations mondiales de populations d’oiseaux d’eau en versant des contributions volontaires</w:t>
      </w:r>
      <w:r w:rsidR="00A30165" w:rsidRPr="0099625D">
        <w:rPr>
          <w:sz w:val="22"/>
          <w:szCs w:val="22"/>
          <w:lang w:val="fr-FR"/>
        </w:rPr>
        <w:t>.</w:t>
      </w:r>
    </w:p>
    <w:p w14:paraId="4CECAE56" w14:textId="77777777" w:rsidR="00573FF8" w:rsidRPr="00573FF8" w:rsidRDefault="00573FF8" w:rsidP="00573FF8">
      <w:pPr>
        <w:pStyle w:val="ListParagraph"/>
        <w:rPr>
          <w:sz w:val="22"/>
          <w:szCs w:val="22"/>
          <w:lang w:val="fr-FR"/>
        </w:rPr>
      </w:pPr>
      <w:bookmarkStart w:id="0" w:name="_GoBack"/>
      <w:bookmarkEnd w:id="0"/>
    </w:p>
    <w:sectPr w:rsidR="00573FF8" w:rsidRPr="00573FF8" w:rsidSect="00CB3800">
      <w:headerReference w:type="default" r:id="rId11"/>
      <w:footerReference w:type="default" r:id="rId12"/>
      <w:pgSz w:w="11907" w:h="16840"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CB10C" w14:textId="77777777" w:rsidR="00491E22" w:rsidRDefault="00491E22">
      <w:r>
        <w:separator/>
      </w:r>
    </w:p>
  </w:endnote>
  <w:endnote w:type="continuationSeparator" w:id="0">
    <w:p w14:paraId="511BB911" w14:textId="77777777" w:rsidR="00491E22" w:rsidRDefault="0049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04E07" w14:textId="77777777" w:rsidR="00491E22" w:rsidRDefault="00491E22" w:rsidP="00AA1D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104E08" w14:textId="77777777" w:rsidR="00491E22" w:rsidRDefault="00491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04E0A" w14:textId="77777777" w:rsidR="00491E22" w:rsidRPr="00CB3800" w:rsidRDefault="00491E22"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Pr="00CB3800">
      <w:rPr>
        <w:rStyle w:val="PageNumber"/>
        <w:sz w:val="20"/>
        <w:szCs w:val="20"/>
      </w:rPr>
      <w:instrText xml:space="preserve">PAGE  </w:instrText>
    </w:r>
    <w:r w:rsidRPr="00CB3800">
      <w:rPr>
        <w:rStyle w:val="PageNumber"/>
        <w:sz w:val="20"/>
        <w:szCs w:val="20"/>
      </w:rPr>
      <w:fldChar w:fldCharType="separate"/>
    </w:r>
    <w:r w:rsidR="0099625D">
      <w:rPr>
        <w:rStyle w:val="PageNumber"/>
        <w:noProof/>
        <w:sz w:val="20"/>
        <w:szCs w:val="20"/>
      </w:rPr>
      <w:t>2</w:t>
    </w:r>
    <w:r w:rsidRPr="00CB3800">
      <w:rPr>
        <w:rStyle w:val="PageNumber"/>
        <w:sz w:val="20"/>
        <w:szCs w:val="20"/>
      </w:rPr>
      <w:fldChar w:fldCharType="end"/>
    </w:r>
  </w:p>
  <w:p w14:paraId="5B104E0B" w14:textId="77777777" w:rsidR="00491E22" w:rsidRDefault="00491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44291" w14:textId="77777777" w:rsidR="00491E22" w:rsidRDefault="00491E22">
      <w:r>
        <w:separator/>
      </w:r>
    </w:p>
  </w:footnote>
  <w:footnote w:type="continuationSeparator" w:id="0">
    <w:p w14:paraId="68CFA4A5" w14:textId="77777777" w:rsidR="00491E22" w:rsidRDefault="00491E22">
      <w:r>
        <w:continuationSeparator/>
      </w:r>
    </w:p>
  </w:footnote>
  <w:footnote w:id="1">
    <w:p w14:paraId="620B084A" w14:textId="2F9B9687" w:rsidR="00491E22" w:rsidRPr="00C127DC" w:rsidRDefault="00491E22">
      <w:pPr>
        <w:pStyle w:val="FootnoteText"/>
        <w:rPr>
          <w:lang w:val="de-DE"/>
        </w:rPr>
      </w:pPr>
      <w:r>
        <w:rPr>
          <w:rStyle w:val="FootnoteReference"/>
        </w:rPr>
        <w:footnoteRef/>
      </w:r>
      <w:r>
        <w:t xml:space="preserve"> </w:t>
      </w:r>
      <w:r w:rsidRPr="00C127DC">
        <w:t>http://www.unep-aewa.org/meetings/symposium/docs/the_hague_action_statement_fr.pdf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auto"/>
      </w:tblBorders>
      <w:tblLook w:val="0000" w:firstRow="0" w:lastRow="0" w:firstColumn="0" w:lastColumn="0" w:noHBand="0" w:noVBand="0"/>
    </w:tblPr>
    <w:tblGrid>
      <w:gridCol w:w="1971"/>
      <w:gridCol w:w="6175"/>
      <w:gridCol w:w="1709"/>
    </w:tblGrid>
    <w:tr w:rsidR="00491E22" w14:paraId="76B41FA3" w14:textId="77777777" w:rsidTr="000D02B8">
      <w:trPr>
        <w:trHeight w:val="2416"/>
      </w:trPr>
      <w:tc>
        <w:tcPr>
          <w:tcW w:w="1000" w:type="pct"/>
        </w:tcPr>
        <w:p w14:paraId="083A714E" w14:textId="77777777" w:rsidR="00491E22" w:rsidRDefault="00491E22" w:rsidP="000D02B8">
          <w:r>
            <w:rPr>
              <w:noProof/>
            </w:rPr>
            <w:drawing>
              <wp:anchor distT="0" distB="0" distL="114300" distR="114300" simplePos="0" relativeHeight="251660288" behindDoc="1" locked="0" layoutInCell="1" allowOverlap="1" wp14:anchorId="772E9DC2" wp14:editId="52670ABF">
                <wp:simplePos x="0" y="0"/>
                <wp:positionH relativeFrom="column">
                  <wp:posOffset>-68580</wp:posOffset>
                </wp:positionH>
                <wp:positionV relativeFrom="paragraph">
                  <wp:posOffset>6985</wp:posOffset>
                </wp:positionV>
                <wp:extent cx="1076400" cy="896400"/>
                <wp:effectExtent l="0" t="0" r="0" b="0"/>
                <wp:wrapTight wrapText="bothSides">
                  <wp:wrapPolygon edited="0">
                    <wp:start x="0" y="0"/>
                    <wp:lineTo x="0" y="21125"/>
                    <wp:lineTo x="21027" y="21125"/>
                    <wp:lineTo x="21027" y="0"/>
                    <wp:lineTo x="0" y="0"/>
                  </wp:wrapPolygon>
                </wp:wrapTight>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4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3" w:type="pct"/>
        </w:tcPr>
        <w:p w14:paraId="45197934" w14:textId="77777777" w:rsidR="00491E22" w:rsidRPr="009E3956" w:rsidRDefault="00491E22" w:rsidP="000D02B8">
          <w:pPr>
            <w:jc w:val="center"/>
            <w:rPr>
              <w:i/>
              <w:caps/>
              <w:sz w:val="22"/>
              <w:szCs w:val="22"/>
            </w:rPr>
          </w:pPr>
          <w:r w:rsidRPr="009E3956">
            <w:rPr>
              <w:i/>
              <w:caps/>
              <w:sz w:val="22"/>
              <w:szCs w:val="22"/>
            </w:rPr>
            <w:t xml:space="preserve">Agreement on the Conservation of </w:t>
          </w:r>
        </w:p>
        <w:p w14:paraId="7D4B9EBF" w14:textId="77777777" w:rsidR="00491E22" w:rsidRDefault="00491E22" w:rsidP="000D02B8">
          <w:pPr>
            <w:tabs>
              <w:tab w:val="left" w:pos="2415"/>
            </w:tabs>
            <w:jc w:val="center"/>
            <w:rPr>
              <w:i/>
              <w:caps/>
              <w:sz w:val="22"/>
              <w:szCs w:val="22"/>
            </w:rPr>
          </w:pPr>
          <w:r w:rsidRPr="009E3956">
            <w:rPr>
              <w:i/>
              <w:caps/>
              <w:sz w:val="22"/>
              <w:szCs w:val="22"/>
            </w:rPr>
            <w:t>African-Eurasian Migratory Waterbirds</w:t>
          </w:r>
        </w:p>
        <w:p w14:paraId="591603F0" w14:textId="77777777" w:rsidR="00491E22" w:rsidRDefault="00491E22" w:rsidP="000D02B8">
          <w:pPr>
            <w:tabs>
              <w:tab w:val="left" w:pos="2415"/>
            </w:tabs>
            <w:jc w:val="center"/>
            <w:rPr>
              <w:i/>
              <w:caps/>
              <w:sz w:val="22"/>
              <w:szCs w:val="22"/>
            </w:rPr>
          </w:pPr>
        </w:p>
        <w:p w14:paraId="3CA20673" w14:textId="77777777" w:rsidR="00491E22" w:rsidRPr="00C15FF5" w:rsidRDefault="00491E22" w:rsidP="000D02B8">
          <w:pPr>
            <w:pStyle w:val="BodyText2"/>
            <w:spacing w:before="240"/>
            <w:jc w:val="center"/>
            <w:rPr>
              <w:b/>
              <w:bCs/>
              <w:caps/>
              <w:szCs w:val="26"/>
            </w:rPr>
          </w:pPr>
          <w:r w:rsidRPr="00C15FF5">
            <w:rPr>
              <w:b/>
              <w:bCs/>
              <w:szCs w:val="26"/>
              <w:lang w:val="en-US"/>
            </w:rPr>
            <w:t>5</w:t>
          </w:r>
          <w:r w:rsidRPr="00C15FF5">
            <w:rPr>
              <w:b/>
              <w:bCs/>
              <w:szCs w:val="26"/>
              <w:vertAlign w:val="superscript"/>
              <w:lang w:val="en-US"/>
            </w:rPr>
            <w:t>th</w:t>
          </w:r>
          <w:r w:rsidRPr="00C15FF5">
            <w:rPr>
              <w:b/>
              <w:bCs/>
              <w:szCs w:val="26"/>
              <w:lang w:val="en-US"/>
            </w:rPr>
            <w:t xml:space="preserve"> </w:t>
          </w:r>
          <w:r w:rsidRPr="00C15FF5">
            <w:rPr>
              <w:b/>
              <w:bCs/>
              <w:caps/>
              <w:szCs w:val="26"/>
            </w:rPr>
            <w:t>Session of the Meeting of the Parties</w:t>
          </w:r>
        </w:p>
        <w:p w14:paraId="2EDE31B6" w14:textId="77777777" w:rsidR="00491E22" w:rsidRPr="00C15FF5" w:rsidRDefault="00491E22" w:rsidP="000D02B8">
          <w:pPr>
            <w:tabs>
              <w:tab w:val="left" w:pos="2415"/>
            </w:tabs>
            <w:jc w:val="center"/>
            <w:rPr>
              <w:iCs/>
            </w:rPr>
          </w:pPr>
          <w:r w:rsidRPr="00C15FF5">
            <w:rPr>
              <w:iCs/>
            </w:rPr>
            <w:t>14 – 18 May 2012, La Rochelle, France</w:t>
          </w:r>
        </w:p>
        <w:p w14:paraId="1D25D4FB" w14:textId="77777777" w:rsidR="00491E22" w:rsidRDefault="00491E22" w:rsidP="000D02B8">
          <w:pPr>
            <w:tabs>
              <w:tab w:val="left" w:pos="2415"/>
            </w:tabs>
            <w:jc w:val="center"/>
            <w:rPr>
              <w:i/>
              <w:iCs/>
            </w:rPr>
          </w:pPr>
        </w:p>
        <w:p w14:paraId="4F686E0F" w14:textId="77777777" w:rsidR="00491E22" w:rsidRPr="00C15FF5" w:rsidRDefault="00491E22" w:rsidP="000D02B8">
          <w:pPr>
            <w:tabs>
              <w:tab w:val="left" w:pos="2415"/>
            </w:tabs>
            <w:spacing w:before="240"/>
            <w:jc w:val="center"/>
            <w:rPr>
              <w:i/>
              <w:sz w:val="22"/>
            </w:rPr>
          </w:pPr>
          <w:r w:rsidRPr="00C15FF5">
            <w:rPr>
              <w:i/>
              <w:sz w:val="22"/>
            </w:rPr>
            <w:t>“Migratory waterbirds and people - sharing wetlands”</w:t>
          </w:r>
        </w:p>
        <w:p w14:paraId="74531D39" w14:textId="77777777" w:rsidR="00491E22" w:rsidRPr="007E1121" w:rsidRDefault="00491E22" w:rsidP="000D02B8">
          <w:pPr>
            <w:tabs>
              <w:tab w:val="left" w:pos="2415"/>
            </w:tabs>
            <w:jc w:val="center"/>
          </w:pPr>
        </w:p>
      </w:tc>
      <w:tc>
        <w:tcPr>
          <w:tcW w:w="867" w:type="pct"/>
        </w:tcPr>
        <w:p w14:paraId="33950380" w14:textId="77777777" w:rsidR="00491E22" w:rsidRDefault="00491E22" w:rsidP="000D02B8">
          <w:pPr>
            <w:jc w:val="right"/>
          </w:pPr>
          <w:r>
            <w:rPr>
              <w:noProof/>
            </w:rPr>
            <w:drawing>
              <wp:anchor distT="0" distB="0" distL="114300" distR="114300" simplePos="0" relativeHeight="251659264" behindDoc="1" locked="0" layoutInCell="1" allowOverlap="1" wp14:anchorId="5614112F" wp14:editId="5AE42312">
                <wp:simplePos x="0" y="0"/>
                <wp:positionH relativeFrom="column">
                  <wp:posOffset>457835</wp:posOffset>
                </wp:positionH>
                <wp:positionV relativeFrom="paragraph">
                  <wp:posOffset>-2540</wp:posOffset>
                </wp:positionV>
                <wp:extent cx="646430" cy="1533525"/>
                <wp:effectExtent l="0" t="0" r="1270" b="9525"/>
                <wp:wrapTight wrapText="bothSides">
                  <wp:wrapPolygon edited="0">
                    <wp:start x="0" y="0"/>
                    <wp:lineTo x="0" y="21466"/>
                    <wp:lineTo x="21006" y="21466"/>
                    <wp:lineTo x="210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1533525"/>
                        </a:xfrm>
                        <a:prstGeom prst="rect">
                          <a:avLst/>
                        </a:prstGeom>
                      </pic:spPr>
                    </pic:pic>
                  </a:graphicData>
                </a:graphic>
                <wp14:sizeRelH relativeFrom="page">
                  <wp14:pctWidth>0</wp14:pctWidth>
                </wp14:sizeRelH>
                <wp14:sizeRelV relativeFrom="page">
                  <wp14:pctHeight>0</wp14:pctHeight>
                </wp14:sizeRelV>
              </wp:anchor>
            </w:drawing>
          </w:r>
        </w:p>
      </w:tc>
    </w:tr>
  </w:tbl>
  <w:p w14:paraId="5B104E06" w14:textId="77777777" w:rsidR="00491E22" w:rsidRPr="006672C5" w:rsidRDefault="00491E22" w:rsidP="00E97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04E09" w14:textId="77777777" w:rsidR="00491E22" w:rsidRDefault="00491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E299E"/>
    <w:multiLevelType w:val="hybridMultilevel"/>
    <w:tmpl w:val="BC8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3">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FA24D2E"/>
    <w:multiLevelType w:val="hybridMultilevel"/>
    <w:tmpl w:val="388E1AE0"/>
    <w:lvl w:ilvl="0" w:tplc="0809000F">
      <w:start w:val="1"/>
      <w:numFmt w:val="decimal"/>
      <w:lvlText w:val="%1."/>
      <w:lvlJc w:val="left"/>
      <w:pPr>
        <w:ind w:left="600" w:hanging="360"/>
      </w:pPr>
      <w:rPr>
        <w:rFonts w:cs="Times New Roman" w:hint="default"/>
      </w:rPr>
    </w:lvl>
    <w:lvl w:ilvl="1" w:tplc="08090019" w:tentative="1">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13"/>
    <w:rsid w:val="0000003C"/>
    <w:rsid w:val="000003B5"/>
    <w:rsid w:val="000049AA"/>
    <w:rsid w:val="00007CB6"/>
    <w:rsid w:val="00010216"/>
    <w:rsid w:val="00010798"/>
    <w:rsid w:val="00011ABF"/>
    <w:rsid w:val="0001309F"/>
    <w:rsid w:val="00014DC2"/>
    <w:rsid w:val="000202EA"/>
    <w:rsid w:val="00021D0C"/>
    <w:rsid w:val="00023CE0"/>
    <w:rsid w:val="000265AB"/>
    <w:rsid w:val="0003013E"/>
    <w:rsid w:val="0003218D"/>
    <w:rsid w:val="00033FA4"/>
    <w:rsid w:val="000368BE"/>
    <w:rsid w:val="00036BC1"/>
    <w:rsid w:val="00040250"/>
    <w:rsid w:val="00041649"/>
    <w:rsid w:val="00041795"/>
    <w:rsid w:val="000420C9"/>
    <w:rsid w:val="00044698"/>
    <w:rsid w:val="000461EB"/>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6018A"/>
    <w:rsid w:val="000623CB"/>
    <w:rsid w:val="00064121"/>
    <w:rsid w:val="0006611A"/>
    <w:rsid w:val="000700DA"/>
    <w:rsid w:val="000714FD"/>
    <w:rsid w:val="00071D0E"/>
    <w:rsid w:val="00071F88"/>
    <w:rsid w:val="00072F5F"/>
    <w:rsid w:val="00074454"/>
    <w:rsid w:val="0007499B"/>
    <w:rsid w:val="00075163"/>
    <w:rsid w:val="00077A8F"/>
    <w:rsid w:val="0008039B"/>
    <w:rsid w:val="00080BE8"/>
    <w:rsid w:val="000817EF"/>
    <w:rsid w:val="00084A43"/>
    <w:rsid w:val="00090CF2"/>
    <w:rsid w:val="000917DE"/>
    <w:rsid w:val="00091EF2"/>
    <w:rsid w:val="00092FF1"/>
    <w:rsid w:val="00093EC8"/>
    <w:rsid w:val="00095AF3"/>
    <w:rsid w:val="00095B62"/>
    <w:rsid w:val="0009693D"/>
    <w:rsid w:val="00097A00"/>
    <w:rsid w:val="000A0898"/>
    <w:rsid w:val="000A2376"/>
    <w:rsid w:val="000A2C48"/>
    <w:rsid w:val="000A3F7A"/>
    <w:rsid w:val="000A4F4C"/>
    <w:rsid w:val="000B3FF1"/>
    <w:rsid w:val="000B5E61"/>
    <w:rsid w:val="000B5F99"/>
    <w:rsid w:val="000B6395"/>
    <w:rsid w:val="000C1250"/>
    <w:rsid w:val="000C2204"/>
    <w:rsid w:val="000C51D8"/>
    <w:rsid w:val="000C6BB0"/>
    <w:rsid w:val="000D02B8"/>
    <w:rsid w:val="000D0C1C"/>
    <w:rsid w:val="000D1062"/>
    <w:rsid w:val="000D31B1"/>
    <w:rsid w:val="000D67FD"/>
    <w:rsid w:val="000E0804"/>
    <w:rsid w:val="000E20FF"/>
    <w:rsid w:val="000E3A27"/>
    <w:rsid w:val="000E3B1B"/>
    <w:rsid w:val="000E7C6D"/>
    <w:rsid w:val="000F19FF"/>
    <w:rsid w:val="000F1AA9"/>
    <w:rsid w:val="000F2926"/>
    <w:rsid w:val="000F338F"/>
    <w:rsid w:val="000F4341"/>
    <w:rsid w:val="000F6B17"/>
    <w:rsid w:val="001019EF"/>
    <w:rsid w:val="00103A80"/>
    <w:rsid w:val="00105651"/>
    <w:rsid w:val="00105A0F"/>
    <w:rsid w:val="001067FC"/>
    <w:rsid w:val="001079D8"/>
    <w:rsid w:val="00107A86"/>
    <w:rsid w:val="00107DD2"/>
    <w:rsid w:val="00113FA1"/>
    <w:rsid w:val="00116FB2"/>
    <w:rsid w:val="001222A4"/>
    <w:rsid w:val="00126CED"/>
    <w:rsid w:val="00127278"/>
    <w:rsid w:val="001279B8"/>
    <w:rsid w:val="0013037A"/>
    <w:rsid w:val="00131A3D"/>
    <w:rsid w:val="00133535"/>
    <w:rsid w:val="001354B0"/>
    <w:rsid w:val="00135CE3"/>
    <w:rsid w:val="00140C01"/>
    <w:rsid w:val="00141AEA"/>
    <w:rsid w:val="0014497A"/>
    <w:rsid w:val="00144F0B"/>
    <w:rsid w:val="00145474"/>
    <w:rsid w:val="00145483"/>
    <w:rsid w:val="00145540"/>
    <w:rsid w:val="0014622C"/>
    <w:rsid w:val="001465B2"/>
    <w:rsid w:val="0014727C"/>
    <w:rsid w:val="00150F72"/>
    <w:rsid w:val="001518E4"/>
    <w:rsid w:val="00151A42"/>
    <w:rsid w:val="00154087"/>
    <w:rsid w:val="00157DCD"/>
    <w:rsid w:val="00160732"/>
    <w:rsid w:val="00161B5A"/>
    <w:rsid w:val="0016266F"/>
    <w:rsid w:val="001633A6"/>
    <w:rsid w:val="001778D6"/>
    <w:rsid w:val="00180F6E"/>
    <w:rsid w:val="00185F95"/>
    <w:rsid w:val="00186083"/>
    <w:rsid w:val="00187495"/>
    <w:rsid w:val="00192337"/>
    <w:rsid w:val="0019306B"/>
    <w:rsid w:val="001A0C2B"/>
    <w:rsid w:val="001A535E"/>
    <w:rsid w:val="001A5740"/>
    <w:rsid w:val="001A70EE"/>
    <w:rsid w:val="001A754C"/>
    <w:rsid w:val="001A7772"/>
    <w:rsid w:val="001B4099"/>
    <w:rsid w:val="001C2C9F"/>
    <w:rsid w:val="001C3701"/>
    <w:rsid w:val="001C657D"/>
    <w:rsid w:val="001C6DCB"/>
    <w:rsid w:val="001D1953"/>
    <w:rsid w:val="001D7C24"/>
    <w:rsid w:val="001E1660"/>
    <w:rsid w:val="001E27BF"/>
    <w:rsid w:val="001E3390"/>
    <w:rsid w:val="001E3822"/>
    <w:rsid w:val="001E3A79"/>
    <w:rsid w:val="001E6269"/>
    <w:rsid w:val="001E6F61"/>
    <w:rsid w:val="001E75C2"/>
    <w:rsid w:val="001F0615"/>
    <w:rsid w:val="001F1130"/>
    <w:rsid w:val="001F1FE7"/>
    <w:rsid w:val="001F5B2E"/>
    <w:rsid w:val="001F6CA4"/>
    <w:rsid w:val="001F6D5E"/>
    <w:rsid w:val="00202A4C"/>
    <w:rsid w:val="00203371"/>
    <w:rsid w:val="00205518"/>
    <w:rsid w:val="00205FB5"/>
    <w:rsid w:val="0020737D"/>
    <w:rsid w:val="002078B3"/>
    <w:rsid w:val="00213721"/>
    <w:rsid w:val="0021454E"/>
    <w:rsid w:val="002202D9"/>
    <w:rsid w:val="00222FD1"/>
    <w:rsid w:val="0022367D"/>
    <w:rsid w:val="00226311"/>
    <w:rsid w:val="00230DAC"/>
    <w:rsid w:val="00231647"/>
    <w:rsid w:val="002353E9"/>
    <w:rsid w:val="0024066B"/>
    <w:rsid w:val="002412BB"/>
    <w:rsid w:val="00242262"/>
    <w:rsid w:val="00244320"/>
    <w:rsid w:val="002454A0"/>
    <w:rsid w:val="0024553E"/>
    <w:rsid w:val="0024789A"/>
    <w:rsid w:val="002479FA"/>
    <w:rsid w:val="0025124B"/>
    <w:rsid w:val="0025134B"/>
    <w:rsid w:val="00251F6D"/>
    <w:rsid w:val="002534BC"/>
    <w:rsid w:val="00253C16"/>
    <w:rsid w:val="00255365"/>
    <w:rsid w:val="00255D43"/>
    <w:rsid w:val="002564A7"/>
    <w:rsid w:val="0026703D"/>
    <w:rsid w:val="002670AD"/>
    <w:rsid w:val="0027010B"/>
    <w:rsid w:val="00272114"/>
    <w:rsid w:val="00274210"/>
    <w:rsid w:val="002742C9"/>
    <w:rsid w:val="00276FA0"/>
    <w:rsid w:val="00277471"/>
    <w:rsid w:val="00277C81"/>
    <w:rsid w:val="00283BC6"/>
    <w:rsid w:val="00284D42"/>
    <w:rsid w:val="00293936"/>
    <w:rsid w:val="00295238"/>
    <w:rsid w:val="002956CE"/>
    <w:rsid w:val="0029581F"/>
    <w:rsid w:val="002A2487"/>
    <w:rsid w:val="002A3794"/>
    <w:rsid w:val="002A394F"/>
    <w:rsid w:val="002A4097"/>
    <w:rsid w:val="002A639C"/>
    <w:rsid w:val="002B062F"/>
    <w:rsid w:val="002B296A"/>
    <w:rsid w:val="002B38A0"/>
    <w:rsid w:val="002B60B1"/>
    <w:rsid w:val="002C0A5D"/>
    <w:rsid w:val="002C173D"/>
    <w:rsid w:val="002C3198"/>
    <w:rsid w:val="002C5BC8"/>
    <w:rsid w:val="002D041F"/>
    <w:rsid w:val="002D0BE0"/>
    <w:rsid w:val="002D0E0B"/>
    <w:rsid w:val="002D154E"/>
    <w:rsid w:val="002D30BA"/>
    <w:rsid w:val="002E072A"/>
    <w:rsid w:val="002E0AB2"/>
    <w:rsid w:val="002F086E"/>
    <w:rsid w:val="002F2633"/>
    <w:rsid w:val="002F427C"/>
    <w:rsid w:val="002F4BB1"/>
    <w:rsid w:val="002F5650"/>
    <w:rsid w:val="00304C67"/>
    <w:rsid w:val="00305DF8"/>
    <w:rsid w:val="00306908"/>
    <w:rsid w:val="00310393"/>
    <w:rsid w:val="00310AAB"/>
    <w:rsid w:val="00310DA4"/>
    <w:rsid w:val="00312186"/>
    <w:rsid w:val="0031334A"/>
    <w:rsid w:val="0031363B"/>
    <w:rsid w:val="00314A97"/>
    <w:rsid w:val="00316179"/>
    <w:rsid w:val="00320CB3"/>
    <w:rsid w:val="00325920"/>
    <w:rsid w:val="003317EF"/>
    <w:rsid w:val="00331D42"/>
    <w:rsid w:val="0033266C"/>
    <w:rsid w:val="00333E4A"/>
    <w:rsid w:val="00334223"/>
    <w:rsid w:val="00336884"/>
    <w:rsid w:val="00341524"/>
    <w:rsid w:val="00343D91"/>
    <w:rsid w:val="00344166"/>
    <w:rsid w:val="0034783F"/>
    <w:rsid w:val="00350EF2"/>
    <w:rsid w:val="00351D64"/>
    <w:rsid w:val="0035203A"/>
    <w:rsid w:val="00352BC7"/>
    <w:rsid w:val="0035649C"/>
    <w:rsid w:val="00357DFA"/>
    <w:rsid w:val="00360788"/>
    <w:rsid w:val="00363714"/>
    <w:rsid w:val="00365423"/>
    <w:rsid w:val="00366071"/>
    <w:rsid w:val="00366C70"/>
    <w:rsid w:val="003706BF"/>
    <w:rsid w:val="0037311E"/>
    <w:rsid w:val="00373532"/>
    <w:rsid w:val="003765A8"/>
    <w:rsid w:val="00376D5C"/>
    <w:rsid w:val="00377DEE"/>
    <w:rsid w:val="0038106F"/>
    <w:rsid w:val="003810BE"/>
    <w:rsid w:val="003857D1"/>
    <w:rsid w:val="003872F6"/>
    <w:rsid w:val="00391C9E"/>
    <w:rsid w:val="00395527"/>
    <w:rsid w:val="003961EE"/>
    <w:rsid w:val="003A1B7F"/>
    <w:rsid w:val="003A3EAA"/>
    <w:rsid w:val="003A6408"/>
    <w:rsid w:val="003A7A60"/>
    <w:rsid w:val="003B086E"/>
    <w:rsid w:val="003B0886"/>
    <w:rsid w:val="003B088D"/>
    <w:rsid w:val="003B3591"/>
    <w:rsid w:val="003B35D5"/>
    <w:rsid w:val="003B443D"/>
    <w:rsid w:val="003B70BD"/>
    <w:rsid w:val="003C1B46"/>
    <w:rsid w:val="003C47C7"/>
    <w:rsid w:val="003D0576"/>
    <w:rsid w:val="003D1466"/>
    <w:rsid w:val="003D1B68"/>
    <w:rsid w:val="003D2C60"/>
    <w:rsid w:val="003D34DC"/>
    <w:rsid w:val="003D4DFA"/>
    <w:rsid w:val="003D58F8"/>
    <w:rsid w:val="003D60CD"/>
    <w:rsid w:val="003D63ED"/>
    <w:rsid w:val="003D668F"/>
    <w:rsid w:val="003D797C"/>
    <w:rsid w:val="003D7EA9"/>
    <w:rsid w:val="003E0438"/>
    <w:rsid w:val="003E4928"/>
    <w:rsid w:val="003F0F66"/>
    <w:rsid w:val="003F143B"/>
    <w:rsid w:val="003F2B0B"/>
    <w:rsid w:val="003F308B"/>
    <w:rsid w:val="003F5C56"/>
    <w:rsid w:val="003F6351"/>
    <w:rsid w:val="004004BB"/>
    <w:rsid w:val="004029A1"/>
    <w:rsid w:val="0040629F"/>
    <w:rsid w:val="0041033F"/>
    <w:rsid w:val="00411A5D"/>
    <w:rsid w:val="004134BA"/>
    <w:rsid w:val="00416919"/>
    <w:rsid w:val="00417CC1"/>
    <w:rsid w:val="00425BE9"/>
    <w:rsid w:val="00426E1A"/>
    <w:rsid w:val="00431543"/>
    <w:rsid w:val="0043706E"/>
    <w:rsid w:val="0043723C"/>
    <w:rsid w:val="004411CA"/>
    <w:rsid w:val="004511B5"/>
    <w:rsid w:val="00451F77"/>
    <w:rsid w:val="00452D95"/>
    <w:rsid w:val="00453EDB"/>
    <w:rsid w:val="00463502"/>
    <w:rsid w:val="00465742"/>
    <w:rsid w:val="00467145"/>
    <w:rsid w:val="0047076B"/>
    <w:rsid w:val="004734FB"/>
    <w:rsid w:val="00475A6E"/>
    <w:rsid w:val="00477EBF"/>
    <w:rsid w:val="00481FC5"/>
    <w:rsid w:val="00483861"/>
    <w:rsid w:val="0048627F"/>
    <w:rsid w:val="004874F0"/>
    <w:rsid w:val="0049001D"/>
    <w:rsid w:val="00491E22"/>
    <w:rsid w:val="004932D8"/>
    <w:rsid w:val="00493D7C"/>
    <w:rsid w:val="004966BC"/>
    <w:rsid w:val="004A10E2"/>
    <w:rsid w:val="004A115D"/>
    <w:rsid w:val="004A3987"/>
    <w:rsid w:val="004A5CE8"/>
    <w:rsid w:val="004A66A0"/>
    <w:rsid w:val="004A7157"/>
    <w:rsid w:val="004B3558"/>
    <w:rsid w:val="004B3670"/>
    <w:rsid w:val="004C4EFF"/>
    <w:rsid w:val="004C5431"/>
    <w:rsid w:val="004C54E1"/>
    <w:rsid w:val="004D2155"/>
    <w:rsid w:val="004D6B91"/>
    <w:rsid w:val="004E054C"/>
    <w:rsid w:val="004F0352"/>
    <w:rsid w:val="004F0780"/>
    <w:rsid w:val="004F0DC4"/>
    <w:rsid w:val="004F0F1C"/>
    <w:rsid w:val="004F5905"/>
    <w:rsid w:val="00500B7A"/>
    <w:rsid w:val="005020B1"/>
    <w:rsid w:val="0050599F"/>
    <w:rsid w:val="00505BE3"/>
    <w:rsid w:val="0050794E"/>
    <w:rsid w:val="005145F6"/>
    <w:rsid w:val="005166C4"/>
    <w:rsid w:val="00520821"/>
    <w:rsid w:val="005214E9"/>
    <w:rsid w:val="00521C0D"/>
    <w:rsid w:val="00522FA3"/>
    <w:rsid w:val="00526352"/>
    <w:rsid w:val="0052651F"/>
    <w:rsid w:val="00527179"/>
    <w:rsid w:val="005307D0"/>
    <w:rsid w:val="005318FF"/>
    <w:rsid w:val="00533651"/>
    <w:rsid w:val="005404D0"/>
    <w:rsid w:val="0054084C"/>
    <w:rsid w:val="005410D8"/>
    <w:rsid w:val="00542EFD"/>
    <w:rsid w:val="0055096B"/>
    <w:rsid w:val="00551FF6"/>
    <w:rsid w:val="005523C7"/>
    <w:rsid w:val="0055429B"/>
    <w:rsid w:val="005555BE"/>
    <w:rsid w:val="00562602"/>
    <w:rsid w:val="005642E6"/>
    <w:rsid w:val="005648F4"/>
    <w:rsid w:val="00564A66"/>
    <w:rsid w:val="0056565B"/>
    <w:rsid w:val="00566B80"/>
    <w:rsid w:val="00567FE1"/>
    <w:rsid w:val="0057191C"/>
    <w:rsid w:val="00573912"/>
    <w:rsid w:val="00573FF8"/>
    <w:rsid w:val="0058221A"/>
    <w:rsid w:val="0058378A"/>
    <w:rsid w:val="00587D6F"/>
    <w:rsid w:val="005903DC"/>
    <w:rsid w:val="00590B8D"/>
    <w:rsid w:val="005912A1"/>
    <w:rsid w:val="00592CB4"/>
    <w:rsid w:val="00592D3C"/>
    <w:rsid w:val="00594225"/>
    <w:rsid w:val="00594A22"/>
    <w:rsid w:val="0059555A"/>
    <w:rsid w:val="005955D2"/>
    <w:rsid w:val="00596953"/>
    <w:rsid w:val="00596D82"/>
    <w:rsid w:val="005A1098"/>
    <w:rsid w:val="005A1135"/>
    <w:rsid w:val="005A1A9F"/>
    <w:rsid w:val="005A20D9"/>
    <w:rsid w:val="005A22FE"/>
    <w:rsid w:val="005A2555"/>
    <w:rsid w:val="005A5DA1"/>
    <w:rsid w:val="005A6004"/>
    <w:rsid w:val="005A638B"/>
    <w:rsid w:val="005B053F"/>
    <w:rsid w:val="005B0610"/>
    <w:rsid w:val="005B0615"/>
    <w:rsid w:val="005B24AC"/>
    <w:rsid w:val="005B3BA0"/>
    <w:rsid w:val="005C0C79"/>
    <w:rsid w:val="005C12D2"/>
    <w:rsid w:val="005C2D2F"/>
    <w:rsid w:val="005C6E07"/>
    <w:rsid w:val="005C6FC1"/>
    <w:rsid w:val="005C77BD"/>
    <w:rsid w:val="005D0F90"/>
    <w:rsid w:val="005D2615"/>
    <w:rsid w:val="005D2D64"/>
    <w:rsid w:val="005D390A"/>
    <w:rsid w:val="005D46F8"/>
    <w:rsid w:val="005D6446"/>
    <w:rsid w:val="005D76D4"/>
    <w:rsid w:val="005E057A"/>
    <w:rsid w:val="005E4C8D"/>
    <w:rsid w:val="005F1206"/>
    <w:rsid w:val="005F23A2"/>
    <w:rsid w:val="006004DE"/>
    <w:rsid w:val="00600F27"/>
    <w:rsid w:val="00601313"/>
    <w:rsid w:val="00607596"/>
    <w:rsid w:val="00611BF7"/>
    <w:rsid w:val="00614C79"/>
    <w:rsid w:val="00615F6B"/>
    <w:rsid w:val="00616450"/>
    <w:rsid w:val="00617ECB"/>
    <w:rsid w:val="00620CFA"/>
    <w:rsid w:val="00623AA4"/>
    <w:rsid w:val="00624109"/>
    <w:rsid w:val="00624AD8"/>
    <w:rsid w:val="00625020"/>
    <w:rsid w:val="00625DEC"/>
    <w:rsid w:val="00626D69"/>
    <w:rsid w:val="0062780D"/>
    <w:rsid w:val="00631E41"/>
    <w:rsid w:val="00636A67"/>
    <w:rsid w:val="0064340F"/>
    <w:rsid w:val="00644611"/>
    <w:rsid w:val="0064718C"/>
    <w:rsid w:val="00650F93"/>
    <w:rsid w:val="006527C8"/>
    <w:rsid w:val="00653BA8"/>
    <w:rsid w:val="00654A7F"/>
    <w:rsid w:val="00655CC8"/>
    <w:rsid w:val="00661087"/>
    <w:rsid w:val="006619FA"/>
    <w:rsid w:val="00661A0D"/>
    <w:rsid w:val="00662ABD"/>
    <w:rsid w:val="0066300B"/>
    <w:rsid w:val="00663A5B"/>
    <w:rsid w:val="006643F2"/>
    <w:rsid w:val="0066519F"/>
    <w:rsid w:val="006672C5"/>
    <w:rsid w:val="00667906"/>
    <w:rsid w:val="006777E4"/>
    <w:rsid w:val="00683CCE"/>
    <w:rsid w:val="00683FED"/>
    <w:rsid w:val="00685742"/>
    <w:rsid w:val="00686629"/>
    <w:rsid w:val="00687318"/>
    <w:rsid w:val="00697169"/>
    <w:rsid w:val="00697C50"/>
    <w:rsid w:val="006A0882"/>
    <w:rsid w:val="006A3280"/>
    <w:rsid w:val="006A3A91"/>
    <w:rsid w:val="006A3B8F"/>
    <w:rsid w:val="006A5D5F"/>
    <w:rsid w:val="006A76BD"/>
    <w:rsid w:val="006B17CC"/>
    <w:rsid w:val="006B2057"/>
    <w:rsid w:val="006B2914"/>
    <w:rsid w:val="006B60B6"/>
    <w:rsid w:val="006B6B79"/>
    <w:rsid w:val="006C6041"/>
    <w:rsid w:val="006C67EB"/>
    <w:rsid w:val="006C6874"/>
    <w:rsid w:val="006C7CCC"/>
    <w:rsid w:val="006D094A"/>
    <w:rsid w:val="006D3C5E"/>
    <w:rsid w:val="006D7C14"/>
    <w:rsid w:val="006E0064"/>
    <w:rsid w:val="006F5D53"/>
    <w:rsid w:val="006F6563"/>
    <w:rsid w:val="00700518"/>
    <w:rsid w:val="0070358B"/>
    <w:rsid w:val="00706259"/>
    <w:rsid w:val="0071299B"/>
    <w:rsid w:val="00716FF8"/>
    <w:rsid w:val="00721CF1"/>
    <w:rsid w:val="00721FC1"/>
    <w:rsid w:val="00722957"/>
    <w:rsid w:val="0072361E"/>
    <w:rsid w:val="00726CE8"/>
    <w:rsid w:val="007278EF"/>
    <w:rsid w:val="00732864"/>
    <w:rsid w:val="00733AF4"/>
    <w:rsid w:val="00734B43"/>
    <w:rsid w:val="00736F0C"/>
    <w:rsid w:val="00737D5B"/>
    <w:rsid w:val="007404A4"/>
    <w:rsid w:val="00740EC6"/>
    <w:rsid w:val="0074112B"/>
    <w:rsid w:val="00741BB0"/>
    <w:rsid w:val="0074344F"/>
    <w:rsid w:val="007506BA"/>
    <w:rsid w:val="00750736"/>
    <w:rsid w:val="00752220"/>
    <w:rsid w:val="00752AD5"/>
    <w:rsid w:val="007551FD"/>
    <w:rsid w:val="00757138"/>
    <w:rsid w:val="00757248"/>
    <w:rsid w:val="00757D27"/>
    <w:rsid w:val="00760FF6"/>
    <w:rsid w:val="007639A9"/>
    <w:rsid w:val="007640AE"/>
    <w:rsid w:val="0076494E"/>
    <w:rsid w:val="007665CE"/>
    <w:rsid w:val="00766DC1"/>
    <w:rsid w:val="00766F6D"/>
    <w:rsid w:val="007676CB"/>
    <w:rsid w:val="0077200C"/>
    <w:rsid w:val="00774EAF"/>
    <w:rsid w:val="00775337"/>
    <w:rsid w:val="00776E5C"/>
    <w:rsid w:val="00777034"/>
    <w:rsid w:val="007770F8"/>
    <w:rsid w:val="007811F7"/>
    <w:rsid w:val="00781F9E"/>
    <w:rsid w:val="0078239D"/>
    <w:rsid w:val="00782600"/>
    <w:rsid w:val="007831F5"/>
    <w:rsid w:val="00784914"/>
    <w:rsid w:val="00784990"/>
    <w:rsid w:val="0078664B"/>
    <w:rsid w:val="0078719B"/>
    <w:rsid w:val="0079023B"/>
    <w:rsid w:val="00792E02"/>
    <w:rsid w:val="00793958"/>
    <w:rsid w:val="00794D57"/>
    <w:rsid w:val="00795DA1"/>
    <w:rsid w:val="007969A6"/>
    <w:rsid w:val="00797D08"/>
    <w:rsid w:val="00797FEC"/>
    <w:rsid w:val="007A20BC"/>
    <w:rsid w:val="007A4956"/>
    <w:rsid w:val="007A559D"/>
    <w:rsid w:val="007A63F4"/>
    <w:rsid w:val="007A6498"/>
    <w:rsid w:val="007B0F67"/>
    <w:rsid w:val="007B26AD"/>
    <w:rsid w:val="007B4D89"/>
    <w:rsid w:val="007B50D6"/>
    <w:rsid w:val="007B576E"/>
    <w:rsid w:val="007B601F"/>
    <w:rsid w:val="007B61CA"/>
    <w:rsid w:val="007B6213"/>
    <w:rsid w:val="007B79CB"/>
    <w:rsid w:val="007C1879"/>
    <w:rsid w:val="007C2330"/>
    <w:rsid w:val="007C436C"/>
    <w:rsid w:val="007C5D0A"/>
    <w:rsid w:val="007D4E24"/>
    <w:rsid w:val="007D6054"/>
    <w:rsid w:val="007D7457"/>
    <w:rsid w:val="007E0956"/>
    <w:rsid w:val="007E1121"/>
    <w:rsid w:val="007E27EB"/>
    <w:rsid w:val="007E3F22"/>
    <w:rsid w:val="007E4154"/>
    <w:rsid w:val="007E79A6"/>
    <w:rsid w:val="007F46D5"/>
    <w:rsid w:val="007F67AA"/>
    <w:rsid w:val="00804F98"/>
    <w:rsid w:val="00810909"/>
    <w:rsid w:val="00811109"/>
    <w:rsid w:val="00812329"/>
    <w:rsid w:val="008129A4"/>
    <w:rsid w:val="00816011"/>
    <w:rsid w:val="008178A5"/>
    <w:rsid w:val="00820431"/>
    <w:rsid w:val="00824A50"/>
    <w:rsid w:val="00833A9A"/>
    <w:rsid w:val="008352E1"/>
    <w:rsid w:val="00836FDF"/>
    <w:rsid w:val="0084018F"/>
    <w:rsid w:val="00841F89"/>
    <w:rsid w:val="00846861"/>
    <w:rsid w:val="00846F90"/>
    <w:rsid w:val="0085040F"/>
    <w:rsid w:val="00852973"/>
    <w:rsid w:val="00852F05"/>
    <w:rsid w:val="0085376A"/>
    <w:rsid w:val="00854804"/>
    <w:rsid w:val="00854995"/>
    <w:rsid w:val="00854AF0"/>
    <w:rsid w:val="00856A29"/>
    <w:rsid w:val="00856D32"/>
    <w:rsid w:val="00857A4A"/>
    <w:rsid w:val="00863287"/>
    <w:rsid w:val="00864117"/>
    <w:rsid w:val="00865BB9"/>
    <w:rsid w:val="008664D5"/>
    <w:rsid w:val="00871442"/>
    <w:rsid w:val="0087227B"/>
    <w:rsid w:val="0087615A"/>
    <w:rsid w:val="0087667D"/>
    <w:rsid w:val="0087693E"/>
    <w:rsid w:val="008778BB"/>
    <w:rsid w:val="00881A43"/>
    <w:rsid w:val="00882F0F"/>
    <w:rsid w:val="008857A9"/>
    <w:rsid w:val="0088725A"/>
    <w:rsid w:val="00891035"/>
    <w:rsid w:val="00891ABE"/>
    <w:rsid w:val="00891D46"/>
    <w:rsid w:val="00893534"/>
    <w:rsid w:val="00894C95"/>
    <w:rsid w:val="00896D5C"/>
    <w:rsid w:val="00897A10"/>
    <w:rsid w:val="008A0F59"/>
    <w:rsid w:val="008A1559"/>
    <w:rsid w:val="008A6277"/>
    <w:rsid w:val="008A7E36"/>
    <w:rsid w:val="008B20AA"/>
    <w:rsid w:val="008B244B"/>
    <w:rsid w:val="008B39D2"/>
    <w:rsid w:val="008B4A44"/>
    <w:rsid w:val="008B5085"/>
    <w:rsid w:val="008B50F9"/>
    <w:rsid w:val="008B58A4"/>
    <w:rsid w:val="008B6136"/>
    <w:rsid w:val="008C0188"/>
    <w:rsid w:val="008C1A49"/>
    <w:rsid w:val="008C25B3"/>
    <w:rsid w:val="008C42BC"/>
    <w:rsid w:val="008C4735"/>
    <w:rsid w:val="008C49EF"/>
    <w:rsid w:val="008C72DE"/>
    <w:rsid w:val="008D124C"/>
    <w:rsid w:val="008D4A71"/>
    <w:rsid w:val="008D7614"/>
    <w:rsid w:val="008E4156"/>
    <w:rsid w:val="008E63F2"/>
    <w:rsid w:val="008E649B"/>
    <w:rsid w:val="008E7E25"/>
    <w:rsid w:val="008F3EE1"/>
    <w:rsid w:val="008F50FA"/>
    <w:rsid w:val="008F5CE6"/>
    <w:rsid w:val="009026DC"/>
    <w:rsid w:val="00903CC3"/>
    <w:rsid w:val="00906BF3"/>
    <w:rsid w:val="00911D10"/>
    <w:rsid w:val="00911D64"/>
    <w:rsid w:val="009122F6"/>
    <w:rsid w:val="009125E0"/>
    <w:rsid w:val="009151A0"/>
    <w:rsid w:val="009154E8"/>
    <w:rsid w:val="00915F46"/>
    <w:rsid w:val="00916685"/>
    <w:rsid w:val="00916D25"/>
    <w:rsid w:val="009176EA"/>
    <w:rsid w:val="0091780F"/>
    <w:rsid w:val="0092322C"/>
    <w:rsid w:val="00927440"/>
    <w:rsid w:val="00931F10"/>
    <w:rsid w:val="00934059"/>
    <w:rsid w:val="009340EB"/>
    <w:rsid w:val="00934836"/>
    <w:rsid w:val="00936F2D"/>
    <w:rsid w:val="00937F34"/>
    <w:rsid w:val="00942F42"/>
    <w:rsid w:val="00945603"/>
    <w:rsid w:val="009461BF"/>
    <w:rsid w:val="00954FC2"/>
    <w:rsid w:val="00955ACE"/>
    <w:rsid w:val="00955AD2"/>
    <w:rsid w:val="00956B8F"/>
    <w:rsid w:val="00956F46"/>
    <w:rsid w:val="009639D7"/>
    <w:rsid w:val="00963CF7"/>
    <w:rsid w:val="009661E6"/>
    <w:rsid w:val="00967B3C"/>
    <w:rsid w:val="009729D4"/>
    <w:rsid w:val="00974581"/>
    <w:rsid w:val="009755AF"/>
    <w:rsid w:val="00976223"/>
    <w:rsid w:val="009762D8"/>
    <w:rsid w:val="0098206A"/>
    <w:rsid w:val="0098216A"/>
    <w:rsid w:val="00983BF3"/>
    <w:rsid w:val="0098644A"/>
    <w:rsid w:val="0098674D"/>
    <w:rsid w:val="009930E7"/>
    <w:rsid w:val="0099625D"/>
    <w:rsid w:val="00997A5C"/>
    <w:rsid w:val="009A00A4"/>
    <w:rsid w:val="009A00C6"/>
    <w:rsid w:val="009A0801"/>
    <w:rsid w:val="009A3B52"/>
    <w:rsid w:val="009A5E54"/>
    <w:rsid w:val="009B0BFC"/>
    <w:rsid w:val="009B1386"/>
    <w:rsid w:val="009B401B"/>
    <w:rsid w:val="009B4468"/>
    <w:rsid w:val="009B5767"/>
    <w:rsid w:val="009B67B9"/>
    <w:rsid w:val="009B71F0"/>
    <w:rsid w:val="009B77CD"/>
    <w:rsid w:val="009C2DE2"/>
    <w:rsid w:val="009C4B40"/>
    <w:rsid w:val="009C780D"/>
    <w:rsid w:val="009D29E2"/>
    <w:rsid w:val="009D62D1"/>
    <w:rsid w:val="009D6865"/>
    <w:rsid w:val="009E0D11"/>
    <w:rsid w:val="009E26B0"/>
    <w:rsid w:val="009E3956"/>
    <w:rsid w:val="009E586B"/>
    <w:rsid w:val="009E6B74"/>
    <w:rsid w:val="009E7A4D"/>
    <w:rsid w:val="009E7AB1"/>
    <w:rsid w:val="009E7AF1"/>
    <w:rsid w:val="009F0CE8"/>
    <w:rsid w:val="009F0D87"/>
    <w:rsid w:val="009F4518"/>
    <w:rsid w:val="009F4CEA"/>
    <w:rsid w:val="00A006A1"/>
    <w:rsid w:val="00A01329"/>
    <w:rsid w:val="00A03F48"/>
    <w:rsid w:val="00A0447B"/>
    <w:rsid w:val="00A106B0"/>
    <w:rsid w:val="00A10916"/>
    <w:rsid w:val="00A156FB"/>
    <w:rsid w:val="00A15EA3"/>
    <w:rsid w:val="00A2092F"/>
    <w:rsid w:val="00A2159B"/>
    <w:rsid w:val="00A22106"/>
    <w:rsid w:val="00A23187"/>
    <w:rsid w:val="00A26B36"/>
    <w:rsid w:val="00A30165"/>
    <w:rsid w:val="00A360B4"/>
    <w:rsid w:val="00A37A77"/>
    <w:rsid w:val="00A40AA7"/>
    <w:rsid w:val="00A43D75"/>
    <w:rsid w:val="00A46277"/>
    <w:rsid w:val="00A46C02"/>
    <w:rsid w:val="00A470C5"/>
    <w:rsid w:val="00A527C6"/>
    <w:rsid w:val="00A530C4"/>
    <w:rsid w:val="00A54D24"/>
    <w:rsid w:val="00A553C6"/>
    <w:rsid w:val="00A56F5E"/>
    <w:rsid w:val="00A6027F"/>
    <w:rsid w:val="00A60C4C"/>
    <w:rsid w:val="00A638F0"/>
    <w:rsid w:val="00A643CB"/>
    <w:rsid w:val="00A679CB"/>
    <w:rsid w:val="00A70496"/>
    <w:rsid w:val="00A713E5"/>
    <w:rsid w:val="00A730B0"/>
    <w:rsid w:val="00A766D6"/>
    <w:rsid w:val="00A81082"/>
    <w:rsid w:val="00A817EB"/>
    <w:rsid w:val="00A87E78"/>
    <w:rsid w:val="00A903B5"/>
    <w:rsid w:val="00A9278E"/>
    <w:rsid w:val="00A92B3B"/>
    <w:rsid w:val="00A93108"/>
    <w:rsid w:val="00A94F1D"/>
    <w:rsid w:val="00A952C6"/>
    <w:rsid w:val="00A962A8"/>
    <w:rsid w:val="00A96AA5"/>
    <w:rsid w:val="00AA102C"/>
    <w:rsid w:val="00AA1D2F"/>
    <w:rsid w:val="00AA23CF"/>
    <w:rsid w:val="00AA33D5"/>
    <w:rsid w:val="00AB4CF5"/>
    <w:rsid w:val="00AB503B"/>
    <w:rsid w:val="00AC46B1"/>
    <w:rsid w:val="00AC5F85"/>
    <w:rsid w:val="00AC639C"/>
    <w:rsid w:val="00AD1746"/>
    <w:rsid w:val="00AD3A50"/>
    <w:rsid w:val="00AD3BB7"/>
    <w:rsid w:val="00AD48B1"/>
    <w:rsid w:val="00AE1C58"/>
    <w:rsid w:val="00AE1C78"/>
    <w:rsid w:val="00AE1DC5"/>
    <w:rsid w:val="00AE3459"/>
    <w:rsid w:val="00AE50FB"/>
    <w:rsid w:val="00AE73D0"/>
    <w:rsid w:val="00AE766E"/>
    <w:rsid w:val="00AF0190"/>
    <w:rsid w:val="00AF11C9"/>
    <w:rsid w:val="00AF309E"/>
    <w:rsid w:val="00AF4098"/>
    <w:rsid w:val="00AF41B9"/>
    <w:rsid w:val="00AF49C0"/>
    <w:rsid w:val="00AF4D96"/>
    <w:rsid w:val="00B0033E"/>
    <w:rsid w:val="00B00F77"/>
    <w:rsid w:val="00B0580C"/>
    <w:rsid w:val="00B0714B"/>
    <w:rsid w:val="00B10C76"/>
    <w:rsid w:val="00B12CF2"/>
    <w:rsid w:val="00B13860"/>
    <w:rsid w:val="00B1426A"/>
    <w:rsid w:val="00B14600"/>
    <w:rsid w:val="00B16C67"/>
    <w:rsid w:val="00B2300F"/>
    <w:rsid w:val="00B23D0B"/>
    <w:rsid w:val="00B2749B"/>
    <w:rsid w:val="00B27CB3"/>
    <w:rsid w:val="00B27E4E"/>
    <w:rsid w:val="00B32909"/>
    <w:rsid w:val="00B32C48"/>
    <w:rsid w:val="00B339D2"/>
    <w:rsid w:val="00B37ABC"/>
    <w:rsid w:val="00B40727"/>
    <w:rsid w:val="00B4212C"/>
    <w:rsid w:val="00B45093"/>
    <w:rsid w:val="00B45835"/>
    <w:rsid w:val="00B46322"/>
    <w:rsid w:val="00B46CBE"/>
    <w:rsid w:val="00B50DF9"/>
    <w:rsid w:val="00B51E59"/>
    <w:rsid w:val="00B53353"/>
    <w:rsid w:val="00B53DC7"/>
    <w:rsid w:val="00B5502F"/>
    <w:rsid w:val="00B56056"/>
    <w:rsid w:val="00B56D60"/>
    <w:rsid w:val="00B614D4"/>
    <w:rsid w:val="00B6175D"/>
    <w:rsid w:val="00B62BC8"/>
    <w:rsid w:val="00B64306"/>
    <w:rsid w:val="00B65A00"/>
    <w:rsid w:val="00B662A7"/>
    <w:rsid w:val="00B66AF6"/>
    <w:rsid w:val="00B705EF"/>
    <w:rsid w:val="00B71AC7"/>
    <w:rsid w:val="00B74E9E"/>
    <w:rsid w:val="00B750FD"/>
    <w:rsid w:val="00B75D77"/>
    <w:rsid w:val="00B77654"/>
    <w:rsid w:val="00B77664"/>
    <w:rsid w:val="00B776CD"/>
    <w:rsid w:val="00B82121"/>
    <w:rsid w:val="00B8319B"/>
    <w:rsid w:val="00B849DF"/>
    <w:rsid w:val="00B8522D"/>
    <w:rsid w:val="00B8533C"/>
    <w:rsid w:val="00B85795"/>
    <w:rsid w:val="00B90FA4"/>
    <w:rsid w:val="00B9155B"/>
    <w:rsid w:val="00B91E88"/>
    <w:rsid w:val="00B91F03"/>
    <w:rsid w:val="00B933D3"/>
    <w:rsid w:val="00B945CA"/>
    <w:rsid w:val="00B94F11"/>
    <w:rsid w:val="00BA0D63"/>
    <w:rsid w:val="00BA1AF2"/>
    <w:rsid w:val="00BA1EDE"/>
    <w:rsid w:val="00BA518A"/>
    <w:rsid w:val="00BA7E18"/>
    <w:rsid w:val="00BB1A25"/>
    <w:rsid w:val="00BB24A6"/>
    <w:rsid w:val="00BB43D2"/>
    <w:rsid w:val="00BB47C1"/>
    <w:rsid w:val="00BB5EC3"/>
    <w:rsid w:val="00BB66ED"/>
    <w:rsid w:val="00BC046F"/>
    <w:rsid w:val="00BC19B3"/>
    <w:rsid w:val="00BC275C"/>
    <w:rsid w:val="00BC620E"/>
    <w:rsid w:val="00BD1025"/>
    <w:rsid w:val="00BD2395"/>
    <w:rsid w:val="00BD37FA"/>
    <w:rsid w:val="00BE18D1"/>
    <w:rsid w:val="00BE1F2F"/>
    <w:rsid w:val="00BE4B95"/>
    <w:rsid w:val="00BE5668"/>
    <w:rsid w:val="00BE65F6"/>
    <w:rsid w:val="00BE66C5"/>
    <w:rsid w:val="00BF0288"/>
    <w:rsid w:val="00BF2EE1"/>
    <w:rsid w:val="00BF678F"/>
    <w:rsid w:val="00C010BC"/>
    <w:rsid w:val="00C037AD"/>
    <w:rsid w:val="00C04012"/>
    <w:rsid w:val="00C065A5"/>
    <w:rsid w:val="00C127DC"/>
    <w:rsid w:val="00C1380A"/>
    <w:rsid w:val="00C140A3"/>
    <w:rsid w:val="00C1478C"/>
    <w:rsid w:val="00C14DBC"/>
    <w:rsid w:val="00C15D09"/>
    <w:rsid w:val="00C17C4C"/>
    <w:rsid w:val="00C204E4"/>
    <w:rsid w:val="00C20B95"/>
    <w:rsid w:val="00C20C8F"/>
    <w:rsid w:val="00C22684"/>
    <w:rsid w:val="00C23322"/>
    <w:rsid w:val="00C23695"/>
    <w:rsid w:val="00C23842"/>
    <w:rsid w:val="00C2444B"/>
    <w:rsid w:val="00C31213"/>
    <w:rsid w:val="00C31727"/>
    <w:rsid w:val="00C32CF1"/>
    <w:rsid w:val="00C36937"/>
    <w:rsid w:val="00C37543"/>
    <w:rsid w:val="00C42A86"/>
    <w:rsid w:val="00C4326A"/>
    <w:rsid w:val="00C45D30"/>
    <w:rsid w:val="00C468AB"/>
    <w:rsid w:val="00C46968"/>
    <w:rsid w:val="00C5214C"/>
    <w:rsid w:val="00C52311"/>
    <w:rsid w:val="00C53A06"/>
    <w:rsid w:val="00C549F3"/>
    <w:rsid w:val="00C5577B"/>
    <w:rsid w:val="00C60DEF"/>
    <w:rsid w:val="00C61468"/>
    <w:rsid w:val="00C61D01"/>
    <w:rsid w:val="00C61E6D"/>
    <w:rsid w:val="00C6344E"/>
    <w:rsid w:val="00C64F41"/>
    <w:rsid w:val="00C66F43"/>
    <w:rsid w:val="00C67DB4"/>
    <w:rsid w:val="00C70640"/>
    <w:rsid w:val="00C710C8"/>
    <w:rsid w:val="00C72393"/>
    <w:rsid w:val="00C72BA2"/>
    <w:rsid w:val="00C736B7"/>
    <w:rsid w:val="00C73A0A"/>
    <w:rsid w:val="00C73EFA"/>
    <w:rsid w:val="00C8034D"/>
    <w:rsid w:val="00C8281B"/>
    <w:rsid w:val="00C83C3A"/>
    <w:rsid w:val="00C9156B"/>
    <w:rsid w:val="00C91A1D"/>
    <w:rsid w:val="00C93806"/>
    <w:rsid w:val="00C9490B"/>
    <w:rsid w:val="00C94D74"/>
    <w:rsid w:val="00C97791"/>
    <w:rsid w:val="00C97DC3"/>
    <w:rsid w:val="00CA1146"/>
    <w:rsid w:val="00CA4067"/>
    <w:rsid w:val="00CA5AF5"/>
    <w:rsid w:val="00CA654B"/>
    <w:rsid w:val="00CB0E0F"/>
    <w:rsid w:val="00CB3800"/>
    <w:rsid w:val="00CB606E"/>
    <w:rsid w:val="00CC0E70"/>
    <w:rsid w:val="00CC2BCF"/>
    <w:rsid w:val="00CC4C6F"/>
    <w:rsid w:val="00CC5AE9"/>
    <w:rsid w:val="00CC5FB3"/>
    <w:rsid w:val="00CC636F"/>
    <w:rsid w:val="00CC65A4"/>
    <w:rsid w:val="00CC6C8A"/>
    <w:rsid w:val="00CD0113"/>
    <w:rsid w:val="00CD0FC1"/>
    <w:rsid w:val="00CE0018"/>
    <w:rsid w:val="00CE17EF"/>
    <w:rsid w:val="00CE390E"/>
    <w:rsid w:val="00CE3951"/>
    <w:rsid w:val="00CE68AE"/>
    <w:rsid w:val="00CF15B3"/>
    <w:rsid w:val="00CF3043"/>
    <w:rsid w:val="00CF3CF3"/>
    <w:rsid w:val="00CF48E7"/>
    <w:rsid w:val="00CF5010"/>
    <w:rsid w:val="00CF63C7"/>
    <w:rsid w:val="00CF6A99"/>
    <w:rsid w:val="00D032B1"/>
    <w:rsid w:val="00D05BC0"/>
    <w:rsid w:val="00D1007D"/>
    <w:rsid w:val="00D102A6"/>
    <w:rsid w:val="00D11564"/>
    <w:rsid w:val="00D11D8A"/>
    <w:rsid w:val="00D11F1A"/>
    <w:rsid w:val="00D12D82"/>
    <w:rsid w:val="00D13ABF"/>
    <w:rsid w:val="00D2071C"/>
    <w:rsid w:val="00D25429"/>
    <w:rsid w:val="00D305E8"/>
    <w:rsid w:val="00D3063F"/>
    <w:rsid w:val="00D331D8"/>
    <w:rsid w:val="00D334C9"/>
    <w:rsid w:val="00D429AA"/>
    <w:rsid w:val="00D44F34"/>
    <w:rsid w:val="00D45FE2"/>
    <w:rsid w:val="00D55124"/>
    <w:rsid w:val="00D5521F"/>
    <w:rsid w:val="00D57244"/>
    <w:rsid w:val="00D62A17"/>
    <w:rsid w:val="00D63024"/>
    <w:rsid w:val="00D63097"/>
    <w:rsid w:val="00D644B1"/>
    <w:rsid w:val="00D6473E"/>
    <w:rsid w:val="00D6528D"/>
    <w:rsid w:val="00D6587A"/>
    <w:rsid w:val="00D66B2F"/>
    <w:rsid w:val="00D71935"/>
    <w:rsid w:val="00D723B7"/>
    <w:rsid w:val="00D7506D"/>
    <w:rsid w:val="00D750FD"/>
    <w:rsid w:val="00D76DB3"/>
    <w:rsid w:val="00D77387"/>
    <w:rsid w:val="00D775FF"/>
    <w:rsid w:val="00D801A7"/>
    <w:rsid w:val="00D80FF7"/>
    <w:rsid w:val="00D8436A"/>
    <w:rsid w:val="00D84766"/>
    <w:rsid w:val="00D864F6"/>
    <w:rsid w:val="00D86C9A"/>
    <w:rsid w:val="00D875B8"/>
    <w:rsid w:val="00D87C35"/>
    <w:rsid w:val="00D90C62"/>
    <w:rsid w:val="00D92467"/>
    <w:rsid w:val="00DA0E02"/>
    <w:rsid w:val="00DA32B1"/>
    <w:rsid w:val="00DA5B7B"/>
    <w:rsid w:val="00DA5C79"/>
    <w:rsid w:val="00DA713A"/>
    <w:rsid w:val="00DB092E"/>
    <w:rsid w:val="00DB1026"/>
    <w:rsid w:val="00DC4FB5"/>
    <w:rsid w:val="00DC585D"/>
    <w:rsid w:val="00DC6DC4"/>
    <w:rsid w:val="00DD35DF"/>
    <w:rsid w:val="00DD55B9"/>
    <w:rsid w:val="00DD607F"/>
    <w:rsid w:val="00DD72D3"/>
    <w:rsid w:val="00DD78AF"/>
    <w:rsid w:val="00DD78BA"/>
    <w:rsid w:val="00DE3F17"/>
    <w:rsid w:val="00DE4FD9"/>
    <w:rsid w:val="00DE5779"/>
    <w:rsid w:val="00DE5FB4"/>
    <w:rsid w:val="00DE6266"/>
    <w:rsid w:val="00DE6E98"/>
    <w:rsid w:val="00DF4825"/>
    <w:rsid w:val="00E03DF1"/>
    <w:rsid w:val="00E03E3E"/>
    <w:rsid w:val="00E04067"/>
    <w:rsid w:val="00E056A6"/>
    <w:rsid w:val="00E11FFB"/>
    <w:rsid w:val="00E123BA"/>
    <w:rsid w:val="00E129C2"/>
    <w:rsid w:val="00E12B1F"/>
    <w:rsid w:val="00E13886"/>
    <w:rsid w:val="00E169E5"/>
    <w:rsid w:val="00E16E41"/>
    <w:rsid w:val="00E1721B"/>
    <w:rsid w:val="00E1791E"/>
    <w:rsid w:val="00E20DC6"/>
    <w:rsid w:val="00E20F48"/>
    <w:rsid w:val="00E2132A"/>
    <w:rsid w:val="00E222C2"/>
    <w:rsid w:val="00E2457E"/>
    <w:rsid w:val="00E2658D"/>
    <w:rsid w:val="00E271C7"/>
    <w:rsid w:val="00E33C74"/>
    <w:rsid w:val="00E33F3F"/>
    <w:rsid w:val="00E34078"/>
    <w:rsid w:val="00E37243"/>
    <w:rsid w:val="00E37983"/>
    <w:rsid w:val="00E37EEE"/>
    <w:rsid w:val="00E40299"/>
    <w:rsid w:val="00E4211F"/>
    <w:rsid w:val="00E43AC2"/>
    <w:rsid w:val="00E453E5"/>
    <w:rsid w:val="00E46CCF"/>
    <w:rsid w:val="00E5011C"/>
    <w:rsid w:val="00E5676C"/>
    <w:rsid w:val="00E6128B"/>
    <w:rsid w:val="00E63900"/>
    <w:rsid w:val="00E71812"/>
    <w:rsid w:val="00E71AF2"/>
    <w:rsid w:val="00E7258C"/>
    <w:rsid w:val="00E73CA9"/>
    <w:rsid w:val="00E748B4"/>
    <w:rsid w:val="00E74D97"/>
    <w:rsid w:val="00E7598F"/>
    <w:rsid w:val="00E76C6C"/>
    <w:rsid w:val="00E804B5"/>
    <w:rsid w:val="00E81347"/>
    <w:rsid w:val="00E82C54"/>
    <w:rsid w:val="00E87228"/>
    <w:rsid w:val="00E873C7"/>
    <w:rsid w:val="00E91600"/>
    <w:rsid w:val="00E92DD9"/>
    <w:rsid w:val="00E935F0"/>
    <w:rsid w:val="00E93FE8"/>
    <w:rsid w:val="00E95298"/>
    <w:rsid w:val="00E95992"/>
    <w:rsid w:val="00E97245"/>
    <w:rsid w:val="00EA2BCA"/>
    <w:rsid w:val="00EA3608"/>
    <w:rsid w:val="00EA3B2D"/>
    <w:rsid w:val="00EA3B42"/>
    <w:rsid w:val="00EA4743"/>
    <w:rsid w:val="00EB1309"/>
    <w:rsid w:val="00EB2FCA"/>
    <w:rsid w:val="00EB6107"/>
    <w:rsid w:val="00EB718E"/>
    <w:rsid w:val="00EB7C59"/>
    <w:rsid w:val="00EC184C"/>
    <w:rsid w:val="00EC36D6"/>
    <w:rsid w:val="00EC6450"/>
    <w:rsid w:val="00EC7F6E"/>
    <w:rsid w:val="00ED30EE"/>
    <w:rsid w:val="00ED39CF"/>
    <w:rsid w:val="00ED4957"/>
    <w:rsid w:val="00ED63C2"/>
    <w:rsid w:val="00ED7D17"/>
    <w:rsid w:val="00EE14B3"/>
    <w:rsid w:val="00EE2307"/>
    <w:rsid w:val="00EE4079"/>
    <w:rsid w:val="00EE4210"/>
    <w:rsid w:val="00EE45E9"/>
    <w:rsid w:val="00EE5C26"/>
    <w:rsid w:val="00EF2C0D"/>
    <w:rsid w:val="00F0078A"/>
    <w:rsid w:val="00F02077"/>
    <w:rsid w:val="00F03869"/>
    <w:rsid w:val="00F05E85"/>
    <w:rsid w:val="00F07601"/>
    <w:rsid w:val="00F10079"/>
    <w:rsid w:val="00F13A36"/>
    <w:rsid w:val="00F14896"/>
    <w:rsid w:val="00F15025"/>
    <w:rsid w:val="00F15AA0"/>
    <w:rsid w:val="00F176F9"/>
    <w:rsid w:val="00F21DED"/>
    <w:rsid w:val="00F239FA"/>
    <w:rsid w:val="00F2537E"/>
    <w:rsid w:val="00F27859"/>
    <w:rsid w:val="00F30B04"/>
    <w:rsid w:val="00F3205D"/>
    <w:rsid w:val="00F32999"/>
    <w:rsid w:val="00F33ED9"/>
    <w:rsid w:val="00F352D2"/>
    <w:rsid w:val="00F411CC"/>
    <w:rsid w:val="00F41DA4"/>
    <w:rsid w:val="00F46658"/>
    <w:rsid w:val="00F50F45"/>
    <w:rsid w:val="00F52173"/>
    <w:rsid w:val="00F56C21"/>
    <w:rsid w:val="00F577B5"/>
    <w:rsid w:val="00F57A9D"/>
    <w:rsid w:val="00F6002F"/>
    <w:rsid w:val="00F60E3A"/>
    <w:rsid w:val="00F611CC"/>
    <w:rsid w:val="00F6204C"/>
    <w:rsid w:val="00F625FB"/>
    <w:rsid w:val="00F63295"/>
    <w:rsid w:val="00F64160"/>
    <w:rsid w:val="00F652D8"/>
    <w:rsid w:val="00F674AE"/>
    <w:rsid w:val="00F708AC"/>
    <w:rsid w:val="00F722B2"/>
    <w:rsid w:val="00F74C05"/>
    <w:rsid w:val="00F761EC"/>
    <w:rsid w:val="00F85DE1"/>
    <w:rsid w:val="00F86F38"/>
    <w:rsid w:val="00F973D0"/>
    <w:rsid w:val="00F97600"/>
    <w:rsid w:val="00FA15D7"/>
    <w:rsid w:val="00FA227E"/>
    <w:rsid w:val="00FA2D92"/>
    <w:rsid w:val="00FA56BB"/>
    <w:rsid w:val="00FA59E6"/>
    <w:rsid w:val="00FA695A"/>
    <w:rsid w:val="00FA7022"/>
    <w:rsid w:val="00FA7E42"/>
    <w:rsid w:val="00FB22E8"/>
    <w:rsid w:val="00FB5D6F"/>
    <w:rsid w:val="00FC00AE"/>
    <w:rsid w:val="00FC1063"/>
    <w:rsid w:val="00FC2E42"/>
    <w:rsid w:val="00FC3A6F"/>
    <w:rsid w:val="00FC40F7"/>
    <w:rsid w:val="00FC426A"/>
    <w:rsid w:val="00FC43E2"/>
    <w:rsid w:val="00FC5F1B"/>
    <w:rsid w:val="00FC7525"/>
    <w:rsid w:val="00FC7AB6"/>
    <w:rsid w:val="00FD0763"/>
    <w:rsid w:val="00FD1372"/>
    <w:rsid w:val="00FD2128"/>
    <w:rsid w:val="00FD22C1"/>
    <w:rsid w:val="00FD50A0"/>
    <w:rsid w:val="00FD6CCB"/>
    <w:rsid w:val="00FD70ED"/>
    <w:rsid w:val="00FD7ED8"/>
    <w:rsid w:val="00FD7F7E"/>
    <w:rsid w:val="00FE28D3"/>
    <w:rsid w:val="00FE2E7D"/>
    <w:rsid w:val="00FE3C09"/>
    <w:rsid w:val="00FE416A"/>
    <w:rsid w:val="00FE663B"/>
    <w:rsid w:val="00FF147F"/>
    <w:rsid w:val="00FF6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B10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qFormat/>
    <w:locked/>
    <w:rsid w:val="00955AC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6703D"/>
    <w:rPr>
      <w:rFonts w:ascii="Tahoma" w:hAnsi="Tahoma" w:cs="Tahoma"/>
      <w:sz w:val="16"/>
      <w:szCs w:val="16"/>
    </w:rPr>
  </w:style>
  <w:style w:type="character" w:customStyle="1" w:styleId="BalloonTextChar">
    <w:name w:val="Balloon Text Char"/>
    <w:basedOn w:val="DefaultParagraphFont"/>
    <w:link w:val="BalloonText"/>
    <w:uiPriority w:val="99"/>
    <w:locked/>
    <w:rsid w:val="0026703D"/>
    <w:rPr>
      <w:rFonts w:ascii="Tahoma" w:hAnsi="Tahoma" w:cs="Tahoma"/>
      <w:sz w:val="16"/>
      <w:szCs w:val="16"/>
      <w:lang w:val="en-US" w:eastAsia="en-US"/>
    </w:rPr>
  </w:style>
  <w:style w:type="paragraph" w:styleId="ListParagraph">
    <w:name w:val="List Paragraph"/>
    <w:basedOn w:val="Normal"/>
    <w:qFormat/>
    <w:rsid w:val="00CA1146"/>
    <w:pPr>
      <w:ind w:left="720"/>
      <w:contextualSpacing/>
    </w:pPr>
  </w:style>
  <w:style w:type="character" w:styleId="CommentReference">
    <w:name w:val="annotation reference"/>
    <w:basedOn w:val="DefaultParagraphFont"/>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basedOn w:val="DefaultParagraphFont"/>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basedOn w:val="CommentText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basedOn w:val="DefaultParagraphFont"/>
    <w:link w:val="Header"/>
    <w:uiPriority w:val="99"/>
    <w:semiHidden/>
    <w:locked/>
    <w:rsid w:val="005020B1"/>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basedOn w:val="DefaultParagraphFont"/>
    <w:link w:val="Footer"/>
    <w:uiPriority w:val="99"/>
    <w:semiHidden/>
    <w:locked/>
    <w:rsid w:val="005020B1"/>
    <w:rPr>
      <w:rFonts w:cs="Times New Roman"/>
      <w:sz w:val="24"/>
      <w:szCs w:val="24"/>
      <w:lang w:val="en-US" w:eastAsia="en-US"/>
    </w:rPr>
  </w:style>
  <w:style w:type="paragraph" w:styleId="BodyText2">
    <w:name w:val="Body Text 2"/>
    <w:basedOn w:val="Normal"/>
    <w:link w:val="BodyText2Char"/>
    <w:rsid w:val="00CB3800"/>
    <w:rPr>
      <w:lang w:val="en-GB"/>
    </w:rPr>
  </w:style>
  <w:style w:type="character" w:customStyle="1" w:styleId="BodyText2Char">
    <w:name w:val="Body Text 2 Char"/>
    <w:basedOn w:val="DefaultParagraphFont"/>
    <w:link w:val="BodyText2"/>
    <w:locked/>
    <w:rsid w:val="005020B1"/>
    <w:rPr>
      <w:rFonts w:cs="Times New Roman"/>
      <w:sz w:val="24"/>
      <w:szCs w:val="24"/>
      <w:lang w:val="en-US" w:eastAsia="en-US"/>
    </w:rPr>
  </w:style>
  <w:style w:type="character" w:styleId="PageNumber">
    <w:name w:val="page number"/>
    <w:basedOn w:val="DefaultParagraphFont"/>
    <w:uiPriority w:val="99"/>
    <w:rsid w:val="00CB3800"/>
    <w:rPr>
      <w:rFonts w:cs="Times New Roman"/>
    </w:rPr>
  </w:style>
  <w:style w:type="character" w:styleId="Hyperlink">
    <w:name w:val="Hyperlink"/>
    <w:basedOn w:val="DefaultParagraphFont"/>
    <w:uiPriority w:val="99"/>
    <w:rsid w:val="00AC639C"/>
    <w:rPr>
      <w:rFonts w:cs="Times New Roman"/>
      <w:color w:val="0000FF"/>
      <w:u w:val="single"/>
    </w:rPr>
  </w:style>
  <w:style w:type="character" w:customStyle="1" w:styleId="Heading1Char">
    <w:name w:val="Heading 1 Char"/>
    <w:basedOn w:val="DefaultParagraphFont"/>
    <w:link w:val="Heading1"/>
    <w:rsid w:val="00955ACE"/>
    <w:rPr>
      <w:rFonts w:asciiTheme="majorHAnsi" w:eastAsiaTheme="majorEastAsia" w:hAnsiTheme="majorHAnsi" w:cstheme="majorBidi"/>
      <w:b/>
      <w:bCs/>
      <w:kern w:val="32"/>
      <w:sz w:val="32"/>
      <w:szCs w:val="32"/>
      <w:lang w:val="en-US" w:eastAsia="en-US"/>
    </w:rPr>
  </w:style>
  <w:style w:type="character" w:styleId="Emphasis">
    <w:name w:val="Emphasis"/>
    <w:basedOn w:val="DefaultParagraphFont"/>
    <w:qFormat/>
    <w:locked/>
    <w:rsid w:val="00CD0113"/>
    <w:rPr>
      <w:i/>
      <w:iCs/>
    </w:rPr>
  </w:style>
  <w:style w:type="paragraph" w:styleId="FootnoteText">
    <w:name w:val="footnote text"/>
    <w:basedOn w:val="Normal"/>
    <w:link w:val="FootnoteTextChar"/>
    <w:uiPriority w:val="99"/>
    <w:semiHidden/>
    <w:unhideWhenUsed/>
    <w:rsid w:val="00C127DC"/>
    <w:rPr>
      <w:sz w:val="20"/>
      <w:szCs w:val="20"/>
    </w:rPr>
  </w:style>
  <w:style w:type="character" w:customStyle="1" w:styleId="FootnoteTextChar">
    <w:name w:val="Footnote Text Char"/>
    <w:basedOn w:val="DefaultParagraphFont"/>
    <w:link w:val="FootnoteText"/>
    <w:uiPriority w:val="99"/>
    <w:semiHidden/>
    <w:rsid w:val="00C127DC"/>
    <w:rPr>
      <w:sz w:val="20"/>
      <w:szCs w:val="20"/>
      <w:lang w:val="en-US" w:eastAsia="en-US"/>
    </w:rPr>
  </w:style>
  <w:style w:type="character" w:styleId="FootnoteReference">
    <w:name w:val="footnote reference"/>
    <w:basedOn w:val="DefaultParagraphFont"/>
    <w:uiPriority w:val="99"/>
    <w:semiHidden/>
    <w:unhideWhenUsed/>
    <w:rsid w:val="00C127DC"/>
    <w:rPr>
      <w:vertAlign w:val="superscript"/>
    </w:rPr>
  </w:style>
  <w:style w:type="paragraph" w:styleId="PlainText">
    <w:name w:val="Plain Text"/>
    <w:basedOn w:val="Normal"/>
    <w:link w:val="PlainTextChar"/>
    <w:uiPriority w:val="99"/>
    <w:unhideWhenUsed/>
    <w:rsid w:val="00573FF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73FF8"/>
    <w:rPr>
      <w:rFonts w:ascii="Calibri" w:eastAsiaTheme="minorHAnsi" w:hAnsi="Calibri" w:cstheme="minorBidi"/>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qFormat/>
    <w:locked/>
    <w:rsid w:val="00955AC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6703D"/>
    <w:rPr>
      <w:rFonts w:ascii="Tahoma" w:hAnsi="Tahoma" w:cs="Tahoma"/>
      <w:sz w:val="16"/>
      <w:szCs w:val="16"/>
    </w:rPr>
  </w:style>
  <w:style w:type="character" w:customStyle="1" w:styleId="BalloonTextChar">
    <w:name w:val="Balloon Text Char"/>
    <w:basedOn w:val="DefaultParagraphFont"/>
    <w:link w:val="BalloonText"/>
    <w:uiPriority w:val="99"/>
    <w:locked/>
    <w:rsid w:val="0026703D"/>
    <w:rPr>
      <w:rFonts w:ascii="Tahoma" w:hAnsi="Tahoma" w:cs="Tahoma"/>
      <w:sz w:val="16"/>
      <w:szCs w:val="16"/>
      <w:lang w:val="en-US" w:eastAsia="en-US"/>
    </w:rPr>
  </w:style>
  <w:style w:type="paragraph" w:styleId="ListParagraph">
    <w:name w:val="List Paragraph"/>
    <w:basedOn w:val="Normal"/>
    <w:qFormat/>
    <w:rsid w:val="00CA1146"/>
    <w:pPr>
      <w:ind w:left="720"/>
      <w:contextualSpacing/>
    </w:pPr>
  </w:style>
  <w:style w:type="character" w:styleId="CommentReference">
    <w:name w:val="annotation reference"/>
    <w:basedOn w:val="DefaultParagraphFont"/>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basedOn w:val="DefaultParagraphFont"/>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basedOn w:val="CommentText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basedOn w:val="DefaultParagraphFont"/>
    <w:link w:val="Header"/>
    <w:uiPriority w:val="99"/>
    <w:semiHidden/>
    <w:locked/>
    <w:rsid w:val="005020B1"/>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basedOn w:val="DefaultParagraphFont"/>
    <w:link w:val="Footer"/>
    <w:uiPriority w:val="99"/>
    <w:semiHidden/>
    <w:locked/>
    <w:rsid w:val="005020B1"/>
    <w:rPr>
      <w:rFonts w:cs="Times New Roman"/>
      <w:sz w:val="24"/>
      <w:szCs w:val="24"/>
      <w:lang w:val="en-US" w:eastAsia="en-US"/>
    </w:rPr>
  </w:style>
  <w:style w:type="paragraph" w:styleId="BodyText2">
    <w:name w:val="Body Text 2"/>
    <w:basedOn w:val="Normal"/>
    <w:link w:val="BodyText2Char"/>
    <w:rsid w:val="00CB3800"/>
    <w:rPr>
      <w:lang w:val="en-GB"/>
    </w:rPr>
  </w:style>
  <w:style w:type="character" w:customStyle="1" w:styleId="BodyText2Char">
    <w:name w:val="Body Text 2 Char"/>
    <w:basedOn w:val="DefaultParagraphFont"/>
    <w:link w:val="BodyText2"/>
    <w:locked/>
    <w:rsid w:val="005020B1"/>
    <w:rPr>
      <w:rFonts w:cs="Times New Roman"/>
      <w:sz w:val="24"/>
      <w:szCs w:val="24"/>
      <w:lang w:val="en-US" w:eastAsia="en-US"/>
    </w:rPr>
  </w:style>
  <w:style w:type="character" w:styleId="PageNumber">
    <w:name w:val="page number"/>
    <w:basedOn w:val="DefaultParagraphFont"/>
    <w:uiPriority w:val="99"/>
    <w:rsid w:val="00CB3800"/>
    <w:rPr>
      <w:rFonts w:cs="Times New Roman"/>
    </w:rPr>
  </w:style>
  <w:style w:type="character" w:styleId="Hyperlink">
    <w:name w:val="Hyperlink"/>
    <w:basedOn w:val="DefaultParagraphFont"/>
    <w:uiPriority w:val="99"/>
    <w:rsid w:val="00AC639C"/>
    <w:rPr>
      <w:rFonts w:cs="Times New Roman"/>
      <w:color w:val="0000FF"/>
      <w:u w:val="single"/>
    </w:rPr>
  </w:style>
  <w:style w:type="character" w:customStyle="1" w:styleId="Heading1Char">
    <w:name w:val="Heading 1 Char"/>
    <w:basedOn w:val="DefaultParagraphFont"/>
    <w:link w:val="Heading1"/>
    <w:rsid w:val="00955ACE"/>
    <w:rPr>
      <w:rFonts w:asciiTheme="majorHAnsi" w:eastAsiaTheme="majorEastAsia" w:hAnsiTheme="majorHAnsi" w:cstheme="majorBidi"/>
      <w:b/>
      <w:bCs/>
      <w:kern w:val="32"/>
      <w:sz w:val="32"/>
      <w:szCs w:val="32"/>
      <w:lang w:val="en-US" w:eastAsia="en-US"/>
    </w:rPr>
  </w:style>
  <w:style w:type="character" w:styleId="Emphasis">
    <w:name w:val="Emphasis"/>
    <w:basedOn w:val="DefaultParagraphFont"/>
    <w:qFormat/>
    <w:locked/>
    <w:rsid w:val="00CD0113"/>
    <w:rPr>
      <w:i/>
      <w:iCs/>
    </w:rPr>
  </w:style>
  <w:style w:type="paragraph" w:styleId="FootnoteText">
    <w:name w:val="footnote text"/>
    <w:basedOn w:val="Normal"/>
    <w:link w:val="FootnoteTextChar"/>
    <w:uiPriority w:val="99"/>
    <w:semiHidden/>
    <w:unhideWhenUsed/>
    <w:rsid w:val="00C127DC"/>
    <w:rPr>
      <w:sz w:val="20"/>
      <w:szCs w:val="20"/>
    </w:rPr>
  </w:style>
  <w:style w:type="character" w:customStyle="1" w:styleId="FootnoteTextChar">
    <w:name w:val="Footnote Text Char"/>
    <w:basedOn w:val="DefaultParagraphFont"/>
    <w:link w:val="FootnoteText"/>
    <w:uiPriority w:val="99"/>
    <w:semiHidden/>
    <w:rsid w:val="00C127DC"/>
    <w:rPr>
      <w:sz w:val="20"/>
      <w:szCs w:val="20"/>
      <w:lang w:val="en-US" w:eastAsia="en-US"/>
    </w:rPr>
  </w:style>
  <w:style w:type="character" w:styleId="FootnoteReference">
    <w:name w:val="footnote reference"/>
    <w:basedOn w:val="DefaultParagraphFont"/>
    <w:uiPriority w:val="99"/>
    <w:semiHidden/>
    <w:unhideWhenUsed/>
    <w:rsid w:val="00C127DC"/>
    <w:rPr>
      <w:vertAlign w:val="superscript"/>
    </w:rPr>
  </w:style>
  <w:style w:type="paragraph" w:styleId="PlainText">
    <w:name w:val="Plain Text"/>
    <w:basedOn w:val="Normal"/>
    <w:link w:val="PlainTextChar"/>
    <w:uiPriority w:val="99"/>
    <w:unhideWhenUsed/>
    <w:rsid w:val="00573FF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73FF8"/>
    <w:rPr>
      <w:rFonts w:ascii="Calibri" w:eastAsiaTheme="minorHAnsi" w:hAnsi="Calibri" w:cstheme="minorBid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65809">
      <w:marLeft w:val="0"/>
      <w:marRight w:val="0"/>
      <w:marTop w:val="0"/>
      <w:marBottom w:val="0"/>
      <w:divBdr>
        <w:top w:val="none" w:sz="0" w:space="0" w:color="auto"/>
        <w:left w:val="none" w:sz="0" w:space="0" w:color="auto"/>
        <w:bottom w:val="none" w:sz="0" w:space="0" w:color="auto"/>
        <w:right w:val="none" w:sz="0" w:space="0" w:color="auto"/>
      </w:divBdr>
    </w:div>
    <w:div w:id="1343165810">
      <w:marLeft w:val="0"/>
      <w:marRight w:val="0"/>
      <w:marTop w:val="0"/>
      <w:marBottom w:val="0"/>
      <w:divBdr>
        <w:top w:val="none" w:sz="0" w:space="0" w:color="auto"/>
        <w:left w:val="none" w:sz="0" w:space="0" w:color="auto"/>
        <w:bottom w:val="none" w:sz="0" w:space="0" w:color="auto"/>
        <w:right w:val="none" w:sz="0" w:space="0" w:color="auto"/>
      </w:divBdr>
    </w:div>
    <w:div w:id="14790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B483-11E1-4C03-A4D6-44F9638F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1085</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RESOLUTION 5</vt:lpstr>
    </vt:vector>
  </TitlesOfParts>
  <Company>UNEP</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Sergey Dereliev (UNEP/AEWA Secretariat)</dc:creator>
  <cp:lastModifiedBy>Catherine Lehmann (UNEP/AEWA Secretariat)</cp:lastModifiedBy>
  <cp:revision>6</cp:revision>
  <cp:lastPrinted>2012-03-29T14:31:00Z</cp:lastPrinted>
  <dcterms:created xsi:type="dcterms:W3CDTF">2012-08-30T10:16:00Z</dcterms:created>
  <dcterms:modified xsi:type="dcterms:W3CDTF">2012-09-19T09:40:00Z</dcterms:modified>
</cp:coreProperties>
</file>