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4B" w:rsidRPr="000327E0" w:rsidRDefault="0025134B" w:rsidP="001C0BD0">
      <w:pPr>
        <w:jc w:val="center"/>
        <w:rPr>
          <w:lang w:val="en-GB"/>
        </w:rPr>
      </w:pPr>
      <w:bookmarkStart w:id="0" w:name="_GoBack"/>
      <w:bookmarkEnd w:id="0"/>
      <w:r w:rsidRPr="000327E0">
        <w:rPr>
          <w:lang w:val="en-GB"/>
        </w:rPr>
        <w:t>RESOLUTION 5.</w:t>
      </w:r>
      <w:r w:rsidR="00E92DD9" w:rsidRPr="000327E0">
        <w:rPr>
          <w:lang w:val="en-GB"/>
        </w:rPr>
        <w:t>22</w:t>
      </w:r>
    </w:p>
    <w:p w:rsidR="0025134B" w:rsidRPr="000327E0" w:rsidRDefault="0025134B" w:rsidP="00255061">
      <w:pPr>
        <w:jc w:val="center"/>
        <w:rPr>
          <w:b/>
          <w:lang w:val="en-GB"/>
        </w:rPr>
      </w:pPr>
    </w:p>
    <w:p w:rsidR="0025134B" w:rsidRPr="000327E0" w:rsidRDefault="0025134B" w:rsidP="00255061">
      <w:pPr>
        <w:jc w:val="center"/>
        <w:rPr>
          <w:b/>
          <w:lang w:val="en-GB"/>
        </w:rPr>
      </w:pPr>
      <w:r w:rsidRPr="000327E0">
        <w:rPr>
          <w:b/>
          <w:lang w:val="en-GB"/>
        </w:rPr>
        <w:t>ESTABLISHING A LONG-TERM BASIC STRUCTURAL FUNDING REGIME FOR THE INTERNATIONAL WATERBIRD CENSUS IN THE AFRICAN-EURASIAN REGION</w:t>
      </w:r>
    </w:p>
    <w:p w:rsidR="0025134B" w:rsidRPr="000327E0" w:rsidRDefault="0025134B" w:rsidP="00255061">
      <w:pPr>
        <w:rPr>
          <w:lang w:val="en-GB"/>
        </w:rPr>
      </w:pPr>
    </w:p>
    <w:p w:rsidR="00F31410" w:rsidRPr="000327E0" w:rsidRDefault="00F31410" w:rsidP="00255061">
      <w:pPr>
        <w:jc w:val="center"/>
        <w:rPr>
          <w:i/>
          <w:sz w:val="22"/>
          <w:szCs w:val="22"/>
          <w:lang w:val="en-GB"/>
        </w:rPr>
      </w:pPr>
      <w:r w:rsidRPr="000327E0">
        <w:rPr>
          <w:i/>
          <w:sz w:val="22"/>
          <w:szCs w:val="22"/>
          <w:lang w:val="en-GB"/>
        </w:rPr>
        <w:t>Submitted by Switzerland</w:t>
      </w:r>
    </w:p>
    <w:p w:rsidR="00F31410" w:rsidRPr="000327E0" w:rsidRDefault="00F31410" w:rsidP="00255061">
      <w:pPr>
        <w:jc w:val="center"/>
        <w:rPr>
          <w:i/>
          <w:sz w:val="22"/>
          <w:szCs w:val="22"/>
          <w:lang w:val="en-GB"/>
        </w:rPr>
      </w:pPr>
    </w:p>
    <w:p w:rsidR="0025134B" w:rsidRPr="000327E0" w:rsidRDefault="0025134B" w:rsidP="00255061">
      <w:pPr>
        <w:rPr>
          <w:sz w:val="22"/>
          <w:szCs w:val="22"/>
          <w:lang w:val="en-GB"/>
        </w:rPr>
      </w:pPr>
    </w:p>
    <w:p w:rsidR="0025134B" w:rsidRPr="000327E0" w:rsidRDefault="0025134B" w:rsidP="00255061">
      <w:pPr>
        <w:autoSpaceDE w:val="0"/>
        <w:autoSpaceDN w:val="0"/>
        <w:adjustRightInd w:val="0"/>
        <w:ind w:firstLine="720"/>
        <w:jc w:val="both"/>
        <w:rPr>
          <w:sz w:val="22"/>
          <w:szCs w:val="22"/>
          <w:lang w:val="en-GB" w:eastAsia="en-GB"/>
        </w:rPr>
      </w:pPr>
      <w:r w:rsidRPr="000327E0">
        <w:rPr>
          <w:i/>
          <w:sz w:val="22"/>
          <w:szCs w:val="22"/>
          <w:lang w:val="en-GB"/>
        </w:rPr>
        <w:t>Noting with concern</w:t>
      </w:r>
      <w:r w:rsidRPr="000327E0">
        <w:rPr>
          <w:sz w:val="22"/>
          <w:szCs w:val="22"/>
          <w:lang w:val="en-GB"/>
        </w:rPr>
        <w:t xml:space="preserve"> that in accordance with the conclusions of the </w:t>
      </w:r>
      <w:r w:rsidRPr="006E2BDA">
        <w:rPr>
          <w:i/>
          <w:sz w:val="22"/>
          <w:szCs w:val="22"/>
          <w:lang w:val="en-GB"/>
        </w:rPr>
        <w:t>5</w:t>
      </w:r>
      <w:r w:rsidRPr="006E2BDA">
        <w:rPr>
          <w:i/>
          <w:sz w:val="22"/>
          <w:szCs w:val="22"/>
          <w:vertAlign w:val="superscript"/>
          <w:lang w:val="en-GB"/>
        </w:rPr>
        <w:t>th</w:t>
      </w:r>
      <w:r w:rsidR="000327E0" w:rsidRPr="006E2BDA">
        <w:rPr>
          <w:i/>
          <w:sz w:val="22"/>
          <w:szCs w:val="22"/>
          <w:vertAlign w:val="superscript"/>
          <w:lang w:val="en-GB"/>
        </w:rPr>
        <w:t xml:space="preserve"> </w:t>
      </w:r>
      <w:r w:rsidRPr="006E2BDA">
        <w:rPr>
          <w:i/>
          <w:sz w:val="22"/>
          <w:szCs w:val="22"/>
          <w:lang w:val="en-GB"/>
        </w:rPr>
        <w:t>Edition of the AEWA Conservation Status Report</w:t>
      </w:r>
      <w:r w:rsidRPr="000327E0">
        <w:rPr>
          <w:sz w:val="22"/>
          <w:szCs w:val="22"/>
          <w:lang w:val="en-GB"/>
        </w:rPr>
        <w:t xml:space="preserve"> (document AEWA/MOP 5.</w:t>
      </w:r>
      <w:r w:rsidR="00E92DD9" w:rsidRPr="000327E0">
        <w:rPr>
          <w:sz w:val="22"/>
          <w:szCs w:val="22"/>
          <w:lang w:val="en-GB"/>
        </w:rPr>
        <w:t>14</w:t>
      </w:r>
      <w:r w:rsidRPr="000327E0">
        <w:rPr>
          <w:sz w:val="22"/>
          <w:szCs w:val="22"/>
          <w:lang w:val="en-GB"/>
        </w:rPr>
        <w:t>) t</w:t>
      </w:r>
      <w:r w:rsidRPr="000327E0">
        <w:rPr>
          <w:sz w:val="22"/>
          <w:szCs w:val="22"/>
          <w:lang w:val="en-GB" w:eastAsia="en-GB"/>
        </w:rPr>
        <w:t>he majority of the AEWA populations have poor quality population trend estimates (82%) and most of the population size estimates are based on expert opinion extrapolating from geographically unrepresentative samples (only 5% are based on census data, while for 2% estimates are not available at all)</w:t>
      </w:r>
      <w:r w:rsidR="00B50FEC">
        <w:rPr>
          <w:sz w:val="22"/>
          <w:szCs w:val="22"/>
          <w:lang w:val="en-GB" w:eastAsia="en-GB"/>
        </w:rPr>
        <w:t xml:space="preserve">; this </w:t>
      </w:r>
      <w:r w:rsidR="00003FAE">
        <w:rPr>
          <w:sz w:val="22"/>
          <w:szCs w:val="22"/>
          <w:lang w:val="en-GB" w:eastAsia="en-GB"/>
        </w:rPr>
        <w:t>applies in particular to</w:t>
      </w:r>
      <w:r w:rsidRPr="000327E0">
        <w:rPr>
          <w:sz w:val="22"/>
          <w:szCs w:val="22"/>
          <w:lang w:val="en-GB" w:eastAsia="en-GB"/>
        </w:rPr>
        <w:t xml:space="preserve"> West Asia and the </w:t>
      </w:r>
      <w:proofErr w:type="spellStart"/>
      <w:r w:rsidRPr="000327E0">
        <w:rPr>
          <w:sz w:val="22"/>
          <w:szCs w:val="22"/>
          <w:lang w:val="en-GB" w:eastAsia="en-GB"/>
        </w:rPr>
        <w:t>Afrotropical</w:t>
      </w:r>
      <w:proofErr w:type="spellEnd"/>
      <w:r w:rsidRPr="000327E0">
        <w:rPr>
          <w:sz w:val="22"/>
          <w:szCs w:val="22"/>
          <w:lang w:val="en-GB" w:eastAsia="en-GB"/>
        </w:rPr>
        <w:t xml:space="preserve"> region,</w:t>
      </w:r>
    </w:p>
    <w:p w:rsidR="0025134B" w:rsidRPr="000327E0" w:rsidRDefault="0025134B" w:rsidP="00255061">
      <w:pPr>
        <w:jc w:val="both"/>
        <w:rPr>
          <w:sz w:val="22"/>
          <w:szCs w:val="22"/>
          <w:lang w:val="en-GB"/>
        </w:rPr>
      </w:pPr>
    </w:p>
    <w:p w:rsidR="0025134B" w:rsidRPr="000327E0" w:rsidRDefault="0025134B" w:rsidP="00255061">
      <w:pPr>
        <w:ind w:firstLine="720"/>
        <w:jc w:val="both"/>
        <w:rPr>
          <w:sz w:val="22"/>
          <w:szCs w:val="22"/>
          <w:lang w:val="en-GB"/>
        </w:rPr>
      </w:pPr>
      <w:r w:rsidRPr="000327E0">
        <w:rPr>
          <w:i/>
          <w:sz w:val="22"/>
          <w:szCs w:val="22"/>
          <w:lang w:val="en-GB"/>
        </w:rPr>
        <w:t>Stressing</w:t>
      </w:r>
      <w:r w:rsidRPr="000327E0">
        <w:rPr>
          <w:sz w:val="22"/>
          <w:szCs w:val="22"/>
          <w:lang w:val="en-GB"/>
        </w:rPr>
        <w:t xml:space="preserve"> that up-to-date and adequate information on population sizes and trends is essential for establishing responsive conservation policies and measuring progress towards achieving strategic conservation goals,</w:t>
      </w:r>
    </w:p>
    <w:p w:rsidR="0025134B" w:rsidRPr="000327E0" w:rsidRDefault="0025134B" w:rsidP="00255061">
      <w:pPr>
        <w:jc w:val="both"/>
        <w:rPr>
          <w:sz w:val="22"/>
          <w:szCs w:val="22"/>
          <w:lang w:val="en-GB"/>
        </w:rPr>
      </w:pPr>
    </w:p>
    <w:p w:rsidR="0025134B" w:rsidRPr="000327E0" w:rsidRDefault="0025134B" w:rsidP="00255061">
      <w:pPr>
        <w:ind w:firstLine="720"/>
        <w:jc w:val="both"/>
        <w:rPr>
          <w:sz w:val="22"/>
          <w:szCs w:val="22"/>
          <w:lang w:val="en-GB"/>
        </w:rPr>
      </w:pPr>
      <w:r w:rsidRPr="000327E0">
        <w:rPr>
          <w:i/>
          <w:sz w:val="22"/>
          <w:szCs w:val="22"/>
          <w:lang w:val="en-GB"/>
        </w:rPr>
        <w:t>Reaffirming</w:t>
      </w:r>
      <w:r w:rsidRPr="000327E0">
        <w:rPr>
          <w:sz w:val="22"/>
          <w:szCs w:val="22"/>
          <w:lang w:val="en-GB"/>
        </w:rPr>
        <w:t xml:space="preserve"> the importance of the International Waterbird Census (IWC) as a generator of data for the production of the triennial AEWA Conservation Status Report and the global Waterbird Population Estimates and </w:t>
      </w:r>
      <w:r w:rsidR="000327E0">
        <w:rPr>
          <w:sz w:val="22"/>
          <w:szCs w:val="22"/>
          <w:lang w:val="en-GB"/>
        </w:rPr>
        <w:t>r</w:t>
      </w:r>
      <w:r w:rsidRPr="000327E0">
        <w:rPr>
          <w:i/>
          <w:sz w:val="22"/>
          <w:szCs w:val="22"/>
          <w:lang w:val="en-GB"/>
        </w:rPr>
        <w:t>ecognising</w:t>
      </w:r>
      <w:r w:rsidRPr="000327E0">
        <w:rPr>
          <w:sz w:val="22"/>
          <w:szCs w:val="22"/>
          <w:lang w:val="en-GB"/>
        </w:rPr>
        <w:t xml:space="preserve"> that </w:t>
      </w:r>
      <w:r w:rsidR="001C0BD0" w:rsidRPr="000327E0">
        <w:rPr>
          <w:sz w:val="22"/>
          <w:szCs w:val="22"/>
          <w:lang w:val="en-GB"/>
        </w:rPr>
        <w:t xml:space="preserve">the </w:t>
      </w:r>
      <w:r w:rsidRPr="000327E0">
        <w:rPr>
          <w:sz w:val="22"/>
          <w:szCs w:val="22"/>
          <w:lang w:val="en-GB"/>
        </w:rPr>
        <w:t>IWC is one of the longest implemented</w:t>
      </w:r>
      <w:r w:rsidR="00166C03" w:rsidRPr="000327E0">
        <w:rPr>
          <w:sz w:val="22"/>
          <w:szCs w:val="22"/>
          <w:lang w:val="en-GB"/>
        </w:rPr>
        <w:t xml:space="preserve"> and largest harmonis</w:t>
      </w:r>
      <w:r w:rsidRPr="000327E0">
        <w:rPr>
          <w:sz w:val="22"/>
          <w:szCs w:val="22"/>
          <w:lang w:val="en-GB"/>
        </w:rPr>
        <w:t>ed biodiversity monitoring schemes globally,</w:t>
      </w:r>
    </w:p>
    <w:p w:rsidR="0025134B" w:rsidRPr="000327E0" w:rsidRDefault="0025134B" w:rsidP="00255061">
      <w:pPr>
        <w:jc w:val="both"/>
        <w:rPr>
          <w:sz w:val="22"/>
          <w:szCs w:val="22"/>
          <w:lang w:val="en-GB"/>
        </w:rPr>
      </w:pPr>
    </w:p>
    <w:p w:rsidR="0025134B" w:rsidRPr="000327E0" w:rsidRDefault="0025134B" w:rsidP="00255061">
      <w:pPr>
        <w:ind w:firstLine="720"/>
        <w:jc w:val="both"/>
        <w:rPr>
          <w:sz w:val="22"/>
          <w:szCs w:val="22"/>
          <w:lang w:val="en-GB"/>
        </w:rPr>
      </w:pPr>
      <w:r w:rsidRPr="000327E0">
        <w:rPr>
          <w:i/>
          <w:sz w:val="22"/>
          <w:szCs w:val="22"/>
          <w:lang w:val="en-GB"/>
        </w:rPr>
        <w:t>Recalling</w:t>
      </w:r>
      <w:r w:rsidRPr="000327E0">
        <w:rPr>
          <w:sz w:val="22"/>
          <w:szCs w:val="22"/>
          <w:lang w:val="en-GB"/>
        </w:rPr>
        <w:t xml:space="preserve"> Resolution 4.2 which recogni</w:t>
      </w:r>
      <w:r w:rsidR="000327E0">
        <w:rPr>
          <w:sz w:val="22"/>
          <w:szCs w:val="22"/>
          <w:lang w:val="en-GB"/>
        </w:rPr>
        <w:t>s</w:t>
      </w:r>
      <w:r w:rsidRPr="000327E0">
        <w:rPr>
          <w:sz w:val="22"/>
          <w:szCs w:val="22"/>
          <w:lang w:val="en-GB"/>
        </w:rPr>
        <w:t xml:space="preserve">ed the need for increased and strengthened waterbird monitoring and the importance of </w:t>
      </w:r>
      <w:r w:rsidR="000327E0">
        <w:rPr>
          <w:sz w:val="22"/>
          <w:szCs w:val="22"/>
          <w:lang w:val="en-GB"/>
        </w:rPr>
        <w:t xml:space="preserve">the </w:t>
      </w:r>
      <w:r w:rsidRPr="000327E0">
        <w:rPr>
          <w:sz w:val="22"/>
          <w:szCs w:val="22"/>
          <w:lang w:val="en-GB"/>
        </w:rPr>
        <w:t>IWC and its associated database at Wetlands International as a monitoring scheme and major data depositary,</w:t>
      </w:r>
    </w:p>
    <w:p w:rsidR="0025134B" w:rsidRPr="000327E0" w:rsidRDefault="0025134B" w:rsidP="00255061">
      <w:pPr>
        <w:keepNext/>
        <w:keepLines/>
        <w:jc w:val="both"/>
        <w:rPr>
          <w:i/>
          <w:sz w:val="22"/>
          <w:szCs w:val="22"/>
          <w:lang w:val="en-GB"/>
        </w:rPr>
      </w:pPr>
    </w:p>
    <w:p w:rsidR="0025134B" w:rsidRPr="000327E0" w:rsidRDefault="0025134B" w:rsidP="00255061">
      <w:pPr>
        <w:keepNext/>
        <w:keepLines/>
        <w:ind w:firstLine="720"/>
        <w:jc w:val="both"/>
        <w:rPr>
          <w:sz w:val="22"/>
          <w:szCs w:val="22"/>
          <w:lang w:val="en-GB"/>
        </w:rPr>
      </w:pPr>
      <w:r w:rsidRPr="000327E0">
        <w:rPr>
          <w:i/>
          <w:sz w:val="22"/>
          <w:szCs w:val="22"/>
          <w:lang w:val="en-GB"/>
        </w:rPr>
        <w:t>Further recalling</w:t>
      </w:r>
      <w:r w:rsidRPr="000327E0">
        <w:rPr>
          <w:sz w:val="22"/>
          <w:szCs w:val="22"/>
          <w:lang w:val="en-GB"/>
        </w:rPr>
        <w:t xml:space="preserve"> Resolutions 3.11 and 4.10 which reaffirmed “</w:t>
      </w:r>
      <w:r w:rsidRPr="000327E0">
        <w:rPr>
          <w:i/>
          <w:sz w:val="22"/>
          <w:szCs w:val="22"/>
          <w:lang w:val="en-GB"/>
        </w:rPr>
        <w:t>the need to support the maintenance of the International Waterbird Census in Europe and its further development in Africa, the Middle East, East and Central Asia as the basis of assessing the international status and trends of waterbird populations and thus the effective implementation of the Agreement</w:t>
      </w:r>
      <w:r w:rsidRPr="000327E0">
        <w:rPr>
          <w:sz w:val="22"/>
          <w:szCs w:val="22"/>
          <w:lang w:val="en-GB"/>
        </w:rPr>
        <w:t>”,</w:t>
      </w:r>
    </w:p>
    <w:p w:rsidR="0025134B" w:rsidRPr="000327E0" w:rsidRDefault="0025134B" w:rsidP="00255061">
      <w:pPr>
        <w:keepNext/>
        <w:keepLines/>
        <w:jc w:val="both"/>
        <w:rPr>
          <w:sz w:val="22"/>
          <w:szCs w:val="22"/>
          <w:lang w:val="en-GB"/>
        </w:rPr>
      </w:pPr>
    </w:p>
    <w:p w:rsidR="0025134B" w:rsidRPr="000327E0" w:rsidRDefault="0025134B" w:rsidP="00255061">
      <w:pPr>
        <w:ind w:firstLine="720"/>
        <w:jc w:val="both"/>
        <w:rPr>
          <w:sz w:val="22"/>
          <w:szCs w:val="22"/>
          <w:lang w:val="en-GB"/>
        </w:rPr>
      </w:pPr>
      <w:r w:rsidRPr="000327E0">
        <w:rPr>
          <w:i/>
          <w:sz w:val="22"/>
          <w:szCs w:val="22"/>
          <w:lang w:val="en-GB"/>
        </w:rPr>
        <w:t>Further recalling</w:t>
      </w:r>
      <w:r w:rsidRPr="000327E0">
        <w:rPr>
          <w:sz w:val="22"/>
          <w:szCs w:val="22"/>
          <w:lang w:val="en-GB"/>
        </w:rPr>
        <w:t xml:space="preserve"> Resolution 3.6, which, </w:t>
      </w:r>
      <w:r w:rsidRPr="000327E0">
        <w:rPr>
          <w:i/>
          <w:sz w:val="22"/>
          <w:szCs w:val="22"/>
          <w:lang w:val="en-GB"/>
        </w:rPr>
        <w:t>inter alia</w:t>
      </w:r>
      <w:r w:rsidRPr="006F42A6">
        <w:rPr>
          <w:sz w:val="22"/>
          <w:szCs w:val="22"/>
          <w:lang w:val="en-GB"/>
        </w:rPr>
        <w:t xml:space="preserve">, </w:t>
      </w:r>
      <w:r w:rsidRPr="00512089">
        <w:rPr>
          <w:sz w:val="22"/>
          <w:szCs w:val="22"/>
          <w:lang w:val="en-GB"/>
        </w:rPr>
        <w:t>urged “…</w:t>
      </w:r>
      <w:r w:rsidRPr="006F42A6">
        <w:rPr>
          <w:i/>
          <w:sz w:val="22"/>
          <w:szCs w:val="22"/>
          <w:lang w:val="en-GB"/>
        </w:rPr>
        <w:t xml:space="preserve">the urgent </w:t>
      </w:r>
      <w:r w:rsidRPr="000327E0">
        <w:rPr>
          <w:i/>
          <w:sz w:val="22"/>
          <w:szCs w:val="22"/>
          <w:lang w:val="en-GB"/>
        </w:rPr>
        <w:t>development of an international partnership to provide an essential and long-term funding regime for the International Waterbird Census (IWC)</w:t>
      </w:r>
      <w:r w:rsidRPr="000327E0">
        <w:rPr>
          <w:sz w:val="22"/>
          <w:szCs w:val="22"/>
          <w:lang w:val="en-GB"/>
        </w:rPr>
        <w:t>…” and requested “…</w:t>
      </w:r>
      <w:r w:rsidRPr="000327E0">
        <w:rPr>
          <w:i/>
          <w:sz w:val="22"/>
          <w:szCs w:val="22"/>
          <w:lang w:val="en-GB"/>
        </w:rPr>
        <w:t>the Agreement Secretariat to work with Wetlands International to develop costed proposals to this end</w:t>
      </w:r>
      <w:r w:rsidRPr="000327E0">
        <w:rPr>
          <w:sz w:val="22"/>
          <w:szCs w:val="22"/>
          <w:lang w:val="en-GB"/>
        </w:rPr>
        <w:t>…</w:t>
      </w:r>
      <w:proofErr w:type="gramStart"/>
      <w:r w:rsidRPr="000327E0">
        <w:rPr>
          <w:sz w:val="22"/>
          <w:szCs w:val="22"/>
          <w:lang w:val="en-GB"/>
        </w:rPr>
        <w:t>”,</w:t>
      </w:r>
      <w:proofErr w:type="gramEnd"/>
    </w:p>
    <w:p w:rsidR="0025134B" w:rsidRPr="000327E0" w:rsidRDefault="0025134B" w:rsidP="00255061">
      <w:pPr>
        <w:jc w:val="both"/>
        <w:rPr>
          <w:sz w:val="22"/>
          <w:szCs w:val="22"/>
          <w:lang w:val="en-GB"/>
        </w:rPr>
      </w:pPr>
    </w:p>
    <w:p w:rsidR="0025134B" w:rsidRPr="000327E0" w:rsidRDefault="0025134B" w:rsidP="00255061">
      <w:pPr>
        <w:ind w:firstLine="720"/>
        <w:jc w:val="both"/>
        <w:rPr>
          <w:sz w:val="22"/>
          <w:szCs w:val="22"/>
          <w:lang w:val="en-GB"/>
        </w:rPr>
      </w:pPr>
      <w:r w:rsidRPr="000327E0">
        <w:rPr>
          <w:i/>
          <w:sz w:val="22"/>
          <w:szCs w:val="22"/>
          <w:lang w:val="en-GB"/>
        </w:rPr>
        <w:t xml:space="preserve">Further recalling </w:t>
      </w:r>
      <w:r w:rsidRPr="000327E0">
        <w:rPr>
          <w:sz w:val="22"/>
          <w:szCs w:val="22"/>
          <w:lang w:val="en-GB"/>
        </w:rPr>
        <w:t>Resolution 4.7 on the adoption of the AEWA Strategic Plan 2009–2017, which has set target 3.1 “</w:t>
      </w:r>
      <w:r w:rsidRPr="000327E0">
        <w:rPr>
          <w:i/>
          <w:sz w:val="22"/>
          <w:szCs w:val="22"/>
          <w:lang w:val="en-GB"/>
        </w:rPr>
        <w:t>Necessary resources are in place to support, on a long-term basis, the international processes for gathering monitoring data for status assessment</w:t>
      </w:r>
      <w:r w:rsidRPr="000327E0">
        <w:rPr>
          <w:sz w:val="22"/>
          <w:szCs w:val="22"/>
          <w:lang w:val="en-GB"/>
        </w:rPr>
        <w:t>” and has identified the following indicators: “</w:t>
      </w:r>
      <w:r w:rsidRPr="000327E0">
        <w:rPr>
          <w:i/>
          <w:sz w:val="22"/>
          <w:szCs w:val="22"/>
          <w:lang w:val="en-GB"/>
        </w:rPr>
        <w:t xml:space="preserve">Timely production of annual IWC summary report and the AEWA CSR and global Waterbird Population Estimates” </w:t>
      </w:r>
      <w:r w:rsidRPr="000327E0">
        <w:rPr>
          <w:sz w:val="22"/>
          <w:szCs w:val="22"/>
          <w:lang w:val="en-GB"/>
        </w:rPr>
        <w:t>and “</w:t>
      </w:r>
      <w:r w:rsidRPr="000327E0">
        <w:rPr>
          <w:i/>
          <w:sz w:val="22"/>
          <w:szCs w:val="22"/>
          <w:lang w:val="en-GB"/>
        </w:rPr>
        <w:t>50% increase of species/populations whose international status is being assessed with regular monitoring data</w:t>
      </w:r>
      <w:r w:rsidRPr="000327E0">
        <w:rPr>
          <w:sz w:val="22"/>
          <w:szCs w:val="22"/>
          <w:lang w:val="en-GB"/>
        </w:rPr>
        <w:t>”,</w:t>
      </w:r>
    </w:p>
    <w:p w:rsidR="0025134B" w:rsidRPr="000327E0" w:rsidRDefault="0025134B" w:rsidP="00255061">
      <w:pPr>
        <w:ind w:firstLine="720"/>
        <w:jc w:val="both"/>
        <w:rPr>
          <w:sz w:val="22"/>
          <w:szCs w:val="22"/>
          <w:lang w:val="en-GB"/>
        </w:rPr>
        <w:sectPr w:rsidR="0025134B" w:rsidRPr="000327E0" w:rsidSect="00A72AE5">
          <w:headerReference w:type="default" r:id="rId9"/>
          <w:footerReference w:type="even" r:id="rId10"/>
          <w:pgSz w:w="11907" w:h="16840" w:code="9"/>
          <w:pgMar w:top="1021" w:right="1134" w:bottom="851" w:left="1134" w:header="709" w:footer="709" w:gutter="0"/>
          <w:cols w:space="708"/>
          <w:docGrid w:linePitch="360"/>
        </w:sectPr>
      </w:pPr>
    </w:p>
    <w:p w:rsidR="0025134B" w:rsidRPr="000327E0" w:rsidRDefault="0025134B" w:rsidP="00255061">
      <w:pPr>
        <w:autoSpaceDE w:val="0"/>
        <w:autoSpaceDN w:val="0"/>
        <w:adjustRightInd w:val="0"/>
        <w:ind w:firstLine="720"/>
        <w:jc w:val="both"/>
        <w:rPr>
          <w:sz w:val="22"/>
          <w:szCs w:val="22"/>
          <w:lang w:val="en-GB" w:eastAsia="en-GB"/>
        </w:rPr>
      </w:pPr>
      <w:r w:rsidRPr="000327E0">
        <w:rPr>
          <w:i/>
          <w:sz w:val="22"/>
          <w:szCs w:val="22"/>
          <w:lang w:val="en-GB"/>
        </w:rPr>
        <w:lastRenderedPageBreak/>
        <w:t>Further recalling</w:t>
      </w:r>
      <w:r w:rsidRPr="000327E0">
        <w:rPr>
          <w:sz w:val="22"/>
          <w:szCs w:val="22"/>
          <w:lang w:val="en-GB"/>
        </w:rPr>
        <w:t xml:space="preserve"> the </w:t>
      </w:r>
      <w:r w:rsidRPr="006E2BDA">
        <w:rPr>
          <w:i/>
          <w:sz w:val="22"/>
          <w:szCs w:val="22"/>
          <w:lang w:val="en-GB"/>
        </w:rPr>
        <w:t>Hague Action Statement</w:t>
      </w:r>
      <w:r w:rsidR="001C0BD0" w:rsidRPr="000327E0">
        <w:rPr>
          <w:rStyle w:val="FootnoteReference"/>
          <w:b/>
          <w:sz w:val="22"/>
          <w:szCs w:val="22"/>
          <w:lang w:val="en-GB"/>
        </w:rPr>
        <w:footnoteReference w:id="1"/>
      </w:r>
      <w:r w:rsidRPr="000327E0">
        <w:rPr>
          <w:sz w:val="22"/>
          <w:szCs w:val="22"/>
          <w:lang w:val="en-GB"/>
        </w:rPr>
        <w:t>, the outcome of the 2010 symposium to celebrate the 15</w:t>
      </w:r>
      <w:r w:rsidRPr="000327E0">
        <w:rPr>
          <w:sz w:val="22"/>
          <w:szCs w:val="22"/>
          <w:vertAlign w:val="superscript"/>
          <w:lang w:val="en-GB"/>
        </w:rPr>
        <w:t>th</w:t>
      </w:r>
      <w:r w:rsidRPr="000327E0">
        <w:rPr>
          <w:sz w:val="22"/>
          <w:szCs w:val="22"/>
          <w:lang w:val="en-GB"/>
        </w:rPr>
        <w:t>Anniversary of AEWA, which called upon a broad spectrum of stakeholders to e</w:t>
      </w:r>
      <w:r w:rsidRPr="000327E0">
        <w:rPr>
          <w:sz w:val="22"/>
          <w:szCs w:val="22"/>
          <w:lang w:val="en-GB" w:eastAsia="en-GB"/>
        </w:rPr>
        <w:t>stablish a consortium by the end of 2010 to secure adequate financial resources for international data collection, analysis and dissemination of updated and topical information necessary for waterbird conservation in the AEWA region, in particular through the extended International Waterbird Census,</w:t>
      </w:r>
    </w:p>
    <w:p w:rsidR="0025134B" w:rsidRPr="000327E0" w:rsidRDefault="0025134B" w:rsidP="00255061">
      <w:pPr>
        <w:jc w:val="both"/>
        <w:rPr>
          <w:sz w:val="22"/>
          <w:szCs w:val="22"/>
          <w:lang w:val="en-GB"/>
        </w:rPr>
      </w:pPr>
    </w:p>
    <w:p w:rsidR="00B50FEC" w:rsidRDefault="004A115D" w:rsidP="00255061">
      <w:pPr>
        <w:ind w:firstLine="720"/>
        <w:jc w:val="both"/>
        <w:rPr>
          <w:sz w:val="22"/>
          <w:szCs w:val="22"/>
          <w:lang w:val="en-GB"/>
        </w:rPr>
      </w:pPr>
      <w:r w:rsidRPr="000327E0">
        <w:rPr>
          <w:i/>
          <w:iCs/>
          <w:sz w:val="22"/>
          <w:szCs w:val="22"/>
          <w:lang w:val="en-GB"/>
        </w:rPr>
        <w:t>Recognising</w:t>
      </w:r>
      <w:r w:rsidRPr="000327E0">
        <w:rPr>
          <w:sz w:val="22"/>
          <w:szCs w:val="22"/>
          <w:lang w:val="en-GB"/>
        </w:rPr>
        <w:t xml:space="preserve"> that a strengthened IWC would contribute to achieving Target 19 of the Aichi Biodiversity Targets approved by CBD COP10 in 2010, </w:t>
      </w:r>
      <w:r w:rsidR="00B50FEC">
        <w:rPr>
          <w:sz w:val="22"/>
          <w:szCs w:val="22"/>
          <w:lang w:val="en-GB"/>
        </w:rPr>
        <w:t>which is:</w:t>
      </w:r>
    </w:p>
    <w:p w:rsidR="00B50FEC" w:rsidRDefault="00B50FEC" w:rsidP="00255061">
      <w:pPr>
        <w:ind w:firstLine="720"/>
        <w:jc w:val="both"/>
        <w:rPr>
          <w:sz w:val="22"/>
          <w:szCs w:val="22"/>
          <w:lang w:val="en-GB"/>
        </w:rPr>
      </w:pPr>
    </w:p>
    <w:p w:rsidR="00942F42" w:rsidRPr="000327E0" w:rsidRDefault="004A115D" w:rsidP="006E2BDA">
      <w:pPr>
        <w:jc w:val="both"/>
        <w:rPr>
          <w:sz w:val="22"/>
          <w:szCs w:val="22"/>
          <w:lang w:val="en-GB"/>
        </w:rPr>
      </w:pPr>
      <w:r w:rsidRPr="000327E0">
        <w:rPr>
          <w:sz w:val="22"/>
          <w:szCs w:val="22"/>
          <w:lang w:val="en-GB"/>
        </w:rPr>
        <w:t xml:space="preserve"> “</w:t>
      </w:r>
      <w:r w:rsidRPr="000327E0">
        <w:rPr>
          <w:i/>
          <w:iCs/>
          <w:sz w:val="22"/>
          <w:szCs w:val="22"/>
          <w:lang w:val="en-GB"/>
        </w:rPr>
        <w:t>By 2020, knowledge, the science base and technologies relating to biodiversity, its values, functioning, status and trends, and the consequences of its loss, are improved, widely shared and transferred, and applied</w:t>
      </w:r>
      <w:r w:rsidRPr="000327E0">
        <w:rPr>
          <w:sz w:val="22"/>
          <w:szCs w:val="22"/>
          <w:lang w:val="en-GB"/>
        </w:rPr>
        <w:t>”,</w:t>
      </w:r>
    </w:p>
    <w:p w:rsidR="004A115D" w:rsidRPr="000327E0" w:rsidRDefault="004A115D" w:rsidP="00255061">
      <w:pPr>
        <w:ind w:firstLine="720"/>
        <w:jc w:val="both"/>
        <w:rPr>
          <w:sz w:val="22"/>
          <w:szCs w:val="22"/>
          <w:lang w:val="en-GB"/>
        </w:rPr>
      </w:pPr>
    </w:p>
    <w:p w:rsidR="004A115D" w:rsidRPr="000327E0" w:rsidRDefault="004A115D" w:rsidP="00255061">
      <w:pPr>
        <w:ind w:firstLine="720"/>
        <w:jc w:val="both"/>
        <w:rPr>
          <w:sz w:val="22"/>
          <w:szCs w:val="22"/>
          <w:lang w:val="en-GB"/>
        </w:rPr>
      </w:pPr>
      <w:r w:rsidRPr="000327E0">
        <w:rPr>
          <w:i/>
          <w:iCs/>
          <w:sz w:val="22"/>
          <w:szCs w:val="22"/>
          <w:lang w:val="en-GB"/>
        </w:rPr>
        <w:t>Further recognising</w:t>
      </w:r>
      <w:r w:rsidRPr="000327E0">
        <w:rPr>
          <w:sz w:val="22"/>
          <w:szCs w:val="22"/>
          <w:lang w:val="en-GB"/>
        </w:rPr>
        <w:t xml:space="preserve"> that other MEAs, particularly the Ramsar Convention on Wetlands and the Convention on Migratory Species, as well as the EU Birds Directive, require regular waterbird monitoring data for their operations, such as Ramsar criterion 5 for the designation of wetlands of international importance whose applicability is linked to the Waterbird Population Estimates which is largely derived from IWC data, </w:t>
      </w:r>
    </w:p>
    <w:p w:rsidR="004A115D" w:rsidRPr="000327E0" w:rsidRDefault="004A115D" w:rsidP="00255061">
      <w:pPr>
        <w:jc w:val="both"/>
        <w:rPr>
          <w:sz w:val="22"/>
          <w:szCs w:val="22"/>
          <w:lang w:val="en-GB"/>
        </w:rPr>
      </w:pPr>
    </w:p>
    <w:p w:rsidR="004A115D" w:rsidRPr="000327E0" w:rsidRDefault="004A115D" w:rsidP="00255061">
      <w:pPr>
        <w:ind w:firstLine="720"/>
        <w:jc w:val="both"/>
        <w:rPr>
          <w:sz w:val="22"/>
          <w:szCs w:val="22"/>
          <w:lang w:val="en-GB"/>
        </w:rPr>
      </w:pPr>
      <w:r w:rsidRPr="000327E0">
        <w:rPr>
          <w:i/>
          <w:iCs/>
          <w:sz w:val="22"/>
          <w:szCs w:val="22"/>
          <w:lang w:val="en-GB"/>
        </w:rPr>
        <w:t>Stressing</w:t>
      </w:r>
      <w:r w:rsidRPr="000327E0">
        <w:rPr>
          <w:sz w:val="22"/>
          <w:szCs w:val="22"/>
          <w:lang w:val="en-GB"/>
        </w:rPr>
        <w:t xml:space="preserve"> the need to maximise synergies between MEAs as well as other legal instruments, such as the EU Birds Directive, including population monitoring activities,</w:t>
      </w:r>
    </w:p>
    <w:p w:rsidR="004A115D" w:rsidRPr="000327E0" w:rsidRDefault="004A115D" w:rsidP="00255061">
      <w:pPr>
        <w:jc w:val="both"/>
        <w:rPr>
          <w:sz w:val="22"/>
          <w:szCs w:val="22"/>
          <w:lang w:val="en-GB"/>
        </w:rPr>
      </w:pPr>
    </w:p>
    <w:p w:rsidR="0025134B" w:rsidRPr="000327E0" w:rsidRDefault="0025134B" w:rsidP="00255061">
      <w:pPr>
        <w:ind w:firstLine="720"/>
        <w:jc w:val="both"/>
        <w:rPr>
          <w:sz w:val="22"/>
          <w:szCs w:val="22"/>
          <w:lang w:val="en-GB"/>
        </w:rPr>
      </w:pPr>
      <w:r w:rsidRPr="000327E0">
        <w:rPr>
          <w:i/>
          <w:sz w:val="22"/>
          <w:szCs w:val="22"/>
          <w:lang w:val="en-GB"/>
        </w:rPr>
        <w:t>Thanking</w:t>
      </w:r>
      <w:r w:rsidRPr="000327E0">
        <w:rPr>
          <w:sz w:val="22"/>
          <w:szCs w:val="22"/>
          <w:lang w:val="en-GB"/>
        </w:rPr>
        <w:t xml:space="preserve"> Wetlands International and the Agreement Secretariat for compiling document AEWA/MOP 5.</w:t>
      </w:r>
      <w:r w:rsidR="00E92DD9" w:rsidRPr="000327E0">
        <w:rPr>
          <w:sz w:val="22"/>
          <w:szCs w:val="22"/>
          <w:lang w:val="en-GB"/>
        </w:rPr>
        <w:t>42</w:t>
      </w:r>
      <w:r w:rsidRPr="000327E0">
        <w:rPr>
          <w:sz w:val="22"/>
          <w:szCs w:val="22"/>
          <w:lang w:val="en-GB"/>
        </w:rPr>
        <w:t xml:space="preserve"> on Strategic Development of the Waterbird Monitoring in the African-Eurasian Flyways which presents various options for long-term basic structural funding for </w:t>
      </w:r>
      <w:r w:rsidR="000327E0">
        <w:rPr>
          <w:sz w:val="22"/>
          <w:szCs w:val="22"/>
          <w:lang w:val="en-GB"/>
        </w:rPr>
        <w:t xml:space="preserve">the </w:t>
      </w:r>
      <w:r w:rsidRPr="000327E0">
        <w:rPr>
          <w:sz w:val="22"/>
          <w:szCs w:val="22"/>
          <w:lang w:val="en-GB"/>
        </w:rPr>
        <w:t>IWC,</w:t>
      </w:r>
    </w:p>
    <w:p w:rsidR="004A115D" w:rsidRPr="000327E0" w:rsidRDefault="004A115D" w:rsidP="00255061">
      <w:pPr>
        <w:ind w:firstLine="720"/>
        <w:jc w:val="both"/>
        <w:rPr>
          <w:i/>
          <w:iCs/>
          <w:sz w:val="22"/>
          <w:szCs w:val="22"/>
          <w:lang w:val="en-GB"/>
        </w:rPr>
      </w:pPr>
    </w:p>
    <w:p w:rsidR="00ED51E7" w:rsidRPr="000327E0" w:rsidRDefault="00ED51E7" w:rsidP="00255061">
      <w:pPr>
        <w:pStyle w:val="Heading1"/>
        <w:rPr>
          <w:i w:val="0"/>
          <w:iCs w:val="0"/>
          <w:sz w:val="22"/>
          <w:szCs w:val="22"/>
          <w:lang w:val="en-GB"/>
        </w:rPr>
      </w:pPr>
      <w:r w:rsidRPr="000327E0">
        <w:rPr>
          <w:sz w:val="22"/>
          <w:szCs w:val="22"/>
          <w:lang w:val="en-GB"/>
        </w:rPr>
        <w:t xml:space="preserve">Thanking </w:t>
      </w:r>
      <w:r w:rsidRPr="000327E0">
        <w:rPr>
          <w:i w:val="0"/>
          <w:iCs w:val="0"/>
          <w:sz w:val="22"/>
          <w:szCs w:val="22"/>
          <w:lang w:val="en-GB"/>
        </w:rPr>
        <w:t xml:space="preserve">Contracting Parties, international </w:t>
      </w:r>
      <w:r w:rsidR="001C0BD0" w:rsidRPr="000327E0">
        <w:rPr>
          <w:i w:val="0"/>
          <w:iCs w:val="0"/>
          <w:sz w:val="22"/>
          <w:szCs w:val="22"/>
          <w:lang w:val="en-GB"/>
        </w:rPr>
        <w:t>organi</w:t>
      </w:r>
      <w:r w:rsidR="000327E0">
        <w:rPr>
          <w:i w:val="0"/>
          <w:iCs w:val="0"/>
          <w:sz w:val="22"/>
          <w:szCs w:val="22"/>
          <w:lang w:val="en-GB"/>
        </w:rPr>
        <w:t>s</w:t>
      </w:r>
      <w:r w:rsidR="001C0BD0" w:rsidRPr="000327E0">
        <w:rPr>
          <w:i w:val="0"/>
          <w:iCs w:val="0"/>
          <w:sz w:val="22"/>
          <w:szCs w:val="22"/>
          <w:lang w:val="en-GB"/>
        </w:rPr>
        <w:t>ations</w:t>
      </w:r>
      <w:r w:rsidRPr="000327E0">
        <w:rPr>
          <w:i w:val="0"/>
          <w:iCs w:val="0"/>
          <w:sz w:val="22"/>
          <w:szCs w:val="22"/>
          <w:lang w:val="en-GB"/>
        </w:rPr>
        <w:t xml:space="preserve"> and other stakeholders, such as the Government of France and the MAVA foundation, for their financial contribution and technical support to </w:t>
      </w:r>
      <w:r w:rsidR="000327E0">
        <w:rPr>
          <w:i w:val="0"/>
          <w:iCs w:val="0"/>
          <w:sz w:val="22"/>
          <w:szCs w:val="22"/>
          <w:lang w:val="en-GB"/>
        </w:rPr>
        <w:t xml:space="preserve">the </w:t>
      </w:r>
      <w:r w:rsidRPr="000327E0">
        <w:rPr>
          <w:i w:val="0"/>
          <w:iCs w:val="0"/>
          <w:sz w:val="22"/>
          <w:szCs w:val="22"/>
          <w:lang w:val="en-GB"/>
        </w:rPr>
        <w:t>IWC,</w:t>
      </w:r>
    </w:p>
    <w:p w:rsidR="00ED51E7" w:rsidRPr="000327E0" w:rsidRDefault="00ED51E7" w:rsidP="00255061">
      <w:pPr>
        <w:ind w:firstLine="720"/>
        <w:jc w:val="both"/>
        <w:rPr>
          <w:i/>
          <w:iCs/>
          <w:sz w:val="22"/>
          <w:szCs w:val="22"/>
          <w:lang w:val="en-GB"/>
        </w:rPr>
      </w:pPr>
    </w:p>
    <w:p w:rsidR="004A115D" w:rsidRPr="000327E0" w:rsidRDefault="004A115D" w:rsidP="00255061">
      <w:pPr>
        <w:ind w:firstLine="720"/>
        <w:jc w:val="both"/>
        <w:rPr>
          <w:sz w:val="22"/>
          <w:szCs w:val="22"/>
          <w:lang w:val="en-GB"/>
        </w:rPr>
      </w:pPr>
      <w:r w:rsidRPr="000327E0">
        <w:rPr>
          <w:i/>
          <w:iCs/>
          <w:sz w:val="22"/>
          <w:szCs w:val="22"/>
          <w:lang w:val="en-GB"/>
        </w:rPr>
        <w:t>Acknowledging</w:t>
      </w:r>
      <w:r w:rsidRPr="000327E0">
        <w:rPr>
          <w:sz w:val="22"/>
          <w:szCs w:val="22"/>
          <w:lang w:val="en-GB"/>
        </w:rPr>
        <w:t xml:space="preserve"> Wetlands International’s commitment to dedicate part of the </w:t>
      </w:r>
      <w:r w:rsidR="001C0BD0" w:rsidRPr="000327E0">
        <w:rPr>
          <w:sz w:val="22"/>
          <w:szCs w:val="22"/>
          <w:lang w:val="en-GB"/>
        </w:rPr>
        <w:t>organi</w:t>
      </w:r>
      <w:r w:rsidR="000327E0">
        <w:rPr>
          <w:sz w:val="22"/>
          <w:szCs w:val="22"/>
          <w:lang w:val="en-GB"/>
        </w:rPr>
        <w:t>s</w:t>
      </w:r>
      <w:r w:rsidR="001C0BD0" w:rsidRPr="000327E0">
        <w:rPr>
          <w:sz w:val="22"/>
          <w:szCs w:val="22"/>
          <w:lang w:val="en-GB"/>
        </w:rPr>
        <w:t>ation’s</w:t>
      </w:r>
      <w:r w:rsidRPr="000327E0">
        <w:rPr>
          <w:sz w:val="22"/>
          <w:szCs w:val="22"/>
          <w:lang w:val="en-GB"/>
        </w:rPr>
        <w:t xml:space="preserve"> unrestricted resources to the management of IWC data,</w:t>
      </w:r>
    </w:p>
    <w:p w:rsidR="0025134B" w:rsidRPr="000327E0" w:rsidRDefault="0025134B" w:rsidP="00255061">
      <w:pPr>
        <w:jc w:val="both"/>
        <w:rPr>
          <w:sz w:val="22"/>
          <w:szCs w:val="22"/>
          <w:lang w:val="en-GB"/>
        </w:rPr>
      </w:pPr>
    </w:p>
    <w:p w:rsidR="0025134B" w:rsidRPr="000327E0" w:rsidRDefault="0025134B" w:rsidP="00255061">
      <w:pPr>
        <w:ind w:firstLine="720"/>
        <w:jc w:val="both"/>
        <w:rPr>
          <w:sz w:val="22"/>
          <w:szCs w:val="22"/>
          <w:lang w:val="en-GB"/>
        </w:rPr>
      </w:pPr>
      <w:r w:rsidRPr="000327E0">
        <w:rPr>
          <w:i/>
          <w:sz w:val="22"/>
          <w:szCs w:val="22"/>
          <w:lang w:val="en-GB"/>
        </w:rPr>
        <w:t xml:space="preserve">Welcoming </w:t>
      </w:r>
      <w:r w:rsidRPr="000327E0">
        <w:rPr>
          <w:sz w:val="22"/>
          <w:szCs w:val="22"/>
          <w:lang w:val="en-GB"/>
        </w:rPr>
        <w:t>the establishment of the African-Eurasian Waterbird Monitoring Partnership, which comprises all main stakeholders involved in the implementation of IWC or users of data generated by the scheme and aims at strengthening the implementation and development of IWC in the African-Eurasian flyways.</w:t>
      </w:r>
    </w:p>
    <w:p w:rsidR="0025134B" w:rsidRPr="000327E0" w:rsidRDefault="0025134B" w:rsidP="00255061">
      <w:pPr>
        <w:ind w:firstLine="720"/>
        <w:jc w:val="both"/>
        <w:rPr>
          <w:sz w:val="22"/>
          <w:szCs w:val="22"/>
          <w:lang w:val="en-GB"/>
        </w:rPr>
      </w:pPr>
    </w:p>
    <w:p w:rsidR="0025134B" w:rsidRPr="000327E0" w:rsidRDefault="0025134B" w:rsidP="00255061">
      <w:pPr>
        <w:ind w:firstLine="720"/>
        <w:jc w:val="both"/>
        <w:rPr>
          <w:sz w:val="22"/>
          <w:szCs w:val="22"/>
          <w:lang w:val="en-GB"/>
        </w:rPr>
      </w:pPr>
    </w:p>
    <w:p w:rsidR="0025134B" w:rsidRPr="000327E0" w:rsidRDefault="0025134B" w:rsidP="00255061">
      <w:pPr>
        <w:jc w:val="both"/>
        <w:rPr>
          <w:sz w:val="22"/>
          <w:szCs w:val="22"/>
          <w:lang w:val="en-GB"/>
        </w:rPr>
      </w:pPr>
      <w:r w:rsidRPr="000327E0">
        <w:rPr>
          <w:i/>
          <w:sz w:val="22"/>
          <w:szCs w:val="22"/>
          <w:lang w:val="en-GB"/>
        </w:rPr>
        <w:t>The Meeting of the Parties</w:t>
      </w:r>
      <w:r w:rsidRPr="000327E0">
        <w:rPr>
          <w:sz w:val="22"/>
          <w:szCs w:val="22"/>
          <w:lang w:val="en-GB"/>
        </w:rPr>
        <w:t>:</w:t>
      </w:r>
    </w:p>
    <w:p w:rsidR="0025134B" w:rsidRPr="000327E0" w:rsidRDefault="0025134B" w:rsidP="00255061">
      <w:pPr>
        <w:jc w:val="both"/>
        <w:rPr>
          <w:sz w:val="22"/>
          <w:szCs w:val="22"/>
          <w:lang w:val="en-GB"/>
        </w:rPr>
      </w:pPr>
    </w:p>
    <w:p w:rsidR="00021CB0" w:rsidRPr="000327E0" w:rsidRDefault="00021CB0" w:rsidP="006E2BDA">
      <w:pPr>
        <w:pStyle w:val="ListParagraph"/>
        <w:numPr>
          <w:ilvl w:val="0"/>
          <w:numId w:val="2"/>
        </w:numPr>
        <w:ind w:left="0" w:firstLine="0"/>
        <w:jc w:val="both"/>
        <w:rPr>
          <w:sz w:val="22"/>
          <w:szCs w:val="22"/>
          <w:lang w:val="en-GB"/>
        </w:rPr>
      </w:pPr>
      <w:r w:rsidRPr="000327E0">
        <w:rPr>
          <w:i/>
          <w:sz w:val="22"/>
          <w:szCs w:val="22"/>
          <w:lang w:val="en-GB"/>
        </w:rPr>
        <w:t xml:space="preserve">Invites </w:t>
      </w:r>
      <w:r w:rsidRPr="000327E0">
        <w:rPr>
          <w:sz w:val="22"/>
          <w:szCs w:val="22"/>
          <w:lang w:val="en-GB"/>
        </w:rPr>
        <w:t>the Technical Committee to work with the Waterbird Monitoring Partnership to make progress towards the monitoring</w:t>
      </w:r>
      <w:r w:rsidR="000327E0">
        <w:rPr>
          <w:sz w:val="22"/>
          <w:szCs w:val="22"/>
          <w:lang w:val="en-GB"/>
        </w:rPr>
        <w:t>-</w:t>
      </w:r>
      <w:r w:rsidRPr="000327E0">
        <w:rPr>
          <w:sz w:val="22"/>
          <w:szCs w:val="22"/>
          <w:lang w:val="en-GB"/>
        </w:rPr>
        <w:t>related targets of the AEWA Strategic Plan 2009-2017 and to report to MOP6 and, if required, to propose this issue to be revisited at MOP6 with the aim to secure a long</w:t>
      </w:r>
      <w:r w:rsidRPr="000327E0">
        <w:rPr>
          <w:sz w:val="22"/>
          <w:szCs w:val="22"/>
          <w:lang w:val="en-GB"/>
        </w:rPr>
        <w:softHyphen/>
        <w:t>-term, sustainable solution for int</w:t>
      </w:r>
      <w:r w:rsidR="00166C03" w:rsidRPr="000327E0">
        <w:rPr>
          <w:sz w:val="22"/>
          <w:szCs w:val="22"/>
          <w:lang w:val="en-GB"/>
        </w:rPr>
        <w:t>ernational waterbird monitoring;</w:t>
      </w:r>
    </w:p>
    <w:p w:rsidR="00021CB0" w:rsidRPr="000327E0" w:rsidRDefault="00021CB0" w:rsidP="00255061">
      <w:pPr>
        <w:pStyle w:val="ListParagraph"/>
        <w:jc w:val="both"/>
        <w:rPr>
          <w:sz w:val="22"/>
          <w:szCs w:val="22"/>
          <w:lang w:val="en-GB"/>
        </w:rPr>
      </w:pPr>
    </w:p>
    <w:p w:rsidR="00021CB0" w:rsidRDefault="00021CB0" w:rsidP="006E2BDA">
      <w:pPr>
        <w:pStyle w:val="ListParagraph"/>
        <w:numPr>
          <w:ilvl w:val="0"/>
          <w:numId w:val="2"/>
        </w:numPr>
        <w:ind w:left="0" w:firstLine="0"/>
        <w:jc w:val="both"/>
        <w:rPr>
          <w:sz w:val="22"/>
          <w:szCs w:val="22"/>
          <w:lang w:val="en-GB"/>
        </w:rPr>
      </w:pPr>
      <w:r w:rsidRPr="000327E0">
        <w:rPr>
          <w:i/>
          <w:iCs/>
          <w:sz w:val="22"/>
          <w:szCs w:val="22"/>
          <w:lang w:val="en-GB"/>
        </w:rPr>
        <w:t>Urges</w:t>
      </w:r>
      <w:r w:rsidRPr="000327E0">
        <w:rPr>
          <w:sz w:val="22"/>
          <w:szCs w:val="22"/>
          <w:lang w:val="en-GB"/>
        </w:rPr>
        <w:t xml:space="preserve"> Contracting Parties to consider making voluntary contributions to support the collection and collation of data for the production of the triennial AEWA Conservation Status Report and the global </w:t>
      </w:r>
      <w:proofErr w:type="spellStart"/>
      <w:r w:rsidRPr="000327E0">
        <w:rPr>
          <w:sz w:val="22"/>
          <w:szCs w:val="22"/>
          <w:lang w:val="en-GB"/>
        </w:rPr>
        <w:t>Waterbird</w:t>
      </w:r>
      <w:proofErr w:type="spellEnd"/>
      <w:r w:rsidRPr="000327E0">
        <w:rPr>
          <w:sz w:val="22"/>
          <w:szCs w:val="22"/>
          <w:lang w:val="en-GB"/>
        </w:rPr>
        <w:t xml:space="preserve"> Population Estimates;</w:t>
      </w:r>
    </w:p>
    <w:p w:rsidR="006E2BDA" w:rsidRPr="000327E0" w:rsidRDefault="006E2BDA" w:rsidP="006E2BDA">
      <w:pPr>
        <w:pStyle w:val="ListParagraph"/>
        <w:ind w:left="0"/>
        <w:jc w:val="both"/>
        <w:rPr>
          <w:sz w:val="22"/>
          <w:szCs w:val="22"/>
          <w:lang w:val="en-GB"/>
        </w:rPr>
      </w:pPr>
    </w:p>
    <w:p w:rsidR="0025134B" w:rsidRPr="000327E0" w:rsidRDefault="00021CB0" w:rsidP="006E2BDA">
      <w:pPr>
        <w:pStyle w:val="ListParagraph"/>
        <w:keepNext/>
        <w:keepLines/>
        <w:numPr>
          <w:ilvl w:val="0"/>
          <w:numId w:val="2"/>
        </w:numPr>
        <w:ind w:left="0" w:firstLine="0"/>
        <w:jc w:val="both"/>
        <w:rPr>
          <w:sz w:val="22"/>
          <w:szCs w:val="22"/>
          <w:lang w:val="en-GB"/>
        </w:rPr>
      </w:pPr>
      <w:r w:rsidRPr="000327E0">
        <w:rPr>
          <w:i/>
          <w:iCs/>
          <w:sz w:val="22"/>
          <w:szCs w:val="22"/>
          <w:lang w:val="en-GB"/>
        </w:rPr>
        <w:t xml:space="preserve">Invites </w:t>
      </w:r>
      <w:r w:rsidRPr="000327E0">
        <w:rPr>
          <w:sz w:val="22"/>
          <w:szCs w:val="22"/>
          <w:lang w:val="en-GB"/>
        </w:rPr>
        <w:t xml:space="preserve">the non-Contracting Parties, international </w:t>
      </w:r>
      <w:r w:rsidR="00166C03" w:rsidRPr="000327E0">
        <w:rPr>
          <w:sz w:val="22"/>
          <w:szCs w:val="22"/>
          <w:lang w:val="en-GB"/>
        </w:rPr>
        <w:t>organis</w:t>
      </w:r>
      <w:r w:rsidRPr="000327E0">
        <w:rPr>
          <w:sz w:val="22"/>
          <w:szCs w:val="22"/>
          <w:lang w:val="en-GB"/>
        </w:rPr>
        <w:t>ations and other stakeholders to support the collection and collation of data for the production of the triennial AEWA Conservation Status Report and the global Waterbird Population Estimates through voluntary contributions.</w:t>
      </w:r>
    </w:p>
    <w:sectPr w:rsidR="0025134B" w:rsidRPr="000327E0" w:rsidSect="00CB3800">
      <w:headerReference w:type="default" r:id="rId11"/>
      <w:footerReference w:type="default" r:id="rId12"/>
      <w:pgSz w:w="11907" w:h="16840"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F3" w:rsidRDefault="003372F3">
      <w:r>
        <w:separator/>
      </w:r>
    </w:p>
  </w:endnote>
  <w:endnote w:type="continuationSeparator" w:id="0">
    <w:p w:rsidR="003372F3" w:rsidRDefault="0033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AE" w:rsidRDefault="00003FAE" w:rsidP="00AA1D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3FAE" w:rsidRDefault="00003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AE" w:rsidRPr="00CB3800" w:rsidRDefault="00003FAE" w:rsidP="00AA1D2F">
    <w:pPr>
      <w:pStyle w:val="Footer"/>
      <w:framePr w:wrap="around" w:vAnchor="text" w:hAnchor="margin" w:xAlign="center" w:y="1"/>
      <w:rPr>
        <w:rStyle w:val="PageNumber"/>
        <w:sz w:val="20"/>
        <w:szCs w:val="20"/>
      </w:rPr>
    </w:pPr>
    <w:r w:rsidRPr="00CB3800">
      <w:rPr>
        <w:rStyle w:val="PageNumber"/>
        <w:sz w:val="20"/>
        <w:szCs w:val="20"/>
      </w:rPr>
      <w:fldChar w:fldCharType="begin"/>
    </w:r>
    <w:r w:rsidRPr="00CB3800">
      <w:rPr>
        <w:rStyle w:val="PageNumber"/>
        <w:sz w:val="20"/>
        <w:szCs w:val="20"/>
      </w:rPr>
      <w:instrText xml:space="preserve">PAGE  </w:instrText>
    </w:r>
    <w:r w:rsidRPr="00CB3800">
      <w:rPr>
        <w:rStyle w:val="PageNumber"/>
        <w:sz w:val="20"/>
        <w:szCs w:val="20"/>
      </w:rPr>
      <w:fldChar w:fldCharType="separate"/>
    </w:r>
    <w:r w:rsidR="008A143A">
      <w:rPr>
        <w:rStyle w:val="PageNumber"/>
        <w:noProof/>
        <w:sz w:val="20"/>
        <w:szCs w:val="20"/>
      </w:rPr>
      <w:t>2</w:t>
    </w:r>
    <w:r w:rsidRPr="00CB3800">
      <w:rPr>
        <w:rStyle w:val="PageNumber"/>
        <w:sz w:val="20"/>
        <w:szCs w:val="20"/>
      </w:rPr>
      <w:fldChar w:fldCharType="end"/>
    </w:r>
  </w:p>
  <w:p w:rsidR="00003FAE" w:rsidRDefault="00003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F3" w:rsidRDefault="003372F3">
      <w:r>
        <w:separator/>
      </w:r>
    </w:p>
  </w:footnote>
  <w:footnote w:type="continuationSeparator" w:id="0">
    <w:p w:rsidR="003372F3" w:rsidRDefault="003372F3">
      <w:r>
        <w:continuationSeparator/>
      </w:r>
    </w:p>
  </w:footnote>
  <w:footnote w:id="1">
    <w:p w:rsidR="00003FAE" w:rsidRPr="009F0175" w:rsidRDefault="00003FAE">
      <w:pPr>
        <w:pStyle w:val="FootnoteText"/>
        <w:rPr>
          <w:lang w:val="de-DE"/>
        </w:rPr>
      </w:pPr>
      <w:r>
        <w:rPr>
          <w:rStyle w:val="FootnoteReference"/>
        </w:rPr>
        <w:footnoteRef/>
      </w:r>
      <w:hyperlink r:id="rId1" w:history="1">
        <w:r w:rsidRPr="008C655F">
          <w:rPr>
            <w:rStyle w:val="Hyperlink"/>
          </w:rPr>
          <w:t>http://www.unep-aewa.org/meetings/symposium/symposium.htm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auto"/>
      </w:tblBorders>
      <w:tblLook w:val="0000" w:firstRow="0" w:lastRow="0" w:firstColumn="0" w:lastColumn="0" w:noHBand="0" w:noVBand="0"/>
    </w:tblPr>
    <w:tblGrid>
      <w:gridCol w:w="1971"/>
      <w:gridCol w:w="6175"/>
      <w:gridCol w:w="1709"/>
    </w:tblGrid>
    <w:tr w:rsidR="00003FAE" w:rsidTr="006F42A6">
      <w:trPr>
        <w:trHeight w:val="2416"/>
      </w:trPr>
      <w:tc>
        <w:tcPr>
          <w:tcW w:w="1000" w:type="pct"/>
        </w:tcPr>
        <w:p w:rsidR="00003FAE" w:rsidRDefault="00003FAE" w:rsidP="006F42A6">
          <w:r>
            <w:rPr>
              <w:noProof/>
              <w:lang w:val="en-GB" w:eastAsia="en-GB"/>
            </w:rPr>
            <w:drawing>
              <wp:anchor distT="0" distB="0" distL="114300" distR="114300" simplePos="0" relativeHeight="251660288" behindDoc="1" locked="0" layoutInCell="1" allowOverlap="1" wp14:anchorId="2E838AAF" wp14:editId="076C1F2A">
                <wp:simplePos x="0" y="0"/>
                <wp:positionH relativeFrom="column">
                  <wp:posOffset>-68580</wp:posOffset>
                </wp:positionH>
                <wp:positionV relativeFrom="paragraph">
                  <wp:posOffset>6985</wp:posOffset>
                </wp:positionV>
                <wp:extent cx="1076400" cy="896400"/>
                <wp:effectExtent l="0" t="0" r="0" b="0"/>
                <wp:wrapTight wrapText="bothSides">
                  <wp:wrapPolygon edited="0">
                    <wp:start x="0" y="0"/>
                    <wp:lineTo x="0" y="21125"/>
                    <wp:lineTo x="21027" y="21125"/>
                    <wp:lineTo x="21027" y="0"/>
                    <wp:lineTo x="0" y="0"/>
                  </wp:wrapPolygon>
                </wp:wrapTight>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400" cy="89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3" w:type="pct"/>
        </w:tcPr>
        <w:p w:rsidR="00003FAE" w:rsidRPr="009E3956" w:rsidRDefault="00003FAE" w:rsidP="006F42A6">
          <w:pPr>
            <w:jc w:val="center"/>
            <w:rPr>
              <w:i/>
              <w:caps/>
              <w:sz w:val="22"/>
              <w:szCs w:val="22"/>
            </w:rPr>
          </w:pPr>
          <w:r w:rsidRPr="009E3956">
            <w:rPr>
              <w:i/>
              <w:caps/>
              <w:sz w:val="22"/>
              <w:szCs w:val="22"/>
            </w:rPr>
            <w:t xml:space="preserve">Agreement on the Conservation of </w:t>
          </w:r>
        </w:p>
        <w:p w:rsidR="00003FAE" w:rsidRDefault="00003FAE" w:rsidP="006F42A6">
          <w:pPr>
            <w:tabs>
              <w:tab w:val="left" w:pos="2415"/>
            </w:tabs>
            <w:jc w:val="center"/>
            <w:rPr>
              <w:i/>
              <w:caps/>
              <w:sz w:val="22"/>
              <w:szCs w:val="22"/>
            </w:rPr>
          </w:pPr>
          <w:r w:rsidRPr="009E3956">
            <w:rPr>
              <w:i/>
              <w:caps/>
              <w:sz w:val="22"/>
              <w:szCs w:val="22"/>
            </w:rPr>
            <w:t>African-Eurasian Migratory Waterbirds</w:t>
          </w:r>
        </w:p>
        <w:p w:rsidR="00003FAE" w:rsidRDefault="00003FAE" w:rsidP="006F42A6">
          <w:pPr>
            <w:tabs>
              <w:tab w:val="left" w:pos="2415"/>
            </w:tabs>
            <w:jc w:val="center"/>
            <w:rPr>
              <w:i/>
              <w:caps/>
              <w:sz w:val="22"/>
              <w:szCs w:val="22"/>
            </w:rPr>
          </w:pPr>
        </w:p>
        <w:p w:rsidR="00003FAE" w:rsidRPr="00C15FF5" w:rsidRDefault="00003FAE" w:rsidP="006F42A6">
          <w:pPr>
            <w:pStyle w:val="BodyText2"/>
            <w:spacing w:before="240"/>
            <w:jc w:val="center"/>
            <w:rPr>
              <w:b/>
              <w:bCs/>
              <w:caps/>
              <w:szCs w:val="26"/>
            </w:rPr>
          </w:pPr>
          <w:r w:rsidRPr="00C15FF5">
            <w:rPr>
              <w:b/>
              <w:bCs/>
              <w:szCs w:val="26"/>
              <w:lang w:val="en-US"/>
            </w:rPr>
            <w:t>5</w:t>
          </w:r>
          <w:r w:rsidRPr="00C15FF5">
            <w:rPr>
              <w:b/>
              <w:bCs/>
              <w:szCs w:val="26"/>
              <w:vertAlign w:val="superscript"/>
              <w:lang w:val="en-US"/>
            </w:rPr>
            <w:t>th</w:t>
          </w:r>
          <w:r w:rsidRPr="00C15FF5">
            <w:rPr>
              <w:b/>
              <w:bCs/>
              <w:szCs w:val="26"/>
              <w:lang w:val="en-US"/>
            </w:rPr>
            <w:t xml:space="preserve"> </w:t>
          </w:r>
          <w:r w:rsidRPr="00C15FF5">
            <w:rPr>
              <w:b/>
              <w:bCs/>
              <w:caps/>
              <w:szCs w:val="26"/>
            </w:rPr>
            <w:t>Session of the Meeting of the Parties</w:t>
          </w:r>
        </w:p>
        <w:p w:rsidR="00003FAE" w:rsidRPr="00C15FF5" w:rsidRDefault="00003FAE" w:rsidP="006F42A6">
          <w:pPr>
            <w:tabs>
              <w:tab w:val="left" w:pos="2415"/>
            </w:tabs>
            <w:jc w:val="center"/>
            <w:rPr>
              <w:iCs/>
            </w:rPr>
          </w:pPr>
          <w:r w:rsidRPr="00C15FF5">
            <w:rPr>
              <w:iCs/>
            </w:rPr>
            <w:t>14 – 18 May 2012, La Rochelle, France</w:t>
          </w:r>
        </w:p>
        <w:p w:rsidR="00003FAE" w:rsidRDefault="00003FAE" w:rsidP="006F42A6">
          <w:pPr>
            <w:tabs>
              <w:tab w:val="left" w:pos="2415"/>
            </w:tabs>
            <w:jc w:val="center"/>
            <w:rPr>
              <w:i/>
              <w:iCs/>
            </w:rPr>
          </w:pPr>
        </w:p>
        <w:p w:rsidR="00003FAE" w:rsidRPr="00C15FF5" w:rsidRDefault="00003FAE" w:rsidP="006F42A6">
          <w:pPr>
            <w:tabs>
              <w:tab w:val="left" w:pos="2415"/>
            </w:tabs>
            <w:spacing w:before="240"/>
            <w:jc w:val="center"/>
            <w:rPr>
              <w:i/>
              <w:sz w:val="22"/>
            </w:rPr>
          </w:pPr>
          <w:r w:rsidRPr="00C15FF5">
            <w:rPr>
              <w:i/>
              <w:sz w:val="22"/>
            </w:rPr>
            <w:t>“Migratory waterbirds and people - sharing wetlands”</w:t>
          </w:r>
        </w:p>
        <w:p w:rsidR="00003FAE" w:rsidRPr="007E1121" w:rsidRDefault="00003FAE" w:rsidP="006F42A6">
          <w:pPr>
            <w:tabs>
              <w:tab w:val="left" w:pos="2415"/>
            </w:tabs>
            <w:jc w:val="center"/>
          </w:pPr>
        </w:p>
      </w:tc>
      <w:tc>
        <w:tcPr>
          <w:tcW w:w="867" w:type="pct"/>
        </w:tcPr>
        <w:p w:rsidR="00003FAE" w:rsidRDefault="00003FAE" w:rsidP="006F42A6">
          <w:pPr>
            <w:jc w:val="right"/>
          </w:pPr>
          <w:r>
            <w:rPr>
              <w:noProof/>
              <w:lang w:val="en-GB" w:eastAsia="en-GB"/>
            </w:rPr>
            <w:drawing>
              <wp:anchor distT="0" distB="0" distL="114300" distR="114300" simplePos="0" relativeHeight="251659264" behindDoc="1" locked="0" layoutInCell="1" allowOverlap="1" wp14:anchorId="59F43B97" wp14:editId="099EE594">
                <wp:simplePos x="0" y="0"/>
                <wp:positionH relativeFrom="column">
                  <wp:posOffset>457835</wp:posOffset>
                </wp:positionH>
                <wp:positionV relativeFrom="paragraph">
                  <wp:posOffset>-2540</wp:posOffset>
                </wp:positionV>
                <wp:extent cx="646430" cy="1533525"/>
                <wp:effectExtent l="0" t="0" r="1270" b="9525"/>
                <wp:wrapTight wrapText="bothSides">
                  <wp:wrapPolygon edited="0">
                    <wp:start x="0" y="0"/>
                    <wp:lineTo x="0" y="21466"/>
                    <wp:lineTo x="21006" y="21466"/>
                    <wp:lineTo x="210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1533525"/>
                        </a:xfrm>
                        <a:prstGeom prst="rect">
                          <a:avLst/>
                        </a:prstGeom>
                      </pic:spPr>
                    </pic:pic>
                  </a:graphicData>
                </a:graphic>
                <wp14:sizeRelH relativeFrom="page">
                  <wp14:pctWidth>0</wp14:pctWidth>
                </wp14:sizeRelH>
                <wp14:sizeRelV relativeFrom="page">
                  <wp14:pctHeight>0</wp14:pctHeight>
                </wp14:sizeRelV>
              </wp:anchor>
            </w:drawing>
          </w:r>
        </w:p>
      </w:tc>
    </w:tr>
  </w:tbl>
  <w:p w:rsidR="00003FAE" w:rsidRDefault="00003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AE" w:rsidRDefault="00003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B3603"/>
    <w:multiLevelType w:val="hybridMultilevel"/>
    <w:tmpl w:val="C498A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2">
    <w:nsid w:val="4D5F740C"/>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FA24D2E"/>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13"/>
    <w:rsid w:val="0000003C"/>
    <w:rsid w:val="000003B5"/>
    <w:rsid w:val="00003FAE"/>
    <w:rsid w:val="000049AA"/>
    <w:rsid w:val="00007CB6"/>
    <w:rsid w:val="00010216"/>
    <w:rsid w:val="00010798"/>
    <w:rsid w:val="0001309F"/>
    <w:rsid w:val="00014DC2"/>
    <w:rsid w:val="00021CB0"/>
    <w:rsid w:val="00021D0C"/>
    <w:rsid w:val="00023CE0"/>
    <w:rsid w:val="000265AB"/>
    <w:rsid w:val="0003013E"/>
    <w:rsid w:val="0003218D"/>
    <w:rsid w:val="000327E0"/>
    <w:rsid w:val="00033FA4"/>
    <w:rsid w:val="000368BE"/>
    <w:rsid w:val="00040250"/>
    <w:rsid w:val="00041649"/>
    <w:rsid w:val="00041795"/>
    <w:rsid w:val="000420C9"/>
    <w:rsid w:val="00044698"/>
    <w:rsid w:val="0004721A"/>
    <w:rsid w:val="000500DA"/>
    <w:rsid w:val="000515EE"/>
    <w:rsid w:val="000516CC"/>
    <w:rsid w:val="0005283B"/>
    <w:rsid w:val="0005449C"/>
    <w:rsid w:val="00054556"/>
    <w:rsid w:val="00054BED"/>
    <w:rsid w:val="00054DAD"/>
    <w:rsid w:val="00055AA0"/>
    <w:rsid w:val="0005611A"/>
    <w:rsid w:val="00057243"/>
    <w:rsid w:val="000573BC"/>
    <w:rsid w:val="0005767B"/>
    <w:rsid w:val="00057B65"/>
    <w:rsid w:val="000623CB"/>
    <w:rsid w:val="00064121"/>
    <w:rsid w:val="0006611A"/>
    <w:rsid w:val="000700DA"/>
    <w:rsid w:val="000714FD"/>
    <w:rsid w:val="00071D0E"/>
    <w:rsid w:val="00071F88"/>
    <w:rsid w:val="00072F5F"/>
    <w:rsid w:val="00074454"/>
    <w:rsid w:val="0007499B"/>
    <w:rsid w:val="00075163"/>
    <w:rsid w:val="00077A8F"/>
    <w:rsid w:val="0008039B"/>
    <w:rsid w:val="00080BE8"/>
    <w:rsid w:val="000817EF"/>
    <w:rsid w:val="00084A43"/>
    <w:rsid w:val="000917DE"/>
    <w:rsid w:val="00091EF2"/>
    <w:rsid w:val="00093EC8"/>
    <w:rsid w:val="00095AF3"/>
    <w:rsid w:val="00095B62"/>
    <w:rsid w:val="0009693D"/>
    <w:rsid w:val="00097A00"/>
    <w:rsid w:val="000A0898"/>
    <w:rsid w:val="000A2376"/>
    <w:rsid w:val="000A2C48"/>
    <w:rsid w:val="000A3F7A"/>
    <w:rsid w:val="000A4F4C"/>
    <w:rsid w:val="000B3FF1"/>
    <w:rsid w:val="000B5E61"/>
    <w:rsid w:val="000B5F99"/>
    <w:rsid w:val="000B6395"/>
    <w:rsid w:val="000C1250"/>
    <w:rsid w:val="000C2204"/>
    <w:rsid w:val="000C51D8"/>
    <w:rsid w:val="000C6BB0"/>
    <w:rsid w:val="000D0C1C"/>
    <w:rsid w:val="000D1062"/>
    <w:rsid w:val="000D67FD"/>
    <w:rsid w:val="000D7B59"/>
    <w:rsid w:val="000E0804"/>
    <w:rsid w:val="000E3A27"/>
    <w:rsid w:val="000E3B1B"/>
    <w:rsid w:val="000E7C6D"/>
    <w:rsid w:val="000F19FF"/>
    <w:rsid w:val="000F338F"/>
    <w:rsid w:val="000F4341"/>
    <w:rsid w:val="000F6B17"/>
    <w:rsid w:val="001019EF"/>
    <w:rsid w:val="00103A80"/>
    <w:rsid w:val="00105651"/>
    <w:rsid w:val="00105A0F"/>
    <w:rsid w:val="001079D8"/>
    <w:rsid w:val="00107A86"/>
    <w:rsid w:val="00107DD2"/>
    <w:rsid w:val="00113FA1"/>
    <w:rsid w:val="00116FB2"/>
    <w:rsid w:val="001222A4"/>
    <w:rsid w:val="00126CED"/>
    <w:rsid w:val="00127278"/>
    <w:rsid w:val="001279B8"/>
    <w:rsid w:val="0013037A"/>
    <w:rsid w:val="00131A3D"/>
    <w:rsid w:val="00133535"/>
    <w:rsid w:val="001354B0"/>
    <w:rsid w:val="00135CE3"/>
    <w:rsid w:val="00140C01"/>
    <w:rsid w:val="00141AEA"/>
    <w:rsid w:val="0014497A"/>
    <w:rsid w:val="00144F0B"/>
    <w:rsid w:val="00145474"/>
    <w:rsid w:val="00145483"/>
    <w:rsid w:val="00145540"/>
    <w:rsid w:val="0014622C"/>
    <w:rsid w:val="001465B2"/>
    <w:rsid w:val="0014727C"/>
    <w:rsid w:val="00150F72"/>
    <w:rsid w:val="001518E4"/>
    <w:rsid w:val="00151A42"/>
    <w:rsid w:val="00154087"/>
    <w:rsid w:val="00157DCD"/>
    <w:rsid w:val="00160732"/>
    <w:rsid w:val="00161B5A"/>
    <w:rsid w:val="0016266F"/>
    <w:rsid w:val="001633A6"/>
    <w:rsid w:val="00166C03"/>
    <w:rsid w:val="001778D6"/>
    <w:rsid w:val="00180F6E"/>
    <w:rsid w:val="00185F95"/>
    <w:rsid w:val="00186083"/>
    <w:rsid w:val="00187495"/>
    <w:rsid w:val="001909AB"/>
    <w:rsid w:val="00192337"/>
    <w:rsid w:val="0019306B"/>
    <w:rsid w:val="001A0C2B"/>
    <w:rsid w:val="001A535E"/>
    <w:rsid w:val="001A5740"/>
    <w:rsid w:val="001A70EE"/>
    <w:rsid w:val="001A7772"/>
    <w:rsid w:val="001B4099"/>
    <w:rsid w:val="001C0BD0"/>
    <w:rsid w:val="001C2C9F"/>
    <w:rsid w:val="001C3701"/>
    <w:rsid w:val="001C6DCB"/>
    <w:rsid w:val="001D1953"/>
    <w:rsid w:val="001D7C24"/>
    <w:rsid w:val="001E1660"/>
    <w:rsid w:val="001E27BF"/>
    <w:rsid w:val="001E3390"/>
    <w:rsid w:val="001E3A79"/>
    <w:rsid w:val="001E6269"/>
    <w:rsid w:val="001E75C2"/>
    <w:rsid w:val="001F0615"/>
    <w:rsid w:val="001F1130"/>
    <w:rsid w:val="001F1FE7"/>
    <w:rsid w:val="001F5B2E"/>
    <w:rsid w:val="001F6CA4"/>
    <w:rsid w:val="001F6D5E"/>
    <w:rsid w:val="00202A4C"/>
    <w:rsid w:val="00203371"/>
    <w:rsid w:val="00205518"/>
    <w:rsid w:val="00205FB5"/>
    <w:rsid w:val="0020737D"/>
    <w:rsid w:val="002078B3"/>
    <w:rsid w:val="00213721"/>
    <w:rsid w:val="0021454E"/>
    <w:rsid w:val="002202D9"/>
    <w:rsid w:val="00222FD1"/>
    <w:rsid w:val="0022367D"/>
    <w:rsid w:val="002262FB"/>
    <w:rsid w:val="00226311"/>
    <w:rsid w:val="00230DAC"/>
    <w:rsid w:val="00231647"/>
    <w:rsid w:val="002353E9"/>
    <w:rsid w:val="0024066B"/>
    <w:rsid w:val="002412BB"/>
    <w:rsid w:val="00242262"/>
    <w:rsid w:val="00244320"/>
    <w:rsid w:val="002454A0"/>
    <w:rsid w:val="0024553E"/>
    <w:rsid w:val="0024789A"/>
    <w:rsid w:val="002479FA"/>
    <w:rsid w:val="0025124B"/>
    <w:rsid w:val="0025134B"/>
    <w:rsid w:val="00251F6D"/>
    <w:rsid w:val="002534BC"/>
    <w:rsid w:val="00253C16"/>
    <w:rsid w:val="00255061"/>
    <w:rsid w:val="00255365"/>
    <w:rsid w:val="00255D43"/>
    <w:rsid w:val="002564A7"/>
    <w:rsid w:val="0026703D"/>
    <w:rsid w:val="002670AD"/>
    <w:rsid w:val="0027010B"/>
    <w:rsid w:val="00272114"/>
    <w:rsid w:val="00274210"/>
    <w:rsid w:val="002742C9"/>
    <w:rsid w:val="00276FA0"/>
    <w:rsid w:val="00277471"/>
    <w:rsid w:val="00277C81"/>
    <w:rsid w:val="00283BC6"/>
    <w:rsid w:val="00284281"/>
    <w:rsid w:val="00284D42"/>
    <w:rsid w:val="00293936"/>
    <w:rsid w:val="00295238"/>
    <w:rsid w:val="002956CE"/>
    <w:rsid w:val="0029581F"/>
    <w:rsid w:val="002A2487"/>
    <w:rsid w:val="002A3794"/>
    <w:rsid w:val="002A394F"/>
    <w:rsid w:val="002A4097"/>
    <w:rsid w:val="002B062F"/>
    <w:rsid w:val="002B296A"/>
    <w:rsid w:val="002B38A0"/>
    <w:rsid w:val="002B60B1"/>
    <w:rsid w:val="002C0A5D"/>
    <w:rsid w:val="002C173D"/>
    <w:rsid w:val="002C3198"/>
    <w:rsid w:val="002C5BC8"/>
    <w:rsid w:val="002D041F"/>
    <w:rsid w:val="002D0BE0"/>
    <w:rsid w:val="002D0E0B"/>
    <w:rsid w:val="002D154E"/>
    <w:rsid w:val="002D30BA"/>
    <w:rsid w:val="002E072A"/>
    <w:rsid w:val="002E0AB2"/>
    <w:rsid w:val="002F086E"/>
    <w:rsid w:val="002F2633"/>
    <w:rsid w:val="002F427C"/>
    <w:rsid w:val="002F4BB1"/>
    <w:rsid w:val="002F5650"/>
    <w:rsid w:val="00304C67"/>
    <w:rsid w:val="00305DF8"/>
    <w:rsid w:val="00306908"/>
    <w:rsid w:val="00310393"/>
    <w:rsid w:val="00310AAB"/>
    <w:rsid w:val="00310DA4"/>
    <w:rsid w:val="00312186"/>
    <w:rsid w:val="0031334A"/>
    <w:rsid w:val="0031363B"/>
    <w:rsid w:val="00314A97"/>
    <w:rsid w:val="00316179"/>
    <w:rsid w:val="00325920"/>
    <w:rsid w:val="003317EF"/>
    <w:rsid w:val="00331D42"/>
    <w:rsid w:val="0033266C"/>
    <w:rsid w:val="00333E4A"/>
    <w:rsid w:val="00334223"/>
    <w:rsid w:val="00336884"/>
    <w:rsid w:val="003372F3"/>
    <w:rsid w:val="00341524"/>
    <w:rsid w:val="00343D91"/>
    <w:rsid w:val="00344166"/>
    <w:rsid w:val="0034569F"/>
    <w:rsid w:val="0034783F"/>
    <w:rsid w:val="00350EF2"/>
    <w:rsid w:val="00351D64"/>
    <w:rsid w:val="0035203A"/>
    <w:rsid w:val="00352BC7"/>
    <w:rsid w:val="00357DFA"/>
    <w:rsid w:val="00360788"/>
    <w:rsid w:val="00363714"/>
    <w:rsid w:val="00365423"/>
    <w:rsid w:val="00366071"/>
    <w:rsid w:val="003706BF"/>
    <w:rsid w:val="0037311E"/>
    <w:rsid w:val="00373532"/>
    <w:rsid w:val="003765A8"/>
    <w:rsid w:val="00376D5C"/>
    <w:rsid w:val="00377DEE"/>
    <w:rsid w:val="0038106F"/>
    <w:rsid w:val="003810BE"/>
    <w:rsid w:val="003857D1"/>
    <w:rsid w:val="003872F6"/>
    <w:rsid w:val="00391C9E"/>
    <w:rsid w:val="00395527"/>
    <w:rsid w:val="003961EE"/>
    <w:rsid w:val="003A1B7F"/>
    <w:rsid w:val="003A3EAA"/>
    <w:rsid w:val="003A6408"/>
    <w:rsid w:val="003A7A60"/>
    <w:rsid w:val="003B086E"/>
    <w:rsid w:val="003B0886"/>
    <w:rsid w:val="003B088D"/>
    <w:rsid w:val="003B3591"/>
    <w:rsid w:val="003B35D5"/>
    <w:rsid w:val="003B443D"/>
    <w:rsid w:val="003B70BD"/>
    <w:rsid w:val="003C1B46"/>
    <w:rsid w:val="003C47C7"/>
    <w:rsid w:val="003D0576"/>
    <w:rsid w:val="003D1B68"/>
    <w:rsid w:val="003D2C60"/>
    <w:rsid w:val="003D34DC"/>
    <w:rsid w:val="003D4DFA"/>
    <w:rsid w:val="003D58F8"/>
    <w:rsid w:val="003D60CD"/>
    <w:rsid w:val="003D63ED"/>
    <w:rsid w:val="003D668F"/>
    <w:rsid w:val="003D797C"/>
    <w:rsid w:val="003D7EA9"/>
    <w:rsid w:val="003E0438"/>
    <w:rsid w:val="003E05FF"/>
    <w:rsid w:val="003E4928"/>
    <w:rsid w:val="003F0F66"/>
    <w:rsid w:val="003F143B"/>
    <w:rsid w:val="003F2B0B"/>
    <w:rsid w:val="003F308B"/>
    <w:rsid w:val="003F5C56"/>
    <w:rsid w:val="004004BB"/>
    <w:rsid w:val="00402A0C"/>
    <w:rsid w:val="0040629F"/>
    <w:rsid w:val="0041033F"/>
    <w:rsid w:val="00411A5D"/>
    <w:rsid w:val="00416919"/>
    <w:rsid w:val="00417CC1"/>
    <w:rsid w:val="00425BE9"/>
    <w:rsid w:val="00431543"/>
    <w:rsid w:val="0043706E"/>
    <w:rsid w:val="0043723C"/>
    <w:rsid w:val="004411CA"/>
    <w:rsid w:val="004511B5"/>
    <w:rsid w:val="00451F77"/>
    <w:rsid w:val="00452D95"/>
    <w:rsid w:val="00453EDB"/>
    <w:rsid w:val="00463502"/>
    <w:rsid w:val="00465742"/>
    <w:rsid w:val="00467145"/>
    <w:rsid w:val="0047076B"/>
    <w:rsid w:val="004734FB"/>
    <w:rsid w:val="00475A6E"/>
    <w:rsid w:val="00477EBF"/>
    <w:rsid w:val="00481FC5"/>
    <w:rsid w:val="00483861"/>
    <w:rsid w:val="0048627F"/>
    <w:rsid w:val="004874F0"/>
    <w:rsid w:val="0049001D"/>
    <w:rsid w:val="00493D7C"/>
    <w:rsid w:val="004966BC"/>
    <w:rsid w:val="004A10E2"/>
    <w:rsid w:val="004A115D"/>
    <w:rsid w:val="004A3987"/>
    <w:rsid w:val="004A5CE8"/>
    <w:rsid w:val="004A66A0"/>
    <w:rsid w:val="004A7157"/>
    <w:rsid w:val="004B3670"/>
    <w:rsid w:val="004C4EFF"/>
    <w:rsid w:val="004C5431"/>
    <w:rsid w:val="004C54E1"/>
    <w:rsid w:val="004D2155"/>
    <w:rsid w:val="004D6B91"/>
    <w:rsid w:val="004E054C"/>
    <w:rsid w:val="004F0352"/>
    <w:rsid w:val="004F0780"/>
    <w:rsid w:val="004F0DC4"/>
    <w:rsid w:val="004F0F1C"/>
    <w:rsid w:val="004F5905"/>
    <w:rsid w:val="00500B7A"/>
    <w:rsid w:val="0050599F"/>
    <w:rsid w:val="00505BE3"/>
    <w:rsid w:val="0050794E"/>
    <w:rsid w:val="00512089"/>
    <w:rsid w:val="005145F6"/>
    <w:rsid w:val="005166C4"/>
    <w:rsid w:val="00520821"/>
    <w:rsid w:val="005214E9"/>
    <w:rsid w:val="00522FA3"/>
    <w:rsid w:val="00526352"/>
    <w:rsid w:val="0052651F"/>
    <w:rsid w:val="005307D0"/>
    <w:rsid w:val="005318FF"/>
    <w:rsid w:val="00533651"/>
    <w:rsid w:val="005404D0"/>
    <w:rsid w:val="0054084C"/>
    <w:rsid w:val="005410D8"/>
    <w:rsid w:val="00542EFD"/>
    <w:rsid w:val="0055096B"/>
    <w:rsid w:val="00551FF6"/>
    <w:rsid w:val="005523C7"/>
    <w:rsid w:val="0055429B"/>
    <w:rsid w:val="005555BE"/>
    <w:rsid w:val="00562602"/>
    <w:rsid w:val="005642E6"/>
    <w:rsid w:val="005648F4"/>
    <w:rsid w:val="00564A66"/>
    <w:rsid w:val="0056565B"/>
    <w:rsid w:val="00566B80"/>
    <w:rsid w:val="00567FE1"/>
    <w:rsid w:val="0057191C"/>
    <w:rsid w:val="00573912"/>
    <w:rsid w:val="0058221A"/>
    <w:rsid w:val="0058378A"/>
    <w:rsid w:val="00587D6F"/>
    <w:rsid w:val="005903DC"/>
    <w:rsid w:val="00590B8D"/>
    <w:rsid w:val="005912A1"/>
    <w:rsid w:val="00592CB4"/>
    <w:rsid w:val="00592D3C"/>
    <w:rsid w:val="00594225"/>
    <w:rsid w:val="00594A22"/>
    <w:rsid w:val="0059555A"/>
    <w:rsid w:val="005955D2"/>
    <w:rsid w:val="00596953"/>
    <w:rsid w:val="00596D82"/>
    <w:rsid w:val="005A1098"/>
    <w:rsid w:val="005A1135"/>
    <w:rsid w:val="005A1A9F"/>
    <w:rsid w:val="005A20D9"/>
    <w:rsid w:val="005A22FE"/>
    <w:rsid w:val="005A2555"/>
    <w:rsid w:val="005A5BD4"/>
    <w:rsid w:val="005A5DA1"/>
    <w:rsid w:val="005A6004"/>
    <w:rsid w:val="005A638B"/>
    <w:rsid w:val="005B053F"/>
    <w:rsid w:val="005B0610"/>
    <w:rsid w:val="005B0CBD"/>
    <w:rsid w:val="005B24AC"/>
    <w:rsid w:val="005B3BA0"/>
    <w:rsid w:val="005C0C79"/>
    <w:rsid w:val="005C12D2"/>
    <w:rsid w:val="005C2D2F"/>
    <w:rsid w:val="005C6FC1"/>
    <w:rsid w:val="005C77BD"/>
    <w:rsid w:val="005D0F90"/>
    <w:rsid w:val="005D2615"/>
    <w:rsid w:val="005D2D64"/>
    <w:rsid w:val="005D390A"/>
    <w:rsid w:val="005D46F8"/>
    <w:rsid w:val="005D6446"/>
    <w:rsid w:val="005D76D4"/>
    <w:rsid w:val="005E057A"/>
    <w:rsid w:val="005E4C8D"/>
    <w:rsid w:val="005F1206"/>
    <w:rsid w:val="005F51CC"/>
    <w:rsid w:val="006004DE"/>
    <w:rsid w:val="00600F27"/>
    <w:rsid w:val="00601313"/>
    <w:rsid w:val="00607596"/>
    <w:rsid w:val="00614C79"/>
    <w:rsid w:val="00615F6B"/>
    <w:rsid w:val="00616450"/>
    <w:rsid w:val="00617ECB"/>
    <w:rsid w:val="00620CFA"/>
    <w:rsid w:val="00624109"/>
    <w:rsid w:val="00624AD8"/>
    <w:rsid w:val="00625020"/>
    <w:rsid w:val="00625DEC"/>
    <w:rsid w:val="00626D69"/>
    <w:rsid w:val="0062780D"/>
    <w:rsid w:val="00631E41"/>
    <w:rsid w:val="00636A67"/>
    <w:rsid w:val="0064340F"/>
    <w:rsid w:val="00644611"/>
    <w:rsid w:val="0064718C"/>
    <w:rsid w:val="00650F93"/>
    <w:rsid w:val="006512F2"/>
    <w:rsid w:val="006527C8"/>
    <w:rsid w:val="00653BA8"/>
    <w:rsid w:val="00654A7F"/>
    <w:rsid w:val="00661087"/>
    <w:rsid w:val="006619FA"/>
    <w:rsid w:val="00661A0D"/>
    <w:rsid w:val="00662ABD"/>
    <w:rsid w:val="0066300B"/>
    <w:rsid w:val="00663A5B"/>
    <w:rsid w:val="006643F2"/>
    <w:rsid w:val="0066519F"/>
    <w:rsid w:val="00667906"/>
    <w:rsid w:val="006777E4"/>
    <w:rsid w:val="00683CCE"/>
    <w:rsid w:val="00685742"/>
    <w:rsid w:val="00686629"/>
    <w:rsid w:val="00687318"/>
    <w:rsid w:val="00697169"/>
    <w:rsid w:val="00697C50"/>
    <w:rsid w:val="006A0882"/>
    <w:rsid w:val="006A3280"/>
    <w:rsid w:val="006A3A91"/>
    <w:rsid w:val="006A3B8F"/>
    <w:rsid w:val="006A5D5F"/>
    <w:rsid w:val="006B17CC"/>
    <w:rsid w:val="006B2914"/>
    <w:rsid w:val="006B60B6"/>
    <w:rsid w:val="006B6B79"/>
    <w:rsid w:val="006C6041"/>
    <w:rsid w:val="006C67EB"/>
    <w:rsid w:val="006C6874"/>
    <w:rsid w:val="006C7CCC"/>
    <w:rsid w:val="006D094A"/>
    <w:rsid w:val="006D1D39"/>
    <w:rsid w:val="006D3C5E"/>
    <w:rsid w:val="006D7C14"/>
    <w:rsid w:val="006E0064"/>
    <w:rsid w:val="006E2BDA"/>
    <w:rsid w:val="006F42A6"/>
    <w:rsid w:val="006F5D53"/>
    <w:rsid w:val="006F6563"/>
    <w:rsid w:val="00700518"/>
    <w:rsid w:val="0070358B"/>
    <w:rsid w:val="00706259"/>
    <w:rsid w:val="0071299B"/>
    <w:rsid w:val="00716FF8"/>
    <w:rsid w:val="00721CF1"/>
    <w:rsid w:val="00721FC1"/>
    <w:rsid w:val="00722957"/>
    <w:rsid w:val="0072361E"/>
    <w:rsid w:val="00726CE8"/>
    <w:rsid w:val="007278EF"/>
    <w:rsid w:val="00727F6E"/>
    <w:rsid w:val="00732864"/>
    <w:rsid w:val="00733AF4"/>
    <w:rsid w:val="00734B43"/>
    <w:rsid w:val="00736F0C"/>
    <w:rsid w:val="00737D5B"/>
    <w:rsid w:val="007404A4"/>
    <w:rsid w:val="00740EC6"/>
    <w:rsid w:val="0074112B"/>
    <w:rsid w:val="00741BB0"/>
    <w:rsid w:val="0074344F"/>
    <w:rsid w:val="007506BA"/>
    <w:rsid w:val="00750736"/>
    <w:rsid w:val="00752220"/>
    <w:rsid w:val="00752AD5"/>
    <w:rsid w:val="007551FD"/>
    <w:rsid w:val="00757D27"/>
    <w:rsid w:val="00760FF6"/>
    <w:rsid w:val="007639A9"/>
    <w:rsid w:val="007640AE"/>
    <w:rsid w:val="0076494E"/>
    <w:rsid w:val="007665CE"/>
    <w:rsid w:val="00766DC1"/>
    <w:rsid w:val="00766F6D"/>
    <w:rsid w:val="007676CB"/>
    <w:rsid w:val="0077200C"/>
    <w:rsid w:val="00774EAF"/>
    <w:rsid w:val="00775337"/>
    <w:rsid w:val="00777034"/>
    <w:rsid w:val="007770F8"/>
    <w:rsid w:val="007811F7"/>
    <w:rsid w:val="00781F9E"/>
    <w:rsid w:val="0078239D"/>
    <w:rsid w:val="00782600"/>
    <w:rsid w:val="007831F5"/>
    <w:rsid w:val="00784914"/>
    <w:rsid w:val="00784990"/>
    <w:rsid w:val="0078664B"/>
    <w:rsid w:val="0078719B"/>
    <w:rsid w:val="0079023B"/>
    <w:rsid w:val="00792E02"/>
    <w:rsid w:val="00793958"/>
    <w:rsid w:val="00794D57"/>
    <w:rsid w:val="00795DA1"/>
    <w:rsid w:val="007969A6"/>
    <w:rsid w:val="00797D08"/>
    <w:rsid w:val="00797FEC"/>
    <w:rsid w:val="007A20BC"/>
    <w:rsid w:val="007A4956"/>
    <w:rsid w:val="007A559D"/>
    <w:rsid w:val="007A63F4"/>
    <w:rsid w:val="007A6498"/>
    <w:rsid w:val="007B26AD"/>
    <w:rsid w:val="007B4D89"/>
    <w:rsid w:val="007B50D6"/>
    <w:rsid w:val="007B576E"/>
    <w:rsid w:val="007B601F"/>
    <w:rsid w:val="007B61CA"/>
    <w:rsid w:val="007B6213"/>
    <w:rsid w:val="007B79CB"/>
    <w:rsid w:val="007C1879"/>
    <w:rsid w:val="007C2330"/>
    <w:rsid w:val="007C436C"/>
    <w:rsid w:val="007C5D0A"/>
    <w:rsid w:val="007D15A7"/>
    <w:rsid w:val="007D4E24"/>
    <w:rsid w:val="007D6054"/>
    <w:rsid w:val="007D7457"/>
    <w:rsid w:val="007E0956"/>
    <w:rsid w:val="007E1121"/>
    <w:rsid w:val="007E27EB"/>
    <w:rsid w:val="007E3F22"/>
    <w:rsid w:val="007E4154"/>
    <w:rsid w:val="007E79A6"/>
    <w:rsid w:val="007F46D5"/>
    <w:rsid w:val="007F67AA"/>
    <w:rsid w:val="00804F98"/>
    <w:rsid w:val="00810909"/>
    <w:rsid w:val="00811109"/>
    <w:rsid w:val="00812329"/>
    <w:rsid w:val="008129A4"/>
    <w:rsid w:val="008178A5"/>
    <w:rsid w:val="00820431"/>
    <w:rsid w:val="00824A50"/>
    <w:rsid w:val="00833A9A"/>
    <w:rsid w:val="00836FDF"/>
    <w:rsid w:val="0084018F"/>
    <w:rsid w:val="00841F89"/>
    <w:rsid w:val="00846861"/>
    <w:rsid w:val="00846F90"/>
    <w:rsid w:val="0085040F"/>
    <w:rsid w:val="00852973"/>
    <w:rsid w:val="00852F05"/>
    <w:rsid w:val="00854804"/>
    <w:rsid w:val="00854995"/>
    <w:rsid w:val="00854AF0"/>
    <w:rsid w:val="00856A29"/>
    <w:rsid w:val="00856D32"/>
    <w:rsid w:val="00863287"/>
    <w:rsid w:val="00864117"/>
    <w:rsid w:val="00865BB9"/>
    <w:rsid w:val="008664D5"/>
    <w:rsid w:val="00871442"/>
    <w:rsid w:val="0087615A"/>
    <w:rsid w:val="0087667D"/>
    <w:rsid w:val="0087693E"/>
    <w:rsid w:val="008778BB"/>
    <w:rsid w:val="00881A43"/>
    <w:rsid w:val="00882F0F"/>
    <w:rsid w:val="008857A9"/>
    <w:rsid w:val="0088725A"/>
    <w:rsid w:val="00891035"/>
    <w:rsid w:val="00891ABE"/>
    <w:rsid w:val="00891D46"/>
    <w:rsid w:val="00893534"/>
    <w:rsid w:val="00894C95"/>
    <w:rsid w:val="00896D5C"/>
    <w:rsid w:val="00897A10"/>
    <w:rsid w:val="008A0F59"/>
    <w:rsid w:val="008A143A"/>
    <w:rsid w:val="008A1559"/>
    <w:rsid w:val="008A6277"/>
    <w:rsid w:val="008A7E36"/>
    <w:rsid w:val="008B20AA"/>
    <w:rsid w:val="008B244B"/>
    <w:rsid w:val="008B39D2"/>
    <w:rsid w:val="008B4A44"/>
    <w:rsid w:val="008B5085"/>
    <w:rsid w:val="008B50F9"/>
    <w:rsid w:val="008B58A4"/>
    <w:rsid w:val="008B6136"/>
    <w:rsid w:val="008C0188"/>
    <w:rsid w:val="008C25B3"/>
    <w:rsid w:val="008C2B9B"/>
    <w:rsid w:val="008C42BC"/>
    <w:rsid w:val="008C4735"/>
    <w:rsid w:val="008C49EF"/>
    <w:rsid w:val="008C72DE"/>
    <w:rsid w:val="008C7639"/>
    <w:rsid w:val="008D124C"/>
    <w:rsid w:val="008D4A71"/>
    <w:rsid w:val="008D7614"/>
    <w:rsid w:val="008E4156"/>
    <w:rsid w:val="008E63F2"/>
    <w:rsid w:val="008E7E25"/>
    <w:rsid w:val="008F3EE1"/>
    <w:rsid w:val="008F50FA"/>
    <w:rsid w:val="008F5CE6"/>
    <w:rsid w:val="009026DC"/>
    <w:rsid w:val="00903CC3"/>
    <w:rsid w:val="00906BF3"/>
    <w:rsid w:val="00911D10"/>
    <w:rsid w:val="00911D64"/>
    <w:rsid w:val="009122F6"/>
    <w:rsid w:val="009125E0"/>
    <w:rsid w:val="009151A0"/>
    <w:rsid w:val="009154E8"/>
    <w:rsid w:val="00915F46"/>
    <w:rsid w:val="00916685"/>
    <w:rsid w:val="00916D25"/>
    <w:rsid w:val="009176EA"/>
    <w:rsid w:val="0091780F"/>
    <w:rsid w:val="00920FC9"/>
    <w:rsid w:val="0092322C"/>
    <w:rsid w:val="00927440"/>
    <w:rsid w:val="00931F10"/>
    <w:rsid w:val="00934059"/>
    <w:rsid w:val="009340EB"/>
    <w:rsid w:val="00934836"/>
    <w:rsid w:val="00936F2D"/>
    <w:rsid w:val="00937F34"/>
    <w:rsid w:val="00942F42"/>
    <w:rsid w:val="00945603"/>
    <w:rsid w:val="009461BF"/>
    <w:rsid w:val="00955AD2"/>
    <w:rsid w:val="00956F46"/>
    <w:rsid w:val="009639D7"/>
    <w:rsid w:val="00963CF7"/>
    <w:rsid w:val="00965D2E"/>
    <w:rsid w:val="009661E6"/>
    <w:rsid w:val="00967B3C"/>
    <w:rsid w:val="00974581"/>
    <w:rsid w:val="009755AF"/>
    <w:rsid w:val="00976223"/>
    <w:rsid w:val="009762D8"/>
    <w:rsid w:val="0098206A"/>
    <w:rsid w:val="0098216A"/>
    <w:rsid w:val="00983BF3"/>
    <w:rsid w:val="0098644A"/>
    <w:rsid w:val="0098674D"/>
    <w:rsid w:val="009930E7"/>
    <w:rsid w:val="00997A5C"/>
    <w:rsid w:val="009A00A4"/>
    <w:rsid w:val="009A00C6"/>
    <w:rsid w:val="009A0801"/>
    <w:rsid w:val="009A3B52"/>
    <w:rsid w:val="009A5E54"/>
    <w:rsid w:val="009B0BFC"/>
    <w:rsid w:val="009B1386"/>
    <w:rsid w:val="009B401B"/>
    <w:rsid w:val="009B4468"/>
    <w:rsid w:val="009B5767"/>
    <w:rsid w:val="009B67B9"/>
    <w:rsid w:val="009B77CD"/>
    <w:rsid w:val="009C2DE2"/>
    <w:rsid w:val="009C780D"/>
    <w:rsid w:val="009D29E2"/>
    <w:rsid w:val="009D62D1"/>
    <w:rsid w:val="009D6865"/>
    <w:rsid w:val="009E0D11"/>
    <w:rsid w:val="009E26B0"/>
    <w:rsid w:val="009E3956"/>
    <w:rsid w:val="009E586B"/>
    <w:rsid w:val="009E6B74"/>
    <w:rsid w:val="009E7A4D"/>
    <w:rsid w:val="009E7AB1"/>
    <w:rsid w:val="009E7AF1"/>
    <w:rsid w:val="009F0175"/>
    <w:rsid w:val="009F0CE8"/>
    <w:rsid w:val="009F0D87"/>
    <w:rsid w:val="009F4518"/>
    <w:rsid w:val="009F4CEA"/>
    <w:rsid w:val="00A006A1"/>
    <w:rsid w:val="00A01329"/>
    <w:rsid w:val="00A03F48"/>
    <w:rsid w:val="00A0447B"/>
    <w:rsid w:val="00A106B0"/>
    <w:rsid w:val="00A10916"/>
    <w:rsid w:val="00A156FB"/>
    <w:rsid w:val="00A15EA3"/>
    <w:rsid w:val="00A2159B"/>
    <w:rsid w:val="00A22106"/>
    <w:rsid w:val="00A23187"/>
    <w:rsid w:val="00A26B36"/>
    <w:rsid w:val="00A360B4"/>
    <w:rsid w:val="00A42818"/>
    <w:rsid w:val="00A43D75"/>
    <w:rsid w:val="00A46277"/>
    <w:rsid w:val="00A46C02"/>
    <w:rsid w:val="00A470C5"/>
    <w:rsid w:val="00A527C6"/>
    <w:rsid w:val="00A530C4"/>
    <w:rsid w:val="00A54D24"/>
    <w:rsid w:val="00A553C6"/>
    <w:rsid w:val="00A56F5E"/>
    <w:rsid w:val="00A6027F"/>
    <w:rsid w:val="00A60C4C"/>
    <w:rsid w:val="00A638F0"/>
    <w:rsid w:val="00A643CB"/>
    <w:rsid w:val="00A679CB"/>
    <w:rsid w:val="00A713E5"/>
    <w:rsid w:val="00A72AE5"/>
    <w:rsid w:val="00A730B0"/>
    <w:rsid w:val="00A766D6"/>
    <w:rsid w:val="00A81082"/>
    <w:rsid w:val="00A817EB"/>
    <w:rsid w:val="00A87E78"/>
    <w:rsid w:val="00A9278E"/>
    <w:rsid w:val="00A92B3B"/>
    <w:rsid w:val="00A93108"/>
    <w:rsid w:val="00A94F1D"/>
    <w:rsid w:val="00A952C6"/>
    <w:rsid w:val="00A962A8"/>
    <w:rsid w:val="00A96AA5"/>
    <w:rsid w:val="00AA102C"/>
    <w:rsid w:val="00AA1D2F"/>
    <w:rsid w:val="00AA23CF"/>
    <w:rsid w:val="00AA33D5"/>
    <w:rsid w:val="00AB4CF5"/>
    <w:rsid w:val="00AB503B"/>
    <w:rsid w:val="00AC46B1"/>
    <w:rsid w:val="00AC5F85"/>
    <w:rsid w:val="00AD1746"/>
    <w:rsid w:val="00AD3A50"/>
    <w:rsid w:val="00AD3BB7"/>
    <w:rsid w:val="00AD48B1"/>
    <w:rsid w:val="00AE1C58"/>
    <w:rsid w:val="00AE1C78"/>
    <w:rsid w:val="00AE1DC5"/>
    <w:rsid w:val="00AE3459"/>
    <w:rsid w:val="00AE50FB"/>
    <w:rsid w:val="00AE766E"/>
    <w:rsid w:val="00AF0190"/>
    <w:rsid w:val="00AF11C9"/>
    <w:rsid w:val="00AF309E"/>
    <w:rsid w:val="00AF4098"/>
    <w:rsid w:val="00AF41B9"/>
    <w:rsid w:val="00AF49C0"/>
    <w:rsid w:val="00AF4D96"/>
    <w:rsid w:val="00B0033E"/>
    <w:rsid w:val="00B00F77"/>
    <w:rsid w:val="00B0580C"/>
    <w:rsid w:val="00B0714B"/>
    <w:rsid w:val="00B10C76"/>
    <w:rsid w:val="00B12CF2"/>
    <w:rsid w:val="00B13860"/>
    <w:rsid w:val="00B1426A"/>
    <w:rsid w:val="00B14600"/>
    <w:rsid w:val="00B2300F"/>
    <w:rsid w:val="00B23D0B"/>
    <w:rsid w:val="00B2749B"/>
    <w:rsid w:val="00B27CB3"/>
    <w:rsid w:val="00B27E4E"/>
    <w:rsid w:val="00B32909"/>
    <w:rsid w:val="00B32C48"/>
    <w:rsid w:val="00B339D2"/>
    <w:rsid w:val="00B37ABC"/>
    <w:rsid w:val="00B40727"/>
    <w:rsid w:val="00B4212C"/>
    <w:rsid w:val="00B45093"/>
    <w:rsid w:val="00B45835"/>
    <w:rsid w:val="00B46322"/>
    <w:rsid w:val="00B46CBE"/>
    <w:rsid w:val="00B50DF9"/>
    <w:rsid w:val="00B50FEC"/>
    <w:rsid w:val="00B51E59"/>
    <w:rsid w:val="00B53353"/>
    <w:rsid w:val="00B53DC7"/>
    <w:rsid w:val="00B5502F"/>
    <w:rsid w:val="00B56056"/>
    <w:rsid w:val="00B56D60"/>
    <w:rsid w:val="00B614D4"/>
    <w:rsid w:val="00B6175D"/>
    <w:rsid w:val="00B62BC8"/>
    <w:rsid w:val="00B64306"/>
    <w:rsid w:val="00B65A00"/>
    <w:rsid w:val="00B662A7"/>
    <w:rsid w:val="00B66AF6"/>
    <w:rsid w:val="00B705EF"/>
    <w:rsid w:val="00B71AC7"/>
    <w:rsid w:val="00B74E9E"/>
    <w:rsid w:val="00B750FD"/>
    <w:rsid w:val="00B75D77"/>
    <w:rsid w:val="00B77664"/>
    <w:rsid w:val="00B776CD"/>
    <w:rsid w:val="00B82121"/>
    <w:rsid w:val="00B8319B"/>
    <w:rsid w:val="00B849DF"/>
    <w:rsid w:val="00B8522D"/>
    <w:rsid w:val="00B8533C"/>
    <w:rsid w:val="00B85795"/>
    <w:rsid w:val="00B90FA4"/>
    <w:rsid w:val="00B9155B"/>
    <w:rsid w:val="00B91E88"/>
    <w:rsid w:val="00B91F03"/>
    <w:rsid w:val="00B933D3"/>
    <w:rsid w:val="00B945CA"/>
    <w:rsid w:val="00B94F11"/>
    <w:rsid w:val="00BA0D63"/>
    <w:rsid w:val="00BA1AF2"/>
    <w:rsid w:val="00BA1EDE"/>
    <w:rsid w:val="00BA518A"/>
    <w:rsid w:val="00BA7E18"/>
    <w:rsid w:val="00BB1A25"/>
    <w:rsid w:val="00BB24A6"/>
    <w:rsid w:val="00BB43D2"/>
    <w:rsid w:val="00BB47C1"/>
    <w:rsid w:val="00BB5EC3"/>
    <w:rsid w:val="00BC046F"/>
    <w:rsid w:val="00BC19B3"/>
    <w:rsid w:val="00BC275C"/>
    <w:rsid w:val="00BC620E"/>
    <w:rsid w:val="00BD2395"/>
    <w:rsid w:val="00BD37FA"/>
    <w:rsid w:val="00BE18D1"/>
    <w:rsid w:val="00BE1F2F"/>
    <w:rsid w:val="00BE4B95"/>
    <w:rsid w:val="00BE5668"/>
    <w:rsid w:val="00BE65F6"/>
    <w:rsid w:val="00BE66C5"/>
    <w:rsid w:val="00BF0288"/>
    <w:rsid w:val="00BF2EE1"/>
    <w:rsid w:val="00BF678F"/>
    <w:rsid w:val="00C010BC"/>
    <w:rsid w:val="00C037AD"/>
    <w:rsid w:val="00C04012"/>
    <w:rsid w:val="00C0610E"/>
    <w:rsid w:val="00C065A5"/>
    <w:rsid w:val="00C1380A"/>
    <w:rsid w:val="00C140A3"/>
    <w:rsid w:val="00C1478C"/>
    <w:rsid w:val="00C14DBC"/>
    <w:rsid w:val="00C15D09"/>
    <w:rsid w:val="00C17C4C"/>
    <w:rsid w:val="00C204E4"/>
    <w:rsid w:val="00C20B95"/>
    <w:rsid w:val="00C20C8F"/>
    <w:rsid w:val="00C22684"/>
    <w:rsid w:val="00C23695"/>
    <w:rsid w:val="00C23842"/>
    <w:rsid w:val="00C2444B"/>
    <w:rsid w:val="00C31213"/>
    <w:rsid w:val="00C32CF1"/>
    <w:rsid w:val="00C36937"/>
    <w:rsid w:val="00C37543"/>
    <w:rsid w:val="00C42A86"/>
    <w:rsid w:val="00C4326A"/>
    <w:rsid w:val="00C45D30"/>
    <w:rsid w:val="00C468AB"/>
    <w:rsid w:val="00C46968"/>
    <w:rsid w:val="00C5214C"/>
    <w:rsid w:val="00C52311"/>
    <w:rsid w:val="00C53A06"/>
    <w:rsid w:val="00C549F3"/>
    <w:rsid w:val="00C60DEF"/>
    <w:rsid w:val="00C61468"/>
    <w:rsid w:val="00C61D01"/>
    <w:rsid w:val="00C61E6D"/>
    <w:rsid w:val="00C6344E"/>
    <w:rsid w:val="00C64F41"/>
    <w:rsid w:val="00C66F43"/>
    <w:rsid w:val="00C67DB4"/>
    <w:rsid w:val="00C70640"/>
    <w:rsid w:val="00C710C8"/>
    <w:rsid w:val="00C72BA2"/>
    <w:rsid w:val="00C736B7"/>
    <w:rsid w:val="00C73A0A"/>
    <w:rsid w:val="00C73EFA"/>
    <w:rsid w:val="00C741EC"/>
    <w:rsid w:val="00C8034D"/>
    <w:rsid w:val="00C8281B"/>
    <w:rsid w:val="00C83C3A"/>
    <w:rsid w:val="00C9156B"/>
    <w:rsid w:val="00C91A1D"/>
    <w:rsid w:val="00C93806"/>
    <w:rsid w:val="00C9490B"/>
    <w:rsid w:val="00C94D74"/>
    <w:rsid w:val="00C97791"/>
    <w:rsid w:val="00C97DC3"/>
    <w:rsid w:val="00CA1146"/>
    <w:rsid w:val="00CA4067"/>
    <w:rsid w:val="00CA5AF5"/>
    <w:rsid w:val="00CA654B"/>
    <w:rsid w:val="00CB0E0F"/>
    <w:rsid w:val="00CB3800"/>
    <w:rsid w:val="00CB606E"/>
    <w:rsid w:val="00CC0E70"/>
    <w:rsid w:val="00CC2BCF"/>
    <w:rsid w:val="00CC4C6F"/>
    <w:rsid w:val="00CC5AE9"/>
    <w:rsid w:val="00CC636F"/>
    <w:rsid w:val="00CC65A4"/>
    <w:rsid w:val="00CC6C8A"/>
    <w:rsid w:val="00CD0FC1"/>
    <w:rsid w:val="00CE0018"/>
    <w:rsid w:val="00CE17EF"/>
    <w:rsid w:val="00CE390E"/>
    <w:rsid w:val="00CE3951"/>
    <w:rsid w:val="00CF15B3"/>
    <w:rsid w:val="00CF3CF3"/>
    <w:rsid w:val="00CF48E7"/>
    <w:rsid w:val="00CF5010"/>
    <w:rsid w:val="00CF63C7"/>
    <w:rsid w:val="00CF6A99"/>
    <w:rsid w:val="00D032B1"/>
    <w:rsid w:val="00D05BC0"/>
    <w:rsid w:val="00D1007D"/>
    <w:rsid w:val="00D102A6"/>
    <w:rsid w:val="00D11564"/>
    <w:rsid w:val="00D11D8A"/>
    <w:rsid w:val="00D11F1A"/>
    <w:rsid w:val="00D12D82"/>
    <w:rsid w:val="00D13ABF"/>
    <w:rsid w:val="00D2071C"/>
    <w:rsid w:val="00D25429"/>
    <w:rsid w:val="00D305E8"/>
    <w:rsid w:val="00D3063F"/>
    <w:rsid w:val="00D331D8"/>
    <w:rsid w:val="00D334C9"/>
    <w:rsid w:val="00D429AA"/>
    <w:rsid w:val="00D44F34"/>
    <w:rsid w:val="00D45FE2"/>
    <w:rsid w:val="00D55124"/>
    <w:rsid w:val="00D5521F"/>
    <w:rsid w:val="00D57244"/>
    <w:rsid w:val="00D62A17"/>
    <w:rsid w:val="00D63024"/>
    <w:rsid w:val="00D63097"/>
    <w:rsid w:val="00D644B1"/>
    <w:rsid w:val="00D6473E"/>
    <w:rsid w:val="00D6587A"/>
    <w:rsid w:val="00D65921"/>
    <w:rsid w:val="00D66B2F"/>
    <w:rsid w:val="00D71935"/>
    <w:rsid w:val="00D7506D"/>
    <w:rsid w:val="00D750FD"/>
    <w:rsid w:val="00D757F0"/>
    <w:rsid w:val="00D76DB3"/>
    <w:rsid w:val="00D77387"/>
    <w:rsid w:val="00D775FF"/>
    <w:rsid w:val="00D801A7"/>
    <w:rsid w:val="00D80FF7"/>
    <w:rsid w:val="00D8436A"/>
    <w:rsid w:val="00D84766"/>
    <w:rsid w:val="00D864F6"/>
    <w:rsid w:val="00D875B8"/>
    <w:rsid w:val="00D87C35"/>
    <w:rsid w:val="00D92467"/>
    <w:rsid w:val="00DA0E02"/>
    <w:rsid w:val="00DA32B1"/>
    <w:rsid w:val="00DA5B7B"/>
    <w:rsid w:val="00DA5C79"/>
    <w:rsid w:val="00DB092E"/>
    <w:rsid w:val="00DB1026"/>
    <w:rsid w:val="00DC4FB5"/>
    <w:rsid w:val="00DC585D"/>
    <w:rsid w:val="00DC6DC4"/>
    <w:rsid w:val="00DD35DF"/>
    <w:rsid w:val="00DD55B9"/>
    <w:rsid w:val="00DD607F"/>
    <w:rsid w:val="00DD72D3"/>
    <w:rsid w:val="00DD78AF"/>
    <w:rsid w:val="00DD78BA"/>
    <w:rsid w:val="00DE3F17"/>
    <w:rsid w:val="00DE4FD9"/>
    <w:rsid w:val="00DE5779"/>
    <w:rsid w:val="00DE5FB4"/>
    <w:rsid w:val="00DE6266"/>
    <w:rsid w:val="00DF4825"/>
    <w:rsid w:val="00E03DF1"/>
    <w:rsid w:val="00E03E3E"/>
    <w:rsid w:val="00E04067"/>
    <w:rsid w:val="00E056A6"/>
    <w:rsid w:val="00E11FFB"/>
    <w:rsid w:val="00E123BA"/>
    <w:rsid w:val="00E129C2"/>
    <w:rsid w:val="00E12B1F"/>
    <w:rsid w:val="00E13886"/>
    <w:rsid w:val="00E16E41"/>
    <w:rsid w:val="00E1721B"/>
    <w:rsid w:val="00E1791E"/>
    <w:rsid w:val="00E20DC6"/>
    <w:rsid w:val="00E20F48"/>
    <w:rsid w:val="00E2132A"/>
    <w:rsid w:val="00E222C2"/>
    <w:rsid w:val="00E2457E"/>
    <w:rsid w:val="00E2658D"/>
    <w:rsid w:val="00E271C7"/>
    <w:rsid w:val="00E33F3F"/>
    <w:rsid w:val="00E34078"/>
    <w:rsid w:val="00E37243"/>
    <w:rsid w:val="00E37983"/>
    <w:rsid w:val="00E37EEE"/>
    <w:rsid w:val="00E40299"/>
    <w:rsid w:val="00E4211F"/>
    <w:rsid w:val="00E43AC2"/>
    <w:rsid w:val="00E453E5"/>
    <w:rsid w:val="00E46CCF"/>
    <w:rsid w:val="00E5011C"/>
    <w:rsid w:val="00E5676C"/>
    <w:rsid w:val="00E6128B"/>
    <w:rsid w:val="00E63900"/>
    <w:rsid w:val="00E71812"/>
    <w:rsid w:val="00E71AF2"/>
    <w:rsid w:val="00E7258C"/>
    <w:rsid w:val="00E73CA9"/>
    <w:rsid w:val="00E748B4"/>
    <w:rsid w:val="00E74D97"/>
    <w:rsid w:val="00E7598F"/>
    <w:rsid w:val="00E76C6C"/>
    <w:rsid w:val="00E804B5"/>
    <w:rsid w:val="00E81347"/>
    <w:rsid w:val="00E82C54"/>
    <w:rsid w:val="00E87228"/>
    <w:rsid w:val="00E873C7"/>
    <w:rsid w:val="00E91600"/>
    <w:rsid w:val="00E92DD9"/>
    <w:rsid w:val="00E935F0"/>
    <w:rsid w:val="00E93FE8"/>
    <w:rsid w:val="00E95298"/>
    <w:rsid w:val="00E95992"/>
    <w:rsid w:val="00EA2BCA"/>
    <w:rsid w:val="00EA3608"/>
    <w:rsid w:val="00EA3B2D"/>
    <w:rsid w:val="00EA3B42"/>
    <w:rsid w:val="00EA4743"/>
    <w:rsid w:val="00EB1309"/>
    <w:rsid w:val="00EB2FCA"/>
    <w:rsid w:val="00EB6107"/>
    <w:rsid w:val="00EB718E"/>
    <w:rsid w:val="00EB7C59"/>
    <w:rsid w:val="00EC184C"/>
    <w:rsid w:val="00EC36D6"/>
    <w:rsid w:val="00EC6450"/>
    <w:rsid w:val="00EC7F6E"/>
    <w:rsid w:val="00ED30EE"/>
    <w:rsid w:val="00ED38E8"/>
    <w:rsid w:val="00ED39CF"/>
    <w:rsid w:val="00ED4957"/>
    <w:rsid w:val="00ED51E7"/>
    <w:rsid w:val="00ED63C2"/>
    <w:rsid w:val="00ED7D17"/>
    <w:rsid w:val="00EE14B3"/>
    <w:rsid w:val="00EE2307"/>
    <w:rsid w:val="00EE4079"/>
    <w:rsid w:val="00EE45E9"/>
    <w:rsid w:val="00EE5C26"/>
    <w:rsid w:val="00EF2C0D"/>
    <w:rsid w:val="00F0078A"/>
    <w:rsid w:val="00F02077"/>
    <w:rsid w:val="00F03869"/>
    <w:rsid w:val="00F05E85"/>
    <w:rsid w:val="00F07601"/>
    <w:rsid w:val="00F10079"/>
    <w:rsid w:val="00F13A36"/>
    <w:rsid w:val="00F14896"/>
    <w:rsid w:val="00F15025"/>
    <w:rsid w:val="00F15AA0"/>
    <w:rsid w:val="00F176F9"/>
    <w:rsid w:val="00F21DED"/>
    <w:rsid w:val="00F239FA"/>
    <w:rsid w:val="00F2537E"/>
    <w:rsid w:val="00F30B04"/>
    <w:rsid w:val="00F31410"/>
    <w:rsid w:val="00F3205D"/>
    <w:rsid w:val="00F32999"/>
    <w:rsid w:val="00F33ED9"/>
    <w:rsid w:val="00F352D2"/>
    <w:rsid w:val="00F411CC"/>
    <w:rsid w:val="00F41DA4"/>
    <w:rsid w:val="00F46658"/>
    <w:rsid w:val="00F50F45"/>
    <w:rsid w:val="00F52173"/>
    <w:rsid w:val="00F56C21"/>
    <w:rsid w:val="00F577B5"/>
    <w:rsid w:val="00F57A9D"/>
    <w:rsid w:val="00F60E3A"/>
    <w:rsid w:val="00F611CC"/>
    <w:rsid w:val="00F6204C"/>
    <w:rsid w:val="00F625FB"/>
    <w:rsid w:val="00F63295"/>
    <w:rsid w:val="00F64160"/>
    <w:rsid w:val="00F652D8"/>
    <w:rsid w:val="00F674AE"/>
    <w:rsid w:val="00F708AC"/>
    <w:rsid w:val="00F722B2"/>
    <w:rsid w:val="00F74C05"/>
    <w:rsid w:val="00F761EC"/>
    <w:rsid w:val="00F85DE1"/>
    <w:rsid w:val="00F86F38"/>
    <w:rsid w:val="00F973D0"/>
    <w:rsid w:val="00F97600"/>
    <w:rsid w:val="00FA15D7"/>
    <w:rsid w:val="00FA2D92"/>
    <w:rsid w:val="00FA56BB"/>
    <w:rsid w:val="00FA59E6"/>
    <w:rsid w:val="00FA695A"/>
    <w:rsid w:val="00FA7022"/>
    <w:rsid w:val="00FA7E42"/>
    <w:rsid w:val="00FB22E8"/>
    <w:rsid w:val="00FB5D6F"/>
    <w:rsid w:val="00FC00AE"/>
    <w:rsid w:val="00FC1063"/>
    <w:rsid w:val="00FC2E42"/>
    <w:rsid w:val="00FC3A6F"/>
    <w:rsid w:val="00FC40F7"/>
    <w:rsid w:val="00FC426A"/>
    <w:rsid w:val="00FC43E2"/>
    <w:rsid w:val="00FC5F1B"/>
    <w:rsid w:val="00FC7525"/>
    <w:rsid w:val="00FC7AB6"/>
    <w:rsid w:val="00FD0763"/>
    <w:rsid w:val="00FD1372"/>
    <w:rsid w:val="00FD2128"/>
    <w:rsid w:val="00FD22C1"/>
    <w:rsid w:val="00FD50A0"/>
    <w:rsid w:val="00FD6CCB"/>
    <w:rsid w:val="00FD70ED"/>
    <w:rsid w:val="00FD7ED8"/>
    <w:rsid w:val="00FD7F7E"/>
    <w:rsid w:val="00FE2E7D"/>
    <w:rsid w:val="00FE3C09"/>
    <w:rsid w:val="00FE416A"/>
    <w:rsid w:val="00FE663B"/>
    <w:rsid w:val="00FF147F"/>
    <w:rsid w:val="00FF63D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uiPriority w:val="99"/>
    <w:qFormat/>
    <w:locked/>
    <w:rsid w:val="00ED51E7"/>
    <w:pPr>
      <w:keepNext/>
      <w:ind w:firstLine="720"/>
      <w:jc w:val="both"/>
      <w:outlineLvl w:val="0"/>
    </w:pPr>
    <w:rPr>
      <w:rFonts w:eastAsiaTheme="minorEastAsia"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6703D"/>
    <w:rPr>
      <w:rFonts w:ascii="Tahoma" w:hAnsi="Tahoma" w:cs="Tahoma"/>
      <w:sz w:val="16"/>
      <w:szCs w:val="16"/>
    </w:rPr>
  </w:style>
  <w:style w:type="character" w:customStyle="1" w:styleId="BalloonTextChar">
    <w:name w:val="Balloon Text Char"/>
    <w:basedOn w:val="DefaultParagraphFont"/>
    <w:link w:val="BalloonText"/>
    <w:uiPriority w:val="99"/>
    <w:locked/>
    <w:rsid w:val="0026703D"/>
    <w:rPr>
      <w:rFonts w:ascii="Tahoma" w:hAnsi="Tahoma" w:cs="Tahoma"/>
      <w:sz w:val="16"/>
      <w:szCs w:val="16"/>
      <w:lang w:val="en-US" w:eastAsia="en-US"/>
    </w:rPr>
  </w:style>
  <w:style w:type="paragraph" w:styleId="ListParagraph">
    <w:name w:val="List Paragraph"/>
    <w:basedOn w:val="Normal"/>
    <w:uiPriority w:val="99"/>
    <w:qFormat/>
    <w:rsid w:val="00CA1146"/>
    <w:pPr>
      <w:ind w:left="720"/>
      <w:contextualSpacing/>
    </w:pPr>
  </w:style>
  <w:style w:type="character" w:styleId="CommentReference">
    <w:name w:val="annotation reference"/>
    <w:basedOn w:val="DefaultParagraphFont"/>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basedOn w:val="DefaultParagraphFont"/>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basedOn w:val="CommentText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basedOn w:val="DefaultParagraphFont"/>
    <w:link w:val="Header"/>
    <w:uiPriority w:val="99"/>
    <w:semiHidden/>
    <w:rsid w:val="00EA550D"/>
    <w:rPr>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basedOn w:val="DefaultParagraphFont"/>
    <w:link w:val="Footer"/>
    <w:uiPriority w:val="99"/>
    <w:semiHidden/>
    <w:rsid w:val="00EA550D"/>
    <w:rPr>
      <w:sz w:val="24"/>
      <w:szCs w:val="24"/>
      <w:lang w:val="en-US" w:eastAsia="en-US"/>
    </w:rPr>
  </w:style>
  <w:style w:type="paragraph" w:styleId="BodyText2">
    <w:name w:val="Body Text 2"/>
    <w:basedOn w:val="Normal"/>
    <w:link w:val="BodyText2Char"/>
    <w:rsid w:val="00CB3800"/>
    <w:rPr>
      <w:lang w:val="en-GB"/>
    </w:rPr>
  </w:style>
  <w:style w:type="character" w:customStyle="1" w:styleId="BodyText2Char">
    <w:name w:val="Body Text 2 Char"/>
    <w:basedOn w:val="DefaultParagraphFont"/>
    <w:link w:val="BodyText2"/>
    <w:uiPriority w:val="99"/>
    <w:semiHidden/>
    <w:rsid w:val="00EA550D"/>
    <w:rPr>
      <w:sz w:val="24"/>
      <w:szCs w:val="24"/>
      <w:lang w:val="en-US" w:eastAsia="en-US"/>
    </w:rPr>
  </w:style>
  <w:style w:type="character" w:styleId="PageNumber">
    <w:name w:val="page number"/>
    <w:basedOn w:val="DefaultParagraphFont"/>
    <w:uiPriority w:val="99"/>
    <w:rsid w:val="00CB3800"/>
    <w:rPr>
      <w:rFonts w:cs="Times New Roman"/>
    </w:rPr>
  </w:style>
  <w:style w:type="character" w:customStyle="1" w:styleId="Heading1Char">
    <w:name w:val="Heading 1 Char"/>
    <w:basedOn w:val="DefaultParagraphFont"/>
    <w:link w:val="Heading1"/>
    <w:uiPriority w:val="99"/>
    <w:rsid w:val="00ED51E7"/>
    <w:rPr>
      <w:rFonts w:eastAsiaTheme="minorEastAsia" w:cstheme="minorBidi"/>
      <w:i/>
      <w:iCs/>
      <w:sz w:val="24"/>
      <w:szCs w:val="24"/>
      <w:lang w:val="en-US" w:eastAsia="en-US"/>
    </w:rPr>
  </w:style>
  <w:style w:type="character" w:styleId="Emphasis">
    <w:name w:val="Emphasis"/>
    <w:basedOn w:val="DefaultParagraphFont"/>
    <w:qFormat/>
    <w:locked/>
    <w:rsid w:val="00284281"/>
    <w:rPr>
      <w:i/>
      <w:iCs/>
    </w:rPr>
  </w:style>
  <w:style w:type="paragraph" w:styleId="FootnoteText">
    <w:name w:val="footnote text"/>
    <w:basedOn w:val="Normal"/>
    <w:link w:val="FootnoteTextChar"/>
    <w:uiPriority w:val="99"/>
    <w:semiHidden/>
    <w:unhideWhenUsed/>
    <w:rsid w:val="001C0BD0"/>
    <w:rPr>
      <w:sz w:val="20"/>
      <w:szCs w:val="20"/>
    </w:rPr>
  </w:style>
  <w:style w:type="character" w:customStyle="1" w:styleId="FootnoteTextChar">
    <w:name w:val="Footnote Text Char"/>
    <w:basedOn w:val="DefaultParagraphFont"/>
    <w:link w:val="FootnoteText"/>
    <w:uiPriority w:val="99"/>
    <w:semiHidden/>
    <w:rsid w:val="001C0BD0"/>
    <w:rPr>
      <w:lang w:val="en-US" w:eastAsia="en-US"/>
    </w:rPr>
  </w:style>
  <w:style w:type="character" w:styleId="FootnoteReference">
    <w:name w:val="footnote reference"/>
    <w:basedOn w:val="DefaultParagraphFont"/>
    <w:uiPriority w:val="99"/>
    <w:semiHidden/>
    <w:unhideWhenUsed/>
    <w:rsid w:val="001C0BD0"/>
    <w:rPr>
      <w:vertAlign w:val="superscript"/>
    </w:rPr>
  </w:style>
  <w:style w:type="character" w:styleId="Hyperlink">
    <w:name w:val="Hyperlink"/>
    <w:basedOn w:val="DefaultParagraphFont"/>
    <w:uiPriority w:val="99"/>
    <w:unhideWhenUsed/>
    <w:rsid w:val="00166C03"/>
    <w:rPr>
      <w:color w:val="0000FF" w:themeColor="hyperlink"/>
      <w:u w:val="single"/>
    </w:rPr>
  </w:style>
  <w:style w:type="paragraph" w:styleId="Revision">
    <w:name w:val="Revision"/>
    <w:hidden/>
    <w:uiPriority w:val="99"/>
    <w:semiHidden/>
    <w:rsid w:val="00B50FE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CD"/>
    <w:rPr>
      <w:sz w:val="24"/>
      <w:szCs w:val="24"/>
      <w:lang w:val="en-US" w:eastAsia="en-US"/>
    </w:rPr>
  </w:style>
  <w:style w:type="paragraph" w:styleId="Heading1">
    <w:name w:val="heading 1"/>
    <w:basedOn w:val="Normal"/>
    <w:next w:val="Normal"/>
    <w:link w:val="Heading1Char"/>
    <w:uiPriority w:val="99"/>
    <w:qFormat/>
    <w:locked/>
    <w:rsid w:val="00ED51E7"/>
    <w:pPr>
      <w:keepNext/>
      <w:ind w:firstLine="720"/>
      <w:jc w:val="both"/>
      <w:outlineLvl w:val="0"/>
    </w:pPr>
    <w:rPr>
      <w:rFonts w:eastAsiaTheme="minorEastAsia"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6703D"/>
    <w:rPr>
      <w:rFonts w:ascii="Tahoma" w:hAnsi="Tahoma" w:cs="Tahoma"/>
      <w:sz w:val="16"/>
      <w:szCs w:val="16"/>
    </w:rPr>
  </w:style>
  <w:style w:type="character" w:customStyle="1" w:styleId="BalloonTextChar">
    <w:name w:val="Balloon Text Char"/>
    <w:basedOn w:val="DefaultParagraphFont"/>
    <w:link w:val="BalloonText"/>
    <w:uiPriority w:val="99"/>
    <w:locked/>
    <w:rsid w:val="0026703D"/>
    <w:rPr>
      <w:rFonts w:ascii="Tahoma" w:hAnsi="Tahoma" w:cs="Tahoma"/>
      <w:sz w:val="16"/>
      <w:szCs w:val="16"/>
      <w:lang w:val="en-US" w:eastAsia="en-US"/>
    </w:rPr>
  </w:style>
  <w:style w:type="paragraph" w:styleId="ListParagraph">
    <w:name w:val="List Paragraph"/>
    <w:basedOn w:val="Normal"/>
    <w:uiPriority w:val="99"/>
    <w:qFormat/>
    <w:rsid w:val="00CA1146"/>
    <w:pPr>
      <w:ind w:left="720"/>
      <w:contextualSpacing/>
    </w:pPr>
  </w:style>
  <w:style w:type="character" w:styleId="CommentReference">
    <w:name w:val="annotation reference"/>
    <w:basedOn w:val="DefaultParagraphFont"/>
    <w:uiPriority w:val="99"/>
    <w:rsid w:val="0026703D"/>
    <w:rPr>
      <w:rFonts w:cs="Times New Roman"/>
      <w:sz w:val="16"/>
      <w:szCs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basedOn w:val="DefaultParagraphFont"/>
    <w:link w:val="CommentText"/>
    <w:uiPriority w:val="99"/>
    <w:locked/>
    <w:rsid w:val="0026703D"/>
    <w:rPr>
      <w:rFonts w:cs="Times New Roman"/>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basedOn w:val="CommentTextChar"/>
    <w:link w:val="CommentSubject"/>
    <w:uiPriority w:val="99"/>
    <w:locked/>
    <w:rsid w:val="0026703D"/>
    <w:rPr>
      <w:rFonts w:cs="Times New Roman"/>
      <w:b/>
      <w:bCs/>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basedOn w:val="DefaultParagraphFont"/>
    <w:link w:val="Header"/>
    <w:uiPriority w:val="99"/>
    <w:semiHidden/>
    <w:rsid w:val="00EA550D"/>
    <w:rPr>
      <w:sz w:val="24"/>
      <w:szCs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basedOn w:val="DefaultParagraphFont"/>
    <w:link w:val="Footer"/>
    <w:uiPriority w:val="99"/>
    <w:semiHidden/>
    <w:rsid w:val="00EA550D"/>
    <w:rPr>
      <w:sz w:val="24"/>
      <w:szCs w:val="24"/>
      <w:lang w:val="en-US" w:eastAsia="en-US"/>
    </w:rPr>
  </w:style>
  <w:style w:type="paragraph" w:styleId="BodyText2">
    <w:name w:val="Body Text 2"/>
    <w:basedOn w:val="Normal"/>
    <w:link w:val="BodyText2Char"/>
    <w:rsid w:val="00CB3800"/>
    <w:rPr>
      <w:lang w:val="en-GB"/>
    </w:rPr>
  </w:style>
  <w:style w:type="character" w:customStyle="1" w:styleId="BodyText2Char">
    <w:name w:val="Body Text 2 Char"/>
    <w:basedOn w:val="DefaultParagraphFont"/>
    <w:link w:val="BodyText2"/>
    <w:uiPriority w:val="99"/>
    <w:semiHidden/>
    <w:rsid w:val="00EA550D"/>
    <w:rPr>
      <w:sz w:val="24"/>
      <w:szCs w:val="24"/>
      <w:lang w:val="en-US" w:eastAsia="en-US"/>
    </w:rPr>
  </w:style>
  <w:style w:type="character" w:styleId="PageNumber">
    <w:name w:val="page number"/>
    <w:basedOn w:val="DefaultParagraphFont"/>
    <w:uiPriority w:val="99"/>
    <w:rsid w:val="00CB3800"/>
    <w:rPr>
      <w:rFonts w:cs="Times New Roman"/>
    </w:rPr>
  </w:style>
  <w:style w:type="character" w:customStyle="1" w:styleId="Heading1Char">
    <w:name w:val="Heading 1 Char"/>
    <w:basedOn w:val="DefaultParagraphFont"/>
    <w:link w:val="Heading1"/>
    <w:uiPriority w:val="99"/>
    <w:rsid w:val="00ED51E7"/>
    <w:rPr>
      <w:rFonts w:eastAsiaTheme="minorEastAsia" w:cstheme="minorBidi"/>
      <w:i/>
      <w:iCs/>
      <w:sz w:val="24"/>
      <w:szCs w:val="24"/>
      <w:lang w:val="en-US" w:eastAsia="en-US"/>
    </w:rPr>
  </w:style>
  <w:style w:type="character" w:styleId="Emphasis">
    <w:name w:val="Emphasis"/>
    <w:basedOn w:val="DefaultParagraphFont"/>
    <w:qFormat/>
    <w:locked/>
    <w:rsid w:val="00284281"/>
    <w:rPr>
      <w:i/>
      <w:iCs/>
    </w:rPr>
  </w:style>
  <w:style w:type="paragraph" w:styleId="FootnoteText">
    <w:name w:val="footnote text"/>
    <w:basedOn w:val="Normal"/>
    <w:link w:val="FootnoteTextChar"/>
    <w:uiPriority w:val="99"/>
    <w:semiHidden/>
    <w:unhideWhenUsed/>
    <w:rsid w:val="001C0BD0"/>
    <w:rPr>
      <w:sz w:val="20"/>
      <w:szCs w:val="20"/>
    </w:rPr>
  </w:style>
  <w:style w:type="character" w:customStyle="1" w:styleId="FootnoteTextChar">
    <w:name w:val="Footnote Text Char"/>
    <w:basedOn w:val="DefaultParagraphFont"/>
    <w:link w:val="FootnoteText"/>
    <w:uiPriority w:val="99"/>
    <w:semiHidden/>
    <w:rsid w:val="001C0BD0"/>
    <w:rPr>
      <w:lang w:val="en-US" w:eastAsia="en-US"/>
    </w:rPr>
  </w:style>
  <w:style w:type="character" w:styleId="FootnoteReference">
    <w:name w:val="footnote reference"/>
    <w:basedOn w:val="DefaultParagraphFont"/>
    <w:uiPriority w:val="99"/>
    <w:semiHidden/>
    <w:unhideWhenUsed/>
    <w:rsid w:val="001C0BD0"/>
    <w:rPr>
      <w:vertAlign w:val="superscript"/>
    </w:rPr>
  </w:style>
  <w:style w:type="character" w:styleId="Hyperlink">
    <w:name w:val="Hyperlink"/>
    <w:basedOn w:val="DefaultParagraphFont"/>
    <w:uiPriority w:val="99"/>
    <w:unhideWhenUsed/>
    <w:rsid w:val="00166C03"/>
    <w:rPr>
      <w:color w:val="0000FF" w:themeColor="hyperlink"/>
      <w:u w:val="single"/>
    </w:rPr>
  </w:style>
  <w:style w:type="paragraph" w:styleId="Revision">
    <w:name w:val="Revision"/>
    <w:hidden/>
    <w:uiPriority w:val="99"/>
    <w:semiHidden/>
    <w:rsid w:val="00B50FE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9911">
      <w:bodyDiv w:val="1"/>
      <w:marLeft w:val="0"/>
      <w:marRight w:val="0"/>
      <w:marTop w:val="0"/>
      <w:marBottom w:val="0"/>
      <w:divBdr>
        <w:top w:val="none" w:sz="0" w:space="0" w:color="auto"/>
        <w:left w:val="none" w:sz="0" w:space="0" w:color="auto"/>
        <w:bottom w:val="none" w:sz="0" w:space="0" w:color="auto"/>
        <w:right w:val="none" w:sz="0" w:space="0" w:color="auto"/>
      </w:divBdr>
    </w:div>
    <w:div w:id="20548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p-aewa.org/meetings/symposium/symposium.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E10A-19BA-4C66-B2A9-33065F45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 RESOLUTION 5</vt:lpstr>
    </vt:vector>
  </TitlesOfParts>
  <Company>UNEP</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creator>Sergey Dereliev (UNEP/AEWA Secretariat)</dc:creator>
  <cp:lastModifiedBy>Marie-Therese Kaemper (UNEP/AEWA Secretariat)</cp:lastModifiedBy>
  <cp:revision>2</cp:revision>
  <dcterms:created xsi:type="dcterms:W3CDTF">2013-01-11T14:05:00Z</dcterms:created>
  <dcterms:modified xsi:type="dcterms:W3CDTF">2013-01-11T14:05:00Z</dcterms:modified>
</cp:coreProperties>
</file>