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4B205F" w:rsidRPr="006756C2" w14:paraId="75EF4412" w14:textId="77777777">
        <w:trPr>
          <w:trHeight w:val="1256"/>
        </w:trPr>
        <w:tc>
          <w:tcPr>
            <w:tcW w:w="2268" w:type="dxa"/>
            <w:shd w:val="clear" w:color="auto" w:fill="auto"/>
            <w:tcMar>
              <w:top w:w="0" w:type="dxa"/>
              <w:left w:w="108" w:type="dxa"/>
              <w:bottom w:w="0" w:type="dxa"/>
              <w:right w:w="108" w:type="dxa"/>
            </w:tcMar>
          </w:tcPr>
          <w:p w14:paraId="4722FE1F" w14:textId="77777777" w:rsidR="004B205F" w:rsidRPr="008377E9" w:rsidRDefault="00C31EF1">
            <w:pPr>
              <w:rPr>
                <w:lang w:val="fr-FR"/>
              </w:rPr>
            </w:pPr>
            <w:r w:rsidRPr="008377E9">
              <w:rPr>
                <w:noProof/>
              </w:rPr>
              <w:drawing>
                <wp:inline distT="0" distB="0" distL="0" distR="0" wp14:anchorId="09F4698F" wp14:editId="00823AD1">
                  <wp:extent cx="828675" cy="695328"/>
                  <wp:effectExtent l="0" t="0" r="9525" b="9522"/>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828675" cy="695328"/>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247BB8E4" w14:textId="77777777" w:rsidR="004B205F" w:rsidRPr="008377E9" w:rsidRDefault="00C31EF1">
            <w:pPr>
              <w:tabs>
                <w:tab w:val="left" w:pos="2871"/>
              </w:tabs>
              <w:jc w:val="center"/>
              <w:rPr>
                <w:lang w:val="fr-FR"/>
              </w:rPr>
            </w:pPr>
            <w:r w:rsidRPr="008377E9">
              <w:rPr>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3970BD33" w14:textId="4A05CE2E" w:rsidR="004B205F" w:rsidRPr="008377E9" w:rsidRDefault="00C31EF1">
            <w:pPr>
              <w:ind w:left="-108"/>
              <w:jc w:val="right"/>
              <w:rPr>
                <w:lang w:val="fr-FR"/>
              </w:rPr>
            </w:pPr>
            <w:r w:rsidRPr="008377E9">
              <w:rPr>
                <w:i/>
                <w:iCs/>
                <w:sz w:val="20"/>
                <w:szCs w:val="20"/>
                <w:lang w:val="fr-FR"/>
              </w:rPr>
              <w:t>Doc</w:t>
            </w:r>
            <w:r w:rsidR="004753E3">
              <w:rPr>
                <w:i/>
                <w:iCs/>
                <w:sz w:val="20"/>
                <w:szCs w:val="20"/>
                <w:lang w:val="fr-FR"/>
              </w:rPr>
              <w:t xml:space="preserve"> </w:t>
            </w:r>
            <w:r w:rsidRPr="008377E9">
              <w:rPr>
                <w:i/>
                <w:iCs/>
                <w:sz w:val="20"/>
                <w:szCs w:val="20"/>
                <w:lang w:val="fr-FR"/>
              </w:rPr>
              <w:t xml:space="preserve">: </w:t>
            </w:r>
            <w:r w:rsidRPr="008377E9">
              <w:rPr>
                <w:bCs/>
                <w:i/>
                <w:iCs/>
                <w:sz w:val="20"/>
                <w:szCs w:val="20"/>
                <w:lang w:val="fr-FR"/>
              </w:rPr>
              <w:t>AEWA/MOP</w:t>
            </w:r>
            <w:r w:rsidR="006756C2">
              <w:rPr>
                <w:bCs/>
                <w:i/>
                <w:iCs/>
                <w:sz w:val="20"/>
                <w:szCs w:val="20"/>
                <w:lang w:val="fr-FR"/>
              </w:rPr>
              <w:t xml:space="preserve"> Inf. </w:t>
            </w:r>
            <w:r w:rsidRPr="008377E9">
              <w:rPr>
                <w:bCs/>
                <w:i/>
                <w:iCs/>
                <w:sz w:val="20"/>
                <w:szCs w:val="20"/>
                <w:lang w:val="fr-FR"/>
              </w:rPr>
              <w:t>6.</w:t>
            </w:r>
            <w:r w:rsidR="006756C2">
              <w:rPr>
                <w:bCs/>
                <w:i/>
                <w:iCs/>
                <w:sz w:val="20"/>
                <w:szCs w:val="20"/>
                <w:lang w:val="fr-FR"/>
              </w:rPr>
              <w:t>12</w:t>
            </w:r>
          </w:p>
          <w:p w14:paraId="516B540E" w14:textId="45BAF023" w:rsidR="004B205F" w:rsidRPr="008377E9" w:rsidRDefault="00C31EF1">
            <w:pPr>
              <w:jc w:val="right"/>
              <w:rPr>
                <w:lang w:val="fr-FR"/>
              </w:rPr>
            </w:pPr>
            <w:r w:rsidRPr="008377E9">
              <w:rPr>
                <w:i/>
                <w:iCs/>
                <w:sz w:val="20"/>
                <w:szCs w:val="20"/>
                <w:lang w:val="fr-FR"/>
              </w:rPr>
              <w:t>Original</w:t>
            </w:r>
            <w:r w:rsidR="004753E3">
              <w:rPr>
                <w:i/>
                <w:iCs/>
                <w:sz w:val="20"/>
                <w:szCs w:val="20"/>
                <w:lang w:val="fr-FR"/>
              </w:rPr>
              <w:t xml:space="preserve"> </w:t>
            </w:r>
            <w:r w:rsidRPr="008377E9">
              <w:rPr>
                <w:i/>
                <w:iCs/>
                <w:sz w:val="20"/>
                <w:szCs w:val="20"/>
                <w:lang w:val="fr-FR"/>
              </w:rPr>
              <w:t>: Anglais</w:t>
            </w:r>
          </w:p>
          <w:p w14:paraId="1D848DC8" w14:textId="77777777" w:rsidR="004B205F" w:rsidRPr="008377E9" w:rsidRDefault="004B205F">
            <w:pPr>
              <w:jc w:val="right"/>
              <w:rPr>
                <w:bCs/>
                <w:i/>
                <w:iCs/>
                <w:sz w:val="20"/>
                <w:szCs w:val="20"/>
                <w:lang w:val="fr-FR"/>
              </w:rPr>
            </w:pPr>
          </w:p>
          <w:p w14:paraId="013FEC54" w14:textId="3E1A514E" w:rsidR="004B205F" w:rsidRPr="008377E9" w:rsidRDefault="00C31EF1">
            <w:pPr>
              <w:jc w:val="right"/>
              <w:rPr>
                <w:i/>
                <w:iCs/>
                <w:sz w:val="20"/>
                <w:szCs w:val="20"/>
                <w:lang w:val="fr-FR"/>
              </w:rPr>
            </w:pPr>
            <w:r w:rsidRPr="008377E9">
              <w:rPr>
                <w:i/>
                <w:iCs/>
                <w:sz w:val="20"/>
                <w:szCs w:val="20"/>
                <w:lang w:val="fr-FR"/>
              </w:rPr>
              <w:t>Date</w:t>
            </w:r>
            <w:r w:rsidR="004753E3">
              <w:rPr>
                <w:i/>
                <w:iCs/>
                <w:sz w:val="20"/>
                <w:szCs w:val="20"/>
                <w:lang w:val="fr-FR"/>
              </w:rPr>
              <w:t xml:space="preserve"> </w:t>
            </w:r>
            <w:r w:rsidRPr="008377E9">
              <w:rPr>
                <w:i/>
                <w:iCs/>
                <w:sz w:val="20"/>
                <w:szCs w:val="20"/>
                <w:lang w:val="fr-FR"/>
              </w:rPr>
              <w:t xml:space="preserve">: </w:t>
            </w:r>
            <w:r w:rsidR="006756C2">
              <w:rPr>
                <w:i/>
                <w:iCs/>
                <w:sz w:val="20"/>
                <w:szCs w:val="20"/>
                <w:lang w:val="fr-FR"/>
              </w:rPr>
              <w:t>27 octobre</w:t>
            </w:r>
            <w:r w:rsidRPr="008377E9">
              <w:rPr>
                <w:i/>
                <w:iCs/>
                <w:sz w:val="20"/>
                <w:szCs w:val="20"/>
                <w:lang w:val="fr-FR"/>
              </w:rPr>
              <w:t xml:space="preserve"> 2015</w:t>
            </w:r>
          </w:p>
          <w:p w14:paraId="0C5A0E9D" w14:textId="77777777" w:rsidR="004B205F" w:rsidRPr="008377E9" w:rsidRDefault="004B205F">
            <w:pPr>
              <w:jc w:val="right"/>
              <w:rPr>
                <w:sz w:val="18"/>
                <w:szCs w:val="18"/>
                <w:lang w:val="fr-FR"/>
              </w:rPr>
            </w:pPr>
          </w:p>
        </w:tc>
      </w:tr>
      <w:tr w:rsidR="004B205F" w:rsidRPr="008377E9" w14:paraId="167712BB" w14:textId="77777777">
        <w:tc>
          <w:tcPr>
            <w:tcW w:w="9498" w:type="dxa"/>
            <w:gridSpan w:val="3"/>
            <w:shd w:val="clear" w:color="auto" w:fill="auto"/>
            <w:tcMar>
              <w:top w:w="0" w:type="dxa"/>
              <w:left w:w="108" w:type="dxa"/>
              <w:bottom w:w="0" w:type="dxa"/>
              <w:right w:w="108" w:type="dxa"/>
            </w:tcMar>
          </w:tcPr>
          <w:p w14:paraId="7713643A" w14:textId="77777777" w:rsidR="004B205F" w:rsidRPr="008377E9" w:rsidRDefault="00C31EF1">
            <w:pPr>
              <w:pStyle w:val="BodyText2"/>
              <w:jc w:val="center"/>
              <w:rPr>
                <w:lang w:val="fr-FR"/>
              </w:rPr>
            </w:pPr>
            <w:r w:rsidRPr="008377E9">
              <w:rPr>
                <w:b/>
                <w:bCs/>
                <w:sz w:val="26"/>
                <w:szCs w:val="26"/>
                <w:lang w:val="fr-FR"/>
              </w:rPr>
              <w:t>6</w:t>
            </w:r>
            <w:r w:rsidRPr="008377E9">
              <w:rPr>
                <w:b/>
                <w:bCs/>
                <w:sz w:val="26"/>
                <w:szCs w:val="26"/>
                <w:vertAlign w:val="superscript"/>
                <w:lang w:val="fr-FR"/>
              </w:rPr>
              <w:t>ème</w:t>
            </w:r>
            <w:r w:rsidRPr="008377E9">
              <w:rPr>
                <w:b/>
                <w:bCs/>
                <w:sz w:val="26"/>
                <w:szCs w:val="26"/>
                <w:lang w:val="fr-FR"/>
              </w:rPr>
              <w:t xml:space="preserve"> </w:t>
            </w:r>
            <w:r w:rsidRPr="008377E9">
              <w:rPr>
                <w:b/>
                <w:bCs/>
                <w:caps/>
                <w:sz w:val="26"/>
                <w:szCs w:val="26"/>
                <w:lang w:val="fr-FR"/>
              </w:rPr>
              <w:t>Session de la rÉunion des parties contractantes</w:t>
            </w:r>
          </w:p>
          <w:p w14:paraId="3DF90D11" w14:textId="367FB7B5" w:rsidR="004B205F" w:rsidRPr="008377E9" w:rsidRDefault="00C31EF1" w:rsidP="00D4695C">
            <w:pPr>
              <w:jc w:val="center"/>
              <w:rPr>
                <w:lang w:val="fr-FR"/>
              </w:rPr>
            </w:pPr>
            <w:r w:rsidRPr="008377E9">
              <w:rPr>
                <w:i/>
                <w:iCs/>
                <w:lang w:val="fr-FR"/>
              </w:rPr>
              <w:t>9-</w:t>
            </w:r>
            <w:r w:rsidR="007512FF" w:rsidRPr="008377E9">
              <w:rPr>
                <w:i/>
                <w:iCs/>
                <w:lang w:val="fr-FR"/>
              </w:rPr>
              <w:t>1</w:t>
            </w:r>
            <w:r w:rsidRPr="008377E9">
              <w:rPr>
                <w:i/>
                <w:iCs/>
                <w:lang w:val="fr-FR"/>
              </w:rPr>
              <w:t xml:space="preserve">4 </w:t>
            </w:r>
            <w:proofErr w:type="gramStart"/>
            <w:r w:rsidRPr="008377E9">
              <w:rPr>
                <w:i/>
                <w:iCs/>
                <w:lang w:val="fr-FR"/>
              </w:rPr>
              <w:t>novembre</w:t>
            </w:r>
            <w:proofErr w:type="gramEnd"/>
            <w:r w:rsidRPr="008377E9">
              <w:rPr>
                <w:i/>
                <w:iCs/>
                <w:lang w:val="fr-FR"/>
              </w:rPr>
              <w:t xml:space="preserve"> 2015, Bonn, Allemagne</w:t>
            </w:r>
          </w:p>
        </w:tc>
      </w:tr>
      <w:tr w:rsidR="004B205F" w:rsidRPr="006756C2" w14:paraId="7E2204F1" w14:textId="77777777">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71164355" w14:textId="77777777" w:rsidR="004B205F" w:rsidRPr="008377E9" w:rsidRDefault="00C31EF1">
            <w:pPr>
              <w:pStyle w:val="BodyText2"/>
              <w:jc w:val="center"/>
              <w:rPr>
                <w:bCs/>
                <w:i/>
                <w:sz w:val="24"/>
                <w:lang w:val="fr-FR"/>
              </w:rPr>
            </w:pPr>
            <w:r w:rsidRPr="008377E9">
              <w:rPr>
                <w:bCs/>
                <w:i/>
                <w:sz w:val="24"/>
                <w:lang w:val="fr-FR"/>
              </w:rPr>
              <w:t>« Concrétiser la conservation au niveau de la voie de migration »</w:t>
            </w:r>
          </w:p>
        </w:tc>
      </w:tr>
    </w:tbl>
    <w:p w14:paraId="7A24957F" w14:textId="77777777" w:rsidR="004B205F" w:rsidRDefault="004B205F">
      <w:pPr>
        <w:rPr>
          <w:lang w:val="fr-FR"/>
        </w:rPr>
      </w:pPr>
    </w:p>
    <w:p w14:paraId="68882464" w14:textId="77777777" w:rsidR="004B205F" w:rsidRDefault="004B205F">
      <w:pPr>
        <w:rPr>
          <w:lang w:val="fr-FR"/>
        </w:rPr>
      </w:pPr>
    </w:p>
    <w:p w14:paraId="7D87622E" w14:textId="77777777" w:rsidR="006756C2" w:rsidRDefault="006756C2" w:rsidP="006756C2">
      <w:pPr>
        <w:suppressAutoHyphens w:val="0"/>
        <w:autoSpaceDN/>
        <w:jc w:val="center"/>
        <w:textAlignment w:val="auto"/>
        <w:rPr>
          <w:rFonts w:eastAsiaTheme="minorHAnsi"/>
          <w:b/>
          <w:lang w:val="fr-FR"/>
        </w:rPr>
      </w:pPr>
      <w:r w:rsidRPr="006756C2">
        <w:rPr>
          <w:rFonts w:eastAsiaTheme="minorHAnsi"/>
          <w:b/>
          <w:lang w:val="fr-FR"/>
        </w:rPr>
        <w:t>DECISION DU 44</w:t>
      </w:r>
      <w:r w:rsidRPr="006756C2">
        <w:rPr>
          <w:rFonts w:eastAsiaTheme="minorHAnsi"/>
          <w:b/>
          <w:vertAlign w:val="superscript"/>
          <w:lang w:val="fr-FR"/>
        </w:rPr>
        <w:t>EME</w:t>
      </w:r>
      <w:r w:rsidRPr="006756C2">
        <w:rPr>
          <w:rFonts w:eastAsiaTheme="minorHAnsi"/>
          <w:b/>
          <w:lang w:val="fr-FR"/>
        </w:rPr>
        <w:t xml:space="preserve"> COMITE PERMANENT DE LA CMS SUR LE RENFORCEMENT DES</w:t>
      </w:r>
      <w:r>
        <w:rPr>
          <w:rFonts w:eastAsiaTheme="minorHAnsi"/>
          <w:b/>
          <w:lang w:val="fr-FR"/>
        </w:rPr>
        <w:t xml:space="preserve"> </w:t>
      </w:r>
      <w:r w:rsidRPr="006756C2">
        <w:rPr>
          <w:rFonts w:eastAsiaTheme="minorHAnsi"/>
          <w:b/>
          <w:lang w:val="fr-FR"/>
        </w:rPr>
        <w:t xml:space="preserve">SYNERGIES ET DES SERVICES COMMUNS ENTRE LES INSTRUMENTS </w:t>
      </w:r>
    </w:p>
    <w:p w14:paraId="2C54547C" w14:textId="4DCE6EBA" w:rsidR="006756C2" w:rsidRPr="006756C2" w:rsidRDefault="006756C2" w:rsidP="006756C2">
      <w:pPr>
        <w:suppressAutoHyphens w:val="0"/>
        <w:autoSpaceDN/>
        <w:jc w:val="center"/>
        <w:textAlignment w:val="auto"/>
        <w:rPr>
          <w:rFonts w:eastAsiaTheme="minorHAnsi"/>
          <w:b/>
          <w:lang w:val="fr-FR"/>
        </w:rPr>
      </w:pPr>
      <w:r w:rsidRPr="006756C2">
        <w:rPr>
          <w:rFonts w:eastAsiaTheme="minorHAnsi"/>
          <w:b/>
          <w:lang w:val="fr-FR"/>
        </w:rPr>
        <w:t>DE LA FAMILLE CMS</w:t>
      </w:r>
    </w:p>
    <w:p w14:paraId="3A39E7CC" w14:textId="77777777" w:rsidR="006756C2" w:rsidRPr="006756C2" w:rsidRDefault="006756C2" w:rsidP="006756C2">
      <w:pPr>
        <w:suppressAutoHyphens w:val="0"/>
        <w:autoSpaceDN/>
        <w:spacing w:after="160" w:line="259" w:lineRule="auto"/>
        <w:jc w:val="center"/>
        <w:textAlignment w:val="auto"/>
        <w:rPr>
          <w:rFonts w:eastAsiaTheme="minorHAnsi"/>
          <w:sz w:val="22"/>
          <w:szCs w:val="22"/>
          <w:lang w:val="fr-FR"/>
        </w:rPr>
      </w:pPr>
    </w:p>
    <w:p w14:paraId="5A7E5347" w14:textId="77777777" w:rsidR="006756C2" w:rsidRPr="006756C2" w:rsidRDefault="006756C2" w:rsidP="006756C2">
      <w:pPr>
        <w:suppressAutoHyphens w:val="0"/>
        <w:autoSpaceDN/>
        <w:spacing w:after="160" w:line="259" w:lineRule="auto"/>
        <w:textAlignment w:val="auto"/>
        <w:rPr>
          <w:rFonts w:eastAsiaTheme="minorHAnsi"/>
          <w:sz w:val="22"/>
          <w:szCs w:val="22"/>
          <w:lang w:val="fr-FR"/>
        </w:rPr>
      </w:pPr>
      <w:r w:rsidRPr="006756C2">
        <w:rPr>
          <w:rFonts w:eastAsiaTheme="minorHAnsi"/>
          <w:i/>
          <w:sz w:val="22"/>
          <w:szCs w:val="22"/>
          <w:lang w:val="fr-FR"/>
        </w:rPr>
        <w:t xml:space="preserve">Consciente </w:t>
      </w:r>
      <w:r w:rsidRPr="006756C2">
        <w:rPr>
          <w:rFonts w:eastAsiaTheme="minorHAnsi"/>
          <w:sz w:val="22"/>
          <w:szCs w:val="22"/>
          <w:lang w:val="fr-FR"/>
        </w:rPr>
        <w:t>de l’autonomie juridique de chacun des instruments de la CMS ;</w:t>
      </w:r>
    </w:p>
    <w:p w14:paraId="3B4DA049" w14:textId="77777777" w:rsidR="006756C2" w:rsidRPr="006756C2" w:rsidRDefault="006756C2" w:rsidP="006756C2">
      <w:pPr>
        <w:suppressAutoHyphens w:val="0"/>
        <w:autoSpaceDN/>
        <w:spacing w:after="160" w:line="259" w:lineRule="auto"/>
        <w:textAlignment w:val="auto"/>
        <w:rPr>
          <w:rFonts w:eastAsiaTheme="minorHAnsi"/>
          <w:sz w:val="22"/>
          <w:szCs w:val="22"/>
          <w:lang w:val="fr-FR"/>
        </w:rPr>
      </w:pPr>
      <w:r w:rsidRPr="006756C2">
        <w:rPr>
          <w:rFonts w:eastAsiaTheme="minorHAnsi"/>
          <w:i/>
          <w:sz w:val="22"/>
          <w:szCs w:val="22"/>
          <w:lang w:val="fr-FR"/>
        </w:rPr>
        <w:t xml:space="preserve">Rappelant </w:t>
      </w:r>
      <w:r w:rsidRPr="006756C2">
        <w:rPr>
          <w:rFonts w:eastAsiaTheme="minorHAnsi"/>
          <w:sz w:val="22"/>
          <w:szCs w:val="22"/>
          <w:lang w:val="fr-FR"/>
        </w:rPr>
        <w:t>la Résolution 11.3 de la CMS sur le « Renforcement des synergies et des services communs entre les instruments de la Famille CMS » et le rôle du Comité permanent qui contribue à faire avancer la question entre les réunions de la COP, notamment en déterminant les avantages et les inconvénient sur la base d’une analyse indépendante, pour tenir compte des résultats des réunions des organes décisionnels des autres instruments de la Famille CMS et en prenant les décisions appropriées en accord avec ces résultats en vue de réaliser des synergies renforcées, telle que le partage de services dans les domaines de services communs, et en présentant un rapport à la COP12 ;</w:t>
      </w:r>
    </w:p>
    <w:p w14:paraId="2C0AF407" w14:textId="77777777" w:rsidR="006756C2" w:rsidRPr="006756C2" w:rsidRDefault="006756C2" w:rsidP="006756C2">
      <w:pPr>
        <w:suppressAutoHyphens w:val="0"/>
        <w:autoSpaceDN/>
        <w:spacing w:after="160" w:line="259" w:lineRule="auto"/>
        <w:textAlignment w:val="auto"/>
        <w:rPr>
          <w:rFonts w:eastAsiaTheme="minorHAnsi"/>
          <w:sz w:val="22"/>
          <w:szCs w:val="22"/>
          <w:lang w:val="fr-FR"/>
        </w:rPr>
      </w:pPr>
      <w:r w:rsidRPr="006756C2">
        <w:rPr>
          <w:rFonts w:eastAsiaTheme="minorHAnsi"/>
          <w:i/>
          <w:sz w:val="22"/>
          <w:szCs w:val="22"/>
          <w:lang w:val="fr-FR"/>
        </w:rPr>
        <w:t xml:space="preserve">Rappelant </w:t>
      </w:r>
      <w:r w:rsidRPr="006756C2">
        <w:rPr>
          <w:rFonts w:eastAsiaTheme="minorHAnsi"/>
          <w:sz w:val="22"/>
          <w:szCs w:val="22"/>
          <w:lang w:val="fr-FR"/>
        </w:rPr>
        <w:t>également la décision de la 9</w:t>
      </w:r>
      <w:r w:rsidRPr="006756C2">
        <w:rPr>
          <w:rFonts w:eastAsiaTheme="minorHAnsi"/>
          <w:sz w:val="22"/>
          <w:szCs w:val="22"/>
          <w:vertAlign w:val="superscript"/>
          <w:lang w:val="fr-FR"/>
        </w:rPr>
        <w:t>ème</w:t>
      </w:r>
      <w:r w:rsidRPr="006756C2">
        <w:rPr>
          <w:rFonts w:eastAsiaTheme="minorHAnsi"/>
          <w:sz w:val="22"/>
          <w:szCs w:val="22"/>
          <w:lang w:val="fr-FR"/>
        </w:rPr>
        <w:t xml:space="preserve"> réunion du Comité permanent de l’AEWA qui demande au Secrétaire exécutif de l’AEWA et au Secrétaire exécutif de la CMS d’élaborer d’autres synergies entre l’AEWA et la CMS, et de prendre des mesures visant à fusionner les services et les domaines communs, pour s’efforcer de rediriger l’attention des Secrétariats vers le renforcement de l’aide à la mise en œuvre ;</w:t>
      </w:r>
    </w:p>
    <w:p w14:paraId="3B406C69" w14:textId="77777777" w:rsidR="006756C2" w:rsidRPr="006756C2" w:rsidRDefault="006756C2" w:rsidP="006756C2">
      <w:pPr>
        <w:suppressAutoHyphens w:val="0"/>
        <w:autoSpaceDN/>
        <w:spacing w:after="160" w:line="259" w:lineRule="auto"/>
        <w:textAlignment w:val="auto"/>
        <w:rPr>
          <w:rFonts w:eastAsiaTheme="minorHAnsi"/>
          <w:sz w:val="22"/>
          <w:szCs w:val="22"/>
          <w:lang w:val="fr-FR"/>
        </w:rPr>
      </w:pPr>
      <w:r w:rsidRPr="006756C2">
        <w:rPr>
          <w:rFonts w:eastAsiaTheme="minorHAnsi"/>
          <w:i/>
          <w:sz w:val="22"/>
          <w:szCs w:val="22"/>
          <w:lang w:val="fr-FR"/>
        </w:rPr>
        <w:t xml:space="preserve">Se réjouissant </w:t>
      </w:r>
      <w:r w:rsidRPr="006756C2">
        <w:rPr>
          <w:rFonts w:eastAsiaTheme="minorHAnsi"/>
          <w:sz w:val="22"/>
          <w:szCs w:val="22"/>
          <w:lang w:val="fr-FR"/>
        </w:rPr>
        <w:t>de l’analyse indépendante et du rapport sur les implications juridiques, financières, opérationnelles et administratives des actions visant au renforcement des synergies, par exemple en partageant des services dans les domaines de services communs destinés aux organes décisionnels de toute le Famille CMS ;</w:t>
      </w:r>
    </w:p>
    <w:p w14:paraId="318BD701" w14:textId="77777777" w:rsidR="006756C2" w:rsidRPr="006756C2" w:rsidRDefault="006756C2" w:rsidP="006756C2">
      <w:pPr>
        <w:suppressAutoHyphens w:val="0"/>
        <w:autoSpaceDN/>
        <w:spacing w:after="160" w:line="259" w:lineRule="auto"/>
        <w:textAlignment w:val="auto"/>
        <w:rPr>
          <w:rFonts w:eastAsiaTheme="minorHAnsi"/>
          <w:sz w:val="22"/>
          <w:szCs w:val="22"/>
          <w:lang w:val="fr-FR"/>
        </w:rPr>
      </w:pPr>
      <w:r w:rsidRPr="006756C2">
        <w:rPr>
          <w:rFonts w:eastAsiaTheme="minorHAnsi"/>
          <w:i/>
          <w:sz w:val="22"/>
          <w:szCs w:val="22"/>
          <w:lang w:val="fr-FR"/>
        </w:rPr>
        <w:t xml:space="preserve">Notant </w:t>
      </w:r>
      <w:r w:rsidRPr="006756C2">
        <w:rPr>
          <w:rFonts w:eastAsiaTheme="minorHAnsi"/>
          <w:sz w:val="22"/>
          <w:szCs w:val="22"/>
          <w:lang w:val="fr-FR"/>
        </w:rPr>
        <w:t>que l’analyse indépendante contient des informations importantes sur le potentiel des services communs pouvant être réalisé au sein de la Famille CMS et qu’elle souligne les avantages et inconvénients généraux d’une coopération renforcée, tout en notant également que d’autres types de synergies avec des instruments de la CMS basés en dehors de Bonn peuvent être importants ;</w:t>
      </w:r>
    </w:p>
    <w:p w14:paraId="5CC4198D" w14:textId="77777777" w:rsidR="006756C2" w:rsidRPr="006756C2" w:rsidRDefault="006756C2" w:rsidP="006756C2">
      <w:pPr>
        <w:suppressAutoHyphens w:val="0"/>
        <w:autoSpaceDN/>
        <w:spacing w:after="160" w:line="259" w:lineRule="auto"/>
        <w:textAlignment w:val="auto"/>
        <w:rPr>
          <w:rFonts w:eastAsiaTheme="minorHAnsi"/>
          <w:sz w:val="22"/>
          <w:szCs w:val="22"/>
          <w:lang w:val="fr-FR"/>
        </w:rPr>
      </w:pPr>
      <w:r w:rsidRPr="006756C2">
        <w:rPr>
          <w:rFonts w:eastAsiaTheme="minorHAnsi"/>
          <w:i/>
          <w:sz w:val="22"/>
          <w:szCs w:val="22"/>
          <w:lang w:val="fr-FR"/>
        </w:rPr>
        <w:t xml:space="preserve">Soulignant </w:t>
      </w:r>
      <w:r w:rsidRPr="006756C2">
        <w:rPr>
          <w:rFonts w:eastAsiaTheme="minorHAnsi"/>
          <w:sz w:val="22"/>
          <w:szCs w:val="22"/>
          <w:lang w:val="fr-FR"/>
        </w:rPr>
        <w:t>que l’objectif des services partagés entre les instruments de la CMS est de combler les lacunes, de se renforcer mutuellement, de produire de l’efficacité et d’accroître les résultats, et que le partage de services communs doit cibler le renforcement de la mise en œuvre des instruments concernés et maximiser l’efficacité et l’efficience de l’utilisation des ressources à tous les niveaux ;</w:t>
      </w:r>
    </w:p>
    <w:p w14:paraId="6A152E68" w14:textId="77777777" w:rsidR="006756C2" w:rsidRPr="006756C2" w:rsidRDefault="006756C2" w:rsidP="006756C2">
      <w:pPr>
        <w:suppressAutoHyphens w:val="0"/>
        <w:autoSpaceDN/>
        <w:spacing w:after="160" w:line="259" w:lineRule="auto"/>
        <w:textAlignment w:val="auto"/>
        <w:rPr>
          <w:rFonts w:eastAsiaTheme="minorHAnsi"/>
          <w:sz w:val="22"/>
          <w:szCs w:val="22"/>
          <w:lang w:val="fr-FR"/>
        </w:rPr>
      </w:pPr>
      <w:r w:rsidRPr="006756C2">
        <w:rPr>
          <w:rFonts w:eastAsiaTheme="minorHAnsi"/>
          <w:i/>
          <w:sz w:val="22"/>
          <w:szCs w:val="22"/>
          <w:lang w:val="fr-FR"/>
        </w:rPr>
        <w:t xml:space="preserve">Décide </w:t>
      </w:r>
      <w:r w:rsidRPr="006756C2">
        <w:rPr>
          <w:rFonts w:eastAsiaTheme="minorHAnsi"/>
          <w:sz w:val="22"/>
          <w:szCs w:val="22"/>
          <w:lang w:val="fr-FR"/>
        </w:rPr>
        <w:t>d’adopter une approche progressive avec les instruments basés à Bonn et note que les domaines  potentiels de services communs suggérés par l’analyse indépendante peuvent tirer le plus grand profit d’approches communes incluant le renforcement de la capacité, les questions de mise en œuvre transversales, les services de conférence et la levée de fonds ;</w:t>
      </w:r>
    </w:p>
    <w:p w14:paraId="5EBEEC92" w14:textId="77777777" w:rsidR="006756C2" w:rsidRDefault="006756C2" w:rsidP="006756C2">
      <w:pPr>
        <w:suppressAutoHyphens w:val="0"/>
        <w:autoSpaceDN/>
        <w:spacing w:after="160" w:line="259" w:lineRule="auto"/>
        <w:textAlignment w:val="auto"/>
        <w:rPr>
          <w:rFonts w:eastAsiaTheme="minorHAnsi"/>
          <w:sz w:val="22"/>
          <w:szCs w:val="22"/>
          <w:lang w:val="fr-FR"/>
        </w:rPr>
        <w:sectPr w:rsidR="006756C2" w:rsidSect="00F13138">
          <w:pgSz w:w="11906" w:h="16838" w:code="9"/>
          <w:pgMar w:top="1021" w:right="1134" w:bottom="851" w:left="1134" w:header="851" w:footer="510" w:gutter="0"/>
          <w:cols w:space="720"/>
        </w:sectPr>
      </w:pPr>
      <w:r w:rsidRPr="006756C2">
        <w:rPr>
          <w:rFonts w:eastAsiaTheme="minorHAnsi"/>
          <w:i/>
          <w:sz w:val="22"/>
          <w:szCs w:val="22"/>
          <w:lang w:val="fr-FR"/>
        </w:rPr>
        <w:t xml:space="preserve">Convaincue </w:t>
      </w:r>
      <w:r w:rsidRPr="006756C2">
        <w:rPr>
          <w:rFonts w:eastAsiaTheme="minorHAnsi"/>
          <w:sz w:val="22"/>
          <w:szCs w:val="22"/>
          <w:lang w:val="fr-FR"/>
        </w:rPr>
        <w:t>que la meilleure approche de la mise en œuvre des services communs entre les instruments de la CMS et  l’AEWA, soumise à la décision de la MOP de l’AEWA, réside dans une prise de décision d’un commun accord entre les Secrétaires exécutifs à propos des services potentiels, en consultation et avec les conseils du PNUE, en proposant des services convenus aux Comités permanents pour approbation, et en remettant régulièrement à ces derniers un rapport sur les avancements, les leçons apprises et les économies financières réalisées ;</w:t>
      </w:r>
    </w:p>
    <w:p w14:paraId="49A2331B" w14:textId="36831B66" w:rsidR="006756C2" w:rsidRPr="006756C2" w:rsidRDefault="006756C2" w:rsidP="006756C2">
      <w:pPr>
        <w:suppressAutoHyphens w:val="0"/>
        <w:autoSpaceDN/>
        <w:spacing w:after="160" w:line="259" w:lineRule="auto"/>
        <w:textAlignment w:val="auto"/>
        <w:rPr>
          <w:rFonts w:eastAsiaTheme="minorHAnsi"/>
          <w:sz w:val="22"/>
          <w:szCs w:val="22"/>
          <w:lang w:val="fr-FR"/>
        </w:rPr>
      </w:pPr>
    </w:p>
    <w:p w14:paraId="6E8F7F27" w14:textId="77777777" w:rsidR="006756C2" w:rsidRPr="006756C2" w:rsidRDefault="006756C2" w:rsidP="006756C2">
      <w:pPr>
        <w:suppressAutoHyphens w:val="0"/>
        <w:autoSpaceDN/>
        <w:spacing w:after="160" w:line="259" w:lineRule="auto"/>
        <w:textAlignment w:val="auto"/>
        <w:rPr>
          <w:rFonts w:eastAsiaTheme="minorHAnsi"/>
          <w:sz w:val="22"/>
          <w:szCs w:val="22"/>
          <w:lang w:val="fr-FR"/>
        </w:rPr>
      </w:pPr>
      <w:r w:rsidRPr="006756C2">
        <w:rPr>
          <w:rFonts w:eastAsiaTheme="minorHAnsi"/>
          <w:i/>
          <w:sz w:val="22"/>
          <w:szCs w:val="22"/>
          <w:lang w:val="fr-FR"/>
        </w:rPr>
        <w:t xml:space="preserve">Convient </w:t>
      </w:r>
      <w:r w:rsidRPr="006756C2">
        <w:rPr>
          <w:rFonts w:eastAsiaTheme="minorHAnsi"/>
          <w:sz w:val="22"/>
          <w:szCs w:val="22"/>
          <w:lang w:val="fr-FR"/>
        </w:rPr>
        <w:t xml:space="preserve">que les services communs proposés ne doivent constituer aucune astreinte financière pour les secrétariats et doivent préserver leur identité tout en améliorant l’efficacité ; </w:t>
      </w:r>
    </w:p>
    <w:p w14:paraId="120DEE09" w14:textId="77777777" w:rsidR="006756C2" w:rsidRPr="006756C2" w:rsidRDefault="006756C2" w:rsidP="006756C2">
      <w:pPr>
        <w:suppressAutoHyphens w:val="0"/>
        <w:autoSpaceDN/>
        <w:spacing w:after="160" w:line="259" w:lineRule="auto"/>
        <w:textAlignment w:val="auto"/>
        <w:rPr>
          <w:rFonts w:eastAsiaTheme="minorHAnsi"/>
          <w:sz w:val="22"/>
          <w:szCs w:val="22"/>
          <w:lang w:val="fr-FR"/>
        </w:rPr>
      </w:pPr>
      <w:r w:rsidRPr="006756C2">
        <w:rPr>
          <w:rFonts w:eastAsiaTheme="minorHAnsi"/>
          <w:i/>
          <w:sz w:val="22"/>
          <w:szCs w:val="22"/>
          <w:lang w:val="fr-FR"/>
        </w:rPr>
        <w:t xml:space="preserve">Invite </w:t>
      </w:r>
      <w:r w:rsidRPr="006756C2">
        <w:rPr>
          <w:rFonts w:eastAsiaTheme="minorHAnsi"/>
          <w:sz w:val="22"/>
          <w:szCs w:val="22"/>
          <w:lang w:val="fr-FR"/>
        </w:rPr>
        <w:t>la 6</w:t>
      </w:r>
      <w:r w:rsidRPr="006756C2">
        <w:rPr>
          <w:rFonts w:eastAsiaTheme="minorHAnsi"/>
          <w:sz w:val="22"/>
          <w:szCs w:val="22"/>
          <w:vertAlign w:val="superscript"/>
          <w:lang w:val="fr-FR"/>
        </w:rPr>
        <w:t>ème</w:t>
      </w:r>
      <w:r w:rsidRPr="006756C2">
        <w:rPr>
          <w:rFonts w:eastAsiaTheme="minorHAnsi"/>
          <w:sz w:val="22"/>
          <w:szCs w:val="22"/>
          <w:lang w:val="fr-FR"/>
        </w:rPr>
        <w:t xml:space="preserve"> session de la Réunion des Parties à l’AEWA à examiner l’analyse indépendante et cette décision du Comité permanent de la CMS, et à envisager le renforcement des services communs avec la CMS ;</w:t>
      </w:r>
    </w:p>
    <w:p w14:paraId="3B719447" w14:textId="77777777" w:rsidR="006756C2" w:rsidRPr="006756C2" w:rsidRDefault="006756C2" w:rsidP="006756C2">
      <w:pPr>
        <w:suppressAutoHyphens w:val="0"/>
        <w:autoSpaceDN/>
        <w:spacing w:after="160" w:line="259" w:lineRule="auto"/>
        <w:textAlignment w:val="auto"/>
        <w:rPr>
          <w:rFonts w:eastAsiaTheme="minorHAnsi"/>
          <w:sz w:val="22"/>
          <w:szCs w:val="22"/>
          <w:lang w:val="fr-FR"/>
        </w:rPr>
      </w:pPr>
      <w:r w:rsidRPr="006756C2">
        <w:rPr>
          <w:rFonts w:eastAsiaTheme="minorHAnsi"/>
          <w:i/>
          <w:sz w:val="22"/>
          <w:szCs w:val="22"/>
          <w:lang w:val="fr-FR"/>
        </w:rPr>
        <w:t xml:space="preserve">Invite </w:t>
      </w:r>
      <w:r w:rsidRPr="006756C2">
        <w:rPr>
          <w:rFonts w:eastAsiaTheme="minorHAnsi"/>
          <w:sz w:val="22"/>
          <w:szCs w:val="22"/>
          <w:lang w:val="fr-FR"/>
        </w:rPr>
        <w:t>le Président du Comité permanent de la CMS, qui est actuellement aussi Président du Comité permanent de l’AEWA, à communiquer les résultats de la 44</w:t>
      </w:r>
      <w:r w:rsidRPr="006756C2">
        <w:rPr>
          <w:rFonts w:eastAsiaTheme="minorHAnsi"/>
          <w:sz w:val="22"/>
          <w:szCs w:val="22"/>
          <w:vertAlign w:val="superscript"/>
          <w:lang w:val="fr-FR"/>
        </w:rPr>
        <w:t>ème</w:t>
      </w:r>
      <w:r w:rsidRPr="006756C2">
        <w:rPr>
          <w:rFonts w:eastAsiaTheme="minorHAnsi"/>
          <w:sz w:val="22"/>
          <w:szCs w:val="22"/>
          <w:lang w:val="fr-FR"/>
        </w:rPr>
        <w:t xml:space="preserve"> réunion du Comité permanent de la CMS sur le renforcement des services communs à la 6</w:t>
      </w:r>
      <w:r w:rsidRPr="006756C2">
        <w:rPr>
          <w:rFonts w:eastAsiaTheme="minorHAnsi"/>
          <w:sz w:val="22"/>
          <w:szCs w:val="22"/>
          <w:vertAlign w:val="superscript"/>
          <w:lang w:val="fr-FR"/>
        </w:rPr>
        <w:t>ème</w:t>
      </w:r>
      <w:r w:rsidRPr="006756C2">
        <w:rPr>
          <w:rFonts w:eastAsiaTheme="minorHAnsi"/>
          <w:sz w:val="22"/>
          <w:szCs w:val="22"/>
          <w:lang w:val="fr-FR"/>
        </w:rPr>
        <w:t xml:space="preserve"> Réunion des Parties à l’AEWA, afin qu’elle les examine ;</w:t>
      </w:r>
    </w:p>
    <w:p w14:paraId="0F524CCD" w14:textId="77777777" w:rsidR="006756C2" w:rsidRPr="006756C2" w:rsidRDefault="006756C2" w:rsidP="006756C2">
      <w:pPr>
        <w:suppressAutoHyphens w:val="0"/>
        <w:autoSpaceDN/>
        <w:spacing w:after="160" w:line="259" w:lineRule="auto"/>
        <w:textAlignment w:val="auto"/>
        <w:rPr>
          <w:rFonts w:eastAsiaTheme="minorHAnsi"/>
          <w:sz w:val="22"/>
          <w:szCs w:val="22"/>
          <w:lang w:val="fr-FR"/>
        </w:rPr>
      </w:pPr>
      <w:r w:rsidRPr="006756C2">
        <w:rPr>
          <w:rFonts w:eastAsiaTheme="minorHAnsi"/>
          <w:i/>
          <w:sz w:val="22"/>
          <w:szCs w:val="22"/>
          <w:lang w:val="fr-FR"/>
        </w:rPr>
        <w:t>Invite</w:t>
      </w:r>
      <w:r w:rsidRPr="006756C2">
        <w:rPr>
          <w:rFonts w:eastAsiaTheme="minorHAnsi"/>
          <w:sz w:val="22"/>
          <w:szCs w:val="22"/>
          <w:lang w:val="fr-FR"/>
        </w:rPr>
        <w:t xml:space="preserve"> d’autres instruments de la Famille CMS, en commençant par ceux qui sont basés à Bonn, à envisager le développement de services communs et de synergies avec la Famille CMS par le biais de décisions appropriées de leurs organes directeurs respectifs, et à présenter ces décisions au Comité permanent de la CMS pour le développement d’une avancée en matière de propositions de services communs.</w:t>
      </w:r>
    </w:p>
    <w:p w14:paraId="63590241" w14:textId="77777777" w:rsidR="006756C2" w:rsidRPr="006756C2" w:rsidRDefault="006756C2" w:rsidP="006756C2">
      <w:pPr>
        <w:suppressAutoHyphens w:val="0"/>
        <w:autoSpaceDN/>
        <w:spacing w:after="160" w:line="259" w:lineRule="auto"/>
        <w:textAlignment w:val="auto"/>
        <w:rPr>
          <w:rFonts w:eastAsiaTheme="minorHAnsi"/>
          <w:sz w:val="22"/>
          <w:szCs w:val="22"/>
          <w:lang w:val="fr-FR"/>
        </w:rPr>
      </w:pPr>
    </w:p>
    <w:p w14:paraId="49E908E3" w14:textId="77777777" w:rsidR="004B205F" w:rsidRDefault="004B205F">
      <w:pPr>
        <w:rPr>
          <w:lang w:val="fr-FR"/>
        </w:rPr>
      </w:pPr>
    </w:p>
    <w:p w14:paraId="0C06D046" w14:textId="77777777" w:rsidR="004B205F" w:rsidRDefault="004B205F">
      <w:pPr>
        <w:rPr>
          <w:lang w:val="fr-FR"/>
        </w:rPr>
      </w:pPr>
    </w:p>
    <w:p w14:paraId="7C70BECE" w14:textId="77777777" w:rsidR="004B205F" w:rsidRDefault="004B205F">
      <w:pPr>
        <w:rPr>
          <w:lang w:val="fr-FR"/>
        </w:rPr>
      </w:pPr>
    </w:p>
    <w:p w14:paraId="0C54D994" w14:textId="77777777" w:rsidR="004B205F" w:rsidRDefault="004B205F">
      <w:pPr>
        <w:rPr>
          <w:lang w:val="fr-FR"/>
        </w:rPr>
      </w:pPr>
    </w:p>
    <w:p w14:paraId="2E2BB63E" w14:textId="77777777" w:rsidR="004B205F" w:rsidRDefault="004B205F">
      <w:pPr>
        <w:rPr>
          <w:lang w:val="fr-FR"/>
        </w:rPr>
      </w:pPr>
    </w:p>
    <w:p w14:paraId="5DFB3A32" w14:textId="77777777" w:rsidR="004B205F" w:rsidRPr="00C31EF1" w:rsidRDefault="00C31EF1">
      <w:pPr>
        <w:tabs>
          <w:tab w:val="left" w:pos="3840"/>
        </w:tabs>
        <w:rPr>
          <w:lang w:val="fr-FR"/>
        </w:rPr>
      </w:pPr>
      <w:r>
        <w:rPr>
          <w:lang w:val="fr-FR"/>
        </w:rPr>
        <w:tab/>
      </w:r>
      <w:bookmarkStart w:id="0" w:name="_GoBack"/>
      <w:bookmarkEnd w:id="0"/>
    </w:p>
    <w:sectPr w:rsidR="004B205F" w:rsidRPr="00C31EF1" w:rsidSect="00F13138">
      <w:footerReference w:type="default" r:id="rId7"/>
      <w:pgSz w:w="11906" w:h="16838" w:code="9"/>
      <w:pgMar w:top="1021" w:right="1134" w:bottom="851" w:left="1134" w:header="851"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49F91" w14:textId="77777777" w:rsidR="00FB0D88" w:rsidRDefault="00C31EF1">
      <w:r>
        <w:separator/>
      </w:r>
    </w:p>
  </w:endnote>
  <w:endnote w:type="continuationSeparator" w:id="0">
    <w:p w14:paraId="0C752F83" w14:textId="77777777" w:rsidR="00FB0D88" w:rsidRDefault="00C3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978514"/>
      <w:docPartObj>
        <w:docPartGallery w:val="Page Numbers (Bottom of Page)"/>
        <w:docPartUnique/>
      </w:docPartObj>
    </w:sdtPr>
    <w:sdtEndPr>
      <w:rPr>
        <w:noProof/>
        <w:sz w:val="20"/>
        <w:szCs w:val="20"/>
      </w:rPr>
    </w:sdtEndPr>
    <w:sdtContent>
      <w:p w14:paraId="1EF27B2D" w14:textId="6F3336C6" w:rsidR="006756C2" w:rsidRPr="006756C2" w:rsidRDefault="006756C2">
        <w:pPr>
          <w:pStyle w:val="Footer"/>
          <w:jc w:val="center"/>
          <w:rPr>
            <w:sz w:val="20"/>
            <w:szCs w:val="20"/>
          </w:rPr>
        </w:pPr>
        <w:r w:rsidRPr="006756C2">
          <w:rPr>
            <w:sz w:val="20"/>
            <w:szCs w:val="20"/>
          </w:rPr>
          <w:fldChar w:fldCharType="begin"/>
        </w:r>
        <w:r w:rsidRPr="006756C2">
          <w:rPr>
            <w:sz w:val="20"/>
            <w:szCs w:val="20"/>
          </w:rPr>
          <w:instrText xml:space="preserve"> PAGE   \* MERGEFORMAT </w:instrText>
        </w:r>
        <w:r w:rsidRPr="006756C2">
          <w:rPr>
            <w:sz w:val="20"/>
            <w:szCs w:val="20"/>
          </w:rPr>
          <w:fldChar w:fldCharType="separate"/>
        </w:r>
        <w:r>
          <w:rPr>
            <w:noProof/>
            <w:sz w:val="20"/>
            <w:szCs w:val="20"/>
          </w:rPr>
          <w:t>2</w:t>
        </w:r>
        <w:r w:rsidRPr="006756C2">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70951" w14:textId="77777777" w:rsidR="00FB0D88" w:rsidRDefault="00C31EF1">
      <w:r>
        <w:rPr>
          <w:color w:val="000000"/>
        </w:rPr>
        <w:separator/>
      </w:r>
    </w:p>
  </w:footnote>
  <w:footnote w:type="continuationSeparator" w:id="0">
    <w:p w14:paraId="48603FCD" w14:textId="77777777" w:rsidR="00FB0D88" w:rsidRDefault="00C31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5F"/>
    <w:rsid w:val="004753E3"/>
    <w:rsid w:val="004B205F"/>
    <w:rsid w:val="006756C2"/>
    <w:rsid w:val="007512FF"/>
    <w:rsid w:val="008377E9"/>
    <w:rsid w:val="00C31EF1"/>
    <w:rsid w:val="00D4695C"/>
    <w:rsid w:val="00F13138"/>
    <w:rsid w:val="00FB0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3C8F"/>
  <w15:docId w15:val="{AB4D7E6B-F2A5-42A1-A86F-DDB7B29E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uppressAutoHyphens w:val="0"/>
      <w:textAlignment w:val="auto"/>
    </w:pPr>
    <w:rPr>
      <w:sz w:val="22"/>
      <w:lang w:val="en-GB"/>
    </w:rPr>
  </w:style>
  <w:style w:type="character" w:customStyle="1" w:styleId="BodyText2Char">
    <w:name w:val="Body Text 2 Char"/>
    <w:basedOn w:val="DefaultParagraphFont"/>
    <w:rPr>
      <w:rFonts w:ascii="Times New Roman" w:eastAsia="Times New Roman" w:hAnsi="Times New Roman"/>
      <w:szCs w:val="24"/>
    </w:rPr>
  </w:style>
  <w:style w:type="paragraph" w:styleId="BalloonText">
    <w:name w:val="Balloon Text"/>
    <w:basedOn w:val="Normal"/>
    <w:link w:val="BalloonTextChar"/>
    <w:uiPriority w:val="99"/>
    <w:semiHidden/>
    <w:unhideWhenUsed/>
    <w:rsid w:val="00675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6C2"/>
    <w:rPr>
      <w:rFonts w:ascii="Segoe UI" w:eastAsia="Times New Roman" w:hAnsi="Segoe UI" w:cs="Segoe UI"/>
      <w:sz w:val="18"/>
      <w:szCs w:val="18"/>
      <w:lang w:val="en-US"/>
    </w:rPr>
  </w:style>
  <w:style w:type="paragraph" w:styleId="Header">
    <w:name w:val="header"/>
    <w:basedOn w:val="Normal"/>
    <w:link w:val="HeaderChar"/>
    <w:uiPriority w:val="99"/>
    <w:unhideWhenUsed/>
    <w:rsid w:val="006756C2"/>
    <w:pPr>
      <w:tabs>
        <w:tab w:val="center" w:pos="4680"/>
        <w:tab w:val="right" w:pos="9360"/>
      </w:tabs>
    </w:pPr>
  </w:style>
  <w:style w:type="character" w:customStyle="1" w:styleId="HeaderChar">
    <w:name w:val="Header Char"/>
    <w:basedOn w:val="DefaultParagraphFont"/>
    <w:link w:val="Header"/>
    <w:uiPriority w:val="99"/>
    <w:rsid w:val="006756C2"/>
    <w:rPr>
      <w:rFonts w:ascii="Times New Roman" w:eastAsia="Times New Roman" w:hAnsi="Times New Roman"/>
      <w:sz w:val="24"/>
      <w:szCs w:val="24"/>
      <w:lang w:val="en-US"/>
    </w:rPr>
  </w:style>
  <w:style w:type="paragraph" w:styleId="Footer">
    <w:name w:val="footer"/>
    <w:basedOn w:val="Normal"/>
    <w:link w:val="FooterChar"/>
    <w:uiPriority w:val="99"/>
    <w:unhideWhenUsed/>
    <w:rsid w:val="006756C2"/>
    <w:pPr>
      <w:tabs>
        <w:tab w:val="center" w:pos="4680"/>
        <w:tab w:val="right" w:pos="9360"/>
      </w:tabs>
    </w:pPr>
  </w:style>
  <w:style w:type="character" w:customStyle="1" w:styleId="FooterChar">
    <w:name w:val="Footer Char"/>
    <w:basedOn w:val="DefaultParagraphFont"/>
    <w:link w:val="Footer"/>
    <w:uiPriority w:val="99"/>
    <w:rsid w:val="006756C2"/>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Kremer</dc:creator>
  <dc:description/>
  <cp:lastModifiedBy>Jolanta Kremer</cp:lastModifiedBy>
  <cp:revision>2</cp:revision>
  <dcterms:created xsi:type="dcterms:W3CDTF">2015-10-27T12:13:00Z</dcterms:created>
  <dcterms:modified xsi:type="dcterms:W3CDTF">2015-10-27T12:13:00Z</dcterms:modified>
</cp:coreProperties>
</file>