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E2" w:rsidRDefault="007A70BB" w:rsidP="007A70BB">
      <w:pPr>
        <w:jc w:val="center"/>
        <w:rPr>
          <w:rFonts w:ascii="Times New Roman" w:hAnsi="Times New Roman" w:cs="Times New Roman"/>
          <w:b/>
          <w:color w:val="auto"/>
          <w:lang w:val="fr-FR"/>
        </w:rPr>
      </w:pPr>
      <w:r w:rsidRPr="00FC00E2">
        <w:rPr>
          <w:rFonts w:ascii="Times New Roman" w:hAnsi="Times New Roman" w:cs="Times New Roman"/>
          <w:b/>
          <w:color w:val="auto"/>
          <w:lang w:val="fr-FR"/>
        </w:rPr>
        <w:t>RAPPORT DU PRÉSIDENT DU COMITÉ PERMANENT DE L</w:t>
      </w:r>
      <w:r w:rsidR="00124F6E" w:rsidRPr="00FC00E2">
        <w:rPr>
          <w:rFonts w:ascii="Times New Roman" w:hAnsi="Times New Roman" w:cs="Times New Roman"/>
          <w:b/>
          <w:color w:val="auto"/>
          <w:lang w:val="fr-FR"/>
        </w:rPr>
        <w:t>’</w:t>
      </w:r>
      <w:r w:rsidRPr="00FC00E2">
        <w:rPr>
          <w:rFonts w:ascii="Times New Roman" w:hAnsi="Times New Roman" w:cs="Times New Roman"/>
          <w:b/>
          <w:color w:val="auto"/>
          <w:lang w:val="fr-FR"/>
        </w:rPr>
        <w:t>ACCORD</w:t>
      </w:r>
      <w:r w:rsidR="00400347" w:rsidRPr="00FC00E2">
        <w:rPr>
          <w:rFonts w:ascii="Times New Roman" w:hAnsi="Times New Roman" w:cs="Times New Roman"/>
          <w:b/>
          <w:color w:val="auto"/>
          <w:lang w:val="fr-FR"/>
        </w:rPr>
        <w:t xml:space="preserve"> </w:t>
      </w:r>
      <w:r w:rsidR="00226EA2" w:rsidRPr="00FC00E2">
        <w:rPr>
          <w:rFonts w:ascii="Times New Roman" w:hAnsi="Times New Roman" w:cs="Times New Roman"/>
          <w:b/>
          <w:color w:val="auto"/>
          <w:lang w:val="fr-FR"/>
        </w:rPr>
        <w:t xml:space="preserve">SUR LA CONSERVATION DES OISEAUX D’EAU MIGRATEURS (AEWA) </w:t>
      </w:r>
    </w:p>
    <w:p w:rsidR="008B383D" w:rsidRPr="00FC00E2" w:rsidRDefault="00226EA2" w:rsidP="007A70BB">
      <w:pPr>
        <w:jc w:val="center"/>
        <w:rPr>
          <w:rFonts w:ascii="Times New Roman" w:hAnsi="Times New Roman" w:cs="Times New Roman"/>
          <w:b/>
          <w:color w:val="auto"/>
          <w:lang w:val="fr-FR"/>
        </w:rPr>
      </w:pPr>
      <w:r w:rsidRPr="00FC00E2">
        <w:rPr>
          <w:rFonts w:ascii="Times New Roman" w:hAnsi="Times New Roman" w:cs="Times New Roman"/>
          <w:b/>
          <w:color w:val="auto"/>
          <w:lang w:val="fr-FR"/>
        </w:rPr>
        <w:t>POUR LA PÉRIODE 2012-2015</w:t>
      </w:r>
    </w:p>
    <w:p w:rsidR="008B383D" w:rsidRPr="00FC00E2" w:rsidRDefault="008B383D" w:rsidP="00862DB8">
      <w:pPr>
        <w:jc w:val="both"/>
        <w:rPr>
          <w:rFonts w:ascii="Times New Roman" w:hAnsi="Times New Roman" w:cs="Times New Roman"/>
          <w:smallCaps/>
          <w:color w:val="auto"/>
          <w:lang w:val="fr-FR"/>
        </w:rPr>
      </w:pPr>
    </w:p>
    <w:p w:rsidR="001F176C" w:rsidRPr="00226EA2" w:rsidRDefault="001F176C" w:rsidP="00862DB8">
      <w:pPr>
        <w:jc w:val="both"/>
        <w:rPr>
          <w:rFonts w:ascii="Times New Roman" w:hAnsi="Times New Roman" w:cs="Times New Roman"/>
          <w:smallCaps/>
          <w:color w:val="auto"/>
          <w:sz w:val="22"/>
          <w:szCs w:val="22"/>
          <w:lang w:val="fr-FR"/>
        </w:rPr>
      </w:pPr>
    </w:p>
    <w:p w:rsidR="008B383D" w:rsidRPr="00226EA2" w:rsidRDefault="007A70BB" w:rsidP="00862DB8">
      <w:pPr>
        <w:jc w:val="both"/>
        <w:rPr>
          <w:rFonts w:ascii="Times New Roman" w:hAnsi="Times New Roman" w:cs="Times New Roman"/>
          <w:b/>
          <w:color w:val="auto"/>
          <w:sz w:val="22"/>
          <w:szCs w:val="22"/>
          <w:lang w:val="fr-FR"/>
        </w:rPr>
      </w:pPr>
      <w:r w:rsidRPr="00124F6E">
        <w:rPr>
          <w:rFonts w:ascii="Times New Roman" w:hAnsi="Times New Roman" w:cs="Times New Roman"/>
          <w:b/>
          <w:color w:val="auto"/>
          <w:sz w:val="22"/>
          <w:szCs w:val="22"/>
          <w:lang w:val="fr-FR"/>
        </w:rPr>
        <w:t>Introduction </w:t>
      </w:r>
    </w:p>
    <w:p w:rsidR="008B383D" w:rsidRPr="00226EA2" w:rsidRDefault="008B383D" w:rsidP="00862DB8">
      <w:pPr>
        <w:jc w:val="both"/>
        <w:rPr>
          <w:rFonts w:ascii="Times New Roman" w:hAnsi="Times New Roman" w:cs="Times New Roman"/>
          <w:b/>
          <w:color w:val="auto"/>
          <w:sz w:val="22"/>
          <w:szCs w:val="22"/>
          <w:lang w:val="fr-FR"/>
        </w:rPr>
      </w:pPr>
    </w:p>
    <w:p w:rsidR="008B383D" w:rsidRPr="00226EA2" w:rsidRDefault="00124F6E" w:rsidP="00862DB8">
      <w:pPr>
        <w:jc w:val="both"/>
        <w:rPr>
          <w:rFonts w:ascii="Times New Roman" w:hAnsi="Times New Roman" w:cs="Times New Roman"/>
          <w:color w:val="auto"/>
          <w:sz w:val="22"/>
          <w:szCs w:val="22"/>
          <w:lang w:val="fr-FR"/>
        </w:rPr>
      </w:pPr>
      <w:r w:rsidRPr="00124F6E">
        <w:rPr>
          <w:rFonts w:ascii="Times New Roman" w:hAnsi="Times New Roman" w:cs="Times New Roman"/>
          <w:color w:val="auto"/>
          <w:sz w:val="22"/>
          <w:szCs w:val="22"/>
          <w:lang w:val="fr-FR"/>
        </w:rPr>
        <w:t>Le</w:t>
      </w:r>
      <w:r w:rsidR="007A70BB" w:rsidRPr="00124F6E">
        <w:rPr>
          <w:rFonts w:ascii="Times New Roman" w:hAnsi="Times New Roman" w:cs="Times New Roman"/>
          <w:color w:val="auto"/>
          <w:sz w:val="22"/>
          <w:szCs w:val="22"/>
          <w:lang w:val="fr-FR"/>
        </w:rPr>
        <w:t xml:space="preserve"> Comité permanent de l</w:t>
      </w:r>
      <w:r w:rsidRPr="00124F6E">
        <w:rPr>
          <w:rFonts w:ascii="Times New Roman" w:hAnsi="Times New Roman" w:cs="Times New Roman"/>
          <w:color w:val="auto"/>
          <w:sz w:val="22"/>
          <w:szCs w:val="22"/>
          <w:lang w:val="fr-FR"/>
        </w:rPr>
        <w:t>’</w:t>
      </w:r>
      <w:r w:rsidR="007A70BB" w:rsidRPr="00124F6E">
        <w:rPr>
          <w:rFonts w:ascii="Times New Roman" w:hAnsi="Times New Roman" w:cs="Times New Roman"/>
          <w:color w:val="auto"/>
          <w:sz w:val="22"/>
          <w:szCs w:val="22"/>
          <w:lang w:val="fr-FR"/>
        </w:rPr>
        <w:t>AEWA a été établi lors de la 2</w:t>
      </w:r>
      <w:r w:rsidR="007A70BB" w:rsidRPr="00124F6E">
        <w:rPr>
          <w:rFonts w:ascii="Times New Roman" w:hAnsi="Times New Roman" w:cs="Times New Roman"/>
          <w:color w:val="auto"/>
          <w:sz w:val="22"/>
          <w:szCs w:val="22"/>
          <w:vertAlign w:val="superscript"/>
          <w:lang w:val="fr-FR"/>
        </w:rPr>
        <w:t>ème</w:t>
      </w:r>
      <w:r w:rsidR="007A70BB" w:rsidRPr="00124F6E">
        <w:rPr>
          <w:rFonts w:ascii="Times New Roman" w:hAnsi="Times New Roman" w:cs="Times New Roman"/>
          <w:color w:val="auto"/>
          <w:sz w:val="22"/>
          <w:szCs w:val="22"/>
          <w:lang w:val="fr-FR"/>
        </w:rPr>
        <w:t xml:space="preserve"> session de la Réunion des Parties (Allemagne, 2002) par la Résolution 2.6, aux termes de laquelle ce Comité :</w:t>
      </w:r>
    </w:p>
    <w:p w:rsidR="008B383D" w:rsidRPr="00226EA2" w:rsidRDefault="008B383D" w:rsidP="00862DB8">
      <w:pPr>
        <w:pStyle w:val="BodyTextIndent"/>
        <w:tabs>
          <w:tab w:val="left" w:pos="578"/>
          <w:tab w:val="left" w:pos="1157"/>
          <w:tab w:val="left" w:pos="1735"/>
        </w:tabs>
        <w:ind w:left="0" w:firstLine="578"/>
        <w:jc w:val="both"/>
        <w:rPr>
          <w:sz w:val="22"/>
          <w:szCs w:val="22"/>
          <w:lang w:val="fr-FR"/>
        </w:rPr>
      </w:pPr>
    </w:p>
    <w:p w:rsidR="008B383D" w:rsidRPr="00226EA2" w:rsidRDefault="007A70BB" w:rsidP="00862DB8">
      <w:pPr>
        <w:pStyle w:val="BodyTextIndent"/>
        <w:tabs>
          <w:tab w:val="left" w:pos="578"/>
          <w:tab w:val="left" w:pos="1157"/>
          <w:tab w:val="left" w:pos="1735"/>
        </w:tabs>
        <w:ind w:left="540" w:hanging="540"/>
        <w:jc w:val="both"/>
        <w:rPr>
          <w:sz w:val="22"/>
          <w:szCs w:val="22"/>
          <w:lang w:val="fr-FR"/>
        </w:rPr>
      </w:pPr>
      <w:r w:rsidRPr="00124F6E">
        <w:rPr>
          <w:sz w:val="22"/>
          <w:szCs w:val="22"/>
          <w:lang w:val="fr-FR"/>
        </w:rPr>
        <w:t>(a)</w:t>
      </w:r>
      <w:r w:rsidR="008B383D" w:rsidRPr="00226EA2">
        <w:rPr>
          <w:sz w:val="22"/>
          <w:szCs w:val="22"/>
          <w:lang w:val="fr-FR"/>
        </w:rPr>
        <w:tab/>
      </w:r>
      <w:r w:rsidRPr="00124F6E">
        <w:rPr>
          <w:sz w:val="22"/>
          <w:szCs w:val="22"/>
          <w:lang w:val="fr-FR"/>
        </w:rPr>
        <w:t>s</w:t>
      </w:r>
      <w:r w:rsidR="00124F6E" w:rsidRPr="00124F6E">
        <w:rPr>
          <w:sz w:val="22"/>
          <w:szCs w:val="22"/>
          <w:lang w:val="fr-FR"/>
        </w:rPr>
        <w:t>’</w:t>
      </w:r>
      <w:r w:rsidRPr="00124F6E">
        <w:rPr>
          <w:sz w:val="22"/>
          <w:szCs w:val="22"/>
          <w:lang w:val="fr-FR"/>
        </w:rPr>
        <w:t>acquittera entre les sessions de la Réunion des Parties et en son nom des activités intérimaires se révélant nécessaires ;</w:t>
      </w:r>
    </w:p>
    <w:p w:rsidR="008B383D" w:rsidRPr="00226EA2" w:rsidRDefault="007A70BB" w:rsidP="00862DB8">
      <w:pPr>
        <w:pStyle w:val="BodyTextIndent"/>
        <w:tabs>
          <w:tab w:val="left" w:pos="578"/>
          <w:tab w:val="left" w:pos="1157"/>
          <w:tab w:val="left" w:pos="1735"/>
        </w:tabs>
        <w:ind w:left="540" w:hanging="540"/>
        <w:jc w:val="both"/>
        <w:rPr>
          <w:sz w:val="22"/>
          <w:szCs w:val="22"/>
          <w:lang w:val="fr-FR"/>
        </w:rPr>
      </w:pPr>
      <w:r w:rsidRPr="00124F6E">
        <w:rPr>
          <w:sz w:val="22"/>
          <w:szCs w:val="22"/>
          <w:lang w:val="fr-FR"/>
        </w:rPr>
        <w:t>(b)</w:t>
      </w:r>
      <w:r w:rsidR="008B383D" w:rsidRPr="00226EA2">
        <w:rPr>
          <w:sz w:val="22"/>
          <w:szCs w:val="22"/>
          <w:lang w:val="fr-FR"/>
        </w:rPr>
        <w:tab/>
      </w:r>
      <w:r w:rsidRPr="00124F6E">
        <w:rPr>
          <w:sz w:val="22"/>
          <w:szCs w:val="22"/>
          <w:lang w:val="fr-FR"/>
        </w:rPr>
        <w:t>fera des recommandations concernant les points à prendre en considération lors de la session suivante de la Réunion des Parties ;</w:t>
      </w:r>
    </w:p>
    <w:p w:rsidR="008B383D" w:rsidRPr="00226EA2" w:rsidRDefault="007A70BB" w:rsidP="00862DB8">
      <w:pPr>
        <w:pStyle w:val="BodyTextIndent"/>
        <w:tabs>
          <w:tab w:val="left" w:pos="578"/>
          <w:tab w:val="left" w:pos="1157"/>
          <w:tab w:val="left" w:pos="1735"/>
        </w:tabs>
        <w:ind w:left="540" w:hanging="540"/>
        <w:jc w:val="both"/>
        <w:rPr>
          <w:sz w:val="22"/>
          <w:szCs w:val="22"/>
          <w:lang w:val="fr-FR"/>
        </w:rPr>
      </w:pPr>
      <w:r w:rsidRPr="00124F6E">
        <w:rPr>
          <w:sz w:val="22"/>
          <w:szCs w:val="22"/>
          <w:lang w:val="fr-FR"/>
        </w:rPr>
        <w:t>(c)</w:t>
      </w:r>
      <w:r w:rsidR="008B383D" w:rsidRPr="00226EA2">
        <w:rPr>
          <w:sz w:val="22"/>
          <w:szCs w:val="22"/>
          <w:lang w:val="fr-FR"/>
        </w:rPr>
        <w:tab/>
      </w:r>
      <w:r w:rsidRPr="00124F6E">
        <w:rPr>
          <w:sz w:val="22"/>
          <w:szCs w:val="22"/>
          <w:lang w:val="fr-FR"/>
        </w:rPr>
        <w:t>supervisera, au nom des Parties, l</w:t>
      </w:r>
      <w:r w:rsidR="00124F6E" w:rsidRPr="00124F6E">
        <w:rPr>
          <w:sz w:val="22"/>
          <w:szCs w:val="22"/>
          <w:lang w:val="fr-FR"/>
        </w:rPr>
        <w:t>’</w:t>
      </w:r>
      <w:r w:rsidRPr="00124F6E">
        <w:rPr>
          <w:sz w:val="22"/>
          <w:szCs w:val="22"/>
          <w:lang w:val="fr-FR"/>
        </w:rPr>
        <w:t>établissement et l</w:t>
      </w:r>
      <w:r w:rsidR="00124F6E" w:rsidRPr="00124F6E">
        <w:rPr>
          <w:sz w:val="22"/>
          <w:szCs w:val="22"/>
          <w:lang w:val="fr-FR"/>
        </w:rPr>
        <w:t>’</w:t>
      </w:r>
      <w:r w:rsidRPr="00124F6E">
        <w:rPr>
          <w:sz w:val="22"/>
          <w:szCs w:val="22"/>
          <w:lang w:val="fr-FR"/>
        </w:rPr>
        <w:t>exécution du budget du Secrétariat provenant du Fonds de dépôt spécial et autres sources de financement, ainsi que tous les aspects de la collecte de fonds entreprise par le Secrétariat en vue de s</w:t>
      </w:r>
      <w:r w:rsidR="00124F6E" w:rsidRPr="00124F6E">
        <w:rPr>
          <w:sz w:val="22"/>
          <w:szCs w:val="22"/>
          <w:lang w:val="fr-FR"/>
        </w:rPr>
        <w:t>’</w:t>
      </w:r>
      <w:r w:rsidRPr="00124F6E">
        <w:rPr>
          <w:sz w:val="22"/>
          <w:szCs w:val="22"/>
          <w:lang w:val="fr-FR"/>
        </w:rPr>
        <w:t>acquitter des fonctions spécifiques autorisées par la Réunion des Parties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(d)</w:t>
      </w:r>
      <w:r w:rsidR="008B383D" w:rsidRPr="00226EA2">
        <w:rPr>
          <w:sz w:val="22"/>
          <w:szCs w:val="22"/>
          <w:lang w:val="fr-FR"/>
        </w:rPr>
        <w:tab/>
      </w:r>
      <w:r w:rsidRPr="00124F6E">
        <w:rPr>
          <w:sz w:val="22"/>
          <w:szCs w:val="22"/>
          <w:lang w:val="fr-FR"/>
        </w:rPr>
        <w:t>supervisera, en qualité de représentant de la Réunion des Parties, la mise en œuvre de la politique par le Secrétariat et la conduite des programmes de ce dernier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(e)</w:t>
      </w:r>
      <w:r w:rsidR="008B383D" w:rsidRPr="00226EA2">
        <w:rPr>
          <w:sz w:val="22"/>
          <w:szCs w:val="22"/>
          <w:lang w:val="fr-FR"/>
        </w:rPr>
        <w:tab/>
      </w:r>
      <w:r w:rsidRPr="00124F6E">
        <w:rPr>
          <w:sz w:val="22"/>
          <w:szCs w:val="22"/>
          <w:lang w:val="fr-FR"/>
        </w:rPr>
        <w:t xml:space="preserve">fournira </w:t>
      </w:r>
      <w:r w:rsidR="002672BC" w:rsidRPr="00124F6E">
        <w:rPr>
          <w:sz w:val="22"/>
          <w:szCs w:val="22"/>
          <w:lang w:val="fr-FR"/>
        </w:rPr>
        <w:t>a</w:t>
      </w:r>
      <w:r w:rsidRPr="00124F6E">
        <w:rPr>
          <w:sz w:val="22"/>
          <w:szCs w:val="22"/>
          <w:lang w:val="fr-FR"/>
        </w:rPr>
        <w:t>u Secrétariat des avis et des conseils sur la mise en œuvre de l</w:t>
      </w:r>
      <w:r w:rsidR="00124F6E" w:rsidRPr="00124F6E">
        <w:rPr>
          <w:sz w:val="22"/>
          <w:szCs w:val="22"/>
          <w:lang w:val="fr-FR"/>
        </w:rPr>
        <w:t>’</w:t>
      </w:r>
      <w:r w:rsidRPr="00124F6E">
        <w:rPr>
          <w:sz w:val="22"/>
          <w:szCs w:val="22"/>
          <w:lang w:val="fr-FR"/>
        </w:rPr>
        <w:t>Accord, la préparation des réunions et toute autre question soulevée par le Secrétariat et relatives à l</w:t>
      </w:r>
      <w:r w:rsidR="00124F6E" w:rsidRPr="00124F6E">
        <w:rPr>
          <w:sz w:val="22"/>
          <w:szCs w:val="22"/>
          <w:lang w:val="fr-FR"/>
        </w:rPr>
        <w:t>’</w:t>
      </w:r>
      <w:r w:rsidRPr="00124F6E">
        <w:rPr>
          <w:sz w:val="22"/>
          <w:szCs w:val="22"/>
          <w:lang w:val="fr-FR"/>
        </w:rPr>
        <w:t>exercice de ses fonctions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(f)</w:t>
      </w:r>
      <w:r w:rsidR="008B383D" w:rsidRPr="00226EA2">
        <w:rPr>
          <w:sz w:val="22"/>
          <w:szCs w:val="22"/>
          <w:lang w:val="fr-FR"/>
        </w:rPr>
        <w:tab/>
      </w:r>
      <w:r w:rsidRPr="00124F6E">
        <w:rPr>
          <w:sz w:val="22"/>
          <w:szCs w:val="22"/>
          <w:lang w:val="fr-FR"/>
        </w:rPr>
        <w:t>représentera la Réunion des Parties vis-à-vis du gouvernement du pays d</w:t>
      </w:r>
      <w:r w:rsidR="00124F6E" w:rsidRPr="00124F6E">
        <w:rPr>
          <w:sz w:val="22"/>
          <w:szCs w:val="22"/>
          <w:lang w:val="fr-FR"/>
        </w:rPr>
        <w:t>’</w:t>
      </w:r>
      <w:r w:rsidRPr="00124F6E">
        <w:rPr>
          <w:sz w:val="22"/>
          <w:szCs w:val="22"/>
          <w:lang w:val="fr-FR"/>
        </w:rPr>
        <w:t>accueil du siège du Secrétariat, du PNUE et des autres organisations internationales lors de l</w:t>
      </w:r>
      <w:r w:rsidR="00124F6E" w:rsidRPr="00124F6E">
        <w:rPr>
          <w:sz w:val="22"/>
          <w:szCs w:val="22"/>
          <w:lang w:val="fr-FR"/>
        </w:rPr>
        <w:t>’</w:t>
      </w:r>
      <w:r w:rsidRPr="00124F6E">
        <w:rPr>
          <w:sz w:val="22"/>
          <w:szCs w:val="22"/>
          <w:lang w:val="fr-FR"/>
        </w:rPr>
        <w:t>examen des questions se rapportant à l</w:t>
      </w:r>
      <w:r w:rsidR="00124F6E" w:rsidRPr="00124F6E">
        <w:rPr>
          <w:sz w:val="22"/>
          <w:szCs w:val="22"/>
          <w:lang w:val="fr-FR"/>
        </w:rPr>
        <w:t>’</w:t>
      </w:r>
      <w:r w:rsidRPr="00124F6E">
        <w:rPr>
          <w:sz w:val="22"/>
          <w:szCs w:val="22"/>
          <w:lang w:val="fr-FR"/>
        </w:rPr>
        <w:t>Accord et à son Secrétariat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(g)</w:t>
      </w:r>
      <w:r w:rsidR="008B383D" w:rsidRPr="00226EA2">
        <w:rPr>
          <w:sz w:val="22"/>
          <w:szCs w:val="22"/>
          <w:lang w:val="fr-FR"/>
        </w:rPr>
        <w:tab/>
      </w:r>
      <w:r w:rsidRPr="00124F6E">
        <w:rPr>
          <w:sz w:val="22"/>
          <w:szCs w:val="22"/>
          <w:lang w:val="fr-FR"/>
        </w:rPr>
        <w:t>fera office de bureau durant les sessions de la Réunion des Parties, conformément au règlement intérieur de la Réunion des Parties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(h)</w:t>
      </w:r>
      <w:r w:rsidR="008B383D" w:rsidRPr="00226EA2">
        <w:rPr>
          <w:sz w:val="22"/>
          <w:szCs w:val="22"/>
          <w:lang w:val="fr-FR"/>
        </w:rPr>
        <w:tab/>
      </w:r>
      <w:r w:rsidRPr="00124F6E">
        <w:rPr>
          <w:sz w:val="22"/>
          <w:szCs w:val="22"/>
          <w:lang w:val="fr-FR"/>
        </w:rPr>
        <w:t>rendra compte à la Réunion des Parties des activités qui auront été entreprises entre les sessions ordinaires de la Réunion des Parties ;</w:t>
      </w:r>
    </w:p>
    <w:p w:rsidR="008B383D" w:rsidRPr="00226EA2" w:rsidRDefault="007A70BB" w:rsidP="00862DB8">
      <w:pPr>
        <w:pStyle w:val="BodyTextIndent"/>
        <w:tabs>
          <w:tab w:val="left" w:pos="1157"/>
          <w:tab w:val="left" w:pos="1735"/>
        </w:tabs>
        <w:ind w:left="540" w:hanging="540"/>
        <w:jc w:val="both"/>
        <w:rPr>
          <w:sz w:val="22"/>
          <w:szCs w:val="22"/>
          <w:lang w:val="fr-FR"/>
        </w:rPr>
      </w:pPr>
      <w:r w:rsidRPr="00124F6E">
        <w:rPr>
          <w:sz w:val="22"/>
          <w:szCs w:val="22"/>
          <w:lang w:val="fr-FR"/>
        </w:rPr>
        <w:t>(i)</w:t>
      </w:r>
      <w:r w:rsidR="008B383D" w:rsidRPr="00226EA2">
        <w:rPr>
          <w:sz w:val="22"/>
          <w:szCs w:val="22"/>
          <w:lang w:val="fr-FR"/>
        </w:rPr>
        <w:tab/>
      </w:r>
      <w:r w:rsidRPr="00124F6E">
        <w:rPr>
          <w:sz w:val="22"/>
          <w:szCs w:val="22"/>
          <w:lang w:val="fr-FR"/>
        </w:rPr>
        <w:t>s</w:t>
      </w:r>
      <w:r w:rsidR="00124F6E" w:rsidRPr="00124F6E">
        <w:rPr>
          <w:sz w:val="22"/>
          <w:szCs w:val="22"/>
          <w:lang w:val="fr-FR"/>
        </w:rPr>
        <w:t>’</w:t>
      </w:r>
      <w:r w:rsidRPr="00124F6E">
        <w:rPr>
          <w:sz w:val="22"/>
          <w:szCs w:val="22"/>
          <w:lang w:val="fr-FR"/>
        </w:rPr>
        <w:t>acquittera de toute autre fonction qui pourrait lui être confiée par la Réunion des Parties.</w:t>
      </w:r>
    </w:p>
    <w:p w:rsidR="008B383D" w:rsidRPr="00226EA2" w:rsidRDefault="008B383D" w:rsidP="00862DB8">
      <w:pPr>
        <w:pStyle w:val="BodyTextIndent"/>
        <w:tabs>
          <w:tab w:val="left" w:pos="1157"/>
          <w:tab w:val="left" w:pos="1735"/>
        </w:tabs>
        <w:ind w:left="540" w:hanging="540"/>
        <w:jc w:val="both"/>
        <w:rPr>
          <w:sz w:val="22"/>
          <w:szCs w:val="22"/>
          <w:lang w:val="fr-FR"/>
        </w:rPr>
      </w:pPr>
    </w:p>
    <w:p w:rsidR="0057255D" w:rsidRPr="00226EA2" w:rsidRDefault="008E529B" w:rsidP="00862DB8">
      <w:pPr>
        <w:pStyle w:val="BodyTextIndent"/>
        <w:tabs>
          <w:tab w:val="left" w:pos="1157"/>
          <w:tab w:val="left" w:pos="1735"/>
        </w:tabs>
        <w:ind w:left="540" w:hanging="540"/>
        <w:jc w:val="both"/>
        <w:rPr>
          <w:sz w:val="22"/>
          <w:szCs w:val="22"/>
          <w:lang w:val="fr-FR"/>
        </w:rPr>
      </w:pPr>
      <w:r w:rsidRPr="00124F6E">
        <w:rPr>
          <w:sz w:val="22"/>
          <w:szCs w:val="22"/>
          <w:lang w:val="fr-FR"/>
        </w:rPr>
        <w:t>La MOP4, par les Résolutions 4.6 et 4.17, l</w:t>
      </w:r>
      <w:r w:rsidR="00124F6E" w:rsidRPr="00124F6E">
        <w:rPr>
          <w:sz w:val="22"/>
          <w:szCs w:val="22"/>
          <w:lang w:val="fr-FR"/>
        </w:rPr>
        <w:t>’</w:t>
      </w:r>
      <w:r w:rsidRPr="00124F6E">
        <w:rPr>
          <w:sz w:val="22"/>
          <w:szCs w:val="22"/>
          <w:lang w:val="fr-FR"/>
        </w:rPr>
        <w:t>a en outre chargé de</w:t>
      </w:r>
      <w:r w:rsidR="002672BC" w:rsidRPr="00124F6E">
        <w:rPr>
          <w:sz w:val="22"/>
          <w:szCs w:val="22"/>
          <w:lang w:val="fr-FR"/>
        </w:rPr>
        <w:t>s</w:t>
      </w:r>
      <w:r w:rsidRPr="00124F6E">
        <w:rPr>
          <w:sz w:val="22"/>
          <w:szCs w:val="22"/>
          <w:lang w:val="fr-FR"/>
        </w:rPr>
        <w:t xml:space="preserve"> tâches supplémentaires suivantes </w:t>
      </w:r>
      <w:r w:rsidR="007A70BB" w:rsidRPr="00124F6E">
        <w:rPr>
          <w:sz w:val="22"/>
          <w:szCs w:val="22"/>
          <w:lang w:val="fr-FR"/>
        </w:rPr>
        <w:t>:</w:t>
      </w:r>
    </w:p>
    <w:p w:rsidR="00B66E27" w:rsidRPr="00226EA2" w:rsidRDefault="00B66E27" w:rsidP="00862DB8">
      <w:pPr>
        <w:pStyle w:val="BodyTextIndent"/>
        <w:tabs>
          <w:tab w:val="left" w:pos="1157"/>
          <w:tab w:val="left" w:pos="1735"/>
        </w:tabs>
        <w:ind w:left="540" w:hanging="540"/>
        <w:jc w:val="both"/>
        <w:rPr>
          <w:sz w:val="22"/>
          <w:szCs w:val="22"/>
          <w:lang w:val="fr-FR"/>
        </w:rPr>
      </w:pPr>
    </w:p>
    <w:p w:rsidR="00B66E27" w:rsidRPr="00226EA2" w:rsidRDefault="008E529B" w:rsidP="0087507C">
      <w:pPr>
        <w:pStyle w:val="BodyTextIndent"/>
        <w:tabs>
          <w:tab w:val="left" w:pos="1157"/>
          <w:tab w:val="left" w:pos="1735"/>
        </w:tabs>
        <w:ind w:left="540" w:hanging="540"/>
        <w:jc w:val="both"/>
        <w:rPr>
          <w:sz w:val="22"/>
          <w:szCs w:val="22"/>
          <w:lang w:val="fr-FR"/>
        </w:rPr>
      </w:pPr>
      <w:r w:rsidRPr="00124F6E">
        <w:rPr>
          <w:sz w:val="22"/>
          <w:szCs w:val="22"/>
          <w:lang w:val="fr-FR"/>
        </w:rPr>
        <w:t>(j)</w:t>
      </w:r>
      <w:r w:rsidR="00B66E27" w:rsidRPr="00226EA2">
        <w:rPr>
          <w:sz w:val="22"/>
          <w:szCs w:val="22"/>
          <w:lang w:val="fr-FR"/>
        </w:rPr>
        <w:tab/>
      </w:r>
      <w:r w:rsidRPr="00124F6E">
        <w:rPr>
          <w:sz w:val="22"/>
          <w:szCs w:val="22"/>
          <w:lang w:val="fr-FR"/>
        </w:rPr>
        <w:t>superviser et orienter la mise en œuvre du Plan stratégique de l</w:t>
      </w:r>
      <w:r w:rsidR="00124F6E" w:rsidRPr="00124F6E">
        <w:rPr>
          <w:sz w:val="22"/>
          <w:szCs w:val="22"/>
          <w:lang w:val="fr-FR"/>
        </w:rPr>
        <w:t>’</w:t>
      </w:r>
      <w:r w:rsidRPr="00124F6E">
        <w:rPr>
          <w:sz w:val="22"/>
          <w:szCs w:val="22"/>
          <w:lang w:val="fr-FR"/>
        </w:rPr>
        <w:t>AEWA pour la période 2009-2017</w:t>
      </w:r>
    </w:p>
    <w:p w:rsidR="00B564A0" w:rsidRPr="00226EA2" w:rsidRDefault="008E529B" w:rsidP="0046561E">
      <w:pPr>
        <w:pStyle w:val="Default"/>
        <w:tabs>
          <w:tab w:val="left" w:pos="540"/>
        </w:tabs>
        <w:ind w:left="540" w:hanging="540"/>
        <w:jc w:val="both"/>
        <w:rPr>
          <w:color w:val="auto"/>
          <w:sz w:val="22"/>
          <w:szCs w:val="22"/>
          <w:lang w:val="fr-FR"/>
        </w:rPr>
      </w:pPr>
      <w:r w:rsidRPr="00124F6E">
        <w:rPr>
          <w:color w:val="auto"/>
          <w:sz w:val="22"/>
          <w:szCs w:val="22"/>
          <w:lang w:val="fr-FR"/>
        </w:rPr>
        <w:t>(k)</w:t>
      </w:r>
      <w:r w:rsidR="00B66E27" w:rsidRPr="00226EA2">
        <w:rPr>
          <w:color w:val="auto"/>
          <w:sz w:val="22"/>
          <w:szCs w:val="22"/>
          <w:lang w:val="fr-FR"/>
        </w:rPr>
        <w:tab/>
      </w:r>
      <w:r w:rsidRPr="00124F6E">
        <w:rPr>
          <w:color w:val="auto"/>
          <w:sz w:val="22"/>
          <w:szCs w:val="22"/>
          <w:lang w:val="fr-FR"/>
        </w:rPr>
        <w:t xml:space="preserve">se charger des tâches définies par la Résolution 4.6 relative à la </w:t>
      </w:r>
      <w:r w:rsidRPr="00124F6E">
        <w:rPr>
          <w:i/>
          <w:color w:val="auto"/>
          <w:sz w:val="22"/>
          <w:szCs w:val="22"/>
          <w:lang w:val="fr-FR"/>
        </w:rPr>
        <w:t>Procédure d</w:t>
      </w:r>
      <w:r w:rsidR="00124F6E" w:rsidRPr="00124F6E">
        <w:rPr>
          <w:i/>
          <w:color w:val="auto"/>
          <w:sz w:val="22"/>
          <w:szCs w:val="22"/>
          <w:lang w:val="fr-FR"/>
        </w:rPr>
        <w:t>’</w:t>
      </w:r>
      <w:r w:rsidRPr="00124F6E">
        <w:rPr>
          <w:i/>
          <w:color w:val="auto"/>
          <w:sz w:val="22"/>
          <w:szCs w:val="22"/>
          <w:lang w:val="fr-FR"/>
        </w:rPr>
        <w:t>évaluation de la mise en œuvre</w:t>
      </w:r>
      <w:r w:rsidRPr="00124F6E">
        <w:rPr>
          <w:color w:val="auto"/>
          <w:sz w:val="22"/>
          <w:szCs w:val="22"/>
          <w:lang w:val="fr-FR"/>
        </w:rPr>
        <w:t xml:space="preserve"> (IRP) en attendant une prise de décision de la MOP :</w:t>
      </w:r>
      <w:r w:rsidR="00B66E27" w:rsidRPr="00226EA2">
        <w:rPr>
          <w:color w:val="auto"/>
          <w:sz w:val="22"/>
          <w:szCs w:val="22"/>
          <w:lang w:val="fr-FR"/>
        </w:rPr>
        <w:t xml:space="preserve"> </w:t>
      </w:r>
    </w:p>
    <w:p w:rsidR="00035AB9" w:rsidRPr="00226EA2" w:rsidRDefault="00035AB9" w:rsidP="00862DB8">
      <w:pPr>
        <w:pStyle w:val="Default"/>
        <w:tabs>
          <w:tab w:val="left" w:pos="540"/>
        </w:tabs>
        <w:ind w:left="540" w:hanging="540"/>
        <w:jc w:val="both"/>
        <w:rPr>
          <w:color w:val="auto"/>
          <w:sz w:val="22"/>
          <w:szCs w:val="22"/>
          <w:lang w:val="fr-FR"/>
        </w:rPr>
      </w:pPr>
    </w:p>
    <w:p w:rsidR="00B564A0" w:rsidRPr="00226EA2" w:rsidRDefault="0046561E" w:rsidP="00151FD1">
      <w:pPr>
        <w:pStyle w:val="Default"/>
        <w:jc w:val="both"/>
        <w:rPr>
          <w:color w:val="auto"/>
          <w:sz w:val="22"/>
          <w:szCs w:val="22"/>
          <w:lang w:val="fr-FR"/>
        </w:rPr>
      </w:pPr>
      <w:r w:rsidRPr="00124F6E">
        <w:rPr>
          <w:color w:val="auto"/>
          <w:sz w:val="22"/>
          <w:szCs w:val="22"/>
          <w:lang w:val="fr-FR"/>
        </w:rPr>
        <w:t>(1) Après avoir reçu des informations sur des incidences défavorables actuelles ou potentielles sur les oiseaux d</w:t>
      </w:r>
      <w:r w:rsidR="00124F6E" w:rsidRPr="00124F6E">
        <w:rPr>
          <w:color w:val="auto"/>
          <w:sz w:val="22"/>
          <w:szCs w:val="22"/>
          <w:lang w:val="fr-FR"/>
        </w:rPr>
        <w:t>’</w:t>
      </w:r>
      <w:r w:rsidRPr="00124F6E">
        <w:rPr>
          <w:color w:val="auto"/>
          <w:sz w:val="22"/>
          <w:szCs w:val="22"/>
          <w:lang w:val="fr-FR"/>
        </w:rPr>
        <w:t>eau migrateurs ou sur leurs sites et habitats résultant d</w:t>
      </w:r>
      <w:r w:rsidR="00124F6E" w:rsidRPr="00124F6E">
        <w:rPr>
          <w:color w:val="auto"/>
          <w:sz w:val="22"/>
          <w:szCs w:val="22"/>
          <w:lang w:val="fr-FR"/>
        </w:rPr>
        <w:t>’</w:t>
      </w:r>
      <w:r w:rsidRPr="00124F6E">
        <w:rPr>
          <w:color w:val="auto"/>
          <w:sz w:val="22"/>
          <w:szCs w:val="22"/>
          <w:lang w:val="fr-FR"/>
        </w:rPr>
        <w:t>activités humaines, le Comité permanent les soumettra à la Partie sur le territoire de laquelle les activités mentionnées ci-dessus se produisent, qui y répondr</w:t>
      </w:r>
      <w:r w:rsidR="00C90EDB" w:rsidRPr="00124F6E">
        <w:rPr>
          <w:color w:val="auto"/>
          <w:sz w:val="22"/>
          <w:szCs w:val="22"/>
          <w:lang w:val="fr-FR"/>
        </w:rPr>
        <w:t>a sans délai</w:t>
      </w:r>
      <w:r w:rsidRPr="00124F6E">
        <w:rPr>
          <w:color w:val="auto"/>
          <w:sz w:val="22"/>
          <w:szCs w:val="22"/>
          <w:lang w:val="fr-FR"/>
        </w:rPr>
        <w:t xml:space="preserve">, prenant en main </w:t>
      </w:r>
      <w:r w:rsidR="00C90EDB" w:rsidRPr="00124F6E">
        <w:rPr>
          <w:color w:val="auto"/>
          <w:sz w:val="22"/>
          <w:szCs w:val="22"/>
          <w:lang w:val="fr-FR"/>
        </w:rPr>
        <w:t>le problème en question</w:t>
      </w:r>
      <w:r w:rsidRPr="00124F6E">
        <w:rPr>
          <w:color w:val="auto"/>
          <w:sz w:val="22"/>
          <w:szCs w:val="22"/>
          <w:lang w:val="fr-FR"/>
        </w:rPr>
        <w:t>.</w:t>
      </w:r>
      <w:r w:rsidR="00B66E27" w:rsidRPr="00226EA2">
        <w:rPr>
          <w:color w:val="auto"/>
          <w:sz w:val="22"/>
          <w:szCs w:val="22"/>
          <w:lang w:val="fr-FR"/>
        </w:rPr>
        <w:t xml:space="preserve"> </w:t>
      </w:r>
    </w:p>
    <w:p w:rsidR="00B564A0" w:rsidRPr="00226EA2" w:rsidRDefault="00C90EDB" w:rsidP="00151FD1">
      <w:pPr>
        <w:pStyle w:val="Default"/>
        <w:jc w:val="both"/>
        <w:rPr>
          <w:color w:val="auto"/>
          <w:sz w:val="22"/>
          <w:szCs w:val="22"/>
          <w:lang w:val="fr-FR"/>
        </w:rPr>
      </w:pPr>
      <w:r w:rsidRPr="00124F6E">
        <w:rPr>
          <w:color w:val="auto"/>
          <w:sz w:val="22"/>
          <w:szCs w:val="22"/>
          <w:lang w:val="fr-FR"/>
        </w:rPr>
        <w:t xml:space="preserve">(2) En </w:t>
      </w:r>
      <w:r w:rsidRPr="00124F6E">
        <w:rPr>
          <w:sz w:val="22"/>
          <w:szCs w:val="22"/>
          <w:lang w:val="fr-FR"/>
        </w:rPr>
        <w:t>accord avec la Partie concernée, le Comité permanent peut demander une mission pour évaluer sur place l</w:t>
      </w:r>
      <w:r w:rsidR="00124F6E" w:rsidRPr="00124F6E">
        <w:rPr>
          <w:sz w:val="22"/>
          <w:szCs w:val="22"/>
          <w:lang w:val="fr-FR"/>
        </w:rPr>
        <w:t>’</w:t>
      </w:r>
      <w:r w:rsidRPr="00124F6E">
        <w:rPr>
          <w:sz w:val="22"/>
          <w:szCs w:val="22"/>
          <w:lang w:val="fr-FR"/>
        </w:rPr>
        <w:t>impact de l</w:t>
      </w:r>
      <w:r w:rsidR="00124F6E" w:rsidRPr="00124F6E">
        <w:rPr>
          <w:sz w:val="22"/>
          <w:szCs w:val="22"/>
          <w:lang w:val="fr-FR"/>
        </w:rPr>
        <w:t>’</w:t>
      </w:r>
      <w:r w:rsidRPr="00124F6E">
        <w:rPr>
          <w:sz w:val="22"/>
          <w:szCs w:val="22"/>
          <w:lang w:val="fr-FR"/>
        </w:rPr>
        <w:t>activité en question sur les oiseaux d</w:t>
      </w:r>
      <w:r w:rsidR="00124F6E" w:rsidRPr="00124F6E">
        <w:rPr>
          <w:sz w:val="22"/>
          <w:szCs w:val="22"/>
          <w:lang w:val="fr-FR"/>
        </w:rPr>
        <w:t>’</w:t>
      </w:r>
      <w:r w:rsidRPr="00124F6E">
        <w:rPr>
          <w:sz w:val="22"/>
          <w:szCs w:val="22"/>
          <w:lang w:val="fr-FR"/>
        </w:rPr>
        <w:t>eau ou sur leurs sites et habitats</w:t>
      </w:r>
      <w:r w:rsidRPr="00124F6E">
        <w:rPr>
          <w:color w:val="auto"/>
          <w:sz w:val="22"/>
          <w:szCs w:val="22"/>
          <w:lang w:val="fr-FR"/>
        </w:rPr>
        <w:t>.</w:t>
      </w:r>
      <w:r w:rsidR="00B66E27" w:rsidRPr="00226EA2">
        <w:rPr>
          <w:color w:val="auto"/>
          <w:sz w:val="22"/>
          <w:szCs w:val="22"/>
          <w:lang w:val="fr-FR"/>
        </w:rPr>
        <w:t xml:space="preserve"> </w:t>
      </w:r>
    </w:p>
    <w:p w:rsidR="002672BC" w:rsidRPr="00124F6E" w:rsidRDefault="00C90EDB" w:rsidP="00151FD1">
      <w:pPr>
        <w:pStyle w:val="Default"/>
        <w:jc w:val="both"/>
        <w:rPr>
          <w:color w:val="auto"/>
          <w:sz w:val="22"/>
          <w:szCs w:val="22"/>
          <w:lang w:val="fr-FR"/>
        </w:rPr>
      </w:pPr>
      <w:r w:rsidRPr="00124F6E">
        <w:rPr>
          <w:color w:val="auto"/>
          <w:sz w:val="22"/>
          <w:szCs w:val="22"/>
          <w:lang w:val="fr-FR"/>
        </w:rPr>
        <w:t xml:space="preserve">(3) Une fois son évaluation </w:t>
      </w:r>
      <w:r w:rsidR="002672BC" w:rsidRPr="00124F6E">
        <w:rPr>
          <w:color w:val="auto"/>
          <w:sz w:val="22"/>
          <w:szCs w:val="22"/>
          <w:lang w:val="fr-FR"/>
        </w:rPr>
        <w:t xml:space="preserve">sur </w:t>
      </w:r>
      <w:r w:rsidRPr="00124F6E">
        <w:rPr>
          <w:color w:val="auto"/>
          <w:sz w:val="22"/>
          <w:szCs w:val="22"/>
          <w:lang w:val="fr-FR"/>
        </w:rPr>
        <w:t>place achevée, la mission présentera un rapport sur ses conclusions au Comité permanent.</w:t>
      </w:r>
      <w:r w:rsidR="00B66E27" w:rsidRPr="00226EA2">
        <w:rPr>
          <w:color w:val="auto"/>
          <w:sz w:val="22"/>
          <w:szCs w:val="22"/>
          <w:lang w:val="fr-FR"/>
        </w:rPr>
        <w:t xml:space="preserve"> </w:t>
      </w:r>
      <w:r w:rsidR="00607805" w:rsidRPr="00124F6E">
        <w:rPr>
          <w:color w:val="auto"/>
          <w:sz w:val="22"/>
          <w:szCs w:val="22"/>
          <w:lang w:val="fr-FR"/>
        </w:rPr>
        <w:t>Sur la base de ces dernières, le Comité permanent fera des recommandations à la Partie concernée pour prévenir ou réduire les incidences en question sur les oiseaux d</w:t>
      </w:r>
      <w:r w:rsidR="00124F6E" w:rsidRPr="00124F6E">
        <w:rPr>
          <w:color w:val="auto"/>
          <w:sz w:val="22"/>
          <w:szCs w:val="22"/>
          <w:lang w:val="fr-FR"/>
        </w:rPr>
        <w:t>’</w:t>
      </w:r>
      <w:r w:rsidR="00607805" w:rsidRPr="00124F6E">
        <w:rPr>
          <w:color w:val="auto"/>
          <w:sz w:val="22"/>
          <w:szCs w:val="22"/>
          <w:lang w:val="fr-FR"/>
        </w:rPr>
        <w:t>eau ou sur leurs sites et habitats</w:t>
      </w:r>
      <w:r w:rsidRPr="00124F6E">
        <w:rPr>
          <w:color w:val="auto"/>
          <w:sz w:val="22"/>
          <w:szCs w:val="22"/>
          <w:lang w:val="fr-FR"/>
        </w:rPr>
        <w:t>.</w:t>
      </w:r>
    </w:p>
    <w:p w:rsidR="00B564A0" w:rsidRPr="00226EA2" w:rsidRDefault="00607805" w:rsidP="00151FD1">
      <w:pPr>
        <w:pStyle w:val="Default"/>
        <w:jc w:val="both"/>
        <w:rPr>
          <w:color w:val="auto"/>
          <w:sz w:val="22"/>
          <w:szCs w:val="22"/>
          <w:lang w:val="fr-FR"/>
        </w:rPr>
      </w:pPr>
      <w:r w:rsidRPr="00124F6E">
        <w:rPr>
          <w:color w:val="auto"/>
          <w:sz w:val="22"/>
          <w:szCs w:val="22"/>
          <w:lang w:val="fr-FR"/>
        </w:rPr>
        <w:lastRenderedPageBreak/>
        <w:t>(4) La Partie concernée assurera que toute mesure entreprise en rapport avec l</w:t>
      </w:r>
      <w:r w:rsidR="00124F6E" w:rsidRPr="00124F6E">
        <w:rPr>
          <w:color w:val="auto"/>
          <w:sz w:val="22"/>
          <w:szCs w:val="22"/>
          <w:lang w:val="fr-FR"/>
        </w:rPr>
        <w:t>’</w:t>
      </w:r>
      <w:r w:rsidRPr="00124F6E">
        <w:rPr>
          <w:color w:val="auto"/>
          <w:sz w:val="22"/>
          <w:szCs w:val="22"/>
          <w:lang w:val="fr-FR"/>
        </w:rPr>
        <w:t xml:space="preserve">activité, le site ou </w:t>
      </w:r>
      <w:proofErr w:type="gramStart"/>
      <w:r w:rsidRPr="00124F6E">
        <w:rPr>
          <w:color w:val="auto"/>
          <w:sz w:val="22"/>
          <w:szCs w:val="22"/>
          <w:lang w:val="fr-FR"/>
        </w:rPr>
        <w:t>l</w:t>
      </w:r>
      <w:r w:rsidR="00124F6E" w:rsidRPr="00124F6E">
        <w:rPr>
          <w:color w:val="auto"/>
          <w:sz w:val="22"/>
          <w:szCs w:val="22"/>
          <w:lang w:val="fr-FR"/>
        </w:rPr>
        <w:t>’</w:t>
      </w:r>
      <w:r w:rsidRPr="00124F6E">
        <w:rPr>
          <w:color w:val="auto"/>
          <w:sz w:val="22"/>
          <w:szCs w:val="22"/>
          <w:lang w:val="fr-FR"/>
        </w:rPr>
        <w:t>habitat concernés</w:t>
      </w:r>
      <w:proofErr w:type="gramEnd"/>
      <w:r w:rsidRPr="00124F6E">
        <w:rPr>
          <w:color w:val="auto"/>
          <w:sz w:val="22"/>
          <w:szCs w:val="22"/>
          <w:lang w:val="fr-FR"/>
        </w:rPr>
        <w:t xml:space="preserve"> sera conforme à ses obligations en vertu de l</w:t>
      </w:r>
      <w:r w:rsidR="00124F6E" w:rsidRPr="00124F6E">
        <w:rPr>
          <w:color w:val="auto"/>
          <w:sz w:val="22"/>
          <w:szCs w:val="22"/>
          <w:lang w:val="fr-FR"/>
        </w:rPr>
        <w:t>’</w:t>
      </w:r>
      <w:r w:rsidRPr="00124F6E">
        <w:rPr>
          <w:color w:val="auto"/>
          <w:sz w:val="22"/>
          <w:szCs w:val="22"/>
          <w:lang w:val="fr-FR"/>
        </w:rPr>
        <w:t>Accord et basée sur le principe de précaution.</w:t>
      </w:r>
      <w:r w:rsidR="00B66E27" w:rsidRPr="00226EA2">
        <w:rPr>
          <w:color w:val="auto"/>
          <w:sz w:val="22"/>
          <w:szCs w:val="22"/>
          <w:lang w:val="fr-FR"/>
        </w:rPr>
        <w:t xml:space="preserve"> </w:t>
      </w:r>
      <w:r w:rsidR="002672BC" w:rsidRPr="00124F6E">
        <w:rPr>
          <w:color w:val="auto"/>
          <w:sz w:val="22"/>
          <w:szCs w:val="22"/>
          <w:lang w:val="fr-FR"/>
        </w:rPr>
        <w:t xml:space="preserve">Cette </w:t>
      </w:r>
      <w:r w:rsidRPr="00124F6E">
        <w:rPr>
          <w:color w:val="auto"/>
          <w:sz w:val="22"/>
          <w:szCs w:val="22"/>
          <w:lang w:val="fr-FR"/>
        </w:rPr>
        <w:t xml:space="preserve">Partie informera le Comité permanent sur les mesures susmentionnées dès que possible, </w:t>
      </w:r>
      <w:r w:rsidR="002672BC" w:rsidRPr="00124F6E">
        <w:rPr>
          <w:color w:val="auto"/>
          <w:sz w:val="22"/>
          <w:szCs w:val="22"/>
          <w:lang w:val="fr-FR"/>
        </w:rPr>
        <w:t>et</w:t>
      </w:r>
      <w:r w:rsidRPr="00124F6E">
        <w:rPr>
          <w:color w:val="auto"/>
          <w:sz w:val="22"/>
          <w:szCs w:val="22"/>
          <w:lang w:val="fr-FR"/>
        </w:rPr>
        <w:t xml:space="preserve"> au plus tard avant la prochaine réunion du Comité permanent.</w:t>
      </w:r>
      <w:r w:rsidR="00B66E27" w:rsidRPr="00226EA2">
        <w:rPr>
          <w:color w:val="auto"/>
          <w:sz w:val="22"/>
          <w:szCs w:val="22"/>
          <w:lang w:val="fr-FR"/>
        </w:rPr>
        <w:t xml:space="preserve"> </w:t>
      </w:r>
    </w:p>
    <w:p w:rsidR="00B564A0" w:rsidRPr="00226EA2" w:rsidRDefault="00607805" w:rsidP="00151FD1">
      <w:pPr>
        <w:pStyle w:val="Default"/>
        <w:jc w:val="both"/>
        <w:rPr>
          <w:color w:val="auto"/>
          <w:sz w:val="22"/>
          <w:szCs w:val="22"/>
          <w:lang w:val="fr-FR"/>
        </w:rPr>
      </w:pPr>
      <w:r w:rsidRPr="00124F6E">
        <w:rPr>
          <w:color w:val="auto"/>
          <w:sz w:val="22"/>
          <w:szCs w:val="22"/>
          <w:lang w:val="fr-FR"/>
        </w:rPr>
        <w:t>(5) Le Comité permanent préparera et soumettra à chaque session ordinaire de la Réunion des Parties un rapport sur ses activités dans le cadre de l</w:t>
      </w:r>
      <w:r w:rsidR="00124F6E" w:rsidRPr="00124F6E">
        <w:rPr>
          <w:color w:val="auto"/>
          <w:sz w:val="22"/>
          <w:szCs w:val="22"/>
          <w:lang w:val="fr-FR"/>
        </w:rPr>
        <w:t>’</w:t>
      </w:r>
      <w:r w:rsidRPr="00124F6E">
        <w:rPr>
          <w:color w:val="auto"/>
          <w:sz w:val="22"/>
          <w:szCs w:val="22"/>
          <w:lang w:val="fr-FR"/>
        </w:rPr>
        <w:t>IRP ;</w:t>
      </w:r>
      <w:r w:rsidR="00B66E27" w:rsidRPr="00226EA2">
        <w:rPr>
          <w:color w:val="auto"/>
          <w:sz w:val="22"/>
          <w:szCs w:val="22"/>
          <w:lang w:val="fr-FR"/>
        </w:rPr>
        <w:t xml:space="preserve"> </w:t>
      </w:r>
    </w:p>
    <w:p w:rsidR="00522CFA" w:rsidRPr="00226EA2" w:rsidRDefault="00522CFA" w:rsidP="00C279B2">
      <w:pPr>
        <w:pStyle w:val="Default"/>
        <w:jc w:val="both"/>
        <w:rPr>
          <w:color w:val="auto"/>
          <w:sz w:val="22"/>
          <w:szCs w:val="22"/>
          <w:lang w:val="fr-FR"/>
        </w:rPr>
      </w:pP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r w:rsidRPr="00226EA2">
        <w:rPr>
          <w:color w:val="auto"/>
          <w:sz w:val="22"/>
          <w:szCs w:val="22"/>
          <w:lang w:val="fr-FR"/>
        </w:rPr>
        <w:tab/>
      </w:r>
    </w:p>
    <w:p w:rsidR="008B383D" w:rsidRPr="00226EA2" w:rsidRDefault="00116E4E" w:rsidP="00862DB8">
      <w:pPr>
        <w:pStyle w:val="BodyTextIndent"/>
        <w:tabs>
          <w:tab w:val="left" w:pos="1157"/>
          <w:tab w:val="left" w:pos="1735"/>
        </w:tabs>
        <w:ind w:left="0" w:firstLine="0"/>
        <w:jc w:val="both"/>
        <w:rPr>
          <w:sz w:val="22"/>
          <w:szCs w:val="22"/>
          <w:lang w:val="fr-FR"/>
        </w:rPr>
      </w:pPr>
      <w:r w:rsidRPr="00124F6E">
        <w:rPr>
          <w:sz w:val="22"/>
          <w:szCs w:val="22"/>
          <w:lang w:val="fr-FR"/>
        </w:rPr>
        <w:t>La Résolution</w:t>
      </w:r>
      <w:r w:rsidR="00607805" w:rsidRPr="00124F6E">
        <w:rPr>
          <w:sz w:val="22"/>
          <w:szCs w:val="22"/>
          <w:lang w:val="fr-FR"/>
        </w:rPr>
        <w:t xml:space="preserve"> 5.17 reconfirm</w:t>
      </w:r>
      <w:r w:rsidRPr="00124F6E">
        <w:rPr>
          <w:sz w:val="22"/>
          <w:szCs w:val="22"/>
          <w:lang w:val="fr-FR"/>
        </w:rPr>
        <w:t>e les tâches mentionnées ci-dessus et charge en plus le Comité permanent de contribuer, s</w:t>
      </w:r>
      <w:r w:rsidR="00124F6E" w:rsidRPr="00124F6E">
        <w:rPr>
          <w:sz w:val="22"/>
          <w:szCs w:val="22"/>
          <w:lang w:val="fr-FR"/>
        </w:rPr>
        <w:t>’</w:t>
      </w:r>
      <w:r w:rsidRPr="00124F6E">
        <w:rPr>
          <w:sz w:val="22"/>
          <w:szCs w:val="22"/>
          <w:lang w:val="fr-FR"/>
        </w:rPr>
        <w:t>il y a lieu, aux activités recensées à l</w:t>
      </w:r>
      <w:r w:rsidR="00124F6E" w:rsidRPr="00124F6E">
        <w:rPr>
          <w:sz w:val="22"/>
          <w:szCs w:val="22"/>
          <w:lang w:val="fr-FR"/>
        </w:rPr>
        <w:t>’</w:t>
      </w:r>
      <w:r w:rsidRPr="00124F6E">
        <w:rPr>
          <w:sz w:val="22"/>
          <w:szCs w:val="22"/>
          <w:lang w:val="fr-FR"/>
        </w:rPr>
        <w:t>Annexe I de Résolution</w:t>
      </w:r>
      <w:r w:rsidR="00607805" w:rsidRPr="00124F6E">
        <w:rPr>
          <w:sz w:val="22"/>
          <w:szCs w:val="22"/>
          <w:lang w:val="fr-FR"/>
        </w:rPr>
        <w:t xml:space="preserve"> 10.9 </w:t>
      </w:r>
      <w:r w:rsidRPr="00124F6E">
        <w:rPr>
          <w:sz w:val="22"/>
          <w:szCs w:val="22"/>
          <w:lang w:val="fr-FR"/>
        </w:rPr>
        <w:t xml:space="preserve">de la CMS relative à la </w:t>
      </w:r>
      <w:r w:rsidRPr="00124F6E">
        <w:rPr>
          <w:i/>
          <w:sz w:val="22"/>
          <w:szCs w:val="22"/>
          <w:lang w:val="fr-FR"/>
        </w:rPr>
        <w:t>Structure et</w:t>
      </w:r>
      <w:r w:rsidRPr="00124F6E">
        <w:rPr>
          <w:sz w:val="22"/>
          <w:szCs w:val="22"/>
          <w:lang w:val="fr-FR"/>
        </w:rPr>
        <w:t xml:space="preserve"> </w:t>
      </w:r>
      <w:r w:rsidRPr="00124F6E">
        <w:rPr>
          <w:i/>
          <w:sz w:val="22"/>
          <w:szCs w:val="22"/>
          <w:lang w:val="fr-FR"/>
        </w:rPr>
        <w:t>stratégies</w:t>
      </w:r>
      <w:r w:rsidR="00607805" w:rsidRPr="00124F6E">
        <w:rPr>
          <w:i/>
          <w:sz w:val="22"/>
          <w:szCs w:val="22"/>
          <w:lang w:val="fr-FR"/>
        </w:rPr>
        <w:t xml:space="preserve"> </w:t>
      </w:r>
      <w:r w:rsidRPr="00124F6E">
        <w:rPr>
          <w:i/>
          <w:sz w:val="22"/>
          <w:szCs w:val="22"/>
          <w:lang w:val="fr-FR"/>
        </w:rPr>
        <w:t xml:space="preserve">futures de la Famille </w:t>
      </w:r>
      <w:r w:rsidR="00607805" w:rsidRPr="00124F6E">
        <w:rPr>
          <w:i/>
          <w:sz w:val="22"/>
          <w:szCs w:val="22"/>
          <w:lang w:val="fr-FR"/>
        </w:rPr>
        <w:t>CMS</w:t>
      </w:r>
      <w:r w:rsidR="00607805" w:rsidRPr="00124F6E">
        <w:rPr>
          <w:sz w:val="22"/>
          <w:szCs w:val="22"/>
          <w:lang w:val="fr-FR"/>
        </w:rPr>
        <w:t>.</w:t>
      </w:r>
    </w:p>
    <w:p w:rsidR="00522CFA" w:rsidRPr="00226EA2" w:rsidRDefault="00522CFA" w:rsidP="00862DB8">
      <w:pPr>
        <w:pStyle w:val="BodyTextIndent"/>
        <w:tabs>
          <w:tab w:val="left" w:pos="1157"/>
          <w:tab w:val="left" w:pos="1735"/>
        </w:tabs>
        <w:ind w:left="0" w:firstLine="0"/>
        <w:jc w:val="both"/>
        <w:rPr>
          <w:sz w:val="22"/>
          <w:szCs w:val="22"/>
          <w:lang w:val="fr-FR"/>
        </w:rPr>
      </w:pPr>
    </w:p>
    <w:p w:rsidR="008B383D" w:rsidRPr="00226EA2" w:rsidRDefault="00116E4E" w:rsidP="00862DB8">
      <w:pPr>
        <w:pStyle w:val="BodyTextIndent"/>
        <w:tabs>
          <w:tab w:val="left" w:pos="1157"/>
          <w:tab w:val="left" w:pos="1735"/>
        </w:tabs>
        <w:ind w:left="0" w:firstLine="0"/>
        <w:jc w:val="both"/>
        <w:rPr>
          <w:sz w:val="22"/>
          <w:szCs w:val="22"/>
          <w:lang w:val="fr-FR"/>
        </w:rPr>
      </w:pPr>
      <w:r w:rsidRPr="00124F6E">
        <w:rPr>
          <w:sz w:val="22"/>
          <w:szCs w:val="22"/>
          <w:lang w:val="fr-FR"/>
        </w:rPr>
        <w:t>Conformément à la Résolution 5.17, le Comité permanent comprend cinq représentants régionaux, à savoir :</w:t>
      </w:r>
      <w:r w:rsidR="008B383D" w:rsidRPr="00226EA2">
        <w:rPr>
          <w:sz w:val="22"/>
          <w:szCs w:val="22"/>
          <w:lang w:val="fr-FR"/>
        </w:rPr>
        <w:t xml:space="preserve"> </w:t>
      </w:r>
      <w:r w:rsidR="00CB7815" w:rsidRPr="00124F6E">
        <w:rPr>
          <w:sz w:val="22"/>
          <w:szCs w:val="22"/>
          <w:lang w:val="fr-FR"/>
        </w:rPr>
        <w:t xml:space="preserve">La </w:t>
      </w:r>
      <w:r w:rsidRPr="00124F6E">
        <w:rPr>
          <w:sz w:val="22"/>
          <w:szCs w:val="22"/>
          <w:lang w:val="fr-FR"/>
        </w:rPr>
        <w:t>Norvège (</w:t>
      </w:r>
      <w:r w:rsidR="00CB7815" w:rsidRPr="00124F6E">
        <w:rPr>
          <w:i/>
          <w:sz w:val="22"/>
          <w:szCs w:val="22"/>
          <w:lang w:val="fr-FR"/>
        </w:rPr>
        <w:t>président, représentant régional (RR) pour l</w:t>
      </w:r>
      <w:r w:rsidR="00124F6E" w:rsidRPr="00124F6E">
        <w:rPr>
          <w:i/>
          <w:sz w:val="22"/>
          <w:szCs w:val="22"/>
          <w:lang w:val="fr-FR"/>
        </w:rPr>
        <w:t>’</w:t>
      </w:r>
      <w:r w:rsidR="00CB7815" w:rsidRPr="00124F6E">
        <w:rPr>
          <w:i/>
          <w:sz w:val="22"/>
          <w:szCs w:val="22"/>
          <w:lang w:val="fr-FR"/>
        </w:rPr>
        <w:t>Europe et l</w:t>
      </w:r>
      <w:r w:rsidR="00124F6E" w:rsidRPr="00124F6E">
        <w:rPr>
          <w:i/>
          <w:sz w:val="22"/>
          <w:szCs w:val="22"/>
          <w:lang w:val="fr-FR"/>
        </w:rPr>
        <w:t>’</w:t>
      </w:r>
      <w:r w:rsidR="00CB7815" w:rsidRPr="00124F6E">
        <w:rPr>
          <w:i/>
          <w:sz w:val="22"/>
          <w:szCs w:val="22"/>
          <w:lang w:val="fr-FR"/>
        </w:rPr>
        <w:t xml:space="preserve">Asie centrale), </w:t>
      </w:r>
      <w:r w:rsidR="00CB7815" w:rsidRPr="00124F6E">
        <w:rPr>
          <w:sz w:val="22"/>
          <w:szCs w:val="22"/>
          <w:lang w:val="fr-FR"/>
        </w:rPr>
        <w:t>la France</w:t>
      </w:r>
      <w:r w:rsidR="00CB7815" w:rsidRPr="00124F6E">
        <w:rPr>
          <w:i/>
          <w:sz w:val="22"/>
          <w:szCs w:val="22"/>
          <w:lang w:val="fr-FR"/>
        </w:rPr>
        <w:t xml:space="preserve"> </w:t>
      </w:r>
      <w:r w:rsidR="00CB7815" w:rsidRPr="00124F6E">
        <w:rPr>
          <w:sz w:val="22"/>
          <w:szCs w:val="22"/>
          <w:lang w:val="fr-FR"/>
        </w:rPr>
        <w:t>(</w:t>
      </w:r>
      <w:r w:rsidR="00CB7815" w:rsidRPr="00124F6E">
        <w:rPr>
          <w:i/>
          <w:sz w:val="22"/>
          <w:szCs w:val="22"/>
          <w:lang w:val="fr-FR"/>
        </w:rPr>
        <w:t>RR pour l</w:t>
      </w:r>
      <w:r w:rsidR="00124F6E" w:rsidRPr="00124F6E">
        <w:rPr>
          <w:i/>
          <w:sz w:val="22"/>
          <w:szCs w:val="22"/>
          <w:lang w:val="fr-FR"/>
        </w:rPr>
        <w:t>’</w:t>
      </w:r>
      <w:r w:rsidR="00CB7815" w:rsidRPr="00124F6E">
        <w:rPr>
          <w:i/>
          <w:sz w:val="22"/>
          <w:szCs w:val="22"/>
          <w:lang w:val="fr-FR"/>
        </w:rPr>
        <w:t>Europe et l</w:t>
      </w:r>
      <w:r w:rsidR="00124F6E" w:rsidRPr="00124F6E">
        <w:rPr>
          <w:i/>
          <w:sz w:val="22"/>
          <w:szCs w:val="22"/>
          <w:lang w:val="fr-FR"/>
        </w:rPr>
        <w:t>’</w:t>
      </w:r>
      <w:r w:rsidR="00CB7815" w:rsidRPr="00124F6E">
        <w:rPr>
          <w:i/>
          <w:sz w:val="22"/>
          <w:szCs w:val="22"/>
          <w:lang w:val="fr-FR"/>
        </w:rPr>
        <w:t xml:space="preserve">Asie centrale), </w:t>
      </w:r>
      <w:r w:rsidR="00CB7815" w:rsidRPr="00124F6E">
        <w:rPr>
          <w:sz w:val="22"/>
          <w:szCs w:val="22"/>
          <w:lang w:val="fr-FR"/>
        </w:rPr>
        <w:t>l</w:t>
      </w:r>
      <w:r w:rsidR="00124F6E" w:rsidRPr="00124F6E">
        <w:rPr>
          <w:sz w:val="22"/>
          <w:szCs w:val="22"/>
          <w:lang w:val="fr-FR"/>
        </w:rPr>
        <w:t>’</w:t>
      </w:r>
      <w:r w:rsidR="00CB7815" w:rsidRPr="00124F6E">
        <w:rPr>
          <w:sz w:val="22"/>
          <w:szCs w:val="22"/>
          <w:lang w:val="fr-FR"/>
        </w:rPr>
        <w:t>Ouganda</w:t>
      </w:r>
      <w:r w:rsidR="00CB7815" w:rsidRPr="00124F6E">
        <w:rPr>
          <w:i/>
          <w:sz w:val="22"/>
          <w:szCs w:val="22"/>
          <w:lang w:val="fr-FR"/>
        </w:rPr>
        <w:t xml:space="preserve"> (vice-président, RR pour l</w:t>
      </w:r>
      <w:r w:rsidR="00124F6E" w:rsidRPr="00124F6E">
        <w:rPr>
          <w:i/>
          <w:sz w:val="22"/>
          <w:szCs w:val="22"/>
          <w:lang w:val="fr-FR"/>
        </w:rPr>
        <w:t>’</w:t>
      </w:r>
      <w:r w:rsidR="00CB7815" w:rsidRPr="00124F6E">
        <w:rPr>
          <w:i/>
          <w:sz w:val="22"/>
          <w:szCs w:val="22"/>
          <w:lang w:val="fr-FR"/>
        </w:rPr>
        <w:t>Afrique de l</w:t>
      </w:r>
      <w:r w:rsidR="00124F6E" w:rsidRPr="00124F6E">
        <w:rPr>
          <w:i/>
          <w:sz w:val="22"/>
          <w:szCs w:val="22"/>
          <w:lang w:val="fr-FR"/>
        </w:rPr>
        <w:t>’</w:t>
      </w:r>
      <w:r w:rsidR="00CB7815" w:rsidRPr="00124F6E">
        <w:rPr>
          <w:i/>
          <w:sz w:val="22"/>
          <w:szCs w:val="22"/>
          <w:lang w:val="fr-FR"/>
        </w:rPr>
        <w:t xml:space="preserve">Est et australe) </w:t>
      </w:r>
      <w:r w:rsidR="00CB7815" w:rsidRPr="00124F6E">
        <w:rPr>
          <w:sz w:val="22"/>
          <w:szCs w:val="22"/>
          <w:lang w:val="fr-FR"/>
        </w:rPr>
        <w:t>le Ghana</w:t>
      </w:r>
      <w:r w:rsidR="00CB7815" w:rsidRPr="00124F6E">
        <w:rPr>
          <w:i/>
          <w:sz w:val="22"/>
          <w:szCs w:val="22"/>
          <w:lang w:val="fr-FR"/>
        </w:rPr>
        <w:t xml:space="preserve"> (RR pour l</w:t>
      </w:r>
      <w:r w:rsidR="00124F6E" w:rsidRPr="00124F6E">
        <w:rPr>
          <w:i/>
          <w:sz w:val="22"/>
          <w:szCs w:val="22"/>
          <w:lang w:val="fr-FR"/>
        </w:rPr>
        <w:t>’</w:t>
      </w:r>
      <w:r w:rsidR="00CB7815" w:rsidRPr="00124F6E">
        <w:rPr>
          <w:i/>
          <w:sz w:val="22"/>
          <w:szCs w:val="22"/>
          <w:lang w:val="fr-FR"/>
        </w:rPr>
        <w:t>Afrique de l</w:t>
      </w:r>
      <w:r w:rsidR="00124F6E" w:rsidRPr="00124F6E">
        <w:rPr>
          <w:i/>
          <w:sz w:val="22"/>
          <w:szCs w:val="22"/>
          <w:lang w:val="fr-FR"/>
        </w:rPr>
        <w:t>’</w:t>
      </w:r>
      <w:r w:rsidR="00CB7815" w:rsidRPr="00124F6E">
        <w:rPr>
          <w:i/>
          <w:sz w:val="22"/>
          <w:szCs w:val="22"/>
          <w:lang w:val="fr-FR"/>
        </w:rPr>
        <w:t xml:space="preserve">Ouest et centrale) et </w:t>
      </w:r>
      <w:r w:rsidR="00CB7815" w:rsidRPr="00124F6E">
        <w:rPr>
          <w:sz w:val="22"/>
          <w:szCs w:val="22"/>
          <w:lang w:val="fr-FR"/>
        </w:rPr>
        <w:t>l</w:t>
      </w:r>
      <w:r w:rsidR="00124F6E" w:rsidRPr="00124F6E">
        <w:rPr>
          <w:sz w:val="22"/>
          <w:szCs w:val="22"/>
          <w:lang w:val="fr-FR"/>
        </w:rPr>
        <w:t>’</w:t>
      </w:r>
      <w:r w:rsidR="00CB7815" w:rsidRPr="00124F6E">
        <w:rPr>
          <w:sz w:val="22"/>
          <w:szCs w:val="22"/>
          <w:lang w:val="fr-FR"/>
        </w:rPr>
        <w:t>Algérie</w:t>
      </w:r>
      <w:r w:rsidR="00CB7815" w:rsidRPr="00124F6E">
        <w:rPr>
          <w:i/>
          <w:sz w:val="22"/>
          <w:szCs w:val="22"/>
          <w:lang w:val="fr-FR"/>
        </w:rPr>
        <w:t xml:space="preserve"> (RR pour le Moyen</w:t>
      </w:r>
      <w:r w:rsidR="002672BC" w:rsidRPr="00124F6E">
        <w:rPr>
          <w:i/>
          <w:sz w:val="22"/>
          <w:szCs w:val="22"/>
          <w:lang w:val="fr-FR"/>
        </w:rPr>
        <w:t>-</w:t>
      </w:r>
      <w:r w:rsidR="00CB7815" w:rsidRPr="00124F6E">
        <w:rPr>
          <w:i/>
          <w:sz w:val="22"/>
          <w:szCs w:val="22"/>
          <w:lang w:val="fr-FR"/>
        </w:rPr>
        <w:t>Orient et l</w:t>
      </w:r>
      <w:r w:rsidR="00124F6E" w:rsidRPr="00124F6E">
        <w:rPr>
          <w:i/>
          <w:sz w:val="22"/>
          <w:szCs w:val="22"/>
          <w:lang w:val="fr-FR"/>
        </w:rPr>
        <w:t>’</w:t>
      </w:r>
      <w:r w:rsidR="00CB7815" w:rsidRPr="00124F6E">
        <w:rPr>
          <w:i/>
          <w:sz w:val="22"/>
          <w:szCs w:val="22"/>
          <w:lang w:val="fr-FR"/>
        </w:rPr>
        <w:t>Afrique du Nord)</w:t>
      </w:r>
      <w:r w:rsidRPr="00124F6E">
        <w:rPr>
          <w:sz w:val="22"/>
          <w:szCs w:val="22"/>
          <w:lang w:val="fr-FR"/>
        </w:rPr>
        <w:t>.</w:t>
      </w:r>
      <w:r w:rsidR="00D54FAE" w:rsidRPr="00226EA2">
        <w:rPr>
          <w:sz w:val="22"/>
          <w:szCs w:val="22"/>
          <w:lang w:val="fr-FR"/>
        </w:rPr>
        <w:t xml:space="preserve"> </w:t>
      </w:r>
      <w:r w:rsidR="00CB7815" w:rsidRPr="00124F6E">
        <w:rPr>
          <w:sz w:val="22"/>
          <w:szCs w:val="22"/>
          <w:lang w:val="fr-FR"/>
        </w:rPr>
        <w:t>Le Comité permanent comprend également un représentant du Dépositaire (</w:t>
      </w:r>
      <w:r w:rsidR="002672BC" w:rsidRPr="00124F6E">
        <w:rPr>
          <w:i/>
          <w:sz w:val="22"/>
          <w:szCs w:val="22"/>
          <w:lang w:val="fr-FR"/>
        </w:rPr>
        <w:t xml:space="preserve">les </w:t>
      </w:r>
      <w:r w:rsidR="00CB7815" w:rsidRPr="00124F6E">
        <w:rPr>
          <w:i/>
          <w:sz w:val="22"/>
          <w:szCs w:val="22"/>
          <w:lang w:val="fr-FR"/>
        </w:rPr>
        <w:t xml:space="preserve">Pays-Bas) </w:t>
      </w:r>
      <w:r w:rsidR="00CB7815" w:rsidRPr="00124F6E">
        <w:rPr>
          <w:sz w:val="22"/>
          <w:szCs w:val="22"/>
          <w:lang w:val="fr-FR"/>
        </w:rPr>
        <w:t>et un représentant du pays d</w:t>
      </w:r>
      <w:r w:rsidR="00124F6E" w:rsidRPr="00124F6E">
        <w:rPr>
          <w:sz w:val="22"/>
          <w:szCs w:val="22"/>
          <w:lang w:val="fr-FR"/>
        </w:rPr>
        <w:t>’</w:t>
      </w:r>
      <w:r w:rsidR="00CB7815" w:rsidRPr="00124F6E">
        <w:rPr>
          <w:sz w:val="22"/>
          <w:szCs w:val="22"/>
          <w:lang w:val="fr-FR"/>
        </w:rPr>
        <w:t>accueil pour la prochaine session de la Réunion des Parties (ce qui est sans objet dans le cas de la MOP6).</w:t>
      </w:r>
      <w:r w:rsidR="008B383D" w:rsidRPr="00226EA2">
        <w:rPr>
          <w:sz w:val="22"/>
          <w:szCs w:val="22"/>
          <w:lang w:val="fr-FR"/>
        </w:rPr>
        <w:t xml:space="preserve"> </w:t>
      </w:r>
    </w:p>
    <w:p w:rsidR="008B383D" w:rsidRPr="00226EA2" w:rsidRDefault="008B383D" w:rsidP="00862DB8">
      <w:pPr>
        <w:pStyle w:val="BodyTextIndent"/>
        <w:tabs>
          <w:tab w:val="left" w:pos="1157"/>
          <w:tab w:val="left" w:pos="1735"/>
        </w:tabs>
        <w:ind w:left="0" w:firstLine="0"/>
        <w:jc w:val="both"/>
        <w:rPr>
          <w:sz w:val="22"/>
          <w:szCs w:val="22"/>
          <w:lang w:val="fr-FR"/>
        </w:rPr>
      </w:pPr>
    </w:p>
    <w:p w:rsidR="008B383D" w:rsidRPr="00226EA2" w:rsidRDefault="00B001F9" w:rsidP="00862DB8">
      <w:pPr>
        <w:pStyle w:val="BodyTextIndent"/>
        <w:tabs>
          <w:tab w:val="left" w:pos="1157"/>
          <w:tab w:val="left" w:pos="1735"/>
        </w:tabs>
        <w:ind w:left="0" w:firstLine="0"/>
        <w:jc w:val="both"/>
        <w:rPr>
          <w:sz w:val="22"/>
          <w:szCs w:val="22"/>
          <w:lang w:val="fr-FR"/>
        </w:rPr>
      </w:pPr>
      <w:r w:rsidRPr="00124F6E">
        <w:rPr>
          <w:sz w:val="22"/>
          <w:szCs w:val="22"/>
          <w:lang w:val="fr-FR"/>
        </w:rPr>
        <w:t>Depuis sa mise en place en 2002, le Comité s</w:t>
      </w:r>
      <w:r w:rsidR="00124F6E" w:rsidRPr="00124F6E">
        <w:rPr>
          <w:sz w:val="22"/>
          <w:szCs w:val="22"/>
          <w:lang w:val="fr-FR"/>
        </w:rPr>
        <w:t>’</w:t>
      </w:r>
      <w:r w:rsidRPr="00124F6E">
        <w:rPr>
          <w:sz w:val="22"/>
          <w:szCs w:val="22"/>
          <w:lang w:val="fr-FR"/>
        </w:rPr>
        <w:t>est réuni chaque année entre la MOP2 et la MOP3 puis, en raison de restrictions budgétaires, seulement deux fois au cours de la période triennale entre la MOP3 et la MOP4, et deux fois au cours des quatre années séparant la MOP4 de la MOP5</w:t>
      </w:r>
      <w:r w:rsidR="00CB7815" w:rsidRPr="00124F6E">
        <w:rPr>
          <w:sz w:val="22"/>
          <w:szCs w:val="22"/>
          <w:lang w:val="fr-FR"/>
        </w:rPr>
        <w:t>.</w:t>
      </w:r>
    </w:p>
    <w:p w:rsidR="008B383D" w:rsidRPr="00226EA2" w:rsidRDefault="008B383D" w:rsidP="00862DB8">
      <w:pPr>
        <w:pStyle w:val="BodyTextIndent"/>
        <w:tabs>
          <w:tab w:val="left" w:pos="1157"/>
          <w:tab w:val="left" w:pos="1735"/>
        </w:tabs>
        <w:ind w:left="0" w:firstLine="0"/>
        <w:jc w:val="both"/>
        <w:rPr>
          <w:sz w:val="22"/>
          <w:szCs w:val="22"/>
          <w:lang w:val="fr-FR"/>
        </w:rPr>
      </w:pPr>
    </w:p>
    <w:p w:rsidR="008B383D" w:rsidRPr="00226EA2" w:rsidRDefault="00B001F9" w:rsidP="00862DB8">
      <w:pPr>
        <w:pStyle w:val="BodyTextIndent"/>
        <w:tabs>
          <w:tab w:val="left" w:pos="1157"/>
          <w:tab w:val="left" w:pos="1735"/>
        </w:tabs>
        <w:ind w:left="0" w:firstLine="0"/>
        <w:jc w:val="both"/>
        <w:rPr>
          <w:sz w:val="22"/>
          <w:szCs w:val="22"/>
          <w:lang w:val="fr-FR"/>
        </w:rPr>
      </w:pPr>
      <w:r w:rsidRPr="00124F6E">
        <w:rPr>
          <w:sz w:val="22"/>
          <w:szCs w:val="22"/>
          <w:lang w:val="fr-FR"/>
        </w:rPr>
        <w:t>Le présent rapport propose une brève vue d</w:t>
      </w:r>
      <w:r w:rsidR="00124F6E" w:rsidRPr="00124F6E">
        <w:rPr>
          <w:sz w:val="22"/>
          <w:szCs w:val="22"/>
          <w:lang w:val="fr-FR"/>
        </w:rPr>
        <w:t>’</w:t>
      </w:r>
      <w:r w:rsidRPr="00124F6E">
        <w:rPr>
          <w:sz w:val="22"/>
          <w:szCs w:val="22"/>
          <w:lang w:val="fr-FR"/>
        </w:rPr>
        <w:t>ensemble des principales activités du Comité permanent depuis la MOP5.</w:t>
      </w:r>
    </w:p>
    <w:p w:rsidR="008B383D" w:rsidRPr="00226EA2" w:rsidRDefault="008B383D" w:rsidP="008B383D">
      <w:pPr>
        <w:pStyle w:val="BodyTextIndent"/>
        <w:tabs>
          <w:tab w:val="left" w:pos="1157"/>
          <w:tab w:val="left" w:pos="1735"/>
        </w:tabs>
        <w:ind w:left="0" w:firstLine="0"/>
        <w:jc w:val="both"/>
        <w:rPr>
          <w:sz w:val="22"/>
          <w:szCs w:val="22"/>
          <w:lang w:val="fr-FR"/>
        </w:rPr>
      </w:pPr>
    </w:p>
    <w:p w:rsidR="00035AB9" w:rsidRPr="00226EA2" w:rsidRDefault="00035AB9" w:rsidP="008B383D">
      <w:pPr>
        <w:pStyle w:val="BodyTextIndent"/>
        <w:tabs>
          <w:tab w:val="left" w:pos="1157"/>
          <w:tab w:val="left" w:pos="1735"/>
        </w:tabs>
        <w:ind w:left="0" w:firstLine="0"/>
        <w:jc w:val="both"/>
        <w:rPr>
          <w:sz w:val="22"/>
          <w:szCs w:val="22"/>
          <w:lang w:val="fr-FR"/>
        </w:rPr>
      </w:pPr>
    </w:p>
    <w:p w:rsidR="008B383D" w:rsidRPr="00226EA2" w:rsidRDefault="00B001F9" w:rsidP="008B383D">
      <w:pPr>
        <w:pStyle w:val="BodyTextIndent"/>
        <w:tabs>
          <w:tab w:val="left" w:pos="1157"/>
          <w:tab w:val="left" w:pos="1735"/>
        </w:tabs>
        <w:ind w:left="0" w:firstLine="0"/>
        <w:jc w:val="both"/>
        <w:rPr>
          <w:b/>
          <w:sz w:val="22"/>
          <w:szCs w:val="22"/>
          <w:lang w:val="fr-FR"/>
        </w:rPr>
      </w:pPr>
      <w:r w:rsidRPr="00124F6E">
        <w:rPr>
          <w:b/>
          <w:sz w:val="22"/>
          <w:szCs w:val="22"/>
          <w:lang w:val="fr-FR"/>
        </w:rPr>
        <w:t>Réunions du Comité permanent</w:t>
      </w:r>
    </w:p>
    <w:p w:rsidR="008B383D" w:rsidRPr="00226EA2" w:rsidRDefault="008B383D" w:rsidP="008B383D">
      <w:pPr>
        <w:pStyle w:val="BodyTextIndent"/>
        <w:tabs>
          <w:tab w:val="left" w:pos="1157"/>
          <w:tab w:val="left" w:pos="1735"/>
        </w:tabs>
        <w:ind w:left="0" w:firstLine="0"/>
        <w:jc w:val="both"/>
        <w:rPr>
          <w:b/>
          <w:sz w:val="22"/>
          <w:szCs w:val="22"/>
          <w:lang w:val="fr-FR"/>
        </w:rPr>
      </w:pPr>
    </w:p>
    <w:p w:rsidR="00C75684" w:rsidRPr="00226EA2" w:rsidRDefault="0093644A" w:rsidP="00C75684">
      <w:pPr>
        <w:pStyle w:val="BodyTextIndent"/>
        <w:tabs>
          <w:tab w:val="left" w:pos="1157"/>
          <w:tab w:val="left" w:pos="1735"/>
        </w:tabs>
        <w:jc w:val="both"/>
        <w:rPr>
          <w:sz w:val="22"/>
          <w:szCs w:val="22"/>
          <w:lang w:val="fr-FR"/>
        </w:rPr>
      </w:pPr>
      <w:r w:rsidRPr="00124F6E">
        <w:rPr>
          <w:sz w:val="22"/>
          <w:szCs w:val="22"/>
          <w:lang w:val="fr-FR"/>
        </w:rPr>
        <w:t xml:space="preserve">Le </w:t>
      </w:r>
      <w:r w:rsidR="00B001F9" w:rsidRPr="00124F6E">
        <w:rPr>
          <w:sz w:val="22"/>
          <w:szCs w:val="22"/>
          <w:lang w:val="fr-FR"/>
        </w:rPr>
        <w:t xml:space="preserve">Comité permanent </w:t>
      </w:r>
      <w:r w:rsidRPr="00124F6E">
        <w:rPr>
          <w:sz w:val="22"/>
          <w:szCs w:val="22"/>
          <w:lang w:val="fr-FR"/>
        </w:rPr>
        <w:t>s</w:t>
      </w:r>
      <w:r w:rsidR="00124F6E" w:rsidRPr="00124F6E">
        <w:rPr>
          <w:sz w:val="22"/>
          <w:szCs w:val="22"/>
          <w:lang w:val="fr-FR"/>
        </w:rPr>
        <w:t>’</w:t>
      </w:r>
      <w:r w:rsidRPr="00124F6E">
        <w:rPr>
          <w:sz w:val="22"/>
          <w:szCs w:val="22"/>
          <w:lang w:val="fr-FR"/>
        </w:rPr>
        <w:t xml:space="preserve">est réuni trois fois </w:t>
      </w:r>
      <w:r w:rsidR="00B001F9" w:rsidRPr="00124F6E">
        <w:rPr>
          <w:sz w:val="22"/>
          <w:szCs w:val="22"/>
          <w:lang w:val="fr-FR"/>
        </w:rPr>
        <w:t>entre la MOP5 et la MOP6.</w:t>
      </w:r>
    </w:p>
    <w:p w:rsidR="00C75684" w:rsidRPr="00226EA2" w:rsidRDefault="00C75684" w:rsidP="00C75684">
      <w:pPr>
        <w:pStyle w:val="BodyTextIndent"/>
        <w:tabs>
          <w:tab w:val="left" w:pos="1157"/>
          <w:tab w:val="left" w:pos="1735"/>
        </w:tabs>
        <w:jc w:val="both"/>
        <w:rPr>
          <w:sz w:val="22"/>
          <w:szCs w:val="22"/>
          <w:lang w:val="fr-FR"/>
        </w:rPr>
      </w:pPr>
    </w:p>
    <w:p w:rsidR="00C75684" w:rsidRPr="00226EA2" w:rsidRDefault="00B001F9" w:rsidP="00151FD1">
      <w:pPr>
        <w:pStyle w:val="BodyTextIndent"/>
        <w:numPr>
          <w:ilvl w:val="0"/>
          <w:numId w:val="3"/>
        </w:numPr>
        <w:tabs>
          <w:tab w:val="left" w:pos="1157"/>
          <w:tab w:val="left" w:pos="1735"/>
        </w:tabs>
        <w:jc w:val="both"/>
        <w:rPr>
          <w:sz w:val="22"/>
          <w:szCs w:val="22"/>
          <w:lang w:val="fr-FR"/>
        </w:rPr>
      </w:pPr>
      <w:r w:rsidRPr="00124F6E">
        <w:rPr>
          <w:sz w:val="22"/>
          <w:szCs w:val="22"/>
          <w:lang w:val="fr-FR"/>
        </w:rPr>
        <w:t>La 8</w:t>
      </w:r>
      <w:r w:rsidRPr="00124F6E">
        <w:rPr>
          <w:sz w:val="22"/>
          <w:szCs w:val="22"/>
          <w:vertAlign w:val="superscript"/>
          <w:lang w:val="fr-FR"/>
        </w:rPr>
        <w:t>ème</w:t>
      </w:r>
      <w:r w:rsidRPr="00124F6E">
        <w:rPr>
          <w:sz w:val="22"/>
          <w:szCs w:val="22"/>
          <w:lang w:val="fr-FR"/>
        </w:rPr>
        <w:t xml:space="preserve"> Réunion du Comité permanent a eu lieu le 18 mai 2012 à la Rochelle, France, tout de suite après la MOP5.</w:t>
      </w:r>
      <w:r w:rsidR="00C75684" w:rsidRPr="00226EA2">
        <w:rPr>
          <w:sz w:val="22"/>
          <w:szCs w:val="22"/>
          <w:lang w:val="fr-FR"/>
        </w:rPr>
        <w:t xml:space="preserve"> </w:t>
      </w:r>
      <w:r w:rsidR="00342B8B" w:rsidRPr="00124F6E">
        <w:rPr>
          <w:sz w:val="22"/>
          <w:szCs w:val="22"/>
          <w:lang w:val="fr-FR"/>
        </w:rPr>
        <w:t>Cette réunion avait pour principal objectif l</w:t>
      </w:r>
      <w:r w:rsidR="00124F6E" w:rsidRPr="00124F6E">
        <w:rPr>
          <w:sz w:val="22"/>
          <w:szCs w:val="22"/>
          <w:lang w:val="fr-FR"/>
        </w:rPr>
        <w:t>’</w:t>
      </w:r>
      <w:r w:rsidR="00342B8B" w:rsidRPr="00124F6E">
        <w:rPr>
          <w:sz w:val="22"/>
          <w:szCs w:val="22"/>
          <w:lang w:val="fr-FR"/>
        </w:rPr>
        <w:t xml:space="preserve">élection du président et du vice-président du </w:t>
      </w:r>
      <w:proofErr w:type="spellStart"/>
      <w:r w:rsidR="00342B8B" w:rsidRPr="00124F6E">
        <w:rPr>
          <w:sz w:val="22"/>
          <w:szCs w:val="22"/>
          <w:lang w:val="fr-FR"/>
        </w:rPr>
        <w:t>StC</w:t>
      </w:r>
      <w:proofErr w:type="spellEnd"/>
      <w:r w:rsidR="00342B8B" w:rsidRPr="00124F6E">
        <w:rPr>
          <w:sz w:val="22"/>
          <w:szCs w:val="22"/>
          <w:lang w:val="fr-FR"/>
        </w:rPr>
        <w:t>.</w:t>
      </w:r>
    </w:p>
    <w:p w:rsidR="00C75684" w:rsidRPr="00226EA2" w:rsidRDefault="00C75684" w:rsidP="00C75684">
      <w:pPr>
        <w:pStyle w:val="BodyTextIndent"/>
        <w:tabs>
          <w:tab w:val="left" w:pos="1157"/>
          <w:tab w:val="left" w:pos="1735"/>
        </w:tabs>
        <w:jc w:val="both"/>
        <w:rPr>
          <w:sz w:val="22"/>
          <w:szCs w:val="22"/>
          <w:lang w:val="fr-FR"/>
        </w:rPr>
      </w:pPr>
    </w:p>
    <w:p w:rsidR="00C75684" w:rsidRPr="00226EA2" w:rsidRDefault="00342B8B" w:rsidP="00151FD1">
      <w:pPr>
        <w:pStyle w:val="BodyTextIndent"/>
        <w:numPr>
          <w:ilvl w:val="0"/>
          <w:numId w:val="3"/>
        </w:numPr>
        <w:tabs>
          <w:tab w:val="left" w:pos="1157"/>
          <w:tab w:val="left" w:pos="1735"/>
        </w:tabs>
        <w:jc w:val="both"/>
        <w:rPr>
          <w:sz w:val="22"/>
          <w:szCs w:val="22"/>
          <w:lang w:val="fr-FR"/>
        </w:rPr>
      </w:pPr>
      <w:r w:rsidRPr="00124F6E">
        <w:rPr>
          <w:sz w:val="22"/>
          <w:szCs w:val="22"/>
          <w:lang w:val="fr-FR"/>
        </w:rPr>
        <w:t>La 9</w:t>
      </w:r>
      <w:r w:rsidRPr="00124F6E">
        <w:rPr>
          <w:sz w:val="22"/>
          <w:szCs w:val="22"/>
          <w:vertAlign w:val="superscript"/>
          <w:lang w:val="fr-FR"/>
        </w:rPr>
        <w:t>ème</w:t>
      </w:r>
      <w:r w:rsidRPr="00124F6E">
        <w:rPr>
          <w:sz w:val="22"/>
          <w:szCs w:val="22"/>
          <w:lang w:val="fr-FR"/>
        </w:rPr>
        <w:t xml:space="preserve"> Réunion du Comité permanent s</w:t>
      </w:r>
      <w:r w:rsidR="00124F6E" w:rsidRPr="00124F6E">
        <w:rPr>
          <w:sz w:val="22"/>
          <w:szCs w:val="22"/>
          <w:lang w:val="fr-FR"/>
        </w:rPr>
        <w:t>’</w:t>
      </w:r>
      <w:r w:rsidRPr="00124F6E">
        <w:rPr>
          <w:sz w:val="22"/>
          <w:szCs w:val="22"/>
          <w:lang w:val="fr-FR"/>
        </w:rPr>
        <w:t>est tenue à Trondheim, Norvège, le 18-19 septembre 2013, sur l</w:t>
      </w:r>
      <w:r w:rsidR="00124F6E" w:rsidRPr="00124F6E">
        <w:rPr>
          <w:sz w:val="22"/>
          <w:szCs w:val="22"/>
          <w:lang w:val="fr-FR"/>
        </w:rPr>
        <w:t>’</w:t>
      </w:r>
      <w:r w:rsidRPr="00124F6E">
        <w:rPr>
          <w:sz w:val="22"/>
          <w:szCs w:val="22"/>
          <w:lang w:val="fr-FR"/>
        </w:rPr>
        <w:t xml:space="preserve">aimable invitation </w:t>
      </w:r>
      <w:r w:rsidR="0093644A" w:rsidRPr="00124F6E">
        <w:rPr>
          <w:sz w:val="22"/>
          <w:szCs w:val="22"/>
          <w:lang w:val="fr-FR"/>
        </w:rPr>
        <w:t>de l</w:t>
      </w:r>
      <w:r w:rsidR="00124F6E" w:rsidRPr="00124F6E">
        <w:rPr>
          <w:sz w:val="22"/>
          <w:szCs w:val="22"/>
          <w:lang w:val="fr-FR"/>
        </w:rPr>
        <w:t>’</w:t>
      </w:r>
      <w:r w:rsidRPr="00124F6E">
        <w:rPr>
          <w:sz w:val="22"/>
          <w:szCs w:val="22"/>
          <w:lang w:val="fr-FR"/>
        </w:rPr>
        <w:t>Agence norvégienne pour l</w:t>
      </w:r>
      <w:r w:rsidR="00124F6E" w:rsidRPr="00124F6E">
        <w:rPr>
          <w:sz w:val="22"/>
          <w:szCs w:val="22"/>
          <w:lang w:val="fr-FR"/>
        </w:rPr>
        <w:t>’</w:t>
      </w:r>
      <w:r w:rsidRPr="00124F6E">
        <w:rPr>
          <w:sz w:val="22"/>
          <w:szCs w:val="22"/>
          <w:lang w:val="fr-FR"/>
        </w:rPr>
        <w:t>environnement.</w:t>
      </w:r>
      <w:r w:rsidR="00C75684" w:rsidRPr="00226EA2">
        <w:rPr>
          <w:sz w:val="22"/>
          <w:szCs w:val="22"/>
          <w:lang w:val="fr-FR"/>
        </w:rPr>
        <w:t xml:space="preserve"> </w:t>
      </w:r>
      <w:r w:rsidRPr="00124F6E">
        <w:rPr>
          <w:sz w:val="22"/>
          <w:szCs w:val="22"/>
          <w:lang w:val="fr-FR"/>
        </w:rPr>
        <w:t>Les informations sur cette réunion sont disponibles à l</w:t>
      </w:r>
      <w:r w:rsidR="00124F6E" w:rsidRPr="00124F6E">
        <w:rPr>
          <w:sz w:val="22"/>
          <w:szCs w:val="22"/>
          <w:lang w:val="fr-FR"/>
        </w:rPr>
        <w:t>’</w:t>
      </w:r>
      <w:r w:rsidRPr="00124F6E">
        <w:rPr>
          <w:sz w:val="22"/>
          <w:szCs w:val="22"/>
          <w:lang w:val="fr-FR"/>
        </w:rPr>
        <w:t>adresse suivante :</w:t>
      </w:r>
      <w:r w:rsidR="00C75684" w:rsidRPr="00226EA2">
        <w:rPr>
          <w:sz w:val="22"/>
          <w:szCs w:val="22"/>
          <w:lang w:val="fr-FR"/>
        </w:rPr>
        <w:t xml:space="preserve"> </w:t>
      </w:r>
      <w:hyperlink r:id="rId8" w:history="1">
        <w:r w:rsidR="00452861" w:rsidRPr="00226EA2">
          <w:rPr>
            <w:rStyle w:val="Hyperlink"/>
            <w:sz w:val="22"/>
            <w:szCs w:val="22"/>
            <w:lang w:val="fr-FR"/>
          </w:rPr>
          <w:t>http://www.unep-aewa.org/en/meeting/9th-meeting-aewa-standing-committee</w:t>
        </w:r>
      </w:hyperlink>
    </w:p>
    <w:p w:rsidR="00C75684" w:rsidRPr="00226EA2" w:rsidRDefault="00C75684" w:rsidP="00C75684">
      <w:pPr>
        <w:pStyle w:val="BodyTextIndent"/>
        <w:tabs>
          <w:tab w:val="left" w:pos="1157"/>
          <w:tab w:val="left" w:pos="1735"/>
        </w:tabs>
        <w:jc w:val="both"/>
        <w:rPr>
          <w:sz w:val="22"/>
          <w:szCs w:val="22"/>
          <w:lang w:val="fr-FR"/>
        </w:rPr>
      </w:pPr>
    </w:p>
    <w:p w:rsidR="00452861" w:rsidRPr="00226EA2" w:rsidRDefault="00342B8B" w:rsidP="00151FD1">
      <w:pPr>
        <w:pStyle w:val="BodyTextIndent"/>
        <w:numPr>
          <w:ilvl w:val="0"/>
          <w:numId w:val="3"/>
        </w:numPr>
        <w:tabs>
          <w:tab w:val="left" w:pos="1157"/>
          <w:tab w:val="left" w:pos="1735"/>
        </w:tabs>
        <w:jc w:val="both"/>
        <w:rPr>
          <w:sz w:val="22"/>
          <w:szCs w:val="22"/>
          <w:u w:val="single"/>
          <w:lang w:val="fr-FR"/>
        </w:rPr>
      </w:pPr>
      <w:r w:rsidRPr="00124F6E">
        <w:rPr>
          <w:sz w:val="22"/>
          <w:szCs w:val="22"/>
          <w:lang w:val="fr-FR"/>
        </w:rPr>
        <w:t>La 10</w:t>
      </w:r>
      <w:r w:rsidRPr="00124F6E">
        <w:rPr>
          <w:sz w:val="22"/>
          <w:szCs w:val="22"/>
          <w:vertAlign w:val="superscript"/>
          <w:lang w:val="fr-FR"/>
        </w:rPr>
        <w:t>ème</w:t>
      </w:r>
      <w:r w:rsidR="00124F6E">
        <w:rPr>
          <w:sz w:val="22"/>
          <w:szCs w:val="22"/>
          <w:lang w:val="fr-FR"/>
        </w:rPr>
        <w:t xml:space="preserve"> </w:t>
      </w:r>
      <w:r w:rsidRPr="00124F6E">
        <w:rPr>
          <w:sz w:val="22"/>
          <w:szCs w:val="22"/>
          <w:lang w:val="fr-FR"/>
        </w:rPr>
        <w:t>Réunion du Comité permanent a eu lieu à Kampala, Ouganda, du 8 au 10 juillet 2015, sur l</w:t>
      </w:r>
      <w:r w:rsidR="00124F6E" w:rsidRPr="00124F6E">
        <w:rPr>
          <w:sz w:val="22"/>
          <w:szCs w:val="22"/>
          <w:lang w:val="fr-FR"/>
        </w:rPr>
        <w:t>’</w:t>
      </w:r>
      <w:r w:rsidRPr="00124F6E">
        <w:rPr>
          <w:sz w:val="22"/>
          <w:szCs w:val="22"/>
          <w:lang w:val="fr-FR"/>
        </w:rPr>
        <w:t>aimable invitation du ministère ougandais de l</w:t>
      </w:r>
      <w:r w:rsidR="00124F6E" w:rsidRPr="00124F6E">
        <w:rPr>
          <w:sz w:val="22"/>
          <w:szCs w:val="22"/>
          <w:lang w:val="fr-FR"/>
        </w:rPr>
        <w:t>’</w:t>
      </w:r>
      <w:r w:rsidRPr="00124F6E">
        <w:rPr>
          <w:sz w:val="22"/>
          <w:szCs w:val="22"/>
          <w:lang w:val="fr-FR"/>
        </w:rPr>
        <w:t>Environnement, du Tourisme et des Antiquités.</w:t>
      </w:r>
      <w:r w:rsidR="00C75684" w:rsidRPr="00226EA2">
        <w:rPr>
          <w:sz w:val="22"/>
          <w:szCs w:val="22"/>
          <w:lang w:val="fr-FR"/>
        </w:rPr>
        <w:t xml:space="preserve"> </w:t>
      </w:r>
      <w:r w:rsidRPr="00124F6E">
        <w:rPr>
          <w:sz w:val="22"/>
          <w:szCs w:val="22"/>
          <w:lang w:val="fr-FR"/>
        </w:rPr>
        <w:t>Les informations sur cette réunion sont disponibles à l</w:t>
      </w:r>
      <w:r w:rsidR="00124F6E" w:rsidRPr="00124F6E">
        <w:rPr>
          <w:sz w:val="22"/>
          <w:szCs w:val="22"/>
          <w:lang w:val="fr-FR"/>
        </w:rPr>
        <w:t>’</w:t>
      </w:r>
      <w:r w:rsidRPr="00124F6E">
        <w:rPr>
          <w:sz w:val="22"/>
          <w:szCs w:val="22"/>
          <w:lang w:val="fr-FR"/>
        </w:rPr>
        <w:t>adresse suivante :</w:t>
      </w:r>
      <w:r w:rsidR="00C75684" w:rsidRPr="00226EA2">
        <w:rPr>
          <w:sz w:val="22"/>
          <w:szCs w:val="22"/>
          <w:lang w:val="fr-FR"/>
        </w:rPr>
        <w:t xml:space="preserve"> </w:t>
      </w:r>
    </w:p>
    <w:p w:rsidR="00C75684" w:rsidRPr="00226EA2" w:rsidRDefault="006C145D" w:rsidP="00151FD1">
      <w:pPr>
        <w:pStyle w:val="BodyTextIndent"/>
        <w:numPr>
          <w:ilvl w:val="0"/>
          <w:numId w:val="3"/>
        </w:numPr>
        <w:tabs>
          <w:tab w:val="left" w:pos="1157"/>
          <w:tab w:val="left" w:pos="1735"/>
        </w:tabs>
        <w:jc w:val="both"/>
        <w:rPr>
          <w:sz w:val="22"/>
          <w:szCs w:val="22"/>
          <w:u w:val="single"/>
          <w:lang w:val="fr-FR"/>
        </w:rPr>
      </w:pPr>
      <w:hyperlink r:id="rId9" w:history="1">
        <w:r w:rsidR="00C75684" w:rsidRPr="00226EA2">
          <w:rPr>
            <w:rStyle w:val="Hyperlink"/>
            <w:sz w:val="22"/>
            <w:szCs w:val="22"/>
            <w:lang w:val="fr-FR"/>
          </w:rPr>
          <w:t>http://www.unep-aewa.org/en/meeting/10th-meeting-aewa-standing-committee</w:t>
        </w:r>
      </w:hyperlink>
    </w:p>
    <w:p w:rsidR="00C75684" w:rsidRPr="00226EA2" w:rsidRDefault="00C75684" w:rsidP="00C75684">
      <w:pPr>
        <w:pStyle w:val="BodyTextIndent"/>
        <w:tabs>
          <w:tab w:val="left" w:pos="1157"/>
          <w:tab w:val="left" w:pos="1735"/>
        </w:tabs>
        <w:jc w:val="both"/>
        <w:rPr>
          <w:sz w:val="22"/>
          <w:szCs w:val="22"/>
          <w:lang w:val="fr-FR"/>
        </w:rPr>
      </w:pPr>
    </w:p>
    <w:p w:rsidR="003F5FBC" w:rsidRPr="00226EA2" w:rsidRDefault="003F5FBC" w:rsidP="008B383D">
      <w:pPr>
        <w:pStyle w:val="BodyTextIndent"/>
        <w:tabs>
          <w:tab w:val="left" w:pos="1157"/>
          <w:tab w:val="left" w:pos="1735"/>
        </w:tabs>
        <w:ind w:left="0" w:firstLine="0"/>
        <w:jc w:val="both"/>
        <w:rPr>
          <w:sz w:val="22"/>
          <w:szCs w:val="22"/>
          <w:lang w:val="fr-FR"/>
        </w:rPr>
      </w:pPr>
    </w:p>
    <w:p w:rsidR="008B383D" w:rsidRPr="00226EA2" w:rsidRDefault="00342B8B" w:rsidP="008B383D">
      <w:pPr>
        <w:pStyle w:val="BodyTextIndent"/>
        <w:tabs>
          <w:tab w:val="left" w:pos="1157"/>
          <w:tab w:val="left" w:pos="1735"/>
        </w:tabs>
        <w:ind w:left="0" w:firstLine="0"/>
        <w:jc w:val="both"/>
        <w:rPr>
          <w:sz w:val="22"/>
          <w:szCs w:val="22"/>
          <w:lang w:val="fr-FR"/>
        </w:rPr>
      </w:pPr>
      <w:r w:rsidRPr="00124F6E">
        <w:rPr>
          <w:sz w:val="22"/>
          <w:szCs w:val="22"/>
          <w:lang w:val="fr-FR"/>
        </w:rPr>
        <w:t>Lors des 9</w:t>
      </w:r>
      <w:r w:rsidRPr="00124F6E">
        <w:rPr>
          <w:sz w:val="22"/>
          <w:szCs w:val="22"/>
          <w:vertAlign w:val="superscript"/>
          <w:lang w:val="fr-FR"/>
        </w:rPr>
        <w:t>ème</w:t>
      </w:r>
      <w:r w:rsidRPr="00124F6E">
        <w:rPr>
          <w:sz w:val="22"/>
          <w:szCs w:val="22"/>
          <w:lang w:val="fr-FR"/>
        </w:rPr>
        <w:t xml:space="preserve"> et 10</w:t>
      </w:r>
      <w:r w:rsidRPr="00124F6E">
        <w:rPr>
          <w:sz w:val="22"/>
          <w:szCs w:val="22"/>
          <w:vertAlign w:val="superscript"/>
          <w:lang w:val="fr-FR"/>
        </w:rPr>
        <w:t>ème</w:t>
      </w:r>
      <w:r w:rsidRPr="00124F6E">
        <w:rPr>
          <w:sz w:val="22"/>
          <w:szCs w:val="22"/>
          <w:lang w:val="fr-FR"/>
        </w:rPr>
        <w:t xml:space="preserve"> réunion</w:t>
      </w:r>
      <w:r w:rsidR="0093644A" w:rsidRPr="00124F6E">
        <w:rPr>
          <w:sz w:val="22"/>
          <w:szCs w:val="22"/>
          <w:lang w:val="fr-FR"/>
        </w:rPr>
        <w:t>s</w:t>
      </w:r>
      <w:r w:rsidRPr="00124F6E">
        <w:rPr>
          <w:sz w:val="22"/>
          <w:szCs w:val="22"/>
          <w:lang w:val="fr-FR"/>
        </w:rPr>
        <w:t xml:space="preserve"> du Comité permanent, les progrès réalisés dans</w:t>
      </w:r>
      <w:r w:rsidR="00124F6E">
        <w:rPr>
          <w:sz w:val="22"/>
          <w:szCs w:val="22"/>
          <w:lang w:val="fr-FR"/>
        </w:rPr>
        <w:t xml:space="preserve"> </w:t>
      </w:r>
      <w:r w:rsidRPr="00124F6E">
        <w:rPr>
          <w:sz w:val="22"/>
          <w:szCs w:val="22"/>
          <w:lang w:val="fr-FR"/>
        </w:rPr>
        <w:t>la mise en œuvre de l</w:t>
      </w:r>
      <w:r w:rsidR="00124F6E" w:rsidRPr="00124F6E">
        <w:rPr>
          <w:sz w:val="22"/>
          <w:szCs w:val="22"/>
          <w:lang w:val="fr-FR"/>
        </w:rPr>
        <w:t>’</w:t>
      </w:r>
      <w:r w:rsidRPr="00124F6E">
        <w:rPr>
          <w:sz w:val="22"/>
          <w:szCs w:val="22"/>
          <w:lang w:val="fr-FR"/>
        </w:rPr>
        <w:t>Accord ont été examinés.</w:t>
      </w:r>
      <w:r w:rsidR="008B383D" w:rsidRPr="00226EA2">
        <w:rPr>
          <w:sz w:val="22"/>
          <w:szCs w:val="22"/>
          <w:lang w:val="fr-FR"/>
        </w:rPr>
        <w:t xml:space="preserve"> </w:t>
      </w:r>
      <w:r w:rsidRPr="00124F6E">
        <w:rPr>
          <w:sz w:val="22"/>
          <w:szCs w:val="22"/>
          <w:lang w:val="fr-FR"/>
        </w:rPr>
        <w:t xml:space="preserve">Le </w:t>
      </w:r>
      <w:r w:rsidR="006827EC" w:rsidRPr="00124F6E">
        <w:rPr>
          <w:sz w:val="22"/>
          <w:szCs w:val="22"/>
          <w:lang w:val="fr-FR"/>
        </w:rPr>
        <w:t xml:space="preserve">Comité permanent a reçu des rapports écrits qui ont été présentés par le Secrétariat, se rapportant par exemple à la mise en œuvre du Plan stratégique, </w:t>
      </w:r>
      <w:r w:rsidR="00124F6E" w:rsidRPr="00124F6E">
        <w:rPr>
          <w:sz w:val="22"/>
          <w:szCs w:val="22"/>
          <w:lang w:val="fr-FR"/>
        </w:rPr>
        <w:t>aux</w:t>
      </w:r>
      <w:r w:rsidR="006827EC" w:rsidRPr="00124F6E">
        <w:rPr>
          <w:sz w:val="22"/>
          <w:szCs w:val="22"/>
          <w:lang w:val="fr-FR"/>
        </w:rPr>
        <w:t xml:space="preserve"> Tâches internationales de mise en œuvre (IIT) ainsi qu</w:t>
      </w:r>
      <w:r w:rsidR="00124F6E" w:rsidRPr="00124F6E">
        <w:rPr>
          <w:sz w:val="22"/>
          <w:szCs w:val="22"/>
          <w:lang w:val="fr-FR"/>
        </w:rPr>
        <w:t xml:space="preserve">’à </w:t>
      </w:r>
      <w:r w:rsidR="006827EC" w:rsidRPr="00124F6E">
        <w:rPr>
          <w:sz w:val="22"/>
          <w:szCs w:val="22"/>
          <w:lang w:val="fr-FR"/>
        </w:rPr>
        <w:t>l</w:t>
      </w:r>
      <w:r w:rsidR="00124F6E" w:rsidRPr="00124F6E">
        <w:rPr>
          <w:sz w:val="22"/>
          <w:szCs w:val="22"/>
          <w:lang w:val="fr-FR"/>
        </w:rPr>
        <w:t>’</w:t>
      </w:r>
      <w:r w:rsidR="006827EC" w:rsidRPr="00124F6E">
        <w:rPr>
          <w:sz w:val="22"/>
          <w:szCs w:val="22"/>
          <w:lang w:val="fr-FR"/>
        </w:rPr>
        <w:t xml:space="preserve">Initiative africaine. Il a noté que malgré les ressources limitées disponibles, des progrès </w:t>
      </w:r>
      <w:r w:rsidR="00124F6E" w:rsidRPr="00124F6E">
        <w:rPr>
          <w:sz w:val="22"/>
          <w:szCs w:val="22"/>
          <w:lang w:val="fr-FR"/>
        </w:rPr>
        <w:t xml:space="preserve">satisfaisants </w:t>
      </w:r>
      <w:r w:rsidR="006827EC" w:rsidRPr="00124F6E">
        <w:rPr>
          <w:sz w:val="22"/>
          <w:szCs w:val="22"/>
          <w:lang w:val="fr-FR"/>
        </w:rPr>
        <w:t>avaient été réalisés dans certains domaines</w:t>
      </w:r>
      <w:r w:rsidRPr="00124F6E">
        <w:rPr>
          <w:sz w:val="22"/>
          <w:szCs w:val="22"/>
          <w:lang w:val="fr-FR"/>
        </w:rPr>
        <w:t>.</w:t>
      </w:r>
    </w:p>
    <w:p w:rsidR="008B383D" w:rsidRPr="00226EA2" w:rsidRDefault="008B383D" w:rsidP="008B383D">
      <w:pPr>
        <w:pStyle w:val="BodyTextIndent"/>
        <w:tabs>
          <w:tab w:val="left" w:pos="1157"/>
          <w:tab w:val="left" w:pos="1735"/>
        </w:tabs>
        <w:ind w:left="0" w:firstLine="0"/>
        <w:jc w:val="both"/>
        <w:rPr>
          <w:sz w:val="22"/>
          <w:szCs w:val="22"/>
          <w:lang w:val="fr-FR"/>
        </w:rPr>
      </w:pPr>
    </w:p>
    <w:p w:rsidR="008B383D" w:rsidRPr="00226EA2" w:rsidRDefault="006827EC" w:rsidP="008B383D">
      <w:pPr>
        <w:pStyle w:val="BodyTextIndent"/>
        <w:tabs>
          <w:tab w:val="left" w:pos="1157"/>
          <w:tab w:val="left" w:pos="1735"/>
        </w:tabs>
        <w:ind w:left="0" w:firstLine="0"/>
        <w:jc w:val="both"/>
        <w:rPr>
          <w:sz w:val="22"/>
          <w:szCs w:val="22"/>
          <w:lang w:val="fr-FR"/>
        </w:rPr>
      </w:pPr>
      <w:r w:rsidRPr="00124F6E">
        <w:rPr>
          <w:sz w:val="22"/>
          <w:szCs w:val="22"/>
          <w:lang w:val="fr-FR"/>
        </w:rPr>
        <w:t>Le Comité permanent s</w:t>
      </w:r>
      <w:r w:rsidR="00124F6E" w:rsidRPr="00124F6E">
        <w:rPr>
          <w:sz w:val="22"/>
          <w:szCs w:val="22"/>
          <w:lang w:val="fr-FR"/>
        </w:rPr>
        <w:t>’</w:t>
      </w:r>
      <w:r w:rsidRPr="00124F6E">
        <w:rPr>
          <w:sz w:val="22"/>
          <w:szCs w:val="22"/>
          <w:lang w:val="fr-FR"/>
        </w:rPr>
        <w:t>est également penché sur la situation financière réelle sur la base des récapitulatifs des revenus et des dépenses depuis la MOP</w:t>
      </w:r>
      <w:r w:rsidR="00124F6E" w:rsidRPr="00124F6E">
        <w:rPr>
          <w:sz w:val="22"/>
          <w:szCs w:val="22"/>
          <w:lang w:val="fr-FR"/>
        </w:rPr>
        <w:t>5</w:t>
      </w:r>
      <w:r w:rsidRPr="00124F6E">
        <w:rPr>
          <w:sz w:val="22"/>
          <w:szCs w:val="22"/>
          <w:lang w:val="fr-FR"/>
        </w:rPr>
        <w:t xml:space="preserve"> présentés par le Secrétariat. Il a noté que le Secrétariat met tout en œuvre</w:t>
      </w:r>
      <w:r w:rsidR="00124F6E">
        <w:rPr>
          <w:sz w:val="22"/>
          <w:szCs w:val="22"/>
          <w:lang w:val="fr-FR"/>
        </w:rPr>
        <w:t xml:space="preserve"> </w:t>
      </w:r>
      <w:r w:rsidRPr="00124F6E">
        <w:rPr>
          <w:sz w:val="22"/>
          <w:szCs w:val="22"/>
          <w:lang w:val="fr-FR"/>
        </w:rPr>
        <w:t>pour assurer que la situation financière soit saine et le demeure.</w:t>
      </w:r>
      <w:r w:rsidR="008B383D" w:rsidRPr="00226EA2">
        <w:rPr>
          <w:sz w:val="22"/>
          <w:szCs w:val="22"/>
          <w:lang w:val="fr-FR"/>
        </w:rPr>
        <w:t xml:space="preserve"> </w:t>
      </w:r>
      <w:r w:rsidRPr="00124F6E">
        <w:rPr>
          <w:sz w:val="22"/>
          <w:szCs w:val="22"/>
          <w:lang w:val="fr-FR"/>
        </w:rPr>
        <w:t>Le Comité permanent a aussi convenu d</w:t>
      </w:r>
      <w:r w:rsidR="00124F6E" w:rsidRPr="00124F6E">
        <w:rPr>
          <w:sz w:val="22"/>
          <w:szCs w:val="22"/>
          <w:lang w:val="fr-FR"/>
        </w:rPr>
        <w:t>’</w:t>
      </w:r>
      <w:r w:rsidRPr="00124F6E">
        <w:rPr>
          <w:sz w:val="22"/>
          <w:szCs w:val="22"/>
          <w:lang w:val="fr-FR"/>
        </w:rPr>
        <w:t>un retrait de 70 000 euros du fonds de réserve afin de permettre la réalisation de certains rapports à soumettre à l</w:t>
      </w:r>
      <w:r w:rsidR="00124F6E" w:rsidRPr="00124F6E">
        <w:rPr>
          <w:sz w:val="22"/>
          <w:szCs w:val="22"/>
          <w:lang w:val="fr-FR"/>
        </w:rPr>
        <w:t>’</w:t>
      </w:r>
      <w:r w:rsidRPr="00124F6E">
        <w:rPr>
          <w:sz w:val="22"/>
          <w:szCs w:val="22"/>
          <w:lang w:val="fr-FR"/>
        </w:rPr>
        <w:t>examen de la MOP6 et d</w:t>
      </w:r>
      <w:r w:rsidR="00124F6E" w:rsidRPr="00124F6E">
        <w:rPr>
          <w:sz w:val="22"/>
          <w:szCs w:val="22"/>
          <w:lang w:val="fr-FR"/>
        </w:rPr>
        <w:t>’</w:t>
      </w:r>
      <w:r w:rsidRPr="00124F6E">
        <w:rPr>
          <w:sz w:val="22"/>
          <w:szCs w:val="22"/>
          <w:lang w:val="fr-FR"/>
        </w:rPr>
        <w:t>une mission d</w:t>
      </w:r>
      <w:r w:rsidR="00124F6E" w:rsidRPr="00124F6E">
        <w:rPr>
          <w:sz w:val="22"/>
          <w:szCs w:val="22"/>
          <w:lang w:val="fr-FR"/>
        </w:rPr>
        <w:t>’</w:t>
      </w:r>
      <w:r w:rsidRPr="00124F6E">
        <w:rPr>
          <w:sz w:val="22"/>
          <w:szCs w:val="22"/>
          <w:lang w:val="fr-FR"/>
        </w:rPr>
        <w:t>évaluation sur place dans le cadre de l</w:t>
      </w:r>
      <w:r w:rsidR="00124F6E" w:rsidRPr="00124F6E">
        <w:rPr>
          <w:sz w:val="22"/>
          <w:szCs w:val="22"/>
          <w:lang w:val="fr-FR"/>
        </w:rPr>
        <w:t>’</w:t>
      </w:r>
      <w:r w:rsidRPr="00124F6E">
        <w:rPr>
          <w:sz w:val="22"/>
          <w:szCs w:val="22"/>
          <w:lang w:val="fr-FR"/>
        </w:rPr>
        <w:t>IRP.</w:t>
      </w:r>
      <w:r w:rsidR="00124F6E" w:rsidRPr="00226EA2">
        <w:rPr>
          <w:sz w:val="22"/>
          <w:szCs w:val="22"/>
          <w:lang w:val="fr-FR"/>
        </w:rPr>
        <w:t xml:space="preserve">  </w:t>
      </w:r>
    </w:p>
    <w:p w:rsidR="008B383D" w:rsidRPr="00226EA2" w:rsidRDefault="008B383D" w:rsidP="008B383D">
      <w:pPr>
        <w:pStyle w:val="BodyTextIndent"/>
        <w:tabs>
          <w:tab w:val="left" w:pos="1157"/>
          <w:tab w:val="left" w:pos="1735"/>
        </w:tabs>
        <w:ind w:left="0" w:firstLine="0"/>
        <w:jc w:val="both"/>
        <w:rPr>
          <w:sz w:val="22"/>
          <w:szCs w:val="22"/>
          <w:lang w:val="fr-FR"/>
        </w:rPr>
      </w:pPr>
    </w:p>
    <w:p w:rsidR="00977CE9" w:rsidRPr="00226EA2" w:rsidRDefault="00950B50" w:rsidP="008B383D">
      <w:pPr>
        <w:pStyle w:val="BodyTextIndent"/>
        <w:tabs>
          <w:tab w:val="left" w:pos="1157"/>
          <w:tab w:val="left" w:pos="1735"/>
        </w:tabs>
        <w:ind w:left="0" w:firstLine="0"/>
        <w:jc w:val="both"/>
        <w:rPr>
          <w:sz w:val="22"/>
          <w:szCs w:val="22"/>
          <w:lang w:val="fr-FR"/>
        </w:rPr>
      </w:pPr>
      <w:r w:rsidRPr="00124F6E">
        <w:rPr>
          <w:sz w:val="22"/>
          <w:szCs w:val="22"/>
          <w:lang w:val="fr-FR"/>
        </w:rPr>
        <w:lastRenderedPageBreak/>
        <w:t xml:space="preserve">Le </w:t>
      </w:r>
      <w:proofErr w:type="spellStart"/>
      <w:r w:rsidRPr="00124F6E">
        <w:rPr>
          <w:sz w:val="22"/>
          <w:szCs w:val="22"/>
          <w:lang w:val="fr-FR"/>
        </w:rPr>
        <w:t>StC</w:t>
      </w:r>
      <w:proofErr w:type="spellEnd"/>
      <w:r w:rsidRPr="00124F6E">
        <w:rPr>
          <w:sz w:val="22"/>
          <w:szCs w:val="22"/>
          <w:lang w:val="fr-FR"/>
        </w:rPr>
        <w:t xml:space="preserve"> a également révisé le Mode de fonctionnement du Fonds de petites subventions de l</w:t>
      </w:r>
      <w:r w:rsidR="00124F6E" w:rsidRPr="00124F6E">
        <w:rPr>
          <w:sz w:val="22"/>
          <w:szCs w:val="22"/>
          <w:lang w:val="fr-FR"/>
        </w:rPr>
        <w:t>’</w:t>
      </w:r>
      <w:r w:rsidRPr="00124F6E">
        <w:rPr>
          <w:sz w:val="22"/>
          <w:szCs w:val="22"/>
          <w:lang w:val="fr-FR"/>
        </w:rPr>
        <w:t>AEWA.</w:t>
      </w:r>
    </w:p>
    <w:p w:rsidR="008B383D" w:rsidRPr="00226EA2" w:rsidRDefault="00950B50" w:rsidP="008B383D">
      <w:pPr>
        <w:pStyle w:val="BodyTextIndent"/>
        <w:tabs>
          <w:tab w:val="left" w:pos="1157"/>
          <w:tab w:val="left" w:pos="1735"/>
        </w:tabs>
        <w:ind w:left="0" w:firstLine="0"/>
        <w:jc w:val="both"/>
        <w:rPr>
          <w:sz w:val="22"/>
          <w:szCs w:val="22"/>
          <w:lang w:val="fr-FR"/>
        </w:rPr>
      </w:pPr>
      <w:r w:rsidRPr="00124F6E">
        <w:rPr>
          <w:sz w:val="22"/>
          <w:szCs w:val="22"/>
          <w:lang w:val="fr-FR"/>
        </w:rPr>
        <w:t xml:space="preserve">En outre, des mises à jour sur les progrès réalisés ont été </w:t>
      </w:r>
      <w:r w:rsidR="00124F6E" w:rsidRPr="00124F6E">
        <w:rPr>
          <w:sz w:val="22"/>
          <w:szCs w:val="22"/>
          <w:lang w:val="fr-FR"/>
        </w:rPr>
        <w:t>reçues</w:t>
      </w:r>
      <w:r w:rsidRPr="00124F6E">
        <w:rPr>
          <w:sz w:val="22"/>
          <w:szCs w:val="22"/>
          <w:lang w:val="fr-FR"/>
        </w:rPr>
        <w:t xml:space="preserve"> concernant les études internationales et plusieurs plans d</w:t>
      </w:r>
      <w:r w:rsidR="00124F6E" w:rsidRPr="00124F6E">
        <w:rPr>
          <w:sz w:val="22"/>
          <w:szCs w:val="22"/>
          <w:lang w:val="fr-FR"/>
        </w:rPr>
        <w:t>’</w:t>
      </w:r>
      <w:r w:rsidRPr="00124F6E">
        <w:rPr>
          <w:sz w:val="22"/>
          <w:szCs w:val="22"/>
          <w:lang w:val="fr-FR"/>
        </w:rPr>
        <w:t>action internationaux par espèce (ISSAP), dont certains sont nouveaux (pour la conservation de la Grue royale, de l</w:t>
      </w:r>
      <w:r w:rsidR="00124F6E" w:rsidRPr="00124F6E">
        <w:rPr>
          <w:sz w:val="22"/>
          <w:szCs w:val="22"/>
          <w:lang w:val="fr-FR"/>
        </w:rPr>
        <w:t>’</w:t>
      </w:r>
      <w:r w:rsidRPr="00124F6E">
        <w:rPr>
          <w:sz w:val="22"/>
          <w:szCs w:val="22"/>
          <w:lang w:val="fr-FR"/>
        </w:rPr>
        <w:t>Oie des moissons, de l</w:t>
      </w:r>
      <w:r w:rsidR="00124F6E" w:rsidRPr="00124F6E">
        <w:rPr>
          <w:sz w:val="22"/>
          <w:szCs w:val="22"/>
          <w:lang w:val="fr-FR"/>
        </w:rPr>
        <w:t>’</w:t>
      </w:r>
      <w:r w:rsidRPr="00124F6E">
        <w:rPr>
          <w:sz w:val="22"/>
          <w:szCs w:val="22"/>
          <w:lang w:val="fr-FR"/>
        </w:rPr>
        <w:t>Harelde boréale, du</w:t>
      </w:r>
      <w:r w:rsidR="00124F6E">
        <w:rPr>
          <w:sz w:val="22"/>
          <w:szCs w:val="22"/>
          <w:lang w:val="fr-FR"/>
        </w:rPr>
        <w:t xml:space="preserve"> </w:t>
      </w:r>
      <w:r w:rsidRPr="00124F6E">
        <w:rPr>
          <w:sz w:val="22"/>
          <w:szCs w:val="22"/>
          <w:lang w:val="fr-FR"/>
        </w:rPr>
        <w:t>Courlis cendré et du Bec-en-sabot du Nil) et deux autres sont en cours de mise à jour (pour l</w:t>
      </w:r>
      <w:r w:rsidR="00124F6E" w:rsidRPr="00124F6E">
        <w:rPr>
          <w:sz w:val="22"/>
          <w:szCs w:val="22"/>
          <w:lang w:val="fr-FR"/>
        </w:rPr>
        <w:t>’</w:t>
      </w:r>
      <w:r w:rsidRPr="00124F6E">
        <w:rPr>
          <w:sz w:val="22"/>
          <w:szCs w:val="22"/>
          <w:lang w:val="fr-FR"/>
        </w:rPr>
        <w:t>Oie naine et l</w:t>
      </w:r>
      <w:r w:rsidR="00124F6E" w:rsidRPr="00124F6E">
        <w:rPr>
          <w:sz w:val="22"/>
          <w:szCs w:val="22"/>
          <w:lang w:val="fr-FR"/>
        </w:rPr>
        <w:t>’</w:t>
      </w:r>
      <w:r w:rsidRPr="00124F6E">
        <w:rPr>
          <w:sz w:val="22"/>
          <w:szCs w:val="22"/>
          <w:lang w:val="fr-FR"/>
        </w:rPr>
        <w:t>Ibis chauve).</w:t>
      </w:r>
      <w:r w:rsidR="00954BEF" w:rsidRPr="00226EA2">
        <w:rPr>
          <w:sz w:val="22"/>
          <w:szCs w:val="22"/>
          <w:lang w:val="fr-FR"/>
        </w:rPr>
        <w:t xml:space="preserve"> </w:t>
      </w:r>
      <w:r w:rsidRPr="00124F6E">
        <w:rPr>
          <w:sz w:val="22"/>
          <w:szCs w:val="22"/>
          <w:lang w:val="fr-FR"/>
        </w:rPr>
        <w:t>De plus, des critères de sélection des populations de l</w:t>
      </w:r>
      <w:r w:rsidR="00124F6E" w:rsidRPr="00124F6E">
        <w:rPr>
          <w:sz w:val="22"/>
          <w:szCs w:val="22"/>
          <w:lang w:val="fr-FR"/>
        </w:rPr>
        <w:t>’</w:t>
      </w:r>
      <w:r w:rsidRPr="00124F6E">
        <w:rPr>
          <w:sz w:val="22"/>
          <w:szCs w:val="22"/>
          <w:lang w:val="fr-FR"/>
        </w:rPr>
        <w:t>AEWA prioritaires pour l</w:t>
      </w:r>
      <w:r w:rsidR="00124F6E" w:rsidRPr="00124F6E">
        <w:rPr>
          <w:sz w:val="22"/>
          <w:szCs w:val="22"/>
          <w:lang w:val="fr-FR"/>
        </w:rPr>
        <w:t>’</w:t>
      </w:r>
      <w:r w:rsidRPr="00124F6E">
        <w:rPr>
          <w:sz w:val="22"/>
          <w:szCs w:val="22"/>
          <w:lang w:val="fr-FR"/>
        </w:rPr>
        <w:t>élaboration de plans d</w:t>
      </w:r>
      <w:r w:rsidR="00124F6E" w:rsidRPr="00124F6E">
        <w:rPr>
          <w:sz w:val="22"/>
          <w:szCs w:val="22"/>
          <w:lang w:val="fr-FR"/>
        </w:rPr>
        <w:t>’</w:t>
      </w:r>
      <w:r w:rsidRPr="00124F6E">
        <w:rPr>
          <w:sz w:val="22"/>
          <w:szCs w:val="22"/>
          <w:lang w:val="fr-FR"/>
        </w:rPr>
        <w:t>action et de gestion ont été discutés.</w:t>
      </w:r>
    </w:p>
    <w:p w:rsidR="00EC67F2" w:rsidRPr="00226EA2" w:rsidRDefault="00EC67F2" w:rsidP="008B383D">
      <w:pPr>
        <w:pStyle w:val="BodyTextIndent"/>
        <w:tabs>
          <w:tab w:val="left" w:pos="1157"/>
          <w:tab w:val="left" w:pos="1735"/>
        </w:tabs>
        <w:ind w:left="0" w:firstLine="0"/>
        <w:jc w:val="both"/>
        <w:rPr>
          <w:sz w:val="22"/>
          <w:szCs w:val="22"/>
          <w:lang w:val="fr-FR"/>
        </w:rPr>
      </w:pPr>
    </w:p>
    <w:p w:rsidR="00452861" w:rsidRPr="00226EA2" w:rsidRDefault="00950B50" w:rsidP="008B383D">
      <w:pPr>
        <w:pStyle w:val="BodyTextIndent"/>
        <w:tabs>
          <w:tab w:val="left" w:pos="1157"/>
          <w:tab w:val="left" w:pos="1735"/>
        </w:tabs>
        <w:ind w:left="0" w:firstLine="0"/>
        <w:jc w:val="both"/>
        <w:rPr>
          <w:sz w:val="22"/>
          <w:szCs w:val="22"/>
          <w:lang w:val="fr-FR"/>
        </w:rPr>
      </w:pPr>
      <w:r w:rsidRPr="00124F6E">
        <w:rPr>
          <w:sz w:val="22"/>
          <w:szCs w:val="22"/>
          <w:lang w:val="fr-FR"/>
        </w:rPr>
        <w:t>Lors de la dernière période intersessionnelle, le Comité permanent en qualité d</w:t>
      </w:r>
      <w:r w:rsidR="00124F6E" w:rsidRPr="00124F6E">
        <w:rPr>
          <w:sz w:val="22"/>
          <w:szCs w:val="22"/>
          <w:lang w:val="fr-FR"/>
        </w:rPr>
        <w:t>’</w:t>
      </w:r>
      <w:r w:rsidRPr="00124F6E">
        <w:rPr>
          <w:sz w:val="22"/>
          <w:szCs w:val="22"/>
          <w:lang w:val="fr-FR"/>
        </w:rPr>
        <w:t>organe d</w:t>
      </w:r>
      <w:r w:rsidR="00124F6E" w:rsidRPr="00124F6E">
        <w:rPr>
          <w:sz w:val="22"/>
          <w:szCs w:val="22"/>
          <w:lang w:val="fr-FR"/>
        </w:rPr>
        <w:t>’</w:t>
      </w:r>
      <w:r w:rsidRPr="00124F6E">
        <w:rPr>
          <w:sz w:val="22"/>
          <w:szCs w:val="22"/>
          <w:lang w:val="fr-FR"/>
        </w:rPr>
        <w:t>implémentation de la Procédure d</w:t>
      </w:r>
      <w:r w:rsidR="00124F6E" w:rsidRPr="00124F6E">
        <w:rPr>
          <w:sz w:val="22"/>
          <w:szCs w:val="22"/>
          <w:lang w:val="fr-FR"/>
        </w:rPr>
        <w:t>’</w:t>
      </w:r>
      <w:r w:rsidRPr="00124F6E">
        <w:rPr>
          <w:sz w:val="22"/>
          <w:szCs w:val="22"/>
          <w:lang w:val="fr-FR"/>
        </w:rPr>
        <w:t>évaluation de la mise en œuvre (IRP), a traité quatre cas :</w:t>
      </w:r>
      <w:r w:rsidR="002E3682" w:rsidRPr="00226EA2">
        <w:rPr>
          <w:sz w:val="22"/>
          <w:szCs w:val="22"/>
          <w:lang w:val="fr-FR"/>
        </w:rPr>
        <w:t xml:space="preserve"> </w:t>
      </w:r>
    </w:p>
    <w:p w:rsidR="00452861" w:rsidRPr="00226EA2" w:rsidRDefault="00452861" w:rsidP="008B383D">
      <w:pPr>
        <w:pStyle w:val="BodyTextIndent"/>
        <w:tabs>
          <w:tab w:val="left" w:pos="1157"/>
          <w:tab w:val="left" w:pos="1735"/>
        </w:tabs>
        <w:ind w:left="0" w:firstLine="0"/>
        <w:jc w:val="both"/>
        <w:rPr>
          <w:sz w:val="22"/>
          <w:szCs w:val="22"/>
          <w:lang w:val="fr-FR"/>
        </w:rPr>
      </w:pPr>
    </w:p>
    <w:p w:rsidR="00452861" w:rsidRPr="00226EA2" w:rsidRDefault="0094281C" w:rsidP="00151FD1">
      <w:pPr>
        <w:pStyle w:val="BodyTextIndent"/>
        <w:numPr>
          <w:ilvl w:val="0"/>
          <w:numId w:val="3"/>
        </w:numPr>
        <w:tabs>
          <w:tab w:val="left" w:pos="1157"/>
          <w:tab w:val="left" w:pos="1735"/>
        </w:tabs>
        <w:jc w:val="both"/>
        <w:rPr>
          <w:sz w:val="22"/>
          <w:szCs w:val="22"/>
          <w:lang w:val="fr-FR"/>
        </w:rPr>
      </w:pPr>
      <w:r w:rsidRPr="00124F6E">
        <w:rPr>
          <w:sz w:val="22"/>
          <w:szCs w:val="22"/>
          <w:lang w:val="fr-FR"/>
        </w:rPr>
        <w:t xml:space="preserve">Syrie </w:t>
      </w:r>
      <w:r w:rsidR="00124F6E" w:rsidRPr="00124F6E">
        <w:rPr>
          <w:sz w:val="22"/>
          <w:szCs w:val="22"/>
          <w:lang w:val="fr-FR"/>
        </w:rPr>
        <w:t>–</w:t>
      </w:r>
      <w:r w:rsidRPr="00124F6E">
        <w:rPr>
          <w:sz w:val="22"/>
          <w:szCs w:val="22"/>
          <w:lang w:val="fr-FR"/>
        </w:rPr>
        <w:t xml:space="preserve"> Chasse illégale du Vanneau sociable, espèce en danger critique d</w:t>
      </w:r>
      <w:r w:rsidR="00124F6E" w:rsidRPr="00124F6E">
        <w:rPr>
          <w:sz w:val="22"/>
          <w:szCs w:val="22"/>
          <w:lang w:val="fr-FR"/>
        </w:rPr>
        <w:t>’</w:t>
      </w:r>
      <w:r w:rsidRPr="00124F6E">
        <w:rPr>
          <w:sz w:val="22"/>
          <w:szCs w:val="22"/>
          <w:lang w:val="fr-FR"/>
        </w:rPr>
        <w:t>extinction </w:t>
      </w:r>
      <w:r w:rsidR="00950B50" w:rsidRPr="00124F6E">
        <w:rPr>
          <w:sz w:val="22"/>
          <w:szCs w:val="22"/>
          <w:lang w:val="fr-FR"/>
        </w:rPr>
        <w:t>;</w:t>
      </w:r>
      <w:r w:rsidR="002E3682" w:rsidRPr="00226EA2">
        <w:rPr>
          <w:sz w:val="22"/>
          <w:szCs w:val="22"/>
          <w:lang w:val="fr-FR"/>
        </w:rPr>
        <w:t xml:space="preserve"> </w:t>
      </w:r>
    </w:p>
    <w:p w:rsidR="00452861" w:rsidRPr="00226EA2" w:rsidRDefault="0094281C" w:rsidP="00151FD1">
      <w:pPr>
        <w:pStyle w:val="BodyTextIndent"/>
        <w:numPr>
          <w:ilvl w:val="0"/>
          <w:numId w:val="3"/>
        </w:numPr>
        <w:tabs>
          <w:tab w:val="left" w:pos="1157"/>
          <w:tab w:val="left" w:pos="1735"/>
        </w:tabs>
        <w:jc w:val="both"/>
        <w:rPr>
          <w:sz w:val="22"/>
          <w:szCs w:val="22"/>
          <w:lang w:val="fr-FR"/>
        </w:rPr>
      </w:pPr>
      <w:r w:rsidRPr="00124F6E">
        <w:rPr>
          <w:sz w:val="22"/>
          <w:szCs w:val="22"/>
          <w:lang w:val="fr-FR"/>
        </w:rPr>
        <w:t>Monténégro – Projet de développement économique menaçant les salines d</w:t>
      </w:r>
      <w:r w:rsidR="00124F6E" w:rsidRPr="00124F6E">
        <w:rPr>
          <w:sz w:val="22"/>
          <w:szCs w:val="22"/>
          <w:lang w:val="fr-FR"/>
        </w:rPr>
        <w:t>’</w:t>
      </w:r>
      <w:r w:rsidRPr="00124F6E">
        <w:rPr>
          <w:sz w:val="22"/>
          <w:szCs w:val="22"/>
          <w:lang w:val="fr-FR"/>
        </w:rPr>
        <w:t>Ulcinj ;</w:t>
      </w:r>
      <w:r w:rsidR="002E3682" w:rsidRPr="00226EA2">
        <w:rPr>
          <w:sz w:val="22"/>
          <w:szCs w:val="22"/>
          <w:lang w:val="fr-FR"/>
        </w:rPr>
        <w:t xml:space="preserve"> </w:t>
      </w:r>
    </w:p>
    <w:p w:rsidR="00452861" w:rsidRPr="00226EA2" w:rsidRDefault="0094281C" w:rsidP="00151FD1">
      <w:pPr>
        <w:pStyle w:val="BodyTextIndent"/>
        <w:numPr>
          <w:ilvl w:val="0"/>
          <w:numId w:val="3"/>
        </w:numPr>
        <w:tabs>
          <w:tab w:val="left" w:pos="1157"/>
          <w:tab w:val="left" w:pos="1735"/>
        </w:tabs>
        <w:jc w:val="both"/>
        <w:rPr>
          <w:sz w:val="22"/>
          <w:szCs w:val="22"/>
          <w:lang w:val="fr-FR"/>
        </w:rPr>
      </w:pPr>
      <w:r w:rsidRPr="00124F6E">
        <w:rPr>
          <w:sz w:val="22"/>
          <w:szCs w:val="22"/>
          <w:lang w:val="fr-FR"/>
        </w:rPr>
        <w:t>Bulgarie – Projet de ferme éolienne proche du lac Durankulak, qui met en danger la Bernache à cou roux, espèce globalement menacée ;</w:t>
      </w:r>
      <w:r w:rsidR="002E3682" w:rsidRPr="00226EA2">
        <w:rPr>
          <w:sz w:val="22"/>
          <w:szCs w:val="22"/>
          <w:lang w:val="fr-FR"/>
        </w:rPr>
        <w:t xml:space="preserve"> </w:t>
      </w:r>
    </w:p>
    <w:p w:rsidR="00C65D16" w:rsidRPr="00226EA2" w:rsidRDefault="0094281C" w:rsidP="0094281C">
      <w:pPr>
        <w:pStyle w:val="ListParagraph"/>
        <w:numPr>
          <w:ilvl w:val="0"/>
          <w:numId w:val="3"/>
        </w:numPr>
        <w:spacing w:line="280" w:lineRule="auto"/>
        <w:rPr>
          <w:rFonts w:ascii="Times New Roman" w:hAnsi="Times New Roman"/>
          <w:lang w:val="fr-FR"/>
        </w:rPr>
      </w:pPr>
      <w:r w:rsidRPr="00124F6E">
        <w:rPr>
          <w:rFonts w:ascii="Times New Roman" w:eastAsia="Times New Roman" w:hAnsi="Times New Roman"/>
          <w:lang w:val="fr-FR"/>
        </w:rPr>
        <w:t>Islande</w:t>
      </w:r>
      <w:r w:rsidR="00124F6E">
        <w:rPr>
          <w:rFonts w:ascii="Times New Roman" w:eastAsia="Times New Roman" w:hAnsi="Times New Roman"/>
          <w:lang w:val="fr-FR"/>
        </w:rPr>
        <w:t xml:space="preserve"> </w:t>
      </w:r>
      <w:r w:rsidR="00124F6E" w:rsidRPr="00124F6E">
        <w:rPr>
          <w:rFonts w:ascii="Times New Roman" w:hAnsi="Times New Roman"/>
          <w:lang w:val="fr-FR"/>
        </w:rPr>
        <w:t xml:space="preserve">– </w:t>
      </w:r>
      <w:r w:rsidRPr="00124F6E">
        <w:rPr>
          <w:rFonts w:ascii="Times New Roman" w:eastAsia="Times New Roman" w:hAnsi="Times New Roman"/>
          <w:lang w:val="fr-FR"/>
        </w:rPr>
        <w:t>Plans de reboisement des basses terres menaçant les habitats de reproduction d</w:t>
      </w:r>
      <w:r w:rsidR="00124F6E" w:rsidRPr="00124F6E">
        <w:rPr>
          <w:rFonts w:ascii="Times New Roman" w:eastAsia="Times New Roman" w:hAnsi="Times New Roman"/>
          <w:lang w:val="fr-FR"/>
        </w:rPr>
        <w:t>’</w:t>
      </w:r>
      <w:r w:rsidRPr="00124F6E">
        <w:rPr>
          <w:rFonts w:ascii="Times New Roman" w:eastAsia="Times New Roman" w:hAnsi="Times New Roman"/>
          <w:lang w:val="fr-FR"/>
        </w:rPr>
        <w:t>espèces d</w:t>
      </w:r>
      <w:r w:rsidR="00124F6E" w:rsidRPr="00124F6E">
        <w:rPr>
          <w:rFonts w:ascii="Times New Roman" w:eastAsia="Times New Roman" w:hAnsi="Times New Roman"/>
          <w:lang w:val="fr-FR"/>
        </w:rPr>
        <w:t>’</w:t>
      </w:r>
      <w:r w:rsidRPr="00124F6E">
        <w:rPr>
          <w:rFonts w:ascii="Times New Roman" w:eastAsia="Times New Roman" w:hAnsi="Times New Roman"/>
          <w:lang w:val="fr-FR"/>
        </w:rPr>
        <w:t>oiseaux d</w:t>
      </w:r>
      <w:r w:rsidR="00124F6E" w:rsidRPr="00124F6E">
        <w:rPr>
          <w:rFonts w:ascii="Times New Roman" w:eastAsia="Times New Roman" w:hAnsi="Times New Roman"/>
          <w:lang w:val="fr-FR"/>
        </w:rPr>
        <w:t>’</w:t>
      </w:r>
      <w:r w:rsidRPr="00124F6E">
        <w:rPr>
          <w:rFonts w:ascii="Times New Roman" w:eastAsia="Times New Roman" w:hAnsi="Times New Roman"/>
          <w:lang w:val="fr-FR"/>
        </w:rPr>
        <w:t xml:space="preserve">eau figurant sur les listes de </w:t>
      </w:r>
      <w:r w:rsidR="00124F6E">
        <w:rPr>
          <w:rFonts w:ascii="Times New Roman" w:eastAsia="Times New Roman" w:hAnsi="Times New Roman"/>
          <w:lang w:val="fr-FR"/>
        </w:rPr>
        <w:t>l’</w:t>
      </w:r>
      <w:r w:rsidRPr="00124F6E">
        <w:rPr>
          <w:rFonts w:ascii="Times New Roman" w:eastAsia="Times New Roman" w:hAnsi="Times New Roman"/>
          <w:lang w:val="fr-FR"/>
        </w:rPr>
        <w:t>AEWA.</w:t>
      </w:r>
    </w:p>
    <w:p w:rsidR="0094281C" w:rsidRPr="00124F6E" w:rsidRDefault="0094281C" w:rsidP="008B383D">
      <w:pPr>
        <w:pStyle w:val="BodyTextIndent"/>
        <w:tabs>
          <w:tab w:val="left" w:pos="1157"/>
          <w:tab w:val="left" w:pos="1735"/>
        </w:tabs>
        <w:ind w:left="0" w:firstLine="0"/>
        <w:jc w:val="both"/>
        <w:rPr>
          <w:rStyle w:val="tw4winMark"/>
          <w:rFonts w:ascii="Times New Roman" w:hAnsi="Times New Roman" w:cs="Times New Roman"/>
          <w:color w:val="FFFFFF"/>
          <w:sz w:val="22"/>
          <w:szCs w:val="22"/>
        </w:rPr>
      </w:pPr>
      <w:r w:rsidRPr="00124F6E">
        <w:rPr>
          <w:rStyle w:val="tw4winMark"/>
          <w:rFonts w:ascii="Times New Roman" w:hAnsi="Times New Roman" w:cs="Times New Roman"/>
          <w:color w:val="FFFFFF"/>
          <w:sz w:val="22"/>
          <w:szCs w:val="22"/>
        </w:rPr>
        <w:t>&lt;</w:t>
      </w:r>
    </w:p>
    <w:p w:rsidR="008B383D" w:rsidRPr="00226EA2" w:rsidRDefault="0094281C" w:rsidP="008B383D">
      <w:pPr>
        <w:pStyle w:val="BodyTextIndent"/>
        <w:tabs>
          <w:tab w:val="left" w:pos="1157"/>
          <w:tab w:val="left" w:pos="1735"/>
        </w:tabs>
        <w:ind w:left="0" w:firstLine="0"/>
        <w:jc w:val="both"/>
        <w:rPr>
          <w:sz w:val="22"/>
          <w:szCs w:val="22"/>
          <w:lang w:val="fr-FR"/>
        </w:rPr>
      </w:pPr>
      <w:r w:rsidRPr="00124F6E">
        <w:rPr>
          <w:sz w:val="22"/>
          <w:szCs w:val="22"/>
          <w:lang w:val="fr-FR"/>
        </w:rPr>
        <w:t xml:space="preserve">Un </w:t>
      </w:r>
      <w:r w:rsidR="00E16DD0" w:rsidRPr="00124F6E">
        <w:rPr>
          <w:sz w:val="22"/>
          <w:szCs w:val="22"/>
          <w:lang w:val="fr-FR"/>
        </w:rPr>
        <w:t>IRP potentiel a été examiné et est toujours envisagé pour la France, se rapportant au développement d</w:t>
      </w:r>
      <w:r w:rsidR="00124F6E" w:rsidRPr="00124F6E">
        <w:rPr>
          <w:sz w:val="22"/>
          <w:szCs w:val="22"/>
          <w:lang w:val="fr-FR"/>
        </w:rPr>
        <w:t>’</w:t>
      </w:r>
      <w:r w:rsidR="00E16DD0" w:rsidRPr="00124F6E">
        <w:rPr>
          <w:sz w:val="22"/>
          <w:szCs w:val="22"/>
          <w:lang w:val="fr-FR"/>
        </w:rPr>
        <w:t>une ferme éolienne empiétant sur un site désigné comme site de halte pour la conservation d</w:t>
      </w:r>
      <w:r w:rsidR="00124F6E" w:rsidRPr="00124F6E">
        <w:rPr>
          <w:sz w:val="22"/>
          <w:szCs w:val="22"/>
          <w:lang w:val="fr-FR"/>
        </w:rPr>
        <w:t>e la</w:t>
      </w:r>
      <w:r w:rsidR="00E16DD0" w:rsidRPr="00124F6E">
        <w:rPr>
          <w:sz w:val="22"/>
          <w:szCs w:val="22"/>
          <w:lang w:val="fr-FR"/>
        </w:rPr>
        <w:t xml:space="preserve"> Grue cendrée. Un </w:t>
      </w:r>
      <w:r w:rsidRPr="00124F6E">
        <w:rPr>
          <w:sz w:val="22"/>
          <w:szCs w:val="22"/>
          <w:lang w:val="fr-FR"/>
        </w:rPr>
        <w:t>rapport d</w:t>
      </w:r>
      <w:r w:rsidR="00124F6E" w:rsidRPr="00124F6E">
        <w:rPr>
          <w:sz w:val="22"/>
          <w:szCs w:val="22"/>
          <w:lang w:val="fr-FR"/>
        </w:rPr>
        <w:t>’</w:t>
      </w:r>
      <w:r w:rsidRPr="00124F6E">
        <w:rPr>
          <w:sz w:val="22"/>
          <w:szCs w:val="22"/>
          <w:lang w:val="fr-FR"/>
        </w:rPr>
        <w:t>IRP complet est présenté dans le document AEWA/MOP 6.17.</w:t>
      </w:r>
    </w:p>
    <w:p w:rsidR="00854387" w:rsidRPr="00226EA2" w:rsidRDefault="00854387" w:rsidP="008B383D">
      <w:pPr>
        <w:pStyle w:val="BodyTextIndent"/>
        <w:tabs>
          <w:tab w:val="left" w:pos="1157"/>
          <w:tab w:val="left" w:pos="1735"/>
        </w:tabs>
        <w:ind w:left="0" w:firstLine="0"/>
        <w:jc w:val="both"/>
        <w:rPr>
          <w:sz w:val="22"/>
          <w:szCs w:val="22"/>
          <w:lang w:val="fr-FR"/>
        </w:rPr>
      </w:pPr>
    </w:p>
    <w:p w:rsidR="00854387" w:rsidRPr="00226EA2" w:rsidRDefault="0094281C" w:rsidP="008B383D">
      <w:pPr>
        <w:pStyle w:val="BodyTextIndent"/>
        <w:tabs>
          <w:tab w:val="left" w:pos="1157"/>
          <w:tab w:val="left" w:pos="1735"/>
        </w:tabs>
        <w:ind w:left="0" w:firstLine="0"/>
        <w:jc w:val="both"/>
        <w:rPr>
          <w:sz w:val="22"/>
          <w:szCs w:val="22"/>
          <w:lang w:val="fr-FR"/>
        </w:rPr>
      </w:pPr>
      <w:r w:rsidRPr="00124F6E">
        <w:rPr>
          <w:sz w:val="22"/>
          <w:szCs w:val="22"/>
          <w:lang w:val="fr-FR"/>
        </w:rPr>
        <w:t>Lors de sa 9</w:t>
      </w:r>
      <w:r w:rsidRPr="00124F6E">
        <w:rPr>
          <w:sz w:val="22"/>
          <w:szCs w:val="22"/>
          <w:vertAlign w:val="superscript"/>
          <w:lang w:val="fr-FR"/>
        </w:rPr>
        <w:t>ème</w:t>
      </w:r>
      <w:r w:rsidRPr="00124F6E">
        <w:rPr>
          <w:sz w:val="22"/>
          <w:szCs w:val="22"/>
          <w:lang w:val="fr-FR"/>
        </w:rPr>
        <w:t xml:space="preserve"> réunion, le Comité permanent a reçu une mise à jour </w:t>
      </w:r>
      <w:r w:rsidR="00124F6E" w:rsidRPr="00124F6E">
        <w:rPr>
          <w:sz w:val="22"/>
          <w:szCs w:val="22"/>
          <w:lang w:val="fr-FR"/>
        </w:rPr>
        <w:t>sur</w:t>
      </w:r>
      <w:r w:rsidRPr="00124F6E">
        <w:rPr>
          <w:sz w:val="22"/>
          <w:szCs w:val="22"/>
          <w:lang w:val="fr-FR"/>
        </w:rPr>
        <w:t xml:space="preserve"> l</w:t>
      </w:r>
      <w:r w:rsidR="00124F6E" w:rsidRPr="00124F6E">
        <w:rPr>
          <w:sz w:val="22"/>
          <w:szCs w:val="22"/>
          <w:lang w:val="fr-FR"/>
        </w:rPr>
        <w:t>’</w:t>
      </w:r>
      <w:r w:rsidRPr="00124F6E">
        <w:rPr>
          <w:sz w:val="22"/>
          <w:szCs w:val="22"/>
          <w:lang w:val="fr-FR"/>
        </w:rPr>
        <w:t>avancement de la mise en œuvre de la Stratégie de communication.</w:t>
      </w:r>
      <w:r w:rsidR="00854387" w:rsidRPr="00226EA2">
        <w:rPr>
          <w:sz w:val="22"/>
          <w:szCs w:val="22"/>
          <w:lang w:val="fr-FR"/>
        </w:rPr>
        <w:t xml:space="preserve"> </w:t>
      </w:r>
      <w:r w:rsidRPr="00124F6E">
        <w:rPr>
          <w:sz w:val="22"/>
          <w:szCs w:val="22"/>
          <w:lang w:val="fr-FR"/>
        </w:rPr>
        <w:t>Le Secrétariat a réalisé également des progrès notables dans ce domaine, compte tenu des ressources limitées dont il dispose.</w:t>
      </w:r>
      <w:r w:rsidR="00854387" w:rsidRPr="00226EA2">
        <w:rPr>
          <w:sz w:val="22"/>
          <w:szCs w:val="22"/>
          <w:lang w:val="fr-FR"/>
        </w:rPr>
        <w:t xml:space="preserve"> </w:t>
      </w:r>
      <w:r w:rsidRPr="00124F6E">
        <w:rPr>
          <w:sz w:val="22"/>
          <w:szCs w:val="22"/>
          <w:lang w:val="fr-FR"/>
        </w:rPr>
        <w:t xml:space="preserve">La campagne de la Journée mondiale des oiseaux migrateurs, depuis sa création en 2006, </w:t>
      </w:r>
      <w:r w:rsidR="0093644A" w:rsidRPr="00124F6E">
        <w:rPr>
          <w:sz w:val="22"/>
          <w:szCs w:val="22"/>
          <w:lang w:val="fr-FR"/>
        </w:rPr>
        <w:t>poursuit son essor et jouit d</w:t>
      </w:r>
      <w:r w:rsidR="00124F6E" w:rsidRPr="00124F6E">
        <w:rPr>
          <w:sz w:val="22"/>
          <w:szCs w:val="22"/>
          <w:lang w:val="fr-FR"/>
        </w:rPr>
        <w:t>’</w:t>
      </w:r>
      <w:r w:rsidR="0093644A" w:rsidRPr="00124F6E">
        <w:rPr>
          <w:sz w:val="22"/>
          <w:szCs w:val="22"/>
          <w:lang w:val="fr-FR"/>
        </w:rPr>
        <w:t>une reconnaissance internationale de plus en plus grande</w:t>
      </w:r>
      <w:r w:rsidRPr="00124F6E">
        <w:rPr>
          <w:sz w:val="22"/>
          <w:szCs w:val="22"/>
          <w:lang w:val="fr-FR"/>
        </w:rPr>
        <w:t>.</w:t>
      </w:r>
    </w:p>
    <w:p w:rsidR="00854387" w:rsidRPr="00226EA2" w:rsidRDefault="00854387" w:rsidP="008B383D">
      <w:pPr>
        <w:pStyle w:val="BodyTextIndent"/>
        <w:tabs>
          <w:tab w:val="left" w:pos="1157"/>
          <w:tab w:val="left" w:pos="1735"/>
        </w:tabs>
        <w:ind w:left="0" w:firstLine="0"/>
        <w:jc w:val="both"/>
        <w:rPr>
          <w:sz w:val="22"/>
          <w:szCs w:val="22"/>
          <w:lang w:val="fr-FR"/>
        </w:rPr>
      </w:pPr>
    </w:p>
    <w:p w:rsidR="00854387" w:rsidRPr="00226EA2" w:rsidRDefault="0094281C" w:rsidP="008B383D">
      <w:pPr>
        <w:pStyle w:val="BodyTextIndent"/>
        <w:tabs>
          <w:tab w:val="left" w:pos="1157"/>
          <w:tab w:val="left" w:pos="1735"/>
        </w:tabs>
        <w:ind w:left="0" w:firstLine="0"/>
        <w:jc w:val="both"/>
        <w:rPr>
          <w:sz w:val="22"/>
          <w:szCs w:val="22"/>
          <w:lang w:val="fr-FR"/>
        </w:rPr>
      </w:pPr>
      <w:r w:rsidRPr="00124F6E">
        <w:rPr>
          <w:sz w:val="22"/>
          <w:szCs w:val="22"/>
          <w:lang w:val="fr-FR"/>
        </w:rPr>
        <w:t>Lors de la 9</w:t>
      </w:r>
      <w:r w:rsidRPr="00124F6E">
        <w:rPr>
          <w:sz w:val="22"/>
          <w:szCs w:val="22"/>
          <w:vertAlign w:val="superscript"/>
          <w:lang w:val="fr-FR"/>
        </w:rPr>
        <w:t>ème</w:t>
      </w:r>
      <w:r w:rsidRPr="00124F6E">
        <w:rPr>
          <w:sz w:val="22"/>
          <w:szCs w:val="22"/>
          <w:lang w:val="fr-FR"/>
        </w:rPr>
        <w:t xml:space="preserve"> réunion du Comité permanent, une décision a été prise au sujet du recrutement du nouvel Administrateur exécutif de l</w:t>
      </w:r>
      <w:r w:rsidR="00124F6E" w:rsidRPr="00124F6E">
        <w:rPr>
          <w:sz w:val="22"/>
          <w:szCs w:val="22"/>
          <w:lang w:val="fr-FR"/>
        </w:rPr>
        <w:t>’</w:t>
      </w:r>
      <w:r w:rsidRPr="00124F6E">
        <w:rPr>
          <w:sz w:val="22"/>
          <w:szCs w:val="22"/>
          <w:lang w:val="fr-FR"/>
        </w:rPr>
        <w:t>AEWA et de la collaboration future avec la famille CMS (voir Annexe 1).</w:t>
      </w:r>
    </w:p>
    <w:p w:rsidR="002E3682" w:rsidRPr="00226EA2" w:rsidRDefault="002E3682" w:rsidP="008B383D">
      <w:pPr>
        <w:pStyle w:val="BodyTextIndent"/>
        <w:tabs>
          <w:tab w:val="left" w:pos="1157"/>
          <w:tab w:val="left" w:pos="1735"/>
        </w:tabs>
        <w:ind w:left="0" w:firstLine="0"/>
        <w:jc w:val="both"/>
        <w:rPr>
          <w:sz w:val="22"/>
          <w:szCs w:val="22"/>
          <w:lang w:val="fr-FR"/>
        </w:rPr>
      </w:pPr>
    </w:p>
    <w:p w:rsidR="008B383D" w:rsidRPr="00226EA2" w:rsidRDefault="0094281C" w:rsidP="008B383D">
      <w:pPr>
        <w:pStyle w:val="BodyTextIndent"/>
        <w:tabs>
          <w:tab w:val="left" w:pos="1157"/>
          <w:tab w:val="left" w:pos="1735"/>
        </w:tabs>
        <w:ind w:left="0" w:firstLine="0"/>
        <w:jc w:val="both"/>
        <w:rPr>
          <w:sz w:val="22"/>
          <w:szCs w:val="22"/>
          <w:lang w:val="fr-FR"/>
        </w:rPr>
      </w:pPr>
      <w:r w:rsidRPr="00124F6E">
        <w:rPr>
          <w:sz w:val="22"/>
          <w:szCs w:val="22"/>
          <w:lang w:val="fr-FR"/>
        </w:rPr>
        <w:t>La 10</w:t>
      </w:r>
      <w:r w:rsidRPr="00124F6E">
        <w:rPr>
          <w:sz w:val="22"/>
          <w:szCs w:val="22"/>
          <w:vertAlign w:val="superscript"/>
          <w:lang w:val="fr-FR"/>
        </w:rPr>
        <w:t>ème</w:t>
      </w:r>
      <w:r w:rsidR="00124F6E">
        <w:rPr>
          <w:sz w:val="22"/>
          <w:szCs w:val="22"/>
          <w:lang w:val="fr-FR"/>
        </w:rPr>
        <w:t xml:space="preserve"> </w:t>
      </w:r>
      <w:r w:rsidRPr="00124F6E">
        <w:rPr>
          <w:sz w:val="22"/>
          <w:szCs w:val="22"/>
          <w:lang w:val="fr-FR"/>
        </w:rPr>
        <w:t>réunion du Comité permanent, qui était la dernière réunion avant la MOP6, a été particulièrement intensive.</w:t>
      </w:r>
      <w:r w:rsidR="008B383D" w:rsidRPr="00226EA2">
        <w:rPr>
          <w:sz w:val="22"/>
          <w:szCs w:val="22"/>
          <w:lang w:val="fr-FR"/>
        </w:rPr>
        <w:t xml:space="preserve"> </w:t>
      </w:r>
      <w:r w:rsidRPr="00124F6E">
        <w:rPr>
          <w:sz w:val="22"/>
          <w:szCs w:val="22"/>
          <w:lang w:val="fr-FR"/>
        </w:rPr>
        <w:t>L</w:t>
      </w:r>
      <w:r w:rsidR="00124F6E" w:rsidRPr="00124F6E">
        <w:rPr>
          <w:sz w:val="22"/>
          <w:szCs w:val="22"/>
          <w:lang w:val="fr-FR"/>
        </w:rPr>
        <w:t>’</w:t>
      </w:r>
      <w:r w:rsidRPr="00124F6E">
        <w:rPr>
          <w:sz w:val="22"/>
          <w:szCs w:val="22"/>
          <w:lang w:val="fr-FR"/>
        </w:rPr>
        <w:t>accent a été mis pour la première fois tout spécialement sur la conservation des oiseaux marins.</w:t>
      </w:r>
      <w:r w:rsidR="00A630CC" w:rsidRPr="00226EA2">
        <w:rPr>
          <w:sz w:val="22"/>
          <w:szCs w:val="22"/>
          <w:lang w:val="fr-FR"/>
        </w:rPr>
        <w:t xml:space="preserve"> </w:t>
      </w:r>
      <w:r w:rsidRPr="00124F6E">
        <w:rPr>
          <w:sz w:val="22"/>
          <w:szCs w:val="22"/>
          <w:lang w:val="fr-FR"/>
        </w:rPr>
        <w:t>Au cours de cette réunion, presque tous les documents importants et 20 avant-projets de résolution pour la MOP6 ont été examinés.</w:t>
      </w:r>
      <w:r w:rsidR="008B383D" w:rsidRPr="00226EA2">
        <w:rPr>
          <w:sz w:val="22"/>
          <w:szCs w:val="22"/>
          <w:lang w:val="fr-FR"/>
        </w:rPr>
        <w:t xml:space="preserve"> </w:t>
      </w:r>
      <w:r w:rsidR="006E3590" w:rsidRPr="00124F6E">
        <w:rPr>
          <w:sz w:val="22"/>
          <w:szCs w:val="22"/>
          <w:lang w:val="fr-FR"/>
        </w:rPr>
        <w:t xml:space="preserve">La réunion </w:t>
      </w:r>
      <w:r w:rsidR="0093644A" w:rsidRPr="00124F6E">
        <w:rPr>
          <w:sz w:val="22"/>
          <w:szCs w:val="22"/>
          <w:lang w:val="fr-FR"/>
        </w:rPr>
        <w:t xml:space="preserve">a </w:t>
      </w:r>
      <w:r w:rsidR="006E3590" w:rsidRPr="00124F6E">
        <w:rPr>
          <w:sz w:val="22"/>
          <w:szCs w:val="22"/>
          <w:lang w:val="fr-FR"/>
        </w:rPr>
        <w:t>accepté la présentation de ces avant-projets à la MOP6 pour adoption officielle</w:t>
      </w:r>
      <w:r w:rsidRPr="00124F6E">
        <w:rPr>
          <w:sz w:val="22"/>
          <w:szCs w:val="22"/>
          <w:lang w:val="fr-FR"/>
        </w:rPr>
        <w:t>.</w:t>
      </w:r>
    </w:p>
    <w:p w:rsidR="00C47917" w:rsidRPr="00226EA2" w:rsidRDefault="00C47917" w:rsidP="008B383D">
      <w:pPr>
        <w:pStyle w:val="BodyTextIndent"/>
        <w:tabs>
          <w:tab w:val="left" w:pos="1157"/>
          <w:tab w:val="left" w:pos="1735"/>
        </w:tabs>
        <w:ind w:left="0" w:firstLine="0"/>
        <w:jc w:val="both"/>
        <w:rPr>
          <w:sz w:val="22"/>
          <w:szCs w:val="22"/>
          <w:lang w:val="fr-FR"/>
        </w:rPr>
      </w:pPr>
    </w:p>
    <w:p w:rsidR="007206BE" w:rsidRPr="00226EA2" w:rsidRDefault="007206BE" w:rsidP="008B383D">
      <w:pPr>
        <w:pStyle w:val="BodyTextIndent"/>
        <w:tabs>
          <w:tab w:val="left" w:pos="1157"/>
          <w:tab w:val="left" w:pos="1735"/>
        </w:tabs>
        <w:ind w:left="0" w:firstLine="0"/>
        <w:jc w:val="both"/>
        <w:rPr>
          <w:sz w:val="22"/>
          <w:szCs w:val="22"/>
          <w:lang w:val="fr-FR"/>
        </w:rPr>
      </w:pPr>
    </w:p>
    <w:p w:rsidR="008B383D" w:rsidRPr="00226EA2" w:rsidRDefault="006E3590" w:rsidP="008B383D">
      <w:pPr>
        <w:pStyle w:val="BodyTextIndent"/>
        <w:tabs>
          <w:tab w:val="left" w:pos="1157"/>
          <w:tab w:val="left" w:pos="1735"/>
        </w:tabs>
        <w:ind w:left="0" w:firstLine="0"/>
        <w:jc w:val="both"/>
        <w:rPr>
          <w:b/>
          <w:sz w:val="22"/>
          <w:szCs w:val="22"/>
          <w:lang w:val="fr-FR"/>
        </w:rPr>
      </w:pPr>
      <w:r w:rsidRPr="00124F6E">
        <w:rPr>
          <w:b/>
          <w:sz w:val="22"/>
          <w:szCs w:val="22"/>
          <w:lang w:val="fr-FR"/>
        </w:rPr>
        <w:t>Autres activités du président du Comité permanent</w:t>
      </w:r>
    </w:p>
    <w:p w:rsidR="008B383D" w:rsidRPr="00226EA2" w:rsidRDefault="008B383D" w:rsidP="008B383D">
      <w:pPr>
        <w:pStyle w:val="BodyTextIndent"/>
        <w:tabs>
          <w:tab w:val="left" w:pos="1157"/>
          <w:tab w:val="left" w:pos="1735"/>
        </w:tabs>
        <w:ind w:left="0" w:firstLine="0"/>
        <w:jc w:val="both"/>
        <w:rPr>
          <w:b/>
          <w:sz w:val="22"/>
          <w:szCs w:val="22"/>
          <w:lang w:val="fr-FR"/>
        </w:rPr>
      </w:pPr>
    </w:p>
    <w:p w:rsidR="008B383D" w:rsidRPr="00226EA2" w:rsidRDefault="006E3590" w:rsidP="008B383D">
      <w:pPr>
        <w:pStyle w:val="BodyTextIndent"/>
        <w:tabs>
          <w:tab w:val="left" w:pos="1157"/>
          <w:tab w:val="left" w:pos="1735"/>
        </w:tabs>
        <w:ind w:left="0" w:firstLine="0"/>
        <w:jc w:val="both"/>
        <w:rPr>
          <w:sz w:val="22"/>
          <w:szCs w:val="22"/>
          <w:lang w:val="fr-FR"/>
        </w:rPr>
      </w:pPr>
      <w:r w:rsidRPr="00124F6E">
        <w:rPr>
          <w:sz w:val="22"/>
          <w:szCs w:val="22"/>
          <w:lang w:val="fr-FR"/>
        </w:rPr>
        <w:t xml:space="preserve">Le président du </w:t>
      </w:r>
      <w:proofErr w:type="spellStart"/>
      <w:r w:rsidRPr="00124F6E">
        <w:rPr>
          <w:sz w:val="22"/>
          <w:szCs w:val="22"/>
          <w:lang w:val="fr-FR"/>
        </w:rPr>
        <w:t>StC</w:t>
      </w:r>
      <w:proofErr w:type="spellEnd"/>
      <w:r w:rsidRPr="00124F6E">
        <w:rPr>
          <w:sz w:val="22"/>
          <w:szCs w:val="22"/>
          <w:lang w:val="fr-FR"/>
        </w:rPr>
        <w:t xml:space="preserve"> a participé aux dispositions intérimaires puis au processus de recrutement se rapportant au poste de Secrétaire exécutif (P-4).</w:t>
      </w:r>
      <w:r w:rsidR="00124F6E" w:rsidRPr="00226EA2">
        <w:rPr>
          <w:sz w:val="22"/>
          <w:szCs w:val="22"/>
          <w:lang w:val="fr-FR"/>
        </w:rPr>
        <w:t xml:space="preserve"> </w:t>
      </w:r>
    </w:p>
    <w:p w:rsidR="008B383D" w:rsidRPr="00226EA2" w:rsidRDefault="008B383D" w:rsidP="008B383D">
      <w:pPr>
        <w:pStyle w:val="BodyTextIndent"/>
        <w:tabs>
          <w:tab w:val="left" w:pos="1157"/>
          <w:tab w:val="left" w:pos="1735"/>
        </w:tabs>
        <w:ind w:left="0" w:firstLine="0"/>
        <w:jc w:val="both"/>
        <w:rPr>
          <w:sz w:val="22"/>
          <w:szCs w:val="22"/>
          <w:lang w:val="fr-FR"/>
        </w:rPr>
      </w:pPr>
    </w:p>
    <w:p w:rsidR="008B383D" w:rsidRPr="00226EA2" w:rsidRDefault="006E3590" w:rsidP="008B383D">
      <w:pPr>
        <w:pStyle w:val="BodyTextIndent"/>
        <w:tabs>
          <w:tab w:val="left" w:pos="1157"/>
          <w:tab w:val="left" w:pos="1735"/>
        </w:tabs>
        <w:ind w:left="0" w:firstLine="0"/>
        <w:jc w:val="both"/>
        <w:rPr>
          <w:sz w:val="22"/>
          <w:szCs w:val="22"/>
          <w:lang w:val="fr-FR"/>
        </w:rPr>
      </w:pPr>
      <w:r w:rsidRPr="00124F6E">
        <w:rPr>
          <w:sz w:val="22"/>
          <w:szCs w:val="22"/>
          <w:lang w:val="fr-FR"/>
        </w:rPr>
        <w:t>Tout au long de la période triennale, le Secrétaire exécutif par intérim et le Secrétaire exécutif ont chacun contacté le président à intervalles réguliers afin de lui fournir des informations actualisées sur les activités du Secrétariat.</w:t>
      </w:r>
      <w:r w:rsidR="00124F6E" w:rsidRPr="00226EA2">
        <w:rPr>
          <w:sz w:val="22"/>
          <w:szCs w:val="22"/>
          <w:lang w:val="fr-FR"/>
        </w:rPr>
        <w:t xml:space="preserve"> </w:t>
      </w:r>
    </w:p>
    <w:p w:rsidR="00D34022" w:rsidRPr="00226EA2" w:rsidRDefault="00D34022" w:rsidP="008B383D">
      <w:pPr>
        <w:pStyle w:val="BodyTextIndent"/>
        <w:tabs>
          <w:tab w:val="left" w:pos="1157"/>
          <w:tab w:val="left" w:pos="1735"/>
        </w:tabs>
        <w:ind w:left="0" w:firstLine="0"/>
        <w:jc w:val="both"/>
        <w:rPr>
          <w:sz w:val="22"/>
          <w:szCs w:val="22"/>
          <w:lang w:val="fr-FR"/>
        </w:rPr>
      </w:pPr>
    </w:p>
    <w:p w:rsidR="006B0C4D" w:rsidRPr="00226EA2" w:rsidRDefault="006E3590" w:rsidP="00124F6E">
      <w:pPr>
        <w:pStyle w:val="BodyTextIndent"/>
        <w:tabs>
          <w:tab w:val="left" w:pos="1157"/>
          <w:tab w:val="left" w:pos="1735"/>
        </w:tabs>
        <w:ind w:left="0" w:firstLine="0"/>
        <w:rPr>
          <w:sz w:val="22"/>
          <w:szCs w:val="22"/>
          <w:lang w:val="fr-FR"/>
        </w:rPr>
        <w:sectPr w:rsidR="006B0C4D" w:rsidRPr="00226EA2" w:rsidSect="006B0C4D">
          <w:headerReference w:type="even" r:id="rId10"/>
          <w:headerReference w:type="default" r:id="rId11"/>
          <w:footerReference w:type="even" r:id="rId12"/>
          <w:footerReference w:type="default" r:id="rId13"/>
          <w:headerReference w:type="first" r:id="rId14"/>
          <w:footerReference w:type="first" r:id="rId15"/>
          <w:pgSz w:w="11907" w:h="16840" w:code="9"/>
          <w:pgMar w:top="1021" w:right="1134" w:bottom="851" w:left="1134" w:header="709" w:footer="709" w:gutter="0"/>
          <w:cols w:space="708"/>
          <w:titlePg/>
          <w:docGrid w:linePitch="360"/>
        </w:sectPr>
      </w:pPr>
      <w:r w:rsidRPr="00124F6E">
        <w:rPr>
          <w:sz w:val="22"/>
          <w:szCs w:val="22"/>
          <w:lang w:val="fr-FR"/>
        </w:rPr>
        <w:t>Au cours de cette période, le président s</w:t>
      </w:r>
      <w:r w:rsidR="00124F6E" w:rsidRPr="00124F6E">
        <w:rPr>
          <w:sz w:val="22"/>
          <w:szCs w:val="22"/>
          <w:lang w:val="fr-FR"/>
        </w:rPr>
        <w:t>’</w:t>
      </w:r>
      <w:r w:rsidRPr="00124F6E">
        <w:rPr>
          <w:sz w:val="22"/>
          <w:szCs w:val="22"/>
          <w:lang w:val="fr-FR"/>
        </w:rPr>
        <w:t>est également concerté sur certaines questions avec le personnel de la CMS, notamment le Secrétaire exécutif de la CMS.</w:t>
      </w:r>
    </w:p>
    <w:p w:rsidR="009A0482" w:rsidRPr="00226EA2" w:rsidRDefault="006E3590" w:rsidP="009A0482">
      <w:pPr>
        <w:jc w:val="center"/>
        <w:rPr>
          <w:rFonts w:ascii="Times New Roman" w:hAnsi="Times New Roman" w:cs="Times New Roman"/>
          <w:b/>
          <w:color w:val="auto"/>
          <w:sz w:val="22"/>
          <w:szCs w:val="22"/>
          <w:lang w:val="fr-FR"/>
        </w:rPr>
      </w:pPr>
      <w:r w:rsidRPr="00124F6E">
        <w:rPr>
          <w:rFonts w:ascii="Times New Roman" w:hAnsi="Times New Roman" w:cs="Times New Roman"/>
          <w:b/>
          <w:color w:val="auto"/>
          <w:sz w:val="22"/>
          <w:szCs w:val="22"/>
          <w:lang w:val="fr-FR"/>
        </w:rPr>
        <w:lastRenderedPageBreak/>
        <w:t>ANNEXE I</w:t>
      </w:r>
      <w:r w:rsidR="00124F6E">
        <w:rPr>
          <w:rFonts w:ascii="Times New Roman" w:hAnsi="Times New Roman" w:cs="Times New Roman"/>
          <w:b/>
          <w:color w:val="auto"/>
          <w:sz w:val="22"/>
          <w:szCs w:val="22"/>
          <w:lang w:val="fr-FR"/>
        </w:rPr>
        <w:t xml:space="preserve"> </w:t>
      </w:r>
    </w:p>
    <w:p w:rsidR="009A0482" w:rsidRPr="00226EA2" w:rsidRDefault="009A0482" w:rsidP="009A0482">
      <w:pPr>
        <w:jc w:val="center"/>
        <w:rPr>
          <w:rFonts w:ascii="Times New Roman" w:hAnsi="Times New Roman" w:cs="Times New Roman"/>
          <w:b/>
          <w:color w:val="auto"/>
          <w:sz w:val="22"/>
          <w:szCs w:val="22"/>
          <w:lang w:val="fr-FR"/>
        </w:rPr>
      </w:pPr>
    </w:p>
    <w:p w:rsidR="009A0482" w:rsidRPr="00226EA2" w:rsidRDefault="006E3590" w:rsidP="009A0482">
      <w:pPr>
        <w:jc w:val="center"/>
        <w:rPr>
          <w:rFonts w:ascii="Times New Roman" w:hAnsi="Times New Roman" w:cs="Times New Roman"/>
          <w:b/>
          <w:color w:val="auto"/>
          <w:sz w:val="22"/>
          <w:szCs w:val="22"/>
          <w:lang w:val="fr-FR"/>
        </w:rPr>
      </w:pPr>
      <w:r w:rsidRPr="00124F6E">
        <w:rPr>
          <w:rFonts w:ascii="Times New Roman" w:hAnsi="Times New Roman" w:cs="Times New Roman"/>
          <w:b/>
          <w:color w:val="auto"/>
          <w:sz w:val="22"/>
          <w:szCs w:val="22"/>
          <w:lang w:val="fr-FR"/>
        </w:rPr>
        <w:t>Décision du Comité permanent concernant le recrutement du nouve</w:t>
      </w:r>
      <w:r w:rsidR="00124F6E" w:rsidRPr="00124F6E">
        <w:rPr>
          <w:rFonts w:ascii="Times New Roman" w:hAnsi="Times New Roman" w:cs="Times New Roman"/>
          <w:b/>
          <w:color w:val="auto"/>
          <w:sz w:val="22"/>
          <w:szCs w:val="22"/>
          <w:lang w:val="fr-FR"/>
        </w:rPr>
        <w:t>l</w:t>
      </w:r>
      <w:r w:rsidRPr="00124F6E">
        <w:rPr>
          <w:rFonts w:ascii="Times New Roman" w:hAnsi="Times New Roman" w:cs="Times New Roman"/>
          <w:b/>
          <w:color w:val="auto"/>
          <w:sz w:val="22"/>
          <w:szCs w:val="22"/>
          <w:lang w:val="fr-FR"/>
        </w:rPr>
        <w:t xml:space="preserve"> </w:t>
      </w:r>
    </w:p>
    <w:p w:rsidR="009A0482" w:rsidRPr="00226EA2" w:rsidRDefault="006E3590" w:rsidP="009A0482">
      <w:pPr>
        <w:jc w:val="center"/>
        <w:rPr>
          <w:rFonts w:ascii="Times New Roman" w:hAnsi="Times New Roman" w:cs="Times New Roman"/>
          <w:b/>
          <w:color w:val="auto"/>
          <w:sz w:val="22"/>
          <w:szCs w:val="22"/>
          <w:lang w:val="fr-FR"/>
        </w:rPr>
      </w:pPr>
      <w:r w:rsidRPr="00124F6E">
        <w:rPr>
          <w:rFonts w:ascii="Times New Roman" w:hAnsi="Times New Roman" w:cs="Times New Roman"/>
          <w:b/>
          <w:color w:val="auto"/>
          <w:sz w:val="22"/>
          <w:szCs w:val="22"/>
          <w:lang w:val="fr-FR"/>
        </w:rPr>
        <w:t>Administrateur exécutif de l</w:t>
      </w:r>
      <w:r w:rsidR="00124F6E" w:rsidRPr="00124F6E">
        <w:rPr>
          <w:rFonts w:ascii="Times New Roman" w:hAnsi="Times New Roman" w:cs="Times New Roman"/>
          <w:b/>
          <w:color w:val="auto"/>
          <w:sz w:val="22"/>
          <w:szCs w:val="22"/>
          <w:lang w:val="fr-FR"/>
        </w:rPr>
        <w:t>’</w:t>
      </w:r>
      <w:r w:rsidRPr="00124F6E">
        <w:rPr>
          <w:rFonts w:ascii="Times New Roman" w:hAnsi="Times New Roman" w:cs="Times New Roman"/>
          <w:b/>
          <w:color w:val="auto"/>
          <w:sz w:val="22"/>
          <w:szCs w:val="22"/>
          <w:lang w:val="fr-FR"/>
        </w:rPr>
        <w:t>AEWA et la collaboration future avec la famille CMS</w:t>
      </w:r>
    </w:p>
    <w:p w:rsidR="009A0482" w:rsidRPr="00226EA2" w:rsidRDefault="009A0482" w:rsidP="009A0482">
      <w:pPr>
        <w:jc w:val="center"/>
        <w:rPr>
          <w:rFonts w:ascii="Times New Roman" w:hAnsi="Times New Roman" w:cs="Times New Roman"/>
          <w:b/>
          <w:color w:val="auto"/>
          <w:sz w:val="22"/>
          <w:szCs w:val="22"/>
          <w:lang w:val="fr-FR"/>
        </w:rPr>
      </w:pPr>
    </w:p>
    <w:p w:rsidR="009A0482" w:rsidRPr="00226EA2" w:rsidRDefault="009A0482" w:rsidP="009A0482">
      <w:pPr>
        <w:autoSpaceDE w:val="0"/>
        <w:autoSpaceDN w:val="0"/>
        <w:adjustRightInd w:val="0"/>
        <w:rPr>
          <w:rFonts w:ascii="Times New Roman" w:hAnsi="Times New Roman" w:cs="Times New Roman"/>
          <w:b/>
          <w:bCs/>
          <w:color w:val="000000"/>
          <w:sz w:val="22"/>
          <w:szCs w:val="22"/>
          <w:lang w:val="fr-FR" w:eastAsia="en-GB"/>
        </w:rPr>
      </w:pPr>
    </w:p>
    <w:p w:rsidR="009A0482" w:rsidRPr="00226EA2" w:rsidRDefault="006E3590" w:rsidP="006E3590">
      <w:pPr>
        <w:spacing w:after="200" w:line="280" w:lineRule="auto"/>
        <w:ind w:firstLine="720"/>
        <w:rPr>
          <w:rFonts w:ascii="Times New Roman" w:hAnsi="Times New Roman" w:cs="Times New Roman"/>
          <w:bCs/>
          <w:color w:val="auto"/>
          <w:sz w:val="22"/>
          <w:szCs w:val="22"/>
          <w:lang w:val="fr-FR"/>
        </w:rPr>
      </w:pPr>
      <w:r w:rsidRPr="00124F6E">
        <w:rPr>
          <w:rFonts w:ascii="Times New Roman" w:hAnsi="Times New Roman" w:cs="Times New Roman"/>
          <w:bCs/>
          <w:i/>
          <w:color w:val="auto"/>
          <w:sz w:val="22"/>
          <w:szCs w:val="22"/>
          <w:lang w:val="fr-FR"/>
        </w:rPr>
        <w:t xml:space="preserve">Reconnaissant </w:t>
      </w:r>
      <w:r w:rsidRPr="00124F6E">
        <w:rPr>
          <w:rFonts w:ascii="Times New Roman" w:hAnsi="Times New Roman" w:cs="Times New Roman"/>
          <w:bCs/>
          <w:color w:val="auto"/>
          <w:sz w:val="22"/>
          <w:szCs w:val="22"/>
          <w:lang w:val="fr-FR"/>
        </w:rPr>
        <w:t>l</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importance du processus d</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examen de la structure future pour accroitre l</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efficacité et intensifier les synergies au sein de l</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ensemble de la Famille CMS et la Résolution 5.17 qui demande au Comité permanent « De contribuer, s</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il y a lieu, à des activités identifiées dans l</w:t>
      </w:r>
      <w:r w:rsidR="00124F6E" w:rsidRPr="00124F6E">
        <w:rPr>
          <w:rFonts w:ascii="Times New Roman" w:hAnsi="Times New Roman" w:cs="Times New Roman"/>
          <w:bCs/>
          <w:color w:val="auto"/>
          <w:sz w:val="22"/>
          <w:szCs w:val="22"/>
          <w:lang w:val="fr-FR"/>
        </w:rPr>
        <w:t>’</w:t>
      </w:r>
      <w:r w:rsidRPr="00124F6E">
        <w:rPr>
          <w:rFonts w:ascii="Times New Roman" w:hAnsi="Times New Roman" w:cs="Times New Roman"/>
          <w:bCs/>
          <w:color w:val="auto"/>
          <w:sz w:val="22"/>
          <w:szCs w:val="22"/>
          <w:lang w:val="fr-FR"/>
        </w:rPr>
        <w:t>annexe I de la Résolution 10.9 de la CMS »,</w:t>
      </w:r>
    </w:p>
    <w:p w:rsidR="009A0482" w:rsidRPr="00226EA2" w:rsidRDefault="006E3590" w:rsidP="009A0482">
      <w:pPr>
        <w:ind w:firstLine="720"/>
        <w:jc w:val="both"/>
        <w:rPr>
          <w:rFonts w:ascii="Times New Roman" w:hAnsi="Times New Roman" w:cs="Times New Roman"/>
          <w:bCs/>
          <w:color w:val="auto"/>
          <w:sz w:val="22"/>
          <w:szCs w:val="22"/>
          <w:lang w:val="fr-FR"/>
        </w:rPr>
      </w:pPr>
      <w:r w:rsidRPr="00124F6E">
        <w:rPr>
          <w:rFonts w:ascii="Times New Roman" w:hAnsi="Times New Roman" w:cs="Times New Roman"/>
          <w:bCs/>
          <w:i/>
          <w:color w:val="auto"/>
          <w:sz w:val="22"/>
          <w:szCs w:val="22"/>
          <w:lang w:val="fr-FR"/>
        </w:rPr>
        <w:t xml:space="preserve">Conscient </w:t>
      </w:r>
      <w:r w:rsidRPr="00124F6E">
        <w:rPr>
          <w:rFonts w:ascii="Times New Roman" w:hAnsi="Times New Roman" w:cs="Times New Roman"/>
          <w:bCs/>
          <w:color w:val="auto"/>
          <w:sz w:val="22"/>
          <w:szCs w:val="22"/>
          <w:lang w:val="fr-FR"/>
        </w:rPr>
        <w:t>du contexte international plus vaste découlant de la Conférence Rio+20 et des autres processus soulignant la nécessité de créer de nouvelles synergies entre les AME</w:t>
      </w:r>
      <w:r w:rsidRPr="00124F6E">
        <w:rPr>
          <w:rFonts w:ascii="Times New Roman" w:hAnsi="Times New Roman" w:cs="Times New Roman"/>
          <w:bCs/>
          <w:i/>
          <w:color w:val="auto"/>
          <w:sz w:val="22"/>
          <w:szCs w:val="22"/>
          <w:lang w:val="fr-FR"/>
        </w:rPr>
        <w:t>,</w:t>
      </w:r>
    </w:p>
    <w:p w:rsidR="009A0482" w:rsidRPr="00226EA2" w:rsidRDefault="009A0482" w:rsidP="009A0482">
      <w:pPr>
        <w:autoSpaceDE w:val="0"/>
        <w:autoSpaceDN w:val="0"/>
        <w:adjustRightInd w:val="0"/>
        <w:rPr>
          <w:rFonts w:ascii="Times New Roman" w:hAnsi="Times New Roman" w:cs="Times New Roman"/>
          <w:bCs/>
          <w:color w:val="auto"/>
          <w:sz w:val="22"/>
          <w:szCs w:val="22"/>
          <w:lang w:val="fr-FR" w:eastAsia="en-GB"/>
        </w:rPr>
      </w:pPr>
    </w:p>
    <w:p w:rsidR="009A0482" w:rsidRPr="00226EA2" w:rsidRDefault="006E3590" w:rsidP="009A0482">
      <w:pPr>
        <w:autoSpaceDE w:val="0"/>
        <w:autoSpaceDN w:val="0"/>
        <w:adjustRightInd w:val="0"/>
        <w:ind w:firstLine="72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 xml:space="preserve">Conscient </w:t>
      </w:r>
      <w:r w:rsidRPr="00124F6E">
        <w:rPr>
          <w:rFonts w:ascii="Times New Roman" w:hAnsi="Times New Roman" w:cs="Times New Roman"/>
          <w:bCs/>
          <w:color w:val="000000"/>
          <w:sz w:val="22"/>
          <w:szCs w:val="22"/>
          <w:lang w:val="fr-FR" w:eastAsia="en-GB"/>
        </w:rPr>
        <w:t>de la nécessité de nommer dès que possible un Administrateur exécutif et du rôle important que la Résolution 5.21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 xml:space="preserve">AEWA </w:t>
      </w:r>
      <w:proofErr w:type="gramStart"/>
      <w:r w:rsidRPr="00124F6E">
        <w:rPr>
          <w:rFonts w:ascii="Times New Roman" w:hAnsi="Times New Roman" w:cs="Times New Roman"/>
          <w:bCs/>
          <w:color w:val="000000"/>
          <w:sz w:val="22"/>
          <w:szCs w:val="22"/>
          <w:lang w:val="fr-FR" w:eastAsia="en-GB"/>
        </w:rPr>
        <w:t>définit</w:t>
      </w:r>
      <w:proofErr w:type="gramEnd"/>
      <w:r w:rsidRPr="00124F6E">
        <w:rPr>
          <w:rFonts w:ascii="Times New Roman" w:hAnsi="Times New Roman" w:cs="Times New Roman"/>
          <w:bCs/>
          <w:color w:val="000000"/>
          <w:sz w:val="22"/>
          <w:szCs w:val="22"/>
          <w:lang w:val="fr-FR" w:eastAsia="en-GB"/>
        </w:rPr>
        <w:t xml:space="preserve"> pour le Comité permanent dans la prise de décision finale,</w:t>
      </w:r>
    </w:p>
    <w:p w:rsidR="009A0482" w:rsidRPr="00226EA2" w:rsidRDefault="009A0482" w:rsidP="009A0482">
      <w:pPr>
        <w:autoSpaceDE w:val="0"/>
        <w:autoSpaceDN w:val="0"/>
        <w:adjustRightInd w:val="0"/>
        <w:ind w:firstLine="720"/>
        <w:rPr>
          <w:rFonts w:ascii="Times New Roman" w:hAnsi="Times New Roman" w:cs="Times New Roman"/>
          <w:bCs/>
          <w:color w:val="000000"/>
          <w:sz w:val="22"/>
          <w:szCs w:val="22"/>
          <w:lang w:val="fr-FR" w:eastAsia="en-GB"/>
        </w:rPr>
      </w:pPr>
    </w:p>
    <w:p w:rsidR="009A0482" w:rsidRPr="00226EA2" w:rsidRDefault="006E3590" w:rsidP="009A0482">
      <w:pPr>
        <w:autoSpaceDE w:val="0"/>
        <w:autoSpaceDN w:val="0"/>
        <w:adjustRightInd w:val="0"/>
        <w:ind w:firstLine="72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Comprenant</w:t>
      </w:r>
      <w:r w:rsidR="00124F6E">
        <w:rPr>
          <w:rFonts w:ascii="Times New Roman" w:hAnsi="Times New Roman" w:cs="Times New Roman"/>
          <w:bCs/>
          <w:i/>
          <w:color w:val="000000"/>
          <w:sz w:val="22"/>
          <w:szCs w:val="22"/>
          <w:lang w:val="fr-FR" w:eastAsia="en-GB"/>
        </w:rPr>
        <w:t xml:space="preserve"> </w:t>
      </w:r>
      <w:r w:rsidRPr="00124F6E">
        <w:rPr>
          <w:rFonts w:ascii="Times New Roman" w:hAnsi="Times New Roman" w:cs="Times New Roman"/>
          <w:bCs/>
          <w:color w:val="000000"/>
          <w:sz w:val="22"/>
          <w:szCs w:val="22"/>
          <w:lang w:val="fr-FR" w:eastAsia="en-GB"/>
        </w:rPr>
        <w:t>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occasion offerte en termes de synchronisation</w:t>
      </w:r>
      <w:r w:rsidR="00124F6E">
        <w:rPr>
          <w:rFonts w:ascii="Times New Roman" w:hAnsi="Times New Roman" w:cs="Times New Roman"/>
          <w:bCs/>
          <w:color w:val="000000"/>
          <w:sz w:val="22"/>
          <w:szCs w:val="22"/>
          <w:lang w:val="fr-FR" w:eastAsia="en-GB"/>
        </w:rPr>
        <w:t xml:space="preserve"> </w:t>
      </w:r>
      <w:r w:rsidRPr="00124F6E">
        <w:rPr>
          <w:rFonts w:ascii="Times New Roman" w:hAnsi="Times New Roman" w:cs="Times New Roman"/>
          <w:bCs/>
          <w:color w:val="000000"/>
          <w:sz w:val="22"/>
          <w:szCs w:val="22"/>
          <w:lang w:val="fr-FR" w:eastAsia="en-GB"/>
        </w:rPr>
        <w:t>par le processus de nomination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Administrateur exécutif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pour renforcer les synergies entre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et la CMS conformément au processus d</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examen de la structure future de la CMS et la Résolution 5.17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w:t>
      </w:r>
    </w:p>
    <w:p w:rsidR="009A0482" w:rsidRPr="00226EA2" w:rsidRDefault="009A0482" w:rsidP="009A0482">
      <w:pPr>
        <w:autoSpaceDE w:val="0"/>
        <w:autoSpaceDN w:val="0"/>
        <w:adjustRightInd w:val="0"/>
        <w:rPr>
          <w:rFonts w:ascii="Times New Roman" w:hAnsi="Times New Roman" w:cs="Times New Roman"/>
          <w:bCs/>
          <w:color w:val="000000"/>
          <w:sz w:val="22"/>
          <w:szCs w:val="22"/>
          <w:lang w:val="fr-FR" w:eastAsia="en-GB"/>
        </w:rPr>
      </w:pPr>
    </w:p>
    <w:p w:rsidR="009A0482" w:rsidRPr="00124F6E" w:rsidRDefault="009A0482" w:rsidP="009A0482">
      <w:pPr>
        <w:autoSpaceDE w:val="0"/>
        <w:autoSpaceDN w:val="0"/>
        <w:adjustRightInd w:val="0"/>
        <w:rPr>
          <w:rFonts w:ascii="Times New Roman" w:hAnsi="Times New Roman" w:cs="Times New Roman"/>
          <w:bCs/>
          <w:i/>
          <w:color w:val="000000"/>
          <w:sz w:val="22"/>
          <w:szCs w:val="22"/>
          <w:lang w:val="en-GB" w:eastAsia="en-GB"/>
        </w:rPr>
      </w:pPr>
      <w:r w:rsidRPr="00226EA2">
        <w:rPr>
          <w:rFonts w:ascii="Times New Roman" w:hAnsi="Times New Roman" w:cs="Times New Roman"/>
          <w:bCs/>
          <w:color w:val="000000"/>
          <w:sz w:val="22"/>
          <w:szCs w:val="22"/>
          <w:lang w:val="fr-FR" w:eastAsia="en-GB"/>
        </w:rPr>
        <w:t xml:space="preserve"> </w:t>
      </w:r>
      <w:r w:rsidR="006E3590" w:rsidRPr="00124F6E">
        <w:rPr>
          <w:rFonts w:ascii="Times New Roman" w:hAnsi="Times New Roman" w:cs="Times New Roman"/>
          <w:bCs/>
          <w:i/>
          <w:color w:val="000000"/>
          <w:sz w:val="22"/>
          <w:szCs w:val="22"/>
          <w:lang w:val="fr-FR" w:eastAsia="en-GB"/>
        </w:rPr>
        <w:t xml:space="preserve">Le Comité permanent : </w:t>
      </w:r>
    </w:p>
    <w:p w:rsidR="009A0482" w:rsidRPr="00124F6E" w:rsidRDefault="009A0482" w:rsidP="009A0482">
      <w:pPr>
        <w:autoSpaceDE w:val="0"/>
        <w:autoSpaceDN w:val="0"/>
        <w:adjustRightInd w:val="0"/>
        <w:rPr>
          <w:rFonts w:ascii="Times New Roman" w:hAnsi="Times New Roman" w:cs="Times New Roman"/>
          <w:bCs/>
          <w:color w:val="000000"/>
          <w:sz w:val="22"/>
          <w:szCs w:val="22"/>
          <w:lang w:val="en-GB" w:eastAsia="en-GB"/>
        </w:rPr>
      </w:pPr>
    </w:p>
    <w:p w:rsidR="009A0482" w:rsidRPr="00226EA2" w:rsidRDefault="006E3590" w:rsidP="009A0482">
      <w:pPr>
        <w:numPr>
          <w:ilvl w:val="0"/>
          <w:numId w:val="2"/>
        </w:numPr>
        <w:autoSpaceDE w:val="0"/>
        <w:autoSpaceDN w:val="0"/>
        <w:adjustRightInd w:val="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Décide</w:t>
      </w:r>
      <w:r w:rsidRPr="00124F6E">
        <w:rPr>
          <w:rFonts w:ascii="Times New Roman" w:hAnsi="Times New Roman" w:cs="Times New Roman"/>
          <w:bCs/>
          <w:color w:val="000000"/>
          <w:sz w:val="22"/>
          <w:szCs w:val="22"/>
          <w:lang w:val="fr-FR" w:eastAsia="en-GB"/>
        </w:rPr>
        <w:t xml:space="preserve"> de prendre la décision d</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accepter la nomination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Administrateur exécutif sur une base intérimaire, afin que celle-ci soit examinée par la MOP6 à la lumière de la nomination éventuelle d</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un Secrétaire exécutif commun, telle que décrite ci-dessous ;</w:t>
      </w:r>
    </w:p>
    <w:p w:rsidR="009A0482" w:rsidRPr="00226EA2" w:rsidRDefault="009A0482" w:rsidP="009A0482">
      <w:pPr>
        <w:autoSpaceDE w:val="0"/>
        <w:autoSpaceDN w:val="0"/>
        <w:adjustRightInd w:val="0"/>
        <w:ind w:firstLine="720"/>
        <w:rPr>
          <w:rFonts w:ascii="Times New Roman" w:hAnsi="Times New Roman" w:cs="Times New Roman"/>
          <w:bCs/>
          <w:color w:val="000000"/>
          <w:sz w:val="22"/>
          <w:szCs w:val="22"/>
          <w:lang w:val="fr-FR" w:eastAsia="en-GB"/>
        </w:rPr>
      </w:pPr>
    </w:p>
    <w:p w:rsidR="009A0482" w:rsidRPr="00226EA2" w:rsidRDefault="006E3590" w:rsidP="009A0482">
      <w:pPr>
        <w:numPr>
          <w:ilvl w:val="0"/>
          <w:numId w:val="2"/>
        </w:numPr>
        <w:autoSpaceDE w:val="0"/>
        <w:autoSpaceDN w:val="0"/>
        <w:adjustRightInd w:val="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 xml:space="preserve">Demande </w:t>
      </w:r>
      <w:r w:rsidRPr="00124F6E">
        <w:rPr>
          <w:rFonts w:ascii="Times New Roman" w:hAnsi="Times New Roman" w:cs="Times New Roman"/>
          <w:bCs/>
          <w:color w:val="000000"/>
          <w:sz w:val="22"/>
          <w:szCs w:val="22"/>
          <w:lang w:val="fr-FR" w:eastAsia="en-GB"/>
        </w:rPr>
        <w:t>à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Administrateur exécutif par intérim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de développer plus avant les synergies entre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et la CMS et à entreprendre des actions afin de fusionner les services et les domaines communs afin de permettre de rediriger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attention des Secrétariats vers le renforcement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aide à la mise en œuvre, et invite le Secrétaire exécutif de la CMS à faire de même</w:t>
      </w:r>
      <w:r w:rsidRPr="00124F6E">
        <w:rPr>
          <w:rFonts w:ascii="Times New Roman" w:hAnsi="Times New Roman" w:cs="Times New Roman"/>
          <w:bCs/>
          <w:i/>
          <w:color w:val="000000"/>
          <w:sz w:val="22"/>
          <w:szCs w:val="22"/>
          <w:lang w:val="fr-FR" w:eastAsia="en-GB"/>
        </w:rPr>
        <w:t> </w:t>
      </w:r>
      <w:r w:rsidRPr="00124F6E">
        <w:rPr>
          <w:rFonts w:ascii="Times New Roman" w:hAnsi="Times New Roman" w:cs="Times New Roman"/>
          <w:bCs/>
          <w:color w:val="000000"/>
          <w:sz w:val="22"/>
          <w:szCs w:val="22"/>
          <w:lang w:val="fr-FR" w:eastAsia="en-GB"/>
        </w:rPr>
        <w:t>;</w:t>
      </w:r>
    </w:p>
    <w:p w:rsidR="009A0482" w:rsidRPr="00226EA2" w:rsidRDefault="009A0482" w:rsidP="009A0482">
      <w:pPr>
        <w:autoSpaceDE w:val="0"/>
        <w:autoSpaceDN w:val="0"/>
        <w:adjustRightInd w:val="0"/>
        <w:ind w:firstLine="720"/>
        <w:rPr>
          <w:rFonts w:ascii="Times New Roman" w:hAnsi="Times New Roman" w:cs="Times New Roman"/>
          <w:bCs/>
          <w:color w:val="000000"/>
          <w:sz w:val="22"/>
          <w:szCs w:val="22"/>
          <w:lang w:val="fr-FR" w:eastAsia="en-GB"/>
        </w:rPr>
      </w:pPr>
    </w:p>
    <w:p w:rsidR="009A0482" w:rsidRPr="00226EA2" w:rsidRDefault="006E3590" w:rsidP="009A0482">
      <w:pPr>
        <w:numPr>
          <w:ilvl w:val="0"/>
          <w:numId w:val="2"/>
        </w:numPr>
        <w:autoSpaceDE w:val="0"/>
        <w:autoSpaceDN w:val="0"/>
        <w:adjustRightInd w:val="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Invite</w:t>
      </w:r>
      <w:r w:rsidRPr="00124F6E">
        <w:rPr>
          <w:rFonts w:ascii="Times New Roman" w:hAnsi="Times New Roman" w:cs="Times New Roman"/>
          <w:bCs/>
          <w:color w:val="000000"/>
          <w:sz w:val="22"/>
          <w:szCs w:val="22"/>
          <w:lang w:val="fr-FR" w:eastAsia="en-GB"/>
        </w:rPr>
        <w:t xml:space="preserve"> le Secrétaire exécutif de la CMS, en consultation avec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Administrateur exécutif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à faire une proposition relative à un Secrétaire exécutif commun pour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AEWA et la CMS lors de la MOP6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 xml:space="preserve">AEWA, et </w:t>
      </w:r>
      <w:r w:rsidR="00124F6E" w:rsidRPr="00124F6E">
        <w:rPr>
          <w:rFonts w:ascii="Times New Roman" w:hAnsi="Times New Roman" w:cs="Times New Roman"/>
          <w:bCs/>
          <w:color w:val="000000"/>
          <w:sz w:val="22"/>
          <w:szCs w:val="22"/>
          <w:lang w:val="fr-FR" w:eastAsia="en-GB"/>
        </w:rPr>
        <w:t>à</w:t>
      </w:r>
      <w:r w:rsidRPr="00124F6E">
        <w:rPr>
          <w:rFonts w:ascii="Times New Roman" w:hAnsi="Times New Roman" w:cs="Times New Roman"/>
          <w:bCs/>
          <w:color w:val="000000"/>
          <w:sz w:val="22"/>
          <w:szCs w:val="22"/>
          <w:lang w:val="fr-FR" w:eastAsia="en-GB"/>
        </w:rPr>
        <w:t xml:space="preserve"> la soumettre à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examen de cette dernière.</w:t>
      </w:r>
      <w:r w:rsidR="009A0482" w:rsidRPr="00226EA2">
        <w:rPr>
          <w:rFonts w:ascii="Times New Roman" w:hAnsi="Times New Roman" w:cs="Times New Roman"/>
          <w:bCs/>
          <w:color w:val="000000"/>
          <w:sz w:val="22"/>
          <w:szCs w:val="22"/>
          <w:lang w:val="fr-FR" w:eastAsia="en-GB"/>
        </w:rPr>
        <w:t xml:space="preserve"> </w:t>
      </w:r>
      <w:r w:rsidRPr="00124F6E">
        <w:rPr>
          <w:rFonts w:ascii="Times New Roman" w:hAnsi="Times New Roman" w:cs="Times New Roman"/>
          <w:bCs/>
          <w:color w:val="000000"/>
          <w:sz w:val="22"/>
          <w:szCs w:val="22"/>
          <w:lang w:val="fr-FR" w:eastAsia="en-GB"/>
        </w:rPr>
        <w:t>La proposition inclura une analyse de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efficacité de cette disposition, des tâches et des fonctions correspondant au poste proposé de Secrétaire exécutif commun, et quelles ressources cette disposition permettra de rediriger vers les priorités d</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aide à la mise en œuvre ;</w:t>
      </w:r>
    </w:p>
    <w:p w:rsidR="009A0482" w:rsidRPr="00226EA2" w:rsidRDefault="009A0482" w:rsidP="009A0482">
      <w:pPr>
        <w:autoSpaceDE w:val="0"/>
        <w:autoSpaceDN w:val="0"/>
        <w:adjustRightInd w:val="0"/>
        <w:ind w:firstLine="720"/>
        <w:rPr>
          <w:rFonts w:ascii="Times New Roman" w:hAnsi="Times New Roman" w:cs="Times New Roman"/>
          <w:bCs/>
          <w:color w:val="000000"/>
          <w:sz w:val="22"/>
          <w:szCs w:val="22"/>
          <w:lang w:val="fr-FR" w:eastAsia="en-GB"/>
        </w:rPr>
      </w:pPr>
    </w:p>
    <w:p w:rsidR="009A0482" w:rsidRPr="00226EA2" w:rsidRDefault="006E3590" w:rsidP="009A0482">
      <w:pPr>
        <w:numPr>
          <w:ilvl w:val="0"/>
          <w:numId w:val="2"/>
        </w:numPr>
        <w:autoSpaceDE w:val="0"/>
        <w:autoSpaceDN w:val="0"/>
        <w:adjustRightInd w:val="0"/>
        <w:rPr>
          <w:rFonts w:ascii="Times New Roman" w:hAnsi="Times New Roman" w:cs="Times New Roman"/>
          <w:bCs/>
          <w:color w:val="000000"/>
          <w:sz w:val="22"/>
          <w:szCs w:val="22"/>
          <w:lang w:val="fr-FR" w:eastAsia="en-GB"/>
        </w:rPr>
      </w:pPr>
      <w:r w:rsidRPr="00124F6E">
        <w:rPr>
          <w:rFonts w:ascii="Times New Roman" w:hAnsi="Times New Roman" w:cs="Times New Roman"/>
          <w:bCs/>
          <w:i/>
          <w:color w:val="000000"/>
          <w:sz w:val="22"/>
          <w:szCs w:val="22"/>
          <w:lang w:val="fr-FR" w:eastAsia="en-GB"/>
        </w:rPr>
        <w:t xml:space="preserve">Invite </w:t>
      </w:r>
      <w:r w:rsidRPr="00124F6E">
        <w:rPr>
          <w:rFonts w:ascii="Times New Roman" w:hAnsi="Times New Roman" w:cs="Times New Roman"/>
          <w:bCs/>
          <w:color w:val="000000"/>
          <w:sz w:val="22"/>
          <w:szCs w:val="22"/>
          <w:lang w:val="fr-FR" w:eastAsia="en-GB"/>
        </w:rPr>
        <w:t>le Secrétaire exécutif de la CMS à faire une proposition relative à un Secrétaire exécutif commun à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 xml:space="preserve">AEWA et à la CMS et </w:t>
      </w:r>
      <w:r w:rsidR="005F0D71">
        <w:rPr>
          <w:rFonts w:ascii="Times New Roman" w:hAnsi="Times New Roman" w:cs="Times New Roman"/>
          <w:bCs/>
          <w:color w:val="000000"/>
          <w:sz w:val="22"/>
          <w:szCs w:val="22"/>
          <w:lang w:val="fr-FR" w:eastAsia="en-GB"/>
        </w:rPr>
        <w:t>à</w:t>
      </w:r>
      <w:r w:rsidRPr="00124F6E">
        <w:rPr>
          <w:rFonts w:ascii="Times New Roman" w:hAnsi="Times New Roman" w:cs="Times New Roman"/>
          <w:bCs/>
          <w:color w:val="000000"/>
          <w:sz w:val="22"/>
          <w:szCs w:val="22"/>
          <w:lang w:val="fr-FR" w:eastAsia="en-GB"/>
        </w:rPr>
        <w:t xml:space="preserve"> la soumettre à l</w:t>
      </w:r>
      <w:r w:rsidR="00124F6E" w:rsidRPr="00124F6E">
        <w:rPr>
          <w:rFonts w:ascii="Times New Roman" w:hAnsi="Times New Roman" w:cs="Times New Roman"/>
          <w:bCs/>
          <w:color w:val="000000"/>
          <w:sz w:val="22"/>
          <w:szCs w:val="22"/>
          <w:lang w:val="fr-FR" w:eastAsia="en-GB"/>
        </w:rPr>
        <w:t>’</w:t>
      </w:r>
      <w:r w:rsidRPr="00124F6E">
        <w:rPr>
          <w:rFonts w:ascii="Times New Roman" w:hAnsi="Times New Roman" w:cs="Times New Roman"/>
          <w:bCs/>
          <w:color w:val="000000"/>
          <w:sz w:val="22"/>
          <w:szCs w:val="22"/>
          <w:lang w:val="fr-FR" w:eastAsia="en-GB"/>
        </w:rPr>
        <w:t>examen cette dernière.</w:t>
      </w:r>
      <w:r w:rsidR="009A0482" w:rsidRPr="00226EA2">
        <w:rPr>
          <w:rFonts w:ascii="Times New Roman" w:hAnsi="Times New Roman" w:cs="Times New Roman"/>
          <w:bCs/>
          <w:color w:val="000000"/>
          <w:sz w:val="22"/>
          <w:szCs w:val="22"/>
          <w:lang w:val="fr-FR" w:eastAsia="en-GB"/>
        </w:rPr>
        <w:t xml:space="preserve"> </w:t>
      </w:r>
    </w:p>
    <w:p w:rsidR="009A0482" w:rsidRPr="00226EA2" w:rsidRDefault="009A0482" w:rsidP="009A0482">
      <w:pPr>
        <w:autoSpaceDE w:val="0"/>
        <w:autoSpaceDN w:val="0"/>
        <w:adjustRightInd w:val="0"/>
        <w:ind w:firstLine="720"/>
        <w:rPr>
          <w:rFonts w:ascii="Times New Roman" w:hAnsi="Times New Roman" w:cs="Times New Roman"/>
          <w:bCs/>
          <w:color w:val="000000"/>
          <w:sz w:val="22"/>
          <w:szCs w:val="22"/>
          <w:lang w:val="fr-FR" w:eastAsia="en-GB"/>
        </w:rPr>
      </w:pPr>
    </w:p>
    <w:p w:rsidR="009A0482" w:rsidRPr="00226EA2" w:rsidRDefault="009A0482" w:rsidP="009A0482">
      <w:pPr>
        <w:jc w:val="center"/>
        <w:rPr>
          <w:rFonts w:ascii="Times New Roman" w:hAnsi="Times New Roman" w:cs="Times New Roman"/>
          <w:b/>
          <w:color w:val="auto"/>
          <w:sz w:val="22"/>
          <w:szCs w:val="22"/>
          <w:lang w:val="fr-FR"/>
        </w:rPr>
      </w:pPr>
    </w:p>
    <w:p w:rsidR="004B5E9F" w:rsidRPr="00226EA2" w:rsidRDefault="004B5E9F" w:rsidP="009A0482">
      <w:pPr>
        <w:tabs>
          <w:tab w:val="left" w:pos="630"/>
        </w:tabs>
        <w:autoSpaceDE w:val="0"/>
        <w:autoSpaceDN w:val="0"/>
        <w:adjustRightInd w:val="0"/>
        <w:jc w:val="both"/>
        <w:rPr>
          <w:rFonts w:ascii="Times New Roman" w:hAnsi="Times New Roman" w:cs="Times New Roman"/>
          <w:sz w:val="22"/>
          <w:szCs w:val="22"/>
          <w:lang w:val="fr-FR"/>
        </w:rPr>
      </w:pPr>
    </w:p>
    <w:sectPr w:rsidR="004B5E9F" w:rsidRPr="00226EA2" w:rsidSect="006E3590">
      <w:headerReference w:type="defaul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90" w:rsidRDefault="006E3590" w:rsidP="008B383D">
      <w:r>
        <w:separator/>
      </w:r>
    </w:p>
  </w:endnote>
  <w:endnote w:type="continuationSeparator" w:id="0">
    <w:p w:rsidR="006E3590" w:rsidRDefault="006E3590" w:rsidP="008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E2" w:rsidRDefault="00FC0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90" w:rsidRPr="00B32912" w:rsidRDefault="00E3441C">
    <w:pPr>
      <w:pStyle w:val="Footer"/>
      <w:jc w:val="center"/>
      <w:rPr>
        <w:rFonts w:ascii="Times New Roman" w:hAnsi="Times New Roman" w:cs="Times New Roman"/>
        <w:color w:val="auto"/>
        <w:sz w:val="20"/>
        <w:szCs w:val="20"/>
      </w:rPr>
    </w:pPr>
    <w:r w:rsidRPr="00B32912">
      <w:rPr>
        <w:rFonts w:ascii="Times New Roman" w:hAnsi="Times New Roman" w:cs="Times New Roman"/>
        <w:color w:val="auto"/>
        <w:sz w:val="20"/>
        <w:szCs w:val="20"/>
      </w:rPr>
      <w:fldChar w:fldCharType="begin"/>
    </w:r>
    <w:r w:rsidR="006E3590" w:rsidRPr="00B32912">
      <w:rPr>
        <w:rFonts w:ascii="Times New Roman" w:hAnsi="Times New Roman" w:cs="Times New Roman"/>
        <w:color w:val="auto"/>
        <w:sz w:val="20"/>
        <w:szCs w:val="20"/>
      </w:rPr>
      <w:instrText xml:space="preserve"> PAGE   \* MERGEFORMAT </w:instrText>
    </w:r>
    <w:r w:rsidRPr="00B32912">
      <w:rPr>
        <w:rFonts w:ascii="Times New Roman" w:hAnsi="Times New Roman" w:cs="Times New Roman"/>
        <w:color w:val="auto"/>
        <w:sz w:val="20"/>
        <w:szCs w:val="20"/>
      </w:rPr>
      <w:fldChar w:fldCharType="separate"/>
    </w:r>
    <w:r w:rsidR="006C145D">
      <w:rPr>
        <w:rFonts w:ascii="Times New Roman" w:hAnsi="Times New Roman" w:cs="Times New Roman"/>
        <w:noProof/>
        <w:color w:val="auto"/>
        <w:sz w:val="20"/>
        <w:szCs w:val="20"/>
      </w:rPr>
      <w:t>4</w:t>
    </w:r>
    <w:r w:rsidRPr="00B32912">
      <w:rPr>
        <w:rFonts w:ascii="Times New Roman" w:hAnsi="Times New Roman" w:cs="Times New Roman"/>
        <w:color w:val="auto"/>
        <w:sz w:val="20"/>
        <w:szCs w:val="20"/>
      </w:rPr>
      <w:fldChar w:fldCharType="end"/>
    </w:r>
  </w:p>
  <w:p w:rsidR="006E3590" w:rsidRDefault="006E3590" w:rsidP="00B66E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E2" w:rsidRDefault="00FC0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90" w:rsidRPr="00F90A97" w:rsidRDefault="006E3590" w:rsidP="008B383D">
      <w:pPr>
        <w:rPr>
          <w:color w:val="auto"/>
        </w:rPr>
      </w:pPr>
      <w:r w:rsidRPr="00F90A97">
        <w:rPr>
          <w:color w:val="auto"/>
        </w:rPr>
        <w:separator/>
      </w:r>
    </w:p>
  </w:footnote>
  <w:footnote w:type="continuationSeparator" w:id="0">
    <w:p w:rsidR="006E3590" w:rsidRDefault="006E3590" w:rsidP="008B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E2" w:rsidRDefault="00FC0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E2" w:rsidRDefault="00FC0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1" w:type="dxa"/>
      <w:tblInd w:w="-318" w:type="dxa"/>
      <w:tblBorders>
        <w:bottom w:val="single" w:sz="8" w:space="0" w:color="auto"/>
      </w:tblBorders>
      <w:tblLayout w:type="fixed"/>
      <w:tblLook w:val="0000" w:firstRow="0" w:lastRow="0" w:firstColumn="0" w:lastColumn="0" w:noHBand="0" w:noVBand="0"/>
    </w:tblPr>
    <w:tblGrid>
      <w:gridCol w:w="2406"/>
      <w:gridCol w:w="5580"/>
      <w:gridCol w:w="2505"/>
    </w:tblGrid>
    <w:tr w:rsidR="00400347" w:rsidRPr="00400347" w:rsidTr="00630F6B">
      <w:trPr>
        <w:trHeight w:val="1256"/>
      </w:trPr>
      <w:tc>
        <w:tcPr>
          <w:tcW w:w="2406" w:type="dxa"/>
        </w:tcPr>
        <w:p w:rsidR="00400347" w:rsidRPr="00400347" w:rsidRDefault="00400347" w:rsidP="00400347">
          <w:pPr>
            <w:rPr>
              <w:rFonts w:ascii="Times New Roman" w:hAnsi="Times New Roman" w:cs="Times New Roman"/>
              <w:color w:val="auto"/>
              <w:lang w:val="fr-FR"/>
            </w:rPr>
          </w:pPr>
          <w:r w:rsidRPr="00400347">
            <w:rPr>
              <w:rFonts w:ascii="Times New Roman" w:hAnsi="Times New Roman" w:cs="Times New Roman"/>
              <w:noProof/>
              <w:color w:val="auto"/>
            </w:rPr>
            <w:drawing>
              <wp:inline distT="0" distB="0" distL="0" distR="0">
                <wp:extent cx="963168" cy="802640"/>
                <wp:effectExtent l="0" t="0" r="889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48" cy="804373"/>
                        </a:xfrm>
                        <a:prstGeom prst="rect">
                          <a:avLst/>
                        </a:prstGeom>
                        <a:noFill/>
                        <a:ln>
                          <a:noFill/>
                        </a:ln>
                      </pic:spPr>
                    </pic:pic>
                  </a:graphicData>
                </a:graphic>
              </wp:inline>
            </w:drawing>
          </w:r>
        </w:p>
      </w:tc>
      <w:tc>
        <w:tcPr>
          <w:tcW w:w="5580" w:type="dxa"/>
        </w:tcPr>
        <w:p w:rsidR="00400347" w:rsidRPr="00400347" w:rsidRDefault="00400347" w:rsidP="00400347">
          <w:pPr>
            <w:jc w:val="center"/>
            <w:rPr>
              <w:rFonts w:ascii="Times New Roman" w:hAnsi="Times New Roman" w:cs="Times New Roman"/>
              <w:color w:val="auto"/>
              <w:lang w:val="fr-FR"/>
            </w:rPr>
          </w:pPr>
          <w:r w:rsidRPr="00400347">
            <w:rPr>
              <w:rFonts w:ascii="Times New Roman" w:hAnsi="Times New Roman" w:cs="Times New Roman"/>
              <w:i/>
              <w:caps/>
              <w:color w:val="auto"/>
              <w:sz w:val="20"/>
              <w:szCs w:val="20"/>
              <w:lang w:val="fr-FR"/>
            </w:rPr>
            <w:t>ACCORD SUR LA CONSERVATION DES OISEAUX D’eau migrateurs D’afrique-eurasie</w:t>
          </w:r>
        </w:p>
      </w:tc>
      <w:tc>
        <w:tcPr>
          <w:tcW w:w="2505" w:type="dxa"/>
        </w:tcPr>
        <w:p w:rsidR="00400347" w:rsidRPr="00400347" w:rsidRDefault="00400347" w:rsidP="00400347">
          <w:pPr>
            <w:jc w:val="right"/>
            <w:rPr>
              <w:rFonts w:ascii="Times New Roman" w:hAnsi="Times New Roman" w:cs="Times New Roman"/>
              <w:i/>
              <w:iCs/>
              <w:color w:val="auto"/>
              <w:sz w:val="20"/>
              <w:szCs w:val="20"/>
              <w:lang w:val="fr-FR"/>
            </w:rPr>
          </w:pPr>
          <w:r w:rsidRPr="00400347">
            <w:rPr>
              <w:rFonts w:ascii="Times New Roman" w:hAnsi="Times New Roman" w:cs="Times New Roman"/>
              <w:i/>
              <w:iCs/>
              <w:color w:val="auto"/>
              <w:sz w:val="20"/>
              <w:szCs w:val="20"/>
              <w:lang w:val="fr-FR"/>
            </w:rPr>
            <w:t>Doc</w:t>
          </w:r>
          <w:r w:rsidR="006C145D">
            <w:rPr>
              <w:rFonts w:ascii="Times New Roman" w:hAnsi="Times New Roman" w:cs="Times New Roman"/>
              <w:i/>
              <w:iCs/>
              <w:color w:val="auto"/>
              <w:sz w:val="20"/>
              <w:szCs w:val="20"/>
              <w:lang w:val="fr-FR"/>
            </w:rPr>
            <w:t xml:space="preserve"> </w:t>
          </w:r>
          <w:r w:rsidRPr="00400347">
            <w:rPr>
              <w:rFonts w:ascii="Times New Roman" w:hAnsi="Times New Roman" w:cs="Times New Roman"/>
              <w:i/>
              <w:iCs/>
              <w:color w:val="auto"/>
              <w:sz w:val="20"/>
              <w:szCs w:val="20"/>
              <w:lang w:val="fr-FR"/>
            </w:rPr>
            <w:t>: AEWA/MOP 6.</w:t>
          </w:r>
          <w:r>
            <w:rPr>
              <w:rFonts w:ascii="Times New Roman" w:hAnsi="Times New Roman" w:cs="Times New Roman"/>
              <w:i/>
              <w:iCs/>
              <w:color w:val="auto"/>
              <w:sz w:val="20"/>
              <w:szCs w:val="20"/>
              <w:lang w:val="fr-FR"/>
            </w:rPr>
            <w:t>6</w:t>
          </w:r>
        </w:p>
        <w:p w:rsidR="00400347" w:rsidRPr="00400347" w:rsidRDefault="00400347" w:rsidP="00400347">
          <w:pPr>
            <w:jc w:val="right"/>
            <w:rPr>
              <w:rFonts w:ascii="Times New Roman" w:hAnsi="Times New Roman" w:cs="Times New Roman"/>
              <w:i/>
              <w:iCs/>
              <w:color w:val="auto"/>
              <w:sz w:val="20"/>
              <w:szCs w:val="20"/>
              <w:lang w:val="fr-FR"/>
            </w:rPr>
          </w:pPr>
          <w:r w:rsidRPr="00400347">
            <w:rPr>
              <w:rFonts w:ascii="Times New Roman" w:hAnsi="Times New Roman" w:cs="Times New Roman"/>
              <w:i/>
              <w:iCs/>
              <w:color w:val="auto"/>
              <w:sz w:val="20"/>
              <w:szCs w:val="20"/>
              <w:lang w:val="fr-FR"/>
            </w:rPr>
            <w:t xml:space="preserve">Point </w:t>
          </w:r>
          <w:r>
            <w:rPr>
              <w:rFonts w:ascii="Times New Roman" w:hAnsi="Times New Roman" w:cs="Times New Roman"/>
              <w:i/>
              <w:iCs/>
              <w:color w:val="auto"/>
              <w:sz w:val="20"/>
              <w:szCs w:val="20"/>
              <w:lang w:val="fr-FR"/>
            </w:rPr>
            <w:t xml:space="preserve">9a </w:t>
          </w:r>
          <w:r w:rsidRPr="00400347">
            <w:rPr>
              <w:rFonts w:ascii="Times New Roman" w:hAnsi="Times New Roman" w:cs="Times New Roman"/>
              <w:i/>
              <w:iCs/>
              <w:color w:val="auto"/>
              <w:sz w:val="20"/>
              <w:szCs w:val="20"/>
              <w:lang w:val="fr-FR"/>
            </w:rPr>
            <w:t>de l’ordre du jour</w:t>
          </w:r>
        </w:p>
        <w:p w:rsidR="00400347" w:rsidRPr="00400347" w:rsidRDefault="00400347" w:rsidP="00400347">
          <w:pPr>
            <w:jc w:val="right"/>
            <w:rPr>
              <w:rFonts w:ascii="Times New Roman" w:hAnsi="Times New Roman" w:cs="Times New Roman"/>
              <w:bCs/>
              <w:i/>
              <w:iCs/>
              <w:color w:val="auto"/>
              <w:sz w:val="20"/>
              <w:szCs w:val="20"/>
              <w:lang w:val="fr-FR"/>
            </w:rPr>
          </w:pPr>
          <w:r w:rsidRPr="00400347">
            <w:rPr>
              <w:rFonts w:ascii="Times New Roman" w:hAnsi="Times New Roman" w:cs="Times New Roman"/>
              <w:i/>
              <w:iCs/>
              <w:color w:val="auto"/>
              <w:sz w:val="20"/>
              <w:szCs w:val="20"/>
              <w:lang w:val="fr-FR"/>
            </w:rPr>
            <w:t>Original</w:t>
          </w:r>
          <w:r w:rsidR="006C145D">
            <w:rPr>
              <w:rFonts w:ascii="Times New Roman" w:hAnsi="Times New Roman" w:cs="Times New Roman"/>
              <w:i/>
              <w:iCs/>
              <w:color w:val="auto"/>
              <w:sz w:val="20"/>
              <w:szCs w:val="20"/>
              <w:lang w:val="fr-FR"/>
            </w:rPr>
            <w:t xml:space="preserve"> </w:t>
          </w:r>
          <w:bookmarkStart w:id="0" w:name="_GoBack"/>
          <w:bookmarkEnd w:id="0"/>
          <w:r w:rsidRPr="00400347">
            <w:rPr>
              <w:rFonts w:ascii="Times New Roman" w:hAnsi="Times New Roman" w:cs="Times New Roman"/>
              <w:i/>
              <w:iCs/>
              <w:color w:val="auto"/>
              <w:sz w:val="20"/>
              <w:szCs w:val="20"/>
              <w:lang w:val="fr-FR"/>
            </w:rPr>
            <w:t>: Anglais</w:t>
          </w:r>
        </w:p>
        <w:p w:rsidR="00400347" w:rsidRPr="00400347" w:rsidRDefault="00400347" w:rsidP="00400347">
          <w:pPr>
            <w:jc w:val="right"/>
            <w:rPr>
              <w:rFonts w:ascii="Times New Roman" w:hAnsi="Times New Roman" w:cs="Times New Roman"/>
              <w:i/>
              <w:iCs/>
              <w:color w:val="auto"/>
              <w:sz w:val="20"/>
              <w:szCs w:val="20"/>
              <w:lang w:val="fr-FR"/>
            </w:rPr>
          </w:pPr>
        </w:p>
        <w:p w:rsidR="00400347" w:rsidRPr="00400347" w:rsidRDefault="00400347" w:rsidP="00FC00E2">
          <w:pPr>
            <w:jc w:val="right"/>
            <w:rPr>
              <w:rFonts w:ascii="Times New Roman" w:hAnsi="Times New Roman" w:cs="Times New Roman"/>
              <w:color w:val="auto"/>
              <w:lang w:val="fr-FR"/>
            </w:rPr>
          </w:pPr>
          <w:r w:rsidRPr="00400347">
            <w:rPr>
              <w:rFonts w:ascii="Times New Roman" w:hAnsi="Times New Roman" w:cs="Times New Roman"/>
              <w:i/>
              <w:iCs/>
              <w:color w:val="auto"/>
              <w:sz w:val="20"/>
              <w:szCs w:val="20"/>
              <w:lang w:val="fr-FR"/>
            </w:rPr>
            <w:t xml:space="preserve">Date : </w:t>
          </w:r>
          <w:r w:rsidR="00FC00E2">
            <w:rPr>
              <w:rFonts w:ascii="Times New Roman" w:hAnsi="Times New Roman" w:cs="Times New Roman"/>
              <w:i/>
              <w:iCs/>
              <w:color w:val="auto"/>
              <w:sz w:val="20"/>
              <w:szCs w:val="20"/>
              <w:lang w:val="fr-FR"/>
            </w:rPr>
            <w:t xml:space="preserve">10 septembre </w:t>
          </w:r>
          <w:r w:rsidRPr="00400347">
            <w:rPr>
              <w:rFonts w:ascii="Times New Roman" w:hAnsi="Times New Roman" w:cs="Times New Roman"/>
              <w:i/>
              <w:iCs/>
              <w:color w:val="auto"/>
              <w:sz w:val="20"/>
              <w:szCs w:val="20"/>
              <w:lang w:val="fr-FR"/>
            </w:rPr>
            <w:t>2015</w:t>
          </w:r>
        </w:p>
      </w:tc>
    </w:tr>
    <w:tr w:rsidR="00400347" w:rsidRPr="00400347" w:rsidTr="00630F6B">
      <w:tc>
        <w:tcPr>
          <w:tcW w:w="10491" w:type="dxa"/>
          <w:gridSpan w:val="3"/>
        </w:tcPr>
        <w:p w:rsidR="00400347" w:rsidRPr="00400347" w:rsidRDefault="00400347" w:rsidP="00400347">
          <w:pPr>
            <w:jc w:val="center"/>
            <w:rPr>
              <w:rFonts w:ascii="Times New Roman" w:hAnsi="Times New Roman" w:cs="Times New Roman"/>
              <w:b/>
              <w:bCs/>
              <w:color w:val="auto"/>
              <w:sz w:val="26"/>
              <w:szCs w:val="26"/>
              <w:lang w:val="fr-FR"/>
            </w:rPr>
          </w:pPr>
        </w:p>
        <w:p w:rsidR="00400347" w:rsidRPr="00400347" w:rsidRDefault="00400347" w:rsidP="00400347">
          <w:pPr>
            <w:jc w:val="center"/>
            <w:rPr>
              <w:rFonts w:ascii="Times New Roman" w:hAnsi="Times New Roman" w:cs="Times New Roman"/>
              <w:b/>
              <w:bCs/>
              <w:color w:val="auto"/>
              <w:sz w:val="26"/>
              <w:szCs w:val="26"/>
              <w:lang w:val="fr-FR"/>
            </w:rPr>
          </w:pPr>
          <w:r w:rsidRPr="00400347">
            <w:rPr>
              <w:rFonts w:ascii="Times New Roman" w:hAnsi="Times New Roman" w:cs="Times New Roman"/>
              <w:b/>
              <w:bCs/>
              <w:color w:val="auto"/>
              <w:sz w:val="26"/>
              <w:szCs w:val="26"/>
              <w:lang w:val="fr-FR"/>
            </w:rPr>
            <w:t>6</w:t>
          </w:r>
          <w:r w:rsidRPr="00400347">
            <w:rPr>
              <w:rFonts w:ascii="Times New Roman" w:hAnsi="Times New Roman" w:cs="Times New Roman"/>
              <w:b/>
              <w:bCs/>
              <w:color w:val="auto"/>
              <w:sz w:val="26"/>
              <w:szCs w:val="26"/>
              <w:vertAlign w:val="superscript"/>
              <w:lang w:val="fr-FR"/>
            </w:rPr>
            <w:t>ème</w:t>
          </w:r>
          <w:r w:rsidRPr="00400347">
            <w:rPr>
              <w:rFonts w:ascii="Times New Roman" w:hAnsi="Times New Roman" w:cs="Times New Roman"/>
              <w:b/>
              <w:bCs/>
              <w:color w:val="auto"/>
              <w:sz w:val="26"/>
              <w:szCs w:val="26"/>
              <w:lang w:val="fr-FR"/>
            </w:rPr>
            <w:t xml:space="preserve"> SESSION DE LA RÉUNION DES PARTIES CONTRACTANTES</w:t>
          </w:r>
        </w:p>
        <w:p w:rsidR="00400347" w:rsidRPr="00400347" w:rsidRDefault="00400347" w:rsidP="00400347">
          <w:pPr>
            <w:jc w:val="center"/>
            <w:rPr>
              <w:rFonts w:ascii="Times New Roman" w:hAnsi="Times New Roman" w:cs="Times New Roman"/>
              <w:i/>
              <w:color w:val="auto"/>
              <w:sz w:val="22"/>
              <w:szCs w:val="22"/>
              <w:lang w:val="fr-FR"/>
            </w:rPr>
          </w:pPr>
          <w:r w:rsidRPr="00400347">
            <w:rPr>
              <w:rFonts w:ascii="Times New Roman" w:hAnsi="Times New Roman" w:cs="Times New Roman"/>
              <w:bCs/>
              <w:i/>
              <w:color w:val="auto"/>
              <w:sz w:val="26"/>
              <w:szCs w:val="26"/>
              <w:lang w:val="fr-FR"/>
            </w:rPr>
            <w:t xml:space="preserve">9-14 </w:t>
          </w:r>
          <w:proofErr w:type="gramStart"/>
          <w:r w:rsidRPr="00400347">
            <w:rPr>
              <w:rFonts w:ascii="Times New Roman" w:hAnsi="Times New Roman" w:cs="Times New Roman"/>
              <w:bCs/>
              <w:i/>
              <w:color w:val="auto"/>
              <w:sz w:val="26"/>
              <w:szCs w:val="26"/>
              <w:lang w:val="fr-FR"/>
            </w:rPr>
            <w:t>novembre</w:t>
          </w:r>
          <w:proofErr w:type="gramEnd"/>
          <w:r w:rsidRPr="00400347">
            <w:rPr>
              <w:rFonts w:ascii="Times New Roman" w:hAnsi="Times New Roman" w:cs="Times New Roman"/>
              <w:bCs/>
              <w:i/>
              <w:color w:val="auto"/>
              <w:sz w:val="26"/>
              <w:szCs w:val="26"/>
              <w:lang w:val="fr-FR"/>
            </w:rPr>
            <w:t xml:space="preserve"> 2015, Bonn, Allemagne</w:t>
          </w:r>
        </w:p>
      </w:tc>
    </w:tr>
    <w:tr w:rsidR="00400347" w:rsidRPr="00FC00E2" w:rsidTr="00630F6B">
      <w:trPr>
        <w:trHeight w:val="702"/>
      </w:trPr>
      <w:tc>
        <w:tcPr>
          <w:tcW w:w="10491" w:type="dxa"/>
          <w:gridSpan w:val="3"/>
          <w:vAlign w:val="center"/>
        </w:tcPr>
        <w:p w:rsidR="00400347" w:rsidRPr="00400347" w:rsidRDefault="00400347" w:rsidP="00400347">
          <w:pPr>
            <w:jc w:val="center"/>
            <w:rPr>
              <w:rFonts w:ascii="Times New Roman" w:hAnsi="Times New Roman" w:cs="Times New Roman"/>
              <w:bCs/>
              <w:i/>
              <w:color w:val="auto"/>
              <w:lang w:val="fr-FR"/>
            </w:rPr>
          </w:pPr>
          <w:r w:rsidRPr="00400347">
            <w:rPr>
              <w:rFonts w:ascii="Times New Roman" w:hAnsi="Times New Roman" w:cs="Times New Roman"/>
              <w:i/>
              <w:color w:val="auto"/>
              <w:lang w:val="fr-FR"/>
            </w:rPr>
            <w:t>« Concrétiser la conservation au niveau de la voie de migration »</w:t>
          </w:r>
        </w:p>
      </w:tc>
    </w:tr>
  </w:tbl>
  <w:p w:rsidR="006E3590" w:rsidRPr="00226EA2" w:rsidRDefault="006E3590" w:rsidP="008B383D">
    <w:pPr>
      <w:pStyle w:val="Header"/>
      <w:tabs>
        <w:tab w:val="clear" w:pos="4320"/>
        <w:tab w:val="clear" w:pos="8640"/>
        <w:tab w:val="left" w:pos="7905"/>
      </w:tabs>
      <w:rPr>
        <w:color w:val="auto"/>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90" w:rsidRPr="00D946C5" w:rsidRDefault="006E3590" w:rsidP="006E3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622ED"/>
    <w:multiLevelType w:val="hybridMultilevel"/>
    <w:tmpl w:val="143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25330"/>
    <w:multiLevelType w:val="hybridMultilevel"/>
    <w:tmpl w:val="62ACDB4E"/>
    <w:lvl w:ilvl="0" w:tplc="59A2ED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A58F0"/>
    <w:multiLevelType w:val="hybridMultilevel"/>
    <w:tmpl w:val="0A7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ID" w:val="1D33D7eqdm8821596750 (cca.nl) Catherine_x000d__x000a_1D33D7eqdm8821596750 (cca.nl) Catherine_x000d__x000a_1D33D7eqdm8821596750 (cca.nl) Catherine_x000d__x000a_1D33D7eqdm8821596750 (cca.nl) Catherine_x000d__x000a_1D33D7eqdm8821596750 (cca.nl) Catherine_x000d__x000a_1D33D7eqdm8821596750 (cca.nl) Catherine"/>
    <w:docVar w:name="WfLastSegment" w:val="25287 n"/>
    <w:docVar w:name="WfMT" w:val="0"/>
    <w:docVar w:name="WfProtection" w:val="1"/>
    <w:docVar w:name="WfStyles" w:val=" 266   no"/>
  </w:docVars>
  <w:rsids>
    <w:rsidRoot w:val="008B383D"/>
    <w:rsid w:val="0000502D"/>
    <w:rsid w:val="0001274B"/>
    <w:rsid w:val="00035AB9"/>
    <w:rsid w:val="000A0A0F"/>
    <w:rsid w:val="000C3F9F"/>
    <w:rsid w:val="000D515F"/>
    <w:rsid w:val="00112005"/>
    <w:rsid w:val="00116E4E"/>
    <w:rsid w:val="00124F6E"/>
    <w:rsid w:val="00151FD1"/>
    <w:rsid w:val="0015726D"/>
    <w:rsid w:val="00173C75"/>
    <w:rsid w:val="001D3F63"/>
    <w:rsid w:val="001F176C"/>
    <w:rsid w:val="00205866"/>
    <w:rsid w:val="00226EA2"/>
    <w:rsid w:val="00265599"/>
    <w:rsid w:val="002672BC"/>
    <w:rsid w:val="0027510B"/>
    <w:rsid w:val="00293BA4"/>
    <w:rsid w:val="0029538F"/>
    <w:rsid w:val="002E3682"/>
    <w:rsid w:val="002E4320"/>
    <w:rsid w:val="003150D3"/>
    <w:rsid w:val="00342B8B"/>
    <w:rsid w:val="0038795F"/>
    <w:rsid w:val="003959FC"/>
    <w:rsid w:val="003A2B69"/>
    <w:rsid w:val="003C068F"/>
    <w:rsid w:val="003E711C"/>
    <w:rsid w:val="003F5FBC"/>
    <w:rsid w:val="00400347"/>
    <w:rsid w:val="00406195"/>
    <w:rsid w:val="00452861"/>
    <w:rsid w:val="0046561E"/>
    <w:rsid w:val="004A2743"/>
    <w:rsid w:val="004B5E9F"/>
    <w:rsid w:val="004E6E29"/>
    <w:rsid w:val="00522CFA"/>
    <w:rsid w:val="0055071B"/>
    <w:rsid w:val="0055799A"/>
    <w:rsid w:val="00562230"/>
    <w:rsid w:val="0057255D"/>
    <w:rsid w:val="0057382E"/>
    <w:rsid w:val="005B7C0D"/>
    <w:rsid w:val="005E13B3"/>
    <w:rsid w:val="005F0D71"/>
    <w:rsid w:val="005F4D71"/>
    <w:rsid w:val="00607805"/>
    <w:rsid w:val="00620ABD"/>
    <w:rsid w:val="006265F7"/>
    <w:rsid w:val="00647AE2"/>
    <w:rsid w:val="0065577D"/>
    <w:rsid w:val="006827EC"/>
    <w:rsid w:val="006A78D4"/>
    <w:rsid w:val="006B0C4D"/>
    <w:rsid w:val="006C145D"/>
    <w:rsid w:val="006E3590"/>
    <w:rsid w:val="006F157F"/>
    <w:rsid w:val="006F362E"/>
    <w:rsid w:val="00700BC1"/>
    <w:rsid w:val="007206BE"/>
    <w:rsid w:val="007A70BB"/>
    <w:rsid w:val="008107A6"/>
    <w:rsid w:val="00825EFD"/>
    <w:rsid w:val="00842187"/>
    <w:rsid w:val="00854387"/>
    <w:rsid w:val="00862DB8"/>
    <w:rsid w:val="0087507C"/>
    <w:rsid w:val="008A744C"/>
    <w:rsid w:val="008B383D"/>
    <w:rsid w:val="008B3E5D"/>
    <w:rsid w:val="008B5B83"/>
    <w:rsid w:val="008C163B"/>
    <w:rsid w:val="008E06F9"/>
    <w:rsid w:val="008E529B"/>
    <w:rsid w:val="0092139A"/>
    <w:rsid w:val="00926BB9"/>
    <w:rsid w:val="00927B8E"/>
    <w:rsid w:val="0093644A"/>
    <w:rsid w:val="0094281C"/>
    <w:rsid w:val="00950B50"/>
    <w:rsid w:val="00954BEF"/>
    <w:rsid w:val="00977CE9"/>
    <w:rsid w:val="009805F1"/>
    <w:rsid w:val="00985DF5"/>
    <w:rsid w:val="009A0482"/>
    <w:rsid w:val="009A4682"/>
    <w:rsid w:val="009D22EA"/>
    <w:rsid w:val="009E7BB8"/>
    <w:rsid w:val="009F3F5A"/>
    <w:rsid w:val="009F4C1E"/>
    <w:rsid w:val="00A00491"/>
    <w:rsid w:val="00A55710"/>
    <w:rsid w:val="00A630CC"/>
    <w:rsid w:val="00A71BD8"/>
    <w:rsid w:val="00AE6449"/>
    <w:rsid w:val="00B001F9"/>
    <w:rsid w:val="00B076D2"/>
    <w:rsid w:val="00B23B66"/>
    <w:rsid w:val="00B32912"/>
    <w:rsid w:val="00B564A0"/>
    <w:rsid w:val="00B66E27"/>
    <w:rsid w:val="00B91469"/>
    <w:rsid w:val="00B963C6"/>
    <w:rsid w:val="00B9793D"/>
    <w:rsid w:val="00BD03DE"/>
    <w:rsid w:val="00BD7545"/>
    <w:rsid w:val="00BE4873"/>
    <w:rsid w:val="00C279B2"/>
    <w:rsid w:val="00C47917"/>
    <w:rsid w:val="00C65D16"/>
    <w:rsid w:val="00C75684"/>
    <w:rsid w:val="00C90EDB"/>
    <w:rsid w:val="00C97CE0"/>
    <w:rsid w:val="00CA3CCD"/>
    <w:rsid w:val="00CB7815"/>
    <w:rsid w:val="00CF6E54"/>
    <w:rsid w:val="00D33F82"/>
    <w:rsid w:val="00D34022"/>
    <w:rsid w:val="00D54FAE"/>
    <w:rsid w:val="00D60F19"/>
    <w:rsid w:val="00D94A57"/>
    <w:rsid w:val="00DB4F78"/>
    <w:rsid w:val="00DE7524"/>
    <w:rsid w:val="00DF2848"/>
    <w:rsid w:val="00E12032"/>
    <w:rsid w:val="00E16DD0"/>
    <w:rsid w:val="00E17532"/>
    <w:rsid w:val="00E3441C"/>
    <w:rsid w:val="00E52257"/>
    <w:rsid w:val="00E54636"/>
    <w:rsid w:val="00E74972"/>
    <w:rsid w:val="00EA119F"/>
    <w:rsid w:val="00EC67F2"/>
    <w:rsid w:val="00F67CA4"/>
    <w:rsid w:val="00F90A97"/>
    <w:rsid w:val="00FC00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D8E5DF7-A579-4A80-B913-5D036520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3D"/>
    <w:rPr>
      <w:rFonts w:ascii="Arial" w:eastAsia="Times New Roman" w:hAnsi="Arial" w:cs="Arial"/>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rsid w:val="000C3F9F"/>
    <w:rPr>
      <w:rFonts w:ascii="Times New Roman" w:hAnsi="Times New Roman" w:cs="Times New Roman"/>
      <w:b/>
      <w:color w:val="auto"/>
      <w:sz w:val="28"/>
      <w:lang w:val="ru-RU" w:eastAsia="ru-RU"/>
    </w:rPr>
  </w:style>
  <w:style w:type="paragraph" w:styleId="TOC2">
    <w:name w:val="toc 2"/>
    <w:aliases w:val="Header 2"/>
    <w:basedOn w:val="Normal"/>
    <w:next w:val="Normal"/>
    <w:autoRedefine/>
    <w:rsid w:val="000C3F9F"/>
    <w:pPr>
      <w:ind w:left="240"/>
    </w:pPr>
    <w:rPr>
      <w:rFonts w:ascii="Times New Roman" w:hAnsi="Times New Roman" w:cs="Times New Roman"/>
      <w:b/>
      <w:color w:val="auto"/>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rsid w:val="008B383D"/>
    <w:rPr>
      <w:rFonts w:ascii="Arial" w:eastAsia="Times New Roman"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rsid w:val="008B383D"/>
    <w:rPr>
      <w:rFonts w:ascii="Arial" w:eastAsia="Times New Roman" w:hAnsi="Arial" w:cs="Arial"/>
      <w:color w:val="FF0000"/>
      <w:sz w:val="24"/>
      <w:szCs w:val="24"/>
      <w:lang w:val="en-US"/>
    </w:rPr>
  </w:style>
  <w:style w:type="paragraph" w:styleId="BodyText2">
    <w:name w:val="Body Text 2"/>
    <w:basedOn w:val="Normal"/>
    <w:link w:val="BodyText2Char"/>
    <w:rsid w:val="008B383D"/>
    <w:rPr>
      <w:sz w:val="22"/>
      <w:lang w:val="en-GB"/>
    </w:rPr>
  </w:style>
  <w:style w:type="character" w:customStyle="1" w:styleId="BodyText2Char">
    <w:name w:val="Body Text 2 Char"/>
    <w:basedOn w:val="DefaultParagraphFont"/>
    <w:link w:val="BodyText2"/>
    <w:rsid w:val="008B383D"/>
    <w:rPr>
      <w:rFonts w:ascii="Arial" w:eastAsia="Times New Roman" w:hAnsi="Arial" w:cs="Arial"/>
      <w:color w:val="FF0000"/>
      <w:szCs w:val="24"/>
      <w:lang w:val="en-GB"/>
    </w:rPr>
  </w:style>
  <w:style w:type="character" w:styleId="PageNumber">
    <w:name w:val="page number"/>
    <w:basedOn w:val="DefaultParagraphFont"/>
    <w:rsid w:val="008B383D"/>
  </w:style>
  <w:style w:type="paragraph" w:styleId="BodyTextIndent">
    <w:name w:val="Body Text Indent"/>
    <w:basedOn w:val="Normal"/>
    <w:link w:val="BodyTextIndentChar"/>
    <w:rsid w:val="008B383D"/>
    <w:pPr>
      <w:ind w:left="720" w:hanging="720"/>
    </w:pPr>
    <w:rPr>
      <w:rFonts w:ascii="Times New Roman" w:hAnsi="Times New Roman" w:cs="Times New Roman"/>
      <w:color w:val="auto"/>
      <w:lang w:val="en-GB"/>
    </w:rPr>
  </w:style>
  <w:style w:type="character" w:customStyle="1" w:styleId="BodyTextIndentChar">
    <w:name w:val="Body Text Indent Char"/>
    <w:basedOn w:val="DefaultParagraphFont"/>
    <w:link w:val="BodyTextIndent"/>
    <w:rsid w:val="008B383D"/>
    <w:rPr>
      <w:rFonts w:ascii="Times New Roman" w:eastAsia="Times New Roman" w:hAnsi="Times New Roman" w:cs="Times New Roman"/>
      <w:sz w:val="24"/>
      <w:szCs w:val="24"/>
      <w:lang w:val="en-GB"/>
    </w:rPr>
  </w:style>
  <w:style w:type="character" w:styleId="Hyperlink">
    <w:name w:val="Hyperlink"/>
    <w:rsid w:val="008B383D"/>
    <w:rPr>
      <w:color w:val="0000FF"/>
      <w:u w:val="single"/>
    </w:rPr>
  </w:style>
  <w:style w:type="character" w:styleId="CommentReference">
    <w:name w:val="annotation reference"/>
    <w:basedOn w:val="DefaultParagraphFont"/>
    <w:uiPriority w:val="99"/>
    <w:semiHidden/>
    <w:unhideWhenUsed/>
    <w:rsid w:val="008B5B83"/>
    <w:rPr>
      <w:sz w:val="16"/>
      <w:szCs w:val="16"/>
    </w:rPr>
  </w:style>
  <w:style w:type="paragraph" w:styleId="CommentText">
    <w:name w:val="annotation text"/>
    <w:basedOn w:val="Normal"/>
    <w:link w:val="CommentTextChar"/>
    <w:uiPriority w:val="99"/>
    <w:semiHidden/>
    <w:unhideWhenUsed/>
    <w:rsid w:val="008B5B83"/>
    <w:rPr>
      <w:sz w:val="20"/>
      <w:szCs w:val="20"/>
    </w:rPr>
  </w:style>
  <w:style w:type="character" w:customStyle="1" w:styleId="CommentTextChar">
    <w:name w:val="Comment Text Char"/>
    <w:basedOn w:val="DefaultParagraphFont"/>
    <w:link w:val="CommentText"/>
    <w:uiPriority w:val="99"/>
    <w:semiHidden/>
    <w:rsid w:val="008B5B83"/>
    <w:rPr>
      <w:rFonts w:ascii="Arial" w:eastAsia="Times New Roman" w:hAnsi="Arial" w:cs="Arial"/>
      <w:color w:val="FF0000"/>
      <w:sz w:val="20"/>
      <w:szCs w:val="20"/>
      <w:lang w:val="en-US"/>
    </w:rPr>
  </w:style>
  <w:style w:type="paragraph" w:styleId="CommentSubject">
    <w:name w:val="annotation subject"/>
    <w:basedOn w:val="CommentText"/>
    <w:next w:val="CommentText"/>
    <w:link w:val="CommentSubjectChar"/>
    <w:uiPriority w:val="99"/>
    <w:semiHidden/>
    <w:unhideWhenUsed/>
    <w:rsid w:val="008B5B83"/>
    <w:rPr>
      <w:b/>
      <w:bCs/>
    </w:rPr>
  </w:style>
  <w:style w:type="character" w:customStyle="1" w:styleId="CommentSubjectChar">
    <w:name w:val="Comment Subject Char"/>
    <w:basedOn w:val="CommentTextChar"/>
    <w:link w:val="CommentSubject"/>
    <w:uiPriority w:val="99"/>
    <w:semiHidden/>
    <w:rsid w:val="008B5B83"/>
    <w:rPr>
      <w:rFonts w:ascii="Arial" w:eastAsia="Times New Roman" w:hAnsi="Arial" w:cs="Arial"/>
      <w:b/>
      <w:bCs/>
      <w:color w:val="FF0000"/>
      <w:sz w:val="20"/>
      <w:szCs w:val="20"/>
      <w:lang w:val="en-US"/>
    </w:rPr>
  </w:style>
  <w:style w:type="paragraph" w:styleId="BalloonText">
    <w:name w:val="Balloon Text"/>
    <w:basedOn w:val="Normal"/>
    <w:link w:val="BalloonTextChar"/>
    <w:uiPriority w:val="99"/>
    <w:semiHidden/>
    <w:unhideWhenUsed/>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eastAsia="Times New Roman" w:hAnsi="Tahoma" w:cs="Tahoma"/>
      <w:color w:val="FF0000"/>
      <w:sz w:val="16"/>
      <w:szCs w:val="16"/>
      <w:lang w:val="en-US"/>
    </w:rPr>
  </w:style>
  <w:style w:type="paragraph" w:customStyle="1" w:styleId="Default">
    <w:name w:val="Default"/>
    <w:rsid w:val="00B66E27"/>
    <w:pPr>
      <w:autoSpaceDE w:val="0"/>
      <w:autoSpaceDN w:val="0"/>
      <w:adjustRightInd w:val="0"/>
    </w:pPr>
    <w:rPr>
      <w:rFonts w:ascii="Times New Roman" w:hAnsi="Times New Roman"/>
      <w:color w:val="000000"/>
      <w:sz w:val="24"/>
      <w:szCs w:val="24"/>
      <w:lang w:val="en-US"/>
    </w:rPr>
  </w:style>
  <w:style w:type="paragraph" w:styleId="ListParagraph">
    <w:name w:val="List Paragraph"/>
    <w:basedOn w:val="Normal"/>
    <w:uiPriority w:val="34"/>
    <w:qFormat/>
    <w:rsid w:val="004B5E9F"/>
    <w:pPr>
      <w:spacing w:after="200" w:line="276" w:lineRule="auto"/>
      <w:ind w:left="720"/>
      <w:contextualSpacing/>
    </w:pPr>
    <w:rPr>
      <w:rFonts w:ascii="Calibri" w:eastAsia="Calibri" w:hAnsi="Calibri" w:cs="Times New Roman"/>
      <w:color w:val="auto"/>
      <w:sz w:val="22"/>
      <w:szCs w:val="22"/>
    </w:rPr>
  </w:style>
  <w:style w:type="paragraph" w:styleId="FootnoteText">
    <w:name w:val="footnote text"/>
    <w:basedOn w:val="Normal"/>
    <w:link w:val="FootnoteTextChar"/>
    <w:uiPriority w:val="99"/>
    <w:semiHidden/>
    <w:unhideWhenUsed/>
    <w:rsid w:val="004B5E9F"/>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4B5E9F"/>
    <w:rPr>
      <w:sz w:val="20"/>
      <w:szCs w:val="20"/>
      <w:lang w:val="en-US"/>
    </w:rPr>
  </w:style>
  <w:style w:type="character" w:styleId="FootnoteReference">
    <w:name w:val="footnote reference"/>
    <w:basedOn w:val="DefaultParagraphFont"/>
    <w:uiPriority w:val="99"/>
    <w:semiHidden/>
    <w:unhideWhenUsed/>
    <w:rsid w:val="004B5E9F"/>
    <w:rPr>
      <w:vertAlign w:val="superscript"/>
    </w:rPr>
  </w:style>
  <w:style w:type="paragraph" w:styleId="DocumentMap">
    <w:name w:val="Document Map"/>
    <w:basedOn w:val="Normal"/>
    <w:link w:val="DocumentMapChar"/>
    <w:uiPriority w:val="99"/>
    <w:semiHidden/>
    <w:unhideWhenUsed/>
    <w:rsid w:val="00F90A97"/>
    <w:rPr>
      <w:rFonts w:ascii="Tahoma" w:hAnsi="Tahoma" w:cs="Tahoma"/>
      <w:sz w:val="16"/>
      <w:szCs w:val="16"/>
    </w:rPr>
  </w:style>
  <w:style w:type="character" w:customStyle="1" w:styleId="DocumentMapChar">
    <w:name w:val="Document Map Char"/>
    <w:basedOn w:val="DefaultParagraphFont"/>
    <w:link w:val="DocumentMap"/>
    <w:uiPriority w:val="99"/>
    <w:semiHidden/>
    <w:rsid w:val="00F90A97"/>
    <w:rPr>
      <w:rFonts w:ascii="Tahoma" w:eastAsia="Times New Roman" w:hAnsi="Tahoma" w:cs="Tahoma"/>
      <w:color w:val="FF0000"/>
      <w:sz w:val="16"/>
      <w:szCs w:val="16"/>
      <w:lang w:val="en-US" w:eastAsia="en-US"/>
    </w:rPr>
  </w:style>
  <w:style w:type="character" w:styleId="FollowedHyperlink">
    <w:name w:val="FollowedHyperlink"/>
    <w:basedOn w:val="DefaultParagraphFont"/>
    <w:uiPriority w:val="99"/>
    <w:semiHidden/>
    <w:unhideWhenUsed/>
    <w:rsid w:val="00C279B2"/>
    <w:rPr>
      <w:color w:val="800080" w:themeColor="followedHyperlink"/>
      <w:u w:val="single"/>
    </w:rPr>
  </w:style>
  <w:style w:type="character" w:customStyle="1" w:styleId="tw4winMark">
    <w:name w:val="tw4winMark"/>
    <w:basedOn w:val="DefaultParagraphFont"/>
    <w:rsid w:val="007A70BB"/>
    <w:rPr>
      <w:rFonts w:ascii="Courier New" w:hAnsi="Courier New" w:cs="Courier New"/>
      <w:b w:val="0"/>
      <w:i w:val="0"/>
      <w:dstrike w:val="0"/>
      <w:noProof/>
      <w:vanish/>
      <w:color w:val="800080"/>
      <w:sz w:val="18"/>
      <w:effect w:val="none"/>
      <w:vertAlign w:val="subscript"/>
      <w:lang w:val="en-GB"/>
    </w:rPr>
  </w:style>
  <w:style w:type="character" w:styleId="Emphasis">
    <w:name w:val="Emphasis"/>
    <w:basedOn w:val="DefaultParagraphFont"/>
    <w:uiPriority w:val="20"/>
    <w:qFormat/>
    <w:rsid w:val="0092139A"/>
    <w:rPr>
      <w:i/>
      <w:iCs/>
    </w:rPr>
  </w:style>
  <w:style w:type="character" w:styleId="IntenseEmphasis">
    <w:name w:val="Intense Emphasis"/>
    <w:basedOn w:val="DefaultParagraphFont"/>
    <w:uiPriority w:val="21"/>
    <w:qFormat/>
    <w:rsid w:val="0092139A"/>
    <w:rPr>
      <w:b/>
      <w:bCs/>
      <w:i/>
      <w:iCs/>
      <w:color w:val="4F81BD" w:themeColor="accent1"/>
    </w:rPr>
  </w:style>
  <w:style w:type="paragraph" w:styleId="Subtitle">
    <w:name w:val="Subtitle"/>
    <w:basedOn w:val="Normal"/>
    <w:next w:val="Normal"/>
    <w:link w:val="SubtitleChar"/>
    <w:uiPriority w:val="11"/>
    <w:qFormat/>
    <w:rsid w:val="009213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139A"/>
    <w:rPr>
      <w:rFonts w:asciiTheme="majorHAnsi" w:eastAsiaTheme="majorEastAsia" w:hAnsiTheme="majorHAnsi" w:cstheme="majorBidi"/>
      <w:i/>
      <w:iCs/>
      <w:color w:val="4F81BD" w:themeColor="accent1"/>
      <w:spacing w:val="15"/>
      <w:sz w:val="24"/>
      <w:szCs w:val="24"/>
      <w:lang w:val="en-US" w:eastAsia="en-US"/>
    </w:rPr>
  </w:style>
  <w:style w:type="character" w:styleId="BookTitle">
    <w:name w:val="Book Title"/>
    <w:basedOn w:val="DefaultParagraphFont"/>
    <w:uiPriority w:val="33"/>
    <w:qFormat/>
    <w:rsid w:val="002672B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en/meeting/9th-meeting-aewa-standing-committe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p-aewa.org/en/meeting/10th-meeting-aewa-standing-committe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7B852-E989-4888-967B-AE1E664B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11072</Characters>
  <Application>Microsoft Office Word</Application>
  <DocSecurity>0</DocSecurity>
  <Lines>92</Lines>
  <Paragraphs>25</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DELLNBX</Company>
  <LinksUpToDate>false</LinksUpToDate>
  <CharactersWithSpaces>12989</CharactersWithSpaces>
  <SharedDoc>false</SharedDoc>
  <HLinks>
    <vt:vector size="6" baseType="variant">
      <vt:variant>
        <vt:i4>5242905</vt:i4>
      </vt:variant>
      <vt:variant>
        <vt:i4>0</vt:i4>
      </vt:variant>
      <vt:variant>
        <vt:i4>0</vt:i4>
      </vt:variant>
      <vt:variant>
        <vt:i4>5</vt:i4>
      </vt:variant>
      <vt:variant>
        <vt:lpwstr>http://www.unep-aewa.org/meetings/en/stc_meetings/stc_overview.htm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aewa_lwfg</dc:creator>
  <cp:lastModifiedBy>Jolanta Kremer</cp:lastModifiedBy>
  <cp:revision>3</cp:revision>
  <cp:lastPrinted>2015-10-12T10:27:00Z</cp:lastPrinted>
  <dcterms:created xsi:type="dcterms:W3CDTF">2015-10-12T10:27:00Z</dcterms:created>
  <dcterms:modified xsi:type="dcterms:W3CDTF">2015-10-12T10:27:00Z</dcterms:modified>
</cp:coreProperties>
</file>