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FE" w:rsidRPr="00515B8C" w:rsidRDefault="00D269FE" w:rsidP="0036596E">
      <w:pPr>
        <w:spacing w:after="0" w:line="240" w:lineRule="auto"/>
        <w:jc w:val="center"/>
        <w:rPr>
          <w:rFonts w:ascii="Times New Roman" w:hAnsi="Times New Roman"/>
          <w:b/>
          <w:lang w:val="fr-FR"/>
        </w:rPr>
      </w:pPr>
    </w:p>
    <w:p w:rsidR="00D269FE" w:rsidRDefault="00D269FE" w:rsidP="0036596E">
      <w:pPr>
        <w:spacing w:after="0" w:line="240" w:lineRule="auto"/>
        <w:jc w:val="center"/>
        <w:rPr>
          <w:rFonts w:ascii="Times New Roman" w:hAnsi="Times New Roman"/>
          <w:b/>
          <w:sz w:val="24"/>
          <w:szCs w:val="24"/>
          <w:lang w:val="fr-FR"/>
        </w:rPr>
      </w:pPr>
      <w:r w:rsidRPr="00F025A1">
        <w:rPr>
          <w:rFonts w:ascii="Times New Roman" w:hAnsi="Times New Roman"/>
          <w:b/>
          <w:sz w:val="24"/>
          <w:szCs w:val="24"/>
          <w:lang w:val="fr-FR"/>
        </w:rPr>
        <w:t xml:space="preserve">CRITÈRES DE SÉLECTION DES POPULATIONS AEWA PRIORITAIRES POUR L’ÉLABORATION DE PLANS D’ACTION ET DE GESTION, PROCESSUS D’ÉVALUATION DE PLANS D’ACTION EN VUE DE LEUR RÉVISION OU DE LEUR RETRAIT, ET CONSEILS SUR LA DÉFINITION DES PRINCIPAUX ÉTATS </w:t>
      </w:r>
    </w:p>
    <w:p w:rsidR="00D269FE" w:rsidRPr="00F025A1" w:rsidRDefault="00D269FE" w:rsidP="0036596E">
      <w:pPr>
        <w:spacing w:after="0" w:line="240" w:lineRule="auto"/>
        <w:jc w:val="center"/>
        <w:rPr>
          <w:rFonts w:ascii="Times New Roman" w:hAnsi="Times New Roman"/>
          <w:b/>
          <w:sz w:val="24"/>
          <w:szCs w:val="24"/>
          <w:lang w:val="fr-FR"/>
        </w:rPr>
      </w:pPr>
      <w:r w:rsidRPr="00F025A1">
        <w:rPr>
          <w:rFonts w:ascii="Times New Roman" w:hAnsi="Times New Roman"/>
          <w:b/>
          <w:sz w:val="24"/>
          <w:szCs w:val="24"/>
          <w:lang w:val="fr-FR"/>
        </w:rPr>
        <w:t>DE L’AIRE DE RÉPARTITION DANS LES PLANS D’ACTION</w:t>
      </w:r>
    </w:p>
    <w:p w:rsidR="00D269FE" w:rsidRPr="00515B8C" w:rsidRDefault="00D269FE" w:rsidP="0036596E">
      <w:pPr>
        <w:spacing w:after="0" w:line="240" w:lineRule="auto"/>
        <w:jc w:val="center"/>
        <w:rPr>
          <w:rFonts w:ascii="Times New Roman" w:hAnsi="Times New Roman"/>
          <w:i/>
          <w:lang w:val="fr-FR"/>
        </w:rPr>
      </w:pPr>
    </w:p>
    <w:p w:rsidR="00D269FE" w:rsidRPr="00515B8C" w:rsidRDefault="00D269FE" w:rsidP="0036596E">
      <w:pPr>
        <w:spacing w:after="0" w:line="240" w:lineRule="auto"/>
        <w:jc w:val="center"/>
        <w:rPr>
          <w:rFonts w:ascii="Times New Roman" w:hAnsi="Times New Roman"/>
          <w:i/>
          <w:lang w:val="fr-FR"/>
        </w:rPr>
      </w:pPr>
      <w:r w:rsidRPr="00515B8C">
        <w:rPr>
          <w:rFonts w:ascii="Times New Roman" w:hAnsi="Times New Roman"/>
          <w:i/>
          <w:lang w:val="fr-FR"/>
        </w:rPr>
        <w:t>Compilé par le Comité technique de l’AEWA</w:t>
      </w:r>
      <w:bookmarkStart w:id="0" w:name="_GoBack"/>
      <w:bookmarkEnd w:id="0"/>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4F25FA">
      <w:pPr>
        <w:spacing w:after="0" w:line="240" w:lineRule="auto"/>
        <w:jc w:val="both"/>
        <w:rPr>
          <w:rFonts w:ascii="Times New Roman" w:hAnsi="Times New Roman"/>
          <w:b/>
          <w:lang w:val="fr-FR"/>
        </w:rPr>
      </w:pPr>
    </w:p>
    <w:p w:rsidR="00D269FE" w:rsidRPr="00F025A1" w:rsidRDefault="00D269FE" w:rsidP="004F25FA">
      <w:pPr>
        <w:spacing w:after="0" w:line="240" w:lineRule="auto"/>
        <w:jc w:val="both"/>
        <w:rPr>
          <w:rFonts w:ascii="Times New Roman" w:hAnsi="Times New Roman"/>
          <w:b/>
          <w:sz w:val="24"/>
          <w:szCs w:val="24"/>
          <w:lang w:val="fr-FR"/>
        </w:rPr>
      </w:pPr>
      <w:r w:rsidRPr="00F025A1">
        <w:rPr>
          <w:rFonts w:ascii="Times New Roman" w:hAnsi="Times New Roman"/>
          <w:b/>
          <w:sz w:val="24"/>
          <w:szCs w:val="24"/>
          <w:lang w:val="fr-FR"/>
        </w:rPr>
        <w:t>Introduction</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L’élaboration de plans d’action et de gestion des espèces au titre de l’AEWA est un processus dynamique. Les organes dirigeant l’AEWA, les États de l’aire de répartition et diverses autres parties prenantes ont acquis beaucoup d’expérience au cours des 20 années d’existence de l’Accord. L’élaboration de ces plansse poursuivant, il est nécessaire de maintenir des critères clairs et des lignes directrices pour orienter les différentes étapes du processus de planification et de mise en œuvre.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Trois secteurs</w:t>
      </w:r>
      <w:r w:rsidR="001F1867">
        <w:rPr>
          <w:rFonts w:ascii="Times New Roman" w:hAnsi="Times New Roman"/>
          <w:lang w:val="fr-FR"/>
        </w:rPr>
        <w:t xml:space="preserve"> </w:t>
      </w:r>
      <w:r w:rsidRPr="00515B8C">
        <w:rPr>
          <w:rFonts w:ascii="Times New Roman" w:hAnsi="Times New Roman"/>
          <w:lang w:val="fr-FR"/>
        </w:rPr>
        <w:t>nécessitant</w:t>
      </w:r>
      <w:r w:rsidR="001F1867">
        <w:rPr>
          <w:rFonts w:ascii="Times New Roman" w:hAnsi="Times New Roman"/>
          <w:lang w:val="fr-FR"/>
        </w:rPr>
        <w:t xml:space="preserve"> </w:t>
      </w:r>
      <w:r w:rsidRPr="00515B8C">
        <w:rPr>
          <w:rFonts w:ascii="Times New Roman" w:hAnsi="Times New Roman"/>
          <w:lang w:val="fr-FR"/>
        </w:rPr>
        <w:t xml:space="preserve">des critères et </w:t>
      </w:r>
      <w:r>
        <w:rPr>
          <w:rFonts w:ascii="Times New Roman" w:hAnsi="Times New Roman"/>
          <w:lang w:val="fr-FR"/>
        </w:rPr>
        <w:t>des conseils</w:t>
      </w:r>
      <w:r w:rsidRPr="00515B8C">
        <w:rPr>
          <w:rFonts w:ascii="Times New Roman" w:hAnsi="Times New Roman"/>
          <w:lang w:val="fr-FR"/>
        </w:rPr>
        <w:t xml:space="preserve"> ont ainsi été identifiés, en particulier au cours de cette période triennale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pStyle w:val="ListParagraph"/>
        <w:numPr>
          <w:ilvl w:val="0"/>
          <w:numId w:val="4"/>
        </w:numPr>
        <w:spacing w:after="0" w:line="240" w:lineRule="auto"/>
        <w:jc w:val="both"/>
        <w:rPr>
          <w:rFonts w:ascii="Times New Roman" w:hAnsi="Times New Roman"/>
          <w:lang w:val="fr-FR"/>
        </w:rPr>
      </w:pPr>
      <w:r w:rsidRPr="00515B8C">
        <w:rPr>
          <w:rFonts w:ascii="Times New Roman" w:hAnsi="Times New Roman"/>
          <w:lang w:val="fr-FR"/>
        </w:rPr>
        <w:t>La définition de priorités parmi les espèces susceptibles de faire l’objet d’un plan d’action ou de gestion au titre de l’AEWA ;</w:t>
      </w:r>
    </w:p>
    <w:p w:rsidR="00D269FE" w:rsidRPr="00515B8C" w:rsidRDefault="00D269FE" w:rsidP="00D453DA">
      <w:pPr>
        <w:pStyle w:val="ListParagraph"/>
        <w:numPr>
          <w:ilvl w:val="0"/>
          <w:numId w:val="4"/>
        </w:numPr>
        <w:spacing w:after="0" w:line="240" w:lineRule="auto"/>
        <w:jc w:val="both"/>
        <w:rPr>
          <w:rFonts w:ascii="Times New Roman" w:hAnsi="Times New Roman"/>
          <w:lang w:val="fr-FR"/>
        </w:rPr>
      </w:pPr>
      <w:r w:rsidRPr="00515B8C">
        <w:rPr>
          <w:rFonts w:ascii="Times New Roman" w:hAnsi="Times New Roman"/>
          <w:lang w:val="fr-FR"/>
        </w:rPr>
        <w:t>L’évaluation des plans d’action internationaux par espèce de l’AEWA en vue de leur révision ou de leur retrait ; et</w:t>
      </w:r>
    </w:p>
    <w:p w:rsidR="00D269FE" w:rsidRPr="00515B8C" w:rsidRDefault="00D269FE" w:rsidP="00D453DA">
      <w:pPr>
        <w:pStyle w:val="ListParagraph"/>
        <w:numPr>
          <w:ilvl w:val="0"/>
          <w:numId w:val="4"/>
        </w:numPr>
        <w:spacing w:after="0" w:line="240" w:lineRule="auto"/>
        <w:jc w:val="both"/>
        <w:rPr>
          <w:rFonts w:ascii="Times New Roman" w:hAnsi="Times New Roman"/>
          <w:lang w:val="fr-FR"/>
        </w:rPr>
      </w:pPr>
      <w:r w:rsidRPr="00515B8C">
        <w:rPr>
          <w:rFonts w:ascii="Times New Roman" w:hAnsi="Times New Roman"/>
          <w:lang w:val="fr-FR"/>
        </w:rPr>
        <w:t>La définition des principaux États de l’aire de répartition dans les plans d’action portant sur des espèces ayant une vaste aire de répartition.</w:t>
      </w:r>
    </w:p>
    <w:p w:rsidR="00D269FE" w:rsidRPr="00515B8C" w:rsidRDefault="00D269FE" w:rsidP="004F25FA">
      <w:pPr>
        <w:pStyle w:val="ListParagraph"/>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Le Com</w:t>
      </w:r>
      <w:r>
        <w:rPr>
          <w:rFonts w:ascii="Times New Roman" w:hAnsi="Times New Roman"/>
          <w:lang w:val="fr-FR"/>
        </w:rPr>
        <w:t>ité technique de l’AEWA a approuvé</w:t>
      </w:r>
      <w:r w:rsidRPr="00515B8C">
        <w:rPr>
          <w:rFonts w:ascii="Times New Roman" w:hAnsi="Times New Roman"/>
          <w:lang w:val="fr-FR"/>
        </w:rPr>
        <w:t xml:space="preserve"> les </w:t>
      </w:r>
      <w:r>
        <w:rPr>
          <w:rFonts w:ascii="Times New Roman" w:hAnsi="Times New Roman"/>
          <w:lang w:val="fr-FR"/>
        </w:rPr>
        <w:t>conseils</w:t>
      </w:r>
      <w:r w:rsidRPr="00515B8C">
        <w:rPr>
          <w:rFonts w:ascii="Times New Roman" w:hAnsi="Times New Roman"/>
          <w:lang w:val="fr-FR"/>
        </w:rPr>
        <w:t xml:space="preserve"> et les critères suivants lors de sa 12</w:t>
      </w:r>
      <w:r>
        <w:rPr>
          <w:rFonts w:ascii="Times New Roman" w:hAnsi="Times New Roman"/>
          <w:vertAlign w:val="superscript"/>
          <w:lang w:val="fr-FR"/>
        </w:rPr>
        <w:t>ème</w:t>
      </w:r>
      <w:r w:rsidRPr="00515B8C">
        <w:rPr>
          <w:rFonts w:ascii="Times New Roman" w:hAnsi="Times New Roman"/>
          <w:lang w:val="fr-FR"/>
        </w:rPr>
        <w:t>réunion</w:t>
      </w:r>
      <w:r>
        <w:rPr>
          <w:rFonts w:ascii="Times New Roman" w:hAnsi="Times New Roman"/>
          <w:lang w:val="fr-FR"/>
        </w:rPr>
        <w:t xml:space="preserve"> en</w:t>
      </w:r>
      <w:r w:rsidRPr="00515B8C">
        <w:rPr>
          <w:rFonts w:ascii="Times New Roman" w:hAnsi="Times New Roman"/>
          <w:lang w:val="fr-FR"/>
        </w:rPr>
        <w:t xml:space="preserve"> m</w:t>
      </w:r>
      <w:r>
        <w:rPr>
          <w:rFonts w:ascii="Times New Roman" w:hAnsi="Times New Roman"/>
          <w:lang w:val="fr-FR"/>
        </w:rPr>
        <w:t>ars 2015</w:t>
      </w:r>
      <w:r w:rsidRPr="00515B8C">
        <w:rPr>
          <w:rFonts w:ascii="Times New Roman" w:hAnsi="Times New Roman"/>
          <w:lang w:val="fr-FR"/>
        </w:rPr>
        <w:t xml:space="preserve">. </w:t>
      </w:r>
      <w:r>
        <w:rPr>
          <w:rFonts w:ascii="Times New Roman" w:hAnsi="Times New Roman"/>
          <w:lang w:val="fr-FR"/>
        </w:rPr>
        <w:t xml:space="preserve">Le Comité permanent a approuvé l’avant-projet du document pour soumission </w:t>
      </w:r>
      <w:r w:rsidRPr="00515B8C">
        <w:rPr>
          <w:rFonts w:ascii="Times New Roman" w:hAnsi="Times New Roman"/>
          <w:lang w:val="fr-FR"/>
        </w:rPr>
        <w:t>à la 6</w:t>
      </w:r>
      <w:r w:rsidRPr="00515B8C">
        <w:rPr>
          <w:rFonts w:ascii="Times New Roman" w:hAnsi="Times New Roman"/>
          <w:vertAlign w:val="superscript"/>
          <w:lang w:val="fr-FR"/>
        </w:rPr>
        <w:t>ème</w:t>
      </w:r>
      <w:r w:rsidRPr="00515B8C">
        <w:rPr>
          <w:rFonts w:ascii="Times New Roman" w:hAnsi="Times New Roman"/>
          <w:lang w:val="fr-FR"/>
        </w:rPr>
        <w:t xml:space="preserve"> session de la Réunion des Parties</w:t>
      </w:r>
      <w:r>
        <w:rPr>
          <w:rFonts w:ascii="Times New Roman" w:hAnsi="Times New Roman"/>
          <w:lang w:val="fr-FR"/>
        </w:rPr>
        <w:t xml:space="preserve"> à sa 10</w:t>
      </w:r>
      <w:r w:rsidRPr="00547DBB">
        <w:rPr>
          <w:rFonts w:ascii="Times New Roman" w:hAnsi="Times New Roman"/>
          <w:vertAlign w:val="superscript"/>
          <w:lang w:val="fr-FR"/>
        </w:rPr>
        <w:t>ème</w:t>
      </w:r>
      <w:r>
        <w:rPr>
          <w:rFonts w:ascii="Times New Roman" w:hAnsi="Times New Roman"/>
          <w:lang w:val="fr-FR"/>
        </w:rPr>
        <w:t xml:space="preserve"> réunion en juillet 2015.</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lang w:val="fr-FR"/>
        </w:rPr>
      </w:pPr>
    </w:p>
    <w:p w:rsidR="00D269FE" w:rsidRPr="00F025A1" w:rsidRDefault="00D269FE" w:rsidP="004F25FA">
      <w:pPr>
        <w:spacing w:after="0" w:line="240" w:lineRule="auto"/>
        <w:jc w:val="both"/>
        <w:rPr>
          <w:rFonts w:ascii="Times New Roman" w:hAnsi="Times New Roman"/>
          <w:b/>
          <w:sz w:val="24"/>
          <w:szCs w:val="24"/>
          <w:lang w:val="fr-FR"/>
        </w:rPr>
      </w:pPr>
      <w:r w:rsidRPr="00F025A1">
        <w:rPr>
          <w:rFonts w:ascii="Times New Roman" w:hAnsi="Times New Roman"/>
          <w:b/>
          <w:sz w:val="24"/>
          <w:szCs w:val="24"/>
          <w:lang w:val="fr-FR"/>
        </w:rPr>
        <w:t>Action</w:t>
      </w:r>
      <w:r>
        <w:rPr>
          <w:rFonts w:ascii="Times New Roman" w:hAnsi="Times New Roman"/>
          <w:b/>
          <w:sz w:val="24"/>
          <w:szCs w:val="24"/>
          <w:lang w:val="fr-FR"/>
        </w:rPr>
        <w:t>s</w:t>
      </w:r>
      <w:r w:rsidR="001F1867">
        <w:rPr>
          <w:rFonts w:ascii="Times New Roman" w:hAnsi="Times New Roman"/>
          <w:b/>
          <w:sz w:val="24"/>
          <w:szCs w:val="24"/>
          <w:lang w:val="fr-FR"/>
        </w:rPr>
        <w:t xml:space="preserve"> </w:t>
      </w:r>
      <w:r>
        <w:rPr>
          <w:rFonts w:ascii="Times New Roman" w:hAnsi="Times New Roman"/>
          <w:b/>
          <w:sz w:val="24"/>
          <w:szCs w:val="24"/>
          <w:lang w:val="fr-FR"/>
        </w:rPr>
        <w:t>requises de la Réunion des Parties</w:t>
      </w:r>
      <w:r w:rsidRPr="00F025A1">
        <w:rPr>
          <w:rFonts w:ascii="Times New Roman" w:hAnsi="Times New Roman"/>
          <w:b/>
          <w:sz w:val="24"/>
          <w:szCs w:val="24"/>
          <w:lang w:val="fr-FR"/>
        </w:rPr>
        <w:t>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Pr>
          <w:rFonts w:ascii="Times New Roman" w:hAnsi="Times New Roman"/>
          <w:lang w:val="fr-FR"/>
        </w:rPr>
        <w:t xml:space="preserve">La Réunion des Parties est invitée à examiner l’avant-projet du document et à adopter le processus proposé pour la révision et le retrait des plans d’action. La Réunion des Parties est également invitée à prendre note des autres critères et conseils approuvés par le Comité technique. </w:t>
      </w:r>
    </w:p>
    <w:p w:rsidR="00D269FE" w:rsidRPr="00515B8C" w:rsidRDefault="00D269FE" w:rsidP="004F25FA">
      <w:pPr>
        <w:spacing w:after="0" w:line="240" w:lineRule="auto"/>
        <w:jc w:val="both"/>
        <w:rPr>
          <w:rFonts w:ascii="Times New Roman" w:hAnsi="Times New Roman"/>
          <w:lang w:val="fr-FR"/>
        </w:rPr>
        <w:sectPr w:rsidR="00D269FE" w:rsidRPr="00515B8C" w:rsidSect="00515B8C">
          <w:headerReference w:type="default" r:id="rId7"/>
          <w:footerReference w:type="default" r:id="rId8"/>
          <w:pgSz w:w="11907" w:h="16840" w:code="9"/>
          <w:pgMar w:top="1021" w:right="1134" w:bottom="851" w:left="1134" w:header="851" w:footer="510" w:gutter="0"/>
          <w:cols w:space="720"/>
          <w:docGrid w:linePitch="360"/>
        </w:sectPr>
      </w:pPr>
    </w:p>
    <w:p w:rsidR="00D269FE" w:rsidRPr="00515B8C" w:rsidRDefault="00D269FE" w:rsidP="00BE0915">
      <w:pPr>
        <w:pStyle w:val="ListParagraph"/>
        <w:numPr>
          <w:ilvl w:val="0"/>
          <w:numId w:val="9"/>
        </w:numPr>
        <w:spacing w:after="0" w:line="240" w:lineRule="auto"/>
        <w:jc w:val="both"/>
        <w:rPr>
          <w:rFonts w:ascii="Times New Roman" w:hAnsi="Times New Roman"/>
          <w:b/>
          <w:lang w:val="fr-FR"/>
        </w:rPr>
      </w:pPr>
      <w:r w:rsidRPr="00515B8C">
        <w:rPr>
          <w:rFonts w:ascii="Times New Roman" w:hAnsi="Times New Roman"/>
          <w:b/>
          <w:lang w:val="fr-FR"/>
        </w:rPr>
        <w:lastRenderedPageBreak/>
        <w:t>CRITÈRES DE SÉLECTION DES POPULATIONS AEWA PRIORITAIRES POUR L’ÉLABORATION DE PLANS D’ACTION ET DE GESTION</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b/>
          <w:u w:val="single"/>
          <w:lang w:val="fr-FR"/>
        </w:rPr>
      </w:pPr>
      <w:r w:rsidRPr="00515B8C">
        <w:rPr>
          <w:rFonts w:ascii="Times New Roman" w:hAnsi="Times New Roman"/>
          <w:b/>
          <w:u w:val="single"/>
          <w:lang w:val="fr-FR"/>
        </w:rPr>
        <w:t>Contexte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En 2008, la première édition de l’étude de l’AEWA sur le stade</w:t>
      </w:r>
      <w:r w:rsidR="001F1867">
        <w:rPr>
          <w:rFonts w:ascii="Times New Roman" w:hAnsi="Times New Roman"/>
          <w:lang w:val="fr-FR"/>
        </w:rPr>
        <w:t xml:space="preserve"> </w:t>
      </w:r>
      <w:r w:rsidRPr="00515B8C">
        <w:rPr>
          <w:rFonts w:ascii="Times New Roman" w:hAnsi="Times New Roman"/>
          <w:lang w:val="fr-FR"/>
        </w:rPr>
        <w:t>de préparation et de mise en œuvre des plans d’action internationaux par espèce (ISSAP) a été compilée et présentée à la 4</w:t>
      </w:r>
      <w:r w:rsidRPr="00515B8C">
        <w:rPr>
          <w:rFonts w:ascii="Times New Roman" w:hAnsi="Times New Roman"/>
          <w:vertAlign w:val="superscript"/>
          <w:lang w:val="fr-FR"/>
        </w:rPr>
        <w:t>ème</w:t>
      </w:r>
      <w:r w:rsidRPr="00515B8C">
        <w:rPr>
          <w:rFonts w:ascii="Times New Roman" w:hAnsi="Times New Roman"/>
          <w:lang w:val="fr-FR"/>
        </w:rPr>
        <w:t>session de la Réunion des Parties. Cette étude</w:t>
      </w:r>
      <w:r w:rsidR="001F1867">
        <w:rPr>
          <w:rFonts w:ascii="Times New Roman" w:hAnsi="Times New Roman"/>
          <w:lang w:val="fr-FR"/>
        </w:rPr>
        <w:t xml:space="preserve"> </w:t>
      </w:r>
      <w:r w:rsidRPr="00515B8C">
        <w:rPr>
          <w:rFonts w:ascii="Times New Roman" w:hAnsi="Times New Roman"/>
          <w:lang w:val="fr-FR"/>
        </w:rPr>
        <w:t>a notamment proposé une liste de populations prioritaires pour lesquelles des ISSAP</w:t>
      </w:r>
      <w:r w:rsidR="001F1867">
        <w:rPr>
          <w:rFonts w:ascii="Times New Roman" w:hAnsi="Times New Roman"/>
          <w:lang w:val="fr-FR"/>
        </w:rPr>
        <w:t xml:space="preserve"> </w:t>
      </w:r>
      <w:r w:rsidRPr="00515B8C">
        <w:rPr>
          <w:rFonts w:ascii="Times New Roman" w:hAnsi="Times New Roman"/>
          <w:lang w:val="fr-FR"/>
        </w:rPr>
        <w:t>devraient être élaborés ; cette liste de priorités a été approuvée par la MOP4 à travers la résolution 4.4.</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Lors de la MOP5, le Secrétariat a présenté un </w:t>
      </w:r>
      <w:r w:rsidRPr="00515B8C">
        <w:rPr>
          <w:rFonts w:ascii="Times New Roman" w:hAnsi="Times New Roman"/>
          <w:i/>
          <w:lang w:val="fr-FR"/>
        </w:rPr>
        <w:t>Résumé de la situation de la production et de la coordination des plans d’action par espèce</w:t>
      </w:r>
      <w:r w:rsidR="001F1867">
        <w:rPr>
          <w:rFonts w:ascii="Times New Roman" w:hAnsi="Times New Roman"/>
          <w:i/>
          <w:lang w:val="fr-FR"/>
        </w:rPr>
        <w:t xml:space="preserve"> </w:t>
      </w:r>
      <w:r w:rsidRPr="00515B8C">
        <w:rPr>
          <w:rFonts w:ascii="Times New Roman" w:hAnsi="Times New Roman"/>
          <w:i/>
          <w:lang w:val="fr-FR"/>
        </w:rPr>
        <w:t>et des plans de gestion des espèces</w:t>
      </w:r>
      <w:r w:rsidR="001F1867">
        <w:rPr>
          <w:rFonts w:ascii="Times New Roman" w:hAnsi="Times New Roman"/>
          <w:i/>
          <w:lang w:val="fr-FR"/>
        </w:rPr>
        <w:t xml:space="preserve"> </w:t>
      </w:r>
      <w:r w:rsidRPr="00515B8C">
        <w:rPr>
          <w:rFonts w:ascii="Times New Roman" w:hAnsi="Times New Roman"/>
          <w:lang w:val="fr-FR"/>
        </w:rPr>
        <w:t xml:space="preserve">(document AEWA/MOP 5.24). La MOP5 a </w:t>
      </w:r>
      <w:r w:rsidRPr="004D08DA">
        <w:rPr>
          <w:rFonts w:ascii="Times New Roman" w:hAnsi="Times New Roman"/>
          <w:lang w:val="fr-FR"/>
        </w:rPr>
        <w:t>également adopté des amendements</w:t>
      </w:r>
      <w:r w:rsidR="001F1867">
        <w:rPr>
          <w:rFonts w:ascii="Times New Roman" w:hAnsi="Times New Roman"/>
          <w:lang w:val="fr-FR"/>
        </w:rPr>
        <w:t xml:space="preserve"> </w:t>
      </w:r>
      <w:r w:rsidRPr="00515B8C">
        <w:rPr>
          <w:rFonts w:ascii="Times New Roman" w:hAnsi="Times New Roman"/>
          <w:lang w:val="fr-FR"/>
        </w:rPr>
        <w:t>au Tableau 1 de l’AEWA,</w:t>
      </w:r>
      <w:r w:rsidR="001F1867">
        <w:rPr>
          <w:rFonts w:ascii="Times New Roman" w:hAnsi="Times New Roman"/>
          <w:lang w:val="fr-FR"/>
        </w:rPr>
        <w:t xml:space="preserve"> </w:t>
      </w:r>
      <w:r w:rsidRPr="00515B8C">
        <w:rPr>
          <w:rFonts w:ascii="Times New Roman" w:hAnsi="Times New Roman"/>
          <w:lang w:val="fr-FR"/>
        </w:rPr>
        <w:t>ce qui signifiait qu’il était nécessaire de réviser la liste des priorités approuvées par la MOP4. Pour cette raison, la MOP5 a demandé au Comité technique, à travers la résolution 5.8, de réviser la liste des priorités pour les ISSAP</w:t>
      </w:r>
      <w:r w:rsidR="001F1867">
        <w:rPr>
          <w:rFonts w:ascii="Times New Roman" w:hAnsi="Times New Roman"/>
          <w:lang w:val="fr-FR"/>
        </w:rPr>
        <w:t xml:space="preserve"> </w:t>
      </w:r>
      <w:r w:rsidRPr="00515B8C">
        <w:rPr>
          <w:rFonts w:ascii="Times New Roman" w:hAnsi="Times New Roman"/>
          <w:lang w:val="fr-FR"/>
        </w:rPr>
        <w:t>lors de sa première réunion suivant chaque Réunion des Parties, à la lumière des changements approuvés pour le Tableau 1. Le Comité technique a ensuite adopté les critères suivants lors de sa 11</w:t>
      </w:r>
      <w:r w:rsidRPr="00515B8C">
        <w:rPr>
          <w:rFonts w:ascii="Times New Roman" w:hAnsi="Times New Roman"/>
          <w:vertAlign w:val="superscript"/>
          <w:lang w:val="fr-FR"/>
        </w:rPr>
        <w:t>ème</w:t>
      </w:r>
      <w:r w:rsidRPr="00515B8C">
        <w:rPr>
          <w:rFonts w:ascii="Times New Roman" w:hAnsi="Times New Roman"/>
          <w:lang w:val="fr-FR"/>
        </w:rPr>
        <w:t xml:space="preserve"> réunion en août 2012, et ceux-ci ont été utilisés pour définir les espèces prioritaires pour l’élaboration de plans d’action entre la MOP5 et la MOP6. Ces critères </w:t>
      </w:r>
      <w:r w:rsidR="001F1867" w:rsidRPr="00515B8C">
        <w:rPr>
          <w:rFonts w:ascii="Times New Roman" w:hAnsi="Times New Roman"/>
          <w:lang w:val="fr-FR"/>
        </w:rPr>
        <w:t>génériques seront</w:t>
      </w:r>
      <w:r w:rsidRPr="00515B8C">
        <w:rPr>
          <w:rFonts w:ascii="Times New Roman" w:hAnsi="Times New Roman"/>
          <w:lang w:val="fr-FR"/>
        </w:rPr>
        <w:t xml:space="preserve"> appliqués par le Comité technique pour </w:t>
      </w:r>
      <w:r w:rsidR="001F1867" w:rsidRPr="00515B8C">
        <w:rPr>
          <w:rFonts w:ascii="Times New Roman" w:hAnsi="Times New Roman"/>
          <w:lang w:val="fr-FR"/>
        </w:rPr>
        <w:t>définir, après</w:t>
      </w:r>
      <w:r w:rsidRPr="00515B8C">
        <w:rPr>
          <w:rFonts w:ascii="Times New Roman" w:hAnsi="Times New Roman"/>
          <w:lang w:val="fr-FR"/>
        </w:rPr>
        <w:t xml:space="preserve"> chaque réunion des Parties,</w:t>
      </w:r>
      <w:r w:rsidR="001F1867">
        <w:rPr>
          <w:rFonts w:ascii="Times New Roman" w:hAnsi="Times New Roman"/>
          <w:lang w:val="fr-FR"/>
        </w:rPr>
        <w:t xml:space="preserve"> </w:t>
      </w:r>
      <w:r w:rsidRPr="00515B8C">
        <w:rPr>
          <w:rFonts w:ascii="Times New Roman" w:hAnsi="Times New Roman"/>
          <w:lang w:val="fr-FR"/>
        </w:rPr>
        <w:t>les populations d’espèces prioritaires.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De plus, suite au développement et à la mise en œuvre réussie du Plan de gestion international de l’AEWA pour l’Oie à bec court, adopté lors de la MOP5 en 2012, il est nécessaire que le Comité technique définisse</w:t>
      </w:r>
      <w:r w:rsidR="001F1867">
        <w:rPr>
          <w:rFonts w:ascii="Times New Roman" w:hAnsi="Times New Roman"/>
          <w:lang w:val="fr-FR"/>
        </w:rPr>
        <w:t xml:space="preserve"> </w:t>
      </w:r>
      <w:r w:rsidRPr="00515B8C">
        <w:rPr>
          <w:rFonts w:ascii="Times New Roman" w:hAnsi="Times New Roman"/>
          <w:lang w:val="fr-FR"/>
        </w:rPr>
        <w:t>les populations prioritaires devant bénéficier d’un plan de gestion. La gestion des populations d’oiseaux d’eau est requise en vertu du paragraphe 4.3.4 du Plan d’action de l’AEWA qui appelle les</w:t>
      </w:r>
      <w:r w:rsidR="001F1867">
        <w:rPr>
          <w:rFonts w:ascii="Times New Roman" w:hAnsi="Times New Roman"/>
          <w:lang w:val="fr-FR"/>
        </w:rPr>
        <w:t xml:space="preserve"> </w:t>
      </w:r>
      <w:r w:rsidRPr="00515B8C">
        <w:rPr>
          <w:rFonts w:ascii="Times New Roman" w:hAnsi="Times New Roman"/>
          <w:lang w:val="fr-FR"/>
        </w:rPr>
        <w:t>Parties à coopérer afin d’élaborer des plans de gestion pour les populations causant des dommages significatifs, notamment aux cultures et à la pêche. En outre</w:t>
      </w:r>
      <w:r w:rsidRPr="00F3428F">
        <w:rPr>
          <w:rFonts w:ascii="Times New Roman" w:hAnsi="Times New Roman"/>
          <w:lang w:val="fr-FR"/>
        </w:rPr>
        <w:t xml:space="preserve">, la cible 2.5 du Plan stratégique </w:t>
      </w:r>
      <w:r>
        <w:rPr>
          <w:rFonts w:ascii="Times New Roman" w:hAnsi="Times New Roman"/>
          <w:lang w:val="fr-FR"/>
        </w:rPr>
        <w:t xml:space="preserve">de l’AEWA 2009-2017 stipule qu’une gestion adaptive des prélèvements des populations de proie doit être assurée au niveau international et que, à cette fin, </w:t>
      </w:r>
      <w:r w:rsidRPr="00F3428F">
        <w:rPr>
          <w:rFonts w:ascii="Times New Roman" w:hAnsi="Times New Roman"/>
          <w:lang w:val="fr-FR"/>
        </w:rPr>
        <w:t xml:space="preserve">des plans internationaux de </w:t>
      </w:r>
      <w:r w:rsidR="001F1867" w:rsidRPr="00F3428F">
        <w:rPr>
          <w:rFonts w:ascii="Times New Roman" w:hAnsi="Times New Roman"/>
          <w:lang w:val="fr-FR"/>
        </w:rPr>
        <w:t>prélèvement devraient</w:t>
      </w:r>
      <w:r w:rsidRPr="00F3428F">
        <w:rPr>
          <w:rFonts w:ascii="Times New Roman" w:hAnsi="Times New Roman"/>
          <w:lang w:val="fr-FR"/>
        </w:rPr>
        <w:t xml:space="preserve"> être</w:t>
      </w:r>
      <w:r w:rsidRPr="00515B8C">
        <w:rPr>
          <w:rFonts w:ascii="Times New Roman" w:hAnsi="Times New Roman"/>
          <w:lang w:val="fr-FR"/>
        </w:rPr>
        <w:t xml:space="preserve"> élaborés et mis en œuvre pour au moins deux populations d’espèces gibier. Les critères génériques que le Comité technique applique afin d’identifier les populations d’espèces prioritaires pour la planification de la gestion après chaque Réunion des Parties sont également énumérés ci-après.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b/>
          <w:u w:val="single"/>
          <w:lang w:val="fr-FR"/>
        </w:rPr>
      </w:pPr>
      <w:r w:rsidRPr="00515B8C">
        <w:rPr>
          <w:rFonts w:ascii="Times New Roman" w:hAnsi="Times New Roman"/>
          <w:b/>
          <w:u w:val="single"/>
          <w:lang w:val="fr-FR"/>
        </w:rPr>
        <w:t xml:space="preserve">A1. Critères de définition des priorités pour les plans d’action internationaux par espèce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96203D">
      <w:pPr>
        <w:spacing w:after="0" w:line="240" w:lineRule="auto"/>
        <w:ind w:left="1440" w:hanging="1440"/>
        <w:jc w:val="both"/>
        <w:rPr>
          <w:rFonts w:ascii="Times New Roman" w:hAnsi="Times New Roman"/>
          <w:lang w:val="fr-FR"/>
        </w:rPr>
      </w:pPr>
      <w:r w:rsidRPr="00515B8C">
        <w:rPr>
          <w:rFonts w:ascii="Times New Roman" w:hAnsi="Times New Roman"/>
          <w:lang w:val="fr-FR"/>
        </w:rPr>
        <w:t xml:space="preserve">Objectif : </w:t>
      </w:r>
      <w:r w:rsidRPr="00515B8C">
        <w:rPr>
          <w:rFonts w:ascii="Times New Roman" w:hAnsi="Times New Roman"/>
          <w:lang w:val="fr-FR"/>
        </w:rPr>
        <w:tab/>
        <w:t>Les plans d’action internationaux par espèce de l’AEWA sont des plans de rétablissement des espèces/populations figurant dans la colonne A avec une priorité pour les espèces les plus menacées inscrites dans la catégorie 1, les catégories 2 et 3 marquées d’un astérisque, et la catégorie 4 dans la colonne A du Tableau 1 du Plan d’action de l’AEWA,</w:t>
      </w:r>
      <w:r w:rsidR="00D86B48">
        <w:rPr>
          <w:rFonts w:ascii="Times New Roman" w:hAnsi="Times New Roman"/>
          <w:lang w:val="fr-FR"/>
        </w:rPr>
        <w:t xml:space="preserve"> </w:t>
      </w:r>
      <w:r w:rsidRPr="00515B8C">
        <w:rPr>
          <w:rFonts w:ascii="Times New Roman" w:hAnsi="Times New Roman"/>
          <w:lang w:val="fr-FR"/>
        </w:rPr>
        <w:t>et ont pour objectif que ces espèces retrouvent un état de conservation favorable.</w:t>
      </w:r>
    </w:p>
    <w:p w:rsidR="00D269FE" w:rsidRPr="00515B8C" w:rsidRDefault="00D269FE" w:rsidP="0096203D">
      <w:pPr>
        <w:spacing w:after="0" w:line="240" w:lineRule="auto"/>
        <w:ind w:left="1440" w:hanging="1440"/>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Comme convenu lors de la 11</w:t>
      </w:r>
      <w:r w:rsidRPr="00515B8C">
        <w:rPr>
          <w:rFonts w:ascii="Times New Roman" w:hAnsi="Times New Roman"/>
          <w:vertAlign w:val="superscript"/>
          <w:lang w:val="fr-FR"/>
        </w:rPr>
        <w:t>ème</w:t>
      </w:r>
      <w:r w:rsidRPr="00515B8C">
        <w:rPr>
          <w:rFonts w:ascii="Times New Roman" w:hAnsi="Times New Roman"/>
          <w:lang w:val="fr-FR"/>
        </w:rPr>
        <w:t>réunion du Comité technique, les critères suivants sont appliqués pour la</w:t>
      </w:r>
      <w:r>
        <w:rPr>
          <w:rFonts w:ascii="Times New Roman" w:hAnsi="Times New Roman"/>
          <w:lang w:val="fr-FR"/>
        </w:rPr>
        <w:t xml:space="preserve"> sélection et la priorisation</w:t>
      </w:r>
      <w:r w:rsidRPr="00515B8C">
        <w:rPr>
          <w:rFonts w:ascii="Times New Roman" w:hAnsi="Times New Roman"/>
          <w:lang w:val="fr-FR"/>
        </w:rPr>
        <w:t xml:space="preserve"> des populations devant bénéficier d’un plan d’action (à appliquer successivement)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pStyle w:val="ListParagraph"/>
        <w:numPr>
          <w:ilvl w:val="0"/>
          <w:numId w:val="3"/>
        </w:numPr>
        <w:spacing w:after="0" w:line="240" w:lineRule="auto"/>
        <w:jc w:val="both"/>
        <w:rPr>
          <w:rFonts w:ascii="Times New Roman" w:hAnsi="Times New Roman"/>
          <w:lang w:val="fr-FR"/>
        </w:rPr>
      </w:pPr>
      <w:r w:rsidRPr="00515B8C">
        <w:rPr>
          <w:rFonts w:ascii="Times New Roman" w:hAnsi="Times New Roman"/>
          <w:b/>
          <w:lang w:val="fr-FR"/>
        </w:rPr>
        <w:t xml:space="preserve">Statut sur la Liste rouge de l’UICN </w:t>
      </w:r>
      <w:r w:rsidRPr="00515B8C">
        <w:rPr>
          <w:rFonts w:ascii="Times New Roman" w:hAnsi="Times New Roman"/>
          <w:lang w:val="fr-FR"/>
        </w:rPr>
        <w:t xml:space="preserve">- dans l’ordre décroissant: </w:t>
      </w:r>
      <w:r w:rsidRPr="00515B8C">
        <w:rPr>
          <w:rFonts w:ascii="Times New Roman" w:hAnsi="Times New Roman"/>
          <w:i/>
          <w:lang w:val="fr-FR"/>
        </w:rPr>
        <w:t>En danger critique d’extinction</w:t>
      </w:r>
      <w:r w:rsidRPr="00515B8C">
        <w:rPr>
          <w:rFonts w:ascii="Times New Roman" w:hAnsi="Times New Roman"/>
          <w:lang w:val="fr-FR"/>
        </w:rPr>
        <w:t xml:space="preserve"> (CR), </w:t>
      </w:r>
      <w:r w:rsidRPr="00515B8C">
        <w:rPr>
          <w:rFonts w:ascii="Times New Roman" w:hAnsi="Times New Roman"/>
          <w:i/>
          <w:lang w:val="fr-FR"/>
        </w:rPr>
        <w:t>En danger</w:t>
      </w:r>
      <w:r w:rsidRPr="00515B8C">
        <w:rPr>
          <w:rFonts w:ascii="Times New Roman" w:hAnsi="Times New Roman"/>
          <w:lang w:val="fr-FR"/>
        </w:rPr>
        <w:t xml:space="preserve"> (EN), </w:t>
      </w:r>
      <w:r w:rsidRPr="00515B8C">
        <w:rPr>
          <w:rFonts w:ascii="Times New Roman" w:hAnsi="Times New Roman"/>
          <w:i/>
          <w:lang w:val="fr-FR"/>
        </w:rPr>
        <w:t>Vulnérable</w:t>
      </w:r>
      <w:r w:rsidRPr="00515B8C">
        <w:rPr>
          <w:rFonts w:ascii="Times New Roman" w:hAnsi="Times New Roman"/>
          <w:lang w:val="fr-FR"/>
        </w:rPr>
        <w:t xml:space="preserve"> (VU), </w:t>
      </w:r>
      <w:r w:rsidRPr="00515B8C">
        <w:rPr>
          <w:rFonts w:ascii="Times New Roman" w:hAnsi="Times New Roman"/>
          <w:i/>
          <w:lang w:val="fr-FR"/>
        </w:rPr>
        <w:t>Quasi menacé</w:t>
      </w:r>
      <w:r w:rsidRPr="00515B8C">
        <w:rPr>
          <w:rFonts w:ascii="Times New Roman" w:hAnsi="Times New Roman"/>
          <w:lang w:val="fr-FR"/>
        </w:rPr>
        <w:t xml:space="preserve"> (NT) et </w:t>
      </w:r>
      <w:r w:rsidRPr="00515B8C">
        <w:rPr>
          <w:rFonts w:ascii="Times New Roman" w:hAnsi="Times New Roman"/>
          <w:i/>
          <w:lang w:val="fr-FR"/>
        </w:rPr>
        <w:t>Préoccupation mineure</w:t>
      </w:r>
      <w:r w:rsidRPr="00515B8C">
        <w:rPr>
          <w:rFonts w:ascii="Times New Roman" w:hAnsi="Times New Roman"/>
          <w:lang w:val="fr-FR"/>
        </w:rPr>
        <w:t xml:space="preserve"> (LC) ;</w:t>
      </w:r>
    </w:p>
    <w:p w:rsidR="00D269FE" w:rsidRPr="00515B8C" w:rsidRDefault="00D269FE" w:rsidP="004F25FA">
      <w:pPr>
        <w:pStyle w:val="ListParagraph"/>
        <w:spacing w:after="0" w:line="240" w:lineRule="auto"/>
        <w:ind w:left="1080"/>
        <w:jc w:val="both"/>
        <w:rPr>
          <w:rFonts w:ascii="Times New Roman" w:hAnsi="Times New Roman"/>
          <w:lang w:val="fr-FR"/>
        </w:rPr>
      </w:pPr>
    </w:p>
    <w:p w:rsidR="00D269FE" w:rsidRPr="00515B8C" w:rsidRDefault="00D269FE" w:rsidP="005C7F73">
      <w:pPr>
        <w:pStyle w:val="ListParagraph"/>
        <w:numPr>
          <w:ilvl w:val="0"/>
          <w:numId w:val="3"/>
        </w:numPr>
        <w:spacing w:after="0" w:line="240" w:lineRule="auto"/>
        <w:jc w:val="both"/>
        <w:rPr>
          <w:rFonts w:ascii="Times New Roman" w:hAnsi="Times New Roman"/>
          <w:lang w:val="fr-FR"/>
        </w:rPr>
      </w:pPr>
      <w:r w:rsidRPr="00515B8C">
        <w:rPr>
          <w:rFonts w:ascii="Times New Roman" w:hAnsi="Times New Roman"/>
          <w:b/>
          <w:lang w:val="fr-FR"/>
        </w:rPr>
        <w:t xml:space="preserve">Estimation de la taille de la population - </w:t>
      </w:r>
      <w:r w:rsidRPr="00515B8C">
        <w:rPr>
          <w:rFonts w:ascii="Times New Roman" w:hAnsi="Times New Roman"/>
          <w:lang w:val="fr-FR"/>
        </w:rPr>
        <w:t xml:space="preserve">dans l’ordre décroissant depuis l’estimation la plus </w:t>
      </w:r>
      <w:r w:rsidR="001F1867" w:rsidRPr="00515B8C">
        <w:rPr>
          <w:rFonts w:ascii="Times New Roman" w:hAnsi="Times New Roman"/>
          <w:lang w:val="fr-FR"/>
        </w:rPr>
        <w:t>basse jusqu’à</w:t>
      </w:r>
      <w:r w:rsidRPr="00515B8C">
        <w:rPr>
          <w:rFonts w:ascii="Times New Roman" w:hAnsi="Times New Roman"/>
          <w:lang w:val="fr-FR"/>
        </w:rPr>
        <w:t xml:space="preserve"> la plus élevée. Les estimations doivent être </w:t>
      </w:r>
      <w:r w:rsidR="001F1867" w:rsidRPr="00515B8C">
        <w:rPr>
          <w:rFonts w:ascii="Times New Roman" w:hAnsi="Times New Roman"/>
          <w:lang w:val="fr-FR"/>
        </w:rPr>
        <w:t>extraites du</w:t>
      </w:r>
      <w:r w:rsidRPr="00515B8C">
        <w:rPr>
          <w:rFonts w:ascii="Times New Roman" w:hAnsi="Times New Roman"/>
          <w:lang w:val="fr-FR"/>
        </w:rPr>
        <w:t xml:space="preserve"> dernier Rapport sur l’état de conservation (CSR -</w:t>
      </w:r>
      <w:r w:rsidRPr="00515B8C">
        <w:rPr>
          <w:rFonts w:ascii="Times New Roman" w:hAnsi="Times New Roman"/>
          <w:i/>
          <w:lang w:val="fr-FR"/>
        </w:rPr>
        <w:t>Conservation Status</w:t>
      </w:r>
      <w:r w:rsidR="001F1867">
        <w:rPr>
          <w:rFonts w:ascii="Times New Roman" w:hAnsi="Times New Roman"/>
          <w:i/>
          <w:lang w:val="fr-FR"/>
        </w:rPr>
        <w:t xml:space="preserve"> </w:t>
      </w:r>
      <w:r w:rsidRPr="00515B8C">
        <w:rPr>
          <w:rFonts w:ascii="Times New Roman" w:hAnsi="Times New Roman"/>
          <w:i/>
          <w:lang w:val="fr-FR"/>
        </w:rPr>
        <w:t>Review</w:t>
      </w:r>
      <w:r w:rsidRPr="00515B8C">
        <w:rPr>
          <w:rFonts w:ascii="Times New Roman" w:hAnsi="Times New Roman"/>
          <w:lang w:val="fr-FR"/>
        </w:rPr>
        <w:t xml:space="preserve">). Lorsque l’estimation de la taille d’une population </w:t>
      </w:r>
      <w:r w:rsidR="001F1867" w:rsidRPr="00515B8C">
        <w:rPr>
          <w:rFonts w:ascii="Times New Roman" w:hAnsi="Times New Roman"/>
          <w:lang w:val="fr-FR"/>
        </w:rPr>
        <w:t>est exprimée</w:t>
      </w:r>
      <w:r w:rsidRPr="00515B8C">
        <w:rPr>
          <w:rFonts w:ascii="Times New Roman" w:hAnsi="Times New Roman"/>
          <w:lang w:val="fr-FR"/>
        </w:rPr>
        <w:t xml:space="preserve"> par un intervalle (p. ex. 1-10 000), la moyenne géométrique est utilisée pour le classement (c.-à-d. 5000). Lorsque l’estimation de la taille d’une population est exprimée par un nombre fini (p. ex. 5000),</w:t>
      </w:r>
      <w:r w:rsidR="001F1867">
        <w:rPr>
          <w:rFonts w:ascii="Times New Roman" w:hAnsi="Times New Roman"/>
          <w:lang w:val="fr-FR"/>
        </w:rPr>
        <w:t xml:space="preserve"> </w:t>
      </w:r>
      <w:r w:rsidRPr="00515B8C">
        <w:rPr>
          <w:rFonts w:ascii="Times New Roman" w:hAnsi="Times New Roman"/>
          <w:lang w:val="fr-FR"/>
        </w:rPr>
        <w:t xml:space="preserve">la population est </w:t>
      </w:r>
      <w:r w:rsidR="001F1867" w:rsidRPr="00515B8C">
        <w:rPr>
          <w:rFonts w:ascii="Times New Roman" w:hAnsi="Times New Roman"/>
          <w:lang w:val="fr-FR"/>
        </w:rPr>
        <w:t>classé au-dessus</w:t>
      </w:r>
      <w:r w:rsidRPr="00515B8C">
        <w:rPr>
          <w:rFonts w:ascii="Times New Roman" w:hAnsi="Times New Roman"/>
          <w:lang w:val="fr-FR"/>
        </w:rPr>
        <w:t xml:space="preserve"> de toute </w:t>
      </w:r>
      <w:r w:rsidR="001F1867" w:rsidRPr="00515B8C">
        <w:rPr>
          <w:rFonts w:ascii="Times New Roman" w:hAnsi="Times New Roman"/>
          <w:lang w:val="fr-FR"/>
        </w:rPr>
        <w:t>population ayant</w:t>
      </w:r>
      <w:r w:rsidRPr="00515B8C">
        <w:rPr>
          <w:rFonts w:ascii="Times New Roman" w:hAnsi="Times New Roman"/>
          <w:lang w:val="fr-FR"/>
        </w:rPr>
        <w:t xml:space="preserve"> une moyenne géométrique égale mais dont l’estimation de la taille </w:t>
      </w:r>
      <w:r w:rsidR="001F1867" w:rsidRPr="00515B8C">
        <w:rPr>
          <w:rFonts w:ascii="Times New Roman" w:hAnsi="Times New Roman"/>
          <w:lang w:val="fr-FR"/>
        </w:rPr>
        <w:t>est exprimée</w:t>
      </w:r>
      <w:r w:rsidRPr="00515B8C">
        <w:rPr>
          <w:rFonts w:ascii="Times New Roman" w:hAnsi="Times New Roman"/>
          <w:lang w:val="fr-FR"/>
        </w:rPr>
        <w:t xml:space="preserve"> par un intervalle (p. ex. 5000 en tant qu’estimation exacte de la population est mieux </w:t>
      </w:r>
      <w:r w:rsidR="001F1867" w:rsidRPr="00515B8C">
        <w:rPr>
          <w:rFonts w:ascii="Times New Roman" w:hAnsi="Times New Roman"/>
          <w:lang w:val="fr-FR"/>
        </w:rPr>
        <w:t>classée que</w:t>
      </w:r>
      <w:r w:rsidRPr="00515B8C">
        <w:rPr>
          <w:rFonts w:ascii="Times New Roman" w:hAnsi="Times New Roman"/>
          <w:lang w:val="fr-FR"/>
        </w:rPr>
        <w:t xml:space="preserve"> 5000 en tant que moyenne géométrique de l’estimation de</w:t>
      </w:r>
      <w:r w:rsidR="001F1867">
        <w:rPr>
          <w:rFonts w:ascii="Times New Roman" w:hAnsi="Times New Roman"/>
          <w:lang w:val="fr-FR"/>
        </w:rPr>
        <w:t xml:space="preserve"> </w:t>
      </w:r>
      <w:r w:rsidRPr="00515B8C">
        <w:rPr>
          <w:rFonts w:ascii="Times New Roman" w:hAnsi="Times New Roman"/>
          <w:lang w:val="fr-FR"/>
        </w:rPr>
        <w:t>l’intervalle 1-10 000).</w:t>
      </w:r>
    </w:p>
    <w:p w:rsidR="00D269FE" w:rsidRPr="00515B8C" w:rsidRDefault="00D269FE" w:rsidP="00A330F7">
      <w:pPr>
        <w:pStyle w:val="ListParagraph"/>
        <w:rPr>
          <w:rFonts w:ascii="Times New Roman" w:hAnsi="Times New Roman"/>
          <w:lang w:val="fr-FR"/>
        </w:rPr>
      </w:pPr>
    </w:p>
    <w:p w:rsidR="00D269FE" w:rsidRPr="00515B8C" w:rsidRDefault="00D269FE" w:rsidP="00A330F7">
      <w:pPr>
        <w:pStyle w:val="ListParagraph"/>
        <w:spacing w:after="0" w:line="240" w:lineRule="auto"/>
        <w:ind w:left="1080"/>
        <w:jc w:val="both"/>
        <w:rPr>
          <w:rFonts w:ascii="Times New Roman" w:hAnsi="Times New Roman"/>
          <w:lang w:val="fr-FR"/>
        </w:rPr>
      </w:pPr>
      <w:r w:rsidRPr="00515B8C">
        <w:rPr>
          <w:rFonts w:ascii="Times New Roman" w:hAnsi="Times New Roman"/>
          <w:lang w:val="fr-FR"/>
        </w:rPr>
        <w:lastRenderedPageBreak/>
        <w:t xml:space="preserve">Lorsque deux ou plusieurs populations ont la même estimation de population, </w:t>
      </w:r>
      <w:r w:rsidR="00D86B48" w:rsidRPr="00515B8C">
        <w:rPr>
          <w:rFonts w:ascii="Times New Roman" w:hAnsi="Times New Roman"/>
          <w:lang w:val="fr-FR"/>
        </w:rPr>
        <w:t>celles appartenant</w:t>
      </w:r>
      <w:r w:rsidRPr="00515B8C">
        <w:rPr>
          <w:rFonts w:ascii="Times New Roman" w:hAnsi="Times New Roman"/>
          <w:lang w:val="fr-FR"/>
        </w:rPr>
        <w:t xml:space="preserve"> à des espèces dont les effectifs sont plus faibles au sein de la zone de l’Accord sont mieux classées.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pStyle w:val="ListParagraph"/>
        <w:numPr>
          <w:ilvl w:val="0"/>
          <w:numId w:val="3"/>
        </w:numPr>
        <w:spacing w:after="0" w:line="240" w:lineRule="auto"/>
        <w:jc w:val="both"/>
        <w:rPr>
          <w:rFonts w:ascii="Times New Roman" w:hAnsi="Times New Roman"/>
          <w:lang w:val="fr-FR"/>
        </w:rPr>
      </w:pPr>
      <w:r w:rsidRPr="00515B8C">
        <w:rPr>
          <w:rFonts w:ascii="Times New Roman" w:hAnsi="Times New Roman"/>
          <w:b/>
          <w:lang w:val="fr-FR"/>
        </w:rPr>
        <w:t>Estimation de la tendance de la population</w:t>
      </w:r>
      <w:r w:rsidRPr="00515B8C">
        <w:rPr>
          <w:rFonts w:ascii="Times New Roman" w:hAnsi="Times New Roman"/>
          <w:lang w:val="fr-FR"/>
        </w:rPr>
        <w:t xml:space="preserve"> - dans l’ordre décroissant : </w:t>
      </w:r>
      <w:r w:rsidRPr="00515B8C">
        <w:rPr>
          <w:rFonts w:ascii="Times New Roman" w:hAnsi="Times New Roman"/>
          <w:i/>
          <w:lang w:val="fr-FR"/>
        </w:rPr>
        <w:t>En déclin</w:t>
      </w:r>
      <w:r w:rsidRPr="00515B8C">
        <w:rPr>
          <w:rFonts w:ascii="Times New Roman" w:hAnsi="Times New Roman"/>
          <w:lang w:val="fr-FR"/>
        </w:rPr>
        <w:t xml:space="preserve">, </w:t>
      </w:r>
      <w:r w:rsidRPr="00515B8C">
        <w:rPr>
          <w:rFonts w:ascii="Times New Roman" w:hAnsi="Times New Roman"/>
          <w:i/>
          <w:lang w:val="fr-FR"/>
        </w:rPr>
        <w:t>Fluctuation</w:t>
      </w:r>
      <w:r w:rsidRPr="00515B8C">
        <w:rPr>
          <w:rFonts w:ascii="Times New Roman" w:hAnsi="Times New Roman"/>
          <w:lang w:val="fr-FR"/>
        </w:rPr>
        <w:t xml:space="preserve">, </w:t>
      </w:r>
      <w:r w:rsidRPr="00515B8C">
        <w:rPr>
          <w:rFonts w:ascii="Times New Roman" w:hAnsi="Times New Roman"/>
          <w:i/>
          <w:lang w:val="fr-FR"/>
        </w:rPr>
        <w:t>Inconnue</w:t>
      </w:r>
      <w:r w:rsidRPr="00515B8C">
        <w:rPr>
          <w:rFonts w:ascii="Times New Roman" w:hAnsi="Times New Roman"/>
          <w:lang w:val="fr-FR"/>
        </w:rPr>
        <w:t xml:space="preserve">, </w:t>
      </w:r>
      <w:r w:rsidRPr="00515B8C">
        <w:rPr>
          <w:rFonts w:ascii="Times New Roman" w:hAnsi="Times New Roman"/>
          <w:i/>
          <w:lang w:val="fr-FR"/>
        </w:rPr>
        <w:t xml:space="preserve">Stable </w:t>
      </w:r>
      <w:r w:rsidRPr="00515B8C">
        <w:rPr>
          <w:rFonts w:ascii="Times New Roman" w:hAnsi="Times New Roman"/>
          <w:lang w:val="fr-FR"/>
        </w:rPr>
        <w:t xml:space="preserve">et </w:t>
      </w:r>
      <w:r w:rsidRPr="00515B8C">
        <w:rPr>
          <w:rFonts w:ascii="Times New Roman" w:hAnsi="Times New Roman"/>
          <w:i/>
          <w:lang w:val="fr-FR"/>
        </w:rPr>
        <w:t>En augmentation</w:t>
      </w:r>
      <w:r w:rsidRPr="00515B8C">
        <w:rPr>
          <w:rFonts w:ascii="Times New Roman" w:hAnsi="Times New Roman"/>
          <w:lang w:val="fr-FR"/>
        </w:rPr>
        <w:t>, et avec des estimations tirées du dernier</w:t>
      </w:r>
      <w:r w:rsidR="001F1867">
        <w:rPr>
          <w:rFonts w:ascii="Times New Roman" w:hAnsi="Times New Roman"/>
          <w:lang w:val="fr-FR"/>
        </w:rPr>
        <w:t xml:space="preserve"> </w:t>
      </w:r>
      <w:r w:rsidRPr="00515B8C">
        <w:rPr>
          <w:rFonts w:ascii="Times New Roman" w:hAnsi="Times New Roman"/>
          <w:lang w:val="fr-FR"/>
        </w:rPr>
        <w:t>CSR.</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pStyle w:val="ListParagraph"/>
        <w:numPr>
          <w:ilvl w:val="0"/>
          <w:numId w:val="3"/>
        </w:numPr>
        <w:spacing w:after="0" w:line="240" w:lineRule="auto"/>
        <w:jc w:val="both"/>
        <w:rPr>
          <w:rFonts w:ascii="Times New Roman" w:hAnsi="Times New Roman"/>
          <w:lang w:val="fr-FR"/>
        </w:rPr>
      </w:pPr>
      <w:r w:rsidRPr="00515B8C">
        <w:rPr>
          <w:rFonts w:ascii="Times New Roman" w:hAnsi="Times New Roman"/>
          <w:b/>
          <w:lang w:val="fr-FR"/>
        </w:rPr>
        <w:t>Vulnérabilité au changement climatique</w:t>
      </w:r>
      <w:r w:rsidRPr="00515B8C">
        <w:rPr>
          <w:rFonts w:ascii="Times New Roman" w:hAnsi="Times New Roman"/>
          <w:lang w:val="fr-FR"/>
        </w:rPr>
        <w:t xml:space="preserve"> - </w:t>
      </w:r>
      <w:r w:rsidRPr="00515B8C">
        <w:rPr>
          <w:rFonts w:ascii="Times New Roman" w:hAnsi="Times New Roman"/>
          <w:i/>
          <w:lang w:val="fr-FR"/>
        </w:rPr>
        <w:t>Élevée</w:t>
      </w:r>
      <w:r w:rsidRPr="00515B8C">
        <w:rPr>
          <w:rFonts w:ascii="Times New Roman" w:hAnsi="Times New Roman"/>
          <w:lang w:val="fr-FR"/>
        </w:rPr>
        <w:t xml:space="preserve">, </w:t>
      </w:r>
      <w:r w:rsidR="001F1867" w:rsidRPr="00515B8C">
        <w:rPr>
          <w:rFonts w:ascii="Times New Roman" w:hAnsi="Times New Roman"/>
          <w:i/>
          <w:lang w:val="fr-FR"/>
        </w:rPr>
        <w:t>Moyenne</w:t>
      </w:r>
      <w:r w:rsidR="001F1867" w:rsidRPr="00515B8C">
        <w:rPr>
          <w:rFonts w:ascii="Times New Roman" w:hAnsi="Times New Roman"/>
          <w:lang w:val="fr-FR"/>
        </w:rPr>
        <w:t xml:space="preserve"> ou</w:t>
      </w:r>
      <w:r w:rsidRPr="00515B8C">
        <w:rPr>
          <w:rFonts w:ascii="Times New Roman" w:hAnsi="Times New Roman"/>
          <w:lang w:val="fr-FR"/>
        </w:rPr>
        <w:t xml:space="preserve"> </w:t>
      </w:r>
      <w:r w:rsidRPr="00515B8C">
        <w:rPr>
          <w:rFonts w:ascii="Times New Roman" w:hAnsi="Times New Roman"/>
          <w:i/>
          <w:lang w:val="fr-FR"/>
        </w:rPr>
        <w:t>Faible</w:t>
      </w:r>
      <w:r w:rsidRPr="00515B8C">
        <w:rPr>
          <w:rFonts w:ascii="Times New Roman" w:hAnsi="Times New Roman"/>
          <w:lang w:val="fr-FR"/>
        </w:rPr>
        <w:t>, selon le rapport sur les effets du changement climatique sur les oiseaux d’eau migrateurs de la voie de migration d’Afrique-Eurasie présenté à la MOP4 (AEWA/MOP 4.27).</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b/>
          <w:u w:val="single"/>
          <w:lang w:val="fr-FR"/>
        </w:rPr>
      </w:pPr>
      <w:r w:rsidRPr="00515B8C">
        <w:rPr>
          <w:rFonts w:ascii="Times New Roman" w:hAnsi="Times New Roman"/>
          <w:b/>
          <w:u w:val="single"/>
          <w:lang w:val="fr-FR"/>
        </w:rPr>
        <w:t>A2.Critères de définition des priorités pour les plans internationaux de gestion par espèce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96203D">
      <w:pPr>
        <w:spacing w:after="0" w:line="240" w:lineRule="auto"/>
        <w:ind w:left="1440" w:hanging="1440"/>
        <w:jc w:val="both"/>
        <w:rPr>
          <w:rFonts w:ascii="Times New Roman" w:hAnsi="Times New Roman"/>
          <w:lang w:val="fr-FR"/>
        </w:rPr>
      </w:pPr>
      <w:r w:rsidRPr="00515B8C">
        <w:rPr>
          <w:rFonts w:ascii="Times New Roman" w:hAnsi="Times New Roman"/>
          <w:lang w:val="fr-FR"/>
        </w:rPr>
        <w:t xml:space="preserve">Objectif : </w:t>
      </w:r>
      <w:r w:rsidRPr="00515B8C">
        <w:rPr>
          <w:rFonts w:ascii="Times New Roman" w:hAnsi="Times New Roman"/>
          <w:lang w:val="fr-FR"/>
        </w:rPr>
        <w:tab/>
        <w:t xml:space="preserve">L’AEWA prévoit également la </w:t>
      </w:r>
      <w:r w:rsidR="001F1867" w:rsidRPr="00515B8C">
        <w:rPr>
          <w:rFonts w:ascii="Times New Roman" w:hAnsi="Times New Roman"/>
          <w:lang w:val="fr-FR"/>
        </w:rPr>
        <w:t>réglementation des</w:t>
      </w:r>
      <w:r w:rsidRPr="00515B8C">
        <w:rPr>
          <w:rFonts w:ascii="Times New Roman" w:hAnsi="Times New Roman"/>
          <w:lang w:val="fr-FR"/>
        </w:rPr>
        <w:t xml:space="preserve"> </w:t>
      </w:r>
      <w:r w:rsidR="001F1867" w:rsidRPr="00515B8C">
        <w:rPr>
          <w:rFonts w:ascii="Times New Roman" w:hAnsi="Times New Roman"/>
          <w:lang w:val="fr-FR"/>
        </w:rPr>
        <w:t>prélèvements portant</w:t>
      </w:r>
      <w:r w:rsidRPr="00515B8C">
        <w:rPr>
          <w:rFonts w:ascii="Times New Roman" w:hAnsi="Times New Roman"/>
          <w:lang w:val="fr-FR"/>
        </w:rPr>
        <w:t xml:space="preserve"> sur des espèces/populations couvertes par l’Accord. Les plans de gestion de l’AEWA ont donc pour objectif de restaurer ou de maintenir dans un état de conservation favorable les espèces/populations faisant l’objet d’interactions</w:t>
      </w:r>
      <w:r w:rsidR="001F1867">
        <w:rPr>
          <w:rFonts w:ascii="Times New Roman" w:hAnsi="Times New Roman"/>
          <w:lang w:val="fr-FR"/>
        </w:rPr>
        <w:t xml:space="preserve"> </w:t>
      </w:r>
      <w:r w:rsidRPr="00515B8C">
        <w:rPr>
          <w:rFonts w:ascii="Times New Roman" w:hAnsi="Times New Roman"/>
          <w:lang w:val="fr-FR"/>
        </w:rPr>
        <w:t>avec</w:t>
      </w:r>
      <w:r w:rsidR="001F1867">
        <w:rPr>
          <w:rFonts w:ascii="Times New Roman" w:hAnsi="Times New Roman"/>
          <w:lang w:val="fr-FR"/>
        </w:rPr>
        <w:t xml:space="preserve"> </w:t>
      </w:r>
      <w:r w:rsidRPr="00515B8C">
        <w:rPr>
          <w:rFonts w:ascii="Times New Roman" w:hAnsi="Times New Roman"/>
          <w:lang w:val="fr-FR"/>
        </w:rPr>
        <w:t>l’homme. Les plans de gestion peuvent être élaborés pour des espèces/populations figurant dans les colonnes B ou C du Tableau 1 du Plan d’action de l’AEWA.</w:t>
      </w:r>
    </w:p>
    <w:p w:rsidR="00D269FE" w:rsidRPr="00515B8C" w:rsidRDefault="00D269FE" w:rsidP="0096203D">
      <w:pPr>
        <w:spacing w:after="0" w:line="240" w:lineRule="auto"/>
        <w:ind w:left="1440" w:hanging="1440"/>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Il existe deux types de plans de gestion en vertu de l’Accord - ceux ayant un objectif de restauration et ceux visant à gérer les populations causant des dommages significatifs à l’agriculture ou à la pêche, tout en maintenant un état de conservation favorable.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96203D">
      <w:pPr>
        <w:pStyle w:val="ListParagraph"/>
        <w:numPr>
          <w:ilvl w:val="0"/>
          <w:numId w:val="10"/>
        </w:numPr>
        <w:spacing w:after="0" w:line="240" w:lineRule="auto"/>
        <w:jc w:val="both"/>
        <w:rPr>
          <w:rFonts w:ascii="Times New Roman" w:hAnsi="Times New Roman"/>
          <w:b/>
          <w:lang w:val="fr-FR"/>
        </w:rPr>
      </w:pPr>
      <w:r w:rsidRPr="00515B8C">
        <w:rPr>
          <w:rFonts w:ascii="Times New Roman" w:hAnsi="Times New Roman"/>
          <w:b/>
          <w:lang w:val="fr-FR"/>
        </w:rPr>
        <w:t>Plan de gestion ayant un objectif de restauration</w:t>
      </w:r>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Ce type de plans’</w:t>
      </w:r>
      <w:r w:rsidR="001F1867">
        <w:rPr>
          <w:rFonts w:ascii="Times New Roman" w:hAnsi="Times New Roman"/>
          <w:lang w:val="fr-FR"/>
        </w:rPr>
        <w:t xml:space="preserve"> </w:t>
      </w:r>
      <w:r w:rsidRPr="00515B8C">
        <w:rPr>
          <w:rFonts w:ascii="Times New Roman" w:hAnsi="Times New Roman"/>
          <w:lang w:val="fr-FR"/>
        </w:rPr>
        <w:t xml:space="preserve">applique aux </w:t>
      </w:r>
      <w:r w:rsidRPr="00515B8C">
        <w:rPr>
          <w:rFonts w:ascii="Times New Roman" w:hAnsi="Times New Roman"/>
          <w:u w:val="single"/>
          <w:lang w:val="fr-FR"/>
        </w:rPr>
        <w:t xml:space="preserve">espèces/populations figurant en catégorie 2c </w:t>
      </w:r>
      <w:r w:rsidRPr="00D72820">
        <w:rPr>
          <w:rFonts w:ascii="Times New Roman" w:hAnsi="Times New Roman"/>
          <w:u w:val="single"/>
          <w:lang w:val="fr-FR"/>
        </w:rPr>
        <w:t>dans</w:t>
      </w:r>
      <w:r w:rsidR="001F1867">
        <w:rPr>
          <w:rFonts w:ascii="Times New Roman" w:hAnsi="Times New Roman"/>
          <w:u w:val="single"/>
          <w:lang w:val="fr-FR"/>
        </w:rPr>
        <w:t xml:space="preserve"> </w:t>
      </w:r>
      <w:r w:rsidRPr="00D72820">
        <w:rPr>
          <w:rFonts w:ascii="Times New Roman" w:hAnsi="Times New Roman"/>
          <w:u w:val="single"/>
          <w:lang w:val="fr-FR"/>
        </w:rPr>
        <w:t>la colonne</w:t>
      </w:r>
      <w:r w:rsidRPr="00515B8C">
        <w:rPr>
          <w:rFonts w:ascii="Times New Roman" w:hAnsi="Times New Roman"/>
          <w:u w:val="single"/>
          <w:lang w:val="fr-FR"/>
        </w:rPr>
        <w:t xml:space="preserve"> B </w:t>
      </w:r>
      <w:r w:rsidRPr="00515B8C">
        <w:rPr>
          <w:rFonts w:ascii="Times New Roman" w:hAnsi="Times New Roman"/>
          <w:lang w:val="fr-FR"/>
        </w:rPr>
        <w:t xml:space="preserve">(montrant un déclin significatif à long terme) </w:t>
      </w:r>
      <w:r w:rsidRPr="00515B8C">
        <w:rPr>
          <w:rFonts w:ascii="Times New Roman" w:hAnsi="Times New Roman"/>
          <w:u w:val="single"/>
          <w:lang w:val="fr-FR"/>
        </w:rPr>
        <w:t>et 2d</w:t>
      </w:r>
      <w:r w:rsidRPr="00515B8C">
        <w:rPr>
          <w:rFonts w:ascii="Times New Roman" w:hAnsi="Times New Roman"/>
          <w:lang w:val="fr-FR"/>
        </w:rPr>
        <w:t xml:space="preserve"> (montrant de fortes fluctuations de la taille ou de la tendance de la population) faisant l’objet de </w:t>
      </w:r>
      <w:r w:rsidR="001F1867" w:rsidRPr="00515B8C">
        <w:rPr>
          <w:rFonts w:ascii="Times New Roman" w:hAnsi="Times New Roman"/>
          <w:lang w:val="fr-FR"/>
        </w:rPr>
        <w:t>prélèvements pouvant</w:t>
      </w:r>
      <w:r w:rsidRPr="00515B8C">
        <w:rPr>
          <w:rFonts w:ascii="Times New Roman" w:hAnsi="Times New Roman"/>
          <w:lang w:val="fr-FR"/>
        </w:rPr>
        <w:t xml:space="preserve"> ou </w:t>
      </w:r>
      <w:r w:rsidR="001F1867" w:rsidRPr="00515B8C">
        <w:rPr>
          <w:rFonts w:ascii="Times New Roman" w:hAnsi="Times New Roman"/>
          <w:lang w:val="fr-FR"/>
        </w:rPr>
        <w:t>non leur</w:t>
      </w:r>
      <w:r w:rsidRPr="00515B8C">
        <w:rPr>
          <w:rFonts w:ascii="Times New Roman" w:hAnsi="Times New Roman"/>
          <w:lang w:val="fr-FR"/>
        </w:rPr>
        <w:t xml:space="preserve"> causer des dommages.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Les priorités d’élaboration de plans de gestion pour ce groupe d’espèces/populations seront définies selon les deux critères suivants, à appliquer consécutivement:</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E618DA">
      <w:pPr>
        <w:pStyle w:val="ListParagraph"/>
        <w:numPr>
          <w:ilvl w:val="0"/>
          <w:numId w:val="7"/>
        </w:numPr>
        <w:spacing w:after="0" w:line="240" w:lineRule="auto"/>
        <w:jc w:val="both"/>
        <w:rPr>
          <w:rFonts w:ascii="Times New Roman" w:hAnsi="Times New Roman"/>
          <w:lang w:val="fr-FR"/>
        </w:rPr>
      </w:pPr>
      <w:r w:rsidRPr="00515B8C">
        <w:rPr>
          <w:rFonts w:ascii="Times New Roman" w:hAnsi="Times New Roman"/>
          <w:b/>
          <w:lang w:val="fr-FR"/>
        </w:rPr>
        <w:t xml:space="preserve">Estimation de la taille de la population - </w:t>
      </w:r>
      <w:r w:rsidRPr="00515B8C">
        <w:rPr>
          <w:rFonts w:ascii="Times New Roman" w:hAnsi="Times New Roman"/>
          <w:lang w:val="fr-FR"/>
        </w:rPr>
        <w:t>dans l’ordre décroissant depuis l’estimation la plus basse jusqu’à la plus élevée. Les estimations doivent être extraites du dernier Rapport sur l’état de conservation (CSR -</w:t>
      </w:r>
      <w:r w:rsidRPr="00515B8C">
        <w:rPr>
          <w:rFonts w:ascii="Times New Roman" w:hAnsi="Times New Roman"/>
          <w:i/>
          <w:lang w:val="fr-FR"/>
        </w:rPr>
        <w:t>Conservation Status</w:t>
      </w:r>
      <w:r w:rsidR="001F1867">
        <w:rPr>
          <w:rFonts w:ascii="Times New Roman" w:hAnsi="Times New Roman"/>
          <w:i/>
          <w:lang w:val="fr-FR"/>
        </w:rPr>
        <w:t xml:space="preserve"> </w:t>
      </w:r>
      <w:r w:rsidRPr="00515B8C">
        <w:rPr>
          <w:rFonts w:ascii="Times New Roman" w:hAnsi="Times New Roman"/>
          <w:i/>
          <w:lang w:val="fr-FR"/>
        </w:rPr>
        <w:t>Review</w:t>
      </w:r>
      <w:r w:rsidRPr="00515B8C">
        <w:rPr>
          <w:rFonts w:ascii="Times New Roman" w:hAnsi="Times New Roman"/>
          <w:lang w:val="fr-FR"/>
        </w:rPr>
        <w:t xml:space="preserve">). Lorsque l’estimation de la taille d’une population est exprimée par un intervalle (p. ex. 1-10 000), la moyenne géométrique est utilisée pour le classement (c.-à-d. 5000). Lorsque l’estimation de la taille d’une population est exprimée par un nombre fini (p. ex. 5000), la population est classée au-dessus de toute population ayant une moyenne géométrique égale mais dont l’estimation de la taille est exprimée par un intervalle (p. ex. 5000 en tant qu’estimation exacte de la population est mieux classée que 5000 en tant que moyenne géométrique de l’estimation de l’intervalle 1-10 000). </w:t>
      </w:r>
    </w:p>
    <w:p w:rsidR="00D269FE" w:rsidRPr="00515B8C" w:rsidRDefault="00D269FE" w:rsidP="00BC0A06">
      <w:pPr>
        <w:pStyle w:val="ListParagraph"/>
        <w:spacing w:after="0" w:line="240" w:lineRule="auto"/>
        <w:ind w:left="1080"/>
        <w:jc w:val="both"/>
        <w:rPr>
          <w:rFonts w:ascii="Times New Roman" w:hAnsi="Times New Roman"/>
          <w:lang w:val="fr-FR"/>
        </w:rPr>
      </w:pPr>
    </w:p>
    <w:p w:rsidR="00D269FE" w:rsidRPr="00515B8C" w:rsidRDefault="00D269FE" w:rsidP="00BC0A06">
      <w:pPr>
        <w:pStyle w:val="ListParagraph"/>
        <w:spacing w:after="0" w:line="240" w:lineRule="auto"/>
        <w:ind w:left="1080"/>
        <w:jc w:val="both"/>
        <w:rPr>
          <w:rFonts w:ascii="Times New Roman" w:hAnsi="Times New Roman"/>
          <w:lang w:val="fr-FR"/>
        </w:rPr>
      </w:pPr>
      <w:r w:rsidRPr="00515B8C">
        <w:rPr>
          <w:rFonts w:ascii="Times New Roman" w:hAnsi="Times New Roman"/>
          <w:lang w:val="fr-FR"/>
        </w:rPr>
        <w:t>Lorsque deux ou plusieurs populations ont la même estimation de population, celles appartenant à des espèces dont les effectifs sont plus faibles au sein de la zone de l’Accord sont mieux classées.</w:t>
      </w:r>
    </w:p>
    <w:p w:rsidR="00D269FE" w:rsidRPr="00515B8C" w:rsidRDefault="00D269FE" w:rsidP="004F25FA">
      <w:pPr>
        <w:pStyle w:val="ListParagraph"/>
        <w:spacing w:after="0" w:line="240" w:lineRule="auto"/>
        <w:ind w:left="1080"/>
        <w:jc w:val="both"/>
        <w:rPr>
          <w:rFonts w:ascii="Times New Roman" w:hAnsi="Times New Roman"/>
          <w:lang w:val="fr-FR"/>
        </w:rPr>
      </w:pPr>
    </w:p>
    <w:p w:rsidR="00D269FE" w:rsidRPr="00515B8C" w:rsidRDefault="00D269FE" w:rsidP="00D453DA">
      <w:pPr>
        <w:pStyle w:val="ListParagraph"/>
        <w:numPr>
          <w:ilvl w:val="0"/>
          <w:numId w:val="7"/>
        </w:numPr>
        <w:spacing w:after="0" w:line="240" w:lineRule="auto"/>
        <w:jc w:val="both"/>
        <w:rPr>
          <w:rFonts w:ascii="Times New Roman" w:hAnsi="Times New Roman"/>
          <w:lang w:val="fr-FR"/>
        </w:rPr>
      </w:pPr>
      <w:r w:rsidRPr="00515B8C">
        <w:rPr>
          <w:rFonts w:ascii="Times New Roman" w:hAnsi="Times New Roman"/>
          <w:b/>
          <w:lang w:val="fr-FR"/>
        </w:rPr>
        <w:t>Estimation de la tendance de la population</w:t>
      </w:r>
      <w:r w:rsidRPr="00515B8C">
        <w:rPr>
          <w:rFonts w:ascii="Times New Roman" w:hAnsi="Times New Roman"/>
          <w:lang w:val="fr-FR"/>
        </w:rPr>
        <w:t xml:space="preserve"> - dans l’ordre décroissant : </w:t>
      </w:r>
      <w:r w:rsidRPr="00515B8C">
        <w:rPr>
          <w:rFonts w:ascii="Times New Roman" w:hAnsi="Times New Roman"/>
          <w:i/>
          <w:lang w:val="fr-FR"/>
        </w:rPr>
        <w:t>En déclin</w:t>
      </w:r>
      <w:r w:rsidRPr="00515B8C">
        <w:rPr>
          <w:rFonts w:ascii="Times New Roman" w:hAnsi="Times New Roman"/>
          <w:lang w:val="fr-FR"/>
        </w:rPr>
        <w:t xml:space="preserve">, </w:t>
      </w:r>
      <w:r w:rsidRPr="00515B8C">
        <w:rPr>
          <w:rFonts w:ascii="Times New Roman" w:hAnsi="Times New Roman"/>
          <w:i/>
          <w:lang w:val="fr-FR"/>
        </w:rPr>
        <w:t>Fluctuation</w:t>
      </w:r>
      <w:r w:rsidRPr="00515B8C">
        <w:rPr>
          <w:rFonts w:ascii="Times New Roman" w:hAnsi="Times New Roman"/>
          <w:lang w:val="fr-FR"/>
        </w:rPr>
        <w:t xml:space="preserve">, </w:t>
      </w:r>
      <w:r w:rsidRPr="00515B8C">
        <w:rPr>
          <w:rFonts w:ascii="Times New Roman" w:hAnsi="Times New Roman"/>
          <w:i/>
          <w:lang w:val="fr-FR"/>
        </w:rPr>
        <w:t>Inconnue</w:t>
      </w:r>
      <w:r w:rsidRPr="00515B8C">
        <w:rPr>
          <w:rFonts w:ascii="Times New Roman" w:hAnsi="Times New Roman"/>
          <w:lang w:val="fr-FR"/>
        </w:rPr>
        <w:t xml:space="preserve">, </w:t>
      </w:r>
      <w:r w:rsidRPr="00515B8C">
        <w:rPr>
          <w:rFonts w:ascii="Times New Roman" w:hAnsi="Times New Roman"/>
          <w:i/>
          <w:lang w:val="fr-FR"/>
        </w:rPr>
        <w:t xml:space="preserve">Stable </w:t>
      </w:r>
      <w:r w:rsidRPr="00515B8C">
        <w:rPr>
          <w:rFonts w:ascii="Times New Roman" w:hAnsi="Times New Roman"/>
          <w:lang w:val="fr-FR"/>
        </w:rPr>
        <w:t xml:space="preserve">et </w:t>
      </w:r>
      <w:r w:rsidRPr="00515B8C">
        <w:rPr>
          <w:rFonts w:ascii="Times New Roman" w:hAnsi="Times New Roman"/>
          <w:i/>
          <w:lang w:val="fr-FR"/>
        </w:rPr>
        <w:t>En augmentation</w:t>
      </w:r>
      <w:r w:rsidRPr="00515B8C">
        <w:rPr>
          <w:rFonts w:ascii="Times New Roman" w:hAnsi="Times New Roman"/>
          <w:lang w:val="fr-FR"/>
        </w:rPr>
        <w:t>, et avec des estimations tirées du dernier CSR.</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pStyle w:val="ListParagraph"/>
        <w:numPr>
          <w:ilvl w:val="0"/>
          <w:numId w:val="10"/>
        </w:numPr>
        <w:spacing w:after="0" w:line="240" w:lineRule="auto"/>
        <w:jc w:val="both"/>
        <w:rPr>
          <w:rFonts w:ascii="Times New Roman" w:hAnsi="Times New Roman"/>
          <w:b/>
          <w:lang w:val="fr-FR"/>
        </w:rPr>
      </w:pPr>
      <w:r w:rsidRPr="00515B8C">
        <w:rPr>
          <w:rFonts w:ascii="Times New Roman" w:hAnsi="Times New Roman"/>
          <w:b/>
          <w:lang w:val="fr-FR"/>
        </w:rPr>
        <w:t xml:space="preserve">Plans de gestion visant à gérer les populations qui causent des dommages significatifs à l’agriculture ou à la pêche, tout en les maintenant dans un état de conservation favorable </w:t>
      </w:r>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Ces types de plans correspondent aux </w:t>
      </w:r>
      <w:r w:rsidRPr="00515B8C">
        <w:rPr>
          <w:rFonts w:ascii="Times New Roman" w:hAnsi="Times New Roman"/>
          <w:u w:val="single"/>
          <w:lang w:val="fr-FR"/>
        </w:rPr>
        <w:t>espèces/populations qui causent des dommages significatifs et qui figurent dans les colonnes B ou C</w:t>
      </w:r>
      <w:r w:rsidRPr="00515B8C">
        <w:rPr>
          <w:rFonts w:ascii="Times New Roman" w:hAnsi="Times New Roman"/>
          <w:lang w:val="fr-FR"/>
        </w:rPr>
        <w:t>.</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Les priorités d’élaboration de plans de gestion pour ce groupe d’espèces/populations seront définies selon les deux critères suivants, à appliquer consécutivement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230390">
      <w:pPr>
        <w:pStyle w:val="ListParagraph"/>
        <w:numPr>
          <w:ilvl w:val="0"/>
          <w:numId w:val="6"/>
        </w:numPr>
        <w:spacing w:after="0" w:line="240" w:lineRule="auto"/>
        <w:jc w:val="both"/>
        <w:rPr>
          <w:rFonts w:ascii="Times New Roman" w:hAnsi="Times New Roman"/>
          <w:lang w:val="fr-FR"/>
        </w:rPr>
      </w:pPr>
      <w:r w:rsidRPr="00515B8C">
        <w:rPr>
          <w:rFonts w:ascii="Times New Roman" w:hAnsi="Times New Roman"/>
          <w:b/>
          <w:lang w:val="fr-FR"/>
        </w:rPr>
        <w:t>Estimation de la tendance de la population</w:t>
      </w:r>
      <w:r w:rsidRPr="00515B8C">
        <w:rPr>
          <w:rFonts w:ascii="Times New Roman" w:hAnsi="Times New Roman"/>
          <w:lang w:val="fr-FR"/>
        </w:rPr>
        <w:t xml:space="preserve"> - dans l’ordre décroissant depuis l’estimation la plus </w:t>
      </w:r>
      <w:r w:rsidR="00D86B48" w:rsidRPr="00515B8C">
        <w:rPr>
          <w:rFonts w:ascii="Times New Roman" w:hAnsi="Times New Roman"/>
          <w:lang w:val="fr-FR"/>
        </w:rPr>
        <w:t>haute jusqu’à</w:t>
      </w:r>
      <w:r w:rsidRPr="00515B8C">
        <w:rPr>
          <w:rFonts w:ascii="Times New Roman" w:hAnsi="Times New Roman"/>
          <w:lang w:val="fr-FR"/>
        </w:rPr>
        <w:t xml:space="preserve"> la plus basse : </w:t>
      </w:r>
      <w:r w:rsidRPr="00515B8C">
        <w:rPr>
          <w:rFonts w:ascii="Times New Roman" w:hAnsi="Times New Roman"/>
          <w:i/>
          <w:lang w:val="fr-FR"/>
        </w:rPr>
        <w:t>En augmentation</w:t>
      </w:r>
      <w:r w:rsidRPr="00515B8C">
        <w:rPr>
          <w:rFonts w:ascii="Times New Roman" w:hAnsi="Times New Roman"/>
          <w:lang w:val="fr-FR"/>
        </w:rPr>
        <w:t xml:space="preserve">, </w:t>
      </w:r>
      <w:r w:rsidRPr="00515B8C">
        <w:rPr>
          <w:rFonts w:ascii="Times New Roman" w:hAnsi="Times New Roman"/>
          <w:i/>
          <w:lang w:val="fr-FR"/>
        </w:rPr>
        <w:t>Stable</w:t>
      </w:r>
      <w:r w:rsidRPr="00515B8C">
        <w:rPr>
          <w:rFonts w:ascii="Times New Roman" w:hAnsi="Times New Roman"/>
          <w:lang w:val="fr-FR"/>
        </w:rPr>
        <w:t xml:space="preserve"> et </w:t>
      </w:r>
      <w:r w:rsidRPr="00515B8C">
        <w:rPr>
          <w:rFonts w:ascii="Times New Roman" w:hAnsi="Times New Roman"/>
          <w:i/>
          <w:lang w:val="fr-FR"/>
        </w:rPr>
        <w:t>Inconnue</w:t>
      </w:r>
      <w:r w:rsidRPr="00515B8C">
        <w:rPr>
          <w:rFonts w:ascii="Times New Roman" w:hAnsi="Times New Roman"/>
          <w:lang w:val="fr-FR"/>
        </w:rPr>
        <w:t>. Les estimations doivent être extraites du dernier CSR.</w:t>
      </w:r>
    </w:p>
    <w:p w:rsidR="00D269FE" w:rsidRPr="00515B8C" w:rsidRDefault="00D269FE" w:rsidP="00C33A20">
      <w:pPr>
        <w:pStyle w:val="ListParagraph"/>
        <w:spacing w:after="0" w:line="240" w:lineRule="auto"/>
        <w:jc w:val="both"/>
        <w:rPr>
          <w:rFonts w:ascii="Times New Roman" w:hAnsi="Times New Roman"/>
          <w:lang w:val="fr-FR"/>
        </w:rPr>
      </w:pPr>
    </w:p>
    <w:p w:rsidR="00D269FE" w:rsidRPr="00515B8C" w:rsidRDefault="00D269FE" w:rsidP="00D453DA">
      <w:pPr>
        <w:pStyle w:val="ListParagraph"/>
        <w:numPr>
          <w:ilvl w:val="0"/>
          <w:numId w:val="6"/>
        </w:numPr>
        <w:spacing w:after="0" w:line="240" w:lineRule="auto"/>
        <w:jc w:val="both"/>
        <w:rPr>
          <w:rFonts w:ascii="Times New Roman" w:hAnsi="Times New Roman"/>
          <w:lang w:val="fr-FR"/>
        </w:rPr>
      </w:pPr>
      <w:r w:rsidRPr="00515B8C">
        <w:rPr>
          <w:rFonts w:ascii="Times New Roman" w:hAnsi="Times New Roman"/>
          <w:b/>
          <w:lang w:val="fr-FR"/>
        </w:rPr>
        <w:t xml:space="preserve">Estimation de la taille de la population - </w:t>
      </w:r>
      <w:r w:rsidRPr="00515B8C">
        <w:rPr>
          <w:rFonts w:ascii="Times New Roman" w:hAnsi="Times New Roman"/>
          <w:lang w:val="fr-FR"/>
        </w:rPr>
        <w:t>dans l’ordre décroissant depuis l’estimation la plus basse jusqu’à la plus élevée. Les estimations doivent être extraites du dernier Rapport sur l’état de conservation (CSR -</w:t>
      </w:r>
      <w:r w:rsidRPr="00515B8C">
        <w:rPr>
          <w:rFonts w:ascii="Times New Roman" w:hAnsi="Times New Roman"/>
          <w:i/>
          <w:lang w:val="fr-FR"/>
        </w:rPr>
        <w:t>Conservation Status</w:t>
      </w:r>
      <w:r w:rsidR="001F1867">
        <w:rPr>
          <w:rFonts w:ascii="Times New Roman" w:hAnsi="Times New Roman"/>
          <w:i/>
          <w:lang w:val="fr-FR"/>
        </w:rPr>
        <w:t xml:space="preserve"> </w:t>
      </w:r>
      <w:r w:rsidRPr="00515B8C">
        <w:rPr>
          <w:rFonts w:ascii="Times New Roman" w:hAnsi="Times New Roman"/>
          <w:i/>
          <w:lang w:val="fr-FR"/>
        </w:rPr>
        <w:t>Review</w:t>
      </w:r>
      <w:r w:rsidRPr="00515B8C">
        <w:rPr>
          <w:rFonts w:ascii="Times New Roman" w:hAnsi="Times New Roman"/>
          <w:lang w:val="fr-FR"/>
        </w:rPr>
        <w:t>). Lorsque l’estimation de la taille d’une population est exprimée par un intervalle (p. ex. 1-10 000), la moyenne géométrique est utilisée pour le classement (c.-à-d. 5000). Lorsque l’estimation de la taille d’une population est exprimée par un nombre fini (p. ex. 5000), la population est classée au-dessus de toute population ayant une moyenne géométrique égale mais dont l’estimation de la taille est exprimée par un intervalle (p. ex. 5000 en tant qu’estimation exacte de la population est mieux classée que 5000 en tant que moyenne géométrique de l’estimation de l’intervalle 1-10 000).</w:t>
      </w:r>
    </w:p>
    <w:p w:rsidR="00D269FE" w:rsidRPr="00515B8C" w:rsidRDefault="00D269FE" w:rsidP="004F25FA">
      <w:pPr>
        <w:jc w:val="both"/>
        <w:rPr>
          <w:rFonts w:ascii="Times New Roman" w:hAnsi="Times New Roman"/>
          <w:b/>
          <w:lang w:val="fr-FR"/>
        </w:rPr>
      </w:pPr>
      <w:r w:rsidRPr="00515B8C">
        <w:rPr>
          <w:rFonts w:ascii="Times New Roman" w:hAnsi="Times New Roman"/>
          <w:b/>
          <w:lang w:val="fr-FR"/>
        </w:rPr>
        <w:br w:type="page"/>
      </w:r>
    </w:p>
    <w:p w:rsidR="00D269FE" w:rsidRPr="00515B8C" w:rsidRDefault="00D269FE" w:rsidP="00230390">
      <w:pPr>
        <w:pStyle w:val="ListParagraph"/>
        <w:numPr>
          <w:ilvl w:val="0"/>
          <w:numId w:val="9"/>
        </w:numPr>
        <w:spacing w:after="0" w:line="240" w:lineRule="auto"/>
        <w:jc w:val="both"/>
        <w:rPr>
          <w:rFonts w:ascii="Times New Roman" w:hAnsi="Times New Roman"/>
          <w:b/>
          <w:lang w:val="fr-FR"/>
        </w:rPr>
      </w:pPr>
      <w:r w:rsidRPr="00515B8C">
        <w:rPr>
          <w:rFonts w:ascii="Times New Roman" w:hAnsi="Times New Roman"/>
          <w:b/>
          <w:lang w:val="fr-FR"/>
        </w:rPr>
        <w:t xml:space="preserve">PROCESSUS D’ÉVALUATION DES PLANS D’ACTION INTERNATIONAUX PAR ESPÈCE DE L’AEWA EN VUE DE LEUR RÉVISION OU DE LEUR RETRAIT </w:t>
      </w:r>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4F25FA">
      <w:pPr>
        <w:spacing w:after="0" w:line="240" w:lineRule="auto"/>
        <w:jc w:val="both"/>
        <w:rPr>
          <w:rFonts w:ascii="Times New Roman" w:hAnsi="Times New Roman"/>
          <w:u w:val="single"/>
          <w:lang w:val="fr-FR"/>
        </w:rPr>
      </w:pPr>
      <w:r w:rsidRPr="00515B8C">
        <w:rPr>
          <w:rFonts w:ascii="Times New Roman" w:hAnsi="Times New Roman"/>
          <w:u w:val="single"/>
          <w:lang w:val="fr-FR"/>
        </w:rPr>
        <w:t>Contexte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Jusqu’à présent, le processus de planification des actions en vertu de l’AEWA ne prévoit pas de procédure définie pour l’évaluation des plans d’action en vue de leur révision et/ou de leur retrait de la mise en œuvre par les Parties. Un changement de l’état de conservation des populations d’espèces et/ou la mise en œuvre réussie de plans d’action peut toutefois justifier la révision et/ou le retrait de certains plans. Il est également nécessaire que le Comité technique réévalue les priorités des populations d’espèces sur lesquelles portent des plans d’action qui ne sont pas activement mis en œuvre. </w:t>
      </w:r>
      <w:r w:rsidR="001F1867" w:rsidRPr="00515B8C">
        <w:rPr>
          <w:rFonts w:ascii="Times New Roman" w:hAnsi="Times New Roman"/>
          <w:lang w:val="fr-FR"/>
        </w:rPr>
        <w:t>Si, après</w:t>
      </w:r>
      <w:r w:rsidRPr="00515B8C">
        <w:rPr>
          <w:rFonts w:ascii="Times New Roman" w:hAnsi="Times New Roman"/>
          <w:lang w:val="fr-FR"/>
        </w:rPr>
        <w:t xml:space="preserve"> l’évaluation, ces espèces/populations se situent toujours an haut de la liste des priorités pour la planification des actions, une révision du plan d’action doit être envisagée. Si l’évaluation détermine que l’espèce/population n’est plus prioritaire, le Comité technique pourra envisager de recommander le retrait du plan en question.</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Il est donc proposé d’adopter un processus de prise de décision sur la base duquel le Comité technique de l’AEWA pourra évaluer l’état des plans d’action et potentiellement recommander leur retrait par la Réunion des Parties. Les plans ainsi sélectionnés seront retirés de la liste des plans d’action à mettre en œuvre par les Parties en vertu de l’Accord, et les espèces/populations figureront</w:t>
      </w:r>
      <w:r w:rsidR="001F1867">
        <w:rPr>
          <w:rFonts w:ascii="Times New Roman" w:hAnsi="Times New Roman"/>
          <w:lang w:val="fr-FR"/>
        </w:rPr>
        <w:t xml:space="preserve"> </w:t>
      </w:r>
      <w:r w:rsidRPr="00515B8C">
        <w:rPr>
          <w:rFonts w:ascii="Times New Roman" w:hAnsi="Times New Roman"/>
          <w:lang w:val="fr-FR"/>
        </w:rPr>
        <w:t>à nouveau sur la liste des espèces/populations examinées pour la planification des actions.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Le tableau ci-après donne un aperçu des plans qui actuellement ne sont pas activement mis en œuvre tel que rapporté par les États de l’aire de répartition dans leurs rapports nationaux </w:t>
      </w:r>
      <w:r w:rsidRPr="00515B8C">
        <w:rPr>
          <w:rFonts w:ascii="Times New Roman" w:hAnsi="Times New Roman"/>
          <w:b/>
          <w:i/>
          <w:lang w:val="fr-FR"/>
        </w:rPr>
        <w:t>OU</w:t>
      </w:r>
      <w:r w:rsidRPr="00515B8C">
        <w:rPr>
          <w:rFonts w:ascii="Times New Roman" w:hAnsi="Times New Roman"/>
          <w:lang w:val="fr-FR"/>
        </w:rPr>
        <w:t xml:space="preserve"> tel qu’évalué par le Bilan de la mise en œuvre des plans d’action internationaux par espèce et des plans de gestion par espèce de l’AEWA </w:t>
      </w:r>
      <w:r w:rsidR="00D86B48" w:rsidRPr="00515B8C">
        <w:rPr>
          <w:rFonts w:ascii="Times New Roman" w:hAnsi="Times New Roman"/>
          <w:b/>
          <w:i/>
          <w:lang w:val="fr-FR"/>
        </w:rPr>
        <w:t>OU</w:t>
      </w:r>
      <w:r w:rsidR="00D86B48" w:rsidRPr="00515B8C">
        <w:rPr>
          <w:rFonts w:ascii="Times New Roman" w:hAnsi="Times New Roman"/>
          <w:lang w:val="fr-FR"/>
        </w:rPr>
        <w:t xml:space="preserve"> pour</w:t>
      </w:r>
      <w:r w:rsidRPr="00515B8C">
        <w:rPr>
          <w:rFonts w:ascii="Times New Roman" w:hAnsi="Times New Roman"/>
          <w:lang w:val="fr-FR"/>
        </w:rPr>
        <w:t xml:space="preserve"> lesquels aucun mécanisme de mise en œuvre coordonnée au niveau international n’a été établi. </w:t>
      </w:r>
      <w:r w:rsidRPr="00515B8C">
        <w:rPr>
          <w:rFonts w:ascii="Times New Roman" w:hAnsi="Times New Roman"/>
          <w:b/>
          <w:lang w:val="fr-FR"/>
        </w:rPr>
        <w:t xml:space="preserve">Le retrait de ces plans n’est PAS proposé à l’heure actuelle, mais tous demandent à </w:t>
      </w:r>
      <w:r w:rsidR="001F1867" w:rsidRPr="00515B8C">
        <w:rPr>
          <w:rFonts w:ascii="Times New Roman" w:hAnsi="Times New Roman"/>
          <w:b/>
          <w:lang w:val="fr-FR"/>
        </w:rPr>
        <w:t>être réévalués</w:t>
      </w:r>
      <w:r w:rsidRPr="00515B8C">
        <w:rPr>
          <w:rFonts w:ascii="Times New Roman" w:hAnsi="Times New Roman"/>
          <w:b/>
          <w:lang w:val="fr-FR"/>
        </w:rPr>
        <w:t xml:space="preserve"> par le Comité technique pour être soit révisés,</w:t>
      </w:r>
      <w:r w:rsidR="001F1867">
        <w:rPr>
          <w:rFonts w:ascii="Times New Roman" w:hAnsi="Times New Roman"/>
          <w:b/>
          <w:lang w:val="fr-FR"/>
        </w:rPr>
        <w:t xml:space="preserve"> </w:t>
      </w:r>
      <w:r w:rsidRPr="00515B8C">
        <w:rPr>
          <w:rFonts w:ascii="Times New Roman" w:hAnsi="Times New Roman"/>
          <w:b/>
          <w:lang w:val="fr-FR"/>
        </w:rPr>
        <w:t>soit retirés.</w:t>
      </w:r>
    </w:p>
    <w:p w:rsidR="00D269FE" w:rsidRPr="00515B8C" w:rsidRDefault="00D269FE" w:rsidP="004F25FA">
      <w:pPr>
        <w:spacing w:after="0" w:line="240" w:lineRule="auto"/>
        <w:jc w:val="both"/>
        <w:rPr>
          <w:rFonts w:ascii="Times New Roman" w:hAnsi="Times New Roman"/>
          <w:lang w:val="fr-F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1427"/>
        <w:gridCol w:w="1364"/>
        <w:gridCol w:w="1046"/>
        <w:gridCol w:w="839"/>
        <w:gridCol w:w="2178"/>
      </w:tblGrid>
      <w:tr w:rsidR="00D269FE" w:rsidRPr="008D3971" w:rsidTr="008D3971">
        <w:trPr>
          <w:trHeight w:val="495"/>
        </w:trPr>
        <w:tc>
          <w:tcPr>
            <w:tcW w:w="3168" w:type="dxa"/>
            <w:vAlign w:val="center"/>
          </w:tcPr>
          <w:p w:rsidR="00D269FE" w:rsidRPr="008D3971" w:rsidRDefault="00D269FE" w:rsidP="008D3971">
            <w:pPr>
              <w:spacing w:after="0" w:line="240" w:lineRule="auto"/>
              <w:jc w:val="both"/>
              <w:rPr>
                <w:rFonts w:ascii="Times New Roman" w:hAnsi="Times New Roman"/>
                <w:b/>
                <w:lang w:val="fr-FR"/>
              </w:rPr>
            </w:pPr>
            <w:r w:rsidRPr="008D3971">
              <w:rPr>
                <w:rFonts w:ascii="Times New Roman" w:hAnsi="Times New Roman"/>
                <w:b/>
                <w:lang w:val="fr-FR"/>
              </w:rPr>
              <w:t>Espèce</w:t>
            </w:r>
          </w:p>
        </w:tc>
        <w:tc>
          <w:tcPr>
            <w:tcW w:w="1179" w:type="dxa"/>
          </w:tcPr>
          <w:p w:rsidR="00D269FE" w:rsidRPr="008D3971" w:rsidRDefault="00D269FE" w:rsidP="008D3971">
            <w:pPr>
              <w:spacing w:after="0" w:line="240" w:lineRule="auto"/>
              <w:rPr>
                <w:rFonts w:ascii="Times New Roman" w:hAnsi="Times New Roman"/>
                <w:b/>
                <w:lang w:val="fr-FR"/>
              </w:rPr>
            </w:pPr>
            <w:r w:rsidRPr="008D3971">
              <w:rPr>
                <w:rFonts w:ascii="Times New Roman" w:hAnsi="Times New Roman"/>
                <w:b/>
                <w:lang w:val="fr-FR"/>
              </w:rPr>
              <w:t xml:space="preserve">Proposition d’inscription au Tableau 1 – MOP6 </w:t>
            </w:r>
          </w:p>
        </w:tc>
        <w:tc>
          <w:tcPr>
            <w:tcW w:w="1393" w:type="dxa"/>
            <w:vAlign w:val="center"/>
          </w:tcPr>
          <w:p w:rsidR="00D269FE" w:rsidRPr="008D3971" w:rsidRDefault="00D269FE" w:rsidP="008D3971">
            <w:pPr>
              <w:spacing w:after="0" w:line="240" w:lineRule="auto"/>
              <w:rPr>
                <w:rFonts w:ascii="Times New Roman" w:hAnsi="Times New Roman"/>
                <w:b/>
                <w:lang w:val="fr-FR"/>
              </w:rPr>
            </w:pPr>
            <w:r w:rsidRPr="008D3971">
              <w:rPr>
                <w:rFonts w:ascii="Times New Roman" w:hAnsi="Times New Roman"/>
                <w:b/>
                <w:lang w:val="fr-FR"/>
              </w:rPr>
              <w:t>Adoption</w:t>
            </w:r>
          </w:p>
        </w:tc>
        <w:tc>
          <w:tcPr>
            <w:tcW w:w="1048" w:type="dxa"/>
            <w:vAlign w:val="center"/>
          </w:tcPr>
          <w:p w:rsidR="00D269FE" w:rsidRPr="008D3971" w:rsidRDefault="00D269FE" w:rsidP="008D3971">
            <w:pPr>
              <w:spacing w:after="0" w:line="240" w:lineRule="auto"/>
              <w:jc w:val="both"/>
              <w:rPr>
                <w:rFonts w:ascii="Times New Roman" w:hAnsi="Times New Roman"/>
                <w:b/>
                <w:lang w:val="fr-FR"/>
              </w:rPr>
            </w:pPr>
            <w:r w:rsidRPr="008D3971">
              <w:rPr>
                <w:rFonts w:ascii="Times New Roman" w:hAnsi="Times New Roman"/>
                <w:b/>
                <w:lang w:val="fr-FR"/>
              </w:rPr>
              <w:t>Révision prévue</w:t>
            </w:r>
          </w:p>
          <w:p w:rsidR="00D269FE" w:rsidRPr="008D3971" w:rsidRDefault="00D269FE" w:rsidP="008D3971">
            <w:pPr>
              <w:spacing w:after="0" w:line="240" w:lineRule="auto"/>
              <w:jc w:val="both"/>
              <w:rPr>
                <w:rFonts w:ascii="Times New Roman" w:hAnsi="Times New Roman"/>
                <w:b/>
                <w:lang w:val="fr-FR"/>
              </w:rPr>
            </w:pPr>
          </w:p>
        </w:tc>
        <w:tc>
          <w:tcPr>
            <w:tcW w:w="844" w:type="dxa"/>
            <w:vAlign w:val="center"/>
          </w:tcPr>
          <w:p w:rsidR="00D269FE" w:rsidRPr="008D3971" w:rsidRDefault="00D269FE" w:rsidP="008D3971">
            <w:pPr>
              <w:spacing w:after="0" w:line="240" w:lineRule="auto"/>
              <w:jc w:val="both"/>
              <w:rPr>
                <w:rFonts w:ascii="Times New Roman" w:hAnsi="Times New Roman"/>
                <w:b/>
                <w:lang w:val="fr-FR"/>
              </w:rPr>
            </w:pPr>
            <w:r w:rsidRPr="008D3971">
              <w:rPr>
                <w:rFonts w:ascii="Times New Roman" w:hAnsi="Times New Roman"/>
                <w:b/>
                <w:lang w:val="fr-FR"/>
              </w:rPr>
              <w:t xml:space="preserve">Statut UICN </w:t>
            </w:r>
          </w:p>
          <w:p w:rsidR="00D269FE" w:rsidRPr="008D3971" w:rsidRDefault="00D269FE" w:rsidP="008D3971">
            <w:pPr>
              <w:spacing w:after="0" w:line="240" w:lineRule="auto"/>
              <w:jc w:val="both"/>
              <w:rPr>
                <w:rFonts w:ascii="Times New Roman" w:hAnsi="Times New Roman"/>
                <w:b/>
                <w:lang w:val="fr-FR"/>
              </w:rPr>
            </w:pPr>
          </w:p>
        </w:tc>
        <w:tc>
          <w:tcPr>
            <w:tcW w:w="2223" w:type="dxa"/>
            <w:vAlign w:val="center"/>
          </w:tcPr>
          <w:p w:rsidR="00D269FE" w:rsidRPr="008D3971" w:rsidRDefault="00D269FE" w:rsidP="008D3971">
            <w:pPr>
              <w:spacing w:after="0" w:line="240" w:lineRule="auto"/>
              <w:jc w:val="both"/>
              <w:rPr>
                <w:rFonts w:ascii="Times New Roman" w:hAnsi="Times New Roman"/>
                <w:b/>
                <w:lang w:val="fr-FR"/>
              </w:rPr>
            </w:pPr>
            <w:r w:rsidRPr="008D3971">
              <w:rPr>
                <w:rFonts w:ascii="Times New Roman" w:hAnsi="Times New Roman"/>
                <w:b/>
                <w:lang w:val="fr-FR"/>
              </w:rPr>
              <w:t>NOTE</w:t>
            </w:r>
          </w:p>
        </w:tc>
      </w:tr>
      <w:tr w:rsidR="00D269FE" w:rsidRPr="008D3971" w:rsidTr="008D3971">
        <w:trPr>
          <w:trHeight w:val="247"/>
        </w:trPr>
        <w:tc>
          <w:tcPr>
            <w:tcW w:w="3168"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Érismature</w:t>
            </w:r>
            <w:r w:rsidR="001F1867">
              <w:rPr>
                <w:rFonts w:ascii="Times New Roman" w:hAnsi="Times New Roman"/>
                <w:lang w:val="fr-FR"/>
              </w:rPr>
              <w:t xml:space="preserve"> </w:t>
            </w:r>
            <w:r w:rsidRPr="008D3971">
              <w:rPr>
                <w:rFonts w:ascii="Times New Roman" w:hAnsi="Times New Roman"/>
                <w:lang w:val="fr-FR"/>
              </w:rPr>
              <w:t>maccoa</w:t>
            </w:r>
            <w:r w:rsidR="00D86B48">
              <w:rPr>
                <w:rFonts w:ascii="Times New Roman" w:hAnsi="Times New Roman"/>
                <w:lang w:val="fr-FR"/>
              </w:rPr>
              <w:t xml:space="preserve"> </w:t>
            </w:r>
            <w:r w:rsidRPr="008D3971">
              <w:rPr>
                <w:rFonts w:ascii="Times New Roman" w:hAnsi="Times New Roman"/>
                <w:lang w:val="fr-FR"/>
              </w:rPr>
              <w:t>(</w:t>
            </w:r>
            <w:r w:rsidRPr="008D3971">
              <w:rPr>
                <w:rFonts w:ascii="Times New Roman" w:hAnsi="Times New Roman"/>
                <w:i/>
                <w:lang w:val="fr-FR"/>
              </w:rPr>
              <w:t>Oxyura</w:t>
            </w:r>
            <w:r w:rsidR="00D86B48">
              <w:rPr>
                <w:rFonts w:ascii="Times New Roman" w:hAnsi="Times New Roman"/>
                <w:i/>
                <w:lang w:val="fr-FR"/>
              </w:rPr>
              <w:t xml:space="preserve"> </w:t>
            </w:r>
            <w:r w:rsidRPr="008D3971">
              <w:rPr>
                <w:rFonts w:ascii="Times New Roman" w:hAnsi="Times New Roman"/>
                <w:i/>
                <w:lang w:val="fr-FR"/>
              </w:rPr>
              <w:t>maccoa</w:t>
            </w:r>
            <w:r w:rsidRPr="008D3971">
              <w:rPr>
                <w:rFonts w:ascii="Times New Roman" w:hAnsi="Times New Roman"/>
                <w:lang w:val="fr-FR"/>
              </w:rPr>
              <w:t>)</w:t>
            </w:r>
          </w:p>
        </w:tc>
        <w:tc>
          <w:tcPr>
            <w:tcW w:w="1179" w:type="dxa"/>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 xml:space="preserve">A1c </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MOP4 en 2008</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2018</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NT</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 xml:space="preserve">ISSAP AEWA </w:t>
            </w:r>
          </w:p>
        </w:tc>
      </w:tr>
      <w:tr w:rsidR="00D269FE" w:rsidRPr="008D3971" w:rsidTr="008D3971">
        <w:trPr>
          <w:trHeight w:val="495"/>
        </w:trPr>
        <w:tc>
          <w:tcPr>
            <w:tcW w:w="3168"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 xml:space="preserve">Érismature à tête blanche </w:t>
            </w:r>
            <w:r w:rsidRPr="008D3971">
              <w:rPr>
                <w:rFonts w:ascii="Times New Roman" w:hAnsi="Times New Roman"/>
                <w:i/>
                <w:lang w:val="fr-FR"/>
              </w:rPr>
              <w:t>(Oxyura</w:t>
            </w:r>
            <w:r w:rsidR="00D86B48">
              <w:rPr>
                <w:rFonts w:ascii="Times New Roman" w:hAnsi="Times New Roman"/>
                <w:i/>
                <w:lang w:val="fr-FR"/>
              </w:rPr>
              <w:t xml:space="preserve"> </w:t>
            </w:r>
            <w:r w:rsidRPr="008D3971">
              <w:rPr>
                <w:rFonts w:ascii="Times New Roman" w:hAnsi="Times New Roman"/>
                <w:i/>
                <w:lang w:val="fr-FR"/>
              </w:rPr>
              <w:t>leucocephala)</w:t>
            </w:r>
          </w:p>
        </w:tc>
        <w:tc>
          <w:tcPr>
            <w:tcW w:w="1179" w:type="dxa"/>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A1b</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MOP3 en 2005</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2015</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EN</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ISSAP conjoint AEWA/CMS/UE</w:t>
            </w:r>
          </w:p>
        </w:tc>
      </w:tr>
      <w:tr w:rsidR="00D269FE" w:rsidRPr="008D3971" w:rsidTr="008D3971">
        <w:trPr>
          <w:trHeight w:val="247"/>
        </w:trPr>
        <w:tc>
          <w:tcPr>
            <w:tcW w:w="3168"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Râle des genêts (</w:t>
            </w:r>
            <w:r w:rsidRPr="008D3971">
              <w:rPr>
                <w:rFonts w:ascii="Times New Roman" w:hAnsi="Times New Roman"/>
                <w:i/>
                <w:lang w:val="fr-FR"/>
              </w:rPr>
              <w:t>Crex</w:t>
            </w:r>
            <w:r w:rsidRPr="008D3971">
              <w:rPr>
                <w:rFonts w:ascii="Times New Roman" w:hAnsi="Times New Roman"/>
                <w:lang w:val="fr-FR"/>
              </w:rPr>
              <w:t>)</w:t>
            </w:r>
          </w:p>
        </w:tc>
        <w:tc>
          <w:tcPr>
            <w:tcW w:w="1179" w:type="dxa"/>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C1</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MOP3 en 2005</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2015</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LC</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ISSAP conjoint AEWA/CMS/UE</w:t>
            </w:r>
          </w:p>
        </w:tc>
      </w:tr>
      <w:tr w:rsidR="00D269FE" w:rsidRPr="008D3971" w:rsidTr="008D3971">
        <w:trPr>
          <w:trHeight w:val="247"/>
        </w:trPr>
        <w:tc>
          <w:tcPr>
            <w:tcW w:w="3168"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Fuligule nyroca</w:t>
            </w:r>
            <w:r w:rsidR="001F1867">
              <w:rPr>
                <w:rFonts w:ascii="Times New Roman" w:hAnsi="Times New Roman"/>
                <w:lang w:val="fr-FR"/>
              </w:rPr>
              <w:t xml:space="preserve"> </w:t>
            </w:r>
            <w:r w:rsidRPr="008D3971">
              <w:rPr>
                <w:rFonts w:ascii="Times New Roman" w:hAnsi="Times New Roman"/>
                <w:lang w:val="fr-FR"/>
              </w:rPr>
              <w:t>(</w:t>
            </w:r>
            <w:r w:rsidRPr="008D3971">
              <w:rPr>
                <w:rFonts w:ascii="Times New Roman" w:hAnsi="Times New Roman"/>
                <w:i/>
                <w:lang w:val="fr-FR"/>
              </w:rPr>
              <w:t>Aythya</w:t>
            </w:r>
            <w:r w:rsidR="00D86B48">
              <w:rPr>
                <w:rFonts w:ascii="Times New Roman" w:hAnsi="Times New Roman"/>
                <w:i/>
                <w:lang w:val="fr-FR"/>
              </w:rPr>
              <w:t xml:space="preserve"> </w:t>
            </w:r>
            <w:r w:rsidRPr="008D3971">
              <w:rPr>
                <w:rFonts w:ascii="Times New Roman" w:hAnsi="Times New Roman"/>
                <w:i/>
                <w:lang w:val="fr-FR"/>
              </w:rPr>
              <w:t>nyroca</w:t>
            </w:r>
            <w:r w:rsidRPr="008D3971">
              <w:rPr>
                <w:rFonts w:ascii="Times New Roman" w:hAnsi="Times New Roman"/>
                <w:lang w:val="fr-FR"/>
              </w:rPr>
              <w:t>)</w:t>
            </w:r>
          </w:p>
        </w:tc>
        <w:tc>
          <w:tcPr>
            <w:tcW w:w="1179" w:type="dxa"/>
          </w:tcPr>
          <w:p w:rsidR="00D269FE" w:rsidRPr="008D3971" w:rsidRDefault="00D269FE" w:rsidP="008D3971">
            <w:pPr>
              <w:spacing w:after="0" w:line="240" w:lineRule="auto"/>
              <w:rPr>
                <w:rFonts w:ascii="Times New Roman" w:hAnsi="Times New Roman"/>
              </w:rPr>
            </w:pPr>
            <w:r w:rsidRPr="008D3971">
              <w:rPr>
                <w:rFonts w:ascii="Times New Roman" w:hAnsi="Times New Roman"/>
              </w:rPr>
              <w:t>3 pops – A1a1c</w:t>
            </w:r>
          </w:p>
          <w:p w:rsidR="00D269FE" w:rsidRPr="008D3971" w:rsidRDefault="00D269FE" w:rsidP="008D3971">
            <w:pPr>
              <w:spacing w:after="0" w:line="240" w:lineRule="auto"/>
              <w:rPr>
                <w:rFonts w:ascii="Times New Roman" w:hAnsi="Times New Roman"/>
              </w:rPr>
            </w:pPr>
            <w:r w:rsidRPr="008D3971">
              <w:rPr>
                <w:rFonts w:ascii="Times New Roman" w:hAnsi="Times New Roman"/>
              </w:rPr>
              <w:t>A1a 3c</w:t>
            </w:r>
          </w:p>
          <w:p w:rsidR="00D269FE" w:rsidRPr="008D3971" w:rsidRDefault="00D269FE" w:rsidP="008D3971">
            <w:pPr>
              <w:spacing w:after="0" w:line="240" w:lineRule="auto"/>
              <w:rPr>
                <w:rFonts w:ascii="Times New Roman" w:hAnsi="Times New Roman"/>
              </w:rPr>
            </w:pPr>
            <w:r w:rsidRPr="008D3971">
              <w:rPr>
                <w:rFonts w:ascii="Times New Roman" w:hAnsi="Times New Roman"/>
              </w:rPr>
              <w:t>A1a3c</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MOP3 en 2005</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2015</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NT</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ISSAP conjoint AEWA/CMS</w:t>
            </w:r>
          </w:p>
        </w:tc>
      </w:tr>
      <w:tr w:rsidR="00D269FE" w:rsidRPr="00D86B48" w:rsidTr="008D3971">
        <w:trPr>
          <w:trHeight w:val="462"/>
        </w:trPr>
        <w:tc>
          <w:tcPr>
            <w:tcW w:w="3168"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Bécassine double (</w:t>
            </w:r>
            <w:r w:rsidRPr="008D3971">
              <w:rPr>
                <w:rFonts w:ascii="Times New Roman" w:hAnsi="Times New Roman"/>
                <w:i/>
                <w:lang w:val="fr-FR"/>
              </w:rPr>
              <w:t>Gallinago media</w:t>
            </w:r>
            <w:r w:rsidRPr="008D3971">
              <w:rPr>
                <w:rFonts w:ascii="Times New Roman" w:hAnsi="Times New Roman"/>
                <w:lang w:val="fr-FR"/>
              </w:rPr>
              <w:t>)</w:t>
            </w:r>
          </w:p>
        </w:tc>
        <w:tc>
          <w:tcPr>
            <w:tcW w:w="1179" w:type="dxa"/>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A2A4</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MOP2 en 2002</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2005</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NT</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ISSAP conjoint AEWA/ Convention de Berne</w:t>
            </w:r>
          </w:p>
        </w:tc>
      </w:tr>
      <w:tr w:rsidR="00D269FE" w:rsidRPr="00D86B48" w:rsidTr="008D3971">
        <w:trPr>
          <w:trHeight w:val="511"/>
        </w:trPr>
        <w:tc>
          <w:tcPr>
            <w:tcW w:w="3168"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Glaréole à ailes noires Pratincole (</w:t>
            </w:r>
            <w:r w:rsidRPr="008D3971">
              <w:rPr>
                <w:rFonts w:ascii="Times New Roman" w:hAnsi="Times New Roman"/>
                <w:i/>
                <w:lang w:val="fr-FR"/>
              </w:rPr>
              <w:t>Glareola</w:t>
            </w:r>
            <w:r w:rsidR="00D86B48">
              <w:rPr>
                <w:rFonts w:ascii="Times New Roman" w:hAnsi="Times New Roman"/>
                <w:i/>
                <w:lang w:val="fr-FR"/>
              </w:rPr>
              <w:t xml:space="preserve"> </w:t>
            </w:r>
            <w:r w:rsidRPr="008D3971">
              <w:rPr>
                <w:rFonts w:ascii="Times New Roman" w:hAnsi="Times New Roman"/>
                <w:i/>
                <w:lang w:val="fr-FR"/>
              </w:rPr>
              <w:t>nordmanni</w:t>
            </w:r>
            <w:r w:rsidRPr="008D3971">
              <w:rPr>
                <w:rFonts w:ascii="Times New Roman" w:hAnsi="Times New Roman"/>
                <w:lang w:val="fr-FR"/>
              </w:rPr>
              <w:t>)</w:t>
            </w:r>
          </w:p>
        </w:tc>
        <w:tc>
          <w:tcPr>
            <w:tcW w:w="1179" w:type="dxa"/>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A4</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MOP2 en 2002</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2005</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NT</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ISSAP conjoint AEWA/ Convention de Berne</w:t>
            </w:r>
          </w:p>
        </w:tc>
      </w:tr>
    </w:tbl>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u w:val="single"/>
          <w:lang w:val="fr-FR"/>
        </w:rPr>
        <w:t>Suggestion de processus de prise de décision pour l’évaluation des ISSAP en vue de leur révision ou de leur retrait</w:t>
      </w:r>
      <w:r w:rsidRPr="00515B8C">
        <w:rPr>
          <w:rFonts w:ascii="Times New Roman" w:hAnsi="Times New Roman"/>
          <w:lang w:val="fr-FR"/>
        </w:rPr>
        <w:t> :</w:t>
      </w:r>
    </w:p>
    <w:p w:rsidR="00D269FE" w:rsidRPr="00515B8C" w:rsidRDefault="00D269FE" w:rsidP="004F25FA">
      <w:pPr>
        <w:spacing w:after="0" w:line="240" w:lineRule="auto"/>
        <w:jc w:val="both"/>
        <w:rPr>
          <w:rFonts w:ascii="Times New Roman" w:hAnsi="Times New Roman"/>
          <w:u w:val="single"/>
          <w:lang w:val="fr-FR"/>
        </w:rPr>
      </w:pPr>
    </w:p>
    <w:p w:rsidR="00D269FE" w:rsidRDefault="00D269FE" w:rsidP="00AE658F">
      <w:pPr>
        <w:pStyle w:val="ListParagraph"/>
        <w:spacing w:after="0" w:line="240" w:lineRule="auto"/>
        <w:ind w:left="0"/>
        <w:jc w:val="both"/>
        <w:rPr>
          <w:rFonts w:ascii="Times New Roman" w:hAnsi="Times New Roman"/>
          <w:lang w:val="fr-FR"/>
        </w:rPr>
      </w:pPr>
    </w:p>
    <w:p w:rsidR="00D269FE" w:rsidRDefault="00D269FE" w:rsidP="00AE658F">
      <w:pPr>
        <w:pStyle w:val="ListParagraph"/>
        <w:spacing w:after="0" w:line="240" w:lineRule="auto"/>
        <w:ind w:left="0"/>
        <w:jc w:val="both"/>
        <w:rPr>
          <w:rFonts w:ascii="Times New Roman" w:hAnsi="Times New Roman"/>
          <w:lang w:val="fr-FR"/>
        </w:rPr>
      </w:pPr>
    </w:p>
    <w:p w:rsidR="00D269FE" w:rsidRDefault="00D86B48" w:rsidP="00AE658F">
      <w:pPr>
        <w:pStyle w:val="ListParagraph"/>
        <w:spacing w:after="0" w:line="240" w:lineRule="auto"/>
        <w:ind w:left="0"/>
        <w:jc w:val="both"/>
        <w:rPr>
          <w:rFonts w:ascii="Times New Roman" w:hAnsi="Times New Roman"/>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77pt;height:355pt;visibility:visible">
            <v:imagedata r:id="rId9" o:title=""/>
          </v:shape>
        </w:pict>
      </w:r>
    </w:p>
    <w:p w:rsidR="00D269FE" w:rsidRPr="00515B8C" w:rsidRDefault="00D269FE" w:rsidP="00AE658F">
      <w:pPr>
        <w:pStyle w:val="ListParagraph"/>
        <w:spacing w:after="0" w:line="240" w:lineRule="auto"/>
        <w:ind w:left="0"/>
        <w:jc w:val="both"/>
        <w:rPr>
          <w:rFonts w:ascii="Times New Roman" w:hAnsi="Times New Roman"/>
          <w:lang w:val="fr-FR"/>
        </w:rPr>
      </w:pPr>
    </w:p>
    <w:p w:rsidR="00D269FE" w:rsidRPr="00515B8C" w:rsidRDefault="00D269FE" w:rsidP="004F25FA">
      <w:pPr>
        <w:pStyle w:val="ListParagraph"/>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r w:rsidRPr="00515B8C">
        <w:rPr>
          <w:rFonts w:ascii="Times New Roman" w:hAnsi="Times New Roman"/>
          <w:u w:val="single"/>
          <w:lang w:val="fr-FR"/>
        </w:rPr>
        <w:t>Processus de révision ou de retrait des ISSAP</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La révision ou le retrait des plans d’action suivant le processus de décision décrit ci-dessus pourra</w:t>
      </w:r>
      <w:r w:rsidR="001F1867">
        <w:rPr>
          <w:rFonts w:ascii="Times New Roman" w:hAnsi="Times New Roman"/>
          <w:lang w:val="fr-FR"/>
        </w:rPr>
        <w:t xml:space="preserve"> </w:t>
      </w:r>
      <w:r w:rsidRPr="00515B8C">
        <w:rPr>
          <w:rFonts w:ascii="Times New Roman" w:hAnsi="Times New Roman"/>
          <w:lang w:val="fr-FR"/>
        </w:rPr>
        <w:t>être proposé à la Réunion des Parties à l’AEWA par le Comité technique, en étroite collaboration avec le Secrétariat de</w:t>
      </w:r>
      <w:r w:rsidR="00D86B48">
        <w:rPr>
          <w:rFonts w:ascii="Times New Roman" w:hAnsi="Times New Roman"/>
          <w:lang w:val="fr-FR"/>
        </w:rPr>
        <w:t xml:space="preserve"> </w:t>
      </w:r>
      <w:r w:rsidR="00D86B48" w:rsidRPr="00515B8C">
        <w:rPr>
          <w:rFonts w:ascii="Times New Roman" w:hAnsi="Times New Roman"/>
          <w:lang w:val="fr-FR"/>
        </w:rPr>
        <w:t>l’</w:t>
      </w:r>
      <w:r w:rsidR="00D86B48">
        <w:rPr>
          <w:rFonts w:ascii="Times New Roman" w:hAnsi="Times New Roman"/>
          <w:lang w:val="fr-FR"/>
        </w:rPr>
        <w:t>Accord</w:t>
      </w:r>
      <w:r w:rsidRPr="00515B8C">
        <w:rPr>
          <w:rFonts w:ascii="Times New Roman" w:hAnsi="Times New Roman"/>
          <w:lang w:val="fr-FR"/>
        </w:rPr>
        <w:t>, le cas échéant. Sur la base d’une telle proposition, la Réunion des Parties sera invitée à décider si le ou les plans proposés</w:t>
      </w:r>
      <w:r w:rsidR="001F1867">
        <w:rPr>
          <w:rFonts w:ascii="Times New Roman" w:hAnsi="Times New Roman"/>
          <w:lang w:val="fr-FR"/>
        </w:rPr>
        <w:t xml:space="preserve"> </w:t>
      </w:r>
      <w:r w:rsidRPr="00515B8C">
        <w:rPr>
          <w:rFonts w:ascii="Times New Roman" w:hAnsi="Times New Roman"/>
          <w:lang w:val="fr-FR"/>
        </w:rPr>
        <w:t>doivent être révisés/retirés ou non.</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Dans le cas des plans d’action établis conjointement avec d’autres organisations intergouvernementales internationales (Convention sur les espèces migratrices, Convention de Berne, Commission européenne), le </w:t>
      </w:r>
      <w:r>
        <w:rPr>
          <w:rFonts w:ascii="Times New Roman" w:hAnsi="Times New Roman"/>
          <w:lang w:val="fr-FR"/>
        </w:rPr>
        <w:t xml:space="preserve">Secrétariat </w:t>
      </w:r>
      <w:r w:rsidRPr="00515B8C">
        <w:rPr>
          <w:rFonts w:ascii="Times New Roman" w:hAnsi="Times New Roman"/>
          <w:lang w:val="fr-FR"/>
        </w:rPr>
        <w:t>PNUE/AEWA consultera les organisations concernées suivant la recommandation du Comité technique et les informera</w:t>
      </w:r>
      <w:r w:rsidR="001F1867">
        <w:rPr>
          <w:rFonts w:ascii="Times New Roman" w:hAnsi="Times New Roman"/>
          <w:lang w:val="fr-FR"/>
        </w:rPr>
        <w:t xml:space="preserve"> </w:t>
      </w:r>
      <w:r w:rsidRPr="00515B8C">
        <w:rPr>
          <w:rFonts w:ascii="Times New Roman" w:hAnsi="Times New Roman"/>
          <w:lang w:val="fr-FR"/>
        </w:rPr>
        <w:t>par la suite de la révision ou</w:t>
      </w:r>
      <w:r w:rsidR="001F1867">
        <w:rPr>
          <w:rFonts w:ascii="Times New Roman" w:hAnsi="Times New Roman"/>
          <w:lang w:val="fr-FR"/>
        </w:rPr>
        <w:t xml:space="preserve"> </w:t>
      </w:r>
      <w:r w:rsidRPr="00515B8C">
        <w:rPr>
          <w:rFonts w:ascii="Times New Roman" w:hAnsi="Times New Roman"/>
          <w:lang w:val="fr-FR"/>
        </w:rPr>
        <w:t>du retrait</w:t>
      </w:r>
      <w:r w:rsidR="001F1867">
        <w:rPr>
          <w:rFonts w:ascii="Times New Roman" w:hAnsi="Times New Roman"/>
          <w:lang w:val="fr-FR"/>
        </w:rPr>
        <w:t xml:space="preserve"> </w:t>
      </w:r>
      <w:r w:rsidRPr="00515B8C">
        <w:rPr>
          <w:rFonts w:ascii="Times New Roman" w:hAnsi="Times New Roman"/>
          <w:lang w:val="fr-FR"/>
        </w:rPr>
        <w:t>du plan d’action conjoint selon le processus de l’AEWA. Suite à une décision de la MOP de réviser/retirer un plan d’action, le Secrétariat publiera également les informations sur le site Web de l’AEWA et y indiquera les plans qui ont été retirés.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Le Comité technique de l’AEWA continuera de surveiller l’état des espèces dont les plans d’action ont été retirés dans le cadre du</w:t>
      </w:r>
      <w:r w:rsidR="001F1867">
        <w:rPr>
          <w:rFonts w:ascii="Times New Roman" w:hAnsi="Times New Roman"/>
          <w:lang w:val="fr-FR"/>
        </w:rPr>
        <w:t xml:space="preserve"> </w:t>
      </w:r>
      <w:r w:rsidRPr="00515B8C">
        <w:rPr>
          <w:rFonts w:ascii="Times New Roman" w:hAnsi="Times New Roman"/>
          <w:lang w:val="fr-FR"/>
        </w:rPr>
        <w:t>CSR et de la sélection des espèces AEWA prioritaires pour l’élaboration de plans</w:t>
      </w:r>
      <w:r w:rsidR="001F1867">
        <w:rPr>
          <w:rFonts w:ascii="Times New Roman" w:hAnsi="Times New Roman"/>
          <w:lang w:val="fr-FR"/>
        </w:rPr>
        <w:t xml:space="preserve"> </w:t>
      </w:r>
      <w:r w:rsidRPr="00515B8C">
        <w:rPr>
          <w:rFonts w:ascii="Times New Roman" w:hAnsi="Times New Roman"/>
          <w:lang w:val="fr-FR"/>
        </w:rPr>
        <w:t xml:space="preserve">d’action et de gestion. Si les populations de ces espèces redeviennent des priorités pour un plan d’action - par exemple sur la base de nouvelles informations ou d’un changement de leur état de conservation - le Secrétariat fera le nécessaire pour que le plan d’action </w:t>
      </w:r>
      <w:r w:rsidR="001F1867" w:rsidRPr="00515B8C">
        <w:rPr>
          <w:rFonts w:ascii="Times New Roman" w:hAnsi="Times New Roman"/>
          <w:lang w:val="fr-FR"/>
        </w:rPr>
        <w:t>retiré soit</w:t>
      </w:r>
      <w:r w:rsidRPr="00515B8C">
        <w:rPr>
          <w:rFonts w:ascii="Times New Roman" w:hAnsi="Times New Roman"/>
          <w:lang w:val="fr-FR"/>
        </w:rPr>
        <w:t xml:space="preserve"> révisé et soumis à la MOP pour adoption et mise en œuvre ultérieure.</w:t>
      </w:r>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3D6C10">
      <w:pPr>
        <w:pStyle w:val="ListParagraph"/>
        <w:numPr>
          <w:ilvl w:val="0"/>
          <w:numId w:val="9"/>
        </w:numPr>
        <w:ind w:left="360"/>
        <w:rPr>
          <w:rFonts w:ascii="Times New Roman" w:hAnsi="Times New Roman"/>
          <w:b/>
          <w:lang w:val="fr-FR"/>
        </w:rPr>
      </w:pPr>
      <w:r>
        <w:rPr>
          <w:rFonts w:ascii="Times New Roman" w:hAnsi="Times New Roman"/>
          <w:b/>
          <w:lang w:val="fr-FR"/>
        </w:rPr>
        <w:t>CONSEILS</w:t>
      </w:r>
      <w:r w:rsidRPr="00515B8C">
        <w:rPr>
          <w:rFonts w:ascii="Times New Roman" w:hAnsi="Times New Roman"/>
          <w:b/>
          <w:lang w:val="fr-FR"/>
        </w:rPr>
        <w:t xml:space="preserve"> SUR LA DÉFINITION DE LA PORTÉE SPATIALE DU PLAN D'ACTION POUR LES ESPÈCES AYANT UNE AIRE DE RÉPARTITION GÉOGRAPHIQUE ÉTENDUE</w:t>
      </w:r>
    </w:p>
    <w:p w:rsidR="00D269FE" w:rsidRPr="00515B8C" w:rsidRDefault="00D269FE" w:rsidP="004F25FA">
      <w:pPr>
        <w:spacing w:after="0" w:line="240" w:lineRule="auto"/>
        <w:jc w:val="both"/>
        <w:rPr>
          <w:rFonts w:ascii="Times New Roman" w:hAnsi="Times New Roman"/>
          <w:u w:val="single"/>
          <w:lang w:val="fr-FR"/>
        </w:rPr>
      </w:pPr>
      <w:r w:rsidRPr="00515B8C">
        <w:rPr>
          <w:rFonts w:ascii="Times New Roman" w:hAnsi="Times New Roman"/>
          <w:u w:val="single"/>
          <w:lang w:val="fr-FR"/>
        </w:rPr>
        <w:t>Contexte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Diverses approches sont utilisées dans les plans d’action de l’AEWA pour déterminer la portée géographique et les principaux États de l’aire de répartition qui portent la responsabilité principale de la mise en œuvre des plans. Pour les plans d’action couvrant des populations d’espèces ayant une répartition </w:t>
      </w:r>
      <w:r w:rsidR="001F1867" w:rsidRPr="00515B8C">
        <w:rPr>
          <w:rFonts w:ascii="Times New Roman" w:hAnsi="Times New Roman"/>
          <w:lang w:val="fr-FR"/>
        </w:rPr>
        <w:t>géographique étendue</w:t>
      </w:r>
      <w:r w:rsidRPr="00515B8C">
        <w:rPr>
          <w:rFonts w:ascii="Times New Roman" w:hAnsi="Times New Roman"/>
          <w:lang w:val="fr-FR"/>
        </w:rPr>
        <w:t>, des effectifs relativement élevés, et/ou différentes sous-espèces, une approche plus différenciée peut être nécessaire, limitant la portée du plan afin que les actions</w:t>
      </w:r>
      <w:r w:rsidR="001F1867">
        <w:rPr>
          <w:rFonts w:ascii="Times New Roman" w:hAnsi="Times New Roman"/>
          <w:lang w:val="fr-FR"/>
        </w:rPr>
        <w:t xml:space="preserve"> </w:t>
      </w:r>
      <w:r w:rsidRPr="00515B8C">
        <w:rPr>
          <w:rFonts w:ascii="Times New Roman" w:hAnsi="Times New Roman"/>
          <w:lang w:val="fr-FR"/>
        </w:rPr>
        <w:t>à mettre en œuvre d’urgence restent concentrées sur les États de l’aire de répartition les plus importants.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La catégorisation proposée ci-dessous a été introduite dans le projet de Plan d’action international par espèce de l’AEWA pour le Courlis cendré, qui couvre les sous-espèces</w:t>
      </w:r>
      <w:r w:rsidR="001F1867">
        <w:rPr>
          <w:rFonts w:ascii="Times New Roman" w:hAnsi="Times New Roman"/>
          <w:lang w:val="fr-FR"/>
        </w:rPr>
        <w:t xml:space="preserve"> </w:t>
      </w:r>
      <w:r w:rsidRPr="00515B8C">
        <w:rPr>
          <w:rFonts w:ascii="Times New Roman" w:hAnsi="Times New Roman"/>
          <w:i/>
          <w:lang w:val="fr-FR"/>
        </w:rPr>
        <w:t xml:space="preserve">Numenius a. arquata, N. a. orientalis </w:t>
      </w:r>
      <w:r w:rsidRPr="00515B8C">
        <w:rPr>
          <w:rFonts w:ascii="Times New Roman" w:hAnsi="Times New Roman"/>
          <w:lang w:val="fr-FR"/>
        </w:rPr>
        <w:t>et</w:t>
      </w:r>
      <w:r w:rsidRPr="00515B8C">
        <w:rPr>
          <w:rFonts w:ascii="Times New Roman" w:hAnsi="Times New Roman"/>
          <w:i/>
          <w:lang w:val="fr-FR"/>
        </w:rPr>
        <w:t xml:space="preserve"> N. a. suschkini,</w:t>
      </w:r>
      <w:r w:rsidRPr="00515B8C">
        <w:rPr>
          <w:rFonts w:ascii="Times New Roman" w:hAnsi="Times New Roman"/>
          <w:lang w:val="fr-FR"/>
        </w:rPr>
        <w:t xml:space="preserve"> et qui devrait être adopté</w:t>
      </w:r>
      <w:r w:rsidR="001F1867">
        <w:rPr>
          <w:rFonts w:ascii="Times New Roman" w:hAnsi="Times New Roman"/>
          <w:lang w:val="fr-FR"/>
        </w:rPr>
        <w:t xml:space="preserve"> </w:t>
      </w:r>
      <w:r w:rsidRPr="00515B8C">
        <w:rPr>
          <w:rFonts w:ascii="Times New Roman" w:hAnsi="Times New Roman"/>
          <w:lang w:val="fr-FR"/>
        </w:rPr>
        <w:t>par la MOP6 en novembre 2015.</w:t>
      </w:r>
    </w:p>
    <w:p w:rsidR="00D269FE" w:rsidRPr="00515B8C" w:rsidRDefault="00D269FE" w:rsidP="00ED3217">
      <w:pPr>
        <w:tabs>
          <w:tab w:val="left" w:pos="910"/>
        </w:tabs>
        <w:spacing w:after="0" w:line="240" w:lineRule="auto"/>
        <w:jc w:val="both"/>
        <w:rPr>
          <w:rFonts w:ascii="Times New Roman" w:hAnsi="Times New Roman"/>
          <w:lang w:val="fr-FR"/>
        </w:rPr>
      </w:pPr>
      <w:r w:rsidRPr="00515B8C">
        <w:rPr>
          <w:rFonts w:ascii="Times New Roman" w:hAnsi="Times New Roman"/>
          <w:lang w:val="fr-FR"/>
        </w:rPr>
        <w:tab/>
      </w:r>
    </w:p>
    <w:p w:rsidR="00D269FE" w:rsidRPr="00515B8C" w:rsidRDefault="00D269FE" w:rsidP="004F25FA">
      <w:pPr>
        <w:spacing w:after="0" w:line="240" w:lineRule="auto"/>
        <w:jc w:val="both"/>
        <w:rPr>
          <w:rFonts w:ascii="Times New Roman" w:hAnsi="Times New Roman"/>
          <w:u w:val="single"/>
          <w:lang w:val="fr-FR"/>
        </w:rPr>
      </w:pPr>
      <w:r w:rsidRPr="00515B8C">
        <w:rPr>
          <w:rFonts w:ascii="Times New Roman" w:hAnsi="Times New Roman"/>
          <w:u w:val="single"/>
          <w:lang w:val="fr-FR"/>
        </w:rPr>
        <w:t>Définition de la portée spatiale de l’ISSAP pour les espèces ayant une aire de répartition géographique étendue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Les catégories suivantes sont proposées pour définir la portée géographique et pour déterminer les principaux États de l’aire de répartition pour les espèces ayant une aire de répartition géographique mondiale étendue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682A6C">
      <w:pPr>
        <w:pStyle w:val="ListParagraph"/>
        <w:numPr>
          <w:ilvl w:val="0"/>
          <w:numId w:val="2"/>
        </w:numPr>
        <w:spacing w:after="0" w:line="240" w:lineRule="auto"/>
        <w:jc w:val="both"/>
        <w:rPr>
          <w:rFonts w:ascii="Times New Roman" w:hAnsi="Times New Roman"/>
          <w:lang w:val="fr-FR"/>
        </w:rPr>
      </w:pPr>
      <w:r w:rsidRPr="00515B8C">
        <w:rPr>
          <w:rFonts w:ascii="Times New Roman" w:hAnsi="Times New Roman"/>
          <w:b/>
          <w:lang w:val="fr-FR"/>
        </w:rPr>
        <w:t>Principaux États de l’aire de répartition </w:t>
      </w:r>
      <w:r w:rsidRPr="00515B8C">
        <w:rPr>
          <w:rFonts w:ascii="Times New Roman" w:hAnsi="Times New Roman"/>
          <w:lang w:val="fr-FR"/>
        </w:rPr>
        <w:t>: Les États de l’aire de répartition qui accueillent régulièrement un pourcentage donné (de 1 à 5 % de la population biogéographique) des effectifs nicheurs et/ou non nicheurs d’une espèce/sous-espèce ; et, idéalement, sans dépasser 20 pays ;</w:t>
      </w:r>
    </w:p>
    <w:p w:rsidR="00D269FE" w:rsidRPr="00515B8C" w:rsidRDefault="00D269FE" w:rsidP="004F25FA">
      <w:pPr>
        <w:pStyle w:val="ListParagraph"/>
        <w:spacing w:after="0" w:line="240" w:lineRule="auto"/>
        <w:jc w:val="both"/>
        <w:rPr>
          <w:rFonts w:ascii="Times New Roman" w:hAnsi="Times New Roman"/>
          <w:lang w:val="fr-FR"/>
        </w:rPr>
      </w:pPr>
    </w:p>
    <w:p w:rsidR="00D269FE" w:rsidRPr="00515B8C" w:rsidRDefault="00D269FE" w:rsidP="004F25FA">
      <w:pPr>
        <w:pStyle w:val="ListParagraph"/>
        <w:numPr>
          <w:ilvl w:val="0"/>
          <w:numId w:val="2"/>
        </w:numPr>
        <w:spacing w:after="0" w:line="240" w:lineRule="auto"/>
        <w:jc w:val="both"/>
        <w:rPr>
          <w:rFonts w:ascii="Times New Roman" w:hAnsi="Times New Roman"/>
          <w:lang w:val="fr-FR"/>
        </w:rPr>
      </w:pPr>
      <w:r w:rsidRPr="00515B8C">
        <w:rPr>
          <w:rFonts w:ascii="Times New Roman" w:hAnsi="Times New Roman"/>
          <w:b/>
          <w:lang w:val="fr-FR"/>
        </w:rPr>
        <w:t>États de l’aire de répartition à surveiller</w:t>
      </w:r>
      <w:r w:rsidRPr="00515B8C">
        <w:rPr>
          <w:rFonts w:ascii="Times New Roman" w:hAnsi="Times New Roman"/>
          <w:lang w:val="fr-FR"/>
        </w:rPr>
        <w:t> : États de l’aire de répartition disposant actuellement de données insuffisantes pour évaluer leur importance pour les espèces ;</w:t>
      </w:r>
    </w:p>
    <w:p w:rsidR="00D269FE" w:rsidRPr="00515B8C" w:rsidRDefault="00D269FE" w:rsidP="00D453DA">
      <w:pPr>
        <w:pStyle w:val="ListParagraph"/>
        <w:rPr>
          <w:rFonts w:ascii="Times New Roman" w:hAnsi="Times New Roman"/>
          <w:b/>
          <w:lang w:val="fr-FR"/>
        </w:rPr>
      </w:pPr>
      <w:r w:rsidRPr="00515B8C">
        <w:rPr>
          <w:rFonts w:ascii="Times New Roman" w:hAnsi="Times New Roman"/>
          <w:b/>
          <w:lang w:val="fr-FR"/>
        </w:rPr>
        <w:t> </w:t>
      </w:r>
    </w:p>
    <w:p w:rsidR="00D269FE" w:rsidRPr="00515B8C" w:rsidRDefault="00D269FE" w:rsidP="00CB7481">
      <w:pPr>
        <w:pStyle w:val="ListParagraph"/>
        <w:numPr>
          <w:ilvl w:val="0"/>
          <w:numId w:val="2"/>
        </w:numPr>
        <w:spacing w:after="0" w:line="240" w:lineRule="auto"/>
        <w:jc w:val="both"/>
        <w:rPr>
          <w:rFonts w:ascii="Times New Roman" w:hAnsi="Times New Roman"/>
          <w:lang w:val="fr-FR"/>
        </w:rPr>
      </w:pPr>
      <w:r w:rsidRPr="00515B8C">
        <w:rPr>
          <w:rFonts w:ascii="Times New Roman" w:hAnsi="Times New Roman"/>
          <w:b/>
          <w:lang w:val="fr-FR"/>
        </w:rPr>
        <w:t>États de l’aire de répartition à consulter</w:t>
      </w:r>
      <w:r w:rsidRPr="00515B8C">
        <w:rPr>
          <w:rFonts w:ascii="Times New Roman" w:hAnsi="Times New Roman"/>
          <w:lang w:val="fr-FR"/>
        </w:rPr>
        <w:t> </w:t>
      </w:r>
      <w:r w:rsidR="00D86B48" w:rsidRPr="00515B8C">
        <w:rPr>
          <w:rFonts w:ascii="Times New Roman" w:hAnsi="Times New Roman"/>
          <w:lang w:val="fr-FR"/>
        </w:rPr>
        <w:t>: États</w:t>
      </w:r>
      <w:r w:rsidRPr="00515B8C">
        <w:rPr>
          <w:rFonts w:ascii="Times New Roman" w:hAnsi="Times New Roman"/>
          <w:lang w:val="fr-FR"/>
        </w:rPr>
        <w:t xml:space="preserve"> de l’aire de répartition qui accueillent des effectifs nicheurs et/ou non nicheurs inférieurs au seuil fixé en pourcentage (de 1 à 5 % de la population biogéographique). Après consultation, ces États de l’aire de répartition peuvent choisir d’être considérés comme États de l’aire de répartition principaux dans le cadre de la mise en œuvre de l’ISSAP.</w:t>
      </w:r>
    </w:p>
    <w:sectPr w:rsidR="00D269FE" w:rsidRPr="00515B8C" w:rsidSect="003D59EE">
      <w:headerReference w:type="default" r:id="rId10"/>
      <w:footerReference w:type="default" r:id="rId11"/>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FE" w:rsidRDefault="00D269FE" w:rsidP="00262E06">
      <w:pPr>
        <w:spacing w:after="0" w:line="240" w:lineRule="auto"/>
      </w:pPr>
      <w:r>
        <w:separator/>
      </w:r>
    </w:p>
  </w:endnote>
  <w:endnote w:type="continuationSeparator" w:id="0">
    <w:p w:rsidR="00D269FE" w:rsidRDefault="00D269FE" w:rsidP="0026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FE" w:rsidRDefault="00D269F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FE" w:rsidRPr="004F25FA" w:rsidRDefault="00D269FE">
    <w:pPr>
      <w:pStyle w:val="Footer"/>
      <w:jc w:val="center"/>
      <w:rPr>
        <w:rFonts w:ascii="Times New Roman" w:hAnsi="Times New Roman"/>
        <w:sz w:val="20"/>
        <w:szCs w:val="20"/>
      </w:rPr>
    </w:pPr>
    <w:r w:rsidRPr="004F25FA">
      <w:rPr>
        <w:rFonts w:ascii="Times New Roman" w:hAnsi="Times New Roman"/>
        <w:sz w:val="20"/>
        <w:szCs w:val="20"/>
      </w:rPr>
      <w:fldChar w:fldCharType="begin"/>
    </w:r>
    <w:r w:rsidRPr="004F25FA">
      <w:rPr>
        <w:rFonts w:ascii="Times New Roman" w:hAnsi="Times New Roman"/>
        <w:sz w:val="20"/>
        <w:szCs w:val="20"/>
      </w:rPr>
      <w:instrText xml:space="preserve"> PAGE   \* MERGEFORMAT </w:instrText>
    </w:r>
    <w:r w:rsidRPr="004F25FA">
      <w:rPr>
        <w:rFonts w:ascii="Times New Roman" w:hAnsi="Times New Roman"/>
        <w:sz w:val="20"/>
        <w:szCs w:val="20"/>
      </w:rPr>
      <w:fldChar w:fldCharType="separate"/>
    </w:r>
    <w:r w:rsidR="00D86B48">
      <w:rPr>
        <w:rFonts w:ascii="Times New Roman" w:hAnsi="Times New Roman"/>
        <w:noProof/>
        <w:sz w:val="20"/>
        <w:szCs w:val="20"/>
      </w:rPr>
      <w:t>7</w:t>
    </w:r>
    <w:r w:rsidRPr="004F25FA">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FE" w:rsidRDefault="00D269FE" w:rsidP="00262E06">
      <w:pPr>
        <w:spacing w:after="0" w:line="240" w:lineRule="auto"/>
      </w:pPr>
      <w:r>
        <w:separator/>
      </w:r>
    </w:p>
  </w:footnote>
  <w:footnote w:type="continuationSeparator" w:id="0">
    <w:p w:rsidR="00D269FE" w:rsidRDefault="00D269FE" w:rsidP="0026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0A0" w:firstRow="1" w:lastRow="0" w:firstColumn="1" w:lastColumn="0" w:noHBand="0" w:noVBand="0"/>
    </w:tblPr>
    <w:tblGrid>
      <w:gridCol w:w="2268"/>
      <w:gridCol w:w="4678"/>
      <w:gridCol w:w="2552"/>
    </w:tblGrid>
    <w:tr w:rsidR="00D269FE" w:rsidRPr="00D86B48" w:rsidTr="00E15383">
      <w:trPr>
        <w:trHeight w:val="1256"/>
      </w:trPr>
      <w:tc>
        <w:tcPr>
          <w:tcW w:w="2268" w:type="dxa"/>
          <w:tcMar>
            <w:top w:w="0" w:type="dxa"/>
            <w:left w:w="108" w:type="dxa"/>
            <w:bottom w:w="0" w:type="dxa"/>
            <w:right w:w="108" w:type="dxa"/>
          </w:tcMar>
        </w:tcPr>
        <w:p w:rsidR="00D269FE" w:rsidRPr="00D86B48" w:rsidRDefault="00D86B48" w:rsidP="005A2568">
          <w:pPr>
            <w:suppressAutoHyphens/>
            <w:autoSpaceDN w:val="0"/>
            <w:spacing w:after="0" w:line="240" w:lineRule="auto"/>
            <w:textAlignment w:val="baseline"/>
            <w:rPr>
              <w:rFonts w:ascii="Times New Roman" w:hAnsi="Times New Roman"/>
              <w:sz w:val="24"/>
              <w:szCs w:val="24"/>
              <w:lang w:val="fr-FR"/>
            </w:rPr>
          </w:pPr>
          <w:r w:rsidRPr="00D86B48">
            <w:rPr>
              <w:rFonts w:ascii="Times New Roman" w:hAnsi="Times New Roman"/>
              <w:noProof/>
              <w:sz w:val="24"/>
              <w:szCs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AEWA_4Colours" style="width:66pt;height:54pt;visibility:visible">
                <v:imagedata r:id="rId1" o:title=""/>
              </v:shape>
            </w:pict>
          </w:r>
        </w:p>
      </w:tc>
      <w:tc>
        <w:tcPr>
          <w:tcW w:w="4678" w:type="dxa"/>
          <w:tcMar>
            <w:top w:w="0" w:type="dxa"/>
            <w:left w:w="108" w:type="dxa"/>
            <w:bottom w:w="0" w:type="dxa"/>
            <w:right w:w="108" w:type="dxa"/>
          </w:tcMar>
        </w:tcPr>
        <w:p w:rsidR="00D269FE" w:rsidRPr="00D86B48" w:rsidRDefault="00D269FE" w:rsidP="005A2568">
          <w:pPr>
            <w:tabs>
              <w:tab w:val="left" w:pos="2871"/>
            </w:tabs>
            <w:suppressAutoHyphens/>
            <w:autoSpaceDN w:val="0"/>
            <w:spacing w:after="0" w:line="240" w:lineRule="auto"/>
            <w:jc w:val="center"/>
            <w:textAlignment w:val="baseline"/>
            <w:rPr>
              <w:rFonts w:ascii="Times New Roman" w:hAnsi="Times New Roman"/>
              <w:sz w:val="24"/>
              <w:szCs w:val="24"/>
              <w:lang w:val="fr-FR"/>
            </w:rPr>
          </w:pPr>
          <w:r w:rsidRPr="00D86B48">
            <w:rPr>
              <w:rFonts w:ascii="Times New Roman" w:hAnsi="Times New Roman"/>
              <w:i/>
              <w:caps/>
              <w:sz w:val="20"/>
              <w:szCs w:val="20"/>
              <w:lang w:val="fr-FR"/>
            </w:rPr>
            <w:t>ACCORD SUR LA CONSERVATION DES OISEAUX D’eau migrateurs D’afrique-eurasie</w:t>
          </w:r>
        </w:p>
      </w:tc>
      <w:tc>
        <w:tcPr>
          <w:tcW w:w="2552" w:type="dxa"/>
          <w:tcMar>
            <w:top w:w="0" w:type="dxa"/>
            <w:left w:w="108" w:type="dxa"/>
            <w:bottom w:w="0" w:type="dxa"/>
            <w:right w:w="108" w:type="dxa"/>
          </w:tcMar>
        </w:tcPr>
        <w:p w:rsidR="00D269FE" w:rsidRPr="00D86B48" w:rsidRDefault="00D269FE" w:rsidP="005A2568">
          <w:pPr>
            <w:suppressAutoHyphens/>
            <w:autoSpaceDN w:val="0"/>
            <w:spacing w:after="0" w:line="240" w:lineRule="auto"/>
            <w:ind w:left="-108"/>
            <w:jc w:val="right"/>
            <w:textAlignment w:val="baseline"/>
            <w:rPr>
              <w:rFonts w:ascii="Times New Roman" w:hAnsi="Times New Roman"/>
              <w:bCs/>
              <w:i/>
              <w:iCs/>
              <w:sz w:val="20"/>
              <w:szCs w:val="20"/>
              <w:lang w:val="fr-FR"/>
            </w:rPr>
          </w:pPr>
          <w:r w:rsidRPr="00D86B48">
            <w:rPr>
              <w:rFonts w:ascii="Times New Roman" w:hAnsi="Times New Roman"/>
              <w:i/>
              <w:iCs/>
              <w:sz w:val="20"/>
              <w:szCs w:val="20"/>
              <w:lang w:val="fr-FR"/>
            </w:rPr>
            <w:t xml:space="preserve">Doc: </w:t>
          </w:r>
          <w:r w:rsidRPr="00D86B48">
            <w:rPr>
              <w:rFonts w:ascii="Times New Roman" w:hAnsi="Times New Roman"/>
              <w:bCs/>
              <w:i/>
              <w:iCs/>
              <w:sz w:val="20"/>
              <w:szCs w:val="20"/>
              <w:lang w:val="fr-FR"/>
            </w:rPr>
            <w:t>AEWA/MOP 6.33</w:t>
          </w:r>
        </w:p>
        <w:p w:rsidR="00D269FE" w:rsidRPr="00D86B48" w:rsidRDefault="00D269FE" w:rsidP="005A2568">
          <w:pPr>
            <w:suppressAutoHyphens/>
            <w:autoSpaceDN w:val="0"/>
            <w:spacing w:after="0" w:line="240" w:lineRule="auto"/>
            <w:ind w:left="-108"/>
            <w:jc w:val="right"/>
            <w:textAlignment w:val="baseline"/>
            <w:rPr>
              <w:rFonts w:ascii="Times New Roman" w:hAnsi="Times New Roman"/>
              <w:sz w:val="24"/>
              <w:szCs w:val="24"/>
              <w:lang w:val="fr-FR"/>
            </w:rPr>
          </w:pPr>
          <w:r w:rsidRPr="00D86B48">
            <w:rPr>
              <w:rFonts w:ascii="Times New Roman" w:hAnsi="Times New Roman"/>
              <w:i/>
              <w:iCs/>
              <w:sz w:val="20"/>
              <w:szCs w:val="20"/>
              <w:lang w:val="fr-FR"/>
            </w:rPr>
            <w:t>Point 23</w:t>
          </w:r>
          <w:r w:rsidRPr="00D86B48">
            <w:rPr>
              <w:rFonts w:ascii="Times New Roman" w:hAnsi="Times New Roman"/>
              <w:bCs/>
              <w:i/>
              <w:iCs/>
              <w:sz w:val="20"/>
              <w:szCs w:val="20"/>
              <w:lang w:val="fr-FR"/>
            </w:rPr>
            <w:t xml:space="preserve"> de l’ordre du jour</w:t>
          </w:r>
        </w:p>
        <w:p w:rsidR="00D269FE" w:rsidRPr="00D86B48" w:rsidRDefault="00D269FE" w:rsidP="005A2568">
          <w:pPr>
            <w:suppressAutoHyphens/>
            <w:autoSpaceDN w:val="0"/>
            <w:spacing w:after="0" w:line="240" w:lineRule="auto"/>
            <w:jc w:val="right"/>
            <w:textAlignment w:val="baseline"/>
            <w:rPr>
              <w:rFonts w:ascii="Times New Roman" w:hAnsi="Times New Roman"/>
              <w:sz w:val="24"/>
              <w:szCs w:val="24"/>
              <w:lang w:val="fr-FR"/>
            </w:rPr>
          </w:pPr>
          <w:r w:rsidRPr="00D86B48">
            <w:rPr>
              <w:rFonts w:ascii="Times New Roman" w:hAnsi="Times New Roman"/>
              <w:i/>
              <w:iCs/>
              <w:sz w:val="20"/>
              <w:szCs w:val="20"/>
              <w:lang w:val="fr-FR"/>
            </w:rPr>
            <w:t>Original: Anglais</w:t>
          </w:r>
        </w:p>
        <w:p w:rsidR="00D269FE" w:rsidRPr="00D86B48" w:rsidRDefault="00D269FE" w:rsidP="005A2568">
          <w:pPr>
            <w:suppressAutoHyphens/>
            <w:autoSpaceDN w:val="0"/>
            <w:spacing w:after="0" w:line="240" w:lineRule="auto"/>
            <w:jc w:val="right"/>
            <w:textAlignment w:val="baseline"/>
            <w:rPr>
              <w:rFonts w:ascii="Times New Roman" w:hAnsi="Times New Roman"/>
              <w:bCs/>
              <w:i/>
              <w:iCs/>
              <w:sz w:val="20"/>
              <w:szCs w:val="20"/>
              <w:lang w:val="fr-FR"/>
            </w:rPr>
          </w:pPr>
        </w:p>
        <w:p w:rsidR="00D269FE" w:rsidRPr="00D86B48" w:rsidRDefault="00D269FE" w:rsidP="005A2568">
          <w:pPr>
            <w:suppressAutoHyphens/>
            <w:autoSpaceDN w:val="0"/>
            <w:spacing w:after="0" w:line="240" w:lineRule="auto"/>
            <w:jc w:val="right"/>
            <w:textAlignment w:val="baseline"/>
            <w:rPr>
              <w:rFonts w:ascii="Times New Roman" w:hAnsi="Times New Roman"/>
              <w:i/>
              <w:iCs/>
              <w:sz w:val="20"/>
              <w:szCs w:val="20"/>
              <w:lang w:val="fr-FR"/>
            </w:rPr>
          </w:pPr>
          <w:r w:rsidRPr="00D86B48">
            <w:rPr>
              <w:rFonts w:ascii="Times New Roman" w:hAnsi="Times New Roman"/>
              <w:i/>
              <w:iCs/>
              <w:sz w:val="20"/>
              <w:szCs w:val="20"/>
              <w:lang w:val="fr-FR"/>
            </w:rPr>
            <w:t>Date:</w:t>
          </w:r>
          <w:r w:rsidR="001F1867" w:rsidRPr="00D86B48">
            <w:rPr>
              <w:rFonts w:ascii="Times New Roman" w:hAnsi="Times New Roman"/>
              <w:i/>
              <w:iCs/>
              <w:sz w:val="20"/>
              <w:szCs w:val="20"/>
              <w:lang w:val="fr-FR"/>
            </w:rPr>
            <w:t xml:space="preserve">10 </w:t>
          </w:r>
          <w:r w:rsidRPr="00D86B48">
            <w:rPr>
              <w:rFonts w:ascii="Times New Roman" w:hAnsi="Times New Roman"/>
              <w:i/>
              <w:iCs/>
              <w:sz w:val="20"/>
              <w:szCs w:val="20"/>
              <w:lang w:val="fr-FR"/>
            </w:rPr>
            <w:t>aoȗt 2015</w:t>
          </w:r>
        </w:p>
        <w:p w:rsidR="00D269FE" w:rsidRPr="00D86B48" w:rsidRDefault="00D269FE" w:rsidP="005A2568">
          <w:pPr>
            <w:suppressAutoHyphens/>
            <w:autoSpaceDN w:val="0"/>
            <w:spacing w:after="0" w:line="240" w:lineRule="auto"/>
            <w:jc w:val="right"/>
            <w:textAlignment w:val="baseline"/>
            <w:rPr>
              <w:rFonts w:ascii="Times New Roman" w:hAnsi="Times New Roman"/>
              <w:sz w:val="18"/>
              <w:szCs w:val="18"/>
              <w:lang w:val="fr-FR"/>
            </w:rPr>
          </w:pPr>
        </w:p>
      </w:tc>
    </w:tr>
    <w:tr w:rsidR="00D269FE" w:rsidRPr="00D86B48" w:rsidTr="00E15383">
      <w:tc>
        <w:tcPr>
          <w:tcW w:w="9498" w:type="dxa"/>
          <w:gridSpan w:val="3"/>
          <w:tcMar>
            <w:top w:w="0" w:type="dxa"/>
            <w:left w:w="108" w:type="dxa"/>
            <w:bottom w:w="0" w:type="dxa"/>
            <w:right w:w="108" w:type="dxa"/>
          </w:tcMar>
        </w:tcPr>
        <w:p w:rsidR="00D269FE" w:rsidRPr="00D86B48" w:rsidRDefault="00D269FE" w:rsidP="005A2568">
          <w:pPr>
            <w:autoSpaceDN w:val="0"/>
            <w:spacing w:after="0" w:line="240" w:lineRule="auto"/>
            <w:jc w:val="center"/>
            <w:rPr>
              <w:rFonts w:ascii="Times New Roman" w:hAnsi="Times New Roman"/>
              <w:szCs w:val="24"/>
              <w:lang w:val="fr-FR"/>
            </w:rPr>
          </w:pPr>
          <w:r w:rsidRPr="00D86B48">
            <w:rPr>
              <w:rFonts w:ascii="Times New Roman" w:hAnsi="Times New Roman"/>
              <w:b/>
              <w:bCs/>
              <w:sz w:val="26"/>
              <w:szCs w:val="26"/>
              <w:lang w:val="fr-FR"/>
            </w:rPr>
            <w:t>6</w:t>
          </w:r>
          <w:r w:rsidRPr="00D86B48">
            <w:rPr>
              <w:rFonts w:ascii="Times New Roman" w:hAnsi="Times New Roman"/>
              <w:b/>
              <w:bCs/>
              <w:sz w:val="26"/>
              <w:szCs w:val="26"/>
              <w:vertAlign w:val="superscript"/>
              <w:lang w:val="fr-FR"/>
            </w:rPr>
            <w:t>ème</w:t>
          </w:r>
          <w:r w:rsidRPr="00D86B48">
            <w:rPr>
              <w:rFonts w:ascii="Times New Roman" w:hAnsi="Times New Roman"/>
              <w:b/>
              <w:bCs/>
              <w:caps/>
              <w:sz w:val="26"/>
              <w:szCs w:val="26"/>
              <w:lang w:val="fr-FR"/>
            </w:rPr>
            <w:t>Session de la rÉunion des parties contractantes</w:t>
          </w:r>
        </w:p>
        <w:p w:rsidR="00D269FE" w:rsidRPr="00D86B48" w:rsidRDefault="00D269FE" w:rsidP="005A2568">
          <w:pPr>
            <w:suppressAutoHyphens/>
            <w:autoSpaceDN w:val="0"/>
            <w:spacing w:after="0" w:line="240" w:lineRule="auto"/>
            <w:jc w:val="center"/>
            <w:textAlignment w:val="baseline"/>
            <w:rPr>
              <w:rFonts w:ascii="Times New Roman" w:hAnsi="Times New Roman"/>
              <w:sz w:val="24"/>
              <w:szCs w:val="24"/>
              <w:lang w:val="fr-FR"/>
            </w:rPr>
          </w:pPr>
          <w:r w:rsidRPr="00D86B48">
            <w:rPr>
              <w:rFonts w:ascii="Times New Roman" w:hAnsi="Times New Roman"/>
              <w:i/>
              <w:iCs/>
              <w:sz w:val="24"/>
              <w:szCs w:val="24"/>
              <w:lang w:val="fr-FR"/>
            </w:rPr>
            <w:t>9-14 novembre 2015, Bonn, Allemagne</w:t>
          </w:r>
        </w:p>
      </w:tc>
    </w:tr>
    <w:tr w:rsidR="00D269FE" w:rsidRPr="00D86B48" w:rsidTr="00E15383">
      <w:trPr>
        <w:trHeight w:val="702"/>
      </w:trPr>
      <w:tc>
        <w:tcPr>
          <w:tcW w:w="9498" w:type="dxa"/>
          <w:gridSpan w:val="3"/>
          <w:tcBorders>
            <w:bottom w:val="single" w:sz="8" w:space="0" w:color="000000"/>
          </w:tcBorders>
          <w:tcMar>
            <w:top w:w="0" w:type="dxa"/>
            <w:left w:w="108" w:type="dxa"/>
            <w:bottom w:w="0" w:type="dxa"/>
            <w:right w:w="108" w:type="dxa"/>
          </w:tcMar>
          <w:vAlign w:val="center"/>
        </w:tcPr>
        <w:p w:rsidR="00D269FE" w:rsidRPr="00D86B48" w:rsidRDefault="00D269FE" w:rsidP="005A2568">
          <w:pPr>
            <w:autoSpaceDN w:val="0"/>
            <w:spacing w:after="0" w:line="240" w:lineRule="auto"/>
            <w:jc w:val="center"/>
            <w:rPr>
              <w:rFonts w:ascii="Times New Roman" w:hAnsi="Times New Roman"/>
              <w:bCs/>
              <w:i/>
              <w:sz w:val="24"/>
              <w:szCs w:val="24"/>
              <w:lang w:val="fr-FR"/>
            </w:rPr>
          </w:pPr>
          <w:r w:rsidRPr="00D86B48">
            <w:rPr>
              <w:rFonts w:ascii="Times New Roman" w:hAnsi="Times New Roman"/>
              <w:bCs/>
              <w:i/>
              <w:sz w:val="24"/>
              <w:szCs w:val="24"/>
              <w:lang w:val="fr-FR"/>
            </w:rPr>
            <w:t>« Concrétiser la conservation au niveau de la voie de migration »</w:t>
          </w:r>
        </w:p>
      </w:tc>
    </w:tr>
  </w:tbl>
  <w:p w:rsidR="00D269FE" w:rsidRPr="00D86B48" w:rsidRDefault="00D269FE" w:rsidP="005A2568">
    <w:pPr>
      <w:suppressAutoHyphens/>
      <w:autoSpaceDN w:val="0"/>
      <w:spacing w:after="0" w:line="240" w:lineRule="auto"/>
      <w:textAlignment w:val="baseline"/>
      <w:rPr>
        <w:rFonts w:ascii="Times New Roman" w:hAnsi="Times New Roman"/>
        <w:sz w:val="24"/>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FE" w:rsidRPr="004F25FA" w:rsidRDefault="00D269FE" w:rsidP="004F2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151D"/>
    <w:multiLevelType w:val="hybridMultilevel"/>
    <w:tmpl w:val="2FB21A4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64968D5"/>
    <w:multiLevelType w:val="hybridMultilevel"/>
    <w:tmpl w:val="D9B210DC"/>
    <w:lvl w:ilvl="0" w:tplc="28442B2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2BE10E6E"/>
    <w:multiLevelType w:val="hybridMultilevel"/>
    <w:tmpl w:val="1430B4A8"/>
    <w:lvl w:ilvl="0" w:tplc="DB2E2B6C">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A3D55"/>
    <w:multiLevelType w:val="hybridMultilevel"/>
    <w:tmpl w:val="000E92E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443369A"/>
    <w:multiLevelType w:val="hybridMultilevel"/>
    <w:tmpl w:val="102EF5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8683D40"/>
    <w:multiLevelType w:val="hybridMultilevel"/>
    <w:tmpl w:val="D242BA22"/>
    <w:lvl w:ilvl="0" w:tplc="C386703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505C9"/>
    <w:multiLevelType w:val="hybridMultilevel"/>
    <w:tmpl w:val="06A6492E"/>
    <w:lvl w:ilvl="0" w:tplc="3B56DCF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E6111B"/>
    <w:multiLevelType w:val="hybridMultilevel"/>
    <w:tmpl w:val="1AF69B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E2E32E9"/>
    <w:multiLevelType w:val="hybridMultilevel"/>
    <w:tmpl w:val="A8380CBA"/>
    <w:lvl w:ilvl="0" w:tplc="C386703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34F76"/>
    <w:multiLevelType w:val="hybridMultilevel"/>
    <w:tmpl w:val="06A6492E"/>
    <w:lvl w:ilvl="0" w:tplc="3B56DCF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9"/>
  </w:num>
  <w:num w:numId="4">
    <w:abstractNumId w:val="5"/>
  </w:num>
  <w:num w:numId="5">
    <w:abstractNumId w:val="1"/>
  </w:num>
  <w:num w:numId="6">
    <w:abstractNumId w:val="4"/>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B01"/>
    <w:rsid w:val="0001064C"/>
    <w:rsid w:val="00011E8B"/>
    <w:rsid w:val="00014E7D"/>
    <w:rsid w:val="00023F28"/>
    <w:rsid w:val="000248DA"/>
    <w:rsid w:val="000301C4"/>
    <w:rsid w:val="00032FED"/>
    <w:rsid w:val="00040A10"/>
    <w:rsid w:val="00044E4D"/>
    <w:rsid w:val="00045B27"/>
    <w:rsid w:val="000460F5"/>
    <w:rsid w:val="0004791E"/>
    <w:rsid w:val="00050090"/>
    <w:rsid w:val="00062FD9"/>
    <w:rsid w:val="000738F7"/>
    <w:rsid w:val="0008164B"/>
    <w:rsid w:val="00091A90"/>
    <w:rsid w:val="000A713D"/>
    <w:rsid w:val="000A79D6"/>
    <w:rsid w:val="000B3635"/>
    <w:rsid w:val="000C211D"/>
    <w:rsid w:val="000C497F"/>
    <w:rsid w:val="000E48EC"/>
    <w:rsid w:val="000F42B3"/>
    <w:rsid w:val="000F7F25"/>
    <w:rsid w:val="00112B01"/>
    <w:rsid w:val="00123220"/>
    <w:rsid w:val="00134C2B"/>
    <w:rsid w:val="00135398"/>
    <w:rsid w:val="00151715"/>
    <w:rsid w:val="00152017"/>
    <w:rsid w:val="00163C12"/>
    <w:rsid w:val="0016557F"/>
    <w:rsid w:val="0017527A"/>
    <w:rsid w:val="001853F7"/>
    <w:rsid w:val="001B25A9"/>
    <w:rsid w:val="001C43C1"/>
    <w:rsid w:val="001C7749"/>
    <w:rsid w:val="001D16C0"/>
    <w:rsid w:val="001E10DB"/>
    <w:rsid w:val="001E23BE"/>
    <w:rsid w:val="001E6D01"/>
    <w:rsid w:val="001F1867"/>
    <w:rsid w:val="001F6527"/>
    <w:rsid w:val="001F7031"/>
    <w:rsid w:val="0020754E"/>
    <w:rsid w:val="002107F4"/>
    <w:rsid w:val="00224CEB"/>
    <w:rsid w:val="00230390"/>
    <w:rsid w:val="00236B73"/>
    <w:rsid w:val="0026018E"/>
    <w:rsid w:val="00262E06"/>
    <w:rsid w:val="00271D9B"/>
    <w:rsid w:val="002733EA"/>
    <w:rsid w:val="00275D46"/>
    <w:rsid w:val="002833DA"/>
    <w:rsid w:val="002A1217"/>
    <w:rsid w:val="002A56ED"/>
    <w:rsid w:val="002B0691"/>
    <w:rsid w:val="002B4F43"/>
    <w:rsid w:val="002D2863"/>
    <w:rsid w:val="002F2234"/>
    <w:rsid w:val="00306546"/>
    <w:rsid w:val="003104B7"/>
    <w:rsid w:val="00311AB9"/>
    <w:rsid w:val="00327385"/>
    <w:rsid w:val="00331EC1"/>
    <w:rsid w:val="00334983"/>
    <w:rsid w:val="0033502A"/>
    <w:rsid w:val="0034023C"/>
    <w:rsid w:val="00340531"/>
    <w:rsid w:val="003518B7"/>
    <w:rsid w:val="0036596E"/>
    <w:rsid w:val="0038387E"/>
    <w:rsid w:val="003855C7"/>
    <w:rsid w:val="00385878"/>
    <w:rsid w:val="0038662B"/>
    <w:rsid w:val="0039529A"/>
    <w:rsid w:val="003C0AE8"/>
    <w:rsid w:val="003D1E1E"/>
    <w:rsid w:val="003D54E8"/>
    <w:rsid w:val="003D59EE"/>
    <w:rsid w:val="003D6C10"/>
    <w:rsid w:val="003D6FEE"/>
    <w:rsid w:val="003E4FB8"/>
    <w:rsid w:val="003E5786"/>
    <w:rsid w:val="00403CF0"/>
    <w:rsid w:val="00406FAF"/>
    <w:rsid w:val="00410B25"/>
    <w:rsid w:val="004142FA"/>
    <w:rsid w:val="004175F2"/>
    <w:rsid w:val="004178E5"/>
    <w:rsid w:val="00447B92"/>
    <w:rsid w:val="00447C2E"/>
    <w:rsid w:val="00452EB7"/>
    <w:rsid w:val="00453405"/>
    <w:rsid w:val="004658F6"/>
    <w:rsid w:val="00473D14"/>
    <w:rsid w:val="00481549"/>
    <w:rsid w:val="00482A09"/>
    <w:rsid w:val="004A2137"/>
    <w:rsid w:val="004B6864"/>
    <w:rsid w:val="004C37DB"/>
    <w:rsid w:val="004C52B0"/>
    <w:rsid w:val="004C5493"/>
    <w:rsid w:val="004C617C"/>
    <w:rsid w:val="004C76E6"/>
    <w:rsid w:val="004D08DA"/>
    <w:rsid w:val="004D1E09"/>
    <w:rsid w:val="004D6DD0"/>
    <w:rsid w:val="004F1A33"/>
    <w:rsid w:val="004F25FA"/>
    <w:rsid w:val="004F2BBF"/>
    <w:rsid w:val="004F3160"/>
    <w:rsid w:val="004F77C4"/>
    <w:rsid w:val="0050521B"/>
    <w:rsid w:val="00507192"/>
    <w:rsid w:val="00513942"/>
    <w:rsid w:val="00515B8C"/>
    <w:rsid w:val="00517E9D"/>
    <w:rsid w:val="005210C7"/>
    <w:rsid w:val="00521478"/>
    <w:rsid w:val="0052266A"/>
    <w:rsid w:val="00532398"/>
    <w:rsid w:val="0053501E"/>
    <w:rsid w:val="00541835"/>
    <w:rsid w:val="00547DBB"/>
    <w:rsid w:val="00573A4E"/>
    <w:rsid w:val="00575D72"/>
    <w:rsid w:val="00577AA3"/>
    <w:rsid w:val="00583107"/>
    <w:rsid w:val="005901E0"/>
    <w:rsid w:val="005A2568"/>
    <w:rsid w:val="005A5A36"/>
    <w:rsid w:val="005B164E"/>
    <w:rsid w:val="005B19BD"/>
    <w:rsid w:val="005B7F28"/>
    <w:rsid w:val="005C1ABF"/>
    <w:rsid w:val="005C6289"/>
    <w:rsid w:val="005C7F73"/>
    <w:rsid w:val="005D2391"/>
    <w:rsid w:val="005D412B"/>
    <w:rsid w:val="005E484C"/>
    <w:rsid w:val="005F202E"/>
    <w:rsid w:val="005F25C1"/>
    <w:rsid w:val="005F2E9B"/>
    <w:rsid w:val="005F724E"/>
    <w:rsid w:val="00604CAF"/>
    <w:rsid w:val="00615317"/>
    <w:rsid w:val="00621C01"/>
    <w:rsid w:val="00640FE9"/>
    <w:rsid w:val="00645203"/>
    <w:rsid w:val="0064626C"/>
    <w:rsid w:val="00651E37"/>
    <w:rsid w:val="00665426"/>
    <w:rsid w:val="00665C74"/>
    <w:rsid w:val="00682A6C"/>
    <w:rsid w:val="00697A7F"/>
    <w:rsid w:val="006A1FDC"/>
    <w:rsid w:val="006A44EB"/>
    <w:rsid w:val="006A4585"/>
    <w:rsid w:val="006B738E"/>
    <w:rsid w:val="006B7B35"/>
    <w:rsid w:val="006C0F43"/>
    <w:rsid w:val="006C3A7C"/>
    <w:rsid w:val="006C7087"/>
    <w:rsid w:val="006C73E9"/>
    <w:rsid w:val="006E199B"/>
    <w:rsid w:val="006F2094"/>
    <w:rsid w:val="007153CE"/>
    <w:rsid w:val="0072204B"/>
    <w:rsid w:val="0073745C"/>
    <w:rsid w:val="00745DCF"/>
    <w:rsid w:val="00746B56"/>
    <w:rsid w:val="0076399C"/>
    <w:rsid w:val="007652FA"/>
    <w:rsid w:val="00767473"/>
    <w:rsid w:val="007733C5"/>
    <w:rsid w:val="00773C6C"/>
    <w:rsid w:val="007953F4"/>
    <w:rsid w:val="007B5EFF"/>
    <w:rsid w:val="007B77ED"/>
    <w:rsid w:val="007D255E"/>
    <w:rsid w:val="007D7AD4"/>
    <w:rsid w:val="007E0B31"/>
    <w:rsid w:val="007E0D07"/>
    <w:rsid w:val="007E104D"/>
    <w:rsid w:val="008010A3"/>
    <w:rsid w:val="008025E4"/>
    <w:rsid w:val="0080396A"/>
    <w:rsid w:val="00805296"/>
    <w:rsid w:val="00820FA7"/>
    <w:rsid w:val="00824260"/>
    <w:rsid w:val="0082668A"/>
    <w:rsid w:val="008267DB"/>
    <w:rsid w:val="00832CB0"/>
    <w:rsid w:val="008375F8"/>
    <w:rsid w:val="00837ECB"/>
    <w:rsid w:val="00843087"/>
    <w:rsid w:val="00845FAF"/>
    <w:rsid w:val="00861DE3"/>
    <w:rsid w:val="008628F0"/>
    <w:rsid w:val="00866CF4"/>
    <w:rsid w:val="008773A1"/>
    <w:rsid w:val="0087768B"/>
    <w:rsid w:val="00881E23"/>
    <w:rsid w:val="008922EA"/>
    <w:rsid w:val="008A74DD"/>
    <w:rsid w:val="008C74FC"/>
    <w:rsid w:val="008D2858"/>
    <w:rsid w:val="008D3971"/>
    <w:rsid w:val="008D5319"/>
    <w:rsid w:val="008E7DD4"/>
    <w:rsid w:val="00912E04"/>
    <w:rsid w:val="00921734"/>
    <w:rsid w:val="00923837"/>
    <w:rsid w:val="0093062F"/>
    <w:rsid w:val="00941193"/>
    <w:rsid w:val="00942B17"/>
    <w:rsid w:val="0094671A"/>
    <w:rsid w:val="00953537"/>
    <w:rsid w:val="0096003F"/>
    <w:rsid w:val="0096203D"/>
    <w:rsid w:val="00974045"/>
    <w:rsid w:val="0097692F"/>
    <w:rsid w:val="00976F2A"/>
    <w:rsid w:val="00982B7F"/>
    <w:rsid w:val="00995ED5"/>
    <w:rsid w:val="009A1BB5"/>
    <w:rsid w:val="009B3A45"/>
    <w:rsid w:val="009B4E0B"/>
    <w:rsid w:val="009D0E7D"/>
    <w:rsid w:val="009D3AC4"/>
    <w:rsid w:val="00A069E7"/>
    <w:rsid w:val="00A06DC4"/>
    <w:rsid w:val="00A10945"/>
    <w:rsid w:val="00A246F0"/>
    <w:rsid w:val="00A24FBF"/>
    <w:rsid w:val="00A330F7"/>
    <w:rsid w:val="00A361E9"/>
    <w:rsid w:val="00A37D52"/>
    <w:rsid w:val="00A51B6F"/>
    <w:rsid w:val="00A71015"/>
    <w:rsid w:val="00A73513"/>
    <w:rsid w:val="00A844AA"/>
    <w:rsid w:val="00A913C2"/>
    <w:rsid w:val="00A9534A"/>
    <w:rsid w:val="00A96EFB"/>
    <w:rsid w:val="00AA1A89"/>
    <w:rsid w:val="00AB34E5"/>
    <w:rsid w:val="00AB7085"/>
    <w:rsid w:val="00AC346C"/>
    <w:rsid w:val="00AC359C"/>
    <w:rsid w:val="00AD4597"/>
    <w:rsid w:val="00AE658F"/>
    <w:rsid w:val="00AE7F57"/>
    <w:rsid w:val="00AF3061"/>
    <w:rsid w:val="00B01F3B"/>
    <w:rsid w:val="00B20D7C"/>
    <w:rsid w:val="00B2243F"/>
    <w:rsid w:val="00B24286"/>
    <w:rsid w:val="00B26030"/>
    <w:rsid w:val="00B337EE"/>
    <w:rsid w:val="00B351B0"/>
    <w:rsid w:val="00B63101"/>
    <w:rsid w:val="00B66EC4"/>
    <w:rsid w:val="00B674CA"/>
    <w:rsid w:val="00B76B30"/>
    <w:rsid w:val="00B85853"/>
    <w:rsid w:val="00B9619F"/>
    <w:rsid w:val="00BB5733"/>
    <w:rsid w:val="00BC0A06"/>
    <w:rsid w:val="00BC39DD"/>
    <w:rsid w:val="00BC3EA7"/>
    <w:rsid w:val="00BD1E1E"/>
    <w:rsid w:val="00BD31E6"/>
    <w:rsid w:val="00BD334C"/>
    <w:rsid w:val="00BD6CD9"/>
    <w:rsid w:val="00BD6D19"/>
    <w:rsid w:val="00BE0915"/>
    <w:rsid w:val="00BE78CF"/>
    <w:rsid w:val="00BF184B"/>
    <w:rsid w:val="00BF62E0"/>
    <w:rsid w:val="00C04749"/>
    <w:rsid w:val="00C05BB3"/>
    <w:rsid w:val="00C14125"/>
    <w:rsid w:val="00C24398"/>
    <w:rsid w:val="00C33A20"/>
    <w:rsid w:val="00C36A23"/>
    <w:rsid w:val="00C56B3B"/>
    <w:rsid w:val="00C75708"/>
    <w:rsid w:val="00C87ABA"/>
    <w:rsid w:val="00C92BF0"/>
    <w:rsid w:val="00C93B76"/>
    <w:rsid w:val="00C96D08"/>
    <w:rsid w:val="00CA6B17"/>
    <w:rsid w:val="00CB4B0F"/>
    <w:rsid w:val="00CB7481"/>
    <w:rsid w:val="00CC57CD"/>
    <w:rsid w:val="00CC5DCC"/>
    <w:rsid w:val="00CE1E5B"/>
    <w:rsid w:val="00D14ECB"/>
    <w:rsid w:val="00D269FE"/>
    <w:rsid w:val="00D42140"/>
    <w:rsid w:val="00D453DA"/>
    <w:rsid w:val="00D45FBB"/>
    <w:rsid w:val="00D645EB"/>
    <w:rsid w:val="00D72820"/>
    <w:rsid w:val="00D74119"/>
    <w:rsid w:val="00D86B48"/>
    <w:rsid w:val="00D908DE"/>
    <w:rsid w:val="00DB08C2"/>
    <w:rsid w:val="00DB1C85"/>
    <w:rsid w:val="00DC2267"/>
    <w:rsid w:val="00DC4DB0"/>
    <w:rsid w:val="00DC6951"/>
    <w:rsid w:val="00DD3080"/>
    <w:rsid w:val="00DF7F9D"/>
    <w:rsid w:val="00E06472"/>
    <w:rsid w:val="00E07257"/>
    <w:rsid w:val="00E104FC"/>
    <w:rsid w:val="00E15383"/>
    <w:rsid w:val="00E26438"/>
    <w:rsid w:val="00E271B4"/>
    <w:rsid w:val="00E618DA"/>
    <w:rsid w:val="00E74F06"/>
    <w:rsid w:val="00E921CB"/>
    <w:rsid w:val="00E92A5E"/>
    <w:rsid w:val="00E9377A"/>
    <w:rsid w:val="00E96DF2"/>
    <w:rsid w:val="00EA04F7"/>
    <w:rsid w:val="00EA1BD1"/>
    <w:rsid w:val="00EC180F"/>
    <w:rsid w:val="00EC2241"/>
    <w:rsid w:val="00EC4B9B"/>
    <w:rsid w:val="00ED3217"/>
    <w:rsid w:val="00EE0A83"/>
    <w:rsid w:val="00EE69A7"/>
    <w:rsid w:val="00EF1169"/>
    <w:rsid w:val="00F025A1"/>
    <w:rsid w:val="00F0329F"/>
    <w:rsid w:val="00F06948"/>
    <w:rsid w:val="00F14694"/>
    <w:rsid w:val="00F2104A"/>
    <w:rsid w:val="00F26DC1"/>
    <w:rsid w:val="00F3428F"/>
    <w:rsid w:val="00F36172"/>
    <w:rsid w:val="00F43C92"/>
    <w:rsid w:val="00F459B3"/>
    <w:rsid w:val="00F45C9C"/>
    <w:rsid w:val="00F51D61"/>
    <w:rsid w:val="00F54601"/>
    <w:rsid w:val="00F5634E"/>
    <w:rsid w:val="00F57C91"/>
    <w:rsid w:val="00F94EB9"/>
    <w:rsid w:val="00FA21E3"/>
    <w:rsid w:val="00FA5FBC"/>
    <w:rsid w:val="00FC3618"/>
    <w:rsid w:val="00FD0DBB"/>
    <w:rsid w:val="00FD4FF0"/>
    <w:rsid w:val="00FE2299"/>
    <w:rsid w:val="00F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3A374AC0-A52F-4261-BA53-88DE208A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7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2B01"/>
    <w:pPr>
      <w:ind w:left="720"/>
      <w:contextualSpacing/>
    </w:pPr>
  </w:style>
  <w:style w:type="paragraph" w:styleId="Header">
    <w:name w:val="header"/>
    <w:basedOn w:val="Normal"/>
    <w:link w:val="HeaderChar"/>
    <w:uiPriority w:val="99"/>
    <w:rsid w:val="00262E0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2E06"/>
    <w:rPr>
      <w:rFonts w:cs="Times New Roman"/>
    </w:rPr>
  </w:style>
  <w:style w:type="paragraph" w:styleId="Footer">
    <w:name w:val="footer"/>
    <w:basedOn w:val="Normal"/>
    <w:link w:val="FooterChar"/>
    <w:uiPriority w:val="99"/>
    <w:rsid w:val="00262E0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2E06"/>
    <w:rPr>
      <w:rFonts w:cs="Times New Roman"/>
    </w:rPr>
  </w:style>
  <w:style w:type="character" w:styleId="CommentReference">
    <w:name w:val="annotation reference"/>
    <w:basedOn w:val="DefaultParagraphFont"/>
    <w:uiPriority w:val="99"/>
    <w:semiHidden/>
    <w:rsid w:val="006C7087"/>
    <w:rPr>
      <w:rFonts w:cs="Times New Roman"/>
      <w:sz w:val="16"/>
      <w:szCs w:val="16"/>
    </w:rPr>
  </w:style>
  <w:style w:type="paragraph" w:styleId="CommentText">
    <w:name w:val="annotation text"/>
    <w:basedOn w:val="Normal"/>
    <w:link w:val="CommentTextChar"/>
    <w:uiPriority w:val="99"/>
    <w:semiHidden/>
    <w:rsid w:val="006C708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7087"/>
    <w:rPr>
      <w:rFonts w:cs="Times New Roman"/>
      <w:sz w:val="20"/>
      <w:szCs w:val="20"/>
    </w:rPr>
  </w:style>
  <w:style w:type="paragraph" w:styleId="CommentSubject">
    <w:name w:val="annotation subject"/>
    <w:basedOn w:val="CommentText"/>
    <w:next w:val="CommentText"/>
    <w:link w:val="CommentSubjectChar"/>
    <w:uiPriority w:val="99"/>
    <w:semiHidden/>
    <w:rsid w:val="006C7087"/>
    <w:rPr>
      <w:b/>
      <w:bCs/>
    </w:rPr>
  </w:style>
  <w:style w:type="character" w:customStyle="1" w:styleId="CommentSubjectChar">
    <w:name w:val="Comment Subject Char"/>
    <w:basedOn w:val="CommentTextChar"/>
    <w:link w:val="CommentSubject"/>
    <w:uiPriority w:val="99"/>
    <w:semiHidden/>
    <w:locked/>
    <w:rsid w:val="006C7087"/>
    <w:rPr>
      <w:rFonts w:cs="Times New Roman"/>
      <w:b/>
      <w:bCs/>
      <w:sz w:val="20"/>
      <w:szCs w:val="20"/>
    </w:rPr>
  </w:style>
  <w:style w:type="paragraph" w:styleId="BalloonText">
    <w:name w:val="Balloon Text"/>
    <w:basedOn w:val="Normal"/>
    <w:link w:val="BalloonTextChar"/>
    <w:uiPriority w:val="99"/>
    <w:semiHidden/>
    <w:rsid w:val="006C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087"/>
    <w:rPr>
      <w:rFonts w:ascii="Tahoma" w:hAnsi="Tahoma" w:cs="Tahoma"/>
      <w:sz w:val="16"/>
      <w:szCs w:val="16"/>
    </w:rPr>
  </w:style>
  <w:style w:type="table" w:styleId="TableGrid">
    <w:name w:val="Table Grid"/>
    <w:basedOn w:val="TableNormal"/>
    <w:uiPriority w:val="99"/>
    <w:rsid w:val="00D14E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226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8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CRITÈRES DE SÉLECTION DES POPULATIONS AEWA PRIORITAIRES POUR L’ÉLABORATION DE PLANS D’ACTION ET DE GESTION, PROCESSUS D’ÉVALUATION DE PLANS D’ACTION EN VUE DE LEUR RÉVISION OU DE LEUR RETRAIT, ET CONSEILS SUR LA DÉFINITION DES PRINCIPAUX ÉTATS </vt:lpstr>
    </vt:vector>
  </TitlesOfParts>
  <Company>Joint Nature Conservation Committee</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DE SÉLECTION DES POPULATIONS AEWA PRIORITAIRES POUR L’ÉLABORATION DE PLANS D’ACTION ET DE GESTION, PROCESSUS D’ÉVALUATION DE PLANS D’ACTION EN VUE DE LEUR RÉVISION OU DE LEUR RETRAIT, ET CONSEILS SUR LA DÉFINITION DES PRINCIPAUX ÉTATS</dc:title>
  <dc:subject/>
  <dc:creator>Nina Mikander (UNEP/AEWA Secretariat)</dc:creator>
  <cp:keywords/>
  <dc:description/>
  <cp:lastModifiedBy>Jolanta Kremer (UNEP/AEWA Secretariat)</cp:lastModifiedBy>
  <cp:revision>5</cp:revision>
  <cp:lastPrinted>2015-08-21T16:32:00Z</cp:lastPrinted>
  <dcterms:created xsi:type="dcterms:W3CDTF">2015-08-21T16:18:00Z</dcterms:created>
  <dcterms:modified xsi:type="dcterms:W3CDTF">2015-08-26T10:16:00Z</dcterms:modified>
</cp:coreProperties>
</file>