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37FD" w:rsidRPr="001B7AC3" w:rsidRDefault="007337FD">
      <w:pPr>
        <w:pStyle w:val="Normal1"/>
        <w:jc w:val="center"/>
        <w:rPr>
          <w:szCs w:val="24"/>
          <w:lang w:val="fr-FR"/>
        </w:rPr>
      </w:pPr>
      <w:r w:rsidRPr="001B7AC3">
        <w:rPr>
          <w:b/>
          <w:smallCaps/>
          <w:szCs w:val="24"/>
          <w:lang w:val="fr-FR"/>
        </w:rPr>
        <w:t>RAPPORT SUR LE DÉVELOPPEMENT DE LA SURVEILLANCE DES OISEAUX D’EAU LE LONG DES VOIES DE MIGRATION D’AFRIQUE-EURASIE</w:t>
      </w:r>
    </w:p>
    <w:p w:rsidR="007337FD" w:rsidRPr="001B7AC3" w:rsidRDefault="007337FD">
      <w:pPr>
        <w:pStyle w:val="Title"/>
        <w:rPr>
          <w:lang w:val="fr-FR"/>
        </w:rPr>
      </w:pPr>
      <w:r w:rsidRPr="001B7AC3">
        <w:rPr>
          <w:rFonts w:ascii="Times New Roman" w:hAnsi="Times New Roman" w:cs="Times New Roman"/>
          <w:b w:val="0"/>
          <w:i/>
          <w:sz w:val="24"/>
          <w:lang w:val="fr-FR"/>
        </w:rPr>
        <w:t>Compilé</w:t>
      </w:r>
      <w:r w:rsidR="00D90267" w:rsidRPr="001B7AC3">
        <w:rPr>
          <w:rFonts w:ascii="Times New Roman" w:hAnsi="Times New Roman" w:cs="Times New Roman"/>
          <w:b w:val="0"/>
          <w:i/>
          <w:sz w:val="24"/>
          <w:lang w:val="fr-FR"/>
        </w:rPr>
        <w:t xml:space="preserve"> </w:t>
      </w:r>
      <w:r w:rsidRPr="001B7AC3">
        <w:rPr>
          <w:rFonts w:ascii="Times New Roman" w:hAnsi="Times New Roman" w:cs="Times New Roman"/>
          <w:b w:val="0"/>
          <w:i/>
          <w:sz w:val="24"/>
          <w:lang w:val="fr-FR"/>
        </w:rPr>
        <w:t>par</w:t>
      </w:r>
      <w:r w:rsidR="00D90267" w:rsidRPr="001B7AC3">
        <w:rPr>
          <w:rFonts w:ascii="Times New Roman" w:hAnsi="Times New Roman" w:cs="Times New Roman"/>
          <w:b w:val="0"/>
          <w:i/>
          <w:sz w:val="24"/>
          <w:lang w:val="fr-FR"/>
        </w:rPr>
        <w:t xml:space="preserve"> </w:t>
      </w:r>
      <w:r w:rsidRPr="001B7AC3">
        <w:rPr>
          <w:rFonts w:ascii="Times New Roman" w:hAnsi="Times New Roman" w:cs="Times New Roman"/>
          <w:b w:val="0"/>
          <w:i/>
          <w:sz w:val="24"/>
          <w:lang w:val="fr-FR"/>
        </w:rPr>
        <w:t>Wetlands International et le Secrétariat PNUE/AEWA</w:t>
      </w:r>
    </w:p>
    <w:p w:rsidR="007337FD" w:rsidRPr="001B7AC3" w:rsidRDefault="007337FD">
      <w:pPr>
        <w:pStyle w:val="Heading3"/>
        <w:jc w:val="both"/>
        <w:rPr>
          <w:rFonts w:ascii="Times New Roman" w:hAnsi="Times New Roman" w:cs="Times New Roman"/>
          <w:sz w:val="24"/>
          <w:szCs w:val="24"/>
          <w:lang w:val="fr-FR"/>
        </w:rPr>
      </w:pPr>
      <w:r w:rsidRPr="001B7AC3">
        <w:rPr>
          <w:rFonts w:ascii="Times New Roman" w:hAnsi="Times New Roman" w:cs="Times New Roman"/>
          <w:sz w:val="24"/>
          <w:szCs w:val="24"/>
          <w:lang w:val="fr-FR"/>
        </w:rPr>
        <w:t>Résumé analytique</w:t>
      </w:r>
    </w:p>
    <w:p w:rsidR="007337FD" w:rsidRPr="001B7AC3" w:rsidRDefault="007337FD" w:rsidP="009456DC">
      <w:pPr>
        <w:pStyle w:val="Normal1"/>
        <w:rPr>
          <w:lang w:val="fr-FR"/>
        </w:rPr>
      </w:pPr>
    </w:p>
    <w:p w:rsidR="007337FD" w:rsidRPr="001B7AC3" w:rsidRDefault="007337FD" w:rsidP="009456DC">
      <w:pPr>
        <w:pStyle w:val="Normal1"/>
        <w:jc w:val="both"/>
        <w:rPr>
          <w:sz w:val="22"/>
          <w:szCs w:val="22"/>
          <w:lang w:val="fr-FR"/>
        </w:rPr>
      </w:pPr>
      <w:r w:rsidRPr="001B7AC3">
        <w:rPr>
          <w:sz w:val="22"/>
          <w:szCs w:val="22"/>
          <w:lang w:val="fr-FR"/>
        </w:rPr>
        <w:t xml:space="preserve">Le présent document offre un récapitulatif des progrès réalisés depuis la MOP5 par </w:t>
      </w:r>
      <w:r w:rsidR="001B7AC3" w:rsidRPr="001B7AC3">
        <w:rPr>
          <w:sz w:val="22"/>
          <w:szCs w:val="22"/>
          <w:lang w:val="fr-FR"/>
        </w:rPr>
        <w:t>le</w:t>
      </w:r>
      <w:r w:rsidR="001B7AC3" w:rsidRPr="001B7AC3">
        <w:rPr>
          <w:i/>
          <w:sz w:val="22"/>
          <w:szCs w:val="22"/>
          <w:lang w:val="fr-FR"/>
        </w:rPr>
        <w:t xml:space="preserve"> Partenariat</w:t>
      </w:r>
      <w:r w:rsidRPr="001B7AC3">
        <w:rPr>
          <w:i/>
          <w:sz w:val="22"/>
          <w:szCs w:val="22"/>
          <w:lang w:val="fr-FR"/>
        </w:rPr>
        <w:t xml:space="preserve"> pour la surveillance des oiseaux d’eau d’Afrique-Eurasie</w:t>
      </w:r>
      <w:r w:rsidR="001B7AC3">
        <w:rPr>
          <w:i/>
          <w:sz w:val="22"/>
          <w:szCs w:val="22"/>
          <w:lang w:val="fr-FR"/>
        </w:rPr>
        <w:t xml:space="preserve"> </w:t>
      </w:r>
      <w:r w:rsidRPr="001B7AC3">
        <w:rPr>
          <w:sz w:val="22"/>
          <w:szCs w:val="22"/>
          <w:lang w:val="fr-FR"/>
        </w:rPr>
        <w:t>en réponse au paragraphe opérationnel 1 de la Résolution 5.22. Le rapport décrit les avancées réalisées dans le domaine du développement du réseau et de la capacité, les améliorations techniques et les résultats du Recensement international des oiseaux d’eau (IWC). Toutefois, il souligne également que le financement nécessaire à toutes ces activités est largement basé sur un financement de projet à court terme (excepté la gestion des données, financée par</w:t>
      </w:r>
      <w:r w:rsidR="001B7AC3">
        <w:rPr>
          <w:sz w:val="22"/>
          <w:szCs w:val="22"/>
          <w:lang w:val="fr-FR"/>
        </w:rPr>
        <w:t xml:space="preserve"> </w:t>
      </w:r>
      <w:r w:rsidRPr="001B7AC3">
        <w:rPr>
          <w:sz w:val="22"/>
          <w:szCs w:val="22"/>
          <w:lang w:val="fr-FR"/>
        </w:rPr>
        <w:t>Wetlands International) n’ayant pas de durabilité à long terme et il convient donc de prendre des mesures d’urgence pour résoudre ce problème. Le présent document propose cinq actions à cet effet :</w:t>
      </w:r>
    </w:p>
    <w:p w:rsidR="007337FD" w:rsidRPr="001B7AC3" w:rsidRDefault="007337FD" w:rsidP="009456DC">
      <w:pPr>
        <w:pStyle w:val="Normal1"/>
        <w:jc w:val="both"/>
        <w:rPr>
          <w:sz w:val="22"/>
          <w:szCs w:val="22"/>
          <w:lang w:val="fr-FR"/>
        </w:rPr>
      </w:pPr>
    </w:p>
    <w:p w:rsidR="007337FD" w:rsidRPr="001B7AC3" w:rsidRDefault="007337FD" w:rsidP="009456DC">
      <w:pPr>
        <w:pStyle w:val="Normal1"/>
        <w:numPr>
          <w:ilvl w:val="0"/>
          <w:numId w:val="2"/>
        </w:numPr>
        <w:ind w:hanging="360"/>
        <w:contextualSpacing/>
        <w:jc w:val="both"/>
        <w:rPr>
          <w:sz w:val="22"/>
          <w:szCs w:val="22"/>
          <w:lang w:val="fr-FR"/>
        </w:rPr>
      </w:pPr>
      <w:r w:rsidRPr="001B7AC3">
        <w:rPr>
          <w:sz w:val="22"/>
          <w:szCs w:val="22"/>
          <w:lang w:val="fr-FR"/>
        </w:rPr>
        <w:t xml:space="preserve">Créer un Fond pour la surveillance des oiseaux d’eau sous l’égide de l’AEWA et inviter les Parties donatrices à effectuer des contributions volontaires pour aider les Parties à faibles revenus à surveiller les sites d’importance internationale sur leur territoire. </w:t>
      </w:r>
    </w:p>
    <w:p w:rsidR="007337FD" w:rsidRPr="001B7AC3" w:rsidRDefault="007337FD" w:rsidP="003C36F4">
      <w:pPr>
        <w:pStyle w:val="Normal1"/>
        <w:ind w:left="720"/>
        <w:contextualSpacing/>
        <w:jc w:val="both"/>
        <w:rPr>
          <w:sz w:val="22"/>
          <w:szCs w:val="22"/>
          <w:lang w:val="fr-FR"/>
        </w:rPr>
      </w:pPr>
    </w:p>
    <w:p w:rsidR="007337FD" w:rsidRPr="001B7AC3" w:rsidRDefault="007337FD" w:rsidP="009456DC">
      <w:pPr>
        <w:pStyle w:val="Normal1"/>
        <w:numPr>
          <w:ilvl w:val="0"/>
          <w:numId w:val="2"/>
        </w:numPr>
        <w:ind w:hanging="360"/>
        <w:contextualSpacing/>
        <w:jc w:val="both"/>
        <w:rPr>
          <w:sz w:val="22"/>
          <w:szCs w:val="22"/>
          <w:lang w:val="fr-FR"/>
        </w:rPr>
      </w:pPr>
      <w:r w:rsidRPr="001B7AC3">
        <w:rPr>
          <w:sz w:val="22"/>
          <w:szCs w:val="22"/>
          <w:lang w:val="fr-FR"/>
        </w:rPr>
        <w:t>Suggérer aux Parties contractantes et autres parties prenantes d’incorporer la surveillance des oiseaux d’eau dans les programmes de</w:t>
      </w:r>
      <w:r w:rsidR="00D90267" w:rsidRPr="001B7AC3">
        <w:rPr>
          <w:sz w:val="22"/>
          <w:szCs w:val="22"/>
          <w:lang w:val="fr-FR"/>
        </w:rPr>
        <w:t xml:space="preserve"> </w:t>
      </w:r>
      <w:r w:rsidRPr="001B7AC3">
        <w:rPr>
          <w:sz w:val="22"/>
          <w:szCs w:val="22"/>
          <w:lang w:val="fr-FR"/>
        </w:rPr>
        <w:t xml:space="preserve">jumelages que la Résolution 5.20 encourageait à établir, ou autres programmes collaboratifs relatifs à la voie de migration. </w:t>
      </w:r>
    </w:p>
    <w:p w:rsidR="007337FD" w:rsidRPr="001B7AC3" w:rsidRDefault="007337FD" w:rsidP="003C36F4">
      <w:pPr>
        <w:pStyle w:val="ListParagraph"/>
        <w:rPr>
          <w:sz w:val="22"/>
          <w:szCs w:val="22"/>
          <w:lang w:val="fr-FR"/>
        </w:rPr>
      </w:pPr>
    </w:p>
    <w:p w:rsidR="007337FD" w:rsidRPr="001B7AC3" w:rsidRDefault="007337FD" w:rsidP="009456DC">
      <w:pPr>
        <w:pStyle w:val="Normal1"/>
        <w:numPr>
          <w:ilvl w:val="0"/>
          <w:numId w:val="2"/>
        </w:numPr>
        <w:ind w:hanging="360"/>
        <w:contextualSpacing/>
        <w:jc w:val="both"/>
        <w:rPr>
          <w:sz w:val="22"/>
          <w:szCs w:val="22"/>
          <w:lang w:val="fr-FR"/>
        </w:rPr>
      </w:pPr>
      <w:r w:rsidRPr="001B7AC3">
        <w:rPr>
          <w:sz w:val="22"/>
          <w:szCs w:val="22"/>
          <w:lang w:val="fr-FR"/>
        </w:rPr>
        <w:t xml:space="preserve">Inviter le coordinateur de la voie de migration à identifier les fonds nécessaires et à informer, par le biais du Secrétariat PNUE/AEWA, les Parties contractantes et autres parties prenantes des lacunes à combler sur une base annuelle. </w:t>
      </w:r>
    </w:p>
    <w:p w:rsidR="007337FD" w:rsidRPr="001B7AC3" w:rsidRDefault="007337FD" w:rsidP="003C36F4">
      <w:pPr>
        <w:pStyle w:val="Normal1"/>
        <w:ind w:left="720"/>
        <w:contextualSpacing/>
        <w:jc w:val="both"/>
        <w:rPr>
          <w:sz w:val="22"/>
          <w:szCs w:val="22"/>
          <w:lang w:val="fr-FR"/>
        </w:rPr>
      </w:pPr>
    </w:p>
    <w:p w:rsidR="007337FD" w:rsidRPr="001B7AC3" w:rsidRDefault="007337FD" w:rsidP="009456DC">
      <w:pPr>
        <w:pStyle w:val="Normal1"/>
        <w:numPr>
          <w:ilvl w:val="0"/>
          <w:numId w:val="2"/>
        </w:numPr>
        <w:ind w:hanging="360"/>
        <w:contextualSpacing/>
        <w:jc w:val="both"/>
        <w:rPr>
          <w:sz w:val="22"/>
          <w:szCs w:val="22"/>
          <w:lang w:val="fr-FR"/>
        </w:rPr>
      </w:pPr>
      <w:r w:rsidRPr="001B7AC3">
        <w:rPr>
          <w:sz w:val="22"/>
          <w:szCs w:val="22"/>
          <w:lang w:val="fr-FR"/>
        </w:rPr>
        <w:t xml:space="preserve">Inviter les organisations participant au Partenariat pour la surveillance des oiseaux d’eau à établir conjointement un Fonds du Partenariat des oiseaux d’eau, afin de recueillir des fonds pour la surveillance des oiseaux d’eau et autres activités liées à l’AEWA, en premier lieu dans le secteur privé et des affaires. </w:t>
      </w:r>
    </w:p>
    <w:p w:rsidR="007337FD" w:rsidRPr="001B7AC3" w:rsidRDefault="007337FD" w:rsidP="003C36F4">
      <w:pPr>
        <w:pStyle w:val="Normal1"/>
        <w:ind w:left="720"/>
        <w:contextualSpacing/>
        <w:jc w:val="both"/>
        <w:rPr>
          <w:sz w:val="22"/>
          <w:szCs w:val="22"/>
          <w:lang w:val="fr-FR"/>
        </w:rPr>
      </w:pPr>
    </w:p>
    <w:p w:rsidR="007337FD" w:rsidRPr="001B7AC3" w:rsidRDefault="007337FD" w:rsidP="009456DC">
      <w:pPr>
        <w:pStyle w:val="Normal1"/>
        <w:numPr>
          <w:ilvl w:val="0"/>
          <w:numId w:val="2"/>
        </w:numPr>
        <w:ind w:hanging="360"/>
        <w:contextualSpacing/>
        <w:jc w:val="both"/>
        <w:rPr>
          <w:sz w:val="22"/>
          <w:szCs w:val="22"/>
          <w:lang w:val="fr-FR"/>
        </w:rPr>
      </w:pPr>
      <w:r w:rsidRPr="001B7AC3">
        <w:rPr>
          <w:sz w:val="22"/>
          <w:szCs w:val="22"/>
          <w:lang w:val="fr-FR"/>
        </w:rPr>
        <w:t xml:space="preserve">Inviter les Parties contractantes, les organisations non gouvernementales et autres organisations à utiliser la Journée mondiale des oiseaux migrateurs en tant qu’opportunité de levée de fonds. </w:t>
      </w:r>
    </w:p>
    <w:p w:rsidR="007337FD" w:rsidRPr="001B7AC3" w:rsidRDefault="007337FD" w:rsidP="009456DC">
      <w:pPr>
        <w:pStyle w:val="Normal1"/>
        <w:jc w:val="both"/>
        <w:rPr>
          <w:sz w:val="22"/>
          <w:szCs w:val="22"/>
          <w:lang w:val="fr-FR"/>
        </w:rPr>
      </w:pPr>
    </w:p>
    <w:p w:rsidR="007337FD" w:rsidRPr="001B7AC3" w:rsidRDefault="007337FD">
      <w:pPr>
        <w:pStyle w:val="Heading3"/>
        <w:jc w:val="both"/>
        <w:rPr>
          <w:sz w:val="24"/>
          <w:szCs w:val="24"/>
          <w:lang w:val="fr-FR"/>
        </w:rPr>
      </w:pPr>
      <w:r w:rsidRPr="001B7AC3">
        <w:rPr>
          <w:rFonts w:ascii="Times New Roman" w:hAnsi="Times New Roman" w:cs="Times New Roman"/>
          <w:sz w:val="24"/>
          <w:szCs w:val="24"/>
          <w:lang w:val="fr-FR"/>
        </w:rPr>
        <w:t>Contexte</w:t>
      </w:r>
    </w:p>
    <w:p w:rsidR="007337FD" w:rsidRPr="001B7AC3" w:rsidRDefault="007337FD">
      <w:pPr>
        <w:pStyle w:val="Normal1"/>
        <w:jc w:val="both"/>
        <w:rPr>
          <w:lang w:val="fr-FR"/>
        </w:rPr>
      </w:pPr>
    </w:p>
    <w:p w:rsidR="007337FD" w:rsidRPr="001B7AC3" w:rsidRDefault="007337FD" w:rsidP="00492AE8">
      <w:pPr>
        <w:pStyle w:val="Normal1"/>
        <w:jc w:val="both"/>
        <w:rPr>
          <w:sz w:val="22"/>
          <w:lang w:val="fr-FR"/>
        </w:rPr>
      </w:pPr>
      <w:r w:rsidRPr="001B7AC3">
        <w:rPr>
          <w:sz w:val="22"/>
          <w:lang w:val="fr-FR"/>
        </w:rPr>
        <w:t>Comme décrit dans le document AEWA/MOP542 Rév.1 (</w:t>
      </w:r>
      <w:r w:rsidRPr="001B7AC3">
        <w:rPr>
          <w:i/>
          <w:sz w:val="22"/>
          <w:lang w:val="fr-FR"/>
        </w:rPr>
        <w:t>Développement stratégique de la surveillance des oiseaux d’eau dans les voies de migration d’Afrique-Eurasie</w:t>
      </w:r>
      <w:r w:rsidRPr="001B7AC3">
        <w:rPr>
          <w:sz w:val="22"/>
          <w:lang w:val="fr-FR"/>
        </w:rPr>
        <w:t>), la surveillance des oiseaux d’eau est un outil essentiel à bien des égards pour la mise en œuvre de l’Accord. Cependant, la capacité disponible sur les sites, tant au niveau national qu’international, est insuffisante pour une surveillance adéquate des populations d’oiseaux d’eau dans la zone de l’Accord. Comme le montre de nouveau la 6</w:t>
      </w:r>
      <w:r w:rsidRPr="001B7AC3">
        <w:rPr>
          <w:sz w:val="22"/>
          <w:vertAlign w:val="superscript"/>
          <w:lang w:val="fr-FR"/>
        </w:rPr>
        <w:t>ème</w:t>
      </w:r>
      <w:r w:rsidRPr="001B7AC3">
        <w:rPr>
          <w:sz w:val="22"/>
          <w:lang w:val="fr-FR"/>
        </w:rPr>
        <w:t xml:space="preserve">édition du Rapport de l’AEWA sur l’état de conservation(CSR6), </w:t>
      </w:r>
      <w:r w:rsidR="00D90267" w:rsidRPr="001B7AC3">
        <w:rPr>
          <w:sz w:val="22"/>
          <w:lang w:val="fr-FR"/>
        </w:rPr>
        <w:t>seul un</w:t>
      </w:r>
      <w:r w:rsidRPr="001B7AC3">
        <w:rPr>
          <w:sz w:val="22"/>
          <w:lang w:val="fr-FR"/>
        </w:rPr>
        <w:t xml:space="preserve"> tiers</w:t>
      </w:r>
      <w:r w:rsidR="00D90267" w:rsidRPr="001B7AC3">
        <w:rPr>
          <w:sz w:val="22"/>
          <w:lang w:val="fr-FR"/>
        </w:rPr>
        <w:t xml:space="preserve"> </w:t>
      </w:r>
      <w:r w:rsidRPr="001B7AC3">
        <w:rPr>
          <w:sz w:val="22"/>
          <w:lang w:val="fr-FR"/>
        </w:rPr>
        <w:t xml:space="preserve">des évaluations d’état des populations de l’AEWA sont basées sur des activités de surveillance. </w:t>
      </w:r>
    </w:p>
    <w:p w:rsidR="007337FD" w:rsidRPr="001B7AC3" w:rsidRDefault="007337FD" w:rsidP="00492AE8">
      <w:pPr>
        <w:pStyle w:val="Normal1"/>
        <w:jc w:val="both"/>
        <w:rPr>
          <w:sz w:val="22"/>
          <w:lang w:val="fr-FR"/>
        </w:rPr>
        <w:sectPr w:rsidR="007337FD" w:rsidRPr="001B7AC3" w:rsidSect="00F34179">
          <w:headerReference w:type="default" r:id="rId7"/>
          <w:pgSz w:w="11907" w:h="16840" w:code="9"/>
          <w:pgMar w:top="1021" w:right="1134" w:bottom="851" w:left="1134" w:header="851" w:footer="510" w:gutter="0"/>
          <w:pgNumType w:start="1"/>
          <w:cols w:space="720"/>
        </w:sectPr>
      </w:pPr>
    </w:p>
    <w:p w:rsidR="007337FD" w:rsidRPr="001B7AC3" w:rsidRDefault="007337FD">
      <w:pPr>
        <w:pStyle w:val="Normal1"/>
        <w:jc w:val="both"/>
        <w:rPr>
          <w:lang w:val="fr-FR"/>
        </w:rPr>
      </w:pPr>
      <w:r w:rsidRPr="001B7AC3">
        <w:rPr>
          <w:sz w:val="22"/>
          <w:lang w:val="fr-FR"/>
        </w:rPr>
        <w:lastRenderedPageBreak/>
        <w:t xml:space="preserve">Reconnaissant que le financement inadéquat représente un obstacle majeur au développement futur d’activités de surveillance des oiseaux d’eau à travers la voie de migration et que ces activités sont nécessaires pour mobiliser et organiser les informations pour la compilation des Rapports de l’AEWA sur l’état de conservation, la Réunion des Parties a adopté la Résolution 5.22 </w:t>
      </w:r>
      <w:r w:rsidR="001B7AC3" w:rsidRPr="001B7AC3">
        <w:rPr>
          <w:sz w:val="22"/>
          <w:lang w:val="fr-FR"/>
        </w:rPr>
        <w:t>sur</w:t>
      </w:r>
      <w:r w:rsidR="001B7AC3" w:rsidRPr="001B7AC3">
        <w:rPr>
          <w:i/>
          <w:sz w:val="22"/>
          <w:lang w:val="fr-FR"/>
        </w:rPr>
        <w:t xml:space="preserve"> la</w:t>
      </w:r>
      <w:r w:rsidRPr="001B7AC3">
        <w:rPr>
          <w:i/>
          <w:sz w:val="22"/>
          <w:lang w:val="fr-FR"/>
        </w:rPr>
        <w:t xml:space="preserve"> mise en place d’un régime structurel de financement de base à long terme pour le recensement international des oiseaux d’eau dans la région d’Afrique-Eurasie. </w:t>
      </w:r>
    </w:p>
    <w:p w:rsidR="007337FD" w:rsidRPr="001B7AC3" w:rsidRDefault="007337FD">
      <w:pPr>
        <w:pStyle w:val="Normal1"/>
        <w:jc w:val="both"/>
        <w:rPr>
          <w:lang w:val="fr-FR"/>
        </w:rPr>
      </w:pPr>
    </w:p>
    <w:p w:rsidR="007337FD" w:rsidRPr="001B7AC3" w:rsidRDefault="007337FD">
      <w:pPr>
        <w:pStyle w:val="Normal1"/>
        <w:jc w:val="both"/>
        <w:rPr>
          <w:lang w:val="fr-FR"/>
        </w:rPr>
      </w:pPr>
      <w:r w:rsidRPr="001B7AC3">
        <w:rPr>
          <w:sz w:val="22"/>
          <w:lang w:val="fr-FR"/>
        </w:rPr>
        <w:t>Le Paragraphe 1 de cette résolution « </w:t>
      </w:r>
      <w:r w:rsidRPr="001B7AC3">
        <w:rPr>
          <w:i/>
          <w:sz w:val="22"/>
          <w:lang w:val="fr-FR"/>
        </w:rPr>
        <w:t xml:space="preserve">Invite le Comité technique à travailler avec le Partenariat pour la surveillance des oiseaux d’eau, afin de progresser dans la surveillance des cibles </w:t>
      </w:r>
      <w:r w:rsidR="001B7AC3" w:rsidRPr="001B7AC3">
        <w:rPr>
          <w:i/>
          <w:sz w:val="22"/>
          <w:lang w:val="fr-FR"/>
        </w:rPr>
        <w:t>concernées du</w:t>
      </w:r>
      <w:r w:rsidRPr="001B7AC3">
        <w:rPr>
          <w:i/>
          <w:sz w:val="22"/>
          <w:lang w:val="fr-FR"/>
        </w:rPr>
        <w:t xml:space="preserve"> Plan stratégique 2009-2017 de l’AEWA et de présenter son rapport à la 6</w:t>
      </w:r>
      <w:r w:rsidRPr="001B7AC3">
        <w:rPr>
          <w:i/>
          <w:sz w:val="22"/>
          <w:vertAlign w:val="superscript"/>
          <w:lang w:val="fr-FR"/>
        </w:rPr>
        <w:t>ème</w:t>
      </w:r>
      <w:r w:rsidRPr="001B7AC3">
        <w:rPr>
          <w:i/>
          <w:sz w:val="22"/>
          <w:lang w:val="fr-FR"/>
        </w:rPr>
        <w:t xml:space="preserve"> Réunion des Parties et, si nécessaire, de proposer que ce sujet soit réexaminé lors de la MOP6 dans le but d’assurer une solution durable à long terme pour la surveillance internationale des oiseaux d’eau.</w:t>
      </w:r>
      <w:r w:rsidRPr="001B7AC3">
        <w:rPr>
          <w:sz w:val="22"/>
          <w:lang w:val="fr-FR"/>
        </w:rPr>
        <w:t> »Le présent rapport décrit les progrès réalisés depuis la 5</w:t>
      </w:r>
      <w:r w:rsidRPr="001B7AC3">
        <w:rPr>
          <w:sz w:val="22"/>
          <w:vertAlign w:val="superscript"/>
          <w:lang w:val="fr-FR"/>
        </w:rPr>
        <w:t>ème</w:t>
      </w:r>
      <w:r w:rsidRPr="001B7AC3">
        <w:rPr>
          <w:sz w:val="22"/>
          <w:lang w:val="fr-FR"/>
        </w:rPr>
        <w:t xml:space="preserve">session de la Réunion des Parties à l’AEWA (MOP5) et évalue l’adéquation et la durabilité à long terme des dispositions actuelles.   </w:t>
      </w:r>
    </w:p>
    <w:p w:rsidR="007337FD" w:rsidRPr="001B7AC3" w:rsidRDefault="007337FD">
      <w:pPr>
        <w:pStyle w:val="Normal1"/>
        <w:rPr>
          <w:lang w:val="fr-FR"/>
        </w:rPr>
      </w:pPr>
    </w:p>
    <w:p w:rsidR="007337FD" w:rsidRPr="001B7AC3" w:rsidRDefault="007337FD">
      <w:pPr>
        <w:pStyle w:val="Heading3"/>
        <w:spacing w:before="0" w:after="0"/>
        <w:rPr>
          <w:lang w:val="fr-FR"/>
        </w:rPr>
      </w:pPr>
      <w:r w:rsidRPr="001B7AC3">
        <w:rPr>
          <w:rFonts w:ascii="Times New Roman" w:hAnsi="Times New Roman" w:cs="Times New Roman"/>
          <w:sz w:val="24"/>
          <w:lang w:val="fr-FR"/>
        </w:rPr>
        <w:t>Développement organisationnel</w:t>
      </w:r>
    </w:p>
    <w:p w:rsidR="007337FD" w:rsidRPr="001B7AC3" w:rsidRDefault="007337FD">
      <w:pPr>
        <w:pStyle w:val="Normal1"/>
        <w:rPr>
          <w:lang w:val="fr-FR"/>
        </w:rPr>
      </w:pPr>
    </w:p>
    <w:p w:rsidR="007337FD" w:rsidRPr="001B7AC3" w:rsidRDefault="007337FD">
      <w:pPr>
        <w:pStyle w:val="Normal1"/>
        <w:jc w:val="both"/>
        <w:rPr>
          <w:sz w:val="22"/>
          <w:szCs w:val="22"/>
          <w:lang w:val="fr-FR"/>
        </w:rPr>
      </w:pPr>
      <w:r w:rsidRPr="001B7AC3">
        <w:rPr>
          <w:sz w:val="22"/>
          <w:szCs w:val="22"/>
          <w:lang w:val="fr-FR"/>
        </w:rPr>
        <w:t>Le</w:t>
      </w:r>
      <w:r w:rsidR="00D90267" w:rsidRPr="001B7AC3">
        <w:rPr>
          <w:sz w:val="22"/>
          <w:szCs w:val="22"/>
          <w:lang w:val="fr-FR"/>
        </w:rPr>
        <w:t xml:space="preserve"> </w:t>
      </w:r>
      <w:r w:rsidRPr="001B7AC3">
        <w:rPr>
          <w:i/>
          <w:sz w:val="22"/>
          <w:szCs w:val="22"/>
          <w:lang w:val="fr-FR"/>
        </w:rPr>
        <w:t>Groupe de travail stratégique</w:t>
      </w:r>
      <w:r w:rsidR="00D90267" w:rsidRPr="001B7AC3">
        <w:rPr>
          <w:i/>
          <w:sz w:val="22"/>
          <w:szCs w:val="22"/>
          <w:lang w:val="fr-FR"/>
        </w:rPr>
        <w:t xml:space="preserve"> </w:t>
      </w:r>
      <w:r w:rsidRPr="001B7AC3">
        <w:rPr>
          <w:sz w:val="22"/>
          <w:szCs w:val="22"/>
          <w:lang w:val="fr-FR"/>
        </w:rPr>
        <w:t>du</w:t>
      </w:r>
      <w:r w:rsidR="00D90267" w:rsidRPr="001B7AC3">
        <w:rPr>
          <w:sz w:val="22"/>
          <w:szCs w:val="22"/>
          <w:lang w:val="fr-FR"/>
        </w:rPr>
        <w:t xml:space="preserve"> </w:t>
      </w:r>
      <w:r w:rsidRPr="001B7AC3">
        <w:rPr>
          <w:i/>
          <w:sz w:val="22"/>
          <w:szCs w:val="22"/>
          <w:lang w:val="fr-FR"/>
        </w:rPr>
        <w:t>Partenariat pour la surveillance des oiseaux d’eau d’Afrique-Eurasie</w:t>
      </w:r>
      <w:r w:rsidRPr="001B7AC3">
        <w:rPr>
          <w:sz w:val="22"/>
          <w:szCs w:val="22"/>
          <w:lang w:val="fr-FR"/>
        </w:rPr>
        <w:t xml:space="preserve">, établi en 2011, a continué à se réunir deux fois par an et a légèrement élargi le nombre de ses membres. Le groupe de travail stratégique inclut des organisations ayant un intérêt stratégique à long terme dans le développement de la surveillance des oiseaux d’eau à l’échelon régional, sous-régional et de la voie de migration. </w:t>
      </w:r>
    </w:p>
    <w:p w:rsidR="007337FD" w:rsidRPr="001B7AC3" w:rsidRDefault="007337FD">
      <w:pPr>
        <w:pStyle w:val="Normal1"/>
        <w:jc w:val="both"/>
        <w:rPr>
          <w:sz w:val="22"/>
          <w:szCs w:val="22"/>
          <w:lang w:val="fr-FR"/>
        </w:rPr>
      </w:pPr>
    </w:p>
    <w:p w:rsidR="007337FD" w:rsidRPr="001B7AC3" w:rsidRDefault="007337FD">
      <w:pPr>
        <w:pStyle w:val="Normal1"/>
        <w:jc w:val="both"/>
        <w:rPr>
          <w:sz w:val="22"/>
          <w:szCs w:val="22"/>
          <w:lang w:val="fr-FR"/>
        </w:rPr>
      </w:pPr>
      <w:r w:rsidRPr="001B7AC3">
        <w:rPr>
          <w:sz w:val="22"/>
          <w:szCs w:val="22"/>
          <w:lang w:val="fr-FR"/>
        </w:rPr>
        <w:t>Présidé par Johan Mooij, représentant des membres délégués de</w:t>
      </w:r>
      <w:r w:rsidR="00D90267" w:rsidRPr="001B7AC3">
        <w:rPr>
          <w:sz w:val="22"/>
          <w:szCs w:val="22"/>
          <w:lang w:val="fr-FR"/>
        </w:rPr>
        <w:t xml:space="preserve"> </w:t>
      </w:r>
      <w:r w:rsidRPr="001B7AC3">
        <w:rPr>
          <w:sz w:val="22"/>
          <w:szCs w:val="22"/>
          <w:lang w:val="fr-FR"/>
        </w:rPr>
        <w:t>Wetlands International, il comprend le Secrétariat PNUE/AEWA, BirdLife International, le British Trust for Ornithologie (BTO), le Conseil de recensement des oiseaux d’Europe, la Fédération des</w:t>
      </w:r>
      <w:r w:rsidR="00D90267" w:rsidRPr="001B7AC3">
        <w:rPr>
          <w:sz w:val="22"/>
          <w:szCs w:val="22"/>
          <w:lang w:val="fr-FR"/>
        </w:rPr>
        <w:t xml:space="preserve"> </w:t>
      </w:r>
      <w:r w:rsidRPr="001B7AC3">
        <w:rPr>
          <w:sz w:val="22"/>
          <w:szCs w:val="22"/>
          <w:lang w:val="fr-FR"/>
        </w:rPr>
        <w:t>associations de chasse et conservation de la faune sauvage de l’Union européenne (FACE), l’Office français de la chasse et de la faune sauvage (ONCFS), le Centre néerlandais d’ornithologie de terrain (SOVON), la Fondation de la Tour du Valat (TdV), le</w:t>
      </w:r>
      <w:r w:rsidR="00D90267" w:rsidRPr="001B7AC3">
        <w:rPr>
          <w:sz w:val="22"/>
          <w:szCs w:val="22"/>
          <w:lang w:val="fr-FR"/>
        </w:rPr>
        <w:t xml:space="preserve"> </w:t>
      </w:r>
      <w:r w:rsidRPr="001B7AC3">
        <w:rPr>
          <w:sz w:val="22"/>
          <w:szCs w:val="22"/>
          <w:lang w:val="fr-FR"/>
        </w:rPr>
        <w:t>Wildfowl and Wetlands Trust (représentant</w:t>
      </w:r>
      <w:r w:rsidR="00D90267" w:rsidRPr="001B7AC3">
        <w:rPr>
          <w:sz w:val="22"/>
          <w:szCs w:val="22"/>
          <w:lang w:val="fr-FR"/>
        </w:rPr>
        <w:t xml:space="preserve"> </w:t>
      </w:r>
      <w:r w:rsidRPr="001B7AC3">
        <w:rPr>
          <w:sz w:val="22"/>
          <w:szCs w:val="22"/>
          <w:lang w:val="fr-FR"/>
        </w:rPr>
        <w:t>les groupes de spécialistes des espèces WI/UICN SSC) et</w:t>
      </w:r>
      <w:r w:rsidR="00D90267" w:rsidRPr="001B7AC3">
        <w:rPr>
          <w:sz w:val="22"/>
          <w:szCs w:val="22"/>
          <w:lang w:val="fr-FR"/>
        </w:rPr>
        <w:t xml:space="preserve"> </w:t>
      </w:r>
      <w:r w:rsidRPr="001B7AC3">
        <w:rPr>
          <w:sz w:val="22"/>
          <w:szCs w:val="22"/>
          <w:lang w:val="fr-FR"/>
        </w:rPr>
        <w:t>Wetlands International. Les réunions régionales des coordinateurs nationaux du Recensement international des oiseaux d’eau (IWC) d’Afrique et du Paléarctique occidental ont élu leurs représentants au Groupe de travail stratégique, respectivement, en 2012 et 2013.</w:t>
      </w:r>
    </w:p>
    <w:p w:rsidR="007337FD" w:rsidRPr="001B7AC3" w:rsidRDefault="007337FD">
      <w:pPr>
        <w:pStyle w:val="Normal1"/>
        <w:jc w:val="both"/>
        <w:rPr>
          <w:sz w:val="22"/>
          <w:szCs w:val="22"/>
          <w:lang w:val="fr-FR"/>
        </w:rPr>
      </w:pPr>
    </w:p>
    <w:p w:rsidR="007337FD" w:rsidRPr="001B7AC3" w:rsidRDefault="007337FD">
      <w:pPr>
        <w:pStyle w:val="Normal1"/>
        <w:jc w:val="both"/>
        <w:rPr>
          <w:sz w:val="22"/>
          <w:szCs w:val="22"/>
          <w:lang w:val="fr-FR"/>
        </w:rPr>
      </w:pPr>
      <w:r w:rsidRPr="001B7AC3">
        <w:rPr>
          <w:sz w:val="22"/>
          <w:szCs w:val="22"/>
          <w:lang w:val="fr-FR"/>
        </w:rPr>
        <w:t>Un site Web</w:t>
      </w:r>
      <w:r w:rsidRPr="001B7AC3">
        <w:rPr>
          <w:sz w:val="22"/>
          <w:szCs w:val="22"/>
          <w:vertAlign w:val="superscript"/>
          <w:lang w:val="fr-FR"/>
        </w:rPr>
        <w:footnoteReference w:id="1"/>
      </w:r>
      <w:r w:rsidRPr="001B7AC3">
        <w:rPr>
          <w:sz w:val="22"/>
          <w:szCs w:val="22"/>
          <w:lang w:val="fr-FR"/>
        </w:rPr>
        <w:t xml:space="preserve"> régulièrement mis à jour, des bulletins trimestriels et un forum sur les oiseaux d’eau facilitent l’échange d’informations parmi les coordinateurs nationaux et un groupe plus vaste de parties prenantes, parmi lesquelles les points focaux nationaux de l’AEWA et de</w:t>
      </w:r>
      <w:r w:rsidR="00D90267" w:rsidRPr="001B7AC3">
        <w:rPr>
          <w:sz w:val="22"/>
          <w:szCs w:val="22"/>
          <w:lang w:val="fr-FR"/>
        </w:rPr>
        <w:t xml:space="preserve"> </w:t>
      </w:r>
      <w:r w:rsidRPr="001B7AC3">
        <w:rPr>
          <w:sz w:val="22"/>
          <w:szCs w:val="22"/>
          <w:lang w:val="fr-FR"/>
        </w:rPr>
        <w:t>Ramsar.</w:t>
      </w:r>
    </w:p>
    <w:p w:rsidR="007337FD" w:rsidRPr="001B7AC3" w:rsidRDefault="007337FD" w:rsidP="009456DC">
      <w:pPr>
        <w:pStyle w:val="Normal1"/>
        <w:rPr>
          <w:sz w:val="22"/>
          <w:szCs w:val="22"/>
          <w:lang w:val="fr-FR"/>
        </w:rPr>
      </w:pPr>
    </w:p>
    <w:p w:rsidR="007337FD" w:rsidRPr="001B7AC3" w:rsidRDefault="007337FD" w:rsidP="00A01877">
      <w:pPr>
        <w:pStyle w:val="Normal1"/>
        <w:tabs>
          <w:tab w:val="left" w:pos="1545"/>
        </w:tabs>
        <w:jc w:val="both"/>
        <w:rPr>
          <w:sz w:val="22"/>
          <w:szCs w:val="22"/>
          <w:lang w:val="fr-FR"/>
        </w:rPr>
      </w:pPr>
      <w:r w:rsidRPr="001B7AC3">
        <w:rPr>
          <w:sz w:val="22"/>
          <w:szCs w:val="22"/>
          <w:lang w:val="fr-FR"/>
        </w:rPr>
        <w:t xml:space="preserve">Cinq projets majeurs, dont quatre ont été cofinancés par la Fondation MAVA (les quatre premiers de la liste ci-dessous), ont contribué à renforcer les programmes nationaux de surveillance des oiseaux d’eau : </w:t>
      </w:r>
    </w:p>
    <w:p w:rsidR="007337FD" w:rsidRPr="001B7AC3" w:rsidRDefault="007337FD" w:rsidP="009456DC">
      <w:pPr>
        <w:pStyle w:val="Normal1"/>
        <w:tabs>
          <w:tab w:val="left" w:pos="1545"/>
        </w:tabs>
        <w:rPr>
          <w:sz w:val="22"/>
          <w:szCs w:val="22"/>
          <w:lang w:val="fr-FR"/>
        </w:rPr>
      </w:pPr>
    </w:p>
    <w:p w:rsidR="007337FD" w:rsidRPr="001B7AC3" w:rsidRDefault="007337FD">
      <w:pPr>
        <w:pStyle w:val="Normal1"/>
        <w:numPr>
          <w:ilvl w:val="0"/>
          <w:numId w:val="1"/>
        </w:numPr>
        <w:ind w:hanging="360"/>
        <w:jc w:val="both"/>
        <w:rPr>
          <w:sz w:val="22"/>
          <w:szCs w:val="22"/>
          <w:lang w:val="fr-FR"/>
        </w:rPr>
      </w:pPr>
      <w:r w:rsidRPr="001B7AC3">
        <w:rPr>
          <w:sz w:val="22"/>
          <w:szCs w:val="22"/>
          <w:lang w:val="fr-FR"/>
        </w:rPr>
        <w:t>Le projet</w:t>
      </w:r>
      <w:r w:rsidR="00D90267" w:rsidRPr="001B7AC3">
        <w:rPr>
          <w:sz w:val="22"/>
          <w:szCs w:val="22"/>
          <w:lang w:val="fr-FR"/>
        </w:rPr>
        <w:t xml:space="preserve"> </w:t>
      </w:r>
      <w:r w:rsidRPr="001B7AC3">
        <w:rPr>
          <w:i/>
          <w:sz w:val="22"/>
          <w:szCs w:val="22"/>
          <w:lang w:val="fr-FR"/>
        </w:rPr>
        <w:t xml:space="preserve">Conservation des oiseaux migrateurs, </w:t>
      </w:r>
      <w:r w:rsidRPr="001B7AC3">
        <w:rPr>
          <w:sz w:val="22"/>
          <w:szCs w:val="22"/>
          <w:lang w:val="fr-FR"/>
        </w:rPr>
        <w:t xml:space="preserve">d’Afrique de l’Ouest, avec </w:t>
      </w:r>
      <w:r w:rsidRPr="001B7AC3">
        <w:rPr>
          <w:i/>
          <w:sz w:val="22"/>
          <w:szCs w:val="22"/>
          <w:lang w:val="fr-FR"/>
        </w:rPr>
        <w:t>l’Initiative de la voie de migration de la mer des Wadden,</w:t>
      </w:r>
      <w:r w:rsidRPr="001B7AC3">
        <w:rPr>
          <w:sz w:val="22"/>
          <w:szCs w:val="22"/>
          <w:lang w:val="fr-FR"/>
        </w:rPr>
        <w:t xml:space="preserve"> coordonnée par SOVON, BirdLife International et le bureau africain de</w:t>
      </w:r>
      <w:r w:rsidR="00D90267" w:rsidRPr="001B7AC3">
        <w:rPr>
          <w:sz w:val="22"/>
          <w:szCs w:val="22"/>
          <w:lang w:val="fr-FR"/>
        </w:rPr>
        <w:t xml:space="preserve"> </w:t>
      </w:r>
      <w:r w:rsidRPr="001B7AC3">
        <w:rPr>
          <w:sz w:val="22"/>
          <w:szCs w:val="22"/>
          <w:lang w:val="fr-FR"/>
        </w:rPr>
        <w:t>Wetlands International, ont apporté leur soutien à sept pays côtiers allant de la Mauritanie à la Sierra Leone;</w:t>
      </w:r>
    </w:p>
    <w:p w:rsidR="007337FD" w:rsidRPr="001B7AC3" w:rsidRDefault="007337FD">
      <w:pPr>
        <w:pStyle w:val="Normal1"/>
        <w:numPr>
          <w:ilvl w:val="0"/>
          <w:numId w:val="1"/>
        </w:numPr>
        <w:ind w:hanging="360"/>
        <w:jc w:val="both"/>
        <w:rPr>
          <w:sz w:val="22"/>
          <w:szCs w:val="22"/>
          <w:lang w:val="fr-FR"/>
        </w:rPr>
      </w:pPr>
      <w:r w:rsidRPr="001B7AC3">
        <w:rPr>
          <w:sz w:val="22"/>
          <w:szCs w:val="22"/>
          <w:lang w:val="fr-FR"/>
        </w:rPr>
        <w:t>Le</w:t>
      </w:r>
      <w:r w:rsidR="00D90267" w:rsidRPr="001B7AC3">
        <w:rPr>
          <w:sz w:val="22"/>
          <w:szCs w:val="22"/>
          <w:lang w:val="fr-FR"/>
        </w:rPr>
        <w:t xml:space="preserve"> </w:t>
      </w:r>
      <w:r w:rsidRPr="001B7AC3">
        <w:rPr>
          <w:i/>
          <w:sz w:val="22"/>
          <w:szCs w:val="22"/>
          <w:lang w:val="fr-FR"/>
        </w:rPr>
        <w:t>Projet de surveillance des oiseaux d’eau de la Méditerranée</w:t>
      </w:r>
      <w:r w:rsidRPr="001B7AC3">
        <w:rPr>
          <w:sz w:val="22"/>
          <w:szCs w:val="22"/>
          <w:lang w:val="fr-FR"/>
        </w:rPr>
        <w:t>, coordonné par la Tour du Valat</w:t>
      </w:r>
      <w:r w:rsidR="00D90267" w:rsidRPr="001B7AC3">
        <w:rPr>
          <w:sz w:val="22"/>
          <w:szCs w:val="22"/>
          <w:lang w:val="fr-FR"/>
        </w:rPr>
        <w:t xml:space="preserve"> </w:t>
      </w:r>
      <w:r w:rsidRPr="001B7AC3">
        <w:rPr>
          <w:sz w:val="22"/>
          <w:szCs w:val="22"/>
          <w:lang w:val="fr-FR"/>
        </w:rPr>
        <w:t>et l’ONCFS, a apporté son soutien aux cinq pays d’Afrique du Nord ;</w:t>
      </w:r>
    </w:p>
    <w:p w:rsidR="007337FD" w:rsidRPr="001B7AC3" w:rsidRDefault="007337FD">
      <w:pPr>
        <w:pStyle w:val="Normal1"/>
        <w:numPr>
          <w:ilvl w:val="0"/>
          <w:numId w:val="1"/>
        </w:numPr>
        <w:ind w:hanging="360"/>
        <w:jc w:val="both"/>
        <w:rPr>
          <w:sz w:val="22"/>
          <w:szCs w:val="22"/>
          <w:lang w:val="fr-FR"/>
        </w:rPr>
      </w:pPr>
      <w:r w:rsidRPr="001B7AC3">
        <w:rPr>
          <w:sz w:val="22"/>
          <w:szCs w:val="22"/>
          <w:lang w:val="fr-FR"/>
        </w:rPr>
        <w:t>L’</w:t>
      </w:r>
      <w:r w:rsidRPr="001B7AC3">
        <w:rPr>
          <w:i/>
          <w:sz w:val="22"/>
          <w:szCs w:val="22"/>
          <w:lang w:val="fr-FR"/>
        </w:rPr>
        <w:t>Initiative de la voie de migration de l’Adriatique</w:t>
      </w:r>
      <w:r w:rsidRPr="001B7AC3">
        <w:rPr>
          <w:sz w:val="22"/>
          <w:szCs w:val="22"/>
          <w:lang w:val="fr-FR"/>
        </w:rPr>
        <w:t>, dirigée par</w:t>
      </w:r>
      <w:r w:rsidR="00D90267" w:rsidRPr="001B7AC3">
        <w:rPr>
          <w:sz w:val="22"/>
          <w:szCs w:val="22"/>
          <w:lang w:val="fr-FR"/>
        </w:rPr>
        <w:t xml:space="preserve"> </w:t>
      </w:r>
      <w:r w:rsidRPr="001B7AC3">
        <w:rPr>
          <w:sz w:val="22"/>
          <w:szCs w:val="22"/>
          <w:lang w:val="fr-FR"/>
        </w:rPr>
        <w:t>EuroNatur, a apporté son soutien à l’Albanie et aux pays de l’ex-Yougoslavie ;</w:t>
      </w:r>
    </w:p>
    <w:p w:rsidR="007337FD" w:rsidRPr="001B7AC3" w:rsidRDefault="007337FD">
      <w:pPr>
        <w:pStyle w:val="Normal1"/>
        <w:numPr>
          <w:ilvl w:val="0"/>
          <w:numId w:val="1"/>
        </w:numPr>
        <w:ind w:hanging="360"/>
        <w:jc w:val="both"/>
        <w:rPr>
          <w:sz w:val="22"/>
          <w:szCs w:val="22"/>
          <w:lang w:val="fr-FR"/>
        </w:rPr>
      </w:pPr>
      <w:r w:rsidRPr="001B7AC3">
        <w:rPr>
          <w:sz w:val="22"/>
          <w:szCs w:val="22"/>
          <w:lang w:val="fr-FR"/>
        </w:rPr>
        <w:t>Le projet de</w:t>
      </w:r>
      <w:r w:rsidR="00D90267" w:rsidRPr="001B7AC3">
        <w:rPr>
          <w:sz w:val="22"/>
          <w:szCs w:val="22"/>
          <w:lang w:val="fr-FR"/>
        </w:rPr>
        <w:t xml:space="preserve"> </w:t>
      </w:r>
      <w:r w:rsidRPr="001B7AC3">
        <w:rPr>
          <w:i/>
          <w:sz w:val="22"/>
          <w:szCs w:val="22"/>
          <w:lang w:val="fr-FR"/>
        </w:rPr>
        <w:t>renforcement du recensement international des oiseaux d’eau le long de la voie de migration d’Afrique-Eurasie</w:t>
      </w:r>
      <w:r w:rsidRPr="001B7AC3">
        <w:rPr>
          <w:sz w:val="22"/>
          <w:szCs w:val="22"/>
          <w:lang w:val="fr-FR"/>
        </w:rPr>
        <w:t>, coordonné par</w:t>
      </w:r>
      <w:r w:rsidR="00D90267" w:rsidRPr="001B7AC3">
        <w:rPr>
          <w:sz w:val="22"/>
          <w:szCs w:val="22"/>
          <w:lang w:val="fr-FR"/>
        </w:rPr>
        <w:t xml:space="preserve"> </w:t>
      </w:r>
      <w:r w:rsidRPr="001B7AC3">
        <w:rPr>
          <w:sz w:val="22"/>
          <w:szCs w:val="22"/>
          <w:lang w:val="fr-FR"/>
        </w:rPr>
        <w:t>Wetlands International, a apporté son soutien à30 pays de plus et enfin,</w:t>
      </w:r>
    </w:p>
    <w:p w:rsidR="007337FD" w:rsidRPr="001B7AC3" w:rsidRDefault="007337FD">
      <w:pPr>
        <w:pStyle w:val="Normal1"/>
        <w:numPr>
          <w:ilvl w:val="0"/>
          <w:numId w:val="1"/>
        </w:numPr>
        <w:ind w:hanging="360"/>
        <w:jc w:val="both"/>
        <w:rPr>
          <w:sz w:val="22"/>
          <w:szCs w:val="22"/>
          <w:lang w:val="fr-FR"/>
        </w:rPr>
      </w:pPr>
      <w:r w:rsidRPr="001B7AC3">
        <w:rPr>
          <w:sz w:val="22"/>
          <w:szCs w:val="22"/>
          <w:lang w:val="fr-FR"/>
        </w:rPr>
        <w:t xml:space="preserve">L’Unité de soutien technique de l’Initiative africaine de l’AEWA (ONCFS/TdV) a organisé un atelier sur la gestion des données pour les pays francophones d’Afrique, et a aidé au comptage au Sénégal, au Soudan et en Égypte. </w:t>
      </w:r>
    </w:p>
    <w:p w:rsidR="007337FD" w:rsidRPr="001B7AC3" w:rsidRDefault="007337FD">
      <w:pPr>
        <w:pStyle w:val="Normal1"/>
        <w:jc w:val="both"/>
        <w:rPr>
          <w:sz w:val="22"/>
          <w:szCs w:val="22"/>
          <w:lang w:val="fr-FR"/>
        </w:rPr>
      </w:pPr>
    </w:p>
    <w:p w:rsidR="007337FD" w:rsidRPr="001B7AC3" w:rsidRDefault="007337FD">
      <w:pPr>
        <w:pStyle w:val="Normal1"/>
        <w:jc w:val="both"/>
        <w:rPr>
          <w:sz w:val="22"/>
          <w:szCs w:val="22"/>
          <w:lang w:val="fr-FR"/>
        </w:rPr>
      </w:pPr>
      <w:r w:rsidRPr="001B7AC3">
        <w:rPr>
          <w:sz w:val="22"/>
          <w:szCs w:val="22"/>
          <w:lang w:val="fr-FR"/>
        </w:rPr>
        <w:lastRenderedPageBreak/>
        <w:t xml:space="preserve">En résultat de ce soutien, la participation des pays et la volonté de rapporter leurs observations ont sensiblement augmenté (Figures 1 et 2). Toutefois, dans les pays à faibles </w:t>
      </w:r>
      <w:r w:rsidR="00D90267" w:rsidRPr="001B7AC3">
        <w:rPr>
          <w:sz w:val="22"/>
          <w:szCs w:val="22"/>
          <w:lang w:val="fr-FR"/>
        </w:rPr>
        <w:t>revenus, l’aide</w:t>
      </w:r>
      <w:r w:rsidRPr="001B7AC3">
        <w:rPr>
          <w:sz w:val="22"/>
          <w:szCs w:val="22"/>
          <w:lang w:val="fr-FR"/>
        </w:rPr>
        <w:t xml:space="preserve"> au comptage et les activités de renforcement de la capacité nationale étaient très irrégulières. La majorité de l’aide a été apportée en Afrique de l’Ouest et dans les pays méditerranéens, tandis qu’une aide plus limitée a pu être fournie en Europe de l’Est, en Asie centrale</w:t>
      </w:r>
      <w:r w:rsidR="00D90267" w:rsidRPr="001B7AC3">
        <w:rPr>
          <w:sz w:val="22"/>
          <w:szCs w:val="22"/>
          <w:lang w:val="fr-FR"/>
        </w:rPr>
        <w:t xml:space="preserve"> </w:t>
      </w:r>
      <w:r w:rsidRPr="001B7AC3">
        <w:rPr>
          <w:sz w:val="22"/>
          <w:szCs w:val="22"/>
          <w:lang w:val="fr-FR"/>
        </w:rPr>
        <w:t>et en Afrique de l’Est.</w:t>
      </w:r>
    </w:p>
    <w:p w:rsidR="007337FD" w:rsidRPr="001B7AC3" w:rsidRDefault="007337FD">
      <w:pPr>
        <w:pStyle w:val="Normal1"/>
        <w:jc w:val="both"/>
        <w:rPr>
          <w:sz w:val="22"/>
          <w:szCs w:val="22"/>
          <w:lang w:val="fr-FR"/>
        </w:rPr>
      </w:pPr>
    </w:p>
    <w:p w:rsidR="007337FD" w:rsidRPr="001B7AC3" w:rsidRDefault="007337FD">
      <w:pPr>
        <w:pStyle w:val="Normal1"/>
        <w:jc w:val="both"/>
        <w:rPr>
          <w:sz w:val="22"/>
          <w:szCs w:val="22"/>
          <w:lang w:val="fr-FR"/>
        </w:rPr>
      </w:pPr>
      <w:r w:rsidRPr="001B7AC3">
        <w:rPr>
          <w:sz w:val="22"/>
          <w:szCs w:val="22"/>
          <w:lang w:val="fr-FR"/>
        </w:rPr>
        <w:t>La coordination au niveau de la voie de migration a été financée, outre par le projet MAVA (2012-2013), grâce à des contributions volontaires de l’Office fédéral suisse de l’environnement (2012-2014), du ministère britannique de l’Environnement, de l’Alimentation et des Affaires rurales (2013),du ministère français de l’Écologie, du Développement durable et de l’Énergie (MEDDE) (2014) et de la Subvention de fonctionnement ONG LIFE+ de l’UE (2014). Cependant, au moment où nous rédigeons ce document, aucun financement n’est encore disponible pour le poste de coordination en 2015.</w:t>
      </w:r>
    </w:p>
    <w:p w:rsidR="007337FD" w:rsidRPr="001B7AC3" w:rsidRDefault="007337FD">
      <w:pPr>
        <w:pStyle w:val="Normal1"/>
        <w:jc w:val="both"/>
        <w:rPr>
          <w:sz w:val="22"/>
          <w:szCs w:val="22"/>
          <w:lang w:val="fr-FR"/>
        </w:rPr>
      </w:pPr>
    </w:p>
    <w:p w:rsidR="007337FD" w:rsidRPr="001B7AC3" w:rsidRDefault="007337FD">
      <w:pPr>
        <w:pStyle w:val="Normal1"/>
        <w:jc w:val="both"/>
        <w:rPr>
          <w:sz w:val="22"/>
          <w:szCs w:val="22"/>
          <w:lang w:val="fr-FR"/>
        </w:rPr>
      </w:pPr>
      <w:r w:rsidRPr="001B7AC3">
        <w:rPr>
          <w:sz w:val="22"/>
          <w:szCs w:val="22"/>
          <w:lang w:val="fr-FR"/>
        </w:rPr>
        <w:t>L’acquisition et l’organisation des données actuelles ont été financées par</w:t>
      </w:r>
      <w:r w:rsidR="00D90267" w:rsidRPr="001B7AC3">
        <w:rPr>
          <w:sz w:val="22"/>
          <w:szCs w:val="22"/>
          <w:lang w:val="fr-FR"/>
        </w:rPr>
        <w:t xml:space="preserve"> </w:t>
      </w:r>
      <w:r w:rsidRPr="001B7AC3">
        <w:rPr>
          <w:sz w:val="22"/>
          <w:szCs w:val="22"/>
          <w:lang w:val="fr-FR"/>
        </w:rPr>
        <w:t xml:space="preserve">Wetlands International, ce qui a assuré la production en temps opportun des rapports de comptage annuel et a été fondamental pour rétablir la confiance du réseau de coordinateurs.  </w:t>
      </w:r>
    </w:p>
    <w:p w:rsidR="007337FD" w:rsidRPr="001B7AC3" w:rsidRDefault="007337FD">
      <w:pPr>
        <w:pStyle w:val="Heading3"/>
        <w:jc w:val="both"/>
        <w:rPr>
          <w:sz w:val="24"/>
          <w:szCs w:val="24"/>
          <w:lang w:val="fr-FR"/>
        </w:rPr>
      </w:pPr>
      <w:r w:rsidRPr="001B7AC3">
        <w:rPr>
          <w:rFonts w:ascii="Times New Roman" w:hAnsi="Times New Roman" w:cs="Times New Roman"/>
          <w:sz w:val="24"/>
          <w:szCs w:val="24"/>
          <w:lang w:val="fr-FR"/>
        </w:rPr>
        <w:t>Améliorations techniques</w:t>
      </w:r>
    </w:p>
    <w:p w:rsidR="007337FD" w:rsidRPr="001B7AC3" w:rsidRDefault="007337FD">
      <w:pPr>
        <w:pStyle w:val="Normal1"/>
        <w:rPr>
          <w:sz w:val="22"/>
          <w:szCs w:val="22"/>
          <w:lang w:val="fr-FR"/>
        </w:rPr>
      </w:pPr>
    </w:p>
    <w:p w:rsidR="007337FD" w:rsidRPr="001B7AC3" w:rsidRDefault="007337FD">
      <w:pPr>
        <w:pStyle w:val="Normal1"/>
        <w:jc w:val="both"/>
        <w:rPr>
          <w:sz w:val="22"/>
          <w:szCs w:val="22"/>
          <w:lang w:val="fr-FR"/>
        </w:rPr>
      </w:pPr>
      <w:r w:rsidRPr="001B7AC3">
        <w:rPr>
          <w:sz w:val="22"/>
          <w:szCs w:val="22"/>
          <w:lang w:val="fr-FR"/>
        </w:rPr>
        <w:t>Avec l’aide de la Fondation MAVA,</w:t>
      </w:r>
      <w:r w:rsidR="00D90267" w:rsidRPr="001B7AC3">
        <w:rPr>
          <w:sz w:val="22"/>
          <w:szCs w:val="22"/>
          <w:lang w:val="fr-FR"/>
        </w:rPr>
        <w:t xml:space="preserve"> </w:t>
      </w:r>
      <w:r w:rsidRPr="001B7AC3">
        <w:rPr>
          <w:sz w:val="22"/>
          <w:szCs w:val="22"/>
          <w:lang w:val="fr-FR"/>
        </w:rPr>
        <w:t xml:space="preserve">un portail de recueil de données en ligne existant (www.observado.org), a été modifié pour satisfaire aux besoins des programmes nationaux ne pouvant se permettre de développer leur propre base de données en ligne. Une nouvelle base de données IWC mondiale en ligne a également été développée, permettant aux coordinateurs nationaux d’envoyer, de télécharger et de partager leurs données. L’objectif de ces activités est d’accélérer le flux de données dans l’avenir. </w:t>
      </w:r>
    </w:p>
    <w:p w:rsidR="007337FD" w:rsidRPr="001B7AC3" w:rsidRDefault="007337FD">
      <w:pPr>
        <w:pStyle w:val="Heading3"/>
        <w:jc w:val="both"/>
        <w:rPr>
          <w:sz w:val="24"/>
          <w:szCs w:val="24"/>
          <w:lang w:val="fr-FR"/>
        </w:rPr>
      </w:pPr>
      <w:r w:rsidRPr="001B7AC3">
        <w:rPr>
          <w:rFonts w:ascii="Times New Roman" w:hAnsi="Times New Roman" w:cs="Times New Roman"/>
          <w:sz w:val="24"/>
          <w:szCs w:val="24"/>
          <w:lang w:val="fr-FR"/>
        </w:rPr>
        <w:t>Impact</w:t>
      </w:r>
    </w:p>
    <w:p w:rsidR="007337FD" w:rsidRPr="001B7AC3" w:rsidRDefault="007337FD">
      <w:pPr>
        <w:pStyle w:val="Normal1"/>
        <w:rPr>
          <w:sz w:val="22"/>
          <w:szCs w:val="22"/>
          <w:lang w:val="fr-FR"/>
        </w:rPr>
      </w:pPr>
    </w:p>
    <w:p w:rsidR="007337FD" w:rsidRPr="001B7AC3" w:rsidRDefault="007337FD">
      <w:pPr>
        <w:pStyle w:val="Normal1"/>
        <w:jc w:val="both"/>
        <w:rPr>
          <w:sz w:val="22"/>
          <w:szCs w:val="22"/>
          <w:lang w:val="fr-FR"/>
        </w:rPr>
      </w:pPr>
      <w:r w:rsidRPr="001B7AC3">
        <w:rPr>
          <w:sz w:val="22"/>
          <w:szCs w:val="22"/>
          <w:lang w:val="fr-FR"/>
        </w:rPr>
        <w:t>En résultat de la réorganisation du mécanisme de coordination, adoptant l’approche du partenariat et les améliorations techniques, il a été possible de réduire l’espace de temps suivant</w:t>
      </w:r>
      <w:r w:rsidR="00D90267" w:rsidRPr="001B7AC3">
        <w:rPr>
          <w:sz w:val="22"/>
          <w:szCs w:val="22"/>
          <w:lang w:val="fr-FR"/>
        </w:rPr>
        <w:t xml:space="preserve"> </w:t>
      </w:r>
      <w:r w:rsidRPr="001B7AC3">
        <w:rPr>
          <w:sz w:val="22"/>
          <w:szCs w:val="22"/>
          <w:lang w:val="fr-FR"/>
        </w:rPr>
        <w:t xml:space="preserve">la dernière année de la période de tendances utilisée pour l’analyse des tendances dans le Rapport de l’AEWA sur l’état de conservation, passant de cinq ans dans le CSR5 à trois seulement– et même à une seule année dans le cas des populations d’Afrique de l’Ouest–dans le CSR6. </w:t>
      </w:r>
    </w:p>
    <w:p w:rsidR="007337FD" w:rsidRPr="001B7AC3" w:rsidRDefault="007337FD">
      <w:pPr>
        <w:pStyle w:val="Normal1"/>
        <w:jc w:val="both"/>
        <w:rPr>
          <w:sz w:val="22"/>
          <w:szCs w:val="22"/>
          <w:lang w:val="fr-FR"/>
        </w:rPr>
      </w:pPr>
    </w:p>
    <w:p w:rsidR="007337FD" w:rsidRPr="001B7AC3" w:rsidRDefault="007337FD">
      <w:pPr>
        <w:pStyle w:val="Normal1"/>
        <w:jc w:val="both"/>
        <w:rPr>
          <w:sz w:val="22"/>
          <w:szCs w:val="22"/>
          <w:lang w:val="fr-FR"/>
        </w:rPr>
      </w:pPr>
      <w:r w:rsidRPr="001B7AC3">
        <w:rPr>
          <w:sz w:val="22"/>
          <w:szCs w:val="22"/>
          <w:lang w:val="fr-FR"/>
        </w:rPr>
        <w:t>Les totaux des comptages annuels de l’IWC ont été produits chaque année depuis 2011. Les estimations des tailles et des tendances des populations produites pour</w:t>
      </w:r>
      <w:r w:rsidR="00D90267" w:rsidRPr="001B7AC3">
        <w:rPr>
          <w:sz w:val="22"/>
          <w:szCs w:val="22"/>
          <w:lang w:val="fr-FR"/>
        </w:rPr>
        <w:t xml:space="preserve"> </w:t>
      </w:r>
      <w:r w:rsidRPr="001B7AC3">
        <w:rPr>
          <w:sz w:val="22"/>
          <w:szCs w:val="22"/>
          <w:lang w:val="fr-FR"/>
        </w:rPr>
        <w:t>l’état de conservation de l’AEWA ainsi que les estimations des populations d’oiseaux d’eau sont à présent publiées dans une base de données en ligne consultable (wpe.wetlands.org), qui permet également la consultation avec des réseaux d’experts. Ces derniers développements</w:t>
      </w:r>
      <w:r w:rsidR="00D90267" w:rsidRPr="001B7AC3">
        <w:rPr>
          <w:sz w:val="22"/>
          <w:szCs w:val="22"/>
          <w:lang w:val="fr-FR"/>
        </w:rPr>
        <w:t xml:space="preserve"> </w:t>
      </w:r>
      <w:r w:rsidRPr="001B7AC3">
        <w:rPr>
          <w:sz w:val="22"/>
          <w:szCs w:val="22"/>
          <w:lang w:val="fr-FR"/>
        </w:rPr>
        <w:t>ont contribué à satisfaire à l’indicateur de la Cible 3.1 du Plan stratégique 2009-2017 de l’AEWA.</w:t>
      </w:r>
    </w:p>
    <w:p w:rsidR="007337FD" w:rsidRPr="001B7AC3" w:rsidRDefault="007337FD">
      <w:pPr>
        <w:pStyle w:val="Normal1"/>
        <w:jc w:val="both"/>
        <w:rPr>
          <w:sz w:val="22"/>
          <w:szCs w:val="22"/>
          <w:lang w:val="fr-FR"/>
        </w:rPr>
      </w:pPr>
    </w:p>
    <w:p w:rsidR="007337FD" w:rsidRPr="001B7AC3" w:rsidRDefault="007337FD">
      <w:pPr>
        <w:pStyle w:val="Normal1"/>
        <w:jc w:val="both"/>
        <w:rPr>
          <w:sz w:val="22"/>
          <w:szCs w:val="22"/>
          <w:lang w:val="fr-FR"/>
        </w:rPr>
      </w:pPr>
      <w:r w:rsidRPr="001B7AC3">
        <w:rPr>
          <w:sz w:val="22"/>
          <w:szCs w:val="22"/>
          <w:lang w:val="fr-FR"/>
        </w:rPr>
        <w:t xml:space="preserve">Depuis 2011, 18 demandes de données ont été </w:t>
      </w:r>
      <w:r w:rsidR="00D90267" w:rsidRPr="001B7AC3">
        <w:rPr>
          <w:sz w:val="22"/>
          <w:szCs w:val="22"/>
          <w:lang w:val="fr-FR"/>
        </w:rPr>
        <w:t>notifiées ce</w:t>
      </w:r>
      <w:r w:rsidRPr="001B7AC3">
        <w:rPr>
          <w:sz w:val="22"/>
          <w:szCs w:val="22"/>
          <w:lang w:val="fr-FR"/>
        </w:rPr>
        <w:t xml:space="preserve"> qui a résulté dans 12 articles ou rapports scientifiques (voir la liste complète en appendice). Ces rapports traitaient des questions telles que les déplacements d’aires de répartition dus au changement climatique, l’efficacité des réseaux de sites protégés et des indicateurs.  </w:t>
      </w:r>
    </w:p>
    <w:p w:rsidR="007337FD" w:rsidRPr="001B7AC3" w:rsidRDefault="007337FD">
      <w:pPr>
        <w:pStyle w:val="Normal1"/>
        <w:jc w:val="both"/>
        <w:rPr>
          <w:sz w:val="22"/>
          <w:szCs w:val="22"/>
          <w:lang w:val="fr-FR"/>
        </w:rPr>
      </w:pPr>
    </w:p>
    <w:p w:rsidR="007337FD" w:rsidRPr="001B7AC3" w:rsidRDefault="007337FD">
      <w:pPr>
        <w:pStyle w:val="Normal1"/>
        <w:jc w:val="both"/>
        <w:rPr>
          <w:sz w:val="22"/>
          <w:szCs w:val="22"/>
          <w:lang w:val="fr-FR"/>
        </w:rPr>
      </w:pPr>
      <w:r w:rsidRPr="001B7AC3">
        <w:rPr>
          <w:sz w:val="22"/>
          <w:szCs w:val="22"/>
          <w:lang w:val="fr-FR"/>
        </w:rPr>
        <w:t>Le nombre de populations dont l’état pouvait être analysé sur la base de données de surveillance a augmenté de 75% (Plan stratégique 2009-2017 de l’AEWA, Cible 3.1., l’indicateur faisait part d’un accroissement de 50%) et à présent, 36% des populations de l’AEWA sont évaluées à partir de données de surveillance régulières. Toutefois, ceci n’est pas seulement le fruit de l’amélioration de l’IWC, mais aussi de la mobilisation de données pour l’Art. 12 au titre de la Directive Oiseaux de l’UE</w:t>
      </w:r>
      <w:r w:rsidR="00D90267" w:rsidRPr="001B7AC3">
        <w:rPr>
          <w:sz w:val="22"/>
          <w:szCs w:val="22"/>
          <w:lang w:val="fr-FR"/>
        </w:rPr>
        <w:t xml:space="preserve"> </w:t>
      </w:r>
      <w:r w:rsidRPr="001B7AC3">
        <w:rPr>
          <w:sz w:val="22"/>
          <w:szCs w:val="22"/>
          <w:lang w:val="fr-FR"/>
        </w:rPr>
        <w:t xml:space="preserve">et les projets de la Liste rouge européenne des oiseaux, qui ont également joué un rôle important dans ces améliorations. </w:t>
      </w:r>
    </w:p>
    <w:p w:rsidR="007337FD" w:rsidRPr="001B7AC3" w:rsidRDefault="007337FD">
      <w:pPr>
        <w:pStyle w:val="Normal1"/>
        <w:jc w:val="both"/>
        <w:rPr>
          <w:sz w:val="22"/>
          <w:szCs w:val="22"/>
          <w:lang w:val="fr-FR"/>
        </w:rPr>
      </w:pPr>
    </w:p>
    <w:p w:rsidR="007337FD" w:rsidRPr="001B7AC3" w:rsidRDefault="007337FD" w:rsidP="0097269A">
      <w:pPr>
        <w:pStyle w:val="Heading3"/>
        <w:spacing w:before="0" w:after="0"/>
        <w:jc w:val="both"/>
        <w:rPr>
          <w:sz w:val="24"/>
          <w:szCs w:val="24"/>
          <w:lang w:val="fr-FR"/>
        </w:rPr>
      </w:pPr>
      <w:r w:rsidRPr="001B7AC3">
        <w:rPr>
          <w:rFonts w:ascii="Times New Roman" w:hAnsi="Times New Roman" w:cs="Times New Roman"/>
          <w:sz w:val="24"/>
          <w:szCs w:val="24"/>
          <w:lang w:val="fr-FR"/>
        </w:rPr>
        <w:t>Financement et sa durabilité</w:t>
      </w:r>
    </w:p>
    <w:p w:rsidR="007337FD" w:rsidRPr="001B7AC3" w:rsidRDefault="007337FD" w:rsidP="0097269A">
      <w:pPr>
        <w:pStyle w:val="Normal1"/>
        <w:keepNext/>
        <w:rPr>
          <w:sz w:val="22"/>
          <w:szCs w:val="22"/>
          <w:lang w:val="fr-FR"/>
        </w:rPr>
      </w:pPr>
    </w:p>
    <w:p w:rsidR="007337FD" w:rsidRPr="001B7AC3" w:rsidRDefault="007337FD">
      <w:pPr>
        <w:pStyle w:val="Normal1"/>
        <w:jc w:val="both"/>
        <w:rPr>
          <w:sz w:val="22"/>
          <w:szCs w:val="22"/>
          <w:lang w:val="fr-FR"/>
        </w:rPr>
      </w:pPr>
      <w:r w:rsidRPr="001B7AC3">
        <w:rPr>
          <w:sz w:val="22"/>
          <w:szCs w:val="22"/>
          <w:lang w:val="fr-FR"/>
        </w:rPr>
        <w:t xml:space="preserve">À l’exception des comptages spéciaux et de l’aide au comptage dans les pays aux faibles revenus, les objectifs financiers prévus dans le document AEWA/MOP 5.42 ont été largement atteints. Au total, un montant estimé de 427 000 euros a été recueilli pour divers composants en 2014. Dans le cas du </w:t>
      </w:r>
      <w:r w:rsidRPr="001B7AC3">
        <w:rPr>
          <w:sz w:val="22"/>
          <w:szCs w:val="22"/>
          <w:lang w:val="fr-FR"/>
        </w:rPr>
        <w:lastRenderedPageBreak/>
        <w:t xml:space="preserve">développement de la capacité, les fonds disponibles pour les cinq projets susmentionnés ont dépassé les estimations minimum. </w:t>
      </w:r>
    </w:p>
    <w:p w:rsidR="007337FD" w:rsidRPr="001B7AC3" w:rsidRDefault="007337FD">
      <w:pPr>
        <w:pStyle w:val="Normal1"/>
        <w:jc w:val="both"/>
        <w:rPr>
          <w:sz w:val="22"/>
          <w:szCs w:val="22"/>
          <w:lang w:val="fr-FR"/>
        </w:rPr>
      </w:pPr>
    </w:p>
    <w:p w:rsidR="007337FD" w:rsidRPr="001B7AC3" w:rsidRDefault="007337FD">
      <w:pPr>
        <w:pStyle w:val="Normal1"/>
        <w:jc w:val="both"/>
        <w:rPr>
          <w:sz w:val="22"/>
          <w:szCs w:val="22"/>
          <w:lang w:val="fr-FR"/>
        </w:rPr>
      </w:pPr>
      <w:r w:rsidRPr="001B7AC3">
        <w:rPr>
          <w:sz w:val="22"/>
          <w:szCs w:val="22"/>
          <w:lang w:val="fr-FR"/>
        </w:rPr>
        <w:t>Toutefois, hormis le financement accordé par</w:t>
      </w:r>
      <w:r w:rsidR="00D90267" w:rsidRPr="001B7AC3">
        <w:rPr>
          <w:sz w:val="22"/>
          <w:szCs w:val="22"/>
          <w:lang w:val="fr-FR"/>
        </w:rPr>
        <w:t xml:space="preserve"> </w:t>
      </w:r>
      <w:r w:rsidRPr="001B7AC3">
        <w:rPr>
          <w:sz w:val="22"/>
          <w:szCs w:val="22"/>
          <w:lang w:val="fr-FR"/>
        </w:rPr>
        <w:t>Wetlands International pour la gestion des données, tous les financements sont réalisés sur la base de projet à court ou, au maximum, à moyen terme, sans une quelconque garantie de durabilité à long terme.</w:t>
      </w:r>
      <w:r w:rsidR="00D90267" w:rsidRPr="001B7AC3">
        <w:rPr>
          <w:sz w:val="22"/>
          <w:szCs w:val="22"/>
          <w:lang w:val="fr-FR"/>
        </w:rPr>
        <w:t xml:space="preserve"> </w:t>
      </w:r>
      <w:r w:rsidRPr="001B7AC3">
        <w:rPr>
          <w:sz w:val="22"/>
          <w:szCs w:val="22"/>
          <w:lang w:val="fr-FR"/>
        </w:rPr>
        <w:t xml:space="preserve">Cet aspect pose notamment un problème dans le cas du soutien au comptage dans les pays à faibles revenus et de la coordination au niveau de la voie de migration. </w:t>
      </w:r>
    </w:p>
    <w:p w:rsidR="007337FD" w:rsidRPr="001B7AC3" w:rsidRDefault="007337FD">
      <w:pPr>
        <w:pStyle w:val="Normal1"/>
        <w:jc w:val="both"/>
        <w:rPr>
          <w:sz w:val="22"/>
          <w:szCs w:val="22"/>
          <w:lang w:val="fr-FR"/>
        </w:rPr>
      </w:pPr>
    </w:p>
    <w:p w:rsidR="007337FD" w:rsidRPr="001B7AC3" w:rsidRDefault="007337FD">
      <w:pPr>
        <w:pStyle w:val="Normal1"/>
        <w:jc w:val="both"/>
        <w:rPr>
          <w:sz w:val="22"/>
          <w:szCs w:val="22"/>
          <w:lang w:val="fr-FR"/>
        </w:rPr>
      </w:pPr>
      <w:r w:rsidRPr="001B7AC3">
        <w:rPr>
          <w:sz w:val="22"/>
          <w:szCs w:val="22"/>
          <w:lang w:val="fr-FR"/>
        </w:rPr>
        <w:t>Dans le premier cas, ceci donne lieu à une couverture irrégulière et insuffisante des sites clés, ce qui entraîne des estimations de la taille et des tendances des populations extrêmement fluctuantes et incertaines au niveau de la voie de migration. Dans le second cas, ceci entrave une coordination régulière entre les diverses parties prenantes (par ex. les coordinateurs nationaux, les groupes d’experts, les organisations jouant un rôle de premier plan au niveau du renforcement de la capacité, les donateurs, le Secrétariat PNUE/AEWA et le Comité technique) et le travail systématique sur le</w:t>
      </w:r>
      <w:r w:rsidR="00D90267" w:rsidRPr="001B7AC3">
        <w:rPr>
          <w:sz w:val="22"/>
          <w:szCs w:val="22"/>
          <w:lang w:val="fr-FR"/>
        </w:rPr>
        <w:t xml:space="preserve"> </w:t>
      </w:r>
      <w:r w:rsidRPr="001B7AC3">
        <w:rPr>
          <w:sz w:val="22"/>
          <w:szCs w:val="22"/>
          <w:lang w:val="fr-FR"/>
        </w:rPr>
        <w:t>Plan de travail de mise en œuvre du partenariat, bien que l’expérience acquise ces trois dernières années ait démontré la valeur de ces activités</w:t>
      </w:r>
      <w:r w:rsidRPr="001B7AC3">
        <w:rPr>
          <w:sz w:val="22"/>
          <w:lang w:val="fr-FR"/>
        </w:rPr>
        <w:t>. L’échec à développer les lignes directrices requises aux</w:t>
      </w:r>
      <w:r w:rsidR="00D90267" w:rsidRPr="001B7AC3">
        <w:rPr>
          <w:sz w:val="22"/>
          <w:lang w:val="fr-FR"/>
        </w:rPr>
        <w:t xml:space="preserve"> </w:t>
      </w:r>
      <w:r w:rsidRPr="001B7AC3">
        <w:rPr>
          <w:sz w:val="22"/>
          <w:lang w:val="fr-FR"/>
        </w:rPr>
        <w:t>paragraphes 2-4 de la Résolution 5.2 est un clair exemple de tâches stratégiques n’ayant pas pu être mises en œuvre</w:t>
      </w:r>
      <w:r w:rsidR="00D90267" w:rsidRPr="001B7AC3">
        <w:rPr>
          <w:sz w:val="22"/>
          <w:lang w:val="fr-FR"/>
        </w:rPr>
        <w:t xml:space="preserve"> </w:t>
      </w:r>
      <w:r w:rsidRPr="001B7AC3">
        <w:rPr>
          <w:sz w:val="22"/>
          <w:lang w:val="fr-FR"/>
        </w:rPr>
        <w:t xml:space="preserve">en raison de l’absence de fonds pour la coordination au niveau de la voie de migration. </w:t>
      </w:r>
    </w:p>
    <w:p w:rsidR="007337FD" w:rsidRPr="001B7AC3" w:rsidRDefault="007337FD">
      <w:pPr>
        <w:pStyle w:val="Normal1"/>
        <w:jc w:val="both"/>
        <w:rPr>
          <w:lang w:val="fr-FR"/>
        </w:rPr>
      </w:pPr>
    </w:p>
    <w:p w:rsidR="007337FD" w:rsidRPr="001B7AC3" w:rsidRDefault="007337FD">
      <w:pPr>
        <w:pStyle w:val="Normal1"/>
        <w:jc w:val="both"/>
        <w:rPr>
          <w:sz w:val="22"/>
          <w:lang w:val="fr-FR"/>
        </w:rPr>
      </w:pPr>
      <w:r w:rsidRPr="001B7AC3">
        <w:rPr>
          <w:sz w:val="22"/>
          <w:lang w:val="fr-FR"/>
        </w:rPr>
        <w:t>Ce qui précède montre clairement que le régime actuel de financement ne fournit pas le financement structurel prévisible à long terme nécessaire pour répondre aux besoins de l’AEWA,</w:t>
      </w:r>
      <w:r w:rsidR="00D90267" w:rsidRPr="001B7AC3">
        <w:rPr>
          <w:sz w:val="22"/>
          <w:lang w:val="fr-FR"/>
        </w:rPr>
        <w:t xml:space="preserve"> </w:t>
      </w:r>
      <w:r w:rsidRPr="001B7AC3">
        <w:rPr>
          <w:sz w:val="22"/>
          <w:lang w:val="fr-FR"/>
        </w:rPr>
        <w:t>que ce soit au niveau international ou national dans les pays à faibles revenus. Cependant, l’expérience acquise lors des trois ou quatre dernières années prouve bien ce qu’une approche programmatique, avec suffisamment de capacité, permet de réaliser si les fonds nécessaires sont disponibles. Pour maintenir les acquis,</w:t>
      </w:r>
      <w:r w:rsidR="00D90267" w:rsidRPr="001B7AC3">
        <w:rPr>
          <w:sz w:val="22"/>
          <w:lang w:val="fr-FR"/>
        </w:rPr>
        <w:t xml:space="preserve"> </w:t>
      </w:r>
      <w:r w:rsidRPr="001B7AC3">
        <w:rPr>
          <w:sz w:val="22"/>
          <w:lang w:val="fr-FR"/>
        </w:rPr>
        <w:t>les sommes estimées en tant que part de l’étude IWC financée par le JNCC et présentées dans le document AEWA/MOP 5.42 (voir la deuxième colonne du tableau joint au présent document) comprendraient nécessairement les 80 000 euros</w:t>
      </w:r>
      <w:r w:rsidR="00D90267" w:rsidRPr="001B7AC3">
        <w:rPr>
          <w:sz w:val="22"/>
          <w:lang w:val="fr-FR"/>
        </w:rPr>
        <w:t xml:space="preserve"> </w:t>
      </w:r>
      <w:r w:rsidRPr="001B7AC3">
        <w:rPr>
          <w:sz w:val="22"/>
          <w:lang w:val="fr-FR"/>
        </w:rPr>
        <w:t xml:space="preserve">destinés à l’aide au comptage des sites critiques dans les pays à faibles revenus, ainsi que 65 000 euros supplémentaires pour la coordination au niveau de la voie de migration. </w:t>
      </w:r>
    </w:p>
    <w:p w:rsidR="007337FD" w:rsidRPr="001B7AC3" w:rsidRDefault="007337FD">
      <w:pPr>
        <w:pStyle w:val="Normal1"/>
        <w:jc w:val="both"/>
        <w:rPr>
          <w:sz w:val="22"/>
          <w:lang w:val="fr-FR"/>
        </w:rPr>
      </w:pPr>
    </w:p>
    <w:p w:rsidR="007337FD" w:rsidRPr="001B7AC3" w:rsidRDefault="007337FD">
      <w:pPr>
        <w:pStyle w:val="Normal1"/>
        <w:jc w:val="both"/>
        <w:rPr>
          <w:sz w:val="22"/>
          <w:lang w:val="fr-FR"/>
        </w:rPr>
      </w:pPr>
      <w:r w:rsidRPr="001B7AC3">
        <w:rPr>
          <w:sz w:val="22"/>
          <w:lang w:val="fr-FR"/>
        </w:rPr>
        <w:t>Jusqu’ici,</w:t>
      </w:r>
      <w:r w:rsidR="00D90267" w:rsidRPr="001B7AC3">
        <w:rPr>
          <w:sz w:val="22"/>
          <w:lang w:val="fr-FR"/>
        </w:rPr>
        <w:t xml:space="preserve"> </w:t>
      </w:r>
      <w:r w:rsidRPr="001B7AC3">
        <w:rPr>
          <w:sz w:val="22"/>
          <w:lang w:val="fr-FR"/>
        </w:rPr>
        <w:t>parmi les projets de renforcement de la capacité, seule la poursuite du Projet de la voie de migration de l’Adriatique 3 a été approuvée jusqu’à la fin février 2018. L’Initiative de la voie de migration de la mer des Wadden, phase 2, devrait durer de 2015 à 2018, mais nous attendons toujours confirmation. Un nouveau projet, co-financé par l’AEWA, sur le renforcement de l’expertise sur les oiseaux et leur utilisation durable à l’avantage des communautés et de l’environnement en Afrique subsaharienne (projet RESSOURCE) 2016-2019, coordonnés par le ministère de l’écologie, du développement durable et de l’énergie (MEDDE), devrait augmenter le potentiel de financement pour la surveillance dans la région du Sahel.</w:t>
      </w:r>
    </w:p>
    <w:p w:rsidR="007337FD" w:rsidRPr="001B7AC3" w:rsidRDefault="007337FD">
      <w:pPr>
        <w:pStyle w:val="Normal1"/>
        <w:jc w:val="both"/>
        <w:rPr>
          <w:sz w:val="22"/>
          <w:lang w:val="fr-FR"/>
        </w:rPr>
      </w:pPr>
    </w:p>
    <w:p w:rsidR="007337FD" w:rsidRPr="001B7AC3" w:rsidRDefault="007337FD">
      <w:pPr>
        <w:pStyle w:val="Normal1"/>
        <w:jc w:val="both"/>
        <w:rPr>
          <w:lang w:val="fr-FR"/>
        </w:rPr>
      </w:pPr>
      <w:r w:rsidRPr="001B7AC3">
        <w:rPr>
          <w:sz w:val="22"/>
          <w:lang w:val="fr-FR"/>
        </w:rPr>
        <w:t>On sait déjà que la demande faite par l’Association européenne de</w:t>
      </w:r>
      <w:r w:rsidR="00D90267" w:rsidRPr="001B7AC3">
        <w:rPr>
          <w:sz w:val="22"/>
          <w:lang w:val="fr-FR"/>
        </w:rPr>
        <w:t xml:space="preserve"> </w:t>
      </w:r>
      <w:r w:rsidRPr="001B7AC3">
        <w:rPr>
          <w:sz w:val="22"/>
          <w:lang w:val="fr-FR"/>
        </w:rPr>
        <w:t xml:space="preserve">Wetlands International au Régime de subvention de fonctionnement ONG LIFE+ de l’UE, qui incluait une part substantielle du financement pour la coordination au niveau de la voie de migration, n’a pas abouti, et au moment où nous rédigeons le présent rapport, aucun fonds n’a été engagé en 2015 pour la coordination au niveau de la voie de migration ou pour les comptages dans les pays à faibles revenus.   </w:t>
      </w:r>
    </w:p>
    <w:p w:rsidR="007337FD" w:rsidRPr="001B7AC3" w:rsidRDefault="007337FD">
      <w:pPr>
        <w:pStyle w:val="Normal1"/>
        <w:jc w:val="both"/>
        <w:rPr>
          <w:lang w:val="fr-FR"/>
        </w:rPr>
      </w:pPr>
    </w:p>
    <w:p w:rsidR="007337FD" w:rsidRPr="001B7AC3" w:rsidRDefault="007337FD">
      <w:pPr>
        <w:pStyle w:val="Normal1"/>
        <w:jc w:val="both"/>
        <w:rPr>
          <w:lang w:val="fr-FR"/>
        </w:rPr>
      </w:pPr>
      <w:r w:rsidRPr="001B7AC3">
        <w:rPr>
          <w:sz w:val="22"/>
          <w:lang w:val="fr-FR"/>
        </w:rPr>
        <w:t>Le document AEWA/MOP 5.42 a exploré cinq options différentes. Il est clair que les options« agir comme si de rien n’était » et « incorporer les coûts de l’IWC dans les produits » ne peuvent être retenues car l’expérience passée a montré qu’elles ne fonctionnaient pas. Sur la base des discussions de la MOP5 et</w:t>
      </w:r>
      <w:r w:rsidR="00D90267" w:rsidRPr="001B7AC3">
        <w:rPr>
          <w:sz w:val="22"/>
          <w:lang w:val="fr-FR"/>
        </w:rPr>
        <w:t xml:space="preserve"> </w:t>
      </w:r>
      <w:r w:rsidRPr="001B7AC3">
        <w:rPr>
          <w:sz w:val="22"/>
          <w:lang w:val="fr-FR"/>
        </w:rPr>
        <w:t>de la compréhension de la situation financière du Secrétariat PNUE/AEWA (et secrétariats d’autres AEM) et des Parties contractantes, il est peu vraisemblable que les options</w:t>
      </w:r>
      <w:r w:rsidR="00D90267" w:rsidRPr="001B7AC3">
        <w:rPr>
          <w:sz w:val="22"/>
          <w:lang w:val="fr-FR"/>
        </w:rPr>
        <w:t xml:space="preserve"> </w:t>
      </w:r>
      <w:r w:rsidRPr="001B7AC3">
        <w:rPr>
          <w:sz w:val="22"/>
          <w:lang w:val="fr-FR"/>
        </w:rPr>
        <w:t xml:space="preserve">de a) incorporer les coûts de l’IWC dans le budget principal de l’AEWA ou b) contribuer proportionnellement à une ligne budgétaire dédiée du Fonds d’affectation spéciale de l’AEWA soient acceptées lors de la prochaine MOP. Toutefois, une approche pluridimensionnelle combinant une série d’options, convenant à différents publics, pourrait donner des résultats.  </w:t>
      </w:r>
    </w:p>
    <w:p w:rsidR="007337FD" w:rsidRPr="001B7AC3" w:rsidRDefault="007337FD">
      <w:pPr>
        <w:pStyle w:val="Heading3"/>
        <w:jc w:val="both"/>
        <w:rPr>
          <w:sz w:val="24"/>
          <w:szCs w:val="24"/>
          <w:lang w:val="fr-FR"/>
        </w:rPr>
      </w:pPr>
      <w:r w:rsidRPr="001B7AC3">
        <w:rPr>
          <w:rFonts w:ascii="Times New Roman" w:hAnsi="Times New Roman" w:cs="Times New Roman"/>
          <w:sz w:val="24"/>
          <w:szCs w:val="24"/>
          <w:lang w:val="fr-FR"/>
        </w:rPr>
        <w:t>Recommandations</w:t>
      </w:r>
    </w:p>
    <w:p w:rsidR="007337FD" w:rsidRPr="001B7AC3" w:rsidRDefault="007337FD">
      <w:pPr>
        <w:pStyle w:val="Normal1"/>
        <w:rPr>
          <w:lang w:val="fr-FR"/>
        </w:rPr>
      </w:pPr>
    </w:p>
    <w:p w:rsidR="007337FD" w:rsidRPr="001B7AC3" w:rsidRDefault="007337FD">
      <w:pPr>
        <w:pStyle w:val="Normal1"/>
        <w:jc w:val="both"/>
        <w:rPr>
          <w:sz w:val="22"/>
          <w:lang w:val="fr-FR"/>
        </w:rPr>
      </w:pPr>
      <w:r w:rsidRPr="001B7AC3">
        <w:rPr>
          <w:sz w:val="22"/>
          <w:lang w:val="fr-FR"/>
        </w:rPr>
        <w:t xml:space="preserve">Les options suivantes pourraient toujours améliorer la prévisibilité de financement pour les comptages de l’IWC dans les pays à faibles revenus et pour la coordination au niveau de la voie de migration : </w:t>
      </w:r>
    </w:p>
    <w:p w:rsidR="007337FD" w:rsidRPr="001B7AC3" w:rsidRDefault="007337FD">
      <w:pPr>
        <w:pStyle w:val="Normal1"/>
        <w:jc w:val="both"/>
        <w:rPr>
          <w:lang w:val="fr-FR"/>
        </w:rPr>
      </w:pPr>
    </w:p>
    <w:p w:rsidR="007337FD" w:rsidRPr="001B7AC3" w:rsidRDefault="007337FD" w:rsidP="0097269A">
      <w:pPr>
        <w:pStyle w:val="Normal1"/>
        <w:numPr>
          <w:ilvl w:val="0"/>
          <w:numId w:val="3"/>
        </w:numPr>
        <w:ind w:hanging="360"/>
        <w:jc w:val="both"/>
        <w:rPr>
          <w:sz w:val="22"/>
          <w:lang w:val="fr-FR"/>
        </w:rPr>
      </w:pPr>
      <w:r w:rsidRPr="001B7AC3">
        <w:rPr>
          <w:sz w:val="22"/>
          <w:lang w:val="fr-FR"/>
        </w:rPr>
        <w:t>Créer un</w:t>
      </w:r>
      <w:r w:rsidR="00D90267" w:rsidRPr="001B7AC3">
        <w:rPr>
          <w:sz w:val="22"/>
          <w:lang w:val="fr-FR"/>
        </w:rPr>
        <w:t xml:space="preserve"> </w:t>
      </w:r>
      <w:r w:rsidRPr="001B7AC3">
        <w:rPr>
          <w:b/>
          <w:sz w:val="22"/>
          <w:lang w:val="fr-FR"/>
        </w:rPr>
        <w:t>Fonds pour la surveillance des oiseaux d’eau</w:t>
      </w:r>
      <w:r w:rsidR="00D90267" w:rsidRPr="001B7AC3">
        <w:rPr>
          <w:b/>
          <w:sz w:val="22"/>
          <w:lang w:val="fr-FR"/>
        </w:rPr>
        <w:t xml:space="preserve"> </w:t>
      </w:r>
      <w:r w:rsidRPr="001B7AC3">
        <w:rPr>
          <w:sz w:val="22"/>
          <w:lang w:val="fr-FR"/>
        </w:rPr>
        <w:t>sous l’égide de l’AEWA et inviter des Parties donatrices à des contributions volontaires pour aider les Parties à faibles revenus à surveiller les sites d’importance internationale sur leur territoire. Une part des contributions pourrait être réservée à des activités de coaching que fournirait le coordinateur au niveau de la voie de migration, afin d’assurer que les comptages sont effectués selon les meilleures pratiques de surveillance des oiseaux d’eau et que les résultats sont utiles pour les analyses de la taille et des tendances des populations au niveau de la voie de migration (cette option repose sur la quatrième option du document AEWA/MOP 5.42). Ce mode de financement fonctionnerait sous le Fonds d’affectation spéciale de l’AEWA géré par le PNUE.</w:t>
      </w:r>
    </w:p>
    <w:p w:rsidR="007337FD" w:rsidRPr="001B7AC3" w:rsidRDefault="007337FD" w:rsidP="00BD61D8">
      <w:pPr>
        <w:pStyle w:val="Normal1"/>
        <w:ind w:left="720"/>
        <w:jc w:val="both"/>
        <w:rPr>
          <w:sz w:val="22"/>
          <w:lang w:val="fr-FR"/>
        </w:rPr>
      </w:pPr>
    </w:p>
    <w:p w:rsidR="007337FD" w:rsidRPr="001B7AC3" w:rsidRDefault="007337FD" w:rsidP="0097269A">
      <w:pPr>
        <w:pStyle w:val="Normal1"/>
        <w:numPr>
          <w:ilvl w:val="0"/>
          <w:numId w:val="3"/>
        </w:numPr>
        <w:ind w:hanging="360"/>
        <w:jc w:val="both"/>
        <w:rPr>
          <w:sz w:val="22"/>
          <w:lang w:val="fr-FR"/>
        </w:rPr>
      </w:pPr>
      <w:r w:rsidRPr="001B7AC3">
        <w:rPr>
          <w:sz w:val="22"/>
          <w:lang w:val="fr-FR"/>
        </w:rPr>
        <w:t xml:space="preserve">Suggérer que les Parties contractantes et autres parties prenantes incorporent la surveillance des oiseaux d’eau dans les jumelages qu’ils ont été encouragés à établir par la Résolution 5.20, ou autres programmes collaboratifs liés à la voie de migration. De bons exemples de ce genre de dispositions existent, par exemple, au niveau de l’Initiative de la voie de migration de la mer des Wadden, entre la mer des Wadden et le Banc d'Arguin, ou entre la France, le Soudan et l’Égypte. </w:t>
      </w:r>
    </w:p>
    <w:p w:rsidR="007337FD" w:rsidRPr="001B7AC3" w:rsidRDefault="007337FD" w:rsidP="00BD61D8">
      <w:pPr>
        <w:pStyle w:val="ListParagraph"/>
        <w:rPr>
          <w:sz w:val="22"/>
          <w:lang w:val="fr-FR"/>
        </w:rPr>
      </w:pPr>
    </w:p>
    <w:p w:rsidR="007337FD" w:rsidRPr="001B7AC3" w:rsidRDefault="007337FD" w:rsidP="0097269A">
      <w:pPr>
        <w:pStyle w:val="Normal1"/>
        <w:numPr>
          <w:ilvl w:val="0"/>
          <w:numId w:val="3"/>
        </w:numPr>
        <w:ind w:hanging="360"/>
        <w:jc w:val="both"/>
        <w:rPr>
          <w:sz w:val="22"/>
          <w:lang w:val="fr-FR"/>
        </w:rPr>
      </w:pPr>
      <w:r w:rsidRPr="001B7AC3">
        <w:rPr>
          <w:sz w:val="22"/>
          <w:lang w:val="fr-FR"/>
        </w:rPr>
        <w:t>Inviter le coordinateur de la voie de migration à identifier les fonds nécessaires et informer les Parties contractantes et autres parties prenantes, par le biais du Secrétariat PNUE/AEWA,</w:t>
      </w:r>
      <w:r w:rsidR="00D90267" w:rsidRPr="001B7AC3">
        <w:rPr>
          <w:sz w:val="22"/>
          <w:lang w:val="fr-FR"/>
        </w:rPr>
        <w:t xml:space="preserve"> </w:t>
      </w:r>
      <w:r w:rsidRPr="001B7AC3">
        <w:rPr>
          <w:sz w:val="22"/>
          <w:lang w:val="fr-FR"/>
        </w:rPr>
        <w:t xml:space="preserve">des déficits à combler annuellement. </w:t>
      </w:r>
    </w:p>
    <w:p w:rsidR="007337FD" w:rsidRPr="001B7AC3" w:rsidRDefault="007337FD" w:rsidP="00BD61D8">
      <w:pPr>
        <w:pStyle w:val="ListParagraph"/>
        <w:rPr>
          <w:sz w:val="22"/>
          <w:lang w:val="fr-FR"/>
        </w:rPr>
      </w:pPr>
    </w:p>
    <w:p w:rsidR="007337FD" w:rsidRPr="001B7AC3" w:rsidRDefault="007337FD" w:rsidP="0097269A">
      <w:pPr>
        <w:pStyle w:val="Normal1"/>
        <w:numPr>
          <w:ilvl w:val="0"/>
          <w:numId w:val="3"/>
        </w:numPr>
        <w:ind w:hanging="360"/>
        <w:jc w:val="both"/>
        <w:rPr>
          <w:sz w:val="22"/>
          <w:lang w:val="fr-FR"/>
        </w:rPr>
      </w:pPr>
      <w:r w:rsidRPr="001B7AC3">
        <w:rPr>
          <w:sz w:val="22"/>
          <w:lang w:val="fr-FR"/>
        </w:rPr>
        <w:t>Inviter les organisations participant au Partenariat pour la surveillance des oiseaux d’eau</w:t>
      </w:r>
      <w:r w:rsidR="001B7AC3">
        <w:rPr>
          <w:sz w:val="22"/>
          <w:lang w:val="fr-FR"/>
        </w:rPr>
        <w:t xml:space="preserve"> </w:t>
      </w:r>
      <w:r w:rsidRPr="001B7AC3">
        <w:rPr>
          <w:sz w:val="22"/>
          <w:lang w:val="fr-FR"/>
        </w:rPr>
        <w:t>à établir conjointement un</w:t>
      </w:r>
      <w:r w:rsidR="00D90267" w:rsidRPr="001B7AC3">
        <w:rPr>
          <w:sz w:val="22"/>
          <w:lang w:val="fr-FR"/>
        </w:rPr>
        <w:t xml:space="preserve"> </w:t>
      </w:r>
      <w:r w:rsidRPr="001B7AC3">
        <w:rPr>
          <w:b/>
          <w:sz w:val="22"/>
          <w:lang w:val="fr-FR"/>
        </w:rPr>
        <w:t>Fonds du partenariat pour les oiseaux d’eau</w:t>
      </w:r>
      <w:r w:rsidR="00D90267" w:rsidRPr="001B7AC3">
        <w:rPr>
          <w:b/>
          <w:sz w:val="22"/>
          <w:lang w:val="fr-FR"/>
        </w:rPr>
        <w:t xml:space="preserve"> </w:t>
      </w:r>
      <w:r w:rsidRPr="001B7AC3">
        <w:rPr>
          <w:sz w:val="22"/>
          <w:lang w:val="fr-FR"/>
        </w:rPr>
        <w:t xml:space="preserve">afin de recueillir des fonds pour la surveillance des oiseaux d’eau et autres activités liées à l’AEWA. </w:t>
      </w:r>
    </w:p>
    <w:p w:rsidR="007337FD" w:rsidRPr="001B7AC3" w:rsidRDefault="007337FD" w:rsidP="00A25044">
      <w:pPr>
        <w:pStyle w:val="ListParagraph"/>
        <w:rPr>
          <w:sz w:val="22"/>
          <w:lang w:val="fr-FR"/>
        </w:rPr>
      </w:pPr>
    </w:p>
    <w:p w:rsidR="007337FD" w:rsidRPr="001B7AC3" w:rsidRDefault="007337FD" w:rsidP="0097269A">
      <w:pPr>
        <w:pStyle w:val="Normal1"/>
        <w:numPr>
          <w:ilvl w:val="0"/>
          <w:numId w:val="3"/>
        </w:numPr>
        <w:ind w:hanging="360"/>
        <w:contextualSpacing/>
        <w:jc w:val="both"/>
        <w:rPr>
          <w:lang w:val="fr-FR"/>
        </w:rPr>
      </w:pPr>
      <w:r w:rsidRPr="001B7AC3">
        <w:rPr>
          <w:sz w:val="22"/>
          <w:lang w:val="fr-FR"/>
        </w:rPr>
        <w:t>Inviter les Parties contractantes, les organisations non</w:t>
      </w:r>
      <w:r w:rsidR="00D90267" w:rsidRPr="001B7AC3">
        <w:rPr>
          <w:sz w:val="22"/>
          <w:lang w:val="fr-FR"/>
        </w:rPr>
        <w:t xml:space="preserve"> </w:t>
      </w:r>
      <w:r w:rsidRPr="001B7AC3">
        <w:rPr>
          <w:sz w:val="22"/>
          <w:lang w:val="fr-FR"/>
        </w:rPr>
        <w:t>gouvernementales</w:t>
      </w:r>
      <w:r w:rsidR="00D90267" w:rsidRPr="001B7AC3">
        <w:rPr>
          <w:sz w:val="22"/>
          <w:lang w:val="fr-FR"/>
        </w:rPr>
        <w:t xml:space="preserve"> </w:t>
      </w:r>
      <w:r w:rsidRPr="001B7AC3">
        <w:rPr>
          <w:sz w:val="22"/>
          <w:lang w:val="fr-FR"/>
        </w:rPr>
        <w:t>et autres organisations à utiliser les événements de la Journée mondiale des oiseaux migrateurs</w:t>
      </w:r>
      <w:r w:rsidR="00D90267" w:rsidRPr="001B7AC3">
        <w:rPr>
          <w:sz w:val="22"/>
          <w:lang w:val="fr-FR"/>
        </w:rPr>
        <w:t xml:space="preserve"> </w:t>
      </w:r>
      <w:r w:rsidRPr="001B7AC3">
        <w:rPr>
          <w:sz w:val="22"/>
          <w:lang w:val="fr-FR"/>
        </w:rPr>
        <w:t>pour recueillir des fonds et contribuer au Fonds pour la surveillance des oiseaux d’eau ou au Fonds du Partenariat pour les oiseaux d’eau. Inviter également le Secrétariat et le Partenariat à fournir à cet égard des lignes directrices aux Parties contractantes.</w:t>
      </w:r>
    </w:p>
    <w:p w:rsidR="007337FD" w:rsidRPr="001B7AC3" w:rsidRDefault="007337FD" w:rsidP="00C21331">
      <w:pPr>
        <w:pStyle w:val="ListParagraph"/>
        <w:rPr>
          <w:lang w:val="fr-FR"/>
        </w:rPr>
      </w:pPr>
    </w:p>
    <w:p w:rsidR="007337FD" w:rsidRPr="001B7AC3" w:rsidRDefault="007337FD" w:rsidP="00C21331">
      <w:pPr>
        <w:pStyle w:val="Normal1"/>
        <w:ind w:left="720"/>
        <w:contextualSpacing/>
        <w:jc w:val="both"/>
        <w:rPr>
          <w:lang w:val="fr-FR"/>
        </w:rPr>
      </w:pPr>
    </w:p>
    <w:p w:rsidR="007337FD" w:rsidRPr="001B7AC3" w:rsidRDefault="00ED4862">
      <w:pPr>
        <w:pStyle w:val="Normal1"/>
        <w:rPr>
          <w:lang w:val="fr-FR"/>
        </w:rPr>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7.png" o:spid="_x0000_s1026" type="#_x0000_t75" style="position:absolute;margin-left:271.8pt;margin-top:.65pt;width:206.5pt;height:278.55pt;z-index:-251656192;visibility:visible;mso-position-horizontal-relative:margin" wrapcoords="-79 0 -79 21542 21600 21542 21600 0 -79 0">
            <v:imagedata r:id="rId8" o:title=""/>
            <w10:wrap type="tight" anchorx="margin"/>
          </v:shape>
        </w:pict>
      </w:r>
      <w:r>
        <w:rPr>
          <w:noProof/>
          <w:lang w:val="fr-FR"/>
        </w:rPr>
        <w:pict>
          <v:shape id="image14.png" o:spid="_x0000_s1027" type="#_x0000_t75" style="position:absolute;margin-left:265.8pt;margin-top:201.65pt;width:70.5pt;height:72.9pt;z-index:251661312;visibility:visible;mso-position-horizontal-relative:margin" o:allowincell="f" o:allowoverlap="f">
            <v:imagedata r:id="rId9" o:title=""/>
            <w10:wrap anchorx="margin"/>
          </v:shape>
        </w:pict>
      </w:r>
      <w:r>
        <w:rPr>
          <w:noProof/>
          <w:lang w:val="fr-FR"/>
        </w:rPr>
        <w:pict>
          <v:shape id="image13.png" o:spid="_x0000_s1028" type="#_x0000_t75" style="position:absolute;margin-left:5.85pt;margin-top:202.35pt;width:69.3pt;height:76.55pt;z-index:251654144;visibility:visible;mso-position-horizontal-relative:margin" o:allowincell="f" o:allowoverlap="f">
            <v:imagedata r:id="rId10" o:title=""/>
            <w10:wrap anchorx="margin"/>
          </v:shape>
        </w:pict>
      </w:r>
      <w:r>
        <w:rPr>
          <w:noProof/>
          <w:lang w:val="fr-FR"/>
        </w:rPr>
        <w:pict>
          <v:shape id="image16.png" o:spid="_x0000_i1026" type="#_x0000_t75" style="width:205.5pt;height:277.5pt;visibility:visible">
            <v:imagedata r:id="rId11" o:title=""/>
          </v:shape>
        </w:pict>
      </w:r>
    </w:p>
    <w:p w:rsidR="007337FD" w:rsidRPr="001B7AC3" w:rsidRDefault="007337FD">
      <w:pPr>
        <w:pStyle w:val="Normal1"/>
        <w:rPr>
          <w:lang w:val="fr-FR"/>
        </w:rPr>
      </w:pPr>
    </w:p>
    <w:p w:rsidR="007337FD" w:rsidRPr="001B7AC3" w:rsidRDefault="007337FD">
      <w:pPr>
        <w:pStyle w:val="Normal1"/>
        <w:rPr>
          <w:lang w:val="fr-FR"/>
        </w:rPr>
      </w:pPr>
      <w:r w:rsidRPr="001B7AC3">
        <w:rPr>
          <w:lang w:val="fr-FR"/>
        </w:rPr>
        <w:t>Figure 1. Disponibilité des données en 2011 et 2013</w:t>
      </w:r>
    </w:p>
    <w:p w:rsidR="007337FD" w:rsidRPr="001B7AC3" w:rsidRDefault="007337FD">
      <w:pPr>
        <w:pStyle w:val="Normal1"/>
        <w:rPr>
          <w:lang w:val="fr-FR"/>
        </w:rPr>
      </w:pPr>
    </w:p>
    <w:p w:rsidR="007337FD" w:rsidRPr="001B7AC3" w:rsidRDefault="007337FD">
      <w:pPr>
        <w:pStyle w:val="Normal1"/>
        <w:rPr>
          <w:lang w:val="fr-FR"/>
        </w:rPr>
      </w:pPr>
    </w:p>
    <w:p w:rsidR="007337FD" w:rsidRPr="001B7AC3" w:rsidRDefault="00ED4862">
      <w:pPr>
        <w:pStyle w:val="Normal1"/>
        <w:rPr>
          <w:lang w:val="fr-FR"/>
        </w:rPr>
      </w:pPr>
      <w:r>
        <w:rPr>
          <w:noProof/>
          <w:lang w:val="fr-FR"/>
        </w:rPr>
        <w:lastRenderedPageBreak/>
        <w:pict>
          <v:shape id="image18.png" o:spid="_x0000_i1027" type="#_x0000_t75" style="width:364.5pt;height:348.75pt;visibility:visible">
            <v:imagedata r:id="rId12" o:title=""/>
          </v:shape>
        </w:pict>
      </w:r>
    </w:p>
    <w:p w:rsidR="007337FD" w:rsidRPr="001B7AC3" w:rsidRDefault="007337FD" w:rsidP="00A25044">
      <w:pPr>
        <w:pStyle w:val="Normal1"/>
        <w:rPr>
          <w:lang w:val="fr-FR"/>
        </w:rPr>
      </w:pPr>
    </w:p>
    <w:p w:rsidR="007337FD" w:rsidRPr="001B7AC3" w:rsidRDefault="007337FD" w:rsidP="00A25044">
      <w:pPr>
        <w:pStyle w:val="Normal1"/>
        <w:rPr>
          <w:lang w:val="fr-FR"/>
        </w:rPr>
      </w:pPr>
      <w:r w:rsidRPr="001B7AC3">
        <w:rPr>
          <w:lang w:val="fr-FR"/>
        </w:rPr>
        <w:t>Figure 2. Dernières données disponibles en 2014</w:t>
      </w:r>
      <w:r w:rsidRPr="001B7AC3">
        <w:rPr>
          <w:lang w:val="fr-FR"/>
        </w:rPr>
        <w:br w:type="page"/>
      </w:r>
    </w:p>
    <w:tbl>
      <w:tblPr>
        <w:tblW w:w="5000" w:type="pct"/>
        <w:tblLook w:val="00A0" w:firstRow="1" w:lastRow="0" w:firstColumn="1" w:lastColumn="0" w:noHBand="0" w:noVBand="0"/>
      </w:tblPr>
      <w:tblGrid>
        <w:gridCol w:w="4927"/>
        <w:gridCol w:w="4928"/>
      </w:tblGrid>
      <w:tr w:rsidR="007337FD" w:rsidRPr="001B7AC3" w:rsidTr="008351AC">
        <w:tc>
          <w:tcPr>
            <w:tcW w:w="2500" w:type="pct"/>
            <w:vAlign w:val="center"/>
          </w:tcPr>
          <w:p w:rsidR="007337FD" w:rsidRPr="001B7AC3" w:rsidRDefault="00ED4862" w:rsidP="006B2AEC">
            <w:pPr>
              <w:pStyle w:val="Normal1"/>
              <w:jc w:val="center"/>
              <w:rPr>
                <w:lang w:val="fr-FR"/>
              </w:rPr>
            </w:pPr>
            <w:r>
              <w:rPr>
                <w:noProof/>
                <w:lang w:val="fr-FR"/>
              </w:rPr>
              <w:pict>
                <v:shape id="image20.png" o:spid="_x0000_s1029" type="#_x0000_t75" alt="Screen Shot 2015-03-12 at 13.18.52.png" style="position:absolute;left:0;text-align:left;margin-left:47.1pt;margin-top:3.45pt;width:152.25pt;height:186.75pt;z-index:-251660288;visibility:visible" wrapcoords="-106 0 -106 21513 21600 21513 21600 0 -106 0">
                  <v:imagedata r:id="rId13" o:title=""/>
                  <w10:wrap type="tight"/>
                </v:shape>
              </w:pict>
            </w:r>
            <w:r w:rsidR="007337FD" w:rsidRPr="001B7AC3">
              <w:rPr>
                <w:lang w:val="fr-FR"/>
              </w:rPr>
              <w:t>2011</w:t>
            </w:r>
          </w:p>
        </w:tc>
        <w:tc>
          <w:tcPr>
            <w:tcW w:w="2500" w:type="pct"/>
            <w:vAlign w:val="center"/>
          </w:tcPr>
          <w:p w:rsidR="007337FD" w:rsidRPr="001B7AC3" w:rsidRDefault="00ED4862" w:rsidP="006B2AEC">
            <w:pPr>
              <w:pStyle w:val="Normal1"/>
              <w:jc w:val="center"/>
              <w:rPr>
                <w:lang w:val="fr-FR"/>
              </w:rPr>
            </w:pPr>
            <w:r>
              <w:rPr>
                <w:noProof/>
                <w:lang w:val="fr-FR"/>
              </w:rPr>
              <w:pict>
                <v:shape id="image19.png" o:spid="_x0000_s1030" type="#_x0000_t75" alt="Screen Shot 2015-03-12 at 13.22.17.png" style="position:absolute;left:0;text-align:left;margin-left:46.65pt;margin-top:-.4pt;width:2in;height:182pt;z-index:-251659264;visibility:visible;mso-position-horizontal-relative:text;mso-position-vertical-relative:text" wrapcoords="-112 0 -112 21511 21600 21511 21600 0 -112 0">
                  <v:imagedata r:id="rId14" o:title=""/>
                  <w10:wrap type="tight"/>
                </v:shape>
              </w:pict>
            </w:r>
            <w:r w:rsidR="007337FD" w:rsidRPr="001B7AC3">
              <w:rPr>
                <w:lang w:val="fr-FR"/>
              </w:rPr>
              <w:t>2012</w:t>
            </w:r>
          </w:p>
        </w:tc>
      </w:tr>
      <w:tr w:rsidR="007337FD" w:rsidRPr="001B7AC3" w:rsidTr="008351AC">
        <w:tc>
          <w:tcPr>
            <w:tcW w:w="2500" w:type="pct"/>
            <w:vAlign w:val="center"/>
          </w:tcPr>
          <w:p w:rsidR="007337FD" w:rsidRPr="001B7AC3" w:rsidRDefault="007337FD" w:rsidP="001E2CBF">
            <w:pPr>
              <w:pStyle w:val="Normal1"/>
              <w:rPr>
                <w:lang w:val="fr-FR"/>
              </w:rPr>
            </w:pPr>
          </w:p>
          <w:p w:rsidR="007337FD" w:rsidRPr="001B7AC3" w:rsidRDefault="007337FD" w:rsidP="008351AC">
            <w:pPr>
              <w:pStyle w:val="Normal1"/>
              <w:rPr>
                <w:sz w:val="12"/>
                <w:szCs w:val="12"/>
                <w:lang w:val="fr-FR"/>
              </w:rPr>
            </w:pPr>
          </w:p>
          <w:p w:rsidR="007337FD" w:rsidRPr="001B7AC3" w:rsidRDefault="00ED4862" w:rsidP="008351AC">
            <w:pPr>
              <w:pStyle w:val="Normal1"/>
              <w:rPr>
                <w:lang w:val="fr-FR"/>
              </w:rPr>
            </w:pPr>
            <w:r>
              <w:rPr>
                <w:noProof/>
                <w:lang w:val="fr-FR"/>
              </w:rPr>
              <w:pict>
                <v:shape id="image10.png" o:spid="_x0000_s1031" type="#_x0000_t75" alt="Screen Shot 2015-03-12 at 13.24.19.png" style="position:absolute;margin-left:46.65pt;margin-top:1.9pt;width:152.7pt;height:185.25pt;z-index:-251658240;visibility:visible" wrapcoords="-106 0 -106 21513 21600 21513 21600 0 -106 0">
                  <v:imagedata r:id="rId15" o:title=""/>
                  <w10:wrap type="tight"/>
                </v:shape>
              </w:pict>
            </w:r>
            <w:r w:rsidR="007337FD" w:rsidRPr="001B7AC3">
              <w:rPr>
                <w:lang w:val="fr-FR"/>
              </w:rPr>
              <w:t>2013</w:t>
            </w:r>
          </w:p>
        </w:tc>
        <w:tc>
          <w:tcPr>
            <w:tcW w:w="2500" w:type="pct"/>
            <w:vAlign w:val="center"/>
          </w:tcPr>
          <w:p w:rsidR="007337FD" w:rsidRPr="001B7AC3" w:rsidRDefault="007337FD" w:rsidP="008351AC">
            <w:pPr>
              <w:pStyle w:val="Normal1"/>
              <w:rPr>
                <w:lang w:val="fr-FR"/>
              </w:rPr>
            </w:pPr>
          </w:p>
          <w:p w:rsidR="007337FD" w:rsidRPr="001B7AC3" w:rsidRDefault="00ED4862" w:rsidP="00064EDA">
            <w:pPr>
              <w:pStyle w:val="Normal1"/>
              <w:rPr>
                <w:sz w:val="6"/>
                <w:szCs w:val="6"/>
                <w:lang w:val="fr-FR"/>
              </w:rPr>
            </w:pPr>
            <w:r>
              <w:rPr>
                <w:noProof/>
                <w:lang w:val="fr-FR"/>
              </w:rPr>
              <w:pict>
                <v:shape id="image21.png" o:spid="_x0000_s1032" type="#_x0000_t75" alt="Screen Shot 2015-03-12 at 13.25.15.png" style="position:absolute;margin-left:45.9pt;margin-top:12.75pt;width:141.95pt;height:182.25pt;z-index:-251661312;visibility:visible" wrapcoords="-114 0 -114 21511 21600 21511 21600 0 -114 0">
                  <v:imagedata r:id="rId16" o:title=""/>
                  <w10:wrap type="tight"/>
                </v:shape>
              </w:pict>
            </w:r>
          </w:p>
          <w:p w:rsidR="007337FD" w:rsidRPr="001B7AC3" w:rsidRDefault="007337FD" w:rsidP="00064EDA">
            <w:pPr>
              <w:pStyle w:val="Normal1"/>
              <w:rPr>
                <w:sz w:val="6"/>
                <w:szCs w:val="6"/>
                <w:lang w:val="fr-FR"/>
              </w:rPr>
            </w:pPr>
          </w:p>
          <w:p w:rsidR="007337FD" w:rsidRPr="001B7AC3" w:rsidRDefault="007337FD" w:rsidP="00064EDA">
            <w:pPr>
              <w:pStyle w:val="Normal1"/>
              <w:rPr>
                <w:lang w:val="fr-FR"/>
              </w:rPr>
            </w:pPr>
            <w:r w:rsidRPr="001B7AC3">
              <w:rPr>
                <w:lang w:val="fr-FR"/>
              </w:rPr>
              <w:t>2014</w:t>
            </w:r>
          </w:p>
        </w:tc>
      </w:tr>
    </w:tbl>
    <w:p w:rsidR="007337FD" w:rsidRPr="001B7AC3" w:rsidRDefault="007337FD">
      <w:pPr>
        <w:pStyle w:val="Normal1"/>
        <w:rPr>
          <w:lang w:val="fr-FR"/>
        </w:rPr>
      </w:pPr>
    </w:p>
    <w:p w:rsidR="007337FD" w:rsidRPr="001B7AC3" w:rsidRDefault="00ED4862" w:rsidP="007B1157">
      <w:pPr>
        <w:pStyle w:val="Normal1"/>
        <w:rPr>
          <w:lang w:val="fr-FR"/>
        </w:rPr>
      </w:pPr>
      <w:r>
        <w:rPr>
          <w:noProof/>
          <w:lang w:val="fr-FR"/>
        </w:rPr>
        <w:pict>
          <v:shape id="image12.png" o:spid="_x0000_s1033" type="#_x0000_t75" alt="Screen Shot 2015-03-12 at 13.26.13.png" style="position:absolute;margin-left:55.05pt;margin-top:2pt;width:70.5pt;height:92.5pt;z-index:-251657216;visibility:visible;mso-position-horizontal-relative:margin" wrapcoords="-230 0 -230 21424 21600 21424 21600 0 -230 0">
            <v:imagedata r:id="rId17" o:title=""/>
            <w10:wrap type="tight" anchorx="margin"/>
          </v:shape>
        </w:pict>
      </w:r>
    </w:p>
    <w:p w:rsidR="007337FD" w:rsidRPr="001B7AC3" w:rsidRDefault="007337FD" w:rsidP="007B1157">
      <w:pPr>
        <w:pStyle w:val="Normal1"/>
        <w:rPr>
          <w:lang w:val="fr-FR"/>
        </w:rPr>
      </w:pPr>
    </w:p>
    <w:p w:rsidR="007337FD" w:rsidRPr="001B7AC3" w:rsidRDefault="007337FD" w:rsidP="007B1157">
      <w:pPr>
        <w:pStyle w:val="Normal1"/>
        <w:rPr>
          <w:lang w:val="fr-FR"/>
        </w:rPr>
      </w:pPr>
    </w:p>
    <w:p w:rsidR="007337FD" w:rsidRPr="001B7AC3" w:rsidRDefault="007337FD" w:rsidP="007B1157">
      <w:pPr>
        <w:pStyle w:val="Normal1"/>
        <w:rPr>
          <w:lang w:val="fr-FR"/>
        </w:rPr>
      </w:pPr>
    </w:p>
    <w:p w:rsidR="007337FD" w:rsidRPr="001B7AC3" w:rsidRDefault="007337FD" w:rsidP="007B1157">
      <w:pPr>
        <w:pStyle w:val="Normal1"/>
        <w:rPr>
          <w:lang w:val="fr-FR"/>
        </w:rPr>
      </w:pPr>
    </w:p>
    <w:p w:rsidR="007337FD" w:rsidRPr="001B7AC3" w:rsidRDefault="007337FD" w:rsidP="007B1157">
      <w:pPr>
        <w:pStyle w:val="Normal1"/>
        <w:rPr>
          <w:lang w:val="fr-FR"/>
        </w:rPr>
      </w:pPr>
    </w:p>
    <w:p w:rsidR="007337FD" w:rsidRPr="001B7AC3" w:rsidRDefault="007337FD" w:rsidP="007B1157">
      <w:pPr>
        <w:pStyle w:val="Normal1"/>
        <w:rPr>
          <w:lang w:val="fr-FR"/>
        </w:rPr>
      </w:pPr>
    </w:p>
    <w:p w:rsidR="007337FD" w:rsidRPr="001B7AC3" w:rsidRDefault="007337FD" w:rsidP="007B1157">
      <w:pPr>
        <w:pStyle w:val="Normal1"/>
        <w:rPr>
          <w:lang w:val="fr-FR"/>
        </w:rPr>
      </w:pPr>
    </w:p>
    <w:p w:rsidR="007337FD" w:rsidRPr="001B7AC3" w:rsidRDefault="007337FD" w:rsidP="007B1157">
      <w:pPr>
        <w:pStyle w:val="Normal1"/>
        <w:rPr>
          <w:lang w:val="fr-FR"/>
        </w:rPr>
      </w:pPr>
    </w:p>
    <w:p w:rsidR="007337FD" w:rsidRPr="001B7AC3" w:rsidRDefault="007337FD" w:rsidP="007B1157">
      <w:pPr>
        <w:pStyle w:val="Normal1"/>
        <w:rPr>
          <w:lang w:val="fr-FR"/>
        </w:rPr>
      </w:pPr>
      <w:r w:rsidRPr="001B7AC3">
        <w:rPr>
          <w:lang w:val="fr-FR"/>
        </w:rPr>
        <w:t>Figure 3. Nombre de</w:t>
      </w:r>
      <w:r w:rsidR="00D90267" w:rsidRPr="001B7AC3">
        <w:rPr>
          <w:lang w:val="fr-FR"/>
        </w:rPr>
        <w:t xml:space="preserve"> </w:t>
      </w:r>
      <w:r w:rsidRPr="001B7AC3">
        <w:rPr>
          <w:lang w:val="fr-FR"/>
        </w:rPr>
        <w:t>sites</w:t>
      </w:r>
      <w:r w:rsidR="00D90267" w:rsidRPr="001B7AC3">
        <w:rPr>
          <w:lang w:val="fr-FR"/>
        </w:rPr>
        <w:t xml:space="preserve"> </w:t>
      </w:r>
      <w:r w:rsidRPr="001B7AC3">
        <w:rPr>
          <w:lang w:val="fr-FR"/>
        </w:rPr>
        <w:t>visités par pays</w:t>
      </w:r>
    </w:p>
    <w:p w:rsidR="007337FD" w:rsidRPr="001B7AC3" w:rsidRDefault="007337FD" w:rsidP="00A25044">
      <w:pPr>
        <w:rPr>
          <w:lang w:val="fr-FR"/>
        </w:rPr>
      </w:pPr>
    </w:p>
    <w:p w:rsidR="007337FD" w:rsidRPr="001B7AC3" w:rsidRDefault="007337FD" w:rsidP="00A25044">
      <w:pPr>
        <w:rPr>
          <w:lang w:val="fr-FR"/>
        </w:rPr>
      </w:pPr>
    </w:p>
    <w:p w:rsidR="007337FD" w:rsidRPr="001B7AC3" w:rsidRDefault="007337FD" w:rsidP="00A25044">
      <w:pPr>
        <w:rPr>
          <w:lang w:val="fr-FR"/>
        </w:rPr>
      </w:pPr>
    </w:p>
    <w:p w:rsidR="007337FD" w:rsidRPr="001B7AC3" w:rsidRDefault="007337FD" w:rsidP="00A25044">
      <w:pPr>
        <w:rPr>
          <w:lang w:val="fr-FR"/>
        </w:rPr>
      </w:pPr>
    </w:p>
    <w:p w:rsidR="007337FD" w:rsidRPr="001B7AC3" w:rsidRDefault="007337FD" w:rsidP="00A25044">
      <w:pPr>
        <w:rPr>
          <w:lang w:val="fr-FR"/>
        </w:rPr>
      </w:pPr>
    </w:p>
    <w:p w:rsidR="007337FD" w:rsidRPr="001B7AC3" w:rsidRDefault="007337FD" w:rsidP="00A25044">
      <w:pPr>
        <w:rPr>
          <w:lang w:val="fr-FR"/>
        </w:rPr>
      </w:pPr>
    </w:p>
    <w:p w:rsidR="007337FD" w:rsidRPr="001B7AC3" w:rsidRDefault="007337FD" w:rsidP="00A25044">
      <w:pPr>
        <w:tabs>
          <w:tab w:val="left" w:pos="2670"/>
        </w:tabs>
        <w:rPr>
          <w:lang w:val="fr-FR"/>
        </w:rPr>
      </w:pPr>
      <w:r w:rsidRPr="001B7AC3">
        <w:rPr>
          <w:lang w:val="fr-FR"/>
        </w:rPr>
        <w:tab/>
      </w:r>
    </w:p>
    <w:p w:rsidR="007337FD" w:rsidRPr="001B7AC3" w:rsidRDefault="007337FD" w:rsidP="00A25044">
      <w:pPr>
        <w:rPr>
          <w:lang w:val="fr-FR"/>
        </w:rPr>
      </w:pPr>
    </w:p>
    <w:p w:rsidR="007337FD" w:rsidRPr="001B7AC3" w:rsidRDefault="007337FD" w:rsidP="00A25044">
      <w:pPr>
        <w:rPr>
          <w:lang w:val="fr-FR"/>
        </w:rPr>
        <w:sectPr w:rsidR="007337FD" w:rsidRPr="001B7AC3" w:rsidSect="00F34179">
          <w:headerReference w:type="default" r:id="rId18"/>
          <w:footerReference w:type="default" r:id="rId19"/>
          <w:pgSz w:w="11907" w:h="16840" w:code="9"/>
          <w:pgMar w:top="1021" w:right="1134" w:bottom="851" w:left="1134" w:header="851" w:footer="510" w:gutter="0"/>
          <w:pgNumType w:start="1"/>
          <w:cols w:space="720"/>
        </w:sectPr>
      </w:pPr>
    </w:p>
    <w:p w:rsidR="007337FD" w:rsidRPr="001B7AC3" w:rsidRDefault="007337FD">
      <w:pPr>
        <w:pStyle w:val="Heading3"/>
        <w:rPr>
          <w:lang w:val="fr-FR"/>
        </w:rPr>
      </w:pPr>
      <w:r w:rsidRPr="001B7AC3">
        <w:rPr>
          <w:rFonts w:ascii="Times New Roman" w:hAnsi="Times New Roman" w:cs="Times New Roman"/>
          <w:sz w:val="24"/>
          <w:lang w:val="fr-FR"/>
        </w:rPr>
        <w:lastRenderedPageBreak/>
        <w:t>Situation financière basée sur les estimations du document AEWA/MOP 5.42</w:t>
      </w:r>
    </w:p>
    <w:p w:rsidR="007337FD" w:rsidRPr="001B7AC3" w:rsidRDefault="007337FD">
      <w:pPr>
        <w:pStyle w:val="Normal1"/>
        <w:jc w:val="right"/>
        <w:rPr>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70"/>
        <w:gridCol w:w="1691"/>
        <w:gridCol w:w="1652"/>
        <w:gridCol w:w="6371"/>
      </w:tblGrid>
      <w:tr w:rsidR="007337FD" w:rsidRPr="001B7AC3" w:rsidTr="008351AC">
        <w:trPr>
          <w:tblHeader/>
        </w:trPr>
        <w:tc>
          <w:tcPr>
            <w:tcW w:w="1801" w:type="pct"/>
            <w:shd w:val="clear" w:color="auto" w:fill="F2F2F2"/>
            <w:vAlign w:val="center"/>
          </w:tcPr>
          <w:p w:rsidR="007337FD" w:rsidRPr="001B7AC3" w:rsidRDefault="007337FD" w:rsidP="00C21331">
            <w:pPr>
              <w:pStyle w:val="Normal1"/>
              <w:jc w:val="center"/>
              <w:rPr>
                <w:lang w:val="fr-FR"/>
              </w:rPr>
            </w:pPr>
            <w:r w:rsidRPr="001B7AC3">
              <w:rPr>
                <w:b/>
                <w:sz w:val="22"/>
                <w:lang w:val="fr-FR"/>
              </w:rPr>
              <w:t>Composant</w:t>
            </w:r>
          </w:p>
        </w:tc>
        <w:tc>
          <w:tcPr>
            <w:tcW w:w="557" w:type="pct"/>
            <w:shd w:val="clear" w:color="auto" w:fill="F2F2F2"/>
            <w:vAlign w:val="center"/>
          </w:tcPr>
          <w:p w:rsidR="007337FD" w:rsidRPr="001B7AC3" w:rsidRDefault="007337FD" w:rsidP="006B2AEC">
            <w:pPr>
              <w:pStyle w:val="Normal1"/>
              <w:jc w:val="center"/>
              <w:rPr>
                <w:b/>
                <w:sz w:val="22"/>
                <w:lang w:val="fr-FR"/>
              </w:rPr>
            </w:pPr>
            <w:r w:rsidRPr="001B7AC3">
              <w:rPr>
                <w:b/>
                <w:sz w:val="22"/>
                <w:lang w:val="fr-FR"/>
              </w:rPr>
              <w:t>Total estimé</w:t>
            </w:r>
          </w:p>
          <w:p w:rsidR="007337FD" w:rsidRPr="001B7AC3" w:rsidRDefault="007337FD" w:rsidP="006B2AEC">
            <w:pPr>
              <w:pStyle w:val="Normal1"/>
              <w:jc w:val="center"/>
              <w:rPr>
                <w:sz w:val="20"/>
                <w:lang w:val="fr-FR"/>
              </w:rPr>
            </w:pPr>
            <w:r w:rsidRPr="001B7AC3">
              <w:rPr>
                <w:sz w:val="20"/>
                <w:lang w:val="fr-FR"/>
              </w:rPr>
              <w:t>(tous les coûts</w:t>
            </w:r>
          </w:p>
          <w:p w:rsidR="007337FD" w:rsidRPr="001B7AC3" w:rsidRDefault="007337FD" w:rsidP="00AB23C8">
            <w:pPr>
              <w:pStyle w:val="Normal1"/>
              <w:jc w:val="center"/>
              <w:rPr>
                <w:sz w:val="20"/>
                <w:lang w:val="fr-FR"/>
              </w:rPr>
            </w:pPr>
            <w:r w:rsidRPr="001B7AC3">
              <w:rPr>
                <w:sz w:val="20"/>
                <w:lang w:val="fr-FR"/>
              </w:rPr>
              <w:t xml:space="preserve"> x1000 €)</w:t>
            </w:r>
          </w:p>
        </w:tc>
        <w:tc>
          <w:tcPr>
            <w:tcW w:w="544" w:type="pct"/>
            <w:shd w:val="clear" w:color="auto" w:fill="F2F2F2"/>
            <w:vAlign w:val="center"/>
          </w:tcPr>
          <w:p w:rsidR="007337FD" w:rsidRPr="001B7AC3" w:rsidRDefault="007337FD" w:rsidP="008351AC">
            <w:pPr>
              <w:pStyle w:val="Normal1"/>
              <w:jc w:val="center"/>
              <w:rPr>
                <w:b/>
                <w:sz w:val="22"/>
                <w:lang w:val="fr-FR"/>
              </w:rPr>
            </w:pPr>
            <w:r w:rsidRPr="001B7AC3">
              <w:rPr>
                <w:b/>
                <w:sz w:val="22"/>
                <w:lang w:val="fr-FR"/>
              </w:rPr>
              <w:t>Réalisé en 2014</w:t>
            </w:r>
          </w:p>
          <w:p w:rsidR="007337FD" w:rsidRPr="001B7AC3" w:rsidRDefault="007337FD" w:rsidP="008351AC">
            <w:pPr>
              <w:pStyle w:val="Normal1"/>
              <w:jc w:val="center"/>
              <w:rPr>
                <w:sz w:val="20"/>
                <w:lang w:val="fr-FR"/>
              </w:rPr>
            </w:pPr>
            <w:r w:rsidRPr="001B7AC3">
              <w:rPr>
                <w:sz w:val="20"/>
                <w:lang w:val="fr-FR"/>
              </w:rPr>
              <w:t>(tous les coûts</w:t>
            </w:r>
          </w:p>
          <w:p w:rsidR="007337FD" w:rsidRPr="001B7AC3" w:rsidRDefault="007337FD" w:rsidP="00AB23C8">
            <w:pPr>
              <w:pStyle w:val="Normal1"/>
              <w:jc w:val="center"/>
              <w:rPr>
                <w:sz w:val="20"/>
                <w:lang w:val="fr-FR"/>
              </w:rPr>
            </w:pPr>
            <w:r w:rsidRPr="001B7AC3">
              <w:rPr>
                <w:sz w:val="20"/>
                <w:lang w:val="fr-FR"/>
              </w:rPr>
              <w:t xml:space="preserve"> x1000 €)</w:t>
            </w:r>
          </w:p>
        </w:tc>
        <w:tc>
          <w:tcPr>
            <w:tcW w:w="2098" w:type="pct"/>
            <w:shd w:val="clear" w:color="auto" w:fill="F2F2F2"/>
            <w:vAlign w:val="center"/>
          </w:tcPr>
          <w:p w:rsidR="007337FD" w:rsidRPr="001B7AC3" w:rsidRDefault="007337FD" w:rsidP="006B2AEC">
            <w:pPr>
              <w:pStyle w:val="Normal1"/>
              <w:jc w:val="center"/>
              <w:rPr>
                <w:lang w:val="fr-FR"/>
              </w:rPr>
            </w:pPr>
            <w:r w:rsidRPr="001B7AC3">
              <w:rPr>
                <w:b/>
                <w:sz w:val="22"/>
                <w:lang w:val="fr-FR"/>
              </w:rPr>
              <w:t>Commentaires</w:t>
            </w:r>
          </w:p>
        </w:tc>
      </w:tr>
      <w:tr w:rsidR="007337FD" w:rsidRPr="001B7AC3" w:rsidTr="008351AC">
        <w:tc>
          <w:tcPr>
            <w:tcW w:w="1801" w:type="pct"/>
          </w:tcPr>
          <w:p w:rsidR="007337FD" w:rsidRPr="001B7AC3" w:rsidRDefault="007337FD" w:rsidP="00C21331">
            <w:pPr>
              <w:pStyle w:val="Normal1"/>
              <w:rPr>
                <w:lang w:val="fr-FR"/>
              </w:rPr>
            </w:pPr>
            <w:r w:rsidRPr="001B7AC3">
              <w:rPr>
                <w:b/>
                <w:sz w:val="22"/>
                <w:lang w:val="fr-FR"/>
              </w:rPr>
              <w:t>Activités annuellement récurrentes</w:t>
            </w:r>
          </w:p>
        </w:tc>
        <w:tc>
          <w:tcPr>
            <w:tcW w:w="557" w:type="pct"/>
          </w:tcPr>
          <w:p w:rsidR="007337FD" w:rsidRPr="001B7AC3" w:rsidRDefault="007337FD" w:rsidP="006B2AEC">
            <w:pPr>
              <w:pStyle w:val="Normal1"/>
              <w:jc w:val="right"/>
              <w:rPr>
                <w:lang w:val="fr-FR"/>
              </w:rPr>
            </w:pPr>
          </w:p>
        </w:tc>
        <w:tc>
          <w:tcPr>
            <w:tcW w:w="544" w:type="pct"/>
          </w:tcPr>
          <w:p w:rsidR="007337FD" w:rsidRPr="001B7AC3" w:rsidRDefault="007337FD" w:rsidP="006B2AEC">
            <w:pPr>
              <w:pStyle w:val="Normal1"/>
              <w:jc w:val="right"/>
              <w:rPr>
                <w:lang w:val="fr-FR"/>
              </w:rPr>
            </w:pPr>
          </w:p>
        </w:tc>
        <w:tc>
          <w:tcPr>
            <w:tcW w:w="2098" w:type="pct"/>
          </w:tcPr>
          <w:p w:rsidR="007337FD" w:rsidRPr="001B7AC3" w:rsidRDefault="007337FD">
            <w:pPr>
              <w:pStyle w:val="Normal1"/>
              <w:rPr>
                <w:lang w:val="fr-FR"/>
              </w:rPr>
            </w:pPr>
          </w:p>
        </w:tc>
      </w:tr>
      <w:tr w:rsidR="007337FD" w:rsidRPr="00ED4862" w:rsidTr="008351AC">
        <w:tc>
          <w:tcPr>
            <w:tcW w:w="1801" w:type="pct"/>
          </w:tcPr>
          <w:p w:rsidR="007337FD" w:rsidRPr="001B7AC3" w:rsidRDefault="007337FD" w:rsidP="00C21331">
            <w:pPr>
              <w:pStyle w:val="Normal1"/>
              <w:ind w:left="540"/>
              <w:rPr>
                <w:lang w:val="fr-FR"/>
              </w:rPr>
            </w:pPr>
            <w:r w:rsidRPr="001B7AC3">
              <w:rPr>
                <w:sz w:val="22"/>
                <w:lang w:val="fr-FR"/>
              </w:rPr>
              <w:t>Coordination mondiale et gestion des données</w:t>
            </w:r>
          </w:p>
        </w:tc>
        <w:tc>
          <w:tcPr>
            <w:tcW w:w="557" w:type="pct"/>
          </w:tcPr>
          <w:p w:rsidR="007337FD" w:rsidRPr="001B7AC3" w:rsidRDefault="007337FD" w:rsidP="006B2AEC">
            <w:pPr>
              <w:pStyle w:val="Normal1"/>
              <w:jc w:val="right"/>
              <w:rPr>
                <w:lang w:val="fr-FR"/>
              </w:rPr>
            </w:pPr>
            <w:r w:rsidRPr="001B7AC3">
              <w:rPr>
                <w:sz w:val="22"/>
                <w:lang w:val="fr-FR"/>
              </w:rPr>
              <w:t>100</w:t>
            </w:r>
          </w:p>
        </w:tc>
        <w:tc>
          <w:tcPr>
            <w:tcW w:w="544" w:type="pct"/>
          </w:tcPr>
          <w:p w:rsidR="007337FD" w:rsidRPr="001B7AC3" w:rsidRDefault="007337FD" w:rsidP="006B2AEC">
            <w:pPr>
              <w:pStyle w:val="Normal1"/>
              <w:jc w:val="right"/>
              <w:rPr>
                <w:lang w:val="fr-FR"/>
              </w:rPr>
            </w:pPr>
            <w:r w:rsidRPr="001B7AC3">
              <w:rPr>
                <w:sz w:val="22"/>
                <w:lang w:val="fr-FR"/>
              </w:rPr>
              <w:t>100</w:t>
            </w:r>
          </w:p>
        </w:tc>
        <w:tc>
          <w:tcPr>
            <w:tcW w:w="2098" w:type="pct"/>
          </w:tcPr>
          <w:p w:rsidR="007337FD" w:rsidRPr="001B7AC3" w:rsidRDefault="007337FD" w:rsidP="00E03BCA">
            <w:pPr>
              <w:pStyle w:val="Normal1"/>
              <w:rPr>
                <w:lang w:val="fr-FR"/>
              </w:rPr>
            </w:pPr>
            <w:r w:rsidRPr="001B7AC3">
              <w:rPr>
                <w:sz w:val="22"/>
                <w:lang w:val="fr-FR"/>
              </w:rPr>
              <w:t>Association des membres de</w:t>
            </w:r>
            <w:r w:rsidR="00D90267" w:rsidRPr="001B7AC3">
              <w:rPr>
                <w:sz w:val="22"/>
                <w:lang w:val="fr-FR"/>
              </w:rPr>
              <w:t xml:space="preserve"> </w:t>
            </w:r>
            <w:r w:rsidRPr="001B7AC3">
              <w:rPr>
                <w:sz w:val="22"/>
                <w:lang w:val="fr-FR"/>
              </w:rPr>
              <w:t>Wetlands International</w:t>
            </w:r>
          </w:p>
        </w:tc>
      </w:tr>
      <w:tr w:rsidR="007337FD" w:rsidRPr="001B7AC3" w:rsidTr="008351AC">
        <w:tc>
          <w:tcPr>
            <w:tcW w:w="1801" w:type="pct"/>
          </w:tcPr>
          <w:p w:rsidR="007337FD" w:rsidRPr="001B7AC3" w:rsidRDefault="007337FD" w:rsidP="00C21331">
            <w:pPr>
              <w:pStyle w:val="Normal1"/>
              <w:ind w:left="540"/>
              <w:rPr>
                <w:lang w:val="fr-FR"/>
              </w:rPr>
            </w:pPr>
            <w:r w:rsidRPr="001B7AC3">
              <w:rPr>
                <w:sz w:val="22"/>
                <w:lang w:val="fr-FR"/>
              </w:rPr>
              <w:t>Coordination régionale de base</w:t>
            </w:r>
          </w:p>
        </w:tc>
        <w:tc>
          <w:tcPr>
            <w:tcW w:w="557" w:type="pct"/>
          </w:tcPr>
          <w:p w:rsidR="007337FD" w:rsidRPr="001B7AC3" w:rsidRDefault="007337FD" w:rsidP="006B2AEC">
            <w:pPr>
              <w:pStyle w:val="Normal1"/>
              <w:jc w:val="right"/>
              <w:rPr>
                <w:lang w:val="fr-FR"/>
              </w:rPr>
            </w:pPr>
            <w:r w:rsidRPr="001B7AC3">
              <w:rPr>
                <w:sz w:val="22"/>
                <w:lang w:val="fr-FR"/>
              </w:rPr>
              <w:t>65</w:t>
            </w:r>
          </w:p>
        </w:tc>
        <w:tc>
          <w:tcPr>
            <w:tcW w:w="544" w:type="pct"/>
          </w:tcPr>
          <w:p w:rsidR="007337FD" w:rsidRPr="001B7AC3" w:rsidRDefault="007337FD" w:rsidP="006B2AEC">
            <w:pPr>
              <w:pStyle w:val="Normal1"/>
              <w:jc w:val="right"/>
              <w:rPr>
                <w:lang w:val="fr-FR"/>
              </w:rPr>
            </w:pPr>
            <w:r w:rsidRPr="001B7AC3">
              <w:rPr>
                <w:sz w:val="22"/>
                <w:lang w:val="fr-FR"/>
              </w:rPr>
              <w:t>54</w:t>
            </w:r>
          </w:p>
        </w:tc>
        <w:tc>
          <w:tcPr>
            <w:tcW w:w="2098" w:type="pct"/>
          </w:tcPr>
          <w:p w:rsidR="007337FD" w:rsidRPr="001B7AC3" w:rsidRDefault="007337FD" w:rsidP="003F1317">
            <w:pPr>
              <w:pStyle w:val="Normal1"/>
              <w:rPr>
                <w:lang w:val="fr-FR"/>
              </w:rPr>
            </w:pPr>
            <w:r w:rsidRPr="001B7AC3">
              <w:rPr>
                <w:sz w:val="22"/>
                <w:lang w:val="fr-FR"/>
              </w:rPr>
              <w:t xml:space="preserve">Avec le soutien de la Subvention de fonctionnement ONG LIFE+ de l’UE </w:t>
            </w:r>
            <w:r w:rsidR="001B7AC3" w:rsidRPr="001B7AC3">
              <w:rPr>
                <w:sz w:val="22"/>
                <w:lang w:val="fr-FR"/>
              </w:rPr>
              <w:t>et de</w:t>
            </w:r>
            <w:r w:rsidRPr="001B7AC3">
              <w:rPr>
                <w:sz w:val="22"/>
                <w:lang w:val="fr-FR"/>
              </w:rPr>
              <w:t xml:space="preserve"> contributions volontaires de la Suisse et de la France en 2014. Les fonds pour 2015 ne sont pas encore sécurisés. </w:t>
            </w:r>
          </w:p>
        </w:tc>
      </w:tr>
      <w:tr w:rsidR="007337FD" w:rsidRPr="00ED4862" w:rsidTr="008351AC">
        <w:tc>
          <w:tcPr>
            <w:tcW w:w="1801" w:type="pct"/>
          </w:tcPr>
          <w:p w:rsidR="007337FD" w:rsidRPr="001B7AC3" w:rsidRDefault="007337FD" w:rsidP="00C21331">
            <w:pPr>
              <w:pStyle w:val="Normal1"/>
              <w:ind w:left="540"/>
              <w:rPr>
                <w:lang w:val="fr-FR"/>
              </w:rPr>
            </w:pPr>
            <w:r w:rsidRPr="001B7AC3">
              <w:rPr>
                <w:sz w:val="22"/>
                <w:lang w:val="fr-FR"/>
              </w:rPr>
              <w:t>Réunion des coordinateurs IWC (une réunion par région par an, trois régions)</w:t>
            </w:r>
          </w:p>
        </w:tc>
        <w:tc>
          <w:tcPr>
            <w:tcW w:w="557" w:type="pct"/>
          </w:tcPr>
          <w:p w:rsidR="007337FD" w:rsidRPr="001B7AC3" w:rsidRDefault="007337FD" w:rsidP="006B2AEC">
            <w:pPr>
              <w:pStyle w:val="Normal1"/>
              <w:jc w:val="right"/>
              <w:rPr>
                <w:lang w:val="fr-FR"/>
              </w:rPr>
            </w:pPr>
            <w:r w:rsidRPr="001B7AC3">
              <w:rPr>
                <w:sz w:val="22"/>
                <w:lang w:val="fr-FR"/>
              </w:rPr>
              <w:t>30</w:t>
            </w:r>
          </w:p>
        </w:tc>
        <w:tc>
          <w:tcPr>
            <w:tcW w:w="544" w:type="pct"/>
          </w:tcPr>
          <w:p w:rsidR="007337FD" w:rsidRPr="001B7AC3" w:rsidRDefault="007337FD" w:rsidP="00AB23C8">
            <w:pPr>
              <w:pStyle w:val="Normal1"/>
              <w:jc w:val="right"/>
              <w:rPr>
                <w:lang w:val="fr-FR"/>
              </w:rPr>
            </w:pPr>
            <w:r w:rsidRPr="001B7AC3">
              <w:rPr>
                <w:sz w:val="22"/>
                <w:lang w:val="fr-FR"/>
              </w:rPr>
              <w:t>s.o.</w:t>
            </w:r>
          </w:p>
        </w:tc>
        <w:tc>
          <w:tcPr>
            <w:tcW w:w="2098" w:type="pct"/>
          </w:tcPr>
          <w:p w:rsidR="007337FD" w:rsidRPr="001B7AC3" w:rsidRDefault="007337FD" w:rsidP="001C6A7F">
            <w:pPr>
              <w:pStyle w:val="Normal1"/>
              <w:rPr>
                <w:lang w:val="fr-FR"/>
              </w:rPr>
            </w:pPr>
            <w:r w:rsidRPr="001B7AC3">
              <w:rPr>
                <w:sz w:val="22"/>
                <w:lang w:val="fr-FR"/>
              </w:rPr>
              <w:t xml:space="preserve">Sans </w:t>
            </w:r>
            <w:r w:rsidR="001B7AC3" w:rsidRPr="001B7AC3">
              <w:rPr>
                <w:sz w:val="22"/>
                <w:lang w:val="fr-FR"/>
              </w:rPr>
              <w:t>objet en</w:t>
            </w:r>
            <w:r w:rsidRPr="001B7AC3">
              <w:rPr>
                <w:sz w:val="22"/>
                <w:lang w:val="fr-FR"/>
              </w:rPr>
              <w:t xml:space="preserve"> 2014, mais financé par la Fondation MAVA. Toutefois, le Congrès ornithologique panafricain et le Conseil des conférences sur le recensement des oiseaux d’eau d’Europe auront lieu en 2016, ce qui signifie que quelque 50-60 000 euros</w:t>
            </w:r>
            <w:r w:rsidR="00D90267" w:rsidRPr="001B7AC3">
              <w:rPr>
                <w:sz w:val="22"/>
                <w:lang w:val="fr-FR"/>
              </w:rPr>
              <w:t xml:space="preserve"> </w:t>
            </w:r>
            <w:r w:rsidRPr="001B7AC3">
              <w:rPr>
                <w:sz w:val="22"/>
                <w:lang w:val="fr-FR"/>
              </w:rPr>
              <w:t>seront nécessaires pour aider les coordinateurs nationaux à y participer</w:t>
            </w:r>
          </w:p>
        </w:tc>
      </w:tr>
      <w:tr w:rsidR="007337FD" w:rsidRPr="00ED4862" w:rsidTr="008351AC">
        <w:tc>
          <w:tcPr>
            <w:tcW w:w="1801" w:type="pct"/>
          </w:tcPr>
          <w:p w:rsidR="007337FD" w:rsidRPr="001B7AC3" w:rsidRDefault="007337FD" w:rsidP="00E03BCA">
            <w:pPr>
              <w:pStyle w:val="Normal1"/>
              <w:ind w:left="540"/>
              <w:rPr>
                <w:lang w:val="fr-FR"/>
              </w:rPr>
            </w:pPr>
            <w:r w:rsidRPr="001B7AC3">
              <w:rPr>
                <w:sz w:val="22"/>
                <w:lang w:val="fr-FR"/>
              </w:rPr>
              <w:t>Développement de la capacité dans les pays où la couverture des sites clés est insuffisante</w:t>
            </w:r>
          </w:p>
        </w:tc>
        <w:tc>
          <w:tcPr>
            <w:tcW w:w="557" w:type="pct"/>
          </w:tcPr>
          <w:p w:rsidR="007337FD" w:rsidRPr="001B7AC3" w:rsidRDefault="007337FD" w:rsidP="006B2AEC">
            <w:pPr>
              <w:pStyle w:val="Normal1"/>
              <w:jc w:val="right"/>
              <w:rPr>
                <w:lang w:val="fr-FR"/>
              </w:rPr>
            </w:pPr>
            <w:r w:rsidRPr="001B7AC3">
              <w:rPr>
                <w:sz w:val="22"/>
                <w:lang w:val="fr-FR"/>
              </w:rPr>
              <w:t>min.   40</w:t>
            </w:r>
          </w:p>
        </w:tc>
        <w:tc>
          <w:tcPr>
            <w:tcW w:w="544" w:type="pct"/>
          </w:tcPr>
          <w:p w:rsidR="007337FD" w:rsidRPr="001B7AC3" w:rsidRDefault="007337FD" w:rsidP="001C54D8">
            <w:pPr>
              <w:pStyle w:val="Normal1"/>
              <w:jc w:val="right"/>
              <w:rPr>
                <w:lang w:val="fr-FR"/>
              </w:rPr>
            </w:pPr>
            <w:r w:rsidRPr="001B7AC3">
              <w:rPr>
                <w:sz w:val="22"/>
                <w:lang w:val="fr-FR"/>
              </w:rPr>
              <w:t>environ 200</w:t>
            </w:r>
          </w:p>
        </w:tc>
        <w:tc>
          <w:tcPr>
            <w:tcW w:w="2098" w:type="pct"/>
          </w:tcPr>
          <w:p w:rsidR="007337FD" w:rsidRPr="001B7AC3" w:rsidRDefault="007337FD">
            <w:pPr>
              <w:pStyle w:val="Normal1"/>
              <w:rPr>
                <w:lang w:val="fr-FR"/>
              </w:rPr>
            </w:pPr>
            <w:r w:rsidRPr="001B7AC3">
              <w:rPr>
                <w:sz w:val="22"/>
                <w:lang w:val="fr-FR"/>
              </w:rPr>
              <w:t>L’Initiative de la voie de migration de la mer des Waddens’</w:t>
            </w:r>
            <w:r w:rsidR="00D90267" w:rsidRPr="001B7AC3">
              <w:rPr>
                <w:sz w:val="22"/>
                <w:lang w:val="fr-FR"/>
              </w:rPr>
              <w:t xml:space="preserve"> </w:t>
            </w:r>
            <w:r w:rsidRPr="001B7AC3">
              <w:rPr>
                <w:sz w:val="22"/>
                <w:lang w:val="fr-FR"/>
              </w:rPr>
              <w:t xml:space="preserve">adresse aux pays de la voie de migration Est-Atlantique en Afrique. Les pays phares sont la Mauritanie, le Sénégal, le Cap Vert, la Guinée Bissau, la Guinée et la Sierra Leone. Actuellement, ce travail reçoit le soutien des Pays-Bas et de l’Allemagne.  </w:t>
            </w:r>
          </w:p>
          <w:p w:rsidR="007337FD" w:rsidRPr="001B7AC3" w:rsidRDefault="007337FD">
            <w:pPr>
              <w:pStyle w:val="Normal1"/>
              <w:rPr>
                <w:lang w:val="fr-FR"/>
              </w:rPr>
            </w:pPr>
          </w:p>
          <w:p w:rsidR="007337FD" w:rsidRPr="001B7AC3" w:rsidRDefault="007337FD" w:rsidP="009B6775">
            <w:pPr>
              <w:pStyle w:val="Normal1"/>
              <w:rPr>
                <w:lang w:val="fr-FR"/>
              </w:rPr>
            </w:pPr>
            <w:r w:rsidRPr="001B7AC3">
              <w:rPr>
                <w:sz w:val="22"/>
                <w:lang w:val="fr-FR"/>
              </w:rPr>
              <w:t>Le Projet de surveillance des oiseaux de la Méditerranée de la Tour du Valat/ONCFS se concentre sur l’Afrique du Nord : le Maroc, l’Algérie, la Tunisie, la Libye et l’Égypte. EuroNatur</w:t>
            </w:r>
            <w:r w:rsidR="00D90267" w:rsidRPr="001B7AC3">
              <w:rPr>
                <w:sz w:val="22"/>
                <w:lang w:val="fr-FR"/>
              </w:rPr>
              <w:t xml:space="preserve"> </w:t>
            </w:r>
            <w:r w:rsidRPr="001B7AC3">
              <w:rPr>
                <w:sz w:val="22"/>
                <w:lang w:val="fr-FR"/>
              </w:rPr>
              <w:t>se concentre sur le soutien de la Bosnie-Herzégovine, de la Serbie, du Monténégro, de la Macédoine</w:t>
            </w:r>
            <w:r w:rsidR="00D90267" w:rsidRPr="001B7AC3">
              <w:rPr>
                <w:sz w:val="22"/>
                <w:lang w:val="fr-FR"/>
              </w:rPr>
              <w:t xml:space="preserve"> </w:t>
            </w:r>
            <w:r w:rsidRPr="001B7AC3">
              <w:rPr>
                <w:sz w:val="22"/>
                <w:lang w:val="fr-FR"/>
              </w:rPr>
              <w:t>et de l’Albanie. Plan d’action pour l’Afrique : ONCFS et Tour du Valat</w:t>
            </w:r>
            <w:r w:rsidR="00D90267" w:rsidRPr="001B7AC3">
              <w:rPr>
                <w:sz w:val="22"/>
                <w:lang w:val="fr-FR"/>
              </w:rPr>
              <w:t xml:space="preserve"> </w:t>
            </w:r>
            <w:r w:rsidRPr="001B7AC3">
              <w:rPr>
                <w:sz w:val="22"/>
                <w:lang w:val="fr-FR"/>
              </w:rPr>
              <w:t>en sont toujours au stade de la définition de leurs priorités, mais celles-ci sembleraient se porter sur la zone sahélienne,  s’appuyant sur leur travail précédent au Soudan, au Soudan du Sud, au Tchad, au Mali et au Sénégal.</w:t>
            </w:r>
          </w:p>
        </w:tc>
      </w:tr>
      <w:tr w:rsidR="007337FD" w:rsidRPr="00ED4862" w:rsidTr="008351AC">
        <w:tc>
          <w:tcPr>
            <w:tcW w:w="1801" w:type="pct"/>
          </w:tcPr>
          <w:p w:rsidR="007337FD" w:rsidRPr="001B7AC3" w:rsidRDefault="007337FD" w:rsidP="00E03BCA">
            <w:pPr>
              <w:pStyle w:val="Normal1"/>
              <w:ind w:left="540"/>
              <w:rPr>
                <w:lang w:val="fr-FR"/>
              </w:rPr>
            </w:pPr>
            <w:r w:rsidRPr="001B7AC3">
              <w:rPr>
                <w:sz w:val="22"/>
                <w:lang w:val="fr-FR"/>
              </w:rPr>
              <w:t>Petites subventions pour les comptages IWC généraux dans les pays en développement</w:t>
            </w:r>
          </w:p>
        </w:tc>
        <w:tc>
          <w:tcPr>
            <w:tcW w:w="557" w:type="pct"/>
          </w:tcPr>
          <w:p w:rsidR="007337FD" w:rsidRPr="001B7AC3" w:rsidRDefault="007337FD" w:rsidP="006B2AEC">
            <w:pPr>
              <w:pStyle w:val="Normal1"/>
              <w:jc w:val="right"/>
              <w:rPr>
                <w:lang w:val="fr-FR"/>
              </w:rPr>
            </w:pPr>
            <w:r w:rsidRPr="001B7AC3">
              <w:rPr>
                <w:sz w:val="22"/>
                <w:lang w:val="fr-FR"/>
              </w:rPr>
              <w:t>min.   80</w:t>
            </w:r>
          </w:p>
        </w:tc>
        <w:tc>
          <w:tcPr>
            <w:tcW w:w="544" w:type="pct"/>
          </w:tcPr>
          <w:p w:rsidR="007337FD" w:rsidRPr="001B7AC3" w:rsidRDefault="007337FD" w:rsidP="006B2AEC">
            <w:pPr>
              <w:pStyle w:val="Normal1"/>
              <w:jc w:val="right"/>
              <w:rPr>
                <w:lang w:val="fr-FR"/>
              </w:rPr>
            </w:pPr>
            <w:r w:rsidRPr="001B7AC3">
              <w:rPr>
                <w:sz w:val="22"/>
                <w:lang w:val="fr-FR"/>
              </w:rPr>
              <w:t>environ 64</w:t>
            </w:r>
          </w:p>
        </w:tc>
        <w:tc>
          <w:tcPr>
            <w:tcW w:w="2098" w:type="pct"/>
          </w:tcPr>
          <w:p w:rsidR="007337FD" w:rsidRPr="001B7AC3" w:rsidRDefault="007337FD">
            <w:pPr>
              <w:pStyle w:val="Normal1"/>
              <w:rPr>
                <w:sz w:val="22"/>
                <w:lang w:val="fr-FR"/>
              </w:rPr>
            </w:pPr>
            <w:r w:rsidRPr="001B7AC3">
              <w:rPr>
                <w:sz w:val="22"/>
                <w:lang w:val="fr-FR"/>
              </w:rPr>
              <w:t xml:space="preserve">Aucun autre fonds disponible en dehors des projets susmentionnés de renforcement de la capacité. Dans le cas de l’Afrique de l’Ouest, il s’agissait de12 000 euros en 2013 et de 43 000 euros (+36 000 euros pour soutenir l’aide de compteurs européens) en 2013. Le soutien se montait à quelque 11 000 euros en Afrique du Nord. Le projet </w:t>
            </w:r>
            <w:r w:rsidRPr="001B7AC3">
              <w:rPr>
                <w:sz w:val="22"/>
                <w:lang w:val="fr-FR"/>
              </w:rPr>
              <w:lastRenderedPageBreak/>
              <w:t xml:space="preserve">MAVA a également apporté quelque 10 000 euros de contribution pour les comptages réalisés au titre de formation au comptage. Cette somme n’inclut pas les coûts de l’ONCFS (Soudan et Soudan du Sud) ni d’EuroNatur. </w:t>
            </w:r>
          </w:p>
          <w:p w:rsidR="007337FD" w:rsidRPr="001B7AC3" w:rsidRDefault="007337FD">
            <w:pPr>
              <w:pStyle w:val="Normal1"/>
              <w:rPr>
                <w:sz w:val="22"/>
                <w:lang w:val="fr-FR"/>
              </w:rPr>
            </w:pPr>
          </w:p>
          <w:p w:rsidR="007337FD" w:rsidRPr="001B7AC3" w:rsidRDefault="007337FD">
            <w:pPr>
              <w:pStyle w:val="Normal1"/>
              <w:rPr>
                <w:lang w:val="fr-FR"/>
              </w:rPr>
            </w:pPr>
          </w:p>
          <w:p w:rsidR="007337FD" w:rsidRPr="001B7AC3" w:rsidRDefault="007337FD">
            <w:pPr>
              <w:pStyle w:val="Normal1"/>
              <w:rPr>
                <w:lang w:val="fr-FR"/>
              </w:rPr>
            </w:pPr>
          </w:p>
        </w:tc>
      </w:tr>
      <w:tr w:rsidR="007337FD" w:rsidRPr="001B7AC3" w:rsidTr="008351AC">
        <w:tc>
          <w:tcPr>
            <w:tcW w:w="1801" w:type="pct"/>
          </w:tcPr>
          <w:p w:rsidR="007337FD" w:rsidRPr="001B7AC3" w:rsidRDefault="007337FD" w:rsidP="009B6775">
            <w:pPr>
              <w:pStyle w:val="Normal1"/>
              <w:ind w:left="540"/>
              <w:rPr>
                <w:lang w:val="fr-FR"/>
              </w:rPr>
            </w:pPr>
            <w:r w:rsidRPr="001B7AC3">
              <w:rPr>
                <w:sz w:val="22"/>
                <w:lang w:val="fr-FR"/>
              </w:rPr>
              <w:lastRenderedPageBreak/>
              <w:t>Comptages d’oies et de cygnes</w:t>
            </w:r>
          </w:p>
        </w:tc>
        <w:tc>
          <w:tcPr>
            <w:tcW w:w="557" w:type="pct"/>
          </w:tcPr>
          <w:p w:rsidR="007337FD" w:rsidRPr="001B7AC3" w:rsidRDefault="007337FD" w:rsidP="006B2AEC">
            <w:pPr>
              <w:pStyle w:val="Normal1"/>
              <w:jc w:val="right"/>
              <w:rPr>
                <w:lang w:val="fr-FR"/>
              </w:rPr>
            </w:pPr>
            <w:r w:rsidRPr="001B7AC3">
              <w:rPr>
                <w:sz w:val="22"/>
                <w:lang w:val="fr-FR"/>
              </w:rPr>
              <w:t>min.   22</w:t>
            </w:r>
          </w:p>
        </w:tc>
        <w:tc>
          <w:tcPr>
            <w:tcW w:w="544" w:type="pct"/>
          </w:tcPr>
          <w:p w:rsidR="007337FD" w:rsidRPr="001B7AC3" w:rsidRDefault="007337FD" w:rsidP="006B2AEC">
            <w:pPr>
              <w:pStyle w:val="Normal1"/>
              <w:jc w:val="right"/>
              <w:rPr>
                <w:lang w:val="fr-FR"/>
              </w:rPr>
            </w:pPr>
            <w:r w:rsidRPr="001B7AC3">
              <w:rPr>
                <w:sz w:val="22"/>
                <w:lang w:val="fr-FR"/>
              </w:rPr>
              <w:t>0</w:t>
            </w:r>
          </w:p>
        </w:tc>
        <w:tc>
          <w:tcPr>
            <w:tcW w:w="2098" w:type="pct"/>
          </w:tcPr>
          <w:p w:rsidR="007337FD" w:rsidRPr="001B7AC3" w:rsidRDefault="007337FD">
            <w:pPr>
              <w:pStyle w:val="Normal1"/>
              <w:rPr>
                <w:lang w:val="fr-FR"/>
              </w:rPr>
            </w:pPr>
          </w:p>
        </w:tc>
      </w:tr>
      <w:tr w:rsidR="007337FD" w:rsidRPr="00ED4862" w:rsidTr="008351AC">
        <w:tc>
          <w:tcPr>
            <w:tcW w:w="1801" w:type="pct"/>
          </w:tcPr>
          <w:p w:rsidR="007337FD" w:rsidRPr="001B7AC3" w:rsidRDefault="007337FD" w:rsidP="009B6775">
            <w:pPr>
              <w:pStyle w:val="Normal1"/>
              <w:ind w:left="540"/>
              <w:rPr>
                <w:lang w:val="fr-FR"/>
              </w:rPr>
            </w:pPr>
            <w:r w:rsidRPr="001B7AC3">
              <w:rPr>
                <w:sz w:val="22"/>
                <w:lang w:val="fr-FR"/>
              </w:rPr>
              <w:t>Coordination des comptages de canards de mer</w:t>
            </w:r>
          </w:p>
        </w:tc>
        <w:tc>
          <w:tcPr>
            <w:tcW w:w="557" w:type="pct"/>
          </w:tcPr>
          <w:p w:rsidR="007337FD" w:rsidRPr="001B7AC3" w:rsidRDefault="007337FD" w:rsidP="006B2AEC">
            <w:pPr>
              <w:pStyle w:val="Normal1"/>
              <w:jc w:val="right"/>
              <w:rPr>
                <w:lang w:val="fr-FR"/>
              </w:rPr>
            </w:pPr>
            <w:r w:rsidRPr="001B7AC3">
              <w:rPr>
                <w:sz w:val="22"/>
                <w:lang w:val="fr-FR"/>
              </w:rPr>
              <w:t>min.   16</w:t>
            </w:r>
          </w:p>
        </w:tc>
        <w:tc>
          <w:tcPr>
            <w:tcW w:w="544" w:type="pct"/>
          </w:tcPr>
          <w:p w:rsidR="007337FD" w:rsidRPr="001B7AC3" w:rsidRDefault="007337FD" w:rsidP="006B2AEC">
            <w:pPr>
              <w:pStyle w:val="Normal1"/>
              <w:jc w:val="right"/>
              <w:rPr>
                <w:lang w:val="fr-FR"/>
              </w:rPr>
            </w:pPr>
            <w:r w:rsidRPr="001B7AC3">
              <w:rPr>
                <w:sz w:val="22"/>
                <w:lang w:val="fr-FR"/>
              </w:rPr>
              <w:t>9</w:t>
            </w:r>
          </w:p>
        </w:tc>
        <w:tc>
          <w:tcPr>
            <w:tcW w:w="2098" w:type="pct"/>
          </w:tcPr>
          <w:p w:rsidR="007337FD" w:rsidRPr="001B7AC3" w:rsidRDefault="007337FD" w:rsidP="001C54D8">
            <w:pPr>
              <w:pStyle w:val="Normal1"/>
              <w:rPr>
                <w:lang w:val="fr-FR"/>
              </w:rPr>
            </w:pPr>
            <w:r w:rsidRPr="001B7AC3">
              <w:rPr>
                <w:sz w:val="22"/>
                <w:lang w:val="fr-FR"/>
              </w:rPr>
              <w:t>Subvention de fonctionnement ONG LIFE+ de l’UE et AEWA</w:t>
            </w:r>
          </w:p>
        </w:tc>
      </w:tr>
      <w:tr w:rsidR="007337FD" w:rsidRPr="001B7AC3" w:rsidTr="008351AC">
        <w:tc>
          <w:tcPr>
            <w:tcW w:w="1801" w:type="pct"/>
          </w:tcPr>
          <w:p w:rsidR="007337FD" w:rsidRPr="001B7AC3" w:rsidRDefault="007337FD" w:rsidP="009B6775">
            <w:pPr>
              <w:pStyle w:val="Normal1"/>
              <w:rPr>
                <w:lang w:val="fr-FR"/>
              </w:rPr>
            </w:pPr>
            <w:r w:rsidRPr="001B7AC3">
              <w:rPr>
                <w:b/>
                <w:sz w:val="22"/>
                <w:lang w:val="fr-FR"/>
              </w:rPr>
              <w:t>Total des coûts annuels</w:t>
            </w:r>
          </w:p>
        </w:tc>
        <w:tc>
          <w:tcPr>
            <w:tcW w:w="557" w:type="pct"/>
          </w:tcPr>
          <w:p w:rsidR="007337FD" w:rsidRPr="001B7AC3" w:rsidRDefault="007337FD" w:rsidP="006B2AEC">
            <w:pPr>
              <w:pStyle w:val="Normal1"/>
              <w:jc w:val="right"/>
              <w:rPr>
                <w:lang w:val="fr-FR"/>
              </w:rPr>
            </w:pPr>
            <w:r w:rsidRPr="001B7AC3">
              <w:rPr>
                <w:b/>
                <w:sz w:val="22"/>
                <w:lang w:val="fr-FR"/>
              </w:rPr>
              <w:t>min. 353</w:t>
            </w:r>
          </w:p>
        </w:tc>
        <w:tc>
          <w:tcPr>
            <w:tcW w:w="544" w:type="pct"/>
          </w:tcPr>
          <w:p w:rsidR="007337FD" w:rsidRPr="001B7AC3" w:rsidRDefault="007337FD" w:rsidP="006B2AEC">
            <w:pPr>
              <w:pStyle w:val="Normal1"/>
              <w:jc w:val="right"/>
              <w:rPr>
                <w:b/>
                <w:sz w:val="22"/>
                <w:szCs w:val="22"/>
                <w:lang w:val="fr-FR"/>
              </w:rPr>
            </w:pPr>
            <w:r w:rsidRPr="001B7AC3">
              <w:rPr>
                <w:b/>
                <w:sz w:val="22"/>
                <w:szCs w:val="22"/>
                <w:lang w:val="fr-FR"/>
              </w:rPr>
              <w:t>427</w:t>
            </w:r>
          </w:p>
        </w:tc>
        <w:tc>
          <w:tcPr>
            <w:tcW w:w="2098" w:type="pct"/>
          </w:tcPr>
          <w:p w:rsidR="007337FD" w:rsidRPr="001B7AC3" w:rsidRDefault="007337FD">
            <w:pPr>
              <w:pStyle w:val="Normal1"/>
              <w:rPr>
                <w:lang w:val="fr-FR"/>
              </w:rPr>
            </w:pPr>
          </w:p>
        </w:tc>
      </w:tr>
      <w:tr w:rsidR="007337FD" w:rsidRPr="001B7AC3" w:rsidTr="008351AC">
        <w:tc>
          <w:tcPr>
            <w:tcW w:w="1801" w:type="pct"/>
          </w:tcPr>
          <w:p w:rsidR="007337FD" w:rsidRPr="001B7AC3" w:rsidRDefault="007337FD">
            <w:pPr>
              <w:pStyle w:val="Normal1"/>
              <w:rPr>
                <w:lang w:val="fr-FR"/>
              </w:rPr>
            </w:pPr>
          </w:p>
        </w:tc>
        <w:tc>
          <w:tcPr>
            <w:tcW w:w="557" w:type="pct"/>
          </w:tcPr>
          <w:p w:rsidR="007337FD" w:rsidRPr="001B7AC3" w:rsidRDefault="007337FD" w:rsidP="006B2AEC">
            <w:pPr>
              <w:pStyle w:val="Normal1"/>
              <w:jc w:val="right"/>
              <w:rPr>
                <w:lang w:val="fr-FR"/>
              </w:rPr>
            </w:pPr>
          </w:p>
        </w:tc>
        <w:tc>
          <w:tcPr>
            <w:tcW w:w="544" w:type="pct"/>
          </w:tcPr>
          <w:p w:rsidR="007337FD" w:rsidRPr="001B7AC3" w:rsidRDefault="007337FD" w:rsidP="006B2AEC">
            <w:pPr>
              <w:pStyle w:val="Normal1"/>
              <w:jc w:val="right"/>
              <w:rPr>
                <w:lang w:val="fr-FR"/>
              </w:rPr>
            </w:pPr>
          </w:p>
        </w:tc>
        <w:tc>
          <w:tcPr>
            <w:tcW w:w="2098" w:type="pct"/>
          </w:tcPr>
          <w:p w:rsidR="007337FD" w:rsidRPr="001B7AC3" w:rsidRDefault="007337FD">
            <w:pPr>
              <w:pStyle w:val="Normal1"/>
              <w:rPr>
                <w:lang w:val="fr-FR"/>
              </w:rPr>
            </w:pPr>
          </w:p>
        </w:tc>
      </w:tr>
      <w:tr w:rsidR="007337FD" w:rsidRPr="001B7AC3" w:rsidTr="008351AC">
        <w:tc>
          <w:tcPr>
            <w:tcW w:w="1801" w:type="pct"/>
          </w:tcPr>
          <w:p w:rsidR="007337FD" w:rsidRPr="001B7AC3" w:rsidRDefault="007337FD" w:rsidP="009B6775">
            <w:pPr>
              <w:pStyle w:val="Normal1"/>
              <w:rPr>
                <w:lang w:val="fr-FR"/>
              </w:rPr>
            </w:pPr>
            <w:r w:rsidRPr="001B7AC3">
              <w:rPr>
                <w:b/>
                <w:sz w:val="22"/>
                <w:lang w:val="fr-FR"/>
              </w:rPr>
              <w:t>Coûts trisannuels</w:t>
            </w:r>
          </w:p>
        </w:tc>
        <w:tc>
          <w:tcPr>
            <w:tcW w:w="557" w:type="pct"/>
          </w:tcPr>
          <w:p w:rsidR="007337FD" w:rsidRPr="001B7AC3" w:rsidRDefault="007337FD" w:rsidP="006B2AEC">
            <w:pPr>
              <w:pStyle w:val="Normal1"/>
              <w:jc w:val="right"/>
              <w:rPr>
                <w:lang w:val="fr-FR"/>
              </w:rPr>
            </w:pPr>
          </w:p>
        </w:tc>
        <w:tc>
          <w:tcPr>
            <w:tcW w:w="544" w:type="pct"/>
          </w:tcPr>
          <w:p w:rsidR="007337FD" w:rsidRPr="001B7AC3" w:rsidRDefault="007337FD" w:rsidP="006B2AEC">
            <w:pPr>
              <w:pStyle w:val="Normal1"/>
              <w:jc w:val="right"/>
              <w:rPr>
                <w:lang w:val="fr-FR"/>
              </w:rPr>
            </w:pPr>
          </w:p>
        </w:tc>
        <w:tc>
          <w:tcPr>
            <w:tcW w:w="2098" w:type="pct"/>
          </w:tcPr>
          <w:p w:rsidR="007337FD" w:rsidRPr="001B7AC3" w:rsidRDefault="007337FD">
            <w:pPr>
              <w:pStyle w:val="Normal1"/>
              <w:rPr>
                <w:lang w:val="fr-FR"/>
              </w:rPr>
            </w:pPr>
          </w:p>
        </w:tc>
      </w:tr>
      <w:tr w:rsidR="007337FD" w:rsidRPr="00ED4862" w:rsidTr="008351AC">
        <w:tc>
          <w:tcPr>
            <w:tcW w:w="1801" w:type="pct"/>
          </w:tcPr>
          <w:p w:rsidR="007337FD" w:rsidRPr="001B7AC3" w:rsidRDefault="007337FD" w:rsidP="009B6775">
            <w:pPr>
              <w:pStyle w:val="Normal1"/>
              <w:ind w:left="540"/>
              <w:rPr>
                <w:lang w:val="fr-FR"/>
              </w:rPr>
            </w:pPr>
            <w:r w:rsidRPr="001B7AC3">
              <w:rPr>
                <w:sz w:val="22"/>
                <w:lang w:val="fr-FR"/>
              </w:rPr>
              <w:t>Comptages de canards de mer</w:t>
            </w:r>
          </w:p>
        </w:tc>
        <w:tc>
          <w:tcPr>
            <w:tcW w:w="557" w:type="pct"/>
          </w:tcPr>
          <w:p w:rsidR="007337FD" w:rsidRPr="001B7AC3" w:rsidRDefault="007337FD" w:rsidP="006B2AEC">
            <w:pPr>
              <w:pStyle w:val="Normal1"/>
              <w:jc w:val="right"/>
              <w:rPr>
                <w:lang w:val="fr-FR"/>
              </w:rPr>
            </w:pPr>
            <w:r w:rsidRPr="001B7AC3">
              <w:rPr>
                <w:sz w:val="22"/>
                <w:lang w:val="fr-FR"/>
              </w:rPr>
              <w:t>85</w:t>
            </w:r>
          </w:p>
        </w:tc>
        <w:tc>
          <w:tcPr>
            <w:tcW w:w="544" w:type="pct"/>
          </w:tcPr>
          <w:p w:rsidR="007337FD" w:rsidRPr="001B7AC3" w:rsidRDefault="007337FD" w:rsidP="006B2AEC">
            <w:pPr>
              <w:pStyle w:val="Normal1"/>
              <w:jc w:val="right"/>
              <w:rPr>
                <w:lang w:val="fr-FR"/>
              </w:rPr>
            </w:pPr>
            <w:r w:rsidRPr="001B7AC3">
              <w:rPr>
                <w:sz w:val="22"/>
                <w:lang w:val="fr-FR"/>
              </w:rPr>
              <w:t>0</w:t>
            </w:r>
          </w:p>
        </w:tc>
        <w:tc>
          <w:tcPr>
            <w:tcW w:w="2098" w:type="pct"/>
          </w:tcPr>
          <w:p w:rsidR="007337FD" w:rsidRPr="001B7AC3" w:rsidRDefault="007337FD" w:rsidP="001C54D8">
            <w:pPr>
              <w:pStyle w:val="Normal1"/>
              <w:rPr>
                <w:lang w:val="fr-FR"/>
              </w:rPr>
            </w:pPr>
            <w:r w:rsidRPr="001B7AC3">
              <w:rPr>
                <w:sz w:val="22"/>
                <w:lang w:val="fr-FR"/>
              </w:rPr>
              <w:t>Des comptages coordonnés sont prévus en 2016-2017 dans la mer Baltique</w:t>
            </w:r>
          </w:p>
        </w:tc>
      </w:tr>
      <w:tr w:rsidR="007337FD" w:rsidRPr="00ED4862" w:rsidTr="008351AC">
        <w:tc>
          <w:tcPr>
            <w:tcW w:w="1801" w:type="pct"/>
          </w:tcPr>
          <w:p w:rsidR="007337FD" w:rsidRPr="001B7AC3" w:rsidRDefault="007337FD" w:rsidP="009B6775">
            <w:pPr>
              <w:pStyle w:val="Normal1"/>
              <w:ind w:left="540"/>
              <w:rPr>
                <w:lang w:val="fr-FR"/>
              </w:rPr>
            </w:pPr>
            <w:r w:rsidRPr="001B7AC3">
              <w:rPr>
                <w:sz w:val="22"/>
                <w:lang w:val="fr-FR"/>
              </w:rPr>
              <w:t>Comptages de zones humides tidales en Afrique et au Moyen-Orient</w:t>
            </w:r>
          </w:p>
        </w:tc>
        <w:tc>
          <w:tcPr>
            <w:tcW w:w="557" w:type="pct"/>
          </w:tcPr>
          <w:p w:rsidR="007337FD" w:rsidRPr="001B7AC3" w:rsidRDefault="007337FD" w:rsidP="006B2AEC">
            <w:pPr>
              <w:pStyle w:val="Normal1"/>
              <w:jc w:val="right"/>
              <w:rPr>
                <w:lang w:val="fr-FR"/>
              </w:rPr>
            </w:pPr>
            <w:r w:rsidRPr="001B7AC3">
              <w:rPr>
                <w:sz w:val="22"/>
                <w:lang w:val="fr-FR"/>
              </w:rPr>
              <w:t>70</w:t>
            </w:r>
          </w:p>
        </w:tc>
        <w:tc>
          <w:tcPr>
            <w:tcW w:w="544" w:type="pct"/>
          </w:tcPr>
          <w:p w:rsidR="007337FD" w:rsidRPr="001B7AC3" w:rsidRDefault="007337FD" w:rsidP="006B2AEC">
            <w:pPr>
              <w:pStyle w:val="Normal1"/>
              <w:jc w:val="right"/>
              <w:rPr>
                <w:lang w:val="fr-FR"/>
              </w:rPr>
            </w:pPr>
            <w:r w:rsidRPr="001B7AC3">
              <w:rPr>
                <w:sz w:val="22"/>
                <w:lang w:val="fr-FR"/>
              </w:rPr>
              <w:t>0</w:t>
            </w:r>
          </w:p>
        </w:tc>
        <w:tc>
          <w:tcPr>
            <w:tcW w:w="2098" w:type="pct"/>
          </w:tcPr>
          <w:p w:rsidR="007337FD" w:rsidRPr="001B7AC3" w:rsidRDefault="007337FD" w:rsidP="001C54D8">
            <w:pPr>
              <w:pStyle w:val="Normal1"/>
              <w:rPr>
                <w:lang w:val="fr-FR"/>
              </w:rPr>
            </w:pPr>
            <w:r w:rsidRPr="001B7AC3">
              <w:rPr>
                <w:sz w:val="22"/>
                <w:lang w:val="fr-FR"/>
              </w:rPr>
              <w:t>Le CMB/WFI y a contribué en Afrique de l’Ouest</w:t>
            </w:r>
          </w:p>
        </w:tc>
      </w:tr>
      <w:tr w:rsidR="007337FD" w:rsidRPr="001B7AC3" w:rsidTr="008351AC">
        <w:tc>
          <w:tcPr>
            <w:tcW w:w="1801" w:type="pct"/>
          </w:tcPr>
          <w:p w:rsidR="007337FD" w:rsidRPr="001B7AC3" w:rsidRDefault="007337FD" w:rsidP="009B6775">
            <w:pPr>
              <w:pStyle w:val="Normal1"/>
              <w:ind w:left="540"/>
              <w:rPr>
                <w:lang w:val="fr-FR"/>
              </w:rPr>
            </w:pPr>
            <w:r w:rsidRPr="001B7AC3">
              <w:rPr>
                <w:sz w:val="22"/>
                <w:lang w:val="fr-FR"/>
              </w:rPr>
              <w:t>Rapport de l’AEWA sur l’état de conservation</w:t>
            </w:r>
          </w:p>
        </w:tc>
        <w:tc>
          <w:tcPr>
            <w:tcW w:w="557" w:type="pct"/>
          </w:tcPr>
          <w:p w:rsidR="007337FD" w:rsidRPr="001B7AC3" w:rsidRDefault="007337FD" w:rsidP="006B2AEC">
            <w:pPr>
              <w:pStyle w:val="Normal1"/>
              <w:jc w:val="right"/>
              <w:rPr>
                <w:lang w:val="fr-FR"/>
              </w:rPr>
            </w:pPr>
            <w:r w:rsidRPr="001B7AC3">
              <w:rPr>
                <w:sz w:val="22"/>
                <w:lang w:val="fr-FR"/>
              </w:rPr>
              <w:t>55</w:t>
            </w:r>
          </w:p>
        </w:tc>
        <w:tc>
          <w:tcPr>
            <w:tcW w:w="544" w:type="pct"/>
          </w:tcPr>
          <w:p w:rsidR="007337FD" w:rsidRPr="001B7AC3" w:rsidRDefault="007337FD" w:rsidP="006B2AEC">
            <w:pPr>
              <w:pStyle w:val="Normal1"/>
              <w:jc w:val="right"/>
              <w:rPr>
                <w:lang w:val="fr-FR"/>
              </w:rPr>
            </w:pPr>
            <w:r w:rsidRPr="001B7AC3">
              <w:rPr>
                <w:sz w:val="22"/>
                <w:lang w:val="fr-FR"/>
              </w:rPr>
              <w:t>71</w:t>
            </w:r>
          </w:p>
        </w:tc>
        <w:tc>
          <w:tcPr>
            <w:tcW w:w="2098" w:type="pct"/>
          </w:tcPr>
          <w:p w:rsidR="007337FD" w:rsidRPr="001B7AC3" w:rsidRDefault="007337FD" w:rsidP="001C54D8">
            <w:pPr>
              <w:pStyle w:val="Normal1"/>
              <w:rPr>
                <w:lang w:val="fr-FR"/>
              </w:rPr>
            </w:pPr>
            <w:r w:rsidRPr="001B7AC3">
              <w:rPr>
                <w:sz w:val="22"/>
                <w:lang w:val="fr-FR"/>
              </w:rPr>
              <w:t>AEWA et Suisse</w:t>
            </w:r>
          </w:p>
        </w:tc>
      </w:tr>
      <w:tr w:rsidR="007337FD" w:rsidRPr="001B7AC3" w:rsidTr="008351AC">
        <w:tc>
          <w:tcPr>
            <w:tcW w:w="1801" w:type="pct"/>
          </w:tcPr>
          <w:p w:rsidR="007337FD" w:rsidRPr="001B7AC3" w:rsidRDefault="007337FD" w:rsidP="009B6775">
            <w:pPr>
              <w:pStyle w:val="Normal1"/>
              <w:ind w:left="540"/>
              <w:rPr>
                <w:lang w:val="fr-FR"/>
              </w:rPr>
            </w:pPr>
            <w:r w:rsidRPr="001B7AC3">
              <w:rPr>
                <w:sz w:val="22"/>
                <w:lang w:val="fr-FR"/>
              </w:rPr>
              <w:t>Mise à jour de l’outil CSN</w:t>
            </w:r>
          </w:p>
        </w:tc>
        <w:tc>
          <w:tcPr>
            <w:tcW w:w="557" w:type="pct"/>
          </w:tcPr>
          <w:p w:rsidR="007337FD" w:rsidRPr="001B7AC3" w:rsidRDefault="007337FD" w:rsidP="006B2AEC">
            <w:pPr>
              <w:pStyle w:val="Normal1"/>
              <w:jc w:val="right"/>
              <w:rPr>
                <w:lang w:val="fr-FR"/>
              </w:rPr>
            </w:pPr>
            <w:r w:rsidRPr="001B7AC3">
              <w:rPr>
                <w:sz w:val="22"/>
                <w:lang w:val="fr-FR"/>
              </w:rPr>
              <w:t>50</w:t>
            </w:r>
          </w:p>
        </w:tc>
        <w:tc>
          <w:tcPr>
            <w:tcW w:w="544" w:type="pct"/>
          </w:tcPr>
          <w:p w:rsidR="007337FD" w:rsidRPr="001B7AC3" w:rsidRDefault="007337FD" w:rsidP="006B2AEC">
            <w:pPr>
              <w:pStyle w:val="Normal1"/>
              <w:jc w:val="right"/>
              <w:rPr>
                <w:lang w:val="fr-FR"/>
              </w:rPr>
            </w:pPr>
            <w:r w:rsidRPr="001B7AC3">
              <w:rPr>
                <w:sz w:val="22"/>
                <w:lang w:val="fr-FR"/>
              </w:rPr>
              <w:t>0</w:t>
            </w:r>
          </w:p>
        </w:tc>
        <w:tc>
          <w:tcPr>
            <w:tcW w:w="2098" w:type="pct"/>
          </w:tcPr>
          <w:p w:rsidR="007337FD" w:rsidRPr="001B7AC3" w:rsidRDefault="007337FD">
            <w:pPr>
              <w:pStyle w:val="Normal1"/>
              <w:rPr>
                <w:lang w:val="fr-FR"/>
              </w:rPr>
            </w:pPr>
          </w:p>
        </w:tc>
      </w:tr>
      <w:tr w:rsidR="007337FD" w:rsidRPr="001B7AC3" w:rsidTr="008351AC">
        <w:tc>
          <w:tcPr>
            <w:tcW w:w="1801" w:type="pct"/>
          </w:tcPr>
          <w:p w:rsidR="007337FD" w:rsidRPr="001B7AC3" w:rsidRDefault="007337FD" w:rsidP="009B6775">
            <w:pPr>
              <w:pStyle w:val="Normal1"/>
              <w:ind w:left="540"/>
              <w:rPr>
                <w:lang w:val="fr-FR"/>
              </w:rPr>
            </w:pPr>
            <w:r w:rsidRPr="001B7AC3">
              <w:rPr>
                <w:sz w:val="22"/>
                <w:lang w:val="fr-FR"/>
              </w:rPr>
              <w:t>Estimation des populations d’oiseaux d’eau</w:t>
            </w:r>
          </w:p>
        </w:tc>
        <w:tc>
          <w:tcPr>
            <w:tcW w:w="557" w:type="pct"/>
          </w:tcPr>
          <w:p w:rsidR="007337FD" w:rsidRPr="001B7AC3" w:rsidRDefault="007337FD" w:rsidP="006B2AEC">
            <w:pPr>
              <w:pStyle w:val="Normal1"/>
              <w:jc w:val="right"/>
              <w:rPr>
                <w:lang w:val="fr-FR"/>
              </w:rPr>
            </w:pPr>
            <w:r w:rsidRPr="001B7AC3">
              <w:rPr>
                <w:sz w:val="22"/>
                <w:lang w:val="fr-FR"/>
              </w:rPr>
              <w:t>min. 30</w:t>
            </w:r>
          </w:p>
        </w:tc>
        <w:tc>
          <w:tcPr>
            <w:tcW w:w="544" w:type="pct"/>
          </w:tcPr>
          <w:p w:rsidR="007337FD" w:rsidRPr="001B7AC3" w:rsidRDefault="007337FD" w:rsidP="006B2AEC">
            <w:pPr>
              <w:pStyle w:val="Normal1"/>
              <w:jc w:val="right"/>
              <w:rPr>
                <w:lang w:val="fr-FR"/>
              </w:rPr>
            </w:pPr>
            <w:r w:rsidRPr="001B7AC3">
              <w:rPr>
                <w:sz w:val="22"/>
                <w:lang w:val="fr-FR"/>
              </w:rPr>
              <w:t>0</w:t>
            </w:r>
          </w:p>
        </w:tc>
        <w:tc>
          <w:tcPr>
            <w:tcW w:w="2098" w:type="pct"/>
          </w:tcPr>
          <w:p w:rsidR="007337FD" w:rsidRPr="001B7AC3" w:rsidRDefault="007337FD">
            <w:pPr>
              <w:pStyle w:val="Normal1"/>
              <w:rPr>
                <w:lang w:val="fr-FR"/>
              </w:rPr>
            </w:pPr>
          </w:p>
        </w:tc>
      </w:tr>
      <w:tr w:rsidR="007337FD" w:rsidRPr="00ED4862" w:rsidTr="008351AC">
        <w:tc>
          <w:tcPr>
            <w:tcW w:w="1801" w:type="pct"/>
          </w:tcPr>
          <w:p w:rsidR="007337FD" w:rsidRPr="001B7AC3" w:rsidRDefault="007337FD" w:rsidP="001C54D8">
            <w:pPr>
              <w:pStyle w:val="Normal1"/>
              <w:ind w:left="540"/>
              <w:rPr>
                <w:lang w:val="fr-FR"/>
              </w:rPr>
            </w:pPr>
            <w:r w:rsidRPr="001B7AC3">
              <w:rPr>
                <w:sz w:val="22"/>
                <w:lang w:val="fr-FR"/>
              </w:rPr>
              <w:t>Indicateurs pertinents pour les politiques à mener</w:t>
            </w:r>
          </w:p>
        </w:tc>
        <w:tc>
          <w:tcPr>
            <w:tcW w:w="557" w:type="pct"/>
          </w:tcPr>
          <w:p w:rsidR="007337FD" w:rsidRPr="001B7AC3" w:rsidRDefault="007337FD" w:rsidP="00AB23C8">
            <w:pPr>
              <w:pStyle w:val="Normal1"/>
              <w:jc w:val="right"/>
              <w:rPr>
                <w:lang w:val="fr-FR"/>
              </w:rPr>
            </w:pPr>
            <w:r w:rsidRPr="001B7AC3">
              <w:rPr>
                <w:sz w:val="22"/>
                <w:lang w:val="fr-FR"/>
              </w:rPr>
              <w:t>s.o.</w:t>
            </w:r>
          </w:p>
        </w:tc>
        <w:tc>
          <w:tcPr>
            <w:tcW w:w="544" w:type="pct"/>
          </w:tcPr>
          <w:p w:rsidR="007337FD" w:rsidRPr="001B7AC3" w:rsidRDefault="007337FD" w:rsidP="006B2AEC">
            <w:pPr>
              <w:pStyle w:val="Normal1"/>
              <w:jc w:val="right"/>
              <w:rPr>
                <w:lang w:val="fr-FR"/>
              </w:rPr>
            </w:pPr>
          </w:p>
        </w:tc>
        <w:tc>
          <w:tcPr>
            <w:tcW w:w="2098" w:type="pct"/>
          </w:tcPr>
          <w:p w:rsidR="007337FD" w:rsidRPr="001B7AC3" w:rsidRDefault="007337FD" w:rsidP="001C54D8">
            <w:pPr>
              <w:pStyle w:val="Normal1"/>
              <w:rPr>
                <w:lang w:val="fr-FR"/>
              </w:rPr>
            </w:pPr>
            <w:r w:rsidRPr="001B7AC3">
              <w:rPr>
                <w:sz w:val="22"/>
                <w:lang w:val="fr-FR"/>
              </w:rPr>
              <w:t>Des indicateurs</w:t>
            </w:r>
            <w:r w:rsidR="00D90267" w:rsidRPr="001B7AC3">
              <w:rPr>
                <w:sz w:val="22"/>
                <w:lang w:val="fr-FR"/>
              </w:rPr>
              <w:t xml:space="preserve"> </w:t>
            </w:r>
            <w:r w:rsidRPr="001B7AC3">
              <w:rPr>
                <w:sz w:val="22"/>
                <w:lang w:val="fr-FR"/>
              </w:rPr>
              <w:t>pour les oiseaux d’eau hivernant dans l’UE ont été développés dans le cadre de la Subvention de fonctionnement ONG Life+ de l’UE</w:t>
            </w:r>
          </w:p>
        </w:tc>
      </w:tr>
      <w:tr w:rsidR="007337FD" w:rsidRPr="00ED4862" w:rsidTr="008351AC">
        <w:tc>
          <w:tcPr>
            <w:tcW w:w="1801" w:type="pct"/>
          </w:tcPr>
          <w:p w:rsidR="007337FD" w:rsidRPr="001B7AC3" w:rsidRDefault="007337FD" w:rsidP="001C54D8">
            <w:pPr>
              <w:pStyle w:val="Normal1"/>
              <w:ind w:left="540"/>
              <w:rPr>
                <w:lang w:val="fr-FR"/>
              </w:rPr>
            </w:pPr>
            <w:r w:rsidRPr="001B7AC3">
              <w:rPr>
                <w:sz w:val="22"/>
                <w:lang w:val="fr-FR"/>
              </w:rPr>
              <w:t>Analyses spéciales</w:t>
            </w:r>
          </w:p>
        </w:tc>
        <w:tc>
          <w:tcPr>
            <w:tcW w:w="557" w:type="pct"/>
          </w:tcPr>
          <w:p w:rsidR="007337FD" w:rsidRPr="001B7AC3" w:rsidRDefault="007337FD" w:rsidP="00AB23C8">
            <w:pPr>
              <w:pStyle w:val="Normal1"/>
              <w:jc w:val="right"/>
              <w:rPr>
                <w:lang w:val="fr-FR"/>
              </w:rPr>
            </w:pPr>
            <w:r w:rsidRPr="001B7AC3">
              <w:rPr>
                <w:sz w:val="22"/>
                <w:lang w:val="fr-FR"/>
              </w:rPr>
              <w:t>s.o.</w:t>
            </w:r>
          </w:p>
        </w:tc>
        <w:tc>
          <w:tcPr>
            <w:tcW w:w="544" w:type="pct"/>
          </w:tcPr>
          <w:p w:rsidR="007337FD" w:rsidRPr="001B7AC3" w:rsidRDefault="007337FD" w:rsidP="006B2AEC">
            <w:pPr>
              <w:pStyle w:val="Normal1"/>
              <w:jc w:val="right"/>
              <w:rPr>
                <w:lang w:val="fr-FR"/>
              </w:rPr>
            </w:pPr>
            <w:r w:rsidRPr="001B7AC3">
              <w:rPr>
                <w:sz w:val="22"/>
                <w:lang w:val="fr-FR"/>
              </w:rPr>
              <w:t>16</w:t>
            </w:r>
          </w:p>
        </w:tc>
        <w:tc>
          <w:tcPr>
            <w:tcW w:w="2098" w:type="pct"/>
          </w:tcPr>
          <w:p w:rsidR="007337FD" w:rsidRPr="001B7AC3" w:rsidRDefault="007337FD" w:rsidP="001C54D8">
            <w:pPr>
              <w:pStyle w:val="Normal1"/>
              <w:rPr>
                <w:lang w:val="fr-FR"/>
              </w:rPr>
            </w:pPr>
            <w:r w:rsidRPr="001B7AC3">
              <w:rPr>
                <w:sz w:val="22"/>
                <w:lang w:val="fr-FR"/>
              </w:rPr>
              <w:t>Des analyses de tendances au niveau paneuropéen et de l’Union européenne ont contribué au projet de Liste rouge européenne des oiseaux</w:t>
            </w:r>
          </w:p>
        </w:tc>
      </w:tr>
      <w:tr w:rsidR="007337FD" w:rsidRPr="001B7AC3" w:rsidTr="008351AC">
        <w:tc>
          <w:tcPr>
            <w:tcW w:w="1801" w:type="pct"/>
          </w:tcPr>
          <w:p w:rsidR="007337FD" w:rsidRPr="001B7AC3" w:rsidRDefault="007337FD" w:rsidP="001C54D8">
            <w:pPr>
              <w:pStyle w:val="Normal1"/>
              <w:rPr>
                <w:lang w:val="fr-FR"/>
              </w:rPr>
            </w:pPr>
            <w:r w:rsidRPr="001B7AC3">
              <w:rPr>
                <w:b/>
                <w:sz w:val="22"/>
                <w:lang w:val="fr-FR"/>
              </w:rPr>
              <w:t>Total des coûts périodiques</w:t>
            </w:r>
          </w:p>
        </w:tc>
        <w:tc>
          <w:tcPr>
            <w:tcW w:w="557" w:type="pct"/>
          </w:tcPr>
          <w:p w:rsidR="007337FD" w:rsidRPr="001B7AC3" w:rsidRDefault="007337FD" w:rsidP="006B2AEC">
            <w:pPr>
              <w:pStyle w:val="Normal1"/>
              <w:jc w:val="right"/>
              <w:rPr>
                <w:lang w:val="fr-FR"/>
              </w:rPr>
            </w:pPr>
            <w:r w:rsidRPr="001B7AC3">
              <w:rPr>
                <w:b/>
                <w:sz w:val="22"/>
                <w:lang w:val="fr-FR"/>
              </w:rPr>
              <w:t>290</w:t>
            </w:r>
          </w:p>
        </w:tc>
        <w:tc>
          <w:tcPr>
            <w:tcW w:w="544" w:type="pct"/>
          </w:tcPr>
          <w:p w:rsidR="007337FD" w:rsidRPr="001B7AC3" w:rsidRDefault="007337FD" w:rsidP="006B2AEC">
            <w:pPr>
              <w:pStyle w:val="Normal1"/>
              <w:jc w:val="right"/>
              <w:rPr>
                <w:b/>
                <w:sz w:val="22"/>
                <w:szCs w:val="22"/>
                <w:lang w:val="fr-FR"/>
              </w:rPr>
            </w:pPr>
            <w:r w:rsidRPr="001B7AC3">
              <w:rPr>
                <w:b/>
                <w:sz w:val="22"/>
                <w:szCs w:val="22"/>
                <w:lang w:val="fr-FR"/>
              </w:rPr>
              <w:t>87</w:t>
            </w:r>
          </w:p>
        </w:tc>
        <w:tc>
          <w:tcPr>
            <w:tcW w:w="2098" w:type="pct"/>
          </w:tcPr>
          <w:p w:rsidR="007337FD" w:rsidRPr="001B7AC3" w:rsidRDefault="007337FD">
            <w:pPr>
              <w:pStyle w:val="Normal1"/>
              <w:rPr>
                <w:lang w:val="fr-FR"/>
              </w:rPr>
            </w:pPr>
          </w:p>
        </w:tc>
      </w:tr>
    </w:tbl>
    <w:p w:rsidR="007337FD" w:rsidRPr="001B7AC3" w:rsidRDefault="007337FD">
      <w:pPr>
        <w:pStyle w:val="Normal1"/>
        <w:rPr>
          <w:lang w:val="fr-FR"/>
        </w:rPr>
      </w:pPr>
    </w:p>
    <w:p w:rsidR="007337FD" w:rsidRPr="001B7AC3" w:rsidRDefault="007337FD">
      <w:pPr>
        <w:pStyle w:val="Normal1"/>
        <w:rPr>
          <w:lang w:val="fr-FR"/>
        </w:rPr>
      </w:pPr>
      <w:r w:rsidRPr="001B7AC3">
        <w:rPr>
          <w:b/>
          <w:lang w:val="fr-FR"/>
        </w:rPr>
        <w:t xml:space="preserve">Légende </w:t>
      </w:r>
      <w:r w:rsidRPr="001B7AC3">
        <w:rPr>
          <w:lang w:val="fr-FR"/>
        </w:rPr>
        <w:t>:</w:t>
      </w:r>
    </w:p>
    <w:p w:rsidR="007337FD" w:rsidRPr="001B7AC3" w:rsidRDefault="007337FD">
      <w:pPr>
        <w:pStyle w:val="Normal1"/>
        <w:rPr>
          <w:lang w:val="fr-FR"/>
        </w:rPr>
      </w:pPr>
      <w:r w:rsidRPr="001B7AC3">
        <w:rPr>
          <w:sz w:val="22"/>
          <w:lang w:val="fr-FR"/>
        </w:rPr>
        <w:t>min.:</w:t>
      </w:r>
      <w:r w:rsidRPr="001B7AC3">
        <w:rPr>
          <w:sz w:val="22"/>
          <w:lang w:val="fr-FR"/>
        </w:rPr>
        <w:tab/>
        <w:t>indique une estimation des coûts minimums, mais les projets à teneur accrue peuvent véritablement coûter davantage.</w:t>
      </w:r>
    </w:p>
    <w:p w:rsidR="007337FD" w:rsidRPr="001B7AC3" w:rsidRDefault="001B7AC3">
      <w:pPr>
        <w:pStyle w:val="Normal1"/>
        <w:rPr>
          <w:lang w:val="fr-FR"/>
        </w:rPr>
      </w:pPr>
      <w:r w:rsidRPr="001B7AC3">
        <w:rPr>
          <w:sz w:val="22"/>
          <w:lang w:val="fr-FR"/>
        </w:rPr>
        <w:t>s.o.</w:t>
      </w:r>
      <w:r w:rsidR="007337FD" w:rsidRPr="001B7AC3">
        <w:rPr>
          <w:sz w:val="22"/>
          <w:lang w:val="fr-FR"/>
        </w:rPr>
        <w:tab/>
        <w:t>indique que l’activité répond à des besoins devant être définis bilatéralement, rendant impossible l’</w:t>
      </w:r>
      <w:r w:rsidRPr="001B7AC3">
        <w:rPr>
          <w:sz w:val="22"/>
          <w:lang w:val="fr-FR"/>
        </w:rPr>
        <w:t>estimation des</w:t>
      </w:r>
      <w:r w:rsidR="007337FD" w:rsidRPr="001B7AC3">
        <w:rPr>
          <w:sz w:val="22"/>
          <w:lang w:val="fr-FR"/>
        </w:rPr>
        <w:t xml:space="preserve"> coûts.</w:t>
      </w:r>
    </w:p>
    <w:p w:rsidR="007337FD" w:rsidRPr="001B7AC3" w:rsidRDefault="007337FD">
      <w:pPr>
        <w:pStyle w:val="Normal1"/>
        <w:rPr>
          <w:lang w:val="fr-FR"/>
        </w:rPr>
      </w:pPr>
    </w:p>
    <w:p w:rsidR="007337FD" w:rsidRPr="001B7AC3" w:rsidRDefault="007337FD">
      <w:pPr>
        <w:pStyle w:val="Normal1"/>
        <w:rPr>
          <w:lang w:val="fr-FR"/>
        </w:rPr>
        <w:sectPr w:rsidR="007337FD" w:rsidRPr="001B7AC3" w:rsidSect="007B1157">
          <w:pgSz w:w="16840" w:h="11907" w:orient="landscape" w:code="9"/>
          <w:pgMar w:top="1134" w:right="1021" w:bottom="1134" w:left="851" w:header="851" w:footer="510" w:gutter="0"/>
          <w:cols w:space="720"/>
          <w:docGrid w:linePitch="326"/>
        </w:sectPr>
      </w:pPr>
    </w:p>
    <w:p w:rsidR="007337FD" w:rsidRPr="001B7AC3" w:rsidRDefault="007337FD">
      <w:pPr>
        <w:pStyle w:val="Normal1"/>
        <w:rPr>
          <w:b/>
          <w:szCs w:val="24"/>
          <w:lang w:val="fr-FR"/>
        </w:rPr>
      </w:pPr>
      <w:r w:rsidRPr="001B7AC3">
        <w:rPr>
          <w:b/>
          <w:szCs w:val="24"/>
          <w:lang w:val="fr-FR"/>
        </w:rPr>
        <w:lastRenderedPageBreak/>
        <w:t>Appendice : Liste</w:t>
      </w:r>
      <w:r w:rsidR="00D90267" w:rsidRPr="001B7AC3">
        <w:rPr>
          <w:b/>
          <w:szCs w:val="24"/>
          <w:lang w:val="fr-FR"/>
        </w:rPr>
        <w:t xml:space="preserve"> </w:t>
      </w:r>
      <w:r w:rsidRPr="001B7AC3">
        <w:rPr>
          <w:b/>
          <w:szCs w:val="24"/>
          <w:lang w:val="fr-FR"/>
        </w:rPr>
        <w:t>des publications utilisant des données IWC et demandes de données IWC</w:t>
      </w:r>
    </w:p>
    <w:p w:rsidR="007337FD" w:rsidRPr="001B7AC3" w:rsidRDefault="007337FD">
      <w:pPr>
        <w:pStyle w:val="Normal1"/>
        <w:rPr>
          <w:lang w:val="fr-FR"/>
        </w:rPr>
      </w:pPr>
    </w:p>
    <w:p w:rsidR="007337FD" w:rsidRPr="001B7AC3" w:rsidRDefault="007337FD" w:rsidP="00022B10">
      <w:pPr>
        <w:pStyle w:val="Normal1"/>
        <w:jc w:val="both"/>
        <w:rPr>
          <w:b/>
          <w:sz w:val="22"/>
          <w:szCs w:val="22"/>
          <w:lang w:val="fr-FR"/>
        </w:rPr>
      </w:pPr>
      <w:r w:rsidRPr="001B7AC3">
        <w:rPr>
          <w:b/>
          <w:sz w:val="22"/>
          <w:szCs w:val="22"/>
          <w:lang w:val="fr-FR"/>
        </w:rPr>
        <w:t>2015</w:t>
      </w:r>
    </w:p>
    <w:p w:rsidR="007337FD" w:rsidRPr="001B7AC3" w:rsidRDefault="007337FD" w:rsidP="00022B10">
      <w:pPr>
        <w:pStyle w:val="Normal1"/>
        <w:jc w:val="both"/>
        <w:rPr>
          <w:sz w:val="22"/>
          <w:szCs w:val="22"/>
          <w:lang w:val="fr-FR"/>
        </w:rPr>
      </w:pPr>
      <w:r w:rsidRPr="00ED4862">
        <w:rPr>
          <w:sz w:val="22"/>
          <w:szCs w:val="22"/>
          <w:lang w:val="en-US"/>
        </w:rPr>
        <w:t>1. Nagy, Szabolcs, Langendoen, Tom &amp;</w:t>
      </w:r>
      <w:r w:rsidR="001B7AC3" w:rsidRPr="00ED4862">
        <w:rPr>
          <w:sz w:val="22"/>
          <w:szCs w:val="22"/>
          <w:lang w:val="en-US"/>
        </w:rPr>
        <w:t xml:space="preserve"> </w:t>
      </w:r>
      <w:r w:rsidRPr="00ED4862">
        <w:rPr>
          <w:sz w:val="22"/>
          <w:szCs w:val="22"/>
          <w:lang w:val="en-US"/>
        </w:rPr>
        <w:t>Flink, Stephan:</w:t>
      </w:r>
      <w:r w:rsidRPr="00ED4862">
        <w:rPr>
          <w:i/>
          <w:sz w:val="22"/>
          <w:szCs w:val="22"/>
          <w:lang w:val="en-US"/>
        </w:rPr>
        <w:t xml:space="preserve">A Pilot Wintering Waterbird Indicator for the European Union. </w:t>
      </w:r>
      <w:r w:rsidRPr="001B7AC3">
        <w:rPr>
          <w:sz w:val="22"/>
          <w:szCs w:val="22"/>
          <w:lang w:val="fr-FR"/>
        </w:rPr>
        <w:t>Association européenne de Wetlands International, Ede.</w:t>
      </w:r>
    </w:p>
    <w:p w:rsidR="007337FD" w:rsidRPr="001B7AC3" w:rsidRDefault="007337FD" w:rsidP="00022B10">
      <w:pPr>
        <w:pStyle w:val="Normal1"/>
        <w:jc w:val="both"/>
        <w:rPr>
          <w:sz w:val="22"/>
          <w:szCs w:val="22"/>
          <w:lang w:val="fr-FR"/>
        </w:rPr>
      </w:pPr>
      <w:r w:rsidRPr="001B7AC3">
        <w:rPr>
          <w:color w:val="1155CC"/>
          <w:sz w:val="22"/>
          <w:szCs w:val="22"/>
          <w:u w:val="single"/>
          <w:lang w:val="fr-FR"/>
        </w:rPr>
        <w:t>http://www.wetlands.org/WatchRead/Currentpublications/tabid/56/mod/1570/articleType/ArticleView/articleId/3711/Default.aspx</w:t>
      </w:r>
    </w:p>
    <w:p w:rsidR="007337FD" w:rsidRPr="001B7AC3" w:rsidRDefault="007337FD" w:rsidP="00022B10">
      <w:pPr>
        <w:pStyle w:val="Normal1"/>
        <w:jc w:val="both"/>
        <w:rPr>
          <w:sz w:val="22"/>
          <w:szCs w:val="22"/>
          <w:lang w:val="fr-FR"/>
        </w:rPr>
      </w:pPr>
    </w:p>
    <w:p w:rsidR="007337FD" w:rsidRPr="00ED4862" w:rsidRDefault="007337FD" w:rsidP="00022B10">
      <w:pPr>
        <w:pStyle w:val="Normal1"/>
        <w:jc w:val="both"/>
        <w:rPr>
          <w:sz w:val="22"/>
          <w:szCs w:val="22"/>
          <w:lang w:val="en-US"/>
        </w:rPr>
      </w:pPr>
      <w:r w:rsidRPr="001B7AC3">
        <w:rPr>
          <w:sz w:val="22"/>
          <w:szCs w:val="22"/>
          <w:lang w:val="fr-FR"/>
        </w:rPr>
        <w:t>2. Pavón-Jordán, Diego, Fox, Anthony D., Clausen, Preben, Dagys, Mindaugas, Deceuninck, Bernard, Devos, Koen, Hearn, Richard D., Holt, Chas A., Hornman, Menno, Keller, Verena, Langendoen, Tom, Ławicki, Łukasz, Lorentsen, Svein H., Luigujõe, Leho, Meissner, Włodzimierz, Musil, Petr, Nilsson, Le</w:t>
      </w:r>
      <w:bookmarkStart w:id="0" w:name="_GoBack"/>
      <w:bookmarkEnd w:id="0"/>
      <w:r w:rsidRPr="001B7AC3">
        <w:rPr>
          <w:sz w:val="22"/>
          <w:szCs w:val="22"/>
          <w:lang w:val="fr-FR"/>
        </w:rPr>
        <w:t xml:space="preserve">if, Paquet, Jean-Yves, Stipniece, Antra, Stroud, David A., Wahl, Johannes, Zenatello, Marco, Lehikoinen, Aleksi 2015. </w:t>
      </w:r>
      <w:r w:rsidRPr="00ED4862">
        <w:rPr>
          <w:sz w:val="22"/>
          <w:szCs w:val="22"/>
          <w:lang w:val="en-US"/>
        </w:rPr>
        <w:t>Climate-driven changes in winter abundance of a migratory waterbird in relation to EU protected areas. Diversity and Distributions, 1472-4642</w:t>
      </w:r>
    </w:p>
    <w:p w:rsidR="007337FD" w:rsidRPr="00ED4862" w:rsidRDefault="00ED4862" w:rsidP="00022B10">
      <w:pPr>
        <w:pStyle w:val="Normal1"/>
        <w:jc w:val="both"/>
        <w:rPr>
          <w:sz w:val="22"/>
          <w:szCs w:val="22"/>
          <w:lang w:val="en-US"/>
        </w:rPr>
      </w:pPr>
      <w:hyperlink r:id="rId20" w:history="1">
        <w:r w:rsidR="007337FD" w:rsidRPr="00ED4862">
          <w:rPr>
            <w:color w:val="1155CC"/>
            <w:sz w:val="22"/>
            <w:szCs w:val="22"/>
            <w:u w:val="single"/>
            <w:lang w:val="en-US"/>
          </w:rPr>
          <w:t>http://dx.doi.org/10.1111/ddi.12300</w:t>
        </w:r>
      </w:hyperlink>
    </w:p>
    <w:p w:rsidR="007337FD" w:rsidRPr="00ED4862" w:rsidRDefault="007337FD" w:rsidP="00022B10">
      <w:pPr>
        <w:pStyle w:val="Normal1"/>
        <w:jc w:val="both"/>
        <w:rPr>
          <w:sz w:val="22"/>
          <w:szCs w:val="22"/>
          <w:lang w:val="en-US"/>
        </w:rPr>
      </w:pPr>
    </w:p>
    <w:p w:rsidR="007337FD" w:rsidRPr="00ED4862" w:rsidRDefault="00ED4862" w:rsidP="00022B10">
      <w:pPr>
        <w:pStyle w:val="Normal1"/>
        <w:jc w:val="both"/>
        <w:rPr>
          <w:b/>
          <w:sz w:val="22"/>
          <w:szCs w:val="22"/>
          <w:lang w:val="en-US"/>
        </w:rPr>
      </w:pPr>
      <w:hyperlink r:id="rId21" w:history="1">
        <w:r w:rsidR="007337FD" w:rsidRPr="00ED4862">
          <w:rPr>
            <w:b/>
            <w:sz w:val="22"/>
            <w:szCs w:val="22"/>
            <w:lang w:val="en-US"/>
          </w:rPr>
          <w:t>2014</w:t>
        </w:r>
      </w:hyperlink>
    </w:p>
    <w:p w:rsidR="007337FD" w:rsidRPr="00ED4862" w:rsidRDefault="007337FD" w:rsidP="00022B10">
      <w:pPr>
        <w:pStyle w:val="Normal1"/>
        <w:jc w:val="both"/>
        <w:rPr>
          <w:sz w:val="22"/>
          <w:szCs w:val="22"/>
          <w:lang w:val="en-US"/>
        </w:rPr>
      </w:pPr>
      <w:r w:rsidRPr="00ED4862">
        <w:rPr>
          <w:sz w:val="22"/>
          <w:szCs w:val="22"/>
          <w:lang w:val="en-US"/>
        </w:rPr>
        <w:t xml:space="preserve">1. </w:t>
      </w:r>
      <w:hyperlink r:id="rId22" w:history="1">
        <w:r w:rsidRPr="00ED4862">
          <w:rPr>
            <w:sz w:val="22"/>
            <w:szCs w:val="22"/>
            <w:lang w:val="en-US"/>
          </w:rPr>
          <w:t>Kleijn, D., Cherkaoui, I., Goedhart, P. W., Hout, J., &amp;</w:t>
        </w:r>
        <w:r w:rsidR="00D90267" w:rsidRPr="00ED4862">
          <w:rPr>
            <w:sz w:val="22"/>
            <w:szCs w:val="22"/>
            <w:lang w:val="en-US"/>
          </w:rPr>
          <w:t xml:space="preserve"> </w:t>
        </w:r>
        <w:r w:rsidRPr="00ED4862">
          <w:rPr>
            <w:sz w:val="22"/>
            <w:szCs w:val="22"/>
            <w:lang w:val="en-US"/>
          </w:rPr>
          <w:t xml:space="preserve">Lammertsma, D. (2014). Waterbirds increase more rapidly in Ramsar-designated wetlands than in unprotected wetlands. </w:t>
        </w:r>
      </w:hyperlink>
      <w:hyperlink r:id="rId23" w:history="1">
        <w:r w:rsidRPr="00ED4862">
          <w:rPr>
            <w:i/>
            <w:sz w:val="22"/>
            <w:szCs w:val="22"/>
            <w:lang w:val="en-US"/>
          </w:rPr>
          <w:t>Journal of Applied Ecology</w:t>
        </w:r>
      </w:hyperlink>
      <w:hyperlink r:id="rId24" w:history="1">
        <w:r w:rsidRPr="00ED4862">
          <w:rPr>
            <w:sz w:val="22"/>
            <w:szCs w:val="22"/>
            <w:lang w:val="en-US"/>
          </w:rPr>
          <w:t xml:space="preserve">, </w:t>
        </w:r>
      </w:hyperlink>
      <w:hyperlink r:id="rId25" w:history="1">
        <w:r w:rsidRPr="00ED4862">
          <w:rPr>
            <w:i/>
            <w:sz w:val="22"/>
            <w:szCs w:val="22"/>
            <w:lang w:val="en-US"/>
          </w:rPr>
          <w:t>51</w:t>
        </w:r>
      </w:hyperlink>
      <w:hyperlink r:id="rId26" w:history="1">
        <w:r w:rsidRPr="00ED4862">
          <w:rPr>
            <w:sz w:val="22"/>
            <w:szCs w:val="22"/>
            <w:lang w:val="en-US"/>
          </w:rPr>
          <w:t>(2), 289-298.</w:t>
        </w:r>
      </w:hyperlink>
    </w:p>
    <w:p w:rsidR="007337FD" w:rsidRPr="00ED4862" w:rsidRDefault="00ED4862" w:rsidP="00022B10">
      <w:pPr>
        <w:pStyle w:val="Normal1"/>
        <w:jc w:val="both"/>
        <w:rPr>
          <w:color w:val="1155CC"/>
          <w:sz w:val="22"/>
          <w:szCs w:val="22"/>
          <w:u w:val="single"/>
          <w:lang w:val="en-US"/>
        </w:rPr>
      </w:pPr>
      <w:hyperlink r:id="rId27" w:history="1">
        <w:r w:rsidR="007337FD" w:rsidRPr="00ED4862">
          <w:rPr>
            <w:color w:val="1155CC"/>
            <w:sz w:val="22"/>
            <w:szCs w:val="22"/>
            <w:u w:val="single"/>
            <w:lang w:val="en-US"/>
          </w:rPr>
          <w:t>http://onlinelibrary.wiley.com/doi/10.1111/1365-2664.12193/abstract</w:t>
        </w:r>
      </w:hyperlink>
    </w:p>
    <w:p w:rsidR="007337FD" w:rsidRPr="00ED4862" w:rsidRDefault="007337FD" w:rsidP="00022B10">
      <w:pPr>
        <w:pStyle w:val="Normal1"/>
        <w:jc w:val="both"/>
        <w:rPr>
          <w:sz w:val="22"/>
          <w:szCs w:val="22"/>
          <w:lang w:val="en-US"/>
        </w:rPr>
      </w:pPr>
    </w:p>
    <w:p w:rsidR="007337FD" w:rsidRPr="001B7AC3" w:rsidRDefault="007337FD" w:rsidP="00022B10">
      <w:pPr>
        <w:pStyle w:val="Normal1"/>
        <w:jc w:val="both"/>
        <w:rPr>
          <w:sz w:val="22"/>
          <w:szCs w:val="22"/>
          <w:lang w:val="fr-FR"/>
        </w:rPr>
      </w:pPr>
      <w:r w:rsidRPr="00ED4862">
        <w:rPr>
          <w:sz w:val="22"/>
          <w:szCs w:val="22"/>
          <w:lang w:val="en-US"/>
        </w:rPr>
        <w:t xml:space="preserve">2. </w:t>
      </w:r>
      <w:hyperlink r:id="rId28" w:history="1">
        <w:r w:rsidRPr="00ED4862">
          <w:rPr>
            <w:sz w:val="22"/>
            <w:szCs w:val="22"/>
            <w:lang w:val="en-US"/>
          </w:rPr>
          <w:t>Nagy, Szabolcs, Flink, Stephan &amp;</w:t>
        </w:r>
        <w:r w:rsidR="00D90267" w:rsidRPr="00ED4862">
          <w:rPr>
            <w:sz w:val="22"/>
            <w:szCs w:val="22"/>
            <w:lang w:val="en-US"/>
          </w:rPr>
          <w:t xml:space="preserve"> </w:t>
        </w:r>
        <w:r w:rsidRPr="00ED4862">
          <w:rPr>
            <w:sz w:val="22"/>
            <w:szCs w:val="22"/>
            <w:lang w:val="en-US"/>
          </w:rPr>
          <w:t xml:space="preserve">Langendoen, Tom 2014. </w:t>
        </w:r>
      </w:hyperlink>
      <w:hyperlink r:id="rId29" w:history="1">
        <w:r w:rsidRPr="00ED4862">
          <w:rPr>
            <w:i/>
            <w:sz w:val="22"/>
            <w:szCs w:val="22"/>
            <w:lang w:val="en-US"/>
          </w:rPr>
          <w:t>Waterbird trends 1988-2012: Results of trend analyses of data from the International Waterbird Census in the African-Eurasian Flyway</w:t>
        </w:r>
      </w:hyperlink>
      <w:hyperlink r:id="rId30" w:history="1">
        <w:r w:rsidRPr="00ED4862">
          <w:rPr>
            <w:sz w:val="22"/>
            <w:szCs w:val="22"/>
            <w:lang w:val="en-US"/>
          </w:rPr>
          <w:t xml:space="preserve">. </w:t>
        </w:r>
        <w:r w:rsidRPr="001B7AC3">
          <w:rPr>
            <w:sz w:val="22"/>
            <w:szCs w:val="22"/>
            <w:lang w:val="fr-FR"/>
          </w:rPr>
          <w:t xml:space="preserve">Wetlands International, Ede. </w:t>
        </w:r>
      </w:hyperlink>
    </w:p>
    <w:p w:rsidR="007337FD" w:rsidRPr="001B7AC3" w:rsidRDefault="00ED4862" w:rsidP="00022B10">
      <w:pPr>
        <w:pStyle w:val="Normal1"/>
        <w:jc w:val="both"/>
        <w:rPr>
          <w:sz w:val="22"/>
          <w:szCs w:val="22"/>
          <w:lang w:val="fr-FR"/>
        </w:rPr>
      </w:pPr>
      <w:hyperlink r:id="rId31" w:history="1">
        <w:r w:rsidR="007337FD" w:rsidRPr="001B7AC3">
          <w:rPr>
            <w:color w:val="1155CC"/>
            <w:sz w:val="22"/>
            <w:szCs w:val="22"/>
            <w:u w:val="single"/>
            <w:lang w:val="fr-FR"/>
          </w:rPr>
          <w:t>http://www.wetlands.org/Portals/0/TRIM%20Report%202014_10_05.pdf</w:t>
        </w:r>
      </w:hyperlink>
      <w:hyperlink r:id="rId32" w:history="1"/>
    </w:p>
    <w:p w:rsidR="007337FD" w:rsidRPr="001B7AC3" w:rsidRDefault="007337FD" w:rsidP="00022B10">
      <w:pPr>
        <w:pStyle w:val="Normal1"/>
        <w:jc w:val="both"/>
        <w:rPr>
          <w:sz w:val="22"/>
          <w:szCs w:val="22"/>
          <w:lang w:val="fr-FR"/>
        </w:rPr>
      </w:pPr>
    </w:p>
    <w:p w:rsidR="007337FD" w:rsidRPr="001B7AC3" w:rsidRDefault="007337FD" w:rsidP="00022B10">
      <w:pPr>
        <w:pStyle w:val="Normal1"/>
        <w:jc w:val="both"/>
        <w:rPr>
          <w:sz w:val="22"/>
          <w:szCs w:val="22"/>
          <w:lang w:val="fr-FR"/>
        </w:rPr>
      </w:pPr>
      <w:r w:rsidRPr="00ED4862">
        <w:rPr>
          <w:sz w:val="22"/>
          <w:szCs w:val="22"/>
          <w:lang w:val="en-US"/>
        </w:rPr>
        <w:t xml:space="preserve">3. </w:t>
      </w:r>
      <w:hyperlink r:id="rId33" w:history="1">
        <w:r w:rsidRPr="00ED4862">
          <w:rPr>
            <w:sz w:val="22"/>
            <w:szCs w:val="22"/>
            <w:lang w:val="en-US"/>
          </w:rPr>
          <w:t xml:space="preserve">van Roomen, M., van Winden, E. &amp; T. Langendoen 2014. </w:t>
        </w:r>
      </w:hyperlink>
      <w:hyperlink r:id="rId34" w:history="1">
        <w:r w:rsidRPr="00ED4862">
          <w:rPr>
            <w:i/>
            <w:sz w:val="22"/>
            <w:szCs w:val="22"/>
            <w:lang w:val="en-US"/>
          </w:rPr>
          <w:t>The assessment of trends and population sizes of a selection of waterbird species and populations from the coastal East Atlantic Flyway for Conservation Status Report 6 of the African Eurasian Waterbird Agreement</w:t>
        </w:r>
      </w:hyperlink>
      <w:hyperlink r:id="rId35" w:history="1">
        <w:r w:rsidRPr="00ED4862">
          <w:rPr>
            <w:sz w:val="22"/>
            <w:szCs w:val="22"/>
            <w:lang w:val="en-US"/>
          </w:rPr>
          <w:t xml:space="preserve">. </w:t>
        </w:r>
        <w:r w:rsidRPr="001B7AC3">
          <w:rPr>
            <w:sz w:val="22"/>
            <w:szCs w:val="22"/>
            <w:lang w:val="fr-FR"/>
          </w:rPr>
          <w:t>Initiative de la voie de migration de la mer des Wadden, Wetlands International &amp;</w:t>
        </w:r>
        <w:r w:rsidR="00D90267" w:rsidRPr="001B7AC3">
          <w:rPr>
            <w:sz w:val="22"/>
            <w:szCs w:val="22"/>
            <w:lang w:val="fr-FR"/>
          </w:rPr>
          <w:t xml:space="preserve"> </w:t>
        </w:r>
        <w:r w:rsidRPr="001B7AC3">
          <w:rPr>
            <w:sz w:val="22"/>
            <w:szCs w:val="22"/>
            <w:lang w:val="fr-FR"/>
          </w:rPr>
          <w:t>Birdlife International, Nimègue.</w:t>
        </w:r>
      </w:hyperlink>
    </w:p>
    <w:p w:rsidR="007337FD" w:rsidRPr="001B7AC3" w:rsidRDefault="00ED4862" w:rsidP="00022B10">
      <w:pPr>
        <w:pStyle w:val="Normal1"/>
        <w:jc w:val="both"/>
        <w:rPr>
          <w:sz w:val="22"/>
          <w:szCs w:val="22"/>
          <w:lang w:val="fr-FR"/>
        </w:rPr>
      </w:pPr>
      <w:hyperlink r:id="rId36" w:history="1">
        <w:r w:rsidR="007337FD" w:rsidRPr="001B7AC3">
          <w:rPr>
            <w:color w:val="1155CC"/>
            <w:sz w:val="22"/>
            <w:szCs w:val="22"/>
            <w:u w:val="single"/>
            <w:lang w:val="fr-FR"/>
          </w:rPr>
          <w:t>http://www.wetlands.org/Portals/0/EAF_selection%20of%20species2014_2.doc.pdf</w:t>
        </w:r>
      </w:hyperlink>
    </w:p>
    <w:p w:rsidR="007337FD" w:rsidRPr="001B7AC3" w:rsidRDefault="007337FD" w:rsidP="00022B10">
      <w:pPr>
        <w:pStyle w:val="Normal1"/>
        <w:jc w:val="both"/>
        <w:rPr>
          <w:b/>
          <w:sz w:val="22"/>
          <w:szCs w:val="22"/>
          <w:lang w:val="fr-FR"/>
        </w:rPr>
      </w:pPr>
    </w:p>
    <w:p w:rsidR="007337FD" w:rsidRPr="00ED4862" w:rsidRDefault="007337FD" w:rsidP="00022B10">
      <w:pPr>
        <w:pStyle w:val="Normal1"/>
        <w:keepNext/>
        <w:jc w:val="both"/>
        <w:rPr>
          <w:b/>
          <w:sz w:val="22"/>
          <w:szCs w:val="22"/>
          <w:lang w:val="en-US"/>
        </w:rPr>
      </w:pPr>
      <w:r w:rsidRPr="00ED4862">
        <w:rPr>
          <w:b/>
          <w:sz w:val="22"/>
          <w:szCs w:val="22"/>
          <w:lang w:val="en-US"/>
        </w:rPr>
        <w:t>2013</w:t>
      </w:r>
    </w:p>
    <w:p w:rsidR="007337FD" w:rsidRPr="00ED4862" w:rsidRDefault="007337FD" w:rsidP="00022B10">
      <w:pPr>
        <w:pStyle w:val="Normal1"/>
        <w:jc w:val="both"/>
        <w:rPr>
          <w:sz w:val="22"/>
          <w:szCs w:val="22"/>
          <w:lang w:val="en-US"/>
        </w:rPr>
      </w:pPr>
      <w:r w:rsidRPr="00ED4862">
        <w:rPr>
          <w:sz w:val="22"/>
          <w:szCs w:val="22"/>
          <w:lang w:val="en-US"/>
        </w:rPr>
        <w:t xml:space="preserve">1. Aunins, A., Nilsson, L., Hario, M., Garthe, S., Dagys, M., Pedersen, K. I., &amp;Skov, H. (2013). Abundance of waterbirds in the wintering season. HELCOM Core Indicator of Biodiversity. </w:t>
      </w:r>
    </w:p>
    <w:p w:rsidR="007337FD" w:rsidRPr="00ED4862" w:rsidRDefault="007337FD" w:rsidP="00022B10">
      <w:pPr>
        <w:pStyle w:val="Normal1"/>
        <w:jc w:val="both"/>
        <w:rPr>
          <w:sz w:val="22"/>
          <w:szCs w:val="22"/>
          <w:lang w:val="en-US"/>
        </w:rPr>
      </w:pPr>
      <w:r w:rsidRPr="00ED4862">
        <w:rPr>
          <w:sz w:val="22"/>
          <w:szCs w:val="22"/>
          <w:lang w:val="en-US"/>
        </w:rPr>
        <w:t>http://www.helcom.fi/Core%20Indicators/HELCOM-CoreIndicator_Abundance_of_waterbirds_in_the_wintering_season.pdf</w:t>
      </w:r>
    </w:p>
    <w:p w:rsidR="007337FD" w:rsidRPr="00ED4862" w:rsidRDefault="007337FD" w:rsidP="00022B10">
      <w:pPr>
        <w:pStyle w:val="Normal1"/>
        <w:jc w:val="both"/>
        <w:rPr>
          <w:sz w:val="22"/>
          <w:szCs w:val="22"/>
          <w:lang w:val="en-US"/>
        </w:rPr>
      </w:pPr>
    </w:p>
    <w:p w:rsidR="007337FD" w:rsidRPr="00ED4862" w:rsidRDefault="007337FD" w:rsidP="00022B10">
      <w:pPr>
        <w:pStyle w:val="Normal1"/>
        <w:jc w:val="both"/>
        <w:rPr>
          <w:sz w:val="22"/>
          <w:szCs w:val="22"/>
          <w:lang w:val="en-US"/>
        </w:rPr>
      </w:pPr>
      <w:r w:rsidRPr="00ED4862">
        <w:rPr>
          <w:sz w:val="22"/>
          <w:szCs w:val="22"/>
          <w:lang w:val="en-US"/>
        </w:rPr>
        <w:t>2. Lehikoinen, Aleksi, Jaatinen, Kim, Vähätalo, Anssi V., Clausen, Preben, Crowe, Olivia, Deceuninck, Bernard, Hearn, Richard, Holt, Chas A., Hornman, Menno, Keller, Verena, Nilsson, Leif, Langendoen, Tom, Tománková, Irena, Wahl, Johannes, Fox, Anthony D. 2013. Rapid climate driven shifts in wintering distributions of three common waterbird species. Global Change Biology 19: 1365-2486</w:t>
      </w:r>
    </w:p>
    <w:p w:rsidR="007337FD" w:rsidRPr="00ED4862" w:rsidRDefault="00ED4862" w:rsidP="00022B10">
      <w:pPr>
        <w:pStyle w:val="Normal1"/>
        <w:jc w:val="both"/>
        <w:rPr>
          <w:sz w:val="22"/>
          <w:szCs w:val="22"/>
          <w:lang w:val="en-US"/>
        </w:rPr>
      </w:pPr>
      <w:hyperlink r:id="rId37" w:history="1">
        <w:r w:rsidR="007337FD" w:rsidRPr="00ED4862">
          <w:rPr>
            <w:color w:val="1155CC"/>
            <w:sz w:val="22"/>
            <w:szCs w:val="22"/>
            <w:u w:val="single"/>
            <w:lang w:val="en-US"/>
          </w:rPr>
          <w:t>http://dx.doi.org/10.1111/gcb.12200</w:t>
        </w:r>
      </w:hyperlink>
    </w:p>
    <w:p w:rsidR="007337FD" w:rsidRPr="00ED4862" w:rsidRDefault="007337FD" w:rsidP="00022B10">
      <w:pPr>
        <w:pStyle w:val="Normal1"/>
        <w:jc w:val="both"/>
        <w:rPr>
          <w:sz w:val="22"/>
          <w:szCs w:val="22"/>
          <w:lang w:val="en-US"/>
        </w:rPr>
      </w:pPr>
    </w:p>
    <w:p w:rsidR="007337FD" w:rsidRPr="00ED4862" w:rsidRDefault="007337FD" w:rsidP="00022B10">
      <w:pPr>
        <w:pStyle w:val="Normal1"/>
        <w:jc w:val="both"/>
        <w:rPr>
          <w:sz w:val="22"/>
          <w:szCs w:val="22"/>
          <w:lang w:val="en-US"/>
        </w:rPr>
      </w:pPr>
      <w:r w:rsidRPr="00ED4862">
        <w:rPr>
          <w:sz w:val="22"/>
          <w:szCs w:val="22"/>
          <w:lang w:val="en-US"/>
        </w:rPr>
        <w:t xml:space="preserve">3. Dalby, Lars; Söderquist, Pär; Christensen, Thomas K.; Clausen, Preben; Einarsson, Árni; Elmberg, Johan; Fox, Anthony D.; Holmqvist, Niklas; Langendoen, Tom; Lehikoinen, Aleksi; Lindström, Åke ; Lorentsen, Svein-Håkon; Nilsson, Leif; Pöysä, Hannu; Rintala, Jukka; Sigfússon, Arnór Þ.; Svenning, Jens-Christian. 2013. </w:t>
      </w:r>
      <w:r w:rsidRPr="001B7AC3">
        <w:rPr>
          <w:sz w:val="22"/>
          <w:szCs w:val="22"/>
          <w:lang w:val="en-US"/>
        </w:rPr>
        <w:t>The status of the Nordic populations of the Mallard (</w:t>
      </w:r>
      <w:r w:rsidRPr="001B7AC3">
        <w:rPr>
          <w:i/>
          <w:sz w:val="22"/>
          <w:szCs w:val="22"/>
          <w:lang w:val="en-US"/>
        </w:rPr>
        <w:t>Anas</w:t>
      </w:r>
      <w:r w:rsidR="001B7AC3" w:rsidRPr="001B7AC3">
        <w:rPr>
          <w:i/>
          <w:sz w:val="22"/>
          <w:szCs w:val="22"/>
          <w:lang w:val="en-US"/>
        </w:rPr>
        <w:t xml:space="preserve"> </w:t>
      </w:r>
      <w:r w:rsidRPr="001B7AC3">
        <w:rPr>
          <w:i/>
          <w:sz w:val="22"/>
          <w:szCs w:val="22"/>
          <w:lang w:val="en-US"/>
        </w:rPr>
        <w:t>platyrhynchos</w:t>
      </w:r>
      <w:r w:rsidRPr="001B7AC3">
        <w:rPr>
          <w:sz w:val="22"/>
          <w:szCs w:val="22"/>
          <w:lang w:val="en-US"/>
        </w:rPr>
        <w:t xml:space="preserve">) in a changing world. </w:t>
      </w:r>
      <w:r w:rsidRPr="00ED4862">
        <w:rPr>
          <w:sz w:val="22"/>
          <w:szCs w:val="22"/>
          <w:lang w:val="en-US"/>
        </w:rPr>
        <w:t>Ornis</w:t>
      </w:r>
      <w:r w:rsidR="001B7AC3" w:rsidRPr="00ED4862">
        <w:rPr>
          <w:sz w:val="22"/>
          <w:szCs w:val="22"/>
          <w:lang w:val="en-US"/>
        </w:rPr>
        <w:t xml:space="preserve"> </w:t>
      </w:r>
      <w:r w:rsidRPr="00ED4862">
        <w:rPr>
          <w:sz w:val="22"/>
          <w:szCs w:val="22"/>
          <w:lang w:val="en-US"/>
        </w:rPr>
        <w:t>Fennica 90: 2-15</w:t>
      </w:r>
    </w:p>
    <w:p w:rsidR="007337FD" w:rsidRPr="00ED4862" w:rsidRDefault="00ED4862" w:rsidP="00022B10">
      <w:pPr>
        <w:pStyle w:val="Normal1"/>
        <w:jc w:val="both"/>
        <w:rPr>
          <w:sz w:val="22"/>
          <w:szCs w:val="22"/>
          <w:lang w:val="en-US"/>
        </w:rPr>
      </w:pPr>
      <w:hyperlink r:id="rId38" w:history="1">
        <w:r w:rsidR="007337FD" w:rsidRPr="00ED4862">
          <w:rPr>
            <w:color w:val="1155CC"/>
            <w:sz w:val="22"/>
            <w:szCs w:val="22"/>
            <w:u w:val="single"/>
            <w:lang w:val="en-US"/>
          </w:rPr>
          <w:t>http://pure.au.dk/portal/files/54026900/Dalbyetal2013.pdf</w:t>
        </w:r>
      </w:hyperlink>
    </w:p>
    <w:p w:rsidR="007337FD" w:rsidRPr="00ED4862" w:rsidRDefault="007337FD" w:rsidP="00022B10">
      <w:pPr>
        <w:pStyle w:val="Normal1"/>
        <w:jc w:val="both"/>
        <w:rPr>
          <w:sz w:val="22"/>
          <w:szCs w:val="22"/>
          <w:lang w:val="en-US"/>
        </w:rPr>
      </w:pPr>
    </w:p>
    <w:p w:rsidR="007337FD" w:rsidRPr="00ED4862" w:rsidRDefault="007337FD" w:rsidP="00022B10">
      <w:pPr>
        <w:pStyle w:val="Normal1"/>
        <w:jc w:val="both"/>
        <w:rPr>
          <w:b/>
          <w:sz w:val="22"/>
          <w:szCs w:val="22"/>
          <w:lang w:val="en-US"/>
        </w:rPr>
      </w:pPr>
      <w:r w:rsidRPr="00ED4862">
        <w:rPr>
          <w:b/>
          <w:sz w:val="22"/>
          <w:szCs w:val="22"/>
          <w:lang w:val="en-US"/>
        </w:rPr>
        <w:t>2012</w:t>
      </w:r>
    </w:p>
    <w:p w:rsidR="007337FD" w:rsidRPr="001B7AC3" w:rsidRDefault="007337FD" w:rsidP="00022B10">
      <w:pPr>
        <w:pStyle w:val="Normal1"/>
        <w:jc w:val="both"/>
        <w:rPr>
          <w:sz w:val="22"/>
          <w:szCs w:val="22"/>
          <w:lang w:val="fr-FR"/>
        </w:rPr>
      </w:pPr>
      <w:r w:rsidRPr="00ED4862">
        <w:rPr>
          <w:sz w:val="22"/>
          <w:szCs w:val="22"/>
          <w:lang w:val="en-US"/>
        </w:rPr>
        <w:t xml:space="preserve">1. Harebottle, Doug M. 2012. Assessing the Conservation Value of Wetlands and Waterbirds with a Focus on the Winter Rainfall Region of South Africa. </w:t>
      </w:r>
      <w:r w:rsidRPr="001B7AC3">
        <w:rPr>
          <w:sz w:val="22"/>
          <w:szCs w:val="22"/>
          <w:lang w:val="fr-FR"/>
        </w:rPr>
        <w:t>Ph.D. Thesis. Université du Cap : Afrique du Sud.</w:t>
      </w:r>
    </w:p>
    <w:p w:rsidR="007337FD" w:rsidRPr="001B7AC3" w:rsidRDefault="00ED4862" w:rsidP="00022B10">
      <w:pPr>
        <w:pStyle w:val="Normal1"/>
        <w:jc w:val="both"/>
        <w:rPr>
          <w:sz w:val="22"/>
          <w:szCs w:val="22"/>
          <w:lang w:val="fr-FR"/>
        </w:rPr>
      </w:pPr>
      <w:hyperlink r:id="rId39" w:history="1">
        <w:r w:rsidR="007337FD" w:rsidRPr="001B7AC3">
          <w:rPr>
            <w:color w:val="1155CC"/>
            <w:sz w:val="22"/>
            <w:szCs w:val="22"/>
            <w:u w:val="single"/>
            <w:lang w:val="fr-FR"/>
          </w:rPr>
          <w:t>http://adu.org.za/pdf/Harebottle_DM_PhD_thesis_UCT_May2012.pdf</w:t>
        </w:r>
      </w:hyperlink>
    </w:p>
    <w:p w:rsidR="007337FD" w:rsidRPr="001B7AC3" w:rsidRDefault="007337FD" w:rsidP="00022B10">
      <w:pPr>
        <w:pStyle w:val="Normal1"/>
        <w:jc w:val="both"/>
        <w:rPr>
          <w:sz w:val="22"/>
          <w:lang w:val="fr-FR"/>
        </w:rPr>
      </w:pPr>
    </w:p>
    <w:p w:rsidR="007337FD" w:rsidRPr="00ED4862" w:rsidRDefault="007337FD" w:rsidP="00022B10">
      <w:pPr>
        <w:pStyle w:val="Normal1"/>
        <w:jc w:val="both"/>
        <w:rPr>
          <w:sz w:val="22"/>
          <w:szCs w:val="22"/>
          <w:lang w:val="de-DE"/>
        </w:rPr>
      </w:pPr>
      <w:r w:rsidRPr="00ED4862">
        <w:rPr>
          <w:sz w:val="22"/>
          <w:szCs w:val="22"/>
          <w:lang w:val="en-US"/>
        </w:rPr>
        <w:lastRenderedPageBreak/>
        <w:t xml:space="preserve">2. Dalby, Lars, Fox, Anthony D., Petersen, </w:t>
      </w:r>
      <w:proofErr w:type="gramStart"/>
      <w:r w:rsidRPr="00ED4862">
        <w:rPr>
          <w:sz w:val="22"/>
          <w:szCs w:val="22"/>
          <w:lang w:val="en-US"/>
        </w:rPr>
        <w:t>Ib</w:t>
      </w:r>
      <w:proofErr w:type="gramEnd"/>
      <w:r w:rsidRPr="00ED4862">
        <w:rPr>
          <w:sz w:val="22"/>
          <w:szCs w:val="22"/>
          <w:lang w:val="en-US"/>
        </w:rPr>
        <w:t xml:space="preserve"> K., Delany, Simon, Svenning, Jens-Christian. 2012. Temperature does not dictate the wintering distributions of European dabbling duck species. </w:t>
      </w:r>
      <w:r w:rsidRPr="00ED4862">
        <w:rPr>
          <w:sz w:val="22"/>
          <w:szCs w:val="22"/>
          <w:lang w:val="de-DE"/>
        </w:rPr>
        <w:t>Ibis 155:80-88</w:t>
      </w:r>
    </w:p>
    <w:p w:rsidR="007337FD" w:rsidRPr="00ED4862" w:rsidRDefault="00ED4862" w:rsidP="00022B10">
      <w:pPr>
        <w:pStyle w:val="Normal1"/>
        <w:jc w:val="both"/>
        <w:rPr>
          <w:sz w:val="22"/>
          <w:szCs w:val="22"/>
          <w:lang w:val="de-DE"/>
        </w:rPr>
      </w:pPr>
      <w:hyperlink r:id="rId40" w:history="1">
        <w:r w:rsidR="007337FD" w:rsidRPr="00ED4862">
          <w:rPr>
            <w:color w:val="1155CC"/>
            <w:sz w:val="22"/>
            <w:szCs w:val="22"/>
            <w:u w:val="single"/>
            <w:lang w:val="de-DE"/>
          </w:rPr>
          <w:t>http://onlinelibrary.wiley.com/doi/10.1111/j.1474-919X.2012.01257.x/abstract;jsessionid=F7605ED4D36AEB1F26CB7FE39430DC31.d03t01</w:t>
        </w:r>
      </w:hyperlink>
    </w:p>
    <w:p w:rsidR="007337FD" w:rsidRPr="00ED4862" w:rsidRDefault="007337FD" w:rsidP="00022B10">
      <w:pPr>
        <w:pStyle w:val="Normal1"/>
        <w:jc w:val="both"/>
        <w:rPr>
          <w:sz w:val="22"/>
          <w:szCs w:val="22"/>
          <w:lang w:val="de-DE"/>
        </w:rPr>
      </w:pPr>
    </w:p>
    <w:p w:rsidR="007337FD" w:rsidRPr="00ED4862" w:rsidRDefault="007337FD" w:rsidP="00022B10">
      <w:pPr>
        <w:pStyle w:val="Normal1"/>
        <w:jc w:val="both"/>
        <w:rPr>
          <w:sz w:val="22"/>
          <w:szCs w:val="22"/>
          <w:lang w:val="en-US"/>
        </w:rPr>
      </w:pPr>
      <w:r w:rsidRPr="00ED4862">
        <w:rPr>
          <w:sz w:val="22"/>
          <w:szCs w:val="22"/>
          <w:lang w:val="en-US"/>
        </w:rPr>
        <w:t>3. van Roomen M., Hornman M., Flink S., Langendoen T., van Winden E., Nagy S. &amp; van Turnhout C. 2012. Flyway-trends for waterbird species important in Lakes IJsselmeer and Markermeer. Sovon-rapport 2012/22, Sovon Dutch Centre for Field Ornithology, Nimègue–Pays-Bas.</w:t>
      </w:r>
    </w:p>
    <w:p w:rsidR="007337FD" w:rsidRPr="00ED4862" w:rsidRDefault="00ED4862" w:rsidP="00022B10">
      <w:pPr>
        <w:pStyle w:val="Normal1"/>
        <w:jc w:val="both"/>
        <w:rPr>
          <w:color w:val="1155CC"/>
          <w:sz w:val="22"/>
          <w:szCs w:val="22"/>
          <w:u w:val="single"/>
          <w:lang w:val="en-US"/>
        </w:rPr>
      </w:pPr>
      <w:hyperlink r:id="rId41" w:history="1">
        <w:r w:rsidR="007337FD" w:rsidRPr="00ED4862">
          <w:rPr>
            <w:color w:val="1155CC"/>
            <w:sz w:val="22"/>
            <w:szCs w:val="22"/>
            <w:u w:val="single"/>
            <w:lang w:val="en-US"/>
          </w:rPr>
          <w:t>http://www.wetlands.org/Portals/0/Rap_2012-22_FlywaytrendsTotaalLR.pdf</w:t>
        </w:r>
      </w:hyperlink>
    </w:p>
    <w:p w:rsidR="007337FD" w:rsidRPr="00ED4862" w:rsidRDefault="007337FD" w:rsidP="00022B10">
      <w:pPr>
        <w:pStyle w:val="Normal1"/>
        <w:jc w:val="both"/>
        <w:rPr>
          <w:color w:val="1155CC"/>
          <w:sz w:val="22"/>
          <w:szCs w:val="22"/>
          <w:u w:val="single"/>
          <w:lang w:val="en-US"/>
        </w:rPr>
      </w:pPr>
    </w:p>
    <w:p w:rsidR="007337FD" w:rsidRPr="00ED4862" w:rsidRDefault="007337FD" w:rsidP="00022B10">
      <w:pPr>
        <w:jc w:val="both"/>
        <w:rPr>
          <w:sz w:val="22"/>
          <w:szCs w:val="22"/>
          <w:lang w:val="en-US"/>
        </w:rPr>
      </w:pPr>
    </w:p>
    <w:p w:rsidR="007337FD" w:rsidRPr="001B7AC3" w:rsidRDefault="00ED4862">
      <w:pPr>
        <w:pStyle w:val="Normal1"/>
        <w:rPr>
          <w:szCs w:val="24"/>
          <w:lang w:val="fr-FR"/>
        </w:rPr>
      </w:pPr>
      <w:hyperlink r:id="rId42" w:history="1">
        <w:r w:rsidR="007337FD" w:rsidRPr="001B7AC3">
          <w:rPr>
            <w:b/>
            <w:szCs w:val="24"/>
            <w:lang w:val="fr-FR"/>
          </w:rPr>
          <w:t>Demandes de données :</w:t>
        </w:r>
      </w:hyperlink>
    </w:p>
    <w:p w:rsidR="007337FD" w:rsidRPr="001B7AC3" w:rsidRDefault="00ED4862">
      <w:pPr>
        <w:pStyle w:val="Normal1"/>
        <w:rPr>
          <w:lang w:val="fr-FR"/>
        </w:rPr>
      </w:pPr>
      <w:hyperlink r:id="rId43" w:history="1"/>
    </w:p>
    <w:p w:rsidR="007337FD" w:rsidRPr="001B7AC3" w:rsidRDefault="00ED4862" w:rsidP="00022B10">
      <w:pPr>
        <w:pStyle w:val="Normal1"/>
        <w:jc w:val="both"/>
        <w:rPr>
          <w:lang w:val="fr-FR"/>
        </w:rPr>
      </w:pPr>
      <w:hyperlink r:id="rId44" w:history="1">
        <w:r w:rsidR="007337FD" w:rsidRPr="001B7AC3">
          <w:rPr>
            <w:b/>
            <w:sz w:val="22"/>
            <w:lang w:val="fr-FR"/>
          </w:rPr>
          <w:t>2015</w:t>
        </w:r>
      </w:hyperlink>
    </w:p>
    <w:p w:rsidR="007337FD" w:rsidRPr="001B7AC3" w:rsidRDefault="007337FD" w:rsidP="00022B10">
      <w:pPr>
        <w:pStyle w:val="Normal1"/>
        <w:jc w:val="both"/>
        <w:rPr>
          <w:sz w:val="22"/>
          <w:szCs w:val="22"/>
          <w:lang w:val="fr-FR"/>
        </w:rPr>
      </w:pPr>
      <w:r w:rsidRPr="001B7AC3">
        <w:rPr>
          <w:sz w:val="22"/>
          <w:szCs w:val="22"/>
          <w:lang w:val="fr-FR"/>
        </w:rPr>
        <w:t>1. Groupe de spécialistes de l’oie</w:t>
      </w:r>
      <w:hyperlink r:id="rId45" w:history="1">
        <w:r w:rsidRPr="001B7AC3">
          <w:rPr>
            <w:sz w:val="22"/>
            <w:szCs w:val="22"/>
            <w:lang w:val="fr-FR"/>
          </w:rPr>
          <w:t>: Mise à jour des estimations de populations d’oies des moissons hivernant en Europe</w:t>
        </w:r>
      </w:hyperlink>
    </w:p>
    <w:p w:rsidR="007337FD" w:rsidRPr="001B7AC3" w:rsidRDefault="00ED4862" w:rsidP="00022B10">
      <w:pPr>
        <w:pStyle w:val="Normal1"/>
        <w:jc w:val="both"/>
        <w:rPr>
          <w:sz w:val="22"/>
          <w:szCs w:val="22"/>
          <w:lang w:val="fr-FR"/>
        </w:rPr>
      </w:pPr>
      <w:hyperlink r:id="rId46" w:history="1">
        <w:r w:rsidR="007337FD" w:rsidRPr="001B7AC3">
          <w:rPr>
            <w:rStyle w:val="Hyperlink"/>
            <w:sz w:val="22"/>
            <w:szCs w:val="22"/>
            <w:lang w:val="fr-FR"/>
          </w:rPr>
          <w:t>http://www.wetlands.org/Portals/0/Rap_2012-22_FlywaytrendsTotaalLR.pdf</w:t>
        </w:r>
      </w:hyperlink>
    </w:p>
    <w:p w:rsidR="007337FD" w:rsidRPr="001B7AC3" w:rsidRDefault="007337FD" w:rsidP="00022B10">
      <w:pPr>
        <w:pStyle w:val="Normal1"/>
        <w:jc w:val="both"/>
        <w:rPr>
          <w:sz w:val="22"/>
          <w:szCs w:val="22"/>
          <w:lang w:val="fr-FR"/>
        </w:rPr>
      </w:pPr>
    </w:p>
    <w:p w:rsidR="007337FD" w:rsidRPr="001B7AC3" w:rsidRDefault="00ED4862" w:rsidP="00022B10">
      <w:pPr>
        <w:pStyle w:val="Normal1"/>
        <w:jc w:val="both"/>
        <w:rPr>
          <w:sz w:val="22"/>
          <w:szCs w:val="22"/>
          <w:lang w:val="fr-FR"/>
        </w:rPr>
      </w:pPr>
      <w:hyperlink r:id="rId47" w:history="1">
        <w:r w:rsidR="007337FD" w:rsidRPr="001B7AC3">
          <w:rPr>
            <w:b/>
            <w:sz w:val="22"/>
            <w:szCs w:val="22"/>
            <w:lang w:val="fr-FR"/>
          </w:rPr>
          <w:t>2014</w:t>
        </w:r>
      </w:hyperlink>
    </w:p>
    <w:p w:rsidR="007337FD" w:rsidRPr="001B7AC3" w:rsidRDefault="007337FD" w:rsidP="00022B10">
      <w:pPr>
        <w:pStyle w:val="Normal1"/>
        <w:jc w:val="both"/>
        <w:rPr>
          <w:sz w:val="22"/>
          <w:szCs w:val="22"/>
          <w:lang w:val="fr-FR"/>
        </w:rPr>
      </w:pPr>
      <w:r w:rsidRPr="001B7AC3">
        <w:rPr>
          <w:sz w:val="22"/>
          <w:szCs w:val="22"/>
          <w:lang w:val="fr-FR"/>
        </w:rPr>
        <w:t xml:space="preserve">1. </w:t>
      </w:r>
      <w:hyperlink r:id="rId48" w:history="1">
        <w:r w:rsidRPr="001B7AC3">
          <w:rPr>
            <w:sz w:val="22"/>
            <w:szCs w:val="22"/>
            <w:lang w:val="fr-FR"/>
          </w:rPr>
          <w:t>Société pour la protection de</w:t>
        </w:r>
        <w:r w:rsidR="00D90267" w:rsidRPr="001B7AC3">
          <w:rPr>
            <w:sz w:val="22"/>
            <w:szCs w:val="22"/>
            <w:lang w:val="fr-FR"/>
          </w:rPr>
          <w:t xml:space="preserve"> </w:t>
        </w:r>
        <w:r w:rsidRPr="001B7AC3">
          <w:rPr>
            <w:sz w:val="22"/>
            <w:szCs w:val="22"/>
            <w:lang w:val="fr-FR"/>
          </w:rPr>
          <w:t>Prespa. Conservation des pélicans en Grèce et au SE de l’Europe.</w:t>
        </w:r>
      </w:hyperlink>
    </w:p>
    <w:p w:rsidR="007337FD" w:rsidRPr="001B7AC3" w:rsidRDefault="007337FD" w:rsidP="00022B10">
      <w:pPr>
        <w:pStyle w:val="Normal1"/>
        <w:jc w:val="both"/>
        <w:rPr>
          <w:sz w:val="22"/>
          <w:szCs w:val="22"/>
          <w:lang w:val="fr-FR"/>
        </w:rPr>
      </w:pPr>
      <w:r w:rsidRPr="001B7AC3">
        <w:rPr>
          <w:sz w:val="22"/>
          <w:szCs w:val="22"/>
          <w:lang w:val="fr-FR"/>
        </w:rPr>
        <w:t>2. Groupe de spécialistes du Cormoran</w:t>
      </w:r>
      <w:hyperlink r:id="rId49" w:history="1">
        <w:r w:rsidRPr="001B7AC3">
          <w:rPr>
            <w:sz w:val="22"/>
            <w:szCs w:val="22"/>
            <w:lang w:val="fr-FR"/>
          </w:rPr>
          <w:t xml:space="preserve"> (Projet UE CorMan): Comptage paneuropéen du Grand Cormoran, janvier 2013.</w:t>
        </w:r>
      </w:hyperlink>
    </w:p>
    <w:p w:rsidR="007337FD" w:rsidRPr="001B7AC3" w:rsidRDefault="007337FD" w:rsidP="00022B10">
      <w:pPr>
        <w:pStyle w:val="Normal1"/>
        <w:jc w:val="both"/>
        <w:rPr>
          <w:sz w:val="22"/>
          <w:szCs w:val="22"/>
          <w:lang w:val="fr-FR"/>
        </w:rPr>
      </w:pPr>
      <w:r w:rsidRPr="001B7AC3">
        <w:rPr>
          <w:sz w:val="22"/>
          <w:szCs w:val="22"/>
          <w:lang w:val="fr-FR"/>
        </w:rPr>
        <w:t xml:space="preserve">3. </w:t>
      </w:r>
      <w:hyperlink r:id="rId50" w:history="1">
        <w:r w:rsidRPr="001B7AC3">
          <w:rPr>
            <w:sz w:val="22"/>
            <w:szCs w:val="22"/>
            <w:lang w:val="fr-FR"/>
          </w:rPr>
          <w:t>Division de Biologie et de l’Écologie de la conservation, École des Sciences et de l’Environnement, Université métropolitaine de Manchester: La conservation et la gestion d’espèces d’oiseaux chassables sélectionnés en Europe</w:t>
        </w:r>
      </w:hyperlink>
    </w:p>
    <w:p w:rsidR="007337FD" w:rsidRPr="001B7AC3" w:rsidRDefault="00ED4862" w:rsidP="00022B10">
      <w:pPr>
        <w:pStyle w:val="Normal1"/>
        <w:jc w:val="both"/>
        <w:rPr>
          <w:sz w:val="22"/>
          <w:szCs w:val="22"/>
          <w:lang w:val="fr-FR"/>
        </w:rPr>
      </w:pPr>
      <w:hyperlink r:id="rId51" w:history="1">
        <w:r w:rsidR="007337FD" w:rsidRPr="001B7AC3">
          <w:rPr>
            <w:rStyle w:val="Hyperlink"/>
            <w:sz w:val="22"/>
            <w:szCs w:val="22"/>
            <w:lang w:val="fr-FR"/>
          </w:rPr>
          <w:t>http://www.wetlands.org/Portals/0/Rap_2012-22_FlywaytrendsTotaalLR.pdf</w:t>
        </w:r>
      </w:hyperlink>
    </w:p>
    <w:p w:rsidR="007337FD" w:rsidRPr="001B7AC3" w:rsidRDefault="007337FD" w:rsidP="00022B10">
      <w:pPr>
        <w:pStyle w:val="Normal1"/>
        <w:jc w:val="both"/>
        <w:rPr>
          <w:sz w:val="22"/>
          <w:szCs w:val="22"/>
          <w:lang w:val="fr-FR"/>
        </w:rPr>
      </w:pPr>
    </w:p>
    <w:p w:rsidR="007337FD" w:rsidRPr="001B7AC3" w:rsidRDefault="00ED4862" w:rsidP="00022B10">
      <w:pPr>
        <w:pStyle w:val="Normal1"/>
        <w:jc w:val="both"/>
        <w:rPr>
          <w:sz w:val="22"/>
          <w:szCs w:val="22"/>
          <w:lang w:val="fr-FR"/>
        </w:rPr>
      </w:pPr>
      <w:hyperlink r:id="rId52" w:history="1">
        <w:r w:rsidR="007337FD" w:rsidRPr="001B7AC3">
          <w:rPr>
            <w:b/>
            <w:sz w:val="22"/>
            <w:szCs w:val="22"/>
            <w:lang w:val="fr-FR"/>
          </w:rPr>
          <w:t>2013</w:t>
        </w:r>
      </w:hyperlink>
    </w:p>
    <w:p w:rsidR="007337FD" w:rsidRPr="001B7AC3" w:rsidRDefault="007337FD" w:rsidP="00022B10">
      <w:pPr>
        <w:pStyle w:val="Normal1"/>
        <w:jc w:val="both"/>
        <w:rPr>
          <w:sz w:val="22"/>
          <w:szCs w:val="22"/>
          <w:lang w:val="fr-FR"/>
        </w:rPr>
      </w:pPr>
      <w:r w:rsidRPr="001B7AC3">
        <w:rPr>
          <w:sz w:val="22"/>
          <w:szCs w:val="22"/>
          <w:lang w:val="fr-FR"/>
        </w:rPr>
        <w:t xml:space="preserve">1. </w:t>
      </w:r>
      <w:hyperlink r:id="rId53" w:history="1">
        <w:r w:rsidRPr="001B7AC3">
          <w:rPr>
            <w:sz w:val="22"/>
            <w:szCs w:val="22"/>
            <w:lang w:val="fr-FR"/>
          </w:rPr>
          <w:t>ONCFS. Thèse de doctorat : Influence des pratiques agricoles post-récoltes dans les rizières fréquentées par les canards hivernant</w:t>
        </w:r>
      </w:hyperlink>
    </w:p>
    <w:p w:rsidR="007337FD" w:rsidRPr="001B7AC3" w:rsidRDefault="007337FD" w:rsidP="00022B10">
      <w:pPr>
        <w:pStyle w:val="Normal1"/>
        <w:jc w:val="both"/>
        <w:rPr>
          <w:sz w:val="22"/>
          <w:szCs w:val="22"/>
          <w:lang w:val="fr-FR"/>
        </w:rPr>
      </w:pPr>
      <w:r w:rsidRPr="001B7AC3">
        <w:rPr>
          <w:lang w:val="fr-FR"/>
        </w:rPr>
        <w:t xml:space="preserve">Fondation de </w:t>
      </w:r>
      <w:hyperlink r:id="rId54" w:history="1">
        <w:r w:rsidRPr="001B7AC3">
          <w:rPr>
            <w:sz w:val="22"/>
            <w:szCs w:val="22"/>
            <w:lang w:val="fr-FR"/>
          </w:rPr>
          <w:t>Wetlands International: Analyse comparative des marais irakiens inscrits au patrimoine mondial</w:t>
        </w:r>
      </w:hyperlink>
    </w:p>
    <w:p w:rsidR="007337FD" w:rsidRPr="001B7AC3" w:rsidRDefault="00ED4862" w:rsidP="00022B10">
      <w:pPr>
        <w:pStyle w:val="Normal1"/>
        <w:jc w:val="both"/>
        <w:rPr>
          <w:sz w:val="22"/>
          <w:szCs w:val="22"/>
          <w:lang w:val="fr-FR"/>
        </w:rPr>
      </w:pPr>
      <w:hyperlink r:id="rId55" w:history="1">
        <w:r w:rsidR="007337FD" w:rsidRPr="001B7AC3">
          <w:rPr>
            <w:rStyle w:val="Hyperlink"/>
            <w:sz w:val="22"/>
            <w:szCs w:val="22"/>
            <w:lang w:val="fr-FR"/>
          </w:rPr>
          <w:t>http://www.wetlands.org/Portals/0/Rap_2012-22_FlywaytrendsTotaalLR.pdf</w:t>
        </w:r>
      </w:hyperlink>
    </w:p>
    <w:p w:rsidR="007337FD" w:rsidRPr="001B7AC3" w:rsidRDefault="007337FD" w:rsidP="00022B10">
      <w:pPr>
        <w:pStyle w:val="Normal1"/>
        <w:jc w:val="both"/>
        <w:rPr>
          <w:sz w:val="22"/>
          <w:szCs w:val="22"/>
          <w:lang w:val="fr-FR"/>
        </w:rPr>
      </w:pPr>
    </w:p>
    <w:p w:rsidR="007337FD" w:rsidRPr="001B7AC3" w:rsidRDefault="00ED4862" w:rsidP="00022B10">
      <w:pPr>
        <w:pStyle w:val="Normal1"/>
        <w:jc w:val="both"/>
        <w:rPr>
          <w:sz w:val="22"/>
          <w:szCs w:val="22"/>
          <w:lang w:val="fr-FR"/>
        </w:rPr>
      </w:pPr>
      <w:hyperlink r:id="rId56" w:history="1">
        <w:r w:rsidR="007337FD" w:rsidRPr="001B7AC3">
          <w:rPr>
            <w:b/>
            <w:sz w:val="22"/>
            <w:szCs w:val="22"/>
            <w:lang w:val="fr-FR"/>
          </w:rPr>
          <w:t>2012</w:t>
        </w:r>
      </w:hyperlink>
    </w:p>
    <w:p w:rsidR="007337FD" w:rsidRPr="001B7AC3" w:rsidRDefault="007337FD" w:rsidP="00022B10">
      <w:pPr>
        <w:pStyle w:val="Normal1"/>
        <w:jc w:val="both"/>
        <w:rPr>
          <w:sz w:val="22"/>
          <w:szCs w:val="22"/>
          <w:lang w:val="fr-FR"/>
        </w:rPr>
      </w:pPr>
      <w:r w:rsidRPr="001B7AC3">
        <w:rPr>
          <w:sz w:val="22"/>
          <w:szCs w:val="22"/>
          <w:lang w:val="fr-FR"/>
        </w:rPr>
        <w:t xml:space="preserve">1. </w:t>
      </w:r>
      <w:hyperlink r:id="rId57" w:history="1">
        <w:r w:rsidRPr="001B7AC3">
          <w:rPr>
            <w:sz w:val="22"/>
            <w:szCs w:val="22"/>
            <w:lang w:val="fr-FR"/>
          </w:rPr>
          <w:t>Ligue pour la Protection des Oiseaux. Analyse des tendances des oiseaux ne nichant pas en France.</w:t>
        </w:r>
      </w:hyperlink>
    </w:p>
    <w:p w:rsidR="007337FD" w:rsidRPr="001B7AC3" w:rsidRDefault="007337FD" w:rsidP="00022B10">
      <w:pPr>
        <w:pStyle w:val="Normal1"/>
        <w:jc w:val="both"/>
        <w:rPr>
          <w:sz w:val="22"/>
          <w:szCs w:val="22"/>
          <w:lang w:val="fr-FR"/>
        </w:rPr>
      </w:pPr>
      <w:r w:rsidRPr="001B7AC3">
        <w:rPr>
          <w:sz w:val="22"/>
          <w:szCs w:val="22"/>
          <w:lang w:val="fr-FR"/>
        </w:rPr>
        <w:t xml:space="preserve">2. </w:t>
      </w:r>
      <w:hyperlink r:id="rId58" w:history="1">
        <w:r w:rsidRPr="001B7AC3">
          <w:rPr>
            <w:sz w:val="22"/>
            <w:szCs w:val="22"/>
            <w:lang w:val="fr-FR"/>
          </w:rPr>
          <w:t>Alterra Wageningen UR. Voies de migration Econet– analyse des modèles de voie de migration</w:t>
        </w:r>
      </w:hyperlink>
    </w:p>
    <w:p w:rsidR="007337FD" w:rsidRPr="001B7AC3" w:rsidRDefault="007337FD" w:rsidP="00022B10">
      <w:pPr>
        <w:pStyle w:val="Normal1"/>
        <w:jc w:val="both"/>
        <w:rPr>
          <w:sz w:val="22"/>
          <w:szCs w:val="22"/>
          <w:lang w:val="fr-FR"/>
        </w:rPr>
      </w:pPr>
      <w:r w:rsidRPr="001B7AC3">
        <w:rPr>
          <w:sz w:val="22"/>
          <w:szCs w:val="22"/>
          <w:lang w:val="fr-FR"/>
        </w:rPr>
        <w:t xml:space="preserve">3. </w:t>
      </w:r>
      <w:hyperlink r:id="rId59" w:history="1">
        <w:r w:rsidRPr="001B7AC3">
          <w:rPr>
            <w:sz w:val="22"/>
            <w:szCs w:val="22"/>
            <w:lang w:val="fr-FR"/>
          </w:rPr>
          <w:t>Wildfowl</w:t>
        </w:r>
        <w:r w:rsidR="001B7AC3">
          <w:rPr>
            <w:sz w:val="22"/>
            <w:szCs w:val="22"/>
            <w:lang w:val="fr-FR"/>
          </w:rPr>
          <w:t xml:space="preserve"> </w:t>
        </w:r>
        <w:r w:rsidRPr="001B7AC3">
          <w:rPr>
            <w:sz w:val="22"/>
            <w:szCs w:val="22"/>
            <w:lang w:val="fr-FR"/>
          </w:rPr>
          <w:t>&amp;</w:t>
        </w:r>
        <w:r w:rsidR="001B7AC3">
          <w:rPr>
            <w:sz w:val="22"/>
            <w:szCs w:val="22"/>
            <w:lang w:val="fr-FR"/>
          </w:rPr>
          <w:t xml:space="preserve"> </w:t>
        </w:r>
        <w:r w:rsidRPr="001B7AC3">
          <w:rPr>
            <w:sz w:val="22"/>
            <w:szCs w:val="22"/>
            <w:lang w:val="fr-FR"/>
          </w:rPr>
          <w:t xml:space="preserve">Wetlands Trust: Compréhension des changements dans les tendances et la distribution de la Bernache à cou </w:t>
        </w:r>
        <w:r w:rsidR="00D90267" w:rsidRPr="001B7AC3">
          <w:rPr>
            <w:sz w:val="22"/>
            <w:szCs w:val="22"/>
            <w:lang w:val="fr-FR"/>
          </w:rPr>
          <w:t>roux hivernant</w:t>
        </w:r>
      </w:hyperlink>
    </w:p>
    <w:p w:rsidR="007337FD" w:rsidRPr="001B7AC3" w:rsidRDefault="007337FD" w:rsidP="00022B10">
      <w:pPr>
        <w:pStyle w:val="Normal1"/>
        <w:jc w:val="both"/>
        <w:rPr>
          <w:sz w:val="22"/>
          <w:szCs w:val="22"/>
          <w:lang w:val="fr-FR"/>
        </w:rPr>
      </w:pPr>
      <w:r w:rsidRPr="001B7AC3">
        <w:rPr>
          <w:sz w:val="22"/>
          <w:szCs w:val="22"/>
          <w:lang w:val="fr-FR"/>
        </w:rPr>
        <w:t xml:space="preserve">4. </w:t>
      </w:r>
      <w:hyperlink r:id="rId60" w:history="1">
        <w:r w:rsidRPr="001B7AC3">
          <w:rPr>
            <w:sz w:val="22"/>
            <w:szCs w:val="22"/>
            <w:lang w:val="fr-FR"/>
          </w:rPr>
          <w:t>Sovon: Vers une gestion efficace et internationalement responsable de la population d’oies rieuses (</w:t>
        </w:r>
        <w:hyperlink r:id="rId61" w:history="1">
          <w:r w:rsidRPr="001B7AC3">
            <w:rPr>
              <w:i/>
              <w:sz w:val="22"/>
              <w:szCs w:val="22"/>
              <w:lang w:val="fr-FR"/>
            </w:rPr>
            <w:t>Anser albifrons</w:t>
          </w:r>
        </w:hyperlink>
        <w:hyperlink r:id="rId62" w:history="1">
          <w:r w:rsidRPr="001B7AC3">
            <w:rPr>
              <w:sz w:val="22"/>
              <w:szCs w:val="22"/>
              <w:lang w:val="fr-FR"/>
            </w:rPr>
            <w:t>)</w:t>
          </w:r>
        </w:hyperlink>
        <w:r w:rsidRPr="001B7AC3">
          <w:rPr>
            <w:sz w:val="22"/>
            <w:szCs w:val="22"/>
            <w:lang w:val="fr-FR"/>
          </w:rPr>
          <w:t xml:space="preserve"> hivernant aux Pays-Bas</w:t>
        </w:r>
      </w:hyperlink>
    </w:p>
    <w:p w:rsidR="007337FD" w:rsidRPr="001B7AC3" w:rsidRDefault="007337FD" w:rsidP="00022B10">
      <w:pPr>
        <w:pStyle w:val="Normal1"/>
        <w:jc w:val="both"/>
        <w:rPr>
          <w:sz w:val="22"/>
          <w:szCs w:val="22"/>
          <w:lang w:val="fr-FR"/>
        </w:rPr>
      </w:pPr>
      <w:r w:rsidRPr="001B7AC3">
        <w:rPr>
          <w:sz w:val="22"/>
          <w:szCs w:val="22"/>
          <w:lang w:val="fr-FR"/>
        </w:rPr>
        <w:t xml:space="preserve">5. </w:t>
      </w:r>
      <w:hyperlink r:id="rId63" w:history="1">
        <w:r w:rsidRPr="001B7AC3">
          <w:rPr>
            <w:sz w:val="22"/>
            <w:szCs w:val="22"/>
            <w:lang w:val="fr-FR"/>
          </w:rPr>
          <w:t>Centre d'Etudes Biologiques de Chizé UPR : Distribution et déclin</w:t>
        </w:r>
        <w:r w:rsidR="00D90267" w:rsidRPr="001B7AC3">
          <w:rPr>
            <w:sz w:val="22"/>
            <w:szCs w:val="22"/>
            <w:lang w:val="fr-FR"/>
          </w:rPr>
          <w:t xml:space="preserve"> </w:t>
        </w:r>
        <w:r w:rsidRPr="001B7AC3">
          <w:rPr>
            <w:sz w:val="22"/>
            <w:szCs w:val="22"/>
            <w:lang w:val="fr-FR"/>
          </w:rPr>
          <w:t>de la Macreuse noire et brune</w:t>
        </w:r>
      </w:hyperlink>
      <w:r w:rsidRPr="001B7AC3">
        <w:rPr>
          <w:sz w:val="22"/>
          <w:szCs w:val="22"/>
          <w:lang w:val="fr-FR"/>
        </w:rPr>
        <w:t xml:space="preserve"> dans la région du</w:t>
      </w:r>
      <w:r w:rsidR="00D90267" w:rsidRPr="001B7AC3">
        <w:rPr>
          <w:sz w:val="22"/>
          <w:szCs w:val="22"/>
          <w:lang w:val="fr-FR"/>
        </w:rPr>
        <w:t xml:space="preserve"> </w:t>
      </w:r>
      <w:r w:rsidRPr="001B7AC3">
        <w:rPr>
          <w:sz w:val="22"/>
          <w:szCs w:val="22"/>
          <w:lang w:val="fr-FR"/>
        </w:rPr>
        <w:t>Paléarctique occidental</w:t>
      </w:r>
    </w:p>
    <w:p w:rsidR="007337FD" w:rsidRPr="001B7AC3" w:rsidRDefault="007337FD" w:rsidP="00022B10">
      <w:pPr>
        <w:pStyle w:val="Normal1"/>
        <w:jc w:val="both"/>
        <w:rPr>
          <w:sz w:val="22"/>
          <w:szCs w:val="22"/>
          <w:lang w:val="fr-FR"/>
        </w:rPr>
      </w:pPr>
      <w:r w:rsidRPr="001B7AC3">
        <w:rPr>
          <w:sz w:val="22"/>
          <w:szCs w:val="22"/>
          <w:lang w:val="fr-FR"/>
        </w:rPr>
        <w:t xml:space="preserve">6. </w:t>
      </w:r>
      <w:hyperlink r:id="rId64" w:history="1">
        <w:r w:rsidRPr="001B7AC3">
          <w:rPr>
            <w:sz w:val="22"/>
            <w:szCs w:val="22"/>
            <w:lang w:val="fr-FR"/>
          </w:rPr>
          <w:t>ONCFS: Rédaction d’une monographie sur la Sarcelle d’hiver (</w:t>
        </w:r>
      </w:hyperlink>
      <w:hyperlink r:id="rId65" w:history="1">
        <w:r w:rsidRPr="001B7AC3">
          <w:rPr>
            <w:i/>
            <w:sz w:val="22"/>
            <w:szCs w:val="22"/>
            <w:lang w:val="fr-FR"/>
          </w:rPr>
          <w:t>Anas crecca</w:t>
        </w:r>
      </w:hyperlink>
      <w:hyperlink r:id="rId66" w:history="1">
        <w:r w:rsidRPr="001B7AC3">
          <w:rPr>
            <w:sz w:val="22"/>
            <w:szCs w:val="22"/>
            <w:lang w:val="fr-FR"/>
          </w:rPr>
          <w:t>)</w:t>
        </w:r>
      </w:hyperlink>
    </w:p>
    <w:p w:rsidR="007337FD" w:rsidRPr="001B7AC3" w:rsidRDefault="00ED4862" w:rsidP="00022B10">
      <w:pPr>
        <w:pStyle w:val="Normal1"/>
        <w:jc w:val="both"/>
        <w:rPr>
          <w:sz w:val="22"/>
          <w:szCs w:val="22"/>
          <w:lang w:val="fr-FR"/>
        </w:rPr>
      </w:pPr>
      <w:hyperlink r:id="rId67" w:history="1"/>
    </w:p>
    <w:p w:rsidR="007337FD" w:rsidRPr="001B7AC3" w:rsidRDefault="00ED4862" w:rsidP="00022B10">
      <w:pPr>
        <w:pStyle w:val="Normal1"/>
        <w:jc w:val="both"/>
        <w:rPr>
          <w:sz w:val="22"/>
          <w:szCs w:val="22"/>
          <w:lang w:val="fr-FR"/>
        </w:rPr>
      </w:pPr>
      <w:hyperlink r:id="rId68" w:history="1">
        <w:r w:rsidR="007337FD" w:rsidRPr="001B7AC3">
          <w:rPr>
            <w:b/>
            <w:sz w:val="22"/>
            <w:szCs w:val="22"/>
            <w:lang w:val="fr-FR"/>
          </w:rPr>
          <w:t>2011</w:t>
        </w:r>
      </w:hyperlink>
    </w:p>
    <w:p w:rsidR="007337FD" w:rsidRPr="001B7AC3" w:rsidRDefault="007337FD" w:rsidP="00022B10">
      <w:pPr>
        <w:pStyle w:val="Normal1"/>
        <w:jc w:val="both"/>
        <w:rPr>
          <w:sz w:val="22"/>
          <w:szCs w:val="22"/>
          <w:lang w:val="fr-FR"/>
        </w:rPr>
      </w:pPr>
      <w:r w:rsidRPr="001B7AC3">
        <w:rPr>
          <w:sz w:val="22"/>
          <w:szCs w:val="22"/>
          <w:lang w:val="fr-FR"/>
        </w:rPr>
        <w:t xml:space="preserve">1. Initiative </w:t>
      </w:r>
      <w:hyperlink r:id="rId69" w:history="1">
        <w:r w:rsidRPr="001B7AC3">
          <w:rPr>
            <w:sz w:val="22"/>
            <w:szCs w:val="22"/>
            <w:lang w:val="fr-FR"/>
          </w:rPr>
          <w:t>NOWAC: Tendances à long</w:t>
        </w:r>
        <w:r w:rsidR="001B7AC3">
          <w:rPr>
            <w:sz w:val="22"/>
            <w:szCs w:val="22"/>
            <w:lang w:val="fr-FR"/>
          </w:rPr>
          <w:t xml:space="preserve"> </w:t>
        </w:r>
        <w:r w:rsidRPr="001B7AC3">
          <w:rPr>
            <w:sz w:val="22"/>
            <w:szCs w:val="22"/>
            <w:lang w:val="fr-FR"/>
          </w:rPr>
          <w:t>terme</w:t>
        </w:r>
        <w:r w:rsidR="00D90267" w:rsidRPr="001B7AC3">
          <w:rPr>
            <w:sz w:val="22"/>
            <w:szCs w:val="22"/>
            <w:lang w:val="fr-FR"/>
          </w:rPr>
          <w:t xml:space="preserve"> </w:t>
        </w:r>
        <w:r w:rsidRPr="001B7AC3">
          <w:rPr>
            <w:sz w:val="22"/>
            <w:szCs w:val="22"/>
            <w:lang w:val="fr-FR"/>
          </w:rPr>
          <w:t xml:space="preserve">dans les effets </w:t>
        </w:r>
        <w:r w:rsidR="00D90267" w:rsidRPr="001B7AC3">
          <w:rPr>
            <w:sz w:val="22"/>
            <w:szCs w:val="22"/>
            <w:lang w:val="fr-FR"/>
          </w:rPr>
          <w:t>écosystémiques sur</w:t>
        </w:r>
        <w:r w:rsidRPr="001B7AC3">
          <w:rPr>
            <w:sz w:val="22"/>
            <w:szCs w:val="22"/>
            <w:lang w:val="fr-FR"/>
          </w:rPr>
          <w:t xml:space="preserve"> la qualité et l’abondance alimentaire, et conséquences pour les tendances des populations des oiseaux d’eau migrateurs.</w:t>
        </w:r>
      </w:hyperlink>
    </w:p>
    <w:p w:rsidR="007337FD" w:rsidRPr="001B7AC3" w:rsidRDefault="007337FD" w:rsidP="00022B10">
      <w:pPr>
        <w:pStyle w:val="Normal1"/>
        <w:jc w:val="both"/>
        <w:rPr>
          <w:sz w:val="22"/>
          <w:szCs w:val="22"/>
          <w:lang w:val="fr-FR"/>
        </w:rPr>
      </w:pPr>
      <w:r w:rsidRPr="001B7AC3">
        <w:rPr>
          <w:sz w:val="22"/>
          <w:szCs w:val="22"/>
          <w:lang w:val="fr-FR"/>
        </w:rPr>
        <w:t xml:space="preserve">2. </w:t>
      </w:r>
      <w:hyperlink r:id="rId70" w:history="1">
        <w:r w:rsidRPr="001B7AC3">
          <w:rPr>
            <w:sz w:val="22"/>
            <w:szCs w:val="22"/>
            <w:lang w:val="fr-FR"/>
          </w:rPr>
          <w:t>CIRAD ESUR Animal et Gestion intégrée des risques : GRIPAVI –variations géographiques et saisonnières de la fréquence de l’influenza aviaire</w:t>
        </w:r>
      </w:hyperlink>
    </w:p>
    <w:p w:rsidR="007337FD" w:rsidRPr="001B7AC3" w:rsidRDefault="007337FD" w:rsidP="00022B10">
      <w:pPr>
        <w:pStyle w:val="Normal1"/>
        <w:jc w:val="both"/>
        <w:rPr>
          <w:sz w:val="22"/>
          <w:szCs w:val="22"/>
          <w:lang w:val="fr-FR"/>
        </w:rPr>
      </w:pPr>
      <w:r w:rsidRPr="001B7AC3">
        <w:rPr>
          <w:sz w:val="22"/>
          <w:szCs w:val="22"/>
          <w:lang w:val="fr-FR"/>
        </w:rPr>
        <w:t xml:space="preserve">3. Thèse de doctorat </w:t>
      </w:r>
      <w:hyperlink r:id="rId71" w:history="1">
        <w:r w:rsidRPr="001B7AC3">
          <w:rPr>
            <w:sz w:val="22"/>
            <w:szCs w:val="22"/>
            <w:lang w:val="fr-FR"/>
          </w:rPr>
          <w:t>IMARES: Tendances du Fuligule hivernant au nord-ouest de l’Europe</w:t>
        </w:r>
      </w:hyperlink>
    </w:p>
    <w:p w:rsidR="007337FD" w:rsidRPr="001B7AC3" w:rsidRDefault="007337FD" w:rsidP="00022B10">
      <w:pPr>
        <w:pStyle w:val="Normal1"/>
        <w:jc w:val="both"/>
        <w:rPr>
          <w:sz w:val="22"/>
          <w:szCs w:val="22"/>
          <w:lang w:val="fr-FR"/>
        </w:rPr>
      </w:pPr>
      <w:r w:rsidRPr="001B7AC3">
        <w:rPr>
          <w:sz w:val="22"/>
          <w:szCs w:val="22"/>
          <w:lang w:val="fr-FR"/>
        </w:rPr>
        <w:t xml:space="preserve">4. </w:t>
      </w:r>
      <w:hyperlink r:id="rId72" w:history="1">
        <w:r w:rsidRPr="001B7AC3">
          <w:rPr>
            <w:sz w:val="22"/>
            <w:szCs w:val="22"/>
            <w:lang w:val="fr-FR"/>
          </w:rPr>
          <w:t>CNRS: Influence des changements mondiaux sur les communautés d’échassiers</w:t>
        </w:r>
      </w:hyperlink>
    </w:p>
    <w:p w:rsidR="007337FD" w:rsidRPr="001B7AC3" w:rsidRDefault="007337FD" w:rsidP="00022B10">
      <w:pPr>
        <w:pStyle w:val="Normal1"/>
        <w:jc w:val="both"/>
        <w:rPr>
          <w:sz w:val="22"/>
          <w:szCs w:val="22"/>
          <w:lang w:val="fr-FR"/>
        </w:rPr>
      </w:pPr>
      <w:r w:rsidRPr="001B7AC3">
        <w:rPr>
          <w:sz w:val="22"/>
          <w:szCs w:val="22"/>
          <w:lang w:val="fr-FR"/>
        </w:rPr>
        <w:t xml:space="preserve">5. </w:t>
      </w:r>
      <w:hyperlink r:id="rId73" w:history="1">
        <w:r w:rsidRPr="001B7AC3">
          <w:rPr>
            <w:sz w:val="22"/>
            <w:szCs w:val="22"/>
            <w:lang w:val="fr-FR"/>
          </w:rPr>
          <w:t>Université de Lille: Évolution spatio-temporelle de la migration des canards marins sur les côtes européennes.</w:t>
        </w:r>
      </w:hyperlink>
    </w:p>
    <w:p w:rsidR="007337FD" w:rsidRPr="001B7AC3" w:rsidRDefault="007337FD" w:rsidP="00022B10">
      <w:pPr>
        <w:pStyle w:val="Normal1"/>
        <w:jc w:val="both"/>
        <w:rPr>
          <w:sz w:val="22"/>
          <w:szCs w:val="22"/>
          <w:lang w:val="fr-FR"/>
        </w:rPr>
      </w:pPr>
      <w:r w:rsidRPr="001B7AC3">
        <w:rPr>
          <w:sz w:val="22"/>
          <w:szCs w:val="22"/>
          <w:lang w:val="fr-FR"/>
        </w:rPr>
        <w:t xml:space="preserve">6. Station de réserve biologique de </w:t>
      </w:r>
      <w:hyperlink r:id="rId74" w:history="1">
        <w:r w:rsidRPr="001B7AC3">
          <w:rPr>
            <w:sz w:val="22"/>
            <w:szCs w:val="22"/>
            <w:lang w:val="fr-FR"/>
          </w:rPr>
          <w:t>Doñana: Dispersion sur de grandes distances des organismes aquatiques par les oiseaux d’eau</w:t>
        </w:r>
      </w:hyperlink>
    </w:p>
    <w:p w:rsidR="007337FD" w:rsidRPr="001B7AC3" w:rsidRDefault="007337FD" w:rsidP="00022B10">
      <w:pPr>
        <w:pStyle w:val="Normal1"/>
        <w:jc w:val="both"/>
        <w:rPr>
          <w:sz w:val="22"/>
          <w:szCs w:val="22"/>
          <w:lang w:val="fr-FR"/>
        </w:rPr>
      </w:pPr>
      <w:r w:rsidRPr="001B7AC3">
        <w:rPr>
          <w:sz w:val="22"/>
          <w:szCs w:val="22"/>
          <w:lang w:val="fr-FR"/>
        </w:rPr>
        <w:t xml:space="preserve">7. </w:t>
      </w:r>
      <w:hyperlink r:id="rId75" w:history="1">
        <w:r w:rsidRPr="001B7AC3">
          <w:rPr>
            <w:sz w:val="22"/>
            <w:szCs w:val="22"/>
            <w:lang w:val="fr-FR"/>
          </w:rPr>
          <w:t>Centre pour la recherche en écologie et les Applications forestières (CREAF): Tendances des populations d’oiseaux côtiers</w:t>
        </w:r>
      </w:hyperlink>
    </w:p>
    <w:sectPr w:rsidR="007337FD" w:rsidRPr="001B7AC3" w:rsidSect="008B0F73">
      <w:pgSz w:w="11907" w:h="16840" w:code="9"/>
      <w:pgMar w:top="1021" w:right="1134" w:bottom="851" w:left="1134"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7FD" w:rsidRDefault="007337FD">
      <w:r>
        <w:separator/>
      </w:r>
    </w:p>
  </w:endnote>
  <w:endnote w:type="continuationSeparator" w:id="0">
    <w:p w:rsidR="007337FD" w:rsidRDefault="0073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FD" w:rsidRPr="00321419" w:rsidRDefault="007337FD">
    <w:pPr>
      <w:pStyle w:val="Footer"/>
      <w:jc w:val="center"/>
      <w:rPr>
        <w:sz w:val="20"/>
      </w:rPr>
    </w:pPr>
    <w:r w:rsidRPr="00321419">
      <w:rPr>
        <w:sz w:val="20"/>
      </w:rPr>
      <w:fldChar w:fldCharType="begin"/>
    </w:r>
    <w:r w:rsidRPr="00321419">
      <w:rPr>
        <w:sz w:val="20"/>
      </w:rPr>
      <w:instrText xml:space="preserve"> PAGE   \* MERGEFORMAT </w:instrText>
    </w:r>
    <w:r w:rsidRPr="00321419">
      <w:rPr>
        <w:sz w:val="20"/>
      </w:rPr>
      <w:fldChar w:fldCharType="separate"/>
    </w:r>
    <w:r w:rsidR="00ED4862">
      <w:rPr>
        <w:noProof/>
        <w:sz w:val="20"/>
      </w:rPr>
      <w:t>10</w:t>
    </w:r>
    <w:r w:rsidRPr="0032141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7FD" w:rsidRDefault="007337FD">
      <w:r>
        <w:separator/>
      </w:r>
    </w:p>
  </w:footnote>
  <w:footnote w:type="continuationSeparator" w:id="0">
    <w:p w:rsidR="007337FD" w:rsidRDefault="007337FD">
      <w:r>
        <w:continuationSeparator/>
      </w:r>
    </w:p>
  </w:footnote>
  <w:footnote w:id="1">
    <w:p w:rsidR="007337FD" w:rsidRDefault="007337FD">
      <w:pPr>
        <w:pStyle w:val="Normal1"/>
      </w:pPr>
      <w:r w:rsidRPr="00492AE8">
        <w:rPr>
          <w:sz w:val="20"/>
          <w:vertAlign w:val="superscript"/>
        </w:rPr>
        <w:footnoteRef/>
      </w:r>
      <w:hyperlink r:id="rId1" w:history="1">
        <w:r w:rsidRPr="00492AE8">
          <w:rPr>
            <w:rStyle w:val="Hyperlink"/>
            <w:sz w:val="20"/>
          </w:rPr>
          <w:t>http://www.wetlands.org/AfricanEurasianWaterbirdCensus/tabid/2788/Default.aspx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0A0" w:firstRow="1" w:lastRow="0" w:firstColumn="1" w:lastColumn="0" w:noHBand="0" w:noVBand="0"/>
    </w:tblPr>
    <w:tblGrid>
      <w:gridCol w:w="2268"/>
      <w:gridCol w:w="4678"/>
      <w:gridCol w:w="2552"/>
    </w:tblGrid>
    <w:tr w:rsidR="007337FD" w:rsidRPr="00A00F73" w:rsidTr="00E15383">
      <w:trPr>
        <w:trHeight w:val="1256"/>
      </w:trPr>
      <w:tc>
        <w:tcPr>
          <w:tcW w:w="2268" w:type="dxa"/>
          <w:tcMar>
            <w:top w:w="0" w:type="dxa"/>
            <w:left w:w="108" w:type="dxa"/>
            <w:bottom w:w="0" w:type="dxa"/>
            <w:right w:w="108" w:type="dxa"/>
          </w:tcMar>
        </w:tcPr>
        <w:p w:rsidR="007337FD" w:rsidRDefault="00ED4862" w:rsidP="00850C6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AEWA_4Colours" style="width:65.25pt;height:54.75pt;visibility:visible">
                <v:imagedata r:id="rId1" o:title=""/>
              </v:shape>
            </w:pict>
          </w:r>
        </w:p>
      </w:tc>
      <w:tc>
        <w:tcPr>
          <w:tcW w:w="4678" w:type="dxa"/>
          <w:tcMar>
            <w:top w:w="0" w:type="dxa"/>
            <w:left w:w="108" w:type="dxa"/>
            <w:bottom w:w="0" w:type="dxa"/>
            <w:right w:w="108" w:type="dxa"/>
          </w:tcMar>
        </w:tcPr>
        <w:p w:rsidR="007337FD" w:rsidRPr="00C31EF1" w:rsidRDefault="007337FD" w:rsidP="00850C64">
          <w:pPr>
            <w:tabs>
              <w:tab w:val="left" w:pos="2871"/>
            </w:tabs>
            <w:jc w:val="center"/>
            <w:rPr>
              <w:lang w:val="fr-FR"/>
            </w:rPr>
          </w:pPr>
          <w:r>
            <w:rPr>
              <w:i/>
              <w:caps/>
              <w:sz w:val="20"/>
              <w:lang w:val="fr-FR"/>
            </w:rPr>
            <w:t>ACCORD SUR LA CONSERVATION DES OISEAUX D’eau migrateurs D’afrique-eurasie</w:t>
          </w:r>
        </w:p>
      </w:tc>
      <w:tc>
        <w:tcPr>
          <w:tcW w:w="2552" w:type="dxa"/>
          <w:tcMar>
            <w:top w:w="0" w:type="dxa"/>
            <w:left w:w="108" w:type="dxa"/>
            <w:bottom w:w="0" w:type="dxa"/>
            <w:right w:w="108" w:type="dxa"/>
          </w:tcMar>
        </w:tcPr>
        <w:p w:rsidR="007337FD" w:rsidRPr="00C31EF1" w:rsidRDefault="007337FD" w:rsidP="00850C64">
          <w:pPr>
            <w:ind w:left="-108"/>
            <w:jc w:val="right"/>
            <w:rPr>
              <w:lang w:val="fr-FR"/>
            </w:rPr>
          </w:pPr>
          <w:r>
            <w:rPr>
              <w:i/>
              <w:iCs/>
              <w:sz w:val="20"/>
              <w:lang w:val="fr-FR"/>
            </w:rPr>
            <w:t xml:space="preserve">Doc: </w:t>
          </w:r>
          <w:r>
            <w:rPr>
              <w:bCs/>
              <w:i/>
              <w:iCs/>
              <w:sz w:val="20"/>
              <w:lang w:val="fr-FR"/>
            </w:rPr>
            <w:t>AEWA/MOP 6.24</w:t>
          </w:r>
        </w:p>
        <w:p w:rsidR="007337FD" w:rsidRPr="00C31EF1" w:rsidRDefault="007337FD" w:rsidP="00850C64">
          <w:pPr>
            <w:ind w:left="-108"/>
            <w:jc w:val="right"/>
            <w:rPr>
              <w:lang w:val="fr-FR"/>
            </w:rPr>
          </w:pPr>
          <w:r>
            <w:rPr>
              <w:i/>
              <w:iCs/>
              <w:sz w:val="20"/>
              <w:lang w:val="fr-FR"/>
            </w:rPr>
            <w:t>Point 22</w:t>
          </w:r>
          <w:r>
            <w:rPr>
              <w:bCs/>
              <w:i/>
              <w:iCs/>
              <w:sz w:val="20"/>
              <w:lang w:val="fr-FR"/>
            </w:rPr>
            <w:t xml:space="preserve"> de l’ordre du jour</w:t>
          </w:r>
        </w:p>
        <w:p w:rsidR="007337FD" w:rsidRPr="00C31EF1" w:rsidRDefault="007337FD" w:rsidP="00850C64">
          <w:pPr>
            <w:jc w:val="right"/>
            <w:rPr>
              <w:lang w:val="fr-FR"/>
            </w:rPr>
          </w:pPr>
          <w:r>
            <w:rPr>
              <w:i/>
              <w:iCs/>
              <w:sz w:val="20"/>
              <w:lang w:val="fr-FR"/>
            </w:rPr>
            <w:t>Original: Anglais</w:t>
          </w:r>
        </w:p>
        <w:p w:rsidR="007337FD" w:rsidRDefault="007337FD" w:rsidP="00850C64">
          <w:pPr>
            <w:jc w:val="right"/>
            <w:rPr>
              <w:bCs/>
              <w:i/>
              <w:iCs/>
              <w:sz w:val="20"/>
              <w:lang w:val="fr-FR"/>
            </w:rPr>
          </w:pPr>
        </w:p>
        <w:p w:rsidR="007337FD" w:rsidRDefault="007337FD" w:rsidP="00850C64">
          <w:pPr>
            <w:jc w:val="right"/>
            <w:rPr>
              <w:i/>
              <w:iCs/>
              <w:sz w:val="20"/>
              <w:lang w:val="fr-FR"/>
            </w:rPr>
          </w:pPr>
          <w:r>
            <w:rPr>
              <w:i/>
              <w:iCs/>
              <w:sz w:val="20"/>
              <w:lang w:val="fr-FR"/>
            </w:rPr>
            <w:t>Date:</w:t>
          </w:r>
          <w:r w:rsidR="00D90267">
            <w:rPr>
              <w:i/>
              <w:iCs/>
              <w:sz w:val="20"/>
              <w:lang w:val="fr-FR"/>
            </w:rPr>
            <w:t xml:space="preserve">10 </w:t>
          </w:r>
          <w:r w:rsidR="001B7AC3">
            <w:rPr>
              <w:i/>
              <w:iCs/>
              <w:sz w:val="20"/>
              <w:lang w:val="fr-FR"/>
            </w:rPr>
            <w:t>ao</w:t>
          </w:r>
          <w:r w:rsidR="001B7AC3" w:rsidRPr="00D90267">
            <w:rPr>
              <w:i/>
              <w:iCs/>
              <w:sz w:val="20"/>
              <w:lang w:val="fr-FR"/>
            </w:rPr>
            <w:t>û</w:t>
          </w:r>
          <w:r w:rsidR="001B7AC3">
            <w:rPr>
              <w:i/>
              <w:iCs/>
              <w:sz w:val="20"/>
              <w:lang w:val="fr-FR"/>
            </w:rPr>
            <w:t>t</w:t>
          </w:r>
          <w:r>
            <w:rPr>
              <w:i/>
              <w:iCs/>
              <w:sz w:val="20"/>
              <w:lang w:val="fr-FR"/>
            </w:rPr>
            <w:t xml:space="preserve"> 2015</w:t>
          </w:r>
        </w:p>
        <w:p w:rsidR="007337FD" w:rsidRDefault="007337FD" w:rsidP="00850C64">
          <w:pPr>
            <w:jc w:val="right"/>
            <w:rPr>
              <w:sz w:val="18"/>
              <w:szCs w:val="18"/>
              <w:lang w:val="fr-FR"/>
            </w:rPr>
          </w:pPr>
        </w:p>
      </w:tc>
    </w:tr>
    <w:tr w:rsidR="007337FD" w:rsidTr="00E15383">
      <w:tc>
        <w:tcPr>
          <w:tcW w:w="9498" w:type="dxa"/>
          <w:gridSpan w:val="3"/>
          <w:tcMar>
            <w:top w:w="0" w:type="dxa"/>
            <w:left w:w="108" w:type="dxa"/>
            <w:bottom w:w="0" w:type="dxa"/>
            <w:right w:w="108" w:type="dxa"/>
          </w:tcMar>
        </w:tcPr>
        <w:p w:rsidR="007337FD" w:rsidRPr="00C31EF1" w:rsidRDefault="007337FD" w:rsidP="00850C64">
          <w:pPr>
            <w:pStyle w:val="BodyText2"/>
            <w:jc w:val="center"/>
            <w:rPr>
              <w:lang w:val="fr-FR"/>
            </w:rPr>
          </w:pPr>
          <w:r>
            <w:rPr>
              <w:b/>
              <w:bCs/>
              <w:sz w:val="26"/>
              <w:szCs w:val="26"/>
              <w:lang w:val="fr-FR"/>
            </w:rPr>
            <w:t>6</w:t>
          </w:r>
          <w:r>
            <w:rPr>
              <w:b/>
              <w:bCs/>
              <w:sz w:val="26"/>
              <w:szCs w:val="26"/>
              <w:vertAlign w:val="superscript"/>
              <w:lang w:val="fr-FR"/>
            </w:rPr>
            <w:t>ème</w:t>
          </w:r>
          <w:r>
            <w:rPr>
              <w:b/>
              <w:bCs/>
              <w:caps/>
              <w:sz w:val="26"/>
              <w:szCs w:val="26"/>
              <w:lang w:val="fr-FR"/>
            </w:rPr>
            <w:t>Session de la rÉunion des parties contractantes</w:t>
          </w:r>
        </w:p>
        <w:p w:rsidR="007337FD" w:rsidRDefault="007337FD" w:rsidP="00850C64">
          <w:pPr>
            <w:jc w:val="center"/>
          </w:pPr>
          <w:r>
            <w:rPr>
              <w:i/>
              <w:iCs/>
              <w:lang w:val="fr-FR"/>
            </w:rPr>
            <w:t>9-14 novembre 2015, Bonn, Allemagne</w:t>
          </w:r>
        </w:p>
      </w:tc>
    </w:tr>
    <w:tr w:rsidR="007337FD" w:rsidRPr="00ED4862" w:rsidTr="00E15383">
      <w:trPr>
        <w:trHeight w:val="702"/>
      </w:trPr>
      <w:tc>
        <w:tcPr>
          <w:tcW w:w="9498" w:type="dxa"/>
          <w:gridSpan w:val="3"/>
          <w:tcBorders>
            <w:bottom w:val="single" w:sz="8" w:space="0" w:color="000000"/>
          </w:tcBorders>
          <w:tcMar>
            <w:top w:w="0" w:type="dxa"/>
            <w:left w:w="108" w:type="dxa"/>
            <w:bottom w:w="0" w:type="dxa"/>
            <w:right w:w="108" w:type="dxa"/>
          </w:tcMar>
          <w:vAlign w:val="center"/>
        </w:tcPr>
        <w:p w:rsidR="007337FD" w:rsidRPr="00F13138" w:rsidRDefault="007337FD" w:rsidP="00850C64">
          <w:pPr>
            <w:pStyle w:val="BodyText2"/>
            <w:jc w:val="center"/>
            <w:rPr>
              <w:bCs/>
              <w:i/>
              <w:sz w:val="24"/>
              <w:lang w:val="fr-FR"/>
            </w:rPr>
          </w:pPr>
          <w:r w:rsidRPr="00F13138">
            <w:rPr>
              <w:bCs/>
              <w:i/>
              <w:sz w:val="24"/>
              <w:lang w:val="fr-FR"/>
            </w:rPr>
            <w:t>« Concrétiser la conservation au niveau de la voie de migration »</w:t>
          </w:r>
        </w:p>
      </w:tc>
    </w:tr>
  </w:tbl>
  <w:p w:rsidR="007337FD" w:rsidRDefault="007337FD" w:rsidP="00850C64">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FD" w:rsidRPr="00A25044" w:rsidRDefault="007337FD" w:rsidP="00A25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600C"/>
    <w:multiLevelType w:val="multilevel"/>
    <w:tmpl w:val="FFE69EB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 w15:restartNumberingAfterBreak="0">
    <w:nsid w:val="27CC6AB4"/>
    <w:multiLevelType w:val="multilevel"/>
    <w:tmpl w:val="80D04564"/>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 w15:restartNumberingAfterBreak="0">
    <w:nsid w:val="48232EFD"/>
    <w:multiLevelType w:val="multilevel"/>
    <w:tmpl w:val="A0902890"/>
    <w:lvl w:ilvl="0">
      <w:start w:val="1"/>
      <w:numFmt w:val="decimal"/>
      <w:lvlText w:val="%1."/>
      <w:lvlJc w:val="left"/>
      <w:pPr>
        <w:ind w:left="720" w:firstLine="360"/>
      </w:pPr>
      <w:rPr>
        <w:rFonts w:cs="Times New Roman"/>
        <w:sz w:val="22"/>
        <w:szCs w:val="22"/>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hyphenationZone w:val="425"/>
  <w:drawingGridHorizontalSpacing w:val="181"/>
  <w:drawingGridVerticalSpacing w:val="181"/>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F08"/>
    <w:rsid w:val="0000666B"/>
    <w:rsid w:val="000211FD"/>
    <w:rsid w:val="00022B10"/>
    <w:rsid w:val="000269FF"/>
    <w:rsid w:val="00041564"/>
    <w:rsid w:val="00044C37"/>
    <w:rsid w:val="00045537"/>
    <w:rsid w:val="0005408A"/>
    <w:rsid w:val="00062A37"/>
    <w:rsid w:val="00064EDA"/>
    <w:rsid w:val="000B4E6C"/>
    <w:rsid w:val="00144724"/>
    <w:rsid w:val="001515AB"/>
    <w:rsid w:val="001717B9"/>
    <w:rsid w:val="0018787C"/>
    <w:rsid w:val="001B7AC3"/>
    <w:rsid w:val="001C54D8"/>
    <w:rsid w:val="001C6A7F"/>
    <w:rsid w:val="001E2CBF"/>
    <w:rsid w:val="001E32FF"/>
    <w:rsid w:val="001E4C43"/>
    <w:rsid w:val="00222F08"/>
    <w:rsid w:val="002500B2"/>
    <w:rsid w:val="00252734"/>
    <w:rsid w:val="00252AAC"/>
    <w:rsid w:val="002A3A7B"/>
    <w:rsid w:val="002B2244"/>
    <w:rsid w:val="00314CD9"/>
    <w:rsid w:val="003150D5"/>
    <w:rsid w:val="00321419"/>
    <w:rsid w:val="00362AA5"/>
    <w:rsid w:val="003741AF"/>
    <w:rsid w:val="003C36F4"/>
    <w:rsid w:val="003E2A0F"/>
    <w:rsid w:val="003F1317"/>
    <w:rsid w:val="00421462"/>
    <w:rsid w:val="00441F6D"/>
    <w:rsid w:val="00453A60"/>
    <w:rsid w:val="00492AE8"/>
    <w:rsid w:val="004D04BD"/>
    <w:rsid w:val="004D6AA4"/>
    <w:rsid w:val="00556586"/>
    <w:rsid w:val="005647E1"/>
    <w:rsid w:val="005F3AF9"/>
    <w:rsid w:val="006052D1"/>
    <w:rsid w:val="00630730"/>
    <w:rsid w:val="006963FD"/>
    <w:rsid w:val="006A4DDC"/>
    <w:rsid w:val="006B2AEC"/>
    <w:rsid w:val="006E7F23"/>
    <w:rsid w:val="007337FD"/>
    <w:rsid w:val="00743092"/>
    <w:rsid w:val="00767BDC"/>
    <w:rsid w:val="007B1157"/>
    <w:rsid w:val="007E68A8"/>
    <w:rsid w:val="00810344"/>
    <w:rsid w:val="008351AC"/>
    <w:rsid w:val="00850C64"/>
    <w:rsid w:val="0086358C"/>
    <w:rsid w:val="00884AC0"/>
    <w:rsid w:val="00891A01"/>
    <w:rsid w:val="008B0F73"/>
    <w:rsid w:val="008D3B81"/>
    <w:rsid w:val="009257BC"/>
    <w:rsid w:val="00932744"/>
    <w:rsid w:val="00934395"/>
    <w:rsid w:val="009456DC"/>
    <w:rsid w:val="0097269A"/>
    <w:rsid w:val="009936BB"/>
    <w:rsid w:val="009A2058"/>
    <w:rsid w:val="009B6775"/>
    <w:rsid w:val="009E2113"/>
    <w:rsid w:val="009F35C7"/>
    <w:rsid w:val="00A00F73"/>
    <w:rsid w:val="00A01877"/>
    <w:rsid w:val="00A05F30"/>
    <w:rsid w:val="00A25044"/>
    <w:rsid w:val="00A45948"/>
    <w:rsid w:val="00A64FA5"/>
    <w:rsid w:val="00A67B16"/>
    <w:rsid w:val="00A74894"/>
    <w:rsid w:val="00AB08AA"/>
    <w:rsid w:val="00AB23C8"/>
    <w:rsid w:val="00AC6ECF"/>
    <w:rsid w:val="00AE631A"/>
    <w:rsid w:val="00B44F96"/>
    <w:rsid w:val="00BD61D8"/>
    <w:rsid w:val="00C074BD"/>
    <w:rsid w:val="00C20D15"/>
    <w:rsid w:val="00C21331"/>
    <w:rsid w:val="00C24F05"/>
    <w:rsid w:val="00C31EF1"/>
    <w:rsid w:val="00CA1884"/>
    <w:rsid w:val="00CF3B09"/>
    <w:rsid w:val="00D0145E"/>
    <w:rsid w:val="00D10D84"/>
    <w:rsid w:val="00D26937"/>
    <w:rsid w:val="00D50D42"/>
    <w:rsid w:val="00D832CD"/>
    <w:rsid w:val="00D90267"/>
    <w:rsid w:val="00DD187B"/>
    <w:rsid w:val="00DD45F1"/>
    <w:rsid w:val="00E03BCA"/>
    <w:rsid w:val="00E05628"/>
    <w:rsid w:val="00E15383"/>
    <w:rsid w:val="00E4526D"/>
    <w:rsid w:val="00E72709"/>
    <w:rsid w:val="00E8284F"/>
    <w:rsid w:val="00E9022C"/>
    <w:rsid w:val="00E92D80"/>
    <w:rsid w:val="00ED4862"/>
    <w:rsid w:val="00F13138"/>
    <w:rsid w:val="00F3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5:docId w15:val="{2027516A-630D-4056-B762-9AF92ED9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F30"/>
    <w:rPr>
      <w:color w:val="000000"/>
      <w:sz w:val="24"/>
      <w:szCs w:val="20"/>
      <w:lang w:val="en-GB"/>
    </w:rPr>
  </w:style>
  <w:style w:type="paragraph" w:styleId="Heading1">
    <w:name w:val="heading 1"/>
    <w:basedOn w:val="Normal1"/>
    <w:next w:val="Normal1"/>
    <w:link w:val="Heading1Char"/>
    <w:uiPriority w:val="99"/>
    <w:qFormat/>
    <w:rsid w:val="00A05F30"/>
    <w:pPr>
      <w:keepNext/>
      <w:keepLines/>
      <w:spacing w:before="240" w:after="120"/>
      <w:ind w:left="432" w:hanging="432"/>
      <w:outlineLvl w:val="0"/>
    </w:pPr>
    <w:rPr>
      <w:b/>
      <w:sz w:val="32"/>
    </w:rPr>
  </w:style>
  <w:style w:type="paragraph" w:styleId="Heading2">
    <w:name w:val="heading 2"/>
    <w:basedOn w:val="Normal1"/>
    <w:next w:val="Normal1"/>
    <w:link w:val="Heading2Char"/>
    <w:uiPriority w:val="99"/>
    <w:qFormat/>
    <w:rsid w:val="00A05F30"/>
    <w:pPr>
      <w:keepNext/>
      <w:keepLines/>
      <w:spacing w:before="360" w:after="80"/>
      <w:contextualSpacing/>
      <w:outlineLvl w:val="1"/>
    </w:pPr>
    <w:rPr>
      <w:b/>
      <w:sz w:val="36"/>
    </w:rPr>
  </w:style>
  <w:style w:type="paragraph" w:styleId="Heading3">
    <w:name w:val="heading 3"/>
    <w:basedOn w:val="Normal1"/>
    <w:next w:val="Normal1"/>
    <w:link w:val="Heading3Char"/>
    <w:uiPriority w:val="99"/>
    <w:qFormat/>
    <w:rsid w:val="00A05F30"/>
    <w:pPr>
      <w:keepNext/>
      <w:keepLines/>
      <w:spacing w:before="240" w:after="60"/>
      <w:outlineLvl w:val="2"/>
    </w:pPr>
    <w:rPr>
      <w:rFonts w:ascii="Arial" w:hAnsi="Arial" w:cs="Arial"/>
      <w:b/>
      <w:sz w:val="26"/>
    </w:rPr>
  </w:style>
  <w:style w:type="paragraph" w:styleId="Heading4">
    <w:name w:val="heading 4"/>
    <w:basedOn w:val="Normal1"/>
    <w:next w:val="Normal1"/>
    <w:link w:val="Heading4Char"/>
    <w:uiPriority w:val="99"/>
    <w:qFormat/>
    <w:rsid w:val="00A05F30"/>
    <w:pPr>
      <w:keepNext/>
      <w:keepLines/>
      <w:spacing w:before="240" w:after="60"/>
      <w:outlineLvl w:val="3"/>
    </w:pPr>
    <w:rPr>
      <w:b/>
      <w:sz w:val="28"/>
    </w:rPr>
  </w:style>
  <w:style w:type="paragraph" w:styleId="Heading5">
    <w:name w:val="heading 5"/>
    <w:basedOn w:val="Normal1"/>
    <w:next w:val="Normal1"/>
    <w:link w:val="Heading5Char"/>
    <w:uiPriority w:val="99"/>
    <w:qFormat/>
    <w:rsid w:val="00A05F30"/>
    <w:pPr>
      <w:keepNext/>
      <w:keepLines/>
      <w:spacing w:before="220" w:after="40"/>
      <w:contextualSpacing/>
      <w:outlineLvl w:val="4"/>
    </w:pPr>
    <w:rPr>
      <w:b/>
      <w:sz w:val="22"/>
    </w:rPr>
  </w:style>
  <w:style w:type="paragraph" w:styleId="Heading6">
    <w:name w:val="heading 6"/>
    <w:basedOn w:val="Normal1"/>
    <w:next w:val="Normal1"/>
    <w:link w:val="Heading6Char"/>
    <w:uiPriority w:val="99"/>
    <w:qFormat/>
    <w:rsid w:val="00A05F3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Gothic" w:hAnsi="Cambria" w:cs="Times New Roman"/>
      <w:b/>
      <w:bCs/>
      <w:color w:val="000000"/>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eastAsia="MS Gothic" w:hAnsi="Cambria" w:cs="Times New Roman"/>
      <w:b/>
      <w:bCs/>
      <w:i/>
      <w:iCs/>
      <w:color w:val="000000"/>
      <w:sz w:val="28"/>
      <w:szCs w:val="28"/>
      <w:lang w:val="en-GB" w:eastAsia="en-US"/>
    </w:rPr>
  </w:style>
  <w:style w:type="character" w:customStyle="1" w:styleId="Heading3Char">
    <w:name w:val="Heading 3 Char"/>
    <w:basedOn w:val="DefaultParagraphFont"/>
    <w:link w:val="Heading3"/>
    <w:uiPriority w:val="99"/>
    <w:semiHidden/>
    <w:locked/>
    <w:rPr>
      <w:rFonts w:ascii="Cambria" w:eastAsia="MS Gothic" w:hAnsi="Cambria" w:cs="Times New Roman"/>
      <w:b/>
      <w:bCs/>
      <w:color w:val="000000"/>
      <w:sz w:val="26"/>
      <w:szCs w:val="26"/>
      <w:lang w:val="en-GB" w:eastAsia="en-US"/>
    </w:rPr>
  </w:style>
  <w:style w:type="character" w:customStyle="1" w:styleId="Heading4Char">
    <w:name w:val="Heading 4 Char"/>
    <w:basedOn w:val="DefaultParagraphFont"/>
    <w:link w:val="Heading4"/>
    <w:uiPriority w:val="99"/>
    <w:semiHidden/>
    <w:locked/>
    <w:rPr>
      <w:rFonts w:ascii="Calibri" w:eastAsia="MS Mincho" w:hAnsi="Calibri" w:cs="Times New Roman"/>
      <w:b/>
      <w:bCs/>
      <w:color w:val="000000"/>
      <w:sz w:val="28"/>
      <w:szCs w:val="28"/>
      <w:lang w:val="en-GB" w:eastAsia="en-US"/>
    </w:rPr>
  </w:style>
  <w:style w:type="character" w:customStyle="1" w:styleId="Heading5Char">
    <w:name w:val="Heading 5 Char"/>
    <w:basedOn w:val="DefaultParagraphFont"/>
    <w:link w:val="Heading5"/>
    <w:uiPriority w:val="99"/>
    <w:semiHidden/>
    <w:locked/>
    <w:rPr>
      <w:rFonts w:ascii="Calibri" w:eastAsia="MS Mincho" w:hAnsi="Calibri" w:cs="Times New Roman"/>
      <w:b/>
      <w:bCs/>
      <w:i/>
      <w:iCs/>
      <w:color w:val="000000"/>
      <w:sz w:val="26"/>
      <w:szCs w:val="26"/>
      <w:lang w:val="en-GB" w:eastAsia="en-US"/>
    </w:rPr>
  </w:style>
  <w:style w:type="character" w:customStyle="1" w:styleId="Heading6Char">
    <w:name w:val="Heading 6 Char"/>
    <w:basedOn w:val="DefaultParagraphFont"/>
    <w:link w:val="Heading6"/>
    <w:uiPriority w:val="99"/>
    <w:semiHidden/>
    <w:locked/>
    <w:rPr>
      <w:rFonts w:ascii="Calibri" w:eastAsia="MS Mincho" w:hAnsi="Calibri" w:cs="Times New Roman"/>
      <w:b/>
      <w:bCs/>
      <w:color w:val="000000"/>
      <w:lang w:val="en-GB" w:eastAsia="en-US"/>
    </w:rPr>
  </w:style>
  <w:style w:type="paragraph" w:customStyle="1" w:styleId="Normal1">
    <w:name w:val="Normal1"/>
    <w:uiPriority w:val="99"/>
    <w:rsid w:val="00A05F30"/>
    <w:rPr>
      <w:color w:val="000000"/>
      <w:sz w:val="24"/>
      <w:szCs w:val="20"/>
      <w:lang w:val="en-GB"/>
    </w:rPr>
  </w:style>
  <w:style w:type="paragraph" w:styleId="Title">
    <w:name w:val="Title"/>
    <w:basedOn w:val="Normal1"/>
    <w:next w:val="Normal1"/>
    <w:link w:val="TitleChar"/>
    <w:uiPriority w:val="99"/>
    <w:qFormat/>
    <w:rsid w:val="00A05F30"/>
    <w:pPr>
      <w:keepNext/>
      <w:keepLines/>
      <w:spacing w:before="240" w:after="60"/>
      <w:jc w:val="center"/>
    </w:pPr>
    <w:rPr>
      <w:rFonts w:ascii="Arial" w:hAnsi="Arial" w:cs="Arial"/>
      <w:b/>
      <w:sz w:val="32"/>
    </w:rPr>
  </w:style>
  <w:style w:type="character" w:customStyle="1" w:styleId="TitleChar">
    <w:name w:val="Title Char"/>
    <w:basedOn w:val="DefaultParagraphFont"/>
    <w:link w:val="Title"/>
    <w:uiPriority w:val="99"/>
    <w:locked/>
    <w:rPr>
      <w:rFonts w:ascii="Cambria" w:eastAsia="MS Gothic" w:hAnsi="Cambria" w:cs="Times New Roman"/>
      <w:b/>
      <w:bCs/>
      <w:color w:val="000000"/>
      <w:kern w:val="28"/>
      <w:sz w:val="32"/>
      <w:szCs w:val="32"/>
      <w:lang w:val="en-GB" w:eastAsia="en-US"/>
    </w:rPr>
  </w:style>
  <w:style w:type="paragraph" w:styleId="Subtitle">
    <w:name w:val="Subtitle"/>
    <w:basedOn w:val="Normal1"/>
    <w:next w:val="Normal1"/>
    <w:link w:val="SubtitleChar"/>
    <w:uiPriority w:val="99"/>
    <w:qFormat/>
    <w:rsid w:val="00A05F30"/>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99"/>
    <w:locked/>
    <w:rPr>
      <w:rFonts w:ascii="Cambria" w:eastAsia="MS Gothic" w:hAnsi="Cambria" w:cs="Times New Roman"/>
      <w:color w:val="000000"/>
      <w:sz w:val="24"/>
      <w:szCs w:val="24"/>
      <w:lang w:val="en-GB" w:eastAsia="en-US"/>
    </w:rPr>
  </w:style>
  <w:style w:type="table" w:customStyle="1" w:styleId="Style">
    <w:name w:val="Style"/>
    <w:uiPriority w:val="99"/>
    <w:rsid w:val="00A05F30"/>
    <w:rPr>
      <w:sz w:val="20"/>
      <w:szCs w:val="20"/>
      <w:lang w:val="fr-FR" w:eastAsia="fr-FR"/>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A05F30"/>
    <w:rPr>
      <w:sz w:val="20"/>
      <w:szCs w:val="20"/>
      <w:lang w:val="fr-FR" w:eastAsia="fr-FR"/>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rsid w:val="00A05F30"/>
    <w:rPr>
      <w:szCs w:val="24"/>
    </w:rPr>
  </w:style>
  <w:style w:type="character" w:customStyle="1" w:styleId="CommentTextChar">
    <w:name w:val="Comment Text Char"/>
    <w:basedOn w:val="DefaultParagraphFont"/>
    <w:link w:val="CommentText"/>
    <w:uiPriority w:val="99"/>
    <w:semiHidden/>
    <w:locked/>
    <w:rsid w:val="00A05F30"/>
    <w:rPr>
      <w:rFonts w:cs="Times New Roman"/>
      <w:sz w:val="24"/>
      <w:szCs w:val="24"/>
    </w:rPr>
  </w:style>
  <w:style w:type="character" w:styleId="CommentReference">
    <w:name w:val="annotation reference"/>
    <w:basedOn w:val="DefaultParagraphFont"/>
    <w:uiPriority w:val="99"/>
    <w:semiHidden/>
    <w:rsid w:val="00A05F30"/>
    <w:rPr>
      <w:rFonts w:cs="Times New Roman"/>
      <w:sz w:val="18"/>
      <w:szCs w:val="18"/>
    </w:rPr>
  </w:style>
  <w:style w:type="table" w:styleId="TableGrid">
    <w:name w:val="Table Grid"/>
    <w:basedOn w:val="TableNormal"/>
    <w:uiPriority w:val="99"/>
    <w:rsid w:val="002500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269A"/>
    <w:rPr>
      <w:color w:val="000000"/>
      <w:sz w:val="24"/>
      <w:szCs w:val="20"/>
      <w:lang w:val="en-GB"/>
    </w:rPr>
  </w:style>
  <w:style w:type="paragraph" w:styleId="BalloonText">
    <w:name w:val="Balloon Text"/>
    <w:basedOn w:val="Normal"/>
    <w:link w:val="BalloonTextChar"/>
    <w:uiPriority w:val="99"/>
    <w:semiHidden/>
    <w:rsid w:val="009726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7269A"/>
    <w:rPr>
      <w:rFonts w:ascii="Lucida Grande" w:hAnsi="Lucida Grande" w:cs="Lucida Grande"/>
      <w:sz w:val="18"/>
      <w:szCs w:val="18"/>
    </w:rPr>
  </w:style>
  <w:style w:type="paragraph" w:styleId="Header">
    <w:name w:val="header"/>
    <w:basedOn w:val="Normal"/>
    <w:link w:val="HeaderChar"/>
    <w:uiPriority w:val="99"/>
    <w:rsid w:val="00B44F96"/>
    <w:pPr>
      <w:tabs>
        <w:tab w:val="center" w:pos="4320"/>
        <w:tab w:val="right" w:pos="8640"/>
      </w:tabs>
    </w:pPr>
  </w:style>
  <w:style w:type="character" w:customStyle="1" w:styleId="HeaderChar">
    <w:name w:val="Header Char"/>
    <w:basedOn w:val="DefaultParagraphFont"/>
    <w:link w:val="Header"/>
    <w:uiPriority w:val="99"/>
    <w:locked/>
    <w:rsid w:val="00B44F96"/>
    <w:rPr>
      <w:rFonts w:cs="Times New Roman"/>
    </w:rPr>
  </w:style>
  <w:style w:type="paragraph" w:styleId="Footer">
    <w:name w:val="footer"/>
    <w:basedOn w:val="Normal"/>
    <w:link w:val="FooterChar"/>
    <w:uiPriority w:val="99"/>
    <w:rsid w:val="00B44F96"/>
    <w:pPr>
      <w:tabs>
        <w:tab w:val="center" w:pos="4320"/>
        <w:tab w:val="right" w:pos="8640"/>
      </w:tabs>
    </w:pPr>
  </w:style>
  <w:style w:type="character" w:customStyle="1" w:styleId="FooterChar">
    <w:name w:val="Footer Char"/>
    <w:basedOn w:val="DefaultParagraphFont"/>
    <w:link w:val="Footer"/>
    <w:uiPriority w:val="99"/>
    <w:locked/>
    <w:rsid w:val="00B44F96"/>
    <w:rPr>
      <w:rFonts w:cs="Times New Roman"/>
    </w:rPr>
  </w:style>
  <w:style w:type="character" w:styleId="Hyperlink">
    <w:name w:val="Hyperlink"/>
    <w:basedOn w:val="DefaultParagraphFont"/>
    <w:uiPriority w:val="99"/>
    <w:rsid w:val="003741AF"/>
    <w:rPr>
      <w:rFonts w:cs="Times New Roman"/>
      <w:color w:val="0000FF"/>
      <w:u w:val="single"/>
    </w:rPr>
  </w:style>
  <w:style w:type="paragraph" w:styleId="CommentSubject">
    <w:name w:val="annotation subject"/>
    <w:basedOn w:val="CommentText"/>
    <w:next w:val="CommentText"/>
    <w:link w:val="CommentSubjectChar"/>
    <w:uiPriority w:val="99"/>
    <w:semiHidden/>
    <w:rsid w:val="003741AF"/>
    <w:rPr>
      <w:b/>
      <w:bCs/>
      <w:sz w:val="20"/>
      <w:szCs w:val="20"/>
    </w:rPr>
  </w:style>
  <w:style w:type="character" w:customStyle="1" w:styleId="CommentSubjectChar">
    <w:name w:val="Comment Subject Char"/>
    <w:basedOn w:val="CommentTextChar"/>
    <w:link w:val="CommentSubject"/>
    <w:uiPriority w:val="99"/>
    <w:semiHidden/>
    <w:locked/>
    <w:rPr>
      <w:rFonts w:cs="Times New Roman"/>
      <w:b/>
      <w:bCs/>
      <w:color w:val="000000"/>
      <w:sz w:val="20"/>
      <w:szCs w:val="20"/>
      <w:lang w:val="en-GB" w:eastAsia="en-US"/>
    </w:rPr>
  </w:style>
  <w:style w:type="paragraph" w:styleId="ListParagraph">
    <w:name w:val="List Paragraph"/>
    <w:basedOn w:val="Normal"/>
    <w:uiPriority w:val="99"/>
    <w:qFormat/>
    <w:rsid w:val="00BD61D8"/>
    <w:pPr>
      <w:ind w:left="720"/>
      <w:contextualSpacing/>
    </w:pPr>
  </w:style>
  <w:style w:type="paragraph" w:styleId="FootnoteText">
    <w:name w:val="footnote text"/>
    <w:basedOn w:val="Normal"/>
    <w:link w:val="FootnoteTextChar"/>
    <w:uiPriority w:val="99"/>
    <w:semiHidden/>
    <w:rsid w:val="008351AC"/>
    <w:rPr>
      <w:sz w:val="20"/>
    </w:rPr>
  </w:style>
  <w:style w:type="character" w:customStyle="1" w:styleId="FootnoteTextChar">
    <w:name w:val="Footnote Text Char"/>
    <w:basedOn w:val="DefaultParagraphFont"/>
    <w:link w:val="FootnoteText"/>
    <w:uiPriority w:val="99"/>
    <w:semiHidden/>
    <w:locked/>
    <w:rsid w:val="008351AC"/>
    <w:rPr>
      <w:rFonts w:cs="Times New Roman"/>
      <w:color w:val="000000"/>
      <w:sz w:val="20"/>
      <w:szCs w:val="20"/>
      <w:lang w:val="en-GB" w:eastAsia="en-US"/>
    </w:rPr>
  </w:style>
  <w:style w:type="character" w:styleId="FootnoteReference">
    <w:name w:val="footnote reference"/>
    <w:basedOn w:val="DefaultParagraphFont"/>
    <w:uiPriority w:val="99"/>
    <w:semiHidden/>
    <w:rsid w:val="008351AC"/>
    <w:rPr>
      <w:rFonts w:cs="Times New Roman"/>
      <w:vertAlign w:val="superscript"/>
    </w:rPr>
  </w:style>
  <w:style w:type="paragraph" w:styleId="BodyText2">
    <w:name w:val="Body Text 2"/>
    <w:basedOn w:val="Normal"/>
    <w:link w:val="BodyText2Char"/>
    <w:uiPriority w:val="99"/>
    <w:rsid w:val="00850C64"/>
    <w:pPr>
      <w:autoSpaceDN w:val="0"/>
    </w:pPr>
    <w:rPr>
      <w:color w:val="auto"/>
      <w:sz w:val="22"/>
      <w:szCs w:val="24"/>
    </w:rPr>
  </w:style>
  <w:style w:type="character" w:customStyle="1" w:styleId="BodyText2Char">
    <w:name w:val="Body Text 2 Char"/>
    <w:basedOn w:val="DefaultParagraphFont"/>
    <w:link w:val="BodyText2"/>
    <w:uiPriority w:val="99"/>
    <w:locked/>
    <w:rsid w:val="00850C64"/>
    <w:rPr>
      <w:rFonts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x.doi.org/10.1111/ddi.12300" TargetMode="External"/><Relationship Id="rId21" Type="http://schemas.openxmlformats.org/officeDocument/2006/relationships/hyperlink" Target="http://dx.doi.org/10.1111/ddi.12300" TargetMode="External"/><Relationship Id="rId42" Type="http://schemas.openxmlformats.org/officeDocument/2006/relationships/hyperlink" Target="http://www.wetlands.org/Portals/0/Rap_2012-22_FlywaytrendsTotaalLR.pdf" TargetMode="External"/><Relationship Id="rId47" Type="http://schemas.openxmlformats.org/officeDocument/2006/relationships/hyperlink" Target="http://www.wetlands.org/Portals/0/Rap_2012-22_FlywaytrendsTotaalLR.pdf" TargetMode="External"/><Relationship Id="rId63" Type="http://schemas.openxmlformats.org/officeDocument/2006/relationships/hyperlink" Target="http://www.wetlands.org/Portals/0/Rap_2012-22_FlywaytrendsTotaalLR.pdf" TargetMode="External"/><Relationship Id="rId68" Type="http://schemas.openxmlformats.org/officeDocument/2006/relationships/hyperlink" Target="http://www.wetlands.org/Portals/0/Rap_2012-22_FlywaytrendsTotaalLR.pdf" TargetMode="External"/><Relationship Id="rId16" Type="http://schemas.openxmlformats.org/officeDocument/2006/relationships/image" Target="media/image10.png"/><Relationship Id="rId11" Type="http://schemas.openxmlformats.org/officeDocument/2006/relationships/image" Target="media/image5.png"/><Relationship Id="rId24" Type="http://schemas.openxmlformats.org/officeDocument/2006/relationships/hyperlink" Target="http://dx.doi.org/10.1111/ddi.12300" TargetMode="External"/><Relationship Id="rId32" Type="http://schemas.openxmlformats.org/officeDocument/2006/relationships/hyperlink" Target="http://dx.doi.org/10.1111/ddi.12300" TargetMode="External"/><Relationship Id="rId37" Type="http://schemas.openxmlformats.org/officeDocument/2006/relationships/hyperlink" Target="http://dx.doi.org/10.1111/gcb.12200" TargetMode="External"/><Relationship Id="rId40" Type="http://schemas.openxmlformats.org/officeDocument/2006/relationships/hyperlink" Target="http://onlinelibrary.wiley.com/doi/10.1111/j.1474-919X.2012.01257.x/abstract;jsessionid=F7605ED4D36AEB1F26CB7FE39430DC31.d03t01" TargetMode="External"/><Relationship Id="rId45" Type="http://schemas.openxmlformats.org/officeDocument/2006/relationships/hyperlink" Target="http://www.wetlands.org/Portals/0/Rap_2012-22_FlywaytrendsTotaalLR.pdf" TargetMode="External"/><Relationship Id="rId53" Type="http://schemas.openxmlformats.org/officeDocument/2006/relationships/hyperlink" Target="http://www.wetlands.org/Portals/0/Rap_2012-22_FlywaytrendsTotaalLR.pdf" TargetMode="External"/><Relationship Id="rId58" Type="http://schemas.openxmlformats.org/officeDocument/2006/relationships/hyperlink" Target="http://www.wetlands.org/Portals/0/Rap_2012-22_FlywaytrendsTotaalLR.pdf" TargetMode="External"/><Relationship Id="rId66" Type="http://schemas.openxmlformats.org/officeDocument/2006/relationships/hyperlink" Target="http://www.wetlands.org/Portals/0/Rap_2012-22_FlywaytrendsTotaalLR.pdf" TargetMode="External"/><Relationship Id="rId74" Type="http://schemas.openxmlformats.org/officeDocument/2006/relationships/hyperlink" Target="http://www.wetlands.org/Portals/0/Rap_2012-22_FlywaytrendsTotaalLR.pdf" TargetMode="External"/><Relationship Id="rId5" Type="http://schemas.openxmlformats.org/officeDocument/2006/relationships/footnotes" Target="footnotes.xml"/><Relationship Id="rId61" Type="http://schemas.openxmlformats.org/officeDocument/2006/relationships/hyperlink" Target="http://www.wetlands.org/Portals/0/Rap_2012-22_FlywaytrendsTotaalLR.pdf" TargetMode="External"/><Relationship Id="rId1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hyperlink" Target="http://dx.doi.org/10.1111/ddi.12300" TargetMode="External"/><Relationship Id="rId27" Type="http://schemas.openxmlformats.org/officeDocument/2006/relationships/hyperlink" Target="http://onlinelibrary.wiley.com/doi/10.1111/1365-2664.12193/abstract" TargetMode="External"/><Relationship Id="rId30" Type="http://schemas.openxmlformats.org/officeDocument/2006/relationships/hyperlink" Target="http://dx.doi.org/10.1111/ddi.12300" TargetMode="External"/><Relationship Id="rId35" Type="http://schemas.openxmlformats.org/officeDocument/2006/relationships/hyperlink" Target="http://dx.doi.org/10.1111/ddi.12300" TargetMode="External"/><Relationship Id="rId43" Type="http://schemas.openxmlformats.org/officeDocument/2006/relationships/hyperlink" Target="http://www.wetlands.org/Portals/0/Rap_2012-22_FlywaytrendsTotaalLR.pdf" TargetMode="External"/><Relationship Id="rId48" Type="http://schemas.openxmlformats.org/officeDocument/2006/relationships/hyperlink" Target="http://www.wetlands.org/Portals/0/Rap_2012-22_FlywaytrendsTotaalLR.pdf" TargetMode="External"/><Relationship Id="rId56" Type="http://schemas.openxmlformats.org/officeDocument/2006/relationships/hyperlink" Target="http://www.wetlands.org/Portals/0/Rap_2012-22_FlywaytrendsTotaalLR.pdf" TargetMode="External"/><Relationship Id="rId64" Type="http://schemas.openxmlformats.org/officeDocument/2006/relationships/hyperlink" Target="http://www.wetlands.org/Portals/0/Rap_2012-22_FlywaytrendsTotaalLR.pdf" TargetMode="External"/><Relationship Id="rId69" Type="http://schemas.openxmlformats.org/officeDocument/2006/relationships/hyperlink" Target="http://www.wetlands.org/Portals/0/Rap_2012-22_FlywaytrendsTotaalLR.pdf" TargetMode="External"/><Relationship Id="rId77"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wetlands.org/Portals/0/Rap_2012-22_FlywaytrendsTotaalLR.pdf" TargetMode="External"/><Relationship Id="rId72" Type="http://schemas.openxmlformats.org/officeDocument/2006/relationships/hyperlink" Target="http://www.wetlands.org/Portals/0/Rap_2012-22_FlywaytrendsTotaalLR.pdf"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dx.doi.org/10.1111/ddi.12300" TargetMode="External"/><Relationship Id="rId33" Type="http://schemas.openxmlformats.org/officeDocument/2006/relationships/hyperlink" Target="http://dx.doi.org/10.1111/ddi.12300" TargetMode="External"/><Relationship Id="rId38" Type="http://schemas.openxmlformats.org/officeDocument/2006/relationships/hyperlink" Target="http://pure.au.dk/portal/files/54026900/Dalbyetal2013.pdf" TargetMode="External"/><Relationship Id="rId46" Type="http://schemas.openxmlformats.org/officeDocument/2006/relationships/hyperlink" Target="http://www.wetlands.org/Portals/0/Rap_2012-22_FlywaytrendsTotaalLR.pdf" TargetMode="External"/><Relationship Id="rId59" Type="http://schemas.openxmlformats.org/officeDocument/2006/relationships/hyperlink" Target="http://www.wetlands.org/Portals/0/Rap_2012-22_FlywaytrendsTotaalLR.pdf" TargetMode="External"/><Relationship Id="rId67" Type="http://schemas.openxmlformats.org/officeDocument/2006/relationships/hyperlink" Target="http://www.wetlands.org/Portals/0/Rap_2012-22_FlywaytrendsTotaalLR.pdf" TargetMode="External"/><Relationship Id="rId20" Type="http://schemas.openxmlformats.org/officeDocument/2006/relationships/hyperlink" Target="http://dx.doi.org/10.1111/ddi.12300" TargetMode="External"/><Relationship Id="rId41" Type="http://schemas.openxmlformats.org/officeDocument/2006/relationships/hyperlink" Target="http://www.wetlands.org/Portals/0/Rap_2012-22_FlywaytrendsTotaalLR.pdf" TargetMode="External"/><Relationship Id="rId54" Type="http://schemas.openxmlformats.org/officeDocument/2006/relationships/hyperlink" Target="http://www.wetlands.org/Portals/0/Rap_2012-22_FlywaytrendsTotaalLR.pdf" TargetMode="External"/><Relationship Id="rId62" Type="http://schemas.openxmlformats.org/officeDocument/2006/relationships/hyperlink" Target="http://www.wetlands.org/Portals/0/Rap_2012-22_FlywaytrendsTotaalLR.pdf" TargetMode="External"/><Relationship Id="rId70" Type="http://schemas.openxmlformats.org/officeDocument/2006/relationships/hyperlink" Target="http://www.wetlands.org/Portals/0/Rap_2012-22_FlywaytrendsTotaalLR.pdf" TargetMode="External"/><Relationship Id="rId75" Type="http://schemas.openxmlformats.org/officeDocument/2006/relationships/hyperlink" Target="http://www.wetlands.org/Portals/0/Rap_2012-22_FlywaytrendsTotaalLR.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dx.doi.org/10.1111/ddi.12300" TargetMode="External"/><Relationship Id="rId28" Type="http://schemas.openxmlformats.org/officeDocument/2006/relationships/hyperlink" Target="http://dx.doi.org/10.1111/ddi.12300" TargetMode="External"/><Relationship Id="rId36" Type="http://schemas.openxmlformats.org/officeDocument/2006/relationships/hyperlink" Target="http://dx.doi.org/10.1111/ddi.12300" TargetMode="External"/><Relationship Id="rId49" Type="http://schemas.openxmlformats.org/officeDocument/2006/relationships/hyperlink" Target="http://www.wetlands.org/Portals/0/Rap_2012-22_FlywaytrendsTotaalLR.pdf" TargetMode="External"/><Relationship Id="rId57" Type="http://schemas.openxmlformats.org/officeDocument/2006/relationships/hyperlink" Target="http://www.wetlands.org/Portals/0/Rap_2012-22_FlywaytrendsTotaalLR.pdf" TargetMode="External"/><Relationship Id="rId10" Type="http://schemas.openxmlformats.org/officeDocument/2006/relationships/image" Target="media/image4.png"/><Relationship Id="rId31" Type="http://schemas.openxmlformats.org/officeDocument/2006/relationships/hyperlink" Target="http://www.wetlands.org/Portals/0/TRIM%20Report%202014_10_05.pdf" TargetMode="External"/><Relationship Id="rId44" Type="http://schemas.openxmlformats.org/officeDocument/2006/relationships/hyperlink" Target="http://www.wetlands.org/Portals/0/Rap_2012-22_FlywaytrendsTotaalLR.pdf" TargetMode="External"/><Relationship Id="rId52" Type="http://schemas.openxmlformats.org/officeDocument/2006/relationships/hyperlink" Target="http://www.wetlands.org/Portals/0/Rap_2012-22_FlywaytrendsTotaalLR.pdf" TargetMode="External"/><Relationship Id="rId60" Type="http://schemas.openxmlformats.org/officeDocument/2006/relationships/hyperlink" Target="http://www.wetlands.org/Portals/0/Rap_2012-22_FlywaytrendsTotaalLR.pdf" TargetMode="External"/><Relationship Id="rId65" Type="http://schemas.openxmlformats.org/officeDocument/2006/relationships/hyperlink" Target="http://www.wetlands.org/Portals/0/Rap_2012-22_FlywaytrendsTotaalLR.pdf" TargetMode="External"/><Relationship Id="rId73" Type="http://schemas.openxmlformats.org/officeDocument/2006/relationships/hyperlink" Target="http://www.wetlands.org/Portals/0/Rap_2012-22_FlywaytrendsTotaalLR.pdf"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eader" Target="header2.xml"/><Relationship Id="rId39" Type="http://schemas.openxmlformats.org/officeDocument/2006/relationships/hyperlink" Target="http://adu.org.za/pdf/Harebottle_DM_PhD_thesis_UCT_May2012.pdf" TargetMode="External"/><Relationship Id="rId34" Type="http://schemas.openxmlformats.org/officeDocument/2006/relationships/hyperlink" Target="http://dx.doi.org/10.1111/ddi.12300" TargetMode="External"/><Relationship Id="rId50" Type="http://schemas.openxmlformats.org/officeDocument/2006/relationships/hyperlink" Target="http://www.wetlands.org/Portals/0/Rap_2012-22_FlywaytrendsTotaalLR.pdf" TargetMode="External"/><Relationship Id="rId55" Type="http://schemas.openxmlformats.org/officeDocument/2006/relationships/hyperlink" Target="http://www.wetlands.org/Portals/0/Rap_2012-22_FlywaytrendsTotaalLR.pdf" TargetMode="External"/><Relationship Id="rId76"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www.wetlands.org/Portals/0/Rap_2012-22_FlywaytrendsTotaalLR.pdf" TargetMode="External"/><Relationship Id="rId2" Type="http://schemas.openxmlformats.org/officeDocument/2006/relationships/styles" Target="styles.xml"/><Relationship Id="rId29" Type="http://schemas.openxmlformats.org/officeDocument/2006/relationships/hyperlink" Target="http://dx.doi.org/10.1111/ddi.123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etlands.org/AfricanEurasianWaterbirdCensus/tabid/2788/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4997</Words>
  <Characters>28484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REPORT ON THE DEVELOPMENT OF WATERBIRD MONITORING</vt:lpstr>
    </vt:vector>
  </TitlesOfParts>
  <Company>Rubicon Foundation</Company>
  <LinksUpToDate>false</LinksUpToDate>
  <CharactersWithSpaces>33415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DEVELOPMENT OF WATERBIRD MONITORING</dc:title>
  <dc:subject/>
  <dc:creator>Mondain-Monval</dc:creator>
  <cp:keywords/>
  <dc:description/>
  <cp:lastModifiedBy>Jolanta Kremer (UNEP/AEWA Secretariat)</cp:lastModifiedBy>
  <cp:revision>5</cp:revision>
  <cp:lastPrinted>2015-08-26T09:18:00Z</cp:lastPrinted>
  <dcterms:created xsi:type="dcterms:W3CDTF">2015-08-21T14:58:00Z</dcterms:created>
  <dcterms:modified xsi:type="dcterms:W3CDTF">2015-08-26T09:18:00Z</dcterms:modified>
</cp:coreProperties>
</file>