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6342" w14:textId="77777777" w:rsidR="00C51428" w:rsidRPr="00403C55" w:rsidRDefault="00C51428" w:rsidP="00985A4E">
      <w:pPr>
        <w:pStyle w:val="Heading2"/>
        <w:rPr>
          <w:lang w:val="fr-FR"/>
        </w:rPr>
      </w:pPr>
    </w:p>
    <w:p w14:paraId="477AD4E2" w14:textId="603DAACD" w:rsidR="00F56BA9" w:rsidRPr="00403C55" w:rsidRDefault="00A037E7" w:rsidP="001420F2">
      <w:pPr>
        <w:spacing w:after="0" w:line="240" w:lineRule="auto"/>
        <w:jc w:val="center"/>
        <w:rPr>
          <w:rFonts w:ascii="Times New Roman" w:hAnsi="Times New Roman" w:cs="Times New Roman"/>
          <w:b/>
          <w:sz w:val="24"/>
          <w:szCs w:val="24"/>
          <w:lang w:val="fr-FR"/>
        </w:rPr>
      </w:pPr>
      <w:r w:rsidRPr="00403C55">
        <w:rPr>
          <w:rFonts w:ascii="Times New Roman" w:hAnsi="Times New Roman" w:cs="Times New Roman"/>
          <w:b/>
          <w:sz w:val="24"/>
          <w:szCs w:val="24"/>
          <w:lang w:val="fr-FR"/>
        </w:rPr>
        <w:t>VUE D'ENSEMBLE DU NIVEAU DE PRÉPARATION ET DE MISE EN ŒUVRE DES</w:t>
      </w:r>
      <w:r w:rsidR="001B2A96" w:rsidRPr="00403C55">
        <w:rPr>
          <w:rFonts w:ascii="Times New Roman" w:hAnsi="Times New Roman" w:cs="Times New Roman"/>
          <w:b/>
          <w:sz w:val="24"/>
          <w:szCs w:val="24"/>
          <w:lang w:val="fr-FR"/>
        </w:rPr>
        <w:t xml:space="preserve"> ISSAP, DES ISSMP,</w:t>
      </w:r>
      <w:r w:rsidR="00985A4E">
        <w:rPr>
          <w:rFonts w:ascii="Times New Roman" w:hAnsi="Times New Roman" w:cs="Times New Roman"/>
          <w:b/>
          <w:sz w:val="24"/>
          <w:szCs w:val="24"/>
          <w:lang w:val="fr-FR"/>
        </w:rPr>
        <w:t xml:space="preserve"> </w:t>
      </w:r>
    </w:p>
    <w:p w14:paraId="4E45D03F" w14:textId="32F4012B" w:rsidR="00870B9D" w:rsidRPr="00403C55" w:rsidRDefault="001B2A96" w:rsidP="001420F2">
      <w:pPr>
        <w:spacing w:after="0" w:line="240" w:lineRule="auto"/>
        <w:jc w:val="center"/>
        <w:rPr>
          <w:rFonts w:ascii="Times New Roman" w:hAnsi="Times New Roman" w:cs="Times New Roman"/>
          <w:b/>
          <w:sz w:val="24"/>
          <w:szCs w:val="24"/>
          <w:lang w:val="fr-FR"/>
        </w:rPr>
      </w:pPr>
      <w:r w:rsidRPr="00403C55">
        <w:rPr>
          <w:rFonts w:ascii="Times New Roman" w:hAnsi="Times New Roman" w:cs="Times New Roman"/>
          <w:b/>
          <w:sz w:val="24"/>
          <w:szCs w:val="24"/>
          <w:lang w:val="fr-FR"/>
        </w:rPr>
        <w:t xml:space="preserve">ET DES </w:t>
      </w:r>
      <w:r w:rsidR="00A037E7" w:rsidRPr="00403C55">
        <w:rPr>
          <w:rFonts w:ascii="Times New Roman" w:hAnsi="Times New Roman" w:cs="Times New Roman"/>
          <w:b/>
          <w:sz w:val="24"/>
          <w:szCs w:val="24"/>
          <w:lang w:val="fr-FR"/>
        </w:rPr>
        <w:t xml:space="preserve">PLANS </w:t>
      </w:r>
      <w:r w:rsidR="0003562F">
        <w:rPr>
          <w:rFonts w:ascii="Times New Roman" w:hAnsi="Times New Roman" w:cs="Times New Roman"/>
          <w:b/>
          <w:sz w:val="24"/>
          <w:szCs w:val="24"/>
          <w:lang w:val="fr-FR"/>
        </w:rPr>
        <w:t>D’ACTION</w:t>
      </w:r>
      <w:r w:rsidR="00A037E7" w:rsidRPr="00403C55">
        <w:rPr>
          <w:rFonts w:ascii="Times New Roman" w:hAnsi="Times New Roman" w:cs="Times New Roman"/>
          <w:b/>
          <w:sz w:val="24"/>
          <w:szCs w:val="24"/>
          <w:lang w:val="fr-FR"/>
        </w:rPr>
        <w:t xml:space="preserve"> MULTI-ESPÈCES 2015</w:t>
      </w:r>
    </w:p>
    <w:p w14:paraId="6752DB2C" w14:textId="77777777" w:rsidR="007F2C5E" w:rsidRPr="00403C55" w:rsidRDefault="007F2C5E" w:rsidP="007F2C5E">
      <w:pPr>
        <w:spacing w:after="0" w:line="240" w:lineRule="auto"/>
        <w:rPr>
          <w:rFonts w:ascii="Times New Roman" w:hAnsi="Times New Roman" w:cs="Times New Roman"/>
          <w:sz w:val="20"/>
          <w:szCs w:val="20"/>
          <w:lang w:val="fr-FR"/>
        </w:rPr>
      </w:pPr>
    </w:p>
    <w:p w14:paraId="70AF2277" w14:textId="5F1FB3EF" w:rsidR="007F2C5E" w:rsidRPr="00403C55" w:rsidRDefault="00A037E7" w:rsidP="001420F2">
      <w:pPr>
        <w:spacing w:after="0" w:line="240" w:lineRule="auto"/>
        <w:jc w:val="center"/>
        <w:rPr>
          <w:rFonts w:ascii="Times New Roman" w:hAnsi="Times New Roman" w:cs="Times New Roman"/>
          <w:i/>
          <w:lang w:val="fr-FR"/>
        </w:rPr>
      </w:pPr>
      <w:r w:rsidRPr="00403C55">
        <w:rPr>
          <w:rFonts w:ascii="Times New Roman" w:hAnsi="Times New Roman" w:cs="Times New Roman"/>
          <w:i/>
          <w:lang w:val="fr-FR"/>
        </w:rPr>
        <w:t>Préparée par le Secrétariat PNUE/AEWA</w:t>
      </w:r>
    </w:p>
    <w:p w14:paraId="09CA1643" w14:textId="77777777" w:rsidR="000922B7" w:rsidRPr="00403C55" w:rsidRDefault="000922B7" w:rsidP="007F2C5E">
      <w:pPr>
        <w:spacing w:after="0" w:line="240" w:lineRule="auto"/>
        <w:rPr>
          <w:rFonts w:ascii="Times New Roman" w:hAnsi="Times New Roman" w:cs="Times New Roman"/>
          <w:i/>
          <w:sz w:val="20"/>
          <w:szCs w:val="20"/>
          <w:lang w:val="fr-FR"/>
        </w:rPr>
      </w:pPr>
    </w:p>
    <w:p w14:paraId="28C4B287" w14:textId="5976944A" w:rsidR="00943832" w:rsidRPr="00403C55" w:rsidRDefault="00A037E7" w:rsidP="00943832">
      <w:pPr>
        <w:spacing w:after="0" w:line="240" w:lineRule="auto"/>
        <w:rPr>
          <w:rFonts w:ascii="Times New Roman" w:hAnsi="Times New Roman" w:cs="Times New Roman"/>
          <w:b/>
          <w:sz w:val="24"/>
          <w:szCs w:val="24"/>
          <w:lang w:val="fr-FR"/>
        </w:rPr>
      </w:pPr>
      <w:r w:rsidRPr="00403C55">
        <w:rPr>
          <w:rFonts w:ascii="Times New Roman" w:hAnsi="Times New Roman" w:cs="Times New Roman"/>
          <w:b/>
          <w:sz w:val="24"/>
          <w:szCs w:val="24"/>
          <w:lang w:val="fr-FR"/>
        </w:rPr>
        <w:t>Introduction</w:t>
      </w:r>
    </w:p>
    <w:p w14:paraId="1D01A2A3" w14:textId="77777777" w:rsidR="00943832" w:rsidRPr="00403C55" w:rsidRDefault="00943832" w:rsidP="00943832">
      <w:pPr>
        <w:spacing w:after="0" w:line="240" w:lineRule="auto"/>
        <w:rPr>
          <w:rFonts w:ascii="Times New Roman" w:hAnsi="Times New Roman" w:cs="Times New Roman"/>
          <w:sz w:val="20"/>
          <w:szCs w:val="20"/>
          <w:lang w:val="fr-FR"/>
        </w:rPr>
      </w:pPr>
    </w:p>
    <w:p w14:paraId="62C90687" w14:textId="5948B94B" w:rsidR="00943832" w:rsidRPr="00403C55" w:rsidRDefault="00A037E7" w:rsidP="008B1351">
      <w:pPr>
        <w:spacing w:after="0" w:line="240" w:lineRule="auto"/>
        <w:jc w:val="both"/>
        <w:rPr>
          <w:rFonts w:ascii="Times New Roman" w:hAnsi="Times New Roman" w:cs="Times New Roman"/>
          <w:lang w:val="fr-FR"/>
        </w:rPr>
      </w:pPr>
      <w:bookmarkStart w:id="0" w:name="OLE_LINK8"/>
      <w:r w:rsidRPr="00403C55">
        <w:rPr>
          <w:rFonts w:ascii="Times New Roman" w:hAnsi="Times New Roman" w:cs="Times New Roman"/>
          <w:lang w:val="fr-FR"/>
        </w:rPr>
        <w:t xml:space="preserve">Conformément au Paragraphe 7.4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 xml:space="preserve">, le Secrétariat de l’Accord est tenu de préparer, en coordination avec le Comité technique et les Parties, une série d’études internationales nécessaires à la mise en œuvre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1B2A96" w:rsidRPr="00403C55">
        <w:rPr>
          <w:rFonts w:ascii="Times New Roman" w:hAnsi="Times New Roman" w:cs="Times New Roman"/>
          <w:lang w:val="fr-FR"/>
        </w:rPr>
        <w:t>parmi lesquelles,</w:t>
      </w:r>
      <w:r w:rsidRPr="00403C55">
        <w:rPr>
          <w:rFonts w:ascii="Times New Roman" w:hAnsi="Times New Roman" w:cs="Times New Roman"/>
          <w:lang w:val="fr-FR"/>
        </w:rPr>
        <w:t xml:space="preserve"> notamment</w:t>
      </w:r>
      <w:r w:rsidR="001B2A96" w:rsidRPr="00403C55">
        <w:rPr>
          <w:rFonts w:ascii="Times New Roman" w:hAnsi="Times New Roman" w:cs="Times New Roman"/>
          <w:lang w:val="fr-FR"/>
        </w:rPr>
        <w:t>,</w:t>
      </w:r>
      <w:r w:rsidRPr="00403C55">
        <w:rPr>
          <w:rFonts w:ascii="Times New Roman" w:hAnsi="Times New Roman" w:cs="Times New Roman"/>
          <w:lang w:val="fr-FR"/>
        </w:rPr>
        <w:t xml:space="preserve"> une étude sur le stade de préparation et de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w:t>
      </w:r>
      <w:r w:rsidR="00943832" w:rsidRPr="00403C55">
        <w:rPr>
          <w:rFonts w:ascii="Times New Roman" w:hAnsi="Times New Roman" w:cs="Times New Roman"/>
          <w:lang w:val="fr-FR"/>
        </w:rPr>
        <w:t xml:space="preserve"> </w:t>
      </w:r>
      <w:bookmarkEnd w:id="0"/>
      <w:r w:rsidRPr="00403C55">
        <w:rPr>
          <w:rFonts w:ascii="Times New Roman" w:hAnsi="Times New Roman" w:cs="Times New Roman"/>
          <w:lang w:val="fr-FR"/>
        </w:rPr>
        <w:t>La première de ces études a été présentée à la MOP4 en 2008.</w:t>
      </w:r>
    </w:p>
    <w:p w14:paraId="550C558A" w14:textId="77777777" w:rsidR="00943832" w:rsidRPr="00403C55" w:rsidRDefault="00943832" w:rsidP="00943832">
      <w:pPr>
        <w:spacing w:after="0" w:line="240" w:lineRule="auto"/>
        <w:rPr>
          <w:rFonts w:ascii="Times New Roman" w:hAnsi="Times New Roman" w:cs="Times New Roman"/>
          <w:lang w:val="fr-FR"/>
        </w:rPr>
      </w:pPr>
    </w:p>
    <w:p w14:paraId="553A6992" w14:textId="08C3447C" w:rsidR="00943832" w:rsidRPr="00403C55" w:rsidRDefault="00A037E7" w:rsidP="00561F65">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raison d’un manque de contributions volontaires pour son financement, la compilation d’une étude complète à soumettre à la MOP6 n’a pas été possible. Toutefois, 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a réalisé une étude restreinte sur la mise en œuvre de huit des vingt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et des plans de gestion internationaux adoptés dans le cadre de l’Accord à cette date.</w:t>
      </w:r>
      <w:r w:rsidR="008B6EC1" w:rsidRPr="00403C55">
        <w:rPr>
          <w:rFonts w:ascii="Times New Roman" w:hAnsi="Times New Roman" w:cs="Times New Roman"/>
          <w:lang w:val="fr-FR"/>
        </w:rPr>
        <w:t xml:space="preserve"> </w:t>
      </w:r>
      <w:r w:rsidR="00D25228" w:rsidRPr="00403C55">
        <w:rPr>
          <w:rFonts w:ascii="Times New Roman" w:hAnsi="Times New Roman" w:cs="Times New Roman"/>
          <w:lang w:val="fr-FR"/>
        </w:rPr>
        <w:t>Des questionnaires préparés et distribués par les coordinateurs des groupe</w:t>
      </w:r>
      <w:r w:rsidR="004B1407">
        <w:rPr>
          <w:rFonts w:ascii="Times New Roman" w:hAnsi="Times New Roman" w:cs="Times New Roman"/>
          <w:lang w:val="fr-FR"/>
        </w:rPr>
        <w:t>s</w:t>
      </w:r>
      <w:r w:rsidR="00D25228" w:rsidRPr="00403C55">
        <w:rPr>
          <w:rFonts w:ascii="Times New Roman" w:hAnsi="Times New Roman" w:cs="Times New Roman"/>
          <w:lang w:val="fr-FR"/>
        </w:rPr>
        <w:t xml:space="preserve"> de travail et d’experts internationaux sur les espèces ont permis de recueillir des informations auprès des </w:t>
      </w:r>
      <w:r w:rsidR="00FE6EE5">
        <w:rPr>
          <w:rFonts w:ascii="Times New Roman" w:hAnsi="Times New Roman" w:cs="Times New Roman"/>
          <w:lang w:val="fr-FR"/>
        </w:rPr>
        <w:t>États de l’aire de répartition</w:t>
      </w:r>
      <w:r w:rsidR="00D25228" w:rsidRPr="00403C55">
        <w:rPr>
          <w:rFonts w:ascii="Times New Roman" w:hAnsi="Times New Roman" w:cs="Times New Roman"/>
          <w:lang w:val="fr-FR"/>
        </w:rPr>
        <w:t xml:space="preserve"> sur la mise en œuvre des plans.</w:t>
      </w:r>
      <w:r w:rsidR="009C382A" w:rsidRPr="00403C55">
        <w:rPr>
          <w:rFonts w:ascii="Times New Roman" w:hAnsi="Times New Roman" w:cs="Times New Roman"/>
          <w:lang w:val="fr-FR"/>
        </w:rPr>
        <w:t xml:space="preserve"> </w:t>
      </w:r>
      <w:r w:rsidR="00D25228" w:rsidRPr="00403C55">
        <w:rPr>
          <w:rFonts w:ascii="Times New Roman" w:hAnsi="Times New Roman" w:cs="Times New Roman"/>
          <w:lang w:val="fr-FR"/>
        </w:rPr>
        <w:t xml:space="preserve">Les principales conclusions et recommandations sont reflétées dans l’avant-projet de résolution sur l’adoption et la mise en œuvre des plans </w:t>
      </w:r>
      <w:r w:rsidR="0003562F">
        <w:rPr>
          <w:rFonts w:ascii="Times New Roman" w:hAnsi="Times New Roman" w:cs="Times New Roman"/>
          <w:lang w:val="fr-FR"/>
        </w:rPr>
        <w:t>d’action</w:t>
      </w:r>
      <w:r w:rsidR="00D25228" w:rsidRPr="00403C55">
        <w:rPr>
          <w:rFonts w:ascii="Times New Roman" w:hAnsi="Times New Roman" w:cs="Times New Roman"/>
          <w:lang w:val="fr-FR"/>
        </w:rPr>
        <w:t xml:space="preserve"> et de gestion internationaux </w:t>
      </w:r>
      <w:r w:rsidR="0000292D" w:rsidRPr="00403C55">
        <w:rPr>
          <w:rFonts w:ascii="Times New Roman" w:hAnsi="Times New Roman" w:cs="Times New Roman"/>
          <w:lang w:val="fr-FR"/>
        </w:rPr>
        <w:t>par espèces</w:t>
      </w:r>
      <w:r w:rsidR="00856FAD">
        <w:rPr>
          <w:rFonts w:ascii="Times New Roman" w:hAnsi="Times New Roman" w:cs="Times New Roman"/>
          <w:lang w:val="fr-FR"/>
        </w:rPr>
        <w:t xml:space="preserve"> et multi-espèces </w:t>
      </w:r>
      <w:r w:rsidR="00D25228" w:rsidRPr="00403C55">
        <w:rPr>
          <w:rFonts w:ascii="Times New Roman" w:hAnsi="Times New Roman" w:cs="Times New Roman"/>
          <w:lang w:val="fr-FR"/>
        </w:rPr>
        <w:t>(AEWA/MOP6 DR6.8).</w:t>
      </w:r>
    </w:p>
    <w:p w14:paraId="3CF0E918" w14:textId="77777777" w:rsidR="003E3909" w:rsidRPr="00403C55" w:rsidRDefault="003E3909" w:rsidP="008B1351">
      <w:pPr>
        <w:spacing w:after="0" w:line="240" w:lineRule="auto"/>
        <w:jc w:val="both"/>
        <w:rPr>
          <w:rFonts w:ascii="Times New Roman" w:hAnsi="Times New Roman" w:cs="Times New Roman"/>
          <w:lang w:val="fr-FR"/>
        </w:rPr>
      </w:pPr>
    </w:p>
    <w:p w14:paraId="012B1C82" w14:textId="167A26EF" w:rsidR="003E3909" w:rsidRPr="00403C55" w:rsidRDefault="00D25228" w:rsidP="008B13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Outre l’étude sur le niveau de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le Secrétariat a compilé une vue d’ensemble du processus actuel de planification de l’action et de la gestion </w:t>
      </w:r>
      <w:r w:rsidR="00870983">
        <w:rPr>
          <w:rFonts w:ascii="Times New Roman" w:hAnsi="Times New Roman" w:cs="Times New Roman"/>
          <w:lang w:val="fr-FR"/>
        </w:rPr>
        <w:t>conformément à</w:t>
      </w:r>
      <w:r w:rsidRPr="00403C55">
        <w:rPr>
          <w:rFonts w:ascii="Times New Roman" w:hAnsi="Times New Roman" w:cs="Times New Roman"/>
          <w:lang w:val="fr-FR"/>
        </w:rPr>
        <w:t xml:space="preserve"> l’Accord, </w:t>
      </w:r>
      <w:r w:rsidR="00972DF4" w:rsidRPr="00403C55">
        <w:rPr>
          <w:rFonts w:ascii="Times New Roman" w:hAnsi="Times New Roman" w:cs="Times New Roman"/>
          <w:lang w:val="fr-FR"/>
        </w:rPr>
        <w:t xml:space="preserve">y compris le cadre des groupes de travail et d’experts internationaux </w:t>
      </w:r>
      <w:r w:rsidR="0003562F">
        <w:rPr>
          <w:rFonts w:ascii="Times New Roman" w:hAnsi="Times New Roman" w:cs="Times New Roman"/>
          <w:lang w:val="fr-FR"/>
        </w:rPr>
        <w:t>de l’AEWA</w:t>
      </w:r>
      <w:r w:rsidR="00320372">
        <w:rPr>
          <w:rFonts w:ascii="Times New Roman" w:hAnsi="Times New Roman" w:cs="Times New Roman"/>
          <w:lang w:val="fr-FR"/>
        </w:rPr>
        <w:t>,</w:t>
      </w:r>
      <w:r w:rsidR="00972DF4" w:rsidRPr="00403C55">
        <w:rPr>
          <w:rFonts w:ascii="Times New Roman" w:hAnsi="Times New Roman" w:cs="Times New Roman"/>
          <w:lang w:val="fr-FR"/>
        </w:rPr>
        <w:t xml:space="preserve"> développés pour coordonner leur mise en œuvre </w:t>
      </w:r>
      <w:r w:rsidRPr="00403C55">
        <w:rPr>
          <w:rFonts w:ascii="Times New Roman" w:hAnsi="Times New Roman" w:cs="Times New Roman"/>
          <w:lang w:val="fr-FR"/>
        </w:rPr>
        <w:t>international</w:t>
      </w:r>
      <w:r w:rsidR="00972DF4" w:rsidRPr="00403C55">
        <w:rPr>
          <w:rFonts w:ascii="Times New Roman" w:hAnsi="Times New Roman" w:cs="Times New Roman"/>
          <w:lang w:val="fr-FR"/>
        </w:rPr>
        <w:t>e</w:t>
      </w:r>
      <w:r w:rsidRPr="00403C55">
        <w:rPr>
          <w:rFonts w:ascii="Times New Roman" w:hAnsi="Times New Roman" w:cs="Times New Roman"/>
          <w:lang w:val="fr-FR"/>
        </w:rPr>
        <w:t>.</w:t>
      </w:r>
    </w:p>
    <w:p w14:paraId="6DF15215" w14:textId="77777777" w:rsidR="00943832" w:rsidRPr="00403C55" w:rsidRDefault="00943832" w:rsidP="00943832">
      <w:pPr>
        <w:spacing w:after="0" w:line="240" w:lineRule="auto"/>
        <w:rPr>
          <w:rFonts w:ascii="Times New Roman" w:hAnsi="Times New Roman" w:cs="Times New Roman"/>
          <w:lang w:val="fr-FR"/>
        </w:rPr>
      </w:pPr>
    </w:p>
    <w:p w14:paraId="5DE6EBEF" w14:textId="77777777" w:rsidR="00697C77" w:rsidRPr="00403C55" w:rsidRDefault="00697C77" w:rsidP="00943832">
      <w:pPr>
        <w:spacing w:after="0" w:line="240" w:lineRule="auto"/>
        <w:rPr>
          <w:rFonts w:ascii="Times New Roman" w:hAnsi="Times New Roman" w:cs="Times New Roman"/>
          <w:sz w:val="20"/>
          <w:szCs w:val="20"/>
          <w:lang w:val="fr-FR"/>
        </w:rPr>
      </w:pPr>
    </w:p>
    <w:p w14:paraId="7EF62263" w14:textId="14273A7A" w:rsidR="00943832" w:rsidRPr="00403C55" w:rsidRDefault="00972DF4" w:rsidP="00943832">
      <w:pPr>
        <w:spacing w:after="0" w:line="240" w:lineRule="auto"/>
        <w:rPr>
          <w:rFonts w:ascii="Times New Roman" w:hAnsi="Times New Roman" w:cs="Times New Roman"/>
          <w:b/>
          <w:sz w:val="24"/>
          <w:szCs w:val="24"/>
          <w:lang w:val="fr-FR"/>
        </w:rPr>
      </w:pPr>
      <w:r w:rsidRPr="00403C55">
        <w:rPr>
          <w:rFonts w:ascii="Times New Roman" w:hAnsi="Times New Roman" w:cs="Times New Roman"/>
          <w:b/>
          <w:sz w:val="24"/>
          <w:szCs w:val="24"/>
          <w:lang w:val="fr-FR"/>
        </w:rPr>
        <w:t>Action requise de la Réunion des Parties</w:t>
      </w:r>
      <w:r w:rsidR="00F45AF6">
        <w:rPr>
          <w:rFonts w:ascii="Times New Roman" w:hAnsi="Times New Roman" w:cs="Times New Roman"/>
          <w:b/>
          <w:sz w:val="24"/>
          <w:szCs w:val="24"/>
          <w:lang w:val="fr-FR"/>
        </w:rPr>
        <w:t> </w:t>
      </w:r>
    </w:p>
    <w:p w14:paraId="439225C1" w14:textId="77777777" w:rsidR="00943832" w:rsidRPr="00403C55" w:rsidRDefault="00943832" w:rsidP="00943832">
      <w:pPr>
        <w:spacing w:after="0" w:line="240" w:lineRule="auto"/>
        <w:rPr>
          <w:rFonts w:ascii="Times New Roman" w:hAnsi="Times New Roman" w:cs="Times New Roman"/>
          <w:sz w:val="20"/>
          <w:szCs w:val="20"/>
          <w:lang w:val="fr-FR"/>
        </w:rPr>
      </w:pPr>
    </w:p>
    <w:p w14:paraId="58BF2545" w14:textId="687AA487" w:rsidR="009C382A" w:rsidRPr="00403C55" w:rsidRDefault="00972DF4" w:rsidP="009C382A">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 Réunion des Parties est invitée à prendre note de la présente étude et de tenir compte de ses conclusions et de ses recommandations lors du processus décisionnel.</w:t>
      </w:r>
      <w:r w:rsidR="009C382A" w:rsidRPr="00403C55">
        <w:rPr>
          <w:rFonts w:ascii="Times New Roman" w:hAnsi="Times New Roman" w:cs="Times New Roman"/>
          <w:lang w:val="fr-FR"/>
        </w:rPr>
        <w:t xml:space="preserve"> </w:t>
      </w:r>
    </w:p>
    <w:p w14:paraId="38059ED6" w14:textId="77777777" w:rsidR="00697C77" w:rsidRPr="00403C55" w:rsidRDefault="001C29B4">
      <w:pPr>
        <w:rPr>
          <w:rFonts w:ascii="Times New Roman" w:hAnsi="Times New Roman" w:cs="Times New Roman"/>
          <w:sz w:val="20"/>
          <w:szCs w:val="20"/>
          <w:lang w:val="fr-FR"/>
        </w:rPr>
        <w:sectPr w:rsidR="00697C77" w:rsidRPr="00403C55" w:rsidSect="00697C77">
          <w:headerReference w:type="default" r:id="rId8"/>
          <w:footerReference w:type="default" r:id="rId9"/>
          <w:pgSz w:w="11906" w:h="16838" w:code="9"/>
          <w:pgMar w:top="1418" w:right="1418" w:bottom="1134" w:left="1418" w:header="709" w:footer="709" w:gutter="0"/>
          <w:cols w:space="708"/>
          <w:docGrid w:linePitch="360"/>
        </w:sectPr>
      </w:pPr>
      <w:r w:rsidRPr="00403C55">
        <w:rPr>
          <w:rFonts w:ascii="Times New Roman" w:hAnsi="Times New Roman" w:cs="Times New Roman"/>
          <w:sz w:val="20"/>
          <w:szCs w:val="20"/>
          <w:lang w:val="fr-FR"/>
        </w:rPr>
        <w:br w:type="page"/>
      </w:r>
    </w:p>
    <w:p w14:paraId="4AAB3841" w14:textId="77777777" w:rsidR="001C29B4" w:rsidRPr="00403C55" w:rsidRDefault="001C29B4">
      <w:pPr>
        <w:rPr>
          <w:rFonts w:ascii="Times New Roman" w:hAnsi="Times New Roman" w:cs="Times New Roman"/>
          <w:sz w:val="20"/>
          <w:szCs w:val="20"/>
          <w:lang w:val="fr-FR"/>
        </w:rPr>
      </w:pPr>
    </w:p>
    <w:p w14:paraId="2599FE84" w14:textId="77777777" w:rsidR="00FA5721" w:rsidRPr="00403C55" w:rsidRDefault="00FA5721" w:rsidP="00FA5721">
      <w:pPr>
        <w:spacing w:after="0" w:line="240" w:lineRule="auto"/>
        <w:jc w:val="center"/>
        <w:rPr>
          <w:rFonts w:ascii="Times New Roman" w:hAnsi="Times New Roman" w:cs="Times New Roman"/>
          <w:sz w:val="24"/>
          <w:szCs w:val="24"/>
          <w:lang w:val="fr-FR"/>
        </w:rPr>
      </w:pPr>
    </w:p>
    <w:p w14:paraId="1FC5CCD2" w14:textId="77777777" w:rsidR="00FA5721" w:rsidRPr="00403C55" w:rsidRDefault="00FA5721" w:rsidP="00FA5721">
      <w:pPr>
        <w:spacing w:after="0" w:line="240" w:lineRule="auto"/>
        <w:jc w:val="center"/>
        <w:rPr>
          <w:rFonts w:ascii="Times New Roman" w:hAnsi="Times New Roman" w:cs="Times New Roman"/>
          <w:sz w:val="24"/>
          <w:szCs w:val="24"/>
          <w:lang w:val="fr-FR"/>
        </w:rPr>
      </w:pPr>
    </w:p>
    <w:p w14:paraId="024F56FB" w14:textId="77777777" w:rsidR="00FA5721" w:rsidRPr="00403C55" w:rsidRDefault="00FA5721" w:rsidP="00FA5721">
      <w:pPr>
        <w:spacing w:after="0" w:line="240" w:lineRule="auto"/>
        <w:jc w:val="center"/>
        <w:rPr>
          <w:rFonts w:ascii="Times New Roman" w:hAnsi="Times New Roman" w:cs="Times New Roman"/>
          <w:sz w:val="24"/>
          <w:szCs w:val="24"/>
          <w:lang w:val="fr-FR"/>
        </w:rPr>
      </w:pPr>
    </w:p>
    <w:p w14:paraId="38C8819F" w14:textId="77777777" w:rsidR="003104DF" w:rsidRPr="00403C55" w:rsidRDefault="003104DF" w:rsidP="00FA5721">
      <w:pPr>
        <w:spacing w:after="0" w:line="240" w:lineRule="auto"/>
        <w:jc w:val="center"/>
        <w:rPr>
          <w:rFonts w:ascii="Times New Roman" w:hAnsi="Times New Roman" w:cs="Times New Roman"/>
          <w:sz w:val="24"/>
          <w:szCs w:val="24"/>
          <w:lang w:val="fr-FR"/>
        </w:rPr>
      </w:pPr>
    </w:p>
    <w:p w14:paraId="7F219191" w14:textId="77777777" w:rsidR="003104DF" w:rsidRPr="00403C55" w:rsidRDefault="003104DF" w:rsidP="00FA5721">
      <w:pPr>
        <w:spacing w:after="0" w:line="240" w:lineRule="auto"/>
        <w:jc w:val="center"/>
        <w:rPr>
          <w:rFonts w:ascii="Times New Roman" w:hAnsi="Times New Roman" w:cs="Times New Roman"/>
          <w:sz w:val="24"/>
          <w:szCs w:val="24"/>
          <w:lang w:val="fr-FR"/>
        </w:rPr>
      </w:pPr>
    </w:p>
    <w:p w14:paraId="45DA7298" w14:textId="77777777" w:rsidR="003104DF" w:rsidRPr="00403C55" w:rsidRDefault="003104DF" w:rsidP="00FA5721">
      <w:pPr>
        <w:spacing w:after="0" w:line="240" w:lineRule="auto"/>
        <w:jc w:val="center"/>
        <w:rPr>
          <w:rFonts w:ascii="Times New Roman" w:hAnsi="Times New Roman" w:cs="Times New Roman"/>
          <w:sz w:val="24"/>
          <w:szCs w:val="24"/>
          <w:lang w:val="fr-FR"/>
        </w:rPr>
      </w:pPr>
    </w:p>
    <w:p w14:paraId="686B0210" w14:textId="77777777" w:rsidR="003104DF" w:rsidRPr="00403C55" w:rsidRDefault="003104DF" w:rsidP="00FA5721">
      <w:pPr>
        <w:spacing w:after="0" w:line="240" w:lineRule="auto"/>
        <w:jc w:val="center"/>
        <w:rPr>
          <w:rFonts w:ascii="Times New Roman" w:hAnsi="Times New Roman" w:cs="Times New Roman"/>
          <w:sz w:val="24"/>
          <w:szCs w:val="24"/>
          <w:lang w:val="fr-FR"/>
        </w:rPr>
      </w:pPr>
    </w:p>
    <w:p w14:paraId="4BD60C60" w14:textId="77777777" w:rsidR="002165B0" w:rsidRDefault="00972DF4" w:rsidP="00FA5721">
      <w:pPr>
        <w:spacing w:after="0" w:line="240" w:lineRule="auto"/>
        <w:jc w:val="center"/>
        <w:rPr>
          <w:rFonts w:ascii="Times New Roman" w:hAnsi="Times New Roman" w:cs="Times New Roman"/>
          <w:sz w:val="24"/>
          <w:szCs w:val="24"/>
          <w:lang w:val="fr-FR"/>
        </w:rPr>
      </w:pPr>
      <w:r w:rsidRPr="00403C55">
        <w:rPr>
          <w:rFonts w:ascii="Times New Roman" w:hAnsi="Times New Roman" w:cs="Times New Roman"/>
          <w:sz w:val="24"/>
          <w:szCs w:val="24"/>
          <w:lang w:val="fr-FR"/>
        </w:rPr>
        <w:t xml:space="preserve">Vue d’ensemble du niveau de préparation et de mise en œuvre des Plans </w:t>
      </w:r>
      <w:r w:rsidR="0003562F">
        <w:rPr>
          <w:rFonts w:ascii="Times New Roman" w:hAnsi="Times New Roman" w:cs="Times New Roman"/>
          <w:sz w:val="24"/>
          <w:szCs w:val="24"/>
          <w:lang w:val="fr-FR"/>
        </w:rPr>
        <w:t>d’action</w:t>
      </w:r>
      <w:r w:rsidRPr="00403C55">
        <w:rPr>
          <w:rFonts w:ascii="Times New Roman" w:hAnsi="Times New Roman" w:cs="Times New Roman"/>
          <w:sz w:val="24"/>
          <w:szCs w:val="24"/>
          <w:lang w:val="fr-FR"/>
        </w:rPr>
        <w:t xml:space="preserve"> internationaux par espèce et des Plans de gestion internationaux, ainsi que des </w:t>
      </w:r>
    </w:p>
    <w:p w14:paraId="6C3B1FA3" w14:textId="6DA58B4D" w:rsidR="00FA5721" w:rsidRPr="00403C55" w:rsidRDefault="00972DF4" w:rsidP="00FA5721">
      <w:pPr>
        <w:spacing w:after="0" w:line="240" w:lineRule="auto"/>
        <w:jc w:val="center"/>
        <w:rPr>
          <w:rFonts w:ascii="Times New Roman" w:hAnsi="Times New Roman" w:cs="Times New Roman"/>
          <w:sz w:val="24"/>
          <w:szCs w:val="24"/>
          <w:lang w:val="fr-FR"/>
        </w:rPr>
      </w:pPr>
      <w:r w:rsidRPr="00403C55">
        <w:rPr>
          <w:rFonts w:ascii="Times New Roman" w:hAnsi="Times New Roman" w:cs="Times New Roman"/>
          <w:sz w:val="24"/>
          <w:szCs w:val="24"/>
          <w:lang w:val="fr-FR"/>
        </w:rPr>
        <w:t xml:space="preserve">Plans </w:t>
      </w:r>
      <w:r w:rsidR="0003562F">
        <w:rPr>
          <w:rFonts w:ascii="Times New Roman" w:hAnsi="Times New Roman" w:cs="Times New Roman"/>
          <w:sz w:val="24"/>
          <w:szCs w:val="24"/>
          <w:lang w:val="fr-FR"/>
        </w:rPr>
        <w:t>d’action</w:t>
      </w:r>
      <w:r w:rsidRPr="00403C55">
        <w:rPr>
          <w:rFonts w:ascii="Times New Roman" w:hAnsi="Times New Roman" w:cs="Times New Roman"/>
          <w:sz w:val="24"/>
          <w:szCs w:val="24"/>
          <w:lang w:val="fr-FR"/>
        </w:rPr>
        <w:t xml:space="preserve"> multi-espèces</w:t>
      </w:r>
    </w:p>
    <w:p w14:paraId="3339ABC6" w14:textId="77777777" w:rsidR="00FA5721" w:rsidRPr="00403C55" w:rsidRDefault="00FA5721" w:rsidP="00FA5721">
      <w:pPr>
        <w:spacing w:after="0" w:line="240" w:lineRule="auto"/>
        <w:rPr>
          <w:rFonts w:ascii="Times New Roman" w:hAnsi="Times New Roman" w:cs="Times New Roman"/>
          <w:sz w:val="24"/>
          <w:szCs w:val="24"/>
          <w:lang w:val="fr-FR"/>
        </w:rPr>
      </w:pPr>
    </w:p>
    <w:p w14:paraId="467F92A3" w14:textId="77777777" w:rsidR="00FA5721" w:rsidRPr="00403C55" w:rsidRDefault="00FA5721" w:rsidP="00FA5721">
      <w:pPr>
        <w:jc w:val="center"/>
        <w:rPr>
          <w:rFonts w:ascii="Times New Roman" w:hAnsi="Times New Roman" w:cs="Times New Roman"/>
          <w:b/>
          <w:sz w:val="24"/>
          <w:szCs w:val="24"/>
          <w:lang w:val="fr-FR"/>
        </w:rPr>
      </w:pPr>
    </w:p>
    <w:p w14:paraId="27294A89" w14:textId="41F0F067" w:rsidR="00FA5721" w:rsidRPr="00403C55" w:rsidRDefault="00972DF4" w:rsidP="001B2A96">
      <w:pPr>
        <w:spacing w:line="280" w:lineRule="auto"/>
        <w:jc w:val="center"/>
        <w:rPr>
          <w:rFonts w:ascii="Times New Roman" w:hAnsi="Times New Roman" w:cs="Times New Roman"/>
          <w:i/>
          <w:sz w:val="24"/>
          <w:szCs w:val="24"/>
          <w:lang w:val="fr-FR"/>
        </w:rPr>
      </w:pPr>
      <w:r w:rsidRPr="00403C55">
        <w:rPr>
          <w:rFonts w:ascii="Times New Roman" w:hAnsi="Times New Roman" w:cs="Times New Roman"/>
          <w:i/>
          <w:sz w:val="24"/>
          <w:szCs w:val="24"/>
          <w:lang w:val="fr-FR"/>
        </w:rPr>
        <w:t>Rapport à la 6</w:t>
      </w:r>
      <w:r w:rsidRPr="00403C55">
        <w:rPr>
          <w:rFonts w:ascii="Times New Roman" w:hAnsi="Times New Roman" w:cs="Times New Roman"/>
          <w:i/>
          <w:sz w:val="24"/>
          <w:szCs w:val="24"/>
          <w:vertAlign w:val="superscript"/>
          <w:lang w:val="fr-FR"/>
        </w:rPr>
        <w:t>ème</w:t>
      </w:r>
      <w:r w:rsidRPr="00403C55">
        <w:rPr>
          <w:rFonts w:ascii="Times New Roman" w:hAnsi="Times New Roman" w:cs="Times New Roman"/>
          <w:i/>
          <w:sz w:val="24"/>
          <w:szCs w:val="24"/>
          <w:lang w:val="fr-FR"/>
        </w:rPr>
        <w:t xml:space="preserve"> session de la Réunion des Parties à l’AEWA</w:t>
      </w:r>
    </w:p>
    <w:p w14:paraId="761D4302" w14:textId="77777777" w:rsidR="00FA5721" w:rsidRPr="00403C55" w:rsidRDefault="00FA5721" w:rsidP="00FA5721">
      <w:pPr>
        <w:jc w:val="center"/>
        <w:rPr>
          <w:rFonts w:ascii="Times New Roman" w:hAnsi="Times New Roman" w:cs="Times New Roman"/>
          <w:b/>
          <w:lang w:val="fr-FR"/>
        </w:rPr>
      </w:pPr>
    </w:p>
    <w:p w14:paraId="5BA08A61" w14:textId="77777777" w:rsidR="00FA5721" w:rsidRPr="00403C55" w:rsidRDefault="00FA5721" w:rsidP="00FA5721">
      <w:pPr>
        <w:jc w:val="center"/>
        <w:rPr>
          <w:rFonts w:ascii="Times New Roman" w:hAnsi="Times New Roman" w:cs="Times New Roman"/>
          <w:b/>
          <w:lang w:val="fr-FR"/>
        </w:rPr>
      </w:pPr>
    </w:p>
    <w:p w14:paraId="38E97F62" w14:textId="77777777" w:rsidR="00FA5721" w:rsidRPr="00403C55" w:rsidRDefault="00FA5721" w:rsidP="00FA5721">
      <w:pPr>
        <w:jc w:val="center"/>
        <w:rPr>
          <w:rFonts w:ascii="Times New Roman" w:hAnsi="Times New Roman" w:cs="Times New Roman"/>
          <w:b/>
          <w:lang w:val="fr-FR"/>
        </w:rPr>
      </w:pPr>
    </w:p>
    <w:p w14:paraId="70C8ABC3" w14:textId="77777777" w:rsidR="00FA5721" w:rsidRPr="00403C55" w:rsidRDefault="00FA5721" w:rsidP="00FA5721">
      <w:pPr>
        <w:jc w:val="center"/>
        <w:rPr>
          <w:rFonts w:ascii="Times New Roman" w:hAnsi="Times New Roman" w:cs="Times New Roman"/>
          <w:b/>
          <w:lang w:val="fr-FR"/>
        </w:rPr>
      </w:pPr>
    </w:p>
    <w:p w14:paraId="5D725DE3" w14:textId="77777777" w:rsidR="00FA5721" w:rsidRPr="00403C55" w:rsidRDefault="00FA5721" w:rsidP="00FA5721">
      <w:pPr>
        <w:jc w:val="center"/>
        <w:rPr>
          <w:rFonts w:ascii="Times New Roman" w:hAnsi="Times New Roman" w:cs="Times New Roman"/>
          <w:b/>
          <w:lang w:val="fr-FR"/>
        </w:rPr>
      </w:pPr>
    </w:p>
    <w:p w14:paraId="0788A5A9" w14:textId="77777777" w:rsidR="00FA5721" w:rsidRPr="00403C55" w:rsidRDefault="00FA5721" w:rsidP="00FA5721">
      <w:pPr>
        <w:jc w:val="center"/>
        <w:rPr>
          <w:rFonts w:ascii="Times New Roman" w:hAnsi="Times New Roman" w:cs="Times New Roman"/>
          <w:b/>
          <w:lang w:val="fr-FR"/>
        </w:rPr>
      </w:pPr>
    </w:p>
    <w:p w14:paraId="2047EFDB" w14:textId="77777777" w:rsidR="00FA5721" w:rsidRPr="00403C55" w:rsidRDefault="00FA5721" w:rsidP="00FA5721">
      <w:pPr>
        <w:jc w:val="center"/>
        <w:rPr>
          <w:rFonts w:ascii="Times New Roman" w:hAnsi="Times New Roman" w:cs="Times New Roman"/>
          <w:b/>
          <w:lang w:val="fr-FR"/>
        </w:rPr>
      </w:pPr>
    </w:p>
    <w:p w14:paraId="02C96587" w14:textId="77777777" w:rsidR="00FA5721" w:rsidRPr="00403C55" w:rsidRDefault="00FA5721" w:rsidP="00FA5721">
      <w:pPr>
        <w:jc w:val="center"/>
        <w:rPr>
          <w:rFonts w:ascii="Times New Roman" w:hAnsi="Times New Roman" w:cs="Times New Roman"/>
          <w:b/>
          <w:lang w:val="fr-FR"/>
        </w:rPr>
      </w:pPr>
    </w:p>
    <w:p w14:paraId="03488BAB" w14:textId="77777777" w:rsidR="00FA5721" w:rsidRPr="00403C55" w:rsidRDefault="00FA5721" w:rsidP="00FA5721">
      <w:pPr>
        <w:jc w:val="center"/>
        <w:rPr>
          <w:rFonts w:ascii="Times New Roman" w:hAnsi="Times New Roman" w:cs="Times New Roman"/>
          <w:b/>
          <w:lang w:val="fr-FR"/>
        </w:rPr>
      </w:pPr>
    </w:p>
    <w:p w14:paraId="1122C544" w14:textId="77777777" w:rsidR="00FA5721" w:rsidRPr="00403C55" w:rsidRDefault="00FA5721" w:rsidP="00FA5721">
      <w:pPr>
        <w:jc w:val="center"/>
        <w:rPr>
          <w:rFonts w:ascii="Times New Roman" w:hAnsi="Times New Roman" w:cs="Times New Roman"/>
          <w:b/>
          <w:lang w:val="fr-FR"/>
        </w:rPr>
      </w:pPr>
    </w:p>
    <w:p w14:paraId="7DF67745" w14:textId="77777777" w:rsidR="00FA5721" w:rsidRPr="00403C55" w:rsidRDefault="00FA5721" w:rsidP="00FA5721">
      <w:pPr>
        <w:jc w:val="center"/>
        <w:rPr>
          <w:rFonts w:ascii="Times New Roman" w:hAnsi="Times New Roman" w:cs="Times New Roman"/>
          <w:b/>
          <w:lang w:val="fr-FR"/>
        </w:rPr>
      </w:pPr>
    </w:p>
    <w:p w14:paraId="734A85C6" w14:textId="77777777" w:rsidR="00FA5721" w:rsidRPr="00403C55" w:rsidRDefault="00FA5721" w:rsidP="00FA5721">
      <w:pPr>
        <w:jc w:val="center"/>
        <w:rPr>
          <w:rFonts w:ascii="Times New Roman" w:hAnsi="Times New Roman" w:cs="Times New Roman"/>
          <w:b/>
          <w:lang w:val="fr-FR"/>
        </w:rPr>
      </w:pPr>
    </w:p>
    <w:p w14:paraId="0CFAE05D" w14:textId="77777777" w:rsidR="00FA5721" w:rsidRPr="00403C55" w:rsidRDefault="00FA5721" w:rsidP="00FA5721">
      <w:pPr>
        <w:jc w:val="center"/>
        <w:rPr>
          <w:rFonts w:ascii="Times New Roman" w:hAnsi="Times New Roman" w:cs="Times New Roman"/>
          <w:b/>
          <w:lang w:val="fr-FR"/>
        </w:rPr>
      </w:pPr>
    </w:p>
    <w:p w14:paraId="0F7E04C3" w14:textId="77777777" w:rsidR="00FA5721" w:rsidRPr="00403C55" w:rsidRDefault="00FA5721" w:rsidP="00FA5721">
      <w:pPr>
        <w:jc w:val="center"/>
        <w:rPr>
          <w:rFonts w:ascii="Times New Roman" w:hAnsi="Times New Roman" w:cs="Times New Roman"/>
          <w:b/>
          <w:lang w:val="fr-FR"/>
        </w:rPr>
      </w:pPr>
    </w:p>
    <w:p w14:paraId="7089706C" w14:textId="77777777" w:rsidR="00FA5721" w:rsidRPr="00403C55" w:rsidRDefault="00FA5721" w:rsidP="00FA5721">
      <w:pPr>
        <w:jc w:val="center"/>
        <w:rPr>
          <w:rFonts w:ascii="Times New Roman" w:hAnsi="Times New Roman" w:cs="Times New Roman"/>
          <w:b/>
          <w:lang w:val="fr-FR"/>
        </w:rPr>
      </w:pPr>
    </w:p>
    <w:p w14:paraId="63AAD94A" w14:textId="5DC393D4" w:rsidR="00FA5721" w:rsidRPr="00403C55" w:rsidRDefault="00972DF4" w:rsidP="00FA5721">
      <w:pPr>
        <w:spacing w:after="0" w:line="240" w:lineRule="auto"/>
        <w:jc w:val="center"/>
        <w:rPr>
          <w:rFonts w:ascii="Times New Roman" w:hAnsi="Times New Roman" w:cs="Times New Roman"/>
          <w:i/>
          <w:lang w:val="fr-FR"/>
        </w:rPr>
      </w:pPr>
      <w:r w:rsidRPr="00403C55">
        <w:rPr>
          <w:rFonts w:ascii="Times New Roman" w:hAnsi="Times New Roman" w:cs="Times New Roman"/>
          <w:i/>
          <w:lang w:val="fr-FR"/>
        </w:rPr>
        <w:t>Préparée par le Secrétariat PNUE/AEWA</w:t>
      </w:r>
    </w:p>
    <w:p w14:paraId="2C5EE80A" w14:textId="77777777" w:rsidR="002F7181" w:rsidRPr="00403C55" w:rsidRDefault="002F7181" w:rsidP="00FA5721">
      <w:pPr>
        <w:spacing w:after="0" w:line="240" w:lineRule="auto"/>
        <w:jc w:val="center"/>
        <w:rPr>
          <w:rFonts w:ascii="Times New Roman" w:hAnsi="Times New Roman" w:cs="Times New Roman"/>
          <w:i/>
          <w:lang w:val="fr-FR"/>
        </w:rPr>
      </w:pPr>
    </w:p>
    <w:p w14:paraId="4FF8A0A6" w14:textId="4C75EB7E" w:rsidR="00697C77" w:rsidRPr="00403C55" w:rsidRDefault="00972DF4" w:rsidP="00FA5721">
      <w:pPr>
        <w:spacing w:after="0" w:line="240" w:lineRule="auto"/>
        <w:jc w:val="center"/>
        <w:rPr>
          <w:rFonts w:ascii="Times New Roman" w:hAnsi="Times New Roman" w:cs="Times New Roman"/>
          <w:i/>
          <w:lang w:val="fr-FR"/>
        </w:rPr>
        <w:sectPr w:rsidR="00697C77" w:rsidRPr="00403C55" w:rsidSect="00697C77">
          <w:headerReference w:type="default" r:id="rId10"/>
          <w:footerReference w:type="default" r:id="rId11"/>
          <w:pgSz w:w="11906" w:h="16838" w:code="9"/>
          <w:pgMar w:top="1418" w:right="1418" w:bottom="1134" w:left="1418" w:header="709" w:footer="709" w:gutter="0"/>
          <w:cols w:space="708"/>
          <w:docGrid w:linePitch="360"/>
        </w:sectPr>
      </w:pPr>
      <w:r w:rsidRPr="00403C55">
        <w:rPr>
          <w:rFonts w:ascii="Times New Roman" w:hAnsi="Times New Roman" w:cs="Times New Roman"/>
          <w:i/>
          <w:lang w:val="fr-FR"/>
        </w:rPr>
        <w:t>(Septembre 2015)</w:t>
      </w:r>
    </w:p>
    <w:p w14:paraId="22CBB997" w14:textId="185F20C0" w:rsidR="00B75537" w:rsidRPr="00403C55" w:rsidRDefault="00972DF4" w:rsidP="00B75537">
      <w:pPr>
        <w:spacing w:after="0" w:line="240" w:lineRule="auto"/>
        <w:rPr>
          <w:rFonts w:ascii="Times New Roman" w:hAnsi="Times New Roman" w:cs="Times New Roman"/>
          <w:lang w:val="fr-FR"/>
        </w:rPr>
      </w:pPr>
      <w:r w:rsidRPr="00403C55">
        <w:rPr>
          <w:rFonts w:ascii="Times New Roman" w:hAnsi="Times New Roman" w:cs="Times New Roman"/>
          <w:lang w:val="fr-FR"/>
        </w:rPr>
        <w:lastRenderedPageBreak/>
        <w:t>TABLE DES MATIÈRES</w:t>
      </w:r>
    </w:p>
    <w:p w14:paraId="7C9B9F0F" w14:textId="77777777" w:rsidR="00B75537" w:rsidRPr="00403C55" w:rsidRDefault="00B75537" w:rsidP="00B75537">
      <w:pPr>
        <w:spacing w:after="0" w:line="240" w:lineRule="auto"/>
        <w:rPr>
          <w:rFonts w:ascii="Times New Roman" w:hAnsi="Times New Roman" w:cs="Times New Roman"/>
          <w:lang w:val="fr-FR"/>
        </w:rPr>
      </w:pPr>
    </w:p>
    <w:p w14:paraId="7931EE0B" w14:textId="628B8847" w:rsidR="00B75537" w:rsidRPr="00403C55" w:rsidRDefault="00972DF4"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Préface et remerciements</w:t>
      </w:r>
      <w:r w:rsidR="00B75537" w:rsidRPr="00403C55">
        <w:rPr>
          <w:rFonts w:ascii="Times New Roman" w:hAnsi="Times New Roman" w:cs="Times New Roman"/>
          <w:lang w:val="fr-FR"/>
        </w:rPr>
        <w:tab/>
        <w:t>4</w:t>
      </w:r>
    </w:p>
    <w:p w14:paraId="0B8615E8"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32032D23" w14:textId="469D5287" w:rsidR="00B75537" w:rsidRPr="00403C55" w:rsidRDefault="00972DF4"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Résumé analytique et recommandations</w:t>
      </w:r>
      <w:r w:rsidR="00B75537" w:rsidRPr="00403C55">
        <w:rPr>
          <w:rFonts w:ascii="Times New Roman" w:hAnsi="Times New Roman" w:cs="Times New Roman"/>
          <w:lang w:val="fr-FR"/>
        </w:rPr>
        <w:tab/>
        <w:t>5</w:t>
      </w:r>
    </w:p>
    <w:p w14:paraId="3EE778F9"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5118B974" w14:textId="5D1DE774"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1. </w:t>
      </w:r>
      <w:r w:rsidR="00972DF4" w:rsidRPr="00403C55">
        <w:rPr>
          <w:rFonts w:ascii="Times New Roman" w:hAnsi="Times New Roman" w:cs="Times New Roman"/>
          <w:lang w:val="fr-FR"/>
        </w:rPr>
        <w:t xml:space="preserve">Définition et statut juridique des plans </w:t>
      </w:r>
      <w:r w:rsidR="0003562F">
        <w:rPr>
          <w:rFonts w:ascii="Times New Roman" w:hAnsi="Times New Roman" w:cs="Times New Roman"/>
          <w:lang w:val="fr-FR"/>
        </w:rPr>
        <w:t>d’action</w:t>
      </w:r>
      <w:r w:rsidR="00972DF4" w:rsidRPr="00403C55">
        <w:rPr>
          <w:rFonts w:ascii="Times New Roman" w:hAnsi="Times New Roman" w:cs="Times New Roman"/>
          <w:lang w:val="fr-FR"/>
        </w:rPr>
        <w:t xml:space="preserve"> et de gestion </w:t>
      </w:r>
      <w:r w:rsidR="00870983">
        <w:rPr>
          <w:rFonts w:ascii="Times New Roman" w:hAnsi="Times New Roman" w:cs="Times New Roman"/>
          <w:lang w:val="fr-FR"/>
        </w:rPr>
        <w:t>dans le cadre de</w:t>
      </w:r>
      <w:r w:rsidR="00972DF4" w:rsidRPr="00403C55">
        <w:rPr>
          <w:rFonts w:ascii="Times New Roman" w:hAnsi="Times New Roman" w:cs="Times New Roman"/>
          <w:lang w:val="fr-FR"/>
        </w:rPr>
        <w:t xml:space="preserve"> l’AEWA</w:t>
      </w:r>
      <w:r w:rsidRPr="00403C55">
        <w:rPr>
          <w:rFonts w:ascii="Times New Roman" w:hAnsi="Times New Roman" w:cs="Times New Roman"/>
          <w:lang w:val="fr-FR"/>
        </w:rPr>
        <w:tab/>
        <w:t>9</w:t>
      </w:r>
    </w:p>
    <w:p w14:paraId="3C8F7E8B"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67F66772" w14:textId="0778DE4A"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2. </w:t>
      </w:r>
      <w:r w:rsidR="001B2A96" w:rsidRPr="00403C55">
        <w:rPr>
          <w:rFonts w:ascii="Times New Roman" w:hAnsi="Times New Roman" w:cs="Times New Roman"/>
          <w:lang w:val="fr-FR"/>
        </w:rPr>
        <w:t>P</w:t>
      </w:r>
      <w:r w:rsidR="00972DF4" w:rsidRPr="00403C55">
        <w:rPr>
          <w:rFonts w:ascii="Times New Roman" w:hAnsi="Times New Roman" w:cs="Times New Roman"/>
          <w:lang w:val="fr-FR"/>
        </w:rPr>
        <w:t xml:space="preserve">rocessus de planification de l’action et de la gestion internationales des espèces </w:t>
      </w:r>
      <w:r w:rsidR="0003562F">
        <w:rPr>
          <w:rFonts w:ascii="Times New Roman" w:hAnsi="Times New Roman" w:cs="Times New Roman"/>
          <w:lang w:val="fr-FR"/>
        </w:rPr>
        <w:t>de l’AEWA</w:t>
      </w:r>
      <w:r w:rsidRPr="00403C55">
        <w:rPr>
          <w:rFonts w:ascii="Times New Roman" w:hAnsi="Times New Roman" w:cs="Times New Roman"/>
          <w:lang w:val="fr-FR"/>
        </w:rPr>
        <w:tab/>
        <w:t>11</w:t>
      </w:r>
    </w:p>
    <w:p w14:paraId="72EB6F28"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4D143D34" w14:textId="1C73D405"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3. </w:t>
      </w:r>
      <w:r w:rsidR="00972DF4" w:rsidRPr="00403C55">
        <w:rPr>
          <w:rFonts w:ascii="Times New Roman" w:hAnsi="Times New Roman" w:cs="Times New Roman"/>
          <w:lang w:val="fr-FR"/>
        </w:rPr>
        <w:t>Groupes de travail et d’experts internationaux par espèce</w:t>
      </w:r>
      <w:r w:rsidRPr="00403C55">
        <w:rPr>
          <w:rFonts w:ascii="Times New Roman" w:hAnsi="Times New Roman" w:cs="Times New Roman"/>
          <w:lang w:val="fr-FR"/>
        </w:rPr>
        <w:tab/>
        <w:t>16</w:t>
      </w:r>
    </w:p>
    <w:p w14:paraId="1C7CCE7B"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7B0A0F4F" w14:textId="35F78D7B"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4. </w:t>
      </w:r>
      <w:r w:rsidR="001B2A96" w:rsidRPr="00403C55">
        <w:rPr>
          <w:rFonts w:ascii="Times New Roman" w:hAnsi="Times New Roman" w:cs="Times New Roman"/>
          <w:lang w:val="fr-FR"/>
        </w:rPr>
        <w:t>P</w:t>
      </w:r>
      <w:r w:rsidR="00972DF4" w:rsidRPr="00403C55">
        <w:rPr>
          <w:rFonts w:ascii="Times New Roman" w:hAnsi="Times New Roman" w:cs="Times New Roman"/>
          <w:lang w:val="fr-FR"/>
        </w:rPr>
        <w:t xml:space="preserve">lans </w:t>
      </w:r>
      <w:r w:rsidR="0003562F">
        <w:rPr>
          <w:rFonts w:ascii="Times New Roman" w:hAnsi="Times New Roman" w:cs="Times New Roman"/>
          <w:lang w:val="fr-FR"/>
        </w:rPr>
        <w:t>d’action</w:t>
      </w:r>
      <w:r w:rsidR="00972DF4" w:rsidRPr="00403C55">
        <w:rPr>
          <w:rFonts w:ascii="Times New Roman" w:hAnsi="Times New Roman" w:cs="Times New Roman"/>
          <w:lang w:val="fr-FR"/>
        </w:rPr>
        <w:t xml:space="preserve"> nationaux par espèce et groupes de travail</w:t>
      </w:r>
      <w:r w:rsidRPr="00403C55">
        <w:rPr>
          <w:rFonts w:ascii="Times New Roman" w:hAnsi="Times New Roman" w:cs="Times New Roman"/>
          <w:lang w:val="fr-FR"/>
        </w:rPr>
        <w:tab/>
        <w:t>20</w:t>
      </w:r>
    </w:p>
    <w:p w14:paraId="4BFA469B"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5B737A5B" w14:textId="375C0186"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5. </w:t>
      </w:r>
      <w:r w:rsidR="00972DF4" w:rsidRPr="00403C55">
        <w:rPr>
          <w:rFonts w:ascii="Times New Roman" w:hAnsi="Times New Roman" w:cs="Times New Roman"/>
          <w:lang w:val="fr-FR"/>
        </w:rPr>
        <w:t xml:space="preserve">Niveau actuel de préparation des plans </w:t>
      </w:r>
      <w:r w:rsidR="0003562F">
        <w:rPr>
          <w:rFonts w:ascii="Times New Roman" w:hAnsi="Times New Roman" w:cs="Times New Roman"/>
          <w:lang w:val="fr-FR"/>
        </w:rPr>
        <w:t>d’action</w:t>
      </w:r>
      <w:r w:rsidR="00972DF4" w:rsidRPr="00403C55">
        <w:rPr>
          <w:rFonts w:ascii="Times New Roman" w:hAnsi="Times New Roman" w:cs="Times New Roman"/>
          <w:lang w:val="fr-FR"/>
        </w:rPr>
        <w:t xml:space="preserve"> et de gestion </w:t>
      </w:r>
      <w:r w:rsidR="0003562F">
        <w:rPr>
          <w:rFonts w:ascii="Times New Roman" w:hAnsi="Times New Roman" w:cs="Times New Roman"/>
          <w:lang w:val="fr-FR"/>
        </w:rPr>
        <w:t>de l’AEWA</w:t>
      </w:r>
      <w:r w:rsidRPr="00403C55">
        <w:rPr>
          <w:rFonts w:ascii="Times New Roman" w:hAnsi="Times New Roman" w:cs="Times New Roman"/>
          <w:lang w:val="fr-FR"/>
        </w:rPr>
        <w:tab/>
        <w:t>21</w:t>
      </w:r>
    </w:p>
    <w:p w14:paraId="7829CAEC"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765AC614" w14:textId="35477BD1"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6. </w:t>
      </w:r>
      <w:r w:rsidR="00972DF4" w:rsidRPr="00403C55">
        <w:rPr>
          <w:rFonts w:ascii="Times New Roman" w:hAnsi="Times New Roman" w:cs="Times New Roman"/>
          <w:lang w:val="fr-FR"/>
        </w:rPr>
        <w:t xml:space="preserve">Étude du niveau de mise en œuvre des plans </w:t>
      </w:r>
      <w:r w:rsidR="0003562F">
        <w:rPr>
          <w:rFonts w:ascii="Times New Roman" w:hAnsi="Times New Roman" w:cs="Times New Roman"/>
          <w:lang w:val="fr-FR"/>
        </w:rPr>
        <w:t>d’action</w:t>
      </w:r>
      <w:r w:rsidR="00972DF4" w:rsidRPr="00403C55">
        <w:rPr>
          <w:rFonts w:ascii="Times New Roman" w:hAnsi="Times New Roman" w:cs="Times New Roman"/>
          <w:lang w:val="fr-FR"/>
        </w:rPr>
        <w:t xml:space="preserve"> et de gestion </w:t>
      </w:r>
      <w:r w:rsidR="00F4288B" w:rsidRPr="00403C55">
        <w:rPr>
          <w:rFonts w:ascii="Times New Roman" w:hAnsi="Times New Roman" w:cs="Times New Roman"/>
          <w:lang w:val="fr-FR"/>
        </w:rPr>
        <w:t xml:space="preserve">internationaux </w:t>
      </w:r>
      <w:r w:rsidR="0003562F">
        <w:rPr>
          <w:rFonts w:ascii="Times New Roman" w:hAnsi="Times New Roman" w:cs="Times New Roman"/>
          <w:lang w:val="fr-FR"/>
        </w:rPr>
        <w:t>de l’AEWA</w:t>
      </w:r>
      <w:r w:rsidRPr="00403C55">
        <w:rPr>
          <w:rFonts w:ascii="Times New Roman" w:hAnsi="Times New Roman" w:cs="Times New Roman"/>
          <w:lang w:val="fr-FR"/>
        </w:rPr>
        <w:tab/>
        <w:t>2</w:t>
      </w:r>
      <w:r w:rsidR="006079AD">
        <w:rPr>
          <w:rFonts w:ascii="Times New Roman" w:hAnsi="Times New Roman" w:cs="Times New Roman"/>
          <w:lang w:val="fr-FR"/>
        </w:rPr>
        <w:t>4</w:t>
      </w:r>
    </w:p>
    <w:p w14:paraId="136DE155" w14:textId="77777777"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p>
    <w:p w14:paraId="796A3B4A" w14:textId="67053434" w:rsidR="00B75537" w:rsidRPr="00403C55" w:rsidRDefault="00B75537" w:rsidP="00B75537">
      <w:pPr>
        <w:tabs>
          <w:tab w:val="left" w:pos="993"/>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7. </w:t>
      </w:r>
      <w:r w:rsidR="00F4288B" w:rsidRPr="00403C55">
        <w:rPr>
          <w:rFonts w:ascii="Times New Roman" w:hAnsi="Times New Roman" w:cs="Times New Roman"/>
          <w:lang w:val="fr-FR"/>
        </w:rPr>
        <w:t>Conclusion</w:t>
      </w:r>
      <w:r w:rsidRPr="00403C55">
        <w:rPr>
          <w:rFonts w:ascii="Times New Roman" w:hAnsi="Times New Roman" w:cs="Times New Roman"/>
          <w:lang w:val="fr-FR"/>
        </w:rPr>
        <w:tab/>
      </w:r>
      <w:r w:rsidR="00320372">
        <w:rPr>
          <w:rFonts w:ascii="Times New Roman" w:hAnsi="Times New Roman" w:cs="Times New Roman"/>
          <w:lang w:val="fr-FR"/>
        </w:rPr>
        <w:t>3</w:t>
      </w:r>
      <w:r w:rsidR="006079AD">
        <w:rPr>
          <w:rFonts w:ascii="Times New Roman" w:hAnsi="Times New Roman" w:cs="Times New Roman"/>
          <w:lang w:val="fr-FR"/>
        </w:rPr>
        <w:t>1</w:t>
      </w:r>
    </w:p>
    <w:p w14:paraId="7B7175AC" w14:textId="77777777" w:rsidR="00B75537" w:rsidRPr="00403C55" w:rsidRDefault="00B75537" w:rsidP="00B75537">
      <w:pPr>
        <w:spacing w:after="0" w:line="240" w:lineRule="auto"/>
        <w:rPr>
          <w:rFonts w:ascii="Times New Roman" w:hAnsi="Times New Roman" w:cs="Times New Roman"/>
          <w:lang w:val="fr-FR"/>
        </w:rPr>
      </w:pPr>
    </w:p>
    <w:p w14:paraId="4ABC47FC" w14:textId="0B820391" w:rsidR="00B75537" w:rsidRPr="00403C55" w:rsidRDefault="00B75537" w:rsidP="00B75537">
      <w:p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 xml:space="preserve">8. </w:t>
      </w:r>
      <w:r w:rsidR="00F4288B" w:rsidRPr="00403C55">
        <w:rPr>
          <w:rFonts w:ascii="Times New Roman" w:hAnsi="Times New Roman" w:cs="Times New Roman"/>
          <w:lang w:val="fr-FR"/>
        </w:rPr>
        <w:t>Annexes</w:t>
      </w:r>
      <w:r w:rsidRPr="00403C55">
        <w:rPr>
          <w:rFonts w:ascii="Times New Roman" w:hAnsi="Times New Roman" w:cs="Times New Roman"/>
          <w:lang w:val="fr-FR"/>
        </w:rPr>
        <w:tab/>
        <w:t>3</w:t>
      </w:r>
      <w:r w:rsidR="00FD041B">
        <w:rPr>
          <w:rFonts w:ascii="Times New Roman" w:hAnsi="Times New Roman" w:cs="Times New Roman"/>
          <w:lang w:val="fr-FR"/>
        </w:rPr>
        <w:t>5</w:t>
      </w:r>
      <w:r w:rsidRPr="00403C55">
        <w:rPr>
          <w:rFonts w:ascii="Times New Roman" w:hAnsi="Times New Roman" w:cs="Times New Roman"/>
          <w:lang w:val="fr-FR"/>
        </w:rPr>
        <w:tab/>
      </w:r>
    </w:p>
    <w:p w14:paraId="34227C2B" w14:textId="0442E155" w:rsidR="00B75537" w:rsidRPr="00403C55" w:rsidRDefault="00F4288B" w:rsidP="00B75537">
      <w:pPr>
        <w:tabs>
          <w:tab w:val="left" w:pos="851"/>
          <w:tab w:val="right" w:leader="dot" w:pos="8930"/>
        </w:tabs>
        <w:spacing w:after="0" w:line="240" w:lineRule="auto"/>
        <w:ind w:left="284"/>
        <w:rPr>
          <w:rFonts w:ascii="Times New Roman" w:hAnsi="Times New Roman" w:cs="Times New Roman"/>
          <w:lang w:val="fr-FR"/>
        </w:rPr>
      </w:pPr>
      <w:r w:rsidRPr="00403C55">
        <w:rPr>
          <w:rFonts w:ascii="Times New Roman" w:hAnsi="Times New Roman" w:cs="Times New Roman"/>
          <w:lang w:val="fr-FR"/>
        </w:rPr>
        <w:t>Annexe I.</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 Études individuelles de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w:t>
      </w:r>
      <w:r w:rsidR="0003562F">
        <w:rPr>
          <w:rFonts w:ascii="Times New Roman" w:hAnsi="Times New Roman" w:cs="Times New Roman"/>
          <w:lang w:val="fr-FR"/>
        </w:rPr>
        <w:t>de l’AEWA</w:t>
      </w:r>
      <w:r w:rsidRPr="00403C55">
        <w:rPr>
          <w:rFonts w:ascii="Times New Roman" w:hAnsi="Times New Roman" w:cs="Times New Roman"/>
          <w:lang w:val="fr-FR"/>
        </w:rPr>
        <w:t> :</w:t>
      </w:r>
    </w:p>
    <w:p w14:paraId="2A024D7F" w14:textId="77777777" w:rsidR="00B75537" w:rsidRPr="00403C55" w:rsidRDefault="00B75537" w:rsidP="00B75537">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b/>
      </w:r>
    </w:p>
    <w:p w14:paraId="3563CCBE" w14:textId="5AC220C8" w:rsidR="00B75537" w:rsidRPr="00403C55"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A.</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Ibis chauve </w:t>
      </w:r>
      <w:r w:rsidRPr="00403C55">
        <w:rPr>
          <w:rFonts w:ascii="Times New Roman" w:hAnsi="Times New Roman" w:cs="Times New Roman"/>
          <w:i/>
          <w:lang w:val="fr-FR"/>
        </w:rPr>
        <w:t>(Geronticus eremita)</w:t>
      </w:r>
      <w:r w:rsidR="00B75537" w:rsidRPr="00403C55">
        <w:rPr>
          <w:rFonts w:ascii="Times New Roman" w:hAnsi="Times New Roman" w:cs="Times New Roman"/>
          <w:lang w:val="fr-FR"/>
        </w:rPr>
        <w:tab/>
        <w:t>3</w:t>
      </w:r>
      <w:r w:rsidR="00F55F10">
        <w:rPr>
          <w:rFonts w:ascii="Times New Roman" w:hAnsi="Times New Roman" w:cs="Times New Roman"/>
          <w:lang w:val="fr-FR"/>
        </w:rPr>
        <w:t>6</w:t>
      </w:r>
    </w:p>
    <w:p w14:paraId="50B25310" w14:textId="4AC54E36" w:rsidR="00B75537" w:rsidRPr="00403C55"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B.</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Flamant nain </w:t>
      </w:r>
      <w:r w:rsidRPr="00403C55">
        <w:rPr>
          <w:rFonts w:ascii="Times New Roman" w:hAnsi="Times New Roman" w:cs="Times New Roman"/>
          <w:i/>
          <w:lang w:val="fr-FR"/>
        </w:rPr>
        <w:t>(Phoeniconaias minor)</w:t>
      </w:r>
      <w:r w:rsidR="00B75537" w:rsidRPr="00403C55">
        <w:rPr>
          <w:rFonts w:ascii="Times New Roman" w:hAnsi="Times New Roman" w:cs="Times New Roman"/>
          <w:lang w:val="fr-FR"/>
        </w:rPr>
        <w:tab/>
        <w:t>4</w:t>
      </w:r>
      <w:r w:rsidR="00F55F10">
        <w:rPr>
          <w:rFonts w:ascii="Times New Roman" w:hAnsi="Times New Roman" w:cs="Times New Roman"/>
          <w:lang w:val="fr-FR"/>
        </w:rPr>
        <w:t>6</w:t>
      </w:r>
    </w:p>
    <w:p w14:paraId="642975EF" w14:textId="5259C071" w:rsidR="00B75537" w:rsidRPr="00403C55"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C.</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Cygne de Bewick </w:t>
      </w:r>
      <w:r w:rsidRPr="00403C55">
        <w:rPr>
          <w:rFonts w:ascii="Times New Roman" w:hAnsi="Times New Roman" w:cs="Times New Roman"/>
          <w:i/>
          <w:lang w:val="fr-FR"/>
        </w:rPr>
        <w:t>(Cygnus columbianus bewickii</w:t>
      </w:r>
      <w:r w:rsidRPr="00403C55">
        <w:rPr>
          <w:rFonts w:ascii="Times New Roman" w:hAnsi="Times New Roman" w:cs="Times New Roman"/>
          <w:i/>
          <w:sz w:val="20"/>
          <w:szCs w:val="20"/>
          <w:lang w:val="fr-FR"/>
        </w:rPr>
        <w:t>)</w:t>
      </w:r>
      <w:r w:rsidR="00F55F10">
        <w:rPr>
          <w:rFonts w:ascii="Times New Roman" w:hAnsi="Times New Roman" w:cs="Times New Roman"/>
          <w:lang w:val="fr-FR"/>
        </w:rPr>
        <w:tab/>
        <w:t>55</w:t>
      </w:r>
    </w:p>
    <w:p w14:paraId="259E4BF6" w14:textId="0D1ED689" w:rsidR="00B75537" w:rsidRPr="00403C55"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D.</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Oie à bec court </w:t>
      </w:r>
      <w:r w:rsidRPr="00403C55">
        <w:rPr>
          <w:rFonts w:ascii="Times New Roman" w:hAnsi="Times New Roman" w:cs="Times New Roman"/>
          <w:i/>
          <w:lang w:val="fr-FR"/>
        </w:rPr>
        <w:t>(Anser brachyrhynchus)</w:t>
      </w:r>
      <w:r w:rsidR="001A39F3" w:rsidRPr="00403C55">
        <w:rPr>
          <w:rFonts w:ascii="Times New Roman" w:hAnsi="Times New Roman" w:cs="Times New Roman"/>
          <w:lang w:val="fr-FR"/>
        </w:rPr>
        <w:tab/>
      </w:r>
      <w:r w:rsidR="00F55F10">
        <w:rPr>
          <w:rFonts w:ascii="Times New Roman" w:hAnsi="Times New Roman" w:cs="Times New Roman"/>
          <w:lang w:val="fr-FR"/>
        </w:rPr>
        <w:t>6</w:t>
      </w:r>
      <w:r w:rsidR="001A39F3" w:rsidRPr="00403C55">
        <w:rPr>
          <w:rFonts w:ascii="Times New Roman" w:hAnsi="Times New Roman" w:cs="Times New Roman"/>
          <w:lang w:val="fr-FR"/>
        </w:rPr>
        <w:t>5</w:t>
      </w:r>
    </w:p>
    <w:p w14:paraId="44D4D2B1" w14:textId="085659FB" w:rsidR="00B75537" w:rsidRPr="00403C55"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E.</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Oie rieuse du Groenland </w:t>
      </w:r>
      <w:r w:rsidRPr="00403C55">
        <w:rPr>
          <w:rFonts w:ascii="Times New Roman" w:hAnsi="Times New Roman" w:cs="Times New Roman"/>
          <w:i/>
          <w:lang w:val="fr-FR"/>
        </w:rPr>
        <w:t>(Anser albifrons flavirostris)</w:t>
      </w:r>
      <w:r w:rsidR="00F55F10">
        <w:rPr>
          <w:rFonts w:ascii="Times New Roman" w:hAnsi="Times New Roman" w:cs="Times New Roman"/>
          <w:lang w:val="fr-FR"/>
        </w:rPr>
        <w:tab/>
        <w:t>71</w:t>
      </w:r>
    </w:p>
    <w:p w14:paraId="33A39E3A" w14:textId="296EB7CE" w:rsidR="00B75537" w:rsidRPr="00403C55"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F.</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Oie naine </w:t>
      </w:r>
      <w:r w:rsidRPr="00403C55">
        <w:rPr>
          <w:rFonts w:ascii="Times New Roman" w:hAnsi="Times New Roman" w:cs="Times New Roman"/>
          <w:i/>
          <w:lang w:val="fr-FR"/>
        </w:rPr>
        <w:t>(Anser erythropus)</w:t>
      </w:r>
      <w:r w:rsidR="001A39F3" w:rsidRPr="00403C55">
        <w:rPr>
          <w:rFonts w:ascii="Times New Roman" w:hAnsi="Times New Roman" w:cs="Times New Roman"/>
          <w:lang w:val="fr-FR"/>
        </w:rPr>
        <w:tab/>
        <w:t>7</w:t>
      </w:r>
      <w:r w:rsidR="00F55F10">
        <w:rPr>
          <w:rFonts w:ascii="Times New Roman" w:hAnsi="Times New Roman" w:cs="Times New Roman"/>
          <w:lang w:val="fr-FR"/>
        </w:rPr>
        <w:t>9</w:t>
      </w:r>
    </w:p>
    <w:p w14:paraId="26F9ED51" w14:textId="02CD6905" w:rsidR="00B75537" w:rsidRPr="006079AD"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G.</w:t>
      </w:r>
      <w:r w:rsidR="00B75537" w:rsidRPr="00403C55">
        <w:rPr>
          <w:rFonts w:ascii="Times New Roman" w:hAnsi="Times New Roman" w:cs="Times New Roman"/>
          <w:lang w:val="fr-FR"/>
        </w:rPr>
        <w:t xml:space="preserve"> </w:t>
      </w:r>
      <w:r w:rsidRPr="00403C55">
        <w:rPr>
          <w:rFonts w:ascii="Times New Roman" w:hAnsi="Times New Roman" w:cs="Times New Roman"/>
          <w:lang w:val="fr-FR"/>
        </w:rPr>
        <w:t xml:space="preserve">Bernache à cou roux </w:t>
      </w:r>
      <w:r w:rsidRPr="00403C55">
        <w:rPr>
          <w:rFonts w:ascii="Times New Roman" w:hAnsi="Times New Roman" w:cs="Times New Roman"/>
          <w:i/>
          <w:lang w:val="fr-FR"/>
        </w:rPr>
        <w:t>(Branta ruficollis)</w:t>
      </w:r>
      <w:r w:rsidR="00B75537" w:rsidRPr="00403C55">
        <w:rPr>
          <w:rFonts w:ascii="Times New Roman" w:hAnsi="Times New Roman" w:cs="Times New Roman"/>
          <w:i/>
          <w:lang w:val="fr-FR"/>
        </w:rPr>
        <w:tab/>
      </w:r>
      <w:r w:rsidR="00F55F10">
        <w:rPr>
          <w:rFonts w:ascii="Times New Roman" w:hAnsi="Times New Roman" w:cs="Times New Roman"/>
          <w:lang w:val="fr-FR"/>
        </w:rPr>
        <w:t>88</w:t>
      </w:r>
    </w:p>
    <w:p w14:paraId="5D11F286" w14:textId="282F1248" w:rsidR="00B75537" w:rsidRPr="006079AD" w:rsidRDefault="00F4288B"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6079AD">
        <w:rPr>
          <w:rFonts w:ascii="Times New Roman" w:hAnsi="Times New Roman" w:cs="Times New Roman"/>
          <w:lang w:val="fr-FR"/>
        </w:rPr>
        <w:t>H.</w:t>
      </w:r>
      <w:r w:rsidR="00B75537" w:rsidRPr="006079AD">
        <w:rPr>
          <w:rFonts w:ascii="Times New Roman" w:hAnsi="Times New Roman" w:cs="Times New Roman"/>
          <w:lang w:val="fr-FR"/>
        </w:rPr>
        <w:t xml:space="preserve"> </w:t>
      </w:r>
      <w:r w:rsidRPr="006079AD">
        <w:rPr>
          <w:rFonts w:ascii="Times New Roman" w:hAnsi="Times New Roman" w:cs="Times New Roman"/>
          <w:lang w:val="fr-FR"/>
        </w:rPr>
        <w:t>Vanneau sociable (</w:t>
      </w:r>
      <w:r w:rsidRPr="006079AD">
        <w:rPr>
          <w:rFonts w:ascii="Times New Roman" w:hAnsi="Times New Roman" w:cs="Times New Roman"/>
          <w:i/>
          <w:lang w:val="fr-FR"/>
        </w:rPr>
        <w:t>Vanellus gregarius</w:t>
      </w:r>
      <w:r w:rsidRPr="006079AD">
        <w:rPr>
          <w:rFonts w:ascii="Times New Roman" w:hAnsi="Times New Roman" w:cs="Times New Roman"/>
          <w:lang w:val="fr-FR"/>
        </w:rPr>
        <w:t>)</w:t>
      </w:r>
      <w:r w:rsidR="002F0292" w:rsidRPr="006079AD">
        <w:rPr>
          <w:rFonts w:ascii="Times New Roman" w:hAnsi="Times New Roman" w:cs="Times New Roman"/>
          <w:lang w:val="fr-FR"/>
        </w:rPr>
        <w:tab/>
      </w:r>
      <w:r w:rsidR="00F55F10">
        <w:rPr>
          <w:rFonts w:ascii="Times New Roman" w:hAnsi="Times New Roman" w:cs="Times New Roman"/>
          <w:lang w:val="fr-FR"/>
        </w:rPr>
        <w:t>99</w:t>
      </w:r>
    </w:p>
    <w:p w14:paraId="1491DE11" w14:textId="77777777" w:rsidR="00B75537" w:rsidRPr="00403C55" w:rsidRDefault="00B75537" w:rsidP="00B75537">
      <w:pPr>
        <w:tabs>
          <w:tab w:val="left" w:pos="851"/>
          <w:tab w:val="right" w:leader="dot" w:pos="8930"/>
        </w:tabs>
        <w:spacing w:after="0" w:line="240" w:lineRule="auto"/>
        <w:ind w:firstLine="284"/>
        <w:rPr>
          <w:rFonts w:ascii="Times New Roman" w:hAnsi="Times New Roman" w:cs="Times New Roman"/>
          <w:lang w:val="fr-FR"/>
        </w:rPr>
      </w:pPr>
    </w:p>
    <w:p w14:paraId="3B00EE6B" w14:textId="5D2831D7" w:rsidR="00B75537" w:rsidRPr="00403C55" w:rsidRDefault="00F4288B" w:rsidP="006079AD">
      <w:pPr>
        <w:tabs>
          <w:tab w:val="left" w:pos="851"/>
          <w:tab w:val="left" w:pos="1418"/>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II.</w:t>
      </w:r>
      <w:r w:rsidR="00B75537" w:rsidRPr="00403C55">
        <w:rPr>
          <w:rFonts w:ascii="Times New Roman" w:hAnsi="Times New Roman" w:cs="Times New Roman"/>
          <w:lang w:val="fr-FR"/>
        </w:rPr>
        <w:t xml:space="preserve"> </w:t>
      </w:r>
      <w:r w:rsidR="006079AD">
        <w:rPr>
          <w:rFonts w:ascii="Times New Roman" w:hAnsi="Times New Roman" w:cs="Times New Roman"/>
          <w:lang w:val="fr-FR"/>
        </w:rPr>
        <w:t xml:space="preserve"> -</w:t>
      </w:r>
      <w:r w:rsidRPr="00403C55">
        <w:rPr>
          <w:rFonts w:ascii="Times New Roman" w:hAnsi="Times New Roman" w:cs="Times New Roman"/>
          <w:lang w:val="fr-FR"/>
        </w:rPr>
        <w:t xml:space="preserve"> Vue d’ensemble des questionnaires soumis aux fins de l’étude</w:t>
      </w:r>
      <w:r w:rsidR="002F0292" w:rsidRPr="00403C55">
        <w:rPr>
          <w:rFonts w:ascii="Times New Roman" w:hAnsi="Times New Roman" w:cs="Times New Roman"/>
          <w:lang w:val="fr-FR"/>
        </w:rPr>
        <w:tab/>
      </w:r>
      <w:r w:rsidR="00F55F10">
        <w:rPr>
          <w:rFonts w:ascii="Times New Roman" w:hAnsi="Times New Roman" w:cs="Times New Roman"/>
          <w:lang w:val="fr-FR"/>
        </w:rPr>
        <w:t>107</w:t>
      </w:r>
      <w:r w:rsidR="00B75537" w:rsidRPr="00403C55">
        <w:rPr>
          <w:rFonts w:ascii="Times New Roman" w:hAnsi="Times New Roman" w:cs="Times New Roman"/>
          <w:lang w:val="fr-FR"/>
        </w:rPr>
        <w:t xml:space="preserve"> </w:t>
      </w:r>
    </w:p>
    <w:p w14:paraId="2DC75A36" w14:textId="76089DA8" w:rsidR="00B75537" w:rsidRPr="00403C55" w:rsidRDefault="00F4288B" w:rsidP="00B75537">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III.</w:t>
      </w:r>
      <w:r w:rsidR="00B75537" w:rsidRPr="00403C55">
        <w:rPr>
          <w:rFonts w:ascii="Times New Roman" w:hAnsi="Times New Roman" w:cs="Times New Roman"/>
          <w:lang w:val="fr-FR"/>
        </w:rPr>
        <w:t xml:space="preserve"> - </w:t>
      </w:r>
      <w:r w:rsidRPr="006079AD">
        <w:rPr>
          <w:rFonts w:ascii="Times New Roman" w:hAnsi="Times New Roman" w:cs="Times New Roman"/>
          <w:sz w:val="21"/>
          <w:szCs w:val="21"/>
          <w:lang w:val="fr-FR"/>
        </w:rPr>
        <w:t xml:space="preserve">Termes de référence des groupes de travail internationaux par espèce </w:t>
      </w:r>
      <w:r w:rsidR="0003562F" w:rsidRPr="006079AD">
        <w:rPr>
          <w:rFonts w:ascii="Times New Roman" w:hAnsi="Times New Roman" w:cs="Times New Roman"/>
          <w:sz w:val="21"/>
          <w:szCs w:val="21"/>
          <w:lang w:val="fr-FR"/>
        </w:rPr>
        <w:t>de l’AEWA</w:t>
      </w:r>
      <w:r w:rsidR="006079AD" w:rsidRPr="006079AD">
        <w:rPr>
          <w:rFonts w:ascii="Times New Roman" w:hAnsi="Times New Roman" w:cs="Times New Roman"/>
          <w:sz w:val="21"/>
          <w:szCs w:val="21"/>
          <w:lang w:val="fr-FR"/>
        </w:rPr>
        <w:t>.</w:t>
      </w:r>
      <w:r w:rsidR="002F0292" w:rsidRPr="006079AD">
        <w:rPr>
          <w:rFonts w:ascii="Times New Roman" w:hAnsi="Times New Roman" w:cs="Times New Roman"/>
          <w:sz w:val="21"/>
          <w:szCs w:val="21"/>
          <w:lang w:val="fr-FR"/>
        </w:rPr>
        <w:tab/>
      </w:r>
      <w:r w:rsidR="00F55F10">
        <w:rPr>
          <w:rFonts w:ascii="Times New Roman" w:hAnsi="Times New Roman" w:cs="Times New Roman"/>
          <w:sz w:val="21"/>
          <w:szCs w:val="21"/>
          <w:lang w:val="fr-FR"/>
        </w:rPr>
        <w:t>108</w:t>
      </w:r>
    </w:p>
    <w:p w14:paraId="53DC8D34" w14:textId="70B7DED7" w:rsidR="00B75537" w:rsidRPr="00403C55" w:rsidRDefault="00F4288B" w:rsidP="00B75537">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IV.</w:t>
      </w:r>
      <w:r w:rsidR="00B75537" w:rsidRPr="00403C55">
        <w:rPr>
          <w:rFonts w:ascii="Times New Roman" w:hAnsi="Times New Roman" w:cs="Times New Roman"/>
          <w:lang w:val="fr-FR"/>
        </w:rPr>
        <w:t xml:space="preserve"> - </w:t>
      </w:r>
      <w:r w:rsidRPr="006079AD">
        <w:rPr>
          <w:rFonts w:ascii="Times New Roman" w:hAnsi="Times New Roman" w:cs="Times New Roman"/>
          <w:sz w:val="21"/>
          <w:szCs w:val="21"/>
          <w:lang w:val="fr-FR"/>
        </w:rPr>
        <w:t xml:space="preserve">Termes de référence des groupes d’experts internationaux par espèce </w:t>
      </w:r>
      <w:r w:rsidR="0003562F" w:rsidRPr="006079AD">
        <w:rPr>
          <w:rFonts w:ascii="Times New Roman" w:hAnsi="Times New Roman" w:cs="Times New Roman"/>
          <w:sz w:val="21"/>
          <w:szCs w:val="21"/>
          <w:lang w:val="fr-FR"/>
        </w:rPr>
        <w:t>de l’AEWA</w:t>
      </w:r>
      <w:r w:rsidR="006079AD" w:rsidRPr="006079AD">
        <w:rPr>
          <w:rFonts w:ascii="Times New Roman" w:hAnsi="Times New Roman" w:cs="Times New Roman"/>
          <w:sz w:val="21"/>
          <w:szCs w:val="21"/>
          <w:lang w:val="fr-FR"/>
        </w:rPr>
        <w:t>.</w:t>
      </w:r>
      <w:r w:rsidR="002F0292" w:rsidRPr="006079AD">
        <w:rPr>
          <w:rFonts w:ascii="Times New Roman" w:hAnsi="Times New Roman" w:cs="Times New Roman"/>
          <w:sz w:val="21"/>
          <w:szCs w:val="21"/>
          <w:lang w:val="fr-FR"/>
        </w:rPr>
        <w:tab/>
      </w:r>
      <w:r w:rsidR="00F55F10">
        <w:rPr>
          <w:rFonts w:ascii="Times New Roman" w:hAnsi="Times New Roman" w:cs="Times New Roman"/>
          <w:sz w:val="21"/>
          <w:szCs w:val="21"/>
          <w:lang w:val="fr-FR"/>
        </w:rPr>
        <w:t>109</w:t>
      </w:r>
    </w:p>
    <w:p w14:paraId="4F21D796" w14:textId="71957154" w:rsidR="00B75537" w:rsidRPr="00403C55" w:rsidRDefault="00F4288B" w:rsidP="00B75537">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V.</w:t>
      </w:r>
      <w:r w:rsidR="00B75537" w:rsidRPr="00403C55">
        <w:rPr>
          <w:rFonts w:ascii="Times New Roman" w:hAnsi="Times New Roman" w:cs="Times New Roman"/>
          <w:lang w:val="fr-FR"/>
        </w:rPr>
        <w:t xml:space="preserve"> </w:t>
      </w:r>
      <w:r w:rsidR="006079AD">
        <w:rPr>
          <w:rFonts w:ascii="Times New Roman" w:hAnsi="Times New Roman" w:cs="Times New Roman"/>
          <w:lang w:val="fr-FR"/>
        </w:rPr>
        <w:t xml:space="preserve"> </w:t>
      </w:r>
      <w:r w:rsidR="00B75537" w:rsidRPr="00403C55">
        <w:rPr>
          <w:rFonts w:ascii="Times New Roman" w:hAnsi="Times New Roman" w:cs="Times New Roman"/>
          <w:lang w:val="fr-FR"/>
        </w:rPr>
        <w:t xml:space="preserve">- </w:t>
      </w:r>
      <w:r w:rsidR="006079AD">
        <w:rPr>
          <w:rFonts w:ascii="Times New Roman" w:hAnsi="Times New Roman" w:cs="Times New Roman"/>
          <w:lang w:val="fr-FR"/>
        </w:rPr>
        <w:t xml:space="preserve"> </w:t>
      </w:r>
      <w:r w:rsidRPr="00403C55">
        <w:rPr>
          <w:rFonts w:ascii="Times New Roman" w:hAnsi="Times New Roman" w:cs="Times New Roman"/>
          <w:lang w:val="fr-FR"/>
        </w:rPr>
        <w:t xml:space="preserve">Conseils sur la coordination des groupes de travail internationaux par espèce </w:t>
      </w:r>
      <w:r w:rsidR="0003562F">
        <w:rPr>
          <w:rFonts w:ascii="Times New Roman" w:hAnsi="Times New Roman" w:cs="Times New Roman"/>
          <w:lang w:val="fr-FR"/>
        </w:rPr>
        <w:t xml:space="preserve">de </w:t>
      </w:r>
      <w:r w:rsidR="006079AD">
        <w:rPr>
          <w:rFonts w:ascii="Times New Roman" w:hAnsi="Times New Roman" w:cs="Times New Roman"/>
          <w:lang w:val="fr-FR"/>
        </w:rPr>
        <w:tab/>
      </w:r>
      <w:r w:rsidR="006079AD">
        <w:rPr>
          <w:rFonts w:ascii="Times New Roman" w:hAnsi="Times New Roman" w:cs="Times New Roman"/>
          <w:lang w:val="fr-FR"/>
        </w:rPr>
        <w:tab/>
        <w:t xml:space="preserve">            </w:t>
      </w:r>
      <w:r w:rsidR="0003562F">
        <w:rPr>
          <w:rFonts w:ascii="Times New Roman" w:hAnsi="Times New Roman" w:cs="Times New Roman"/>
          <w:lang w:val="fr-FR"/>
        </w:rPr>
        <w:t>l’AEWA</w:t>
      </w:r>
      <w:r w:rsidR="002F0292" w:rsidRPr="00403C55">
        <w:rPr>
          <w:rFonts w:ascii="Times New Roman" w:hAnsi="Times New Roman" w:cs="Times New Roman"/>
          <w:lang w:val="fr-FR"/>
        </w:rPr>
        <w:tab/>
        <w:t>1</w:t>
      </w:r>
      <w:r w:rsidR="006079AD">
        <w:rPr>
          <w:rFonts w:ascii="Times New Roman" w:hAnsi="Times New Roman" w:cs="Times New Roman"/>
          <w:lang w:val="fr-FR"/>
        </w:rPr>
        <w:t>11</w:t>
      </w:r>
    </w:p>
    <w:p w14:paraId="5C6DB2B9" w14:textId="77777777" w:rsidR="006079AD" w:rsidRDefault="00F4288B" w:rsidP="00B75537">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VI.</w:t>
      </w:r>
      <w:r w:rsidR="00B75537" w:rsidRPr="00403C55">
        <w:rPr>
          <w:rFonts w:ascii="Times New Roman" w:hAnsi="Times New Roman" w:cs="Times New Roman"/>
          <w:lang w:val="fr-FR"/>
        </w:rPr>
        <w:t xml:space="preserve"> - </w:t>
      </w:r>
      <w:r w:rsidRPr="00403C55">
        <w:rPr>
          <w:rFonts w:ascii="Times New Roman" w:hAnsi="Times New Roman" w:cs="Times New Roman"/>
          <w:lang w:val="fr-FR"/>
        </w:rPr>
        <w:t>Liste des espèces classées par ordre de priorité par le Comité technique en vue de la</w:t>
      </w:r>
    </w:p>
    <w:p w14:paraId="60586B35" w14:textId="6747707B" w:rsidR="00B75537" w:rsidRPr="00403C55" w:rsidRDefault="006079AD" w:rsidP="00B75537">
      <w:pPr>
        <w:tabs>
          <w:tab w:val="left" w:pos="851"/>
          <w:tab w:val="right" w:leader="dot" w:pos="8930"/>
        </w:tabs>
        <w:spacing w:after="0" w:line="240" w:lineRule="auto"/>
        <w:ind w:firstLine="284"/>
        <w:rPr>
          <w:rFonts w:ascii="Times New Roman" w:hAnsi="Times New Roman" w:cs="Times New Roman"/>
          <w:lang w:val="fr-FR"/>
        </w:rPr>
      </w:pPr>
      <w:r>
        <w:rPr>
          <w:rFonts w:ascii="Times New Roman" w:hAnsi="Times New Roman" w:cs="Times New Roman"/>
          <w:lang w:val="fr-FR"/>
        </w:rPr>
        <w:t xml:space="preserve">                      </w:t>
      </w:r>
      <w:r w:rsidR="00F4288B" w:rsidRPr="00403C55">
        <w:rPr>
          <w:rFonts w:ascii="Times New Roman" w:hAnsi="Times New Roman" w:cs="Times New Roman"/>
          <w:lang w:val="fr-FR"/>
        </w:rPr>
        <w:t>planification de l’action</w:t>
      </w:r>
      <w:r w:rsidR="002F0292" w:rsidRPr="00403C55">
        <w:rPr>
          <w:rFonts w:ascii="Times New Roman" w:hAnsi="Times New Roman" w:cs="Times New Roman"/>
          <w:lang w:val="fr-FR"/>
        </w:rPr>
        <w:tab/>
        <w:t>11</w:t>
      </w:r>
      <w:r>
        <w:rPr>
          <w:rFonts w:ascii="Times New Roman" w:hAnsi="Times New Roman" w:cs="Times New Roman"/>
          <w:lang w:val="fr-FR"/>
        </w:rPr>
        <w:t>8</w:t>
      </w:r>
    </w:p>
    <w:p w14:paraId="3D4FA1C2" w14:textId="77777777" w:rsidR="003104DF" w:rsidRPr="00403C55" w:rsidRDefault="003104DF" w:rsidP="00DA5E6B">
      <w:pPr>
        <w:spacing w:after="0" w:line="240" w:lineRule="auto"/>
        <w:ind w:left="360" w:firstLine="284"/>
        <w:rPr>
          <w:rFonts w:ascii="Times New Roman" w:hAnsi="Times New Roman" w:cs="Times New Roman"/>
          <w:lang w:val="fr-FR"/>
        </w:rPr>
      </w:pPr>
      <w:r w:rsidRPr="00403C55">
        <w:rPr>
          <w:rFonts w:ascii="Times New Roman" w:hAnsi="Times New Roman" w:cs="Times New Roman"/>
          <w:lang w:val="fr-FR"/>
        </w:rPr>
        <w:br w:type="page"/>
      </w:r>
    </w:p>
    <w:p w14:paraId="32FD5B15" w14:textId="3DD56925" w:rsidR="003104DF" w:rsidRPr="00403C55" w:rsidRDefault="00F4288B" w:rsidP="00946380">
      <w:pPr>
        <w:shd w:val="clear" w:color="auto" w:fill="B8CCE4" w:themeFill="accent1" w:themeFillTint="66"/>
        <w:spacing w:after="0" w:line="240" w:lineRule="auto"/>
        <w:rPr>
          <w:rFonts w:ascii="Times New Roman" w:hAnsi="Times New Roman" w:cs="Times New Roman"/>
          <w:b/>
          <w:lang w:val="fr-FR"/>
        </w:rPr>
      </w:pPr>
      <w:r w:rsidRPr="00403C55">
        <w:rPr>
          <w:rFonts w:ascii="Times New Roman" w:hAnsi="Times New Roman" w:cs="Times New Roman"/>
          <w:b/>
          <w:lang w:val="fr-FR"/>
        </w:rPr>
        <w:lastRenderedPageBreak/>
        <w:t>Préface</w:t>
      </w:r>
    </w:p>
    <w:p w14:paraId="3C9BF2AC" w14:textId="77777777" w:rsidR="003104DF" w:rsidRPr="00403C55" w:rsidRDefault="003104DF" w:rsidP="00426A3A">
      <w:pPr>
        <w:spacing w:after="0" w:line="240" w:lineRule="auto"/>
        <w:rPr>
          <w:rFonts w:ascii="Times New Roman" w:hAnsi="Times New Roman" w:cs="Times New Roman"/>
          <w:sz w:val="20"/>
          <w:szCs w:val="20"/>
          <w:lang w:val="fr-FR"/>
        </w:rPr>
      </w:pPr>
    </w:p>
    <w:p w14:paraId="357F1BE5" w14:textId="770AD108" w:rsidR="00103E7F" w:rsidRDefault="00F4288B" w:rsidP="0032037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Conformément au Paragraphe 7.4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 xml:space="preserve">, le Secrétariat de l’Accord est tenu de préparer, en coordination avec le Comité technique et les Parties, une série d’études internationales nécessaires à la mise en œuvre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qui comprennent notamment une étude sur le stade de préparation et de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w:t>
      </w:r>
      <w:r w:rsidR="00985A4E">
        <w:rPr>
          <w:rFonts w:ascii="Times New Roman" w:hAnsi="Times New Roman" w:cs="Times New Roman"/>
          <w:lang w:val="fr-FR"/>
        </w:rPr>
        <w:t xml:space="preserve"> </w:t>
      </w:r>
      <w:r w:rsidRPr="00403C55">
        <w:rPr>
          <w:rFonts w:ascii="Times New Roman" w:hAnsi="Times New Roman" w:cs="Times New Roman"/>
          <w:lang w:val="fr-FR"/>
        </w:rPr>
        <w:t xml:space="preserve">La première de ces études a </w:t>
      </w:r>
      <w:r w:rsidR="00103E7F">
        <w:rPr>
          <w:rFonts w:ascii="Times New Roman" w:hAnsi="Times New Roman" w:cs="Times New Roman"/>
          <w:lang w:val="fr-FR"/>
        </w:rPr>
        <w:t>été présentée à la MOP4 en 2008 :</w:t>
      </w:r>
    </w:p>
    <w:p w14:paraId="45B9733F" w14:textId="685DFCF3" w:rsidR="00426A3A" w:rsidRPr="002165B0" w:rsidRDefault="00F4288B" w:rsidP="00320372">
      <w:pPr>
        <w:spacing w:after="0" w:line="240" w:lineRule="auto"/>
        <w:jc w:val="both"/>
        <w:rPr>
          <w:rFonts w:ascii="Times New Roman" w:hAnsi="Times New Roman" w:cs="Times New Roman"/>
          <w:sz w:val="20"/>
          <w:szCs w:val="20"/>
          <w:lang w:val="fr-FR"/>
        </w:rPr>
      </w:pPr>
      <w:r w:rsidRPr="002165B0">
        <w:rPr>
          <w:rFonts w:ascii="Times New Roman" w:hAnsi="Times New Roman" w:cs="Times New Roman"/>
          <w:sz w:val="21"/>
          <w:szCs w:val="21"/>
          <w:lang w:val="fr-FR"/>
        </w:rPr>
        <w:t>(http://www.unep-aewa.org/sites/default/files/document/mop4_10_ssap_review_0.pdf).</w:t>
      </w:r>
    </w:p>
    <w:p w14:paraId="76870BA7" w14:textId="77777777" w:rsidR="00426A3A" w:rsidRPr="00403C55" w:rsidRDefault="00426A3A" w:rsidP="00426A3A">
      <w:pPr>
        <w:spacing w:after="0" w:line="240" w:lineRule="auto"/>
        <w:jc w:val="both"/>
        <w:rPr>
          <w:rFonts w:ascii="Times New Roman" w:hAnsi="Times New Roman" w:cs="Times New Roman"/>
          <w:lang w:val="fr-FR"/>
        </w:rPr>
      </w:pPr>
    </w:p>
    <w:p w14:paraId="35D708B8" w14:textId="6A3D81CF" w:rsidR="00426A3A" w:rsidRPr="00403C55" w:rsidRDefault="00F4288B" w:rsidP="00426A3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préparation de la MOP6, 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a réalisé une étude sur l’avancement de la mise en œuvre de 8 des 20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et plans de gestion internationaux adoptés</w:t>
      </w:r>
      <w:r w:rsidR="00870983">
        <w:rPr>
          <w:rFonts w:ascii="Times New Roman" w:hAnsi="Times New Roman" w:cs="Times New Roman"/>
          <w:lang w:val="fr-FR"/>
        </w:rPr>
        <w:t xml:space="preserve"> dans le cadre</w:t>
      </w:r>
      <w:r w:rsidRPr="00403C55">
        <w:rPr>
          <w:rFonts w:ascii="Times New Roman" w:hAnsi="Times New Roman" w:cs="Times New Roman"/>
          <w:lang w:val="fr-FR"/>
        </w:rPr>
        <w:t xml:space="preserve"> </w:t>
      </w:r>
      <w:r w:rsidR="00870983">
        <w:rPr>
          <w:rFonts w:ascii="Times New Roman" w:hAnsi="Times New Roman" w:cs="Times New Roman"/>
          <w:lang w:val="fr-FR"/>
        </w:rPr>
        <w:t xml:space="preserve">de </w:t>
      </w:r>
      <w:r w:rsidRPr="00403C55">
        <w:rPr>
          <w:rFonts w:ascii="Times New Roman" w:hAnsi="Times New Roman" w:cs="Times New Roman"/>
          <w:lang w:val="fr-FR"/>
        </w:rPr>
        <w:t>l’Accord à ce jour.</w:t>
      </w:r>
      <w:r w:rsidR="00426A3A" w:rsidRPr="00403C55">
        <w:rPr>
          <w:rFonts w:ascii="Times New Roman" w:hAnsi="Times New Roman" w:cs="Times New Roman"/>
          <w:lang w:val="fr-FR"/>
        </w:rPr>
        <w:t xml:space="preserve"> </w:t>
      </w:r>
      <w:r w:rsidRPr="00403C55">
        <w:rPr>
          <w:rFonts w:ascii="Times New Roman" w:hAnsi="Times New Roman" w:cs="Times New Roman"/>
          <w:lang w:val="fr-FR"/>
        </w:rPr>
        <w:t xml:space="preserve">Des questionnaires préparés et distribués par les coordinateurs des groupe de travail et d’experts internationaux sur les espèces ont permis de recueillir des informations auprès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sur la mise en œuvre des plans.</w:t>
      </w:r>
      <w:r w:rsidR="00426A3A" w:rsidRPr="00403C55">
        <w:rPr>
          <w:rFonts w:ascii="Times New Roman" w:hAnsi="Times New Roman" w:cs="Times New Roman"/>
          <w:lang w:val="fr-FR"/>
        </w:rPr>
        <w:t xml:space="preserve"> </w:t>
      </w:r>
    </w:p>
    <w:p w14:paraId="157648D9" w14:textId="77777777" w:rsidR="00426A3A" w:rsidRPr="00403C55" w:rsidRDefault="00426A3A" w:rsidP="00426A3A">
      <w:pPr>
        <w:spacing w:after="0" w:line="240" w:lineRule="auto"/>
        <w:jc w:val="both"/>
        <w:rPr>
          <w:rFonts w:ascii="Times New Roman" w:hAnsi="Times New Roman" w:cs="Times New Roman"/>
          <w:lang w:val="fr-FR"/>
        </w:rPr>
      </w:pPr>
    </w:p>
    <w:p w14:paraId="75D563AD" w14:textId="1176DC97" w:rsidR="00426A3A" w:rsidRPr="00403C55" w:rsidRDefault="00F4288B" w:rsidP="00426A3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Outre l’étude sur le niveau de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le Secrétariat a compilé une vue d’ensemble du processus actuel de planification de l’action et de la gestion s</w:t>
      </w:r>
      <w:r w:rsidR="00870983">
        <w:rPr>
          <w:rFonts w:ascii="Times New Roman" w:hAnsi="Times New Roman" w:cs="Times New Roman"/>
          <w:lang w:val="fr-FR"/>
        </w:rPr>
        <w:t>elon</w:t>
      </w:r>
      <w:r w:rsidRPr="00403C55">
        <w:rPr>
          <w:rFonts w:ascii="Times New Roman" w:hAnsi="Times New Roman" w:cs="Times New Roman"/>
          <w:lang w:val="fr-FR"/>
        </w:rPr>
        <w:t xml:space="preserve"> l’Accord, y compris le cadre des groupes de travail et d’experts internationaux </w:t>
      </w:r>
      <w:r w:rsidR="0003562F">
        <w:rPr>
          <w:rFonts w:ascii="Times New Roman" w:hAnsi="Times New Roman" w:cs="Times New Roman"/>
          <w:lang w:val="fr-FR"/>
        </w:rPr>
        <w:t>de l’AEWA</w:t>
      </w:r>
      <w:r w:rsidRPr="00403C55">
        <w:rPr>
          <w:rFonts w:ascii="Times New Roman" w:hAnsi="Times New Roman" w:cs="Times New Roman"/>
          <w:lang w:val="fr-FR"/>
        </w:rPr>
        <w:t xml:space="preserve"> développés pour coordonner leur mise en œuvre internationale.</w:t>
      </w:r>
    </w:p>
    <w:p w14:paraId="165DE28E" w14:textId="77777777" w:rsidR="00426A3A" w:rsidRPr="00403C55" w:rsidRDefault="00426A3A" w:rsidP="00426A3A">
      <w:pPr>
        <w:spacing w:after="0" w:line="240" w:lineRule="auto"/>
        <w:jc w:val="both"/>
        <w:rPr>
          <w:rFonts w:ascii="Times New Roman" w:hAnsi="Times New Roman" w:cs="Times New Roman"/>
          <w:lang w:val="fr-FR"/>
        </w:rPr>
      </w:pPr>
    </w:p>
    <w:p w14:paraId="2AC91B0F" w14:textId="4ECF623D" w:rsidR="00426A3A" w:rsidRPr="00403C55" w:rsidRDefault="00F4288B" w:rsidP="00426A3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L’avant-projet d’étude a été soumis au Comité technique et au Comité permanent </w:t>
      </w:r>
      <w:r w:rsidR="0003562F">
        <w:rPr>
          <w:rFonts w:ascii="Times New Roman" w:hAnsi="Times New Roman" w:cs="Times New Roman"/>
          <w:lang w:val="fr-FR"/>
        </w:rPr>
        <w:t>de l’AEWA</w:t>
      </w:r>
      <w:r w:rsidRPr="00403C55">
        <w:rPr>
          <w:rFonts w:ascii="Times New Roman" w:hAnsi="Times New Roman" w:cs="Times New Roman"/>
          <w:lang w:val="fr-FR"/>
        </w:rPr>
        <w:t xml:space="preserve"> pour consultation et approbation pour sa soumission à la 6</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Réunion des Parties à l’AEWA, en septembre 2015.</w:t>
      </w:r>
    </w:p>
    <w:p w14:paraId="001FCE24" w14:textId="77777777" w:rsidR="00426A3A" w:rsidRPr="00403C55" w:rsidRDefault="00426A3A" w:rsidP="00943832">
      <w:pPr>
        <w:spacing w:after="0" w:line="240" w:lineRule="auto"/>
        <w:rPr>
          <w:rFonts w:ascii="Times New Roman" w:hAnsi="Times New Roman" w:cs="Times New Roman"/>
          <w:sz w:val="20"/>
          <w:szCs w:val="20"/>
          <w:lang w:val="fr-FR"/>
        </w:rPr>
      </w:pPr>
    </w:p>
    <w:p w14:paraId="5F33FDB0" w14:textId="200A96A8" w:rsidR="00426A3A" w:rsidRPr="00403C55" w:rsidRDefault="007655FC" w:rsidP="00946380">
      <w:pPr>
        <w:shd w:val="clear" w:color="auto" w:fill="B8CCE4" w:themeFill="accent1" w:themeFillTint="66"/>
        <w:spacing w:after="0" w:line="240" w:lineRule="auto"/>
        <w:rPr>
          <w:rFonts w:ascii="Times New Roman" w:hAnsi="Times New Roman" w:cs="Times New Roman"/>
          <w:b/>
          <w:lang w:val="fr-FR"/>
        </w:rPr>
      </w:pPr>
      <w:r w:rsidRPr="00403C55">
        <w:rPr>
          <w:rFonts w:ascii="Times New Roman" w:hAnsi="Times New Roman" w:cs="Times New Roman"/>
          <w:b/>
          <w:lang w:val="fr-FR"/>
        </w:rPr>
        <w:t>Remerciements</w:t>
      </w:r>
    </w:p>
    <w:p w14:paraId="68983522" w14:textId="77777777" w:rsidR="00426A3A" w:rsidRPr="00403C55" w:rsidRDefault="00426A3A" w:rsidP="00943832">
      <w:pPr>
        <w:spacing w:after="0" w:line="240" w:lineRule="auto"/>
        <w:rPr>
          <w:rFonts w:ascii="Times New Roman" w:hAnsi="Times New Roman" w:cs="Times New Roman"/>
          <w:sz w:val="20"/>
          <w:szCs w:val="20"/>
          <w:lang w:val="fr-FR"/>
        </w:rPr>
      </w:pPr>
    </w:p>
    <w:p w14:paraId="323B4CAB" w14:textId="47CBEC5D" w:rsidR="00426A3A" w:rsidRPr="00403C55" w:rsidRDefault="007655FC" w:rsidP="00F74D2F">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désire </w:t>
      </w:r>
      <w:r w:rsidR="001B2A96" w:rsidRPr="00403C55">
        <w:rPr>
          <w:rFonts w:ascii="Times New Roman" w:hAnsi="Times New Roman" w:cs="Times New Roman"/>
          <w:lang w:val="fr-FR"/>
        </w:rPr>
        <w:t xml:space="preserve">tout particulièrement </w:t>
      </w:r>
      <w:r w:rsidRPr="00403C55">
        <w:rPr>
          <w:rFonts w:ascii="Times New Roman" w:hAnsi="Times New Roman" w:cs="Times New Roman"/>
          <w:lang w:val="fr-FR"/>
        </w:rPr>
        <w:t xml:space="preserve">remercier les coordinateurs des groupes de travail et d’experts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pour avoir apporté des modifications aux questionnaires et les avoir distribués, </w:t>
      </w:r>
      <w:r w:rsidR="001B2A96" w:rsidRPr="00403C55">
        <w:rPr>
          <w:rFonts w:ascii="Times New Roman" w:hAnsi="Times New Roman" w:cs="Times New Roman"/>
          <w:lang w:val="fr-FR"/>
        </w:rPr>
        <w:t xml:space="preserve">et </w:t>
      </w:r>
      <w:r w:rsidRPr="00403C55">
        <w:rPr>
          <w:rFonts w:ascii="Times New Roman" w:hAnsi="Times New Roman" w:cs="Times New Roman"/>
          <w:lang w:val="fr-FR"/>
        </w:rPr>
        <w:t xml:space="preserve">pour leurs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respectifs, ainsi que les points focaux </w:t>
      </w:r>
      <w:r w:rsidR="0003562F">
        <w:rPr>
          <w:rFonts w:ascii="Times New Roman" w:hAnsi="Times New Roman" w:cs="Times New Roman"/>
          <w:lang w:val="fr-FR"/>
        </w:rPr>
        <w:t>de l’AEWA</w:t>
      </w:r>
      <w:r w:rsidRPr="00403C55">
        <w:rPr>
          <w:rFonts w:ascii="Times New Roman" w:hAnsi="Times New Roman" w:cs="Times New Roman"/>
          <w:lang w:val="fr-FR"/>
        </w:rPr>
        <w:t xml:space="preserve"> et les membres des groupes de travail et d’experts, ainsi que les membres d</w:t>
      </w:r>
      <w:r w:rsidR="00D51EB1" w:rsidRPr="00403C55">
        <w:rPr>
          <w:rFonts w:ascii="Times New Roman" w:hAnsi="Times New Roman" w:cs="Times New Roman"/>
          <w:lang w:val="fr-FR"/>
        </w:rPr>
        <w:t>es groupes d</w:t>
      </w:r>
      <w:r w:rsidRPr="00403C55">
        <w:rPr>
          <w:rFonts w:ascii="Times New Roman" w:hAnsi="Times New Roman" w:cs="Times New Roman"/>
          <w:lang w:val="fr-FR"/>
        </w:rPr>
        <w:t>’experts nationaux, qui ont fourni des informations pour leurs pays.</w:t>
      </w:r>
      <w:r w:rsidR="00F74D2F" w:rsidRPr="00403C55">
        <w:rPr>
          <w:rFonts w:ascii="Times New Roman" w:hAnsi="Times New Roman" w:cs="Times New Roman"/>
          <w:lang w:val="fr-FR"/>
        </w:rPr>
        <w:t xml:space="preserve"> </w:t>
      </w:r>
      <w:r w:rsidRPr="00403C55">
        <w:rPr>
          <w:rFonts w:ascii="Times New Roman" w:hAnsi="Times New Roman" w:cs="Times New Roman"/>
          <w:lang w:val="fr-FR"/>
        </w:rPr>
        <w:t xml:space="preserve">De précieuses informations détaillées ont été fournies pour de nombreux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informations qui seront d’une grande utilité pour le travail futur, même si toutes n’ont pas pu être incluses dans la présente étude.</w:t>
      </w:r>
      <w:r w:rsidR="005620E6" w:rsidRPr="00403C55">
        <w:rPr>
          <w:rFonts w:ascii="Times New Roman" w:hAnsi="Times New Roman" w:cs="Times New Roman"/>
          <w:lang w:val="fr-FR"/>
        </w:rPr>
        <w:t xml:space="preserve"> </w:t>
      </w:r>
      <w:r w:rsidRPr="00403C55">
        <w:rPr>
          <w:rFonts w:ascii="Times New Roman" w:hAnsi="Times New Roman" w:cs="Times New Roman"/>
          <w:lang w:val="fr-FR"/>
        </w:rPr>
        <w:t>Une vue d’ensemble complète des questionnaires soumis se trouve à l’Annexe 2.</w:t>
      </w:r>
      <w:r w:rsidR="00F74D2F" w:rsidRPr="00403C55">
        <w:rPr>
          <w:rFonts w:ascii="Times New Roman" w:hAnsi="Times New Roman" w:cs="Times New Roman"/>
          <w:lang w:val="fr-FR"/>
        </w:rPr>
        <w:t xml:space="preserve"> </w:t>
      </w:r>
    </w:p>
    <w:p w14:paraId="27F90481" w14:textId="77777777" w:rsidR="00841DA2" w:rsidRPr="00403C55" w:rsidRDefault="00841DA2">
      <w:pPr>
        <w:rPr>
          <w:rFonts w:ascii="Times New Roman" w:hAnsi="Times New Roman" w:cs="Times New Roman"/>
          <w:lang w:val="fr-FR"/>
        </w:rPr>
      </w:pPr>
      <w:r w:rsidRPr="00403C55">
        <w:rPr>
          <w:rFonts w:ascii="Times New Roman" w:hAnsi="Times New Roman" w:cs="Times New Roman"/>
          <w:lang w:val="fr-FR"/>
        </w:rPr>
        <w:br w:type="page"/>
      </w:r>
    </w:p>
    <w:p w14:paraId="172E8E2D" w14:textId="0091CACB" w:rsidR="00F74D2F" w:rsidRPr="00A025CE" w:rsidRDefault="00A025CE" w:rsidP="00706E9A">
      <w:pPr>
        <w:shd w:val="clear" w:color="auto" w:fill="DBE5F1" w:themeFill="accent1" w:themeFillTint="33"/>
        <w:spacing w:after="0" w:line="240" w:lineRule="auto"/>
        <w:jc w:val="both"/>
        <w:rPr>
          <w:rFonts w:ascii="Times New Roman" w:hAnsi="Times New Roman" w:cs="Times New Roman"/>
          <w:i/>
          <w:sz w:val="24"/>
          <w:szCs w:val="24"/>
          <w:lang w:val="fr-FR"/>
        </w:rPr>
      </w:pPr>
      <w:r w:rsidRPr="00A025CE">
        <w:rPr>
          <w:rFonts w:ascii="Times New Roman" w:hAnsi="Times New Roman" w:cs="Times New Roman"/>
          <w:sz w:val="24"/>
          <w:szCs w:val="24"/>
          <w:lang w:val="fr-FR"/>
        </w:rPr>
        <w:lastRenderedPageBreak/>
        <w:t xml:space="preserve">RESUME ANALYTIQUE </w:t>
      </w:r>
    </w:p>
    <w:p w14:paraId="3693444E" w14:textId="2A813D46" w:rsidR="00F23C38" w:rsidRPr="00403C55" w:rsidRDefault="00F23C38" w:rsidP="00F23C38">
      <w:pPr>
        <w:spacing w:after="0" w:line="240" w:lineRule="auto"/>
        <w:rPr>
          <w:rFonts w:ascii="Times New Roman" w:hAnsi="Times New Roman" w:cs="Times New Roman"/>
          <w:lang w:val="fr-FR"/>
        </w:rPr>
      </w:pPr>
    </w:p>
    <w:p w14:paraId="56C1D12F" w14:textId="0C19C0A5" w:rsidR="00BE50A2" w:rsidRPr="00403C55" w:rsidRDefault="006510BD" w:rsidP="004A55DB">
      <w:pPr>
        <w:spacing w:after="0" w:line="240" w:lineRule="auto"/>
        <w:jc w:val="both"/>
        <w:rPr>
          <w:rFonts w:ascii="Times New Roman" w:hAnsi="Times New Roman" w:cs="Times New Roman"/>
          <w:lang w:val="fr-FR"/>
        </w:rPr>
      </w:pPr>
      <w:r w:rsidRPr="00403C55">
        <w:rPr>
          <w:noProof/>
          <w:lang w:val="en-US"/>
        </w:rPr>
        <mc:AlternateContent>
          <mc:Choice Requires="wps">
            <w:drawing>
              <wp:anchor distT="91440" distB="91440" distL="114300" distR="114300" simplePos="0" relativeHeight="251660288" behindDoc="0" locked="0" layoutInCell="1" allowOverlap="1" wp14:anchorId="714F44ED" wp14:editId="41B351B3">
                <wp:simplePos x="0" y="0"/>
                <wp:positionH relativeFrom="margin">
                  <wp:posOffset>521970</wp:posOffset>
                </wp:positionH>
                <wp:positionV relativeFrom="paragraph">
                  <wp:posOffset>1159510</wp:posOffset>
                </wp:positionV>
                <wp:extent cx="47148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3B3492DF" w14:textId="77777777" w:rsidR="00DE4CF4" w:rsidRPr="00666B96" w:rsidRDefault="00DE4CF4"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sz w:val="16"/>
                                <w:szCs w:val="16"/>
                                <w:lang w:val="en-US"/>
                              </w:rPr>
                            </w:pPr>
                          </w:p>
                          <w:p w14:paraId="576EF2F4" w14:textId="23E2F39F" w:rsidR="00DE4CF4" w:rsidRPr="007334F4" w:rsidRDefault="00DE4CF4"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sidRPr="007334F4">
                              <w:rPr>
                                <w:rFonts w:ascii="Times New Roman" w:hAnsi="Times New Roman" w:cs="Times New Roman"/>
                                <w:i/>
                                <w:iCs/>
                                <w:color w:val="4F81BD" w:themeColor="accent1"/>
                                <w:lang w:val="fr-FR"/>
                              </w:rPr>
                              <w:t xml:space="preserve">Les plans </w:t>
                            </w:r>
                            <w:r>
                              <w:rPr>
                                <w:rFonts w:ascii="Times New Roman" w:hAnsi="Times New Roman" w:cs="Times New Roman"/>
                                <w:i/>
                                <w:iCs/>
                                <w:color w:val="4F81BD" w:themeColor="accent1"/>
                                <w:lang w:val="fr-FR"/>
                              </w:rPr>
                              <w:t>d’action</w:t>
                            </w:r>
                            <w:r w:rsidRPr="007334F4">
                              <w:rPr>
                                <w:rFonts w:ascii="Times New Roman" w:hAnsi="Times New Roman" w:cs="Times New Roman"/>
                                <w:i/>
                                <w:iCs/>
                                <w:color w:val="4F81BD" w:themeColor="accent1"/>
                                <w:lang w:val="fr-FR"/>
                              </w:rPr>
                              <w:t xml:space="preserve"> et de gestion i</w:t>
                            </w:r>
                            <w:r>
                              <w:rPr>
                                <w:rFonts w:ascii="Times New Roman" w:hAnsi="Times New Roman" w:cs="Times New Roman"/>
                                <w:i/>
                                <w:iCs/>
                                <w:color w:val="4F81BD" w:themeColor="accent1"/>
                                <w:lang w:val="fr-FR"/>
                              </w:rPr>
                              <w:t>nternationaux par espèce so</w:t>
                            </w:r>
                            <w:r w:rsidRPr="007334F4">
                              <w:rPr>
                                <w:rFonts w:ascii="Times New Roman" w:hAnsi="Times New Roman" w:cs="Times New Roman"/>
                                <w:i/>
                                <w:iCs/>
                                <w:color w:val="4F81BD" w:themeColor="accent1"/>
                                <w:lang w:val="fr-FR"/>
                              </w:rPr>
                              <w:t xml:space="preserve">nt un instrument vital pour la conservation et l’utilisation durable des oiseaux d’eau migrateurs </w:t>
                            </w:r>
                            <w:r>
                              <w:rPr>
                                <w:rFonts w:ascii="Times New Roman" w:hAnsi="Times New Roman" w:cs="Times New Roman"/>
                                <w:i/>
                                <w:iCs/>
                                <w:color w:val="4F81BD" w:themeColor="accent1"/>
                                <w:lang w:val="fr-FR"/>
                              </w:rPr>
                              <w:t>dans le cadre de</w:t>
                            </w:r>
                            <w:r w:rsidRPr="007334F4">
                              <w:rPr>
                                <w:rFonts w:ascii="Times New Roman" w:hAnsi="Times New Roman" w:cs="Times New Roman"/>
                                <w:i/>
                                <w:iCs/>
                                <w:color w:val="4F81BD" w:themeColor="accent1"/>
                                <w:lang w:val="fr-FR"/>
                              </w:rPr>
                              <w:t xml:space="preserve"> l’AEWA.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F44ED" id="_x0000_t202" coordsize="21600,21600" o:spt="202" path="m,l,21600r21600,l21600,xe">
                <v:stroke joinstyle="miter"/>
                <v:path gradientshapeok="t" o:connecttype="rect"/>
              </v:shapetype>
              <v:shape id="Text Box 2" o:spid="_x0000_s1026" type="#_x0000_t202" style="position:absolute;left:0;text-align:left;margin-left:41.1pt;margin-top:91.3pt;width:371.25pt;height:110.55pt;z-index:2516602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lxDwIAAPUDAAAOAAAAZHJzL2Uyb0RvYy54bWysU21v2yAQ/j5p/wHxfbGdO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5bwoF/MZJRxtRZlfLRezlINVz+HW+fBFgCbxUFOHzU/w&#10;7HDvQyyHVc8uMZuBjVQqDYAypK/pcjadpYALi5YB51NJXdNFHtc4MZHlZ9Ok4MCkGs+YQJkT7ch0&#10;5ByG7YCOUYstNEcUwME4h/hv8NCB+0tJjzNYU/9nz5ygRH01KOKyKMs4tOlSzuZTvLhLy/bSwgxH&#10;qJoGSsbjbUiDHrl6e4Nib2SS4aWSU604W0md0z+Iw3t5T14vv3X9BAAA//8DAFBLAwQUAAYACAAA&#10;ACEABrKGAN4AAAAKAQAADwAAAGRycy9kb3ducmV2LnhtbEyPwU7DMAyG70i8Q2QkbiwhTGvVNZ0m&#10;tI0jMCrOWZO1FY0TNVlX3h5zgqPtT7+/v9zMbmCTHWPvUcHjQgCz2HjTY6ug/tg/5MBi0mj04NEq&#10;+LYRNtXtTakL46/4bqdjahmFYCy0gi6lUHAem846HRc+WKTb2Y9OJxrHlptRXyncDVwKseJO90gf&#10;Oh3sc2ebr+PFKQgpHLKX8fVtu9tPov481LJvd0rd383bNbBk5/QHw68+qUNFTid/QRPZoCCXkkja&#10;53IFjIBcLjNgJwVL8ZQBr0r+v0L1AwAA//8DAFBLAQItABQABgAIAAAAIQC2gziS/gAAAOEBAAAT&#10;AAAAAAAAAAAAAAAAAAAAAABbQ29udGVudF9UeXBlc10ueG1sUEsBAi0AFAAGAAgAAAAhADj9If/W&#10;AAAAlAEAAAsAAAAAAAAAAAAAAAAALwEAAF9yZWxzLy5yZWxzUEsBAi0AFAAGAAgAAAAhADCdWXEP&#10;AgAA9QMAAA4AAAAAAAAAAAAAAAAALgIAAGRycy9lMm9Eb2MueG1sUEsBAi0AFAAGAAgAAAAhAAay&#10;hgDeAAAACgEAAA8AAAAAAAAAAAAAAAAAaQQAAGRycy9kb3ducmV2LnhtbFBLBQYAAAAABAAEAPMA&#10;AAB0BQAAAAA=&#10;" filled="f" stroked="f">
                <v:textbox style="mso-fit-shape-to-text:t">
                  <w:txbxContent>
                    <w:p w14:paraId="3B3492DF" w14:textId="77777777" w:rsidR="00DE4CF4" w:rsidRPr="00666B96" w:rsidRDefault="00DE4CF4"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sz w:val="16"/>
                          <w:szCs w:val="16"/>
                          <w:lang w:val="en-US"/>
                        </w:rPr>
                      </w:pPr>
                    </w:p>
                    <w:p w14:paraId="576EF2F4" w14:textId="23E2F39F" w:rsidR="00DE4CF4" w:rsidRPr="007334F4" w:rsidRDefault="00DE4CF4"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sidRPr="007334F4">
                        <w:rPr>
                          <w:rFonts w:ascii="Times New Roman" w:hAnsi="Times New Roman" w:cs="Times New Roman"/>
                          <w:i/>
                          <w:iCs/>
                          <w:color w:val="4F81BD" w:themeColor="accent1"/>
                          <w:lang w:val="fr-FR"/>
                        </w:rPr>
                        <w:t xml:space="preserve">Les plans </w:t>
                      </w:r>
                      <w:r>
                        <w:rPr>
                          <w:rFonts w:ascii="Times New Roman" w:hAnsi="Times New Roman" w:cs="Times New Roman"/>
                          <w:i/>
                          <w:iCs/>
                          <w:color w:val="4F81BD" w:themeColor="accent1"/>
                          <w:lang w:val="fr-FR"/>
                        </w:rPr>
                        <w:t>d’action</w:t>
                      </w:r>
                      <w:r w:rsidRPr="007334F4">
                        <w:rPr>
                          <w:rFonts w:ascii="Times New Roman" w:hAnsi="Times New Roman" w:cs="Times New Roman"/>
                          <w:i/>
                          <w:iCs/>
                          <w:color w:val="4F81BD" w:themeColor="accent1"/>
                          <w:lang w:val="fr-FR"/>
                        </w:rPr>
                        <w:t xml:space="preserve"> et de gestion i</w:t>
                      </w:r>
                      <w:r>
                        <w:rPr>
                          <w:rFonts w:ascii="Times New Roman" w:hAnsi="Times New Roman" w:cs="Times New Roman"/>
                          <w:i/>
                          <w:iCs/>
                          <w:color w:val="4F81BD" w:themeColor="accent1"/>
                          <w:lang w:val="fr-FR"/>
                        </w:rPr>
                        <w:t>nternationaux par espèce so</w:t>
                      </w:r>
                      <w:r w:rsidRPr="007334F4">
                        <w:rPr>
                          <w:rFonts w:ascii="Times New Roman" w:hAnsi="Times New Roman" w:cs="Times New Roman"/>
                          <w:i/>
                          <w:iCs/>
                          <w:color w:val="4F81BD" w:themeColor="accent1"/>
                          <w:lang w:val="fr-FR"/>
                        </w:rPr>
                        <w:t xml:space="preserve">nt un instrument vital pour la conservation et l’utilisation durable des oiseaux d’eau migrateurs </w:t>
                      </w:r>
                      <w:r>
                        <w:rPr>
                          <w:rFonts w:ascii="Times New Roman" w:hAnsi="Times New Roman" w:cs="Times New Roman"/>
                          <w:i/>
                          <w:iCs/>
                          <w:color w:val="4F81BD" w:themeColor="accent1"/>
                          <w:lang w:val="fr-FR"/>
                        </w:rPr>
                        <w:t>dans le cadre de</w:t>
                      </w:r>
                      <w:r w:rsidRPr="007334F4">
                        <w:rPr>
                          <w:rFonts w:ascii="Times New Roman" w:hAnsi="Times New Roman" w:cs="Times New Roman"/>
                          <w:i/>
                          <w:iCs/>
                          <w:color w:val="4F81BD" w:themeColor="accent1"/>
                          <w:lang w:val="fr-FR"/>
                        </w:rPr>
                        <w:t xml:space="preserve"> l’AEWA.</w:t>
                      </w:r>
                    </w:p>
                  </w:txbxContent>
                </v:textbox>
                <w10:wrap type="topAndBottom" anchorx="margin"/>
              </v:shape>
            </w:pict>
          </mc:Fallback>
        </mc:AlternateContent>
      </w:r>
      <w:r w:rsidR="007655FC" w:rsidRPr="00403C55">
        <w:rPr>
          <w:rFonts w:ascii="Times New Roman" w:hAnsi="Times New Roman" w:cs="Times New Roman"/>
          <w:lang w:val="fr-FR"/>
        </w:rPr>
        <w:t>Les P</w:t>
      </w:r>
      <w:r w:rsidR="00985A4E">
        <w:rPr>
          <w:rFonts w:ascii="Times New Roman" w:hAnsi="Times New Roman" w:cs="Times New Roman"/>
          <w:lang w:val="fr-FR"/>
        </w:rPr>
        <w:t>l</w:t>
      </w:r>
      <w:r w:rsidR="007655FC" w:rsidRPr="00403C55">
        <w:rPr>
          <w:rFonts w:ascii="Times New Roman" w:hAnsi="Times New Roman" w:cs="Times New Roman"/>
          <w:lang w:val="fr-FR"/>
        </w:rPr>
        <w:t xml:space="preserve">ans </w:t>
      </w:r>
      <w:r w:rsidR="0003562F">
        <w:rPr>
          <w:rFonts w:ascii="Times New Roman" w:hAnsi="Times New Roman" w:cs="Times New Roman"/>
          <w:lang w:val="fr-FR"/>
        </w:rPr>
        <w:t>d’action</w:t>
      </w:r>
      <w:r w:rsidR="007655FC"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00103E7F">
        <w:rPr>
          <w:rFonts w:ascii="Times New Roman" w:hAnsi="Times New Roman" w:cs="Times New Roman"/>
          <w:lang w:val="fr-FR"/>
        </w:rPr>
        <w:t xml:space="preserve"> constituent </w:t>
      </w:r>
      <w:r w:rsidR="007655FC" w:rsidRPr="00403C55">
        <w:rPr>
          <w:rFonts w:ascii="Times New Roman" w:hAnsi="Times New Roman" w:cs="Times New Roman"/>
          <w:lang w:val="fr-FR"/>
        </w:rPr>
        <w:t xml:space="preserve">un des outils les plus </w:t>
      </w:r>
      <w:r w:rsidR="00D51EB1" w:rsidRPr="00403C55">
        <w:rPr>
          <w:rFonts w:ascii="Times New Roman" w:hAnsi="Times New Roman" w:cs="Times New Roman"/>
          <w:lang w:val="fr-FR"/>
        </w:rPr>
        <w:t>essentiels</w:t>
      </w:r>
      <w:r w:rsidR="007655FC" w:rsidRPr="00403C55">
        <w:rPr>
          <w:rFonts w:ascii="Times New Roman" w:hAnsi="Times New Roman" w:cs="Times New Roman"/>
          <w:lang w:val="fr-FR"/>
        </w:rPr>
        <w:t xml:space="preserve"> et les plus pratiques </w:t>
      </w:r>
      <w:r w:rsidR="00870983">
        <w:rPr>
          <w:rFonts w:ascii="Times New Roman" w:hAnsi="Times New Roman" w:cs="Times New Roman"/>
          <w:lang w:val="fr-FR"/>
        </w:rPr>
        <w:t>aux termes de</w:t>
      </w:r>
      <w:r w:rsidR="007655FC" w:rsidRPr="00403C55">
        <w:rPr>
          <w:rFonts w:ascii="Times New Roman" w:hAnsi="Times New Roman" w:cs="Times New Roman"/>
          <w:lang w:val="fr-FR"/>
        </w:rPr>
        <w:t xml:space="preserve"> l’Accord pour la conservation et l’utilisation durable des oiseaux d’eau migrateurs </w:t>
      </w:r>
      <w:r w:rsidR="00D51EB1" w:rsidRPr="00403C55">
        <w:rPr>
          <w:rFonts w:ascii="Times New Roman" w:hAnsi="Times New Roman" w:cs="Times New Roman"/>
          <w:lang w:val="fr-FR"/>
        </w:rPr>
        <w:t xml:space="preserve">classés comme étant </w:t>
      </w:r>
      <w:r w:rsidR="007655FC" w:rsidRPr="00403C55">
        <w:rPr>
          <w:rFonts w:ascii="Times New Roman" w:hAnsi="Times New Roman" w:cs="Times New Roman"/>
          <w:lang w:val="fr-FR"/>
        </w:rPr>
        <w:t>priorit</w:t>
      </w:r>
      <w:r w:rsidR="00D51EB1" w:rsidRPr="00403C55">
        <w:rPr>
          <w:rFonts w:ascii="Times New Roman" w:hAnsi="Times New Roman" w:cs="Times New Roman"/>
          <w:lang w:val="fr-FR"/>
        </w:rPr>
        <w:t>aires</w:t>
      </w:r>
      <w:r w:rsidR="007655FC" w:rsidRPr="00403C55">
        <w:rPr>
          <w:rFonts w:ascii="Times New Roman" w:hAnsi="Times New Roman" w:cs="Times New Roman"/>
          <w:lang w:val="fr-FR"/>
        </w:rPr>
        <w:t xml:space="preserve"> pour </w:t>
      </w:r>
      <w:r w:rsidR="00D51EB1" w:rsidRPr="00403C55">
        <w:rPr>
          <w:rFonts w:ascii="Times New Roman" w:hAnsi="Times New Roman" w:cs="Times New Roman"/>
          <w:lang w:val="fr-FR"/>
        </w:rPr>
        <w:t>faire</w:t>
      </w:r>
      <w:r w:rsidR="007655FC" w:rsidRPr="00403C55">
        <w:rPr>
          <w:rFonts w:ascii="Times New Roman" w:hAnsi="Times New Roman" w:cs="Times New Roman"/>
          <w:lang w:val="fr-FR"/>
        </w:rPr>
        <w:t xml:space="preserve"> l’objet de mesures coordonnées internationales.</w:t>
      </w:r>
      <w:r w:rsidR="004329C9" w:rsidRPr="00403C55">
        <w:rPr>
          <w:rFonts w:ascii="Times New Roman" w:hAnsi="Times New Roman" w:cs="Times New Roman"/>
          <w:lang w:val="fr-FR"/>
        </w:rPr>
        <w:t xml:space="preserve"> </w:t>
      </w:r>
      <w:r w:rsidR="007655FC" w:rsidRPr="00403C55">
        <w:rPr>
          <w:rFonts w:ascii="Times New Roman" w:hAnsi="Times New Roman" w:cs="Times New Roman"/>
          <w:lang w:val="fr-FR"/>
        </w:rPr>
        <w:t xml:space="preserve">Ces plans représentent la quintessence </w:t>
      </w:r>
      <w:r w:rsidR="0003562F">
        <w:rPr>
          <w:rFonts w:ascii="Times New Roman" w:hAnsi="Times New Roman" w:cs="Times New Roman"/>
          <w:lang w:val="fr-FR"/>
        </w:rPr>
        <w:t>de l’AEWA</w:t>
      </w:r>
      <w:r w:rsidR="007655FC" w:rsidRPr="00403C55">
        <w:rPr>
          <w:rFonts w:ascii="Times New Roman" w:hAnsi="Times New Roman" w:cs="Times New Roman"/>
          <w:lang w:val="fr-FR"/>
        </w:rPr>
        <w:t xml:space="preserve"> :</w:t>
      </w:r>
      <w:r w:rsidR="004329C9" w:rsidRPr="00403C55">
        <w:rPr>
          <w:rFonts w:ascii="Times New Roman" w:hAnsi="Times New Roman" w:cs="Times New Roman"/>
          <w:lang w:val="fr-FR"/>
        </w:rPr>
        <w:t xml:space="preserve"> </w:t>
      </w:r>
      <w:r w:rsidR="007655FC" w:rsidRPr="00403C55">
        <w:rPr>
          <w:rFonts w:ascii="Times New Roman" w:hAnsi="Times New Roman" w:cs="Times New Roman"/>
          <w:lang w:val="fr-FR"/>
        </w:rPr>
        <w:t xml:space="preserve">une coopération au-delà des frontières en direction d’un </w:t>
      </w:r>
      <w:r w:rsidR="00733AFA" w:rsidRPr="00403C55">
        <w:rPr>
          <w:rFonts w:ascii="Times New Roman" w:hAnsi="Times New Roman" w:cs="Times New Roman"/>
          <w:lang w:val="fr-FR"/>
        </w:rPr>
        <w:t>but</w:t>
      </w:r>
      <w:r w:rsidR="007655FC" w:rsidRPr="00403C55">
        <w:rPr>
          <w:rFonts w:ascii="Times New Roman" w:hAnsi="Times New Roman" w:cs="Times New Roman"/>
          <w:lang w:val="fr-FR"/>
        </w:rPr>
        <w:t xml:space="preserve"> conjointement défini.</w:t>
      </w:r>
      <w:r w:rsidR="00A31652" w:rsidRPr="00403C55">
        <w:rPr>
          <w:rFonts w:ascii="Times New Roman" w:hAnsi="Times New Roman" w:cs="Times New Roman"/>
          <w:lang w:val="fr-FR"/>
        </w:rPr>
        <w:t xml:space="preserve"> </w:t>
      </w:r>
      <w:r w:rsidR="007655FC" w:rsidRPr="00403C55">
        <w:rPr>
          <w:rFonts w:ascii="Times New Roman" w:hAnsi="Times New Roman" w:cs="Times New Roman"/>
          <w:lang w:val="fr-FR"/>
        </w:rPr>
        <w:t xml:space="preserve">Toutefois, nous n’utilisons pas </w:t>
      </w:r>
      <w:r w:rsidR="005D3C1F" w:rsidRPr="00403C55">
        <w:rPr>
          <w:rFonts w:ascii="Times New Roman" w:hAnsi="Times New Roman" w:cs="Times New Roman"/>
          <w:lang w:val="fr-FR"/>
        </w:rPr>
        <w:t xml:space="preserve">l’entière capacité de cet </w:t>
      </w:r>
      <w:r w:rsidR="007655FC" w:rsidRPr="00403C55">
        <w:rPr>
          <w:rFonts w:ascii="Times New Roman" w:hAnsi="Times New Roman" w:cs="Times New Roman"/>
          <w:lang w:val="fr-FR"/>
        </w:rPr>
        <w:t>outil</w:t>
      </w:r>
      <w:r w:rsidR="005D3C1F" w:rsidRPr="00403C55">
        <w:rPr>
          <w:rFonts w:ascii="Times New Roman" w:hAnsi="Times New Roman" w:cs="Times New Roman"/>
          <w:lang w:val="fr-FR"/>
        </w:rPr>
        <w:t>, loin s’en faut</w:t>
      </w:r>
      <w:r w:rsidR="007655FC" w:rsidRPr="00403C55">
        <w:rPr>
          <w:rFonts w:ascii="Times New Roman" w:hAnsi="Times New Roman" w:cs="Times New Roman"/>
          <w:lang w:val="fr-FR"/>
        </w:rPr>
        <w:t>.</w:t>
      </w:r>
      <w:r w:rsidR="00985A4E">
        <w:rPr>
          <w:rFonts w:ascii="Times New Roman" w:hAnsi="Times New Roman" w:cs="Times New Roman"/>
          <w:lang w:val="fr-FR"/>
        </w:rPr>
        <w:t xml:space="preserve"> </w:t>
      </w:r>
    </w:p>
    <w:p w14:paraId="542FAE96" w14:textId="4A0A9AB5" w:rsidR="007B726E" w:rsidRPr="00403C55" w:rsidRDefault="005D3C1F" w:rsidP="007B726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présente étude sur le niveau de préparation et de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se compose de deux parties :</w:t>
      </w:r>
      <w:r w:rsidR="009D5E03" w:rsidRPr="00403C55">
        <w:rPr>
          <w:rFonts w:ascii="Times New Roman" w:hAnsi="Times New Roman" w:cs="Times New Roman"/>
          <w:lang w:val="fr-FR"/>
        </w:rPr>
        <w:t xml:space="preserve"> </w:t>
      </w:r>
      <w:r w:rsidRPr="00403C55">
        <w:rPr>
          <w:rFonts w:ascii="Times New Roman" w:hAnsi="Times New Roman" w:cs="Times New Roman"/>
          <w:lang w:val="fr-FR"/>
        </w:rPr>
        <w:t>1) une étude du processus actuel de planification de l’action et de la gestion s</w:t>
      </w:r>
      <w:r w:rsidR="00870983">
        <w:rPr>
          <w:rFonts w:ascii="Times New Roman" w:hAnsi="Times New Roman" w:cs="Times New Roman"/>
          <w:lang w:val="fr-FR"/>
        </w:rPr>
        <w:t>elon</w:t>
      </w:r>
      <w:r w:rsidRPr="00403C55">
        <w:rPr>
          <w:rFonts w:ascii="Times New Roman" w:hAnsi="Times New Roman" w:cs="Times New Roman"/>
          <w:lang w:val="fr-FR"/>
        </w:rPr>
        <w:t xml:space="preserve"> l’AEWA, ainsi que les mécanismes internationaux et nationaux élaborés pour faciliter la mise en œuvre des plans adoptés – rassemblant toutes les informations disponibles sur les divers processus et cadres ; et</w:t>
      </w:r>
      <w:r w:rsidR="00985A4E">
        <w:rPr>
          <w:rFonts w:ascii="Times New Roman" w:hAnsi="Times New Roman" w:cs="Times New Roman"/>
          <w:lang w:val="fr-FR"/>
        </w:rPr>
        <w:t xml:space="preserve"> </w:t>
      </w:r>
      <w:r w:rsidRPr="00403C55">
        <w:rPr>
          <w:rFonts w:ascii="Times New Roman" w:hAnsi="Times New Roman" w:cs="Times New Roman"/>
          <w:lang w:val="fr-FR"/>
        </w:rPr>
        <w:t xml:space="preserve">2) une étude limité de l’avancement de la mise en œuvre de huit des vingt plans adoptés </w:t>
      </w:r>
      <w:r w:rsidR="000A1F2D">
        <w:rPr>
          <w:rFonts w:ascii="Times New Roman" w:hAnsi="Times New Roman" w:cs="Times New Roman"/>
          <w:lang w:val="fr-FR"/>
        </w:rPr>
        <w:t>en vertu de</w:t>
      </w:r>
      <w:r w:rsidRPr="00403C55">
        <w:rPr>
          <w:rFonts w:ascii="Times New Roman" w:hAnsi="Times New Roman" w:cs="Times New Roman"/>
          <w:lang w:val="fr-FR"/>
        </w:rPr>
        <w:t xml:space="preserve"> l’Accord à cette date.</w:t>
      </w:r>
      <w:r w:rsidR="00985A4E">
        <w:rPr>
          <w:rFonts w:ascii="Times New Roman" w:hAnsi="Times New Roman" w:cs="Times New Roman"/>
          <w:lang w:val="fr-FR"/>
        </w:rPr>
        <w:t xml:space="preserve"> </w:t>
      </w:r>
    </w:p>
    <w:p w14:paraId="6996AB1F" w14:textId="77777777" w:rsidR="007B726E" w:rsidRPr="00403C55" w:rsidRDefault="007B726E" w:rsidP="004A55DB">
      <w:pPr>
        <w:spacing w:after="0" w:line="240" w:lineRule="auto"/>
        <w:jc w:val="both"/>
        <w:rPr>
          <w:rFonts w:ascii="Times New Roman" w:hAnsi="Times New Roman" w:cs="Times New Roman"/>
          <w:lang w:val="fr-FR"/>
        </w:rPr>
      </w:pPr>
    </w:p>
    <w:p w14:paraId="7636F553" w14:textId="5BF49D0B" w:rsidR="004E096E" w:rsidRPr="00403C55" w:rsidRDefault="004E096E" w:rsidP="004A55DB">
      <w:pPr>
        <w:spacing w:after="0" w:line="240" w:lineRule="auto"/>
        <w:jc w:val="both"/>
        <w:rPr>
          <w:rFonts w:ascii="Times New Roman" w:hAnsi="Times New Roman" w:cs="Times New Roman"/>
          <w:lang w:val="fr-FR"/>
        </w:rPr>
      </w:pPr>
      <w:r w:rsidRPr="00403C55">
        <w:rPr>
          <w:noProof/>
          <w:lang w:val="en-US"/>
        </w:rPr>
        <mc:AlternateContent>
          <mc:Choice Requires="wps">
            <w:drawing>
              <wp:anchor distT="91440" distB="91440" distL="114300" distR="114300" simplePos="0" relativeHeight="251662336" behindDoc="0" locked="0" layoutInCell="1" allowOverlap="1" wp14:anchorId="07CB5617" wp14:editId="61086C90">
                <wp:simplePos x="0" y="0"/>
                <wp:positionH relativeFrom="margin">
                  <wp:posOffset>521970</wp:posOffset>
                </wp:positionH>
                <wp:positionV relativeFrom="paragraph">
                  <wp:posOffset>1472565</wp:posOffset>
                </wp:positionV>
                <wp:extent cx="4714875"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293A87C4" w14:textId="34849C88" w:rsidR="00DE4CF4" w:rsidRPr="007334F4" w:rsidRDefault="00DE4CF4" w:rsidP="00856FAD">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Pr>
                                <w:rFonts w:ascii="Times New Roman" w:hAnsi="Times New Roman" w:cs="Times New Roman"/>
                                <w:i/>
                                <w:iCs/>
                                <w:color w:val="4F81BD" w:themeColor="accent1"/>
                                <w:lang w:val="fr-FR"/>
                              </w:rPr>
                              <w:t>Les processus internationaux de planification de l’action et de la gestion doivent être intergouvernementaux</w:t>
                            </w:r>
                            <w:r w:rsidRPr="007334F4">
                              <w:rPr>
                                <w:rFonts w:ascii="Times New Roman" w:hAnsi="Times New Roman" w:cs="Times New Roman"/>
                                <w:i/>
                                <w:iCs/>
                                <w:color w:val="4F81BD" w:themeColor="accent1"/>
                                <w:lang w:val="fr-FR"/>
                              </w:rPr>
                              <w:t>, inclusi</w:t>
                            </w:r>
                            <w:r>
                              <w:rPr>
                                <w:rFonts w:ascii="Times New Roman" w:hAnsi="Times New Roman" w:cs="Times New Roman"/>
                                <w:i/>
                                <w:iCs/>
                                <w:color w:val="4F81BD" w:themeColor="accent1"/>
                                <w:lang w:val="fr-FR"/>
                              </w:rPr>
                              <w:t>fs</w:t>
                            </w:r>
                            <w:r w:rsidRPr="007334F4">
                              <w:rPr>
                                <w:rFonts w:ascii="Times New Roman" w:hAnsi="Times New Roman" w:cs="Times New Roman"/>
                                <w:i/>
                                <w:iCs/>
                                <w:color w:val="4F81BD" w:themeColor="accent1"/>
                                <w:lang w:val="fr-FR"/>
                              </w:rPr>
                              <w:t>, structur</w:t>
                            </w:r>
                            <w:r>
                              <w:rPr>
                                <w:rFonts w:ascii="Times New Roman" w:hAnsi="Times New Roman" w:cs="Times New Roman"/>
                                <w:i/>
                                <w:iCs/>
                                <w:color w:val="4F81BD" w:themeColor="accent1"/>
                                <w:lang w:val="fr-FR"/>
                              </w:rPr>
                              <w:t>és et</w:t>
                            </w:r>
                            <w:r w:rsidRPr="007334F4">
                              <w:rPr>
                                <w:rFonts w:ascii="Times New Roman" w:hAnsi="Times New Roman" w:cs="Times New Roman"/>
                                <w:i/>
                                <w:iCs/>
                                <w:color w:val="4F81BD" w:themeColor="accent1"/>
                                <w:lang w:val="fr-FR"/>
                              </w:rPr>
                              <w:t xml:space="preserve"> transparent</w:t>
                            </w:r>
                            <w:r>
                              <w:rPr>
                                <w:rFonts w:ascii="Times New Roman" w:hAnsi="Times New Roman" w:cs="Times New Roman"/>
                                <w:i/>
                                <w:iCs/>
                                <w:color w:val="4F81BD" w:themeColor="accent1"/>
                                <w:lang w:val="fr-FR"/>
                              </w:rPr>
                              <w:t>s</w:t>
                            </w:r>
                            <w:r w:rsidRPr="007334F4">
                              <w:rPr>
                                <w:rFonts w:ascii="Times New Roman" w:hAnsi="Times New Roman" w:cs="Times New Roman"/>
                                <w:i/>
                                <w:iCs/>
                                <w:color w:val="4F81BD" w:themeColor="accent1"/>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B5617" id="_x0000_s1027" type="#_x0000_t202" style="position:absolute;left:0;text-align:left;margin-left:41.1pt;margin-top:115.95pt;width:371.25pt;height:110.55pt;z-index:25166233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j2EAIAAPsDAAAOAAAAZHJzL2Uyb0RvYy54bWysU9uO2yAQfa/Uf0C8N77UaRIrzmq721SV&#10;thdptx9AMI5RgaFAYqdf3wFns1H7VpUHxDDMmTlnhvXNqBU5CuclmIYWs5wSYTi00uwb+v1p+2ZJ&#10;iQ/MtEyBEQ09CU9vNq9frQdbixJ6UK1wBEGMrwfb0D4EW2eZ573QzM/ACoPODpxmAU23z1rHBkTX&#10;Kivz/F02gGutAy68x9v7yUk3Cb/rBA9fu86LQFRDsbaQdpf2XdyzzZrVe8dsL/m5DPYPVWgmDSa9&#10;QN2zwMjByb+gtOQOPHRhxkFn0HWSi8QB2RT5H2wee2ZF4oLieHuRyf8/WP7l+M0R2Ta0XFFimMYe&#10;PYkxkPcwkjLKM1hf46tHi+/CiNfY5kTV2wfgPzwxcNczsxe3zsHQC9ZieUWMzK5CJxwfQXbDZ2gx&#10;DTsESEBj53TUDtUgiI5tOl1aE0vheFktimq5mFPC0VdU+dvVcp5ysPo53DofPgrQJB4a6rD3CZ4d&#10;H3yI5bD6+UnMZmArlUr9V4YMDV3Ny3kKuPJoGXA8ldQNXeZxTQMTWX4wbQoOTKrpjAmUOdOOTCfO&#10;YdyNSeCkSZRkB+0JdXAwTSP+Hjz04H5RMuAkNtT/PDAnKFGfDGq5Kqoqjm4yqvmiRMNde3bXHmY4&#10;QjU0UDId70Ia90jZ21vUfCuTGi+VnEvGCUsinX9DHOFrO716+bOb3wAAAP//AwBQSwMEFAAGAAgA&#10;AAAhAFaBG4LfAAAACgEAAA8AAABkcnMvZG93bnJldi54bWxMj8FOwzAQRO9I/IO1SNyoXbfQEOJU&#10;FWrLsVAizm68JBHx2ordNPw95gTH1TzNvC3Wk+3ZiEPoHCmYzwQwpNqZjhoF1fvuLgMWoiaje0eo&#10;4BsDrMvrq0Lnxl3oDcdjbFgqoZBrBW2MPuc81C1aHWbOI6Xs0w1Wx3QODTeDvqRy23MpxAO3uqO0&#10;0GqPzy3WX8ezVeCj369ehsPrZrsbRfWxr2TXbJW6vZk2T8AiTvEPhl/9pA5lcjq5M5nAegWZlIlU&#10;IBfzR2AJyORyBeykYHm/EMDLgv9/ofwBAAD//wMAUEsBAi0AFAAGAAgAAAAhALaDOJL+AAAA4QEA&#10;ABMAAAAAAAAAAAAAAAAAAAAAAFtDb250ZW50X1R5cGVzXS54bWxQSwECLQAUAAYACAAAACEAOP0h&#10;/9YAAACUAQAACwAAAAAAAAAAAAAAAAAvAQAAX3JlbHMvLnJlbHNQSwECLQAUAAYACAAAACEAZg44&#10;9hACAAD7AwAADgAAAAAAAAAAAAAAAAAuAgAAZHJzL2Uyb0RvYy54bWxQSwECLQAUAAYACAAAACEA&#10;VoEbgt8AAAAKAQAADwAAAAAAAAAAAAAAAABqBAAAZHJzL2Rvd25yZXYueG1sUEsFBgAAAAAEAAQA&#10;8wAAAHYFAAAAAA==&#10;" filled="f" stroked="f">
                <v:textbox style="mso-fit-shape-to-text:t">
                  <w:txbxContent>
                    <w:p w14:paraId="293A87C4" w14:textId="34849C88" w:rsidR="00DE4CF4" w:rsidRPr="007334F4" w:rsidRDefault="00DE4CF4" w:rsidP="00856FAD">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Pr>
                          <w:rFonts w:ascii="Times New Roman" w:hAnsi="Times New Roman" w:cs="Times New Roman"/>
                          <w:i/>
                          <w:iCs/>
                          <w:color w:val="4F81BD" w:themeColor="accent1"/>
                          <w:lang w:val="fr-FR"/>
                        </w:rPr>
                        <w:t>Les processus internationaux de planification de l’action et de la gestion doivent être intergouvernementaux</w:t>
                      </w:r>
                      <w:r w:rsidRPr="007334F4">
                        <w:rPr>
                          <w:rFonts w:ascii="Times New Roman" w:hAnsi="Times New Roman" w:cs="Times New Roman"/>
                          <w:i/>
                          <w:iCs/>
                          <w:color w:val="4F81BD" w:themeColor="accent1"/>
                          <w:lang w:val="fr-FR"/>
                        </w:rPr>
                        <w:t>, inclusi</w:t>
                      </w:r>
                      <w:r>
                        <w:rPr>
                          <w:rFonts w:ascii="Times New Roman" w:hAnsi="Times New Roman" w:cs="Times New Roman"/>
                          <w:i/>
                          <w:iCs/>
                          <w:color w:val="4F81BD" w:themeColor="accent1"/>
                          <w:lang w:val="fr-FR"/>
                        </w:rPr>
                        <w:t>fs</w:t>
                      </w:r>
                      <w:r w:rsidRPr="007334F4">
                        <w:rPr>
                          <w:rFonts w:ascii="Times New Roman" w:hAnsi="Times New Roman" w:cs="Times New Roman"/>
                          <w:i/>
                          <w:iCs/>
                          <w:color w:val="4F81BD" w:themeColor="accent1"/>
                          <w:lang w:val="fr-FR"/>
                        </w:rPr>
                        <w:t>, structur</w:t>
                      </w:r>
                      <w:r>
                        <w:rPr>
                          <w:rFonts w:ascii="Times New Roman" w:hAnsi="Times New Roman" w:cs="Times New Roman"/>
                          <w:i/>
                          <w:iCs/>
                          <w:color w:val="4F81BD" w:themeColor="accent1"/>
                          <w:lang w:val="fr-FR"/>
                        </w:rPr>
                        <w:t>és et</w:t>
                      </w:r>
                      <w:r w:rsidRPr="007334F4">
                        <w:rPr>
                          <w:rFonts w:ascii="Times New Roman" w:hAnsi="Times New Roman" w:cs="Times New Roman"/>
                          <w:i/>
                          <w:iCs/>
                          <w:color w:val="4F81BD" w:themeColor="accent1"/>
                          <w:lang w:val="fr-FR"/>
                        </w:rPr>
                        <w:t xml:space="preserve"> transparent</w:t>
                      </w:r>
                      <w:r>
                        <w:rPr>
                          <w:rFonts w:ascii="Times New Roman" w:hAnsi="Times New Roman" w:cs="Times New Roman"/>
                          <w:i/>
                          <w:iCs/>
                          <w:color w:val="4F81BD" w:themeColor="accent1"/>
                          <w:lang w:val="fr-FR"/>
                        </w:rPr>
                        <w:t>s</w:t>
                      </w:r>
                      <w:r w:rsidRPr="007334F4">
                        <w:rPr>
                          <w:rFonts w:ascii="Times New Roman" w:hAnsi="Times New Roman" w:cs="Times New Roman"/>
                          <w:i/>
                          <w:iCs/>
                          <w:color w:val="4F81BD" w:themeColor="accent1"/>
                          <w:lang w:val="fr-FR"/>
                        </w:rPr>
                        <w:t>.</w:t>
                      </w:r>
                    </w:p>
                  </w:txbxContent>
                </v:textbox>
                <w10:wrap type="topAndBottom" anchorx="margin"/>
              </v:shape>
            </w:pict>
          </mc:Fallback>
        </mc:AlternateContent>
      </w:r>
      <w:r w:rsidR="00D51EB1" w:rsidRPr="00403C55">
        <w:rPr>
          <w:rFonts w:ascii="Times New Roman" w:hAnsi="Times New Roman" w:cs="Times New Roman"/>
          <w:lang w:val="fr-FR"/>
        </w:rPr>
        <w:t>Les conditions essentielles à</w:t>
      </w:r>
      <w:r w:rsidR="005D3C1F" w:rsidRPr="00403C55">
        <w:rPr>
          <w:rFonts w:ascii="Times New Roman" w:hAnsi="Times New Roman" w:cs="Times New Roman"/>
          <w:lang w:val="fr-FR"/>
        </w:rPr>
        <w:t xml:space="preserve"> tout processus de planification de l’action ou de la gestion internationale sont la participation de toutes les principales parties prenantes dès le début et la garantie que le processus est clairement structuré et transparent.</w:t>
      </w:r>
      <w:r w:rsidR="00F23C38" w:rsidRPr="00403C55">
        <w:rPr>
          <w:rFonts w:ascii="Times New Roman" w:hAnsi="Times New Roman" w:cs="Times New Roman"/>
          <w:lang w:val="fr-FR"/>
        </w:rPr>
        <w:t xml:space="preserve"> </w:t>
      </w:r>
      <w:r w:rsidR="00D51EB1" w:rsidRPr="00821296">
        <w:rPr>
          <w:rFonts w:ascii="Times New Roman" w:hAnsi="Times New Roman" w:cs="Times New Roman"/>
          <w:lang w:val="fr-FR"/>
        </w:rPr>
        <w:t>Essay</w:t>
      </w:r>
      <w:r w:rsidR="00821296">
        <w:rPr>
          <w:rFonts w:ascii="Times New Roman" w:hAnsi="Times New Roman" w:cs="Times New Roman"/>
          <w:lang w:val="fr-FR"/>
        </w:rPr>
        <w:t>er</w:t>
      </w:r>
      <w:r w:rsidR="00D51EB1" w:rsidRPr="00821296">
        <w:rPr>
          <w:rFonts w:ascii="Times New Roman" w:hAnsi="Times New Roman" w:cs="Times New Roman"/>
          <w:lang w:val="fr-FR"/>
        </w:rPr>
        <w:t>,</w:t>
      </w:r>
      <w:r w:rsidR="005D3C1F" w:rsidRPr="00821296">
        <w:rPr>
          <w:rFonts w:ascii="Times New Roman" w:hAnsi="Times New Roman" w:cs="Times New Roman"/>
          <w:lang w:val="fr-FR"/>
        </w:rPr>
        <w:t xml:space="preserve"> notamment</w:t>
      </w:r>
      <w:r w:rsidR="00D51EB1" w:rsidRPr="00821296">
        <w:rPr>
          <w:rFonts w:ascii="Times New Roman" w:hAnsi="Times New Roman" w:cs="Times New Roman"/>
          <w:lang w:val="fr-FR"/>
        </w:rPr>
        <w:t>,</w:t>
      </w:r>
      <w:r w:rsidR="005D3C1F" w:rsidRPr="00821296">
        <w:rPr>
          <w:rFonts w:ascii="Times New Roman" w:hAnsi="Times New Roman" w:cs="Times New Roman"/>
          <w:lang w:val="fr-FR"/>
        </w:rPr>
        <w:t xml:space="preserve"> d’assurer </w:t>
      </w:r>
      <w:r w:rsidR="00320372" w:rsidRPr="00821296">
        <w:rPr>
          <w:rFonts w:ascii="Times New Roman" w:hAnsi="Times New Roman" w:cs="Times New Roman"/>
          <w:lang w:val="fr-FR"/>
        </w:rPr>
        <w:t>« </w:t>
      </w:r>
      <w:r w:rsidR="005D3C1F" w:rsidRPr="00821296">
        <w:rPr>
          <w:rFonts w:ascii="Times New Roman" w:hAnsi="Times New Roman" w:cs="Times New Roman"/>
          <w:lang w:val="fr-FR"/>
        </w:rPr>
        <w:t>l’enrôlement</w:t>
      </w:r>
      <w:r w:rsidR="00320372" w:rsidRPr="00821296">
        <w:rPr>
          <w:rFonts w:ascii="Times New Roman" w:hAnsi="Times New Roman" w:cs="Times New Roman"/>
          <w:lang w:val="fr-FR"/>
        </w:rPr>
        <w:t> »</w:t>
      </w:r>
      <w:r w:rsidR="005D3C1F" w:rsidRPr="00821296">
        <w:rPr>
          <w:rFonts w:ascii="Times New Roman" w:hAnsi="Times New Roman" w:cs="Times New Roman"/>
          <w:lang w:val="fr-FR"/>
        </w:rPr>
        <w:t xml:space="preserve"> </w:t>
      </w:r>
      <w:r w:rsidR="005428E4" w:rsidRPr="00821296">
        <w:rPr>
          <w:rFonts w:ascii="Times New Roman" w:hAnsi="Times New Roman" w:cs="Times New Roman"/>
          <w:lang w:val="fr-FR"/>
        </w:rPr>
        <w:t xml:space="preserve">des gouvernements des </w:t>
      </w:r>
      <w:r w:rsidR="00FE6EE5">
        <w:rPr>
          <w:rFonts w:ascii="Times New Roman" w:hAnsi="Times New Roman" w:cs="Times New Roman"/>
          <w:lang w:val="fr-FR"/>
        </w:rPr>
        <w:t>États de l’aire de répartition</w:t>
      </w:r>
      <w:r w:rsidR="005428E4" w:rsidRPr="00821296">
        <w:rPr>
          <w:rFonts w:ascii="Times New Roman" w:hAnsi="Times New Roman" w:cs="Times New Roman"/>
          <w:lang w:val="fr-FR"/>
        </w:rPr>
        <w:t xml:space="preserve"> est un facteur crucial, non seulement pour une production et une adoption fructueuses d’un plan </w:t>
      </w:r>
      <w:r w:rsidR="0003562F">
        <w:rPr>
          <w:rFonts w:ascii="Times New Roman" w:hAnsi="Times New Roman" w:cs="Times New Roman"/>
          <w:lang w:val="fr-FR"/>
        </w:rPr>
        <w:t>d’action</w:t>
      </w:r>
      <w:r w:rsidR="005428E4" w:rsidRPr="00821296">
        <w:rPr>
          <w:rFonts w:ascii="Times New Roman" w:hAnsi="Times New Roman" w:cs="Times New Roman"/>
          <w:lang w:val="fr-FR"/>
        </w:rPr>
        <w:t xml:space="preserve"> ou de gestion</w:t>
      </w:r>
      <w:r w:rsidR="005D3C1F" w:rsidRPr="00821296">
        <w:rPr>
          <w:rFonts w:ascii="Times New Roman" w:hAnsi="Times New Roman" w:cs="Times New Roman"/>
          <w:lang w:val="fr-FR"/>
        </w:rPr>
        <w:t xml:space="preserve">, </w:t>
      </w:r>
      <w:r w:rsidR="005428E4" w:rsidRPr="00821296">
        <w:rPr>
          <w:rFonts w:ascii="Times New Roman" w:hAnsi="Times New Roman" w:cs="Times New Roman"/>
          <w:lang w:val="fr-FR"/>
        </w:rPr>
        <w:t xml:space="preserve">mais aussi, en particulier, aux fins ultimes de ce type de plans </w:t>
      </w:r>
      <w:r w:rsidR="005D3C1F" w:rsidRPr="00821296">
        <w:rPr>
          <w:rFonts w:ascii="Times New Roman" w:hAnsi="Times New Roman" w:cs="Times New Roman"/>
          <w:lang w:val="fr-FR"/>
        </w:rPr>
        <w:t>:</w:t>
      </w:r>
      <w:r w:rsidR="004A55DB" w:rsidRPr="00821296">
        <w:rPr>
          <w:rFonts w:ascii="Times New Roman" w:hAnsi="Times New Roman" w:cs="Times New Roman"/>
          <w:lang w:val="fr-FR"/>
        </w:rPr>
        <w:t xml:space="preserve"> </w:t>
      </w:r>
      <w:r w:rsidR="005428E4" w:rsidRPr="00821296">
        <w:rPr>
          <w:rFonts w:ascii="Times New Roman" w:hAnsi="Times New Roman" w:cs="Times New Roman"/>
          <w:lang w:val="fr-FR"/>
        </w:rPr>
        <w:t>leur mise en œuvre fructueuse en tant que moyen d’améliorer ou de maintenir l’état de conservation d'une espèce.</w:t>
      </w:r>
      <w:r w:rsidRPr="00403C55">
        <w:rPr>
          <w:rFonts w:ascii="Times New Roman" w:hAnsi="Times New Roman" w:cs="Times New Roman"/>
          <w:lang w:val="fr-FR"/>
        </w:rPr>
        <w:t xml:space="preserve"> </w:t>
      </w:r>
      <w:r w:rsidR="005428E4" w:rsidRPr="00403C55">
        <w:rPr>
          <w:rFonts w:ascii="Times New Roman" w:hAnsi="Times New Roman" w:cs="Times New Roman"/>
          <w:lang w:val="fr-FR"/>
        </w:rPr>
        <w:t>Ceci passe par un vaste soutien et exige l’engagement à long terme de toutes les parties prenantes, bien au-delà du processus de négociation et d’adoption.</w:t>
      </w:r>
    </w:p>
    <w:p w14:paraId="01B4A888" w14:textId="0DD28177" w:rsidR="004E096E" w:rsidRPr="00403C55" w:rsidRDefault="00140FF6" w:rsidP="004A55DB">
      <w:pPr>
        <w:spacing w:after="0" w:line="240" w:lineRule="auto"/>
        <w:jc w:val="both"/>
        <w:rPr>
          <w:rFonts w:ascii="Times New Roman" w:hAnsi="Times New Roman" w:cs="Times New Roman"/>
          <w:lang w:val="fr-FR"/>
        </w:rPr>
      </w:pPr>
      <w:r>
        <w:rPr>
          <w:rFonts w:ascii="Times New Roman" w:hAnsi="Times New Roman" w:cs="Times New Roman"/>
          <w:lang w:val="fr-FR"/>
        </w:rPr>
        <w:t>À cette fin</w:t>
      </w:r>
      <w:r w:rsidR="005428E4" w:rsidRPr="00403C55">
        <w:rPr>
          <w:rFonts w:ascii="Times New Roman" w:hAnsi="Times New Roman" w:cs="Times New Roman"/>
          <w:lang w:val="fr-FR"/>
        </w:rPr>
        <w:t xml:space="preserve">, un processus </w:t>
      </w:r>
      <w:r w:rsidR="00E133EE">
        <w:rPr>
          <w:rFonts w:ascii="Times New Roman" w:hAnsi="Times New Roman" w:cs="Times New Roman"/>
          <w:lang w:val="fr-FR"/>
        </w:rPr>
        <w:t xml:space="preserve">international </w:t>
      </w:r>
      <w:r w:rsidR="005428E4" w:rsidRPr="00403C55">
        <w:rPr>
          <w:rFonts w:ascii="Times New Roman" w:hAnsi="Times New Roman" w:cs="Times New Roman"/>
          <w:lang w:val="fr-FR"/>
        </w:rPr>
        <w:t xml:space="preserve">rigoureux de planification de l'action </w:t>
      </w:r>
      <w:r>
        <w:rPr>
          <w:rFonts w:ascii="Times New Roman" w:hAnsi="Times New Roman" w:cs="Times New Roman"/>
          <w:lang w:val="fr-FR"/>
        </w:rPr>
        <w:t>et de la gestion a été élaboré au titre de</w:t>
      </w:r>
      <w:r w:rsidR="005428E4" w:rsidRPr="00403C55">
        <w:rPr>
          <w:rFonts w:ascii="Times New Roman" w:hAnsi="Times New Roman" w:cs="Times New Roman"/>
          <w:lang w:val="fr-FR"/>
        </w:rPr>
        <w:t xml:space="preserve"> l’Accord au fil du temps, processus formant un cadre robuste pour l’établissement de priorités, le développement, l’adoption et la révision ou </w:t>
      </w:r>
      <w:r w:rsidR="00D51EB1" w:rsidRPr="00403C55">
        <w:rPr>
          <w:rFonts w:ascii="Times New Roman" w:hAnsi="Times New Roman" w:cs="Times New Roman"/>
          <w:lang w:val="fr-FR"/>
        </w:rPr>
        <w:t xml:space="preserve">le </w:t>
      </w:r>
      <w:r w:rsidR="005428E4" w:rsidRPr="00403C55">
        <w:rPr>
          <w:rFonts w:ascii="Times New Roman" w:hAnsi="Times New Roman" w:cs="Times New Roman"/>
          <w:lang w:val="fr-FR"/>
        </w:rPr>
        <w:t xml:space="preserve">retrait futurs de plans </w:t>
      </w:r>
      <w:r w:rsidR="0003562F">
        <w:rPr>
          <w:rFonts w:ascii="Times New Roman" w:hAnsi="Times New Roman" w:cs="Times New Roman"/>
          <w:lang w:val="fr-FR"/>
        </w:rPr>
        <w:t>d’action</w:t>
      </w:r>
      <w:r w:rsidR="005428E4"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005428E4" w:rsidRPr="00403C55">
        <w:rPr>
          <w:rFonts w:ascii="Times New Roman" w:hAnsi="Times New Roman" w:cs="Times New Roman"/>
          <w:lang w:val="fr-FR"/>
        </w:rPr>
        <w:t>.</w:t>
      </w:r>
    </w:p>
    <w:p w14:paraId="1EA94600" w14:textId="0AB22521" w:rsidR="00BE5D13" w:rsidRPr="00403C55" w:rsidRDefault="00A044F2" w:rsidP="004A55DB">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 </w:t>
      </w:r>
    </w:p>
    <w:p w14:paraId="31B33CA8" w14:textId="12F73680" w:rsidR="00A044F2" w:rsidRPr="00403C55" w:rsidRDefault="005428E4" w:rsidP="004A55DB">
      <w:pPr>
        <w:spacing w:after="0" w:line="240" w:lineRule="auto"/>
        <w:jc w:val="both"/>
        <w:rPr>
          <w:rFonts w:ascii="Times New Roman" w:hAnsi="Times New Roman" w:cs="Times New Roman"/>
          <w:lang w:val="fr-FR"/>
        </w:rPr>
      </w:pPr>
      <w:r w:rsidRPr="00403C55">
        <w:rPr>
          <w:rFonts w:ascii="Times New Roman" w:hAnsi="Times New Roman" w:cs="Times New Roman"/>
          <w:lang w:val="fr-FR"/>
        </w:rPr>
        <w:t>En revanche, la mise en œuvre de</w:t>
      </w:r>
      <w:r w:rsidR="00140FF6">
        <w:rPr>
          <w:rFonts w:ascii="Times New Roman" w:hAnsi="Times New Roman" w:cs="Times New Roman"/>
          <w:lang w:val="fr-FR"/>
        </w:rPr>
        <w:t>s</w:t>
      </w:r>
      <w:r w:rsidRPr="00403C55">
        <w:rPr>
          <w:rFonts w:ascii="Times New Roman" w:hAnsi="Times New Roman" w:cs="Times New Roman"/>
          <w:lang w:val="fr-FR"/>
        </w:rPr>
        <w:t xml:space="preserve"> plans </w:t>
      </w:r>
      <w:r w:rsidR="0003562F">
        <w:rPr>
          <w:rFonts w:ascii="Times New Roman" w:hAnsi="Times New Roman" w:cs="Times New Roman"/>
          <w:lang w:val="fr-FR"/>
        </w:rPr>
        <w:t>d’action</w:t>
      </w:r>
      <w:r w:rsidR="00140FF6">
        <w:rPr>
          <w:rFonts w:ascii="Times New Roman" w:hAnsi="Times New Roman" w:cs="Times New Roman"/>
          <w:lang w:val="fr-FR"/>
        </w:rPr>
        <w:t xml:space="preserve"> adoptés reste insuffisante</w:t>
      </w:r>
      <w:r w:rsidRPr="00403C55">
        <w:rPr>
          <w:rFonts w:ascii="Times New Roman" w:hAnsi="Times New Roman" w:cs="Times New Roman"/>
          <w:lang w:val="fr-FR"/>
        </w:rPr>
        <w:t xml:space="preserve"> et des mesures urgentes doivent être prises pour </w:t>
      </w:r>
      <w:r w:rsidR="00D51EB1" w:rsidRPr="00403C55">
        <w:rPr>
          <w:rFonts w:ascii="Times New Roman" w:hAnsi="Times New Roman" w:cs="Times New Roman"/>
          <w:lang w:val="fr-FR"/>
        </w:rPr>
        <w:t xml:space="preserve">la </w:t>
      </w:r>
      <w:r w:rsidRPr="00403C55">
        <w:rPr>
          <w:rFonts w:ascii="Times New Roman" w:hAnsi="Times New Roman" w:cs="Times New Roman"/>
          <w:lang w:val="fr-FR"/>
        </w:rPr>
        <w:t xml:space="preserve">revitaliser et </w:t>
      </w:r>
      <w:r w:rsidR="00D51EB1" w:rsidRPr="00403C55">
        <w:rPr>
          <w:rFonts w:ascii="Times New Roman" w:hAnsi="Times New Roman" w:cs="Times New Roman"/>
          <w:lang w:val="fr-FR"/>
        </w:rPr>
        <w:t>l’</w:t>
      </w:r>
      <w:r w:rsidR="005D4EB1" w:rsidRPr="00403C55">
        <w:rPr>
          <w:rFonts w:ascii="Times New Roman" w:hAnsi="Times New Roman" w:cs="Times New Roman"/>
          <w:lang w:val="fr-FR"/>
        </w:rPr>
        <w:t>intensifier</w:t>
      </w:r>
      <w:r w:rsidRPr="00403C55">
        <w:rPr>
          <w:rFonts w:ascii="Times New Roman" w:hAnsi="Times New Roman" w:cs="Times New Roman"/>
          <w:lang w:val="fr-FR"/>
        </w:rPr>
        <w:t>.</w:t>
      </w:r>
      <w:r w:rsidR="00140FF6">
        <w:rPr>
          <w:rFonts w:ascii="Times New Roman" w:hAnsi="Times New Roman" w:cs="Times New Roman"/>
          <w:lang w:val="fr-FR"/>
        </w:rPr>
        <w:t xml:space="preserve"> </w:t>
      </w:r>
      <w:r w:rsidR="005D4EB1" w:rsidRPr="00403C55">
        <w:rPr>
          <w:rFonts w:ascii="Times New Roman" w:hAnsi="Times New Roman" w:cs="Times New Roman"/>
          <w:lang w:val="fr-FR"/>
        </w:rPr>
        <w:t xml:space="preserve">Sur les 19 plans </w:t>
      </w:r>
      <w:r w:rsidR="0003562F">
        <w:rPr>
          <w:rFonts w:ascii="Times New Roman" w:hAnsi="Times New Roman" w:cs="Times New Roman"/>
          <w:lang w:val="fr-FR"/>
        </w:rPr>
        <w:t>d’action</w:t>
      </w:r>
      <w:r w:rsidR="005D4EB1" w:rsidRPr="00403C55">
        <w:rPr>
          <w:rFonts w:ascii="Times New Roman" w:hAnsi="Times New Roman" w:cs="Times New Roman"/>
          <w:lang w:val="fr-FR"/>
        </w:rPr>
        <w:t xml:space="preserve"> internationaux et l’unique plan de gestion adoptés </w:t>
      </w:r>
      <w:r w:rsidR="00870983">
        <w:rPr>
          <w:rFonts w:ascii="Times New Roman" w:hAnsi="Times New Roman" w:cs="Times New Roman"/>
          <w:lang w:val="fr-FR"/>
        </w:rPr>
        <w:t>à ce jour conformément à</w:t>
      </w:r>
      <w:r w:rsidR="00140FF6">
        <w:rPr>
          <w:rFonts w:ascii="Times New Roman" w:hAnsi="Times New Roman" w:cs="Times New Roman"/>
          <w:lang w:val="fr-FR"/>
        </w:rPr>
        <w:t xml:space="preserve"> l’Accord, seulement huit d’entre eux </w:t>
      </w:r>
      <w:r w:rsidR="005D4EB1" w:rsidRPr="00403C55">
        <w:rPr>
          <w:rFonts w:ascii="Times New Roman" w:hAnsi="Times New Roman" w:cs="Times New Roman"/>
          <w:lang w:val="fr-FR"/>
        </w:rPr>
        <w:t>ont pu être inclus dans la présente étude.</w:t>
      </w:r>
      <w:r w:rsidR="00111130" w:rsidRPr="00403C55">
        <w:rPr>
          <w:rFonts w:ascii="Times New Roman" w:hAnsi="Times New Roman" w:cs="Times New Roman"/>
          <w:lang w:val="fr-FR"/>
        </w:rPr>
        <w:t xml:space="preserve"> </w:t>
      </w:r>
      <w:r w:rsidR="005D4EB1" w:rsidRPr="00403C55">
        <w:rPr>
          <w:rFonts w:ascii="Times New Roman" w:hAnsi="Times New Roman" w:cs="Times New Roman"/>
          <w:lang w:val="fr-FR"/>
        </w:rPr>
        <w:t>Plus de la moit</w:t>
      </w:r>
      <w:r w:rsidR="00140FF6">
        <w:rPr>
          <w:rFonts w:ascii="Times New Roman" w:hAnsi="Times New Roman" w:cs="Times New Roman"/>
          <w:lang w:val="fr-FR"/>
        </w:rPr>
        <w:t>ié des plans actuels ont été exclus,</w:t>
      </w:r>
      <w:r w:rsidR="005D4EB1" w:rsidRPr="00403C55">
        <w:rPr>
          <w:rFonts w:ascii="Times New Roman" w:hAnsi="Times New Roman" w:cs="Times New Roman"/>
          <w:lang w:val="fr-FR"/>
        </w:rPr>
        <w:t xml:space="preserve"> du fait que trop peu d’informations sur leur mise </w:t>
      </w:r>
      <w:r w:rsidR="00140FF6">
        <w:rPr>
          <w:rFonts w:ascii="Times New Roman" w:hAnsi="Times New Roman" w:cs="Times New Roman"/>
          <w:lang w:val="fr-FR"/>
        </w:rPr>
        <w:t xml:space="preserve">en œuvre pouvaient </w:t>
      </w:r>
      <w:r w:rsidR="005D4EB1" w:rsidRPr="00403C55">
        <w:rPr>
          <w:rFonts w:ascii="Times New Roman" w:hAnsi="Times New Roman" w:cs="Times New Roman"/>
          <w:lang w:val="fr-FR"/>
        </w:rPr>
        <w:t>être obtenues</w:t>
      </w:r>
      <w:r w:rsidR="00140FF6">
        <w:rPr>
          <w:rFonts w:ascii="Times New Roman" w:hAnsi="Times New Roman" w:cs="Times New Roman"/>
          <w:lang w:val="fr-FR"/>
        </w:rPr>
        <w:t xml:space="preserve"> – en raison d’un manque de mécanismes de coordination internationale mis en place ou d’un faible taux de réponse des Etats</w:t>
      </w:r>
      <w:r w:rsidR="005D4EB1" w:rsidRPr="00403C55">
        <w:rPr>
          <w:rFonts w:ascii="Times New Roman" w:hAnsi="Times New Roman" w:cs="Times New Roman"/>
          <w:lang w:val="fr-FR"/>
        </w:rPr>
        <w:t>.</w:t>
      </w:r>
      <w:r w:rsidR="00111130" w:rsidRPr="00403C55">
        <w:rPr>
          <w:rFonts w:ascii="Times New Roman" w:hAnsi="Times New Roman" w:cs="Times New Roman"/>
          <w:lang w:val="fr-FR"/>
        </w:rPr>
        <w:t xml:space="preserve"> </w:t>
      </w:r>
      <w:r w:rsidR="00140FF6">
        <w:rPr>
          <w:rFonts w:ascii="Times New Roman" w:hAnsi="Times New Roman" w:cs="Times New Roman"/>
          <w:lang w:val="fr-FR"/>
        </w:rPr>
        <w:t>Sur la base des réponses fourni</w:t>
      </w:r>
      <w:r w:rsidR="00326DEB" w:rsidRPr="00403C55">
        <w:rPr>
          <w:rFonts w:ascii="Times New Roman" w:hAnsi="Times New Roman" w:cs="Times New Roman"/>
          <w:lang w:val="fr-FR"/>
        </w:rPr>
        <w:t xml:space="preserve">es par les </w:t>
      </w:r>
      <w:r w:rsidR="00140FF6">
        <w:rPr>
          <w:rFonts w:ascii="Times New Roman" w:hAnsi="Times New Roman" w:cs="Times New Roman"/>
          <w:lang w:val="fr-FR"/>
        </w:rPr>
        <w:t>États de l’aire de répartitio</w:t>
      </w:r>
      <w:r w:rsidR="00856FAD" w:rsidRPr="00403C55">
        <w:rPr>
          <w:noProof/>
          <w:lang w:val="en-US"/>
        </w:rPr>
        <mc:AlternateContent>
          <mc:Choice Requires="wps">
            <w:drawing>
              <wp:anchor distT="91440" distB="91440" distL="114300" distR="114300" simplePos="0" relativeHeight="251664384" behindDoc="0" locked="0" layoutInCell="1" allowOverlap="1" wp14:anchorId="34FF018D" wp14:editId="54BBB4D4">
                <wp:simplePos x="0" y="0"/>
                <wp:positionH relativeFrom="margin">
                  <wp:posOffset>474345</wp:posOffset>
                </wp:positionH>
                <wp:positionV relativeFrom="paragraph">
                  <wp:posOffset>429895</wp:posOffset>
                </wp:positionV>
                <wp:extent cx="4714875" cy="1403985"/>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6CA494FA" w14:textId="744B7BB7" w:rsidR="00DE4CF4" w:rsidRPr="00B97CEB" w:rsidRDefault="00DE4CF4" w:rsidP="007B572B">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sidRPr="00B97CEB">
                              <w:rPr>
                                <w:rFonts w:ascii="Times New Roman" w:hAnsi="Times New Roman" w:cs="Times New Roman"/>
                                <w:i/>
                                <w:iCs/>
                                <w:color w:val="4F81BD" w:themeColor="accent1"/>
                                <w:lang w:val="fr-FR"/>
                              </w:rPr>
                              <w:t xml:space="preserve">Un accroissement de la mise en </w:t>
                            </w:r>
                            <w:r>
                              <w:rPr>
                                <w:rFonts w:ascii="Times New Roman" w:hAnsi="Times New Roman" w:cs="Times New Roman"/>
                                <w:i/>
                                <w:iCs/>
                                <w:color w:val="4F81BD" w:themeColor="accent1"/>
                                <w:lang w:val="fr-FR"/>
                              </w:rPr>
                              <w:t xml:space="preserve">œuvre </w:t>
                            </w:r>
                            <w:r w:rsidRPr="00B97CEB">
                              <w:rPr>
                                <w:rFonts w:ascii="Times New Roman" w:hAnsi="Times New Roman" w:cs="Times New Roman"/>
                                <w:i/>
                                <w:iCs/>
                                <w:color w:val="4F81BD" w:themeColor="accent1"/>
                                <w:lang w:val="fr-FR"/>
                              </w:rPr>
                              <w:t xml:space="preserve">des  plans </w:t>
                            </w:r>
                            <w:r>
                              <w:rPr>
                                <w:rFonts w:ascii="Times New Roman" w:hAnsi="Times New Roman" w:cs="Times New Roman"/>
                                <w:i/>
                                <w:iCs/>
                                <w:color w:val="4F81BD" w:themeColor="accent1"/>
                                <w:lang w:val="fr-FR"/>
                              </w:rPr>
                              <w:t xml:space="preserve">d’action </w:t>
                            </w:r>
                            <w:r w:rsidRPr="00B97CEB">
                              <w:rPr>
                                <w:rFonts w:ascii="Times New Roman" w:hAnsi="Times New Roman" w:cs="Times New Roman"/>
                                <w:i/>
                                <w:iCs/>
                                <w:color w:val="4F81BD" w:themeColor="accent1"/>
                                <w:lang w:val="fr-FR"/>
                              </w:rPr>
                              <w:t xml:space="preserve">est </w:t>
                            </w:r>
                            <w:r>
                              <w:rPr>
                                <w:rFonts w:ascii="Times New Roman" w:hAnsi="Times New Roman" w:cs="Times New Roman"/>
                                <w:i/>
                                <w:iCs/>
                                <w:color w:val="4F81BD" w:themeColor="accent1"/>
                                <w:lang w:val="fr-FR"/>
                              </w:rPr>
                              <w:t>requise d’urgence</w:t>
                            </w:r>
                            <w:r w:rsidRPr="00B97CEB">
                              <w:rPr>
                                <w:rFonts w:ascii="Times New Roman" w:hAnsi="Times New Roman" w:cs="Times New Roman"/>
                                <w:i/>
                                <w:iCs/>
                                <w:color w:val="4F81BD" w:themeColor="accent1"/>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018D" id="_x0000_s1028" type="#_x0000_t202" style="position:absolute;left:0;text-align:left;margin-left:37.35pt;margin-top:33.85pt;width:371.25pt;height:110.55pt;z-index:2516643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0EAIAAPsDAAAOAAAAZHJzL2Uyb0RvYy54bWysU9uO2yAQfa/Uf0C8N7azTpNYcVbb3aaq&#10;tL1Iu/0AjHGMCgwFEjv9+g44m0btW1U/WMAwZ845M2xuR63IUTgvwdS0mOWUCMOhlWZf02/Puzcr&#10;SnxgpmUKjKjpSXh6u339ajPYSsyhB9UKRxDE+GqwNe1DsFWWed4LzfwMrDAY7MBpFnDr9lnr2IDo&#10;WmXzPH+bDeBa64AL7/H0YQrSbcLvOsHDl67zIhBVU+QW0t+lfxP/2XbDqr1jtpf8TIP9AwvNpMGi&#10;F6gHFhg5OPkXlJbcgYcuzDjoDLpOcpE0oJoi/0PNU8+sSFrQHG8vNvn/B8s/H786Itua3qA9hmns&#10;0bMYA3kHI5lHewbrK7z1ZPFeGPEY25ykevsI/LsnBu57ZvbizjkYesFapFfEzOwqdcLxEaQZPkGL&#10;ZdghQAIaO6ejd+gGQXTkcbq0JlLheFgui3K1XFDCMVaU+c16tUg1WPWSbp0PHwRoEhc1ddj7BM+O&#10;jz5EOqx6uRKrGdhJpVL/lSFDTdeL+SIlXEW0DDieSuqarvL4TQMTVb43bUoOTKppjQWUOcuOSifN&#10;YWzGZPDFzQbaE/rgYJpGfD246MH9pGTASayp/3FgTlCiPhr0cl2UZRzdtCkXyzlu3HWkuY4wwxGq&#10;poGSaXkf0rhHyd7eoec7mdyIzZmYnCnjhCWTzq8hjvD1Pt36/Wa3vwAAAP//AwBQSwMEFAAGAAgA&#10;AAAhAE1nPffeAAAACQEAAA8AAABkcnMvZG93bnJldi54bWxMj8FOwzAQRO9I/IO1SNyo0wg1Vsim&#10;qlBbjkAbcXZjN4kary3bTcPfY05wGq1mNPO2Ws9mZJP2YbCEsFxkwDS1Vg3UITTH3ZMAFqIkJUdL&#10;GuFbB1jX93eVLJW90aeeDrFjqYRCKRH6GF3JeWh7bWRYWKcpeWfrjYzp9B1XXt5SuRl5nmUrbuRA&#10;aaGXTr/2ur0crgbBRbcv3vz7x2a7m7Lma9/kQ7dFfHyYNy/Aop7jXxh+8RM61InpZK+kAhsRiuci&#10;JRFWRdLki2WRAzsh5EII4HXF/39Q/wAAAP//AwBQSwECLQAUAAYACAAAACEAtoM4kv4AAADhAQAA&#10;EwAAAAAAAAAAAAAAAAAAAAAAW0NvbnRlbnRfVHlwZXNdLnhtbFBLAQItABQABgAIAAAAIQA4/SH/&#10;1gAAAJQBAAALAAAAAAAAAAAAAAAAAC8BAABfcmVscy8ucmVsc1BLAQItABQABgAIAAAAIQAzlde0&#10;EAIAAPsDAAAOAAAAAAAAAAAAAAAAAC4CAABkcnMvZTJvRG9jLnhtbFBLAQItABQABgAIAAAAIQBN&#10;Zz333gAAAAkBAAAPAAAAAAAAAAAAAAAAAGoEAABkcnMvZG93bnJldi54bWxQSwUGAAAAAAQABADz&#10;AAAAdQUAAAAA&#10;" filled="f" stroked="f">
                <v:textbox style="mso-fit-shape-to-text:t">
                  <w:txbxContent>
                    <w:p w14:paraId="6CA494FA" w14:textId="744B7BB7" w:rsidR="00DE4CF4" w:rsidRPr="00B97CEB" w:rsidRDefault="00DE4CF4" w:rsidP="007B572B">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sidRPr="00B97CEB">
                        <w:rPr>
                          <w:rFonts w:ascii="Times New Roman" w:hAnsi="Times New Roman" w:cs="Times New Roman"/>
                          <w:i/>
                          <w:iCs/>
                          <w:color w:val="4F81BD" w:themeColor="accent1"/>
                          <w:lang w:val="fr-FR"/>
                        </w:rPr>
                        <w:t xml:space="preserve">Un accroissement de la mise en </w:t>
                      </w:r>
                      <w:r>
                        <w:rPr>
                          <w:rFonts w:ascii="Times New Roman" w:hAnsi="Times New Roman" w:cs="Times New Roman"/>
                          <w:i/>
                          <w:iCs/>
                          <w:color w:val="4F81BD" w:themeColor="accent1"/>
                          <w:lang w:val="fr-FR"/>
                        </w:rPr>
                        <w:t xml:space="preserve">œuvre </w:t>
                      </w:r>
                      <w:r w:rsidRPr="00B97CEB">
                        <w:rPr>
                          <w:rFonts w:ascii="Times New Roman" w:hAnsi="Times New Roman" w:cs="Times New Roman"/>
                          <w:i/>
                          <w:iCs/>
                          <w:color w:val="4F81BD" w:themeColor="accent1"/>
                          <w:lang w:val="fr-FR"/>
                        </w:rPr>
                        <w:t xml:space="preserve">des  plans </w:t>
                      </w:r>
                      <w:r>
                        <w:rPr>
                          <w:rFonts w:ascii="Times New Roman" w:hAnsi="Times New Roman" w:cs="Times New Roman"/>
                          <w:i/>
                          <w:iCs/>
                          <w:color w:val="4F81BD" w:themeColor="accent1"/>
                          <w:lang w:val="fr-FR"/>
                        </w:rPr>
                        <w:t xml:space="preserve">d’action </w:t>
                      </w:r>
                      <w:r w:rsidRPr="00B97CEB">
                        <w:rPr>
                          <w:rFonts w:ascii="Times New Roman" w:hAnsi="Times New Roman" w:cs="Times New Roman"/>
                          <w:i/>
                          <w:iCs/>
                          <w:color w:val="4F81BD" w:themeColor="accent1"/>
                          <w:lang w:val="fr-FR"/>
                        </w:rPr>
                        <w:t xml:space="preserve">est </w:t>
                      </w:r>
                      <w:r>
                        <w:rPr>
                          <w:rFonts w:ascii="Times New Roman" w:hAnsi="Times New Roman" w:cs="Times New Roman"/>
                          <w:i/>
                          <w:iCs/>
                          <w:color w:val="4F81BD" w:themeColor="accent1"/>
                          <w:lang w:val="fr-FR"/>
                        </w:rPr>
                        <w:t>requise d’urgence</w:t>
                      </w:r>
                      <w:r w:rsidRPr="00B97CEB">
                        <w:rPr>
                          <w:rFonts w:ascii="Times New Roman" w:hAnsi="Times New Roman" w:cs="Times New Roman"/>
                          <w:i/>
                          <w:iCs/>
                          <w:color w:val="4F81BD" w:themeColor="accent1"/>
                          <w:lang w:val="fr-FR"/>
                        </w:rPr>
                        <w:t xml:space="preserve"> </w:t>
                      </w:r>
                    </w:p>
                  </w:txbxContent>
                </v:textbox>
                <w10:wrap type="topAndBottom" anchorx="margin"/>
              </v:shape>
            </w:pict>
          </mc:Fallback>
        </mc:AlternateContent>
      </w:r>
      <w:r w:rsidR="00140FF6">
        <w:rPr>
          <w:rFonts w:ascii="Times New Roman" w:hAnsi="Times New Roman" w:cs="Times New Roman"/>
          <w:lang w:val="fr-FR"/>
        </w:rPr>
        <w:t>n, le pourcentage général d’activités réalisées pour les huit plans examinés était de 38</w:t>
      </w:r>
      <w:r w:rsidR="00140FF6" w:rsidRPr="00140FF6">
        <w:rPr>
          <w:rFonts w:ascii="Times New Roman" w:hAnsi="Times New Roman" w:cs="Times New Roman"/>
          <w:lang w:val="fr-FR"/>
        </w:rPr>
        <w:t xml:space="preserve">% </w:t>
      </w:r>
      <w:r w:rsidR="00140FF6">
        <w:rPr>
          <w:rFonts w:ascii="Times New Roman" w:hAnsi="Times New Roman" w:cs="Times New Roman"/>
          <w:lang w:val="fr-FR"/>
        </w:rPr>
        <w:t xml:space="preserve">- il convient de noter cependant que certains Etats de l’aire de répartition n’ont pas communiqué de rapports, et que parmi les plans examinés, cinq d’entre eux ont été adoptés à la MOP5 en 2012. Bien qu’il reste un long chemin à parcourir pour </w:t>
      </w:r>
      <w:r w:rsidR="00140FF6">
        <w:rPr>
          <w:rFonts w:ascii="Times New Roman" w:hAnsi="Times New Roman" w:cs="Times New Roman"/>
          <w:lang w:val="fr-FR"/>
        </w:rPr>
        <w:lastRenderedPageBreak/>
        <w:t>attein</w:t>
      </w:r>
      <w:r w:rsidR="00B34832">
        <w:rPr>
          <w:rFonts w:ascii="Times New Roman" w:hAnsi="Times New Roman" w:cs="Times New Roman"/>
          <w:lang w:val="fr-FR"/>
        </w:rPr>
        <w:t>d</w:t>
      </w:r>
      <w:r w:rsidR="00140FF6">
        <w:rPr>
          <w:rFonts w:ascii="Times New Roman" w:hAnsi="Times New Roman" w:cs="Times New Roman"/>
          <w:lang w:val="fr-FR"/>
        </w:rPr>
        <w:t>re les objectifs généraux des Plans d’action de l’AEWA évalués, il est possible de conclure que des progrès ont été accomplis pour atteindre les objectifs à court terme de certains plans d’action</w:t>
      </w:r>
      <w:r w:rsidR="00326DEB" w:rsidRPr="00403C55">
        <w:rPr>
          <w:rFonts w:ascii="Times New Roman" w:hAnsi="Times New Roman" w:cs="Times New Roman"/>
          <w:lang w:val="fr-FR"/>
        </w:rPr>
        <w:t>.</w:t>
      </w:r>
      <w:r w:rsidR="00111130" w:rsidRPr="00403C55">
        <w:rPr>
          <w:rFonts w:ascii="Times New Roman" w:hAnsi="Times New Roman" w:cs="Times New Roman"/>
          <w:lang w:val="fr-FR"/>
        </w:rPr>
        <w:t xml:space="preserve"> </w:t>
      </w:r>
    </w:p>
    <w:p w14:paraId="17F79BB7" w14:textId="77777777" w:rsidR="00140FF6" w:rsidRDefault="00140FF6" w:rsidP="00C64661">
      <w:pPr>
        <w:spacing w:after="0" w:line="240" w:lineRule="auto"/>
        <w:jc w:val="both"/>
        <w:rPr>
          <w:rFonts w:ascii="Times New Roman" w:hAnsi="Times New Roman" w:cs="Times New Roman"/>
          <w:lang w:val="fr-FR"/>
        </w:rPr>
      </w:pPr>
    </w:p>
    <w:p w14:paraId="14194C08" w14:textId="52C24F0E" w:rsidR="00C64661" w:rsidRPr="00403C55" w:rsidRDefault="00326DEB" w:rsidP="00C6466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manque de financement adéquat </w:t>
      </w:r>
      <w:r w:rsidR="00733AFA" w:rsidRPr="00403C55">
        <w:rPr>
          <w:rFonts w:ascii="Times New Roman" w:hAnsi="Times New Roman" w:cs="Times New Roman"/>
          <w:lang w:val="fr-FR"/>
        </w:rPr>
        <w:t>était le tout premier obstacle</w:t>
      </w:r>
      <w:r w:rsidRPr="00403C55">
        <w:rPr>
          <w:rFonts w:ascii="Times New Roman" w:hAnsi="Times New Roman" w:cs="Times New Roman"/>
          <w:lang w:val="fr-FR"/>
        </w:rPr>
        <w:t xml:space="preserve"> </w:t>
      </w:r>
      <w:r w:rsidR="00870983">
        <w:rPr>
          <w:rFonts w:ascii="Times New Roman" w:hAnsi="Times New Roman" w:cs="Times New Roman"/>
          <w:lang w:val="fr-FR"/>
        </w:rPr>
        <w:t>mentionné comme</w:t>
      </w:r>
      <w:r w:rsidR="00733AFA" w:rsidRPr="00403C55">
        <w:rPr>
          <w:rFonts w:ascii="Times New Roman" w:hAnsi="Times New Roman" w:cs="Times New Roman"/>
          <w:lang w:val="fr-FR"/>
        </w:rPr>
        <w:t xml:space="preserve"> </w:t>
      </w:r>
      <w:r w:rsidR="00870983">
        <w:rPr>
          <w:rFonts w:ascii="Times New Roman" w:hAnsi="Times New Roman" w:cs="Times New Roman"/>
          <w:lang w:val="fr-FR"/>
        </w:rPr>
        <w:t xml:space="preserve">étant </w:t>
      </w:r>
      <w:r w:rsidR="00DA2EA3">
        <w:rPr>
          <w:rFonts w:ascii="Times New Roman" w:hAnsi="Times New Roman" w:cs="Times New Roman"/>
          <w:lang w:val="fr-FR"/>
        </w:rPr>
        <w:t xml:space="preserve">gênant pour </w:t>
      </w:r>
      <w:r w:rsidR="00733AFA" w:rsidRPr="00403C55">
        <w:rPr>
          <w:rFonts w:ascii="Times New Roman" w:hAnsi="Times New Roman" w:cs="Times New Roman"/>
          <w:lang w:val="fr-FR"/>
        </w:rPr>
        <w:t xml:space="preserve">une mise en œuvre fructueuse des plans </w:t>
      </w:r>
      <w:r w:rsidR="0003562F">
        <w:rPr>
          <w:rFonts w:ascii="Times New Roman" w:hAnsi="Times New Roman" w:cs="Times New Roman"/>
          <w:lang w:val="fr-FR"/>
        </w:rPr>
        <w:t>d’action</w:t>
      </w:r>
      <w:r w:rsidR="00733AFA" w:rsidRPr="00403C55">
        <w:rPr>
          <w:rFonts w:ascii="Times New Roman" w:hAnsi="Times New Roman" w:cs="Times New Roman"/>
          <w:lang w:val="fr-FR"/>
        </w:rPr>
        <w:t>, de même que le manque de capacité technique et en personnel</w:t>
      </w:r>
      <w:r w:rsidRPr="00403C55">
        <w:rPr>
          <w:rFonts w:ascii="Times New Roman" w:hAnsi="Times New Roman" w:cs="Times New Roman"/>
          <w:lang w:val="fr-FR"/>
        </w:rPr>
        <w:t>.</w:t>
      </w:r>
      <w:r w:rsidR="00A044F2" w:rsidRPr="00403C55">
        <w:rPr>
          <w:rFonts w:ascii="Times New Roman" w:hAnsi="Times New Roman" w:cs="Times New Roman"/>
          <w:lang w:val="fr-FR"/>
        </w:rPr>
        <w:t xml:space="preserve"> </w:t>
      </w:r>
      <w:r w:rsidR="00733AFA" w:rsidRPr="00403C55">
        <w:rPr>
          <w:rFonts w:ascii="Times New Roman" w:hAnsi="Times New Roman" w:cs="Times New Roman"/>
          <w:lang w:val="fr-FR"/>
        </w:rPr>
        <w:t>Il est clair que les efforts pour combler ces lacunes doivent être intensifiés, notamment pour les espèces considérées comme menacées au niveau mondial.</w:t>
      </w:r>
    </w:p>
    <w:p w14:paraId="1FAD3C01" w14:textId="77777777" w:rsidR="00A044F2" w:rsidRPr="00403C55" w:rsidRDefault="00A044F2" w:rsidP="00C64661">
      <w:pPr>
        <w:spacing w:after="0" w:line="240" w:lineRule="auto"/>
        <w:jc w:val="both"/>
        <w:rPr>
          <w:rFonts w:ascii="Times New Roman" w:hAnsi="Times New Roman" w:cs="Times New Roman"/>
          <w:lang w:val="fr-FR"/>
        </w:rPr>
      </w:pPr>
    </w:p>
    <w:p w14:paraId="53E3B2CD" w14:textId="20946D92" w:rsidR="00A044F2" w:rsidRPr="00403C55" w:rsidRDefault="00C23447" w:rsidP="00C64661">
      <w:pPr>
        <w:spacing w:after="0" w:line="240" w:lineRule="auto"/>
        <w:jc w:val="both"/>
        <w:rPr>
          <w:rFonts w:ascii="Times New Roman" w:hAnsi="Times New Roman" w:cs="Times New Roman"/>
          <w:lang w:val="fr-FR"/>
        </w:rPr>
      </w:pPr>
      <w:r w:rsidRPr="00403C55">
        <w:rPr>
          <w:noProof/>
          <w:lang w:val="en-US"/>
        </w:rPr>
        <mc:AlternateContent>
          <mc:Choice Requires="wps">
            <w:drawing>
              <wp:anchor distT="91440" distB="91440" distL="114300" distR="114300" simplePos="0" relativeHeight="251666432" behindDoc="0" locked="0" layoutInCell="1" allowOverlap="1" wp14:anchorId="7BA54523" wp14:editId="0AAA073E">
                <wp:simplePos x="0" y="0"/>
                <wp:positionH relativeFrom="margin">
                  <wp:posOffset>447675</wp:posOffset>
                </wp:positionH>
                <wp:positionV relativeFrom="paragraph">
                  <wp:posOffset>790575</wp:posOffset>
                </wp:positionV>
                <wp:extent cx="471487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52370957" w14:textId="2C3078F4" w:rsidR="00DE4CF4" w:rsidRPr="00B97CEB" w:rsidRDefault="00DE4CF4" w:rsidP="00C23447">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sidRPr="00B97CEB">
                              <w:rPr>
                                <w:rFonts w:ascii="Times New Roman" w:hAnsi="Times New Roman" w:cs="Times New Roman"/>
                                <w:i/>
                                <w:iCs/>
                                <w:color w:val="4F81BD" w:themeColor="accent1"/>
                                <w:lang w:val="fr-FR"/>
                              </w:rPr>
                              <w:t>L</w:t>
                            </w:r>
                            <w:r>
                              <w:rPr>
                                <w:rFonts w:ascii="Times New Roman" w:hAnsi="Times New Roman" w:cs="Times New Roman"/>
                                <w:i/>
                                <w:iCs/>
                                <w:color w:val="4F81BD" w:themeColor="accent1"/>
                                <w:lang w:val="fr-FR"/>
                              </w:rPr>
                              <w:t>e manque de financement, le manque de capacité humaine et technique, et le manque d’engagement des gouvernements sont indiqués comme les trois principaux obstacles entravant la mise en œuvre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54523" id="_x0000_s1029" type="#_x0000_t202" style="position:absolute;left:0;text-align:left;margin-left:35.25pt;margin-top:62.25pt;width:371.25pt;height:110.55pt;z-index:2516664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qeEAIAAPoDAAAOAAAAZHJzL2Uyb0RvYy54bWysU21v2yAQ/j5p/wHxfbGdO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lFimMYW&#10;PYohkE8wkGlUp7e+QqcHi25hwGfscmLq7T3w354YuO2Y2Ykb56DvBGuwuiJGZhehI46PINv+GzSY&#10;hu0DJKChdTpKh2IQRMcuHc+diaVwfCznRbmYzyjhaCvK/Gq5mKUcrHoOt86HLwI0iYeaOmx9gmeH&#10;ex9iOax6donZDGykUqn9ypC+psvZdJYCLixaBpxOJXVNF3lc47xElp9Nk4IDk2o8YwJlTrQj05Fz&#10;GLbDSV/0j5JsoTmiDg7GYcTPg4cO3F9KehzEmvo/e+YEJeqrQS2XRVnGyU2Xcjaf4sVdWraXFmY4&#10;QtU0UDIeb0Oa9kjZ2xvUfCOTGi+VnErGAUsinT5DnODLe/J6+bLrJwAAAP//AwBQSwMEFAAGAAgA&#10;AAAhADYBxSPeAAAACgEAAA8AAABkcnMvZG93bnJldi54bWxMj0tPwzAQhO9I/AdrkXqjdtOnQpyq&#10;Qm05AiXi7MZLEhE/ZLtp+u9ZTnDb3RnNflNsR9OzAUPsnJUwmwpgaGunO9tIqD4OjxtgMSmrVe8s&#10;SrhhhG15f1eoXLurfcfhlBpGITbmSkKbks85j3WLRsWp82hJ+3LBqERraLgO6krhpueZECtuVGfp&#10;Q6s8PrdYf58uRoJP/rh+Ca9vu/1hENXnscq6Zi/l5GHcPQFLOKY/M/ziEzqUxHR2F6sj6yWsxZKc&#10;dM8WNJBhM5tTubOE+WK5Al4W/H+F8gcAAP//AwBQSwECLQAUAAYACAAAACEAtoM4kv4AAADhAQAA&#10;EwAAAAAAAAAAAAAAAAAAAAAAW0NvbnRlbnRfVHlwZXNdLnhtbFBLAQItABQABgAIAAAAIQA4/SH/&#10;1gAAAJQBAAALAAAAAAAAAAAAAAAAAC8BAABfcmVscy8ucmVsc1BLAQItABQABgAIAAAAIQB5VDqe&#10;EAIAAPoDAAAOAAAAAAAAAAAAAAAAAC4CAABkcnMvZTJvRG9jLnhtbFBLAQItABQABgAIAAAAIQA2&#10;AcUj3gAAAAoBAAAPAAAAAAAAAAAAAAAAAGoEAABkcnMvZG93bnJldi54bWxQSwUGAAAAAAQABADz&#10;AAAAdQUAAAAA&#10;" filled="f" stroked="f">
                <v:textbox style="mso-fit-shape-to-text:t">
                  <w:txbxContent>
                    <w:p w14:paraId="52370957" w14:textId="2C3078F4" w:rsidR="00DE4CF4" w:rsidRPr="00B97CEB" w:rsidRDefault="00DE4CF4" w:rsidP="00C23447">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sidRPr="00B97CEB">
                        <w:rPr>
                          <w:rFonts w:ascii="Times New Roman" w:hAnsi="Times New Roman" w:cs="Times New Roman"/>
                          <w:i/>
                          <w:iCs/>
                          <w:color w:val="4F81BD" w:themeColor="accent1"/>
                          <w:lang w:val="fr-FR"/>
                        </w:rPr>
                        <w:t>L</w:t>
                      </w:r>
                      <w:r>
                        <w:rPr>
                          <w:rFonts w:ascii="Times New Roman" w:hAnsi="Times New Roman" w:cs="Times New Roman"/>
                          <w:i/>
                          <w:iCs/>
                          <w:color w:val="4F81BD" w:themeColor="accent1"/>
                          <w:lang w:val="fr-FR"/>
                        </w:rPr>
                        <w:t>e manque de financement, le manque de capacité humaine et technique, et le manque d’engagement des gouvernements sont indiqués comme les trois principaux obstacles entravant la mise en œuvre</w:t>
                      </w:r>
                    </w:p>
                  </w:txbxContent>
                </v:textbox>
                <w10:wrap type="topAndBottom" anchorx="margin"/>
              </v:shape>
            </w:pict>
          </mc:Fallback>
        </mc:AlternateContent>
      </w:r>
      <w:r w:rsidR="0073770F">
        <w:rPr>
          <w:rFonts w:ascii="Times New Roman" w:hAnsi="Times New Roman" w:cs="Times New Roman"/>
          <w:lang w:val="fr-FR"/>
        </w:rPr>
        <w:t>Le manque d’intérêt,</w:t>
      </w:r>
      <w:r w:rsidR="00733AFA" w:rsidRPr="00403C55">
        <w:rPr>
          <w:rFonts w:ascii="Times New Roman" w:hAnsi="Times New Roman" w:cs="Times New Roman"/>
          <w:lang w:val="fr-FR"/>
        </w:rPr>
        <w:t xml:space="preserve"> d’engagement </w:t>
      </w:r>
      <w:r w:rsidR="0073770F">
        <w:rPr>
          <w:rFonts w:ascii="Times New Roman" w:hAnsi="Times New Roman" w:cs="Times New Roman"/>
          <w:lang w:val="fr-FR"/>
        </w:rPr>
        <w:t>et de capacités signalé des gouvernements pour la</w:t>
      </w:r>
      <w:r w:rsidR="00733AFA" w:rsidRPr="00403C55">
        <w:rPr>
          <w:rFonts w:ascii="Times New Roman" w:hAnsi="Times New Roman" w:cs="Times New Roman"/>
          <w:lang w:val="fr-FR"/>
        </w:rPr>
        <w:t xml:space="preserve"> mise en œuvre des plans </w:t>
      </w:r>
      <w:r w:rsidR="0003562F">
        <w:rPr>
          <w:rFonts w:ascii="Times New Roman" w:hAnsi="Times New Roman" w:cs="Times New Roman"/>
          <w:lang w:val="fr-FR"/>
        </w:rPr>
        <w:t>d’action</w:t>
      </w:r>
      <w:r w:rsidR="00733AFA" w:rsidRPr="00403C55">
        <w:rPr>
          <w:rFonts w:ascii="Times New Roman" w:hAnsi="Times New Roman" w:cs="Times New Roman"/>
          <w:lang w:val="fr-FR"/>
        </w:rPr>
        <w:t xml:space="preserve"> </w:t>
      </w:r>
      <w:r w:rsidR="0003562F">
        <w:rPr>
          <w:rFonts w:ascii="Times New Roman" w:hAnsi="Times New Roman" w:cs="Times New Roman"/>
          <w:lang w:val="fr-FR"/>
        </w:rPr>
        <w:t>de l’AEWA</w:t>
      </w:r>
      <w:r w:rsidR="00733AFA" w:rsidRPr="00403C55">
        <w:rPr>
          <w:rFonts w:ascii="Times New Roman" w:hAnsi="Times New Roman" w:cs="Times New Roman"/>
          <w:lang w:val="fr-FR"/>
        </w:rPr>
        <w:t xml:space="preserve"> adoptés est l’un des problèmes les plus sérieux </w:t>
      </w:r>
      <w:r w:rsidR="0030586A" w:rsidRPr="00403C55">
        <w:rPr>
          <w:rFonts w:ascii="Times New Roman" w:hAnsi="Times New Roman" w:cs="Times New Roman"/>
          <w:lang w:val="fr-FR"/>
        </w:rPr>
        <w:t>entravant</w:t>
      </w:r>
      <w:r w:rsidR="00733AFA" w:rsidRPr="00403C55">
        <w:rPr>
          <w:rFonts w:ascii="Times New Roman" w:hAnsi="Times New Roman" w:cs="Times New Roman"/>
          <w:lang w:val="fr-FR"/>
        </w:rPr>
        <w:t xml:space="preserve"> la réalisation des buts et des objectifs des plans </w:t>
      </w:r>
      <w:r w:rsidR="0003562F">
        <w:rPr>
          <w:rFonts w:ascii="Times New Roman" w:hAnsi="Times New Roman" w:cs="Times New Roman"/>
          <w:lang w:val="fr-FR"/>
        </w:rPr>
        <w:t>d’action</w:t>
      </w:r>
      <w:r w:rsidR="00733AFA" w:rsidRPr="00403C55">
        <w:rPr>
          <w:rFonts w:ascii="Times New Roman" w:hAnsi="Times New Roman" w:cs="Times New Roman"/>
          <w:lang w:val="fr-FR"/>
        </w:rPr>
        <w:t>.</w:t>
      </w:r>
      <w:r w:rsidR="00A044F2" w:rsidRPr="00403C55">
        <w:rPr>
          <w:rFonts w:ascii="Times New Roman" w:hAnsi="Times New Roman" w:cs="Times New Roman"/>
          <w:lang w:val="fr-FR"/>
        </w:rPr>
        <w:t xml:space="preserve"> </w:t>
      </w:r>
      <w:r w:rsidR="0073770F">
        <w:rPr>
          <w:rFonts w:ascii="Times New Roman" w:hAnsi="Times New Roman" w:cs="Times New Roman"/>
          <w:lang w:val="fr-FR"/>
        </w:rPr>
        <w:t>Ceci contrevient aux obligations énoncées au paragraphe 2.2.1 du Plan d’action de l’AEWA, ainsi qu’au titre d’autres AME, comme la Convention sur la diversité biologique. Il convient de souligner que, bien que la mise en œuvre des plans d’action par espèce nécessite u</w:t>
      </w:r>
      <w:r w:rsidR="00B34832">
        <w:rPr>
          <w:rFonts w:ascii="Times New Roman" w:hAnsi="Times New Roman" w:cs="Times New Roman"/>
          <w:lang w:val="fr-FR"/>
        </w:rPr>
        <w:t>n</w:t>
      </w:r>
      <w:r w:rsidR="0073770F">
        <w:rPr>
          <w:rFonts w:ascii="Times New Roman" w:hAnsi="Times New Roman" w:cs="Times New Roman"/>
          <w:lang w:val="fr-FR"/>
        </w:rPr>
        <w:t>e contribution de différentes parties prenantes, à la fois au nivea</w:t>
      </w:r>
      <w:r w:rsidR="00B34832">
        <w:rPr>
          <w:rFonts w:ascii="Times New Roman" w:hAnsi="Times New Roman" w:cs="Times New Roman"/>
          <w:lang w:val="fr-FR"/>
        </w:rPr>
        <w:t>u national et au niveau interna</w:t>
      </w:r>
      <w:r w:rsidR="0073770F">
        <w:rPr>
          <w:rFonts w:ascii="Times New Roman" w:hAnsi="Times New Roman" w:cs="Times New Roman"/>
          <w:lang w:val="fr-FR"/>
        </w:rPr>
        <w:t>t</w:t>
      </w:r>
      <w:r w:rsidR="00B34832">
        <w:rPr>
          <w:rFonts w:ascii="Times New Roman" w:hAnsi="Times New Roman" w:cs="Times New Roman"/>
          <w:lang w:val="fr-FR"/>
        </w:rPr>
        <w:t>i</w:t>
      </w:r>
      <w:r w:rsidR="0073770F">
        <w:rPr>
          <w:rFonts w:ascii="Times New Roman" w:hAnsi="Times New Roman" w:cs="Times New Roman"/>
          <w:lang w:val="fr-FR"/>
        </w:rPr>
        <w:t>onal, l</w:t>
      </w:r>
      <w:r w:rsidR="00733AFA" w:rsidRPr="00403C55">
        <w:rPr>
          <w:rFonts w:ascii="Times New Roman" w:hAnsi="Times New Roman" w:cs="Times New Roman"/>
          <w:lang w:val="fr-FR"/>
        </w:rPr>
        <w:t xml:space="preserve">a responsabilité première </w:t>
      </w:r>
      <w:r w:rsidR="00821296">
        <w:rPr>
          <w:rFonts w:ascii="Times New Roman" w:hAnsi="Times New Roman" w:cs="Times New Roman"/>
          <w:lang w:val="fr-FR"/>
        </w:rPr>
        <w:t>de</w:t>
      </w:r>
      <w:r w:rsidR="00733AFA" w:rsidRPr="00403C55">
        <w:rPr>
          <w:rFonts w:ascii="Times New Roman" w:hAnsi="Times New Roman" w:cs="Times New Roman"/>
          <w:lang w:val="fr-FR"/>
        </w:rPr>
        <w:t xml:space="preserve"> la mise en œuvre des plans </w:t>
      </w:r>
      <w:r w:rsidR="0003562F">
        <w:rPr>
          <w:rFonts w:ascii="Times New Roman" w:hAnsi="Times New Roman" w:cs="Times New Roman"/>
          <w:lang w:val="fr-FR"/>
        </w:rPr>
        <w:t>d’action</w:t>
      </w:r>
      <w:r w:rsidR="00733AFA" w:rsidRPr="00403C55">
        <w:rPr>
          <w:rFonts w:ascii="Times New Roman" w:hAnsi="Times New Roman" w:cs="Times New Roman"/>
          <w:lang w:val="fr-FR"/>
        </w:rPr>
        <w:t xml:space="preserve"> revient aux gouvernements des principaux </w:t>
      </w:r>
      <w:r w:rsidR="00FE6EE5">
        <w:rPr>
          <w:rFonts w:ascii="Times New Roman" w:hAnsi="Times New Roman" w:cs="Times New Roman"/>
          <w:lang w:val="fr-FR"/>
        </w:rPr>
        <w:t>États de l’aire de répartition</w:t>
      </w:r>
      <w:r w:rsidR="00733AFA" w:rsidRPr="00403C55">
        <w:rPr>
          <w:rFonts w:ascii="Times New Roman" w:hAnsi="Times New Roman" w:cs="Times New Roman"/>
          <w:lang w:val="fr-FR"/>
        </w:rPr>
        <w:t>.</w:t>
      </w:r>
      <w:r w:rsidR="004E096E" w:rsidRPr="00403C55">
        <w:rPr>
          <w:rFonts w:ascii="Times New Roman" w:hAnsi="Times New Roman" w:cs="Times New Roman"/>
          <w:lang w:val="fr-FR"/>
        </w:rPr>
        <w:t xml:space="preserve"> </w:t>
      </w:r>
    </w:p>
    <w:p w14:paraId="701C8CA8" w14:textId="77777777" w:rsidR="0073770F" w:rsidRDefault="0073770F" w:rsidP="00A044F2">
      <w:pPr>
        <w:spacing w:after="0" w:line="240" w:lineRule="auto"/>
        <w:jc w:val="both"/>
        <w:rPr>
          <w:rFonts w:ascii="Times New Roman" w:hAnsi="Times New Roman" w:cs="Times New Roman"/>
          <w:lang w:val="fr-FR"/>
        </w:rPr>
      </w:pPr>
    </w:p>
    <w:p w14:paraId="4E8564C9" w14:textId="777B8C78" w:rsidR="00A044F2" w:rsidRPr="00403C55" w:rsidRDefault="00733AFA" w:rsidP="00A044F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De nombreuses activités – notamment pour les espèces menacées au niveau mondial – devant être mises en œuvres dans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qui ne sont actuellement pas Parties à l’AEWA, </w:t>
      </w:r>
      <w:r w:rsidR="002825F5" w:rsidRPr="00403C55">
        <w:rPr>
          <w:rFonts w:ascii="Times New Roman" w:hAnsi="Times New Roman" w:cs="Times New Roman"/>
          <w:lang w:val="fr-FR"/>
        </w:rPr>
        <w:t xml:space="preserve">les parties prenantes concernées </w:t>
      </w:r>
      <w:r w:rsidR="0030586A" w:rsidRPr="00403C55">
        <w:rPr>
          <w:rFonts w:ascii="Times New Roman" w:hAnsi="Times New Roman" w:cs="Times New Roman"/>
          <w:lang w:val="fr-FR"/>
        </w:rPr>
        <w:t xml:space="preserve">doivent d’urgence </w:t>
      </w:r>
      <w:r w:rsidR="002825F5" w:rsidRPr="00403C55">
        <w:rPr>
          <w:rFonts w:ascii="Times New Roman" w:hAnsi="Times New Roman" w:cs="Times New Roman"/>
          <w:lang w:val="fr-FR"/>
        </w:rPr>
        <w:t>intensifie</w:t>
      </w:r>
      <w:r w:rsidR="0030586A" w:rsidRPr="00403C55">
        <w:rPr>
          <w:rFonts w:ascii="Times New Roman" w:hAnsi="Times New Roman" w:cs="Times New Roman"/>
          <w:lang w:val="fr-FR"/>
        </w:rPr>
        <w:t>r</w:t>
      </w:r>
      <w:r w:rsidR="002825F5" w:rsidRPr="00403C55">
        <w:rPr>
          <w:rFonts w:ascii="Times New Roman" w:hAnsi="Times New Roman" w:cs="Times New Roman"/>
          <w:lang w:val="fr-FR"/>
        </w:rPr>
        <w:t xml:space="preserve"> leurs efforts afin de promouvoir l</w:t>
      </w:r>
      <w:r w:rsidR="00870983">
        <w:rPr>
          <w:rFonts w:ascii="Times New Roman" w:hAnsi="Times New Roman" w:cs="Times New Roman"/>
          <w:lang w:val="fr-FR"/>
        </w:rPr>
        <w:t>’</w:t>
      </w:r>
      <w:r w:rsidR="002825F5" w:rsidRPr="00403C55">
        <w:rPr>
          <w:rFonts w:ascii="Times New Roman" w:hAnsi="Times New Roman" w:cs="Times New Roman"/>
          <w:lang w:val="fr-FR"/>
        </w:rPr>
        <w:t xml:space="preserve">adhésion </w:t>
      </w:r>
      <w:r w:rsidR="00870983">
        <w:rPr>
          <w:rFonts w:ascii="Times New Roman" w:hAnsi="Times New Roman" w:cs="Times New Roman"/>
          <w:lang w:val="fr-FR"/>
        </w:rPr>
        <w:t xml:space="preserve">de ces États </w:t>
      </w:r>
      <w:r w:rsidR="002825F5" w:rsidRPr="00403C55">
        <w:rPr>
          <w:rFonts w:ascii="Times New Roman" w:hAnsi="Times New Roman" w:cs="Times New Roman"/>
          <w:lang w:val="fr-FR"/>
        </w:rPr>
        <w:t>à l’Accord</w:t>
      </w:r>
      <w:r w:rsidRPr="00403C55">
        <w:rPr>
          <w:rFonts w:ascii="Times New Roman" w:hAnsi="Times New Roman" w:cs="Times New Roman"/>
          <w:lang w:val="fr-FR"/>
        </w:rPr>
        <w:t>.</w:t>
      </w:r>
      <w:r w:rsidR="0073770F">
        <w:rPr>
          <w:rFonts w:ascii="Times New Roman" w:hAnsi="Times New Roman" w:cs="Times New Roman"/>
          <w:lang w:val="fr-FR"/>
        </w:rPr>
        <w:t xml:space="preserve"> Les gouvernements bailleurs de fonds et leurs organismes de développement, ainsi que d’autres institutions de l’ONU, pourraient progressivement jouer un rôle important.</w:t>
      </w:r>
      <w:r w:rsidR="00A044F2" w:rsidRPr="00403C55">
        <w:rPr>
          <w:rFonts w:ascii="Times New Roman" w:hAnsi="Times New Roman" w:cs="Times New Roman"/>
          <w:lang w:val="fr-FR"/>
        </w:rPr>
        <w:t xml:space="preserve"> </w:t>
      </w:r>
    </w:p>
    <w:p w14:paraId="0D719815" w14:textId="05A60E75" w:rsidR="00A044F2" w:rsidRPr="00403C55" w:rsidRDefault="00A044F2" w:rsidP="00C64661">
      <w:pPr>
        <w:spacing w:after="0" w:line="240" w:lineRule="auto"/>
        <w:jc w:val="both"/>
        <w:rPr>
          <w:rFonts w:ascii="Times New Roman" w:hAnsi="Times New Roman" w:cs="Times New Roman"/>
          <w:lang w:val="fr-FR"/>
        </w:rPr>
      </w:pPr>
    </w:p>
    <w:p w14:paraId="15676A9D" w14:textId="3E84D992" w:rsidR="00A044F2" w:rsidRPr="00403C55" w:rsidRDefault="00856FAD" w:rsidP="00A044F2">
      <w:pPr>
        <w:spacing w:after="0" w:line="240" w:lineRule="auto"/>
        <w:jc w:val="both"/>
        <w:rPr>
          <w:rFonts w:ascii="Times New Roman" w:hAnsi="Times New Roman" w:cs="Times New Roman"/>
          <w:lang w:val="fr-FR"/>
        </w:rPr>
      </w:pPr>
      <w:r w:rsidRPr="00403C55">
        <w:rPr>
          <w:noProof/>
          <w:lang w:val="en-US"/>
        </w:rPr>
        <mc:AlternateContent>
          <mc:Choice Requires="wps">
            <w:drawing>
              <wp:anchor distT="91440" distB="91440" distL="114300" distR="114300" simplePos="0" relativeHeight="251668480" behindDoc="0" locked="0" layoutInCell="1" allowOverlap="1" wp14:anchorId="50699DED" wp14:editId="4916133B">
                <wp:simplePos x="0" y="0"/>
                <wp:positionH relativeFrom="margin">
                  <wp:posOffset>521970</wp:posOffset>
                </wp:positionH>
                <wp:positionV relativeFrom="paragraph">
                  <wp:posOffset>1121410</wp:posOffset>
                </wp:positionV>
                <wp:extent cx="471487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3EC16FEB" w14:textId="443099EE" w:rsidR="00DE4CF4" w:rsidRPr="00B97CEB" w:rsidRDefault="00DE4CF4" w:rsidP="00926E13">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Pr>
                                <w:rFonts w:ascii="Times New Roman" w:hAnsi="Times New Roman" w:cs="Times New Roman"/>
                                <w:i/>
                                <w:iCs/>
                                <w:color w:val="4F81BD" w:themeColor="accent1"/>
                                <w:lang w:val="fr-FR"/>
                              </w:rPr>
                              <w:t>Une</w:t>
                            </w:r>
                            <w:r w:rsidRPr="00B97CEB">
                              <w:rPr>
                                <w:rFonts w:ascii="Times New Roman" w:hAnsi="Times New Roman" w:cs="Times New Roman"/>
                                <w:i/>
                                <w:iCs/>
                                <w:color w:val="4F81BD" w:themeColor="accent1"/>
                                <w:lang w:val="fr-FR"/>
                              </w:rPr>
                              <w:t xml:space="preserve"> coordination</w:t>
                            </w:r>
                            <w:r>
                              <w:rPr>
                                <w:rFonts w:ascii="Times New Roman" w:hAnsi="Times New Roman" w:cs="Times New Roman"/>
                                <w:i/>
                                <w:iCs/>
                                <w:color w:val="4F81BD" w:themeColor="accent1"/>
                                <w:lang w:val="fr-FR"/>
                              </w:rPr>
                              <w:t xml:space="preserve"> internationale active de la mise en œuvre des plans d’action/de gestion est cruciale pour une mise en application réussie</w:t>
                            </w:r>
                            <w:r w:rsidRPr="00B97CEB">
                              <w:rPr>
                                <w:rFonts w:ascii="Times New Roman" w:hAnsi="Times New Roman" w:cs="Times New Roman"/>
                                <w:i/>
                                <w:iCs/>
                                <w:color w:val="4F81BD" w:themeColor="accent1"/>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99DED" id="_x0000_s1030" type="#_x0000_t202" style="position:absolute;left:0;text-align:left;margin-left:41.1pt;margin-top:88.3pt;width:371.25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ODwIAAPoDAAAOAAAAZHJzL2Uyb0RvYy54bWysU9uO2yAQfa/Uf0C8N7ZTp0msOKvtblNV&#10;2l6k3X4AwThGBYYCiZ1+fQfszUbtW1UeEDAzZ+acGTY3g1bkJJyXYGpazHJKhOHQSHOo6fen3ZsV&#10;JT4w0zAFRtT0LDy92b5+teltJebQgWqEIwhifNXbmnYh2CrLPO+EZn4GVhg0tuA0C3h1h6xxrEd0&#10;rbJ5nr/LenCNdcCF9/h6PxrpNuG3reDha9t6EYiqKdYW0u7Svo97tt2w6uCY7SSfymD/UIVm0mDS&#10;C9Q9C4wcnfwLSkvuwEMbZhx0Bm0ruUgckE2R/8HmsWNWJC4ojrcXmfz/g+VfTt8ckU1NS0oM09ii&#10;JzEE8h4GMo/q9NZX6PRo0S0M+IxdTky9fQD+wxMDdx0zB3HrHPSdYA1WV8TI7Cp0xPERZN9/hgbT&#10;sGOABDS0TkfpUAyC6Nil86UzsRSOj+WyKFfLBSUcbUWZv12vFikHq57DrfPhowBN4qGmDluf4Nnp&#10;wYdYDqueXWI2AzupVGq/MqSv6XoxX6SAK4uWAadTSV3TVR7XOC+R5QfTpODApBrPmECZiXZkOnIO&#10;w36Y9EX/KMkemjPq4GAcRvw8eOjA/aKkx0Gsqf95ZE5Qoj4Z1HJdlGWc3HQpF8s5Xty1ZX9tYYYj&#10;VE0DJePxLqRpj5S9vUXNdzKp8VLJVDIOWBJp+gxxgq/vyevly25/AwAA//8DAFBLAwQUAAYACAAA&#10;ACEAKXM/4d4AAAAKAQAADwAAAGRycy9kb3ducmV2LnhtbEyPwU7DMAyG70i8Q2QkbiwloKaUptOE&#10;tnEERsU5a0xb0SRVknXl7TEnONr+9Pv7q/ViRzZjiIN3Cm5XGTB0rTeD6xQ077ubAlhM2hk9eocK&#10;vjHCur68qHRp/Nm94XxIHaMQF0utoE9pKjmPbY9Wx5Wf0NHt0werE42h4yboM4XbkYssy7nVg6MP&#10;vZ7wqcf263CyCqY07eVzeHndbHdz1nzsGzF0W6Wur5bNI7CES/qD4Vef1KEmp6M/ORPZqKAQgkja&#10;yzwHRkAh7iWwo4K7BymB1xX/X6H+AQAA//8DAFBLAQItABQABgAIAAAAIQC2gziS/gAAAOEBAAAT&#10;AAAAAAAAAAAAAAAAAAAAAABbQ29udGVudF9UeXBlc10ueG1sUEsBAi0AFAAGAAgAAAAhADj9If/W&#10;AAAAlAEAAAsAAAAAAAAAAAAAAAAALwEAAF9yZWxzLy5yZWxzUEsBAi0AFAAGAAgAAAAhAD+Wt84P&#10;AgAA+gMAAA4AAAAAAAAAAAAAAAAALgIAAGRycy9lMm9Eb2MueG1sUEsBAi0AFAAGAAgAAAAhAClz&#10;P+HeAAAACgEAAA8AAAAAAAAAAAAAAAAAaQQAAGRycy9kb3ducmV2LnhtbFBLBQYAAAAABAAEAPMA&#10;AAB0BQAAAAA=&#10;" filled="f" stroked="f">
                <v:textbox style="mso-fit-shape-to-text:t">
                  <w:txbxContent>
                    <w:p w14:paraId="3EC16FEB" w14:textId="443099EE" w:rsidR="00DE4CF4" w:rsidRPr="00B97CEB" w:rsidRDefault="00DE4CF4" w:rsidP="00926E13">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fr-FR"/>
                        </w:rPr>
                      </w:pPr>
                      <w:r>
                        <w:rPr>
                          <w:rFonts w:ascii="Times New Roman" w:hAnsi="Times New Roman" w:cs="Times New Roman"/>
                          <w:i/>
                          <w:iCs/>
                          <w:color w:val="4F81BD" w:themeColor="accent1"/>
                          <w:lang w:val="fr-FR"/>
                        </w:rPr>
                        <w:t>Une</w:t>
                      </w:r>
                      <w:r w:rsidRPr="00B97CEB">
                        <w:rPr>
                          <w:rFonts w:ascii="Times New Roman" w:hAnsi="Times New Roman" w:cs="Times New Roman"/>
                          <w:i/>
                          <w:iCs/>
                          <w:color w:val="4F81BD" w:themeColor="accent1"/>
                          <w:lang w:val="fr-FR"/>
                        </w:rPr>
                        <w:t xml:space="preserve"> coordination</w:t>
                      </w:r>
                      <w:r>
                        <w:rPr>
                          <w:rFonts w:ascii="Times New Roman" w:hAnsi="Times New Roman" w:cs="Times New Roman"/>
                          <w:i/>
                          <w:iCs/>
                          <w:color w:val="4F81BD" w:themeColor="accent1"/>
                          <w:lang w:val="fr-FR"/>
                        </w:rPr>
                        <w:t xml:space="preserve"> internationale active de la mise en œuvre des plans d’action/de gestion est cruciale pour une mise en application réussie</w:t>
                      </w:r>
                      <w:r w:rsidRPr="00B97CEB">
                        <w:rPr>
                          <w:rFonts w:ascii="Times New Roman" w:hAnsi="Times New Roman" w:cs="Times New Roman"/>
                          <w:i/>
                          <w:iCs/>
                          <w:color w:val="4F81BD" w:themeColor="accent1"/>
                          <w:lang w:val="fr-FR"/>
                        </w:rPr>
                        <w:t>.</w:t>
                      </w:r>
                    </w:p>
                  </w:txbxContent>
                </v:textbox>
                <w10:wrap type="topAndBottom" anchorx="margin"/>
              </v:shape>
            </w:pict>
          </mc:Fallback>
        </mc:AlternateContent>
      </w:r>
      <w:r w:rsidR="002825F5" w:rsidRPr="00403C55">
        <w:rPr>
          <w:rFonts w:ascii="Times New Roman" w:hAnsi="Times New Roman" w:cs="Times New Roman"/>
          <w:lang w:val="fr-FR"/>
        </w:rPr>
        <w:t>Un autre facteur clé pour une mise en œuvre fructueuse est une coordination active au plan international.</w:t>
      </w:r>
      <w:r w:rsidR="00A044F2" w:rsidRPr="00403C55">
        <w:rPr>
          <w:rFonts w:ascii="Times New Roman" w:hAnsi="Times New Roman" w:cs="Times New Roman"/>
          <w:lang w:val="fr-FR"/>
        </w:rPr>
        <w:t xml:space="preserve"> </w:t>
      </w:r>
      <w:r w:rsidR="002825F5" w:rsidRPr="00403C55">
        <w:rPr>
          <w:rFonts w:ascii="Times New Roman" w:hAnsi="Times New Roman" w:cs="Times New Roman"/>
          <w:lang w:val="fr-FR"/>
        </w:rPr>
        <w:t xml:space="preserve">Des efforts ont été déployés pour établir autant de groupes de travail et d’experts internationaux par espèce que possible, avec des coordinateurs assurant la facilitation </w:t>
      </w:r>
      <w:r w:rsidR="00821296">
        <w:rPr>
          <w:rFonts w:ascii="Times New Roman" w:hAnsi="Times New Roman" w:cs="Times New Roman"/>
          <w:lang w:val="fr-FR"/>
        </w:rPr>
        <w:t>des</w:t>
      </w:r>
      <w:r w:rsidR="002825F5" w:rsidRPr="00403C55">
        <w:rPr>
          <w:rFonts w:ascii="Times New Roman" w:hAnsi="Times New Roman" w:cs="Times New Roman"/>
          <w:lang w:val="fr-FR"/>
        </w:rPr>
        <w:t xml:space="preserve"> plans </w:t>
      </w:r>
      <w:r w:rsidR="0003562F">
        <w:rPr>
          <w:rFonts w:ascii="Times New Roman" w:hAnsi="Times New Roman" w:cs="Times New Roman"/>
          <w:lang w:val="fr-FR"/>
        </w:rPr>
        <w:t>d’action</w:t>
      </w:r>
      <w:r w:rsidR="002825F5" w:rsidRPr="00403C55">
        <w:rPr>
          <w:rFonts w:ascii="Times New Roman" w:hAnsi="Times New Roman" w:cs="Times New Roman"/>
          <w:lang w:val="fr-FR"/>
        </w:rPr>
        <w:t xml:space="preserve"> et de gestion adoptés.</w:t>
      </w:r>
      <w:r w:rsidR="00111130" w:rsidRPr="00403C55">
        <w:rPr>
          <w:rFonts w:ascii="Times New Roman" w:hAnsi="Times New Roman" w:cs="Times New Roman"/>
          <w:lang w:val="fr-FR"/>
        </w:rPr>
        <w:t xml:space="preserve"> </w:t>
      </w:r>
      <w:r w:rsidR="002825F5" w:rsidRPr="00403C55">
        <w:rPr>
          <w:rFonts w:ascii="Times New Roman" w:hAnsi="Times New Roman" w:cs="Times New Roman"/>
          <w:lang w:val="fr-FR"/>
        </w:rPr>
        <w:t>Toutefois, les groupes de travail et d’experts sur les espèces, ainsi que leurs c</w:t>
      </w:r>
      <w:r w:rsidR="0073770F">
        <w:rPr>
          <w:rFonts w:ascii="Times New Roman" w:hAnsi="Times New Roman" w:cs="Times New Roman"/>
          <w:lang w:val="fr-FR"/>
        </w:rPr>
        <w:t xml:space="preserve">oordinateurs, doivent </w:t>
      </w:r>
      <w:r w:rsidR="00870983">
        <w:rPr>
          <w:rFonts w:ascii="Times New Roman" w:hAnsi="Times New Roman" w:cs="Times New Roman"/>
          <w:lang w:val="fr-FR"/>
        </w:rPr>
        <w:t>intensifier</w:t>
      </w:r>
      <w:r w:rsidR="002825F5" w:rsidRPr="00403C55">
        <w:rPr>
          <w:rFonts w:ascii="Times New Roman" w:hAnsi="Times New Roman" w:cs="Times New Roman"/>
          <w:lang w:val="fr-FR"/>
        </w:rPr>
        <w:t xml:space="preserve"> leurs travaux – si nécessaire avec le soutien et sous le mentorat du Secrétariat et du Comité technique </w:t>
      </w:r>
      <w:r w:rsidR="0003562F">
        <w:rPr>
          <w:rFonts w:ascii="Times New Roman" w:hAnsi="Times New Roman" w:cs="Times New Roman"/>
          <w:lang w:val="fr-FR"/>
        </w:rPr>
        <w:t>de l’AEWA</w:t>
      </w:r>
      <w:r w:rsidR="002825F5" w:rsidRPr="00403C55">
        <w:rPr>
          <w:rFonts w:ascii="Times New Roman" w:hAnsi="Times New Roman" w:cs="Times New Roman"/>
          <w:lang w:val="fr-FR"/>
        </w:rPr>
        <w:t>.</w:t>
      </w:r>
    </w:p>
    <w:p w14:paraId="0768BA1E" w14:textId="5F83A92A" w:rsidR="00A044F2" w:rsidRPr="00403C55" w:rsidRDefault="00A044F2" w:rsidP="00A044F2">
      <w:pPr>
        <w:spacing w:after="0" w:line="240" w:lineRule="auto"/>
        <w:jc w:val="both"/>
        <w:rPr>
          <w:rFonts w:ascii="Times New Roman" w:hAnsi="Times New Roman" w:cs="Times New Roman"/>
          <w:b/>
          <w:lang w:val="fr-FR"/>
        </w:rPr>
      </w:pPr>
    </w:p>
    <w:p w14:paraId="18879066" w14:textId="71640DE2" w:rsidR="00A044F2" w:rsidRPr="00403C55" w:rsidRDefault="002825F5" w:rsidP="00C6466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De gros progrès restent également à faire au niveau du processus de planification de l'action et de la gestion </w:t>
      </w:r>
      <w:r w:rsidR="0003562F">
        <w:rPr>
          <w:rFonts w:ascii="Times New Roman" w:hAnsi="Times New Roman" w:cs="Times New Roman"/>
          <w:lang w:val="fr-FR"/>
        </w:rPr>
        <w:t>de l’AEWA</w:t>
      </w:r>
      <w:r w:rsidRPr="00403C55">
        <w:rPr>
          <w:rFonts w:ascii="Times New Roman" w:hAnsi="Times New Roman" w:cs="Times New Roman"/>
          <w:lang w:val="fr-FR"/>
        </w:rPr>
        <w:t xml:space="preserve"> en lui-même, ce qui, nous l’espérons, conduira à son tour à une meilleure mise en œuvre.</w:t>
      </w:r>
      <w:r w:rsidR="00A044F2" w:rsidRPr="00403C55">
        <w:rPr>
          <w:rFonts w:ascii="Times New Roman" w:hAnsi="Times New Roman" w:cs="Times New Roman"/>
          <w:lang w:val="fr-FR"/>
        </w:rPr>
        <w:t xml:space="preserve"> </w:t>
      </w:r>
      <w:r w:rsidRPr="00403C55">
        <w:rPr>
          <w:rFonts w:ascii="Times New Roman" w:hAnsi="Times New Roman" w:cs="Times New Roman"/>
          <w:lang w:val="fr-FR"/>
        </w:rPr>
        <w:t xml:space="preserve">Il est par exemple </w:t>
      </w:r>
      <w:r w:rsidR="0030586A" w:rsidRPr="00403C55">
        <w:rPr>
          <w:rFonts w:ascii="Times New Roman" w:hAnsi="Times New Roman" w:cs="Times New Roman"/>
          <w:lang w:val="fr-FR"/>
        </w:rPr>
        <w:t>clairement</w:t>
      </w:r>
      <w:r w:rsidRPr="00403C55">
        <w:rPr>
          <w:rFonts w:ascii="Times New Roman" w:hAnsi="Times New Roman" w:cs="Times New Roman"/>
          <w:lang w:val="fr-FR"/>
        </w:rPr>
        <w:t xml:space="preserve"> nécessaire de réviser le format actuel de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afin que les </w:t>
      </w:r>
      <w:r w:rsidR="0073770F">
        <w:rPr>
          <w:rFonts w:ascii="Times New Roman" w:hAnsi="Times New Roman" w:cs="Times New Roman"/>
          <w:lang w:val="fr-FR"/>
        </w:rPr>
        <w:t xml:space="preserve">futurs </w:t>
      </w:r>
      <w:r w:rsidRPr="00403C55">
        <w:rPr>
          <w:rFonts w:ascii="Times New Roman" w:hAnsi="Times New Roman" w:cs="Times New Roman"/>
          <w:lang w:val="fr-FR"/>
        </w:rPr>
        <w:t xml:space="preserve">plans </w:t>
      </w:r>
      <w:r w:rsidR="0003562F">
        <w:rPr>
          <w:rFonts w:ascii="Times New Roman" w:hAnsi="Times New Roman" w:cs="Times New Roman"/>
          <w:lang w:val="fr-FR"/>
        </w:rPr>
        <w:t>d’action</w:t>
      </w:r>
      <w:r w:rsidR="0073770F">
        <w:rPr>
          <w:rFonts w:ascii="Times New Roman" w:hAnsi="Times New Roman" w:cs="Times New Roman"/>
          <w:lang w:val="fr-FR"/>
        </w:rPr>
        <w:t xml:space="preserve"> soient simplifiés</w:t>
      </w:r>
      <w:r w:rsidRPr="00403C55">
        <w:rPr>
          <w:rFonts w:ascii="Times New Roman" w:hAnsi="Times New Roman" w:cs="Times New Roman"/>
          <w:lang w:val="fr-FR"/>
        </w:rPr>
        <w:t xml:space="preserve"> et</w:t>
      </w:r>
      <w:r w:rsidR="0073770F">
        <w:rPr>
          <w:rFonts w:ascii="Times New Roman" w:hAnsi="Times New Roman" w:cs="Times New Roman"/>
          <w:lang w:val="fr-FR"/>
        </w:rPr>
        <w:t xml:space="preserve"> qu’ils puissent s’</w:t>
      </w:r>
      <w:r w:rsidR="00B34832">
        <w:rPr>
          <w:rFonts w:ascii="Times New Roman" w:hAnsi="Times New Roman" w:cs="Times New Roman"/>
          <w:lang w:val="fr-FR"/>
        </w:rPr>
        <w:t>accommoder</w:t>
      </w:r>
      <w:r w:rsidR="0073770F">
        <w:rPr>
          <w:rFonts w:ascii="Times New Roman" w:hAnsi="Times New Roman" w:cs="Times New Roman"/>
          <w:lang w:val="fr-FR"/>
        </w:rPr>
        <w:t xml:space="preserve"> de plans d’action de gestion multi-espèces, et pour qu’ils soient plus faciles à mettre en œuvre, plus accessibles et plus concret</w:t>
      </w:r>
      <w:r w:rsidRPr="00403C55">
        <w:rPr>
          <w:rFonts w:ascii="Times New Roman" w:hAnsi="Times New Roman" w:cs="Times New Roman"/>
          <w:lang w:val="fr-FR"/>
        </w:rPr>
        <w:t>s pour les décideurs</w:t>
      </w:r>
      <w:r w:rsidR="0073770F">
        <w:rPr>
          <w:rFonts w:ascii="Times New Roman" w:hAnsi="Times New Roman" w:cs="Times New Roman"/>
          <w:lang w:val="fr-FR"/>
        </w:rPr>
        <w:t xml:space="preserve"> et les organismes d’exécution</w:t>
      </w:r>
      <w:r w:rsidRPr="00403C55">
        <w:rPr>
          <w:rFonts w:ascii="Times New Roman" w:hAnsi="Times New Roman" w:cs="Times New Roman"/>
          <w:lang w:val="fr-FR"/>
        </w:rPr>
        <w:t>.</w:t>
      </w:r>
      <w:r w:rsidR="00A044F2" w:rsidRPr="00403C55">
        <w:rPr>
          <w:rFonts w:ascii="Times New Roman" w:hAnsi="Times New Roman" w:cs="Times New Roman"/>
          <w:lang w:val="fr-FR"/>
        </w:rPr>
        <w:t xml:space="preserve"> </w:t>
      </w:r>
      <w:r w:rsidR="0073770F">
        <w:rPr>
          <w:rFonts w:ascii="Times New Roman" w:hAnsi="Times New Roman" w:cs="Times New Roman"/>
          <w:lang w:val="fr-FR"/>
        </w:rPr>
        <w:t xml:space="preserve">Les activités menées au titre des </w:t>
      </w:r>
      <w:r w:rsidR="001474A8" w:rsidRPr="00403C55">
        <w:rPr>
          <w:rFonts w:ascii="Times New Roman" w:hAnsi="Times New Roman" w:cs="Times New Roman"/>
          <w:lang w:val="fr-FR"/>
        </w:rPr>
        <w:t xml:space="preserve">plans </w:t>
      </w:r>
      <w:r w:rsidR="0003562F">
        <w:rPr>
          <w:rFonts w:ascii="Times New Roman" w:hAnsi="Times New Roman" w:cs="Times New Roman"/>
          <w:lang w:val="fr-FR"/>
        </w:rPr>
        <w:t>d’action</w:t>
      </w:r>
      <w:r w:rsidR="001474A8" w:rsidRPr="00403C55">
        <w:rPr>
          <w:rFonts w:ascii="Times New Roman" w:hAnsi="Times New Roman" w:cs="Times New Roman"/>
          <w:lang w:val="fr-FR"/>
        </w:rPr>
        <w:t xml:space="preserve"> doivent être </w:t>
      </w:r>
      <w:r w:rsidR="0073770F">
        <w:rPr>
          <w:rFonts w:ascii="Times New Roman" w:hAnsi="Times New Roman" w:cs="Times New Roman"/>
          <w:lang w:val="fr-FR"/>
        </w:rPr>
        <w:t xml:space="preserve">plus </w:t>
      </w:r>
      <w:r w:rsidR="001474A8" w:rsidRPr="00403C55">
        <w:rPr>
          <w:rFonts w:ascii="Times New Roman" w:hAnsi="Times New Roman" w:cs="Times New Roman"/>
          <w:lang w:val="fr-FR"/>
        </w:rPr>
        <w:t xml:space="preserve">ciblées et </w:t>
      </w:r>
      <w:r w:rsidR="0073770F">
        <w:rPr>
          <w:rFonts w:ascii="Times New Roman" w:hAnsi="Times New Roman" w:cs="Times New Roman"/>
          <w:lang w:val="fr-FR"/>
        </w:rPr>
        <w:t xml:space="preserve">doivent </w:t>
      </w:r>
      <w:r w:rsidR="001474A8" w:rsidRPr="00403C55">
        <w:rPr>
          <w:rFonts w:ascii="Times New Roman" w:hAnsi="Times New Roman" w:cs="Times New Roman"/>
          <w:lang w:val="fr-FR"/>
        </w:rPr>
        <w:t>mieux correspondre aux objectifs et buts fixés</w:t>
      </w:r>
      <w:r w:rsidRPr="00403C55">
        <w:rPr>
          <w:rFonts w:ascii="Times New Roman" w:hAnsi="Times New Roman" w:cs="Times New Roman"/>
          <w:lang w:val="fr-FR"/>
        </w:rPr>
        <w:t>.</w:t>
      </w:r>
    </w:p>
    <w:p w14:paraId="540EE6E2" w14:textId="77777777" w:rsidR="00926E13" w:rsidRPr="00403C55" w:rsidRDefault="00926E13" w:rsidP="004A55DB">
      <w:pPr>
        <w:spacing w:after="0" w:line="240" w:lineRule="auto"/>
        <w:jc w:val="both"/>
        <w:rPr>
          <w:rFonts w:ascii="Times New Roman" w:hAnsi="Times New Roman" w:cs="Times New Roman"/>
          <w:lang w:val="fr-FR"/>
        </w:rPr>
      </w:pPr>
    </w:p>
    <w:p w14:paraId="5A1D51EB" w14:textId="6FB4D065" w:rsidR="0082520A" w:rsidRDefault="001474A8" w:rsidP="004A55DB">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principales recommandations faisant suite aux résultats et conclusions découlant de la vue d’ensemble et de l’étude </w:t>
      </w:r>
      <w:r w:rsidR="00821296">
        <w:rPr>
          <w:rFonts w:ascii="Times New Roman" w:hAnsi="Times New Roman" w:cs="Times New Roman"/>
          <w:lang w:val="fr-FR"/>
        </w:rPr>
        <w:t>consécutive</w:t>
      </w:r>
      <w:r w:rsidRPr="00403C55">
        <w:rPr>
          <w:rFonts w:ascii="Times New Roman" w:hAnsi="Times New Roman" w:cs="Times New Roman"/>
          <w:lang w:val="fr-FR"/>
        </w:rPr>
        <w:t xml:space="preserve"> sont présentées ci-dessous.</w:t>
      </w:r>
    </w:p>
    <w:p w14:paraId="56BCFE53" w14:textId="77777777" w:rsidR="00686C3F" w:rsidRPr="00403C55" w:rsidRDefault="00686C3F" w:rsidP="004A55DB">
      <w:pPr>
        <w:spacing w:after="0" w:line="240" w:lineRule="auto"/>
        <w:jc w:val="both"/>
        <w:rPr>
          <w:rFonts w:ascii="Times New Roman" w:hAnsi="Times New Roman" w:cs="Times New Roman"/>
          <w:lang w:val="fr-FR"/>
        </w:rPr>
      </w:pPr>
    </w:p>
    <w:p w14:paraId="31DC9870" w14:textId="1872D6C6" w:rsidR="00BE5D13" w:rsidRPr="00403C55" w:rsidRDefault="001474A8" w:rsidP="00706E9A">
      <w:pPr>
        <w:shd w:val="clear" w:color="auto" w:fill="DBE5F1" w:themeFill="accent1" w:themeFillTint="33"/>
        <w:spacing w:after="0" w:line="240" w:lineRule="auto"/>
        <w:jc w:val="both"/>
        <w:rPr>
          <w:rFonts w:ascii="Times New Roman" w:hAnsi="Times New Roman" w:cs="Times New Roman"/>
          <w:sz w:val="24"/>
          <w:szCs w:val="24"/>
          <w:lang w:val="fr-FR"/>
        </w:rPr>
      </w:pPr>
      <w:r w:rsidRPr="00403C55">
        <w:rPr>
          <w:rFonts w:ascii="Times New Roman" w:hAnsi="Times New Roman" w:cs="Times New Roman"/>
          <w:sz w:val="24"/>
          <w:szCs w:val="24"/>
          <w:lang w:val="fr-FR"/>
        </w:rPr>
        <w:lastRenderedPageBreak/>
        <w:t>RECOMMANDATIONS</w:t>
      </w:r>
    </w:p>
    <w:p w14:paraId="2ED50985" w14:textId="77777777" w:rsidR="00253514" w:rsidRPr="00403C55" w:rsidRDefault="00253514" w:rsidP="004A55DB">
      <w:pPr>
        <w:spacing w:after="0" w:line="240" w:lineRule="auto"/>
        <w:jc w:val="both"/>
        <w:rPr>
          <w:rFonts w:ascii="Times New Roman" w:hAnsi="Times New Roman" w:cs="Times New Roman"/>
          <w:sz w:val="24"/>
          <w:szCs w:val="24"/>
          <w:lang w:val="fr-FR"/>
        </w:rPr>
      </w:pPr>
    </w:p>
    <w:p w14:paraId="59AC57D0" w14:textId="6974FCEC" w:rsidR="001B7E97" w:rsidRPr="00403C55" w:rsidRDefault="001474A8" w:rsidP="001B7E97">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Premières priorités :</w:t>
      </w:r>
    </w:p>
    <w:p w14:paraId="43B1B9E1" w14:textId="77777777" w:rsidR="001B7E97" w:rsidRPr="00403C55" w:rsidRDefault="001B7E97" w:rsidP="004A55DB">
      <w:pPr>
        <w:spacing w:after="0" w:line="240" w:lineRule="auto"/>
        <w:jc w:val="both"/>
        <w:rPr>
          <w:rFonts w:ascii="Times New Roman" w:hAnsi="Times New Roman" w:cs="Times New Roman"/>
          <w:sz w:val="24"/>
          <w:szCs w:val="24"/>
          <w:lang w:val="fr-FR"/>
        </w:rPr>
      </w:pPr>
    </w:p>
    <w:p w14:paraId="0B9D14FA" w14:textId="0B49B74A" w:rsidR="00D21E66" w:rsidRPr="00403C55" w:rsidRDefault="00870983" w:rsidP="003356B2">
      <w:pPr>
        <w:pStyle w:val="ListParagraph"/>
        <w:numPr>
          <w:ilvl w:val="0"/>
          <w:numId w:val="8"/>
        </w:numPr>
        <w:spacing w:after="0" w:line="240" w:lineRule="auto"/>
        <w:jc w:val="both"/>
        <w:rPr>
          <w:rFonts w:ascii="Times New Roman" w:hAnsi="Times New Roman" w:cs="Times New Roman"/>
          <w:lang w:val="fr-FR"/>
        </w:rPr>
      </w:pPr>
      <w:r>
        <w:rPr>
          <w:rFonts w:ascii="Times New Roman" w:hAnsi="Times New Roman" w:cs="Times New Roman"/>
          <w:b/>
          <w:lang w:val="fr-FR"/>
        </w:rPr>
        <w:t>Intensifier</w:t>
      </w:r>
      <w:r w:rsidR="001474A8" w:rsidRPr="00403C55">
        <w:rPr>
          <w:rFonts w:ascii="Times New Roman" w:hAnsi="Times New Roman" w:cs="Times New Roman"/>
          <w:lang w:val="fr-FR"/>
        </w:rPr>
        <w:t xml:space="preserve"> d’urgence </w:t>
      </w:r>
      <w:r w:rsidR="001474A8" w:rsidRPr="00403C55">
        <w:rPr>
          <w:rFonts w:ascii="Times New Roman" w:hAnsi="Times New Roman" w:cs="Times New Roman"/>
          <w:b/>
          <w:lang w:val="fr-FR"/>
        </w:rPr>
        <w:t xml:space="preserve">la mise en œuvre des plans </w:t>
      </w:r>
      <w:r w:rsidR="0003562F">
        <w:rPr>
          <w:rFonts w:ascii="Times New Roman" w:hAnsi="Times New Roman" w:cs="Times New Roman"/>
          <w:b/>
          <w:lang w:val="fr-FR"/>
        </w:rPr>
        <w:t>d’action</w:t>
      </w:r>
      <w:r w:rsidR="001474A8" w:rsidRPr="00403C55">
        <w:rPr>
          <w:rFonts w:ascii="Times New Roman" w:hAnsi="Times New Roman" w:cs="Times New Roman"/>
          <w:b/>
          <w:lang w:val="fr-FR"/>
        </w:rPr>
        <w:t xml:space="preserve"> existants</w:t>
      </w:r>
      <w:r w:rsidR="001474A8" w:rsidRPr="00403C55">
        <w:rPr>
          <w:rFonts w:ascii="Times New Roman" w:hAnsi="Times New Roman" w:cs="Times New Roman"/>
          <w:lang w:val="fr-FR"/>
        </w:rPr>
        <w:t xml:space="preserve"> – en mettant l’accent sur le besoin d’une </w:t>
      </w:r>
      <w:r w:rsidR="001474A8" w:rsidRPr="00403C55">
        <w:rPr>
          <w:rFonts w:ascii="Times New Roman" w:hAnsi="Times New Roman" w:cs="Times New Roman"/>
          <w:b/>
          <w:lang w:val="fr-FR"/>
        </w:rPr>
        <w:t>participation et d’un engagement beaucoup plus forts des gouvernements</w:t>
      </w:r>
      <w:r w:rsidR="001474A8" w:rsidRPr="00403C55">
        <w:rPr>
          <w:rFonts w:ascii="Times New Roman" w:hAnsi="Times New Roman" w:cs="Times New Roman"/>
          <w:lang w:val="fr-FR"/>
        </w:rPr>
        <w:t xml:space="preserve">, y compris l’établissement </w:t>
      </w:r>
      <w:r w:rsidR="001474A8" w:rsidRPr="00403C55">
        <w:rPr>
          <w:rFonts w:ascii="Times New Roman" w:hAnsi="Times New Roman" w:cs="Times New Roman"/>
          <w:b/>
          <w:lang w:val="fr-FR"/>
        </w:rPr>
        <w:t>de groupes de travail nationaux</w:t>
      </w:r>
      <w:r w:rsidR="001474A8" w:rsidRPr="00403C55">
        <w:rPr>
          <w:rFonts w:ascii="Times New Roman" w:hAnsi="Times New Roman" w:cs="Times New Roman"/>
          <w:lang w:val="fr-FR"/>
        </w:rPr>
        <w:t xml:space="preserve"> et l’adoption de </w:t>
      </w:r>
      <w:r w:rsidR="001474A8"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001474A8" w:rsidRPr="00403C55">
        <w:rPr>
          <w:rFonts w:ascii="Times New Roman" w:hAnsi="Times New Roman" w:cs="Times New Roman"/>
          <w:b/>
          <w:lang w:val="fr-FR"/>
        </w:rPr>
        <w:t xml:space="preserve"> nationaux </w:t>
      </w:r>
      <w:r w:rsidR="001474A8" w:rsidRPr="00403C55">
        <w:rPr>
          <w:rFonts w:ascii="Times New Roman" w:hAnsi="Times New Roman" w:cs="Times New Roman"/>
          <w:lang w:val="fr-FR"/>
        </w:rPr>
        <w:t xml:space="preserve">dans les principaux </w:t>
      </w:r>
      <w:r w:rsidR="00FE6EE5">
        <w:rPr>
          <w:rFonts w:ascii="Times New Roman" w:hAnsi="Times New Roman" w:cs="Times New Roman"/>
          <w:lang w:val="fr-FR"/>
        </w:rPr>
        <w:t>États de l’aire de répartition</w:t>
      </w:r>
      <w:r w:rsidR="001474A8" w:rsidRPr="00403C55">
        <w:rPr>
          <w:rFonts w:ascii="Times New Roman" w:hAnsi="Times New Roman" w:cs="Times New Roman"/>
          <w:lang w:val="fr-FR"/>
        </w:rPr>
        <w:t xml:space="preserve"> ;</w:t>
      </w:r>
    </w:p>
    <w:p w14:paraId="5DCF02D4" w14:textId="77777777" w:rsidR="007B5AD0" w:rsidRPr="00403C55" w:rsidRDefault="007B5AD0" w:rsidP="007B5AD0">
      <w:pPr>
        <w:pStyle w:val="ListParagraph"/>
        <w:spacing w:after="0" w:line="240" w:lineRule="auto"/>
        <w:ind w:left="780"/>
        <w:jc w:val="both"/>
        <w:rPr>
          <w:rFonts w:ascii="Times New Roman" w:hAnsi="Times New Roman" w:cs="Times New Roman"/>
          <w:lang w:val="fr-FR"/>
        </w:rPr>
      </w:pPr>
    </w:p>
    <w:p w14:paraId="2E908493" w14:textId="7393877E" w:rsidR="007B5AD0" w:rsidRPr="00403C55" w:rsidRDefault="001474A8" w:rsidP="003356B2">
      <w:pPr>
        <w:pStyle w:val="ListParagraph"/>
        <w:numPr>
          <w:ilvl w:val="0"/>
          <w:numId w:val="8"/>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Rechercher d’urgence davantage de financement, de capacité humaine et de savoir-faire technique</w:t>
      </w:r>
      <w:r w:rsidRPr="00403C55">
        <w:rPr>
          <w:rFonts w:ascii="Times New Roman" w:hAnsi="Times New Roman" w:cs="Times New Roman"/>
          <w:lang w:val="fr-FR"/>
        </w:rPr>
        <w:t xml:space="preserve"> pour la mise en œuvre d’activités liées aux plans </w:t>
      </w:r>
      <w:r w:rsidR="0003562F">
        <w:rPr>
          <w:rFonts w:ascii="Times New Roman" w:hAnsi="Times New Roman" w:cs="Times New Roman"/>
          <w:lang w:val="fr-FR"/>
        </w:rPr>
        <w:t>d’action</w:t>
      </w:r>
      <w:r w:rsidRPr="00403C55">
        <w:rPr>
          <w:rFonts w:ascii="Times New Roman" w:hAnsi="Times New Roman" w:cs="Times New Roman"/>
          <w:lang w:val="fr-FR"/>
        </w:rPr>
        <w:t xml:space="preserve"> critiques et hautement prioritaires, en mettant l’accent sur les espèces menacées au niveau mondial ;</w:t>
      </w:r>
    </w:p>
    <w:p w14:paraId="157A36A1" w14:textId="77777777" w:rsidR="007A5C04" w:rsidRPr="00403C55" w:rsidRDefault="007A5C04" w:rsidP="007A5C04">
      <w:pPr>
        <w:pStyle w:val="ListParagraph"/>
        <w:rPr>
          <w:rFonts w:ascii="Times New Roman" w:hAnsi="Times New Roman" w:cs="Times New Roman"/>
          <w:lang w:val="fr-FR"/>
        </w:rPr>
      </w:pPr>
    </w:p>
    <w:p w14:paraId="4C062F94" w14:textId="4AF1870B" w:rsidR="00A4293F" w:rsidRPr="00403C55" w:rsidRDefault="001474A8" w:rsidP="003356B2">
      <w:pPr>
        <w:pStyle w:val="ListParagraph"/>
        <w:numPr>
          <w:ilvl w:val="0"/>
          <w:numId w:val="8"/>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 xml:space="preserve">Intensifier d’urgence le travail des groupes de travail et d'experts internationaux par espèce </w:t>
      </w:r>
      <w:r w:rsidR="0003562F">
        <w:rPr>
          <w:rFonts w:ascii="Times New Roman" w:hAnsi="Times New Roman" w:cs="Times New Roman"/>
          <w:b/>
          <w:lang w:val="fr-FR"/>
        </w:rPr>
        <w:t>de l’AEWA</w:t>
      </w:r>
      <w:r w:rsidRPr="00403C55">
        <w:rPr>
          <w:rFonts w:ascii="Times New Roman" w:hAnsi="Times New Roman" w:cs="Times New Roman"/>
          <w:b/>
          <w:lang w:val="fr-FR"/>
        </w:rPr>
        <w:t xml:space="preserve"> existants et leur coordination</w:t>
      </w:r>
      <w:r w:rsidRPr="00403C55">
        <w:rPr>
          <w:rFonts w:ascii="Times New Roman" w:hAnsi="Times New Roman" w:cs="Times New Roman"/>
          <w:lang w:val="fr-FR"/>
        </w:rPr>
        <w:t>, par exemple :</w:t>
      </w:r>
      <w:r w:rsidR="007A6C8D" w:rsidRPr="00403C55">
        <w:rPr>
          <w:rFonts w:ascii="Times New Roman" w:hAnsi="Times New Roman" w:cs="Times New Roman"/>
          <w:lang w:val="fr-FR"/>
        </w:rPr>
        <w:t xml:space="preserve"> </w:t>
      </w:r>
    </w:p>
    <w:p w14:paraId="2250A3D0" w14:textId="77777777" w:rsidR="00E558C0" w:rsidRPr="00403C55" w:rsidRDefault="00E558C0" w:rsidP="00E558C0">
      <w:pPr>
        <w:spacing w:after="0" w:line="240" w:lineRule="auto"/>
        <w:jc w:val="both"/>
        <w:rPr>
          <w:rFonts w:ascii="Times New Roman" w:hAnsi="Times New Roman" w:cs="Times New Roman"/>
          <w:lang w:val="fr-FR"/>
        </w:rPr>
      </w:pPr>
    </w:p>
    <w:p w14:paraId="57449A0F" w14:textId="651F4810" w:rsidR="002A37C6" w:rsidRPr="00403C55" w:rsidRDefault="003956F8"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au moyen </w:t>
      </w:r>
      <w:r w:rsidRPr="00403C55">
        <w:rPr>
          <w:rFonts w:ascii="Times New Roman" w:hAnsi="Times New Roman" w:cs="Times New Roman"/>
          <w:b/>
          <w:lang w:val="fr-FR"/>
        </w:rPr>
        <w:t>d</w:t>
      </w:r>
      <w:r w:rsidR="00821296">
        <w:rPr>
          <w:rFonts w:ascii="Times New Roman" w:hAnsi="Times New Roman" w:cs="Times New Roman"/>
          <w:b/>
          <w:lang w:val="fr-FR"/>
        </w:rPr>
        <w:t>’une</w:t>
      </w:r>
      <w:r w:rsidR="001474A8" w:rsidRPr="00403C55">
        <w:rPr>
          <w:rFonts w:ascii="Times New Roman" w:hAnsi="Times New Roman" w:cs="Times New Roman"/>
          <w:b/>
          <w:lang w:val="fr-FR"/>
        </w:rPr>
        <w:t xml:space="preserve"> relance des groupes de travail actuellement inactifs </w:t>
      </w:r>
      <w:r w:rsidR="001474A8" w:rsidRPr="00403C55">
        <w:rPr>
          <w:rFonts w:ascii="Times New Roman" w:hAnsi="Times New Roman" w:cs="Times New Roman"/>
          <w:lang w:val="fr-FR"/>
        </w:rPr>
        <w:t>;</w:t>
      </w:r>
    </w:p>
    <w:p w14:paraId="3353F9C8" w14:textId="77777777" w:rsidR="00BF494F" w:rsidRPr="00403C55" w:rsidRDefault="00BF494F" w:rsidP="00BF494F">
      <w:pPr>
        <w:pStyle w:val="ListParagraph"/>
        <w:spacing w:after="0" w:line="240" w:lineRule="auto"/>
        <w:ind w:left="1500"/>
        <w:jc w:val="both"/>
        <w:rPr>
          <w:rFonts w:ascii="Times New Roman" w:hAnsi="Times New Roman" w:cs="Times New Roman"/>
          <w:lang w:val="fr-FR"/>
        </w:rPr>
      </w:pPr>
    </w:p>
    <w:p w14:paraId="4A35CE6F" w14:textId="22B07147" w:rsidR="00A4293F" w:rsidRPr="00403C55" w:rsidRDefault="003956F8"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assurant </w:t>
      </w:r>
      <w:r w:rsidRPr="00403C55">
        <w:rPr>
          <w:rFonts w:ascii="Times New Roman" w:hAnsi="Times New Roman" w:cs="Times New Roman"/>
          <w:b/>
          <w:lang w:val="fr-FR"/>
        </w:rPr>
        <w:t xml:space="preserve">l’adhésion de tous les principaux </w:t>
      </w:r>
      <w:r w:rsidR="00FE6EE5">
        <w:rPr>
          <w:rFonts w:ascii="Times New Roman" w:hAnsi="Times New Roman" w:cs="Times New Roman"/>
          <w:b/>
          <w:lang w:val="fr-FR"/>
        </w:rPr>
        <w:t>États de l’aire de répartition</w:t>
      </w:r>
      <w:r w:rsidRPr="00403C55">
        <w:rPr>
          <w:rFonts w:ascii="Times New Roman" w:hAnsi="Times New Roman" w:cs="Times New Roman"/>
          <w:lang w:val="fr-FR"/>
        </w:rPr>
        <w:t xml:space="preserve"> </w:t>
      </w:r>
      <w:r w:rsidRPr="00403C55">
        <w:rPr>
          <w:rFonts w:ascii="Times New Roman" w:hAnsi="Times New Roman" w:cs="Times New Roman"/>
          <w:b/>
          <w:lang w:val="fr-FR"/>
        </w:rPr>
        <w:t>à un groupe d’expert</w:t>
      </w:r>
      <w:r w:rsidR="0030586A" w:rsidRPr="00403C55">
        <w:rPr>
          <w:rFonts w:ascii="Times New Roman" w:hAnsi="Times New Roman" w:cs="Times New Roman"/>
          <w:b/>
          <w:lang w:val="fr-FR"/>
        </w:rPr>
        <w:t>s</w:t>
      </w:r>
      <w:r w:rsidRPr="00403C55">
        <w:rPr>
          <w:rFonts w:ascii="Times New Roman" w:hAnsi="Times New Roman" w:cs="Times New Roman"/>
          <w:b/>
          <w:lang w:val="fr-FR"/>
        </w:rPr>
        <w:t>/de travail</w:t>
      </w:r>
      <w:r w:rsidR="001474A8" w:rsidRPr="00403C55">
        <w:rPr>
          <w:rFonts w:ascii="Times New Roman" w:hAnsi="Times New Roman" w:cs="Times New Roman"/>
          <w:b/>
          <w:lang w:val="fr-FR"/>
        </w:rPr>
        <w:t xml:space="preserve"> </w:t>
      </w:r>
      <w:r w:rsidR="001474A8" w:rsidRPr="00403C55">
        <w:rPr>
          <w:rFonts w:ascii="Times New Roman" w:hAnsi="Times New Roman" w:cs="Times New Roman"/>
          <w:lang w:val="fr-FR"/>
        </w:rPr>
        <w:t>(</w:t>
      </w:r>
      <w:r w:rsidRPr="00403C55">
        <w:rPr>
          <w:rFonts w:ascii="Times New Roman" w:hAnsi="Times New Roman" w:cs="Times New Roman"/>
          <w:lang w:val="fr-FR"/>
        </w:rPr>
        <w:t>not</w:t>
      </w:r>
      <w:r w:rsidR="0030586A" w:rsidRPr="00403C55">
        <w:rPr>
          <w:rFonts w:ascii="Times New Roman" w:hAnsi="Times New Roman" w:cs="Times New Roman"/>
          <w:lang w:val="fr-FR"/>
        </w:rPr>
        <w:t>a</w:t>
      </w:r>
      <w:r w:rsidRPr="00403C55">
        <w:rPr>
          <w:rFonts w:ascii="Times New Roman" w:hAnsi="Times New Roman" w:cs="Times New Roman"/>
          <w:lang w:val="fr-FR"/>
        </w:rPr>
        <w:t>mment sous la forme de représentants gouvernementaux appropriés) ;</w:t>
      </w:r>
    </w:p>
    <w:p w14:paraId="7787388A" w14:textId="77777777" w:rsidR="00BF494F" w:rsidRPr="00403C55" w:rsidRDefault="00BF494F" w:rsidP="00BF494F">
      <w:pPr>
        <w:spacing w:after="0" w:line="240" w:lineRule="auto"/>
        <w:jc w:val="both"/>
        <w:rPr>
          <w:rFonts w:ascii="Times New Roman" w:hAnsi="Times New Roman" w:cs="Times New Roman"/>
          <w:lang w:val="fr-FR"/>
        </w:rPr>
      </w:pPr>
    </w:p>
    <w:p w14:paraId="33F6E358" w14:textId="508EE648" w:rsidR="00A4293F" w:rsidRPr="00403C55" w:rsidRDefault="003956F8"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fournissant </w:t>
      </w:r>
      <w:r w:rsidRPr="00403C55">
        <w:rPr>
          <w:rFonts w:ascii="Times New Roman" w:hAnsi="Times New Roman" w:cs="Times New Roman"/>
          <w:b/>
          <w:lang w:val="fr-FR"/>
        </w:rPr>
        <w:t xml:space="preserve">une coordination internationale suffisante et active </w:t>
      </w:r>
      <w:r w:rsidRPr="00403C55">
        <w:rPr>
          <w:rFonts w:ascii="Times New Roman" w:hAnsi="Times New Roman" w:cs="Times New Roman"/>
          <w:lang w:val="fr-FR"/>
        </w:rPr>
        <w:t>;</w:t>
      </w:r>
    </w:p>
    <w:p w14:paraId="5ECBA17D" w14:textId="77777777" w:rsidR="00BF494F" w:rsidRPr="00403C55" w:rsidRDefault="00BF494F" w:rsidP="00BF494F">
      <w:pPr>
        <w:spacing w:after="0" w:line="240" w:lineRule="auto"/>
        <w:jc w:val="both"/>
        <w:rPr>
          <w:rFonts w:ascii="Times New Roman" w:hAnsi="Times New Roman" w:cs="Times New Roman"/>
          <w:lang w:val="fr-FR"/>
        </w:rPr>
      </w:pPr>
    </w:p>
    <w:p w14:paraId="405652FF" w14:textId="51EA138E" w:rsidR="002A37C6" w:rsidRPr="00403C55" w:rsidRDefault="003956F8"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facilitant </w:t>
      </w:r>
      <w:r w:rsidRPr="00403C55">
        <w:rPr>
          <w:rFonts w:ascii="Times New Roman" w:hAnsi="Times New Roman" w:cs="Times New Roman"/>
          <w:b/>
          <w:lang w:val="fr-FR"/>
        </w:rPr>
        <w:t>une coopération et un échange accrus avec d’autres secteurs gouvernementaux et économiques pertinents</w:t>
      </w:r>
      <w:r w:rsidRPr="00403C55">
        <w:rPr>
          <w:rFonts w:ascii="Times New Roman" w:hAnsi="Times New Roman" w:cs="Times New Roman"/>
          <w:lang w:val="fr-FR"/>
        </w:rPr>
        <w:t>, notamment en ce qui concerne la chasse, l’agriculture et l’extraction de matières premières naturelles ;</w:t>
      </w:r>
      <w:r w:rsidR="001B6DFC" w:rsidRPr="00403C55">
        <w:rPr>
          <w:rFonts w:ascii="Times New Roman" w:hAnsi="Times New Roman" w:cs="Times New Roman"/>
          <w:lang w:val="fr-FR"/>
        </w:rPr>
        <w:t xml:space="preserve"> </w:t>
      </w:r>
    </w:p>
    <w:p w14:paraId="382B4679" w14:textId="77777777" w:rsidR="00BF494F" w:rsidRPr="00403C55" w:rsidRDefault="00BF494F" w:rsidP="00BF494F">
      <w:pPr>
        <w:spacing w:after="0" w:line="240" w:lineRule="auto"/>
        <w:jc w:val="both"/>
        <w:rPr>
          <w:rFonts w:ascii="Times New Roman" w:hAnsi="Times New Roman" w:cs="Times New Roman"/>
          <w:lang w:val="fr-FR"/>
        </w:rPr>
      </w:pPr>
    </w:p>
    <w:p w14:paraId="17876CF8" w14:textId="79E8F4F5" w:rsidR="007A5C04" w:rsidRPr="00403C55" w:rsidRDefault="003956F8"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assurant que </w:t>
      </w:r>
      <w:r w:rsidRPr="00403C55">
        <w:rPr>
          <w:rFonts w:ascii="Times New Roman" w:hAnsi="Times New Roman" w:cs="Times New Roman"/>
          <w:b/>
          <w:lang w:val="fr-FR"/>
        </w:rPr>
        <w:t>suffisamment de conseils et de mentorat</w:t>
      </w:r>
      <w:r w:rsidRPr="00403C55">
        <w:rPr>
          <w:rFonts w:ascii="Times New Roman" w:hAnsi="Times New Roman" w:cs="Times New Roman"/>
          <w:lang w:val="fr-FR"/>
        </w:rPr>
        <w:t xml:space="preserve"> sont fournis, dans le cadre de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/de gestion </w:t>
      </w:r>
      <w:r w:rsidR="000A1F2D">
        <w:rPr>
          <w:rFonts w:ascii="Times New Roman" w:hAnsi="Times New Roman" w:cs="Times New Roman"/>
          <w:lang w:val="fr-FR"/>
        </w:rPr>
        <w:t>dans le cadre de</w:t>
      </w:r>
      <w:r w:rsidRPr="00403C55">
        <w:rPr>
          <w:rFonts w:ascii="Times New Roman" w:hAnsi="Times New Roman" w:cs="Times New Roman"/>
          <w:lang w:val="fr-FR"/>
        </w:rPr>
        <w:t xml:space="preserve"> l’AEWA, par le Secrétariat et le Comité technique si nécessaire ;</w:t>
      </w:r>
    </w:p>
    <w:p w14:paraId="236459DD" w14:textId="77777777" w:rsidR="00C81870" w:rsidRPr="00403C55" w:rsidRDefault="00C81870" w:rsidP="00C81870">
      <w:pPr>
        <w:pStyle w:val="ListParagraph"/>
        <w:rPr>
          <w:rFonts w:ascii="Times New Roman" w:hAnsi="Times New Roman" w:cs="Times New Roman"/>
          <w:lang w:val="fr-FR"/>
        </w:rPr>
      </w:pPr>
    </w:p>
    <w:p w14:paraId="174A95DF" w14:textId="41D52CB6" w:rsidR="00C81870" w:rsidRPr="00403C55" w:rsidRDefault="003956F8"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en</w:t>
      </w:r>
      <w:r w:rsidR="00985A4E">
        <w:rPr>
          <w:rFonts w:ascii="Times New Roman" w:hAnsi="Times New Roman" w:cs="Times New Roman"/>
          <w:lang w:val="fr-FR"/>
        </w:rPr>
        <w:t xml:space="preserve"> </w:t>
      </w:r>
      <w:r w:rsidRPr="00403C55">
        <w:rPr>
          <w:rFonts w:ascii="Times New Roman" w:hAnsi="Times New Roman" w:cs="Times New Roman"/>
          <w:lang w:val="fr-FR"/>
        </w:rPr>
        <w:t xml:space="preserve">assurant </w:t>
      </w:r>
      <w:r w:rsidR="00821296">
        <w:rPr>
          <w:rFonts w:ascii="Times New Roman" w:hAnsi="Times New Roman" w:cs="Times New Roman"/>
          <w:b/>
          <w:lang w:val="fr-FR"/>
        </w:rPr>
        <w:t>des</w:t>
      </w:r>
      <w:r w:rsidRPr="00403C55">
        <w:rPr>
          <w:rFonts w:ascii="Times New Roman" w:hAnsi="Times New Roman" w:cs="Times New Roman"/>
          <w:b/>
          <w:lang w:val="fr-FR"/>
        </w:rPr>
        <w:t xml:space="preserve"> </w:t>
      </w:r>
      <w:r w:rsidR="00821296">
        <w:rPr>
          <w:rFonts w:ascii="Times New Roman" w:hAnsi="Times New Roman" w:cs="Times New Roman"/>
          <w:b/>
          <w:lang w:val="fr-FR"/>
        </w:rPr>
        <w:t>progrès</w:t>
      </w:r>
      <w:r w:rsidRPr="00403C55">
        <w:rPr>
          <w:rFonts w:ascii="Times New Roman" w:hAnsi="Times New Roman" w:cs="Times New Roman"/>
          <w:b/>
          <w:lang w:val="fr-FR"/>
        </w:rPr>
        <w:t xml:space="preserve"> concluant</w:t>
      </w:r>
      <w:r w:rsidR="00821296">
        <w:rPr>
          <w:rFonts w:ascii="Times New Roman" w:hAnsi="Times New Roman" w:cs="Times New Roman"/>
          <w:b/>
          <w:lang w:val="fr-FR"/>
        </w:rPr>
        <w:t>s en matière</w:t>
      </w:r>
      <w:r w:rsidRPr="00403C55">
        <w:rPr>
          <w:rFonts w:ascii="Times New Roman" w:hAnsi="Times New Roman" w:cs="Times New Roman"/>
          <w:b/>
          <w:lang w:val="fr-FR"/>
        </w:rPr>
        <w:t xml:space="preserve"> de surveillance de mise en œuvre </w:t>
      </w:r>
      <w:r w:rsidRPr="00403C55">
        <w:rPr>
          <w:rFonts w:ascii="Times New Roman" w:hAnsi="Times New Roman" w:cs="Times New Roman"/>
          <w:lang w:val="fr-FR"/>
        </w:rPr>
        <w:t xml:space="preserve">en entreprenant des études approfondies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w:t>
      </w:r>
      <w:r w:rsidR="0030586A" w:rsidRPr="00403C55">
        <w:rPr>
          <w:rFonts w:ascii="Times New Roman" w:hAnsi="Times New Roman" w:cs="Times New Roman"/>
          <w:lang w:val="fr-FR"/>
        </w:rPr>
        <w:t>,</w:t>
      </w:r>
      <w:r w:rsidRPr="00403C55">
        <w:rPr>
          <w:rFonts w:ascii="Times New Roman" w:hAnsi="Times New Roman" w:cs="Times New Roman"/>
          <w:lang w:val="fr-FR"/>
        </w:rPr>
        <w:t xml:space="preserve"> en se fondant sur les indicateurs et les sources de vérification (indépendantes) citées ci-après – en plus d</w:t>
      </w:r>
      <w:r w:rsidR="0030586A" w:rsidRPr="00403C55">
        <w:rPr>
          <w:rFonts w:ascii="Times New Roman" w:hAnsi="Times New Roman" w:cs="Times New Roman"/>
          <w:lang w:val="fr-FR"/>
        </w:rPr>
        <w:t xml:space="preserve">es </w:t>
      </w:r>
      <w:r w:rsidRPr="00403C55">
        <w:rPr>
          <w:rFonts w:ascii="Times New Roman" w:hAnsi="Times New Roman" w:cs="Times New Roman"/>
          <w:lang w:val="fr-FR"/>
        </w:rPr>
        <w:t>informations fournie</w:t>
      </w:r>
      <w:r w:rsidR="0030586A" w:rsidRPr="00403C55">
        <w:rPr>
          <w:rFonts w:ascii="Times New Roman" w:hAnsi="Times New Roman" w:cs="Times New Roman"/>
          <w:lang w:val="fr-FR"/>
        </w:rPr>
        <w:t>s</w:t>
      </w:r>
      <w:r w:rsidRPr="00403C55">
        <w:rPr>
          <w:rFonts w:ascii="Times New Roman" w:hAnsi="Times New Roman" w:cs="Times New Roman"/>
          <w:lang w:val="fr-FR"/>
        </w:rPr>
        <w:t xml:space="preserve"> par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 dans le cadre des groupes d’experts/de travail ;</w:t>
      </w:r>
    </w:p>
    <w:p w14:paraId="412FF8E2" w14:textId="77777777" w:rsidR="001B6DFC" w:rsidRPr="00403C55" w:rsidRDefault="001B6DFC" w:rsidP="001B6DFC">
      <w:pPr>
        <w:pStyle w:val="ListParagraph"/>
        <w:spacing w:after="0" w:line="240" w:lineRule="auto"/>
        <w:ind w:left="1500"/>
        <w:jc w:val="both"/>
        <w:rPr>
          <w:rFonts w:ascii="Times New Roman" w:hAnsi="Times New Roman" w:cs="Times New Roman"/>
          <w:lang w:val="fr-FR"/>
        </w:rPr>
      </w:pPr>
    </w:p>
    <w:p w14:paraId="58355A8D" w14:textId="6DE64540" w:rsidR="001B7E97" w:rsidRPr="00403C55" w:rsidRDefault="00073271" w:rsidP="003356B2">
      <w:pPr>
        <w:pStyle w:val="ListParagraph"/>
        <w:numPr>
          <w:ilvl w:val="0"/>
          <w:numId w:val="8"/>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en intensifiant d’urgence</w:t>
      </w:r>
      <w:r w:rsidR="003956F8" w:rsidRPr="00403C55">
        <w:rPr>
          <w:rFonts w:ascii="Times New Roman" w:hAnsi="Times New Roman" w:cs="Times New Roman"/>
          <w:b/>
          <w:lang w:val="fr-FR"/>
        </w:rPr>
        <w:t xml:space="preserve"> </w:t>
      </w:r>
      <w:r w:rsidRPr="00403C55">
        <w:rPr>
          <w:rFonts w:ascii="Times New Roman" w:hAnsi="Times New Roman" w:cs="Times New Roman"/>
          <w:b/>
          <w:lang w:val="fr-FR"/>
        </w:rPr>
        <w:t xml:space="preserve">le </w:t>
      </w:r>
      <w:r w:rsidR="003956F8" w:rsidRPr="00403C55">
        <w:rPr>
          <w:rFonts w:ascii="Times New Roman" w:hAnsi="Times New Roman" w:cs="Times New Roman"/>
          <w:b/>
          <w:lang w:val="fr-FR"/>
        </w:rPr>
        <w:t>recrut</w:t>
      </w:r>
      <w:r w:rsidRPr="00403C55">
        <w:rPr>
          <w:rFonts w:ascii="Times New Roman" w:hAnsi="Times New Roman" w:cs="Times New Roman"/>
          <w:b/>
          <w:lang w:val="fr-FR"/>
        </w:rPr>
        <w:t>e</w:t>
      </w:r>
      <w:r w:rsidR="003956F8" w:rsidRPr="00403C55">
        <w:rPr>
          <w:rFonts w:ascii="Times New Roman" w:hAnsi="Times New Roman" w:cs="Times New Roman"/>
          <w:b/>
          <w:lang w:val="fr-FR"/>
        </w:rPr>
        <w:t xml:space="preserve">ment </w:t>
      </w:r>
      <w:r w:rsidRPr="00403C55">
        <w:rPr>
          <w:rFonts w:ascii="Times New Roman" w:hAnsi="Times New Roman" w:cs="Times New Roman"/>
          <w:b/>
          <w:lang w:val="fr-FR"/>
        </w:rPr>
        <w:t>de nouvelles Parties contractantes</w:t>
      </w:r>
      <w:r w:rsidR="003956F8" w:rsidRPr="00403C55">
        <w:rPr>
          <w:rFonts w:ascii="Times New Roman" w:hAnsi="Times New Roman" w:cs="Times New Roman"/>
          <w:b/>
          <w:lang w:val="fr-FR"/>
        </w:rPr>
        <w:t xml:space="preserve"> </w:t>
      </w:r>
      <w:r w:rsidRPr="00403C55">
        <w:rPr>
          <w:rFonts w:ascii="Times New Roman" w:hAnsi="Times New Roman" w:cs="Times New Roman"/>
          <w:b/>
          <w:lang w:val="fr-FR"/>
        </w:rPr>
        <w:t>à l’</w:t>
      </w:r>
      <w:r w:rsidR="003956F8" w:rsidRPr="00403C55">
        <w:rPr>
          <w:rFonts w:ascii="Times New Roman" w:hAnsi="Times New Roman" w:cs="Times New Roman"/>
          <w:b/>
          <w:lang w:val="fr-FR"/>
        </w:rPr>
        <w:t>AEWA</w:t>
      </w:r>
      <w:r w:rsidR="003956F8" w:rsidRPr="00403C55">
        <w:rPr>
          <w:rFonts w:ascii="Times New Roman" w:hAnsi="Times New Roman" w:cs="Times New Roman"/>
          <w:lang w:val="fr-FR"/>
        </w:rPr>
        <w:t xml:space="preserve"> </w:t>
      </w:r>
      <w:r w:rsidRPr="00403C55">
        <w:rPr>
          <w:rFonts w:ascii="Times New Roman" w:hAnsi="Times New Roman" w:cs="Times New Roman"/>
          <w:lang w:val="fr-FR"/>
        </w:rPr>
        <w:t>–</w:t>
      </w:r>
      <w:r w:rsidR="003956F8" w:rsidRPr="00403C55">
        <w:rPr>
          <w:rFonts w:ascii="Times New Roman" w:hAnsi="Times New Roman" w:cs="Times New Roman"/>
          <w:lang w:val="fr-FR"/>
        </w:rPr>
        <w:t xml:space="preserve"> </w:t>
      </w:r>
      <w:r w:rsidRPr="00403C55">
        <w:rPr>
          <w:rFonts w:ascii="Times New Roman" w:hAnsi="Times New Roman" w:cs="Times New Roman"/>
          <w:lang w:val="fr-FR"/>
        </w:rPr>
        <w:t>notamment en Asie centrale et au Moyen-Orient</w:t>
      </w:r>
      <w:r w:rsidR="003956F8" w:rsidRPr="00403C55">
        <w:rPr>
          <w:rFonts w:ascii="Times New Roman" w:hAnsi="Times New Roman" w:cs="Times New Roman"/>
          <w:lang w:val="fr-FR"/>
        </w:rPr>
        <w:t xml:space="preserve"> – </w:t>
      </w:r>
      <w:r w:rsidRPr="00403C55">
        <w:rPr>
          <w:rFonts w:ascii="Times New Roman" w:hAnsi="Times New Roman" w:cs="Times New Roman"/>
          <w:lang w:val="fr-FR"/>
        </w:rPr>
        <w:t>afin de renforcer encore la mise en œuvre</w:t>
      </w:r>
      <w:r w:rsidR="003956F8" w:rsidRPr="00403C55">
        <w:rPr>
          <w:rFonts w:ascii="Times New Roman" w:hAnsi="Times New Roman" w:cs="Times New Roman"/>
          <w:lang w:val="fr-FR"/>
        </w:rPr>
        <w:t>.</w:t>
      </w:r>
    </w:p>
    <w:p w14:paraId="33606928" w14:textId="77777777" w:rsidR="001B7E97" w:rsidRPr="00403C55" w:rsidRDefault="001B7E97" w:rsidP="001B7E97">
      <w:pPr>
        <w:spacing w:after="0" w:line="240" w:lineRule="auto"/>
        <w:jc w:val="both"/>
        <w:rPr>
          <w:rFonts w:ascii="Times New Roman" w:hAnsi="Times New Roman" w:cs="Times New Roman"/>
          <w:sz w:val="24"/>
          <w:szCs w:val="24"/>
          <w:lang w:val="fr-FR"/>
        </w:rPr>
      </w:pPr>
    </w:p>
    <w:p w14:paraId="45152B92" w14:textId="43AA8D5A" w:rsidR="001B7E97" w:rsidRPr="00403C55" w:rsidRDefault="00073271" w:rsidP="001B7E97">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Priorités </w:t>
      </w:r>
      <w:r w:rsidR="00870983">
        <w:rPr>
          <w:rFonts w:ascii="Times New Roman" w:hAnsi="Times New Roman" w:cs="Times New Roman"/>
          <w:b/>
          <w:lang w:val="fr-FR"/>
        </w:rPr>
        <w:t xml:space="preserve">élevées </w:t>
      </w:r>
      <w:r w:rsidRPr="00403C55">
        <w:rPr>
          <w:rFonts w:ascii="Times New Roman" w:hAnsi="Times New Roman" w:cs="Times New Roman"/>
          <w:b/>
          <w:lang w:val="fr-FR"/>
        </w:rPr>
        <w:t>:</w:t>
      </w:r>
      <w:r w:rsidR="001B7E97" w:rsidRPr="00403C55">
        <w:rPr>
          <w:rFonts w:ascii="Times New Roman" w:hAnsi="Times New Roman" w:cs="Times New Roman"/>
          <w:b/>
          <w:lang w:val="fr-FR"/>
        </w:rPr>
        <w:t xml:space="preserve"> </w:t>
      </w:r>
    </w:p>
    <w:p w14:paraId="5B58E03F" w14:textId="77777777" w:rsidR="001B7E97" w:rsidRPr="00403C55" w:rsidRDefault="001B7E97" w:rsidP="001B7E97">
      <w:pPr>
        <w:spacing w:after="0" w:line="240" w:lineRule="auto"/>
        <w:jc w:val="both"/>
        <w:rPr>
          <w:rFonts w:ascii="Times New Roman" w:hAnsi="Times New Roman" w:cs="Times New Roman"/>
          <w:sz w:val="24"/>
          <w:szCs w:val="24"/>
          <w:lang w:val="fr-FR"/>
        </w:rPr>
      </w:pPr>
    </w:p>
    <w:p w14:paraId="0B3D606A" w14:textId="756E3E5F" w:rsidR="001B6DFC" w:rsidRPr="00403C55" w:rsidRDefault="00073271" w:rsidP="003356B2">
      <w:pPr>
        <w:pStyle w:val="ListParagraph"/>
        <w:numPr>
          <w:ilvl w:val="0"/>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Continuer </w:t>
      </w:r>
      <w:r w:rsidR="00821296">
        <w:rPr>
          <w:rFonts w:ascii="Times New Roman" w:hAnsi="Times New Roman" w:cs="Times New Roman"/>
          <w:lang w:val="fr-FR"/>
        </w:rPr>
        <w:t>à établir</w:t>
      </w:r>
      <w:r w:rsidRPr="00403C55">
        <w:rPr>
          <w:rFonts w:ascii="Times New Roman" w:hAnsi="Times New Roman" w:cs="Times New Roman"/>
          <w:lang w:val="fr-FR"/>
        </w:rPr>
        <w:t xml:space="preserve"> de</w:t>
      </w:r>
      <w:r w:rsidR="00821296">
        <w:rPr>
          <w:rFonts w:ascii="Times New Roman" w:hAnsi="Times New Roman" w:cs="Times New Roman"/>
          <w:lang w:val="fr-FR"/>
        </w:rPr>
        <w:t>s</w:t>
      </w:r>
      <w:r w:rsidRPr="00403C55">
        <w:rPr>
          <w:rFonts w:ascii="Times New Roman" w:hAnsi="Times New Roman" w:cs="Times New Roman"/>
          <w:lang w:val="fr-FR"/>
        </w:rPr>
        <w:t xml:space="preserve"> </w:t>
      </w:r>
      <w:r w:rsidRPr="00403C55">
        <w:rPr>
          <w:rFonts w:ascii="Times New Roman" w:hAnsi="Times New Roman" w:cs="Times New Roman"/>
          <w:b/>
          <w:lang w:val="fr-FR"/>
        </w:rPr>
        <w:t xml:space="preserve">groupes de travail et d'experts internationaux par espèce </w:t>
      </w:r>
      <w:r w:rsidR="0003562F">
        <w:rPr>
          <w:rFonts w:ascii="Times New Roman" w:hAnsi="Times New Roman" w:cs="Times New Roman"/>
          <w:b/>
          <w:lang w:val="fr-FR"/>
        </w:rPr>
        <w:t>de l’AEWA</w:t>
      </w:r>
      <w:r w:rsidRPr="00403C55">
        <w:rPr>
          <w:rFonts w:ascii="Times New Roman" w:hAnsi="Times New Roman" w:cs="Times New Roman"/>
          <w:lang w:val="fr-FR"/>
        </w:rPr>
        <w:t xml:space="preserve"> en vue de plans nouveaux et révisés ;</w:t>
      </w:r>
    </w:p>
    <w:p w14:paraId="686BD0FD" w14:textId="77777777" w:rsidR="001B6DFC" w:rsidRPr="00403C55" w:rsidRDefault="001B6DFC" w:rsidP="001B6DFC">
      <w:pPr>
        <w:spacing w:after="0" w:line="240" w:lineRule="auto"/>
        <w:ind w:left="420"/>
        <w:jc w:val="both"/>
        <w:rPr>
          <w:rFonts w:ascii="Times New Roman" w:hAnsi="Times New Roman" w:cs="Times New Roman"/>
          <w:lang w:val="fr-FR"/>
        </w:rPr>
      </w:pPr>
    </w:p>
    <w:p w14:paraId="6C03271C" w14:textId="56AEAAA5" w:rsidR="00BC4494" w:rsidRPr="00403C55" w:rsidRDefault="00073271" w:rsidP="003356B2">
      <w:pPr>
        <w:pStyle w:val="ListParagraph"/>
        <w:numPr>
          <w:ilvl w:val="0"/>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Entreprendre une </w:t>
      </w:r>
      <w:r w:rsidRPr="00403C55">
        <w:rPr>
          <w:rFonts w:ascii="Times New Roman" w:hAnsi="Times New Roman" w:cs="Times New Roman"/>
          <w:b/>
          <w:lang w:val="fr-FR"/>
        </w:rPr>
        <w:t xml:space="preserve">évaluation des plans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w:t>
      </w:r>
      <w:r w:rsidR="0003562F">
        <w:rPr>
          <w:rFonts w:ascii="Times New Roman" w:hAnsi="Times New Roman" w:cs="Times New Roman"/>
          <w:b/>
          <w:lang w:val="fr-FR"/>
        </w:rPr>
        <w:t>de l’AEWA</w:t>
      </w:r>
      <w:r w:rsidRPr="00403C55">
        <w:rPr>
          <w:rFonts w:ascii="Times New Roman" w:hAnsi="Times New Roman" w:cs="Times New Roman"/>
          <w:b/>
          <w:lang w:val="fr-FR"/>
        </w:rPr>
        <w:t xml:space="preserve"> </w:t>
      </w:r>
      <w:r w:rsidR="0030586A" w:rsidRPr="00403C55">
        <w:rPr>
          <w:rFonts w:ascii="Times New Roman" w:hAnsi="Times New Roman" w:cs="Times New Roman"/>
          <w:b/>
          <w:lang w:val="fr-FR"/>
        </w:rPr>
        <w:t>qui n’ont</w:t>
      </w:r>
      <w:r w:rsidRPr="00403C55">
        <w:rPr>
          <w:rFonts w:ascii="Times New Roman" w:hAnsi="Times New Roman" w:cs="Times New Roman"/>
          <w:b/>
          <w:lang w:val="fr-FR"/>
        </w:rPr>
        <w:t xml:space="preserve"> actuellement </w:t>
      </w:r>
      <w:r w:rsidR="0030586A" w:rsidRPr="00403C55">
        <w:rPr>
          <w:rFonts w:ascii="Times New Roman" w:hAnsi="Times New Roman" w:cs="Times New Roman"/>
          <w:b/>
          <w:lang w:val="fr-FR"/>
        </w:rPr>
        <w:t>pas de</w:t>
      </w:r>
      <w:r w:rsidRPr="00403C55">
        <w:rPr>
          <w:rFonts w:ascii="Times New Roman" w:hAnsi="Times New Roman" w:cs="Times New Roman"/>
          <w:b/>
          <w:lang w:val="fr-FR"/>
        </w:rPr>
        <w:t xml:space="preserve"> mécanismes de coordination internationale et suggérer leur révision ou leur retrait </w:t>
      </w:r>
      <w:r w:rsidRPr="00403C55">
        <w:rPr>
          <w:rFonts w:ascii="Times New Roman" w:hAnsi="Times New Roman" w:cs="Times New Roman"/>
          <w:lang w:val="fr-FR"/>
        </w:rPr>
        <w:t>;</w:t>
      </w:r>
    </w:p>
    <w:p w14:paraId="00800B34" w14:textId="77777777" w:rsidR="007A6C8D" w:rsidRPr="00403C55" w:rsidRDefault="007A6C8D" w:rsidP="007A6C8D">
      <w:pPr>
        <w:pStyle w:val="ListParagraph"/>
        <w:spacing w:after="0" w:line="240" w:lineRule="auto"/>
        <w:ind w:left="780"/>
        <w:jc w:val="both"/>
        <w:rPr>
          <w:rFonts w:ascii="Times New Roman" w:hAnsi="Times New Roman" w:cs="Times New Roman"/>
          <w:lang w:val="fr-FR"/>
        </w:rPr>
      </w:pPr>
    </w:p>
    <w:p w14:paraId="5CB54EAC" w14:textId="7101D4F4" w:rsidR="00163148" w:rsidRPr="00403C55" w:rsidRDefault="00073271" w:rsidP="003356B2">
      <w:pPr>
        <w:pStyle w:val="ListParagraph"/>
        <w:numPr>
          <w:ilvl w:val="0"/>
          <w:numId w:val="8"/>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Continuer à développer le processus de planification de l'action et de la gestion</w:t>
      </w:r>
      <w:r w:rsidRPr="00403C55">
        <w:rPr>
          <w:rFonts w:ascii="Times New Roman" w:hAnsi="Times New Roman" w:cs="Times New Roman"/>
          <w:lang w:val="fr-FR"/>
        </w:rPr>
        <w:t xml:space="preserve"> s</w:t>
      </w:r>
      <w:r w:rsidR="00552518">
        <w:rPr>
          <w:rFonts w:ascii="Times New Roman" w:hAnsi="Times New Roman" w:cs="Times New Roman"/>
          <w:lang w:val="fr-FR"/>
        </w:rPr>
        <w:t>elon</w:t>
      </w:r>
      <w:r w:rsidRPr="00403C55">
        <w:rPr>
          <w:rFonts w:ascii="Times New Roman" w:hAnsi="Times New Roman" w:cs="Times New Roman"/>
          <w:lang w:val="fr-FR"/>
        </w:rPr>
        <w:t xml:space="preserve"> l’Accord, par exemple :</w:t>
      </w:r>
    </w:p>
    <w:p w14:paraId="0C38EFA9" w14:textId="77777777" w:rsidR="00163148" w:rsidRPr="00403C55" w:rsidRDefault="00163148" w:rsidP="00163148">
      <w:pPr>
        <w:pStyle w:val="ListParagraph"/>
        <w:rPr>
          <w:rFonts w:ascii="Times New Roman" w:hAnsi="Times New Roman" w:cs="Times New Roman"/>
          <w:lang w:val="fr-FR"/>
        </w:rPr>
      </w:pPr>
    </w:p>
    <w:p w14:paraId="0AF7D8DC" w14:textId="54DB24EC" w:rsidR="00163148" w:rsidRPr="00403C55" w:rsidRDefault="00073271" w:rsidP="003B72FC">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 xml:space="preserve">en révisant le format actuel de plan </w:t>
      </w:r>
      <w:r w:rsidR="0003562F">
        <w:rPr>
          <w:rFonts w:ascii="Times New Roman" w:hAnsi="Times New Roman" w:cs="Times New Roman"/>
          <w:b/>
          <w:lang w:val="fr-FR"/>
        </w:rPr>
        <w:t>d’action</w:t>
      </w:r>
      <w:r w:rsidRPr="00403C55">
        <w:rPr>
          <w:rFonts w:ascii="Times New Roman" w:hAnsi="Times New Roman" w:cs="Times New Roman"/>
          <w:lang w:val="fr-FR"/>
        </w:rPr>
        <w:t xml:space="preserve"> dans une tentative d’assurer que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possèdent le potentiel d’atteindre leurs buts, sont mieux ciblés et peuvent être mis en œuvre, et sont plus pratiques, notamment pour les agences chargées de la mise en œuvre et les </w:t>
      </w:r>
      <w:r w:rsidRPr="00403C55">
        <w:rPr>
          <w:rFonts w:ascii="Times New Roman" w:hAnsi="Times New Roman" w:cs="Times New Roman"/>
          <w:lang w:val="fr-FR"/>
        </w:rPr>
        <w:lastRenderedPageBreak/>
        <w:t>décideurs -</w:t>
      </w:r>
      <w:r w:rsidR="00985A4E">
        <w:rPr>
          <w:rFonts w:ascii="Times New Roman" w:hAnsi="Times New Roman" w:cs="Times New Roman"/>
          <w:lang w:val="fr-FR"/>
        </w:rPr>
        <w:t xml:space="preserve"> </w:t>
      </w:r>
      <w:r w:rsidRPr="00403C55">
        <w:rPr>
          <w:rFonts w:ascii="Times New Roman" w:hAnsi="Times New Roman" w:cs="Times New Roman"/>
          <w:lang w:val="fr-FR"/>
        </w:rPr>
        <w:t xml:space="preserve">y compris grâce à une meilleure correspondance entre les buts </w:t>
      </w:r>
      <w:r w:rsidR="0030586A" w:rsidRPr="00403C55">
        <w:rPr>
          <w:rFonts w:ascii="Times New Roman" w:hAnsi="Times New Roman" w:cs="Times New Roman"/>
          <w:lang w:val="fr-FR"/>
        </w:rPr>
        <w:t xml:space="preserve">et </w:t>
      </w:r>
      <w:r w:rsidRPr="00403C55">
        <w:rPr>
          <w:rFonts w:ascii="Times New Roman" w:hAnsi="Times New Roman" w:cs="Times New Roman"/>
          <w:lang w:val="fr-FR"/>
        </w:rPr>
        <w:t xml:space="preserve">activités des plans </w:t>
      </w:r>
      <w:r w:rsidR="0003562F">
        <w:rPr>
          <w:rFonts w:ascii="Times New Roman" w:hAnsi="Times New Roman" w:cs="Times New Roman"/>
          <w:lang w:val="fr-FR"/>
        </w:rPr>
        <w:t>d’action</w:t>
      </w:r>
      <w:r w:rsidR="0030586A" w:rsidRPr="00403C55">
        <w:rPr>
          <w:rFonts w:ascii="Times New Roman" w:hAnsi="Times New Roman" w:cs="Times New Roman"/>
          <w:lang w:val="fr-FR"/>
        </w:rPr>
        <w:t>,</w:t>
      </w:r>
      <w:r w:rsidRPr="00403C55">
        <w:rPr>
          <w:rFonts w:ascii="Times New Roman" w:hAnsi="Times New Roman" w:cs="Times New Roman"/>
          <w:lang w:val="fr-FR"/>
        </w:rPr>
        <w:t xml:space="preserve"> et en restreignant le nombre de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inclus ;</w:t>
      </w:r>
    </w:p>
    <w:p w14:paraId="047E6B31" w14:textId="77777777" w:rsidR="00163148" w:rsidRPr="00403C55" w:rsidRDefault="00163148" w:rsidP="00163148">
      <w:pPr>
        <w:spacing w:after="0" w:line="240" w:lineRule="auto"/>
        <w:ind w:left="1140"/>
        <w:jc w:val="both"/>
        <w:rPr>
          <w:rFonts w:ascii="Times New Roman" w:hAnsi="Times New Roman" w:cs="Times New Roman"/>
          <w:lang w:val="fr-FR"/>
        </w:rPr>
      </w:pPr>
    </w:p>
    <w:p w14:paraId="7381BF2D" w14:textId="00903CCE" w:rsidR="00163148" w:rsidRPr="00403C55" w:rsidRDefault="00073271"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élaborant un/des </w:t>
      </w:r>
      <w:r w:rsidRPr="00403C55">
        <w:rPr>
          <w:rFonts w:ascii="Times New Roman" w:hAnsi="Times New Roman" w:cs="Times New Roman"/>
          <w:b/>
          <w:lang w:val="fr-FR"/>
        </w:rPr>
        <w:t>format(s) pour l</w:t>
      </w:r>
      <w:r w:rsidR="0030586A" w:rsidRPr="00403C55">
        <w:rPr>
          <w:rFonts w:ascii="Times New Roman" w:hAnsi="Times New Roman" w:cs="Times New Roman"/>
          <w:b/>
          <w:lang w:val="fr-FR"/>
        </w:rPr>
        <w:t>es plans de</w:t>
      </w:r>
      <w:r w:rsidRPr="00403C55">
        <w:rPr>
          <w:rFonts w:ascii="Times New Roman" w:hAnsi="Times New Roman" w:cs="Times New Roman"/>
          <w:b/>
          <w:lang w:val="fr-FR"/>
        </w:rPr>
        <w:t xml:space="preserve"> gestion </w:t>
      </w:r>
      <w:r w:rsidR="0003562F">
        <w:rPr>
          <w:rFonts w:ascii="Times New Roman" w:hAnsi="Times New Roman" w:cs="Times New Roman"/>
          <w:b/>
          <w:lang w:val="fr-FR"/>
        </w:rPr>
        <w:t>de l’AEWA</w:t>
      </w:r>
      <w:r w:rsidRPr="00403C55">
        <w:rPr>
          <w:rFonts w:ascii="Times New Roman" w:hAnsi="Times New Roman" w:cs="Times New Roman"/>
          <w:b/>
          <w:lang w:val="fr-FR"/>
        </w:rPr>
        <w:t xml:space="preserve"> et les plans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et de gestion multi-espèces </w:t>
      </w:r>
      <w:r w:rsidR="0003562F">
        <w:rPr>
          <w:rFonts w:ascii="Times New Roman" w:hAnsi="Times New Roman" w:cs="Times New Roman"/>
          <w:b/>
          <w:lang w:val="fr-FR"/>
        </w:rPr>
        <w:t>de l’AEWA</w:t>
      </w:r>
      <w:r w:rsidRPr="00403C55">
        <w:rPr>
          <w:rFonts w:ascii="Times New Roman" w:hAnsi="Times New Roman" w:cs="Times New Roman"/>
          <w:b/>
          <w:lang w:val="fr-FR"/>
        </w:rPr>
        <w:t xml:space="preserve"> </w:t>
      </w:r>
      <w:r w:rsidRPr="00403C55">
        <w:rPr>
          <w:rFonts w:ascii="Times New Roman" w:hAnsi="Times New Roman" w:cs="Times New Roman"/>
          <w:lang w:val="fr-FR"/>
        </w:rPr>
        <w:t>;</w:t>
      </w:r>
    </w:p>
    <w:p w14:paraId="5702E268" w14:textId="77777777" w:rsidR="00163148" w:rsidRPr="00403C55" w:rsidRDefault="00163148" w:rsidP="00163148">
      <w:pPr>
        <w:pStyle w:val="ListParagraph"/>
        <w:rPr>
          <w:rFonts w:ascii="Times New Roman" w:hAnsi="Times New Roman" w:cs="Times New Roman"/>
          <w:lang w:val="fr-FR"/>
        </w:rPr>
      </w:pPr>
    </w:p>
    <w:p w14:paraId="152DCDF6" w14:textId="244EE74A" w:rsidR="009744DD" w:rsidRPr="00403C55" w:rsidRDefault="00073271" w:rsidP="003356B2">
      <w:pPr>
        <w:pStyle w:val="ListParagraph"/>
        <w:numPr>
          <w:ilvl w:val="1"/>
          <w:numId w:val="8"/>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 xml:space="preserve">en révisant les lignes directrices </w:t>
      </w:r>
      <w:r w:rsidR="0003562F">
        <w:rPr>
          <w:rFonts w:ascii="Times New Roman" w:hAnsi="Times New Roman" w:cs="Times New Roman"/>
          <w:b/>
          <w:lang w:val="fr-FR"/>
        </w:rPr>
        <w:t>de l’AEWA</w:t>
      </w:r>
      <w:r w:rsidRPr="00403C55">
        <w:rPr>
          <w:rFonts w:ascii="Times New Roman" w:hAnsi="Times New Roman" w:cs="Times New Roman"/>
          <w:b/>
          <w:lang w:val="fr-FR"/>
        </w:rPr>
        <w:t xml:space="preserve"> pour le développement de plans </w:t>
      </w:r>
      <w:r w:rsidR="0003562F">
        <w:rPr>
          <w:rFonts w:ascii="Times New Roman" w:hAnsi="Times New Roman" w:cs="Times New Roman"/>
          <w:b/>
          <w:lang w:val="fr-FR"/>
        </w:rPr>
        <w:t>d’action</w:t>
      </w:r>
      <w:r w:rsidRPr="00403C55">
        <w:rPr>
          <w:rFonts w:ascii="Times New Roman" w:hAnsi="Times New Roman" w:cs="Times New Roman"/>
          <w:b/>
          <w:lang w:val="fr-FR"/>
        </w:rPr>
        <w:t>s nationaux</w:t>
      </w:r>
      <w:r w:rsidRPr="00403C55">
        <w:rPr>
          <w:rFonts w:ascii="Times New Roman" w:hAnsi="Times New Roman" w:cs="Times New Roman"/>
          <w:lang w:val="fr-FR"/>
        </w:rPr>
        <w:t>, compr</w:t>
      </w:r>
      <w:r w:rsidR="00821296">
        <w:rPr>
          <w:rFonts w:ascii="Times New Roman" w:hAnsi="Times New Roman" w:cs="Times New Roman"/>
          <w:lang w:val="fr-FR"/>
        </w:rPr>
        <w:t>enant</w:t>
      </w:r>
      <w:r w:rsidRPr="00403C55">
        <w:rPr>
          <w:rFonts w:ascii="Times New Roman" w:hAnsi="Times New Roman" w:cs="Times New Roman"/>
          <w:lang w:val="fr-FR"/>
        </w:rPr>
        <w:t xml:space="preserve"> des conseils sur l’établissement de groupes de travail nationaux ;</w:t>
      </w:r>
    </w:p>
    <w:p w14:paraId="0FFED5D1" w14:textId="77777777" w:rsidR="00BC4494" w:rsidRPr="00403C55" w:rsidRDefault="00BC4494" w:rsidP="00BC4494">
      <w:pPr>
        <w:pStyle w:val="ListParagraph"/>
        <w:rPr>
          <w:rFonts w:ascii="Times New Roman" w:hAnsi="Times New Roman" w:cs="Times New Roman"/>
          <w:lang w:val="fr-FR"/>
        </w:rPr>
      </w:pPr>
    </w:p>
    <w:p w14:paraId="250FF315" w14:textId="3371ADCE" w:rsidR="006F4C3B" w:rsidRPr="00403C55" w:rsidRDefault="00073271" w:rsidP="003356B2">
      <w:pPr>
        <w:pStyle w:val="ListParagraph"/>
        <w:numPr>
          <w:ilvl w:val="0"/>
          <w:numId w:val="10"/>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 xml:space="preserve">promouvoir le développement d’autres plans de gestion internationaux </w:t>
      </w:r>
      <w:r w:rsidR="00552518">
        <w:rPr>
          <w:rFonts w:ascii="Times New Roman" w:hAnsi="Times New Roman" w:cs="Times New Roman"/>
          <w:lang w:val="fr-FR"/>
        </w:rPr>
        <w:t>dans le cadre de</w:t>
      </w:r>
      <w:r w:rsidRPr="00403C55">
        <w:rPr>
          <w:rFonts w:ascii="Times New Roman" w:hAnsi="Times New Roman" w:cs="Times New Roman"/>
          <w:lang w:val="fr-FR"/>
        </w:rPr>
        <w:t xml:space="preserve"> l’Accord sur la base de l’exemple </w:t>
      </w:r>
      <w:r w:rsidR="00925828" w:rsidRPr="00403C55">
        <w:rPr>
          <w:rFonts w:ascii="Times New Roman" w:hAnsi="Times New Roman" w:cs="Times New Roman"/>
          <w:lang w:val="fr-FR"/>
        </w:rPr>
        <w:t xml:space="preserve">du Plan de gestion international pour l’Oie à bec court et des Lignes directrices révisées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00925828" w:rsidRPr="00403C55">
        <w:rPr>
          <w:rFonts w:ascii="Times New Roman" w:hAnsi="Times New Roman" w:cs="Times New Roman"/>
          <w:lang w:val="fr-FR"/>
        </w:rPr>
        <w:t xml:space="preserve">sur le prélèvement durable des oiseaux d'eau migrateurs </w:t>
      </w:r>
      <w:r w:rsidRPr="00403C55">
        <w:rPr>
          <w:rFonts w:ascii="Times New Roman" w:hAnsi="Times New Roman" w:cs="Times New Roman"/>
          <w:lang w:val="fr-FR"/>
        </w:rPr>
        <w:t>;</w:t>
      </w:r>
    </w:p>
    <w:p w14:paraId="61E583B4" w14:textId="77777777" w:rsidR="006F4C3B" w:rsidRPr="00403C55" w:rsidRDefault="006F4C3B" w:rsidP="006F4C3B">
      <w:pPr>
        <w:pStyle w:val="ListParagraph"/>
        <w:spacing w:after="0" w:line="240" w:lineRule="auto"/>
        <w:ind w:left="360"/>
        <w:jc w:val="both"/>
        <w:rPr>
          <w:rFonts w:ascii="Times New Roman" w:hAnsi="Times New Roman" w:cs="Times New Roman"/>
          <w:lang w:val="fr-FR"/>
        </w:rPr>
      </w:pPr>
    </w:p>
    <w:p w14:paraId="059B9ED1" w14:textId="1690A85C" w:rsidR="00E11BB7" w:rsidRPr="00403C55" w:rsidRDefault="00925828" w:rsidP="003356B2">
      <w:pPr>
        <w:pStyle w:val="ListParagraph"/>
        <w:numPr>
          <w:ilvl w:val="0"/>
          <w:numId w:val="10"/>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Assurer que</w:t>
      </w:r>
      <w:r w:rsidRPr="00403C55">
        <w:rPr>
          <w:rFonts w:ascii="Times New Roman" w:hAnsi="Times New Roman" w:cs="Times New Roman"/>
          <w:b/>
          <w:lang w:val="fr-FR"/>
        </w:rPr>
        <w:t xml:space="preserve"> les lignes directrices </w:t>
      </w:r>
      <w:r w:rsidR="0003562F">
        <w:rPr>
          <w:rFonts w:ascii="Times New Roman" w:hAnsi="Times New Roman" w:cs="Times New Roman"/>
          <w:b/>
          <w:lang w:val="fr-FR"/>
        </w:rPr>
        <w:t>de l’AEWA</w:t>
      </w:r>
      <w:r w:rsidRPr="00403C55">
        <w:rPr>
          <w:rFonts w:ascii="Times New Roman" w:hAnsi="Times New Roman" w:cs="Times New Roman"/>
          <w:b/>
          <w:lang w:val="fr-FR"/>
        </w:rPr>
        <w:t xml:space="preserve"> adoptées sont également prises en compte</w:t>
      </w:r>
      <w:r w:rsidR="00870983" w:rsidRPr="00403C55">
        <w:rPr>
          <w:rFonts w:ascii="Times New Roman" w:hAnsi="Times New Roman" w:cs="Times New Roman"/>
          <w:lang w:val="fr-FR"/>
        </w:rPr>
        <w:t>, le cas échéant</w:t>
      </w:r>
      <w:r w:rsidR="00870983">
        <w:rPr>
          <w:rFonts w:ascii="Times New Roman" w:hAnsi="Times New Roman" w:cs="Times New Roman"/>
          <w:lang w:val="fr-FR"/>
        </w:rPr>
        <w:t>,</w:t>
      </w:r>
      <w:r w:rsidRPr="00403C55">
        <w:rPr>
          <w:rFonts w:ascii="Times New Roman" w:hAnsi="Times New Roman" w:cs="Times New Roman"/>
          <w:b/>
          <w:lang w:val="fr-FR"/>
        </w:rPr>
        <w:t xml:space="preserve"> </w:t>
      </w:r>
      <w:r w:rsidRPr="00403C55">
        <w:rPr>
          <w:rFonts w:ascii="Times New Roman" w:hAnsi="Times New Roman" w:cs="Times New Roman"/>
          <w:lang w:val="fr-FR"/>
        </w:rPr>
        <w:t xml:space="preserve">au cours de la préparation de plans </w:t>
      </w:r>
      <w:r w:rsidR="0003562F">
        <w:rPr>
          <w:rFonts w:ascii="Times New Roman" w:hAnsi="Times New Roman" w:cs="Times New Roman"/>
          <w:lang w:val="fr-FR"/>
        </w:rPr>
        <w:t>d’action</w:t>
      </w:r>
      <w:r w:rsidRPr="00403C55">
        <w:rPr>
          <w:rFonts w:ascii="Times New Roman" w:hAnsi="Times New Roman" w:cs="Times New Roman"/>
          <w:lang w:val="fr-FR"/>
        </w:rPr>
        <w:t>, ainsi que lors de leur mise en œuvre.</w:t>
      </w:r>
    </w:p>
    <w:p w14:paraId="587FDA29" w14:textId="2A58A072" w:rsidR="00ED500F" w:rsidRPr="00403C55" w:rsidRDefault="00ED500F" w:rsidP="003356B2">
      <w:pPr>
        <w:pStyle w:val="ListParagraph"/>
        <w:numPr>
          <w:ilvl w:val="0"/>
          <w:numId w:val="10"/>
        </w:numPr>
        <w:spacing w:after="0" w:line="240" w:lineRule="auto"/>
        <w:jc w:val="both"/>
        <w:rPr>
          <w:rFonts w:ascii="Times New Roman" w:hAnsi="Times New Roman" w:cs="Times New Roman"/>
          <w:lang w:val="fr-FR"/>
        </w:rPr>
      </w:pPr>
      <w:r w:rsidRPr="00403C55">
        <w:rPr>
          <w:rFonts w:ascii="Times New Roman" w:hAnsi="Times New Roman" w:cs="Times New Roman"/>
          <w:sz w:val="20"/>
          <w:szCs w:val="20"/>
          <w:lang w:val="fr-FR"/>
        </w:rPr>
        <w:br w:type="page"/>
      </w:r>
    </w:p>
    <w:p w14:paraId="3BE131A2" w14:textId="7DC99C43" w:rsidR="009F48D2" w:rsidRPr="00403C55" w:rsidRDefault="00092665" w:rsidP="00DB5424">
      <w:pPr>
        <w:shd w:val="clear" w:color="auto" w:fill="B8CCE4" w:themeFill="accent1" w:themeFillTint="66"/>
        <w:spacing w:after="0" w:line="240" w:lineRule="auto"/>
        <w:rPr>
          <w:rFonts w:ascii="Times New Roman" w:hAnsi="Times New Roman" w:cs="Times New Roman"/>
          <w:sz w:val="24"/>
          <w:szCs w:val="24"/>
          <w:lang w:val="fr-FR"/>
        </w:rPr>
      </w:pPr>
      <w:r w:rsidRPr="00403C55">
        <w:rPr>
          <w:rFonts w:ascii="Times New Roman" w:hAnsi="Times New Roman" w:cs="Times New Roman"/>
          <w:sz w:val="24"/>
          <w:szCs w:val="24"/>
          <w:lang w:val="fr-FR"/>
        </w:rPr>
        <w:lastRenderedPageBreak/>
        <w:t xml:space="preserve">1. </w:t>
      </w:r>
      <w:r w:rsidR="00925828" w:rsidRPr="00403C55">
        <w:rPr>
          <w:rFonts w:ascii="Times New Roman" w:hAnsi="Times New Roman" w:cs="Times New Roman"/>
          <w:sz w:val="24"/>
          <w:szCs w:val="24"/>
          <w:lang w:val="fr-FR"/>
        </w:rPr>
        <w:t xml:space="preserve">Définition et statut juridique des plans </w:t>
      </w:r>
      <w:r w:rsidR="0003562F">
        <w:rPr>
          <w:rFonts w:ascii="Times New Roman" w:hAnsi="Times New Roman" w:cs="Times New Roman"/>
          <w:sz w:val="24"/>
          <w:szCs w:val="24"/>
          <w:lang w:val="fr-FR"/>
        </w:rPr>
        <w:t>d’action</w:t>
      </w:r>
      <w:r w:rsidR="00925828" w:rsidRPr="00403C55">
        <w:rPr>
          <w:rFonts w:ascii="Times New Roman" w:hAnsi="Times New Roman" w:cs="Times New Roman"/>
          <w:sz w:val="24"/>
          <w:szCs w:val="24"/>
          <w:lang w:val="fr-FR"/>
        </w:rPr>
        <w:t xml:space="preserve"> et de gestion internationaux par espèce </w:t>
      </w:r>
      <w:r w:rsidR="00870983">
        <w:rPr>
          <w:rFonts w:ascii="Times New Roman" w:hAnsi="Times New Roman" w:cs="Times New Roman"/>
          <w:sz w:val="24"/>
          <w:szCs w:val="24"/>
          <w:lang w:val="fr-FR"/>
        </w:rPr>
        <w:t>dans le cadre de</w:t>
      </w:r>
      <w:r w:rsidR="00925828" w:rsidRPr="00403C55">
        <w:rPr>
          <w:rFonts w:ascii="Times New Roman" w:hAnsi="Times New Roman" w:cs="Times New Roman"/>
          <w:sz w:val="24"/>
          <w:szCs w:val="24"/>
          <w:lang w:val="fr-FR"/>
        </w:rPr>
        <w:t xml:space="preserve"> l’AEWA</w:t>
      </w:r>
    </w:p>
    <w:p w14:paraId="4939EC6B" w14:textId="77777777" w:rsidR="00465AC4" w:rsidRPr="00403C55" w:rsidRDefault="00465AC4" w:rsidP="00DD77C1">
      <w:pPr>
        <w:spacing w:after="0" w:line="240" w:lineRule="auto"/>
        <w:jc w:val="both"/>
        <w:rPr>
          <w:rFonts w:ascii="Times New Roman" w:hAnsi="Times New Roman" w:cs="Times New Roman"/>
          <w:sz w:val="20"/>
          <w:szCs w:val="20"/>
          <w:lang w:val="fr-FR"/>
        </w:rPr>
      </w:pPr>
    </w:p>
    <w:p w14:paraId="4E2F932C" w14:textId="4DBA82CD" w:rsidR="001A6B39" w:rsidRPr="00403C55" w:rsidRDefault="00925828" w:rsidP="003356B2">
      <w:pPr>
        <w:pStyle w:val="ListParagraph"/>
        <w:numPr>
          <w:ilvl w:val="1"/>
          <w:numId w:val="1"/>
        </w:numPr>
        <w:shd w:val="clear" w:color="auto" w:fill="B8CCE4" w:themeFill="accent1" w:themeFillTint="66"/>
        <w:spacing w:after="0" w:line="240" w:lineRule="auto"/>
        <w:jc w:val="both"/>
        <w:rPr>
          <w:rFonts w:ascii="Times New Roman" w:hAnsi="Times New Roman" w:cs="Times New Roman"/>
          <w:b/>
          <w:lang w:val="fr-FR"/>
        </w:rPr>
      </w:pPr>
      <w:r w:rsidRPr="00403C55">
        <w:rPr>
          <w:rFonts w:ascii="Times New Roman" w:hAnsi="Times New Roman" w:cs="Times New Roman"/>
          <w:b/>
          <w:lang w:val="fr-FR"/>
        </w:rPr>
        <w:t>Définitions et portée</w:t>
      </w:r>
    </w:p>
    <w:p w14:paraId="122DD1B5" w14:textId="77777777" w:rsidR="001A6B39" w:rsidRPr="00403C55" w:rsidRDefault="001A6B39" w:rsidP="001A6B39">
      <w:pPr>
        <w:spacing w:after="0" w:line="240" w:lineRule="auto"/>
        <w:jc w:val="both"/>
        <w:rPr>
          <w:rFonts w:ascii="Times New Roman" w:hAnsi="Times New Roman" w:cs="Times New Roman"/>
          <w:b/>
          <w:sz w:val="20"/>
          <w:szCs w:val="20"/>
          <w:lang w:val="fr-FR"/>
        </w:rPr>
      </w:pPr>
    </w:p>
    <w:p w14:paraId="02D2D49D" w14:textId="66646ED4" w:rsidR="00FE5D51" w:rsidRPr="00403C55" w:rsidRDefault="00925828" w:rsidP="00FE5D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L’Accord prévoit la conservation et l’utilisation durable des oiseaux d'eau migrateurs par les Parties, ainsi que l'élaboration et l'adoption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pour les espèces/populations prioritaires.</w:t>
      </w:r>
      <w:r w:rsidR="000D0A7A" w:rsidRPr="00403C55">
        <w:rPr>
          <w:rFonts w:ascii="Times New Roman" w:hAnsi="Times New Roman" w:cs="Times New Roman"/>
          <w:lang w:val="fr-FR"/>
        </w:rPr>
        <w:t xml:space="preserve"> </w:t>
      </w:r>
      <w:r w:rsidRPr="00403C55">
        <w:rPr>
          <w:rFonts w:ascii="Times New Roman" w:hAnsi="Times New Roman" w:cs="Times New Roman"/>
          <w:lang w:val="fr-FR"/>
        </w:rPr>
        <w:t>L’outil convenant à chaque espèce/population dépend de son</w:t>
      </w:r>
      <w:r w:rsidR="00870983">
        <w:rPr>
          <w:rFonts w:ascii="Times New Roman" w:hAnsi="Times New Roman" w:cs="Times New Roman"/>
          <w:lang w:val="fr-FR"/>
        </w:rPr>
        <w:t xml:space="preserve"> statut en vertu de</w:t>
      </w:r>
      <w:r w:rsidRPr="00403C55">
        <w:rPr>
          <w:rFonts w:ascii="Times New Roman" w:hAnsi="Times New Roman" w:cs="Times New Roman"/>
          <w:lang w:val="fr-FR"/>
        </w:rPr>
        <w:t xml:space="preserve"> l’Accord.</w:t>
      </w:r>
      <w:r w:rsidR="00AC6E6F" w:rsidRPr="00403C55">
        <w:rPr>
          <w:rFonts w:ascii="Times New Roman" w:hAnsi="Times New Roman" w:cs="Times New Roman"/>
          <w:lang w:val="fr-FR"/>
        </w:rPr>
        <w:t xml:space="preserve"> </w:t>
      </w:r>
    </w:p>
    <w:p w14:paraId="6D3345ED" w14:textId="77777777" w:rsidR="00FE5D51" w:rsidRPr="00403C55" w:rsidRDefault="00FE5D51" w:rsidP="001A6B39">
      <w:pPr>
        <w:spacing w:after="0" w:line="240" w:lineRule="auto"/>
        <w:jc w:val="both"/>
        <w:rPr>
          <w:rFonts w:ascii="Times New Roman" w:hAnsi="Times New Roman" w:cs="Times New Roman"/>
          <w:b/>
          <w:lang w:val="fr-FR"/>
        </w:rPr>
      </w:pPr>
    </w:p>
    <w:p w14:paraId="630E8C75" w14:textId="7B3F7EC7" w:rsidR="009F48D2" w:rsidRPr="00403C55" w:rsidRDefault="00EF13BE" w:rsidP="001A6B39">
      <w:pPr>
        <w:spacing w:after="0" w:line="240" w:lineRule="auto"/>
        <w:jc w:val="both"/>
        <w:rPr>
          <w:rFonts w:ascii="Times New Roman" w:hAnsi="Times New Roman" w:cs="Times New Roman"/>
          <w:i/>
          <w:lang w:val="fr-FR"/>
        </w:rPr>
      </w:pPr>
      <w:r w:rsidRPr="00403C55">
        <w:rPr>
          <w:rFonts w:ascii="Times New Roman" w:hAnsi="Times New Roman" w:cs="Times New Roman"/>
          <w:lang w:val="fr-FR"/>
        </w:rPr>
        <w:t>1.1</w:t>
      </w:r>
      <w:r w:rsidR="001A6B39" w:rsidRPr="00403C55">
        <w:rPr>
          <w:rFonts w:ascii="Times New Roman" w:hAnsi="Times New Roman" w:cs="Times New Roman"/>
          <w:lang w:val="fr-FR"/>
        </w:rPr>
        <w:t xml:space="preserve">.1. </w:t>
      </w:r>
      <w:r w:rsidR="00925828" w:rsidRPr="00403C55">
        <w:rPr>
          <w:rFonts w:ascii="Times New Roman" w:hAnsi="Times New Roman" w:cs="Times New Roman"/>
          <w:i/>
          <w:lang w:val="fr-FR"/>
        </w:rPr>
        <w:t xml:space="preserve">Plans </w:t>
      </w:r>
      <w:r w:rsidR="0003562F">
        <w:rPr>
          <w:rFonts w:ascii="Times New Roman" w:hAnsi="Times New Roman" w:cs="Times New Roman"/>
          <w:i/>
          <w:lang w:val="fr-FR"/>
        </w:rPr>
        <w:t>d’action</w:t>
      </w:r>
      <w:r w:rsidR="00925828" w:rsidRPr="00403C55">
        <w:rPr>
          <w:rFonts w:ascii="Times New Roman" w:hAnsi="Times New Roman" w:cs="Times New Roman"/>
          <w:i/>
          <w:lang w:val="fr-FR"/>
        </w:rPr>
        <w:t xml:space="preserve"> internationaux par espèce</w:t>
      </w:r>
      <w:r w:rsidR="002E1349" w:rsidRPr="00403C55">
        <w:rPr>
          <w:rFonts w:ascii="Times New Roman" w:hAnsi="Times New Roman" w:cs="Times New Roman"/>
          <w:i/>
          <w:lang w:val="fr-FR"/>
        </w:rPr>
        <w:t xml:space="preserve"> </w:t>
      </w:r>
    </w:p>
    <w:p w14:paraId="402F62E9" w14:textId="77777777" w:rsidR="009F48D2" w:rsidRPr="00403C55" w:rsidRDefault="009F48D2" w:rsidP="00A426FF">
      <w:pPr>
        <w:spacing w:after="0" w:line="240" w:lineRule="auto"/>
        <w:rPr>
          <w:rFonts w:ascii="Times New Roman" w:hAnsi="Times New Roman" w:cs="Times New Roman"/>
          <w:b/>
          <w:lang w:val="fr-FR"/>
        </w:rPr>
      </w:pPr>
    </w:p>
    <w:p w14:paraId="74F24887" w14:textId="5A761F24" w:rsidR="00CB1EEF" w:rsidRPr="00403C55" w:rsidRDefault="00925828" w:rsidP="0099637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sont des plans de r</w:t>
      </w:r>
      <w:r w:rsidR="00FF75DA" w:rsidRPr="00403C55">
        <w:rPr>
          <w:rFonts w:ascii="Times New Roman" w:hAnsi="Times New Roman" w:cs="Times New Roman"/>
          <w:lang w:val="fr-FR"/>
        </w:rPr>
        <w:t>établissement</w:t>
      </w:r>
      <w:r w:rsidRPr="00403C55">
        <w:rPr>
          <w:rFonts w:ascii="Times New Roman" w:hAnsi="Times New Roman" w:cs="Times New Roman"/>
          <w:lang w:val="fr-FR"/>
        </w:rPr>
        <w:t xml:space="preserve"> visant à la conservation des espèces les plus menacées </w:t>
      </w:r>
      <w:r w:rsidR="00870983">
        <w:rPr>
          <w:rFonts w:ascii="Times New Roman" w:hAnsi="Times New Roman" w:cs="Times New Roman"/>
          <w:lang w:val="fr-FR"/>
        </w:rPr>
        <w:t>répertoriées dans les cadre de</w:t>
      </w:r>
      <w:r w:rsidRPr="00403C55">
        <w:rPr>
          <w:rFonts w:ascii="Times New Roman" w:hAnsi="Times New Roman" w:cs="Times New Roman"/>
          <w:lang w:val="fr-FR"/>
        </w:rPr>
        <w:t xml:space="preserve"> l’Accord, avec pour but de les rétablir dans un état de conservation favorable.</w:t>
      </w:r>
      <w:r w:rsidR="00397905" w:rsidRPr="00403C55">
        <w:rPr>
          <w:rFonts w:ascii="Times New Roman" w:hAnsi="Times New Roman" w:cs="Times New Roman"/>
          <w:lang w:val="fr-FR"/>
        </w:rPr>
        <w:t xml:space="preserve"> </w:t>
      </w:r>
    </w:p>
    <w:p w14:paraId="0DD5529D" w14:textId="77777777" w:rsidR="00CB1EEF" w:rsidRPr="00403C55" w:rsidRDefault="00CB1EEF" w:rsidP="0099637A">
      <w:pPr>
        <w:spacing w:after="0" w:line="240" w:lineRule="auto"/>
        <w:jc w:val="both"/>
        <w:rPr>
          <w:rFonts w:ascii="Times New Roman" w:hAnsi="Times New Roman" w:cs="Times New Roman"/>
          <w:lang w:val="fr-FR"/>
        </w:rPr>
      </w:pPr>
    </w:p>
    <w:p w14:paraId="4BCF1658" w14:textId="4B031211" w:rsidR="00B2598D" w:rsidRPr="00403C55" w:rsidRDefault="00925828" w:rsidP="0099637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w:t>
      </w:r>
      <w:r w:rsidR="00FF75DA" w:rsidRPr="00403C55">
        <w:rPr>
          <w:rFonts w:ascii="Times New Roman" w:hAnsi="Times New Roman" w:cs="Times New Roman"/>
          <w:lang w:val="fr-FR"/>
        </w:rPr>
        <w:t>p</w:t>
      </w:r>
      <w:r w:rsidRPr="00403C55">
        <w:rPr>
          <w:rFonts w:ascii="Times New Roman" w:hAnsi="Times New Roman" w:cs="Times New Roman"/>
          <w:lang w:val="fr-FR"/>
        </w:rPr>
        <w:t xml:space="preserve">aragraphe 2.2.1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 xml:space="preserve"> souligne que les Parties doivent élaborer et mettre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pour </w:t>
      </w:r>
      <w:r w:rsidR="00FF75DA" w:rsidRPr="00403C55">
        <w:rPr>
          <w:rFonts w:ascii="Times New Roman" w:hAnsi="Times New Roman" w:cs="Times New Roman"/>
          <w:lang w:val="fr-FR"/>
        </w:rPr>
        <w:t>l</w:t>
      </w:r>
      <w:r w:rsidRPr="00403C55">
        <w:rPr>
          <w:rFonts w:ascii="Times New Roman" w:hAnsi="Times New Roman" w:cs="Times New Roman"/>
          <w:lang w:val="fr-FR"/>
        </w:rPr>
        <w:t>es populations figurant dans la catégorie 1 de la colonne A du tableau 1, en priorité, ainsi que pour les populations signalées par un astérisque.</w:t>
      </w:r>
      <w:r w:rsidR="0030457F" w:rsidRPr="00403C55">
        <w:rPr>
          <w:rFonts w:ascii="Times New Roman" w:hAnsi="Times New Roman" w:cs="Times New Roman"/>
          <w:lang w:val="fr-FR"/>
        </w:rPr>
        <w:t xml:space="preserve"> </w:t>
      </w:r>
      <w:r w:rsidRPr="00403C55">
        <w:rPr>
          <w:rFonts w:ascii="Times New Roman" w:hAnsi="Times New Roman" w:cs="Times New Roman"/>
          <w:lang w:val="fr-FR"/>
        </w:rPr>
        <w:t xml:space="preserve">En outre, la cible 1.4 du Plan stratégique 2009-2017 </w:t>
      </w:r>
      <w:r w:rsidR="0003562F">
        <w:rPr>
          <w:rFonts w:ascii="Times New Roman" w:hAnsi="Times New Roman" w:cs="Times New Roman"/>
          <w:lang w:val="fr-FR"/>
        </w:rPr>
        <w:t>de l’AEWA</w:t>
      </w:r>
      <w:r w:rsidRPr="00403C55">
        <w:rPr>
          <w:rFonts w:ascii="Times New Roman" w:hAnsi="Times New Roman" w:cs="Times New Roman"/>
          <w:lang w:val="fr-FR"/>
        </w:rPr>
        <w:t xml:space="preserve"> spécifie que des </w:t>
      </w:r>
      <w:r w:rsidR="00FF75DA" w:rsidRPr="00403C55">
        <w:rPr>
          <w:rFonts w:ascii="Times New Roman" w:hAnsi="Times New Roman" w:cs="Times New Roman"/>
          <w:lang w:val="fr-FR"/>
        </w:rPr>
        <w:t>p</w:t>
      </w:r>
      <w:r w:rsidRPr="00403C55">
        <w:rPr>
          <w:rFonts w:ascii="Times New Roman" w:hAnsi="Times New Roman" w:cs="Times New Roman"/>
          <w:lang w:val="fr-FR"/>
        </w:rPr>
        <w:t xml:space="preserve">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 doivent être élaborés et mis en œuvre pour les espèces les plus menacées énumérées dans les catégorie</w:t>
      </w:r>
      <w:r w:rsidR="00FF75DA" w:rsidRPr="00403C55">
        <w:rPr>
          <w:rFonts w:ascii="Times New Roman" w:hAnsi="Times New Roman" w:cs="Times New Roman"/>
          <w:lang w:val="fr-FR"/>
        </w:rPr>
        <w:t>s</w:t>
      </w:r>
      <w:r w:rsidRPr="00403C55">
        <w:rPr>
          <w:rFonts w:ascii="Times New Roman" w:hAnsi="Times New Roman" w:cs="Times New Roman"/>
          <w:lang w:val="fr-FR"/>
        </w:rPr>
        <w:t xml:space="preserve"> 1</w:t>
      </w:r>
      <w:r w:rsidR="004876C2" w:rsidRPr="00403C55">
        <w:rPr>
          <w:rFonts w:ascii="Times New Roman" w:hAnsi="Times New Roman" w:cs="Times New Roman"/>
          <w:lang w:val="fr-FR"/>
        </w:rPr>
        <w:t>, 2 et 3,</w:t>
      </w:r>
      <w:r w:rsidRPr="00403C55">
        <w:rPr>
          <w:rFonts w:ascii="Times New Roman" w:hAnsi="Times New Roman" w:cs="Times New Roman"/>
          <w:lang w:val="fr-FR"/>
        </w:rPr>
        <w:t xml:space="preserve"> marquées d’un astérisque</w:t>
      </w:r>
      <w:r w:rsidR="00FF75DA" w:rsidRPr="00403C55">
        <w:rPr>
          <w:rFonts w:ascii="Times New Roman" w:hAnsi="Times New Roman" w:cs="Times New Roman"/>
          <w:lang w:val="fr-FR"/>
        </w:rPr>
        <w:t>,</w:t>
      </w:r>
      <w:r w:rsidRPr="00403C55">
        <w:rPr>
          <w:rFonts w:ascii="Times New Roman" w:hAnsi="Times New Roman" w:cs="Times New Roman"/>
          <w:lang w:val="fr-FR"/>
        </w:rPr>
        <w:t xml:space="preserve"> d</w:t>
      </w:r>
      <w:r w:rsidR="00FF75DA" w:rsidRPr="00403C55">
        <w:rPr>
          <w:rFonts w:ascii="Times New Roman" w:hAnsi="Times New Roman" w:cs="Times New Roman"/>
          <w:lang w:val="fr-FR"/>
        </w:rPr>
        <w:t>e</w:t>
      </w:r>
      <w:r w:rsidRPr="00403C55">
        <w:rPr>
          <w:rFonts w:ascii="Times New Roman" w:hAnsi="Times New Roman" w:cs="Times New Roman"/>
          <w:lang w:val="fr-FR"/>
        </w:rPr>
        <w:t xml:space="preserve"> la colonne A du </w:t>
      </w:r>
      <w:r w:rsidR="00B93593">
        <w:rPr>
          <w:rFonts w:ascii="Times New Roman" w:hAnsi="Times New Roman" w:cs="Times New Roman"/>
          <w:lang w:val="fr-FR"/>
        </w:rPr>
        <w:t>t</w:t>
      </w:r>
      <w:r w:rsidR="004876C2" w:rsidRPr="00403C55">
        <w:rPr>
          <w:rFonts w:ascii="Times New Roman" w:hAnsi="Times New Roman" w:cs="Times New Roman"/>
          <w:lang w:val="fr-FR"/>
        </w:rPr>
        <w:t xml:space="preserve">ableau 1 du Plan </w:t>
      </w:r>
      <w:r w:rsidR="0003562F">
        <w:rPr>
          <w:rFonts w:ascii="Times New Roman" w:hAnsi="Times New Roman" w:cs="Times New Roman"/>
          <w:lang w:val="fr-FR"/>
        </w:rPr>
        <w:t>d’action</w:t>
      </w:r>
      <w:r w:rsidR="004876C2" w:rsidRPr="00403C55">
        <w:rPr>
          <w:rFonts w:ascii="Times New Roman" w:hAnsi="Times New Roman" w:cs="Times New Roman"/>
          <w:lang w:val="fr-FR"/>
        </w:rPr>
        <w:t xml:space="preserve"> </w:t>
      </w:r>
      <w:r w:rsidR="0003562F">
        <w:rPr>
          <w:rFonts w:ascii="Times New Roman" w:hAnsi="Times New Roman" w:cs="Times New Roman"/>
          <w:lang w:val="fr-FR"/>
        </w:rPr>
        <w:t>de l’AEWA</w:t>
      </w:r>
      <w:r w:rsidR="004876C2" w:rsidRPr="00403C55">
        <w:rPr>
          <w:rFonts w:ascii="Times New Roman" w:hAnsi="Times New Roman" w:cs="Times New Roman"/>
          <w:lang w:val="fr-FR"/>
        </w:rPr>
        <w:t>.</w:t>
      </w:r>
    </w:p>
    <w:p w14:paraId="6299087B" w14:textId="77777777" w:rsidR="00B2598D" w:rsidRPr="00403C55" w:rsidRDefault="00B2598D" w:rsidP="0099637A">
      <w:pPr>
        <w:spacing w:after="0" w:line="240" w:lineRule="auto"/>
        <w:jc w:val="both"/>
        <w:rPr>
          <w:rFonts w:ascii="Times New Roman" w:hAnsi="Times New Roman" w:cs="Times New Roman"/>
          <w:lang w:val="fr-FR"/>
        </w:rPr>
      </w:pPr>
    </w:p>
    <w:p w14:paraId="23E740B6" w14:textId="4EBC2F4D" w:rsidR="00840CC5" w:rsidRPr="00403C55" w:rsidRDefault="008B6F64" w:rsidP="00840CC5">
      <w:pPr>
        <w:spacing w:after="0" w:line="240" w:lineRule="auto"/>
        <w:jc w:val="both"/>
        <w:rPr>
          <w:rFonts w:ascii="Times New Roman" w:hAnsi="Times New Roman" w:cs="Times New Roman"/>
          <w:lang w:val="fr-FR"/>
        </w:rPr>
      </w:pPr>
      <w:r w:rsidRPr="00B93593">
        <w:rPr>
          <w:rFonts w:ascii="Times New Roman" w:hAnsi="Times New Roman" w:cs="Times New Roman"/>
          <w:lang w:val="fr-FR"/>
        </w:rPr>
        <w:t>À titre d’exception</w:t>
      </w:r>
      <w:r w:rsidR="004876C2" w:rsidRPr="00B93593">
        <w:rPr>
          <w:rFonts w:ascii="Times New Roman" w:hAnsi="Times New Roman" w:cs="Times New Roman"/>
          <w:lang w:val="fr-FR"/>
        </w:rPr>
        <w:t xml:space="preserve">, </w:t>
      </w:r>
      <w:r w:rsidR="00B93593">
        <w:rPr>
          <w:rFonts w:ascii="Times New Roman" w:hAnsi="Times New Roman" w:cs="Times New Roman"/>
          <w:lang w:val="fr-FR"/>
        </w:rPr>
        <w:t>tel qu’</w:t>
      </w:r>
      <w:r w:rsidR="00FF75DA" w:rsidRPr="00B93593">
        <w:rPr>
          <w:rFonts w:ascii="Times New Roman" w:hAnsi="Times New Roman" w:cs="Times New Roman"/>
          <w:lang w:val="fr-FR"/>
        </w:rPr>
        <w:t>exposé</w:t>
      </w:r>
      <w:r w:rsidRPr="00B93593">
        <w:rPr>
          <w:rFonts w:ascii="Times New Roman" w:hAnsi="Times New Roman" w:cs="Times New Roman"/>
          <w:lang w:val="fr-FR"/>
        </w:rPr>
        <w:t xml:space="preserve"> au</w:t>
      </w:r>
      <w:r w:rsidR="004876C2" w:rsidRPr="00B93593">
        <w:rPr>
          <w:rFonts w:ascii="Times New Roman" w:hAnsi="Times New Roman" w:cs="Times New Roman"/>
          <w:lang w:val="fr-FR"/>
        </w:rPr>
        <w:t xml:space="preserve"> </w:t>
      </w:r>
      <w:r w:rsidR="00FF75DA" w:rsidRPr="00B93593">
        <w:rPr>
          <w:rFonts w:ascii="Times New Roman" w:hAnsi="Times New Roman" w:cs="Times New Roman"/>
          <w:lang w:val="fr-FR"/>
        </w:rPr>
        <w:t>p</w:t>
      </w:r>
      <w:r w:rsidR="004876C2" w:rsidRPr="00B93593">
        <w:rPr>
          <w:rFonts w:ascii="Times New Roman" w:hAnsi="Times New Roman" w:cs="Times New Roman"/>
          <w:lang w:val="fr-FR"/>
        </w:rPr>
        <w:t>aragraph</w:t>
      </w:r>
      <w:r w:rsidRPr="00B93593">
        <w:rPr>
          <w:rFonts w:ascii="Times New Roman" w:hAnsi="Times New Roman" w:cs="Times New Roman"/>
          <w:lang w:val="fr-FR"/>
        </w:rPr>
        <w:t>e</w:t>
      </w:r>
      <w:r w:rsidR="004876C2" w:rsidRPr="00B93593">
        <w:rPr>
          <w:rFonts w:ascii="Times New Roman" w:hAnsi="Times New Roman" w:cs="Times New Roman"/>
          <w:lang w:val="fr-FR"/>
        </w:rPr>
        <w:t xml:space="preserve"> 2.1.1 </w:t>
      </w:r>
      <w:r w:rsidRPr="00B93593">
        <w:rPr>
          <w:rFonts w:ascii="Times New Roman" w:hAnsi="Times New Roman" w:cs="Times New Roman"/>
          <w:lang w:val="fr-FR"/>
        </w:rPr>
        <w:t xml:space="preserve">du Plan </w:t>
      </w:r>
      <w:r w:rsidR="0003562F">
        <w:rPr>
          <w:rFonts w:ascii="Times New Roman" w:hAnsi="Times New Roman" w:cs="Times New Roman"/>
          <w:lang w:val="fr-FR"/>
        </w:rPr>
        <w:t>d’action</w:t>
      </w:r>
      <w:r w:rsidRPr="00B93593">
        <w:rPr>
          <w:rFonts w:ascii="Times New Roman" w:hAnsi="Times New Roman" w:cs="Times New Roman"/>
          <w:lang w:val="fr-FR"/>
        </w:rPr>
        <w:t xml:space="preserve"> </w:t>
      </w:r>
      <w:r w:rsidR="0003562F">
        <w:rPr>
          <w:rFonts w:ascii="Times New Roman" w:hAnsi="Times New Roman" w:cs="Times New Roman"/>
          <w:lang w:val="fr-FR"/>
        </w:rPr>
        <w:t>de l’AEWA</w:t>
      </w:r>
      <w:r w:rsidR="004876C2" w:rsidRPr="00B93593">
        <w:rPr>
          <w:rFonts w:ascii="Times New Roman" w:hAnsi="Times New Roman" w:cs="Times New Roman"/>
          <w:lang w:val="fr-FR"/>
        </w:rPr>
        <w:t xml:space="preserve">, </w:t>
      </w:r>
      <w:r w:rsidRPr="00B93593">
        <w:rPr>
          <w:rFonts w:ascii="Times New Roman" w:hAnsi="Times New Roman" w:cs="Times New Roman"/>
          <w:lang w:val="fr-FR"/>
        </w:rPr>
        <w:t xml:space="preserve">les plans </w:t>
      </w:r>
      <w:r w:rsidR="0003562F">
        <w:rPr>
          <w:rFonts w:ascii="Times New Roman" w:hAnsi="Times New Roman" w:cs="Times New Roman"/>
          <w:lang w:val="fr-FR"/>
        </w:rPr>
        <w:t>d’action</w:t>
      </w:r>
      <w:r w:rsidRPr="00B93593">
        <w:rPr>
          <w:rFonts w:ascii="Times New Roman" w:hAnsi="Times New Roman" w:cs="Times New Roman"/>
          <w:lang w:val="fr-FR"/>
        </w:rPr>
        <w:t xml:space="preserve"> par espèce</w:t>
      </w:r>
      <w:r w:rsidR="00FF75DA" w:rsidRPr="00B93593">
        <w:rPr>
          <w:rFonts w:ascii="Times New Roman" w:hAnsi="Times New Roman" w:cs="Times New Roman"/>
          <w:lang w:val="fr-FR"/>
        </w:rPr>
        <w:t xml:space="preserve"> </w:t>
      </w:r>
      <w:r w:rsidRPr="00B93593">
        <w:rPr>
          <w:rFonts w:ascii="Times New Roman" w:hAnsi="Times New Roman" w:cs="Times New Roman"/>
          <w:lang w:val="fr-FR"/>
        </w:rPr>
        <w:t>peuvent également inclure des éléments d’utilisation durable</w:t>
      </w:r>
      <w:r w:rsidR="004876C2" w:rsidRPr="00B93593">
        <w:rPr>
          <w:rFonts w:ascii="Times New Roman" w:hAnsi="Times New Roman" w:cs="Times New Roman"/>
          <w:lang w:val="fr-FR"/>
        </w:rPr>
        <w:t>.</w:t>
      </w:r>
      <w:r w:rsidR="00840CC5" w:rsidRPr="00B93593">
        <w:rPr>
          <w:rFonts w:ascii="Times New Roman" w:hAnsi="Times New Roman" w:cs="Times New Roman"/>
          <w:lang w:val="fr-FR"/>
        </w:rPr>
        <w:t xml:space="preserve"> </w:t>
      </w:r>
      <w:r w:rsidRPr="00B93593">
        <w:rPr>
          <w:rFonts w:ascii="Times New Roman" w:hAnsi="Times New Roman" w:cs="Times New Roman"/>
          <w:lang w:val="fr-FR"/>
        </w:rPr>
        <w:t>Ceci s’applique aux populations figurant dans les catégories 2 et 3 de la colonne A et à celles marquées d’un astérisque, ainsi qu’aux populations figurant dans la catégorie 4 de la colonne A.</w:t>
      </w:r>
      <w:r w:rsidR="00840CC5" w:rsidRPr="00B93593">
        <w:rPr>
          <w:rFonts w:ascii="Times New Roman" w:hAnsi="Times New Roman" w:cs="Times New Roman"/>
          <w:lang w:val="fr-FR"/>
        </w:rPr>
        <w:t xml:space="preserve"> </w:t>
      </w:r>
      <w:r w:rsidRPr="00B93593">
        <w:rPr>
          <w:rFonts w:ascii="Times New Roman" w:hAnsi="Times New Roman" w:cs="Times New Roman"/>
          <w:lang w:val="fr-FR"/>
        </w:rPr>
        <w:t xml:space="preserve">Pour ces populations, la chasse peut se poursuivre sur une base d’utilisation durable – mais seulement dans le cadre d’un plan </w:t>
      </w:r>
      <w:r w:rsidR="0003562F">
        <w:rPr>
          <w:rFonts w:ascii="Times New Roman" w:hAnsi="Times New Roman" w:cs="Times New Roman"/>
          <w:lang w:val="fr-FR"/>
        </w:rPr>
        <w:t>d’action</w:t>
      </w:r>
      <w:r w:rsidRPr="00B93593">
        <w:rPr>
          <w:rFonts w:ascii="Times New Roman" w:hAnsi="Times New Roman" w:cs="Times New Roman"/>
          <w:lang w:val="fr-FR"/>
        </w:rPr>
        <w:t xml:space="preserve"> international par espèce.</w:t>
      </w:r>
      <w:r w:rsidR="00840CC5" w:rsidRPr="00B93593">
        <w:rPr>
          <w:rFonts w:ascii="Times New Roman" w:hAnsi="Times New Roman" w:cs="Times New Roman"/>
          <w:lang w:val="fr-FR"/>
        </w:rPr>
        <w:t xml:space="preserve"> </w:t>
      </w:r>
      <w:r w:rsidRPr="00B93593">
        <w:rPr>
          <w:rFonts w:ascii="Times New Roman" w:hAnsi="Times New Roman" w:cs="Times New Roman"/>
          <w:lang w:val="fr-FR"/>
        </w:rPr>
        <w:t>Malgré l’élément éventuel d’utilisation durable, comme l’espèce/la popul</w:t>
      </w:r>
      <w:r w:rsidR="00B93593" w:rsidRPr="00B93593">
        <w:rPr>
          <w:rFonts w:ascii="Times New Roman" w:hAnsi="Times New Roman" w:cs="Times New Roman"/>
          <w:lang w:val="fr-FR"/>
        </w:rPr>
        <w:t>ation figure à la colonne A du t</w:t>
      </w:r>
      <w:r w:rsidRPr="00B93593">
        <w:rPr>
          <w:rFonts w:ascii="Times New Roman" w:hAnsi="Times New Roman" w:cs="Times New Roman"/>
          <w:lang w:val="fr-FR"/>
        </w:rPr>
        <w:t xml:space="preserve">ableau 1, l’outil approprié demeure un plan de rétablissement dont les possibilités et modalités </w:t>
      </w:r>
      <w:r w:rsidR="00FF75DA" w:rsidRPr="00B93593">
        <w:rPr>
          <w:rFonts w:ascii="Times New Roman" w:hAnsi="Times New Roman" w:cs="Times New Roman"/>
          <w:lang w:val="fr-FR"/>
        </w:rPr>
        <w:t>d’u</w:t>
      </w:r>
      <w:r w:rsidRPr="00B93593">
        <w:rPr>
          <w:rFonts w:ascii="Times New Roman" w:hAnsi="Times New Roman" w:cs="Times New Roman"/>
          <w:lang w:val="fr-FR"/>
        </w:rPr>
        <w:t>tilisation durable continue de la population en question restent à déterminer.</w:t>
      </w:r>
      <w:r w:rsidR="00840CC5" w:rsidRPr="00403C55">
        <w:rPr>
          <w:rFonts w:ascii="Times New Roman" w:hAnsi="Times New Roman" w:cs="Times New Roman"/>
          <w:lang w:val="fr-FR"/>
        </w:rPr>
        <w:t xml:space="preserve"> </w:t>
      </w:r>
    </w:p>
    <w:p w14:paraId="79AA3A6A" w14:textId="77777777" w:rsidR="009F48D2" w:rsidRPr="00403C55" w:rsidRDefault="009F48D2" w:rsidP="00A426FF">
      <w:pPr>
        <w:spacing w:after="0" w:line="240" w:lineRule="auto"/>
        <w:rPr>
          <w:rFonts w:ascii="Times New Roman" w:hAnsi="Times New Roman" w:cs="Times New Roman"/>
          <w:lang w:val="fr-FR"/>
        </w:rPr>
      </w:pPr>
    </w:p>
    <w:p w14:paraId="128FEC79" w14:textId="4818DF79" w:rsidR="002E1349" w:rsidRPr="00403C55" w:rsidRDefault="00EF13BE" w:rsidP="00A426FF">
      <w:pPr>
        <w:spacing w:after="0" w:line="240" w:lineRule="auto"/>
        <w:rPr>
          <w:rFonts w:ascii="Times New Roman" w:hAnsi="Times New Roman" w:cs="Times New Roman"/>
          <w:lang w:val="fr-FR"/>
        </w:rPr>
      </w:pPr>
      <w:r w:rsidRPr="00403C55">
        <w:rPr>
          <w:rFonts w:ascii="Times New Roman" w:hAnsi="Times New Roman" w:cs="Times New Roman"/>
          <w:lang w:val="fr-FR"/>
        </w:rPr>
        <w:t>1.1</w:t>
      </w:r>
      <w:r w:rsidR="001A6B39" w:rsidRPr="00403C55">
        <w:rPr>
          <w:rFonts w:ascii="Times New Roman" w:hAnsi="Times New Roman" w:cs="Times New Roman"/>
          <w:lang w:val="fr-FR"/>
        </w:rPr>
        <w:t>.</w:t>
      </w:r>
      <w:r w:rsidRPr="00403C55">
        <w:rPr>
          <w:rFonts w:ascii="Times New Roman" w:hAnsi="Times New Roman" w:cs="Times New Roman"/>
          <w:lang w:val="fr-FR"/>
        </w:rPr>
        <w:t>2.</w:t>
      </w:r>
      <w:r w:rsidR="001A6B39" w:rsidRPr="00403C55">
        <w:rPr>
          <w:rFonts w:ascii="Times New Roman" w:hAnsi="Times New Roman" w:cs="Times New Roman"/>
          <w:lang w:val="fr-FR"/>
        </w:rPr>
        <w:t xml:space="preserve"> </w:t>
      </w:r>
      <w:r w:rsidR="008B6F64" w:rsidRPr="00403C55">
        <w:rPr>
          <w:rFonts w:ascii="Times New Roman" w:hAnsi="Times New Roman" w:cs="Times New Roman"/>
          <w:i/>
          <w:lang w:val="fr-FR"/>
        </w:rPr>
        <w:t>Plans de gestion internationaux par espèce</w:t>
      </w:r>
    </w:p>
    <w:p w14:paraId="366F8A17" w14:textId="77777777" w:rsidR="002E1349" w:rsidRPr="00403C55" w:rsidRDefault="002E1349" w:rsidP="00A426FF">
      <w:pPr>
        <w:spacing w:after="0" w:line="240" w:lineRule="auto"/>
        <w:rPr>
          <w:rFonts w:ascii="Times New Roman" w:hAnsi="Times New Roman" w:cs="Times New Roman"/>
          <w:lang w:val="fr-FR"/>
        </w:rPr>
      </w:pPr>
    </w:p>
    <w:p w14:paraId="70116DAB" w14:textId="09FD0172" w:rsidR="00F953DA" w:rsidRPr="00403C55" w:rsidRDefault="008B6F64" w:rsidP="00F953D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de gestion internationaux par espèce sont des plans </w:t>
      </w:r>
      <w:r w:rsidR="00FF75DA" w:rsidRPr="00403C55">
        <w:rPr>
          <w:rFonts w:ascii="Times New Roman" w:hAnsi="Times New Roman" w:cs="Times New Roman"/>
          <w:lang w:val="fr-FR"/>
        </w:rPr>
        <w:t xml:space="preserve">soit </w:t>
      </w:r>
      <w:r w:rsidRPr="00403C55">
        <w:rPr>
          <w:rFonts w:ascii="Times New Roman" w:hAnsi="Times New Roman" w:cs="Times New Roman"/>
          <w:lang w:val="fr-FR"/>
        </w:rPr>
        <w:t>qui prévoient une utilisation durable</w:t>
      </w:r>
      <w:r w:rsidR="00870983">
        <w:rPr>
          <w:rFonts w:ascii="Times New Roman" w:hAnsi="Times New Roman" w:cs="Times New Roman"/>
          <w:lang w:val="fr-FR"/>
        </w:rPr>
        <w:t>,</w:t>
      </w:r>
      <w:r w:rsidRPr="00403C55">
        <w:rPr>
          <w:rFonts w:ascii="Times New Roman" w:hAnsi="Times New Roman" w:cs="Times New Roman"/>
          <w:lang w:val="fr-FR"/>
        </w:rPr>
        <w:t xml:space="preserve"> au niveau de la voie de migration, </w:t>
      </w:r>
      <w:r w:rsidR="00870983" w:rsidRPr="00403C55">
        <w:rPr>
          <w:rFonts w:ascii="Times New Roman" w:hAnsi="Times New Roman" w:cs="Times New Roman"/>
          <w:lang w:val="fr-FR"/>
        </w:rPr>
        <w:t xml:space="preserve">des populations citées </w:t>
      </w:r>
      <w:r w:rsidR="00870983">
        <w:rPr>
          <w:rFonts w:ascii="Times New Roman" w:hAnsi="Times New Roman" w:cs="Times New Roman"/>
          <w:lang w:val="fr-FR"/>
        </w:rPr>
        <w:t>couvertes par</w:t>
      </w:r>
      <w:r w:rsidR="00870983" w:rsidRPr="00403C55">
        <w:rPr>
          <w:rFonts w:ascii="Times New Roman" w:hAnsi="Times New Roman" w:cs="Times New Roman"/>
          <w:lang w:val="fr-FR"/>
        </w:rPr>
        <w:t xml:space="preserve"> l’Accord</w:t>
      </w:r>
      <w:r w:rsidR="00870983">
        <w:rPr>
          <w:rFonts w:ascii="Times New Roman" w:hAnsi="Times New Roman" w:cs="Times New Roman"/>
          <w:lang w:val="fr-FR"/>
        </w:rPr>
        <w:t>,</w:t>
      </w:r>
      <w:r w:rsidR="00870983" w:rsidRPr="00403C55">
        <w:rPr>
          <w:rFonts w:ascii="Times New Roman" w:hAnsi="Times New Roman" w:cs="Times New Roman"/>
          <w:lang w:val="fr-FR"/>
        </w:rPr>
        <w:t xml:space="preserve"> </w:t>
      </w:r>
      <w:r w:rsidRPr="00403C55">
        <w:rPr>
          <w:rFonts w:ascii="Times New Roman" w:hAnsi="Times New Roman" w:cs="Times New Roman"/>
          <w:lang w:val="fr-FR"/>
        </w:rPr>
        <w:t>sur la base d’une gestion adaptative du prélèvement, soit qui traitent de populations</w:t>
      </w:r>
      <w:r w:rsidR="005E36F7" w:rsidRPr="00403C55">
        <w:rPr>
          <w:rFonts w:ascii="Times New Roman" w:hAnsi="Times New Roman" w:cs="Times New Roman"/>
          <w:lang w:val="fr-FR"/>
        </w:rPr>
        <w:t xml:space="preserve"> causant des dommages importants</w:t>
      </w:r>
      <w:r w:rsidRPr="00403C55">
        <w:rPr>
          <w:rFonts w:ascii="Times New Roman" w:hAnsi="Times New Roman" w:cs="Times New Roman"/>
          <w:lang w:val="fr-FR"/>
        </w:rPr>
        <w:t xml:space="preserve"> </w:t>
      </w:r>
      <w:r w:rsidR="005E36F7" w:rsidRPr="00403C55">
        <w:rPr>
          <w:rFonts w:ascii="Times New Roman" w:hAnsi="Times New Roman" w:cs="Times New Roman"/>
          <w:lang w:val="fr-FR"/>
        </w:rPr>
        <w:t>et qui peuvent ou ne peuvent pas être chassées</w:t>
      </w:r>
      <w:r w:rsidRPr="00403C55">
        <w:rPr>
          <w:rFonts w:ascii="Times New Roman" w:hAnsi="Times New Roman" w:cs="Times New Roman"/>
          <w:lang w:val="fr-FR"/>
        </w:rPr>
        <w:t>.</w:t>
      </w:r>
    </w:p>
    <w:p w14:paraId="67A926BD" w14:textId="77777777" w:rsidR="00F953DA" w:rsidRPr="00403C55" w:rsidRDefault="00F953DA" w:rsidP="00F953DA">
      <w:pPr>
        <w:spacing w:after="0" w:line="240" w:lineRule="auto"/>
        <w:jc w:val="both"/>
        <w:rPr>
          <w:rFonts w:ascii="Times New Roman" w:hAnsi="Times New Roman" w:cs="Times New Roman"/>
          <w:lang w:val="fr-FR"/>
        </w:rPr>
      </w:pPr>
    </w:p>
    <w:p w14:paraId="5F4016F8" w14:textId="21DC534E" w:rsidR="00F953DA" w:rsidRPr="00403C55" w:rsidRDefault="005E36F7" w:rsidP="00F953D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gestion des populations d'oiseaux d'eau est requise au paragraphe 4.3.4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 xml:space="preserve">, stipulant que les Parties devront coopérer en vue de l’élaboration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pour les populations causant des dommages importants, notamment aux cultures et à la pêche.</w:t>
      </w:r>
      <w:r w:rsidR="00F953DA" w:rsidRPr="00403C55">
        <w:rPr>
          <w:rFonts w:ascii="Times New Roman" w:hAnsi="Times New Roman" w:cs="Times New Roman"/>
          <w:lang w:val="fr-FR"/>
        </w:rPr>
        <w:t xml:space="preserve"> </w:t>
      </w:r>
      <w:r w:rsidRPr="00403C55">
        <w:rPr>
          <w:rFonts w:ascii="Times New Roman" w:hAnsi="Times New Roman" w:cs="Times New Roman"/>
          <w:lang w:val="fr-FR"/>
        </w:rPr>
        <w:t xml:space="preserve">De plus, la cible 2.5 du Plan Stratégique 2009-2017 </w:t>
      </w:r>
      <w:r w:rsidR="0003562F">
        <w:rPr>
          <w:rFonts w:ascii="Times New Roman" w:hAnsi="Times New Roman" w:cs="Times New Roman"/>
          <w:lang w:val="fr-FR"/>
        </w:rPr>
        <w:t>de l’AEWA</w:t>
      </w:r>
      <w:r w:rsidRPr="00403C55">
        <w:rPr>
          <w:rFonts w:ascii="Times New Roman" w:hAnsi="Times New Roman" w:cs="Times New Roman"/>
          <w:lang w:val="fr-FR"/>
        </w:rPr>
        <w:t xml:space="preserve"> déclare que des plans internationaux de gestion du prélèvement doivent être élaborés et mis en œuvre pour au moins deux populations de proies.</w:t>
      </w:r>
      <w:r w:rsidR="00F953DA" w:rsidRPr="00403C55">
        <w:rPr>
          <w:rFonts w:ascii="Times New Roman" w:hAnsi="Times New Roman" w:cs="Times New Roman"/>
          <w:lang w:val="fr-FR"/>
        </w:rPr>
        <w:t xml:space="preserve"> </w:t>
      </w:r>
    </w:p>
    <w:p w14:paraId="38BE2107" w14:textId="77777777" w:rsidR="00F953DA" w:rsidRPr="00403C55" w:rsidRDefault="00F953DA" w:rsidP="00F953DA">
      <w:pPr>
        <w:spacing w:after="0" w:line="240" w:lineRule="auto"/>
        <w:jc w:val="both"/>
        <w:rPr>
          <w:rFonts w:ascii="Times New Roman" w:hAnsi="Times New Roman" w:cs="Times New Roman"/>
          <w:sz w:val="20"/>
          <w:szCs w:val="20"/>
          <w:lang w:val="fr-FR"/>
        </w:rPr>
      </w:pPr>
    </w:p>
    <w:p w14:paraId="7105E9D3" w14:textId="6534EF87" w:rsidR="001A6B39" w:rsidRPr="00403C55" w:rsidRDefault="005E36F7" w:rsidP="003356B2">
      <w:pPr>
        <w:pStyle w:val="ListParagraph"/>
        <w:numPr>
          <w:ilvl w:val="1"/>
          <w:numId w:val="1"/>
        </w:numPr>
        <w:shd w:val="clear" w:color="auto" w:fill="B8CCE4" w:themeFill="accent1" w:themeFillTint="66"/>
        <w:spacing w:after="0" w:line="240" w:lineRule="auto"/>
        <w:jc w:val="both"/>
        <w:rPr>
          <w:rFonts w:ascii="Times New Roman" w:hAnsi="Times New Roman" w:cs="Times New Roman"/>
          <w:b/>
          <w:lang w:val="fr-FR"/>
        </w:rPr>
      </w:pPr>
      <w:r w:rsidRPr="00403C55">
        <w:rPr>
          <w:rFonts w:ascii="Times New Roman" w:hAnsi="Times New Roman" w:cs="Times New Roman"/>
          <w:b/>
          <w:lang w:val="fr-FR"/>
        </w:rPr>
        <w:t>Statu</w:t>
      </w:r>
      <w:r w:rsidR="00FF75DA" w:rsidRPr="00403C55">
        <w:rPr>
          <w:rFonts w:ascii="Times New Roman" w:hAnsi="Times New Roman" w:cs="Times New Roman"/>
          <w:b/>
          <w:lang w:val="fr-FR"/>
        </w:rPr>
        <w:t>t</w:t>
      </w:r>
      <w:r w:rsidRPr="00403C55">
        <w:rPr>
          <w:rFonts w:ascii="Times New Roman" w:hAnsi="Times New Roman" w:cs="Times New Roman"/>
          <w:b/>
          <w:lang w:val="fr-FR"/>
        </w:rPr>
        <w:t xml:space="preserve"> juridique</w:t>
      </w:r>
    </w:p>
    <w:p w14:paraId="0AE82D28" w14:textId="77777777" w:rsidR="001A6B39" w:rsidRPr="00403C55" w:rsidRDefault="001A6B39" w:rsidP="001A6B39">
      <w:pPr>
        <w:spacing w:after="0" w:line="240" w:lineRule="auto"/>
        <w:jc w:val="both"/>
        <w:rPr>
          <w:rFonts w:ascii="Times New Roman" w:hAnsi="Times New Roman" w:cs="Times New Roman"/>
          <w:sz w:val="20"/>
          <w:szCs w:val="20"/>
          <w:lang w:val="fr-FR"/>
        </w:rPr>
      </w:pPr>
    </w:p>
    <w:p w14:paraId="34C5AD07" w14:textId="56C94C77" w:rsidR="0075091C" w:rsidRPr="00403C55" w:rsidRDefault="005E36F7" w:rsidP="00B33D5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adoptés par la Réunion des Parties à l’AEWA sont des documents opérationnels dérivés du texte juridique de l’Accord (paragraphes 2.2.1 et 4.3.4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00403C55" w:rsidRPr="00403C55">
        <w:rPr>
          <w:rFonts w:ascii="Times New Roman" w:hAnsi="Times New Roman" w:cs="Times New Roman"/>
          <w:lang w:val="fr-FR"/>
        </w:rPr>
        <w:t>)</w:t>
      </w:r>
      <w:r w:rsidRPr="00403C55">
        <w:rPr>
          <w:rFonts w:ascii="Times New Roman" w:hAnsi="Times New Roman" w:cs="Times New Roman"/>
          <w:lang w:val="fr-FR"/>
        </w:rPr>
        <w:t xml:space="preserve"> et </w:t>
      </w:r>
      <w:r w:rsidR="00FF75DA" w:rsidRPr="00403C55">
        <w:rPr>
          <w:rFonts w:ascii="Times New Roman" w:hAnsi="Times New Roman" w:cs="Times New Roman"/>
          <w:lang w:val="fr-FR"/>
        </w:rPr>
        <w:t xml:space="preserve">ils </w:t>
      </w:r>
      <w:r w:rsidRPr="00403C55">
        <w:rPr>
          <w:rFonts w:ascii="Times New Roman" w:hAnsi="Times New Roman" w:cs="Times New Roman"/>
          <w:lang w:val="fr-FR"/>
        </w:rPr>
        <w:t>doivent par conséquent être mis en œuvre par les Parties.</w:t>
      </w:r>
      <w:r w:rsidR="003A336A" w:rsidRPr="00403C55">
        <w:rPr>
          <w:rFonts w:ascii="Times New Roman" w:hAnsi="Times New Roman" w:cs="Times New Roman"/>
          <w:lang w:val="fr-FR"/>
        </w:rPr>
        <w:t xml:space="preserve"> </w:t>
      </w:r>
    </w:p>
    <w:p w14:paraId="721485F4" w14:textId="77777777" w:rsidR="0075091C" w:rsidRPr="00403C55" w:rsidRDefault="0075091C" w:rsidP="00B33D52">
      <w:pPr>
        <w:spacing w:after="0" w:line="240" w:lineRule="auto"/>
        <w:jc w:val="both"/>
        <w:rPr>
          <w:rFonts w:ascii="Times New Roman" w:hAnsi="Times New Roman" w:cs="Times New Roman"/>
          <w:lang w:val="fr-FR"/>
        </w:rPr>
      </w:pPr>
    </w:p>
    <w:p w14:paraId="5498A820" w14:textId="6BD29CC9" w:rsidR="00B33D52" w:rsidRPr="00403C55" w:rsidRDefault="005E36F7" w:rsidP="00B33D5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Contrairement au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 ces plans spécifiques à une espèce (ou population) ne sont pas directement contraignants.</w:t>
      </w:r>
      <w:r w:rsidR="00B33D52" w:rsidRPr="00403C55">
        <w:rPr>
          <w:rFonts w:ascii="Times New Roman" w:hAnsi="Times New Roman" w:cs="Times New Roman"/>
          <w:lang w:val="fr-FR"/>
        </w:rPr>
        <w:t xml:space="preserve"> </w:t>
      </w:r>
      <w:r w:rsidRPr="00403C55">
        <w:rPr>
          <w:rFonts w:ascii="Times New Roman" w:hAnsi="Times New Roman" w:cs="Times New Roman"/>
          <w:lang w:val="fr-FR"/>
        </w:rPr>
        <w:t>Ceci dit, ces plans</w:t>
      </w:r>
      <w:r w:rsidR="00985A4E">
        <w:rPr>
          <w:rFonts w:ascii="Times New Roman" w:hAnsi="Times New Roman" w:cs="Times New Roman"/>
          <w:lang w:val="fr-FR"/>
        </w:rPr>
        <w:t xml:space="preserve"> </w:t>
      </w:r>
      <w:r w:rsidRPr="00403C55">
        <w:rPr>
          <w:rFonts w:ascii="Times New Roman" w:hAnsi="Times New Roman" w:cs="Times New Roman"/>
          <w:lang w:val="fr-FR"/>
        </w:rPr>
        <w:t>ne sont pas simplement des recommandations.</w:t>
      </w:r>
      <w:r w:rsidR="00B33D52"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Parties ont l’obligation de coopérer en vue de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w:t>
      </w:r>
      <w:r w:rsidR="00B33D52" w:rsidRPr="00403C55">
        <w:rPr>
          <w:rFonts w:ascii="Times New Roman" w:hAnsi="Times New Roman" w:cs="Times New Roman"/>
          <w:lang w:val="fr-FR"/>
        </w:rPr>
        <w:t xml:space="preserve"> </w:t>
      </w:r>
      <w:r w:rsidRPr="00403C55">
        <w:rPr>
          <w:rFonts w:ascii="Times New Roman" w:hAnsi="Times New Roman" w:cs="Times New Roman"/>
          <w:lang w:val="fr-FR"/>
        </w:rPr>
        <w:t>S</w:t>
      </w:r>
      <w:r w:rsidR="00AF2A2A" w:rsidRPr="00403C55">
        <w:rPr>
          <w:rFonts w:ascii="Times New Roman" w:hAnsi="Times New Roman" w:cs="Times New Roman"/>
          <w:lang w:val="fr-FR"/>
        </w:rPr>
        <w:t xml:space="preserve">i une </w:t>
      </w:r>
      <w:r w:rsidRPr="00403C55">
        <w:rPr>
          <w:rFonts w:ascii="Times New Roman" w:hAnsi="Times New Roman" w:cs="Times New Roman"/>
          <w:lang w:val="fr-FR"/>
        </w:rPr>
        <w:t>Part</w:t>
      </w:r>
      <w:r w:rsidR="00AF2A2A" w:rsidRPr="00403C55">
        <w:rPr>
          <w:rFonts w:ascii="Times New Roman" w:hAnsi="Times New Roman" w:cs="Times New Roman"/>
          <w:lang w:val="fr-FR"/>
        </w:rPr>
        <w:t xml:space="preserve">ie à laquelle un Plan </w:t>
      </w:r>
      <w:r w:rsidR="0003562F">
        <w:rPr>
          <w:rFonts w:ascii="Times New Roman" w:hAnsi="Times New Roman" w:cs="Times New Roman"/>
          <w:lang w:val="fr-FR"/>
        </w:rPr>
        <w:t>d’action</w:t>
      </w:r>
      <w:r w:rsidR="00AF2A2A" w:rsidRPr="00403C55">
        <w:rPr>
          <w:rFonts w:ascii="Times New Roman" w:hAnsi="Times New Roman" w:cs="Times New Roman"/>
          <w:lang w:val="fr-FR"/>
        </w:rPr>
        <w:t xml:space="preserve"> international par espèce s’applique</w:t>
      </w:r>
      <w:r w:rsidRPr="00403C55">
        <w:rPr>
          <w:rFonts w:ascii="Times New Roman" w:hAnsi="Times New Roman" w:cs="Times New Roman"/>
          <w:lang w:val="fr-FR"/>
        </w:rPr>
        <w:t xml:space="preserve"> </w:t>
      </w:r>
      <w:r w:rsidR="00AF2A2A" w:rsidRPr="00403C55">
        <w:rPr>
          <w:rFonts w:ascii="Times New Roman" w:hAnsi="Times New Roman" w:cs="Times New Roman"/>
          <w:lang w:val="fr-FR"/>
        </w:rPr>
        <w:t xml:space="preserve">ne fait aucun </w:t>
      </w:r>
      <w:r w:rsidR="00AF2A2A" w:rsidRPr="00403C55">
        <w:rPr>
          <w:rFonts w:ascii="Times New Roman" w:hAnsi="Times New Roman" w:cs="Times New Roman"/>
          <w:lang w:val="fr-FR"/>
        </w:rPr>
        <w:lastRenderedPageBreak/>
        <w:t>effort</w:t>
      </w:r>
      <w:r w:rsidRPr="00403C55">
        <w:rPr>
          <w:rFonts w:ascii="Times New Roman" w:hAnsi="Times New Roman" w:cs="Times New Roman"/>
          <w:lang w:val="fr-FR"/>
        </w:rPr>
        <w:t xml:space="preserve"> </w:t>
      </w:r>
      <w:r w:rsidR="00AF2A2A" w:rsidRPr="00403C55">
        <w:rPr>
          <w:rFonts w:ascii="Times New Roman" w:hAnsi="Times New Roman" w:cs="Times New Roman"/>
          <w:lang w:val="fr-FR"/>
        </w:rPr>
        <w:t>en vue de sa mise en œuvre, la Partie contreviendra à ses engagements envers l’</w:t>
      </w:r>
      <w:r w:rsidRPr="00403C55">
        <w:rPr>
          <w:rFonts w:ascii="Times New Roman" w:hAnsi="Times New Roman" w:cs="Times New Roman"/>
          <w:lang w:val="fr-FR"/>
        </w:rPr>
        <w:t xml:space="preserve">AEWA, </w:t>
      </w:r>
      <w:r w:rsidR="00AF2A2A" w:rsidRPr="00403C55">
        <w:rPr>
          <w:rFonts w:ascii="Times New Roman" w:hAnsi="Times New Roman" w:cs="Times New Roman"/>
          <w:lang w:val="fr-FR"/>
        </w:rPr>
        <w:t>tout comme le fera une</w:t>
      </w:r>
      <w:r w:rsidRPr="00403C55">
        <w:rPr>
          <w:rFonts w:ascii="Times New Roman" w:hAnsi="Times New Roman" w:cs="Times New Roman"/>
          <w:lang w:val="fr-FR"/>
        </w:rPr>
        <w:t xml:space="preserve"> Part</w:t>
      </w:r>
      <w:r w:rsidR="00AF2A2A" w:rsidRPr="00403C55">
        <w:rPr>
          <w:rFonts w:ascii="Times New Roman" w:hAnsi="Times New Roman" w:cs="Times New Roman"/>
          <w:lang w:val="fr-FR"/>
        </w:rPr>
        <w:t xml:space="preserve">ie qui permettra la chasse </w:t>
      </w:r>
      <w:r w:rsidR="00870983">
        <w:rPr>
          <w:rFonts w:ascii="Times New Roman" w:hAnsi="Times New Roman" w:cs="Times New Roman"/>
          <w:lang w:val="fr-FR"/>
        </w:rPr>
        <w:t>en dehors</w:t>
      </w:r>
      <w:r w:rsidR="00AF2A2A" w:rsidRPr="00403C55">
        <w:rPr>
          <w:rFonts w:ascii="Times New Roman" w:hAnsi="Times New Roman" w:cs="Times New Roman"/>
          <w:lang w:val="fr-FR"/>
        </w:rPr>
        <w:t xml:space="preserve"> du cadre d’un plan </w:t>
      </w:r>
      <w:r w:rsidR="0003562F">
        <w:rPr>
          <w:rFonts w:ascii="Times New Roman" w:hAnsi="Times New Roman" w:cs="Times New Roman"/>
          <w:lang w:val="fr-FR"/>
        </w:rPr>
        <w:t>d’action</w:t>
      </w:r>
      <w:r w:rsidR="00AF2A2A" w:rsidRPr="00403C55">
        <w:rPr>
          <w:rFonts w:ascii="Times New Roman" w:hAnsi="Times New Roman" w:cs="Times New Roman"/>
          <w:lang w:val="fr-FR"/>
        </w:rPr>
        <w:t>, en violation du</w:t>
      </w:r>
      <w:r w:rsidRPr="00403C55">
        <w:rPr>
          <w:rFonts w:ascii="Times New Roman" w:hAnsi="Times New Roman" w:cs="Times New Roman"/>
          <w:lang w:val="fr-FR"/>
        </w:rPr>
        <w:t xml:space="preserve"> paragraph</w:t>
      </w:r>
      <w:r w:rsidR="00AF2A2A" w:rsidRPr="00403C55">
        <w:rPr>
          <w:rFonts w:ascii="Times New Roman" w:hAnsi="Times New Roman" w:cs="Times New Roman"/>
          <w:lang w:val="fr-FR"/>
        </w:rPr>
        <w:t>e</w:t>
      </w:r>
      <w:r w:rsidRPr="00403C55">
        <w:rPr>
          <w:rFonts w:ascii="Times New Roman" w:hAnsi="Times New Roman" w:cs="Times New Roman"/>
          <w:lang w:val="fr-FR"/>
        </w:rPr>
        <w:t xml:space="preserve"> 2.1.1.</w:t>
      </w:r>
    </w:p>
    <w:p w14:paraId="42582DF4" w14:textId="7ED88CA6" w:rsidR="006179D8" w:rsidRPr="00403C55" w:rsidRDefault="006179D8" w:rsidP="001A6B39">
      <w:pPr>
        <w:spacing w:after="0" w:line="240" w:lineRule="auto"/>
        <w:jc w:val="both"/>
        <w:rPr>
          <w:rFonts w:ascii="Times New Roman" w:hAnsi="Times New Roman" w:cs="Times New Roman"/>
          <w:lang w:val="fr-FR"/>
        </w:rPr>
      </w:pPr>
    </w:p>
    <w:p w14:paraId="4BE7B970" w14:textId="423B802E" w:rsidR="00C70D11" w:rsidRPr="00403C55" w:rsidRDefault="00AF2A2A" w:rsidP="0099637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Durant la durée de vie d’un plan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 adopté, il peut </w:t>
      </w:r>
      <w:r w:rsidR="00FF75DA" w:rsidRPr="00403C55">
        <w:rPr>
          <w:rFonts w:ascii="Times New Roman" w:hAnsi="Times New Roman" w:cs="Times New Roman"/>
          <w:lang w:val="fr-FR"/>
        </w:rPr>
        <w:t>s’avérer nécessaire</w:t>
      </w:r>
      <w:r w:rsidRPr="00403C55">
        <w:rPr>
          <w:rFonts w:ascii="Times New Roman" w:hAnsi="Times New Roman" w:cs="Times New Roman"/>
          <w:lang w:val="fr-FR"/>
        </w:rPr>
        <w:t xml:space="preserve"> d’ajuster les actions prioritaires selon le développement de l’espèce/la population et en </w:t>
      </w:r>
      <w:r w:rsidR="00870983">
        <w:rPr>
          <w:rFonts w:ascii="Times New Roman" w:hAnsi="Times New Roman" w:cs="Times New Roman"/>
          <w:lang w:val="fr-FR"/>
        </w:rPr>
        <w:t>fonction</w:t>
      </w:r>
      <w:r w:rsidRPr="00403C55">
        <w:rPr>
          <w:rFonts w:ascii="Times New Roman" w:hAnsi="Times New Roman" w:cs="Times New Roman"/>
          <w:lang w:val="fr-FR"/>
        </w:rPr>
        <w:t xml:space="preserve"> de la disponibilité de nouvelles connaissances scientifiques.</w:t>
      </w:r>
      <w:r w:rsidR="008D0E09" w:rsidRPr="00403C55">
        <w:rPr>
          <w:rFonts w:ascii="Times New Roman" w:hAnsi="Times New Roman" w:cs="Times New Roman"/>
          <w:lang w:val="fr-FR"/>
        </w:rPr>
        <w:t xml:space="preserve"> </w:t>
      </w:r>
      <w:r w:rsidRPr="00403C55">
        <w:rPr>
          <w:rFonts w:ascii="Times New Roman" w:hAnsi="Times New Roman" w:cs="Times New Roman"/>
          <w:lang w:val="fr-FR"/>
        </w:rPr>
        <w:t>Ce type d’ajustements ne nécessite pas une révision complète d’un plan.</w:t>
      </w:r>
      <w:r w:rsidR="008D0E09" w:rsidRPr="00403C55">
        <w:rPr>
          <w:rFonts w:ascii="Times New Roman" w:hAnsi="Times New Roman" w:cs="Times New Roman"/>
          <w:lang w:val="fr-FR"/>
        </w:rPr>
        <w:t xml:space="preserve"> </w:t>
      </w:r>
      <w:r w:rsidRPr="00403C55">
        <w:rPr>
          <w:rFonts w:ascii="Times New Roman" w:hAnsi="Times New Roman" w:cs="Times New Roman"/>
          <w:lang w:val="fr-FR"/>
        </w:rPr>
        <w:t>Tout changement apporté aux actions devra, toutefois, être dé</w:t>
      </w:r>
      <w:r w:rsidR="00803606" w:rsidRPr="00403C55">
        <w:rPr>
          <w:rFonts w:ascii="Times New Roman" w:hAnsi="Times New Roman" w:cs="Times New Roman"/>
          <w:lang w:val="fr-FR"/>
        </w:rPr>
        <w:t xml:space="preserve">battu et convenu dans le cadre </w:t>
      </w:r>
      <w:r w:rsidRPr="00403C55">
        <w:rPr>
          <w:rFonts w:ascii="Times New Roman" w:hAnsi="Times New Roman" w:cs="Times New Roman"/>
          <w:lang w:val="fr-FR"/>
        </w:rPr>
        <w:t xml:space="preserve">des groupes de travail et d’experts internationaux </w:t>
      </w:r>
      <w:r w:rsidR="00803606" w:rsidRPr="00403C55">
        <w:rPr>
          <w:rFonts w:ascii="Times New Roman" w:hAnsi="Times New Roman" w:cs="Times New Roman"/>
          <w:lang w:val="fr-FR"/>
        </w:rPr>
        <w:t xml:space="preserve">des espèces </w:t>
      </w:r>
      <w:r w:rsidR="0003562F">
        <w:rPr>
          <w:rFonts w:ascii="Times New Roman" w:hAnsi="Times New Roman" w:cs="Times New Roman"/>
          <w:lang w:val="fr-FR"/>
        </w:rPr>
        <w:t>de l’AEWA</w:t>
      </w:r>
      <w:r w:rsidRPr="00403C55">
        <w:rPr>
          <w:rFonts w:ascii="Times New Roman" w:hAnsi="Times New Roman" w:cs="Times New Roman"/>
          <w:lang w:val="fr-FR"/>
        </w:rPr>
        <w:t xml:space="preserve"> respectifs, afin d’assurer un consensus international.</w:t>
      </w:r>
      <w:r w:rsidR="008D0E09" w:rsidRPr="00403C55">
        <w:rPr>
          <w:rFonts w:ascii="Times New Roman" w:hAnsi="Times New Roman" w:cs="Times New Roman"/>
          <w:lang w:val="fr-FR"/>
        </w:rPr>
        <w:t xml:space="preserve"> </w:t>
      </w:r>
      <w:r w:rsidRPr="00403C55">
        <w:rPr>
          <w:rFonts w:ascii="Times New Roman" w:hAnsi="Times New Roman" w:cs="Times New Roman"/>
          <w:lang w:val="fr-FR"/>
        </w:rPr>
        <w:t xml:space="preserve">Dans le cas de questions litigieuses,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 adopté par la MOP demeure le cadre international pour la conservation ou l’utilisation durable d’une espèce/population.</w:t>
      </w:r>
      <w:r w:rsidR="008D0E09" w:rsidRPr="00403C55">
        <w:rPr>
          <w:rFonts w:ascii="Times New Roman" w:hAnsi="Times New Roman" w:cs="Times New Roman"/>
          <w:lang w:val="fr-FR"/>
        </w:rPr>
        <w:t xml:space="preserve"> </w:t>
      </w:r>
    </w:p>
    <w:p w14:paraId="13C1E8B0" w14:textId="77777777" w:rsidR="00C51428" w:rsidRPr="00403C55" w:rsidRDefault="00C51428" w:rsidP="0099637A">
      <w:pPr>
        <w:spacing w:after="0" w:line="240" w:lineRule="auto"/>
        <w:jc w:val="both"/>
        <w:rPr>
          <w:rFonts w:ascii="Times New Roman" w:hAnsi="Times New Roman" w:cs="Times New Roman"/>
          <w:sz w:val="20"/>
          <w:szCs w:val="20"/>
          <w:lang w:val="fr-FR"/>
        </w:rPr>
      </w:pPr>
    </w:p>
    <w:p w14:paraId="11086A1A" w14:textId="77777777" w:rsidR="004671E4" w:rsidRPr="00403C55" w:rsidRDefault="004671E4" w:rsidP="0099637A">
      <w:pPr>
        <w:spacing w:after="0" w:line="240" w:lineRule="auto"/>
        <w:jc w:val="both"/>
        <w:rPr>
          <w:rFonts w:ascii="Times New Roman" w:hAnsi="Times New Roman" w:cs="Times New Roman"/>
          <w:sz w:val="20"/>
          <w:szCs w:val="20"/>
          <w:lang w:val="fr-FR"/>
        </w:rPr>
      </w:pPr>
    </w:p>
    <w:p w14:paraId="0ADB29D6" w14:textId="6D8E56A1" w:rsidR="0036491E" w:rsidRPr="00403C55" w:rsidRDefault="0036491E">
      <w:pPr>
        <w:rPr>
          <w:rFonts w:ascii="Times New Roman" w:hAnsi="Times New Roman" w:cs="Times New Roman"/>
          <w:sz w:val="24"/>
          <w:szCs w:val="24"/>
          <w:lang w:val="fr-FR"/>
        </w:rPr>
      </w:pPr>
      <w:bookmarkStart w:id="1" w:name="OLE_LINK2"/>
      <w:bookmarkStart w:id="2" w:name="OLE_LINK1"/>
      <w:r w:rsidRPr="00403C55">
        <w:rPr>
          <w:rFonts w:ascii="Times New Roman" w:hAnsi="Times New Roman" w:cs="Times New Roman"/>
          <w:sz w:val="24"/>
          <w:szCs w:val="24"/>
          <w:lang w:val="fr-FR"/>
        </w:rPr>
        <w:br w:type="page"/>
      </w:r>
    </w:p>
    <w:p w14:paraId="14E0A7AC" w14:textId="35A887DF" w:rsidR="00231422" w:rsidRPr="00403C55" w:rsidRDefault="00AF2A2A" w:rsidP="00823976">
      <w:pPr>
        <w:shd w:val="clear" w:color="auto" w:fill="B8CCE4" w:themeFill="accent1" w:themeFillTint="66"/>
        <w:spacing w:after="0" w:line="240" w:lineRule="auto"/>
        <w:rPr>
          <w:rFonts w:ascii="Times New Roman" w:hAnsi="Times New Roman" w:cs="Times New Roman"/>
          <w:sz w:val="24"/>
          <w:szCs w:val="24"/>
          <w:lang w:val="fr-FR"/>
        </w:rPr>
      </w:pPr>
      <w:r w:rsidRPr="00403C55">
        <w:rPr>
          <w:rFonts w:ascii="Times New Roman" w:hAnsi="Times New Roman" w:cs="Times New Roman"/>
          <w:sz w:val="24"/>
          <w:szCs w:val="24"/>
          <w:lang w:val="fr-FR"/>
        </w:rPr>
        <w:lastRenderedPageBreak/>
        <w:t xml:space="preserve">2. Processus de planification de l’action et de la gestion internationales </w:t>
      </w:r>
      <w:r w:rsidR="0003562F">
        <w:rPr>
          <w:rFonts w:ascii="Times New Roman" w:hAnsi="Times New Roman" w:cs="Times New Roman"/>
          <w:sz w:val="24"/>
          <w:szCs w:val="24"/>
          <w:lang w:val="fr-FR"/>
        </w:rPr>
        <w:t>de l’AEWA</w:t>
      </w:r>
    </w:p>
    <w:bookmarkEnd w:id="1"/>
    <w:bookmarkEnd w:id="2"/>
    <w:p w14:paraId="098D3C6B" w14:textId="688A3F94" w:rsidR="00231422" w:rsidRPr="00403C55" w:rsidRDefault="00231422" w:rsidP="00231422">
      <w:pPr>
        <w:spacing w:after="0" w:line="240" w:lineRule="auto"/>
        <w:jc w:val="both"/>
        <w:rPr>
          <w:rFonts w:ascii="Times New Roman" w:hAnsi="Times New Roman" w:cs="Times New Roman"/>
          <w:sz w:val="20"/>
          <w:szCs w:val="20"/>
          <w:lang w:val="fr-FR"/>
        </w:rPr>
      </w:pPr>
    </w:p>
    <w:p w14:paraId="0A537A90" w14:textId="333BBF73" w:rsidR="004A0B3C" w:rsidRPr="00403C55" w:rsidRDefault="00AF2A2A"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sont adoptés par la Réunion des Parties à l’AEWA.</w:t>
      </w:r>
      <w:r w:rsidR="004A0B3C" w:rsidRPr="00403C55">
        <w:rPr>
          <w:rFonts w:ascii="Times New Roman" w:hAnsi="Times New Roman" w:cs="Times New Roman"/>
          <w:lang w:val="fr-FR"/>
        </w:rPr>
        <w:t xml:space="preserve"> </w:t>
      </w:r>
      <w:r w:rsidRPr="00403C55">
        <w:rPr>
          <w:rFonts w:ascii="Times New Roman" w:hAnsi="Times New Roman" w:cs="Times New Roman"/>
          <w:lang w:val="fr-FR"/>
        </w:rPr>
        <w:t xml:space="preserve">Mais avant qu’un plan </w:t>
      </w:r>
      <w:r w:rsidR="00B93593">
        <w:rPr>
          <w:rFonts w:ascii="Times New Roman" w:hAnsi="Times New Roman" w:cs="Times New Roman"/>
          <w:lang w:val="fr-FR"/>
        </w:rPr>
        <w:t>parvienne</w:t>
      </w:r>
      <w:r w:rsidRPr="00403C55">
        <w:rPr>
          <w:rFonts w:ascii="Times New Roman" w:hAnsi="Times New Roman" w:cs="Times New Roman"/>
          <w:lang w:val="fr-FR"/>
        </w:rPr>
        <w:t xml:space="preserve"> au stade de présentation pour adoption, il a parcouru un long processus d’élaboration débutant par l</w:t>
      </w:r>
      <w:r w:rsidR="001D212E" w:rsidRPr="00403C55">
        <w:rPr>
          <w:rFonts w:ascii="Times New Roman" w:hAnsi="Times New Roman" w:cs="Times New Roman"/>
          <w:lang w:val="fr-FR"/>
        </w:rPr>
        <w:t>e classement par ordre de priorité de l’espèce</w:t>
      </w:r>
      <w:r w:rsidRPr="00403C55">
        <w:rPr>
          <w:rFonts w:ascii="Times New Roman" w:hAnsi="Times New Roman" w:cs="Times New Roman"/>
          <w:lang w:val="fr-FR"/>
        </w:rPr>
        <w:t xml:space="preserve">/population </w:t>
      </w:r>
      <w:r w:rsidR="001D212E" w:rsidRPr="00403C55">
        <w:rPr>
          <w:rFonts w:ascii="Times New Roman" w:hAnsi="Times New Roman" w:cs="Times New Roman"/>
          <w:lang w:val="fr-FR"/>
        </w:rPr>
        <w:t>concernée</w:t>
      </w:r>
      <w:r w:rsidRPr="00403C55">
        <w:rPr>
          <w:rFonts w:ascii="Times New Roman" w:hAnsi="Times New Roman" w:cs="Times New Roman"/>
          <w:lang w:val="fr-FR"/>
        </w:rPr>
        <w:t xml:space="preserve"> </w:t>
      </w:r>
      <w:r w:rsidR="001D212E" w:rsidRPr="00403C55">
        <w:rPr>
          <w:rFonts w:ascii="Times New Roman" w:hAnsi="Times New Roman" w:cs="Times New Roman"/>
          <w:lang w:val="fr-FR"/>
        </w:rPr>
        <w:t>et allant jusqu’à un</w:t>
      </w:r>
      <w:r w:rsidR="00985A4E">
        <w:rPr>
          <w:rFonts w:ascii="Times New Roman" w:hAnsi="Times New Roman" w:cs="Times New Roman"/>
          <w:lang w:val="fr-FR"/>
        </w:rPr>
        <w:t xml:space="preserve"> </w:t>
      </w:r>
      <w:r w:rsidR="001D212E" w:rsidRPr="00403C55">
        <w:rPr>
          <w:rFonts w:ascii="Times New Roman" w:hAnsi="Times New Roman" w:cs="Times New Roman"/>
          <w:lang w:val="fr-FR"/>
        </w:rPr>
        <w:t>plan</w:t>
      </w:r>
      <w:r w:rsidR="00FF75DA" w:rsidRPr="00403C55">
        <w:rPr>
          <w:rFonts w:ascii="Times New Roman" w:hAnsi="Times New Roman" w:cs="Times New Roman"/>
          <w:lang w:val="fr-FR"/>
        </w:rPr>
        <w:t>,</w:t>
      </w:r>
      <w:r w:rsidR="001D212E" w:rsidRPr="00403C55">
        <w:rPr>
          <w:rFonts w:ascii="Times New Roman" w:hAnsi="Times New Roman" w:cs="Times New Roman"/>
          <w:lang w:val="fr-FR"/>
        </w:rPr>
        <w:t xml:space="preserve"> négocié au niveau</w:t>
      </w:r>
      <w:r w:rsidRPr="00403C55">
        <w:rPr>
          <w:rFonts w:ascii="Times New Roman" w:hAnsi="Times New Roman" w:cs="Times New Roman"/>
          <w:lang w:val="fr-FR"/>
        </w:rPr>
        <w:t xml:space="preserve"> international</w:t>
      </w:r>
      <w:r w:rsidR="00FF75DA" w:rsidRPr="00403C55">
        <w:rPr>
          <w:rFonts w:ascii="Times New Roman" w:hAnsi="Times New Roman" w:cs="Times New Roman"/>
          <w:lang w:val="fr-FR"/>
        </w:rPr>
        <w:t>,</w:t>
      </w:r>
      <w:r w:rsidRPr="00403C55">
        <w:rPr>
          <w:rFonts w:ascii="Times New Roman" w:hAnsi="Times New Roman" w:cs="Times New Roman"/>
          <w:lang w:val="fr-FR"/>
        </w:rPr>
        <w:t xml:space="preserve"> </w:t>
      </w:r>
      <w:r w:rsidR="001D212E" w:rsidRPr="00403C55">
        <w:rPr>
          <w:rFonts w:ascii="Times New Roman" w:hAnsi="Times New Roman" w:cs="Times New Roman"/>
          <w:lang w:val="fr-FR"/>
        </w:rPr>
        <w:t xml:space="preserve">destiné à être présenté aux organes dirigeants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001D212E" w:rsidRPr="00403C55">
        <w:rPr>
          <w:rFonts w:ascii="Times New Roman" w:hAnsi="Times New Roman" w:cs="Times New Roman"/>
          <w:lang w:val="fr-FR"/>
        </w:rPr>
        <w:t>et à être adopté par les</w:t>
      </w:r>
      <w:r w:rsidRPr="00403C55">
        <w:rPr>
          <w:rFonts w:ascii="Times New Roman" w:hAnsi="Times New Roman" w:cs="Times New Roman"/>
          <w:lang w:val="fr-FR"/>
        </w:rPr>
        <w:t xml:space="preserve"> Parties.</w:t>
      </w:r>
      <w:r w:rsidR="004A0B3C" w:rsidRPr="00403C55">
        <w:rPr>
          <w:rFonts w:ascii="Times New Roman" w:hAnsi="Times New Roman" w:cs="Times New Roman"/>
          <w:lang w:val="fr-FR"/>
        </w:rPr>
        <w:t xml:space="preserve"> </w:t>
      </w:r>
      <w:r w:rsidR="001D212E" w:rsidRPr="00403C55">
        <w:rPr>
          <w:rFonts w:ascii="Times New Roman" w:hAnsi="Times New Roman" w:cs="Times New Roman"/>
          <w:lang w:val="fr-FR"/>
        </w:rPr>
        <w:t xml:space="preserve">Le processus de planification de l’action et de la gestion décrit ci-dessous a été élaboré </w:t>
      </w:r>
      <w:r w:rsidR="00870983">
        <w:rPr>
          <w:rFonts w:ascii="Times New Roman" w:hAnsi="Times New Roman" w:cs="Times New Roman"/>
          <w:lang w:val="fr-FR"/>
        </w:rPr>
        <w:t>aux termes de</w:t>
      </w:r>
      <w:r w:rsidR="001D212E" w:rsidRPr="00403C55">
        <w:rPr>
          <w:rFonts w:ascii="Times New Roman" w:hAnsi="Times New Roman" w:cs="Times New Roman"/>
          <w:lang w:val="fr-FR"/>
        </w:rPr>
        <w:t xml:space="preserve"> l’Accord dans un effort d’assurer </w:t>
      </w:r>
      <w:r w:rsidR="00403C55" w:rsidRPr="00403C55">
        <w:rPr>
          <w:rFonts w:ascii="Times New Roman" w:hAnsi="Times New Roman" w:cs="Times New Roman"/>
          <w:lang w:val="fr-FR"/>
        </w:rPr>
        <w:t>un</w:t>
      </w:r>
      <w:r w:rsidR="001D212E" w:rsidRPr="00403C55">
        <w:rPr>
          <w:rFonts w:ascii="Times New Roman" w:hAnsi="Times New Roman" w:cs="Times New Roman"/>
          <w:lang w:val="fr-FR"/>
        </w:rPr>
        <w:t xml:space="preserve"> processus transparent incluant toutes les parties prenantes concernées et réunissant les meilleures connaissances scientifiques disponibles.</w:t>
      </w:r>
      <w:r w:rsidR="00985A4E">
        <w:rPr>
          <w:rFonts w:ascii="Times New Roman" w:hAnsi="Times New Roman" w:cs="Times New Roman"/>
          <w:lang w:val="fr-FR"/>
        </w:rPr>
        <w:t xml:space="preserve"> </w:t>
      </w:r>
      <w:r w:rsidR="001D212E" w:rsidRPr="00403C55">
        <w:rPr>
          <w:rFonts w:ascii="Times New Roman" w:hAnsi="Times New Roman" w:cs="Times New Roman"/>
          <w:lang w:val="fr-FR"/>
        </w:rPr>
        <w:t xml:space="preserve">Comme mentionné ci-dessus, la planification de l’action et de la gestion </w:t>
      </w:r>
      <w:r w:rsidR="00870983">
        <w:rPr>
          <w:rFonts w:ascii="Times New Roman" w:hAnsi="Times New Roman" w:cs="Times New Roman"/>
          <w:lang w:val="fr-FR"/>
        </w:rPr>
        <w:t>en vertu de</w:t>
      </w:r>
      <w:r w:rsidR="001D212E" w:rsidRPr="00403C55">
        <w:rPr>
          <w:rFonts w:ascii="Times New Roman" w:hAnsi="Times New Roman" w:cs="Times New Roman"/>
          <w:lang w:val="fr-FR"/>
        </w:rPr>
        <w:t xml:space="preserve"> l’AEWA est un processus évolutif et sa facilitation et son calendrier peuvent varier.</w:t>
      </w:r>
      <w:r w:rsidR="00C61AFC" w:rsidRPr="00403C55">
        <w:rPr>
          <w:rFonts w:ascii="Times New Roman" w:hAnsi="Times New Roman" w:cs="Times New Roman"/>
          <w:lang w:val="fr-FR"/>
        </w:rPr>
        <w:t xml:space="preserve"> </w:t>
      </w:r>
      <w:r w:rsidR="001D212E" w:rsidRPr="00403C55">
        <w:rPr>
          <w:rFonts w:ascii="Times New Roman" w:hAnsi="Times New Roman" w:cs="Times New Roman"/>
          <w:lang w:val="fr-FR"/>
        </w:rPr>
        <w:t>Ce qui doit être clair, toutefois, sont les rôles et responsabilités de chacun des divers acteurs du processus.</w:t>
      </w:r>
      <w:r w:rsidR="009313D8" w:rsidRPr="00403C55">
        <w:rPr>
          <w:rFonts w:ascii="Times New Roman" w:hAnsi="Times New Roman" w:cs="Times New Roman"/>
          <w:lang w:val="fr-FR"/>
        </w:rPr>
        <w:t xml:space="preserve"> </w:t>
      </w:r>
    </w:p>
    <w:p w14:paraId="3F91A7CD" w14:textId="77777777" w:rsidR="00C61AFC" w:rsidRPr="00403C55" w:rsidRDefault="00C61AFC" w:rsidP="00231422">
      <w:pPr>
        <w:spacing w:after="0" w:line="240" w:lineRule="auto"/>
        <w:jc w:val="both"/>
        <w:rPr>
          <w:rFonts w:ascii="Times New Roman" w:hAnsi="Times New Roman" w:cs="Times New Roman"/>
          <w:sz w:val="20"/>
          <w:szCs w:val="20"/>
          <w:lang w:val="fr-FR"/>
        </w:rPr>
      </w:pPr>
    </w:p>
    <w:p w14:paraId="51DF33DF" w14:textId="465D443F" w:rsidR="00231422" w:rsidRPr="00403C55" w:rsidRDefault="00092665" w:rsidP="00765821">
      <w:pPr>
        <w:shd w:val="clear" w:color="auto" w:fill="B8CCE4" w:themeFill="accent1" w:themeFillTint="66"/>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2.1. </w:t>
      </w:r>
      <w:r w:rsidR="001D212E" w:rsidRPr="00403C55">
        <w:rPr>
          <w:rFonts w:ascii="Times New Roman" w:hAnsi="Times New Roman" w:cs="Times New Roman"/>
          <w:b/>
          <w:lang w:val="fr-FR"/>
        </w:rPr>
        <w:t xml:space="preserve">Classement par ordre de priorité des espèces/populations </w:t>
      </w:r>
      <w:r w:rsidR="00EB4EB8" w:rsidRPr="00403C55">
        <w:rPr>
          <w:rFonts w:ascii="Times New Roman" w:hAnsi="Times New Roman" w:cs="Times New Roman"/>
          <w:b/>
          <w:lang w:val="fr-FR"/>
        </w:rPr>
        <w:t xml:space="preserve">aux fins des plans </w:t>
      </w:r>
      <w:r w:rsidR="0003562F">
        <w:rPr>
          <w:rFonts w:ascii="Times New Roman" w:hAnsi="Times New Roman" w:cs="Times New Roman"/>
          <w:b/>
          <w:lang w:val="fr-FR"/>
        </w:rPr>
        <w:t>d’action</w:t>
      </w:r>
    </w:p>
    <w:p w14:paraId="7AD5C807" w14:textId="77777777" w:rsidR="00231422" w:rsidRPr="00403C55" w:rsidRDefault="00231422" w:rsidP="00231422">
      <w:pPr>
        <w:spacing w:after="0" w:line="240" w:lineRule="auto"/>
        <w:jc w:val="both"/>
        <w:rPr>
          <w:rFonts w:ascii="Times New Roman" w:hAnsi="Times New Roman" w:cs="Times New Roman"/>
          <w:sz w:val="20"/>
          <w:szCs w:val="20"/>
          <w:lang w:val="fr-FR"/>
        </w:rPr>
      </w:pPr>
    </w:p>
    <w:p w14:paraId="7667A276" w14:textId="48B0254E" w:rsidR="002D62FD" w:rsidRPr="00403C55" w:rsidRDefault="00EB4EB8" w:rsidP="002D62F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premier pas au sein du processus de planification de l’action </w:t>
      </w:r>
      <w:r w:rsidR="0003562F">
        <w:rPr>
          <w:rFonts w:ascii="Times New Roman" w:hAnsi="Times New Roman" w:cs="Times New Roman"/>
          <w:lang w:val="fr-FR"/>
        </w:rPr>
        <w:t>de l’AEWA</w:t>
      </w:r>
      <w:r w:rsidRPr="00403C55">
        <w:rPr>
          <w:rFonts w:ascii="Times New Roman" w:hAnsi="Times New Roman" w:cs="Times New Roman"/>
          <w:lang w:val="fr-FR"/>
        </w:rPr>
        <w:t xml:space="preserve"> est un classement par ordre de priorité des espèces/populations ayant le besoin le plus urgent d’un cadre de conservation internationale et/ou de gestion.</w:t>
      </w:r>
      <w:r w:rsidR="00C103BC" w:rsidRPr="00403C55">
        <w:rPr>
          <w:rFonts w:ascii="Times New Roman" w:hAnsi="Times New Roman" w:cs="Times New Roman"/>
          <w:lang w:val="fr-FR"/>
        </w:rPr>
        <w:t xml:space="preserve"> </w:t>
      </w:r>
      <w:r w:rsidRPr="00403C55">
        <w:rPr>
          <w:rFonts w:ascii="Times New Roman" w:hAnsi="Times New Roman" w:cs="Times New Roman"/>
          <w:lang w:val="fr-FR"/>
        </w:rPr>
        <w:t xml:space="preserve">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est chargé du classement par ordre de priorité des espèces/populations en vue de l’élaboration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 </w:t>
      </w:r>
      <w:r w:rsidR="00870983">
        <w:rPr>
          <w:rFonts w:ascii="Times New Roman" w:hAnsi="Times New Roman" w:cs="Times New Roman"/>
          <w:lang w:val="fr-FR"/>
        </w:rPr>
        <w:t>dans le cadre de</w:t>
      </w:r>
      <w:r w:rsidRPr="00403C55">
        <w:rPr>
          <w:rFonts w:ascii="Times New Roman" w:hAnsi="Times New Roman" w:cs="Times New Roman"/>
          <w:lang w:val="fr-FR"/>
        </w:rPr>
        <w:t xml:space="preserve"> l'Accord, tel que l’a demandé la MOP5 dans sa Résolution 5.8. Comme souligné dans la Résolution, le Comité technique doit réviser la liste de priorité</w:t>
      </w:r>
      <w:r w:rsidR="00FF75DA" w:rsidRPr="00403C55">
        <w:rPr>
          <w:rFonts w:ascii="Times New Roman" w:hAnsi="Times New Roman" w:cs="Times New Roman"/>
          <w:lang w:val="fr-FR"/>
        </w:rPr>
        <w:t>s</w:t>
      </w:r>
      <w:r w:rsidRPr="00403C55">
        <w:rPr>
          <w:rFonts w:ascii="Times New Roman" w:hAnsi="Times New Roman" w:cs="Times New Roman"/>
          <w:lang w:val="fr-FR"/>
        </w:rPr>
        <w:t xml:space="preserve"> </w:t>
      </w:r>
      <w:r w:rsidR="00FF75DA" w:rsidRPr="00403C55">
        <w:rPr>
          <w:rFonts w:ascii="Times New Roman" w:hAnsi="Times New Roman" w:cs="Times New Roman"/>
          <w:lang w:val="fr-FR"/>
        </w:rPr>
        <w:t>présidant aux</w:t>
      </w:r>
      <w:r w:rsidRPr="00403C55">
        <w:rPr>
          <w:rFonts w:ascii="Times New Roman" w:hAnsi="Times New Roman" w:cs="Times New Roman"/>
          <w:lang w:val="fr-FR"/>
        </w:rPr>
        <w:t xml:space="preserve"> plans </w:t>
      </w:r>
      <w:r w:rsidR="0003562F">
        <w:rPr>
          <w:rFonts w:ascii="Times New Roman" w:hAnsi="Times New Roman" w:cs="Times New Roman"/>
          <w:lang w:val="fr-FR"/>
        </w:rPr>
        <w:t>d’action</w:t>
      </w:r>
      <w:r w:rsidRPr="00403C55">
        <w:rPr>
          <w:rFonts w:ascii="Times New Roman" w:hAnsi="Times New Roman" w:cs="Times New Roman"/>
          <w:lang w:val="fr-FR"/>
        </w:rPr>
        <w:t xml:space="preserve"> lors de sa première réunion </w:t>
      </w:r>
      <w:r w:rsidR="00B93593">
        <w:rPr>
          <w:rFonts w:ascii="Times New Roman" w:hAnsi="Times New Roman" w:cs="Times New Roman"/>
          <w:lang w:val="fr-FR"/>
        </w:rPr>
        <w:t>après</w:t>
      </w:r>
      <w:r w:rsidRPr="00403C55">
        <w:rPr>
          <w:rFonts w:ascii="Times New Roman" w:hAnsi="Times New Roman" w:cs="Times New Roman"/>
          <w:lang w:val="fr-FR"/>
        </w:rPr>
        <w:t xml:space="preserve"> chaque Réunion des Parties, afin de réfléchir aux chang</w:t>
      </w:r>
      <w:r w:rsidR="00B93593">
        <w:rPr>
          <w:rFonts w:ascii="Times New Roman" w:hAnsi="Times New Roman" w:cs="Times New Roman"/>
          <w:lang w:val="fr-FR"/>
        </w:rPr>
        <w:t>ements éventuels à apporter au t</w:t>
      </w:r>
      <w:r w:rsidRPr="00403C55">
        <w:rPr>
          <w:rFonts w:ascii="Times New Roman" w:hAnsi="Times New Roman" w:cs="Times New Roman"/>
          <w:lang w:val="fr-FR"/>
        </w:rPr>
        <w:t xml:space="preserve">ableau 1 du Plan </w:t>
      </w:r>
      <w:r w:rsidR="0003562F">
        <w:rPr>
          <w:rFonts w:ascii="Times New Roman" w:hAnsi="Times New Roman" w:cs="Times New Roman"/>
          <w:lang w:val="fr-FR"/>
        </w:rPr>
        <w:t>d’action</w:t>
      </w:r>
      <w:r w:rsidRPr="00403C55">
        <w:rPr>
          <w:rFonts w:ascii="Times New Roman" w:hAnsi="Times New Roman" w:cs="Times New Roman"/>
          <w:lang w:val="fr-FR"/>
        </w:rPr>
        <w:t>.</w:t>
      </w:r>
      <w:r w:rsidR="002D62FD" w:rsidRPr="00403C55">
        <w:rPr>
          <w:rFonts w:ascii="Times New Roman" w:hAnsi="Times New Roman" w:cs="Times New Roman"/>
          <w:lang w:val="fr-FR"/>
        </w:rPr>
        <w:t xml:space="preserve"> </w:t>
      </w:r>
    </w:p>
    <w:p w14:paraId="00D074B1" w14:textId="77777777" w:rsidR="002D62FD" w:rsidRPr="00403C55" w:rsidRDefault="002D62FD" w:rsidP="002D62FD">
      <w:pPr>
        <w:spacing w:after="0" w:line="240" w:lineRule="auto"/>
        <w:jc w:val="both"/>
        <w:rPr>
          <w:rFonts w:ascii="Times New Roman" w:hAnsi="Times New Roman" w:cs="Times New Roman"/>
          <w:lang w:val="fr-FR"/>
        </w:rPr>
      </w:pPr>
    </w:p>
    <w:p w14:paraId="58196C76" w14:textId="1A4588CB" w:rsidR="002D62FD" w:rsidRPr="00403C55" w:rsidRDefault="00EB4EB8" w:rsidP="002D62FD">
      <w:pPr>
        <w:spacing w:after="0" w:line="240" w:lineRule="auto"/>
        <w:jc w:val="both"/>
        <w:rPr>
          <w:rFonts w:ascii="Times New Roman" w:hAnsi="Times New Roman" w:cs="Times New Roman"/>
          <w:lang w:val="fr-FR"/>
        </w:rPr>
      </w:pPr>
      <w:r w:rsidRPr="00403C55">
        <w:rPr>
          <w:rFonts w:ascii="Times New Roman" w:hAnsi="Times New Roman" w:cs="Times New Roman"/>
          <w:lang w:val="fr-FR"/>
        </w:rPr>
        <w:t>Comme convenu lors de la 11</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réunion du Comité technique, les critères suivants sont appliqués pour la sélection et le classement par ordre de priorité des populations destinées à faire l’objet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(à appliquer consécutivement) :</w:t>
      </w:r>
      <w:r w:rsidR="002D62FD" w:rsidRPr="00403C55">
        <w:rPr>
          <w:rFonts w:ascii="Times New Roman" w:hAnsi="Times New Roman" w:cs="Times New Roman"/>
          <w:lang w:val="fr-FR"/>
        </w:rPr>
        <w:t xml:space="preserve"> </w:t>
      </w:r>
    </w:p>
    <w:p w14:paraId="6262D39E" w14:textId="77777777" w:rsidR="002D62FD" w:rsidRPr="00403C55" w:rsidRDefault="002D62FD" w:rsidP="002D62FD">
      <w:pPr>
        <w:spacing w:after="0" w:line="240" w:lineRule="auto"/>
        <w:jc w:val="both"/>
        <w:rPr>
          <w:rFonts w:ascii="Times New Roman" w:hAnsi="Times New Roman" w:cs="Times New Roman"/>
          <w:lang w:val="fr-FR"/>
        </w:rPr>
      </w:pPr>
    </w:p>
    <w:p w14:paraId="045D3728" w14:textId="4DC02CD2" w:rsidR="002D62FD" w:rsidRPr="00403C55" w:rsidRDefault="00EB4EB8" w:rsidP="003356B2">
      <w:pPr>
        <w:pStyle w:val="ListParagraph"/>
        <w:numPr>
          <w:ilvl w:val="0"/>
          <w:numId w:val="2"/>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La Liste rouge de l’UICN</w:t>
      </w:r>
      <w:r w:rsidRPr="00403C55">
        <w:rPr>
          <w:rFonts w:ascii="Times New Roman" w:hAnsi="Times New Roman" w:cs="Times New Roman"/>
          <w:lang w:val="fr-FR"/>
        </w:rPr>
        <w:t xml:space="preserve"> – par ordre décroissant :</w:t>
      </w:r>
      <w:r w:rsidR="002D62FD" w:rsidRPr="00403C55">
        <w:rPr>
          <w:rFonts w:ascii="Times New Roman" w:hAnsi="Times New Roman" w:cs="Times New Roman"/>
          <w:lang w:val="fr-FR"/>
        </w:rPr>
        <w:t xml:space="preserve"> </w:t>
      </w:r>
      <w:r w:rsidR="00BA1394" w:rsidRPr="00403C55">
        <w:rPr>
          <w:rFonts w:ascii="Times New Roman" w:hAnsi="Times New Roman" w:cs="Times New Roman"/>
          <w:lang w:val="fr-FR"/>
        </w:rPr>
        <w:t>En danger critique (CR), En danger (EN), Vulnérable (VU), Quasi menacé (NT) et Préoccupation mineure (LC) ;</w:t>
      </w:r>
    </w:p>
    <w:p w14:paraId="0719BC72" w14:textId="77777777" w:rsidR="002D62FD" w:rsidRPr="00403C55" w:rsidRDefault="002D62FD" w:rsidP="002D62FD">
      <w:pPr>
        <w:pStyle w:val="ListParagraph"/>
        <w:spacing w:after="0" w:line="240" w:lineRule="auto"/>
        <w:ind w:left="1080"/>
        <w:jc w:val="both"/>
        <w:rPr>
          <w:rFonts w:ascii="Times New Roman" w:hAnsi="Times New Roman" w:cs="Times New Roman"/>
          <w:lang w:val="fr-FR"/>
        </w:rPr>
      </w:pPr>
    </w:p>
    <w:p w14:paraId="015F1CC3" w14:textId="0A5FC935" w:rsidR="002D62FD" w:rsidRPr="00403C55" w:rsidRDefault="00BA1394" w:rsidP="003356B2">
      <w:pPr>
        <w:pStyle w:val="ListParagraph"/>
        <w:numPr>
          <w:ilvl w:val="0"/>
          <w:numId w:val="2"/>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Estimation de la taille de la population</w:t>
      </w:r>
      <w:r w:rsidRPr="00403C55">
        <w:rPr>
          <w:rFonts w:ascii="Times New Roman" w:hAnsi="Times New Roman" w:cs="Times New Roman"/>
          <w:lang w:val="fr-FR"/>
        </w:rPr>
        <w:t xml:space="preserve"> – par ordre décroissant</w:t>
      </w:r>
      <w:r w:rsidR="00FF75DA" w:rsidRPr="00403C55">
        <w:rPr>
          <w:rFonts w:ascii="Times New Roman" w:hAnsi="Times New Roman" w:cs="Times New Roman"/>
          <w:lang w:val="fr-FR"/>
        </w:rPr>
        <w:t>,</w:t>
      </w:r>
      <w:r w:rsidRPr="00403C55">
        <w:rPr>
          <w:rFonts w:ascii="Times New Roman" w:hAnsi="Times New Roman" w:cs="Times New Roman"/>
          <w:lang w:val="fr-FR"/>
        </w:rPr>
        <w:t xml:space="preserve"> de l’estimation la plus basse à la plus élevée.</w:t>
      </w:r>
      <w:r w:rsidR="002D62FD" w:rsidRPr="00403C55">
        <w:rPr>
          <w:rFonts w:ascii="Times New Roman" w:hAnsi="Times New Roman" w:cs="Times New Roman"/>
          <w:lang w:val="fr-FR"/>
        </w:rPr>
        <w:t xml:space="preserve"> </w:t>
      </w:r>
      <w:r w:rsidRPr="00403C55">
        <w:rPr>
          <w:rFonts w:ascii="Times New Roman" w:hAnsi="Times New Roman" w:cs="Times New Roman"/>
          <w:lang w:val="fr-FR"/>
        </w:rPr>
        <w:t xml:space="preserve">Les estimations doivent être reprises </w:t>
      </w:r>
      <w:r w:rsidR="00FF75DA" w:rsidRPr="00403C55">
        <w:rPr>
          <w:rFonts w:ascii="Times New Roman" w:hAnsi="Times New Roman" w:cs="Times New Roman"/>
          <w:lang w:val="fr-FR"/>
        </w:rPr>
        <w:t>dans</w:t>
      </w:r>
      <w:r w:rsidRPr="00403C55">
        <w:rPr>
          <w:rFonts w:ascii="Times New Roman" w:hAnsi="Times New Roman" w:cs="Times New Roman"/>
          <w:lang w:val="fr-FR"/>
        </w:rPr>
        <w:t xml:space="preserve"> la dernière Étude sur l’état de conservation (CSR)</w:t>
      </w:r>
      <w:r w:rsidRPr="00403C55">
        <w:rPr>
          <w:rFonts w:ascii="Times New Roman" w:hAnsi="Times New Roman" w:cs="Times New Roman"/>
          <w:i/>
          <w:lang w:val="fr-FR"/>
        </w:rPr>
        <w:t>.</w:t>
      </w:r>
      <w:r w:rsidR="002D62FD" w:rsidRPr="00403C55">
        <w:rPr>
          <w:rFonts w:ascii="Times New Roman" w:hAnsi="Times New Roman" w:cs="Times New Roman"/>
          <w:lang w:val="fr-FR"/>
        </w:rPr>
        <w:t xml:space="preserve"> </w:t>
      </w:r>
      <w:r w:rsidRPr="00403C55">
        <w:rPr>
          <w:rFonts w:ascii="Times New Roman" w:hAnsi="Times New Roman" w:cs="Times New Roman"/>
          <w:lang w:val="fr-FR"/>
        </w:rPr>
        <w:t xml:space="preserve">Lorsque l’estimation de la taille d’une population a été donnée </w:t>
      </w:r>
      <w:r w:rsidR="00004C2A" w:rsidRPr="00403C55">
        <w:rPr>
          <w:rFonts w:ascii="Times New Roman" w:hAnsi="Times New Roman" w:cs="Times New Roman"/>
          <w:lang w:val="fr-FR"/>
        </w:rPr>
        <w:t>sous forme de</w:t>
      </w:r>
      <w:r w:rsidRPr="00403C55">
        <w:rPr>
          <w:rFonts w:ascii="Times New Roman" w:hAnsi="Times New Roman" w:cs="Times New Roman"/>
          <w:lang w:val="fr-FR"/>
        </w:rPr>
        <w:t xml:space="preserve"> fourchette (par ex. 1-10 000) c’est la moyenne</w:t>
      </w:r>
      <w:r w:rsidR="00B56D2D">
        <w:rPr>
          <w:rFonts w:ascii="Times New Roman" w:hAnsi="Times New Roman" w:cs="Times New Roman"/>
          <w:lang w:val="fr-FR"/>
        </w:rPr>
        <w:t xml:space="preserve"> géométrique</w:t>
      </w:r>
      <w:r w:rsidRPr="00403C55">
        <w:rPr>
          <w:rFonts w:ascii="Times New Roman" w:hAnsi="Times New Roman" w:cs="Times New Roman"/>
          <w:lang w:val="fr-FR"/>
        </w:rPr>
        <w:t xml:space="preserve"> (par ex. 5 000) qui a été utilisée pour le classement.</w:t>
      </w:r>
      <w:r w:rsidR="002D62FD" w:rsidRPr="00403C55">
        <w:rPr>
          <w:rFonts w:ascii="Times New Roman" w:hAnsi="Times New Roman" w:cs="Times New Roman"/>
          <w:lang w:val="fr-FR"/>
        </w:rPr>
        <w:t xml:space="preserve"> </w:t>
      </w:r>
      <w:r w:rsidR="00004C2A" w:rsidRPr="00403C55">
        <w:rPr>
          <w:rFonts w:ascii="Times New Roman" w:hAnsi="Times New Roman" w:cs="Times New Roman"/>
          <w:lang w:val="fr-FR"/>
        </w:rPr>
        <w:t xml:space="preserve">Les populations pour lesquelles des estimations </w:t>
      </w:r>
      <w:r w:rsidR="00403C55" w:rsidRPr="00403C55">
        <w:rPr>
          <w:rFonts w:ascii="Times New Roman" w:hAnsi="Times New Roman" w:cs="Times New Roman"/>
          <w:lang w:val="fr-FR"/>
        </w:rPr>
        <w:t>exactes</w:t>
      </w:r>
      <w:r w:rsidR="00004C2A" w:rsidRPr="00403C55">
        <w:rPr>
          <w:rFonts w:ascii="Times New Roman" w:hAnsi="Times New Roman" w:cs="Times New Roman"/>
          <w:lang w:val="fr-FR"/>
        </w:rPr>
        <w:t xml:space="preserve"> de taille (par ex. 5 000) ont été données, ont été classées dans des catégories plus élevées que les populations dont les tailles sont présentées sous forme de fourchette et dont la moyenne </w:t>
      </w:r>
      <w:r w:rsidR="00B56D2D">
        <w:rPr>
          <w:rFonts w:ascii="Times New Roman" w:hAnsi="Times New Roman" w:cs="Times New Roman"/>
          <w:lang w:val="fr-FR"/>
        </w:rPr>
        <w:t xml:space="preserve">géométrique </w:t>
      </w:r>
      <w:r w:rsidR="00004C2A" w:rsidRPr="00403C55">
        <w:rPr>
          <w:rFonts w:ascii="Times New Roman" w:hAnsi="Times New Roman" w:cs="Times New Roman"/>
          <w:lang w:val="fr-FR"/>
        </w:rPr>
        <w:t xml:space="preserve">est égale à la taille des populations ayant une estimation exacte (par ex. 5 000 en tant qu’estimation exacte est classé dans une catégorie plus élevée que 5 000 en tant qu’estimation moyenne </w:t>
      </w:r>
      <w:r w:rsidR="006F118A">
        <w:rPr>
          <w:rFonts w:ascii="Times New Roman" w:hAnsi="Times New Roman" w:cs="Times New Roman"/>
          <w:lang w:val="fr-FR"/>
        </w:rPr>
        <w:t>géométrique obtenue entre 1 et 10 </w:t>
      </w:r>
      <w:r w:rsidR="00004C2A" w:rsidRPr="00403C55">
        <w:rPr>
          <w:rFonts w:ascii="Times New Roman" w:hAnsi="Times New Roman" w:cs="Times New Roman"/>
          <w:lang w:val="fr-FR"/>
        </w:rPr>
        <w:t>000).</w:t>
      </w:r>
      <w:r w:rsidR="002D62FD" w:rsidRPr="00403C55">
        <w:rPr>
          <w:rFonts w:ascii="Times New Roman" w:hAnsi="Times New Roman" w:cs="Times New Roman"/>
          <w:lang w:val="fr-FR"/>
        </w:rPr>
        <w:t xml:space="preserve"> </w:t>
      </w:r>
      <w:r w:rsidR="00004C2A" w:rsidRPr="00403C55">
        <w:rPr>
          <w:rFonts w:ascii="Times New Roman" w:hAnsi="Times New Roman" w:cs="Times New Roman"/>
          <w:lang w:val="fr-FR"/>
        </w:rPr>
        <w:t>Quand deux ou plus</w:t>
      </w:r>
      <w:r w:rsidR="00FF75DA" w:rsidRPr="00403C55">
        <w:rPr>
          <w:rFonts w:ascii="Times New Roman" w:hAnsi="Times New Roman" w:cs="Times New Roman"/>
          <w:lang w:val="fr-FR"/>
        </w:rPr>
        <w:t>ieurs</w:t>
      </w:r>
      <w:r w:rsidR="00004C2A" w:rsidRPr="00403C55">
        <w:rPr>
          <w:rFonts w:ascii="Times New Roman" w:hAnsi="Times New Roman" w:cs="Times New Roman"/>
          <w:lang w:val="fr-FR"/>
        </w:rPr>
        <w:t xml:space="preserve"> populations ont la même estimation de taille, celles appartenant à des espèces moins nombreuses dans la zone de l’Accord ont été classées dans des catégories plus élevées.</w:t>
      </w:r>
    </w:p>
    <w:p w14:paraId="38DF12EC" w14:textId="77777777" w:rsidR="002D62FD" w:rsidRPr="00403C55" w:rsidRDefault="002D62FD" w:rsidP="002D62FD">
      <w:pPr>
        <w:spacing w:after="0" w:line="240" w:lineRule="auto"/>
        <w:jc w:val="both"/>
        <w:rPr>
          <w:rFonts w:ascii="Times New Roman" w:hAnsi="Times New Roman" w:cs="Times New Roman"/>
          <w:lang w:val="fr-FR"/>
        </w:rPr>
      </w:pPr>
    </w:p>
    <w:p w14:paraId="60E5B669" w14:textId="55528BA6" w:rsidR="002D62FD" w:rsidRPr="00403C55" w:rsidRDefault="00004C2A" w:rsidP="003356B2">
      <w:pPr>
        <w:pStyle w:val="ListParagraph"/>
        <w:numPr>
          <w:ilvl w:val="0"/>
          <w:numId w:val="2"/>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Estimation des tendances des populations</w:t>
      </w:r>
      <w:r w:rsidRPr="00403C55">
        <w:rPr>
          <w:rFonts w:ascii="Times New Roman" w:hAnsi="Times New Roman" w:cs="Times New Roman"/>
          <w:lang w:val="fr-FR"/>
        </w:rPr>
        <w:t xml:space="preserve"> – par ordre décroissant :</w:t>
      </w:r>
      <w:r w:rsidR="002D62FD" w:rsidRPr="00403C55">
        <w:rPr>
          <w:rFonts w:ascii="Times New Roman" w:hAnsi="Times New Roman" w:cs="Times New Roman"/>
          <w:lang w:val="fr-FR"/>
        </w:rPr>
        <w:t xml:space="preserve"> </w:t>
      </w:r>
      <w:r w:rsidR="00B93593">
        <w:rPr>
          <w:rFonts w:ascii="Times New Roman" w:hAnsi="Times New Roman" w:cs="Times New Roman"/>
          <w:lang w:val="fr-FR"/>
        </w:rPr>
        <w:t>e</w:t>
      </w:r>
      <w:r w:rsidR="00C87476" w:rsidRPr="00403C55">
        <w:rPr>
          <w:rFonts w:ascii="Times New Roman" w:hAnsi="Times New Roman" w:cs="Times New Roman"/>
          <w:lang w:val="fr-FR"/>
        </w:rPr>
        <w:t>n déclin, fluctuante, inconnue, stable et en augmentation, et avec des estimations reprises d</w:t>
      </w:r>
      <w:r w:rsidR="00CC2C9A" w:rsidRPr="00403C55">
        <w:rPr>
          <w:rFonts w:ascii="Times New Roman" w:hAnsi="Times New Roman" w:cs="Times New Roman"/>
          <w:lang w:val="fr-FR"/>
        </w:rPr>
        <w:t>ans le</w:t>
      </w:r>
      <w:r w:rsidR="00C87476" w:rsidRPr="00403C55">
        <w:rPr>
          <w:rFonts w:ascii="Times New Roman" w:hAnsi="Times New Roman" w:cs="Times New Roman"/>
          <w:lang w:val="fr-FR"/>
        </w:rPr>
        <w:t xml:space="preserve"> dernier Rapport sur l’état de conservation.</w:t>
      </w:r>
    </w:p>
    <w:p w14:paraId="6793B4CE" w14:textId="77777777" w:rsidR="002D62FD" w:rsidRPr="00403C55" w:rsidRDefault="002D62FD" w:rsidP="002D62FD">
      <w:pPr>
        <w:spacing w:after="0" w:line="240" w:lineRule="auto"/>
        <w:jc w:val="both"/>
        <w:rPr>
          <w:rFonts w:ascii="Times New Roman" w:hAnsi="Times New Roman" w:cs="Times New Roman"/>
          <w:lang w:val="fr-FR"/>
        </w:rPr>
      </w:pPr>
    </w:p>
    <w:p w14:paraId="288C3ACC" w14:textId="3359CC1C" w:rsidR="002D62FD" w:rsidRPr="00403C55" w:rsidRDefault="00C87476" w:rsidP="003356B2">
      <w:pPr>
        <w:pStyle w:val="ListParagraph"/>
        <w:numPr>
          <w:ilvl w:val="0"/>
          <w:numId w:val="2"/>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Vulnérabilité au changement climatique</w:t>
      </w:r>
      <w:r w:rsidRPr="00403C55">
        <w:rPr>
          <w:rFonts w:ascii="Times New Roman" w:hAnsi="Times New Roman" w:cs="Times New Roman"/>
          <w:lang w:val="fr-FR"/>
        </w:rPr>
        <w:t xml:space="preserve"> - classée en tant qu’élevée, modérée ou faible, selon le rapport sur les effets du changement climatique sur les oiseaux d'eau migrateurs au sein des voies de migration d'Afrique-Eurasie, présenté à la MOP4 (AEWA/MOP 4.27).</w:t>
      </w:r>
    </w:p>
    <w:p w14:paraId="26B87688" w14:textId="77777777" w:rsidR="002D62FD" w:rsidRPr="00403C55" w:rsidRDefault="002D62FD" w:rsidP="002D62FD">
      <w:pPr>
        <w:spacing w:after="0" w:line="240" w:lineRule="auto"/>
        <w:rPr>
          <w:rFonts w:ascii="Times New Roman" w:hAnsi="Times New Roman" w:cs="Times New Roman"/>
          <w:lang w:val="fr-FR"/>
        </w:rPr>
      </w:pPr>
    </w:p>
    <w:p w14:paraId="0DA811C1" w14:textId="5AC45158" w:rsidR="00231422" w:rsidRPr="00403C55" w:rsidRDefault="00C87476"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Dans l’avenir, il sera nécessaire que le Comité technique classe également les populations par ordre de priorité aux fins de la planification de la gestion.</w:t>
      </w:r>
      <w:r w:rsidR="002D62FD" w:rsidRPr="00403C55">
        <w:rPr>
          <w:rFonts w:ascii="Times New Roman" w:hAnsi="Times New Roman" w:cs="Times New Roman"/>
          <w:lang w:val="fr-FR"/>
        </w:rPr>
        <w:t xml:space="preserve"> </w:t>
      </w:r>
      <w:r w:rsidRPr="00403C55">
        <w:rPr>
          <w:rFonts w:ascii="Times New Roman" w:hAnsi="Times New Roman" w:cs="Times New Roman"/>
          <w:lang w:val="fr-FR"/>
        </w:rPr>
        <w:t>On s’attend par conséquent à ce que la MOP6 demande au Comité technique d’élaborer et d’adopter des critères pour le classement par ordre de priorité d’espèces/populations en vue de l’élaboration de plans de gestion</w:t>
      </w:r>
      <w:r w:rsidR="00B93593">
        <w:rPr>
          <w:rFonts w:ascii="Times New Roman" w:hAnsi="Times New Roman" w:cs="Times New Roman"/>
          <w:lang w:val="fr-FR"/>
        </w:rPr>
        <w:t>,</w:t>
      </w:r>
      <w:r w:rsidRPr="00403C55">
        <w:rPr>
          <w:rFonts w:ascii="Times New Roman" w:hAnsi="Times New Roman" w:cs="Times New Roman"/>
          <w:lang w:val="fr-FR"/>
        </w:rPr>
        <w:t xml:space="preserve"> et d’entreprendre ce type de classement par ordre de priorité après chaque MOP.</w:t>
      </w:r>
    </w:p>
    <w:p w14:paraId="03BDE47F" w14:textId="77777777" w:rsidR="00231422" w:rsidRPr="00403C55" w:rsidRDefault="00231422" w:rsidP="00231422">
      <w:pPr>
        <w:spacing w:after="0" w:line="240" w:lineRule="auto"/>
        <w:jc w:val="both"/>
        <w:rPr>
          <w:rFonts w:ascii="Times New Roman" w:hAnsi="Times New Roman" w:cs="Times New Roman"/>
          <w:sz w:val="20"/>
          <w:szCs w:val="20"/>
          <w:lang w:val="fr-FR"/>
        </w:rPr>
      </w:pPr>
    </w:p>
    <w:p w14:paraId="26F38546" w14:textId="0A1B4BF8" w:rsidR="00092665" w:rsidRPr="00403C55" w:rsidRDefault="00092665" w:rsidP="006A61A8">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2.2. </w:t>
      </w:r>
      <w:r w:rsidR="00C87476" w:rsidRPr="00403C55">
        <w:rPr>
          <w:rFonts w:ascii="Times New Roman" w:hAnsi="Times New Roman" w:cs="Times New Roman"/>
          <w:b/>
          <w:lang w:val="fr-FR"/>
        </w:rPr>
        <w:t>Le processus de planification de l’action/la gestion suivant le classement par ordre de priorité</w:t>
      </w:r>
    </w:p>
    <w:p w14:paraId="674C9D8D" w14:textId="77777777" w:rsidR="00092665" w:rsidRPr="00403C55" w:rsidRDefault="00092665" w:rsidP="00231422">
      <w:pPr>
        <w:spacing w:after="0" w:line="240" w:lineRule="auto"/>
        <w:jc w:val="both"/>
        <w:rPr>
          <w:rFonts w:ascii="Times New Roman" w:hAnsi="Times New Roman" w:cs="Times New Roman"/>
          <w:lang w:val="fr-FR"/>
        </w:rPr>
      </w:pPr>
    </w:p>
    <w:p w14:paraId="3CE52FBA" w14:textId="7014051A" w:rsidR="0020683D" w:rsidRPr="00403C55" w:rsidRDefault="0020683D" w:rsidP="0020683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2.2.1. </w:t>
      </w:r>
      <w:r w:rsidR="00C87476" w:rsidRPr="00403C55">
        <w:rPr>
          <w:rFonts w:ascii="Times New Roman" w:hAnsi="Times New Roman" w:cs="Times New Roman"/>
          <w:i/>
          <w:lang w:val="fr-FR"/>
        </w:rPr>
        <w:t>Établissement du processus</w:t>
      </w:r>
      <w:r w:rsidRPr="00403C55">
        <w:rPr>
          <w:rFonts w:ascii="Times New Roman" w:hAnsi="Times New Roman" w:cs="Times New Roman"/>
          <w:lang w:val="fr-FR"/>
        </w:rPr>
        <w:t xml:space="preserve"> </w:t>
      </w:r>
    </w:p>
    <w:p w14:paraId="3F64D57A" w14:textId="77777777" w:rsidR="0020683D" w:rsidRPr="00403C55" w:rsidRDefault="0020683D" w:rsidP="00231422">
      <w:pPr>
        <w:spacing w:after="0" w:line="240" w:lineRule="auto"/>
        <w:jc w:val="both"/>
        <w:rPr>
          <w:rFonts w:ascii="Times New Roman" w:hAnsi="Times New Roman" w:cs="Times New Roman"/>
          <w:lang w:val="fr-FR"/>
        </w:rPr>
      </w:pPr>
    </w:p>
    <w:p w14:paraId="1A5E7A2C" w14:textId="50F44960" w:rsidR="009313D8" w:rsidRPr="00403C55" w:rsidRDefault="00C87476"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Suite au classement par ordre de priorité des espèces/populations </w:t>
      </w:r>
      <w:r w:rsidR="00CC2C9A" w:rsidRPr="00403C55">
        <w:rPr>
          <w:rFonts w:ascii="Times New Roman" w:hAnsi="Times New Roman" w:cs="Times New Roman"/>
          <w:lang w:val="fr-FR"/>
        </w:rPr>
        <w:t>de</w:t>
      </w:r>
      <w:r w:rsidRPr="00403C55">
        <w:rPr>
          <w:rFonts w:ascii="Times New Roman" w:hAnsi="Times New Roman" w:cs="Times New Roman"/>
          <w:lang w:val="fr-FR"/>
        </w:rPr>
        <w:t xml:space="preserve"> l</w:t>
      </w:r>
      <w:r w:rsidR="00B93593">
        <w:rPr>
          <w:rFonts w:ascii="Times New Roman" w:hAnsi="Times New Roman" w:cs="Times New Roman"/>
          <w:lang w:val="fr-FR"/>
        </w:rPr>
        <w:t>’</w:t>
      </w:r>
      <w:r w:rsidRPr="00403C55">
        <w:rPr>
          <w:rFonts w:ascii="Times New Roman" w:hAnsi="Times New Roman" w:cs="Times New Roman"/>
          <w:lang w:val="fr-FR"/>
        </w:rPr>
        <w:t xml:space="preserve">Accord ayant le besoin le plus urgent d’un plan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 international, le Secrétariat se met en relation avec les diverses parties prenantes pour </w:t>
      </w:r>
      <w:r w:rsidR="00CC2C9A" w:rsidRPr="00403C55">
        <w:rPr>
          <w:rFonts w:ascii="Times New Roman" w:hAnsi="Times New Roman" w:cs="Times New Roman"/>
          <w:lang w:val="fr-FR"/>
        </w:rPr>
        <w:t>examiner</w:t>
      </w:r>
      <w:r w:rsidRPr="00403C55">
        <w:rPr>
          <w:rFonts w:ascii="Times New Roman" w:hAnsi="Times New Roman" w:cs="Times New Roman"/>
          <w:lang w:val="fr-FR"/>
        </w:rPr>
        <w:t xml:space="preserve"> quels plans peuvent être élaborés et dans quels délais.</w:t>
      </w:r>
      <w:r w:rsidR="00231422" w:rsidRPr="00403C55">
        <w:rPr>
          <w:rFonts w:ascii="Times New Roman" w:hAnsi="Times New Roman" w:cs="Times New Roman"/>
          <w:lang w:val="fr-FR"/>
        </w:rPr>
        <w:t xml:space="preserve"> </w:t>
      </w:r>
      <w:r w:rsidRPr="00403C55">
        <w:rPr>
          <w:rFonts w:ascii="Times New Roman" w:hAnsi="Times New Roman" w:cs="Times New Roman"/>
          <w:lang w:val="fr-FR"/>
        </w:rPr>
        <w:t xml:space="preserve">L’élaboration fructueuse de nouveaux plans dépend de nombreux facteurs tels que </w:t>
      </w:r>
      <w:r w:rsidR="0022297E" w:rsidRPr="00403C55">
        <w:rPr>
          <w:rFonts w:ascii="Times New Roman" w:hAnsi="Times New Roman" w:cs="Times New Roman"/>
          <w:lang w:val="fr-FR"/>
        </w:rPr>
        <w:t>l’aide des gouvernements des État de l'aire de répartition</w:t>
      </w:r>
      <w:r w:rsidRPr="00403C55">
        <w:rPr>
          <w:rFonts w:ascii="Times New Roman" w:hAnsi="Times New Roman" w:cs="Times New Roman"/>
          <w:lang w:val="fr-FR"/>
        </w:rPr>
        <w:t xml:space="preserve"> </w:t>
      </w:r>
      <w:r w:rsidR="0022297E" w:rsidRPr="00403C55">
        <w:rPr>
          <w:rFonts w:ascii="Times New Roman" w:hAnsi="Times New Roman" w:cs="Times New Roman"/>
          <w:lang w:val="fr-FR"/>
        </w:rPr>
        <w:t>et la disponibilité d’experts des espèces</w:t>
      </w:r>
      <w:r w:rsidRPr="00403C55">
        <w:rPr>
          <w:rFonts w:ascii="Times New Roman" w:hAnsi="Times New Roman" w:cs="Times New Roman"/>
          <w:lang w:val="fr-FR"/>
        </w:rPr>
        <w:t>.</w:t>
      </w:r>
      <w:r w:rsidR="009313D8" w:rsidRPr="00403C55">
        <w:rPr>
          <w:rFonts w:ascii="Times New Roman" w:hAnsi="Times New Roman" w:cs="Times New Roman"/>
          <w:lang w:val="fr-FR"/>
        </w:rPr>
        <w:t xml:space="preserve"> </w:t>
      </w:r>
      <w:r w:rsidR="0022297E" w:rsidRPr="00403C55">
        <w:rPr>
          <w:rFonts w:ascii="Times New Roman" w:hAnsi="Times New Roman" w:cs="Times New Roman"/>
          <w:lang w:val="fr-FR"/>
        </w:rPr>
        <w:t>Disposer de suffisamment de moyens – tant sous la forme de temps à allouer par les experts que de financement – est essentiel.</w:t>
      </w:r>
      <w:r w:rsidR="009313D8" w:rsidRPr="00403C55">
        <w:rPr>
          <w:rFonts w:ascii="Times New Roman" w:hAnsi="Times New Roman" w:cs="Times New Roman"/>
          <w:lang w:val="fr-FR"/>
        </w:rPr>
        <w:t xml:space="preserve"> </w:t>
      </w:r>
      <w:r w:rsidR="0022297E" w:rsidRPr="00403C55">
        <w:rPr>
          <w:rFonts w:ascii="Times New Roman" w:hAnsi="Times New Roman" w:cs="Times New Roman"/>
          <w:lang w:val="fr-FR"/>
        </w:rPr>
        <w:t>La capacité du Secrétariat à organiser, lever des fonds et exécuter le processus dans un temps imparti est également un facteur crucial.</w:t>
      </w:r>
    </w:p>
    <w:p w14:paraId="35819D16" w14:textId="77777777" w:rsidR="00D72C88" w:rsidRPr="00403C55" w:rsidRDefault="00D72C88" w:rsidP="00231422">
      <w:pPr>
        <w:spacing w:after="0" w:line="240" w:lineRule="auto"/>
        <w:jc w:val="both"/>
        <w:rPr>
          <w:rFonts w:ascii="Times New Roman" w:hAnsi="Times New Roman" w:cs="Times New Roman"/>
          <w:lang w:val="fr-FR"/>
        </w:rPr>
      </w:pPr>
    </w:p>
    <w:p w14:paraId="48742A2F" w14:textId="28483B9C" w:rsidR="00E72AFA" w:rsidRPr="00403C55" w:rsidRDefault="0022297E"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Presque tous les processus de planification de l’action et de la gestion </w:t>
      </w:r>
      <w:r w:rsidR="00870983">
        <w:rPr>
          <w:rFonts w:ascii="Times New Roman" w:hAnsi="Times New Roman" w:cs="Times New Roman"/>
          <w:lang w:val="fr-FR"/>
        </w:rPr>
        <w:t>dans le cadre de</w:t>
      </w:r>
      <w:r w:rsidRPr="00403C55">
        <w:rPr>
          <w:rFonts w:ascii="Times New Roman" w:hAnsi="Times New Roman" w:cs="Times New Roman"/>
          <w:lang w:val="fr-FR"/>
        </w:rPr>
        <w:t xml:space="preserve"> l’AEWA exigent des efforts de levée de fonds de la part du Secrétariat.</w:t>
      </w:r>
      <w:r w:rsidR="00E72AFA"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principaux coûts sont liés aux heures de travail du personnel </w:t>
      </w:r>
      <w:r w:rsidR="00870983">
        <w:rPr>
          <w:rFonts w:ascii="Times New Roman" w:hAnsi="Times New Roman" w:cs="Times New Roman"/>
          <w:lang w:val="fr-FR"/>
        </w:rPr>
        <w:t>nécessaires à</w:t>
      </w:r>
      <w:r w:rsidRPr="00403C55">
        <w:rPr>
          <w:rFonts w:ascii="Times New Roman" w:hAnsi="Times New Roman" w:cs="Times New Roman"/>
          <w:lang w:val="fr-FR"/>
        </w:rPr>
        <w:t xml:space="preserve"> la compilation réelle de l’avant-projet de plan </w:t>
      </w:r>
      <w:r w:rsidR="0003562F">
        <w:rPr>
          <w:rFonts w:ascii="Times New Roman" w:hAnsi="Times New Roman" w:cs="Times New Roman"/>
          <w:lang w:val="fr-FR"/>
        </w:rPr>
        <w:t>d’action</w:t>
      </w:r>
      <w:r w:rsidRPr="00403C55">
        <w:rPr>
          <w:rFonts w:ascii="Times New Roman" w:hAnsi="Times New Roman" w:cs="Times New Roman"/>
          <w:lang w:val="fr-FR"/>
        </w:rPr>
        <w:t>/de gestion</w:t>
      </w:r>
      <w:r w:rsidR="00B93593">
        <w:rPr>
          <w:rFonts w:ascii="Times New Roman" w:hAnsi="Times New Roman" w:cs="Times New Roman"/>
          <w:lang w:val="fr-FR"/>
        </w:rPr>
        <w:t>, ainsi qu’</w:t>
      </w:r>
      <w:r w:rsidR="00CC2C9A" w:rsidRPr="00403C55">
        <w:rPr>
          <w:rFonts w:ascii="Times New Roman" w:hAnsi="Times New Roman" w:cs="Times New Roman"/>
          <w:lang w:val="fr-FR"/>
        </w:rPr>
        <w:t>à</w:t>
      </w:r>
      <w:r w:rsidRPr="00403C55">
        <w:rPr>
          <w:rFonts w:ascii="Times New Roman" w:hAnsi="Times New Roman" w:cs="Times New Roman"/>
          <w:lang w:val="fr-FR"/>
        </w:rPr>
        <w:t xml:space="preserve"> l’atelier de planification de l’action/la gestion auxquels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concernés sont invités.</w:t>
      </w:r>
      <w:r w:rsidR="00E72AFA"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premières étapes de l’établissement du processus d’élaboration du plan </w:t>
      </w:r>
      <w:r w:rsidR="0003562F">
        <w:rPr>
          <w:rFonts w:ascii="Times New Roman" w:hAnsi="Times New Roman" w:cs="Times New Roman"/>
          <w:lang w:val="fr-FR"/>
        </w:rPr>
        <w:t>d’action</w:t>
      </w:r>
      <w:r w:rsidRPr="00403C55">
        <w:rPr>
          <w:rFonts w:ascii="Times New Roman" w:hAnsi="Times New Roman" w:cs="Times New Roman"/>
          <w:lang w:val="fr-FR"/>
        </w:rPr>
        <w:t>/de gestion consistent donc à assurer des sponsors, qui sont généralement des gouve</w:t>
      </w:r>
      <w:r w:rsidR="00996C04" w:rsidRPr="00403C55">
        <w:rPr>
          <w:rFonts w:ascii="Times New Roman" w:hAnsi="Times New Roman" w:cs="Times New Roman"/>
          <w:lang w:val="fr-FR"/>
        </w:rPr>
        <w:t>r</w:t>
      </w:r>
      <w:r w:rsidRPr="00403C55">
        <w:rPr>
          <w:rFonts w:ascii="Times New Roman" w:hAnsi="Times New Roman" w:cs="Times New Roman"/>
          <w:lang w:val="fr-FR"/>
        </w:rPr>
        <w:t>n</w:t>
      </w:r>
      <w:r w:rsidR="00996C04" w:rsidRPr="00403C55">
        <w:rPr>
          <w:rFonts w:ascii="Times New Roman" w:hAnsi="Times New Roman" w:cs="Times New Roman"/>
          <w:lang w:val="fr-FR"/>
        </w:rPr>
        <w:t>e</w:t>
      </w:r>
      <w:r w:rsidRPr="00403C55">
        <w:rPr>
          <w:rFonts w:ascii="Times New Roman" w:hAnsi="Times New Roman" w:cs="Times New Roman"/>
          <w:lang w:val="fr-FR"/>
        </w:rPr>
        <w:t>ments o</w:t>
      </w:r>
      <w:r w:rsidR="00996C04" w:rsidRPr="00403C55">
        <w:rPr>
          <w:rFonts w:ascii="Times New Roman" w:hAnsi="Times New Roman" w:cs="Times New Roman"/>
          <w:lang w:val="fr-FR"/>
        </w:rPr>
        <w:t>u des o</w:t>
      </w:r>
      <w:r w:rsidR="00B34832">
        <w:rPr>
          <w:rFonts w:ascii="Times New Roman" w:hAnsi="Times New Roman" w:cs="Times New Roman"/>
          <w:lang w:val="fr-FR"/>
        </w:rPr>
        <w:t xml:space="preserve">rganisations </w:t>
      </w:r>
      <w:r w:rsidR="00996C04" w:rsidRPr="00403C55">
        <w:rPr>
          <w:rFonts w:ascii="Times New Roman" w:hAnsi="Times New Roman" w:cs="Times New Roman"/>
          <w:lang w:val="fr-FR"/>
        </w:rPr>
        <w:t>internationales</w:t>
      </w:r>
      <w:r w:rsidR="00B34832">
        <w:rPr>
          <w:rFonts w:ascii="Times New Roman" w:hAnsi="Times New Roman" w:cs="Times New Roman"/>
          <w:lang w:val="fr-FR"/>
        </w:rPr>
        <w:t xml:space="preserve"> de défense de l’environnement</w:t>
      </w:r>
      <w:r w:rsidR="00996C04" w:rsidRPr="00403C55">
        <w:rPr>
          <w:rFonts w:ascii="Times New Roman" w:hAnsi="Times New Roman" w:cs="Times New Roman"/>
          <w:lang w:val="fr-FR"/>
        </w:rPr>
        <w:t>, ainsi qu’un compilateur</w:t>
      </w:r>
      <w:r w:rsidR="00CC2C9A" w:rsidRPr="00403C55">
        <w:rPr>
          <w:rFonts w:ascii="Times New Roman" w:hAnsi="Times New Roman" w:cs="Times New Roman"/>
          <w:lang w:val="fr-FR"/>
        </w:rPr>
        <w:t xml:space="preserve"> en chef</w:t>
      </w:r>
      <w:r w:rsidR="00996C04" w:rsidRPr="00403C55">
        <w:rPr>
          <w:rFonts w:ascii="Times New Roman" w:hAnsi="Times New Roman" w:cs="Times New Roman"/>
          <w:lang w:val="fr-FR"/>
        </w:rPr>
        <w:t>/</w:t>
      </w:r>
      <w:r w:rsidR="00CC2C9A" w:rsidRPr="00403C55">
        <w:rPr>
          <w:rFonts w:ascii="Times New Roman" w:hAnsi="Times New Roman" w:cs="Times New Roman"/>
          <w:lang w:val="fr-FR"/>
        </w:rPr>
        <w:t xml:space="preserve">une </w:t>
      </w:r>
      <w:r w:rsidR="00996C04" w:rsidRPr="00403C55">
        <w:rPr>
          <w:rFonts w:ascii="Times New Roman" w:hAnsi="Times New Roman" w:cs="Times New Roman"/>
          <w:lang w:val="fr-FR"/>
        </w:rPr>
        <w:t>organisation chargée de la compilation</w:t>
      </w:r>
      <w:r w:rsidRPr="00403C55">
        <w:rPr>
          <w:rFonts w:ascii="Times New Roman" w:hAnsi="Times New Roman" w:cs="Times New Roman"/>
          <w:lang w:val="fr-FR"/>
        </w:rPr>
        <w:t>.</w:t>
      </w:r>
      <w:r w:rsidR="00E72AFA" w:rsidRPr="00403C55">
        <w:rPr>
          <w:rFonts w:ascii="Times New Roman" w:hAnsi="Times New Roman" w:cs="Times New Roman"/>
          <w:lang w:val="fr-FR"/>
        </w:rPr>
        <w:t xml:space="preserve"> </w:t>
      </w:r>
    </w:p>
    <w:p w14:paraId="2B833B12" w14:textId="77777777" w:rsidR="00E72AFA" w:rsidRPr="00403C55" w:rsidRDefault="00E72AFA" w:rsidP="00231422">
      <w:pPr>
        <w:spacing w:after="0" w:line="240" w:lineRule="auto"/>
        <w:jc w:val="both"/>
        <w:rPr>
          <w:rFonts w:ascii="Times New Roman" w:hAnsi="Times New Roman" w:cs="Times New Roman"/>
          <w:lang w:val="fr-FR"/>
        </w:rPr>
      </w:pPr>
    </w:p>
    <w:p w14:paraId="647DEDE4" w14:textId="4C257193" w:rsidR="00810E27" w:rsidRPr="00403C55" w:rsidRDefault="00996C04"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Dans le cas d’une aide financière allouée par un gouvernement, le Secrétariat requiert habituellement une lettre de ce gouvernement, comportant a) une demande au Secrétariat d’initier le processus de planification de l’action/gestion et b) une promesse de financer le processus (par ex. fournir des moyens pour la rédaction du plan et pour l’atelier de planification de l’action/</w:t>
      </w:r>
      <w:r w:rsidR="00B93593">
        <w:rPr>
          <w:rFonts w:ascii="Times New Roman" w:hAnsi="Times New Roman" w:cs="Times New Roman"/>
          <w:lang w:val="fr-FR"/>
        </w:rPr>
        <w:t xml:space="preserve">la </w:t>
      </w:r>
      <w:r w:rsidRPr="00403C55">
        <w:rPr>
          <w:rFonts w:ascii="Times New Roman" w:hAnsi="Times New Roman" w:cs="Times New Roman"/>
          <w:lang w:val="fr-FR"/>
        </w:rPr>
        <w:t>gestion, ainsi que l’impression/traduction éventuelle du plan si on le souhaite).</w:t>
      </w:r>
      <w:r w:rsidR="003A1D9C" w:rsidRPr="00403C55">
        <w:rPr>
          <w:rFonts w:ascii="Times New Roman" w:hAnsi="Times New Roman" w:cs="Times New Roman"/>
          <w:lang w:val="fr-FR"/>
        </w:rPr>
        <w:t xml:space="preserve"> </w:t>
      </w:r>
      <w:r w:rsidRPr="00403C55">
        <w:rPr>
          <w:rFonts w:ascii="Times New Roman" w:hAnsi="Times New Roman" w:cs="Times New Roman"/>
          <w:lang w:val="fr-FR"/>
        </w:rPr>
        <w:t>Selon le type d’arrangement avec le compilateur (consultant recruté ou bénévole) le Secrétariat signe un contrat ou un accord plus officiel traçant les grandes lignes du travail à fournir et indiquant le calendrier.</w:t>
      </w:r>
      <w:r w:rsidR="003A1D9C" w:rsidRPr="00403C55">
        <w:rPr>
          <w:rFonts w:ascii="Times New Roman" w:hAnsi="Times New Roman" w:cs="Times New Roman"/>
          <w:lang w:val="fr-FR"/>
        </w:rPr>
        <w:t xml:space="preserve"> </w:t>
      </w:r>
    </w:p>
    <w:p w14:paraId="4E1C2130" w14:textId="77777777" w:rsidR="003A1D9C" w:rsidRPr="00403C55" w:rsidRDefault="003A1D9C" w:rsidP="00231422">
      <w:pPr>
        <w:spacing w:after="0" w:line="240" w:lineRule="auto"/>
        <w:jc w:val="both"/>
        <w:rPr>
          <w:rFonts w:ascii="Times New Roman" w:hAnsi="Times New Roman" w:cs="Times New Roman"/>
          <w:lang w:val="fr-FR"/>
        </w:rPr>
      </w:pPr>
    </w:p>
    <w:p w14:paraId="283214B7" w14:textId="0077E435" w:rsidR="00231422" w:rsidRPr="00403C55" w:rsidRDefault="00996C04"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outre, le Secrétariat informe et se met en relation avec d’autres accords multilatéraux concernés éventuels et d’autres cadres légaux sur l’élaboration de nouveaux plans </w:t>
      </w:r>
      <w:r w:rsidR="0003562F">
        <w:rPr>
          <w:rFonts w:ascii="Times New Roman" w:hAnsi="Times New Roman" w:cs="Times New Roman"/>
          <w:lang w:val="fr-FR"/>
        </w:rPr>
        <w:t>d’action</w:t>
      </w:r>
      <w:r w:rsidRPr="00403C55">
        <w:rPr>
          <w:rFonts w:ascii="Times New Roman" w:hAnsi="Times New Roman" w:cs="Times New Roman"/>
          <w:lang w:val="fr-FR"/>
        </w:rPr>
        <w:t xml:space="preserve"> sous le processus </w:t>
      </w:r>
      <w:r w:rsidR="0003562F">
        <w:rPr>
          <w:rFonts w:ascii="Times New Roman" w:hAnsi="Times New Roman" w:cs="Times New Roman"/>
          <w:lang w:val="fr-FR"/>
        </w:rPr>
        <w:t>de l’AEWA</w:t>
      </w:r>
      <w:r w:rsidRPr="00403C55">
        <w:rPr>
          <w:rFonts w:ascii="Times New Roman" w:hAnsi="Times New Roman" w:cs="Times New Roman"/>
          <w:lang w:val="fr-FR"/>
        </w:rPr>
        <w:t>, tels que la Convention sur les espèces migratrices (CMS), la Convention de Bern</w:t>
      </w:r>
      <w:r w:rsidR="00870983">
        <w:rPr>
          <w:rFonts w:ascii="Times New Roman" w:hAnsi="Times New Roman" w:cs="Times New Roman"/>
          <w:lang w:val="fr-FR"/>
        </w:rPr>
        <w:t>e</w:t>
      </w:r>
      <w:r w:rsidRPr="00403C55">
        <w:rPr>
          <w:rFonts w:ascii="Times New Roman" w:hAnsi="Times New Roman" w:cs="Times New Roman"/>
          <w:lang w:val="fr-FR"/>
        </w:rPr>
        <w:t xml:space="preserve"> et la Commission européenne.</w:t>
      </w:r>
    </w:p>
    <w:p w14:paraId="24518800" w14:textId="77777777" w:rsidR="00E91C10" w:rsidRPr="00403C55" w:rsidRDefault="00E91C10" w:rsidP="00231422">
      <w:pPr>
        <w:spacing w:after="0" w:line="240" w:lineRule="auto"/>
        <w:jc w:val="both"/>
        <w:rPr>
          <w:rFonts w:ascii="Times New Roman" w:hAnsi="Times New Roman" w:cs="Times New Roman"/>
          <w:lang w:val="fr-FR"/>
        </w:rPr>
      </w:pPr>
    </w:p>
    <w:p w14:paraId="66DB2178" w14:textId="36C3F63D" w:rsidR="00231422" w:rsidRPr="00403C55" w:rsidRDefault="00725C34"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2.2.2. </w:t>
      </w:r>
      <w:r w:rsidR="00996C04" w:rsidRPr="00403C55">
        <w:rPr>
          <w:rFonts w:ascii="Times New Roman" w:hAnsi="Times New Roman" w:cs="Times New Roman"/>
          <w:i/>
          <w:lang w:val="fr-FR"/>
        </w:rPr>
        <w:t>Ateliers de planification de l’action/gestion</w:t>
      </w:r>
    </w:p>
    <w:p w14:paraId="7F9FDEA4" w14:textId="77777777" w:rsidR="00231422" w:rsidRPr="00403C55" w:rsidRDefault="00231422" w:rsidP="00231422">
      <w:pPr>
        <w:spacing w:after="0" w:line="240" w:lineRule="auto"/>
        <w:jc w:val="both"/>
        <w:rPr>
          <w:rFonts w:ascii="Times New Roman" w:hAnsi="Times New Roman" w:cs="Times New Roman"/>
          <w:lang w:val="fr-FR"/>
        </w:rPr>
      </w:pPr>
    </w:p>
    <w:p w14:paraId="332D48EB" w14:textId="78A4FE6B" w:rsidR="00EE0BAC" w:rsidRPr="00403C55" w:rsidRDefault="00996C04"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Un</w:t>
      </w:r>
      <w:r w:rsidR="00CC2C9A" w:rsidRPr="00403C55">
        <w:rPr>
          <w:rFonts w:ascii="Times New Roman" w:hAnsi="Times New Roman" w:cs="Times New Roman"/>
          <w:lang w:val="fr-FR"/>
        </w:rPr>
        <w:t>e</w:t>
      </w:r>
      <w:r w:rsidRPr="00403C55">
        <w:rPr>
          <w:rFonts w:ascii="Times New Roman" w:hAnsi="Times New Roman" w:cs="Times New Roman"/>
          <w:lang w:val="fr-FR"/>
        </w:rPr>
        <w:t xml:space="preserve"> composant</w:t>
      </w:r>
      <w:r w:rsidR="00CC2C9A" w:rsidRPr="00403C55">
        <w:rPr>
          <w:rFonts w:ascii="Times New Roman" w:hAnsi="Times New Roman" w:cs="Times New Roman"/>
          <w:lang w:val="fr-FR"/>
        </w:rPr>
        <w:t>e</w:t>
      </w:r>
      <w:r w:rsidRPr="00403C55">
        <w:rPr>
          <w:rFonts w:ascii="Times New Roman" w:hAnsi="Times New Roman" w:cs="Times New Roman"/>
          <w:lang w:val="fr-FR"/>
        </w:rPr>
        <w:t xml:space="preserve"> </w:t>
      </w:r>
      <w:r w:rsidR="00CC2C9A" w:rsidRPr="00403C55">
        <w:rPr>
          <w:rFonts w:ascii="Times New Roman" w:hAnsi="Times New Roman" w:cs="Times New Roman"/>
          <w:lang w:val="fr-FR"/>
        </w:rPr>
        <w:t>essentielle</w:t>
      </w:r>
      <w:r w:rsidRPr="00403C55">
        <w:rPr>
          <w:rFonts w:ascii="Times New Roman" w:hAnsi="Times New Roman" w:cs="Times New Roman"/>
          <w:lang w:val="fr-FR"/>
        </w:rPr>
        <w:t xml:space="preserve"> </w:t>
      </w:r>
      <w:r w:rsidR="001F0F8C" w:rsidRPr="00403C55">
        <w:rPr>
          <w:rFonts w:ascii="Times New Roman" w:hAnsi="Times New Roman" w:cs="Times New Roman"/>
          <w:lang w:val="fr-FR"/>
        </w:rPr>
        <w:t xml:space="preserve">de la démarche visant à assurer la participation précoce de tous les </w:t>
      </w:r>
      <w:r w:rsidR="00FE6EE5">
        <w:rPr>
          <w:rFonts w:ascii="Times New Roman" w:hAnsi="Times New Roman" w:cs="Times New Roman"/>
          <w:lang w:val="fr-FR"/>
        </w:rPr>
        <w:t>États de l’aire de répartition</w:t>
      </w:r>
      <w:r w:rsidR="001F0F8C" w:rsidRPr="00403C55">
        <w:rPr>
          <w:rFonts w:ascii="Times New Roman" w:hAnsi="Times New Roman" w:cs="Times New Roman"/>
          <w:lang w:val="fr-FR"/>
        </w:rPr>
        <w:t xml:space="preserve"> et d’autres parties prenantes pertinentes éventuelles</w:t>
      </w:r>
      <w:r w:rsidRPr="00403C55">
        <w:rPr>
          <w:rFonts w:ascii="Times New Roman" w:hAnsi="Times New Roman" w:cs="Times New Roman"/>
          <w:lang w:val="fr-FR"/>
        </w:rPr>
        <w:t xml:space="preserve"> </w:t>
      </w:r>
      <w:r w:rsidR="001F0F8C" w:rsidRPr="00403C55">
        <w:rPr>
          <w:rFonts w:ascii="Times New Roman" w:hAnsi="Times New Roman" w:cs="Times New Roman"/>
          <w:lang w:val="fr-FR"/>
        </w:rPr>
        <w:t>à tout processus de planification de l’action ou de la gestion, est l’organisation d’un atelier intergouvernemental</w:t>
      </w:r>
      <w:r w:rsidRPr="00403C55">
        <w:rPr>
          <w:rFonts w:ascii="Times New Roman" w:hAnsi="Times New Roman" w:cs="Times New Roman"/>
          <w:lang w:val="fr-FR"/>
        </w:rPr>
        <w:t>.</w:t>
      </w:r>
      <w:r w:rsidR="00E2501A" w:rsidRPr="00403C55">
        <w:rPr>
          <w:rFonts w:ascii="Times New Roman" w:hAnsi="Times New Roman" w:cs="Times New Roman"/>
          <w:lang w:val="fr-FR"/>
        </w:rPr>
        <w:t xml:space="preserve"> </w:t>
      </w:r>
    </w:p>
    <w:p w14:paraId="6B532547" w14:textId="77777777" w:rsidR="00EE0BAC" w:rsidRPr="00403C55" w:rsidRDefault="00EE0BAC" w:rsidP="00231422">
      <w:pPr>
        <w:spacing w:after="0" w:line="240" w:lineRule="auto"/>
        <w:jc w:val="both"/>
        <w:rPr>
          <w:rFonts w:ascii="Times New Roman" w:hAnsi="Times New Roman" w:cs="Times New Roman"/>
          <w:lang w:val="fr-FR"/>
        </w:rPr>
      </w:pPr>
    </w:p>
    <w:p w14:paraId="6FCA00B0" w14:textId="3FAF5E84" w:rsidR="00725C34" w:rsidRPr="00403C55" w:rsidRDefault="001F0F8C" w:rsidP="00E2501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Une fois que l’on </w:t>
      </w:r>
      <w:r w:rsidR="00CC2C9A" w:rsidRPr="00403C55">
        <w:rPr>
          <w:rFonts w:ascii="Times New Roman" w:hAnsi="Times New Roman" w:cs="Times New Roman"/>
          <w:lang w:val="fr-FR"/>
        </w:rPr>
        <w:t>s’est</w:t>
      </w:r>
      <w:r w:rsidRPr="00403C55">
        <w:rPr>
          <w:rFonts w:ascii="Times New Roman" w:hAnsi="Times New Roman" w:cs="Times New Roman"/>
          <w:lang w:val="fr-FR"/>
        </w:rPr>
        <w:t xml:space="preserve"> assuré </w:t>
      </w:r>
      <w:r w:rsidR="00CC2C9A" w:rsidRPr="00403C55">
        <w:rPr>
          <w:rFonts w:ascii="Times New Roman" w:hAnsi="Times New Roman" w:cs="Times New Roman"/>
          <w:lang w:val="fr-FR"/>
        </w:rPr>
        <w:t xml:space="preserve">de </w:t>
      </w:r>
      <w:r w:rsidRPr="00403C55">
        <w:rPr>
          <w:rFonts w:ascii="Times New Roman" w:hAnsi="Times New Roman" w:cs="Times New Roman"/>
          <w:lang w:val="fr-FR"/>
        </w:rPr>
        <w:t>la participation d’un compilateur en chef</w:t>
      </w:r>
      <w:r w:rsidR="00870983">
        <w:rPr>
          <w:rFonts w:ascii="Times New Roman" w:hAnsi="Times New Roman" w:cs="Times New Roman"/>
          <w:lang w:val="fr-FR"/>
        </w:rPr>
        <w:t xml:space="preserve"> ou d’une </w:t>
      </w:r>
      <w:r w:rsidRPr="00403C55">
        <w:rPr>
          <w:rFonts w:ascii="Times New Roman" w:hAnsi="Times New Roman" w:cs="Times New Roman"/>
          <w:lang w:val="fr-FR"/>
        </w:rPr>
        <w:t>organisation dirigeant la compilation ainsi que</w:t>
      </w:r>
      <w:r w:rsidR="00CC2C9A" w:rsidRPr="00403C55">
        <w:rPr>
          <w:rFonts w:ascii="Times New Roman" w:hAnsi="Times New Roman" w:cs="Times New Roman"/>
          <w:lang w:val="fr-FR"/>
        </w:rPr>
        <w:t xml:space="preserve"> de la disponibilité de</w:t>
      </w:r>
      <w:r w:rsidR="00985A4E">
        <w:rPr>
          <w:rFonts w:ascii="Times New Roman" w:hAnsi="Times New Roman" w:cs="Times New Roman"/>
          <w:lang w:val="fr-FR"/>
        </w:rPr>
        <w:t xml:space="preserve"> </w:t>
      </w:r>
      <w:r w:rsidRPr="00403C55">
        <w:rPr>
          <w:rFonts w:ascii="Times New Roman" w:hAnsi="Times New Roman" w:cs="Times New Roman"/>
          <w:lang w:val="fr-FR"/>
        </w:rPr>
        <w:t>suffisamment de fonds</w:t>
      </w:r>
      <w:r w:rsidR="0036316C" w:rsidRPr="00403C55">
        <w:rPr>
          <w:rFonts w:ascii="Times New Roman" w:hAnsi="Times New Roman" w:cs="Times New Roman"/>
          <w:lang w:val="fr-FR"/>
        </w:rPr>
        <w:t>, le Secrétariat convoque un atelier de planification</w:t>
      </w:r>
      <w:r w:rsidRPr="00403C55">
        <w:rPr>
          <w:rFonts w:ascii="Times New Roman" w:hAnsi="Times New Roman" w:cs="Times New Roman"/>
          <w:lang w:val="fr-FR"/>
        </w:rPr>
        <w:t xml:space="preserve"> </w:t>
      </w:r>
      <w:r w:rsidR="0036316C" w:rsidRPr="00403C55">
        <w:rPr>
          <w:rFonts w:ascii="Times New Roman" w:hAnsi="Times New Roman" w:cs="Times New Roman"/>
          <w:lang w:val="fr-FR"/>
        </w:rPr>
        <w:t xml:space="preserve">auquel sont invités tous les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w:t>
      </w:r>
      <w:r w:rsidR="0036316C" w:rsidRPr="00403C55">
        <w:rPr>
          <w:rFonts w:ascii="Times New Roman" w:hAnsi="Times New Roman" w:cs="Times New Roman"/>
          <w:lang w:val="fr-FR"/>
        </w:rPr>
        <w:t>qu’ils soient ou non Parties contractantes à l’</w:t>
      </w:r>
      <w:r w:rsidRPr="00403C55">
        <w:rPr>
          <w:rFonts w:ascii="Times New Roman" w:hAnsi="Times New Roman" w:cs="Times New Roman"/>
          <w:lang w:val="fr-FR"/>
        </w:rPr>
        <w:t xml:space="preserve">AEWA) </w:t>
      </w:r>
      <w:r w:rsidR="0036316C" w:rsidRPr="00403C55">
        <w:rPr>
          <w:rFonts w:ascii="Times New Roman" w:hAnsi="Times New Roman" w:cs="Times New Roman"/>
          <w:lang w:val="fr-FR"/>
        </w:rPr>
        <w:t>ainsi que des experts supplémentaires éventuels de l’espèce</w:t>
      </w:r>
      <w:r w:rsidRPr="00403C55">
        <w:rPr>
          <w:rFonts w:ascii="Times New Roman" w:hAnsi="Times New Roman" w:cs="Times New Roman"/>
          <w:lang w:val="fr-FR"/>
        </w:rPr>
        <w:t>.</w:t>
      </w:r>
      <w:r w:rsidR="00231422" w:rsidRPr="00403C55">
        <w:rPr>
          <w:rFonts w:ascii="Times New Roman" w:hAnsi="Times New Roman" w:cs="Times New Roman"/>
          <w:lang w:val="fr-FR"/>
        </w:rPr>
        <w:t xml:space="preserve"> </w:t>
      </w:r>
      <w:r w:rsidR="0036316C" w:rsidRPr="00403C55">
        <w:rPr>
          <w:rFonts w:ascii="Times New Roman" w:hAnsi="Times New Roman" w:cs="Times New Roman"/>
          <w:lang w:val="fr-FR"/>
        </w:rPr>
        <w:t xml:space="preserve">Une lettre est envoyée aux points focaux </w:t>
      </w:r>
      <w:r w:rsidR="00DF7B5A" w:rsidRPr="00403C55">
        <w:rPr>
          <w:rFonts w:ascii="Times New Roman" w:hAnsi="Times New Roman" w:cs="Times New Roman"/>
          <w:lang w:val="fr-FR"/>
        </w:rPr>
        <w:t xml:space="preserve">et contacts </w:t>
      </w:r>
      <w:r w:rsidR="0003562F">
        <w:rPr>
          <w:rFonts w:ascii="Times New Roman" w:hAnsi="Times New Roman" w:cs="Times New Roman"/>
          <w:lang w:val="fr-FR"/>
        </w:rPr>
        <w:t>de l’AEWA</w:t>
      </w:r>
      <w:r w:rsidR="0036316C" w:rsidRPr="00403C55">
        <w:rPr>
          <w:rFonts w:ascii="Times New Roman" w:hAnsi="Times New Roman" w:cs="Times New Roman"/>
          <w:lang w:val="fr-FR"/>
        </w:rPr>
        <w:t xml:space="preserve"> respectifs, les invitant à envoyer à l’atelier un représentant gouvernemental chargé de la mise en œuvre </w:t>
      </w:r>
      <w:r w:rsidR="0003562F">
        <w:rPr>
          <w:rFonts w:ascii="Times New Roman" w:hAnsi="Times New Roman" w:cs="Times New Roman"/>
          <w:lang w:val="fr-FR"/>
        </w:rPr>
        <w:t>de l’AEWA</w:t>
      </w:r>
      <w:r w:rsidR="0036316C" w:rsidRPr="00403C55">
        <w:rPr>
          <w:rFonts w:ascii="Times New Roman" w:hAnsi="Times New Roman" w:cs="Times New Roman"/>
          <w:lang w:val="fr-FR"/>
        </w:rPr>
        <w:t>, ainsi qu’un expert national de l’espèce concernée.</w:t>
      </w:r>
      <w:r w:rsidR="00231422" w:rsidRPr="00403C55">
        <w:rPr>
          <w:rFonts w:ascii="Times New Roman" w:hAnsi="Times New Roman" w:cs="Times New Roman"/>
          <w:lang w:val="fr-FR"/>
        </w:rPr>
        <w:t xml:space="preserve"> </w:t>
      </w:r>
      <w:r w:rsidR="0036316C" w:rsidRPr="00403C55">
        <w:rPr>
          <w:rFonts w:ascii="Times New Roman" w:hAnsi="Times New Roman" w:cs="Times New Roman"/>
          <w:lang w:val="fr-FR"/>
        </w:rPr>
        <w:t xml:space="preserve">Ceci permet de </w:t>
      </w:r>
      <w:r w:rsidR="00CC2C9A" w:rsidRPr="00403C55">
        <w:rPr>
          <w:rFonts w:ascii="Times New Roman" w:hAnsi="Times New Roman" w:cs="Times New Roman"/>
          <w:lang w:val="fr-FR"/>
        </w:rPr>
        <w:t>spécifier</w:t>
      </w:r>
      <w:r w:rsidR="0036316C" w:rsidRPr="00403C55">
        <w:rPr>
          <w:rFonts w:ascii="Times New Roman" w:hAnsi="Times New Roman" w:cs="Times New Roman"/>
          <w:lang w:val="fr-FR"/>
        </w:rPr>
        <w:t xml:space="preserve"> dans le plan, à un stade précoce, des considérations liées à la politique nationale ainsi que des aspects </w:t>
      </w:r>
      <w:r w:rsidR="0036316C" w:rsidRPr="00403C55">
        <w:rPr>
          <w:rFonts w:ascii="Times New Roman" w:hAnsi="Times New Roman" w:cs="Times New Roman"/>
          <w:lang w:val="fr-FR"/>
        </w:rPr>
        <w:lastRenderedPageBreak/>
        <w:t>relatifs à la biologie, à la conservation et à l’utilisation durable.</w:t>
      </w:r>
      <w:r w:rsidR="00231422" w:rsidRPr="00403C55">
        <w:rPr>
          <w:rFonts w:ascii="Times New Roman" w:hAnsi="Times New Roman" w:cs="Times New Roman"/>
          <w:lang w:val="fr-FR"/>
        </w:rPr>
        <w:t xml:space="preserve"> </w:t>
      </w:r>
      <w:r w:rsidR="0036316C" w:rsidRPr="00403C55">
        <w:rPr>
          <w:rFonts w:ascii="Times New Roman" w:hAnsi="Times New Roman" w:cs="Times New Roman"/>
          <w:lang w:val="fr-FR"/>
        </w:rPr>
        <w:t>La participation active des gouvernements d’</w:t>
      </w:r>
      <w:r w:rsidR="00FE6EE5">
        <w:rPr>
          <w:rFonts w:ascii="Times New Roman" w:hAnsi="Times New Roman" w:cs="Times New Roman"/>
          <w:lang w:val="fr-FR"/>
        </w:rPr>
        <w:t>États de l’aire de répartition</w:t>
      </w:r>
      <w:r w:rsidR="0036316C" w:rsidRPr="00403C55">
        <w:rPr>
          <w:rFonts w:ascii="Times New Roman" w:hAnsi="Times New Roman" w:cs="Times New Roman"/>
          <w:lang w:val="fr-FR"/>
        </w:rPr>
        <w:t xml:space="preserve"> est particulièrement importante, puisqu’ils seront responsables de la mise en œuvre du plan </w:t>
      </w:r>
      <w:r w:rsidR="0003562F">
        <w:rPr>
          <w:rFonts w:ascii="Times New Roman" w:hAnsi="Times New Roman" w:cs="Times New Roman"/>
          <w:lang w:val="fr-FR"/>
        </w:rPr>
        <w:t>d’action</w:t>
      </w:r>
      <w:r w:rsidR="0036316C" w:rsidRPr="00403C55">
        <w:rPr>
          <w:rFonts w:ascii="Times New Roman" w:hAnsi="Times New Roman" w:cs="Times New Roman"/>
          <w:lang w:val="fr-FR"/>
        </w:rPr>
        <w:t>/de gestion après son adoption.</w:t>
      </w:r>
      <w:r w:rsidR="00F137FB" w:rsidRPr="00403C55">
        <w:rPr>
          <w:rFonts w:ascii="Times New Roman" w:hAnsi="Times New Roman" w:cs="Times New Roman"/>
          <w:lang w:val="fr-FR"/>
        </w:rPr>
        <w:t xml:space="preserve"> </w:t>
      </w:r>
      <w:r w:rsidR="0036316C" w:rsidRPr="00403C55">
        <w:rPr>
          <w:rFonts w:ascii="Times New Roman" w:hAnsi="Times New Roman" w:cs="Times New Roman"/>
          <w:lang w:val="fr-FR"/>
        </w:rPr>
        <w:t>Dans la lettre d’invitation à l’atelier, le Secrétariat peut recommander la présence d’un expert national connu de l’espèce.</w:t>
      </w:r>
      <w:r w:rsidR="00F137FB" w:rsidRPr="00403C55">
        <w:rPr>
          <w:rFonts w:ascii="Times New Roman" w:hAnsi="Times New Roman" w:cs="Times New Roman"/>
          <w:lang w:val="fr-FR"/>
        </w:rPr>
        <w:t xml:space="preserve"> </w:t>
      </w:r>
      <w:r w:rsidR="0036316C" w:rsidRPr="00403C55">
        <w:rPr>
          <w:rFonts w:ascii="Times New Roman" w:hAnsi="Times New Roman" w:cs="Times New Roman"/>
          <w:lang w:val="fr-FR"/>
        </w:rPr>
        <w:t>Il s’agit toutefois seulement d’une recommandation et la décision finale sur qui participe à l’atelier appartient aux gouvernements respectifs.</w:t>
      </w:r>
      <w:r w:rsidR="00F137FB" w:rsidRPr="00403C55">
        <w:rPr>
          <w:rFonts w:ascii="Times New Roman" w:hAnsi="Times New Roman" w:cs="Times New Roman"/>
          <w:lang w:val="fr-FR"/>
        </w:rPr>
        <w:t xml:space="preserve"> </w:t>
      </w:r>
      <w:r w:rsidR="0036316C" w:rsidRPr="00403C55">
        <w:rPr>
          <w:rFonts w:ascii="Times New Roman" w:hAnsi="Times New Roman" w:cs="Times New Roman"/>
          <w:lang w:val="fr-FR"/>
        </w:rPr>
        <w:t xml:space="preserve">De plus, des invitations sont envoyées aux organisations représentées au Comité technique </w:t>
      </w:r>
      <w:r w:rsidR="0003562F">
        <w:rPr>
          <w:rFonts w:ascii="Times New Roman" w:hAnsi="Times New Roman" w:cs="Times New Roman"/>
          <w:lang w:val="fr-FR"/>
        </w:rPr>
        <w:t>de l’AEWA</w:t>
      </w:r>
      <w:r w:rsidR="0036316C" w:rsidRPr="00403C55">
        <w:rPr>
          <w:rFonts w:ascii="Times New Roman" w:hAnsi="Times New Roman" w:cs="Times New Roman"/>
          <w:lang w:val="fr-FR"/>
        </w:rPr>
        <w:t>.</w:t>
      </w:r>
    </w:p>
    <w:p w14:paraId="33894F5B" w14:textId="77777777" w:rsidR="00725C34" w:rsidRPr="00403C55" w:rsidRDefault="00725C34" w:rsidP="00231422">
      <w:pPr>
        <w:spacing w:after="0" w:line="240" w:lineRule="auto"/>
        <w:jc w:val="both"/>
        <w:rPr>
          <w:rFonts w:ascii="Times New Roman" w:hAnsi="Times New Roman" w:cs="Times New Roman"/>
          <w:lang w:val="fr-FR"/>
        </w:rPr>
      </w:pPr>
    </w:p>
    <w:p w14:paraId="35B633CB" w14:textId="0B5C1EDC" w:rsidR="00B9059D" w:rsidRPr="00403C55" w:rsidRDefault="0036316C"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L’agenda de l’atelier est préparé par le Secrétariat, le compilateur en chef et le gouvernement d’accueil, le cas échéant.</w:t>
      </w:r>
      <w:r w:rsidR="00DA75E9" w:rsidRPr="00403C55">
        <w:rPr>
          <w:rFonts w:ascii="Times New Roman" w:hAnsi="Times New Roman" w:cs="Times New Roman"/>
          <w:lang w:val="fr-FR"/>
        </w:rPr>
        <w:t xml:space="preserve"> </w:t>
      </w:r>
      <w:r w:rsidR="00377274">
        <w:rPr>
          <w:rFonts w:ascii="Times New Roman" w:hAnsi="Times New Roman" w:cs="Times New Roman"/>
          <w:lang w:val="fr-FR"/>
        </w:rPr>
        <w:t xml:space="preserve">Si les capacités disponibles le permettent, une évaluation biologique ainsi qu’une première évaluation des menaces sont aussi préparées avant l’atelier. </w:t>
      </w:r>
      <w:r w:rsidRPr="00403C55">
        <w:rPr>
          <w:rFonts w:ascii="Times New Roman" w:hAnsi="Times New Roman" w:cs="Times New Roman"/>
          <w:lang w:val="fr-FR"/>
        </w:rPr>
        <w:t xml:space="preserve">La facilitation est réalisée par le Secrétariat et/ou </w:t>
      </w:r>
      <w:r w:rsidR="00342971" w:rsidRPr="00403C55">
        <w:rPr>
          <w:rFonts w:ascii="Times New Roman" w:hAnsi="Times New Roman" w:cs="Times New Roman"/>
          <w:lang w:val="fr-FR"/>
        </w:rPr>
        <w:t>un autre expert national de la planification de l’action/gestion en faveur de l’espèce</w:t>
      </w:r>
      <w:r w:rsidR="00CC2C9A" w:rsidRPr="00403C55">
        <w:rPr>
          <w:rFonts w:ascii="Times New Roman" w:hAnsi="Times New Roman" w:cs="Times New Roman"/>
          <w:lang w:val="fr-FR"/>
        </w:rPr>
        <w:t>,</w:t>
      </w:r>
      <w:r w:rsidRPr="00403C55">
        <w:rPr>
          <w:rFonts w:ascii="Times New Roman" w:hAnsi="Times New Roman" w:cs="Times New Roman"/>
          <w:lang w:val="fr-FR"/>
        </w:rPr>
        <w:t xml:space="preserve"> </w:t>
      </w:r>
      <w:r w:rsidR="00342971" w:rsidRPr="00403C55">
        <w:rPr>
          <w:rFonts w:ascii="Times New Roman" w:hAnsi="Times New Roman" w:cs="Times New Roman"/>
          <w:lang w:val="fr-FR"/>
        </w:rPr>
        <w:t>en coopération</w:t>
      </w:r>
      <w:r w:rsidRPr="00403C55">
        <w:rPr>
          <w:rFonts w:ascii="Times New Roman" w:hAnsi="Times New Roman" w:cs="Times New Roman"/>
          <w:lang w:val="fr-FR"/>
        </w:rPr>
        <w:t xml:space="preserve"> </w:t>
      </w:r>
      <w:r w:rsidR="00342971" w:rsidRPr="00403C55">
        <w:rPr>
          <w:rFonts w:ascii="Times New Roman" w:hAnsi="Times New Roman" w:cs="Times New Roman"/>
          <w:lang w:val="fr-FR"/>
        </w:rPr>
        <w:t>avec le compilateur en chef</w:t>
      </w:r>
      <w:r w:rsidRPr="00403C55">
        <w:rPr>
          <w:rFonts w:ascii="Times New Roman" w:hAnsi="Times New Roman" w:cs="Times New Roman"/>
          <w:lang w:val="fr-FR"/>
        </w:rPr>
        <w:t>.</w:t>
      </w:r>
      <w:r w:rsidR="00DA75E9" w:rsidRPr="00403C55">
        <w:rPr>
          <w:rFonts w:ascii="Times New Roman" w:hAnsi="Times New Roman" w:cs="Times New Roman"/>
          <w:lang w:val="fr-FR"/>
        </w:rPr>
        <w:t xml:space="preserve"> </w:t>
      </w:r>
      <w:r w:rsidR="00342971" w:rsidRPr="00403C55">
        <w:rPr>
          <w:rFonts w:ascii="Times New Roman" w:hAnsi="Times New Roman" w:cs="Times New Roman"/>
          <w:lang w:val="fr-FR"/>
        </w:rPr>
        <w:t>Les ateliers peuvent inclure une introduction sur l</w:t>
      </w:r>
      <w:r w:rsidR="00EC7C82">
        <w:rPr>
          <w:rFonts w:ascii="Times New Roman" w:hAnsi="Times New Roman" w:cs="Times New Roman"/>
          <w:lang w:val="fr-FR"/>
        </w:rPr>
        <w:t>e statut</w:t>
      </w:r>
      <w:r w:rsidR="00342971" w:rsidRPr="00403C55">
        <w:rPr>
          <w:rFonts w:ascii="Times New Roman" w:hAnsi="Times New Roman" w:cs="Times New Roman"/>
          <w:lang w:val="fr-FR"/>
        </w:rPr>
        <w:t xml:space="preserve"> international de l’espèce, suivie de courtes présentations réalisées par les représentants nationaux sur le l’état actuel, les principales menaces, et/ou l’utilisation de l’espèce dans leur pays.</w:t>
      </w:r>
      <w:r w:rsidR="00DA75E9" w:rsidRPr="00403C55">
        <w:rPr>
          <w:rFonts w:ascii="Times New Roman" w:hAnsi="Times New Roman" w:cs="Times New Roman"/>
          <w:lang w:val="fr-FR"/>
        </w:rPr>
        <w:t xml:space="preserve"> </w:t>
      </w:r>
      <w:r w:rsidR="00342971" w:rsidRPr="00403C55">
        <w:rPr>
          <w:rFonts w:ascii="Times New Roman" w:hAnsi="Times New Roman" w:cs="Times New Roman"/>
          <w:lang w:val="fr-FR"/>
        </w:rPr>
        <w:t>Ceci est habituellement suivi par des sessions de réflexion sur les menaces, les objectifs, les résultats et les activités, et leurs indicateurs associés, ainsi que sur les lacunes en termes de connaissances.</w:t>
      </w:r>
      <w:r w:rsidR="00DA75E9" w:rsidRPr="00403C55">
        <w:rPr>
          <w:rFonts w:ascii="Times New Roman" w:hAnsi="Times New Roman" w:cs="Times New Roman"/>
          <w:lang w:val="fr-FR"/>
        </w:rPr>
        <w:t xml:space="preserve"> </w:t>
      </w:r>
      <w:r w:rsidR="00342971" w:rsidRPr="00403C55">
        <w:rPr>
          <w:rFonts w:ascii="Times New Roman" w:hAnsi="Times New Roman" w:cs="Times New Roman"/>
          <w:lang w:val="fr-FR"/>
        </w:rPr>
        <w:t xml:space="preserve">Des discussions </w:t>
      </w:r>
      <w:r w:rsidR="00870983">
        <w:rPr>
          <w:rFonts w:ascii="Times New Roman" w:hAnsi="Times New Roman" w:cs="Times New Roman"/>
          <w:lang w:val="fr-FR"/>
        </w:rPr>
        <w:t>portent</w:t>
      </w:r>
      <w:r w:rsidR="00342971" w:rsidRPr="00403C55">
        <w:rPr>
          <w:rFonts w:ascii="Times New Roman" w:hAnsi="Times New Roman" w:cs="Times New Roman"/>
          <w:lang w:val="fr-FR"/>
        </w:rPr>
        <w:t xml:space="preserve"> également sur les activités </w:t>
      </w:r>
      <w:r w:rsidR="00CC2C9A" w:rsidRPr="00403C55">
        <w:rPr>
          <w:rFonts w:ascii="Times New Roman" w:hAnsi="Times New Roman" w:cs="Times New Roman"/>
          <w:lang w:val="fr-FR"/>
        </w:rPr>
        <w:t>u</w:t>
      </w:r>
      <w:r w:rsidR="00342971" w:rsidRPr="00403C55">
        <w:rPr>
          <w:rFonts w:ascii="Times New Roman" w:hAnsi="Times New Roman" w:cs="Times New Roman"/>
          <w:lang w:val="fr-FR"/>
        </w:rPr>
        <w:t>rgentes éventuelles qu'il peut être nécessaire de mettre en œuvre tout de suite avant l’adoption officielle du plan.</w:t>
      </w:r>
    </w:p>
    <w:p w14:paraId="29EDD581" w14:textId="77777777" w:rsidR="00DA75E9" w:rsidRPr="00403C55" w:rsidRDefault="00DA75E9" w:rsidP="00231422">
      <w:pPr>
        <w:spacing w:after="0" w:line="240" w:lineRule="auto"/>
        <w:jc w:val="both"/>
        <w:rPr>
          <w:rFonts w:ascii="Times New Roman" w:hAnsi="Times New Roman" w:cs="Times New Roman"/>
          <w:lang w:val="fr-FR"/>
        </w:rPr>
      </w:pPr>
    </w:p>
    <w:p w14:paraId="242478C7" w14:textId="117C7D01" w:rsidR="00C87FA9" w:rsidRPr="00403C55" w:rsidRDefault="00342971"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Il convient de noter que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des espèces sont des cadres internationaux pour la conservation et la gestion coordonnées des espèces/populations – et non pas des articles scientifiques </w:t>
      </w:r>
      <w:r w:rsidR="00CC2C9A" w:rsidRPr="00403C55">
        <w:rPr>
          <w:rFonts w:ascii="Times New Roman" w:hAnsi="Times New Roman" w:cs="Times New Roman"/>
          <w:lang w:val="fr-FR"/>
        </w:rPr>
        <w:t>destinés à de</w:t>
      </w:r>
      <w:r w:rsidRPr="00403C55">
        <w:rPr>
          <w:rFonts w:ascii="Times New Roman" w:hAnsi="Times New Roman" w:cs="Times New Roman"/>
          <w:lang w:val="fr-FR"/>
        </w:rPr>
        <w:t>s pairs.</w:t>
      </w:r>
      <w:r w:rsidR="00B9059D" w:rsidRPr="00403C55">
        <w:rPr>
          <w:rFonts w:ascii="Times New Roman" w:hAnsi="Times New Roman" w:cs="Times New Roman"/>
          <w:lang w:val="fr-FR"/>
        </w:rPr>
        <w:t xml:space="preserve"> </w:t>
      </w:r>
      <w:r w:rsidRPr="00403C55">
        <w:rPr>
          <w:rFonts w:ascii="Times New Roman" w:hAnsi="Times New Roman" w:cs="Times New Roman"/>
          <w:lang w:val="fr-FR"/>
        </w:rPr>
        <w:t xml:space="preserve">Bien que </w:t>
      </w:r>
      <w:r w:rsidR="00CC2C9A" w:rsidRPr="00403C55">
        <w:rPr>
          <w:rFonts w:ascii="Times New Roman" w:hAnsi="Times New Roman" w:cs="Times New Roman"/>
          <w:lang w:val="fr-FR"/>
        </w:rPr>
        <w:t>l</w:t>
      </w:r>
      <w:r w:rsidRPr="00403C55">
        <w:rPr>
          <w:rFonts w:ascii="Times New Roman" w:hAnsi="Times New Roman" w:cs="Times New Roman"/>
          <w:lang w:val="fr-FR"/>
        </w:rPr>
        <w:t xml:space="preserve">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doivent inclure les meilleures connaissances scientifiques disponibles au moment de leur élaboration, les lacunes dans les connaissances scientifiques ne doivent pas être considérées comme étant une raison de retarder l’élaboration et l’adoption consécutive d’un plan.</w:t>
      </w:r>
      <w:r w:rsidR="00576872" w:rsidRPr="00403C55">
        <w:rPr>
          <w:rFonts w:ascii="Times New Roman" w:hAnsi="Times New Roman" w:cs="Times New Roman"/>
          <w:lang w:val="fr-FR"/>
        </w:rPr>
        <w:t xml:space="preserve"> </w:t>
      </w:r>
      <w:r w:rsidRPr="00403C55">
        <w:rPr>
          <w:rFonts w:ascii="Times New Roman" w:hAnsi="Times New Roman" w:cs="Times New Roman"/>
          <w:lang w:val="fr-FR"/>
        </w:rPr>
        <w:t>Au lieu d</w:t>
      </w:r>
      <w:r w:rsidR="00377274">
        <w:rPr>
          <w:rFonts w:ascii="Times New Roman" w:hAnsi="Times New Roman" w:cs="Times New Roman"/>
          <w:lang w:val="fr-FR"/>
        </w:rPr>
        <w:t>e cela, ces lacunes dans les</w:t>
      </w:r>
      <w:r w:rsidRPr="00403C55">
        <w:rPr>
          <w:rFonts w:ascii="Times New Roman" w:hAnsi="Times New Roman" w:cs="Times New Roman"/>
          <w:lang w:val="fr-FR"/>
        </w:rPr>
        <w:t xml:space="preserve"> connaissances</w:t>
      </w:r>
      <w:r w:rsidR="00377274">
        <w:rPr>
          <w:rFonts w:ascii="Times New Roman" w:hAnsi="Times New Roman" w:cs="Times New Roman"/>
          <w:lang w:val="fr-FR"/>
        </w:rPr>
        <w:t xml:space="preserve"> et les hypothèses émises en l’</w:t>
      </w:r>
      <w:r w:rsidR="00A005EC">
        <w:rPr>
          <w:rFonts w:ascii="Times New Roman" w:hAnsi="Times New Roman" w:cs="Times New Roman"/>
          <w:lang w:val="fr-FR"/>
        </w:rPr>
        <w:t>absence de données concrèt</w:t>
      </w:r>
      <w:r w:rsidR="00763416">
        <w:rPr>
          <w:rFonts w:ascii="Times New Roman" w:hAnsi="Times New Roman" w:cs="Times New Roman"/>
          <w:lang w:val="fr-FR"/>
        </w:rPr>
        <w:t>es</w:t>
      </w:r>
      <w:r w:rsidRPr="00403C55">
        <w:rPr>
          <w:rFonts w:ascii="Times New Roman" w:hAnsi="Times New Roman" w:cs="Times New Roman"/>
          <w:lang w:val="fr-FR"/>
        </w:rPr>
        <w:t xml:space="preserve"> doivent être dument notées dans le plan</w:t>
      </w:r>
      <w:r w:rsidR="00377274">
        <w:rPr>
          <w:rFonts w:ascii="Times New Roman" w:hAnsi="Times New Roman" w:cs="Times New Roman"/>
          <w:lang w:val="fr-FR"/>
        </w:rPr>
        <w:t>,</w:t>
      </w:r>
      <w:r w:rsidRPr="00403C55">
        <w:rPr>
          <w:rFonts w:ascii="Times New Roman" w:hAnsi="Times New Roman" w:cs="Times New Roman"/>
          <w:lang w:val="fr-FR"/>
        </w:rPr>
        <w:t xml:space="preserve"> et </w:t>
      </w:r>
      <w:r w:rsidR="00870983">
        <w:rPr>
          <w:rFonts w:ascii="Times New Roman" w:hAnsi="Times New Roman" w:cs="Times New Roman"/>
          <w:lang w:val="fr-FR"/>
        </w:rPr>
        <w:t xml:space="preserve">on y ajoutera </w:t>
      </w:r>
      <w:r w:rsidR="00EC7C82">
        <w:rPr>
          <w:rFonts w:ascii="Times New Roman" w:hAnsi="Times New Roman" w:cs="Times New Roman"/>
          <w:lang w:val="fr-FR"/>
        </w:rPr>
        <w:t>l</w:t>
      </w:r>
      <w:r w:rsidRPr="00403C55">
        <w:rPr>
          <w:rFonts w:ascii="Times New Roman" w:hAnsi="Times New Roman" w:cs="Times New Roman"/>
          <w:lang w:val="fr-FR"/>
        </w:rPr>
        <w:t xml:space="preserve">es activités </w:t>
      </w:r>
      <w:r w:rsidR="00870983">
        <w:rPr>
          <w:rFonts w:ascii="Times New Roman" w:hAnsi="Times New Roman" w:cs="Times New Roman"/>
          <w:lang w:val="fr-FR"/>
        </w:rPr>
        <w:t>destinées à combler ces lacunes</w:t>
      </w:r>
      <w:r w:rsidRPr="00403C55">
        <w:rPr>
          <w:rFonts w:ascii="Times New Roman" w:hAnsi="Times New Roman" w:cs="Times New Roman"/>
          <w:lang w:val="fr-FR"/>
        </w:rPr>
        <w:t xml:space="preserve"> </w:t>
      </w:r>
      <w:r w:rsidR="00807696" w:rsidRPr="00403C55">
        <w:rPr>
          <w:rFonts w:ascii="Times New Roman" w:hAnsi="Times New Roman" w:cs="Times New Roman"/>
          <w:lang w:val="fr-FR"/>
        </w:rPr>
        <w:t xml:space="preserve">en coopération avec </w:t>
      </w:r>
      <w:r w:rsidRPr="00403C55">
        <w:rPr>
          <w:rFonts w:ascii="Times New Roman" w:hAnsi="Times New Roman" w:cs="Times New Roman"/>
          <w:lang w:val="fr-FR"/>
        </w:rPr>
        <w:t xml:space="preserve">tous les </w:t>
      </w:r>
      <w:r w:rsidR="00FE6EE5">
        <w:rPr>
          <w:rFonts w:ascii="Times New Roman" w:hAnsi="Times New Roman" w:cs="Times New Roman"/>
          <w:lang w:val="fr-FR"/>
        </w:rPr>
        <w:t>États de l’aire de répartition</w:t>
      </w:r>
      <w:r w:rsidR="00870983">
        <w:rPr>
          <w:rFonts w:ascii="Times New Roman" w:hAnsi="Times New Roman" w:cs="Times New Roman"/>
          <w:lang w:val="fr-FR"/>
        </w:rPr>
        <w:t xml:space="preserve"> concernés</w:t>
      </w:r>
      <w:r w:rsidRPr="00403C55">
        <w:rPr>
          <w:rFonts w:ascii="Times New Roman" w:hAnsi="Times New Roman" w:cs="Times New Roman"/>
          <w:lang w:val="fr-FR"/>
        </w:rPr>
        <w:t>.</w:t>
      </w:r>
      <w:r w:rsidR="00576872" w:rsidRPr="00403C55">
        <w:rPr>
          <w:rFonts w:ascii="Times New Roman" w:hAnsi="Times New Roman" w:cs="Times New Roman"/>
          <w:lang w:val="fr-FR"/>
        </w:rPr>
        <w:t xml:space="preserve"> </w:t>
      </w:r>
    </w:p>
    <w:p w14:paraId="263A25A3" w14:textId="77777777" w:rsidR="00576872" w:rsidRPr="00403C55" w:rsidRDefault="00576872" w:rsidP="00231422">
      <w:pPr>
        <w:spacing w:after="0" w:line="240" w:lineRule="auto"/>
        <w:jc w:val="both"/>
        <w:rPr>
          <w:rFonts w:ascii="Times New Roman" w:hAnsi="Times New Roman" w:cs="Times New Roman"/>
          <w:lang w:val="fr-FR"/>
        </w:rPr>
      </w:pPr>
    </w:p>
    <w:p w14:paraId="1FC2B2A9" w14:textId="3A4AA430" w:rsidR="00231422" w:rsidRPr="00403C55" w:rsidRDefault="00C87FA9" w:rsidP="00231422">
      <w:pPr>
        <w:spacing w:after="0" w:line="240" w:lineRule="auto"/>
        <w:jc w:val="both"/>
        <w:rPr>
          <w:rFonts w:ascii="Times New Roman" w:hAnsi="Times New Roman" w:cs="Times New Roman"/>
          <w:i/>
          <w:lang w:val="fr-FR"/>
        </w:rPr>
      </w:pPr>
      <w:r w:rsidRPr="00403C55">
        <w:rPr>
          <w:rFonts w:ascii="Times New Roman" w:hAnsi="Times New Roman" w:cs="Times New Roman"/>
          <w:lang w:val="fr-FR"/>
        </w:rPr>
        <w:t xml:space="preserve">2.2.3. </w:t>
      </w:r>
      <w:r w:rsidR="00807696" w:rsidRPr="00403C55">
        <w:rPr>
          <w:rFonts w:ascii="Times New Roman" w:hAnsi="Times New Roman" w:cs="Times New Roman"/>
          <w:i/>
          <w:lang w:val="fr-FR"/>
        </w:rPr>
        <w:t xml:space="preserve">Consultation de l’avant-projet de plan </w:t>
      </w:r>
      <w:r w:rsidR="0003562F">
        <w:rPr>
          <w:rFonts w:ascii="Times New Roman" w:hAnsi="Times New Roman" w:cs="Times New Roman"/>
          <w:i/>
          <w:lang w:val="fr-FR"/>
        </w:rPr>
        <w:t>d’action</w:t>
      </w:r>
      <w:r w:rsidR="00807696" w:rsidRPr="00403C55">
        <w:rPr>
          <w:rFonts w:ascii="Times New Roman" w:hAnsi="Times New Roman" w:cs="Times New Roman"/>
          <w:i/>
          <w:lang w:val="fr-FR"/>
        </w:rPr>
        <w:t>/de gestion</w:t>
      </w:r>
      <w:r w:rsidRPr="00403C55">
        <w:rPr>
          <w:rFonts w:ascii="Times New Roman" w:hAnsi="Times New Roman" w:cs="Times New Roman"/>
          <w:i/>
          <w:lang w:val="fr-FR"/>
        </w:rPr>
        <w:t xml:space="preserve"> </w:t>
      </w:r>
    </w:p>
    <w:p w14:paraId="0B4CCC13" w14:textId="77777777" w:rsidR="00C87FA9" w:rsidRPr="00403C55" w:rsidRDefault="00C87FA9" w:rsidP="00231422">
      <w:pPr>
        <w:spacing w:after="0" w:line="240" w:lineRule="auto"/>
        <w:jc w:val="both"/>
        <w:rPr>
          <w:rFonts w:ascii="Times New Roman" w:hAnsi="Times New Roman" w:cs="Times New Roman"/>
          <w:i/>
          <w:lang w:val="fr-FR"/>
        </w:rPr>
      </w:pPr>
    </w:p>
    <w:p w14:paraId="1C3D9DBE" w14:textId="222498D2" w:rsidR="00494695" w:rsidRPr="00403C55" w:rsidRDefault="00807696" w:rsidP="00231422">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Après l’atelier de planification de l’action/gestion, le compilateur en chef </w:t>
      </w:r>
      <w:r w:rsidR="00B34832">
        <w:rPr>
          <w:rFonts w:ascii="Times New Roman" w:hAnsi="Times New Roman" w:cs="Times New Roman"/>
          <w:lang w:val="fr-FR"/>
        </w:rPr>
        <w:t xml:space="preserve">est chargé </w:t>
      </w:r>
      <w:r w:rsidRPr="00403C55">
        <w:rPr>
          <w:rFonts w:ascii="Times New Roman" w:hAnsi="Times New Roman" w:cs="Times New Roman"/>
          <w:lang w:val="fr-FR"/>
        </w:rPr>
        <w:t xml:space="preserve">de rédiger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sur la base des résultats de l’atelier, en coopération avec le Secrétariat.</w:t>
      </w:r>
      <w:r w:rsidR="00231422"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sont élaborés à partir du format révisé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adopté lors de la MOP4 (document AEWA/MOP 4.36 Corr. 1).</w:t>
      </w:r>
      <w:r w:rsidR="000E3752" w:rsidRPr="00403C55">
        <w:rPr>
          <w:rFonts w:ascii="Times New Roman" w:hAnsi="Times New Roman" w:cs="Times New Roman"/>
          <w:lang w:val="fr-FR"/>
        </w:rPr>
        <w:t xml:space="preserve"> </w:t>
      </w:r>
      <w:r w:rsidRPr="00403C55">
        <w:rPr>
          <w:rFonts w:ascii="Times New Roman" w:hAnsi="Times New Roman" w:cs="Times New Roman"/>
          <w:lang w:val="fr-FR"/>
        </w:rPr>
        <w:t xml:space="preserve">Selon le temps disponible, ceci prend </w:t>
      </w:r>
      <w:r w:rsidR="00870983">
        <w:rPr>
          <w:rFonts w:ascii="Times New Roman" w:hAnsi="Times New Roman" w:cs="Times New Roman"/>
          <w:lang w:val="fr-FR"/>
        </w:rPr>
        <w:t xml:space="preserve">habituellement </w:t>
      </w:r>
      <w:r w:rsidRPr="00403C55">
        <w:rPr>
          <w:rFonts w:ascii="Times New Roman" w:hAnsi="Times New Roman" w:cs="Times New Roman"/>
          <w:lang w:val="fr-FR"/>
        </w:rPr>
        <w:t>de deux à quatre mois.</w:t>
      </w:r>
      <w:r w:rsidR="00231422" w:rsidRPr="00403C55">
        <w:rPr>
          <w:rFonts w:ascii="Times New Roman" w:hAnsi="Times New Roman" w:cs="Times New Roman"/>
          <w:lang w:val="fr-FR"/>
        </w:rPr>
        <w:t xml:space="preserve"> </w:t>
      </w:r>
      <w:r w:rsidRPr="00403C55">
        <w:rPr>
          <w:rFonts w:ascii="Times New Roman" w:hAnsi="Times New Roman" w:cs="Times New Roman"/>
          <w:lang w:val="fr-FR"/>
        </w:rPr>
        <w:t>Le premier avant-projet est transmis aux participants de l’atelier, de même qu’aux représentants gouvernementaux et experts nationaux qui ont été invités mais n’ont pas pu participer</w:t>
      </w:r>
      <w:r w:rsidR="00EC7C82">
        <w:rPr>
          <w:rFonts w:ascii="Times New Roman" w:hAnsi="Times New Roman" w:cs="Times New Roman"/>
          <w:lang w:val="fr-FR"/>
        </w:rPr>
        <w:t xml:space="preserve"> à l’atelier</w:t>
      </w:r>
      <w:r w:rsidRPr="00403C55">
        <w:rPr>
          <w:rFonts w:ascii="Times New Roman" w:hAnsi="Times New Roman" w:cs="Times New Roman"/>
          <w:lang w:val="fr-FR"/>
        </w:rPr>
        <w:t>.</w:t>
      </w:r>
      <w:r w:rsidR="00231422" w:rsidRPr="00403C55">
        <w:rPr>
          <w:rFonts w:ascii="Times New Roman" w:hAnsi="Times New Roman" w:cs="Times New Roman"/>
          <w:lang w:val="fr-FR"/>
        </w:rPr>
        <w:t xml:space="preserve"> </w:t>
      </w:r>
      <w:r w:rsidRPr="00403C55">
        <w:rPr>
          <w:rFonts w:ascii="Times New Roman" w:hAnsi="Times New Roman" w:cs="Times New Roman"/>
          <w:lang w:val="fr-FR"/>
        </w:rPr>
        <w:t>La première ronde de consultation a pour objet d</w:t>
      </w:r>
      <w:r w:rsidR="009C2D50" w:rsidRPr="00403C55">
        <w:rPr>
          <w:rFonts w:ascii="Times New Roman" w:hAnsi="Times New Roman" w:cs="Times New Roman"/>
          <w:lang w:val="fr-FR"/>
        </w:rPr>
        <w:t>e s</w:t>
      </w:r>
      <w:r w:rsidRPr="00403C55">
        <w:rPr>
          <w:rFonts w:ascii="Times New Roman" w:hAnsi="Times New Roman" w:cs="Times New Roman"/>
          <w:lang w:val="fr-FR"/>
        </w:rPr>
        <w:t xml:space="preserve">’assurer que tous les détails significatifs nécessaires, de même que les actions en faveur de l’espèce, </w:t>
      </w:r>
      <w:r w:rsidR="00870983">
        <w:rPr>
          <w:rFonts w:ascii="Times New Roman" w:hAnsi="Times New Roman" w:cs="Times New Roman"/>
          <w:lang w:val="fr-FR"/>
        </w:rPr>
        <w:t xml:space="preserve">débattus lors de l’atelier, </w:t>
      </w:r>
      <w:r w:rsidRPr="00403C55">
        <w:rPr>
          <w:rFonts w:ascii="Times New Roman" w:hAnsi="Times New Roman" w:cs="Times New Roman"/>
          <w:lang w:val="fr-FR"/>
        </w:rPr>
        <w:t xml:space="preserve">sont bien </w:t>
      </w:r>
      <w:r w:rsidR="009C2D50" w:rsidRPr="00403C55">
        <w:rPr>
          <w:rFonts w:ascii="Times New Roman" w:hAnsi="Times New Roman" w:cs="Times New Roman"/>
          <w:lang w:val="fr-FR"/>
        </w:rPr>
        <w:t>spécifiés</w:t>
      </w:r>
      <w:r w:rsidRPr="00403C55">
        <w:rPr>
          <w:rFonts w:ascii="Times New Roman" w:hAnsi="Times New Roman" w:cs="Times New Roman"/>
          <w:lang w:val="fr-FR"/>
        </w:rPr>
        <w:t>.</w:t>
      </w:r>
      <w:r w:rsidR="00B32AD2" w:rsidRPr="00403C55">
        <w:rPr>
          <w:rFonts w:ascii="Times New Roman" w:hAnsi="Times New Roman" w:cs="Times New Roman"/>
          <w:lang w:val="fr-FR"/>
        </w:rPr>
        <w:t xml:space="preserve"> </w:t>
      </w:r>
      <w:r w:rsidRPr="00403C55">
        <w:rPr>
          <w:rFonts w:ascii="Times New Roman" w:hAnsi="Times New Roman" w:cs="Times New Roman"/>
          <w:lang w:val="fr-FR"/>
        </w:rPr>
        <w:t xml:space="preserve">Suite au feedback des participants de l’atelier, le compilateur en chef prépare un nouvel avant-projet qui est soumis par le Secrétariat au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pour commentaires.</w:t>
      </w:r>
      <w:r w:rsidR="00B32AD2" w:rsidRPr="00403C55">
        <w:rPr>
          <w:rFonts w:ascii="Times New Roman" w:hAnsi="Times New Roman" w:cs="Times New Roman"/>
          <w:lang w:val="fr-FR"/>
        </w:rPr>
        <w:t xml:space="preserve"> </w:t>
      </w:r>
    </w:p>
    <w:p w14:paraId="02D93547" w14:textId="77777777" w:rsidR="00494695" w:rsidRPr="00403C55" w:rsidRDefault="00494695" w:rsidP="00231422">
      <w:pPr>
        <w:spacing w:after="0" w:line="240" w:lineRule="auto"/>
        <w:jc w:val="both"/>
        <w:rPr>
          <w:rFonts w:ascii="Times New Roman" w:hAnsi="Times New Roman" w:cs="Times New Roman"/>
          <w:lang w:val="fr-FR"/>
        </w:rPr>
      </w:pPr>
    </w:p>
    <w:p w14:paraId="61DDA18F" w14:textId="289C7930" w:rsidR="00231422" w:rsidRPr="00403C55" w:rsidRDefault="00763416" w:rsidP="00231422">
      <w:pPr>
        <w:spacing w:after="0" w:line="240" w:lineRule="auto"/>
        <w:jc w:val="both"/>
        <w:rPr>
          <w:rFonts w:ascii="Times New Roman" w:hAnsi="Times New Roman" w:cs="Times New Roman"/>
          <w:lang w:val="fr-FR"/>
        </w:rPr>
      </w:pPr>
      <w:r>
        <w:rPr>
          <w:rFonts w:ascii="Times New Roman" w:hAnsi="Times New Roman" w:cs="Times New Roman"/>
          <w:lang w:val="fr-FR"/>
        </w:rPr>
        <w:t xml:space="preserve">Un </w:t>
      </w:r>
      <w:r w:rsidR="00807696" w:rsidRPr="00403C55">
        <w:rPr>
          <w:rFonts w:ascii="Times New Roman" w:hAnsi="Times New Roman" w:cs="Times New Roman"/>
          <w:lang w:val="fr-FR"/>
        </w:rPr>
        <w:t xml:space="preserve">avant-projet </w:t>
      </w:r>
      <w:r>
        <w:rPr>
          <w:rFonts w:ascii="Times New Roman" w:hAnsi="Times New Roman" w:cs="Times New Roman"/>
          <w:lang w:val="fr-FR"/>
        </w:rPr>
        <w:t xml:space="preserve">révisé </w:t>
      </w:r>
      <w:r w:rsidR="00807696" w:rsidRPr="00403C55">
        <w:rPr>
          <w:rFonts w:ascii="Times New Roman" w:hAnsi="Times New Roman" w:cs="Times New Roman"/>
          <w:lang w:val="fr-FR"/>
        </w:rPr>
        <w:t xml:space="preserve">est alors </w:t>
      </w:r>
      <w:r w:rsidR="00EC7C82">
        <w:rPr>
          <w:rFonts w:ascii="Times New Roman" w:hAnsi="Times New Roman" w:cs="Times New Roman"/>
          <w:lang w:val="fr-FR"/>
        </w:rPr>
        <w:t>à son tour</w:t>
      </w:r>
      <w:r w:rsidR="00807696" w:rsidRPr="00403C55">
        <w:rPr>
          <w:rFonts w:ascii="Times New Roman" w:hAnsi="Times New Roman" w:cs="Times New Roman"/>
          <w:lang w:val="fr-FR"/>
        </w:rPr>
        <w:t xml:space="preserve"> préparé par le compilateur en chef et soumis par le Secrétariat à tous les points focaux et contact</w:t>
      </w:r>
      <w:r w:rsidR="00DF7B5A" w:rsidRPr="00403C55">
        <w:rPr>
          <w:rFonts w:ascii="Times New Roman" w:hAnsi="Times New Roman" w:cs="Times New Roman"/>
          <w:lang w:val="fr-FR"/>
        </w:rPr>
        <w:t>s</w:t>
      </w:r>
      <w:r w:rsidR="00807696" w:rsidRPr="00403C55">
        <w:rPr>
          <w:rFonts w:ascii="Times New Roman" w:hAnsi="Times New Roman" w:cs="Times New Roman"/>
          <w:lang w:val="fr-FR"/>
        </w:rPr>
        <w:t xml:space="preserve"> des </w:t>
      </w:r>
      <w:r w:rsidR="00FE6EE5">
        <w:rPr>
          <w:rFonts w:ascii="Times New Roman" w:hAnsi="Times New Roman" w:cs="Times New Roman"/>
          <w:lang w:val="fr-FR"/>
        </w:rPr>
        <w:t>États de l’aire de répartition</w:t>
      </w:r>
      <w:r w:rsidR="00807696" w:rsidRPr="00403C55">
        <w:rPr>
          <w:rFonts w:ascii="Times New Roman" w:hAnsi="Times New Roman" w:cs="Times New Roman"/>
          <w:lang w:val="fr-FR"/>
        </w:rPr>
        <w:t xml:space="preserve"> concernés pour consultation gouvernementale officielle.</w:t>
      </w:r>
      <w:r w:rsidR="00494695" w:rsidRPr="00403C55">
        <w:rPr>
          <w:rFonts w:ascii="Times New Roman" w:hAnsi="Times New Roman" w:cs="Times New Roman"/>
          <w:lang w:val="fr-FR"/>
        </w:rPr>
        <w:t xml:space="preserve"> </w:t>
      </w:r>
      <w:r w:rsidR="00807696" w:rsidRPr="00403C55">
        <w:rPr>
          <w:rFonts w:ascii="Times New Roman" w:hAnsi="Times New Roman" w:cs="Times New Roman"/>
          <w:lang w:val="fr-FR"/>
        </w:rPr>
        <w:t>Idéalement, le calendrier de consultation officielle est de trois mois.</w:t>
      </w:r>
      <w:r w:rsidR="00494695" w:rsidRPr="00403C55">
        <w:rPr>
          <w:rFonts w:ascii="Times New Roman" w:hAnsi="Times New Roman" w:cs="Times New Roman"/>
          <w:lang w:val="fr-FR"/>
        </w:rPr>
        <w:t xml:space="preserve"> </w:t>
      </w:r>
      <w:r w:rsidR="00807696" w:rsidRPr="00403C55">
        <w:rPr>
          <w:rFonts w:ascii="Times New Roman" w:hAnsi="Times New Roman" w:cs="Times New Roman"/>
          <w:lang w:val="fr-FR"/>
        </w:rPr>
        <w:t>Dans le cadre de la consultation officielle, on attend des points focaux et des contact</w:t>
      </w:r>
      <w:r w:rsidR="00DF7B5A" w:rsidRPr="00403C55">
        <w:rPr>
          <w:rFonts w:ascii="Times New Roman" w:hAnsi="Times New Roman" w:cs="Times New Roman"/>
          <w:lang w:val="fr-FR"/>
        </w:rPr>
        <w:t>s</w:t>
      </w:r>
      <w:r w:rsidR="00807696" w:rsidRPr="00403C55">
        <w:rPr>
          <w:rFonts w:ascii="Times New Roman" w:hAnsi="Times New Roman" w:cs="Times New Roman"/>
          <w:lang w:val="fr-FR"/>
        </w:rPr>
        <w:t xml:space="preserve"> </w:t>
      </w:r>
      <w:r w:rsidR="0007130E" w:rsidRPr="00403C55">
        <w:rPr>
          <w:rFonts w:ascii="Times New Roman" w:hAnsi="Times New Roman" w:cs="Times New Roman"/>
          <w:lang w:val="fr-FR"/>
        </w:rPr>
        <w:t>qu’ils diffusent l’avant-projet à toutes les agences et parties prenantes concernées</w:t>
      </w:r>
      <w:r w:rsidR="00807696" w:rsidRPr="00403C55">
        <w:rPr>
          <w:rFonts w:ascii="Times New Roman" w:hAnsi="Times New Roman" w:cs="Times New Roman"/>
          <w:lang w:val="fr-FR"/>
        </w:rPr>
        <w:t xml:space="preserve"> </w:t>
      </w:r>
      <w:r w:rsidR="0007130E" w:rsidRPr="00403C55">
        <w:rPr>
          <w:rFonts w:ascii="Times New Roman" w:hAnsi="Times New Roman" w:cs="Times New Roman"/>
          <w:lang w:val="fr-FR"/>
        </w:rPr>
        <w:t>pour commentaire, en</w:t>
      </w:r>
      <w:r w:rsidR="00807696" w:rsidRPr="00403C55">
        <w:rPr>
          <w:rFonts w:ascii="Times New Roman" w:hAnsi="Times New Roman" w:cs="Times New Roman"/>
          <w:lang w:val="fr-FR"/>
        </w:rPr>
        <w:t xml:space="preserve"> accord</w:t>
      </w:r>
      <w:r w:rsidR="0007130E" w:rsidRPr="00403C55">
        <w:rPr>
          <w:rFonts w:ascii="Times New Roman" w:hAnsi="Times New Roman" w:cs="Times New Roman"/>
          <w:lang w:val="fr-FR"/>
        </w:rPr>
        <w:t xml:space="preserve"> avec leurs procédures nationales établies respectives, et qu'ils soumettent les commentaires nationaux consolidés au Secrétariat avant la date limite fixée</w:t>
      </w:r>
      <w:r w:rsidR="00807696" w:rsidRPr="00403C55">
        <w:rPr>
          <w:rFonts w:ascii="Times New Roman" w:hAnsi="Times New Roman" w:cs="Times New Roman"/>
          <w:lang w:val="fr-FR"/>
        </w:rPr>
        <w:t>.</w:t>
      </w:r>
      <w:r w:rsidR="00231422" w:rsidRPr="00403C55">
        <w:rPr>
          <w:rFonts w:ascii="Times New Roman" w:hAnsi="Times New Roman" w:cs="Times New Roman"/>
          <w:lang w:val="fr-FR"/>
        </w:rPr>
        <w:t xml:space="preserve"> </w:t>
      </w:r>
      <w:r w:rsidR="0007130E" w:rsidRPr="00403C55">
        <w:rPr>
          <w:rFonts w:ascii="Times New Roman" w:hAnsi="Times New Roman" w:cs="Times New Roman"/>
          <w:lang w:val="fr-FR"/>
        </w:rPr>
        <w:t xml:space="preserve">Si aucun commentaire n’a été soumis à la date limite, le Secrétariat estime que les </w:t>
      </w:r>
      <w:r w:rsidR="00FE6EE5">
        <w:rPr>
          <w:rFonts w:ascii="Times New Roman" w:hAnsi="Times New Roman" w:cs="Times New Roman"/>
          <w:lang w:val="fr-FR"/>
        </w:rPr>
        <w:t>États de l’aire de répartition</w:t>
      </w:r>
      <w:r w:rsidR="0007130E" w:rsidRPr="00403C55">
        <w:rPr>
          <w:rFonts w:ascii="Times New Roman" w:hAnsi="Times New Roman" w:cs="Times New Roman"/>
          <w:lang w:val="fr-FR"/>
        </w:rPr>
        <w:t xml:space="preserve"> sont d’accord avec le plan.</w:t>
      </w:r>
      <w:r w:rsidR="00494695" w:rsidRPr="00403C55">
        <w:rPr>
          <w:rFonts w:ascii="Times New Roman" w:hAnsi="Times New Roman" w:cs="Times New Roman"/>
          <w:lang w:val="fr-FR"/>
        </w:rPr>
        <w:t xml:space="preserve"> </w:t>
      </w:r>
      <w:r w:rsidR="0007130E" w:rsidRPr="00403C55">
        <w:rPr>
          <w:rFonts w:ascii="Times New Roman" w:hAnsi="Times New Roman" w:cs="Times New Roman"/>
          <w:lang w:val="fr-FR"/>
        </w:rPr>
        <w:t>Il est possible de demander au Secrétariat des reports éventuels de la date limite de soumission des commentaires nationaux.</w:t>
      </w:r>
      <w:r w:rsidR="00231422" w:rsidRPr="00403C55">
        <w:rPr>
          <w:rFonts w:ascii="Times New Roman" w:hAnsi="Times New Roman" w:cs="Times New Roman"/>
          <w:lang w:val="fr-FR"/>
        </w:rPr>
        <w:t xml:space="preserve"> </w:t>
      </w:r>
    </w:p>
    <w:p w14:paraId="0E8BD0B5" w14:textId="77777777" w:rsidR="00231422" w:rsidRPr="00403C55" w:rsidRDefault="00231422" w:rsidP="00231422">
      <w:pPr>
        <w:spacing w:after="0" w:line="240" w:lineRule="auto"/>
        <w:jc w:val="both"/>
        <w:rPr>
          <w:rFonts w:ascii="Times New Roman" w:hAnsi="Times New Roman" w:cs="Times New Roman"/>
          <w:lang w:val="fr-FR"/>
        </w:rPr>
      </w:pPr>
    </w:p>
    <w:p w14:paraId="24D26D7F" w14:textId="79775690" w:rsidR="00B32AD2" w:rsidRPr="00403C55" w:rsidRDefault="0007130E" w:rsidP="00B32AD2">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 xml:space="preserve">Le Secrétariat est responsable de la dernière révision générale (langue et </w:t>
      </w:r>
      <w:r w:rsidR="00870983">
        <w:rPr>
          <w:rFonts w:ascii="Times New Roman" w:hAnsi="Times New Roman" w:cs="Times New Roman"/>
          <w:lang w:val="fr-FR"/>
        </w:rPr>
        <w:t>présentation</w:t>
      </w:r>
      <w:r w:rsidRPr="00403C55">
        <w:rPr>
          <w:rFonts w:ascii="Times New Roman" w:hAnsi="Times New Roman" w:cs="Times New Roman"/>
          <w:lang w:val="fr-FR"/>
        </w:rPr>
        <w:t>) de l’avant-projet de plan.</w:t>
      </w:r>
      <w:r w:rsidR="00B32AD2" w:rsidRPr="00403C55">
        <w:rPr>
          <w:rFonts w:ascii="Times New Roman" w:hAnsi="Times New Roman" w:cs="Times New Roman"/>
          <w:lang w:val="fr-FR"/>
        </w:rPr>
        <w:t xml:space="preserve"> </w:t>
      </w:r>
      <w:r w:rsidRPr="00403C55">
        <w:rPr>
          <w:rFonts w:ascii="Times New Roman" w:hAnsi="Times New Roman" w:cs="Times New Roman"/>
          <w:lang w:val="fr-FR"/>
        </w:rPr>
        <w:t>Afin d’éviter les délais inutiles tout au long du processus de rédaction, cette tâche est habituellement menée vers la fin du processus de consultation.</w:t>
      </w:r>
    </w:p>
    <w:p w14:paraId="37BF6E63" w14:textId="77777777" w:rsidR="00C87FA9" w:rsidRPr="00403C55" w:rsidRDefault="00C87FA9" w:rsidP="004A0B3C">
      <w:pPr>
        <w:spacing w:after="0" w:line="240" w:lineRule="auto"/>
        <w:rPr>
          <w:rFonts w:ascii="Times New Roman" w:hAnsi="Times New Roman" w:cs="Times New Roman"/>
          <w:lang w:val="fr-FR"/>
        </w:rPr>
      </w:pPr>
    </w:p>
    <w:p w14:paraId="45FAB038" w14:textId="0FD32349" w:rsidR="00C87FA9" w:rsidRPr="00403C55" w:rsidRDefault="00C87FA9" w:rsidP="004A0B3C">
      <w:pPr>
        <w:spacing w:after="0" w:line="240" w:lineRule="auto"/>
        <w:rPr>
          <w:rFonts w:ascii="Times New Roman" w:hAnsi="Times New Roman" w:cs="Times New Roman"/>
          <w:lang w:val="fr-FR"/>
        </w:rPr>
      </w:pPr>
      <w:r w:rsidRPr="00403C55">
        <w:rPr>
          <w:rFonts w:ascii="Times New Roman" w:hAnsi="Times New Roman" w:cs="Times New Roman"/>
          <w:lang w:val="fr-FR"/>
        </w:rPr>
        <w:t>2.2.4</w:t>
      </w:r>
      <w:r w:rsidRPr="00403C55">
        <w:rPr>
          <w:rFonts w:ascii="Times New Roman" w:hAnsi="Times New Roman" w:cs="Times New Roman"/>
          <w:i/>
          <w:lang w:val="fr-FR"/>
        </w:rPr>
        <w:t xml:space="preserve">. </w:t>
      </w:r>
      <w:r w:rsidR="0007130E" w:rsidRPr="00403C55">
        <w:rPr>
          <w:rFonts w:ascii="Times New Roman" w:hAnsi="Times New Roman" w:cs="Times New Roman"/>
          <w:i/>
          <w:lang w:val="fr-FR"/>
        </w:rPr>
        <w:t xml:space="preserve">Examen par les organismes </w:t>
      </w:r>
      <w:r w:rsidR="0003562F">
        <w:rPr>
          <w:rFonts w:ascii="Times New Roman" w:hAnsi="Times New Roman" w:cs="Times New Roman"/>
          <w:i/>
          <w:lang w:val="fr-FR"/>
        </w:rPr>
        <w:t>de l’AEWA</w:t>
      </w:r>
      <w:r w:rsidR="0007130E" w:rsidRPr="00403C55">
        <w:rPr>
          <w:rFonts w:ascii="Times New Roman" w:hAnsi="Times New Roman" w:cs="Times New Roman"/>
          <w:i/>
          <w:lang w:val="fr-FR"/>
        </w:rPr>
        <w:t xml:space="preserve"> et adoption</w:t>
      </w:r>
      <w:r w:rsidRPr="00403C55">
        <w:rPr>
          <w:rFonts w:ascii="Times New Roman" w:hAnsi="Times New Roman" w:cs="Times New Roman"/>
          <w:i/>
          <w:lang w:val="fr-FR"/>
        </w:rPr>
        <w:t xml:space="preserve"> </w:t>
      </w:r>
    </w:p>
    <w:p w14:paraId="3D472F88" w14:textId="77777777" w:rsidR="004A0B3C" w:rsidRPr="00403C55" w:rsidRDefault="004A0B3C" w:rsidP="004A0B3C">
      <w:pPr>
        <w:spacing w:after="0" w:line="240" w:lineRule="auto"/>
        <w:rPr>
          <w:rFonts w:ascii="Times New Roman" w:hAnsi="Times New Roman" w:cs="Times New Roman"/>
          <w:lang w:val="fr-FR"/>
        </w:rPr>
      </w:pPr>
    </w:p>
    <w:p w14:paraId="6EF7506A" w14:textId="0582EC82" w:rsidR="00967B5C" w:rsidRPr="00403C55" w:rsidRDefault="0007130E" w:rsidP="00C87FA9">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Suite à la consultation nationale officielle, un avant-projet final est préparé et soumis au Comité technique </w:t>
      </w:r>
      <w:r w:rsidR="00EC7C82">
        <w:rPr>
          <w:rFonts w:ascii="Times New Roman" w:hAnsi="Times New Roman" w:cs="Times New Roman"/>
          <w:lang w:val="fr-FR"/>
        </w:rPr>
        <w:t>puis</w:t>
      </w:r>
      <w:r w:rsidRPr="00403C55">
        <w:rPr>
          <w:rFonts w:ascii="Times New Roman" w:hAnsi="Times New Roman" w:cs="Times New Roman"/>
          <w:lang w:val="fr-FR"/>
        </w:rPr>
        <w:t xml:space="preserve">, après son consentement, au Comité permanent pour qu’il approuve </w:t>
      </w:r>
      <w:r w:rsidR="00870983">
        <w:rPr>
          <w:rFonts w:ascii="Times New Roman" w:hAnsi="Times New Roman" w:cs="Times New Roman"/>
          <w:lang w:val="fr-FR"/>
        </w:rPr>
        <w:t>sa présentation</w:t>
      </w:r>
      <w:r w:rsidRPr="00403C55">
        <w:rPr>
          <w:rFonts w:ascii="Times New Roman" w:hAnsi="Times New Roman" w:cs="Times New Roman"/>
          <w:lang w:val="fr-FR"/>
        </w:rPr>
        <w:t xml:space="preserve"> à la prochaine Réunion des Parties.</w:t>
      </w:r>
      <w:r w:rsidR="00967B5C" w:rsidRPr="00403C55">
        <w:rPr>
          <w:rFonts w:ascii="Times New Roman" w:hAnsi="Times New Roman" w:cs="Times New Roman"/>
          <w:lang w:val="fr-FR"/>
        </w:rPr>
        <w:t xml:space="preserve"> </w:t>
      </w:r>
      <w:r w:rsidR="006D3B18" w:rsidRPr="00403C55">
        <w:rPr>
          <w:rFonts w:ascii="Times New Roman" w:hAnsi="Times New Roman" w:cs="Times New Roman"/>
          <w:lang w:val="fr-FR"/>
        </w:rPr>
        <w:t>Suite aux recommandations positives des Comités technique et permanent, il est demandé à la Réunion des Parties d’adopter le plan lors de sa prochaine session.</w:t>
      </w:r>
      <w:r w:rsidR="00967B5C" w:rsidRPr="00403C55">
        <w:rPr>
          <w:rFonts w:ascii="Times New Roman" w:hAnsi="Times New Roman" w:cs="Times New Roman"/>
          <w:lang w:val="fr-FR"/>
        </w:rPr>
        <w:t xml:space="preserve"> </w:t>
      </w:r>
    </w:p>
    <w:p w14:paraId="20D4F4CF" w14:textId="77777777" w:rsidR="00967B5C" w:rsidRPr="00403C55" w:rsidRDefault="00967B5C" w:rsidP="00C87FA9">
      <w:pPr>
        <w:spacing w:after="0" w:line="240" w:lineRule="auto"/>
        <w:jc w:val="both"/>
        <w:rPr>
          <w:rFonts w:ascii="Times New Roman" w:hAnsi="Times New Roman" w:cs="Times New Roman"/>
          <w:lang w:val="fr-FR"/>
        </w:rPr>
      </w:pPr>
    </w:p>
    <w:p w14:paraId="24C07E3F" w14:textId="5DC70F42" w:rsidR="00681566" w:rsidRPr="00403C55" w:rsidRDefault="006D3B18" w:rsidP="00C87FA9">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Suite à l’adoption de nouveaux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par la Réunion des Parties, le Secrétariat prépare les versions finales des plans et les rend disponibles sur le site Web </w:t>
      </w:r>
      <w:r w:rsidR="0003562F">
        <w:rPr>
          <w:rFonts w:ascii="Times New Roman" w:hAnsi="Times New Roman" w:cs="Times New Roman"/>
          <w:lang w:val="fr-FR"/>
        </w:rPr>
        <w:t>de l’AEWA</w:t>
      </w:r>
      <w:r w:rsidRPr="00403C55">
        <w:rPr>
          <w:rFonts w:ascii="Times New Roman" w:hAnsi="Times New Roman" w:cs="Times New Roman"/>
          <w:lang w:val="fr-FR"/>
        </w:rPr>
        <w:t>.</w:t>
      </w:r>
      <w:r w:rsidR="00681566" w:rsidRPr="00403C55">
        <w:rPr>
          <w:rFonts w:ascii="Times New Roman" w:hAnsi="Times New Roman" w:cs="Times New Roman"/>
          <w:lang w:val="fr-FR"/>
        </w:rPr>
        <w:t xml:space="preserve"> </w:t>
      </w:r>
      <w:r w:rsidRPr="00403C55">
        <w:rPr>
          <w:rFonts w:ascii="Times New Roman" w:hAnsi="Times New Roman" w:cs="Times New Roman"/>
          <w:lang w:val="fr-FR"/>
        </w:rPr>
        <w:t>Seuls les plans ayant bénéficié de financement supplémentaire sont imprimés.</w:t>
      </w:r>
      <w:r w:rsidR="00681566" w:rsidRPr="00403C55">
        <w:rPr>
          <w:rFonts w:ascii="Times New Roman" w:hAnsi="Times New Roman" w:cs="Times New Roman"/>
          <w:lang w:val="fr-FR"/>
        </w:rPr>
        <w:t xml:space="preserve"> </w:t>
      </w:r>
      <w:r w:rsidRPr="00403C55">
        <w:rPr>
          <w:rFonts w:ascii="Times New Roman" w:hAnsi="Times New Roman" w:cs="Times New Roman"/>
          <w:lang w:val="fr-FR"/>
        </w:rPr>
        <w:t>Une fois que les plans sont disponibles dans leur version définitive, le Secrétariat informe tous les points focaux et contact</w:t>
      </w:r>
      <w:r w:rsidR="00DF7B5A" w:rsidRPr="00403C55">
        <w:rPr>
          <w:rFonts w:ascii="Times New Roman" w:hAnsi="Times New Roman" w:cs="Times New Roman"/>
          <w:lang w:val="fr-FR"/>
        </w:rPr>
        <w:t>s</w:t>
      </w:r>
      <w:r w:rsidRPr="00403C55">
        <w:rPr>
          <w:rFonts w:ascii="Times New Roman" w:hAnsi="Times New Roman" w:cs="Times New Roman"/>
          <w:lang w:val="fr-FR"/>
        </w:rPr>
        <w:t xml:space="preserve">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concernés.</w:t>
      </w:r>
    </w:p>
    <w:p w14:paraId="07B7F096" w14:textId="77777777" w:rsidR="00572029" w:rsidRPr="00403C55" w:rsidRDefault="00572029" w:rsidP="00C87FA9">
      <w:pPr>
        <w:spacing w:after="0" w:line="240" w:lineRule="auto"/>
        <w:jc w:val="both"/>
        <w:rPr>
          <w:rFonts w:ascii="Times New Roman" w:hAnsi="Times New Roman" w:cs="Times New Roman"/>
          <w:lang w:val="fr-FR"/>
        </w:rPr>
      </w:pPr>
    </w:p>
    <w:p w14:paraId="369558B9" w14:textId="39D2A209" w:rsidR="00C87FA9" w:rsidRPr="00403C55" w:rsidRDefault="006D3B18" w:rsidP="00572029">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Dans certains cas,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peuvent être prêts à être adoptés entre des sessions de </w:t>
      </w:r>
      <w:r w:rsidR="009C2D50" w:rsidRPr="00403C55">
        <w:rPr>
          <w:rFonts w:ascii="Times New Roman" w:hAnsi="Times New Roman" w:cs="Times New Roman"/>
          <w:lang w:val="fr-FR"/>
        </w:rPr>
        <w:t>R</w:t>
      </w:r>
      <w:r w:rsidRPr="00403C55">
        <w:rPr>
          <w:rFonts w:ascii="Times New Roman" w:hAnsi="Times New Roman" w:cs="Times New Roman"/>
          <w:lang w:val="fr-FR"/>
        </w:rPr>
        <w:t>éunions des Parties.</w:t>
      </w:r>
      <w:r w:rsidR="00572029" w:rsidRPr="00403C55">
        <w:rPr>
          <w:rFonts w:ascii="Times New Roman" w:hAnsi="Times New Roman" w:cs="Times New Roman"/>
          <w:lang w:val="fr-FR"/>
        </w:rPr>
        <w:t xml:space="preserve"> </w:t>
      </w:r>
      <w:r w:rsidRPr="00403C55">
        <w:rPr>
          <w:rFonts w:ascii="Times New Roman" w:hAnsi="Times New Roman" w:cs="Times New Roman"/>
          <w:lang w:val="fr-FR"/>
        </w:rPr>
        <w:t xml:space="preserve">Ainsi, la MOP3 a permis au Comité permanent d’approuver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sur une base </w:t>
      </w:r>
      <w:r w:rsidR="00C32F20" w:rsidRPr="00403C55">
        <w:rPr>
          <w:rFonts w:ascii="Times New Roman" w:hAnsi="Times New Roman" w:cs="Times New Roman"/>
          <w:lang w:val="fr-FR"/>
        </w:rPr>
        <w:t>provisoire</w:t>
      </w:r>
      <w:r w:rsidRPr="00403C55">
        <w:rPr>
          <w:rFonts w:ascii="Times New Roman" w:hAnsi="Times New Roman" w:cs="Times New Roman"/>
          <w:lang w:val="fr-FR"/>
        </w:rPr>
        <w:t xml:space="preserve"> à travers la Résolution 3.12. </w:t>
      </w:r>
      <w:r w:rsidR="00C32F20" w:rsidRPr="00403C55">
        <w:rPr>
          <w:rFonts w:ascii="Times New Roman" w:hAnsi="Times New Roman" w:cs="Times New Roman"/>
          <w:lang w:val="fr-FR"/>
        </w:rPr>
        <w:t>Suite à l’approbation du Comité permanent sur une base provisoire</w:t>
      </w:r>
      <w:r w:rsidRPr="00403C55">
        <w:rPr>
          <w:rFonts w:ascii="Times New Roman" w:hAnsi="Times New Roman" w:cs="Times New Roman"/>
          <w:lang w:val="fr-FR"/>
        </w:rPr>
        <w:t xml:space="preserve">, </w:t>
      </w:r>
      <w:r w:rsidR="00C32F20" w:rsidRPr="00403C55">
        <w:rPr>
          <w:rFonts w:ascii="Times New Roman" w:hAnsi="Times New Roman" w:cs="Times New Roman"/>
          <w:lang w:val="fr-FR"/>
        </w:rPr>
        <w:t xml:space="preserve">les </w:t>
      </w:r>
      <w:r w:rsidR="00FE6EE5">
        <w:rPr>
          <w:rFonts w:ascii="Times New Roman" w:hAnsi="Times New Roman" w:cs="Times New Roman"/>
          <w:lang w:val="fr-FR"/>
        </w:rPr>
        <w:t>États de l’aire de répartition</w:t>
      </w:r>
      <w:r w:rsidR="00C32F20" w:rsidRPr="00403C55">
        <w:rPr>
          <w:rFonts w:ascii="Times New Roman" w:hAnsi="Times New Roman" w:cs="Times New Roman"/>
          <w:lang w:val="fr-FR"/>
        </w:rPr>
        <w:t xml:space="preserve"> peuvent commencer à mettre en œuvre le plan approuvé entre les sessions et n’ont plus besoin d’attendre l’adoption finale par la Réunion des Parties</w:t>
      </w:r>
      <w:r w:rsidRPr="00403C55">
        <w:rPr>
          <w:rFonts w:ascii="Times New Roman" w:hAnsi="Times New Roman" w:cs="Times New Roman"/>
          <w:lang w:val="fr-FR"/>
        </w:rPr>
        <w:t>.</w:t>
      </w:r>
      <w:r w:rsidR="00CC6FAD" w:rsidRPr="00403C55">
        <w:rPr>
          <w:rFonts w:ascii="Times New Roman" w:hAnsi="Times New Roman" w:cs="Times New Roman"/>
          <w:lang w:val="fr-FR"/>
        </w:rPr>
        <w:t xml:space="preserve"> </w:t>
      </w:r>
    </w:p>
    <w:p w14:paraId="1A798DD2" w14:textId="77777777" w:rsidR="009D54DD" w:rsidRPr="00403C55" w:rsidRDefault="009D54DD" w:rsidP="004A0B3C">
      <w:pPr>
        <w:spacing w:after="0" w:line="240" w:lineRule="auto"/>
        <w:rPr>
          <w:rFonts w:ascii="Times New Roman" w:hAnsi="Times New Roman" w:cs="Times New Roman"/>
          <w:lang w:val="fr-FR"/>
        </w:rPr>
      </w:pPr>
    </w:p>
    <w:p w14:paraId="4442783F" w14:textId="64A9F0D0" w:rsidR="009D54DD" w:rsidRPr="00403C55" w:rsidRDefault="00870983" w:rsidP="009D54DD">
      <w:pPr>
        <w:spacing w:after="0" w:line="240" w:lineRule="auto"/>
        <w:rPr>
          <w:rFonts w:ascii="Times New Roman" w:hAnsi="Times New Roman" w:cs="Times New Roman"/>
          <w:i/>
          <w:lang w:val="fr-FR"/>
        </w:rPr>
      </w:pPr>
      <w:r>
        <w:rPr>
          <w:rFonts w:ascii="Times New Roman" w:hAnsi="Times New Roman" w:cs="Times New Roman"/>
          <w:i/>
          <w:lang w:val="fr-FR"/>
        </w:rPr>
        <w:t xml:space="preserve">Tableau </w:t>
      </w:r>
      <w:r w:rsidR="00C32F20" w:rsidRPr="00403C55">
        <w:rPr>
          <w:rFonts w:ascii="Times New Roman" w:hAnsi="Times New Roman" w:cs="Times New Roman"/>
          <w:i/>
          <w:lang w:val="fr-FR"/>
        </w:rPr>
        <w:t xml:space="preserve">1. Les diverses étapes principales du processus de planification de l’action et de la gestion </w:t>
      </w:r>
      <w:r w:rsidR="0003562F">
        <w:rPr>
          <w:rFonts w:ascii="Times New Roman" w:hAnsi="Times New Roman" w:cs="Times New Roman"/>
          <w:i/>
          <w:lang w:val="fr-FR"/>
        </w:rPr>
        <w:t>de l’AEWA</w:t>
      </w:r>
      <w:r>
        <w:rPr>
          <w:rFonts w:ascii="Times New Roman" w:hAnsi="Times New Roman" w:cs="Times New Roman"/>
          <w:i/>
          <w:lang w:val="fr-FR"/>
        </w:rPr>
        <w:t>.</w:t>
      </w:r>
      <w:r w:rsidR="009D54DD" w:rsidRPr="00403C55">
        <w:rPr>
          <w:rFonts w:ascii="Times New Roman" w:hAnsi="Times New Roman" w:cs="Times New Roman"/>
          <w:i/>
          <w:lang w:val="fr-FR"/>
        </w:rPr>
        <w:t xml:space="preserve"> </w:t>
      </w:r>
      <w:r w:rsidR="00C32F20" w:rsidRPr="00403C55">
        <w:rPr>
          <w:rFonts w:ascii="Times New Roman" w:hAnsi="Times New Roman" w:cs="Times New Roman"/>
          <w:i/>
          <w:lang w:val="fr-FR"/>
        </w:rPr>
        <w:t>Veuillez noter qu’aucun processus de planification de l’action/gestion n’est similaire</w:t>
      </w:r>
      <w:r w:rsidR="00985A4E">
        <w:rPr>
          <w:rFonts w:ascii="Times New Roman" w:hAnsi="Times New Roman" w:cs="Times New Roman"/>
          <w:i/>
          <w:lang w:val="fr-FR"/>
        </w:rPr>
        <w:t xml:space="preserve"> </w:t>
      </w:r>
      <w:r w:rsidR="00C32F20" w:rsidRPr="00403C55">
        <w:rPr>
          <w:rFonts w:ascii="Times New Roman" w:hAnsi="Times New Roman" w:cs="Times New Roman"/>
          <w:i/>
          <w:lang w:val="fr-FR"/>
        </w:rPr>
        <w:t xml:space="preserve">et que la facilitation et le calendrier peuvent tous deux être adaptés par le Secrétariat selon, notamment, les ressources disponibles et les programmes des réunions des organismes dirigeant </w:t>
      </w:r>
      <w:r w:rsidR="0003562F">
        <w:rPr>
          <w:rFonts w:ascii="Times New Roman" w:hAnsi="Times New Roman" w:cs="Times New Roman"/>
          <w:i/>
          <w:lang w:val="fr-FR"/>
        </w:rPr>
        <w:t>de l’AEWA</w:t>
      </w:r>
      <w:r w:rsidR="00C32F20" w:rsidRPr="00403C55">
        <w:rPr>
          <w:rFonts w:ascii="Times New Roman" w:hAnsi="Times New Roman" w:cs="Times New Roman"/>
          <w:i/>
          <w:lang w:val="fr-FR"/>
        </w:rPr>
        <w:t>.</w:t>
      </w:r>
      <w:r w:rsidR="00985A4E">
        <w:rPr>
          <w:rFonts w:ascii="Times New Roman" w:hAnsi="Times New Roman" w:cs="Times New Roman"/>
          <w:i/>
          <w:lang w:val="fr-FR"/>
        </w:rPr>
        <w:t xml:space="preserve"> </w:t>
      </w:r>
    </w:p>
    <w:p w14:paraId="450BE340" w14:textId="77777777" w:rsidR="00C51428" w:rsidRPr="00403C55" w:rsidRDefault="00C51428" w:rsidP="009D54DD">
      <w:pPr>
        <w:spacing w:after="0" w:line="240" w:lineRule="auto"/>
        <w:rPr>
          <w:rFonts w:ascii="Times New Roman" w:hAnsi="Times New Roman" w:cs="Times New Roman"/>
          <w:i/>
          <w:lang w:val="fr-FR"/>
        </w:rPr>
      </w:pPr>
    </w:p>
    <w:tbl>
      <w:tblPr>
        <w:tblStyle w:val="TableGrid"/>
        <w:tblW w:w="5000" w:type="pct"/>
        <w:tblLook w:val="04A0" w:firstRow="1" w:lastRow="0" w:firstColumn="1" w:lastColumn="0" w:noHBand="0" w:noVBand="1"/>
      </w:tblPr>
      <w:tblGrid>
        <w:gridCol w:w="4836"/>
        <w:gridCol w:w="4224"/>
      </w:tblGrid>
      <w:tr w:rsidR="009D54DD" w:rsidRPr="00DE4CF4" w14:paraId="213FC826" w14:textId="77777777" w:rsidTr="009C2D50">
        <w:trPr>
          <w:trHeight w:val="424"/>
        </w:trPr>
        <w:tc>
          <w:tcPr>
            <w:tcW w:w="5000" w:type="pct"/>
            <w:gridSpan w:val="2"/>
            <w:shd w:val="clear" w:color="auto" w:fill="DBE5F1" w:themeFill="accent1" w:themeFillTint="33"/>
            <w:vAlign w:val="center"/>
          </w:tcPr>
          <w:p w14:paraId="7419EA56" w14:textId="1B3D6A51" w:rsidR="009D54DD" w:rsidRPr="00403C55" w:rsidRDefault="00C32F20" w:rsidP="000A1F2D">
            <w:pPr>
              <w:jc w:val="center"/>
              <w:rPr>
                <w:rFonts w:ascii="Times New Roman" w:hAnsi="Times New Roman" w:cs="Times New Roman"/>
                <w:b/>
                <w:lang w:val="fr-FR"/>
              </w:rPr>
            </w:pPr>
            <w:r w:rsidRPr="00403C55">
              <w:rPr>
                <w:rFonts w:ascii="Times New Roman" w:hAnsi="Times New Roman" w:cs="Times New Roman"/>
                <w:b/>
                <w:lang w:val="fr-FR"/>
              </w:rPr>
              <w:t xml:space="preserve">Processus de planification de l'action/gestion </w:t>
            </w:r>
            <w:r w:rsidR="000A1F2D">
              <w:rPr>
                <w:rFonts w:ascii="Times New Roman" w:hAnsi="Times New Roman" w:cs="Times New Roman"/>
                <w:b/>
                <w:lang w:val="fr-FR"/>
              </w:rPr>
              <w:t>dans le cadre de</w:t>
            </w:r>
            <w:r w:rsidRPr="00403C55">
              <w:rPr>
                <w:rFonts w:ascii="Times New Roman" w:hAnsi="Times New Roman" w:cs="Times New Roman"/>
                <w:b/>
                <w:lang w:val="fr-FR"/>
              </w:rPr>
              <w:t xml:space="preserve"> l’AEWA</w:t>
            </w:r>
          </w:p>
        </w:tc>
      </w:tr>
      <w:tr w:rsidR="009D54DD" w:rsidRPr="00DE4CF4" w14:paraId="5315478B" w14:textId="77777777" w:rsidTr="009C2D50">
        <w:trPr>
          <w:trHeight w:val="353"/>
        </w:trPr>
        <w:tc>
          <w:tcPr>
            <w:tcW w:w="2669" w:type="pct"/>
            <w:vAlign w:val="center"/>
          </w:tcPr>
          <w:p w14:paraId="26EE2AA7" w14:textId="2732C58D" w:rsidR="009D54DD" w:rsidRPr="00403C55" w:rsidRDefault="00C32F20" w:rsidP="003F50F9">
            <w:pPr>
              <w:jc w:val="center"/>
              <w:rPr>
                <w:rFonts w:ascii="Times New Roman" w:hAnsi="Times New Roman" w:cs="Times New Roman"/>
                <w:lang w:val="fr-FR"/>
              </w:rPr>
            </w:pPr>
            <w:r w:rsidRPr="00403C55">
              <w:rPr>
                <w:rFonts w:ascii="Times New Roman" w:hAnsi="Times New Roman" w:cs="Times New Roman"/>
                <w:lang w:val="fr-FR"/>
              </w:rPr>
              <w:t>ÉTAPES</w:t>
            </w:r>
          </w:p>
        </w:tc>
        <w:tc>
          <w:tcPr>
            <w:tcW w:w="2331" w:type="pct"/>
            <w:vAlign w:val="center"/>
          </w:tcPr>
          <w:p w14:paraId="19E72223" w14:textId="35C88EC4" w:rsidR="009D54DD" w:rsidRPr="00403C55" w:rsidRDefault="00EC7C82" w:rsidP="00EC7C82">
            <w:pPr>
              <w:jc w:val="center"/>
              <w:rPr>
                <w:rFonts w:ascii="Times New Roman" w:hAnsi="Times New Roman" w:cs="Times New Roman"/>
                <w:lang w:val="fr-FR"/>
              </w:rPr>
            </w:pPr>
            <w:r>
              <w:rPr>
                <w:rFonts w:ascii="Times New Roman" w:hAnsi="Times New Roman" w:cs="Times New Roman"/>
                <w:b/>
                <w:lang w:val="fr-FR"/>
              </w:rPr>
              <w:t xml:space="preserve">ORGANES </w:t>
            </w:r>
            <w:r w:rsidR="00C32F20" w:rsidRPr="00403C55">
              <w:rPr>
                <w:rFonts w:ascii="Times New Roman" w:hAnsi="Times New Roman" w:cs="Times New Roman"/>
                <w:b/>
                <w:lang w:val="fr-FR"/>
              </w:rPr>
              <w:t>DIRIGE</w:t>
            </w:r>
            <w:r>
              <w:rPr>
                <w:rFonts w:ascii="Times New Roman" w:hAnsi="Times New Roman" w:cs="Times New Roman"/>
                <w:b/>
                <w:lang w:val="fr-FR"/>
              </w:rPr>
              <w:t>CTEURS</w:t>
            </w:r>
            <w:r w:rsidR="00C32F20" w:rsidRPr="00403C55">
              <w:rPr>
                <w:rFonts w:ascii="Times New Roman" w:hAnsi="Times New Roman" w:cs="Times New Roman"/>
                <w:b/>
                <w:lang w:val="fr-FR"/>
              </w:rPr>
              <w:t xml:space="preserve"> </w:t>
            </w:r>
            <w:r w:rsidR="00C32F20" w:rsidRPr="00EC7C82">
              <w:rPr>
                <w:rFonts w:ascii="Times New Roman" w:hAnsi="Times New Roman" w:cs="Times New Roman"/>
                <w:lang w:val="fr-FR"/>
              </w:rPr>
              <w:t>ET PRINCIPAUX</w:t>
            </w:r>
            <w:r w:rsidRPr="00EC7C82">
              <w:rPr>
                <w:rFonts w:ascii="Times New Roman" w:hAnsi="Times New Roman" w:cs="Times New Roman"/>
                <w:lang w:val="fr-FR"/>
              </w:rPr>
              <w:t xml:space="preserve"> ACTEURS</w:t>
            </w:r>
          </w:p>
        </w:tc>
      </w:tr>
      <w:tr w:rsidR="009D54DD" w:rsidRPr="00403C55" w14:paraId="6505940F" w14:textId="77777777" w:rsidTr="009C2D50">
        <w:trPr>
          <w:trHeight w:val="605"/>
        </w:trPr>
        <w:tc>
          <w:tcPr>
            <w:tcW w:w="2669" w:type="pct"/>
            <w:vAlign w:val="center"/>
          </w:tcPr>
          <w:p w14:paraId="72668D7D" w14:textId="4E40AAEB" w:rsidR="009D54DD" w:rsidRPr="00403C55" w:rsidRDefault="00C32F20" w:rsidP="003F50F9">
            <w:pPr>
              <w:rPr>
                <w:rFonts w:ascii="Times New Roman" w:hAnsi="Times New Roman" w:cs="Times New Roman"/>
                <w:lang w:val="fr-FR"/>
              </w:rPr>
            </w:pPr>
            <w:r w:rsidRPr="00403C55">
              <w:rPr>
                <w:rFonts w:ascii="Times New Roman" w:hAnsi="Times New Roman" w:cs="Times New Roman"/>
                <w:lang w:val="fr-FR"/>
              </w:rPr>
              <w:t xml:space="preserve">Classement par ordre de priorité des espèces ayant un besoin urgent d’efforts internationaux coordonnés de conservation et/ou de gestion </w:t>
            </w:r>
          </w:p>
        </w:tc>
        <w:tc>
          <w:tcPr>
            <w:tcW w:w="2331" w:type="pct"/>
            <w:vAlign w:val="center"/>
          </w:tcPr>
          <w:p w14:paraId="634EE720" w14:textId="7961E7DA" w:rsidR="009D54DD" w:rsidRPr="00403C55" w:rsidRDefault="00C32F20" w:rsidP="003F50F9">
            <w:pPr>
              <w:rPr>
                <w:rFonts w:ascii="Times New Roman" w:hAnsi="Times New Roman" w:cs="Times New Roman"/>
                <w:b/>
                <w:lang w:val="fr-FR"/>
              </w:rPr>
            </w:pPr>
            <w:r w:rsidRPr="00403C55">
              <w:rPr>
                <w:rFonts w:ascii="Times New Roman" w:hAnsi="Times New Roman" w:cs="Times New Roman"/>
                <w:b/>
                <w:lang w:val="fr-FR"/>
              </w:rPr>
              <w:t xml:space="preserve">Comité technique </w:t>
            </w:r>
            <w:r w:rsidR="0003562F">
              <w:rPr>
                <w:rFonts w:ascii="Times New Roman" w:hAnsi="Times New Roman" w:cs="Times New Roman"/>
                <w:b/>
                <w:lang w:val="fr-FR"/>
              </w:rPr>
              <w:t>de l’AEWA</w:t>
            </w:r>
          </w:p>
        </w:tc>
      </w:tr>
      <w:tr w:rsidR="009D54DD" w:rsidRPr="00403C55" w14:paraId="6C8A0FA8" w14:textId="77777777" w:rsidTr="009C2D50">
        <w:trPr>
          <w:trHeight w:val="928"/>
        </w:trPr>
        <w:tc>
          <w:tcPr>
            <w:tcW w:w="2669" w:type="pct"/>
            <w:vAlign w:val="center"/>
          </w:tcPr>
          <w:p w14:paraId="220DF0B2" w14:textId="32CCF158" w:rsidR="009D54DD" w:rsidRPr="00403C55" w:rsidRDefault="00C32F20" w:rsidP="00EA153C">
            <w:pPr>
              <w:rPr>
                <w:rFonts w:ascii="Times New Roman" w:hAnsi="Times New Roman" w:cs="Times New Roman"/>
                <w:lang w:val="fr-FR"/>
              </w:rPr>
            </w:pPr>
            <w:r w:rsidRPr="00403C55">
              <w:rPr>
                <w:rFonts w:ascii="Times New Roman" w:hAnsi="Times New Roman" w:cs="Times New Roman"/>
                <w:lang w:val="fr-FR"/>
              </w:rPr>
              <w:t>Début et facilitation du processus de planification de l</w:t>
            </w:r>
            <w:r w:rsidR="00EA153C">
              <w:rPr>
                <w:rFonts w:ascii="Times New Roman" w:hAnsi="Times New Roman" w:cs="Times New Roman"/>
                <w:lang w:val="fr-FR"/>
              </w:rPr>
              <w:t>’</w:t>
            </w:r>
            <w:r w:rsidRPr="00403C55">
              <w:rPr>
                <w:rFonts w:ascii="Times New Roman" w:hAnsi="Times New Roman" w:cs="Times New Roman"/>
                <w:lang w:val="fr-FR"/>
              </w:rPr>
              <w:t>action/gestion (c’est-à-dire identifier un compilateur en chef ou une équipe de rédaction ; lever des fonds pour la compilation et l’atelier, etc.)</w:t>
            </w:r>
          </w:p>
        </w:tc>
        <w:tc>
          <w:tcPr>
            <w:tcW w:w="2331" w:type="pct"/>
            <w:vAlign w:val="center"/>
          </w:tcPr>
          <w:p w14:paraId="0BD7B010" w14:textId="31421002" w:rsidR="009D54DD" w:rsidRPr="00403C55" w:rsidRDefault="00C32F20" w:rsidP="003F50F9">
            <w:pPr>
              <w:rPr>
                <w:rFonts w:ascii="Times New Roman" w:hAnsi="Times New Roman" w:cs="Times New Roman"/>
                <w:b/>
                <w:lang w:val="fr-FR"/>
              </w:rPr>
            </w:pPr>
            <w:r w:rsidRPr="00403C55">
              <w:rPr>
                <w:rFonts w:ascii="Times New Roman" w:hAnsi="Times New Roman" w:cs="Times New Roman"/>
                <w:b/>
                <w:lang w:val="fr-FR"/>
              </w:rPr>
              <w:t xml:space="preserve">Secrétariat </w:t>
            </w:r>
            <w:r w:rsidR="0003562F">
              <w:rPr>
                <w:rFonts w:ascii="Times New Roman" w:hAnsi="Times New Roman" w:cs="Times New Roman"/>
                <w:b/>
                <w:lang w:val="fr-FR"/>
              </w:rPr>
              <w:t>de l’AEWA</w:t>
            </w:r>
          </w:p>
        </w:tc>
      </w:tr>
      <w:tr w:rsidR="009D54DD" w:rsidRPr="00DE4CF4" w14:paraId="0478BB28" w14:textId="77777777" w:rsidTr="009C2D50">
        <w:trPr>
          <w:trHeight w:val="928"/>
        </w:trPr>
        <w:tc>
          <w:tcPr>
            <w:tcW w:w="2669" w:type="pct"/>
            <w:vAlign w:val="center"/>
          </w:tcPr>
          <w:p w14:paraId="07878291" w14:textId="6CF3F987" w:rsidR="009D54DD" w:rsidRPr="00403C55" w:rsidRDefault="00C32F20" w:rsidP="00EA153C">
            <w:pPr>
              <w:rPr>
                <w:rFonts w:ascii="Times New Roman" w:hAnsi="Times New Roman" w:cs="Times New Roman"/>
                <w:lang w:val="fr-FR"/>
              </w:rPr>
            </w:pPr>
            <w:r w:rsidRPr="00403C55">
              <w:rPr>
                <w:rFonts w:ascii="Times New Roman" w:hAnsi="Times New Roman" w:cs="Times New Roman"/>
                <w:lang w:val="fr-FR"/>
              </w:rPr>
              <w:t xml:space="preserve">Atelier intergouvernemental pour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et parties prenantes concernées</w:t>
            </w:r>
          </w:p>
        </w:tc>
        <w:tc>
          <w:tcPr>
            <w:tcW w:w="2331" w:type="pct"/>
            <w:vAlign w:val="center"/>
          </w:tcPr>
          <w:p w14:paraId="74A8A2C1" w14:textId="44759345" w:rsidR="009D54DD" w:rsidRPr="00403C55" w:rsidRDefault="00C32F20" w:rsidP="003F50F9">
            <w:pPr>
              <w:rPr>
                <w:rFonts w:ascii="Times New Roman" w:hAnsi="Times New Roman" w:cs="Times New Roman"/>
                <w:lang w:val="fr-FR"/>
              </w:rPr>
            </w:pPr>
            <w:r w:rsidRPr="00403C55">
              <w:rPr>
                <w:rFonts w:ascii="Times New Roman" w:hAnsi="Times New Roman" w:cs="Times New Roman"/>
                <w:b/>
                <w:lang w:val="fr-FR"/>
              </w:rPr>
              <w:t xml:space="preserve">Secrétariat </w:t>
            </w:r>
            <w:r w:rsidR="0003562F">
              <w:rPr>
                <w:rFonts w:ascii="Times New Roman" w:hAnsi="Times New Roman" w:cs="Times New Roman"/>
                <w:b/>
                <w:lang w:val="fr-FR"/>
              </w:rPr>
              <w:t>de l’AEWA</w:t>
            </w:r>
            <w:r w:rsidRPr="00403C55">
              <w:rPr>
                <w:rFonts w:ascii="Times New Roman" w:hAnsi="Times New Roman" w:cs="Times New Roman"/>
                <w:lang w:val="fr-FR"/>
              </w:rPr>
              <w:t xml:space="preserve"> avec le compilateur en chef/l’équipe de rédaction et éventuellement le gouvernement d’accueil, les points focaux et contact</w:t>
            </w:r>
            <w:r w:rsidR="002225C4" w:rsidRPr="00403C55">
              <w:rPr>
                <w:rFonts w:ascii="Times New Roman" w:hAnsi="Times New Roman" w:cs="Times New Roman"/>
                <w:lang w:val="fr-FR"/>
              </w:rPr>
              <w:t>s</w:t>
            </w:r>
            <w:r w:rsidRPr="00403C55">
              <w:rPr>
                <w:rFonts w:ascii="Times New Roman" w:hAnsi="Times New Roman" w:cs="Times New Roman"/>
                <w:lang w:val="fr-FR"/>
              </w:rPr>
              <w:t xml:space="preserve"> nationaux</w:t>
            </w:r>
          </w:p>
        </w:tc>
      </w:tr>
      <w:tr w:rsidR="009D54DD" w:rsidRPr="00DE4CF4" w14:paraId="795D88C0" w14:textId="77777777" w:rsidTr="009C2D50">
        <w:trPr>
          <w:trHeight w:val="907"/>
        </w:trPr>
        <w:tc>
          <w:tcPr>
            <w:tcW w:w="2669" w:type="pct"/>
            <w:vAlign w:val="center"/>
          </w:tcPr>
          <w:p w14:paraId="26B09685" w14:textId="64D72A21" w:rsidR="009D54DD" w:rsidRPr="00403C55" w:rsidRDefault="00C32F20" w:rsidP="003F50F9">
            <w:pPr>
              <w:rPr>
                <w:rFonts w:ascii="Times New Roman" w:hAnsi="Times New Roman" w:cs="Times New Roman"/>
                <w:lang w:val="fr-FR"/>
              </w:rPr>
            </w:pPr>
            <w:r w:rsidRPr="00403C55">
              <w:rPr>
                <w:rFonts w:ascii="Times New Roman" w:hAnsi="Times New Roman" w:cs="Times New Roman"/>
                <w:lang w:val="fr-FR"/>
              </w:rPr>
              <w:t>Les participants à l’atelier fournissent des commentaires sur le 1</w:t>
            </w:r>
            <w:r w:rsidRPr="00403C55">
              <w:rPr>
                <w:rFonts w:ascii="Times New Roman" w:hAnsi="Times New Roman" w:cs="Times New Roman"/>
                <w:vertAlign w:val="superscript"/>
                <w:lang w:val="fr-FR"/>
              </w:rPr>
              <w:t>er</w:t>
            </w:r>
            <w:r w:rsidRPr="00403C55">
              <w:rPr>
                <w:rFonts w:ascii="Times New Roman" w:hAnsi="Times New Roman" w:cs="Times New Roman"/>
                <w:lang w:val="fr-FR"/>
              </w:rPr>
              <w:t xml:space="preserve"> avant-projet</w:t>
            </w:r>
            <w:r w:rsidR="009D54DD" w:rsidRPr="00403C55">
              <w:rPr>
                <w:rFonts w:ascii="Times New Roman" w:hAnsi="Times New Roman" w:cs="Times New Roman"/>
                <w:lang w:val="fr-FR"/>
              </w:rPr>
              <w:t xml:space="preserve"> </w:t>
            </w:r>
          </w:p>
        </w:tc>
        <w:tc>
          <w:tcPr>
            <w:tcW w:w="2331" w:type="pct"/>
            <w:vAlign w:val="center"/>
          </w:tcPr>
          <w:p w14:paraId="5F8B2D81" w14:textId="20E0B672" w:rsidR="009D54DD" w:rsidRPr="00403C55" w:rsidRDefault="00C32F20" w:rsidP="003F50F9">
            <w:pPr>
              <w:rPr>
                <w:rFonts w:ascii="Times New Roman" w:hAnsi="Times New Roman" w:cs="Times New Roman"/>
                <w:lang w:val="fr-FR"/>
              </w:rPr>
            </w:pPr>
            <w:r w:rsidRPr="00403C55">
              <w:rPr>
                <w:rFonts w:ascii="Times New Roman" w:hAnsi="Times New Roman" w:cs="Times New Roman"/>
                <w:lang w:val="fr-FR"/>
              </w:rPr>
              <w:t xml:space="preserve">Compilateur en chef,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Pr="00403C55">
              <w:rPr>
                <w:rFonts w:ascii="Times New Roman" w:hAnsi="Times New Roman" w:cs="Times New Roman"/>
                <w:b/>
                <w:lang w:val="fr-FR"/>
              </w:rPr>
              <w:t>participants à l’atelier</w:t>
            </w:r>
          </w:p>
        </w:tc>
      </w:tr>
      <w:tr w:rsidR="009D54DD" w:rsidRPr="00DE4CF4" w14:paraId="3E8DE4F4" w14:textId="77777777" w:rsidTr="009C2D50">
        <w:trPr>
          <w:trHeight w:val="907"/>
        </w:trPr>
        <w:tc>
          <w:tcPr>
            <w:tcW w:w="2669" w:type="pct"/>
            <w:vAlign w:val="center"/>
          </w:tcPr>
          <w:p w14:paraId="14541441" w14:textId="614F8C91" w:rsidR="009D54DD" w:rsidRPr="00403C55" w:rsidRDefault="00C32F20" w:rsidP="003F50F9">
            <w:pPr>
              <w:rPr>
                <w:rFonts w:ascii="Times New Roman" w:hAnsi="Times New Roman" w:cs="Times New Roman"/>
                <w:lang w:val="fr-FR"/>
              </w:rPr>
            </w:pPr>
            <w:r w:rsidRPr="00403C55">
              <w:rPr>
                <w:rFonts w:ascii="Times New Roman" w:hAnsi="Times New Roman" w:cs="Times New Roman"/>
                <w:lang w:val="fr-FR"/>
              </w:rPr>
              <w:t xml:space="preserve">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fournit une évaluation technique/</w:t>
            </w:r>
            <w:r w:rsidR="009C2D50" w:rsidRPr="00403C55">
              <w:rPr>
                <w:rFonts w:ascii="Times New Roman" w:hAnsi="Times New Roman" w:cs="Times New Roman"/>
                <w:lang w:val="fr-FR"/>
              </w:rPr>
              <w:t>autorisation</w:t>
            </w:r>
            <w:r w:rsidRPr="00403C55">
              <w:rPr>
                <w:rFonts w:ascii="Times New Roman" w:hAnsi="Times New Roman" w:cs="Times New Roman"/>
                <w:lang w:val="fr-FR"/>
              </w:rPr>
              <w:t xml:space="preserve"> sur le 2</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avant-projet</w:t>
            </w:r>
          </w:p>
        </w:tc>
        <w:tc>
          <w:tcPr>
            <w:tcW w:w="2331" w:type="pct"/>
            <w:vAlign w:val="center"/>
          </w:tcPr>
          <w:p w14:paraId="7899C7AB" w14:textId="17DBF795" w:rsidR="009D54DD" w:rsidRPr="00403C55" w:rsidRDefault="00C32F20" w:rsidP="003F50F9">
            <w:pPr>
              <w:rPr>
                <w:rFonts w:ascii="Times New Roman" w:hAnsi="Times New Roman" w:cs="Times New Roman"/>
                <w:lang w:val="fr-FR"/>
              </w:rPr>
            </w:pPr>
            <w:r w:rsidRPr="00403C55">
              <w:rPr>
                <w:rFonts w:ascii="Times New Roman" w:hAnsi="Times New Roman" w:cs="Times New Roman"/>
                <w:lang w:val="fr-FR"/>
              </w:rPr>
              <w:t xml:space="preserve">Compilateur en chef,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Pr="00403C55">
              <w:rPr>
                <w:rFonts w:ascii="Times New Roman" w:hAnsi="Times New Roman" w:cs="Times New Roman"/>
                <w:b/>
                <w:lang w:val="fr-FR"/>
              </w:rPr>
              <w:t xml:space="preserve">Comité technique </w:t>
            </w:r>
            <w:r w:rsidR="0003562F">
              <w:rPr>
                <w:rFonts w:ascii="Times New Roman" w:hAnsi="Times New Roman" w:cs="Times New Roman"/>
                <w:b/>
                <w:lang w:val="fr-FR"/>
              </w:rPr>
              <w:t>de l’AEWA</w:t>
            </w:r>
          </w:p>
        </w:tc>
      </w:tr>
      <w:tr w:rsidR="009D54DD" w:rsidRPr="00DE4CF4" w14:paraId="0C6ADEC5" w14:textId="77777777" w:rsidTr="009C2D50">
        <w:trPr>
          <w:trHeight w:val="928"/>
        </w:trPr>
        <w:tc>
          <w:tcPr>
            <w:tcW w:w="2669" w:type="pct"/>
            <w:vAlign w:val="center"/>
          </w:tcPr>
          <w:p w14:paraId="64954BF7" w14:textId="5448C9E9" w:rsidR="009D54DD" w:rsidRPr="00403C55" w:rsidRDefault="00D01070" w:rsidP="003F50F9">
            <w:pPr>
              <w:rPr>
                <w:rFonts w:ascii="Times New Roman" w:hAnsi="Times New Roman" w:cs="Times New Roman"/>
                <w:lang w:val="fr-FR"/>
              </w:rPr>
            </w:pPr>
            <w:r w:rsidRPr="00403C55">
              <w:rPr>
                <w:rFonts w:ascii="Times New Roman" w:hAnsi="Times New Roman" w:cs="Times New Roman"/>
                <w:lang w:val="fr-FR"/>
              </w:rPr>
              <w:t>C</w:t>
            </w:r>
            <w:r w:rsidR="00C32F20" w:rsidRPr="00403C55">
              <w:rPr>
                <w:rFonts w:ascii="Times New Roman" w:hAnsi="Times New Roman" w:cs="Times New Roman"/>
                <w:lang w:val="fr-FR"/>
              </w:rPr>
              <w:t xml:space="preserve">onsultation </w:t>
            </w:r>
            <w:r w:rsidRPr="00403C55">
              <w:rPr>
                <w:rFonts w:ascii="Times New Roman" w:hAnsi="Times New Roman" w:cs="Times New Roman"/>
                <w:lang w:val="fr-FR"/>
              </w:rPr>
              <w:t>gouvernementale officielle sur le</w:t>
            </w:r>
            <w:r w:rsidR="00C32F20" w:rsidRPr="00403C55">
              <w:rPr>
                <w:rFonts w:ascii="Times New Roman" w:hAnsi="Times New Roman" w:cs="Times New Roman"/>
                <w:lang w:val="fr-FR"/>
              </w:rPr>
              <w:t xml:space="preserve"> 3</w:t>
            </w:r>
            <w:r w:rsidRPr="00403C55">
              <w:rPr>
                <w:rFonts w:ascii="Times New Roman" w:hAnsi="Times New Roman" w:cs="Times New Roman"/>
                <w:vertAlign w:val="superscript"/>
                <w:lang w:val="fr-FR"/>
              </w:rPr>
              <w:t>ème</w:t>
            </w:r>
            <w:r w:rsidR="00C32F20" w:rsidRPr="00403C55">
              <w:rPr>
                <w:rFonts w:ascii="Times New Roman" w:hAnsi="Times New Roman" w:cs="Times New Roman"/>
                <w:lang w:val="fr-FR"/>
              </w:rPr>
              <w:t xml:space="preserve"> </w:t>
            </w:r>
            <w:r w:rsidRPr="00403C55">
              <w:rPr>
                <w:rFonts w:ascii="Times New Roman" w:hAnsi="Times New Roman" w:cs="Times New Roman"/>
                <w:lang w:val="fr-FR"/>
              </w:rPr>
              <w:t xml:space="preserve">avant-projet avec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de l’espèce</w:t>
            </w:r>
            <w:r w:rsidR="009D54DD" w:rsidRPr="00403C55">
              <w:rPr>
                <w:rFonts w:ascii="Times New Roman" w:hAnsi="Times New Roman" w:cs="Times New Roman"/>
                <w:lang w:val="fr-FR"/>
              </w:rPr>
              <w:t xml:space="preserve"> </w:t>
            </w:r>
          </w:p>
        </w:tc>
        <w:tc>
          <w:tcPr>
            <w:tcW w:w="2331" w:type="pct"/>
            <w:vAlign w:val="center"/>
          </w:tcPr>
          <w:p w14:paraId="4E902F14" w14:textId="1647AB58" w:rsidR="009D54DD" w:rsidRPr="00403C55" w:rsidRDefault="00D01070" w:rsidP="003F50F9">
            <w:pPr>
              <w:rPr>
                <w:rFonts w:ascii="Times New Roman" w:hAnsi="Times New Roman" w:cs="Times New Roman"/>
                <w:b/>
                <w:lang w:val="fr-FR"/>
              </w:rPr>
            </w:pPr>
            <w:r w:rsidRPr="00403C55">
              <w:rPr>
                <w:rFonts w:ascii="Times New Roman" w:hAnsi="Times New Roman" w:cs="Times New Roman"/>
                <w:lang w:val="fr-FR"/>
              </w:rPr>
              <w:t xml:space="preserve">Compilateur en chef,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Pr="00403C55">
              <w:rPr>
                <w:rFonts w:ascii="Times New Roman" w:hAnsi="Times New Roman" w:cs="Times New Roman"/>
                <w:b/>
                <w:lang w:val="fr-FR"/>
              </w:rPr>
              <w:t>points focaux et contact</w:t>
            </w:r>
            <w:r w:rsidR="002225C4" w:rsidRPr="00403C55">
              <w:rPr>
                <w:rFonts w:ascii="Times New Roman" w:hAnsi="Times New Roman" w:cs="Times New Roman"/>
                <w:b/>
                <w:lang w:val="fr-FR"/>
              </w:rPr>
              <w:t>s</w:t>
            </w:r>
            <w:r w:rsidRPr="00403C55">
              <w:rPr>
                <w:rFonts w:ascii="Times New Roman" w:hAnsi="Times New Roman" w:cs="Times New Roman"/>
                <w:b/>
                <w:lang w:val="fr-FR"/>
              </w:rPr>
              <w:t xml:space="preserve"> nationaux</w:t>
            </w:r>
          </w:p>
        </w:tc>
      </w:tr>
      <w:tr w:rsidR="009D54DD" w:rsidRPr="00403C55" w14:paraId="2FEA2C1C" w14:textId="77777777" w:rsidTr="009C2D50">
        <w:trPr>
          <w:trHeight w:val="302"/>
        </w:trPr>
        <w:tc>
          <w:tcPr>
            <w:tcW w:w="2669" w:type="pct"/>
            <w:vAlign w:val="center"/>
          </w:tcPr>
          <w:p w14:paraId="7AF0F07F" w14:textId="46ECAA66" w:rsidR="009D54DD" w:rsidRPr="00403C55" w:rsidRDefault="00D01070" w:rsidP="003F50F9">
            <w:pPr>
              <w:rPr>
                <w:rFonts w:ascii="Times New Roman" w:hAnsi="Times New Roman" w:cs="Times New Roman"/>
                <w:lang w:val="fr-FR"/>
              </w:rPr>
            </w:pPr>
            <w:r w:rsidRPr="00403C55">
              <w:rPr>
                <w:rFonts w:ascii="Times New Roman" w:hAnsi="Times New Roman" w:cs="Times New Roman"/>
                <w:lang w:val="fr-FR"/>
              </w:rPr>
              <w:t>Soumission du 4</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avant-projet au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pour accord avant l’approbation par les </w:t>
            </w:r>
            <w:r w:rsidRPr="00403C55">
              <w:rPr>
                <w:rFonts w:ascii="Times New Roman" w:hAnsi="Times New Roman" w:cs="Times New Roman"/>
                <w:lang w:val="fr-FR"/>
              </w:rPr>
              <w:lastRenderedPageBreak/>
              <w:t>Parties</w:t>
            </w:r>
            <w:r w:rsidR="009D54DD" w:rsidRPr="00403C55">
              <w:rPr>
                <w:rFonts w:ascii="Times New Roman" w:hAnsi="Times New Roman" w:cs="Times New Roman"/>
                <w:lang w:val="fr-FR"/>
              </w:rPr>
              <w:t xml:space="preserve"> </w:t>
            </w:r>
          </w:p>
        </w:tc>
        <w:tc>
          <w:tcPr>
            <w:tcW w:w="2331" w:type="pct"/>
            <w:vAlign w:val="center"/>
          </w:tcPr>
          <w:p w14:paraId="08473C8A" w14:textId="5F2EC93A" w:rsidR="009D54DD" w:rsidRPr="00403C55" w:rsidRDefault="00D01070" w:rsidP="003F50F9">
            <w:pPr>
              <w:rPr>
                <w:rFonts w:ascii="Times New Roman" w:hAnsi="Times New Roman" w:cs="Times New Roman"/>
                <w:lang w:val="fr-FR"/>
              </w:rPr>
            </w:pPr>
            <w:r w:rsidRPr="00403C55">
              <w:rPr>
                <w:rFonts w:ascii="Times New Roman" w:hAnsi="Times New Roman" w:cs="Times New Roman"/>
                <w:b/>
                <w:lang w:val="fr-FR"/>
              </w:rPr>
              <w:lastRenderedPageBreak/>
              <w:t xml:space="preserve">Comité technique </w:t>
            </w:r>
            <w:r w:rsidR="0003562F">
              <w:rPr>
                <w:rFonts w:ascii="Times New Roman" w:hAnsi="Times New Roman" w:cs="Times New Roman"/>
                <w:b/>
                <w:lang w:val="fr-FR"/>
              </w:rPr>
              <w:t>de l’AEWA</w:t>
            </w:r>
          </w:p>
        </w:tc>
      </w:tr>
      <w:tr w:rsidR="009D54DD" w:rsidRPr="00403C55" w14:paraId="5EFFBB97" w14:textId="77777777" w:rsidTr="009C2D50">
        <w:trPr>
          <w:trHeight w:val="323"/>
        </w:trPr>
        <w:tc>
          <w:tcPr>
            <w:tcW w:w="2669" w:type="pct"/>
            <w:vAlign w:val="center"/>
          </w:tcPr>
          <w:p w14:paraId="45AB0DEE" w14:textId="63042DAA" w:rsidR="009D54DD" w:rsidRPr="00403C55" w:rsidRDefault="00D01070" w:rsidP="00EA153C">
            <w:pPr>
              <w:rPr>
                <w:rFonts w:ascii="Times New Roman" w:hAnsi="Times New Roman" w:cs="Times New Roman"/>
                <w:lang w:val="fr-FR"/>
              </w:rPr>
            </w:pPr>
            <w:r w:rsidRPr="00403C55">
              <w:rPr>
                <w:rFonts w:ascii="Times New Roman" w:hAnsi="Times New Roman" w:cs="Times New Roman"/>
                <w:lang w:val="fr-FR"/>
              </w:rPr>
              <w:lastRenderedPageBreak/>
              <w:t xml:space="preserve">L’avant-projet final est soumis au Comité permanent </w:t>
            </w:r>
            <w:r w:rsidR="0003562F">
              <w:rPr>
                <w:rFonts w:ascii="Times New Roman" w:hAnsi="Times New Roman" w:cs="Times New Roman"/>
                <w:lang w:val="fr-FR"/>
              </w:rPr>
              <w:t>de l’AEWA</w:t>
            </w:r>
            <w:r w:rsidRPr="00403C55">
              <w:rPr>
                <w:rFonts w:ascii="Times New Roman" w:hAnsi="Times New Roman" w:cs="Times New Roman"/>
                <w:lang w:val="fr-FR"/>
              </w:rPr>
              <w:t xml:space="preserve"> pour approbation préliminaire OU approbation pour </w:t>
            </w:r>
            <w:r w:rsidR="00EA153C">
              <w:rPr>
                <w:rFonts w:ascii="Times New Roman" w:hAnsi="Times New Roman" w:cs="Times New Roman"/>
                <w:lang w:val="fr-FR"/>
              </w:rPr>
              <w:t xml:space="preserve">le </w:t>
            </w:r>
            <w:r w:rsidRPr="00403C55">
              <w:rPr>
                <w:rFonts w:ascii="Times New Roman" w:hAnsi="Times New Roman" w:cs="Times New Roman"/>
                <w:lang w:val="fr-FR"/>
              </w:rPr>
              <w:t>soum</w:t>
            </w:r>
            <w:r w:rsidR="00EA153C">
              <w:rPr>
                <w:rFonts w:ascii="Times New Roman" w:hAnsi="Times New Roman" w:cs="Times New Roman"/>
                <w:lang w:val="fr-FR"/>
              </w:rPr>
              <w:t>ettre</w:t>
            </w:r>
            <w:r w:rsidRPr="00403C55">
              <w:rPr>
                <w:rFonts w:ascii="Times New Roman" w:hAnsi="Times New Roman" w:cs="Times New Roman"/>
                <w:lang w:val="fr-FR"/>
              </w:rPr>
              <w:t xml:space="preserve"> à la Réunion des Parties.</w:t>
            </w:r>
            <w:r w:rsidR="009D54DD" w:rsidRPr="00403C55">
              <w:rPr>
                <w:rFonts w:ascii="Times New Roman" w:hAnsi="Times New Roman" w:cs="Times New Roman"/>
                <w:lang w:val="fr-FR"/>
              </w:rPr>
              <w:t xml:space="preserve"> </w:t>
            </w:r>
          </w:p>
        </w:tc>
        <w:tc>
          <w:tcPr>
            <w:tcW w:w="2331" w:type="pct"/>
            <w:vAlign w:val="center"/>
          </w:tcPr>
          <w:p w14:paraId="4E42428B" w14:textId="1201574E" w:rsidR="009D54DD" w:rsidRPr="00403C55" w:rsidRDefault="00D01070" w:rsidP="003F50F9">
            <w:pPr>
              <w:rPr>
                <w:rFonts w:ascii="Times New Roman" w:hAnsi="Times New Roman" w:cs="Times New Roman"/>
                <w:lang w:val="fr-FR"/>
              </w:rPr>
            </w:pPr>
            <w:r w:rsidRPr="00403C55">
              <w:rPr>
                <w:rFonts w:ascii="Times New Roman" w:hAnsi="Times New Roman" w:cs="Times New Roman"/>
                <w:b/>
                <w:lang w:val="fr-FR"/>
              </w:rPr>
              <w:t xml:space="preserve">Comité permanent </w:t>
            </w:r>
            <w:r w:rsidR="0003562F">
              <w:rPr>
                <w:rFonts w:ascii="Times New Roman" w:hAnsi="Times New Roman" w:cs="Times New Roman"/>
                <w:b/>
                <w:lang w:val="fr-FR"/>
              </w:rPr>
              <w:t>de l’AEWA</w:t>
            </w:r>
          </w:p>
        </w:tc>
      </w:tr>
      <w:tr w:rsidR="009D54DD" w:rsidRPr="00403C55" w14:paraId="032D3965" w14:textId="77777777" w:rsidTr="009C2D50">
        <w:trPr>
          <w:trHeight w:val="323"/>
        </w:trPr>
        <w:tc>
          <w:tcPr>
            <w:tcW w:w="2669" w:type="pct"/>
            <w:vAlign w:val="center"/>
          </w:tcPr>
          <w:p w14:paraId="13CC7BAE" w14:textId="62EAD251" w:rsidR="009D54DD" w:rsidRPr="00403C55" w:rsidRDefault="00D01070" w:rsidP="003F50F9">
            <w:pPr>
              <w:rPr>
                <w:rFonts w:ascii="Times New Roman" w:hAnsi="Times New Roman" w:cs="Times New Roman"/>
                <w:lang w:val="fr-FR"/>
              </w:rPr>
            </w:pPr>
            <w:r w:rsidRPr="00403C55">
              <w:rPr>
                <w:rFonts w:ascii="Times New Roman" w:hAnsi="Times New Roman" w:cs="Times New Roman"/>
                <w:lang w:val="fr-FR"/>
              </w:rPr>
              <w:t xml:space="preserve">L’avant-projet final consulté est adopté lors de la prochaine session de la Réunion des Parties </w:t>
            </w:r>
          </w:p>
        </w:tc>
        <w:tc>
          <w:tcPr>
            <w:tcW w:w="2331" w:type="pct"/>
            <w:vAlign w:val="center"/>
          </w:tcPr>
          <w:p w14:paraId="26B1844D" w14:textId="5F3B80B3" w:rsidR="009D54DD" w:rsidRPr="00403C55" w:rsidRDefault="00D01070" w:rsidP="003F50F9">
            <w:pPr>
              <w:rPr>
                <w:rFonts w:ascii="Times New Roman" w:hAnsi="Times New Roman" w:cs="Times New Roman"/>
                <w:b/>
                <w:lang w:val="fr-FR"/>
              </w:rPr>
            </w:pPr>
            <w:r w:rsidRPr="00403C55">
              <w:rPr>
                <w:rFonts w:ascii="Times New Roman" w:hAnsi="Times New Roman" w:cs="Times New Roman"/>
                <w:b/>
                <w:lang w:val="fr-FR"/>
              </w:rPr>
              <w:t>Réunion des Parties</w:t>
            </w:r>
          </w:p>
        </w:tc>
      </w:tr>
      <w:tr w:rsidR="009D54DD" w:rsidRPr="00403C55" w14:paraId="38135758" w14:textId="77777777" w:rsidTr="009C2D50">
        <w:trPr>
          <w:trHeight w:val="323"/>
        </w:trPr>
        <w:tc>
          <w:tcPr>
            <w:tcW w:w="2669" w:type="pct"/>
            <w:vAlign w:val="center"/>
          </w:tcPr>
          <w:p w14:paraId="78FF8CBD" w14:textId="5184744F" w:rsidR="009D54DD" w:rsidRPr="00403C55" w:rsidRDefault="00D01070" w:rsidP="003F50F9">
            <w:pPr>
              <w:rPr>
                <w:rFonts w:ascii="Times New Roman" w:hAnsi="Times New Roman" w:cs="Times New Roman"/>
                <w:lang w:val="fr-FR"/>
              </w:rPr>
            </w:pPr>
            <w:r w:rsidRPr="00403C55">
              <w:rPr>
                <w:rFonts w:ascii="Times New Roman" w:hAnsi="Times New Roman" w:cs="Times New Roman"/>
                <w:lang w:val="fr-FR"/>
              </w:rPr>
              <w:t xml:space="preserve">Le plan </w:t>
            </w:r>
            <w:r w:rsidR="0003562F">
              <w:rPr>
                <w:rFonts w:ascii="Times New Roman" w:hAnsi="Times New Roman" w:cs="Times New Roman"/>
                <w:lang w:val="fr-FR"/>
              </w:rPr>
              <w:t>d’action</w:t>
            </w:r>
            <w:r w:rsidRPr="00403C55">
              <w:rPr>
                <w:rFonts w:ascii="Times New Roman" w:hAnsi="Times New Roman" w:cs="Times New Roman"/>
                <w:lang w:val="fr-FR"/>
              </w:rPr>
              <w:t>/de gestion final est préparé par le Secrétariat avec le compilateur en chef et mis en ligne (seulement imprimé si des fonds sont disponibles).</w:t>
            </w:r>
            <w:r w:rsidR="009D54DD" w:rsidRPr="00403C55">
              <w:rPr>
                <w:rFonts w:ascii="Times New Roman" w:hAnsi="Times New Roman" w:cs="Times New Roman"/>
                <w:lang w:val="fr-FR"/>
              </w:rPr>
              <w:t xml:space="preserve"> </w:t>
            </w:r>
            <w:r w:rsidRPr="00403C55">
              <w:rPr>
                <w:rFonts w:ascii="Times New Roman" w:hAnsi="Times New Roman" w:cs="Times New Roman"/>
                <w:lang w:val="fr-FR"/>
              </w:rPr>
              <w:t>Un lien vers le plan (ou une copie) est envoyé</w:t>
            </w:r>
            <w:r w:rsidR="009C2D50" w:rsidRPr="00403C55">
              <w:rPr>
                <w:rFonts w:ascii="Times New Roman" w:hAnsi="Times New Roman" w:cs="Times New Roman"/>
                <w:lang w:val="fr-FR"/>
              </w:rPr>
              <w:t>(e)</w:t>
            </w:r>
            <w:r w:rsidRPr="00403C55">
              <w:rPr>
                <w:rFonts w:ascii="Times New Roman" w:hAnsi="Times New Roman" w:cs="Times New Roman"/>
                <w:lang w:val="fr-FR"/>
              </w:rPr>
              <w:t xml:space="preserve"> à tous les points focaux et contact</w:t>
            </w:r>
            <w:r w:rsidR="002225C4" w:rsidRPr="00403C55">
              <w:rPr>
                <w:rFonts w:ascii="Times New Roman" w:hAnsi="Times New Roman" w:cs="Times New Roman"/>
                <w:lang w:val="fr-FR"/>
              </w:rPr>
              <w:t>s</w:t>
            </w:r>
            <w:r w:rsidRPr="00403C55">
              <w:rPr>
                <w:rFonts w:ascii="Times New Roman" w:hAnsi="Times New Roman" w:cs="Times New Roman"/>
                <w:lang w:val="fr-FR"/>
              </w:rPr>
              <w:t xml:space="preserve"> nationaux dans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concernés, en les invitant à mettre le plan en œuvre.</w:t>
            </w:r>
          </w:p>
        </w:tc>
        <w:tc>
          <w:tcPr>
            <w:tcW w:w="2331" w:type="pct"/>
            <w:vAlign w:val="center"/>
          </w:tcPr>
          <w:p w14:paraId="7EC71F93" w14:textId="1BBA3AF6" w:rsidR="009D54DD" w:rsidRPr="00403C55" w:rsidRDefault="00D01070" w:rsidP="003F50F9">
            <w:pPr>
              <w:rPr>
                <w:rFonts w:ascii="Times New Roman" w:hAnsi="Times New Roman" w:cs="Times New Roman"/>
                <w:b/>
                <w:lang w:val="fr-FR"/>
              </w:rPr>
            </w:pPr>
            <w:r w:rsidRPr="00403C55">
              <w:rPr>
                <w:rFonts w:ascii="Times New Roman" w:hAnsi="Times New Roman" w:cs="Times New Roman"/>
                <w:b/>
                <w:lang w:val="fr-FR"/>
              </w:rPr>
              <w:t xml:space="preserve">Secrétariat </w:t>
            </w:r>
            <w:r w:rsidR="0003562F">
              <w:rPr>
                <w:rFonts w:ascii="Times New Roman" w:hAnsi="Times New Roman" w:cs="Times New Roman"/>
                <w:b/>
                <w:lang w:val="fr-FR"/>
              </w:rPr>
              <w:t>de l’AEWA</w:t>
            </w:r>
          </w:p>
        </w:tc>
      </w:tr>
    </w:tbl>
    <w:p w14:paraId="590A9812" w14:textId="77777777" w:rsidR="009D54DD" w:rsidRPr="00403C55" w:rsidRDefault="009D54DD" w:rsidP="004A0B3C">
      <w:pPr>
        <w:spacing w:after="0" w:line="240" w:lineRule="auto"/>
        <w:rPr>
          <w:rFonts w:ascii="Times New Roman" w:hAnsi="Times New Roman" w:cs="Times New Roman"/>
          <w:sz w:val="20"/>
          <w:szCs w:val="20"/>
          <w:lang w:val="fr-FR"/>
        </w:rPr>
      </w:pPr>
    </w:p>
    <w:p w14:paraId="0678C0DC" w14:textId="77777777" w:rsidR="00671628" w:rsidRPr="00403C55" w:rsidRDefault="00671628" w:rsidP="004A0B3C">
      <w:pPr>
        <w:spacing w:after="0" w:line="240" w:lineRule="auto"/>
        <w:rPr>
          <w:rFonts w:ascii="Times New Roman" w:hAnsi="Times New Roman" w:cs="Times New Roman"/>
          <w:b/>
          <w:sz w:val="20"/>
          <w:szCs w:val="20"/>
          <w:lang w:val="fr-FR"/>
        </w:rPr>
      </w:pPr>
    </w:p>
    <w:p w14:paraId="618B74FD" w14:textId="6BFFD80E" w:rsidR="00725C34" w:rsidRPr="00403C55" w:rsidRDefault="00671628" w:rsidP="003651AD">
      <w:pPr>
        <w:shd w:val="clear" w:color="auto" w:fill="C6D9F1" w:themeFill="text2" w:themeFillTint="33"/>
        <w:spacing w:after="0" w:line="240" w:lineRule="auto"/>
        <w:rPr>
          <w:rFonts w:ascii="Times New Roman" w:hAnsi="Times New Roman" w:cs="Times New Roman"/>
          <w:b/>
          <w:lang w:val="fr-FR"/>
        </w:rPr>
      </w:pPr>
      <w:r w:rsidRPr="00403C55">
        <w:rPr>
          <w:rFonts w:ascii="Times New Roman" w:hAnsi="Times New Roman" w:cs="Times New Roman"/>
          <w:b/>
          <w:lang w:val="fr-FR"/>
        </w:rPr>
        <w:t xml:space="preserve">2.3. </w:t>
      </w:r>
      <w:r w:rsidR="00D01070" w:rsidRPr="00403C55">
        <w:rPr>
          <w:rFonts w:ascii="Times New Roman" w:hAnsi="Times New Roman" w:cs="Times New Roman"/>
          <w:b/>
          <w:lang w:val="fr-FR"/>
        </w:rPr>
        <w:t>Révision de</w:t>
      </w:r>
      <w:r w:rsidR="00F45AF6">
        <w:rPr>
          <w:rFonts w:ascii="Times New Roman" w:hAnsi="Times New Roman" w:cs="Times New Roman"/>
          <w:b/>
          <w:lang w:val="fr-FR"/>
        </w:rPr>
        <w:t>s</w:t>
      </w:r>
      <w:r w:rsidR="00D01070" w:rsidRPr="00403C55">
        <w:rPr>
          <w:rFonts w:ascii="Times New Roman" w:hAnsi="Times New Roman" w:cs="Times New Roman"/>
          <w:b/>
          <w:lang w:val="fr-FR"/>
        </w:rPr>
        <w:t xml:space="preserve"> plans </w:t>
      </w:r>
      <w:r w:rsidR="0003562F">
        <w:rPr>
          <w:rFonts w:ascii="Times New Roman" w:hAnsi="Times New Roman" w:cs="Times New Roman"/>
          <w:b/>
          <w:lang w:val="fr-FR"/>
        </w:rPr>
        <w:t>d’action</w:t>
      </w:r>
      <w:r w:rsidR="00D01070" w:rsidRPr="00403C55">
        <w:rPr>
          <w:rFonts w:ascii="Times New Roman" w:hAnsi="Times New Roman" w:cs="Times New Roman"/>
          <w:b/>
          <w:lang w:val="fr-FR"/>
        </w:rPr>
        <w:t>/de gestion</w:t>
      </w:r>
    </w:p>
    <w:p w14:paraId="3E13E92C" w14:textId="77777777" w:rsidR="00725C34" w:rsidRPr="00403C55" w:rsidRDefault="00725C34" w:rsidP="004A0B3C">
      <w:pPr>
        <w:spacing w:after="0" w:line="240" w:lineRule="auto"/>
        <w:rPr>
          <w:rFonts w:ascii="Times New Roman" w:hAnsi="Times New Roman" w:cs="Times New Roman"/>
          <w:lang w:val="fr-FR"/>
        </w:rPr>
      </w:pPr>
    </w:p>
    <w:p w14:paraId="1CE51FF8" w14:textId="48E87F8C" w:rsidR="00725C34" w:rsidRPr="00403C55" w:rsidRDefault="00CD3D2A" w:rsidP="00725C34">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durée d’un plan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 est indiquée sous la forme d’un certain nombre d’années après son adoption par la MOP.</w:t>
      </w:r>
      <w:r w:rsidR="00576872" w:rsidRPr="00403C55">
        <w:rPr>
          <w:rFonts w:ascii="Times New Roman" w:hAnsi="Times New Roman" w:cs="Times New Roman"/>
          <w:lang w:val="fr-FR"/>
        </w:rPr>
        <w:t xml:space="preserve"> </w:t>
      </w:r>
      <w:r w:rsidRPr="00403C55">
        <w:rPr>
          <w:rFonts w:ascii="Times New Roman" w:hAnsi="Times New Roman" w:cs="Times New Roman"/>
          <w:lang w:val="fr-FR"/>
        </w:rPr>
        <w:t xml:space="preserve">La validité usuelle d’un plan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 </w:t>
      </w:r>
      <w:r w:rsidR="0003562F">
        <w:rPr>
          <w:rFonts w:ascii="Times New Roman" w:hAnsi="Times New Roman" w:cs="Times New Roman"/>
          <w:lang w:val="fr-FR"/>
        </w:rPr>
        <w:t>de l’AEWA</w:t>
      </w:r>
      <w:r w:rsidRPr="00403C55">
        <w:rPr>
          <w:rFonts w:ascii="Times New Roman" w:hAnsi="Times New Roman" w:cs="Times New Roman"/>
          <w:lang w:val="fr-FR"/>
        </w:rPr>
        <w:t xml:space="preserve"> est de dix ans, </w:t>
      </w:r>
      <w:r w:rsidR="00803606" w:rsidRPr="00403C55">
        <w:rPr>
          <w:rFonts w:ascii="Times New Roman" w:hAnsi="Times New Roman" w:cs="Times New Roman"/>
          <w:lang w:val="fr-FR"/>
        </w:rPr>
        <w:t xml:space="preserve">délai </w:t>
      </w:r>
      <w:r w:rsidRPr="00403C55">
        <w:rPr>
          <w:rFonts w:ascii="Times New Roman" w:hAnsi="Times New Roman" w:cs="Times New Roman"/>
          <w:lang w:val="fr-FR"/>
        </w:rPr>
        <w:t>après lequel une révision est habituellement prévue.</w:t>
      </w:r>
      <w:r w:rsidR="00725C34" w:rsidRPr="00403C55">
        <w:rPr>
          <w:rFonts w:ascii="Times New Roman" w:hAnsi="Times New Roman" w:cs="Times New Roman"/>
          <w:lang w:val="fr-FR"/>
        </w:rPr>
        <w:t xml:space="preserve"> </w:t>
      </w:r>
      <w:r w:rsidRPr="00403C55">
        <w:rPr>
          <w:rFonts w:ascii="Times New Roman" w:hAnsi="Times New Roman" w:cs="Times New Roman"/>
          <w:lang w:val="fr-FR"/>
        </w:rPr>
        <w:t>Le processus de révision d</w:t>
      </w:r>
      <w:r w:rsidR="00803606" w:rsidRPr="00403C55">
        <w:rPr>
          <w:rFonts w:ascii="Times New Roman" w:hAnsi="Times New Roman" w:cs="Times New Roman"/>
          <w:lang w:val="fr-FR"/>
        </w:rPr>
        <w:t>oit</w:t>
      </w:r>
      <w:r w:rsidRPr="00403C55">
        <w:rPr>
          <w:rFonts w:ascii="Times New Roman" w:hAnsi="Times New Roman" w:cs="Times New Roman"/>
          <w:lang w:val="fr-FR"/>
        </w:rPr>
        <w:t xml:space="preserve"> être mené par le </w:t>
      </w:r>
      <w:r w:rsidR="00803606" w:rsidRPr="00403C55">
        <w:rPr>
          <w:rFonts w:ascii="Times New Roman" w:hAnsi="Times New Roman" w:cs="Times New Roman"/>
          <w:lang w:val="fr-FR"/>
        </w:rPr>
        <w:t xml:space="preserve">groupe de travail ou d’experts international des espèces </w:t>
      </w:r>
      <w:r w:rsidR="0003562F">
        <w:rPr>
          <w:rFonts w:ascii="Times New Roman" w:hAnsi="Times New Roman" w:cs="Times New Roman"/>
          <w:lang w:val="fr-FR"/>
        </w:rPr>
        <w:t>de l’AEWA</w:t>
      </w:r>
      <w:r w:rsidR="00803606" w:rsidRPr="00403C55">
        <w:rPr>
          <w:rFonts w:ascii="Times New Roman" w:hAnsi="Times New Roman" w:cs="Times New Roman"/>
          <w:lang w:val="fr-FR"/>
        </w:rPr>
        <w:t>, établi pour coordonner</w:t>
      </w:r>
      <w:r w:rsidRPr="00403C55">
        <w:rPr>
          <w:rFonts w:ascii="Times New Roman" w:hAnsi="Times New Roman" w:cs="Times New Roman"/>
          <w:lang w:val="fr-FR"/>
        </w:rPr>
        <w:t xml:space="preserve"> </w:t>
      </w:r>
      <w:r w:rsidR="00803606" w:rsidRPr="00403C55">
        <w:rPr>
          <w:rFonts w:ascii="Times New Roman" w:hAnsi="Times New Roman" w:cs="Times New Roman"/>
          <w:lang w:val="fr-FR"/>
        </w:rPr>
        <w:t xml:space="preserve">la mise en œuvre internationale du plan en coopération avec le Secrétariat </w:t>
      </w:r>
      <w:r w:rsidR="0003562F">
        <w:rPr>
          <w:rFonts w:ascii="Times New Roman" w:hAnsi="Times New Roman" w:cs="Times New Roman"/>
          <w:lang w:val="fr-FR"/>
        </w:rPr>
        <w:t>de l’AEWA</w:t>
      </w:r>
      <w:r w:rsidRPr="00403C55">
        <w:rPr>
          <w:rFonts w:ascii="Times New Roman" w:hAnsi="Times New Roman" w:cs="Times New Roman"/>
          <w:lang w:val="fr-FR"/>
        </w:rPr>
        <w:t>.</w:t>
      </w:r>
      <w:r w:rsidR="00576872" w:rsidRPr="00403C55">
        <w:rPr>
          <w:rFonts w:ascii="Times New Roman" w:hAnsi="Times New Roman" w:cs="Times New Roman"/>
          <w:lang w:val="fr-FR"/>
        </w:rPr>
        <w:t xml:space="preserve"> </w:t>
      </w:r>
      <w:r w:rsidR="00803606" w:rsidRPr="00403C55">
        <w:rPr>
          <w:rFonts w:ascii="Times New Roman" w:hAnsi="Times New Roman" w:cs="Times New Roman"/>
          <w:lang w:val="fr-FR"/>
        </w:rPr>
        <w:t xml:space="preserve">Si aucun mécanisme </w:t>
      </w:r>
      <w:r w:rsidR="00403C55" w:rsidRPr="00403C55">
        <w:rPr>
          <w:rFonts w:ascii="Times New Roman" w:hAnsi="Times New Roman" w:cs="Times New Roman"/>
          <w:lang w:val="fr-FR"/>
        </w:rPr>
        <w:t>international</w:t>
      </w:r>
      <w:r w:rsidR="00803606" w:rsidRPr="00403C55">
        <w:rPr>
          <w:rFonts w:ascii="Times New Roman" w:hAnsi="Times New Roman" w:cs="Times New Roman"/>
          <w:lang w:val="fr-FR"/>
        </w:rPr>
        <w:t xml:space="preserve"> de coordination n’a été établi, le Comité technique peut évaluer les plans devant être révisés et faire des recommandations sur le fait qu’une révision est nécessaire ou non (voir ci-dessous le processus suggéré pour le retrait des plans).</w:t>
      </w:r>
    </w:p>
    <w:p w14:paraId="1D081E8D" w14:textId="77777777" w:rsidR="00725C34" w:rsidRPr="00403C55" w:rsidRDefault="00725C34" w:rsidP="00725C34">
      <w:pPr>
        <w:spacing w:after="0" w:line="240" w:lineRule="auto"/>
        <w:jc w:val="both"/>
        <w:rPr>
          <w:rFonts w:ascii="Times New Roman" w:hAnsi="Times New Roman" w:cs="Times New Roman"/>
          <w:lang w:val="fr-FR"/>
        </w:rPr>
      </w:pPr>
    </w:p>
    <w:p w14:paraId="5B88B634" w14:textId="1424AEB2" w:rsidR="00725C34" w:rsidRPr="00403C55" w:rsidRDefault="00803606" w:rsidP="00725C34">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révisi</w:t>
      </w:r>
      <w:r w:rsidR="00EA153C">
        <w:rPr>
          <w:rFonts w:ascii="Times New Roman" w:hAnsi="Times New Roman" w:cs="Times New Roman"/>
          <w:lang w:val="fr-FR"/>
        </w:rPr>
        <w:t xml:space="preserve">ons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sont adoptées par la Réunion des Parties.</w:t>
      </w:r>
      <w:r w:rsidR="00725C34" w:rsidRPr="00403C55">
        <w:rPr>
          <w:rFonts w:ascii="Times New Roman" w:hAnsi="Times New Roman" w:cs="Times New Roman"/>
          <w:lang w:val="fr-FR"/>
        </w:rPr>
        <w:t xml:space="preserve"> </w:t>
      </w:r>
      <w:r w:rsidRPr="00403C55">
        <w:rPr>
          <w:rFonts w:ascii="Times New Roman" w:hAnsi="Times New Roman" w:cs="Times New Roman"/>
          <w:lang w:val="fr-FR"/>
        </w:rPr>
        <w:t xml:space="preserve">Il convient par conséquent de noter que la procédure de révision d’un plan suit étroitement le processus décrit ci-dessus en ce qui concerne les étapes officielles nécessaires à parcourir </w:t>
      </w:r>
      <w:r w:rsidR="009C2D50" w:rsidRPr="00403C55">
        <w:rPr>
          <w:rFonts w:ascii="Times New Roman" w:hAnsi="Times New Roman" w:cs="Times New Roman"/>
          <w:lang w:val="fr-FR"/>
        </w:rPr>
        <w:t>en vue de la</w:t>
      </w:r>
      <w:r w:rsidRPr="00403C55">
        <w:rPr>
          <w:rFonts w:ascii="Times New Roman" w:hAnsi="Times New Roman" w:cs="Times New Roman"/>
          <w:lang w:val="fr-FR"/>
        </w:rPr>
        <w:t xml:space="preserve"> consultation.</w:t>
      </w:r>
      <w:r w:rsidR="008B483F" w:rsidRPr="00403C55">
        <w:rPr>
          <w:rFonts w:ascii="Times New Roman" w:hAnsi="Times New Roman" w:cs="Times New Roman"/>
          <w:lang w:val="fr-FR"/>
        </w:rPr>
        <w:t xml:space="preserve"> </w:t>
      </w:r>
      <w:r w:rsidRPr="00403C55">
        <w:rPr>
          <w:rFonts w:ascii="Times New Roman" w:hAnsi="Times New Roman" w:cs="Times New Roman"/>
          <w:lang w:val="fr-FR"/>
        </w:rPr>
        <w:t xml:space="preserve">L’atelier intergouvernemental décrit ci-dessus est seulement remplacé par une réunion ou consultation des membres du groupe de travail ou d'experts international des espèces </w:t>
      </w:r>
      <w:r w:rsidR="0003562F">
        <w:rPr>
          <w:rFonts w:ascii="Times New Roman" w:hAnsi="Times New Roman" w:cs="Times New Roman"/>
          <w:lang w:val="fr-FR"/>
        </w:rPr>
        <w:t>de l’AEWA</w:t>
      </w:r>
      <w:r w:rsidRPr="00403C55">
        <w:rPr>
          <w:rFonts w:ascii="Times New Roman" w:hAnsi="Times New Roman" w:cs="Times New Roman"/>
          <w:lang w:val="fr-FR"/>
        </w:rPr>
        <w:t>.</w:t>
      </w:r>
      <w:r w:rsidR="00985A4E">
        <w:rPr>
          <w:rFonts w:ascii="Times New Roman" w:hAnsi="Times New Roman" w:cs="Times New Roman"/>
          <w:lang w:val="fr-FR"/>
        </w:rPr>
        <w:t xml:space="preserve"> </w:t>
      </w:r>
    </w:p>
    <w:p w14:paraId="26C2BE76" w14:textId="77777777" w:rsidR="00725C34" w:rsidRPr="00403C55" w:rsidRDefault="00725C34" w:rsidP="004A0B3C">
      <w:pPr>
        <w:spacing w:after="0" w:line="240" w:lineRule="auto"/>
        <w:rPr>
          <w:rFonts w:ascii="Times New Roman" w:hAnsi="Times New Roman" w:cs="Times New Roman"/>
          <w:lang w:val="fr-FR"/>
        </w:rPr>
      </w:pPr>
    </w:p>
    <w:p w14:paraId="181178FB" w14:textId="054B437F" w:rsidR="004A0B3C" w:rsidRPr="00403C55" w:rsidRDefault="00671628" w:rsidP="005A0E79">
      <w:pPr>
        <w:shd w:val="clear" w:color="auto" w:fill="B8CCE4" w:themeFill="accent1" w:themeFillTint="66"/>
        <w:spacing w:after="0" w:line="240" w:lineRule="auto"/>
        <w:rPr>
          <w:rFonts w:ascii="Times New Roman" w:hAnsi="Times New Roman" w:cs="Times New Roman"/>
          <w:b/>
          <w:lang w:val="fr-FR"/>
        </w:rPr>
      </w:pPr>
      <w:r w:rsidRPr="00403C55">
        <w:rPr>
          <w:rFonts w:ascii="Times New Roman" w:hAnsi="Times New Roman" w:cs="Times New Roman"/>
          <w:b/>
          <w:lang w:val="fr-FR"/>
        </w:rPr>
        <w:t xml:space="preserve">2.4. </w:t>
      </w:r>
      <w:r w:rsidR="00803606" w:rsidRPr="00403C55">
        <w:rPr>
          <w:rFonts w:ascii="Times New Roman" w:hAnsi="Times New Roman" w:cs="Times New Roman"/>
          <w:b/>
          <w:lang w:val="fr-FR"/>
        </w:rPr>
        <w:t xml:space="preserve">Retrait de plans </w:t>
      </w:r>
      <w:r w:rsidR="0003562F">
        <w:rPr>
          <w:rFonts w:ascii="Times New Roman" w:hAnsi="Times New Roman" w:cs="Times New Roman"/>
          <w:b/>
          <w:lang w:val="fr-FR"/>
        </w:rPr>
        <w:t>d’action</w:t>
      </w:r>
    </w:p>
    <w:p w14:paraId="715AECED" w14:textId="77777777" w:rsidR="004A0B3C" w:rsidRPr="00403C55" w:rsidRDefault="004A0B3C" w:rsidP="004A0B3C">
      <w:pPr>
        <w:spacing w:after="0" w:line="240" w:lineRule="auto"/>
        <w:rPr>
          <w:rFonts w:ascii="Times New Roman" w:hAnsi="Times New Roman" w:cs="Times New Roman"/>
          <w:b/>
          <w:lang w:val="fr-FR"/>
        </w:rPr>
      </w:pPr>
    </w:p>
    <w:p w14:paraId="484045B2" w14:textId="33935825" w:rsidR="004A0B3C" w:rsidRPr="00403C55" w:rsidRDefault="00374A24" w:rsidP="004A0B3C">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Jusqu’ici, le processus de planification de l’action </w:t>
      </w:r>
      <w:r w:rsidR="00870983">
        <w:rPr>
          <w:rFonts w:ascii="Times New Roman" w:hAnsi="Times New Roman" w:cs="Times New Roman"/>
          <w:lang w:val="fr-FR"/>
        </w:rPr>
        <w:t>dans le cadre de</w:t>
      </w:r>
      <w:r w:rsidRPr="00403C55">
        <w:rPr>
          <w:rFonts w:ascii="Times New Roman" w:hAnsi="Times New Roman" w:cs="Times New Roman"/>
          <w:lang w:val="fr-FR"/>
        </w:rPr>
        <w:t xml:space="preserve"> l’AEWA ne prévoit pas</w:t>
      </w:r>
      <w:r w:rsidR="00803606" w:rsidRPr="00403C55">
        <w:rPr>
          <w:rFonts w:ascii="Times New Roman" w:hAnsi="Times New Roman" w:cs="Times New Roman"/>
          <w:lang w:val="fr-FR"/>
        </w:rPr>
        <w:t xml:space="preserve"> </w:t>
      </w:r>
      <w:r w:rsidRPr="00403C55">
        <w:rPr>
          <w:rFonts w:ascii="Times New Roman" w:hAnsi="Times New Roman" w:cs="Times New Roman"/>
          <w:lang w:val="fr-FR"/>
        </w:rPr>
        <w:t>de</w:t>
      </w:r>
      <w:r w:rsidR="00803606" w:rsidRPr="00403C55">
        <w:rPr>
          <w:rFonts w:ascii="Times New Roman" w:hAnsi="Times New Roman" w:cs="Times New Roman"/>
          <w:lang w:val="fr-FR"/>
        </w:rPr>
        <w:t xml:space="preserve"> proc</w:t>
      </w:r>
      <w:r w:rsidRPr="00403C55">
        <w:rPr>
          <w:rFonts w:ascii="Times New Roman" w:hAnsi="Times New Roman" w:cs="Times New Roman"/>
          <w:lang w:val="fr-FR"/>
        </w:rPr>
        <w:t>é</w:t>
      </w:r>
      <w:r w:rsidR="00803606" w:rsidRPr="00403C55">
        <w:rPr>
          <w:rFonts w:ascii="Times New Roman" w:hAnsi="Times New Roman" w:cs="Times New Roman"/>
          <w:lang w:val="fr-FR"/>
        </w:rPr>
        <w:t xml:space="preserve">dure </w:t>
      </w:r>
      <w:r w:rsidRPr="00403C55">
        <w:rPr>
          <w:rFonts w:ascii="Times New Roman" w:hAnsi="Times New Roman" w:cs="Times New Roman"/>
          <w:lang w:val="fr-FR"/>
        </w:rPr>
        <w:t xml:space="preserve">pour retirer les plans </w:t>
      </w:r>
      <w:r w:rsidR="0003562F">
        <w:rPr>
          <w:rFonts w:ascii="Times New Roman" w:hAnsi="Times New Roman" w:cs="Times New Roman"/>
          <w:lang w:val="fr-FR"/>
        </w:rPr>
        <w:t>d’action</w:t>
      </w:r>
      <w:r w:rsidR="00803606" w:rsidRPr="00403C55">
        <w:rPr>
          <w:rFonts w:ascii="Times New Roman" w:hAnsi="Times New Roman" w:cs="Times New Roman"/>
          <w:lang w:val="fr-FR"/>
        </w:rPr>
        <w:t xml:space="preserve"> </w:t>
      </w:r>
      <w:r w:rsidRPr="00403C55">
        <w:rPr>
          <w:rFonts w:ascii="Times New Roman" w:hAnsi="Times New Roman" w:cs="Times New Roman"/>
          <w:lang w:val="fr-FR"/>
        </w:rPr>
        <w:t>de la mise en œuvre par les</w:t>
      </w:r>
      <w:r w:rsidR="00803606" w:rsidRPr="00403C55">
        <w:rPr>
          <w:rFonts w:ascii="Times New Roman" w:hAnsi="Times New Roman" w:cs="Times New Roman"/>
          <w:lang w:val="fr-FR"/>
        </w:rPr>
        <w:t xml:space="preserve"> Parties.</w:t>
      </w:r>
      <w:r w:rsidR="004A0B3C" w:rsidRPr="00403C55">
        <w:rPr>
          <w:rFonts w:ascii="Times New Roman" w:hAnsi="Times New Roman" w:cs="Times New Roman"/>
          <w:lang w:val="fr-FR"/>
        </w:rPr>
        <w:t xml:space="preserve"> </w:t>
      </w:r>
      <w:r w:rsidRPr="00403C55">
        <w:rPr>
          <w:rFonts w:ascii="Times New Roman" w:hAnsi="Times New Roman" w:cs="Times New Roman"/>
          <w:lang w:val="fr-FR"/>
        </w:rPr>
        <w:t xml:space="preserve">Le changement d’état de populations d’espèces et/ou la mise en œuvre fructueuse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peuvent, toutefois, justifier le retrait de plans sélectionnés.</w:t>
      </w:r>
      <w:r w:rsidR="004A0B3C" w:rsidRPr="00403C55">
        <w:rPr>
          <w:rFonts w:ascii="Times New Roman" w:hAnsi="Times New Roman" w:cs="Times New Roman"/>
          <w:lang w:val="fr-FR"/>
        </w:rPr>
        <w:t xml:space="preserve"> </w:t>
      </w:r>
      <w:r w:rsidRPr="00403C55">
        <w:rPr>
          <w:rFonts w:ascii="Times New Roman" w:hAnsi="Times New Roman" w:cs="Times New Roman"/>
          <w:lang w:val="fr-FR"/>
        </w:rPr>
        <w:t xml:space="preserve">Il est également nécessaire que le Comité technique réévalue le classement par ordre de priorité des populations d’espèces pour lesquelles il existe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qui ne sont pas activement mis en œuvre ou ont expiré.</w:t>
      </w:r>
      <w:r w:rsidR="004A0B3C" w:rsidRPr="00403C55">
        <w:rPr>
          <w:rFonts w:ascii="Times New Roman" w:hAnsi="Times New Roman" w:cs="Times New Roman"/>
          <w:lang w:val="fr-FR"/>
        </w:rPr>
        <w:t xml:space="preserve"> </w:t>
      </w:r>
      <w:r w:rsidR="004D7513" w:rsidRPr="00403C55">
        <w:rPr>
          <w:rFonts w:ascii="Times New Roman" w:hAnsi="Times New Roman" w:cs="Times New Roman"/>
          <w:lang w:val="fr-FR"/>
        </w:rPr>
        <w:t>Si une fois réévaluées, ces espèces</w:t>
      </w:r>
      <w:r w:rsidRPr="00403C55">
        <w:rPr>
          <w:rFonts w:ascii="Times New Roman" w:hAnsi="Times New Roman" w:cs="Times New Roman"/>
          <w:lang w:val="fr-FR"/>
        </w:rPr>
        <w:t xml:space="preserve">/populations </w:t>
      </w:r>
      <w:r w:rsidR="004D7513" w:rsidRPr="00403C55">
        <w:rPr>
          <w:rFonts w:ascii="Times New Roman" w:hAnsi="Times New Roman" w:cs="Times New Roman"/>
          <w:lang w:val="fr-FR"/>
        </w:rPr>
        <w:t>se classent toujours dans une catégorie élevée en termes de priorité</w:t>
      </w:r>
      <w:r w:rsidRPr="00403C55">
        <w:rPr>
          <w:rFonts w:ascii="Times New Roman" w:hAnsi="Times New Roman" w:cs="Times New Roman"/>
          <w:lang w:val="fr-FR"/>
        </w:rPr>
        <w:t xml:space="preserve"> </w:t>
      </w:r>
      <w:r w:rsidR="004D7513" w:rsidRPr="00403C55">
        <w:rPr>
          <w:rFonts w:ascii="Times New Roman" w:hAnsi="Times New Roman" w:cs="Times New Roman"/>
          <w:lang w:val="fr-FR"/>
        </w:rPr>
        <w:t xml:space="preserve">pour </w:t>
      </w:r>
      <w:r w:rsidR="00870983">
        <w:rPr>
          <w:rFonts w:ascii="Times New Roman" w:hAnsi="Times New Roman" w:cs="Times New Roman"/>
          <w:lang w:val="fr-FR"/>
        </w:rPr>
        <w:t xml:space="preserve">la </w:t>
      </w:r>
      <w:r w:rsidR="004D7513" w:rsidRPr="00403C55">
        <w:rPr>
          <w:rFonts w:ascii="Times New Roman" w:hAnsi="Times New Roman" w:cs="Times New Roman"/>
          <w:lang w:val="fr-FR"/>
        </w:rPr>
        <w:t xml:space="preserve">planification de l’action, une révision du plan </w:t>
      </w:r>
      <w:r w:rsidR="0003562F">
        <w:rPr>
          <w:rFonts w:ascii="Times New Roman" w:hAnsi="Times New Roman" w:cs="Times New Roman"/>
          <w:lang w:val="fr-FR"/>
        </w:rPr>
        <w:t>d’action</w:t>
      </w:r>
      <w:r w:rsidR="004D7513" w:rsidRPr="00403C55">
        <w:rPr>
          <w:rFonts w:ascii="Times New Roman" w:hAnsi="Times New Roman" w:cs="Times New Roman"/>
          <w:lang w:val="fr-FR"/>
        </w:rPr>
        <w:t xml:space="preserve"> doit être envisagée</w:t>
      </w:r>
      <w:r w:rsidRPr="00403C55">
        <w:rPr>
          <w:rFonts w:ascii="Times New Roman" w:hAnsi="Times New Roman" w:cs="Times New Roman"/>
          <w:lang w:val="fr-FR"/>
        </w:rPr>
        <w:t>.</w:t>
      </w:r>
      <w:r w:rsidR="004A0B3C" w:rsidRPr="00403C55">
        <w:rPr>
          <w:rFonts w:ascii="Times New Roman" w:hAnsi="Times New Roman" w:cs="Times New Roman"/>
          <w:lang w:val="fr-FR"/>
        </w:rPr>
        <w:t xml:space="preserve"> </w:t>
      </w:r>
      <w:r w:rsidR="004D7513" w:rsidRPr="00403C55">
        <w:rPr>
          <w:rFonts w:ascii="Times New Roman" w:hAnsi="Times New Roman" w:cs="Times New Roman"/>
          <w:lang w:val="fr-FR"/>
        </w:rPr>
        <w:t>Si la réévaluation détermine que les espèces/population ne constituent plus une priorité, le Comité technique peut envisager de retirer le plan en question.</w:t>
      </w:r>
    </w:p>
    <w:p w14:paraId="64BE9268" w14:textId="77777777" w:rsidR="004A0B3C" w:rsidRPr="00403C55" w:rsidRDefault="004A0B3C" w:rsidP="004A0B3C">
      <w:pPr>
        <w:spacing w:after="0" w:line="240" w:lineRule="auto"/>
        <w:jc w:val="both"/>
        <w:rPr>
          <w:rFonts w:ascii="Times New Roman" w:hAnsi="Times New Roman" w:cs="Times New Roman"/>
          <w:lang w:val="fr-FR"/>
        </w:rPr>
      </w:pPr>
    </w:p>
    <w:p w14:paraId="7E038A53" w14:textId="1A35C74A" w:rsidR="00734796" w:rsidRPr="00403C55" w:rsidRDefault="004D7513" w:rsidP="009D54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Il est par conséquent proposé à la 6</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Réunion des Parties d’adopter un processus sur la base duquel 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peut évaluer l’état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potentiellement recommander à la Réunion des Parties à l’AEWA de les retirer.</w:t>
      </w:r>
      <w:r w:rsidR="004A0B3C"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plans retirés seront ôtés de la liste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que les Parties doivent mettre en œuvre </w:t>
      </w:r>
      <w:r w:rsidR="00870983">
        <w:rPr>
          <w:rFonts w:ascii="Times New Roman" w:hAnsi="Times New Roman" w:cs="Times New Roman"/>
          <w:lang w:val="fr-FR"/>
        </w:rPr>
        <w:t>en vertu de</w:t>
      </w:r>
      <w:r w:rsidRPr="00403C55">
        <w:rPr>
          <w:rFonts w:ascii="Times New Roman" w:hAnsi="Times New Roman" w:cs="Times New Roman"/>
          <w:lang w:val="fr-FR"/>
        </w:rPr>
        <w:t xml:space="preserve"> l</w:t>
      </w:r>
      <w:r w:rsidR="009C2D50" w:rsidRPr="00403C55">
        <w:rPr>
          <w:rFonts w:ascii="Times New Roman" w:hAnsi="Times New Roman" w:cs="Times New Roman"/>
          <w:lang w:val="fr-FR"/>
        </w:rPr>
        <w:t>’</w:t>
      </w:r>
      <w:r w:rsidRPr="00403C55">
        <w:rPr>
          <w:rFonts w:ascii="Times New Roman" w:hAnsi="Times New Roman" w:cs="Times New Roman"/>
          <w:lang w:val="fr-FR"/>
        </w:rPr>
        <w:t xml:space="preserve">Accord. </w:t>
      </w:r>
    </w:p>
    <w:p w14:paraId="68DE9D97" w14:textId="77777777" w:rsidR="00B44D0E" w:rsidRPr="00403C55" w:rsidRDefault="00B44D0E" w:rsidP="009D54DD">
      <w:pPr>
        <w:spacing w:after="0" w:line="240" w:lineRule="auto"/>
        <w:jc w:val="both"/>
        <w:rPr>
          <w:rFonts w:ascii="Times New Roman" w:hAnsi="Times New Roman" w:cs="Times New Roman"/>
          <w:lang w:val="fr-FR"/>
        </w:rPr>
      </w:pPr>
    </w:p>
    <w:p w14:paraId="3F50AB68" w14:textId="77777777" w:rsidR="00B44D0E" w:rsidRPr="00403C55" w:rsidRDefault="00B44D0E" w:rsidP="009D54DD">
      <w:pPr>
        <w:spacing w:after="0" w:line="240" w:lineRule="auto"/>
        <w:jc w:val="both"/>
        <w:rPr>
          <w:rFonts w:ascii="Times New Roman" w:hAnsi="Times New Roman" w:cs="Times New Roman"/>
          <w:i/>
          <w:lang w:val="fr-FR"/>
        </w:rPr>
      </w:pPr>
    </w:p>
    <w:p w14:paraId="14CC90CC" w14:textId="77777777" w:rsidR="0036491E" w:rsidRPr="00403C55" w:rsidRDefault="0036491E">
      <w:pPr>
        <w:rPr>
          <w:rFonts w:ascii="Times New Roman" w:hAnsi="Times New Roman" w:cs="Times New Roman"/>
          <w:sz w:val="24"/>
          <w:szCs w:val="24"/>
          <w:lang w:val="fr-FR"/>
        </w:rPr>
      </w:pPr>
      <w:r w:rsidRPr="00403C55">
        <w:rPr>
          <w:rFonts w:ascii="Times New Roman" w:hAnsi="Times New Roman" w:cs="Times New Roman"/>
          <w:sz w:val="24"/>
          <w:szCs w:val="24"/>
          <w:lang w:val="fr-FR"/>
        </w:rPr>
        <w:br w:type="page"/>
      </w:r>
    </w:p>
    <w:p w14:paraId="06DB97B0" w14:textId="2C8E0A74" w:rsidR="00A30751" w:rsidRPr="00403C55" w:rsidRDefault="00092665" w:rsidP="009A58AA">
      <w:pPr>
        <w:shd w:val="clear" w:color="auto" w:fill="C6D9F1" w:themeFill="text2" w:themeFillTint="33"/>
        <w:spacing w:after="0" w:line="240" w:lineRule="auto"/>
        <w:rPr>
          <w:rFonts w:ascii="Times New Roman" w:hAnsi="Times New Roman" w:cs="Times New Roman"/>
          <w:sz w:val="24"/>
          <w:szCs w:val="24"/>
          <w:lang w:val="fr-FR"/>
        </w:rPr>
      </w:pPr>
      <w:r w:rsidRPr="00403C55">
        <w:rPr>
          <w:rFonts w:ascii="Times New Roman" w:hAnsi="Times New Roman" w:cs="Times New Roman"/>
          <w:sz w:val="24"/>
          <w:szCs w:val="24"/>
          <w:lang w:val="fr-FR"/>
        </w:rPr>
        <w:lastRenderedPageBreak/>
        <w:t xml:space="preserve">3. </w:t>
      </w:r>
      <w:r w:rsidR="004D7513" w:rsidRPr="00403C55">
        <w:rPr>
          <w:rFonts w:ascii="Times New Roman" w:hAnsi="Times New Roman" w:cs="Times New Roman"/>
          <w:sz w:val="24"/>
          <w:szCs w:val="24"/>
          <w:lang w:val="fr-FR"/>
        </w:rPr>
        <w:t>Guidage de la mise en œuvre - Coordination des activités internationales de conservation et de gestion</w:t>
      </w:r>
    </w:p>
    <w:p w14:paraId="3156E98B" w14:textId="77777777" w:rsidR="00A30751" w:rsidRPr="00403C55" w:rsidRDefault="00A30751" w:rsidP="00A30751">
      <w:pPr>
        <w:spacing w:after="0" w:line="240" w:lineRule="auto"/>
        <w:jc w:val="center"/>
        <w:rPr>
          <w:rFonts w:ascii="Times New Roman" w:hAnsi="Times New Roman" w:cs="Times New Roman"/>
          <w:sz w:val="24"/>
          <w:szCs w:val="24"/>
          <w:lang w:val="fr-FR"/>
        </w:rPr>
      </w:pPr>
    </w:p>
    <w:p w14:paraId="6E4A5295" w14:textId="3BECB080" w:rsidR="00A30751" w:rsidRPr="00403C55" w:rsidRDefault="00092665" w:rsidP="009A58AA">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3.1. </w:t>
      </w:r>
      <w:r w:rsidR="004D7513" w:rsidRPr="00403C55">
        <w:rPr>
          <w:rFonts w:ascii="Times New Roman" w:hAnsi="Times New Roman" w:cs="Times New Roman"/>
          <w:b/>
          <w:lang w:val="fr-FR"/>
        </w:rPr>
        <w:t>Introduction</w:t>
      </w:r>
    </w:p>
    <w:p w14:paraId="344F1D35" w14:textId="77777777" w:rsidR="00A30751" w:rsidRPr="00403C55" w:rsidRDefault="00A30751" w:rsidP="00A30751">
      <w:pPr>
        <w:spacing w:after="0" w:line="240" w:lineRule="auto"/>
        <w:jc w:val="both"/>
        <w:rPr>
          <w:rFonts w:ascii="Times New Roman" w:hAnsi="Times New Roman" w:cs="Times New Roman"/>
          <w:lang w:val="fr-FR"/>
        </w:rPr>
      </w:pPr>
    </w:p>
    <w:p w14:paraId="5A20567D" w14:textId="072ABD08" w:rsidR="00736687" w:rsidRPr="00403C55" w:rsidRDefault="004D7513"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Dans sa Résolution 3.12, la MOP3 a chargé le Secrétariat d’établir des mécanismes, si les fonds le permettent, pour coordonner la mise en œuvre internationale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existants et futurs.</w:t>
      </w:r>
      <w:r w:rsidR="001A48F9" w:rsidRPr="00403C55">
        <w:rPr>
          <w:rFonts w:ascii="Times New Roman" w:hAnsi="Times New Roman" w:cs="Times New Roman"/>
          <w:lang w:val="fr-FR"/>
        </w:rPr>
        <w:t xml:space="preserve"> </w:t>
      </w:r>
      <w:r w:rsidRPr="00403C55">
        <w:rPr>
          <w:rFonts w:ascii="Times New Roman" w:hAnsi="Times New Roman" w:cs="Times New Roman"/>
          <w:lang w:val="fr-FR"/>
        </w:rPr>
        <w:t>De gros progrès ont été réalisés à cet égard à travers le développement de « groupes de travail et d</w:t>
      </w:r>
      <w:r w:rsidR="00FE6EE5">
        <w:rPr>
          <w:rFonts w:ascii="Times New Roman" w:hAnsi="Times New Roman" w:cs="Times New Roman"/>
          <w:lang w:val="fr-FR"/>
        </w:rPr>
        <w:t>’</w:t>
      </w:r>
      <w:r w:rsidRPr="00403C55">
        <w:rPr>
          <w:rFonts w:ascii="Times New Roman" w:hAnsi="Times New Roman" w:cs="Times New Roman"/>
          <w:lang w:val="fr-FR"/>
        </w:rPr>
        <w:t>experts internationaux par espèce »</w:t>
      </w:r>
      <w:r w:rsidR="00985A4E">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w:t>
      </w:r>
    </w:p>
    <w:p w14:paraId="25A2EA41" w14:textId="77777777" w:rsidR="001A48F9" w:rsidRPr="00403C55" w:rsidRDefault="001A48F9" w:rsidP="00A30751">
      <w:pPr>
        <w:spacing w:after="0" w:line="240" w:lineRule="auto"/>
        <w:jc w:val="both"/>
        <w:rPr>
          <w:rFonts w:ascii="Times New Roman" w:hAnsi="Times New Roman" w:cs="Times New Roman"/>
          <w:b/>
          <w:lang w:val="fr-FR"/>
        </w:rPr>
      </w:pPr>
    </w:p>
    <w:p w14:paraId="76018837" w14:textId="0DB7237A" w:rsidR="00A30751" w:rsidRPr="00403C55" w:rsidRDefault="00092665" w:rsidP="001A48F9">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3.2. </w:t>
      </w:r>
      <w:r w:rsidR="004D7513" w:rsidRPr="00403C55">
        <w:rPr>
          <w:rFonts w:ascii="Times New Roman" w:hAnsi="Times New Roman" w:cs="Times New Roman"/>
          <w:b/>
          <w:lang w:val="fr-FR"/>
        </w:rPr>
        <w:t xml:space="preserve">Groupes de travail internationaux par espèce </w:t>
      </w:r>
      <w:r w:rsidR="0003562F">
        <w:rPr>
          <w:rFonts w:ascii="Times New Roman" w:hAnsi="Times New Roman" w:cs="Times New Roman"/>
          <w:b/>
          <w:lang w:val="fr-FR"/>
        </w:rPr>
        <w:t>de l’AEWA</w:t>
      </w:r>
    </w:p>
    <w:p w14:paraId="33D3A68F" w14:textId="77777777" w:rsidR="00736687" w:rsidRPr="00403C55" w:rsidRDefault="00736687" w:rsidP="00A30751">
      <w:pPr>
        <w:spacing w:after="0" w:line="240" w:lineRule="auto"/>
        <w:jc w:val="both"/>
        <w:rPr>
          <w:rFonts w:ascii="Times New Roman" w:hAnsi="Times New Roman" w:cs="Times New Roman"/>
          <w:lang w:val="fr-FR"/>
        </w:rPr>
      </w:pPr>
    </w:p>
    <w:p w14:paraId="59A98A19" w14:textId="2F9A3D54" w:rsidR="00D416A1" w:rsidRPr="00856FAD" w:rsidRDefault="004D7513"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Groupes de travail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sont établis en tant que priorité pour coordonner et faciliter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adoptés pour les espèces mondialement menacées et quasi menacées.</w:t>
      </w:r>
      <w:r w:rsidR="00D416A1" w:rsidRPr="00403C55">
        <w:rPr>
          <w:rFonts w:ascii="Times New Roman" w:hAnsi="Times New Roman" w:cs="Times New Roman"/>
          <w:lang w:val="fr-FR"/>
        </w:rPr>
        <w:t xml:space="preserve"> </w:t>
      </w:r>
      <w:r w:rsidRPr="00403C55">
        <w:rPr>
          <w:rFonts w:ascii="Times New Roman" w:hAnsi="Times New Roman" w:cs="Times New Roman"/>
          <w:lang w:val="fr-FR"/>
        </w:rPr>
        <w:t xml:space="preserve">Des groupes de travail sont également établis en tant que priorité pour les plans de gestion et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incluant des éléments de gestion adaptative des prélèvements.</w:t>
      </w:r>
      <w:r w:rsidR="009D4CB9" w:rsidRPr="00403C55">
        <w:rPr>
          <w:rFonts w:ascii="Times New Roman" w:hAnsi="Times New Roman" w:cs="Times New Roman"/>
          <w:lang w:val="fr-FR"/>
        </w:rPr>
        <w:t xml:space="preserve"> </w:t>
      </w:r>
      <w:r w:rsidRPr="00403C55">
        <w:rPr>
          <w:rFonts w:ascii="Times New Roman" w:hAnsi="Times New Roman" w:cs="Times New Roman"/>
          <w:lang w:val="fr-FR"/>
        </w:rPr>
        <w:t xml:space="preserve">Les </w:t>
      </w:r>
      <w:r w:rsidRPr="00856FAD">
        <w:rPr>
          <w:rFonts w:ascii="Times New Roman" w:hAnsi="Times New Roman" w:cs="Times New Roman"/>
          <w:lang w:val="fr-FR"/>
        </w:rPr>
        <w:t xml:space="preserve">groupes de travail sont guidés par les Termes de Référence génériques pour les Groupes de travail internationaux par espèce </w:t>
      </w:r>
      <w:r w:rsidR="0003562F" w:rsidRPr="00856FAD">
        <w:rPr>
          <w:rFonts w:ascii="Times New Roman" w:hAnsi="Times New Roman" w:cs="Times New Roman"/>
          <w:lang w:val="fr-FR"/>
        </w:rPr>
        <w:t>de l’AEWA</w:t>
      </w:r>
      <w:r w:rsidR="005C44AB" w:rsidRPr="00856FAD">
        <w:rPr>
          <w:rFonts w:ascii="Times New Roman" w:hAnsi="Times New Roman" w:cs="Times New Roman"/>
          <w:lang w:val="fr-FR"/>
        </w:rPr>
        <w:t>, adoptés par le Comité technique</w:t>
      </w:r>
      <w:r w:rsidR="00985A4E" w:rsidRPr="00856FAD">
        <w:rPr>
          <w:rFonts w:ascii="Times New Roman" w:hAnsi="Times New Roman" w:cs="Times New Roman"/>
          <w:lang w:val="fr-FR"/>
        </w:rPr>
        <w:t xml:space="preserve"> </w:t>
      </w:r>
      <w:r w:rsidR="005C44AB" w:rsidRPr="00856FAD">
        <w:rPr>
          <w:rFonts w:ascii="Times New Roman" w:hAnsi="Times New Roman" w:cs="Times New Roman"/>
          <w:lang w:val="fr-FR"/>
        </w:rPr>
        <w:t>lors de sa</w:t>
      </w:r>
      <w:r w:rsidRPr="00856FAD">
        <w:rPr>
          <w:rFonts w:ascii="Times New Roman" w:hAnsi="Times New Roman" w:cs="Times New Roman"/>
          <w:lang w:val="fr-FR"/>
        </w:rPr>
        <w:t xml:space="preserve"> 9</w:t>
      </w:r>
      <w:r w:rsidR="005C44AB" w:rsidRPr="00856FAD">
        <w:rPr>
          <w:rFonts w:ascii="Times New Roman" w:hAnsi="Times New Roman" w:cs="Times New Roman"/>
          <w:vertAlign w:val="superscript"/>
          <w:lang w:val="fr-FR"/>
        </w:rPr>
        <w:t>ème</w:t>
      </w:r>
      <w:r w:rsidRPr="00856FAD">
        <w:rPr>
          <w:rFonts w:ascii="Times New Roman" w:hAnsi="Times New Roman" w:cs="Times New Roman"/>
          <w:lang w:val="fr-FR"/>
        </w:rPr>
        <w:t xml:space="preserve"> </w:t>
      </w:r>
      <w:r w:rsidR="005C44AB" w:rsidRPr="00856FAD">
        <w:rPr>
          <w:rFonts w:ascii="Times New Roman" w:hAnsi="Times New Roman" w:cs="Times New Roman"/>
          <w:lang w:val="fr-FR"/>
        </w:rPr>
        <w:t>réunion, en</w:t>
      </w:r>
      <w:r w:rsidRPr="00856FAD">
        <w:rPr>
          <w:rFonts w:ascii="Times New Roman" w:hAnsi="Times New Roman" w:cs="Times New Roman"/>
          <w:lang w:val="fr-FR"/>
        </w:rPr>
        <w:t xml:space="preserve"> 2009 (Annex</w:t>
      </w:r>
      <w:r w:rsidR="005C44AB" w:rsidRPr="00856FAD">
        <w:rPr>
          <w:rFonts w:ascii="Times New Roman" w:hAnsi="Times New Roman" w:cs="Times New Roman"/>
          <w:lang w:val="fr-FR"/>
        </w:rPr>
        <w:t>e</w:t>
      </w:r>
      <w:r w:rsidRPr="00856FAD">
        <w:rPr>
          <w:rFonts w:ascii="Times New Roman" w:hAnsi="Times New Roman" w:cs="Times New Roman"/>
          <w:lang w:val="fr-FR"/>
        </w:rPr>
        <w:t xml:space="preserve"> </w:t>
      </w:r>
      <w:r w:rsidR="00CC3E7A" w:rsidRPr="00856FAD">
        <w:rPr>
          <w:rFonts w:ascii="Times New Roman" w:hAnsi="Times New Roman" w:cs="Times New Roman"/>
          <w:lang w:val="fr-FR"/>
        </w:rPr>
        <w:t>3</w:t>
      </w:r>
      <w:r w:rsidRPr="00856FAD">
        <w:rPr>
          <w:rFonts w:ascii="Times New Roman" w:hAnsi="Times New Roman" w:cs="Times New Roman"/>
          <w:lang w:val="fr-FR"/>
        </w:rPr>
        <w:t>).</w:t>
      </w:r>
    </w:p>
    <w:p w14:paraId="5823CC3A" w14:textId="77777777" w:rsidR="00D416A1" w:rsidRPr="00856FAD" w:rsidRDefault="00D416A1" w:rsidP="00A30751">
      <w:pPr>
        <w:spacing w:after="0" w:line="240" w:lineRule="auto"/>
        <w:jc w:val="both"/>
        <w:rPr>
          <w:rFonts w:ascii="Times New Roman" w:hAnsi="Times New Roman" w:cs="Times New Roman"/>
          <w:lang w:val="fr-FR"/>
        </w:rPr>
      </w:pPr>
    </w:p>
    <w:p w14:paraId="705EC388" w14:textId="29A96945" w:rsidR="00D416A1" w:rsidRPr="00856FAD" w:rsidRDefault="00D416A1" w:rsidP="00A30751">
      <w:pPr>
        <w:spacing w:after="0" w:line="240" w:lineRule="auto"/>
        <w:jc w:val="both"/>
        <w:rPr>
          <w:rFonts w:ascii="Times New Roman" w:hAnsi="Times New Roman" w:cs="Times New Roman"/>
          <w:i/>
          <w:lang w:val="fr-FR"/>
        </w:rPr>
      </w:pPr>
      <w:r w:rsidRPr="00856FAD">
        <w:rPr>
          <w:rFonts w:ascii="Times New Roman" w:hAnsi="Times New Roman" w:cs="Times New Roman"/>
          <w:shd w:val="clear" w:color="auto" w:fill="FFFFFF" w:themeFill="background1"/>
          <w:lang w:val="fr-FR"/>
        </w:rPr>
        <w:t>3.2.1.</w:t>
      </w:r>
      <w:r w:rsidRPr="00856FAD">
        <w:rPr>
          <w:rFonts w:ascii="Times New Roman" w:hAnsi="Times New Roman" w:cs="Times New Roman"/>
          <w:lang w:val="fr-FR"/>
        </w:rPr>
        <w:t xml:space="preserve"> </w:t>
      </w:r>
      <w:r w:rsidR="005C44AB" w:rsidRPr="00856FAD">
        <w:rPr>
          <w:rFonts w:ascii="Times New Roman" w:hAnsi="Times New Roman" w:cs="Times New Roman"/>
          <w:i/>
          <w:lang w:val="fr-FR"/>
        </w:rPr>
        <w:t>Composition</w:t>
      </w:r>
    </w:p>
    <w:p w14:paraId="7E8018E9" w14:textId="77777777" w:rsidR="00D416A1" w:rsidRPr="00856FAD" w:rsidRDefault="00D416A1" w:rsidP="00A30751">
      <w:pPr>
        <w:spacing w:after="0" w:line="240" w:lineRule="auto"/>
        <w:jc w:val="both"/>
        <w:rPr>
          <w:rFonts w:ascii="Times New Roman" w:hAnsi="Times New Roman" w:cs="Times New Roman"/>
          <w:lang w:val="fr-FR"/>
        </w:rPr>
      </w:pPr>
    </w:p>
    <w:p w14:paraId="1348A10D" w14:textId="758FCF46" w:rsidR="0027463B" w:rsidRPr="00856FAD" w:rsidRDefault="005C44AB" w:rsidP="00A30751">
      <w:pPr>
        <w:spacing w:after="0" w:line="240" w:lineRule="auto"/>
        <w:jc w:val="both"/>
        <w:rPr>
          <w:rFonts w:ascii="Times New Roman" w:hAnsi="Times New Roman" w:cs="Times New Roman"/>
          <w:lang w:val="fr-FR"/>
        </w:rPr>
      </w:pPr>
      <w:r w:rsidRPr="00856FAD">
        <w:rPr>
          <w:rFonts w:ascii="Times New Roman" w:hAnsi="Times New Roman" w:cs="Times New Roman"/>
          <w:lang w:val="fr-FR"/>
        </w:rPr>
        <w:t xml:space="preserve">Les groupes de travail internationaux par espèce </w:t>
      </w:r>
      <w:r w:rsidR="0003562F" w:rsidRPr="00856FAD">
        <w:rPr>
          <w:rFonts w:ascii="Times New Roman" w:hAnsi="Times New Roman" w:cs="Times New Roman"/>
          <w:lang w:val="fr-FR"/>
        </w:rPr>
        <w:t>de l’AEWA</w:t>
      </w:r>
      <w:r w:rsidRPr="00856FAD">
        <w:rPr>
          <w:rFonts w:ascii="Times New Roman" w:hAnsi="Times New Roman" w:cs="Times New Roman"/>
          <w:lang w:val="fr-FR"/>
        </w:rPr>
        <w:t xml:space="preserve"> sont intergouvernementaux et composés de représentants nationaux de gouvernements ainsi que d’experts nationaux désignés par les gouvernements des principaux </w:t>
      </w:r>
      <w:r w:rsidR="00FE6EE5" w:rsidRPr="00856FAD">
        <w:rPr>
          <w:rFonts w:ascii="Times New Roman" w:hAnsi="Times New Roman" w:cs="Times New Roman"/>
          <w:lang w:val="fr-FR"/>
        </w:rPr>
        <w:t>États de l’aire de répartition</w:t>
      </w:r>
      <w:r w:rsidRPr="00856FAD">
        <w:rPr>
          <w:rFonts w:ascii="Times New Roman" w:hAnsi="Times New Roman" w:cs="Times New Roman"/>
          <w:lang w:val="fr-FR"/>
        </w:rPr>
        <w:t xml:space="preserve"> respectifs inclus dans un plan </w:t>
      </w:r>
      <w:r w:rsidR="0003562F" w:rsidRPr="00856FAD">
        <w:rPr>
          <w:rFonts w:ascii="Times New Roman" w:hAnsi="Times New Roman" w:cs="Times New Roman"/>
          <w:lang w:val="fr-FR"/>
        </w:rPr>
        <w:t>d’action</w:t>
      </w:r>
      <w:r w:rsidRPr="00856FAD">
        <w:rPr>
          <w:rFonts w:ascii="Times New Roman" w:hAnsi="Times New Roman" w:cs="Times New Roman"/>
          <w:lang w:val="fr-FR"/>
        </w:rPr>
        <w:t xml:space="preserve"> ou de gestion.</w:t>
      </w:r>
      <w:r w:rsidR="0027463B" w:rsidRPr="00856FAD">
        <w:rPr>
          <w:rFonts w:ascii="Times New Roman" w:hAnsi="Times New Roman" w:cs="Times New Roman"/>
          <w:lang w:val="fr-FR"/>
        </w:rPr>
        <w:t xml:space="preserve"> </w:t>
      </w:r>
      <w:r w:rsidRPr="00856FAD">
        <w:rPr>
          <w:rFonts w:ascii="Times New Roman" w:hAnsi="Times New Roman" w:cs="Times New Roman"/>
          <w:lang w:val="fr-FR"/>
        </w:rPr>
        <w:t xml:space="preserve">Les groupes de travail incluent également tous les </w:t>
      </w:r>
      <w:r w:rsidR="00FE6EE5" w:rsidRPr="00856FAD">
        <w:rPr>
          <w:rFonts w:ascii="Times New Roman" w:hAnsi="Times New Roman" w:cs="Times New Roman"/>
          <w:lang w:val="fr-FR"/>
        </w:rPr>
        <w:t>États de l’aire de répartition</w:t>
      </w:r>
      <w:r w:rsidRPr="00856FAD">
        <w:rPr>
          <w:rFonts w:ascii="Times New Roman" w:hAnsi="Times New Roman" w:cs="Times New Roman"/>
          <w:lang w:val="fr-FR"/>
        </w:rPr>
        <w:t xml:space="preserve"> des itinéraires de migration d’une espèce/population couverte par un plan </w:t>
      </w:r>
      <w:r w:rsidR="0003562F" w:rsidRPr="00856FAD">
        <w:rPr>
          <w:rFonts w:ascii="Times New Roman" w:hAnsi="Times New Roman" w:cs="Times New Roman"/>
          <w:lang w:val="fr-FR"/>
        </w:rPr>
        <w:t>d’action</w:t>
      </w:r>
      <w:r w:rsidRPr="00856FAD">
        <w:rPr>
          <w:rFonts w:ascii="Times New Roman" w:hAnsi="Times New Roman" w:cs="Times New Roman"/>
          <w:lang w:val="fr-FR"/>
        </w:rPr>
        <w:t xml:space="preserve">/de gestion, qu’ils soient membres ou non des Parties contractantes </w:t>
      </w:r>
      <w:r w:rsidR="0003562F" w:rsidRPr="00856FAD">
        <w:rPr>
          <w:rFonts w:ascii="Times New Roman" w:hAnsi="Times New Roman" w:cs="Times New Roman"/>
          <w:lang w:val="fr-FR"/>
        </w:rPr>
        <w:t>de l’AEWA</w:t>
      </w:r>
      <w:r w:rsidRPr="00856FAD">
        <w:rPr>
          <w:rFonts w:ascii="Times New Roman" w:hAnsi="Times New Roman" w:cs="Times New Roman"/>
          <w:lang w:val="fr-FR"/>
        </w:rPr>
        <w:t>.</w:t>
      </w:r>
      <w:r w:rsidR="0027463B" w:rsidRPr="00856FAD">
        <w:rPr>
          <w:rFonts w:ascii="Times New Roman" w:hAnsi="Times New Roman" w:cs="Times New Roman"/>
          <w:lang w:val="fr-FR"/>
        </w:rPr>
        <w:t xml:space="preserve"> </w:t>
      </w:r>
      <w:r w:rsidRPr="00856FAD">
        <w:rPr>
          <w:rFonts w:ascii="Times New Roman" w:hAnsi="Times New Roman" w:cs="Times New Roman"/>
          <w:lang w:val="fr-FR"/>
        </w:rPr>
        <w:t xml:space="preserve">Les groupes de travail représentent le cadre </w:t>
      </w:r>
      <w:r w:rsidR="0003562F" w:rsidRPr="00856FAD">
        <w:rPr>
          <w:rFonts w:ascii="Times New Roman" w:hAnsi="Times New Roman" w:cs="Times New Roman"/>
          <w:lang w:val="fr-FR"/>
        </w:rPr>
        <w:t>d’action</w:t>
      </w:r>
      <w:r w:rsidRPr="00856FAD">
        <w:rPr>
          <w:rFonts w:ascii="Times New Roman" w:hAnsi="Times New Roman" w:cs="Times New Roman"/>
          <w:lang w:val="fr-FR"/>
        </w:rPr>
        <w:t xml:space="preserve"> international le plus officiel pour la coordination d’un plan </w:t>
      </w:r>
      <w:r w:rsidR="0003562F" w:rsidRPr="00856FAD">
        <w:rPr>
          <w:rFonts w:ascii="Times New Roman" w:hAnsi="Times New Roman" w:cs="Times New Roman"/>
          <w:lang w:val="fr-FR"/>
        </w:rPr>
        <w:t>d’action</w:t>
      </w:r>
      <w:r w:rsidRPr="00856FAD">
        <w:rPr>
          <w:rFonts w:ascii="Times New Roman" w:hAnsi="Times New Roman" w:cs="Times New Roman"/>
          <w:lang w:val="fr-FR"/>
        </w:rPr>
        <w:t xml:space="preserve"> et de gestion établi </w:t>
      </w:r>
      <w:r w:rsidR="000A1F2D" w:rsidRPr="00856FAD">
        <w:rPr>
          <w:rFonts w:ascii="Times New Roman" w:hAnsi="Times New Roman" w:cs="Times New Roman"/>
          <w:lang w:val="fr-FR"/>
        </w:rPr>
        <w:t>en vertu de</w:t>
      </w:r>
      <w:r w:rsidRPr="00856FAD">
        <w:rPr>
          <w:rFonts w:ascii="Times New Roman" w:hAnsi="Times New Roman" w:cs="Times New Roman"/>
          <w:lang w:val="fr-FR"/>
        </w:rPr>
        <w:t xml:space="preserve"> l’AEWA.</w:t>
      </w:r>
    </w:p>
    <w:p w14:paraId="645733AE" w14:textId="77777777" w:rsidR="0027463B" w:rsidRPr="00856FAD" w:rsidRDefault="0027463B" w:rsidP="00A30751">
      <w:pPr>
        <w:spacing w:after="0" w:line="240" w:lineRule="auto"/>
        <w:jc w:val="both"/>
        <w:rPr>
          <w:rFonts w:ascii="Times New Roman" w:hAnsi="Times New Roman" w:cs="Times New Roman"/>
          <w:lang w:val="fr-FR"/>
        </w:rPr>
      </w:pPr>
    </w:p>
    <w:p w14:paraId="006690C0" w14:textId="12C34065" w:rsidR="00FD43D4" w:rsidRPr="00856FAD" w:rsidRDefault="005C44AB" w:rsidP="00FD43D4">
      <w:pPr>
        <w:spacing w:after="0" w:line="240" w:lineRule="auto"/>
        <w:jc w:val="both"/>
        <w:rPr>
          <w:rFonts w:ascii="Times New Roman" w:hAnsi="Times New Roman" w:cs="Times New Roman"/>
          <w:lang w:val="fr-FR"/>
        </w:rPr>
      </w:pPr>
      <w:r w:rsidRPr="00856FAD">
        <w:rPr>
          <w:rFonts w:ascii="Times New Roman" w:hAnsi="Times New Roman" w:cs="Times New Roman"/>
          <w:lang w:val="fr-FR"/>
        </w:rPr>
        <w:t>Le travail du groupe est guidé par un coordinateur ou une organisation coordinatrice cautionné</w:t>
      </w:r>
      <w:r w:rsidR="00CC3E7A" w:rsidRPr="00856FAD">
        <w:rPr>
          <w:rFonts w:ascii="Times New Roman" w:hAnsi="Times New Roman" w:cs="Times New Roman"/>
          <w:lang w:val="fr-FR"/>
        </w:rPr>
        <w:t>(e)</w:t>
      </w:r>
      <w:r w:rsidRPr="00856FAD">
        <w:rPr>
          <w:rFonts w:ascii="Times New Roman" w:hAnsi="Times New Roman" w:cs="Times New Roman"/>
          <w:lang w:val="fr-FR"/>
        </w:rPr>
        <w:t xml:space="preserve"> par le Secrétariat.</w:t>
      </w:r>
      <w:r w:rsidR="005A4B1A" w:rsidRPr="00856FAD">
        <w:rPr>
          <w:rFonts w:ascii="Times New Roman" w:hAnsi="Times New Roman" w:cs="Times New Roman"/>
          <w:lang w:val="fr-FR"/>
        </w:rPr>
        <w:t xml:space="preserve"> </w:t>
      </w:r>
      <w:r w:rsidRPr="00856FAD">
        <w:rPr>
          <w:rFonts w:ascii="Times New Roman" w:hAnsi="Times New Roman" w:cs="Times New Roman"/>
          <w:lang w:val="fr-FR"/>
        </w:rPr>
        <w:t>Il est de plus en plus clair qu’en plus d’</w:t>
      </w:r>
      <w:r w:rsidR="00FE6EE5" w:rsidRPr="00856FAD">
        <w:rPr>
          <w:rFonts w:ascii="Times New Roman" w:hAnsi="Times New Roman" w:cs="Times New Roman"/>
          <w:lang w:val="fr-FR"/>
        </w:rPr>
        <w:t>États de l’aire de répartition</w:t>
      </w:r>
      <w:r w:rsidRPr="00856FAD">
        <w:rPr>
          <w:rFonts w:ascii="Times New Roman" w:hAnsi="Times New Roman" w:cs="Times New Roman"/>
          <w:lang w:val="fr-FR"/>
        </w:rPr>
        <w:t xml:space="preserve"> (défenseurs) engagés et de moyens suffisants, la coordination active et régulière des activités d’un groupe de travail est un élément clé pour assurer la mise en œuvre réussie des plans </w:t>
      </w:r>
      <w:r w:rsidR="0003562F" w:rsidRPr="00856FAD">
        <w:rPr>
          <w:rFonts w:ascii="Times New Roman" w:hAnsi="Times New Roman" w:cs="Times New Roman"/>
          <w:lang w:val="fr-FR"/>
        </w:rPr>
        <w:t>d’action</w:t>
      </w:r>
      <w:r w:rsidRPr="00856FAD">
        <w:rPr>
          <w:rFonts w:ascii="Times New Roman" w:hAnsi="Times New Roman" w:cs="Times New Roman"/>
          <w:lang w:val="fr-FR"/>
        </w:rPr>
        <w:t xml:space="preserve"> et de gestion.</w:t>
      </w:r>
      <w:r w:rsidR="00D90AA8" w:rsidRPr="00856FAD">
        <w:rPr>
          <w:rFonts w:ascii="Times New Roman" w:hAnsi="Times New Roman" w:cs="Times New Roman"/>
          <w:lang w:val="fr-FR"/>
        </w:rPr>
        <w:t xml:space="preserve"> </w:t>
      </w:r>
      <w:r w:rsidRPr="00856FAD">
        <w:rPr>
          <w:rFonts w:ascii="Times New Roman" w:hAnsi="Times New Roman" w:cs="Times New Roman"/>
          <w:lang w:val="fr-FR"/>
        </w:rPr>
        <w:t>À cet effet, le Secrétariat tente de plus en plus d</w:t>
      </w:r>
      <w:r w:rsidR="00FE6EE5" w:rsidRPr="00856FAD">
        <w:rPr>
          <w:rFonts w:ascii="Times New Roman" w:hAnsi="Times New Roman" w:cs="Times New Roman"/>
          <w:lang w:val="fr-FR"/>
        </w:rPr>
        <w:t>e garantir</w:t>
      </w:r>
      <w:r w:rsidRPr="00856FAD">
        <w:rPr>
          <w:rFonts w:ascii="Times New Roman" w:hAnsi="Times New Roman" w:cs="Times New Roman"/>
          <w:lang w:val="fr-FR"/>
        </w:rPr>
        <w:t xml:space="preserve"> la coordination future d’un plan </w:t>
      </w:r>
      <w:r w:rsidR="0003562F" w:rsidRPr="00856FAD">
        <w:rPr>
          <w:rFonts w:ascii="Times New Roman" w:hAnsi="Times New Roman" w:cs="Times New Roman"/>
          <w:lang w:val="fr-FR"/>
        </w:rPr>
        <w:t>d’action</w:t>
      </w:r>
      <w:r w:rsidRPr="00856FAD">
        <w:rPr>
          <w:rFonts w:ascii="Times New Roman" w:hAnsi="Times New Roman" w:cs="Times New Roman"/>
          <w:lang w:val="fr-FR"/>
        </w:rPr>
        <w:t xml:space="preserve"> ou de gestion dès la rédaction des premiers avant-projets et durant la phase de consultation.</w:t>
      </w:r>
      <w:r w:rsidR="00D90AA8" w:rsidRPr="00856FAD">
        <w:rPr>
          <w:rFonts w:ascii="Times New Roman" w:hAnsi="Times New Roman" w:cs="Times New Roman"/>
          <w:lang w:val="fr-FR"/>
        </w:rPr>
        <w:t xml:space="preserve"> </w:t>
      </w:r>
      <w:r w:rsidRPr="00856FAD">
        <w:rPr>
          <w:rFonts w:ascii="Times New Roman" w:hAnsi="Times New Roman" w:cs="Times New Roman"/>
          <w:lang w:val="fr-FR"/>
        </w:rPr>
        <w:t xml:space="preserve">Pour informer et aider les coordinateurs des groupes de travail, le Secrétariat a préparé un document de </w:t>
      </w:r>
      <w:r w:rsidR="00AA06FE" w:rsidRPr="00856FAD">
        <w:rPr>
          <w:rFonts w:ascii="Times New Roman" w:hAnsi="Times New Roman" w:cs="Times New Roman"/>
          <w:lang w:val="fr-FR"/>
        </w:rPr>
        <w:t>référence</w:t>
      </w:r>
      <w:r w:rsidRPr="00856FAD">
        <w:rPr>
          <w:rFonts w:ascii="Times New Roman" w:hAnsi="Times New Roman" w:cs="Times New Roman"/>
          <w:lang w:val="fr-FR"/>
        </w:rPr>
        <w:t xml:space="preserve"> révisable </w:t>
      </w:r>
      <w:r w:rsidR="00DF7B5A" w:rsidRPr="00856FAD">
        <w:rPr>
          <w:rFonts w:ascii="Times New Roman" w:hAnsi="Times New Roman" w:cs="Times New Roman"/>
          <w:lang w:val="fr-FR"/>
        </w:rPr>
        <w:t>traçant les grandes lignes des diverses tâches et responsabilités</w:t>
      </w:r>
      <w:r w:rsidRPr="00856FAD">
        <w:rPr>
          <w:rFonts w:ascii="Times New Roman" w:hAnsi="Times New Roman" w:cs="Times New Roman"/>
          <w:lang w:val="fr-FR"/>
        </w:rPr>
        <w:t xml:space="preserve"> (Annex</w:t>
      </w:r>
      <w:r w:rsidR="00DF7B5A" w:rsidRPr="00856FAD">
        <w:rPr>
          <w:rFonts w:ascii="Times New Roman" w:hAnsi="Times New Roman" w:cs="Times New Roman"/>
          <w:lang w:val="fr-FR"/>
        </w:rPr>
        <w:t>e</w:t>
      </w:r>
      <w:r w:rsidRPr="00856FAD">
        <w:rPr>
          <w:rFonts w:ascii="Times New Roman" w:hAnsi="Times New Roman" w:cs="Times New Roman"/>
          <w:lang w:val="fr-FR"/>
        </w:rPr>
        <w:t xml:space="preserve"> </w:t>
      </w:r>
      <w:r w:rsidR="00CC3E7A" w:rsidRPr="00856FAD">
        <w:rPr>
          <w:rFonts w:ascii="Times New Roman" w:hAnsi="Times New Roman" w:cs="Times New Roman"/>
          <w:lang w:val="fr-FR"/>
        </w:rPr>
        <w:t>5</w:t>
      </w:r>
      <w:r w:rsidRPr="00856FAD">
        <w:rPr>
          <w:rFonts w:ascii="Times New Roman" w:hAnsi="Times New Roman" w:cs="Times New Roman"/>
          <w:lang w:val="fr-FR"/>
        </w:rPr>
        <w:t>).</w:t>
      </w:r>
    </w:p>
    <w:p w14:paraId="79CBD6DC" w14:textId="77777777" w:rsidR="00FD43D4" w:rsidRPr="00856FAD" w:rsidRDefault="00FD43D4" w:rsidP="00A30751">
      <w:pPr>
        <w:spacing w:after="0" w:line="240" w:lineRule="auto"/>
        <w:jc w:val="both"/>
        <w:rPr>
          <w:rFonts w:ascii="Times New Roman" w:hAnsi="Times New Roman" w:cs="Times New Roman"/>
          <w:lang w:val="fr-FR"/>
        </w:rPr>
      </w:pPr>
    </w:p>
    <w:p w14:paraId="1BFEB035" w14:textId="4847C400" w:rsidR="0027463B" w:rsidRPr="00403C55" w:rsidRDefault="00DF7B5A" w:rsidP="00A30751">
      <w:pPr>
        <w:spacing w:after="0" w:line="240" w:lineRule="auto"/>
        <w:jc w:val="both"/>
        <w:rPr>
          <w:rFonts w:ascii="Times New Roman" w:hAnsi="Times New Roman" w:cs="Times New Roman"/>
          <w:lang w:val="fr-FR"/>
        </w:rPr>
      </w:pPr>
      <w:r w:rsidRPr="00856FAD">
        <w:rPr>
          <w:rFonts w:ascii="Times New Roman" w:hAnsi="Times New Roman" w:cs="Times New Roman"/>
          <w:lang w:val="fr-FR"/>
        </w:rPr>
        <w:t xml:space="preserve">En outre, les organisations représentées au Comité technique </w:t>
      </w:r>
      <w:r w:rsidR="0003562F" w:rsidRPr="00856FAD">
        <w:rPr>
          <w:rFonts w:ascii="Times New Roman" w:hAnsi="Times New Roman" w:cs="Times New Roman"/>
          <w:lang w:val="fr-FR"/>
        </w:rPr>
        <w:t>de l’AEWA</w:t>
      </w:r>
      <w:r w:rsidRPr="00856FAD">
        <w:rPr>
          <w:rFonts w:ascii="Times New Roman" w:hAnsi="Times New Roman" w:cs="Times New Roman"/>
          <w:lang w:val="fr-FR"/>
        </w:rPr>
        <w:t xml:space="preserve"> ainsi que d’autres organisations internationales de conservation et/ou d’utilisation durable peuvent être invitées à rejoindre le groupe de travail en tant qu’observateurs</w:t>
      </w:r>
      <w:r w:rsidRPr="00403C55">
        <w:rPr>
          <w:rFonts w:ascii="Times New Roman" w:hAnsi="Times New Roman" w:cs="Times New Roman"/>
          <w:lang w:val="fr-FR"/>
        </w:rPr>
        <w:t>.</w:t>
      </w:r>
      <w:r w:rsidR="002C4673" w:rsidRPr="00403C55">
        <w:rPr>
          <w:rFonts w:ascii="Times New Roman" w:hAnsi="Times New Roman" w:cs="Times New Roman"/>
          <w:lang w:val="fr-FR"/>
        </w:rPr>
        <w:t xml:space="preserve"> </w:t>
      </w:r>
      <w:r w:rsidRPr="00403C55">
        <w:rPr>
          <w:rFonts w:ascii="Times New Roman" w:hAnsi="Times New Roman" w:cs="Times New Roman"/>
          <w:lang w:val="fr-FR"/>
        </w:rPr>
        <w:t>Des experts supplémentaires peuvent également être invités</w:t>
      </w:r>
      <w:r w:rsidR="00870983" w:rsidRPr="00870983">
        <w:rPr>
          <w:rFonts w:ascii="Times New Roman" w:hAnsi="Times New Roman" w:cs="Times New Roman"/>
          <w:lang w:val="fr-FR"/>
        </w:rPr>
        <w:t>, le cas échéant</w:t>
      </w:r>
      <w:r w:rsidR="00870983">
        <w:rPr>
          <w:rFonts w:ascii="Times New Roman" w:hAnsi="Times New Roman" w:cs="Times New Roman"/>
          <w:lang w:val="fr-FR"/>
        </w:rPr>
        <w:t>,</w:t>
      </w:r>
      <w:r w:rsidRPr="00403C55">
        <w:rPr>
          <w:rFonts w:ascii="Times New Roman" w:hAnsi="Times New Roman" w:cs="Times New Roman"/>
          <w:lang w:val="fr-FR"/>
        </w:rPr>
        <w:t xml:space="preserve"> à se joindre aux réunions du groupe de travail, en qualité d’observateurs temporaires, si nécessaire.</w:t>
      </w:r>
      <w:r w:rsidR="002C4673" w:rsidRPr="00403C55">
        <w:rPr>
          <w:rFonts w:ascii="Times New Roman" w:hAnsi="Times New Roman" w:cs="Times New Roman"/>
          <w:lang w:val="fr-FR"/>
        </w:rPr>
        <w:t xml:space="preserve"> </w:t>
      </w:r>
      <w:r w:rsidRPr="00403C55">
        <w:rPr>
          <w:rFonts w:ascii="Times New Roman" w:hAnsi="Times New Roman" w:cs="Times New Roman"/>
          <w:lang w:val="fr-FR"/>
        </w:rPr>
        <w:t>Tous les observateurs doivent toutefois être admis par les membres du groupe de travail.</w:t>
      </w:r>
      <w:r w:rsidR="0027463B" w:rsidRPr="00403C55">
        <w:rPr>
          <w:rFonts w:ascii="Times New Roman" w:hAnsi="Times New Roman" w:cs="Times New Roman"/>
          <w:lang w:val="fr-FR"/>
        </w:rPr>
        <w:t xml:space="preserve"> </w:t>
      </w:r>
      <w:r w:rsidRPr="00403C55">
        <w:rPr>
          <w:rFonts w:ascii="Times New Roman" w:hAnsi="Times New Roman" w:cs="Times New Roman"/>
          <w:lang w:val="fr-FR"/>
        </w:rPr>
        <w:t xml:space="preserve">Le Secrétariat </w:t>
      </w:r>
      <w:r w:rsidR="00403C55" w:rsidRPr="00403C55">
        <w:rPr>
          <w:rFonts w:ascii="Times New Roman" w:hAnsi="Times New Roman" w:cs="Times New Roman"/>
          <w:lang w:val="fr-FR"/>
        </w:rPr>
        <w:t>parcourt</w:t>
      </w:r>
      <w:r w:rsidRPr="00403C55">
        <w:rPr>
          <w:rFonts w:ascii="Times New Roman" w:hAnsi="Times New Roman" w:cs="Times New Roman"/>
          <w:lang w:val="fr-FR"/>
        </w:rPr>
        <w:t xml:space="preserve"> actuellement le processus de préparation de </w:t>
      </w:r>
      <w:r w:rsidR="00AA06FE" w:rsidRPr="00403C55">
        <w:rPr>
          <w:rFonts w:ascii="Times New Roman" w:hAnsi="Times New Roman" w:cs="Times New Roman"/>
          <w:lang w:val="fr-FR"/>
        </w:rPr>
        <w:t>lignes directrices</w:t>
      </w:r>
      <w:r w:rsidRPr="00403C55">
        <w:rPr>
          <w:rFonts w:ascii="Times New Roman" w:hAnsi="Times New Roman" w:cs="Times New Roman"/>
          <w:lang w:val="fr-FR"/>
        </w:rPr>
        <w:t xml:space="preserve"> supplémentaire</w:t>
      </w:r>
      <w:r w:rsidR="00CC3E7A" w:rsidRPr="00403C55">
        <w:rPr>
          <w:rFonts w:ascii="Times New Roman" w:hAnsi="Times New Roman" w:cs="Times New Roman"/>
          <w:lang w:val="fr-FR"/>
        </w:rPr>
        <w:t>s</w:t>
      </w:r>
      <w:r w:rsidRPr="00403C55">
        <w:rPr>
          <w:rFonts w:ascii="Times New Roman" w:hAnsi="Times New Roman" w:cs="Times New Roman"/>
          <w:lang w:val="fr-FR"/>
        </w:rPr>
        <w:t xml:space="preserve"> </w:t>
      </w:r>
      <w:r w:rsidR="00CC3E7A" w:rsidRPr="00403C55">
        <w:rPr>
          <w:rFonts w:ascii="Times New Roman" w:hAnsi="Times New Roman" w:cs="Times New Roman"/>
          <w:lang w:val="fr-FR"/>
        </w:rPr>
        <w:t>relatives à</w:t>
      </w:r>
      <w:r w:rsidRPr="00403C55">
        <w:rPr>
          <w:rFonts w:ascii="Times New Roman" w:hAnsi="Times New Roman" w:cs="Times New Roman"/>
          <w:lang w:val="fr-FR"/>
        </w:rPr>
        <w:t xml:space="preserve"> l’adhésion aux groupes de travail.</w:t>
      </w:r>
    </w:p>
    <w:p w14:paraId="14BAB3E7" w14:textId="77777777" w:rsidR="0027463B" w:rsidRPr="00403C55" w:rsidRDefault="0027463B" w:rsidP="00A30751">
      <w:pPr>
        <w:spacing w:after="0" w:line="240" w:lineRule="auto"/>
        <w:jc w:val="both"/>
        <w:rPr>
          <w:rFonts w:ascii="Times New Roman" w:hAnsi="Times New Roman" w:cs="Times New Roman"/>
          <w:lang w:val="fr-FR"/>
        </w:rPr>
      </w:pPr>
    </w:p>
    <w:p w14:paraId="599465CE" w14:textId="35EED366" w:rsidR="00CC7E60" w:rsidRPr="00403C55" w:rsidRDefault="00DF7B5A"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composition des groupes de travail souligne le besoin, non seulement d’un engagement gouvernemental fort dans la coordination internationale de la mise en œuvre d’un plan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mais aussi d’un lien beaucoup plus fort entre les représentants des gouvernements et les réseaux d’experts des espèces, afin d’assurer la mise en œuvre à long terme de mesures de conservation et/ou d’utilisation durable.</w:t>
      </w:r>
      <w:r w:rsidR="00370468" w:rsidRPr="00403C55">
        <w:rPr>
          <w:rFonts w:ascii="Times New Roman" w:hAnsi="Times New Roman" w:cs="Times New Roman"/>
          <w:lang w:val="fr-FR"/>
        </w:rPr>
        <w:t xml:space="preserve"> </w:t>
      </w:r>
    </w:p>
    <w:p w14:paraId="2D127537" w14:textId="77777777" w:rsidR="00370468" w:rsidRDefault="00370468" w:rsidP="00A30751">
      <w:pPr>
        <w:spacing w:after="0" w:line="240" w:lineRule="auto"/>
        <w:jc w:val="both"/>
        <w:rPr>
          <w:rFonts w:ascii="Times New Roman" w:hAnsi="Times New Roman" w:cs="Times New Roman"/>
          <w:lang w:val="fr-FR"/>
        </w:rPr>
      </w:pPr>
    </w:p>
    <w:p w14:paraId="741D7FB8" w14:textId="77777777" w:rsidR="00A025CE" w:rsidRDefault="00A025CE" w:rsidP="00A30751">
      <w:pPr>
        <w:spacing w:after="0" w:line="240" w:lineRule="auto"/>
        <w:jc w:val="both"/>
        <w:rPr>
          <w:rFonts w:ascii="Times New Roman" w:hAnsi="Times New Roman" w:cs="Times New Roman"/>
          <w:lang w:val="fr-FR"/>
        </w:rPr>
      </w:pPr>
    </w:p>
    <w:p w14:paraId="2AB9BBF8" w14:textId="77777777" w:rsidR="00A025CE" w:rsidRPr="00403C55" w:rsidRDefault="00A025CE" w:rsidP="00A30751">
      <w:pPr>
        <w:spacing w:after="0" w:line="240" w:lineRule="auto"/>
        <w:jc w:val="both"/>
        <w:rPr>
          <w:rFonts w:ascii="Times New Roman" w:hAnsi="Times New Roman" w:cs="Times New Roman"/>
          <w:lang w:val="fr-FR"/>
        </w:rPr>
      </w:pPr>
    </w:p>
    <w:p w14:paraId="38278F9B" w14:textId="0924BF6B" w:rsidR="0049401B" w:rsidRPr="00403C55" w:rsidRDefault="008F74C7" w:rsidP="00A30751">
      <w:pPr>
        <w:spacing w:after="0" w:line="240" w:lineRule="auto"/>
        <w:jc w:val="both"/>
        <w:rPr>
          <w:rFonts w:ascii="Times New Roman" w:hAnsi="Times New Roman" w:cs="Times New Roman"/>
          <w:i/>
          <w:lang w:val="fr-FR"/>
        </w:rPr>
      </w:pPr>
      <w:r>
        <w:rPr>
          <w:rFonts w:ascii="Times New Roman" w:hAnsi="Times New Roman" w:cs="Times New Roman"/>
          <w:i/>
          <w:lang w:val="fr-FR"/>
        </w:rPr>
        <w:lastRenderedPageBreak/>
        <w:t>3.2.2</w:t>
      </w:r>
      <w:r w:rsidR="001A48F9" w:rsidRPr="00403C55">
        <w:rPr>
          <w:rFonts w:ascii="Times New Roman" w:hAnsi="Times New Roman" w:cs="Times New Roman"/>
          <w:i/>
          <w:lang w:val="fr-FR"/>
        </w:rPr>
        <w:t xml:space="preserve">. </w:t>
      </w:r>
      <w:r w:rsidR="00DF7B5A" w:rsidRPr="00403C55">
        <w:rPr>
          <w:rFonts w:ascii="Times New Roman" w:hAnsi="Times New Roman" w:cs="Times New Roman"/>
          <w:i/>
          <w:lang w:val="fr-FR"/>
        </w:rPr>
        <w:t>Établissement de la procédure</w:t>
      </w:r>
    </w:p>
    <w:p w14:paraId="60BCF1DE" w14:textId="77777777" w:rsidR="0049401B" w:rsidRPr="00403C55" w:rsidRDefault="0049401B" w:rsidP="00A30751">
      <w:pPr>
        <w:spacing w:after="0" w:line="240" w:lineRule="auto"/>
        <w:jc w:val="both"/>
        <w:rPr>
          <w:rFonts w:ascii="Times New Roman" w:hAnsi="Times New Roman" w:cs="Times New Roman"/>
          <w:lang w:val="fr-FR"/>
        </w:rPr>
      </w:pPr>
    </w:p>
    <w:p w14:paraId="4B97B334" w14:textId="7B57ECB0" w:rsidR="00D90AA8" w:rsidRPr="00403C55" w:rsidRDefault="00DF7B5A" w:rsidP="00D90AA8">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Suite à l’adoption d’un plan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 des espèces </w:t>
      </w:r>
      <w:r w:rsidR="0003562F">
        <w:rPr>
          <w:rFonts w:ascii="Times New Roman" w:hAnsi="Times New Roman" w:cs="Times New Roman"/>
          <w:lang w:val="fr-FR"/>
        </w:rPr>
        <w:t>de l’AEWA</w:t>
      </w:r>
      <w:r w:rsidRPr="00403C55">
        <w:rPr>
          <w:rFonts w:ascii="Times New Roman" w:hAnsi="Times New Roman" w:cs="Times New Roman"/>
          <w:lang w:val="fr-FR"/>
        </w:rPr>
        <w:t xml:space="preserve"> et une fois qu’une organisation coordinatrice a été identifiée, le Secrétariat convoque le groupe de travail en envoyant des courriers officiels à tous les points focaux et contacts </w:t>
      </w:r>
      <w:r w:rsidR="0003562F">
        <w:rPr>
          <w:rFonts w:ascii="Times New Roman" w:hAnsi="Times New Roman" w:cs="Times New Roman"/>
          <w:lang w:val="fr-FR"/>
        </w:rPr>
        <w:t>de l’AEWA</w:t>
      </w:r>
      <w:r w:rsidRPr="00403C55">
        <w:rPr>
          <w:rFonts w:ascii="Times New Roman" w:hAnsi="Times New Roman" w:cs="Times New Roman"/>
          <w:lang w:val="fr-FR"/>
        </w:rPr>
        <w:t xml:space="preserve">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couverts par le plan </w:t>
      </w:r>
      <w:r w:rsidR="0003562F">
        <w:rPr>
          <w:rFonts w:ascii="Times New Roman" w:hAnsi="Times New Roman" w:cs="Times New Roman"/>
          <w:lang w:val="fr-FR"/>
        </w:rPr>
        <w:t>d’action</w:t>
      </w:r>
      <w:r w:rsidRPr="00403C55">
        <w:rPr>
          <w:rFonts w:ascii="Times New Roman" w:hAnsi="Times New Roman" w:cs="Times New Roman"/>
          <w:lang w:val="fr-FR"/>
        </w:rPr>
        <w:t>.</w:t>
      </w:r>
      <w:r w:rsidR="00962E35" w:rsidRPr="00403C55">
        <w:rPr>
          <w:rFonts w:ascii="Times New Roman" w:hAnsi="Times New Roman" w:cs="Times New Roman"/>
          <w:lang w:val="fr-FR"/>
        </w:rPr>
        <w:t xml:space="preserve"> </w:t>
      </w:r>
      <w:r w:rsidR="002225C4" w:rsidRPr="00403C55">
        <w:rPr>
          <w:rFonts w:ascii="Times New Roman" w:hAnsi="Times New Roman" w:cs="Times New Roman"/>
          <w:lang w:val="fr-FR"/>
        </w:rPr>
        <w:t xml:space="preserve">Les courriers introduisent le coordinateur sélectionné du groupe de travail (y compris détails </w:t>
      </w:r>
      <w:r w:rsidR="00CC3E7A" w:rsidRPr="00403C55">
        <w:rPr>
          <w:rFonts w:ascii="Times New Roman" w:hAnsi="Times New Roman" w:cs="Times New Roman"/>
          <w:lang w:val="fr-FR"/>
        </w:rPr>
        <w:t>de</w:t>
      </w:r>
      <w:r w:rsidR="002225C4" w:rsidRPr="00403C55">
        <w:rPr>
          <w:rFonts w:ascii="Times New Roman" w:hAnsi="Times New Roman" w:cs="Times New Roman"/>
          <w:lang w:val="fr-FR"/>
        </w:rPr>
        <w:t xml:space="preserve"> contact) et demandent aux points focaux/contacts de nommer deux représentants qui siègeront dans le groupe, comme exp</w:t>
      </w:r>
      <w:r w:rsidR="00F30D6B" w:rsidRPr="00403C55">
        <w:rPr>
          <w:rFonts w:ascii="Times New Roman" w:hAnsi="Times New Roman" w:cs="Times New Roman"/>
          <w:lang w:val="fr-FR"/>
        </w:rPr>
        <w:t>os</w:t>
      </w:r>
      <w:r w:rsidR="002225C4" w:rsidRPr="00403C55">
        <w:rPr>
          <w:rFonts w:ascii="Times New Roman" w:hAnsi="Times New Roman" w:cs="Times New Roman"/>
          <w:lang w:val="fr-FR"/>
        </w:rPr>
        <w:t>é ci-dessus.</w:t>
      </w:r>
      <w:r w:rsidR="00962E35" w:rsidRPr="00403C55">
        <w:rPr>
          <w:rFonts w:ascii="Times New Roman" w:hAnsi="Times New Roman" w:cs="Times New Roman"/>
          <w:lang w:val="fr-FR"/>
        </w:rPr>
        <w:t xml:space="preserve"> </w:t>
      </w:r>
      <w:r w:rsidR="002225C4" w:rsidRPr="00403C55">
        <w:rPr>
          <w:rFonts w:ascii="Times New Roman" w:hAnsi="Times New Roman" w:cs="Times New Roman"/>
          <w:lang w:val="fr-FR"/>
        </w:rPr>
        <w:t xml:space="preserve">Si un représentant gouvernemental ou un expert national des espèces particulier est déjà connu, le Secrétariat peut recommander qu’il soit nommé pour représenter </w:t>
      </w:r>
      <w:r w:rsidR="00CC3E7A" w:rsidRPr="00403C55">
        <w:rPr>
          <w:rFonts w:ascii="Times New Roman" w:hAnsi="Times New Roman" w:cs="Times New Roman"/>
          <w:lang w:val="fr-FR"/>
        </w:rPr>
        <w:t>son</w:t>
      </w:r>
      <w:r w:rsidR="002225C4" w:rsidRPr="00403C55">
        <w:rPr>
          <w:rFonts w:ascii="Times New Roman" w:hAnsi="Times New Roman" w:cs="Times New Roman"/>
          <w:lang w:val="fr-FR"/>
        </w:rPr>
        <w:t xml:space="preserve"> pays dans le groupe de travail.</w:t>
      </w:r>
      <w:r w:rsidR="00D90AA8" w:rsidRPr="00403C55">
        <w:rPr>
          <w:rFonts w:ascii="Times New Roman" w:hAnsi="Times New Roman" w:cs="Times New Roman"/>
          <w:lang w:val="fr-FR"/>
        </w:rPr>
        <w:t xml:space="preserve"> </w:t>
      </w:r>
      <w:r w:rsidR="002225C4" w:rsidRPr="00403C55">
        <w:rPr>
          <w:rFonts w:ascii="Times New Roman" w:hAnsi="Times New Roman" w:cs="Times New Roman"/>
          <w:lang w:val="fr-FR"/>
        </w:rPr>
        <w:t>La sélection et la désignation finales de représentants nationaux demeurent, bien entendu, le fait des gouvernements nationaux respectifs.</w:t>
      </w:r>
    </w:p>
    <w:p w14:paraId="15C2BEC4" w14:textId="77777777" w:rsidR="00962E35" w:rsidRPr="00403C55" w:rsidRDefault="00962E35" w:rsidP="00962E35">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 </w:t>
      </w:r>
    </w:p>
    <w:p w14:paraId="6B1D15C1" w14:textId="5211A0A2" w:rsidR="0021479F" w:rsidRPr="00403C55" w:rsidRDefault="002225C4"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plus des courriers, les points focaux/contacts recevront les Termes de Référence du groupe de travail, tels qu’élaborés par 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et adaptés au groupe de travail en question.</w:t>
      </w:r>
      <w:r w:rsidR="00962E35" w:rsidRPr="00403C55">
        <w:rPr>
          <w:rFonts w:ascii="Times New Roman" w:hAnsi="Times New Roman" w:cs="Times New Roman"/>
          <w:lang w:val="fr-FR"/>
        </w:rPr>
        <w:t xml:space="preserve"> </w:t>
      </w:r>
      <w:r w:rsidRPr="00403C55">
        <w:rPr>
          <w:rFonts w:ascii="Times New Roman" w:hAnsi="Times New Roman" w:cs="Times New Roman"/>
          <w:lang w:val="fr-FR"/>
        </w:rPr>
        <w:t xml:space="preserve">Une fois que les lettres officielles </w:t>
      </w:r>
      <w:r w:rsidR="00870983">
        <w:rPr>
          <w:rFonts w:ascii="Times New Roman" w:hAnsi="Times New Roman" w:cs="Times New Roman"/>
          <w:lang w:val="fr-FR"/>
        </w:rPr>
        <w:t>mettant en place</w:t>
      </w:r>
      <w:r w:rsidRPr="00403C55">
        <w:rPr>
          <w:rFonts w:ascii="Times New Roman" w:hAnsi="Times New Roman" w:cs="Times New Roman"/>
          <w:lang w:val="fr-FR"/>
        </w:rPr>
        <w:t xml:space="preserve"> le groupe de travail ont été envoyées, le coordinateur est responsable du recueil des désignations de représentants et du maintien de la liste de contact des membres du groupe de travail.</w:t>
      </w:r>
      <w:r w:rsidR="00962E35" w:rsidRPr="00403C55">
        <w:rPr>
          <w:rFonts w:ascii="Times New Roman" w:hAnsi="Times New Roman" w:cs="Times New Roman"/>
          <w:lang w:val="fr-FR"/>
        </w:rPr>
        <w:t xml:space="preserve"> </w:t>
      </w:r>
      <w:r w:rsidRPr="00403C55">
        <w:rPr>
          <w:rFonts w:ascii="Times New Roman" w:hAnsi="Times New Roman" w:cs="Times New Roman"/>
          <w:lang w:val="fr-FR"/>
        </w:rPr>
        <w:t>Une fois qu’un nombre suffisant de membres du groupe de travail désignés a été établi et que des fonds sont disponibles, l</w:t>
      </w:r>
      <w:r w:rsidR="00745568" w:rsidRPr="00403C55">
        <w:rPr>
          <w:rFonts w:ascii="Times New Roman" w:hAnsi="Times New Roman" w:cs="Times New Roman"/>
          <w:lang w:val="fr-FR"/>
        </w:rPr>
        <w:t>a</w:t>
      </w:r>
      <w:r w:rsidRPr="00403C55">
        <w:rPr>
          <w:rFonts w:ascii="Times New Roman" w:hAnsi="Times New Roman" w:cs="Times New Roman"/>
          <w:lang w:val="fr-FR"/>
        </w:rPr>
        <w:t xml:space="preserve"> plan</w:t>
      </w:r>
      <w:r w:rsidR="00745568" w:rsidRPr="00403C55">
        <w:rPr>
          <w:rFonts w:ascii="Times New Roman" w:hAnsi="Times New Roman" w:cs="Times New Roman"/>
          <w:lang w:val="fr-FR"/>
        </w:rPr>
        <w:t>ification de la première réunion du groupe de travail</w:t>
      </w:r>
      <w:r w:rsidRPr="00403C55">
        <w:rPr>
          <w:rFonts w:ascii="Times New Roman" w:hAnsi="Times New Roman" w:cs="Times New Roman"/>
          <w:lang w:val="fr-FR"/>
        </w:rPr>
        <w:t xml:space="preserve"> </w:t>
      </w:r>
      <w:r w:rsidR="00745568" w:rsidRPr="00403C55">
        <w:rPr>
          <w:rFonts w:ascii="Times New Roman" w:hAnsi="Times New Roman" w:cs="Times New Roman"/>
          <w:lang w:val="fr-FR"/>
        </w:rPr>
        <w:t>débute habituellement</w:t>
      </w:r>
      <w:r w:rsidRPr="00403C55">
        <w:rPr>
          <w:rFonts w:ascii="Times New Roman" w:hAnsi="Times New Roman" w:cs="Times New Roman"/>
          <w:lang w:val="fr-FR"/>
        </w:rPr>
        <w:t>.</w:t>
      </w:r>
      <w:r w:rsidR="002053E2" w:rsidRPr="00403C55">
        <w:rPr>
          <w:rFonts w:ascii="Times New Roman" w:hAnsi="Times New Roman" w:cs="Times New Roman"/>
          <w:lang w:val="fr-FR"/>
        </w:rPr>
        <w:t xml:space="preserve"> </w:t>
      </w:r>
    </w:p>
    <w:p w14:paraId="55D881ED" w14:textId="77777777" w:rsidR="00722E66" w:rsidRPr="00403C55" w:rsidRDefault="00722E66" w:rsidP="00A30751">
      <w:pPr>
        <w:spacing w:after="0" w:line="240" w:lineRule="auto"/>
        <w:jc w:val="both"/>
        <w:rPr>
          <w:rFonts w:ascii="Times New Roman" w:hAnsi="Times New Roman" w:cs="Times New Roman"/>
          <w:lang w:val="fr-FR"/>
        </w:rPr>
      </w:pPr>
    </w:p>
    <w:p w14:paraId="6DFD41D4" w14:textId="2A5EF977" w:rsidR="0049401B" w:rsidRPr="00403C55" w:rsidRDefault="008F74C7" w:rsidP="0049401B">
      <w:pPr>
        <w:spacing w:after="0" w:line="240" w:lineRule="auto"/>
        <w:jc w:val="both"/>
        <w:rPr>
          <w:rFonts w:ascii="Times New Roman" w:hAnsi="Times New Roman" w:cs="Times New Roman"/>
          <w:i/>
          <w:lang w:val="fr-FR"/>
        </w:rPr>
      </w:pPr>
      <w:r>
        <w:rPr>
          <w:rFonts w:ascii="Times New Roman" w:hAnsi="Times New Roman" w:cs="Times New Roman"/>
          <w:i/>
          <w:lang w:val="fr-FR"/>
        </w:rPr>
        <w:t>3.2.3</w:t>
      </w:r>
      <w:r w:rsidR="001A48F9" w:rsidRPr="00403C55">
        <w:rPr>
          <w:rFonts w:ascii="Times New Roman" w:hAnsi="Times New Roman" w:cs="Times New Roman"/>
          <w:i/>
          <w:lang w:val="fr-FR"/>
        </w:rPr>
        <w:t xml:space="preserve">. </w:t>
      </w:r>
      <w:r w:rsidR="00745568" w:rsidRPr="00403C55">
        <w:rPr>
          <w:rFonts w:ascii="Times New Roman" w:hAnsi="Times New Roman" w:cs="Times New Roman"/>
          <w:i/>
          <w:lang w:val="fr-FR"/>
        </w:rPr>
        <w:t>Rôle et tâches du groupe de travail :</w:t>
      </w:r>
    </w:p>
    <w:p w14:paraId="27D34EF7" w14:textId="77777777" w:rsidR="00A30751" w:rsidRPr="00403C55" w:rsidRDefault="00A30751" w:rsidP="00A30751">
      <w:pPr>
        <w:spacing w:after="0" w:line="240" w:lineRule="auto"/>
        <w:jc w:val="both"/>
        <w:rPr>
          <w:rFonts w:ascii="Times New Roman" w:hAnsi="Times New Roman" w:cs="Times New Roman"/>
          <w:lang w:val="fr-FR"/>
        </w:rPr>
      </w:pPr>
    </w:p>
    <w:p w14:paraId="70891166" w14:textId="54885C5B" w:rsidR="009E7D76" w:rsidRPr="00403C55" w:rsidRDefault="00745568"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Comme exp</w:t>
      </w:r>
      <w:r w:rsidR="00F30D6B" w:rsidRPr="00403C55">
        <w:rPr>
          <w:rFonts w:ascii="Times New Roman" w:hAnsi="Times New Roman" w:cs="Times New Roman"/>
          <w:lang w:val="fr-FR"/>
        </w:rPr>
        <w:t>osé</w:t>
      </w:r>
      <w:r w:rsidRPr="00403C55">
        <w:rPr>
          <w:rFonts w:ascii="Times New Roman" w:hAnsi="Times New Roman" w:cs="Times New Roman"/>
          <w:lang w:val="fr-FR"/>
        </w:rPr>
        <w:t xml:space="preserve"> dans les Termes de Référence génériques adoptés par 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pour les groupes de travail sur les espèces, le rôle des groupes de travail est de :</w:t>
      </w:r>
    </w:p>
    <w:p w14:paraId="556D74AF" w14:textId="77777777" w:rsidR="00ED745B" w:rsidRPr="00403C55" w:rsidRDefault="00ED745B" w:rsidP="00A30751">
      <w:pPr>
        <w:spacing w:after="0" w:line="240" w:lineRule="auto"/>
        <w:jc w:val="both"/>
        <w:rPr>
          <w:rFonts w:ascii="Times New Roman" w:hAnsi="Times New Roman" w:cs="Times New Roman"/>
          <w:lang w:val="fr-FR"/>
        </w:rPr>
      </w:pPr>
    </w:p>
    <w:p w14:paraId="63223683" w14:textId="6108B2B2" w:rsidR="00ED745B" w:rsidRPr="00403C55" w:rsidRDefault="00745568" w:rsidP="003356B2">
      <w:pPr>
        <w:pStyle w:val="ListParagraph"/>
        <w:numPr>
          <w:ilvl w:val="0"/>
          <w:numId w:val="4"/>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coordonner et catalyser la mise en œuvre du </w:t>
      </w:r>
      <w:r w:rsidR="00CC3E7A" w:rsidRPr="00403C55">
        <w:rPr>
          <w:rFonts w:ascii="Times New Roman" w:hAnsi="Times New Roman" w:cs="Times New Roman"/>
          <w:lang w:val="fr-FR"/>
        </w:rPr>
        <w:t>p</w:t>
      </w:r>
      <w:r w:rsidRPr="00403C55">
        <w:rPr>
          <w:rFonts w:ascii="Times New Roman" w:hAnsi="Times New Roman" w:cs="Times New Roman"/>
          <w:lang w:val="fr-FR"/>
        </w:rPr>
        <w:t xml:space="preserve">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par espèce (SSAP) approuvé par la Réunion des Parties à l’AEWA ;</w:t>
      </w:r>
    </w:p>
    <w:p w14:paraId="329230BC" w14:textId="3C62E9C3" w:rsidR="00ED745B" w:rsidRPr="00403C55" w:rsidRDefault="00745568" w:rsidP="003356B2">
      <w:pPr>
        <w:pStyle w:val="ListParagraph"/>
        <w:numPr>
          <w:ilvl w:val="0"/>
          <w:numId w:val="4"/>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stimuler et aider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dans la mise en œuvre du SSAP ; et</w:t>
      </w:r>
      <w:r w:rsidR="00ED745B" w:rsidRPr="00403C55">
        <w:rPr>
          <w:rFonts w:ascii="Times New Roman" w:hAnsi="Times New Roman" w:cs="Times New Roman"/>
          <w:lang w:val="fr-FR"/>
        </w:rPr>
        <w:t xml:space="preserve"> </w:t>
      </w:r>
    </w:p>
    <w:p w14:paraId="2D645A6A" w14:textId="10FA4553" w:rsidR="00ED745B" w:rsidRPr="00403C55" w:rsidRDefault="00745568" w:rsidP="003356B2">
      <w:pPr>
        <w:pStyle w:val="ListParagraph"/>
        <w:numPr>
          <w:ilvl w:val="0"/>
          <w:numId w:val="4"/>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surveiller et faire des rapports sur la mise en œuvre et l’eff</w:t>
      </w:r>
      <w:r w:rsidR="0001284E" w:rsidRPr="00403C55">
        <w:rPr>
          <w:rFonts w:ascii="Times New Roman" w:hAnsi="Times New Roman" w:cs="Times New Roman"/>
          <w:lang w:val="fr-FR"/>
        </w:rPr>
        <w:t>icience</w:t>
      </w:r>
      <w:r w:rsidRPr="00403C55">
        <w:rPr>
          <w:rFonts w:ascii="Times New Roman" w:hAnsi="Times New Roman" w:cs="Times New Roman"/>
          <w:lang w:val="fr-FR"/>
        </w:rPr>
        <w:t xml:space="preserve"> du SSAP.</w:t>
      </w:r>
    </w:p>
    <w:p w14:paraId="7DED5E3C" w14:textId="77777777" w:rsidR="00ED745B" w:rsidRPr="00403C55" w:rsidRDefault="00ED745B" w:rsidP="00A30751">
      <w:pPr>
        <w:spacing w:after="0" w:line="240" w:lineRule="auto"/>
        <w:jc w:val="both"/>
        <w:rPr>
          <w:rFonts w:ascii="Times New Roman" w:hAnsi="Times New Roman" w:cs="Times New Roman"/>
          <w:lang w:val="fr-FR"/>
        </w:rPr>
      </w:pPr>
    </w:p>
    <w:p w14:paraId="164519D0" w14:textId="41CA6318" w:rsidR="00043283" w:rsidRPr="00403C55" w:rsidRDefault="00745568"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 groupe de travail a pour autres principales tâches de :</w:t>
      </w:r>
    </w:p>
    <w:p w14:paraId="73FBF755" w14:textId="77777777" w:rsidR="00B46A08" w:rsidRPr="00403C55" w:rsidRDefault="00B46A08" w:rsidP="00A30751">
      <w:pPr>
        <w:spacing w:after="0" w:line="240" w:lineRule="auto"/>
        <w:jc w:val="both"/>
        <w:rPr>
          <w:rFonts w:ascii="Times New Roman" w:hAnsi="Times New Roman" w:cs="Times New Roman"/>
          <w:lang w:val="fr-FR"/>
        </w:rPr>
      </w:pPr>
    </w:p>
    <w:p w14:paraId="244C6F9E" w14:textId="094C58D2"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fixer des priorités </w:t>
      </w:r>
      <w:r w:rsidR="0003562F">
        <w:rPr>
          <w:rFonts w:ascii="Times New Roman" w:hAnsi="Times New Roman" w:cs="Times New Roman"/>
          <w:lang w:val="fr-FR"/>
        </w:rPr>
        <w:t>d’action</w:t>
      </w:r>
      <w:r w:rsidRPr="00403C55">
        <w:rPr>
          <w:rFonts w:ascii="Times New Roman" w:hAnsi="Times New Roman" w:cs="Times New Roman"/>
          <w:lang w:val="fr-FR"/>
        </w:rPr>
        <w:t xml:space="preserve"> et les mettre en œuvre ;</w:t>
      </w:r>
      <w:r w:rsidR="009E7D76" w:rsidRPr="00403C55">
        <w:rPr>
          <w:rFonts w:ascii="Times New Roman" w:hAnsi="Times New Roman" w:cs="Times New Roman"/>
          <w:lang w:val="fr-FR"/>
        </w:rPr>
        <w:t xml:space="preserve"> </w:t>
      </w:r>
    </w:p>
    <w:p w14:paraId="2362BE11" w14:textId="13C8C76A"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coordonner la mise en œuvre internationale générale ;</w:t>
      </w:r>
    </w:p>
    <w:p w14:paraId="1E225876" w14:textId="70FCA14D"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lever des fonds pour la mise en œuvre ;</w:t>
      </w:r>
    </w:p>
    <w:p w14:paraId="26A868E2" w14:textId="576D1026"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aider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à produire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w:t>
      </w:r>
    </w:p>
    <w:p w14:paraId="25CC5A8E" w14:textId="5C1635A3"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assurer une surveillance régulière et approfondie des populations d</w:t>
      </w:r>
      <w:r w:rsidR="00870983">
        <w:rPr>
          <w:rFonts w:ascii="Times New Roman" w:hAnsi="Times New Roman" w:cs="Times New Roman"/>
          <w:lang w:val="fr-FR"/>
        </w:rPr>
        <w:t>e l</w:t>
      </w:r>
      <w:r w:rsidRPr="00403C55">
        <w:rPr>
          <w:rFonts w:ascii="Times New Roman" w:hAnsi="Times New Roman" w:cs="Times New Roman"/>
          <w:lang w:val="fr-FR"/>
        </w:rPr>
        <w:t>’espèce ;</w:t>
      </w:r>
    </w:p>
    <w:p w14:paraId="2BBAB2C2" w14:textId="6FADF710"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stimuler et aider la recherche scientifique sur les espèces, nécessaire pour leur conservation ;</w:t>
      </w:r>
    </w:p>
    <w:p w14:paraId="346886A8" w14:textId="2EF9B684"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promouvoir la protection d’un réseau de sites critiques pour l</w:t>
      </w:r>
      <w:r w:rsidR="00870983">
        <w:rPr>
          <w:rFonts w:ascii="Times New Roman" w:hAnsi="Times New Roman" w:cs="Times New Roman"/>
          <w:lang w:val="fr-FR"/>
        </w:rPr>
        <w:t>’</w:t>
      </w:r>
      <w:r w:rsidRPr="00403C55">
        <w:rPr>
          <w:rFonts w:ascii="Times New Roman" w:hAnsi="Times New Roman" w:cs="Times New Roman"/>
          <w:lang w:val="fr-FR"/>
        </w:rPr>
        <w:t>espèce ;</w:t>
      </w:r>
    </w:p>
    <w:p w14:paraId="2902AE21" w14:textId="79168657"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faciliter la communication interne et externe, et échanger </w:t>
      </w:r>
      <w:r w:rsidR="00CC3E7A" w:rsidRPr="00403C55">
        <w:rPr>
          <w:rFonts w:ascii="Times New Roman" w:hAnsi="Times New Roman" w:cs="Times New Roman"/>
          <w:lang w:val="fr-FR"/>
        </w:rPr>
        <w:t>l</w:t>
      </w:r>
      <w:r w:rsidRPr="00403C55">
        <w:rPr>
          <w:rFonts w:ascii="Times New Roman" w:hAnsi="Times New Roman" w:cs="Times New Roman"/>
          <w:lang w:val="fr-FR"/>
        </w:rPr>
        <w:t>es informations scientifiques, techniques, juridiques et autres</w:t>
      </w:r>
      <w:r w:rsidR="00870983">
        <w:rPr>
          <w:rFonts w:ascii="Times New Roman" w:hAnsi="Times New Roman" w:cs="Times New Roman"/>
          <w:lang w:val="fr-FR"/>
        </w:rPr>
        <w:t xml:space="preserve"> informations</w:t>
      </w:r>
      <w:r w:rsidRPr="00403C55">
        <w:rPr>
          <w:rFonts w:ascii="Times New Roman" w:hAnsi="Times New Roman" w:cs="Times New Roman"/>
          <w:lang w:val="fr-FR"/>
        </w:rPr>
        <w:t xml:space="preserve"> requises;</w:t>
      </w:r>
    </w:p>
    <w:p w14:paraId="66DEEC52" w14:textId="75BA86C1"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aider par des informations à déterminer l’état à la Liste rouge et les tailles et tendances des populations de l’espèce ;</w:t>
      </w:r>
    </w:p>
    <w:p w14:paraId="111CF8CF" w14:textId="4ED15D36"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contrôler régulièrement l’effic</w:t>
      </w:r>
      <w:r w:rsidR="003D5F64" w:rsidRPr="00403C55">
        <w:rPr>
          <w:rFonts w:ascii="Times New Roman" w:hAnsi="Times New Roman" w:cs="Times New Roman"/>
          <w:lang w:val="fr-FR"/>
        </w:rPr>
        <w:t>ience</w:t>
      </w:r>
      <w:r w:rsidRPr="00403C55">
        <w:rPr>
          <w:rFonts w:ascii="Times New Roman" w:hAnsi="Times New Roman" w:cs="Times New Roman"/>
          <w:lang w:val="fr-FR"/>
        </w:rPr>
        <w:t xml:space="preserve"> de la mise en œuvre du SSAP et entreprendre les actions appropriées, selon les résultats de ce contrôle ;</w:t>
      </w:r>
    </w:p>
    <w:p w14:paraId="1F81C9B5" w14:textId="6698F482" w:rsidR="00ED745B"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remettre régulièrement des rapports sur la mise en œuvre du SSAP à la Réunion des Parties à l’AEWA par le biais des points focaux nationaux ; et</w:t>
      </w:r>
    </w:p>
    <w:p w14:paraId="5123FA8C" w14:textId="15148279" w:rsidR="00B46A08" w:rsidRPr="00403C55" w:rsidRDefault="00745568" w:rsidP="003356B2">
      <w:pPr>
        <w:pStyle w:val="ListParagraph"/>
        <w:numPr>
          <w:ilvl w:val="0"/>
          <w:numId w:val="5"/>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mettre à jour </w:t>
      </w:r>
      <w:r w:rsidR="005560D2" w:rsidRPr="00403C55">
        <w:rPr>
          <w:rFonts w:ascii="Times New Roman" w:hAnsi="Times New Roman" w:cs="Times New Roman"/>
          <w:lang w:val="fr-FR"/>
        </w:rPr>
        <w:t>le</w:t>
      </w:r>
      <w:r w:rsidRPr="00403C55">
        <w:rPr>
          <w:rFonts w:ascii="Times New Roman" w:hAnsi="Times New Roman" w:cs="Times New Roman"/>
          <w:lang w:val="fr-FR"/>
        </w:rPr>
        <w:t xml:space="preserve"> SSAP </w:t>
      </w:r>
      <w:r w:rsidR="005560D2" w:rsidRPr="00403C55">
        <w:rPr>
          <w:rFonts w:ascii="Times New Roman" w:hAnsi="Times New Roman" w:cs="Times New Roman"/>
          <w:lang w:val="fr-FR"/>
        </w:rPr>
        <w:t xml:space="preserve">international, </w:t>
      </w:r>
      <w:r w:rsidR="00870983">
        <w:rPr>
          <w:rFonts w:ascii="Times New Roman" w:hAnsi="Times New Roman" w:cs="Times New Roman"/>
          <w:lang w:val="fr-FR"/>
        </w:rPr>
        <w:t>si la demande en est faite</w:t>
      </w:r>
      <w:r w:rsidRPr="00403C55">
        <w:rPr>
          <w:rFonts w:ascii="Times New Roman" w:hAnsi="Times New Roman" w:cs="Times New Roman"/>
          <w:lang w:val="fr-FR"/>
        </w:rPr>
        <w:t>.</w:t>
      </w:r>
    </w:p>
    <w:p w14:paraId="6C4FA5DF" w14:textId="77777777" w:rsidR="00043283" w:rsidRPr="00403C55" w:rsidRDefault="00043283" w:rsidP="00A30751">
      <w:pPr>
        <w:spacing w:after="0" w:line="240" w:lineRule="auto"/>
        <w:jc w:val="both"/>
        <w:rPr>
          <w:rFonts w:ascii="Times New Roman" w:hAnsi="Times New Roman" w:cs="Times New Roman"/>
          <w:lang w:val="fr-FR"/>
        </w:rPr>
      </w:pPr>
    </w:p>
    <w:p w14:paraId="469B541F" w14:textId="00473786" w:rsidR="00D51B4F" w:rsidRPr="00403C55" w:rsidRDefault="005560D2" w:rsidP="00A3075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Ce qui n’est pas mentionné dans les Termes de Référence du groupe de travail mais constitue néanmoins </w:t>
      </w:r>
      <w:r w:rsidRPr="00403C55">
        <w:rPr>
          <w:rFonts w:ascii="Times New Roman" w:hAnsi="Times New Roman" w:cs="Times New Roman"/>
          <w:b/>
          <w:lang w:val="fr-FR"/>
        </w:rPr>
        <w:t xml:space="preserve">une tâche principale de chaque représentant gouvernemental désigné est la responsabilité de coordonner </w:t>
      </w:r>
      <w:r w:rsidR="008F74C7">
        <w:rPr>
          <w:rFonts w:ascii="Times New Roman" w:hAnsi="Times New Roman" w:cs="Times New Roman"/>
          <w:b/>
          <w:lang w:val="fr-FR"/>
        </w:rPr>
        <w:t xml:space="preserve">ou d’organiser et/ou fournir une coordination de </w:t>
      </w:r>
      <w:r w:rsidRPr="00403C55">
        <w:rPr>
          <w:rFonts w:ascii="Times New Roman" w:hAnsi="Times New Roman" w:cs="Times New Roman"/>
          <w:b/>
          <w:lang w:val="fr-FR"/>
        </w:rPr>
        <w:t xml:space="preserve">la mise en œuvre nationale des plans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ou de gestion, respectivement, et de fonctionner en tant que lien entre le groupe de travail international et le groupe de travail national </w:t>
      </w:r>
      <w:r w:rsidRPr="00403C55">
        <w:rPr>
          <w:rFonts w:ascii="Times New Roman" w:hAnsi="Times New Roman" w:cs="Times New Roman"/>
          <w:lang w:val="fr-FR"/>
        </w:rPr>
        <w:t xml:space="preserve">(ou autre agence nationale </w:t>
      </w:r>
      <w:r w:rsidRPr="00403C55">
        <w:rPr>
          <w:rFonts w:ascii="Times New Roman" w:hAnsi="Times New Roman" w:cs="Times New Roman"/>
          <w:lang w:val="fr-FR"/>
        </w:rPr>
        <w:lastRenderedPageBreak/>
        <w:t>chargée de la mise en œuvre du plan – pour de plus amples détails, voir le chapitre 4 ci-dessous).</w:t>
      </w:r>
      <w:r w:rsidR="006006CB" w:rsidRPr="00403C55">
        <w:rPr>
          <w:rFonts w:ascii="Times New Roman" w:hAnsi="Times New Roman" w:cs="Times New Roman"/>
          <w:lang w:val="fr-FR"/>
        </w:rPr>
        <w:t xml:space="preserve"> </w:t>
      </w:r>
      <w:r w:rsidRPr="00403C55">
        <w:rPr>
          <w:rFonts w:ascii="Times New Roman" w:hAnsi="Times New Roman" w:cs="Times New Roman"/>
          <w:lang w:val="fr-FR"/>
        </w:rPr>
        <w:t xml:space="preserve">Ceci inclut, </w:t>
      </w:r>
      <w:r w:rsidR="00870983">
        <w:rPr>
          <w:rFonts w:ascii="Times New Roman" w:hAnsi="Times New Roman" w:cs="Times New Roman"/>
          <w:lang w:val="fr-FR"/>
        </w:rPr>
        <w:t>entre autres</w:t>
      </w:r>
      <w:r w:rsidRPr="00403C55">
        <w:rPr>
          <w:rFonts w:ascii="Times New Roman" w:hAnsi="Times New Roman" w:cs="Times New Roman"/>
          <w:lang w:val="fr-FR"/>
        </w:rPr>
        <w:t>, le guidage des activités de mise en œuvre nationales en vertu des décisions prises par le groupe de travail et la consultation avec les parties prenantes nationales concernées avant de remettre un rapport au groupe de travail sur l’avancement de la mise en œuvre au niveau national.</w:t>
      </w:r>
      <w:r w:rsidR="00043283" w:rsidRPr="00403C55">
        <w:rPr>
          <w:rFonts w:ascii="Times New Roman" w:hAnsi="Times New Roman" w:cs="Times New Roman"/>
          <w:lang w:val="fr-FR"/>
        </w:rPr>
        <w:t xml:space="preserve"> </w:t>
      </w:r>
      <w:r w:rsidRPr="00403C55">
        <w:rPr>
          <w:rFonts w:ascii="Times New Roman" w:hAnsi="Times New Roman" w:cs="Times New Roman"/>
          <w:lang w:val="fr-FR"/>
        </w:rPr>
        <w:t>Il s’agit d’une tâche cruciale qui n’a peut-être pas été suffisamment soulignée jusqu’à ce jour.</w:t>
      </w:r>
    </w:p>
    <w:p w14:paraId="4FF709B2" w14:textId="77777777" w:rsidR="00484A46" w:rsidRPr="00403C55" w:rsidRDefault="00484A46" w:rsidP="00A30751">
      <w:pPr>
        <w:spacing w:after="0" w:line="240" w:lineRule="auto"/>
        <w:jc w:val="both"/>
        <w:rPr>
          <w:rFonts w:ascii="Times New Roman" w:hAnsi="Times New Roman" w:cs="Times New Roman"/>
          <w:lang w:val="fr-FR"/>
        </w:rPr>
      </w:pPr>
    </w:p>
    <w:p w14:paraId="533BC2BC" w14:textId="66A20178" w:rsidR="0028320E" w:rsidRPr="00403C55" w:rsidRDefault="008F74C7" w:rsidP="00A30751">
      <w:pPr>
        <w:spacing w:after="0" w:line="240" w:lineRule="auto"/>
        <w:jc w:val="both"/>
        <w:rPr>
          <w:rFonts w:ascii="Times New Roman" w:hAnsi="Times New Roman" w:cs="Times New Roman"/>
          <w:i/>
          <w:lang w:val="fr-FR"/>
        </w:rPr>
      </w:pPr>
      <w:r>
        <w:rPr>
          <w:rFonts w:ascii="Times New Roman" w:hAnsi="Times New Roman" w:cs="Times New Roman"/>
          <w:lang w:val="fr-FR"/>
        </w:rPr>
        <w:t>3.2.4</w:t>
      </w:r>
      <w:r w:rsidR="0028320E" w:rsidRPr="00403C55">
        <w:rPr>
          <w:rFonts w:ascii="Times New Roman" w:hAnsi="Times New Roman" w:cs="Times New Roman"/>
          <w:lang w:val="fr-FR"/>
        </w:rPr>
        <w:t xml:space="preserve">. </w:t>
      </w:r>
      <w:r w:rsidR="005560D2" w:rsidRPr="00403C55">
        <w:rPr>
          <w:rFonts w:ascii="Times New Roman" w:hAnsi="Times New Roman" w:cs="Times New Roman"/>
          <w:i/>
          <w:lang w:val="fr-FR"/>
        </w:rPr>
        <w:t xml:space="preserve">Image de marque des groupes de travail internationaux par espèce </w:t>
      </w:r>
      <w:r w:rsidR="0003562F">
        <w:rPr>
          <w:rFonts w:ascii="Times New Roman" w:hAnsi="Times New Roman" w:cs="Times New Roman"/>
          <w:i/>
          <w:lang w:val="fr-FR"/>
        </w:rPr>
        <w:t>de l’AEWA</w:t>
      </w:r>
      <w:r w:rsidR="0028320E" w:rsidRPr="00403C55">
        <w:rPr>
          <w:rFonts w:ascii="Times New Roman" w:hAnsi="Times New Roman" w:cs="Times New Roman"/>
          <w:i/>
          <w:lang w:val="fr-FR"/>
        </w:rPr>
        <w:t xml:space="preserve"> </w:t>
      </w:r>
    </w:p>
    <w:p w14:paraId="36AA94AB" w14:textId="77777777" w:rsidR="00A30751" w:rsidRPr="00403C55" w:rsidRDefault="00A30751" w:rsidP="00FD4676">
      <w:pPr>
        <w:spacing w:after="0" w:line="240" w:lineRule="auto"/>
        <w:jc w:val="both"/>
        <w:rPr>
          <w:rFonts w:ascii="Times New Roman" w:hAnsi="Times New Roman" w:cs="Times New Roman"/>
          <w:lang w:val="fr-FR"/>
        </w:rPr>
      </w:pPr>
    </w:p>
    <w:p w14:paraId="49162CF3" w14:textId="5B785250" w:rsidR="0028320E" w:rsidRPr="00403C55" w:rsidRDefault="005560D2" w:rsidP="002832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Comme les groupes de travail fonctionnent dans le cadre </w:t>
      </w:r>
      <w:r w:rsidR="0003562F">
        <w:rPr>
          <w:rFonts w:ascii="Times New Roman" w:hAnsi="Times New Roman" w:cs="Times New Roman"/>
          <w:lang w:val="fr-FR"/>
        </w:rPr>
        <w:t>de l’AEWA</w:t>
      </w:r>
      <w:r w:rsidRPr="00403C55">
        <w:rPr>
          <w:rFonts w:ascii="Times New Roman" w:hAnsi="Times New Roman" w:cs="Times New Roman"/>
          <w:lang w:val="fr-FR"/>
        </w:rPr>
        <w:t xml:space="preserve">, le Secrétariat a fait des efforts pour assurer que tous les groupes s’identifiant comme étant des Groupes de travail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aient une image de marque commune – quoique peu stricte.</w:t>
      </w:r>
      <w:r w:rsidR="0028320E" w:rsidRPr="00403C55">
        <w:rPr>
          <w:rFonts w:ascii="Times New Roman" w:hAnsi="Times New Roman" w:cs="Times New Roman"/>
          <w:lang w:val="fr-FR"/>
        </w:rPr>
        <w:t xml:space="preserve"> </w:t>
      </w:r>
      <w:r w:rsidRPr="00403C55">
        <w:rPr>
          <w:rFonts w:ascii="Times New Roman" w:hAnsi="Times New Roman" w:cs="Times New Roman"/>
          <w:lang w:val="fr-FR"/>
        </w:rPr>
        <w:t>Cette « identité</w:t>
      </w:r>
      <w:r w:rsidR="00C70B15" w:rsidRPr="00403C55">
        <w:rPr>
          <w:rFonts w:ascii="Times New Roman" w:hAnsi="Times New Roman" w:cs="Times New Roman"/>
          <w:lang w:val="fr-FR"/>
        </w:rPr>
        <w:t> » des groupes de travail</w:t>
      </w:r>
      <w:r w:rsidRPr="00403C55">
        <w:rPr>
          <w:rFonts w:ascii="Times New Roman" w:hAnsi="Times New Roman" w:cs="Times New Roman"/>
          <w:lang w:val="fr-FR"/>
        </w:rPr>
        <w:t xml:space="preserve"> </w:t>
      </w:r>
      <w:r w:rsidR="00C70B15" w:rsidRPr="00403C55">
        <w:rPr>
          <w:rFonts w:ascii="Times New Roman" w:hAnsi="Times New Roman" w:cs="Times New Roman"/>
          <w:lang w:val="fr-FR"/>
        </w:rPr>
        <w:t>est toujours en cours de développement</w:t>
      </w:r>
      <w:r w:rsidRPr="00403C55">
        <w:rPr>
          <w:rFonts w:ascii="Times New Roman" w:hAnsi="Times New Roman" w:cs="Times New Roman"/>
          <w:lang w:val="fr-FR"/>
        </w:rPr>
        <w:t xml:space="preserve">, </w:t>
      </w:r>
      <w:r w:rsidR="00C70B15" w:rsidRPr="00403C55">
        <w:rPr>
          <w:rFonts w:ascii="Times New Roman" w:hAnsi="Times New Roman" w:cs="Times New Roman"/>
          <w:lang w:val="fr-FR"/>
        </w:rPr>
        <w:t xml:space="preserve">mais les outils </w:t>
      </w:r>
      <w:r w:rsidR="00870983">
        <w:rPr>
          <w:rFonts w:ascii="Times New Roman" w:hAnsi="Times New Roman" w:cs="Times New Roman"/>
          <w:lang w:val="fr-FR"/>
        </w:rPr>
        <w:t xml:space="preserve">ci-dessous </w:t>
      </w:r>
      <w:r w:rsidR="00C70B15" w:rsidRPr="00403C55">
        <w:rPr>
          <w:rFonts w:ascii="Times New Roman" w:hAnsi="Times New Roman" w:cs="Times New Roman"/>
          <w:lang w:val="fr-FR"/>
        </w:rPr>
        <w:t>suiv</w:t>
      </w:r>
      <w:r w:rsidR="00870983">
        <w:rPr>
          <w:rFonts w:ascii="Times New Roman" w:hAnsi="Times New Roman" w:cs="Times New Roman"/>
          <w:lang w:val="fr-FR"/>
        </w:rPr>
        <w:t>e</w:t>
      </w:r>
      <w:r w:rsidR="00C70B15" w:rsidRPr="00403C55">
        <w:rPr>
          <w:rFonts w:ascii="Times New Roman" w:hAnsi="Times New Roman" w:cs="Times New Roman"/>
          <w:lang w:val="fr-FR"/>
        </w:rPr>
        <w:t>nt a</w:t>
      </w:r>
      <w:r w:rsidR="00254787" w:rsidRPr="00403C55">
        <w:rPr>
          <w:rFonts w:ascii="Times New Roman" w:hAnsi="Times New Roman" w:cs="Times New Roman"/>
          <w:lang w:val="fr-FR"/>
        </w:rPr>
        <w:t>c</w:t>
      </w:r>
      <w:r w:rsidR="00C70B15" w:rsidRPr="00403C55">
        <w:rPr>
          <w:rFonts w:ascii="Times New Roman" w:hAnsi="Times New Roman" w:cs="Times New Roman"/>
          <w:lang w:val="fr-FR"/>
        </w:rPr>
        <w:t xml:space="preserve">tuellement un format similaire </w:t>
      </w:r>
      <w:r w:rsidRPr="00403C55">
        <w:rPr>
          <w:rFonts w:ascii="Times New Roman" w:hAnsi="Times New Roman" w:cs="Times New Roman"/>
          <w:lang w:val="fr-FR"/>
        </w:rPr>
        <w:t>:</w:t>
      </w:r>
      <w:r w:rsidR="0028320E" w:rsidRPr="00403C55">
        <w:rPr>
          <w:rFonts w:ascii="Times New Roman" w:hAnsi="Times New Roman" w:cs="Times New Roman"/>
          <w:lang w:val="fr-FR"/>
        </w:rPr>
        <w:t xml:space="preserve"> </w:t>
      </w:r>
    </w:p>
    <w:p w14:paraId="72C75565" w14:textId="77777777" w:rsidR="0028320E" w:rsidRPr="00403C55" w:rsidRDefault="0028320E" w:rsidP="0028320E">
      <w:pPr>
        <w:spacing w:after="0" w:line="240" w:lineRule="auto"/>
        <w:jc w:val="both"/>
        <w:rPr>
          <w:rFonts w:ascii="Times New Roman" w:hAnsi="Times New Roman" w:cs="Times New Roman"/>
          <w:lang w:val="fr-FR"/>
        </w:rPr>
      </w:pPr>
    </w:p>
    <w:p w14:paraId="6423EBD7" w14:textId="427D5CEB" w:rsidR="0028320E" w:rsidRPr="00403C55" w:rsidRDefault="00C70B15" w:rsidP="003356B2">
      <w:pPr>
        <w:pStyle w:val="ListParagraph"/>
        <w:numPr>
          <w:ilvl w:val="0"/>
          <w:numId w:val="6"/>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Logos du groupe de travail</w:t>
      </w:r>
      <w:r w:rsidR="0028320E" w:rsidRPr="00403C55">
        <w:rPr>
          <w:rFonts w:ascii="Times New Roman" w:hAnsi="Times New Roman" w:cs="Times New Roman"/>
          <w:lang w:val="fr-FR"/>
        </w:rPr>
        <w:t xml:space="preserve"> </w:t>
      </w:r>
    </w:p>
    <w:p w14:paraId="511B8387" w14:textId="04FCC030" w:rsidR="0028320E" w:rsidRPr="00403C55" w:rsidRDefault="00C70B15" w:rsidP="003356B2">
      <w:pPr>
        <w:pStyle w:val="ListParagraph"/>
        <w:numPr>
          <w:ilvl w:val="0"/>
          <w:numId w:val="6"/>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En-têtes du groupe de travail</w:t>
      </w:r>
    </w:p>
    <w:p w14:paraId="2791A584" w14:textId="2929BA0B" w:rsidR="0028320E" w:rsidRPr="00403C55" w:rsidRDefault="00C70B15" w:rsidP="003356B2">
      <w:pPr>
        <w:pStyle w:val="ListParagraph"/>
        <w:numPr>
          <w:ilvl w:val="0"/>
          <w:numId w:val="6"/>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Format des documents de réunion</w:t>
      </w:r>
    </w:p>
    <w:p w14:paraId="198779C5" w14:textId="7B1E1EE5" w:rsidR="0028320E" w:rsidRPr="00403C55" w:rsidRDefault="00C70B15" w:rsidP="003356B2">
      <w:pPr>
        <w:pStyle w:val="ListParagraph"/>
        <w:numPr>
          <w:ilvl w:val="0"/>
          <w:numId w:val="6"/>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Matériels promotionnels (bandeaux, autocollants, etc.)</w:t>
      </w:r>
    </w:p>
    <w:p w14:paraId="7D57329C" w14:textId="4A3AAE25" w:rsidR="004172F3" w:rsidRPr="00403C55" w:rsidRDefault="00C70B15" w:rsidP="003356B2">
      <w:pPr>
        <w:pStyle w:val="ListParagraph"/>
        <w:numPr>
          <w:ilvl w:val="0"/>
          <w:numId w:val="6"/>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Sites Web</w:t>
      </w:r>
    </w:p>
    <w:p w14:paraId="153D85C8" w14:textId="77777777" w:rsidR="0028320E" w:rsidRPr="00403C55" w:rsidRDefault="0028320E" w:rsidP="00A30751">
      <w:pPr>
        <w:spacing w:after="0" w:line="240" w:lineRule="auto"/>
        <w:jc w:val="both"/>
        <w:rPr>
          <w:rFonts w:ascii="Times New Roman" w:hAnsi="Times New Roman" w:cs="Times New Roman"/>
          <w:lang w:val="fr-FR"/>
        </w:rPr>
      </w:pPr>
    </w:p>
    <w:p w14:paraId="74420DEA" w14:textId="2104A870" w:rsidR="0028320E" w:rsidRPr="00403C55" w:rsidRDefault="00C70B15" w:rsidP="002832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a développé un gabarit </w:t>
      </w:r>
      <w:r w:rsidR="00E420EE" w:rsidRPr="00403C55">
        <w:rPr>
          <w:rFonts w:ascii="Times New Roman" w:hAnsi="Times New Roman" w:cs="Times New Roman"/>
          <w:lang w:val="fr-FR"/>
        </w:rPr>
        <w:t xml:space="preserve">de gestion du contenu </w:t>
      </w:r>
      <w:r w:rsidRPr="00403C55">
        <w:rPr>
          <w:rFonts w:ascii="Times New Roman" w:hAnsi="Times New Roman" w:cs="Times New Roman"/>
          <w:lang w:val="fr-FR"/>
        </w:rPr>
        <w:t xml:space="preserve">Drupal </w:t>
      </w:r>
      <w:r w:rsidR="00E420EE" w:rsidRPr="00403C55">
        <w:rPr>
          <w:rFonts w:ascii="Times New Roman" w:hAnsi="Times New Roman" w:cs="Times New Roman"/>
          <w:lang w:val="fr-FR"/>
        </w:rPr>
        <w:t>pour les sites Web des groupes de travail internationaux par espèce</w:t>
      </w:r>
      <w:r w:rsidRPr="00403C55">
        <w:rPr>
          <w:rFonts w:ascii="Times New Roman" w:hAnsi="Times New Roman" w:cs="Times New Roman"/>
          <w:lang w:val="fr-FR"/>
        </w:rPr>
        <w:t>.</w:t>
      </w:r>
      <w:r w:rsidR="0028320E" w:rsidRPr="00403C55">
        <w:rPr>
          <w:rFonts w:ascii="Times New Roman" w:hAnsi="Times New Roman" w:cs="Times New Roman"/>
          <w:lang w:val="fr-FR"/>
        </w:rPr>
        <w:t xml:space="preserve"> </w:t>
      </w:r>
      <w:r w:rsidR="00E420EE" w:rsidRPr="00403C55">
        <w:rPr>
          <w:rFonts w:ascii="Times New Roman" w:hAnsi="Times New Roman" w:cs="Times New Roman"/>
          <w:lang w:val="fr-FR"/>
        </w:rPr>
        <w:t>Le gabarit inclut un site Web externe présentant le plan, le groupe de travail et l’espèce, ainsi qu’un espace de travail interne ouvert uniquement aux membres du groupe de travail et aux observateurs.</w:t>
      </w:r>
      <w:r w:rsidR="0028320E" w:rsidRPr="00403C55">
        <w:rPr>
          <w:rFonts w:ascii="Times New Roman" w:hAnsi="Times New Roman" w:cs="Times New Roman"/>
          <w:lang w:val="fr-FR"/>
        </w:rPr>
        <w:t xml:space="preserve"> </w:t>
      </w:r>
      <w:r w:rsidR="00E420EE" w:rsidRPr="00403C55">
        <w:rPr>
          <w:rFonts w:ascii="Times New Roman" w:hAnsi="Times New Roman" w:cs="Times New Roman"/>
          <w:lang w:val="fr-FR"/>
        </w:rPr>
        <w:t>Tous les sites Web sont actuellement hébergés par le Secrétariat.</w:t>
      </w:r>
    </w:p>
    <w:p w14:paraId="251CB60E" w14:textId="77777777" w:rsidR="00697C77" w:rsidRPr="00403C55" w:rsidRDefault="00697C77" w:rsidP="0028320E">
      <w:pPr>
        <w:spacing w:after="0" w:line="240" w:lineRule="auto"/>
        <w:jc w:val="both"/>
        <w:rPr>
          <w:rFonts w:ascii="Times New Roman" w:hAnsi="Times New Roman" w:cs="Times New Roman"/>
          <w:lang w:val="fr-FR"/>
        </w:rPr>
      </w:pPr>
    </w:p>
    <w:p w14:paraId="59810E3A" w14:textId="0C03385C" w:rsidR="00A30751" w:rsidRPr="00403C55" w:rsidRDefault="001A48F9" w:rsidP="00350533">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3.3. </w:t>
      </w:r>
      <w:r w:rsidR="00E420EE" w:rsidRPr="00403C55">
        <w:rPr>
          <w:rFonts w:ascii="Times New Roman" w:hAnsi="Times New Roman" w:cs="Times New Roman"/>
          <w:b/>
          <w:lang w:val="fr-FR"/>
        </w:rPr>
        <w:t xml:space="preserve">Groupes d’experts internationaux par espèce </w:t>
      </w:r>
      <w:r w:rsidR="0003562F">
        <w:rPr>
          <w:rFonts w:ascii="Times New Roman" w:hAnsi="Times New Roman" w:cs="Times New Roman"/>
          <w:b/>
          <w:lang w:val="fr-FR"/>
        </w:rPr>
        <w:t>de l’AEWA</w:t>
      </w:r>
    </w:p>
    <w:p w14:paraId="470BAA6D" w14:textId="77777777" w:rsidR="00A30751" w:rsidRPr="00403C55" w:rsidRDefault="00A30751" w:rsidP="00A30751">
      <w:pPr>
        <w:spacing w:after="0" w:line="240" w:lineRule="auto"/>
        <w:jc w:val="both"/>
        <w:rPr>
          <w:rFonts w:ascii="Times New Roman" w:hAnsi="Times New Roman" w:cs="Times New Roman"/>
          <w:b/>
          <w:lang w:val="fr-FR"/>
        </w:rPr>
      </w:pPr>
    </w:p>
    <w:p w14:paraId="2595EBE5" w14:textId="333CD030" w:rsidR="000078A3" w:rsidRPr="00403C55" w:rsidRDefault="00E420EE" w:rsidP="000078A3">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groupes d</w:t>
      </w:r>
      <w:r w:rsidR="00FE6EE5">
        <w:rPr>
          <w:rFonts w:ascii="Times New Roman" w:hAnsi="Times New Roman" w:cs="Times New Roman"/>
          <w:lang w:val="fr-FR"/>
        </w:rPr>
        <w:t>’</w:t>
      </w:r>
      <w:r w:rsidRPr="00403C55">
        <w:rPr>
          <w:rFonts w:ascii="Times New Roman" w:hAnsi="Times New Roman" w:cs="Times New Roman"/>
          <w:lang w:val="fr-FR"/>
        </w:rPr>
        <w:t xml:space="preserve">experts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sont établis pour coordonner et faciliter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 qui n</w:t>
      </w:r>
      <w:r w:rsidR="00FE6EE5">
        <w:rPr>
          <w:rFonts w:ascii="Times New Roman" w:hAnsi="Times New Roman" w:cs="Times New Roman"/>
          <w:lang w:val="fr-FR"/>
        </w:rPr>
        <w:t xml:space="preserve">e disposent pas de </w:t>
      </w:r>
      <w:r w:rsidRPr="00403C55">
        <w:rPr>
          <w:rFonts w:ascii="Times New Roman" w:hAnsi="Times New Roman" w:cs="Times New Roman"/>
          <w:lang w:val="fr-FR"/>
        </w:rPr>
        <w:t>la priorité suffisante pour un groupe de travail intergouvernemental complet.</w:t>
      </w:r>
      <w:r w:rsidR="000078A3" w:rsidRPr="00403C55">
        <w:rPr>
          <w:rFonts w:ascii="Times New Roman" w:hAnsi="Times New Roman" w:cs="Times New Roman"/>
          <w:lang w:val="fr-FR"/>
        </w:rPr>
        <w:t xml:space="preserve"> </w:t>
      </w:r>
      <w:r w:rsidRPr="00403C55">
        <w:rPr>
          <w:rFonts w:ascii="Times New Roman" w:hAnsi="Times New Roman" w:cs="Times New Roman"/>
          <w:lang w:val="fr-FR"/>
        </w:rPr>
        <w:t xml:space="preserve">Les groupes d’experts sont guidés par les Termes de Référence génériques pour les groupes de travail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adoptés par le Comité technique lors de sa 11</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réunion, en 2012 </w:t>
      </w:r>
      <w:r w:rsidRPr="004B1407">
        <w:rPr>
          <w:rFonts w:ascii="Times New Roman" w:hAnsi="Times New Roman" w:cs="Times New Roman"/>
          <w:lang w:val="fr-FR"/>
        </w:rPr>
        <w:t xml:space="preserve">(Annexe </w:t>
      </w:r>
      <w:r w:rsidR="00254787" w:rsidRPr="004B1407">
        <w:rPr>
          <w:rFonts w:ascii="Times New Roman" w:hAnsi="Times New Roman" w:cs="Times New Roman"/>
          <w:lang w:val="fr-FR"/>
        </w:rPr>
        <w:t>4</w:t>
      </w:r>
      <w:r w:rsidRPr="004B1407">
        <w:rPr>
          <w:rFonts w:ascii="Times New Roman" w:hAnsi="Times New Roman" w:cs="Times New Roman"/>
          <w:lang w:val="fr-FR"/>
        </w:rPr>
        <w:t>).</w:t>
      </w:r>
      <w:r w:rsidR="00C325A9" w:rsidRPr="00403C55">
        <w:rPr>
          <w:rFonts w:ascii="Times New Roman" w:hAnsi="Times New Roman" w:cs="Times New Roman"/>
          <w:lang w:val="fr-FR"/>
        </w:rPr>
        <w:t xml:space="preserve"> </w:t>
      </w:r>
    </w:p>
    <w:p w14:paraId="038770EF" w14:textId="77777777" w:rsidR="00C325A9" w:rsidRPr="00403C55" w:rsidRDefault="00C325A9" w:rsidP="000078A3">
      <w:pPr>
        <w:spacing w:after="0" w:line="240" w:lineRule="auto"/>
        <w:jc w:val="both"/>
        <w:rPr>
          <w:rFonts w:ascii="Times New Roman" w:hAnsi="Times New Roman" w:cs="Times New Roman"/>
          <w:lang w:val="fr-FR"/>
        </w:rPr>
      </w:pPr>
    </w:p>
    <w:p w14:paraId="7E0431E6" w14:textId="28A13ED6" w:rsidR="00C325A9" w:rsidRPr="00403C55" w:rsidRDefault="00E420EE" w:rsidP="00C325A9">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Bien que les liens entre les groupes d’experts </w:t>
      </w:r>
      <w:r w:rsidR="00254787" w:rsidRPr="00403C55">
        <w:rPr>
          <w:rFonts w:ascii="Times New Roman" w:hAnsi="Times New Roman" w:cs="Times New Roman"/>
          <w:lang w:val="fr-FR"/>
        </w:rPr>
        <w:t>et</w:t>
      </w:r>
      <w:r w:rsidRPr="00403C55">
        <w:rPr>
          <w:rFonts w:ascii="Times New Roman" w:hAnsi="Times New Roman" w:cs="Times New Roman"/>
          <w:lang w:val="fr-FR"/>
        </w:rPr>
        <w:t xml:space="preserve"> l’Accord ne soient pas aussi étroits que dans le cas des groupes de travail, l’affiliation officielle avec l’AEWA peut néanmoins apporter une forte valeur ajoutée au statut international et au travail du réseau du groupe d’experts des espèces, sous la forme, par exemple, d’une aide renforcée apportée par les gouvernements et</w:t>
      </w:r>
      <w:r w:rsidR="00B34832">
        <w:rPr>
          <w:rFonts w:ascii="Times New Roman" w:hAnsi="Times New Roman" w:cs="Times New Roman"/>
          <w:lang w:val="fr-FR"/>
        </w:rPr>
        <w:t xml:space="preserve"> la communauté internationale de défense de l’environnement</w:t>
      </w:r>
      <w:r w:rsidRPr="00403C55">
        <w:rPr>
          <w:rFonts w:ascii="Times New Roman" w:hAnsi="Times New Roman" w:cs="Times New Roman"/>
          <w:lang w:val="fr-FR"/>
        </w:rPr>
        <w:t xml:space="preserve">, d’un accès aux contacts </w:t>
      </w:r>
      <w:r w:rsidR="0003562F">
        <w:rPr>
          <w:rFonts w:ascii="Times New Roman" w:hAnsi="Times New Roman" w:cs="Times New Roman"/>
          <w:lang w:val="fr-FR"/>
        </w:rPr>
        <w:t>de l’AEWA</w:t>
      </w:r>
      <w:r w:rsidRPr="00403C55">
        <w:rPr>
          <w:rFonts w:ascii="Times New Roman" w:hAnsi="Times New Roman" w:cs="Times New Roman"/>
          <w:lang w:val="fr-FR"/>
        </w:rPr>
        <w:t xml:space="preserve"> et de</w:t>
      </w:r>
      <w:r w:rsidR="00AA06FE" w:rsidRPr="00403C55">
        <w:rPr>
          <w:rFonts w:ascii="Times New Roman" w:hAnsi="Times New Roman" w:cs="Times New Roman"/>
          <w:lang w:val="fr-FR"/>
        </w:rPr>
        <w:t>s conseils</w:t>
      </w:r>
      <w:r w:rsidRPr="00403C55">
        <w:rPr>
          <w:rFonts w:ascii="Times New Roman" w:hAnsi="Times New Roman" w:cs="Times New Roman"/>
          <w:lang w:val="fr-FR"/>
        </w:rPr>
        <w:t xml:space="preserve"> d’organismes </w:t>
      </w:r>
      <w:r w:rsidR="0003562F">
        <w:rPr>
          <w:rFonts w:ascii="Times New Roman" w:hAnsi="Times New Roman" w:cs="Times New Roman"/>
          <w:lang w:val="fr-FR"/>
        </w:rPr>
        <w:t>de l’AEWA</w:t>
      </w:r>
      <w:r w:rsidRPr="00403C55">
        <w:rPr>
          <w:rFonts w:ascii="Times New Roman" w:hAnsi="Times New Roman" w:cs="Times New Roman"/>
          <w:lang w:val="fr-FR"/>
        </w:rPr>
        <w:t xml:space="preserve"> tels que le Comité technique, ainsi qu</w:t>
      </w:r>
      <w:r w:rsidR="00FE6EE5">
        <w:rPr>
          <w:rFonts w:ascii="Times New Roman" w:hAnsi="Times New Roman" w:cs="Times New Roman"/>
          <w:lang w:val="fr-FR"/>
        </w:rPr>
        <w:t>e d</w:t>
      </w:r>
      <w:r w:rsidRPr="00403C55">
        <w:rPr>
          <w:rFonts w:ascii="Times New Roman" w:hAnsi="Times New Roman" w:cs="Times New Roman"/>
          <w:lang w:val="fr-FR"/>
        </w:rPr>
        <w:t>’un accès éventuel à de nouvelles sources de financement.</w:t>
      </w:r>
      <w:r w:rsidR="00C325A9" w:rsidRPr="00403C55">
        <w:rPr>
          <w:rFonts w:ascii="Times New Roman" w:hAnsi="Times New Roman" w:cs="Times New Roman"/>
          <w:lang w:val="fr-FR"/>
        </w:rPr>
        <w:t xml:space="preserve"> </w:t>
      </w:r>
    </w:p>
    <w:p w14:paraId="01FB43C9" w14:textId="77777777" w:rsidR="00C325A9" w:rsidRPr="00403C55" w:rsidRDefault="00C325A9" w:rsidP="000078A3">
      <w:pPr>
        <w:spacing w:after="0" w:line="240" w:lineRule="auto"/>
        <w:jc w:val="both"/>
        <w:rPr>
          <w:rFonts w:ascii="Times New Roman" w:hAnsi="Times New Roman" w:cs="Times New Roman"/>
          <w:lang w:val="fr-FR"/>
        </w:rPr>
      </w:pPr>
    </w:p>
    <w:p w14:paraId="1F6439FB" w14:textId="7708CA2A" w:rsidR="000078A3" w:rsidRPr="00403C55" w:rsidRDefault="000078A3" w:rsidP="000078A3">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3.3.1. </w:t>
      </w:r>
      <w:r w:rsidR="00E420EE" w:rsidRPr="00403C55">
        <w:rPr>
          <w:rFonts w:ascii="Times New Roman" w:hAnsi="Times New Roman" w:cs="Times New Roman"/>
          <w:i/>
          <w:lang w:val="fr-FR"/>
        </w:rPr>
        <w:t>Composition et établissement</w:t>
      </w:r>
    </w:p>
    <w:p w14:paraId="6311225B" w14:textId="77777777" w:rsidR="000078A3" w:rsidRPr="00403C55" w:rsidRDefault="000078A3" w:rsidP="000078A3">
      <w:pPr>
        <w:spacing w:after="0" w:line="240" w:lineRule="auto"/>
        <w:jc w:val="both"/>
        <w:rPr>
          <w:rFonts w:ascii="Times New Roman" w:hAnsi="Times New Roman" w:cs="Times New Roman"/>
          <w:lang w:val="fr-FR"/>
        </w:rPr>
      </w:pPr>
    </w:p>
    <w:p w14:paraId="235FFB8A" w14:textId="6B21F2F0" w:rsidR="00C325A9" w:rsidRPr="00403C55" w:rsidRDefault="008E7CDA" w:rsidP="00350533">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À l’opposé des Groupes de travail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qui sont plus officiels, les groupes d</w:t>
      </w:r>
      <w:r w:rsidR="00FE6EE5">
        <w:rPr>
          <w:rFonts w:ascii="Times New Roman" w:hAnsi="Times New Roman" w:cs="Times New Roman"/>
          <w:lang w:val="fr-FR"/>
        </w:rPr>
        <w:t>’</w:t>
      </w:r>
      <w:r w:rsidRPr="00403C55">
        <w:rPr>
          <w:rFonts w:ascii="Times New Roman" w:hAnsi="Times New Roman" w:cs="Times New Roman"/>
          <w:lang w:val="fr-FR"/>
        </w:rPr>
        <w:t xml:space="preserve">experts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sont largement basés sur des réseaux de coopération d’experts déjà existants et sont de nature plus flexible – tout en demandant moins de </w:t>
      </w:r>
      <w:r w:rsidR="00AA06FE" w:rsidRPr="00403C55">
        <w:rPr>
          <w:rFonts w:ascii="Times New Roman" w:hAnsi="Times New Roman" w:cs="Times New Roman"/>
          <w:lang w:val="fr-FR"/>
        </w:rPr>
        <w:t>conseils</w:t>
      </w:r>
      <w:r w:rsidRPr="00403C55">
        <w:rPr>
          <w:rFonts w:ascii="Times New Roman" w:hAnsi="Times New Roman" w:cs="Times New Roman"/>
          <w:lang w:val="fr-FR"/>
        </w:rPr>
        <w:t xml:space="preserve"> et de données du Secrétariat dans leur travail quotidien.</w:t>
      </w:r>
      <w:r w:rsidR="00350533" w:rsidRPr="00403C55">
        <w:rPr>
          <w:rFonts w:ascii="Times New Roman" w:hAnsi="Times New Roman" w:cs="Times New Roman"/>
          <w:lang w:val="fr-FR"/>
        </w:rPr>
        <w:t xml:space="preserve"> </w:t>
      </w:r>
      <w:r w:rsidRPr="00403C55">
        <w:rPr>
          <w:rFonts w:ascii="Times New Roman" w:hAnsi="Times New Roman" w:cs="Times New Roman"/>
          <w:lang w:val="fr-FR"/>
        </w:rPr>
        <w:t>Les groupes d’experts sont par conséquent beaucoup plus flexibles et termes d’adhésion.</w:t>
      </w:r>
      <w:r w:rsidR="00C325A9" w:rsidRPr="00403C55">
        <w:rPr>
          <w:rFonts w:ascii="Times New Roman" w:hAnsi="Times New Roman" w:cs="Times New Roman"/>
          <w:lang w:val="fr-FR"/>
        </w:rPr>
        <w:t xml:space="preserve"> </w:t>
      </w:r>
      <w:r w:rsidRPr="00403C55">
        <w:rPr>
          <w:rFonts w:ascii="Times New Roman" w:hAnsi="Times New Roman" w:cs="Times New Roman"/>
          <w:lang w:val="fr-FR"/>
        </w:rPr>
        <w:t>Comme exp</w:t>
      </w:r>
      <w:r w:rsidR="00F30D6B" w:rsidRPr="00403C55">
        <w:rPr>
          <w:rFonts w:ascii="Times New Roman" w:hAnsi="Times New Roman" w:cs="Times New Roman"/>
          <w:lang w:val="fr-FR"/>
        </w:rPr>
        <w:t>os</w:t>
      </w:r>
      <w:r w:rsidRPr="00403C55">
        <w:rPr>
          <w:rFonts w:ascii="Times New Roman" w:hAnsi="Times New Roman" w:cs="Times New Roman"/>
          <w:lang w:val="fr-FR"/>
        </w:rPr>
        <w:t xml:space="preserve">é dans les Termes de Référence génériques, les groupes d’experts sont ouverts à 1) des représentants d’agences gouvernementales de tous les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importants pour la mise en œuvre </w:t>
      </w:r>
      <w:r w:rsidR="0003562F">
        <w:rPr>
          <w:rFonts w:ascii="Times New Roman" w:hAnsi="Times New Roman" w:cs="Times New Roman"/>
          <w:lang w:val="fr-FR"/>
        </w:rPr>
        <w:t>de l’AEWA</w:t>
      </w:r>
      <w:r w:rsidRPr="00403C55">
        <w:rPr>
          <w:rFonts w:ascii="Times New Roman" w:hAnsi="Times New Roman" w:cs="Times New Roman"/>
          <w:lang w:val="fr-FR"/>
        </w:rPr>
        <w:t>, 2) des représentants d’organisations d’experts nationaux et d’</w:t>
      </w:r>
      <w:r w:rsidR="00B34832">
        <w:rPr>
          <w:rFonts w:ascii="Times New Roman" w:hAnsi="Times New Roman" w:cs="Times New Roman"/>
          <w:lang w:val="fr-FR"/>
        </w:rPr>
        <w:t>organisations de défense de l’environnement</w:t>
      </w:r>
      <w:r w:rsidRPr="00403C55">
        <w:rPr>
          <w:rFonts w:ascii="Times New Roman" w:hAnsi="Times New Roman" w:cs="Times New Roman"/>
          <w:lang w:val="fr-FR"/>
        </w:rPr>
        <w:t xml:space="preserve"> de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3) des représentants d’organisations internationales, et 4) d’autres experts si exigé.</w:t>
      </w:r>
    </w:p>
    <w:p w14:paraId="3441A7FD" w14:textId="77777777" w:rsidR="00350533" w:rsidRPr="00403C55" w:rsidRDefault="00350533" w:rsidP="00350533">
      <w:pPr>
        <w:spacing w:after="0" w:line="240" w:lineRule="auto"/>
        <w:jc w:val="both"/>
        <w:rPr>
          <w:rFonts w:ascii="Times New Roman" w:hAnsi="Times New Roman" w:cs="Times New Roman"/>
          <w:lang w:val="fr-FR"/>
        </w:rPr>
      </w:pPr>
    </w:p>
    <w:p w14:paraId="55D659FE" w14:textId="1DF5388E" w:rsidR="007C744D" w:rsidRPr="00403C55" w:rsidRDefault="008E7CDA" w:rsidP="00350533">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Le Secrétariat établit des groupes d’experts des espèces soit en demandant à une organisation de mettre en place un groupe d’experts soit en passant un contrat avec un groupe d’experts déjà existant et en lui demandant de s’affilier à l’Accord.</w:t>
      </w:r>
      <w:r w:rsidR="007C744D" w:rsidRPr="00403C55">
        <w:rPr>
          <w:rFonts w:ascii="Times New Roman" w:hAnsi="Times New Roman" w:cs="Times New Roman"/>
          <w:lang w:val="fr-FR"/>
        </w:rPr>
        <w:t xml:space="preserve"> </w:t>
      </w:r>
      <w:r w:rsidRPr="00403C55">
        <w:rPr>
          <w:rFonts w:ascii="Times New Roman" w:hAnsi="Times New Roman" w:cs="Times New Roman"/>
          <w:lang w:val="fr-FR"/>
        </w:rPr>
        <w:t xml:space="preserve">Bien que le lien entre l’Accord et les groupes d’experts soit plus informel, on attend des groupes d’experts travaillant sous la bannière </w:t>
      </w:r>
      <w:r w:rsidR="0003562F">
        <w:rPr>
          <w:rFonts w:ascii="Times New Roman" w:hAnsi="Times New Roman" w:cs="Times New Roman"/>
          <w:lang w:val="fr-FR"/>
        </w:rPr>
        <w:t>de l’AEWA</w:t>
      </w:r>
      <w:r w:rsidRPr="00403C55">
        <w:rPr>
          <w:rFonts w:ascii="Times New Roman" w:hAnsi="Times New Roman" w:cs="Times New Roman"/>
          <w:lang w:val="fr-FR"/>
        </w:rPr>
        <w:t xml:space="preserve"> qu’ils adhèrent au mandat et aux devoirs définis dans les Termes de Référence </w:t>
      </w:r>
      <w:r w:rsidR="00254787" w:rsidRPr="00403C55">
        <w:rPr>
          <w:rFonts w:ascii="Times New Roman" w:hAnsi="Times New Roman" w:cs="Times New Roman"/>
          <w:lang w:val="fr-FR"/>
        </w:rPr>
        <w:t xml:space="preserve">mentionnés </w:t>
      </w:r>
      <w:r w:rsidRPr="00403C55">
        <w:rPr>
          <w:rFonts w:ascii="Times New Roman" w:hAnsi="Times New Roman" w:cs="Times New Roman"/>
          <w:lang w:val="fr-FR"/>
        </w:rPr>
        <w:t>ci-dessus.</w:t>
      </w:r>
      <w:r w:rsidR="00350533" w:rsidRPr="00403C55">
        <w:rPr>
          <w:rFonts w:ascii="Times New Roman" w:hAnsi="Times New Roman" w:cs="Times New Roman"/>
          <w:lang w:val="fr-FR"/>
        </w:rPr>
        <w:t xml:space="preserve"> </w:t>
      </w:r>
    </w:p>
    <w:p w14:paraId="1B47513F" w14:textId="77777777" w:rsidR="007C744D" w:rsidRPr="00403C55" w:rsidRDefault="007C744D" w:rsidP="00350533">
      <w:pPr>
        <w:spacing w:after="0" w:line="240" w:lineRule="auto"/>
        <w:jc w:val="both"/>
        <w:rPr>
          <w:rFonts w:ascii="Times New Roman" w:hAnsi="Times New Roman" w:cs="Times New Roman"/>
          <w:lang w:val="fr-FR"/>
        </w:rPr>
      </w:pPr>
    </w:p>
    <w:p w14:paraId="1A04ADEA" w14:textId="79731B47" w:rsidR="00350533" w:rsidRPr="00403C55" w:rsidRDefault="008E7CDA" w:rsidP="00350533">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conditions sous lesquelles l’affiliation à l’AEWA de groupes d’experts des espèces</w:t>
      </w:r>
      <w:r w:rsidR="000A5DE6" w:rsidRPr="00403C55">
        <w:rPr>
          <w:rFonts w:ascii="Times New Roman" w:hAnsi="Times New Roman" w:cs="Times New Roman"/>
          <w:lang w:val="fr-FR"/>
        </w:rPr>
        <w:t xml:space="preserve"> est accordée sont les suivantes </w:t>
      </w:r>
      <w:r w:rsidRPr="00403C55">
        <w:rPr>
          <w:rFonts w:ascii="Times New Roman" w:hAnsi="Times New Roman" w:cs="Times New Roman"/>
          <w:lang w:val="fr-FR"/>
        </w:rPr>
        <w:t>:</w:t>
      </w:r>
    </w:p>
    <w:p w14:paraId="40909D2F" w14:textId="77777777" w:rsidR="00350533" w:rsidRPr="00403C55" w:rsidRDefault="00350533" w:rsidP="00350533">
      <w:pPr>
        <w:spacing w:after="0" w:line="240" w:lineRule="auto"/>
        <w:jc w:val="both"/>
        <w:rPr>
          <w:rFonts w:ascii="Times New Roman" w:hAnsi="Times New Roman" w:cs="Times New Roman"/>
          <w:lang w:val="fr-FR"/>
        </w:rPr>
      </w:pPr>
    </w:p>
    <w:p w14:paraId="06EAF03D" w14:textId="77492C18" w:rsidR="007C744D" w:rsidRPr="00403C55" w:rsidRDefault="000A5DE6"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 </w:t>
      </w:r>
      <w:r w:rsidR="00870983">
        <w:rPr>
          <w:rFonts w:ascii="Times New Roman" w:hAnsi="Times New Roman" w:cs="Times New Roman"/>
          <w:lang w:val="fr-FR"/>
        </w:rPr>
        <w:t>Mémorandum d’Entente</w:t>
      </w:r>
      <w:r w:rsidRPr="00403C55">
        <w:rPr>
          <w:rFonts w:ascii="Times New Roman" w:hAnsi="Times New Roman" w:cs="Times New Roman"/>
          <w:lang w:val="fr-FR"/>
        </w:rPr>
        <w:t xml:space="preserve"> est signé entre le Secrétariat PNUE/AEWA et l’organisation/institution dirigeante définissant – entre autres - le rôle et le mandat de l’organisation coordinatrice ;</w:t>
      </w:r>
    </w:p>
    <w:p w14:paraId="7E0F17AB" w14:textId="77777777" w:rsidR="007C744D" w:rsidRPr="00403C55" w:rsidRDefault="007C744D" w:rsidP="007C744D">
      <w:pPr>
        <w:pStyle w:val="ListParagraph"/>
        <w:spacing w:after="0" w:line="240" w:lineRule="auto"/>
        <w:jc w:val="both"/>
        <w:rPr>
          <w:rFonts w:ascii="Times New Roman" w:hAnsi="Times New Roman" w:cs="Times New Roman"/>
          <w:lang w:val="fr-FR"/>
        </w:rPr>
      </w:pPr>
    </w:p>
    <w:p w14:paraId="240BEE37" w14:textId="38503EBF" w:rsidR="007C744D" w:rsidRPr="00403C55" w:rsidRDefault="00254787"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c</w:t>
      </w:r>
      <w:r w:rsidR="000A5DE6" w:rsidRPr="00403C55">
        <w:rPr>
          <w:rFonts w:ascii="Times New Roman" w:hAnsi="Times New Roman" w:cs="Times New Roman"/>
          <w:lang w:val="fr-FR"/>
        </w:rPr>
        <w:t xml:space="preserve">omme établi dans les Termes de Référence du groupe d'experts internationaux par espèce, le point d’attention central du groupe sera la mise en œuvre des plans </w:t>
      </w:r>
      <w:r w:rsidR="0003562F">
        <w:rPr>
          <w:rFonts w:ascii="Times New Roman" w:hAnsi="Times New Roman" w:cs="Times New Roman"/>
          <w:lang w:val="fr-FR"/>
        </w:rPr>
        <w:t>d’action</w:t>
      </w:r>
      <w:r w:rsidR="000A5DE6" w:rsidRPr="00403C55">
        <w:rPr>
          <w:rFonts w:ascii="Times New Roman" w:hAnsi="Times New Roman" w:cs="Times New Roman"/>
          <w:lang w:val="fr-FR"/>
        </w:rPr>
        <w:t xml:space="preserve"> respectifs ;</w:t>
      </w:r>
    </w:p>
    <w:p w14:paraId="78BE6774" w14:textId="77777777" w:rsidR="007C744D" w:rsidRPr="00403C55" w:rsidRDefault="007C744D" w:rsidP="007C744D">
      <w:pPr>
        <w:pStyle w:val="ListParagraph"/>
        <w:rPr>
          <w:rFonts w:ascii="Times New Roman" w:hAnsi="Times New Roman" w:cs="Times New Roman"/>
          <w:lang w:val="fr-FR"/>
        </w:rPr>
      </w:pPr>
    </w:p>
    <w:p w14:paraId="51202220" w14:textId="0F4780FD" w:rsidR="00DB4095" w:rsidRPr="00403C55" w:rsidRDefault="000A5DE6"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l’adhésion sera inclusive ;</w:t>
      </w:r>
      <w:r w:rsidR="00350533" w:rsidRPr="00403C55">
        <w:rPr>
          <w:rFonts w:ascii="Times New Roman" w:hAnsi="Times New Roman" w:cs="Times New Roman"/>
          <w:lang w:val="fr-FR"/>
        </w:rPr>
        <w:t xml:space="preserve"> </w:t>
      </w:r>
    </w:p>
    <w:p w14:paraId="00362F42" w14:textId="77777777" w:rsidR="00895DD1" w:rsidRPr="00403C55" w:rsidRDefault="00895DD1" w:rsidP="00895DD1">
      <w:pPr>
        <w:spacing w:after="0" w:line="240" w:lineRule="auto"/>
        <w:jc w:val="both"/>
        <w:rPr>
          <w:rFonts w:ascii="Times New Roman" w:hAnsi="Times New Roman" w:cs="Times New Roman"/>
          <w:lang w:val="fr-FR"/>
        </w:rPr>
      </w:pPr>
    </w:p>
    <w:p w14:paraId="2F0028E3" w14:textId="5BC0A501" w:rsidR="00350533" w:rsidRPr="00403C55" w:rsidRDefault="00254787"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w:t>
      </w:r>
      <w:r w:rsidR="000A5DE6" w:rsidRPr="00403C55">
        <w:rPr>
          <w:rFonts w:ascii="Times New Roman" w:hAnsi="Times New Roman" w:cs="Times New Roman"/>
          <w:lang w:val="fr-FR"/>
        </w:rPr>
        <w:t xml:space="preserve">es conflits éventuels entre différents groupes/organisations désirant mener la coordination de la mise en œuvre d’un plan </w:t>
      </w:r>
      <w:r w:rsidR="0003562F">
        <w:rPr>
          <w:rFonts w:ascii="Times New Roman" w:hAnsi="Times New Roman" w:cs="Times New Roman"/>
          <w:lang w:val="fr-FR"/>
        </w:rPr>
        <w:t>d’action</w:t>
      </w:r>
      <w:r w:rsidR="000A5DE6" w:rsidRPr="00403C55">
        <w:rPr>
          <w:rFonts w:ascii="Times New Roman" w:hAnsi="Times New Roman" w:cs="Times New Roman"/>
          <w:lang w:val="fr-FR"/>
        </w:rPr>
        <w:t xml:space="preserve"> </w:t>
      </w:r>
      <w:r w:rsidR="0003562F">
        <w:rPr>
          <w:rFonts w:ascii="Times New Roman" w:hAnsi="Times New Roman" w:cs="Times New Roman"/>
          <w:lang w:val="fr-FR"/>
        </w:rPr>
        <w:t>de l’AEWA</w:t>
      </w:r>
      <w:r w:rsidR="000A5DE6" w:rsidRPr="00403C55">
        <w:rPr>
          <w:rFonts w:ascii="Times New Roman" w:hAnsi="Times New Roman" w:cs="Times New Roman"/>
          <w:lang w:val="fr-FR"/>
        </w:rPr>
        <w:t xml:space="preserve"> et le groupe d’expert sont tranchés – dans la mesure du possible – avant une affiliation officielle avec l’AEWA.</w:t>
      </w:r>
    </w:p>
    <w:p w14:paraId="342D68A1" w14:textId="77777777" w:rsidR="00350533" w:rsidRPr="00403C55" w:rsidRDefault="00350533" w:rsidP="00350533">
      <w:pPr>
        <w:spacing w:after="0" w:line="240" w:lineRule="auto"/>
        <w:jc w:val="both"/>
        <w:rPr>
          <w:rFonts w:ascii="Times New Roman" w:hAnsi="Times New Roman" w:cs="Times New Roman"/>
          <w:lang w:val="fr-FR"/>
        </w:rPr>
      </w:pPr>
    </w:p>
    <w:p w14:paraId="4D13AC00" w14:textId="0B5D4CCC" w:rsidR="000078A3" w:rsidRPr="00403C55" w:rsidRDefault="000A5DE6" w:rsidP="00350533">
      <w:pPr>
        <w:spacing w:after="0" w:line="240" w:lineRule="auto"/>
        <w:jc w:val="both"/>
        <w:rPr>
          <w:rFonts w:ascii="Times New Roman" w:hAnsi="Times New Roman" w:cs="Times New Roman"/>
          <w:lang w:val="fr-FR"/>
        </w:rPr>
      </w:pPr>
      <w:r w:rsidRPr="00403C55">
        <w:rPr>
          <w:rFonts w:ascii="Times New Roman" w:hAnsi="Times New Roman" w:cs="Times New Roman"/>
          <w:lang w:val="fr-FR"/>
        </w:rPr>
        <w:t>L</w:t>
      </w:r>
      <w:r w:rsidR="00870983">
        <w:rPr>
          <w:rFonts w:ascii="Times New Roman" w:hAnsi="Times New Roman" w:cs="Times New Roman"/>
          <w:lang w:val="fr-FR"/>
        </w:rPr>
        <w:t>e Secrétariat peut mettre fin à tout moment à l</w:t>
      </w:r>
      <w:r w:rsidRPr="00403C55">
        <w:rPr>
          <w:rFonts w:ascii="Times New Roman" w:hAnsi="Times New Roman" w:cs="Times New Roman"/>
          <w:lang w:val="fr-FR"/>
        </w:rPr>
        <w:t xml:space="preserve">’association </w:t>
      </w:r>
      <w:r w:rsidR="00870983">
        <w:rPr>
          <w:rFonts w:ascii="Times New Roman" w:hAnsi="Times New Roman" w:cs="Times New Roman"/>
          <w:lang w:val="fr-FR"/>
        </w:rPr>
        <w:t xml:space="preserve">avec l’AEWA </w:t>
      </w:r>
      <w:r w:rsidRPr="00403C55">
        <w:rPr>
          <w:rFonts w:ascii="Times New Roman" w:hAnsi="Times New Roman" w:cs="Times New Roman"/>
          <w:lang w:val="fr-FR"/>
        </w:rPr>
        <w:t>d’un groupe d’experts des espèces si les conditions ci-dessus ne sont pas remplies.</w:t>
      </w:r>
    </w:p>
    <w:p w14:paraId="06BA48BB" w14:textId="77777777" w:rsidR="00FD4676" w:rsidRPr="00403C55" w:rsidRDefault="00FD4676" w:rsidP="00350533">
      <w:pPr>
        <w:spacing w:after="0" w:line="240" w:lineRule="auto"/>
        <w:jc w:val="both"/>
        <w:rPr>
          <w:rFonts w:ascii="Times New Roman" w:hAnsi="Times New Roman" w:cs="Times New Roman"/>
          <w:lang w:val="fr-FR"/>
        </w:rPr>
      </w:pPr>
    </w:p>
    <w:p w14:paraId="3384E169" w14:textId="4698D3E8" w:rsidR="00FD4676" w:rsidRPr="00403C55" w:rsidRDefault="00FD4676" w:rsidP="00350533">
      <w:pPr>
        <w:spacing w:after="0" w:line="240" w:lineRule="auto"/>
        <w:jc w:val="both"/>
        <w:rPr>
          <w:rFonts w:ascii="Times New Roman" w:hAnsi="Times New Roman" w:cs="Times New Roman"/>
          <w:i/>
          <w:lang w:val="fr-FR"/>
        </w:rPr>
      </w:pPr>
      <w:r w:rsidRPr="00403C55">
        <w:rPr>
          <w:rFonts w:ascii="Times New Roman" w:hAnsi="Times New Roman" w:cs="Times New Roman"/>
          <w:lang w:val="fr-FR"/>
        </w:rPr>
        <w:t xml:space="preserve">3.3.2 </w:t>
      </w:r>
      <w:r w:rsidR="000A5DE6" w:rsidRPr="00403C55">
        <w:rPr>
          <w:rFonts w:ascii="Times New Roman" w:hAnsi="Times New Roman" w:cs="Times New Roman"/>
          <w:i/>
          <w:lang w:val="fr-FR"/>
        </w:rPr>
        <w:t>Rôle et tâches du groupe d’experts</w:t>
      </w:r>
    </w:p>
    <w:p w14:paraId="0BC84AD2" w14:textId="77777777" w:rsidR="00FD4676" w:rsidRPr="00403C55" w:rsidRDefault="00FD4676" w:rsidP="00350533">
      <w:pPr>
        <w:spacing w:after="0" w:line="240" w:lineRule="auto"/>
        <w:jc w:val="both"/>
        <w:rPr>
          <w:rFonts w:ascii="Times New Roman" w:hAnsi="Times New Roman" w:cs="Times New Roman"/>
          <w:lang w:val="fr-FR"/>
        </w:rPr>
      </w:pPr>
    </w:p>
    <w:p w14:paraId="1DEB0D51" w14:textId="7946AA51" w:rsidR="0044447C" w:rsidRPr="00403C55" w:rsidRDefault="000A5DE6" w:rsidP="00350533">
      <w:pPr>
        <w:spacing w:after="0" w:line="240" w:lineRule="auto"/>
        <w:jc w:val="both"/>
        <w:rPr>
          <w:rFonts w:ascii="Times New Roman" w:hAnsi="Times New Roman" w:cs="Times New Roman"/>
          <w:lang w:val="fr-FR"/>
        </w:rPr>
      </w:pPr>
      <w:r w:rsidRPr="00403C55">
        <w:rPr>
          <w:rFonts w:ascii="Times New Roman" w:hAnsi="Times New Roman" w:cs="Times New Roman"/>
          <w:lang w:val="fr-FR"/>
        </w:rPr>
        <w:t>Comme exp</w:t>
      </w:r>
      <w:r w:rsidR="00F30D6B" w:rsidRPr="00403C55">
        <w:rPr>
          <w:rFonts w:ascii="Times New Roman" w:hAnsi="Times New Roman" w:cs="Times New Roman"/>
          <w:lang w:val="fr-FR"/>
        </w:rPr>
        <w:t>os</w:t>
      </w:r>
      <w:r w:rsidRPr="00403C55">
        <w:rPr>
          <w:rFonts w:ascii="Times New Roman" w:hAnsi="Times New Roman" w:cs="Times New Roman"/>
          <w:lang w:val="fr-FR"/>
        </w:rPr>
        <w:t xml:space="preserve">é dans les Termes de Référence génériques adoptés par 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pour les groupes d'experts sur les espèces, le rôle et les tâches des groupes d’experts des espèces sont presque identiques à ceux des groupes de travail sur les espèces, décrits ci-dessus.</w:t>
      </w:r>
      <w:r w:rsidR="00611ACD" w:rsidRPr="00403C55">
        <w:rPr>
          <w:rFonts w:ascii="Times New Roman" w:hAnsi="Times New Roman" w:cs="Times New Roman"/>
          <w:lang w:val="fr-FR"/>
        </w:rPr>
        <w:t xml:space="preserve"> </w:t>
      </w:r>
      <w:r w:rsidRPr="00403C55">
        <w:rPr>
          <w:rFonts w:ascii="Times New Roman" w:hAnsi="Times New Roman" w:cs="Times New Roman"/>
          <w:lang w:val="fr-FR"/>
        </w:rPr>
        <w:t xml:space="preserve">Toutefois, en raison de la nature fortement experte de ces groupes et de la participation </w:t>
      </w:r>
      <w:r w:rsidR="00334F8E" w:rsidRPr="00403C55">
        <w:rPr>
          <w:rFonts w:ascii="Times New Roman" w:hAnsi="Times New Roman" w:cs="Times New Roman"/>
          <w:lang w:val="fr-FR"/>
        </w:rPr>
        <w:t xml:space="preserve">gouvernementale </w:t>
      </w:r>
      <w:r w:rsidRPr="00403C55">
        <w:rPr>
          <w:rFonts w:ascii="Times New Roman" w:hAnsi="Times New Roman" w:cs="Times New Roman"/>
          <w:lang w:val="fr-FR"/>
        </w:rPr>
        <w:t>pouvant être limitée</w:t>
      </w:r>
      <w:r w:rsidR="00334F8E" w:rsidRPr="00403C55">
        <w:rPr>
          <w:rFonts w:ascii="Times New Roman" w:hAnsi="Times New Roman" w:cs="Times New Roman"/>
          <w:lang w:val="fr-FR"/>
        </w:rPr>
        <w:t>, on n’attend peut-être pas de leurs membres qu’ils remplissent la même fonction</w:t>
      </w:r>
      <w:r w:rsidRPr="00403C55">
        <w:rPr>
          <w:rFonts w:ascii="Times New Roman" w:hAnsi="Times New Roman" w:cs="Times New Roman"/>
          <w:lang w:val="fr-FR"/>
        </w:rPr>
        <w:t xml:space="preserve"> </w:t>
      </w:r>
      <w:r w:rsidR="00334F8E" w:rsidRPr="00403C55">
        <w:rPr>
          <w:rFonts w:ascii="Times New Roman" w:hAnsi="Times New Roman" w:cs="Times New Roman"/>
          <w:lang w:val="fr-FR"/>
        </w:rPr>
        <w:t>en ce qui concerne l’</w:t>
      </w:r>
      <w:r w:rsidRPr="00403C55">
        <w:rPr>
          <w:rFonts w:ascii="Times New Roman" w:hAnsi="Times New Roman" w:cs="Times New Roman"/>
          <w:lang w:val="fr-FR"/>
        </w:rPr>
        <w:t>organi</w:t>
      </w:r>
      <w:r w:rsidR="00334F8E" w:rsidRPr="00403C55">
        <w:rPr>
          <w:rFonts w:ascii="Times New Roman" w:hAnsi="Times New Roman" w:cs="Times New Roman"/>
          <w:lang w:val="fr-FR"/>
        </w:rPr>
        <w:t>s</w:t>
      </w:r>
      <w:r w:rsidRPr="00403C55">
        <w:rPr>
          <w:rFonts w:ascii="Times New Roman" w:hAnsi="Times New Roman" w:cs="Times New Roman"/>
          <w:lang w:val="fr-FR"/>
        </w:rPr>
        <w:t xml:space="preserve">ation </w:t>
      </w:r>
      <w:r w:rsidR="00334F8E" w:rsidRPr="00403C55">
        <w:rPr>
          <w:rFonts w:ascii="Times New Roman" w:hAnsi="Times New Roman" w:cs="Times New Roman"/>
          <w:lang w:val="fr-FR"/>
        </w:rPr>
        <w:t>de la mise en œuvre</w:t>
      </w:r>
      <w:r w:rsidRPr="00403C55">
        <w:rPr>
          <w:rFonts w:ascii="Times New Roman" w:hAnsi="Times New Roman" w:cs="Times New Roman"/>
          <w:lang w:val="fr-FR"/>
        </w:rPr>
        <w:t xml:space="preserve"> national</w:t>
      </w:r>
      <w:r w:rsidR="00334F8E" w:rsidRPr="00403C55">
        <w:rPr>
          <w:rFonts w:ascii="Times New Roman" w:hAnsi="Times New Roman" w:cs="Times New Roman"/>
          <w:lang w:val="fr-FR"/>
        </w:rPr>
        <w:t xml:space="preserve">e du plan </w:t>
      </w:r>
      <w:r w:rsidR="0003562F">
        <w:rPr>
          <w:rFonts w:ascii="Times New Roman" w:hAnsi="Times New Roman" w:cs="Times New Roman"/>
          <w:lang w:val="fr-FR"/>
        </w:rPr>
        <w:t>d’action</w:t>
      </w:r>
      <w:r w:rsidR="00985A4E">
        <w:rPr>
          <w:rFonts w:ascii="Times New Roman" w:hAnsi="Times New Roman" w:cs="Times New Roman"/>
          <w:lang w:val="fr-FR"/>
        </w:rPr>
        <w:t xml:space="preserve"> </w:t>
      </w:r>
      <w:r w:rsidR="00334F8E" w:rsidRPr="00403C55">
        <w:rPr>
          <w:rFonts w:ascii="Times New Roman" w:hAnsi="Times New Roman" w:cs="Times New Roman"/>
          <w:lang w:val="fr-FR"/>
        </w:rPr>
        <w:t>concerné</w:t>
      </w:r>
      <w:r w:rsidR="00AA06FE" w:rsidRPr="00403C55">
        <w:rPr>
          <w:rFonts w:ascii="Times New Roman" w:hAnsi="Times New Roman" w:cs="Times New Roman"/>
          <w:lang w:val="fr-FR"/>
        </w:rPr>
        <w:t xml:space="preserve"> et des conseils à cet effet</w:t>
      </w:r>
      <w:r w:rsidRPr="00403C55">
        <w:rPr>
          <w:rFonts w:ascii="Times New Roman" w:hAnsi="Times New Roman" w:cs="Times New Roman"/>
          <w:lang w:val="fr-FR"/>
        </w:rPr>
        <w:t>.</w:t>
      </w:r>
      <w:r w:rsidR="00C325A9" w:rsidRPr="00403C55">
        <w:rPr>
          <w:rFonts w:ascii="Times New Roman" w:hAnsi="Times New Roman" w:cs="Times New Roman"/>
          <w:lang w:val="fr-FR"/>
        </w:rPr>
        <w:t xml:space="preserve"> </w:t>
      </w:r>
    </w:p>
    <w:p w14:paraId="5D6AAAA6" w14:textId="77777777" w:rsidR="0044447C" w:rsidRPr="00403C55" w:rsidRDefault="0044447C">
      <w:pPr>
        <w:rPr>
          <w:rFonts w:ascii="Times New Roman" w:hAnsi="Times New Roman" w:cs="Times New Roman"/>
          <w:lang w:val="fr-FR"/>
        </w:rPr>
      </w:pPr>
      <w:r w:rsidRPr="00403C55">
        <w:rPr>
          <w:rFonts w:ascii="Times New Roman" w:hAnsi="Times New Roman" w:cs="Times New Roman"/>
          <w:lang w:val="fr-FR"/>
        </w:rPr>
        <w:br w:type="page"/>
      </w:r>
    </w:p>
    <w:p w14:paraId="6021946B" w14:textId="7B65ACE4" w:rsidR="00FD4676" w:rsidRPr="00403C55" w:rsidRDefault="008F7800" w:rsidP="00D70D49">
      <w:pPr>
        <w:shd w:val="clear" w:color="auto" w:fill="DBE5F1" w:themeFill="accent1" w:themeFillTint="33"/>
        <w:spacing w:after="0" w:line="240" w:lineRule="auto"/>
        <w:jc w:val="both"/>
        <w:rPr>
          <w:rFonts w:ascii="Times New Roman" w:hAnsi="Times New Roman" w:cs="Times New Roman"/>
          <w:sz w:val="24"/>
          <w:szCs w:val="24"/>
          <w:lang w:val="fr-FR"/>
        </w:rPr>
      </w:pPr>
      <w:r w:rsidRPr="00403C55">
        <w:rPr>
          <w:rFonts w:ascii="Times New Roman" w:hAnsi="Times New Roman" w:cs="Times New Roman"/>
          <w:sz w:val="24"/>
          <w:szCs w:val="24"/>
          <w:lang w:val="fr-FR"/>
        </w:rPr>
        <w:lastRenderedPageBreak/>
        <w:t xml:space="preserve">4. </w:t>
      </w:r>
      <w:r w:rsidR="00334F8E" w:rsidRPr="00403C55">
        <w:rPr>
          <w:rFonts w:ascii="Times New Roman" w:hAnsi="Times New Roman" w:cs="Times New Roman"/>
          <w:sz w:val="24"/>
          <w:szCs w:val="24"/>
          <w:lang w:val="fr-FR"/>
        </w:rPr>
        <w:t xml:space="preserve">Coordination de la mise en œuvre nationale - Plans </w:t>
      </w:r>
      <w:r w:rsidR="0003562F">
        <w:rPr>
          <w:rFonts w:ascii="Times New Roman" w:hAnsi="Times New Roman" w:cs="Times New Roman"/>
          <w:sz w:val="24"/>
          <w:szCs w:val="24"/>
          <w:lang w:val="fr-FR"/>
        </w:rPr>
        <w:t>d’action</w:t>
      </w:r>
      <w:r w:rsidR="00334F8E" w:rsidRPr="00403C55">
        <w:rPr>
          <w:rFonts w:ascii="Times New Roman" w:hAnsi="Times New Roman" w:cs="Times New Roman"/>
          <w:sz w:val="24"/>
          <w:szCs w:val="24"/>
          <w:lang w:val="fr-FR"/>
        </w:rPr>
        <w:t xml:space="preserve"> et groupes de travail nationaux</w:t>
      </w:r>
    </w:p>
    <w:p w14:paraId="0347BF37" w14:textId="77777777" w:rsidR="00DD5A77" w:rsidRPr="00403C55" w:rsidRDefault="00DD5A77" w:rsidP="00350533">
      <w:pPr>
        <w:spacing w:after="0" w:line="240" w:lineRule="auto"/>
        <w:jc w:val="both"/>
        <w:rPr>
          <w:rFonts w:ascii="Times New Roman" w:hAnsi="Times New Roman" w:cs="Times New Roman"/>
          <w:lang w:val="fr-FR"/>
        </w:rPr>
      </w:pPr>
    </w:p>
    <w:p w14:paraId="727F5B7F" w14:textId="11DAD4E7" w:rsidR="008F7800" w:rsidRPr="00403C55" w:rsidRDefault="008F7800" w:rsidP="00D70D49">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4.1. </w:t>
      </w:r>
      <w:r w:rsidR="00334F8E" w:rsidRPr="00403C55">
        <w:rPr>
          <w:rFonts w:ascii="Times New Roman" w:hAnsi="Times New Roman" w:cs="Times New Roman"/>
          <w:b/>
          <w:lang w:val="fr-FR"/>
        </w:rPr>
        <w:t>Introduction</w:t>
      </w:r>
    </w:p>
    <w:p w14:paraId="1AE61206" w14:textId="77777777" w:rsidR="008F7800" w:rsidRPr="00403C55" w:rsidRDefault="008F7800" w:rsidP="00350533">
      <w:pPr>
        <w:spacing w:after="0" w:line="240" w:lineRule="auto"/>
        <w:jc w:val="both"/>
        <w:rPr>
          <w:rFonts w:ascii="Times New Roman" w:hAnsi="Times New Roman" w:cs="Times New Roman"/>
          <w:highlight w:val="yellow"/>
          <w:lang w:val="fr-FR"/>
        </w:rPr>
      </w:pPr>
    </w:p>
    <w:p w14:paraId="33B2476E" w14:textId="626E5C6F" w:rsidR="003B0077" w:rsidRPr="00403C55" w:rsidRDefault="00AA06FE" w:rsidP="00350533">
      <w:pPr>
        <w:spacing w:after="0" w:line="240" w:lineRule="auto"/>
        <w:jc w:val="both"/>
        <w:rPr>
          <w:rFonts w:ascii="Times New Roman" w:hAnsi="Times New Roman" w:cs="Times New Roman"/>
          <w:lang w:val="fr-FR"/>
        </w:rPr>
      </w:pPr>
      <w:r w:rsidRPr="00FE6EE5">
        <w:rPr>
          <w:rFonts w:ascii="Times New Roman" w:hAnsi="Times New Roman" w:cs="Times New Roman"/>
          <w:lang w:val="fr-FR"/>
        </w:rPr>
        <w:t xml:space="preserve">Les principaux </w:t>
      </w:r>
      <w:r w:rsidR="00FE6EE5" w:rsidRPr="00FE6EE5">
        <w:rPr>
          <w:rFonts w:ascii="Times New Roman" w:hAnsi="Times New Roman" w:cs="Times New Roman"/>
          <w:lang w:val="fr-FR"/>
        </w:rPr>
        <w:t>États de l’aire de répartition</w:t>
      </w:r>
      <w:r w:rsidRPr="00FE6EE5">
        <w:rPr>
          <w:rFonts w:ascii="Times New Roman" w:hAnsi="Times New Roman" w:cs="Times New Roman"/>
          <w:lang w:val="fr-FR"/>
        </w:rPr>
        <w:t xml:space="preserve"> chargés de la mise en œuvre des plans </w:t>
      </w:r>
      <w:r w:rsidR="0003562F">
        <w:rPr>
          <w:rFonts w:ascii="Times New Roman" w:hAnsi="Times New Roman" w:cs="Times New Roman"/>
          <w:lang w:val="fr-FR"/>
        </w:rPr>
        <w:t>d’action</w:t>
      </w:r>
      <w:r w:rsidRPr="00FE6EE5">
        <w:rPr>
          <w:rFonts w:ascii="Times New Roman" w:hAnsi="Times New Roman" w:cs="Times New Roman"/>
          <w:lang w:val="fr-FR"/>
        </w:rPr>
        <w:t xml:space="preserve"> et de gestion internationales </w:t>
      </w:r>
      <w:r w:rsidR="0003562F">
        <w:rPr>
          <w:rFonts w:ascii="Times New Roman" w:hAnsi="Times New Roman" w:cs="Times New Roman"/>
          <w:lang w:val="fr-FR"/>
        </w:rPr>
        <w:t>de l’AEWA</w:t>
      </w:r>
      <w:r w:rsidR="00985A4E">
        <w:rPr>
          <w:rFonts w:ascii="Times New Roman" w:hAnsi="Times New Roman" w:cs="Times New Roman"/>
          <w:lang w:val="fr-FR"/>
        </w:rPr>
        <w:t xml:space="preserve"> </w:t>
      </w:r>
      <w:r w:rsidRPr="00FE6EE5">
        <w:rPr>
          <w:rFonts w:ascii="Times New Roman" w:hAnsi="Times New Roman" w:cs="Times New Roman"/>
          <w:lang w:val="fr-FR"/>
        </w:rPr>
        <w:t xml:space="preserve">– notamment ceux qui sont essentiels pour le rétablissement ou la gestion d’une espèce – sont encouragés à adopter des plans </w:t>
      </w:r>
      <w:r w:rsidR="0003562F">
        <w:rPr>
          <w:rFonts w:ascii="Times New Roman" w:hAnsi="Times New Roman" w:cs="Times New Roman"/>
          <w:lang w:val="fr-FR"/>
        </w:rPr>
        <w:t>d’action</w:t>
      </w:r>
      <w:r w:rsidRPr="00FE6EE5">
        <w:rPr>
          <w:rFonts w:ascii="Times New Roman" w:hAnsi="Times New Roman" w:cs="Times New Roman"/>
          <w:lang w:val="fr-FR"/>
        </w:rPr>
        <w:t xml:space="preserve"> nationaux</w:t>
      </w:r>
      <w:r w:rsidR="004848F5">
        <w:rPr>
          <w:rFonts w:ascii="Times New Roman" w:hAnsi="Times New Roman" w:cs="Times New Roman"/>
          <w:lang w:val="fr-FR"/>
        </w:rPr>
        <w:t>, selon qu’il convient,</w:t>
      </w:r>
      <w:r w:rsidRPr="00FE6EE5">
        <w:rPr>
          <w:rFonts w:ascii="Times New Roman" w:hAnsi="Times New Roman" w:cs="Times New Roman"/>
          <w:lang w:val="fr-FR"/>
        </w:rPr>
        <w:t xml:space="preserve"> basés sur les cadres internationaux respectifs convenus et à établir des groupes de travail nationaux pour coordonner la mise en œuvre des activités au plan national.</w:t>
      </w:r>
      <w:r w:rsidR="004848F5">
        <w:rPr>
          <w:rFonts w:ascii="Times New Roman" w:hAnsi="Times New Roman" w:cs="Times New Roman"/>
          <w:lang w:val="fr-FR"/>
        </w:rPr>
        <w:t xml:space="preserve"> Cependant, il convient de noter qu’un grand nombre de pays faisant partie de la zone couverte par l’AEWA ont déjà mis en place des cadres nationaux suffisants pour assurer la mise en œuvre effective des plans d’action et de gestion int</w:t>
      </w:r>
      <w:r w:rsidR="006F460A">
        <w:rPr>
          <w:rFonts w:ascii="Times New Roman" w:hAnsi="Times New Roman" w:cs="Times New Roman"/>
          <w:lang w:val="fr-FR"/>
        </w:rPr>
        <w:t>ernationaux;</w:t>
      </w:r>
      <w:r w:rsidR="004848F5">
        <w:rPr>
          <w:rFonts w:ascii="Times New Roman" w:hAnsi="Times New Roman" w:cs="Times New Roman"/>
          <w:lang w:val="fr-FR"/>
        </w:rPr>
        <w:t xml:space="preserve"> </w:t>
      </w:r>
      <w:r w:rsidR="006F460A">
        <w:rPr>
          <w:rFonts w:ascii="Times New Roman" w:hAnsi="Times New Roman" w:cs="Times New Roman"/>
          <w:lang w:val="fr-FR"/>
        </w:rPr>
        <w:t xml:space="preserve">dans ce cas, </w:t>
      </w:r>
      <w:r w:rsidR="004848F5">
        <w:rPr>
          <w:rFonts w:ascii="Times New Roman" w:hAnsi="Times New Roman" w:cs="Times New Roman"/>
          <w:lang w:val="fr-FR"/>
        </w:rPr>
        <w:t>la mise en place de mécanismes de coordination n’est pas nécessaire.</w:t>
      </w:r>
    </w:p>
    <w:p w14:paraId="2B1266F4" w14:textId="77777777" w:rsidR="00895DD1" w:rsidRPr="00403C55" w:rsidRDefault="00895DD1" w:rsidP="00350533">
      <w:pPr>
        <w:spacing w:after="0" w:line="240" w:lineRule="auto"/>
        <w:jc w:val="both"/>
        <w:rPr>
          <w:rFonts w:ascii="Times New Roman" w:hAnsi="Times New Roman" w:cs="Times New Roman"/>
          <w:lang w:val="fr-FR"/>
        </w:rPr>
      </w:pPr>
    </w:p>
    <w:p w14:paraId="3229D03A" w14:textId="167843A0" w:rsidR="008F7800" w:rsidRPr="00403C55" w:rsidRDefault="008F7800" w:rsidP="00045FFC">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4.</w:t>
      </w:r>
      <w:r w:rsidR="007F4059" w:rsidRPr="00403C55">
        <w:rPr>
          <w:rFonts w:ascii="Times New Roman" w:hAnsi="Times New Roman" w:cs="Times New Roman"/>
          <w:b/>
          <w:lang w:val="fr-FR"/>
        </w:rPr>
        <w:t>2</w:t>
      </w:r>
      <w:r w:rsidRPr="00403C55">
        <w:rPr>
          <w:rFonts w:ascii="Times New Roman" w:hAnsi="Times New Roman" w:cs="Times New Roman"/>
          <w:b/>
          <w:lang w:val="fr-FR"/>
        </w:rPr>
        <w:t xml:space="preserve">. </w:t>
      </w:r>
      <w:r w:rsidR="00AA06FE"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00AA06FE" w:rsidRPr="00403C55">
        <w:rPr>
          <w:rFonts w:ascii="Times New Roman" w:hAnsi="Times New Roman" w:cs="Times New Roman"/>
          <w:b/>
          <w:lang w:val="fr-FR"/>
        </w:rPr>
        <w:t xml:space="preserve"> nationaux par espèce</w:t>
      </w:r>
    </w:p>
    <w:p w14:paraId="092620FB" w14:textId="77777777" w:rsidR="007C744D" w:rsidRPr="00403C55" w:rsidRDefault="007C744D" w:rsidP="00A30751">
      <w:pPr>
        <w:spacing w:after="0" w:line="240" w:lineRule="auto"/>
        <w:jc w:val="both"/>
        <w:rPr>
          <w:rFonts w:ascii="Times New Roman" w:hAnsi="Times New Roman" w:cs="Times New Roman"/>
          <w:sz w:val="20"/>
          <w:szCs w:val="20"/>
          <w:lang w:val="fr-FR"/>
        </w:rPr>
      </w:pPr>
    </w:p>
    <w:p w14:paraId="3E7CAA4A" w14:textId="21BBFF92" w:rsidR="00D34A3B" w:rsidRPr="00403C55" w:rsidRDefault="00AA06FE" w:rsidP="00D34A3B">
      <w:pPr>
        <w:spacing w:after="0" w:line="240" w:lineRule="auto"/>
        <w:jc w:val="both"/>
        <w:rPr>
          <w:rFonts w:ascii="Times New Roman" w:hAnsi="Times New Roman" w:cs="Times New Roman"/>
          <w:highlight w:val="yellow"/>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sont les cadres internationaux directeurs pour la conservation, le rétablissement et/ou la gestion durable d’une espèce. Ils sont le résultat d’un accord entre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et les parties prenantes concernés </w:t>
      </w:r>
      <w:r w:rsidR="000F0B54" w:rsidRPr="00403C55">
        <w:rPr>
          <w:rFonts w:ascii="Times New Roman" w:hAnsi="Times New Roman" w:cs="Times New Roman"/>
          <w:lang w:val="fr-FR"/>
        </w:rPr>
        <w:t>et en tant que tels, leurs objectifs généraux, leurs résultats et les activités qu’ils indiquent sont habituellement formulés d’une façon générale</w:t>
      </w:r>
      <w:r w:rsidRPr="00403C55">
        <w:rPr>
          <w:rFonts w:ascii="Times New Roman" w:hAnsi="Times New Roman" w:cs="Times New Roman"/>
          <w:lang w:val="fr-FR"/>
        </w:rPr>
        <w:t>.</w:t>
      </w:r>
      <w:r w:rsidR="002614FA" w:rsidRPr="00403C55">
        <w:rPr>
          <w:rFonts w:ascii="Times New Roman" w:hAnsi="Times New Roman" w:cs="Times New Roman"/>
          <w:lang w:val="fr-FR"/>
        </w:rPr>
        <w:t xml:space="preserve"> </w:t>
      </w:r>
      <w:r w:rsidR="000F0B54" w:rsidRPr="00403C55">
        <w:rPr>
          <w:rFonts w:ascii="Times New Roman" w:hAnsi="Times New Roman" w:cs="Times New Roman"/>
          <w:lang w:val="fr-FR"/>
        </w:rPr>
        <w:t>De ce fait, ils requièrent souvent quelque adaptation afin de prendre en compte les circonstances et législations nationales spécifiques, ainsi que des cadres de gestion visant à assurer leur pertinence directe et la mise en œuvre consécutive.</w:t>
      </w:r>
      <w:r w:rsidR="00D34A3B" w:rsidRPr="00403C55">
        <w:rPr>
          <w:rFonts w:ascii="Times New Roman" w:hAnsi="Times New Roman" w:cs="Times New Roman"/>
          <w:lang w:val="fr-FR"/>
        </w:rPr>
        <w:t xml:space="preserve"> </w:t>
      </w:r>
      <w:r w:rsidR="000F0B54" w:rsidRPr="00403C55">
        <w:rPr>
          <w:rFonts w:ascii="Times New Roman" w:hAnsi="Times New Roman" w:cs="Times New Roman"/>
          <w:lang w:val="fr-FR"/>
        </w:rPr>
        <w:t>Souvent, les priorités varient aussi entre les pays selon, par exemple, les principa</w:t>
      </w:r>
      <w:r w:rsidR="00254787" w:rsidRPr="00403C55">
        <w:rPr>
          <w:rFonts w:ascii="Times New Roman" w:hAnsi="Times New Roman" w:cs="Times New Roman"/>
          <w:lang w:val="fr-FR"/>
        </w:rPr>
        <w:t>ux</w:t>
      </w:r>
      <w:r w:rsidR="000F0B54" w:rsidRPr="00403C55">
        <w:rPr>
          <w:rFonts w:ascii="Times New Roman" w:hAnsi="Times New Roman" w:cs="Times New Roman"/>
          <w:lang w:val="fr-FR"/>
        </w:rPr>
        <w:t xml:space="preserve"> dangers menaçant une espèce, ainsi que les actions de conservation/gestion mises en œuvre précédemment, etc.</w:t>
      </w:r>
    </w:p>
    <w:p w14:paraId="7433C9D4" w14:textId="77777777" w:rsidR="0003282F" w:rsidRPr="00403C55" w:rsidRDefault="0003282F" w:rsidP="00D34A3B">
      <w:pPr>
        <w:spacing w:after="0" w:line="240" w:lineRule="auto"/>
        <w:jc w:val="both"/>
        <w:rPr>
          <w:rFonts w:ascii="Times New Roman" w:hAnsi="Times New Roman" w:cs="Times New Roman"/>
          <w:highlight w:val="yellow"/>
          <w:lang w:val="fr-FR"/>
        </w:rPr>
      </w:pPr>
    </w:p>
    <w:p w14:paraId="01D2CEA5" w14:textId="6D824FB7" w:rsidR="0003282F" w:rsidRPr="00403C55" w:rsidRDefault="000F0B54" w:rsidP="00D34A3B">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espèce nationaux doivent donc viser à « traduire » le plan international au niveau national, y compris l’établissement de buts et cibles nationaux pour les espèces, ainsi que la formulation d’activités nationales plus concrètes</w:t>
      </w:r>
      <w:r w:rsidR="002914F6" w:rsidRPr="00403C55">
        <w:rPr>
          <w:rFonts w:ascii="Times New Roman" w:hAnsi="Times New Roman" w:cs="Times New Roman"/>
          <w:lang w:val="fr-FR"/>
        </w:rPr>
        <w:t>,</w:t>
      </w:r>
      <w:r w:rsidRPr="00403C55">
        <w:rPr>
          <w:rFonts w:ascii="Times New Roman" w:hAnsi="Times New Roman" w:cs="Times New Roman"/>
          <w:lang w:val="fr-FR"/>
        </w:rPr>
        <w:t xml:space="preserve"> </w:t>
      </w:r>
      <w:r w:rsidR="002914F6" w:rsidRPr="00403C55">
        <w:rPr>
          <w:rFonts w:ascii="Times New Roman" w:hAnsi="Times New Roman" w:cs="Times New Roman"/>
          <w:lang w:val="fr-FR"/>
        </w:rPr>
        <w:t>en donnant</w:t>
      </w:r>
      <w:r w:rsidRPr="00403C55">
        <w:rPr>
          <w:rFonts w:ascii="Times New Roman" w:hAnsi="Times New Roman" w:cs="Times New Roman"/>
          <w:lang w:val="fr-FR"/>
        </w:rPr>
        <w:t xml:space="preserve"> des détails spécifiques sur les organisations nationales de mise en œuvre, les calendriers et les</w:t>
      </w:r>
      <w:r w:rsidR="002914F6" w:rsidRPr="00403C55">
        <w:rPr>
          <w:rFonts w:ascii="Times New Roman" w:hAnsi="Times New Roman" w:cs="Times New Roman"/>
          <w:lang w:val="fr-FR"/>
        </w:rPr>
        <w:t xml:space="preserve"> </w:t>
      </w:r>
      <w:r w:rsidRPr="00403C55">
        <w:rPr>
          <w:rFonts w:ascii="Times New Roman" w:hAnsi="Times New Roman" w:cs="Times New Roman"/>
          <w:lang w:val="fr-FR"/>
        </w:rPr>
        <w:t>ressources humaines et financières disponibles.</w:t>
      </w:r>
      <w:r w:rsidR="00790D70"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doivent aussi, bien entendu, être produits et rendus disponibles dans la/les</w:t>
      </w:r>
      <w:r w:rsidR="00985A4E">
        <w:rPr>
          <w:rFonts w:ascii="Times New Roman" w:hAnsi="Times New Roman" w:cs="Times New Roman"/>
          <w:lang w:val="fr-FR"/>
        </w:rPr>
        <w:t xml:space="preserve"> </w:t>
      </w:r>
      <w:r w:rsidRPr="00403C55">
        <w:rPr>
          <w:rFonts w:ascii="Times New Roman" w:hAnsi="Times New Roman" w:cs="Times New Roman"/>
          <w:lang w:val="fr-FR"/>
        </w:rPr>
        <w:t>langue(s) nationale(s) respectiv</w:t>
      </w:r>
      <w:r w:rsidR="002914F6" w:rsidRPr="00403C55">
        <w:rPr>
          <w:rFonts w:ascii="Times New Roman" w:hAnsi="Times New Roman" w:cs="Times New Roman"/>
          <w:lang w:val="fr-FR"/>
        </w:rPr>
        <w:t>e(</w:t>
      </w:r>
      <w:r w:rsidRPr="00403C55">
        <w:rPr>
          <w:rFonts w:ascii="Times New Roman" w:hAnsi="Times New Roman" w:cs="Times New Roman"/>
          <w:lang w:val="fr-FR"/>
        </w:rPr>
        <w:t>s</w:t>
      </w:r>
      <w:r w:rsidR="002914F6" w:rsidRPr="00403C55">
        <w:rPr>
          <w:rFonts w:ascii="Times New Roman" w:hAnsi="Times New Roman" w:cs="Times New Roman"/>
          <w:lang w:val="fr-FR"/>
        </w:rPr>
        <w:t>)</w:t>
      </w:r>
    </w:p>
    <w:p w14:paraId="50072E01" w14:textId="77777777" w:rsidR="00D34A3B" w:rsidRPr="00403C55" w:rsidRDefault="00D34A3B" w:rsidP="000B2D13">
      <w:pPr>
        <w:spacing w:after="0" w:line="240" w:lineRule="auto"/>
        <w:jc w:val="both"/>
        <w:rPr>
          <w:rFonts w:ascii="Times New Roman" w:hAnsi="Times New Roman" w:cs="Times New Roman"/>
          <w:lang w:val="fr-FR"/>
        </w:rPr>
      </w:pPr>
    </w:p>
    <w:p w14:paraId="6D6D57A7" w14:textId="265A9D04" w:rsidR="000B2D13" w:rsidRPr="00403C55" w:rsidRDefault="000F0B54" w:rsidP="000B2D13">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Lors de l’établissement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sont également encouragés à consulter les Lignes directrices </w:t>
      </w:r>
      <w:r w:rsidR="0003562F">
        <w:rPr>
          <w:rFonts w:ascii="Times New Roman" w:hAnsi="Times New Roman" w:cs="Times New Roman"/>
          <w:lang w:val="fr-FR"/>
        </w:rPr>
        <w:t>de l’AEWA</w:t>
      </w:r>
      <w:r w:rsidRPr="00403C55">
        <w:rPr>
          <w:rFonts w:ascii="Times New Roman" w:hAnsi="Times New Roman" w:cs="Times New Roman"/>
          <w:lang w:val="fr-FR"/>
        </w:rPr>
        <w:t xml:space="preserve"> sur la préparation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par espèce pour les oiseaux d'eau migrateurs</w:t>
      </w:r>
      <w:r w:rsidRPr="00403C55">
        <w:rPr>
          <w:rStyle w:val="FootnoteReference"/>
          <w:rFonts w:ascii="Times New Roman" w:hAnsi="Times New Roman" w:cs="Times New Roman"/>
          <w:lang w:val="fr-FR"/>
        </w:rPr>
        <w:footnoteReference w:id="1"/>
      </w:r>
      <w:r w:rsidRPr="00403C55">
        <w:rPr>
          <w:rFonts w:ascii="Times New Roman" w:hAnsi="Times New Roman" w:cs="Times New Roman"/>
          <w:lang w:val="fr-FR"/>
        </w:rPr>
        <w:t>.</w:t>
      </w:r>
      <w:r w:rsidR="000B2D13" w:rsidRPr="00403C55">
        <w:rPr>
          <w:rFonts w:ascii="Times New Roman" w:hAnsi="Times New Roman" w:cs="Times New Roman"/>
          <w:lang w:val="fr-FR"/>
        </w:rPr>
        <w:t xml:space="preserve"> </w:t>
      </w:r>
    </w:p>
    <w:p w14:paraId="343F6AA0" w14:textId="77777777" w:rsidR="007F4059" w:rsidRPr="00403C55" w:rsidRDefault="007F4059" w:rsidP="007F4059">
      <w:pPr>
        <w:spacing w:after="0" w:line="240" w:lineRule="auto"/>
        <w:jc w:val="both"/>
        <w:rPr>
          <w:rFonts w:ascii="Times New Roman" w:hAnsi="Times New Roman" w:cs="Times New Roman"/>
          <w:b/>
          <w:highlight w:val="yellow"/>
          <w:lang w:val="fr-FR"/>
        </w:rPr>
      </w:pPr>
    </w:p>
    <w:p w14:paraId="6B986E9B" w14:textId="2D48B166" w:rsidR="007F4059" w:rsidRPr="00403C55" w:rsidRDefault="007F4059" w:rsidP="00045FFC">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4.3. </w:t>
      </w:r>
      <w:r w:rsidR="002914F6" w:rsidRPr="00403C55">
        <w:rPr>
          <w:rFonts w:ascii="Times New Roman" w:hAnsi="Times New Roman" w:cs="Times New Roman"/>
          <w:b/>
          <w:lang w:val="fr-FR"/>
        </w:rPr>
        <w:t>Groupes de travail nationaux par espèce</w:t>
      </w:r>
    </w:p>
    <w:p w14:paraId="51D82439" w14:textId="77777777" w:rsidR="007F4059" w:rsidRPr="00403C55" w:rsidRDefault="007F4059" w:rsidP="007F4059">
      <w:pPr>
        <w:spacing w:after="0" w:line="240" w:lineRule="auto"/>
        <w:jc w:val="both"/>
        <w:rPr>
          <w:rFonts w:ascii="Times New Roman" w:hAnsi="Times New Roman" w:cs="Times New Roman"/>
          <w:highlight w:val="yellow"/>
          <w:lang w:val="fr-FR"/>
        </w:rPr>
      </w:pPr>
    </w:p>
    <w:p w14:paraId="12C6EE32" w14:textId="19EAF7A5" w:rsidR="00045FFC" w:rsidRPr="00403C55" w:rsidRDefault="002914F6" w:rsidP="00827C33">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groupes de travail nationaux par espèce doivent</w:t>
      </w:r>
      <w:r w:rsidR="00254787" w:rsidRPr="00403C55">
        <w:rPr>
          <w:rFonts w:ascii="Times New Roman" w:hAnsi="Times New Roman" w:cs="Times New Roman"/>
          <w:lang w:val="fr-FR"/>
        </w:rPr>
        <w:t>, à</w:t>
      </w:r>
      <w:r w:rsidRPr="00403C55">
        <w:rPr>
          <w:rFonts w:ascii="Times New Roman" w:hAnsi="Times New Roman" w:cs="Times New Roman"/>
          <w:lang w:val="fr-FR"/>
        </w:rPr>
        <w:t xml:space="preserve"> leur tour, être établis pour coordonner l'élaboration et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/de gestion nationaux.</w:t>
      </w:r>
      <w:r w:rsidR="00827C33" w:rsidRPr="00403C55">
        <w:rPr>
          <w:rFonts w:ascii="Times New Roman" w:hAnsi="Times New Roman" w:cs="Times New Roman"/>
          <w:lang w:val="fr-FR"/>
        </w:rPr>
        <w:t xml:space="preserve"> </w:t>
      </w:r>
      <w:r w:rsidRPr="00403C55">
        <w:rPr>
          <w:rFonts w:ascii="Times New Roman" w:hAnsi="Times New Roman" w:cs="Times New Roman"/>
          <w:lang w:val="fr-FR"/>
        </w:rPr>
        <w:t>Ces groupes doivent également être intergouvernementaux et inclusifs :</w:t>
      </w:r>
      <w:r w:rsidR="00827C33" w:rsidRPr="00403C55">
        <w:rPr>
          <w:rFonts w:ascii="Times New Roman" w:hAnsi="Times New Roman" w:cs="Times New Roman"/>
          <w:lang w:val="fr-FR"/>
        </w:rPr>
        <w:t xml:space="preserve"> </w:t>
      </w:r>
      <w:r w:rsidR="00254787" w:rsidRPr="00403C55">
        <w:rPr>
          <w:rFonts w:ascii="Times New Roman" w:hAnsi="Times New Roman" w:cs="Times New Roman"/>
          <w:lang w:val="fr-FR"/>
        </w:rPr>
        <w:t>i</w:t>
      </w:r>
      <w:r w:rsidRPr="00403C55">
        <w:rPr>
          <w:rFonts w:ascii="Times New Roman" w:hAnsi="Times New Roman" w:cs="Times New Roman"/>
          <w:lang w:val="fr-FR"/>
        </w:rPr>
        <w:t>ls doivent comprendre des représentants de toutes les parties prenantes nationales participant à la conservation ou à la gestion d’une espèce.</w:t>
      </w:r>
      <w:r w:rsidR="008E6909" w:rsidRPr="00403C55">
        <w:rPr>
          <w:rFonts w:ascii="Times New Roman" w:hAnsi="Times New Roman" w:cs="Times New Roman"/>
          <w:lang w:val="fr-FR"/>
        </w:rPr>
        <w:t xml:space="preserve"> </w:t>
      </w:r>
      <w:r w:rsidRPr="00403C55">
        <w:rPr>
          <w:rFonts w:ascii="Times New Roman" w:hAnsi="Times New Roman" w:cs="Times New Roman"/>
          <w:lang w:val="fr-FR"/>
        </w:rPr>
        <w:t>La tâche de coordination de la mise en œuvre peut, bien entendu, également être facilitée sous une autre forme, selon ce que prévoit la pratique gouvernementale nationale pour ce type de processus.</w:t>
      </w:r>
      <w:r w:rsidR="00A81E7F" w:rsidRPr="00403C55">
        <w:rPr>
          <w:rFonts w:ascii="Times New Roman" w:hAnsi="Times New Roman" w:cs="Times New Roman"/>
          <w:lang w:val="fr-FR"/>
        </w:rPr>
        <w:t xml:space="preserve"> </w:t>
      </w:r>
    </w:p>
    <w:p w14:paraId="6F7528F9" w14:textId="77777777" w:rsidR="00045FFC" w:rsidRPr="00403C55" w:rsidRDefault="00045FFC" w:rsidP="00827C33">
      <w:pPr>
        <w:spacing w:after="0" w:line="240" w:lineRule="auto"/>
        <w:jc w:val="both"/>
        <w:rPr>
          <w:rFonts w:ascii="Times New Roman" w:hAnsi="Times New Roman" w:cs="Times New Roman"/>
          <w:lang w:val="fr-FR"/>
        </w:rPr>
      </w:pPr>
    </w:p>
    <w:p w14:paraId="7CB1C89F" w14:textId="6049FDBF" w:rsidR="00045FFC" w:rsidRPr="00403C55" w:rsidRDefault="00045FFC" w:rsidP="00045FFC">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4.4. </w:t>
      </w:r>
      <w:r w:rsidR="002914F6" w:rsidRPr="00403C55">
        <w:rPr>
          <w:rFonts w:ascii="Times New Roman" w:hAnsi="Times New Roman" w:cs="Times New Roman"/>
          <w:b/>
          <w:lang w:val="fr-FR"/>
        </w:rPr>
        <w:t xml:space="preserve">Lien entre la mise en œuvre nationale et les groupes de travail internationaux par espèce </w:t>
      </w:r>
    </w:p>
    <w:p w14:paraId="50076488" w14:textId="77777777" w:rsidR="007F4059" w:rsidRPr="00403C55" w:rsidRDefault="007F4059" w:rsidP="00827C33">
      <w:pPr>
        <w:spacing w:after="0" w:line="240" w:lineRule="auto"/>
        <w:jc w:val="both"/>
        <w:rPr>
          <w:rFonts w:ascii="Times New Roman" w:hAnsi="Times New Roman" w:cs="Times New Roman"/>
          <w:highlight w:val="yellow"/>
          <w:lang w:val="fr-FR"/>
        </w:rPr>
      </w:pPr>
    </w:p>
    <w:p w14:paraId="46A88EF2" w14:textId="23A2E10D" w:rsidR="007F4059" w:rsidRDefault="002914F6" w:rsidP="00045FFC">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Comme mentionné ci-dessus dans les rôle et tâches des groupes de travail internationaux (paragraphe 3.2.2.) l’une des tâches principales de chaque représentant gouvernemental désigné est la responsabilité de coordonner la mise en œuvre nationale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ou de gestion</w:t>
      </w:r>
      <w:r w:rsidR="00A35C59" w:rsidRPr="00403C55">
        <w:rPr>
          <w:rFonts w:ascii="Times New Roman" w:hAnsi="Times New Roman" w:cs="Times New Roman"/>
          <w:lang w:val="fr-FR"/>
        </w:rPr>
        <w:t xml:space="preserve"> internationaux</w:t>
      </w:r>
      <w:r w:rsidRPr="00403C55">
        <w:rPr>
          <w:rFonts w:ascii="Times New Roman" w:hAnsi="Times New Roman" w:cs="Times New Roman"/>
          <w:lang w:val="fr-FR"/>
        </w:rPr>
        <w:t xml:space="preserve"> respecti</w:t>
      </w:r>
      <w:r w:rsidR="00A35C59" w:rsidRPr="00403C55">
        <w:rPr>
          <w:rFonts w:ascii="Times New Roman" w:hAnsi="Times New Roman" w:cs="Times New Roman"/>
          <w:lang w:val="fr-FR"/>
        </w:rPr>
        <w:t>fs</w:t>
      </w:r>
      <w:r w:rsidRPr="00403C55">
        <w:rPr>
          <w:rFonts w:ascii="Times New Roman" w:hAnsi="Times New Roman" w:cs="Times New Roman"/>
          <w:lang w:val="fr-FR"/>
        </w:rPr>
        <w:t>, et de fonctionner en tant que lien entre le groupe de travail international et le groupe de travail national (ou autre agence nationale chargée de la mise en œuvre du plan).</w:t>
      </w:r>
      <w:r w:rsidR="007F4059" w:rsidRPr="00403C55">
        <w:rPr>
          <w:rFonts w:ascii="Times New Roman" w:hAnsi="Times New Roman" w:cs="Times New Roman"/>
          <w:lang w:val="fr-FR"/>
        </w:rPr>
        <w:t xml:space="preserve"> </w:t>
      </w:r>
      <w:r w:rsidR="00A35C59" w:rsidRPr="00403C55">
        <w:rPr>
          <w:rFonts w:ascii="Times New Roman" w:hAnsi="Times New Roman" w:cs="Times New Roman"/>
          <w:lang w:val="fr-FR"/>
        </w:rPr>
        <w:t xml:space="preserve">Ceci inclut, sans y être limité, le guidage des activités de mise en œuvre nationales en vertu des décisions </w:t>
      </w:r>
      <w:r w:rsidR="00A35C59" w:rsidRPr="00403C55">
        <w:rPr>
          <w:rFonts w:ascii="Times New Roman" w:hAnsi="Times New Roman" w:cs="Times New Roman"/>
          <w:lang w:val="fr-FR"/>
        </w:rPr>
        <w:lastRenderedPageBreak/>
        <w:t xml:space="preserve">prises par le groupe de travail et la consultation avec le groupe de travail </w:t>
      </w:r>
      <w:r w:rsidR="00403C55" w:rsidRPr="00403C55">
        <w:rPr>
          <w:rFonts w:ascii="Times New Roman" w:hAnsi="Times New Roman" w:cs="Times New Roman"/>
          <w:lang w:val="fr-FR"/>
        </w:rPr>
        <w:t>national</w:t>
      </w:r>
      <w:r w:rsidR="00A35C59" w:rsidRPr="00403C55">
        <w:rPr>
          <w:rFonts w:ascii="Times New Roman" w:hAnsi="Times New Roman" w:cs="Times New Roman"/>
          <w:lang w:val="fr-FR"/>
        </w:rPr>
        <w:t xml:space="preserve"> avant de remettre un rapport au groupe de travail sur l’avancement de la mise en œuvre au niveau national.</w:t>
      </w:r>
      <w:r w:rsidR="007F4059" w:rsidRPr="00403C55">
        <w:rPr>
          <w:rFonts w:ascii="Times New Roman" w:hAnsi="Times New Roman" w:cs="Times New Roman"/>
          <w:lang w:val="fr-FR"/>
        </w:rPr>
        <w:t xml:space="preserve"> </w:t>
      </w:r>
    </w:p>
    <w:p w14:paraId="3DC2F9A4" w14:textId="77777777" w:rsidR="00856FAD" w:rsidRPr="00403C55" w:rsidRDefault="00856FAD" w:rsidP="00045FFC">
      <w:pPr>
        <w:spacing w:after="0" w:line="240" w:lineRule="auto"/>
        <w:jc w:val="both"/>
        <w:rPr>
          <w:rFonts w:ascii="Times New Roman" w:hAnsi="Times New Roman" w:cs="Times New Roman"/>
          <w:lang w:val="fr-FR"/>
        </w:rPr>
      </w:pPr>
    </w:p>
    <w:p w14:paraId="2BBC33F6" w14:textId="12F0285F" w:rsidR="00A30751" w:rsidRPr="00403C55" w:rsidRDefault="008F7800" w:rsidP="004A287B">
      <w:pPr>
        <w:shd w:val="clear" w:color="auto" w:fill="C6D9F1" w:themeFill="text2" w:themeFillTint="33"/>
        <w:spacing w:after="0" w:line="240" w:lineRule="auto"/>
        <w:jc w:val="both"/>
        <w:rPr>
          <w:rFonts w:ascii="Times New Roman" w:hAnsi="Times New Roman" w:cs="Times New Roman"/>
          <w:sz w:val="24"/>
          <w:szCs w:val="24"/>
          <w:lang w:val="fr-FR"/>
        </w:rPr>
      </w:pPr>
      <w:r w:rsidRPr="00403C55">
        <w:rPr>
          <w:rFonts w:ascii="Times New Roman" w:hAnsi="Times New Roman" w:cs="Times New Roman"/>
          <w:sz w:val="24"/>
          <w:szCs w:val="24"/>
          <w:lang w:val="fr-FR"/>
        </w:rPr>
        <w:t>5</w:t>
      </w:r>
      <w:r w:rsidR="008855A4" w:rsidRPr="00403C55">
        <w:rPr>
          <w:rFonts w:ascii="Times New Roman" w:hAnsi="Times New Roman" w:cs="Times New Roman"/>
          <w:sz w:val="24"/>
          <w:szCs w:val="24"/>
          <w:lang w:val="fr-FR"/>
        </w:rPr>
        <w:t xml:space="preserve">. </w:t>
      </w:r>
      <w:r w:rsidR="00A35C59" w:rsidRPr="00403C55">
        <w:rPr>
          <w:rFonts w:ascii="Times New Roman" w:hAnsi="Times New Roman" w:cs="Times New Roman"/>
          <w:sz w:val="24"/>
          <w:szCs w:val="24"/>
          <w:lang w:val="fr-FR"/>
        </w:rPr>
        <w:t xml:space="preserve">Niveau actuel de préparation des plans </w:t>
      </w:r>
      <w:r w:rsidR="0003562F">
        <w:rPr>
          <w:rFonts w:ascii="Times New Roman" w:hAnsi="Times New Roman" w:cs="Times New Roman"/>
          <w:sz w:val="24"/>
          <w:szCs w:val="24"/>
          <w:lang w:val="fr-FR"/>
        </w:rPr>
        <w:t>d’action</w:t>
      </w:r>
      <w:r w:rsidR="00A35C59" w:rsidRPr="00403C55">
        <w:rPr>
          <w:rFonts w:ascii="Times New Roman" w:hAnsi="Times New Roman" w:cs="Times New Roman"/>
          <w:sz w:val="24"/>
          <w:szCs w:val="24"/>
          <w:lang w:val="fr-FR"/>
        </w:rPr>
        <w:t xml:space="preserve"> et de gestion </w:t>
      </w:r>
      <w:r w:rsidR="0003562F">
        <w:rPr>
          <w:rFonts w:ascii="Times New Roman" w:hAnsi="Times New Roman" w:cs="Times New Roman"/>
          <w:sz w:val="24"/>
          <w:szCs w:val="24"/>
          <w:lang w:val="fr-FR"/>
        </w:rPr>
        <w:t>de l’AEWA</w:t>
      </w:r>
    </w:p>
    <w:p w14:paraId="6E222A93" w14:textId="77777777" w:rsidR="00981C81" w:rsidRPr="00403C55" w:rsidRDefault="00981C81" w:rsidP="00981C81">
      <w:pPr>
        <w:spacing w:after="0" w:line="240" w:lineRule="auto"/>
        <w:jc w:val="both"/>
        <w:rPr>
          <w:rFonts w:ascii="Times New Roman" w:hAnsi="Times New Roman" w:cs="Times New Roman"/>
          <w:sz w:val="20"/>
          <w:szCs w:val="20"/>
          <w:lang w:val="fr-FR"/>
        </w:rPr>
      </w:pPr>
    </w:p>
    <w:p w14:paraId="2FC82ACF" w14:textId="4EB65718" w:rsidR="00A216B3" w:rsidRPr="00403C55" w:rsidRDefault="008F7800" w:rsidP="004A287B">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5</w:t>
      </w:r>
      <w:r w:rsidR="00A216B3" w:rsidRPr="00403C55">
        <w:rPr>
          <w:rFonts w:ascii="Times New Roman" w:hAnsi="Times New Roman" w:cs="Times New Roman"/>
          <w:b/>
          <w:lang w:val="fr-FR"/>
        </w:rPr>
        <w:t xml:space="preserve">.1. </w:t>
      </w:r>
      <w:r w:rsidR="00A35C59" w:rsidRPr="00403C55">
        <w:rPr>
          <w:rFonts w:ascii="Times New Roman" w:hAnsi="Times New Roman" w:cs="Times New Roman"/>
          <w:b/>
          <w:lang w:val="fr-FR"/>
        </w:rPr>
        <w:t>Introduction</w:t>
      </w:r>
    </w:p>
    <w:p w14:paraId="2D1F2623" w14:textId="77777777" w:rsidR="00A216B3" w:rsidRPr="00403C55" w:rsidRDefault="00A216B3" w:rsidP="00981C81">
      <w:pPr>
        <w:spacing w:after="0" w:line="240" w:lineRule="auto"/>
        <w:jc w:val="both"/>
        <w:rPr>
          <w:rFonts w:ascii="Times New Roman" w:hAnsi="Times New Roman" w:cs="Times New Roman"/>
          <w:lang w:val="fr-FR"/>
        </w:rPr>
      </w:pPr>
    </w:p>
    <w:p w14:paraId="1F06C583" w14:textId="3F7CE808" w:rsidR="00314074" w:rsidRPr="00403C55" w:rsidRDefault="00A35C59" w:rsidP="00981C8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 total de 19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et un plan de gestion international par espèce ont été adoptés </w:t>
      </w:r>
      <w:r w:rsidR="00870983">
        <w:rPr>
          <w:rFonts w:ascii="Times New Roman" w:hAnsi="Times New Roman" w:cs="Times New Roman"/>
          <w:lang w:val="fr-FR"/>
        </w:rPr>
        <w:t>dans le cadre</w:t>
      </w:r>
      <w:r w:rsidRPr="00403C55">
        <w:rPr>
          <w:rFonts w:ascii="Times New Roman" w:hAnsi="Times New Roman" w:cs="Times New Roman"/>
          <w:lang w:val="fr-FR"/>
        </w:rPr>
        <w:t xml:space="preserve"> </w:t>
      </w:r>
      <w:r w:rsidR="00870983">
        <w:rPr>
          <w:rFonts w:ascii="Times New Roman" w:hAnsi="Times New Roman" w:cs="Times New Roman"/>
          <w:lang w:val="fr-FR"/>
        </w:rPr>
        <w:t xml:space="preserve">de </w:t>
      </w:r>
      <w:r w:rsidRPr="00403C55">
        <w:rPr>
          <w:rFonts w:ascii="Times New Roman" w:hAnsi="Times New Roman" w:cs="Times New Roman"/>
          <w:lang w:val="fr-FR"/>
        </w:rPr>
        <w:t>l’Accord par la MOP à ce jour.</w:t>
      </w:r>
      <w:r w:rsidR="00314074" w:rsidRPr="00403C55">
        <w:rPr>
          <w:rFonts w:ascii="Times New Roman" w:hAnsi="Times New Roman" w:cs="Times New Roman"/>
          <w:lang w:val="fr-FR"/>
        </w:rPr>
        <w:t xml:space="preserve"> </w:t>
      </w:r>
      <w:r w:rsidRPr="00403C55">
        <w:rPr>
          <w:rFonts w:ascii="Times New Roman" w:hAnsi="Times New Roman" w:cs="Times New Roman"/>
          <w:lang w:val="fr-FR"/>
        </w:rPr>
        <w:t>La 6</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session de la Réunion des Parties devrait adopter cinq plans </w:t>
      </w:r>
      <w:r w:rsidR="0003562F">
        <w:rPr>
          <w:rFonts w:ascii="Times New Roman" w:hAnsi="Times New Roman" w:cs="Times New Roman"/>
          <w:lang w:val="fr-FR"/>
        </w:rPr>
        <w:t>d’action</w:t>
      </w:r>
      <w:r w:rsidRPr="00403C55">
        <w:rPr>
          <w:rFonts w:ascii="Times New Roman" w:hAnsi="Times New Roman" w:cs="Times New Roman"/>
          <w:lang w:val="fr-FR"/>
        </w:rPr>
        <w:t xml:space="preserve"> supplémentaires, un plan </w:t>
      </w:r>
      <w:r w:rsidR="0003562F">
        <w:rPr>
          <w:rFonts w:ascii="Times New Roman" w:hAnsi="Times New Roman" w:cs="Times New Roman"/>
          <w:lang w:val="fr-FR"/>
        </w:rPr>
        <w:t>d’action</w:t>
      </w:r>
      <w:r w:rsidRPr="00403C55">
        <w:rPr>
          <w:rFonts w:ascii="Times New Roman" w:hAnsi="Times New Roman" w:cs="Times New Roman"/>
          <w:lang w:val="fr-FR"/>
        </w:rPr>
        <w:t xml:space="preserve"> révisé et le premier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multi-espèces </w:t>
      </w:r>
      <w:r w:rsidR="000A1F2D">
        <w:rPr>
          <w:rFonts w:ascii="Times New Roman" w:hAnsi="Times New Roman" w:cs="Times New Roman"/>
          <w:lang w:val="fr-FR"/>
        </w:rPr>
        <w:t>dans le cadre de</w:t>
      </w:r>
      <w:r w:rsidRPr="00403C55">
        <w:rPr>
          <w:rFonts w:ascii="Times New Roman" w:hAnsi="Times New Roman" w:cs="Times New Roman"/>
          <w:lang w:val="fr-FR"/>
        </w:rPr>
        <w:t xml:space="preserve"> l’AEWA.</w:t>
      </w:r>
    </w:p>
    <w:p w14:paraId="560282F4" w14:textId="77777777" w:rsidR="00A216B3" w:rsidRPr="00403C55" w:rsidRDefault="00A216B3" w:rsidP="00981C81">
      <w:pPr>
        <w:spacing w:after="0" w:line="240" w:lineRule="auto"/>
        <w:jc w:val="both"/>
        <w:rPr>
          <w:rFonts w:ascii="Times New Roman" w:hAnsi="Times New Roman" w:cs="Times New Roman"/>
          <w:lang w:val="fr-FR"/>
        </w:rPr>
      </w:pPr>
    </w:p>
    <w:p w14:paraId="3966A8E7" w14:textId="5027D41E" w:rsidR="00A216B3" w:rsidRPr="00403C55" w:rsidRDefault="008F7800" w:rsidP="004A287B">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5</w:t>
      </w:r>
      <w:r w:rsidR="00A216B3" w:rsidRPr="00403C55">
        <w:rPr>
          <w:rFonts w:ascii="Times New Roman" w:hAnsi="Times New Roman" w:cs="Times New Roman"/>
          <w:b/>
          <w:lang w:val="fr-FR"/>
        </w:rPr>
        <w:t xml:space="preserve">.2. </w:t>
      </w:r>
      <w:r w:rsidR="00A35C59"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00A35C59" w:rsidRPr="00403C55">
        <w:rPr>
          <w:rFonts w:ascii="Times New Roman" w:hAnsi="Times New Roman" w:cs="Times New Roman"/>
          <w:b/>
          <w:lang w:val="fr-FR"/>
        </w:rPr>
        <w:t xml:space="preserve">/de gestion adoptés </w:t>
      </w:r>
      <w:r w:rsidR="000A1F2D">
        <w:rPr>
          <w:rFonts w:ascii="Times New Roman" w:hAnsi="Times New Roman" w:cs="Times New Roman"/>
          <w:b/>
          <w:lang w:val="fr-FR"/>
        </w:rPr>
        <w:t>pour 2002-2012 dans le cadre de</w:t>
      </w:r>
      <w:r w:rsidR="00A35C59" w:rsidRPr="00403C55">
        <w:rPr>
          <w:rFonts w:ascii="Times New Roman" w:hAnsi="Times New Roman" w:cs="Times New Roman"/>
          <w:b/>
          <w:lang w:val="fr-FR"/>
        </w:rPr>
        <w:t xml:space="preserve"> l’AEWA</w:t>
      </w:r>
    </w:p>
    <w:p w14:paraId="326A6CBA" w14:textId="77777777" w:rsidR="00314074" w:rsidRPr="00403C55" w:rsidRDefault="00314074" w:rsidP="00981C81">
      <w:pPr>
        <w:spacing w:after="0" w:line="240" w:lineRule="auto"/>
        <w:jc w:val="both"/>
        <w:rPr>
          <w:rFonts w:ascii="Times New Roman" w:hAnsi="Times New Roman" w:cs="Times New Roman"/>
          <w:b/>
          <w:lang w:val="fr-FR"/>
        </w:rPr>
      </w:pPr>
    </w:p>
    <w:p w14:paraId="37D9E7FF" w14:textId="47DE1805" w:rsidR="00314074" w:rsidRPr="00403C55" w:rsidRDefault="00A35C59" w:rsidP="00981C8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tableau ci-dessous inclut tous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adoptés </w:t>
      </w:r>
      <w:r w:rsidR="00870983">
        <w:rPr>
          <w:rFonts w:ascii="Times New Roman" w:hAnsi="Times New Roman" w:cs="Times New Roman"/>
          <w:lang w:val="fr-FR"/>
        </w:rPr>
        <w:t>durant la période 2002-2012 dans le cadre de</w:t>
      </w:r>
      <w:r w:rsidRPr="00403C55">
        <w:rPr>
          <w:rFonts w:ascii="Times New Roman" w:hAnsi="Times New Roman" w:cs="Times New Roman"/>
          <w:lang w:val="fr-FR"/>
        </w:rPr>
        <w:t xml:space="preserve"> l’AEWA.</w:t>
      </w:r>
    </w:p>
    <w:p w14:paraId="218A660B" w14:textId="77777777" w:rsidR="00CB6634" w:rsidRPr="00403C55" w:rsidRDefault="00CB6634" w:rsidP="00981C81">
      <w:pPr>
        <w:spacing w:after="0" w:line="240" w:lineRule="auto"/>
        <w:jc w:val="both"/>
        <w:rPr>
          <w:rFonts w:ascii="Times New Roman" w:hAnsi="Times New Roman" w:cs="Times New Roman"/>
          <w:lang w:val="fr-FR"/>
        </w:rPr>
      </w:pPr>
    </w:p>
    <w:p w14:paraId="3DA605F7" w14:textId="2A9A3543" w:rsidR="00314074" w:rsidRPr="00403C55" w:rsidRDefault="00A35C59" w:rsidP="00981C81">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Tableau 2 : plans </w:t>
      </w:r>
      <w:r w:rsidR="0003562F">
        <w:rPr>
          <w:rFonts w:ascii="Times New Roman" w:hAnsi="Times New Roman" w:cs="Times New Roman"/>
          <w:i/>
          <w:lang w:val="fr-FR"/>
        </w:rPr>
        <w:t>d’action</w:t>
      </w:r>
      <w:r w:rsidRPr="00403C55">
        <w:rPr>
          <w:rFonts w:ascii="Times New Roman" w:hAnsi="Times New Roman" w:cs="Times New Roman"/>
          <w:i/>
          <w:lang w:val="fr-FR"/>
        </w:rPr>
        <w:t xml:space="preserve"> et de gestion internationaux par espèce </w:t>
      </w:r>
      <w:r w:rsidR="0003562F">
        <w:rPr>
          <w:rFonts w:ascii="Times New Roman" w:hAnsi="Times New Roman" w:cs="Times New Roman"/>
          <w:i/>
          <w:lang w:val="fr-FR"/>
        </w:rPr>
        <w:t>de l’AEWA</w:t>
      </w:r>
      <w:r w:rsidRPr="00403C55">
        <w:rPr>
          <w:rFonts w:ascii="Times New Roman" w:hAnsi="Times New Roman" w:cs="Times New Roman"/>
          <w:i/>
          <w:lang w:val="fr-FR"/>
        </w:rPr>
        <w:t xml:space="preserve"> adoptés </w:t>
      </w:r>
      <w:r w:rsidR="000A1F2D">
        <w:rPr>
          <w:rFonts w:ascii="Times New Roman" w:hAnsi="Times New Roman" w:cs="Times New Roman"/>
          <w:i/>
          <w:lang w:val="fr-FR"/>
        </w:rPr>
        <w:t>dans le cadre de</w:t>
      </w:r>
      <w:r w:rsidRPr="00403C55">
        <w:rPr>
          <w:rFonts w:ascii="Times New Roman" w:hAnsi="Times New Roman" w:cs="Times New Roman"/>
          <w:i/>
          <w:lang w:val="fr-FR"/>
        </w:rPr>
        <w:t xml:space="preserve"> l’Accord à ce</w:t>
      </w:r>
      <w:r w:rsidR="00870983">
        <w:rPr>
          <w:rFonts w:ascii="Times New Roman" w:hAnsi="Times New Roman" w:cs="Times New Roman"/>
          <w:i/>
          <w:lang w:val="fr-FR"/>
        </w:rPr>
        <w:t xml:space="preserve"> jour</w:t>
      </w:r>
      <w:r w:rsidRPr="00403C55">
        <w:rPr>
          <w:rFonts w:ascii="Times New Roman" w:hAnsi="Times New Roman" w:cs="Times New Roman"/>
          <w:i/>
          <w:lang w:val="fr-FR"/>
        </w:rPr>
        <w:t>.</w:t>
      </w:r>
    </w:p>
    <w:tbl>
      <w:tblPr>
        <w:tblStyle w:val="TableGrid"/>
        <w:tblW w:w="5000" w:type="pct"/>
        <w:tblLook w:val="04A0" w:firstRow="1" w:lastRow="0" w:firstColumn="1" w:lastColumn="0" w:noHBand="0" w:noVBand="1"/>
      </w:tblPr>
      <w:tblGrid>
        <w:gridCol w:w="6458"/>
        <w:gridCol w:w="2602"/>
      </w:tblGrid>
      <w:tr w:rsidR="007B13EE" w:rsidRPr="00403C55" w14:paraId="022C5160" w14:textId="77777777" w:rsidTr="00254787">
        <w:trPr>
          <w:trHeight w:val="516"/>
        </w:trPr>
        <w:tc>
          <w:tcPr>
            <w:tcW w:w="3564" w:type="pct"/>
            <w:vAlign w:val="center"/>
          </w:tcPr>
          <w:p w14:paraId="253FB6E3" w14:textId="208B2588" w:rsidR="007B13EE" w:rsidRPr="00403C55" w:rsidRDefault="00A35C59" w:rsidP="003F50F9">
            <w:pPr>
              <w:rPr>
                <w:rFonts w:ascii="Times New Roman" w:hAnsi="Times New Roman" w:cs="Times New Roman"/>
                <w:b/>
                <w:lang w:val="fr-FR"/>
              </w:rPr>
            </w:pPr>
            <w:r w:rsidRPr="00403C55">
              <w:rPr>
                <w:rFonts w:ascii="Times New Roman" w:hAnsi="Times New Roman" w:cs="Times New Roman"/>
                <w:b/>
                <w:lang w:val="fr-FR"/>
              </w:rPr>
              <w:t>Espèce</w:t>
            </w:r>
          </w:p>
        </w:tc>
        <w:tc>
          <w:tcPr>
            <w:tcW w:w="1436" w:type="pct"/>
            <w:vAlign w:val="center"/>
          </w:tcPr>
          <w:p w14:paraId="1857FA5C" w14:textId="4636ED2C" w:rsidR="007B13EE" w:rsidRPr="00403C55" w:rsidRDefault="00A35C59" w:rsidP="003F50F9">
            <w:pPr>
              <w:rPr>
                <w:rFonts w:ascii="Times New Roman" w:hAnsi="Times New Roman" w:cs="Times New Roman"/>
                <w:b/>
                <w:lang w:val="fr-FR"/>
              </w:rPr>
            </w:pPr>
            <w:r w:rsidRPr="00403C55">
              <w:rPr>
                <w:rFonts w:ascii="Times New Roman" w:hAnsi="Times New Roman" w:cs="Times New Roman"/>
                <w:b/>
                <w:lang w:val="fr-FR"/>
              </w:rPr>
              <w:t>Adopté</w:t>
            </w:r>
            <w:r w:rsidR="007B13EE" w:rsidRPr="00403C55">
              <w:rPr>
                <w:rFonts w:ascii="Times New Roman" w:hAnsi="Times New Roman" w:cs="Times New Roman"/>
                <w:b/>
                <w:lang w:val="fr-FR"/>
              </w:rPr>
              <w:t xml:space="preserve"> </w:t>
            </w:r>
          </w:p>
        </w:tc>
      </w:tr>
      <w:tr w:rsidR="007B13EE" w:rsidRPr="00403C55" w14:paraId="3B16E3DD" w14:textId="77777777" w:rsidTr="00254787">
        <w:trPr>
          <w:trHeight w:val="355"/>
        </w:trPr>
        <w:tc>
          <w:tcPr>
            <w:tcW w:w="3564" w:type="pct"/>
            <w:vAlign w:val="center"/>
          </w:tcPr>
          <w:p w14:paraId="793A7AF5" w14:textId="55D669EB"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Bécassine double (</w:t>
            </w:r>
            <w:r w:rsidRPr="00403C55">
              <w:rPr>
                <w:rFonts w:ascii="Times New Roman" w:hAnsi="Times New Roman" w:cs="Times New Roman"/>
                <w:i/>
                <w:lang w:val="fr-FR"/>
              </w:rPr>
              <w:t>Gallinago media</w:t>
            </w:r>
            <w:r w:rsidRPr="00403C55">
              <w:rPr>
                <w:rFonts w:ascii="Times New Roman" w:hAnsi="Times New Roman" w:cs="Times New Roman"/>
                <w:lang w:val="fr-FR"/>
              </w:rPr>
              <w:t>)</w:t>
            </w:r>
          </w:p>
        </w:tc>
        <w:tc>
          <w:tcPr>
            <w:tcW w:w="1436" w:type="pct"/>
            <w:vAlign w:val="center"/>
          </w:tcPr>
          <w:p w14:paraId="538BF3DA" w14:textId="25F726E7"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MOP2 en 2002</w:t>
            </w:r>
          </w:p>
        </w:tc>
      </w:tr>
      <w:tr w:rsidR="007B13EE" w:rsidRPr="00403C55" w14:paraId="7D3CE054" w14:textId="77777777" w:rsidTr="00254787">
        <w:trPr>
          <w:trHeight w:val="257"/>
        </w:trPr>
        <w:tc>
          <w:tcPr>
            <w:tcW w:w="3564" w:type="pct"/>
            <w:vAlign w:val="center"/>
          </w:tcPr>
          <w:p w14:paraId="78305DD0" w14:textId="25416B44"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Glaréole à ailes noires (</w:t>
            </w:r>
            <w:r w:rsidRPr="00403C55">
              <w:rPr>
                <w:rFonts w:ascii="Times New Roman" w:hAnsi="Times New Roman" w:cs="Times New Roman"/>
                <w:i/>
                <w:lang w:val="fr-FR"/>
              </w:rPr>
              <w:t>Glareola nordmanni</w:t>
            </w:r>
            <w:r w:rsidRPr="00403C55">
              <w:rPr>
                <w:rFonts w:ascii="Times New Roman" w:hAnsi="Times New Roman" w:cs="Times New Roman"/>
                <w:lang w:val="fr-FR"/>
              </w:rPr>
              <w:t>)</w:t>
            </w:r>
          </w:p>
        </w:tc>
        <w:tc>
          <w:tcPr>
            <w:tcW w:w="1436" w:type="pct"/>
            <w:vAlign w:val="center"/>
          </w:tcPr>
          <w:p w14:paraId="728BEE2B" w14:textId="3BA695B7"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MOP2 en 2002</w:t>
            </w:r>
          </w:p>
        </w:tc>
      </w:tr>
      <w:tr w:rsidR="007B13EE" w:rsidRPr="00403C55" w14:paraId="78DD9034" w14:textId="77777777" w:rsidTr="00254787">
        <w:trPr>
          <w:trHeight w:val="355"/>
        </w:trPr>
        <w:tc>
          <w:tcPr>
            <w:tcW w:w="3564" w:type="pct"/>
            <w:vAlign w:val="center"/>
          </w:tcPr>
          <w:p w14:paraId="2376E855" w14:textId="5338A48D" w:rsidR="007B13EE" w:rsidRPr="00403C55" w:rsidRDefault="00870983" w:rsidP="003F50F9">
            <w:pPr>
              <w:rPr>
                <w:rFonts w:ascii="Times New Roman" w:hAnsi="Times New Roman" w:cs="Times New Roman"/>
                <w:lang w:val="fr-FR"/>
              </w:rPr>
            </w:pPr>
            <w:r>
              <w:rPr>
                <w:rFonts w:ascii="Times New Roman" w:hAnsi="Times New Roman" w:cs="Times New Roman"/>
                <w:lang w:val="fr-FR"/>
              </w:rPr>
              <w:t>É</w:t>
            </w:r>
            <w:r w:rsidR="00A35C59" w:rsidRPr="00403C55">
              <w:rPr>
                <w:rFonts w:ascii="Times New Roman" w:hAnsi="Times New Roman" w:cs="Times New Roman"/>
                <w:lang w:val="fr-FR"/>
              </w:rPr>
              <w:t xml:space="preserve">rismature à tête blanche </w:t>
            </w:r>
            <w:r w:rsidR="00A35C59" w:rsidRPr="00403C55">
              <w:rPr>
                <w:rFonts w:ascii="Times New Roman" w:hAnsi="Times New Roman" w:cs="Times New Roman"/>
                <w:i/>
                <w:lang w:val="fr-FR"/>
              </w:rPr>
              <w:t>(Oxyura leucocephala)</w:t>
            </w:r>
          </w:p>
        </w:tc>
        <w:tc>
          <w:tcPr>
            <w:tcW w:w="1436" w:type="pct"/>
            <w:vAlign w:val="center"/>
          </w:tcPr>
          <w:p w14:paraId="23BBDB6C" w14:textId="28D04E03"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MOP3 en 2005</w:t>
            </w:r>
          </w:p>
        </w:tc>
      </w:tr>
      <w:tr w:rsidR="007B13EE" w:rsidRPr="00403C55" w14:paraId="32AF068D" w14:textId="77777777" w:rsidTr="00254787">
        <w:trPr>
          <w:trHeight w:val="257"/>
        </w:trPr>
        <w:tc>
          <w:tcPr>
            <w:tcW w:w="3564" w:type="pct"/>
            <w:vAlign w:val="center"/>
          </w:tcPr>
          <w:p w14:paraId="66F21027" w14:textId="6A37B244"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Râle des genêts (</w:t>
            </w:r>
            <w:r w:rsidRPr="00403C55">
              <w:rPr>
                <w:rFonts w:ascii="Times New Roman" w:hAnsi="Times New Roman" w:cs="Times New Roman"/>
                <w:i/>
                <w:lang w:val="fr-FR"/>
              </w:rPr>
              <w:t>Crex crex</w:t>
            </w:r>
            <w:r w:rsidRPr="00403C55">
              <w:rPr>
                <w:rFonts w:ascii="Times New Roman" w:hAnsi="Times New Roman" w:cs="Times New Roman"/>
                <w:lang w:val="fr-FR"/>
              </w:rPr>
              <w:t>)</w:t>
            </w:r>
          </w:p>
        </w:tc>
        <w:tc>
          <w:tcPr>
            <w:tcW w:w="1436" w:type="pct"/>
            <w:vAlign w:val="center"/>
          </w:tcPr>
          <w:p w14:paraId="6F628C58" w14:textId="3587ABF7"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MOP3 en 2005</w:t>
            </w:r>
          </w:p>
        </w:tc>
      </w:tr>
      <w:tr w:rsidR="007B13EE" w:rsidRPr="00403C55" w14:paraId="36035967" w14:textId="77777777" w:rsidTr="00254787">
        <w:trPr>
          <w:trHeight w:val="257"/>
        </w:trPr>
        <w:tc>
          <w:tcPr>
            <w:tcW w:w="3564" w:type="pct"/>
            <w:vAlign w:val="center"/>
          </w:tcPr>
          <w:p w14:paraId="7F9B2F5A" w14:textId="24E9EBB8"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Fuligule nyroca (</w:t>
            </w:r>
            <w:r w:rsidRPr="00403C55">
              <w:rPr>
                <w:rFonts w:ascii="Times New Roman" w:hAnsi="Times New Roman" w:cs="Times New Roman"/>
                <w:i/>
                <w:lang w:val="fr-FR"/>
              </w:rPr>
              <w:t>Aythya nyroca</w:t>
            </w:r>
            <w:r w:rsidRPr="00403C55">
              <w:rPr>
                <w:rFonts w:ascii="Times New Roman" w:hAnsi="Times New Roman" w:cs="Times New Roman"/>
                <w:lang w:val="fr-FR"/>
              </w:rPr>
              <w:t>)</w:t>
            </w:r>
          </w:p>
        </w:tc>
        <w:tc>
          <w:tcPr>
            <w:tcW w:w="1436" w:type="pct"/>
            <w:vAlign w:val="center"/>
          </w:tcPr>
          <w:p w14:paraId="7F74919E" w14:textId="786933E3"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MOP3 en 2005</w:t>
            </w:r>
          </w:p>
        </w:tc>
      </w:tr>
      <w:tr w:rsidR="007B13EE" w:rsidRPr="00403C55" w14:paraId="2175B742" w14:textId="77777777" w:rsidTr="00254787">
        <w:trPr>
          <w:trHeight w:val="257"/>
        </w:trPr>
        <w:tc>
          <w:tcPr>
            <w:tcW w:w="3564" w:type="pct"/>
            <w:vAlign w:val="center"/>
          </w:tcPr>
          <w:p w14:paraId="398999C3" w14:textId="35A60CCE"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 xml:space="preserve">Bernache à ventre pâle </w:t>
            </w:r>
            <w:r w:rsidRPr="00403C55">
              <w:rPr>
                <w:rFonts w:ascii="Times New Roman" w:hAnsi="Times New Roman" w:cs="Times New Roman"/>
                <w:i/>
                <w:lang w:val="fr-FR"/>
              </w:rPr>
              <w:t>(Branta bernicla hrota)</w:t>
            </w:r>
          </w:p>
        </w:tc>
        <w:tc>
          <w:tcPr>
            <w:tcW w:w="1436" w:type="pct"/>
            <w:vAlign w:val="center"/>
          </w:tcPr>
          <w:p w14:paraId="6EDCA368" w14:textId="1DFC2BE8"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MOP3 en 2005</w:t>
            </w:r>
          </w:p>
        </w:tc>
      </w:tr>
      <w:tr w:rsidR="007B13EE" w:rsidRPr="00403C55" w14:paraId="159263A1" w14:textId="77777777" w:rsidTr="00254787">
        <w:trPr>
          <w:trHeight w:val="257"/>
        </w:trPr>
        <w:tc>
          <w:tcPr>
            <w:tcW w:w="3564" w:type="pct"/>
            <w:vAlign w:val="center"/>
          </w:tcPr>
          <w:p w14:paraId="3C0416CC" w14:textId="54E58A18" w:rsidR="007B13EE" w:rsidRPr="00403C55" w:rsidRDefault="00A35C59" w:rsidP="007B13EE">
            <w:pPr>
              <w:rPr>
                <w:rFonts w:ascii="Times New Roman" w:hAnsi="Times New Roman" w:cs="Times New Roman"/>
                <w:i/>
                <w:lang w:val="fr-FR"/>
              </w:rPr>
            </w:pPr>
            <w:r w:rsidRPr="00403C55">
              <w:rPr>
                <w:rFonts w:ascii="Times New Roman" w:hAnsi="Times New Roman" w:cs="Times New Roman"/>
                <w:lang w:val="fr-FR"/>
              </w:rPr>
              <w:t>Ibis chauve (</w:t>
            </w:r>
            <w:r w:rsidRPr="00870983">
              <w:rPr>
                <w:rFonts w:ascii="Times New Roman" w:hAnsi="Times New Roman" w:cs="Times New Roman"/>
                <w:i/>
                <w:lang w:val="fr-FR"/>
              </w:rPr>
              <w:t>Geronticus eremita</w:t>
            </w:r>
            <w:r w:rsidRPr="00403C55">
              <w:rPr>
                <w:rFonts w:ascii="Times New Roman" w:hAnsi="Times New Roman" w:cs="Times New Roman"/>
                <w:lang w:val="fr-FR"/>
              </w:rPr>
              <w:t>)</w:t>
            </w:r>
          </w:p>
          <w:p w14:paraId="03EB7651" w14:textId="762E831A"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(Révision à adopter par la MOP6)</w:t>
            </w:r>
          </w:p>
        </w:tc>
        <w:tc>
          <w:tcPr>
            <w:tcW w:w="1436" w:type="pct"/>
            <w:vAlign w:val="center"/>
          </w:tcPr>
          <w:p w14:paraId="7B26AB9B" w14:textId="4DF91B47"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MOP3 en 2005</w:t>
            </w:r>
          </w:p>
        </w:tc>
      </w:tr>
      <w:tr w:rsidR="007B13EE" w:rsidRPr="00403C55" w14:paraId="1CBB7251" w14:textId="77777777" w:rsidTr="00254787">
        <w:trPr>
          <w:trHeight w:val="257"/>
        </w:trPr>
        <w:tc>
          <w:tcPr>
            <w:tcW w:w="3564" w:type="pct"/>
            <w:vAlign w:val="center"/>
          </w:tcPr>
          <w:p w14:paraId="2C04D6F4" w14:textId="3855D6C7"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Flamant nain (</w:t>
            </w:r>
            <w:r w:rsidRPr="00870983">
              <w:rPr>
                <w:rFonts w:ascii="Times New Roman" w:hAnsi="Times New Roman" w:cs="Times New Roman"/>
                <w:i/>
                <w:lang w:val="fr-FR"/>
              </w:rPr>
              <w:t>Phoeniconaias minor</w:t>
            </w:r>
            <w:r w:rsidRPr="00403C55">
              <w:rPr>
                <w:rFonts w:ascii="Times New Roman" w:hAnsi="Times New Roman" w:cs="Times New Roman"/>
                <w:lang w:val="fr-FR"/>
              </w:rPr>
              <w:t>)</w:t>
            </w:r>
          </w:p>
        </w:tc>
        <w:tc>
          <w:tcPr>
            <w:tcW w:w="1436" w:type="pct"/>
            <w:vAlign w:val="center"/>
          </w:tcPr>
          <w:p w14:paraId="50B722B6" w14:textId="151B5967"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0DA510B5" w14:textId="77777777" w:rsidTr="00254787">
        <w:trPr>
          <w:trHeight w:val="257"/>
        </w:trPr>
        <w:tc>
          <w:tcPr>
            <w:tcW w:w="3564" w:type="pct"/>
            <w:vAlign w:val="center"/>
          </w:tcPr>
          <w:p w14:paraId="5E1D4ADE" w14:textId="4E9DFB76"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 xml:space="preserve">Spatule blanche </w:t>
            </w:r>
            <w:r w:rsidRPr="00403C55">
              <w:rPr>
                <w:rFonts w:ascii="Times New Roman" w:hAnsi="Times New Roman" w:cs="Times New Roman"/>
                <w:i/>
                <w:lang w:val="fr-FR"/>
              </w:rPr>
              <w:t>(Platalea leucorodia)</w:t>
            </w:r>
          </w:p>
        </w:tc>
        <w:tc>
          <w:tcPr>
            <w:tcW w:w="1436" w:type="pct"/>
            <w:vAlign w:val="center"/>
          </w:tcPr>
          <w:p w14:paraId="24CDFE64" w14:textId="2129D103"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5B3D716A" w14:textId="77777777" w:rsidTr="00254787">
        <w:trPr>
          <w:trHeight w:val="257"/>
        </w:trPr>
        <w:tc>
          <w:tcPr>
            <w:tcW w:w="3564" w:type="pct"/>
            <w:vAlign w:val="center"/>
          </w:tcPr>
          <w:p w14:paraId="107EA315" w14:textId="3BEBA51F"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 xml:space="preserve">Barge à queue noire </w:t>
            </w:r>
            <w:r w:rsidRPr="00403C55">
              <w:rPr>
                <w:rFonts w:ascii="Times New Roman" w:hAnsi="Times New Roman" w:cs="Times New Roman"/>
                <w:i/>
                <w:lang w:val="fr-FR"/>
              </w:rPr>
              <w:t>(Limosa limosa)</w:t>
            </w:r>
          </w:p>
        </w:tc>
        <w:tc>
          <w:tcPr>
            <w:tcW w:w="1436" w:type="pct"/>
            <w:vAlign w:val="center"/>
          </w:tcPr>
          <w:p w14:paraId="6543205D" w14:textId="2A185BBD"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084E68B4" w14:textId="77777777" w:rsidTr="00254787">
        <w:trPr>
          <w:trHeight w:val="257"/>
        </w:trPr>
        <w:tc>
          <w:tcPr>
            <w:tcW w:w="3564" w:type="pct"/>
            <w:vAlign w:val="center"/>
          </w:tcPr>
          <w:p w14:paraId="0B02A022" w14:textId="003F4DF5"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Oie naine (</w:t>
            </w:r>
            <w:r w:rsidRPr="00870983">
              <w:rPr>
                <w:rFonts w:ascii="Times New Roman" w:hAnsi="Times New Roman" w:cs="Times New Roman"/>
                <w:i/>
                <w:lang w:val="fr-FR"/>
              </w:rPr>
              <w:t>Anser erythropus</w:t>
            </w:r>
            <w:r w:rsidRPr="00403C55">
              <w:rPr>
                <w:rFonts w:ascii="Times New Roman" w:hAnsi="Times New Roman" w:cs="Times New Roman"/>
                <w:lang w:val="fr-FR"/>
              </w:rPr>
              <w:t>)</w:t>
            </w:r>
            <w:r w:rsidR="007B13EE" w:rsidRPr="00403C55">
              <w:rPr>
                <w:rFonts w:ascii="Times New Roman" w:hAnsi="Times New Roman" w:cs="Times New Roman"/>
                <w:i/>
                <w:lang w:val="fr-FR"/>
              </w:rPr>
              <w:t xml:space="preserve"> </w:t>
            </w:r>
          </w:p>
        </w:tc>
        <w:tc>
          <w:tcPr>
            <w:tcW w:w="1436" w:type="pct"/>
            <w:vAlign w:val="center"/>
          </w:tcPr>
          <w:p w14:paraId="7EC5E0CF" w14:textId="2FCBD4D8"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2636E16D" w14:textId="77777777" w:rsidTr="00254787">
        <w:trPr>
          <w:trHeight w:val="257"/>
        </w:trPr>
        <w:tc>
          <w:tcPr>
            <w:tcW w:w="3564" w:type="pct"/>
            <w:vAlign w:val="center"/>
          </w:tcPr>
          <w:p w14:paraId="43136C79" w14:textId="5E8E05FE"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Érismature Maccoa (</w:t>
            </w:r>
            <w:r w:rsidRPr="00403C55">
              <w:rPr>
                <w:rFonts w:ascii="Times New Roman" w:hAnsi="Times New Roman" w:cs="Times New Roman"/>
                <w:i/>
                <w:lang w:val="fr-FR"/>
              </w:rPr>
              <w:t>Oxyura maccoa</w:t>
            </w:r>
            <w:r w:rsidRPr="00403C55">
              <w:rPr>
                <w:rFonts w:ascii="Times New Roman" w:hAnsi="Times New Roman" w:cs="Times New Roman"/>
                <w:lang w:val="fr-FR"/>
              </w:rPr>
              <w:t>)</w:t>
            </w:r>
          </w:p>
        </w:tc>
        <w:tc>
          <w:tcPr>
            <w:tcW w:w="1436" w:type="pct"/>
            <w:vAlign w:val="center"/>
          </w:tcPr>
          <w:p w14:paraId="5B3548CE" w14:textId="5D8D788F"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6058E901" w14:textId="77777777" w:rsidTr="00254787">
        <w:trPr>
          <w:trHeight w:val="445"/>
        </w:trPr>
        <w:tc>
          <w:tcPr>
            <w:tcW w:w="3564" w:type="pct"/>
            <w:vAlign w:val="center"/>
          </w:tcPr>
          <w:p w14:paraId="2272DD3A" w14:textId="7D6C1C2D"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 xml:space="preserve">Râle à miroir </w:t>
            </w:r>
            <w:r w:rsidRPr="00403C55">
              <w:rPr>
                <w:rFonts w:ascii="Times New Roman" w:hAnsi="Times New Roman" w:cs="Times New Roman"/>
                <w:i/>
                <w:lang w:val="fr-FR"/>
              </w:rPr>
              <w:t>(Sarothrura ayresi)</w:t>
            </w:r>
          </w:p>
        </w:tc>
        <w:tc>
          <w:tcPr>
            <w:tcW w:w="1436" w:type="pct"/>
            <w:vAlign w:val="center"/>
          </w:tcPr>
          <w:p w14:paraId="2B9DD09D" w14:textId="0F0FC963"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626C0AAF" w14:textId="77777777" w:rsidTr="00254787">
        <w:trPr>
          <w:trHeight w:val="257"/>
        </w:trPr>
        <w:tc>
          <w:tcPr>
            <w:tcW w:w="3564" w:type="pct"/>
            <w:vAlign w:val="center"/>
          </w:tcPr>
          <w:p w14:paraId="4DEFC0A0" w14:textId="7EB3DA66"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 xml:space="preserve">Crabier blanc </w:t>
            </w:r>
            <w:r w:rsidRPr="00403C55">
              <w:rPr>
                <w:rFonts w:ascii="Times New Roman" w:hAnsi="Times New Roman" w:cs="Times New Roman"/>
                <w:i/>
                <w:lang w:val="fr-FR"/>
              </w:rPr>
              <w:t>(Ardeola idae)</w:t>
            </w:r>
          </w:p>
        </w:tc>
        <w:tc>
          <w:tcPr>
            <w:tcW w:w="1436" w:type="pct"/>
            <w:vAlign w:val="center"/>
          </w:tcPr>
          <w:p w14:paraId="01BD9E3C" w14:textId="0D47C829"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MOP4 en 2008</w:t>
            </w:r>
          </w:p>
        </w:tc>
      </w:tr>
      <w:tr w:rsidR="007B13EE" w:rsidRPr="00403C55" w14:paraId="04883634" w14:textId="77777777" w:rsidTr="00254787">
        <w:trPr>
          <w:trHeight w:val="355"/>
        </w:trPr>
        <w:tc>
          <w:tcPr>
            <w:tcW w:w="3564" w:type="pct"/>
            <w:vAlign w:val="center"/>
          </w:tcPr>
          <w:p w14:paraId="65E2BFD4" w14:textId="647FC638"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 xml:space="preserve">Aigrette vineuse </w:t>
            </w:r>
            <w:r w:rsidRPr="00403C55">
              <w:rPr>
                <w:rFonts w:ascii="Times New Roman" w:hAnsi="Times New Roman" w:cs="Times New Roman"/>
                <w:i/>
                <w:lang w:val="fr-FR"/>
              </w:rPr>
              <w:t>(Egretta vinaceigula)</w:t>
            </w:r>
          </w:p>
        </w:tc>
        <w:tc>
          <w:tcPr>
            <w:tcW w:w="1436" w:type="pct"/>
            <w:vAlign w:val="center"/>
          </w:tcPr>
          <w:p w14:paraId="46E61A35" w14:textId="1511C41D"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MOP5 en 2012</w:t>
            </w:r>
          </w:p>
        </w:tc>
      </w:tr>
      <w:tr w:rsidR="007B13EE" w:rsidRPr="00403C55" w14:paraId="27EC5A7E" w14:textId="77777777" w:rsidTr="00254787">
        <w:trPr>
          <w:trHeight w:val="346"/>
        </w:trPr>
        <w:tc>
          <w:tcPr>
            <w:tcW w:w="3564" w:type="pct"/>
            <w:vAlign w:val="center"/>
          </w:tcPr>
          <w:p w14:paraId="78941F49" w14:textId="5E37530B"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Cygne de Bewick (</w:t>
            </w:r>
            <w:r w:rsidRPr="00403C55">
              <w:rPr>
                <w:rFonts w:ascii="Times New Roman" w:hAnsi="Times New Roman" w:cs="Times New Roman"/>
                <w:i/>
                <w:lang w:val="fr-FR"/>
              </w:rPr>
              <w:t>Cygnus columbianus bewickii</w:t>
            </w:r>
            <w:r w:rsidRPr="00403C55">
              <w:rPr>
                <w:rFonts w:ascii="Times New Roman" w:hAnsi="Times New Roman" w:cs="Times New Roman"/>
                <w:lang w:val="fr-FR"/>
              </w:rPr>
              <w:t>)</w:t>
            </w:r>
          </w:p>
        </w:tc>
        <w:tc>
          <w:tcPr>
            <w:tcW w:w="1436" w:type="pct"/>
            <w:vAlign w:val="center"/>
          </w:tcPr>
          <w:p w14:paraId="65812EC6" w14:textId="5691BF70"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MOP5 en 2012</w:t>
            </w:r>
          </w:p>
        </w:tc>
      </w:tr>
      <w:tr w:rsidR="007B13EE" w:rsidRPr="00403C55" w14:paraId="7413C194" w14:textId="77777777" w:rsidTr="00254787">
        <w:trPr>
          <w:trHeight w:val="445"/>
        </w:trPr>
        <w:tc>
          <w:tcPr>
            <w:tcW w:w="3564" w:type="pct"/>
            <w:vAlign w:val="center"/>
          </w:tcPr>
          <w:p w14:paraId="31585137" w14:textId="6EB639F6"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Oie rieuse du Groenland (</w:t>
            </w:r>
            <w:r w:rsidRPr="00403C55">
              <w:rPr>
                <w:rFonts w:ascii="Times New Roman" w:hAnsi="Times New Roman" w:cs="Times New Roman"/>
                <w:i/>
                <w:lang w:val="fr-FR"/>
              </w:rPr>
              <w:t>Anser albifrons flavirostris</w:t>
            </w:r>
            <w:r w:rsidRPr="00403C55">
              <w:rPr>
                <w:rFonts w:ascii="Times New Roman" w:hAnsi="Times New Roman" w:cs="Times New Roman"/>
                <w:lang w:val="fr-FR"/>
              </w:rPr>
              <w:t>)</w:t>
            </w:r>
          </w:p>
        </w:tc>
        <w:tc>
          <w:tcPr>
            <w:tcW w:w="1436" w:type="pct"/>
            <w:vAlign w:val="center"/>
          </w:tcPr>
          <w:p w14:paraId="243082B9" w14:textId="5E7AE51E"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MOP5 en 2012</w:t>
            </w:r>
          </w:p>
        </w:tc>
      </w:tr>
      <w:tr w:rsidR="007B13EE" w:rsidRPr="00403C55" w14:paraId="2B0C8DAF" w14:textId="77777777" w:rsidTr="00254787">
        <w:trPr>
          <w:trHeight w:val="436"/>
        </w:trPr>
        <w:tc>
          <w:tcPr>
            <w:tcW w:w="3564" w:type="pct"/>
            <w:vAlign w:val="center"/>
          </w:tcPr>
          <w:p w14:paraId="34F64AD2" w14:textId="47E9CB46"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Bernache à cou roux (</w:t>
            </w:r>
            <w:r w:rsidRPr="00870983">
              <w:rPr>
                <w:rFonts w:ascii="Times New Roman" w:hAnsi="Times New Roman" w:cs="Times New Roman"/>
                <w:i/>
                <w:lang w:val="fr-FR"/>
              </w:rPr>
              <w:t>Branta ruficollis</w:t>
            </w:r>
            <w:r w:rsidRPr="00403C55">
              <w:rPr>
                <w:rFonts w:ascii="Times New Roman" w:hAnsi="Times New Roman" w:cs="Times New Roman"/>
                <w:lang w:val="fr-FR"/>
              </w:rPr>
              <w:t>)</w:t>
            </w:r>
          </w:p>
        </w:tc>
        <w:tc>
          <w:tcPr>
            <w:tcW w:w="1436" w:type="pct"/>
            <w:vAlign w:val="center"/>
          </w:tcPr>
          <w:p w14:paraId="67A11E19" w14:textId="6D9DE13F"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MOP5 en 2012</w:t>
            </w:r>
          </w:p>
        </w:tc>
      </w:tr>
      <w:tr w:rsidR="007B13EE" w:rsidRPr="00403C55" w14:paraId="59DE9D10" w14:textId="77777777" w:rsidTr="00254787">
        <w:trPr>
          <w:trHeight w:val="445"/>
        </w:trPr>
        <w:tc>
          <w:tcPr>
            <w:tcW w:w="3564" w:type="pct"/>
            <w:vAlign w:val="center"/>
          </w:tcPr>
          <w:p w14:paraId="1BA43BEE" w14:textId="46213954" w:rsidR="007B13EE" w:rsidRPr="00403C55" w:rsidRDefault="00A35C59" w:rsidP="007B13EE">
            <w:pPr>
              <w:rPr>
                <w:rFonts w:ascii="Times New Roman" w:hAnsi="Times New Roman" w:cs="Times New Roman"/>
                <w:lang w:val="fr-FR"/>
              </w:rPr>
            </w:pPr>
            <w:r w:rsidRPr="00403C55">
              <w:rPr>
                <w:rFonts w:ascii="Times New Roman" w:hAnsi="Times New Roman" w:cs="Times New Roman"/>
                <w:lang w:val="fr-FR"/>
              </w:rPr>
              <w:t>Vanneau sociable (</w:t>
            </w:r>
            <w:r w:rsidRPr="00870983">
              <w:rPr>
                <w:rFonts w:ascii="Times New Roman" w:hAnsi="Times New Roman" w:cs="Times New Roman"/>
                <w:i/>
                <w:lang w:val="fr-FR"/>
              </w:rPr>
              <w:t>Vanellus gregarius</w:t>
            </w:r>
            <w:r w:rsidRPr="00403C55">
              <w:rPr>
                <w:rFonts w:ascii="Times New Roman" w:hAnsi="Times New Roman" w:cs="Times New Roman"/>
                <w:lang w:val="fr-FR"/>
              </w:rPr>
              <w:t>)</w:t>
            </w:r>
            <w:r w:rsidR="007B13EE" w:rsidRPr="00403C55">
              <w:rPr>
                <w:rFonts w:ascii="Times New Roman" w:hAnsi="Times New Roman" w:cs="Times New Roman"/>
                <w:i/>
                <w:lang w:val="fr-FR"/>
              </w:rPr>
              <w:t xml:space="preserve"> </w:t>
            </w:r>
          </w:p>
          <w:p w14:paraId="069BECA3" w14:textId="55686528" w:rsidR="007B13EE" w:rsidRPr="00403C55" w:rsidRDefault="00A35C59" w:rsidP="003F50F9">
            <w:pPr>
              <w:rPr>
                <w:rFonts w:ascii="Times New Roman" w:hAnsi="Times New Roman" w:cs="Times New Roman"/>
                <w:i/>
                <w:lang w:val="fr-FR"/>
              </w:rPr>
            </w:pPr>
            <w:r w:rsidRPr="00403C55">
              <w:rPr>
                <w:rFonts w:ascii="Times New Roman" w:hAnsi="Times New Roman" w:cs="Times New Roman"/>
                <w:lang w:val="fr-FR"/>
              </w:rPr>
              <w:t>(Révision de l’ISSAP 2002)</w:t>
            </w:r>
          </w:p>
        </w:tc>
        <w:tc>
          <w:tcPr>
            <w:tcW w:w="1436" w:type="pct"/>
            <w:vAlign w:val="center"/>
          </w:tcPr>
          <w:p w14:paraId="26D1CE28" w14:textId="3A12ED1B" w:rsidR="007B13EE"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MOP5 en 2012</w:t>
            </w:r>
          </w:p>
        </w:tc>
      </w:tr>
      <w:tr w:rsidR="004511DB" w:rsidRPr="00403C55" w14:paraId="42317C9E" w14:textId="77777777" w:rsidTr="00254787">
        <w:trPr>
          <w:trHeight w:val="445"/>
        </w:trPr>
        <w:tc>
          <w:tcPr>
            <w:tcW w:w="3564" w:type="pct"/>
            <w:vAlign w:val="center"/>
          </w:tcPr>
          <w:p w14:paraId="4C3C420F" w14:textId="56C2DBFC" w:rsidR="004511DB" w:rsidRPr="00403C55" w:rsidRDefault="00A35C59" w:rsidP="003F50F9">
            <w:pPr>
              <w:rPr>
                <w:rFonts w:ascii="Times New Roman" w:hAnsi="Times New Roman" w:cs="Times New Roman"/>
                <w:lang w:val="fr-FR"/>
              </w:rPr>
            </w:pPr>
            <w:r w:rsidRPr="00403C55">
              <w:rPr>
                <w:rFonts w:ascii="Times New Roman" w:hAnsi="Times New Roman" w:cs="Times New Roman"/>
                <w:lang w:val="fr-FR"/>
              </w:rPr>
              <w:t xml:space="preserve">Plan de gestion pour la population de l'Oie à bec court du Svalbard </w:t>
            </w:r>
            <w:r w:rsidRPr="00403C55">
              <w:rPr>
                <w:rFonts w:ascii="Times New Roman" w:hAnsi="Times New Roman" w:cs="Times New Roman"/>
                <w:i/>
                <w:lang w:val="fr-FR"/>
              </w:rPr>
              <w:t>(Anser brachyrhynchus)</w:t>
            </w:r>
          </w:p>
        </w:tc>
        <w:tc>
          <w:tcPr>
            <w:tcW w:w="1436" w:type="pct"/>
            <w:vAlign w:val="center"/>
          </w:tcPr>
          <w:p w14:paraId="3EBF0BB9" w14:textId="614E458F" w:rsidR="004511DB" w:rsidRPr="00403C55" w:rsidRDefault="00A35C59" w:rsidP="003F50F9">
            <w:pPr>
              <w:rPr>
                <w:rFonts w:ascii="Times New Roman" w:hAnsi="Times New Roman" w:cs="Times New Roman"/>
                <w:lang w:val="fr-FR"/>
              </w:rPr>
            </w:pPr>
            <w:r w:rsidRPr="00403C55">
              <w:rPr>
                <w:rFonts w:ascii="Times New Roman" w:hAnsi="Times New Roman" w:cs="Times New Roman"/>
                <w:lang w:val="fr-FR"/>
              </w:rPr>
              <w:t>MOP5 en 2012</w:t>
            </w:r>
          </w:p>
        </w:tc>
      </w:tr>
    </w:tbl>
    <w:p w14:paraId="7F868D04" w14:textId="77777777" w:rsidR="00314074" w:rsidRPr="00403C55" w:rsidRDefault="00314074" w:rsidP="00981C81">
      <w:pPr>
        <w:spacing w:after="0" w:line="240" w:lineRule="auto"/>
        <w:jc w:val="both"/>
        <w:rPr>
          <w:rFonts w:ascii="Times New Roman" w:hAnsi="Times New Roman" w:cs="Times New Roman"/>
          <w:lang w:val="fr-FR"/>
        </w:rPr>
      </w:pPr>
    </w:p>
    <w:p w14:paraId="5BADAF72" w14:textId="6FA80ADF" w:rsidR="00A216B3" w:rsidRPr="00403C55" w:rsidRDefault="008F7800" w:rsidP="004A287B">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5</w:t>
      </w:r>
      <w:r w:rsidR="00A216B3" w:rsidRPr="00403C55">
        <w:rPr>
          <w:rFonts w:ascii="Times New Roman" w:hAnsi="Times New Roman" w:cs="Times New Roman"/>
          <w:b/>
          <w:lang w:val="fr-FR"/>
        </w:rPr>
        <w:t xml:space="preserve">.3. </w:t>
      </w:r>
      <w:r w:rsidR="00A35C59"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00A35C59" w:rsidRPr="00403C55">
        <w:rPr>
          <w:rFonts w:ascii="Times New Roman" w:hAnsi="Times New Roman" w:cs="Times New Roman"/>
          <w:b/>
          <w:lang w:val="fr-FR"/>
        </w:rPr>
        <w:t xml:space="preserve"> devant être adoptés par la MOP6</w:t>
      </w:r>
    </w:p>
    <w:p w14:paraId="313083C1" w14:textId="77777777" w:rsidR="00A216B3" w:rsidRPr="00403C55" w:rsidRDefault="00A216B3" w:rsidP="00981C81">
      <w:pPr>
        <w:spacing w:after="0" w:line="240" w:lineRule="auto"/>
        <w:jc w:val="both"/>
        <w:rPr>
          <w:rFonts w:ascii="Times New Roman" w:hAnsi="Times New Roman" w:cs="Times New Roman"/>
          <w:lang w:val="fr-FR"/>
        </w:rPr>
      </w:pPr>
    </w:p>
    <w:p w14:paraId="2D3B46B3" w14:textId="0BD8AEC1" w:rsidR="00314074" w:rsidRPr="00403C55" w:rsidRDefault="00A35C59" w:rsidP="00981C8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tableau suivant inclut tous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dont l’adoption est suggérée à la 6</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session de la Réunion des Parties, en novembre 2015.</w:t>
      </w:r>
    </w:p>
    <w:p w14:paraId="2FCB1548" w14:textId="77777777" w:rsidR="00CB6634" w:rsidRPr="00403C55" w:rsidRDefault="00CB6634" w:rsidP="00981C81">
      <w:pPr>
        <w:spacing w:after="0" w:line="240" w:lineRule="auto"/>
        <w:jc w:val="both"/>
        <w:rPr>
          <w:rFonts w:ascii="Times New Roman" w:hAnsi="Times New Roman" w:cs="Times New Roman"/>
          <w:lang w:val="fr-FR"/>
        </w:rPr>
      </w:pPr>
    </w:p>
    <w:p w14:paraId="561414B9" w14:textId="3752EC3F" w:rsidR="00314074" w:rsidRPr="00403C55" w:rsidRDefault="00A35C59" w:rsidP="00981C81">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Tableau 3 : </w:t>
      </w:r>
      <w:r w:rsidR="007E02AF" w:rsidRPr="00403C55">
        <w:rPr>
          <w:rFonts w:ascii="Times New Roman" w:hAnsi="Times New Roman" w:cs="Times New Roman"/>
          <w:i/>
          <w:lang w:val="fr-FR"/>
        </w:rPr>
        <w:t xml:space="preserve">plans </w:t>
      </w:r>
      <w:r w:rsidR="0003562F">
        <w:rPr>
          <w:rFonts w:ascii="Times New Roman" w:hAnsi="Times New Roman" w:cs="Times New Roman"/>
          <w:i/>
          <w:lang w:val="fr-FR"/>
        </w:rPr>
        <w:t>d’action</w:t>
      </w:r>
      <w:r w:rsidR="007E02AF" w:rsidRPr="00403C55">
        <w:rPr>
          <w:rFonts w:ascii="Times New Roman" w:hAnsi="Times New Roman" w:cs="Times New Roman"/>
          <w:i/>
          <w:lang w:val="fr-FR"/>
        </w:rPr>
        <w:t xml:space="preserve"> internationaux par espèce </w:t>
      </w:r>
      <w:r w:rsidR="0003562F">
        <w:rPr>
          <w:rFonts w:ascii="Times New Roman" w:hAnsi="Times New Roman" w:cs="Times New Roman"/>
          <w:i/>
          <w:lang w:val="fr-FR"/>
        </w:rPr>
        <w:t>de l’AEWA</w:t>
      </w:r>
      <w:r w:rsidRPr="00403C55">
        <w:rPr>
          <w:rFonts w:ascii="Times New Roman" w:hAnsi="Times New Roman" w:cs="Times New Roman"/>
          <w:i/>
          <w:lang w:val="fr-FR"/>
        </w:rPr>
        <w:t xml:space="preserve"> propos</w:t>
      </w:r>
      <w:r w:rsidR="007E02AF" w:rsidRPr="00403C55">
        <w:rPr>
          <w:rFonts w:ascii="Times New Roman" w:hAnsi="Times New Roman" w:cs="Times New Roman"/>
          <w:i/>
          <w:lang w:val="fr-FR"/>
        </w:rPr>
        <w:t>és pour adoption à la</w:t>
      </w:r>
      <w:r w:rsidRPr="00403C55">
        <w:rPr>
          <w:rFonts w:ascii="Times New Roman" w:hAnsi="Times New Roman" w:cs="Times New Roman"/>
          <w:i/>
          <w:lang w:val="fr-FR"/>
        </w:rPr>
        <w:t xml:space="preserve"> MOP6.</w:t>
      </w:r>
    </w:p>
    <w:tbl>
      <w:tblPr>
        <w:tblStyle w:val="TableGrid"/>
        <w:tblW w:w="5000" w:type="pct"/>
        <w:tblLook w:val="04A0" w:firstRow="1" w:lastRow="0" w:firstColumn="1" w:lastColumn="0" w:noHBand="0" w:noVBand="1"/>
      </w:tblPr>
      <w:tblGrid>
        <w:gridCol w:w="9060"/>
      </w:tblGrid>
      <w:tr w:rsidR="004511DB" w:rsidRPr="00403C55" w14:paraId="5287A025" w14:textId="77777777" w:rsidTr="00254787">
        <w:trPr>
          <w:trHeight w:val="534"/>
        </w:trPr>
        <w:tc>
          <w:tcPr>
            <w:tcW w:w="5000" w:type="pct"/>
            <w:vAlign w:val="center"/>
          </w:tcPr>
          <w:p w14:paraId="5B6BD2EC" w14:textId="6A36F854" w:rsidR="004511DB" w:rsidRPr="00403C55" w:rsidRDefault="007E02AF" w:rsidP="003F50F9">
            <w:pPr>
              <w:rPr>
                <w:rFonts w:ascii="Times New Roman" w:hAnsi="Times New Roman" w:cs="Times New Roman"/>
                <w:b/>
                <w:lang w:val="fr-FR"/>
              </w:rPr>
            </w:pPr>
            <w:r w:rsidRPr="00403C55">
              <w:rPr>
                <w:rFonts w:ascii="Times New Roman" w:hAnsi="Times New Roman" w:cs="Times New Roman"/>
                <w:b/>
                <w:lang w:val="fr-FR"/>
              </w:rPr>
              <w:lastRenderedPageBreak/>
              <w:t>Espèce</w:t>
            </w:r>
          </w:p>
        </w:tc>
      </w:tr>
      <w:tr w:rsidR="004511DB" w:rsidRPr="00DE4CF4" w14:paraId="78C893AE" w14:textId="77777777" w:rsidTr="00254787">
        <w:trPr>
          <w:trHeight w:val="257"/>
        </w:trPr>
        <w:tc>
          <w:tcPr>
            <w:tcW w:w="5000" w:type="pct"/>
            <w:vAlign w:val="center"/>
          </w:tcPr>
          <w:p w14:paraId="3817814F" w14:textId="415A81A1" w:rsidR="004511DB" w:rsidRPr="00403C55" w:rsidRDefault="007E02AF" w:rsidP="003F50F9">
            <w:pPr>
              <w:rPr>
                <w:rFonts w:ascii="Times New Roman" w:hAnsi="Times New Roman" w:cs="Times New Roman"/>
                <w:lang w:val="fr-FR"/>
              </w:rPr>
            </w:pPr>
            <w:r w:rsidRPr="00403C55">
              <w:rPr>
                <w:rFonts w:ascii="Times New Roman" w:hAnsi="Times New Roman" w:cs="Times New Roman"/>
                <w:lang w:val="fr-FR"/>
              </w:rPr>
              <w:t xml:space="preserve">Bec-en-sabot du Nil </w:t>
            </w:r>
            <w:r w:rsidRPr="00403C55">
              <w:rPr>
                <w:rFonts w:ascii="Times New Roman" w:hAnsi="Times New Roman" w:cs="Times New Roman"/>
                <w:i/>
                <w:lang w:val="fr-FR"/>
              </w:rPr>
              <w:t>Balaeniceps rex</w:t>
            </w:r>
          </w:p>
        </w:tc>
      </w:tr>
      <w:tr w:rsidR="004511DB" w:rsidRPr="00403C55" w14:paraId="5A4E7B42" w14:textId="77777777" w:rsidTr="00254787">
        <w:trPr>
          <w:trHeight w:val="518"/>
        </w:trPr>
        <w:tc>
          <w:tcPr>
            <w:tcW w:w="5000" w:type="pct"/>
            <w:vAlign w:val="center"/>
          </w:tcPr>
          <w:p w14:paraId="41D66E33" w14:textId="54582A0A" w:rsidR="004511DB" w:rsidRPr="00403C55" w:rsidRDefault="007E02AF" w:rsidP="003F50F9">
            <w:pPr>
              <w:rPr>
                <w:rFonts w:ascii="Times New Roman" w:hAnsi="Times New Roman" w:cs="Times New Roman"/>
                <w:lang w:val="fr-FR"/>
              </w:rPr>
            </w:pPr>
            <w:r w:rsidRPr="00403C55">
              <w:rPr>
                <w:rFonts w:ascii="Times New Roman" w:hAnsi="Times New Roman" w:cs="Times New Roman"/>
                <w:lang w:val="fr-FR"/>
              </w:rPr>
              <w:t xml:space="preserve">Grue royale </w:t>
            </w:r>
            <w:r w:rsidRPr="00403C55">
              <w:rPr>
                <w:rFonts w:ascii="Times New Roman" w:hAnsi="Times New Roman" w:cs="Times New Roman"/>
                <w:i/>
                <w:lang w:val="fr-FR"/>
              </w:rPr>
              <w:t>Balearica regulorum</w:t>
            </w:r>
          </w:p>
        </w:tc>
      </w:tr>
      <w:tr w:rsidR="004511DB" w:rsidRPr="00DE4CF4" w14:paraId="72C75E9E" w14:textId="77777777" w:rsidTr="00254787">
        <w:trPr>
          <w:trHeight w:val="257"/>
        </w:trPr>
        <w:tc>
          <w:tcPr>
            <w:tcW w:w="5000" w:type="pct"/>
            <w:vAlign w:val="center"/>
          </w:tcPr>
          <w:p w14:paraId="0FDB7FED" w14:textId="3AB1757F" w:rsidR="004511DB" w:rsidRPr="00403C55" w:rsidRDefault="007E02AF" w:rsidP="003F50F9">
            <w:pPr>
              <w:rPr>
                <w:rFonts w:ascii="Times New Roman" w:hAnsi="Times New Roman" w:cs="Times New Roman"/>
                <w:lang w:val="fr-FR"/>
              </w:rPr>
            </w:pPr>
            <w:r w:rsidRPr="00403C55">
              <w:rPr>
                <w:rFonts w:ascii="Times New Roman" w:hAnsi="Times New Roman" w:cs="Times New Roman"/>
                <w:iCs/>
                <w:lang w:val="fr-FR"/>
              </w:rPr>
              <w:t>Oie des moissons</w:t>
            </w:r>
            <w:r w:rsidRPr="00403C55">
              <w:rPr>
                <w:rFonts w:ascii="Times New Roman" w:hAnsi="Times New Roman" w:cs="Times New Roman"/>
                <w:i/>
                <w:iCs/>
                <w:lang w:val="fr-FR"/>
              </w:rPr>
              <w:t xml:space="preserve"> Anser f. fabalis</w:t>
            </w:r>
          </w:p>
        </w:tc>
      </w:tr>
      <w:tr w:rsidR="004511DB" w:rsidRPr="00403C55" w14:paraId="57C08763" w14:textId="77777777" w:rsidTr="00254787">
        <w:trPr>
          <w:trHeight w:val="257"/>
        </w:trPr>
        <w:tc>
          <w:tcPr>
            <w:tcW w:w="5000" w:type="pct"/>
            <w:vAlign w:val="center"/>
          </w:tcPr>
          <w:p w14:paraId="6585C417" w14:textId="120023BB" w:rsidR="004511DB" w:rsidRPr="00403C55" w:rsidRDefault="007E02AF" w:rsidP="003F50F9">
            <w:pPr>
              <w:rPr>
                <w:rFonts w:ascii="Times New Roman" w:hAnsi="Times New Roman" w:cs="Times New Roman"/>
                <w:lang w:val="fr-FR"/>
              </w:rPr>
            </w:pPr>
            <w:r w:rsidRPr="00403C55">
              <w:rPr>
                <w:rFonts w:ascii="Times New Roman" w:hAnsi="Times New Roman" w:cs="Times New Roman"/>
                <w:iCs/>
                <w:lang w:val="fr-FR"/>
              </w:rPr>
              <w:t xml:space="preserve">Harelde boréale </w:t>
            </w:r>
            <w:r w:rsidRPr="00403C55">
              <w:rPr>
                <w:rFonts w:ascii="Times New Roman" w:hAnsi="Times New Roman" w:cs="Times New Roman"/>
                <w:i/>
                <w:lang w:val="fr-FR"/>
              </w:rPr>
              <w:t>Clangula hyemalis</w:t>
            </w:r>
          </w:p>
        </w:tc>
      </w:tr>
      <w:tr w:rsidR="004511DB" w:rsidRPr="00DE4CF4" w14:paraId="5453D3A2" w14:textId="77777777" w:rsidTr="00254787">
        <w:trPr>
          <w:trHeight w:val="483"/>
        </w:trPr>
        <w:tc>
          <w:tcPr>
            <w:tcW w:w="5000" w:type="pct"/>
            <w:vAlign w:val="center"/>
          </w:tcPr>
          <w:p w14:paraId="1016C36D" w14:textId="60BCF65F" w:rsidR="004511DB" w:rsidRPr="00403C55" w:rsidRDefault="007E02AF" w:rsidP="003F50F9">
            <w:pPr>
              <w:rPr>
                <w:rFonts w:ascii="Times New Roman" w:hAnsi="Times New Roman" w:cs="Times New Roman"/>
                <w:lang w:val="fr-FR"/>
              </w:rPr>
            </w:pPr>
            <w:r w:rsidRPr="00403C55">
              <w:rPr>
                <w:rFonts w:ascii="Times New Roman" w:hAnsi="Times New Roman" w:cs="Times New Roman"/>
                <w:iCs/>
                <w:lang w:val="fr-FR"/>
              </w:rPr>
              <w:t xml:space="preserve">Courlis cendré </w:t>
            </w:r>
            <w:r w:rsidRPr="00403C55">
              <w:rPr>
                <w:rFonts w:ascii="Times New Roman" w:hAnsi="Times New Roman" w:cs="Times New Roman"/>
                <w:i/>
                <w:iCs/>
                <w:lang w:val="fr-FR"/>
              </w:rPr>
              <w:t>Numenius a. arquata, N. a. orientalis et N. a. suschkini</w:t>
            </w:r>
          </w:p>
        </w:tc>
      </w:tr>
      <w:tr w:rsidR="004511DB" w:rsidRPr="00DE4CF4" w14:paraId="730C724F" w14:textId="77777777" w:rsidTr="00254787">
        <w:trPr>
          <w:trHeight w:val="534"/>
        </w:trPr>
        <w:tc>
          <w:tcPr>
            <w:tcW w:w="5000" w:type="pct"/>
            <w:vAlign w:val="center"/>
          </w:tcPr>
          <w:p w14:paraId="03A1D8F2" w14:textId="7A7B037E" w:rsidR="004511DB" w:rsidRPr="00403C55" w:rsidRDefault="007E02AF" w:rsidP="003F50F9">
            <w:pPr>
              <w:rPr>
                <w:rFonts w:ascii="Times New Roman" w:hAnsi="Times New Roman" w:cs="Times New Roman"/>
                <w:iCs/>
                <w:lang w:val="fr-FR"/>
              </w:rPr>
            </w:pPr>
            <w:r w:rsidRPr="00403C55">
              <w:rPr>
                <w:rFonts w:ascii="Times New Roman" w:hAnsi="Times New Roman" w:cs="Times New Roman"/>
                <w:iCs/>
                <w:lang w:val="fr-FR"/>
              </w:rPr>
              <w:t xml:space="preserve">Ibis chauve </w:t>
            </w:r>
            <w:r w:rsidRPr="00403C55">
              <w:rPr>
                <w:rFonts w:ascii="Times New Roman" w:hAnsi="Times New Roman" w:cs="Times New Roman"/>
                <w:i/>
                <w:iCs/>
                <w:lang w:val="fr-FR"/>
              </w:rPr>
              <w:t>Geronticus eremita</w:t>
            </w:r>
            <w:r w:rsidRPr="00403C55">
              <w:rPr>
                <w:rFonts w:ascii="Times New Roman" w:hAnsi="Times New Roman" w:cs="Times New Roman"/>
                <w:iCs/>
                <w:lang w:val="fr-FR"/>
              </w:rPr>
              <w:t xml:space="preserve"> </w:t>
            </w:r>
            <w:r w:rsidRPr="00403C55">
              <w:rPr>
                <w:rFonts w:ascii="Times New Roman" w:hAnsi="Times New Roman" w:cs="Times New Roman"/>
                <w:lang w:val="fr-FR"/>
              </w:rPr>
              <w:t>(révision de l’ISSAP 2005)</w:t>
            </w:r>
          </w:p>
        </w:tc>
      </w:tr>
    </w:tbl>
    <w:p w14:paraId="7D93B49E" w14:textId="77777777" w:rsidR="007506DC" w:rsidRPr="00403C55" w:rsidRDefault="007506DC" w:rsidP="00981C81">
      <w:pPr>
        <w:spacing w:after="0" w:line="240" w:lineRule="auto"/>
        <w:jc w:val="both"/>
        <w:rPr>
          <w:rFonts w:ascii="Times New Roman" w:hAnsi="Times New Roman" w:cs="Times New Roman"/>
          <w:lang w:val="fr-FR"/>
        </w:rPr>
      </w:pPr>
    </w:p>
    <w:p w14:paraId="26850623" w14:textId="67DFD8AD" w:rsidR="00314074" w:rsidRPr="00403C55" w:rsidRDefault="007E02AF" w:rsidP="00981C81">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De surcroît, la MOP6 devrait adopter le Plan international multi-espèces pour les oiseaux marins côtiers </w:t>
      </w:r>
      <w:r w:rsidR="009B5471" w:rsidRPr="00403C55">
        <w:rPr>
          <w:rFonts w:ascii="Times New Roman" w:hAnsi="Times New Roman" w:cs="Times New Roman"/>
          <w:lang w:val="fr-FR"/>
        </w:rPr>
        <w:t>de</w:t>
      </w:r>
      <w:r w:rsidRPr="00403C55">
        <w:rPr>
          <w:rFonts w:ascii="Times New Roman" w:hAnsi="Times New Roman" w:cs="Times New Roman"/>
          <w:lang w:val="fr-FR"/>
        </w:rPr>
        <w:t xml:space="preserve"> </w:t>
      </w:r>
      <w:r w:rsidR="009B5471" w:rsidRPr="00403C55">
        <w:rPr>
          <w:rFonts w:ascii="Times New Roman" w:hAnsi="Times New Roman" w:cs="Times New Roman"/>
          <w:lang w:val="fr-FR"/>
        </w:rPr>
        <w:t>l’upwelling du</w:t>
      </w:r>
      <w:r w:rsidRPr="00403C55">
        <w:rPr>
          <w:rFonts w:ascii="Times New Roman" w:hAnsi="Times New Roman" w:cs="Times New Roman"/>
          <w:lang w:val="fr-FR"/>
        </w:rPr>
        <w:t xml:space="preserve"> courant d</w:t>
      </w:r>
      <w:r w:rsidR="009B5471" w:rsidRPr="00403C55">
        <w:rPr>
          <w:rFonts w:ascii="Times New Roman" w:hAnsi="Times New Roman" w:cs="Times New Roman"/>
          <w:lang w:val="fr-FR"/>
        </w:rPr>
        <w:t>u</w:t>
      </w:r>
      <w:r w:rsidRPr="00403C55">
        <w:rPr>
          <w:rFonts w:ascii="Times New Roman" w:hAnsi="Times New Roman" w:cs="Times New Roman"/>
          <w:lang w:val="fr-FR"/>
        </w:rPr>
        <w:t xml:space="preserve"> Benguela (Cormoran des bancs </w:t>
      </w:r>
      <w:r w:rsidRPr="00403C55">
        <w:rPr>
          <w:rFonts w:ascii="Times New Roman" w:hAnsi="Times New Roman" w:cs="Times New Roman"/>
          <w:i/>
          <w:lang w:val="fr-FR"/>
        </w:rPr>
        <w:t>Phalacrocorax neglectus</w:t>
      </w:r>
      <w:r w:rsidRPr="00403C55">
        <w:rPr>
          <w:rFonts w:ascii="Times New Roman" w:hAnsi="Times New Roman" w:cs="Times New Roman"/>
          <w:lang w:val="fr-FR"/>
        </w:rPr>
        <w:t xml:space="preserve">, Manchot du Cap </w:t>
      </w:r>
      <w:r w:rsidRPr="00403C55">
        <w:rPr>
          <w:rFonts w:ascii="Times New Roman" w:hAnsi="Times New Roman" w:cs="Times New Roman"/>
          <w:i/>
          <w:lang w:val="fr-FR"/>
        </w:rPr>
        <w:t>Spheniscus demersus</w:t>
      </w:r>
      <w:r w:rsidRPr="00403C55">
        <w:rPr>
          <w:rFonts w:ascii="Times New Roman" w:hAnsi="Times New Roman" w:cs="Times New Roman"/>
          <w:lang w:val="fr-FR"/>
        </w:rPr>
        <w:t xml:space="preserve">, Fou du Cap </w:t>
      </w:r>
      <w:r w:rsidRPr="00403C55">
        <w:rPr>
          <w:rFonts w:ascii="Times New Roman" w:hAnsi="Times New Roman" w:cs="Times New Roman"/>
          <w:i/>
          <w:lang w:val="fr-FR"/>
        </w:rPr>
        <w:t>Sula (Morus) capensis</w:t>
      </w:r>
      <w:r w:rsidRPr="00403C55">
        <w:rPr>
          <w:rFonts w:ascii="Times New Roman" w:hAnsi="Times New Roman" w:cs="Times New Roman"/>
          <w:lang w:val="fr-FR"/>
        </w:rPr>
        <w:t xml:space="preserve">, Cormoran du Cap </w:t>
      </w:r>
      <w:r w:rsidRPr="00403C55">
        <w:rPr>
          <w:rFonts w:ascii="Times New Roman" w:hAnsi="Times New Roman" w:cs="Times New Roman"/>
          <w:i/>
          <w:lang w:val="fr-FR"/>
        </w:rPr>
        <w:t>Phalacrocorax capensis</w:t>
      </w:r>
      <w:r w:rsidRPr="00403C55">
        <w:rPr>
          <w:rFonts w:ascii="Times New Roman" w:hAnsi="Times New Roman" w:cs="Times New Roman"/>
          <w:lang w:val="fr-FR"/>
        </w:rPr>
        <w:t xml:space="preserve">, Cormoran couronné </w:t>
      </w:r>
      <w:r w:rsidRPr="00403C55">
        <w:rPr>
          <w:rFonts w:ascii="Times New Roman" w:hAnsi="Times New Roman" w:cs="Times New Roman"/>
          <w:i/>
          <w:lang w:val="fr-FR"/>
        </w:rPr>
        <w:t>Phalacrocorax coronatus</w:t>
      </w:r>
      <w:r w:rsidRPr="00403C55">
        <w:rPr>
          <w:rFonts w:ascii="Times New Roman" w:hAnsi="Times New Roman" w:cs="Times New Roman"/>
          <w:lang w:val="fr-FR"/>
        </w:rPr>
        <w:t xml:space="preserve">, Sterne des baleiniers </w:t>
      </w:r>
      <w:r w:rsidRPr="00403C55">
        <w:rPr>
          <w:rFonts w:ascii="Times New Roman" w:hAnsi="Times New Roman" w:cs="Times New Roman"/>
          <w:i/>
          <w:lang w:val="fr-FR"/>
        </w:rPr>
        <w:t>Sterna balaenarum</w:t>
      </w:r>
      <w:r w:rsidRPr="00403C55">
        <w:rPr>
          <w:rFonts w:ascii="Times New Roman" w:hAnsi="Times New Roman" w:cs="Times New Roman"/>
          <w:lang w:val="fr-FR"/>
        </w:rPr>
        <w:t xml:space="preserve">, Sterne huppée </w:t>
      </w:r>
      <w:r w:rsidRPr="00403C55">
        <w:rPr>
          <w:rFonts w:ascii="Times New Roman" w:hAnsi="Times New Roman" w:cs="Times New Roman"/>
          <w:i/>
          <w:lang w:val="fr-FR"/>
        </w:rPr>
        <w:t>Sterna bergii</w:t>
      </w:r>
      <w:r w:rsidRPr="00403C55">
        <w:rPr>
          <w:rFonts w:ascii="Times New Roman" w:hAnsi="Times New Roman" w:cs="Times New Roman"/>
          <w:lang w:val="fr-FR"/>
        </w:rPr>
        <w:t xml:space="preserve">, Sterne caspienne </w:t>
      </w:r>
      <w:r w:rsidRPr="00403C55">
        <w:rPr>
          <w:rFonts w:ascii="Times New Roman" w:hAnsi="Times New Roman" w:cs="Times New Roman"/>
          <w:i/>
          <w:lang w:val="fr-FR"/>
        </w:rPr>
        <w:t>Sterna caspia caspia</w:t>
      </w:r>
      <w:r w:rsidRPr="00403C55">
        <w:rPr>
          <w:rFonts w:ascii="Times New Roman" w:hAnsi="Times New Roman" w:cs="Times New Roman"/>
          <w:lang w:val="fr-FR"/>
        </w:rPr>
        <w:t xml:space="preserve">, Huîtrier de Moquin </w:t>
      </w:r>
      <w:r w:rsidRPr="00403C55">
        <w:rPr>
          <w:rFonts w:ascii="Times New Roman" w:hAnsi="Times New Roman" w:cs="Times New Roman"/>
          <w:i/>
          <w:lang w:val="fr-FR"/>
        </w:rPr>
        <w:t>Haematopus moquini</w:t>
      </w:r>
      <w:r w:rsidRPr="00403C55">
        <w:rPr>
          <w:rFonts w:ascii="Times New Roman" w:hAnsi="Times New Roman" w:cs="Times New Roman"/>
          <w:lang w:val="fr-FR"/>
        </w:rPr>
        <w:t>).</w:t>
      </w:r>
    </w:p>
    <w:p w14:paraId="5849468D" w14:textId="77777777" w:rsidR="007506DC" w:rsidRPr="00403C55" w:rsidRDefault="007506DC" w:rsidP="00981C81">
      <w:pPr>
        <w:spacing w:after="0" w:line="240" w:lineRule="auto"/>
        <w:jc w:val="both"/>
        <w:rPr>
          <w:rFonts w:ascii="Times New Roman" w:hAnsi="Times New Roman" w:cs="Times New Roman"/>
          <w:lang w:val="fr-FR"/>
        </w:rPr>
      </w:pPr>
    </w:p>
    <w:p w14:paraId="0E248743" w14:textId="59E727F7" w:rsidR="00A216B3" w:rsidRPr="00403C55" w:rsidRDefault="008F7800" w:rsidP="00E568FC">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5</w:t>
      </w:r>
      <w:r w:rsidR="00A216B3" w:rsidRPr="00403C55">
        <w:rPr>
          <w:rFonts w:ascii="Times New Roman" w:hAnsi="Times New Roman" w:cs="Times New Roman"/>
          <w:b/>
          <w:lang w:val="fr-FR"/>
        </w:rPr>
        <w:t xml:space="preserve">.4. </w:t>
      </w:r>
      <w:r w:rsidR="007E02AF"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007E02AF" w:rsidRPr="00403C55">
        <w:rPr>
          <w:rFonts w:ascii="Times New Roman" w:hAnsi="Times New Roman" w:cs="Times New Roman"/>
          <w:b/>
          <w:lang w:val="fr-FR"/>
        </w:rPr>
        <w:t xml:space="preserve"> dont la révision/le retrait doit être envisagé</w:t>
      </w:r>
      <w:r w:rsidR="00254787" w:rsidRPr="00403C55">
        <w:rPr>
          <w:rFonts w:ascii="Times New Roman" w:hAnsi="Times New Roman" w:cs="Times New Roman"/>
          <w:b/>
          <w:lang w:val="fr-FR"/>
        </w:rPr>
        <w:t>(e)</w:t>
      </w:r>
      <w:r w:rsidR="007E02AF" w:rsidRPr="00403C55">
        <w:rPr>
          <w:rFonts w:ascii="Times New Roman" w:hAnsi="Times New Roman" w:cs="Times New Roman"/>
          <w:b/>
          <w:lang w:val="fr-FR"/>
        </w:rPr>
        <w:t xml:space="preserve"> et qui n’ont pas de mécanisme de coordination international établi</w:t>
      </w:r>
      <w:r w:rsidR="00981C81" w:rsidRPr="00403C55">
        <w:rPr>
          <w:rFonts w:ascii="Times New Roman" w:hAnsi="Times New Roman" w:cs="Times New Roman"/>
          <w:b/>
          <w:lang w:val="fr-FR"/>
        </w:rPr>
        <w:t xml:space="preserve"> </w:t>
      </w:r>
    </w:p>
    <w:p w14:paraId="2A65C85E" w14:textId="77777777" w:rsidR="007506DC" w:rsidRPr="00403C55" w:rsidRDefault="007506DC" w:rsidP="00981C81">
      <w:pPr>
        <w:spacing w:after="0" w:line="240" w:lineRule="auto"/>
        <w:jc w:val="both"/>
        <w:rPr>
          <w:rFonts w:ascii="Times New Roman" w:hAnsi="Times New Roman" w:cs="Times New Roman"/>
          <w:lang w:val="fr-FR"/>
        </w:rPr>
      </w:pPr>
    </w:p>
    <w:p w14:paraId="1DC48C60" w14:textId="6B246A26" w:rsidR="00A216B3" w:rsidRPr="00403C55" w:rsidRDefault="007E02AF" w:rsidP="00A216B3">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tableau 4 suivant inclut tous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qui ne sont actuellement pas activement mis en œuvre, comme l’ont indiqué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dans leurs rapports nationaux </w:t>
      </w:r>
      <w:r w:rsidRPr="00403C55">
        <w:rPr>
          <w:rFonts w:ascii="Times New Roman" w:hAnsi="Times New Roman" w:cs="Times New Roman"/>
          <w:b/>
          <w:i/>
          <w:lang w:val="fr-FR"/>
        </w:rPr>
        <w:t xml:space="preserve">ou </w:t>
      </w:r>
      <w:r w:rsidRPr="00403C55">
        <w:rPr>
          <w:rFonts w:ascii="Times New Roman" w:hAnsi="Times New Roman" w:cs="Times New Roman"/>
          <w:lang w:val="fr-FR"/>
        </w:rPr>
        <w:t xml:space="preserve">comme évalué par l’Étude </w:t>
      </w:r>
      <w:r w:rsidR="0003562F">
        <w:rPr>
          <w:rFonts w:ascii="Times New Roman" w:hAnsi="Times New Roman" w:cs="Times New Roman"/>
          <w:lang w:val="fr-FR"/>
        </w:rPr>
        <w:t>de l’AEWA</w:t>
      </w:r>
      <w:r w:rsidRPr="00403C55">
        <w:rPr>
          <w:rFonts w:ascii="Times New Roman" w:hAnsi="Times New Roman" w:cs="Times New Roman"/>
          <w:lang w:val="fr-FR"/>
        </w:rPr>
        <w:t xml:space="preserve"> sur le niveau de préparation et de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w:t>
      </w:r>
      <w:r w:rsidRPr="00403C55">
        <w:rPr>
          <w:rFonts w:ascii="Times New Roman" w:hAnsi="Times New Roman" w:cs="Times New Roman"/>
          <w:b/>
          <w:i/>
          <w:lang w:val="fr-FR"/>
        </w:rPr>
        <w:t>ou</w:t>
      </w:r>
      <w:r w:rsidRPr="00403C55">
        <w:rPr>
          <w:rFonts w:ascii="Times New Roman" w:hAnsi="Times New Roman" w:cs="Times New Roman"/>
          <w:lang w:val="fr-FR"/>
        </w:rPr>
        <w:t xml:space="preserve"> pour lesquels aucun mécanisme </w:t>
      </w:r>
      <w:r w:rsidR="00254787" w:rsidRPr="00403C55">
        <w:rPr>
          <w:rFonts w:ascii="Times New Roman" w:hAnsi="Times New Roman" w:cs="Times New Roman"/>
          <w:lang w:val="fr-FR"/>
        </w:rPr>
        <w:t>international de coordination de la</w:t>
      </w:r>
      <w:r w:rsidRPr="00403C55">
        <w:rPr>
          <w:rFonts w:ascii="Times New Roman" w:hAnsi="Times New Roman" w:cs="Times New Roman"/>
          <w:lang w:val="fr-FR"/>
        </w:rPr>
        <w:t xml:space="preserve"> mise en œuvre n’a été établi.</w:t>
      </w:r>
    </w:p>
    <w:p w14:paraId="0547DC3B" w14:textId="77777777" w:rsidR="0071482D" w:rsidRPr="00403C55" w:rsidRDefault="0071482D" w:rsidP="00A216B3">
      <w:pPr>
        <w:spacing w:after="0" w:line="240" w:lineRule="auto"/>
        <w:jc w:val="both"/>
        <w:rPr>
          <w:rFonts w:ascii="Times New Roman" w:hAnsi="Times New Roman" w:cs="Times New Roman"/>
          <w:lang w:val="fr-FR"/>
        </w:rPr>
      </w:pPr>
    </w:p>
    <w:p w14:paraId="184A0AA1" w14:textId="4D81F4E4" w:rsidR="00E568FC" w:rsidRPr="00403C55" w:rsidRDefault="007E02AF" w:rsidP="00A216B3">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Tableau 4 : plans </w:t>
      </w:r>
      <w:r w:rsidR="0003562F">
        <w:rPr>
          <w:rFonts w:ascii="Times New Roman" w:hAnsi="Times New Roman" w:cs="Times New Roman"/>
          <w:i/>
          <w:lang w:val="fr-FR"/>
        </w:rPr>
        <w:t>d’action</w:t>
      </w:r>
      <w:r w:rsidRPr="00403C55">
        <w:rPr>
          <w:rFonts w:ascii="Times New Roman" w:hAnsi="Times New Roman" w:cs="Times New Roman"/>
          <w:i/>
          <w:lang w:val="fr-FR"/>
        </w:rPr>
        <w:t xml:space="preserve"> internationaux par espèce </w:t>
      </w:r>
      <w:r w:rsidR="0003562F">
        <w:rPr>
          <w:rFonts w:ascii="Times New Roman" w:hAnsi="Times New Roman" w:cs="Times New Roman"/>
          <w:i/>
          <w:lang w:val="fr-FR"/>
        </w:rPr>
        <w:t>de l’AEWA</w:t>
      </w:r>
      <w:r w:rsidRPr="00403C55">
        <w:rPr>
          <w:rFonts w:ascii="Times New Roman" w:hAnsi="Times New Roman" w:cs="Times New Roman"/>
          <w:i/>
          <w:lang w:val="fr-FR"/>
        </w:rPr>
        <w:t xml:space="preserve"> qui n’ont pas de mécanisme international de coordination établi.</w:t>
      </w:r>
    </w:p>
    <w:tbl>
      <w:tblPr>
        <w:tblStyle w:val="TableGrid"/>
        <w:tblW w:w="5000" w:type="pct"/>
        <w:tblLook w:val="04A0" w:firstRow="1" w:lastRow="0" w:firstColumn="1" w:lastColumn="0" w:noHBand="0" w:noVBand="1"/>
      </w:tblPr>
      <w:tblGrid>
        <w:gridCol w:w="3556"/>
        <w:gridCol w:w="1429"/>
        <w:gridCol w:w="1023"/>
        <w:gridCol w:w="808"/>
        <w:gridCol w:w="2244"/>
      </w:tblGrid>
      <w:tr w:rsidR="00D274A0" w:rsidRPr="00403C55" w14:paraId="600304A4" w14:textId="77777777" w:rsidTr="00254787">
        <w:trPr>
          <w:trHeight w:val="495"/>
        </w:trPr>
        <w:tc>
          <w:tcPr>
            <w:tcW w:w="1967" w:type="pct"/>
            <w:vAlign w:val="center"/>
          </w:tcPr>
          <w:p w14:paraId="6B868E77" w14:textId="4CDBD9CA" w:rsidR="00A216B3" w:rsidRPr="00403C55" w:rsidRDefault="007E02AF" w:rsidP="003F50F9">
            <w:pPr>
              <w:rPr>
                <w:rFonts w:ascii="Times New Roman" w:hAnsi="Times New Roman" w:cs="Times New Roman"/>
                <w:b/>
                <w:lang w:val="fr-FR"/>
              </w:rPr>
            </w:pPr>
            <w:r w:rsidRPr="00403C55">
              <w:rPr>
                <w:rFonts w:ascii="Times New Roman" w:hAnsi="Times New Roman" w:cs="Times New Roman"/>
                <w:b/>
                <w:lang w:val="fr-FR"/>
              </w:rPr>
              <w:t>Espèce</w:t>
            </w:r>
          </w:p>
        </w:tc>
        <w:tc>
          <w:tcPr>
            <w:tcW w:w="793" w:type="pct"/>
            <w:vAlign w:val="center"/>
          </w:tcPr>
          <w:p w14:paraId="24144C1D" w14:textId="707C513F" w:rsidR="00A216B3" w:rsidRPr="00403C55" w:rsidRDefault="007E02AF" w:rsidP="003F50F9">
            <w:pPr>
              <w:rPr>
                <w:rFonts w:ascii="Times New Roman" w:hAnsi="Times New Roman" w:cs="Times New Roman"/>
                <w:b/>
                <w:lang w:val="fr-FR"/>
              </w:rPr>
            </w:pPr>
            <w:r w:rsidRPr="00403C55">
              <w:rPr>
                <w:rFonts w:ascii="Times New Roman" w:hAnsi="Times New Roman" w:cs="Times New Roman"/>
                <w:b/>
                <w:lang w:val="fr-FR"/>
              </w:rPr>
              <w:t>Adopté</w:t>
            </w:r>
            <w:r w:rsidR="00A216B3" w:rsidRPr="00403C55">
              <w:rPr>
                <w:rFonts w:ascii="Times New Roman" w:hAnsi="Times New Roman" w:cs="Times New Roman"/>
                <w:b/>
                <w:lang w:val="fr-FR"/>
              </w:rPr>
              <w:t xml:space="preserve"> </w:t>
            </w:r>
          </w:p>
        </w:tc>
        <w:tc>
          <w:tcPr>
            <w:tcW w:w="548" w:type="pct"/>
            <w:vAlign w:val="center"/>
          </w:tcPr>
          <w:p w14:paraId="39B8C921" w14:textId="4C103070" w:rsidR="00A216B3" w:rsidRPr="00403C55" w:rsidRDefault="007E02AF" w:rsidP="00350533">
            <w:pPr>
              <w:rPr>
                <w:rFonts w:ascii="Times New Roman" w:hAnsi="Times New Roman" w:cs="Times New Roman"/>
                <w:b/>
                <w:lang w:val="fr-FR"/>
              </w:rPr>
            </w:pPr>
            <w:r w:rsidRPr="00403C55">
              <w:rPr>
                <w:rFonts w:ascii="Times New Roman" w:hAnsi="Times New Roman" w:cs="Times New Roman"/>
                <w:b/>
                <w:lang w:val="fr-FR"/>
              </w:rPr>
              <w:t>Révision</w:t>
            </w:r>
            <w:r w:rsidR="00A216B3" w:rsidRPr="00403C55">
              <w:rPr>
                <w:rFonts w:ascii="Times New Roman" w:hAnsi="Times New Roman" w:cs="Times New Roman"/>
                <w:b/>
                <w:lang w:val="fr-FR"/>
              </w:rPr>
              <w:t xml:space="preserve"> </w:t>
            </w:r>
          </w:p>
          <w:p w14:paraId="0108D39B" w14:textId="567B5DB3" w:rsidR="00A216B3" w:rsidRPr="00403C55" w:rsidRDefault="007E02AF" w:rsidP="003F50F9">
            <w:pPr>
              <w:rPr>
                <w:rFonts w:ascii="Times New Roman" w:hAnsi="Times New Roman" w:cs="Times New Roman"/>
                <w:b/>
                <w:lang w:val="fr-FR"/>
              </w:rPr>
            </w:pPr>
            <w:r w:rsidRPr="00403C55">
              <w:rPr>
                <w:rFonts w:ascii="Times New Roman" w:hAnsi="Times New Roman" w:cs="Times New Roman"/>
                <w:b/>
                <w:lang w:val="fr-FR"/>
              </w:rPr>
              <w:t>prévue</w:t>
            </w:r>
          </w:p>
        </w:tc>
        <w:tc>
          <w:tcPr>
            <w:tcW w:w="450" w:type="pct"/>
            <w:vAlign w:val="center"/>
          </w:tcPr>
          <w:p w14:paraId="4AAA81E7" w14:textId="386E254A" w:rsidR="00A216B3" w:rsidRPr="00403C55" w:rsidRDefault="00D274A0" w:rsidP="00350533">
            <w:pPr>
              <w:rPr>
                <w:rFonts w:ascii="Times New Roman" w:hAnsi="Times New Roman" w:cs="Times New Roman"/>
                <w:b/>
                <w:lang w:val="fr-FR"/>
              </w:rPr>
            </w:pPr>
            <w:r w:rsidRPr="00403C55">
              <w:rPr>
                <w:rFonts w:ascii="Times New Roman" w:hAnsi="Times New Roman" w:cs="Times New Roman"/>
                <w:b/>
                <w:lang w:val="fr-FR"/>
              </w:rPr>
              <w:t>statut</w:t>
            </w:r>
            <w:r w:rsidR="00A216B3" w:rsidRPr="00403C55">
              <w:rPr>
                <w:rFonts w:ascii="Times New Roman" w:hAnsi="Times New Roman" w:cs="Times New Roman"/>
                <w:b/>
                <w:lang w:val="fr-FR"/>
              </w:rPr>
              <w:t xml:space="preserve"> </w:t>
            </w:r>
          </w:p>
          <w:p w14:paraId="0A465549" w14:textId="38EB230A" w:rsidR="00A216B3" w:rsidRPr="00403C55" w:rsidRDefault="00D274A0" w:rsidP="003F50F9">
            <w:pPr>
              <w:rPr>
                <w:rFonts w:ascii="Times New Roman" w:hAnsi="Times New Roman" w:cs="Times New Roman"/>
                <w:b/>
                <w:lang w:val="fr-FR"/>
              </w:rPr>
            </w:pPr>
            <w:r w:rsidRPr="00403C55">
              <w:rPr>
                <w:rFonts w:ascii="Times New Roman" w:hAnsi="Times New Roman" w:cs="Times New Roman"/>
                <w:b/>
                <w:lang w:val="fr-FR"/>
              </w:rPr>
              <w:t>UICN</w:t>
            </w:r>
          </w:p>
        </w:tc>
        <w:tc>
          <w:tcPr>
            <w:tcW w:w="1242" w:type="pct"/>
            <w:vAlign w:val="center"/>
          </w:tcPr>
          <w:p w14:paraId="474292B5" w14:textId="7465E1A1" w:rsidR="00A216B3" w:rsidRPr="00403C55" w:rsidRDefault="00D274A0" w:rsidP="003F50F9">
            <w:pPr>
              <w:rPr>
                <w:rFonts w:ascii="Times New Roman" w:hAnsi="Times New Roman" w:cs="Times New Roman"/>
                <w:b/>
                <w:lang w:val="fr-FR"/>
              </w:rPr>
            </w:pPr>
            <w:r w:rsidRPr="00403C55">
              <w:rPr>
                <w:rFonts w:ascii="Times New Roman" w:hAnsi="Times New Roman" w:cs="Times New Roman"/>
                <w:b/>
                <w:lang w:val="fr-FR"/>
              </w:rPr>
              <w:t>NOTE</w:t>
            </w:r>
          </w:p>
        </w:tc>
      </w:tr>
      <w:tr w:rsidR="00D274A0" w:rsidRPr="00403C55" w14:paraId="3B70B475" w14:textId="77777777" w:rsidTr="00254787">
        <w:trPr>
          <w:trHeight w:val="247"/>
        </w:trPr>
        <w:tc>
          <w:tcPr>
            <w:tcW w:w="1967" w:type="pct"/>
            <w:vAlign w:val="center"/>
          </w:tcPr>
          <w:p w14:paraId="6ED5EE14" w14:textId="73FA66FE"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Érismature Maccoa (</w:t>
            </w:r>
            <w:r w:rsidRPr="00403C55">
              <w:rPr>
                <w:rFonts w:ascii="Times New Roman" w:hAnsi="Times New Roman" w:cs="Times New Roman"/>
                <w:i/>
                <w:lang w:val="fr-FR"/>
              </w:rPr>
              <w:t>Oxyura maccoa</w:t>
            </w:r>
            <w:r w:rsidRPr="00403C55">
              <w:rPr>
                <w:rFonts w:ascii="Times New Roman" w:hAnsi="Times New Roman" w:cs="Times New Roman"/>
                <w:lang w:val="fr-FR"/>
              </w:rPr>
              <w:t>)</w:t>
            </w:r>
          </w:p>
        </w:tc>
        <w:tc>
          <w:tcPr>
            <w:tcW w:w="793" w:type="pct"/>
            <w:vAlign w:val="center"/>
          </w:tcPr>
          <w:p w14:paraId="201B61B0" w14:textId="1897D8A0"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MOP4 en 2008</w:t>
            </w:r>
          </w:p>
        </w:tc>
        <w:tc>
          <w:tcPr>
            <w:tcW w:w="548" w:type="pct"/>
            <w:vAlign w:val="center"/>
          </w:tcPr>
          <w:p w14:paraId="557F707B" w14:textId="77777777" w:rsidR="00A216B3" w:rsidRPr="00403C55" w:rsidRDefault="00A216B3" w:rsidP="00350533">
            <w:pPr>
              <w:rPr>
                <w:rFonts w:ascii="Times New Roman" w:hAnsi="Times New Roman" w:cs="Times New Roman"/>
                <w:lang w:val="fr-FR"/>
              </w:rPr>
            </w:pPr>
            <w:r w:rsidRPr="00403C55">
              <w:rPr>
                <w:rFonts w:ascii="Times New Roman" w:hAnsi="Times New Roman" w:cs="Times New Roman"/>
                <w:lang w:val="fr-FR"/>
              </w:rPr>
              <w:t>2018</w:t>
            </w:r>
          </w:p>
        </w:tc>
        <w:tc>
          <w:tcPr>
            <w:tcW w:w="450" w:type="pct"/>
            <w:vAlign w:val="center"/>
          </w:tcPr>
          <w:p w14:paraId="150B0CD5" w14:textId="7A0EFF8A"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NT</w:t>
            </w:r>
          </w:p>
        </w:tc>
        <w:tc>
          <w:tcPr>
            <w:tcW w:w="1242" w:type="pct"/>
            <w:vAlign w:val="center"/>
          </w:tcPr>
          <w:p w14:paraId="63F7FB4D" w14:textId="1BC0A99F"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ISSAP AEWA</w:t>
            </w:r>
          </w:p>
        </w:tc>
      </w:tr>
      <w:tr w:rsidR="00D274A0" w:rsidRPr="00403C55" w14:paraId="5D2DC40E" w14:textId="77777777" w:rsidTr="00254787">
        <w:trPr>
          <w:trHeight w:val="495"/>
        </w:trPr>
        <w:tc>
          <w:tcPr>
            <w:tcW w:w="1967" w:type="pct"/>
            <w:vAlign w:val="center"/>
          </w:tcPr>
          <w:p w14:paraId="6DC7AD2A" w14:textId="09190041" w:rsidR="00A216B3" w:rsidRPr="00403C55" w:rsidRDefault="00870983" w:rsidP="003F50F9">
            <w:pPr>
              <w:rPr>
                <w:rFonts w:ascii="Times New Roman" w:hAnsi="Times New Roman" w:cs="Times New Roman"/>
                <w:lang w:val="fr-FR"/>
              </w:rPr>
            </w:pPr>
            <w:r>
              <w:rPr>
                <w:rFonts w:ascii="Times New Roman" w:hAnsi="Times New Roman" w:cs="Times New Roman"/>
                <w:lang w:val="fr-FR"/>
              </w:rPr>
              <w:t>Érismature</w:t>
            </w:r>
            <w:r w:rsidR="00D274A0" w:rsidRPr="00403C55">
              <w:rPr>
                <w:rFonts w:ascii="Times New Roman" w:hAnsi="Times New Roman" w:cs="Times New Roman"/>
                <w:lang w:val="fr-FR"/>
              </w:rPr>
              <w:t xml:space="preserve"> à tête blanche (</w:t>
            </w:r>
            <w:r w:rsidR="00D274A0" w:rsidRPr="00403C55">
              <w:rPr>
                <w:rFonts w:ascii="Times New Roman" w:hAnsi="Times New Roman" w:cs="Times New Roman"/>
                <w:i/>
                <w:lang w:val="fr-FR"/>
              </w:rPr>
              <w:t>Oxyura leucocephala</w:t>
            </w:r>
            <w:r w:rsidR="00D274A0" w:rsidRPr="00403C55">
              <w:rPr>
                <w:rFonts w:ascii="Times New Roman" w:hAnsi="Times New Roman" w:cs="Times New Roman"/>
                <w:lang w:val="fr-FR"/>
              </w:rPr>
              <w:t>)</w:t>
            </w:r>
          </w:p>
        </w:tc>
        <w:tc>
          <w:tcPr>
            <w:tcW w:w="793" w:type="pct"/>
            <w:vAlign w:val="center"/>
          </w:tcPr>
          <w:p w14:paraId="204B1B19" w14:textId="4F0A2D58"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MOP3 en 2005</w:t>
            </w:r>
          </w:p>
        </w:tc>
        <w:tc>
          <w:tcPr>
            <w:tcW w:w="548" w:type="pct"/>
            <w:vAlign w:val="center"/>
          </w:tcPr>
          <w:p w14:paraId="7C5B44DA" w14:textId="77777777" w:rsidR="00A216B3" w:rsidRPr="00403C55" w:rsidRDefault="00A216B3" w:rsidP="00350533">
            <w:pPr>
              <w:rPr>
                <w:rFonts w:ascii="Times New Roman" w:hAnsi="Times New Roman" w:cs="Times New Roman"/>
                <w:lang w:val="fr-FR"/>
              </w:rPr>
            </w:pPr>
            <w:r w:rsidRPr="00403C55">
              <w:rPr>
                <w:rFonts w:ascii="Times New Roman" w:hAnsi="Times New Roman" w:cs="Times New Roman"/>
                <w:lang w:val="fr-FR"/>
              </w:rPr>
              <w:t>2015</w:t>
            </w:r>
          </w:p>
        </w:tc>
        <w:tc>
          <w:tcPr>
            <w:tcW w:w="450" w:type="pct"/>
            <w:vAlign w:val="center"/>
          </w:tcPr>
          <w:p w14:paraId="546D56EE" w14:textId="7901D047"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EN</w:t>
            </w:r>
          </w:p>
        </w:tc>
        <w:tc>
          <w:tcPr>
            <w:tcW w:w="1242" w:type="pct"/>
            <w:vAlign w:val="center"/>
          </w:tcPr>
          <w:p w14:paraId="01ACCC7F" w14:textId="13F508DF"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 xml:space="preserve">ISSAP </w:t>
            </w:r>
            <w:r w:rsidR="0003562F">
              <w:rPr>
                <w:rFonts w:ascii="Times New Roman" w:hAnsi="Times New Roman" w:cs="Times New Roman"/>
                <w:lang w:val="fr-FR"/>
              </w:rPr>
              <w:t>con</w:t>
            </w:r>
            <w:r w:rsidRPr="00403C55">
              <w:rPr>
                <w:rFonts w:ascii="Times New Roman" w:hAnsi="Times New Roman" w:cs="Times New Roman"/>
                <w:lang w:val="fr-FR"/>
              </w:rPr>
              <w:t>joint AEWA/CMS/UE</w:t>
            </w:r>
          </w:p>
        </w:tc>
      </w:tr>
      <w:tr w:rsidR="00D274A0" w:rsidRPr="00403C55" w14:paraId="1BC8048C" w14:textId="77777777" w:rsidTr="00254787">
        <w:trPr>
          <w:trHeight w:val="247"/>
        </w:trPr>
        <w:tc>
          <w:tcPr>
            <w:tcW w:w="1967" w:type="pct"/>
            <w:vAlign w:val="center"/>
          </w:tcPr>
          <w:p w14:paraId="3FC73577" w14:textId="5DDBB8F4"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Râle des genêts (</w:t>
            </w:r>
            <w:r w:rsidRPr="00403C55">
              <w:rPr>
                <w:rFonts w:ascii="Times New Roman" w:hAnsi="Times New Roman" w:cs="Times New Roman"/>
                <w:i/>
                <w:lang w:val="fr-FR"/>
              </w:rPr>
              <w:t>Crex crex</w:t>
            </w:r>
            <w:r w:rsidRPr="00403C55">
              <w:rPr>
                <w:rFonts w:ascii="Times New Roman" w:hAnsi="Times New Roman" w:cs="Times New Roman"/>
                <w:lang w:val="fr-FR"/>
              </w:rPr>
              <w:t>)</w:t>
            </w:r>
          </w:p>
        </w:tc>
        <w:tc>
          <w:tcPr>
            <w:tcW w:w="793" w:type="pct"/>
            <w:vAlign w:val="center"/>
          </w:tcPr>
          <w:p w14:paraId="585AE1AF" w14:textId="05073962"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MOP3 en 2005</w:t>
            </w:r>
          </w:p>
        </w:tc>
        <w:tc>
          <w:tcPr>
            <w:tcW w:w="548" w:type="pct"/>
            <w:vAlign w:val="center"/>
          </w:tcPr>
          <w:p w14:paraId="3190CD0B" w14:textId="77777777" w:rsidR="00A216B3" w:rsidRPr="00403C55" w:rsidRDefault="00A216B3" w:rsidP="00350533">
            <w:pPr>
              <w:rPr>
                <w:rFonts w:ascii="Times New Roman" w:hAnsi="Times New Roman" w:cs="Times New Roman"/>
                <w:lang w:val="fr-FR"/>
              </w:rPr>
            </w:pPr>
            <w:r w:rsidRPr="00403C55">
              <w:rPr>
                <w:rFonts w:ascii="Times New Roman" w:hAnsi="Times New Roman" w:cs="Times New Roman"/>
                <w:lang w:val="fr-FR"/>
              </w:rPr>
              <w:t>2015</w:t>
            </w:r>
          </w:p>
        </w:tc>
        <w:tc>
          <w:tcPr>
            <w:tcW w:w="450" w:type="pct"/>
            <w:vAlign w:val="center"/>
          </w:tcPr>
          <w:p w14:paraId="1B16EA00" w14:textId="512283B5"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LC</w:t>
            </w:r>
          </w:p>
        </w:tc>
        <w:tc>
          <w:tcPr>
            <w:tcW w:w="1242" w:type="pct"/>
            <w:vAlign w:val="center"/>
          </w:tcPr>
          <w:p w14:paraId="591BD505" w14:textId="3A621A32"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 xml:space="preserve">ISSAP </w:t>
            </w:r>
            <w:r w:rsidR="0003562F">
              <w:rPr>
                <w:rFonts w:ascii="Times New Roman" w:hAnsi="Times New Roman" w:cs="Times New Roman"/>
                <w:lang w:val="fr-FR"/>
              </w:rPr>
              <w:t>con</w:t>
            </w:r>
            <w:r w:rsidRPr="00403C55">
              <w:rPr>
                <w:rFonts w:ascii="Times New Roman" w:hAnsi="Times New Roman" w:cs="Times New Roman"/>
                <w:lang w:val="fr-FR"/>
              </w:rPr>
              <w:t>joint AEWA/CMS/UE</w:t>
            </w:r>
          </w:p>
        </w:tc>
      </w:tr>
      <w:tr w:rsidR="00D274A0" w:rsidRPr="00403C55" w14:paraId="6DFE170A" w14:textId="77777777" w:rsidTr="00254787">
        <w:trPr>
          <w:trHeight w:val="247"/>
        </w:trPr>
        <w:tc>
          <w:tcPr>
            <w:tcW w:w="1967" w:type="pct"/>
            <w:vAlign w:val="center"/>
          </w:tcPr>
          <w:p w14:paraId="63633FA1" w14:textId="547B1F28"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Fuligule nyroca (</w:t>
            </w:r>
            <w:r w:rsidRPr="00403C55">
              <w:rPr>
                <w:rFonts w:ascii="Times New Roman" w:hAnsi="Times New Roman" w:cs="Times New Roman"/>
                <w:i/>
                <w:lang w:val="fr-FR"/>
              </w:rPr>
              <w:t>Aythya nyroca</w:t>
            </w:r>
            <w:r w:rsidRPr="00403C55">
              <w:rPr>
                <w:rFonts w:ascii="Times New Roman" w:hAnsi="Times New Roman" w:cs="Times New Roman"/>
                <w:lang w:val="fr-FR"/>
              </w:rPr>
              <w:t>)</w:t>
            </w:r>
          </w:p>
        </w:tc>
        <w:tc>
          <w:tcPr>
            <w:tcW w:w="793" w:type="pct"/>
            <w:vAlign w:val="center"/>
          </w:tcPr>
          <w:p w14:paraId="718CFC58" w14:textId="1BD9376C"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MOP3 en 2005</w:t>
            </w:r>
          </w:p>
        </w:tc>
        <w:tc>
          <w:tcPr>
            <w:tcW w:w="548" w:type="pct"/>
            <w:vAlign w:val="center"/>
          </w:tcPr>
          <w:p w14:paraId="48B9BBA5" w14:textId="77777777" w:rsidR="00A216B3" w:rsidRPr="00403C55" w:rsidRDefault="00A216B3" w:rsidP="00350533">
            <w:pPr>
              <w:rPr>
                <w:rFonts w:ascii="Times New Roman" w:hAnsi="Times New Roman" w:cs="Times New Roman"/>
                <w:lang w:val="fr-FR"/>
              </w:rPr>
            </w:pPr>
            <w:r w:rsidRPr="00403C55">
              <w:rPr>
                <w:rFonts w:ascii="Times New Roman" w:hAnsi="Times New Roman" w:cs="Times New Roman"/>
                <w:lang w:val="fr-FR"/>
              </w:rPr>
              <w:t>2015</w:t>
            </w:r>
          </w:p>
        </w:tc>
        <w:tc>
          <w:tcPr>
            <w:tcW w:w="450" w:type="pct"/>
            <w:vAlign w:val="center"/>
          </w:tcPr>
          <w:p w14:paraId="18609690" w14:textId="05EB77AB"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NT</w:t>
            </w:r>
          </w:p>
        </w:tc>
        <w:tc>
          <w:tcPr>
            <w:tcW w:w="1242" w:type="pct"/>
            <w:vAlign w:val="center"/>
          </w:tcPr>
          <w:p w14:paraId="4C7CE230" w14:textId="6093B911"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 xml:space="preserve">ISSAP </w:t>
            </w:r>
            <w:r w:rsidR="0003562F">
              <w:rPr>
                <w:rFonts w:ascii="Times New Roman" w:hAnsi="Times New Roman" w:cs="Times New Roman"/>
                <w:lang w:val="fr-FR"/>
              </w:rPr>
              <w:t>con</w:t>
            </w:r>
            <w:r w:rsidRPr="00403C55">
              <w:rPr>
                <w:rFonts w:ascii="Times New Roman" w:hAnsi="Times New Roman" w:cs="Times New Roman"/>
                <w:lang w:val="fr-FR"/>
              </w:rPr>
              <w:t>joint AEWA/CMS</w:t>
            </w:r>
          </w:p>
        </w:tc>
      </w:tr>
      <w:tr w:rsidR="00D274A0" w:rsidRPr="00DE4CF4" w14:paraId="006ABED6" w14:textId="77777777" w:rsidTr="00254787">
        <w:trPr>
          <w:trHeight w:val="462"/>
        </w:trPr>
        <w:tc>
          <w:tcPr>
            <w:tcW w:w="1967" w:type="pct"/>
            <w:vAlign w:val="center"/>
          </w:tcPr>
          <w:p w14:paraId="47C6BF09" w14:textId="3238FAD2"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Bécassine double (</w:t>
            </w:r>
            <w:r w:rsidRPr="00403C55">
              <w:rPr>
                <w:rFonts w:ascii="Times New Roman" w:hAnsi="Times New Roman" w:cs="Times New Roman"/>
                <w:i/>
                <w:lang w:val="fr-FR"/>
              </w:rPr>
              <w:t>Gallinago media</w:t>
            </w:r>
            <w:r w:rsidRPr="00403C55">
              <w:rPr>
                <w:rFonts w:ascii="Times New Roman" w:hAnsi="Times New Roman" w:cs="Times New Roman"/>
                <w:lang w:val="fr-FR"/>
              </w:rPr>
              <w:t>)</w:t>
            </w:r>
          </w:p>
        </w:tc>
        <w:tc>
          <w:tcPr>
            <w:tcW w:w="793" w:type="pct"/>
            <w:vAlign w:val="center"/>
          </w:tcPr>
          <w:p w14:paraId="2E9BA565" w14:textId="1307BEC7"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MOP2 en 2002</w:t>
            </w:r>
          </w:p>
        </w:tc>
        <w:tc>
          <w:tcPr>
            <w:tcW w:w="548" w:type="pct"/>
            <w:vAlign w:val="center"/>
          </w:tcPr>
          <w:p w14:paraId="2424E777" w14:textId="77777777" w:rsidR="00A216B3" w:rsidRPr="00403C55" w:rsidRDefault="00A216B3" w:rsidP="00350533">
            <w:pPr>
              <w:rPr>
                <w:rFonts w:ascii="Times New Roman" w:hAnsi="Times New Roman" w:cs="Times New Roman"/>
                <w:lang w:val="fr-FR"/>
              </w:rPr>
            </w:pPr>
            <w:r w:rsidRPr="00403C55">
              <w:rPr>
                <w:rFonts w:ascii="Times New Roman" w:hAnsi="Times New Roman" w:cs="Times New Roman"/>
                <w:lang w:val="fr-FR"/>
              </w:rPr>
              <w:t>2005</w:t>
            </w:r>
          </w:p>
        </w:tc>
        <w:tc>
          <w:tcPr>
            <w:tcW w:w="450" w:type="pct"/>
            <w:vAlign w:val="center"/>
          </w:tcPr>
          <w:p w14:paraId="36D0768E" w14:textId="331C7D18"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NT</w:t>
            </w:r>
          </w:p>
        </w:tc>
        <w:tc>
          <w:tcPr>
            <w:tcW w:w="1242" w:type="pct"/>
            <w:vAlign w:val="center"/>
          </w:tcPr>
          <w:p w14:paraId="7660F382" w14:textId="4E2A24C8" w:rsidR="00A216B3" w:rsidRPr="00403C55" w:rsidRDefault="00D274A0" w:rsidP="0003562F">
            <w:pPr>
              <w:rPr>
                <w:rFonts w:ascii="Times New Roman" w:hAnsi="Times New Roman" w:cs="Times New Roman"/>
                <w:lang w:val="fr-FR"/>
              </w:rPr>
            </w:pPr>
            <w:r w:rsidRPr="00403C55">
              <w:rPr>
                <w:rFonts w:ascii="Times New Roman" w:hAnsi="Times New Roman" w:cs="Times New Roman"/>
                <w:lang w:val="fr-FR"/>
              </w:rPr>
              <w:t>ISSAP</w:t>
            </w:r>
            <w:r w:rsidR="0003562F">
              <w:rPr>
                <w:rFonts w:ascii="Times New Roman" w:hAnsi="Times New Roman" w:cs="Times New Roman"/>
                <w:lang w:val="fr-FR"/>
              </w:rPr>
              <w:t xml:space="preserve"> con</w:t>
            </w:r>
            <w:r w:rsidRPr="00403C55">
              <w:rPr>
                <w:rFonts w:ascii="Times New Roman" w:hAnsi="Times New Roman" w:cs="Times New Roman"/>
                <w:lang w:val="fr-FR"/>
              </w:rPr>
              <w:t>joint AEWA/Convention de Bern</w:t>
            </w:r>
            <w:r w:rsidR="00870983">
              <w:rPr>
                <w:rFonts w:ascii="Times New Roman" w:hAnsi="Times New Roman" w:cs="Times New Roman"/>
                <w:lang w:val="fr-FR"/>
              </w:rPr>
              <w:t>e</w:t>
            </w:r>
          </w:p>
        </w:tc>
      </w:tr>
      <w:tr w:rsidR="00D274A0" w:rsidRPr="00DE4CF4" w14:paraId="0E25278B" w14:textId="77777777" w:rsidTr="00254787">
        <w:trPr>
          <w:trHeight w:val="511"/>
        </w:trPr>
        <w:tc>
          <w:tcPr>
            <w:tcW w:w="1967" w:type="pct"/>
            <w:vAlign w:val="center"/>
          </w:tcPr>
          <w:p w14:paraId="1A27CDEB" w14:textId="0DD22C58"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Glaréole à ailes noires (</w:t>
            </w:r>
            <w:r w:rsidRPr="00403C55">
              <w:rPr>
                <w:rFonts w:ascii="Times New Roman" w:hAnsi="Times New Roman" w:cs="Times New Roman"/>
                <w:i/>
                <w:lang w:val="fr-FR"/>
              </w:rPr>
              <w:t>Glareola nordmanni</w:t>
            </w:r>
            <w:r w:rsidRPr="00403C55">
              <w:rPr>
                <w:rFonts w:ascii="Times New Roman" w:hAnsi="Times New Roman" w:cs="Times New Roman"/>
                <w:lang w:val="fr-FR"/>
              </w:rPr>
              <w:t>)</w:t>
            </w:r>
          </w:p>
        </w:tc>
        <w:tc>
          <w:tcPr>
            <w:tcW w:w="793" w:type="pct"/>
            <w:vAlign w:val="center"/>
          </w:tcPr>
          <w:p w14:paraId="0413705D" w14:textId="2724A2A5"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MOP2 en 2002</w:t>
            </w:r>
          </w:p>
        </w:tc>
        <w:tc>
          <w:tcPr>
            <w:tcW w:w="548" w:type="pct"/>
            <w:vAlign w:val="center"/>
          </w:tcPr>
          <w:p w14:paraId="78CA6368" w14:textId="77777777" w:rsidR="00A216B3" w:rsidRPr="00403C55" w:rsidRDefault="00A216B3" w:rsidP="00350533">
            <w:pPr>
              <w:rPr>
                <w:rFonts w:ascii="Times New Roman" w:hAnsi="Times New Roman" w:cs="Times New Roman"/>
                <w:lang w:val="fr-FR"/>
              </w:rPr>
            </w:pPr>
            <w:r w:rsidRPr="00403C55">
              <w:rPr>
                <w:rFonts w:ascii="Times New Roman" w:hAnsi="Times New Roman" w:cs="Times New Roman"/>
                <w:lang w:val="fr-FR"/>
              </w:rPr>
              <w:t>2005</w:t>
            </w:r>
          </w:p>
        </w:tc>
        <w:tc>
          <w:tcPr>
            <w:tcW w:w="450" w:type="pct"/>
            <w:vAlign w:val="center"/>
          </w:tcPr>
          <w:p w14:paraId="07547725" w14:textId="2C8B36AC"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NT</w:t>
            </w:r>
          </w:p>
        </w:tc>
        <w:tc>
          <w:tcPr>
            <w:tcW w:w="1242" w:type="pct"/>
            <w:vAlign w:val="center"/>
          </w:tcPr>
          <w:p w14:paraId="4E6B86F4" w14:textId="41D1E260" w:rsidR="00A216B3" w:rsidRPr="00403C55" w:rsidRDefault="00D274A0" w:rsidP="003F50F9">
            <w:pPr>
              <w:rPr>
                <w:rFonts w:ascii="Times New Roman" w:hAnsi="Times New Roman" w:cs="Times New Roman"/>
                <w:lang w:val="fr-FR"/>
              </w:rPr>
            </w:pPr>
            <w:r w:rsidRPr="00403C55">
              <w:rPr>
                <w:rFonts w:ascii="Times New Roman" w:hAnsi="Times New Roman" w:cs="Times New Roman"/>
                <w:lang w:val="fr-FR"/>
              </w:rPr>
              <w:t xml:space="preserve">ISSAP </w:t>
            </w:r>
            <w:r w:rsidR="0003562F">
              <w:rPr>
                <w:rFonts w:ascii="Times New Roman" w:hAnsi="Times New Roman" w:cs="Times New Roman"/>
                <w:lang w:val="fr-FR"/>
              </w:rPr>
              <w:t>con</w:t>
            </w:r>
            <w:r w:rsidRPr="00403C55">
              <w:rPr>
                <w:rFonts w:ascii="Times New Roman" w:hAnsi="Times New Roman" w:cs="Times New Roman"/>
                <w:lang w:val="fr-FR"/>
              </w:rPr>
              <w:t>joint AEWA/Convention de Bern</w:t>
            </w:r>
            <w:r w:rsidR="00870983">
              <w:rPr>
                <w:rFonts w:ascii="Times New Roman" w:hAnsi="Times New Roman" w:cs="Times New Roman"/>
                <w:lang w:val="fr-FR"/>
              </w:rPr>
              <w:t>e</w:t>
            </w:r>
          </w:p>
        </w:tc>
      </w:tr>
    </w:tbl>
    <w:p w14:paraId="426ABE5C" w14:textId="77777777" w:rsidR="00A216B3" w:rsidRPr="00403C55" w:rsidRDefault="00A216B3" w:rsidP="00981C81">
      <w:pPr>
        <w:spacing w:after="0" w:line="240" w:lineRule="auto"/>
        <w:jc w:val="both"/>
        <w:rPr>
          <w:rFonts w:ascii="Times New Roman" w:hAnsi="Times New Roman" w:cs="Times New Roman"/>
          <w:lang w:val="fr-FR"/>
        </w:rPr>
      </w:pPr>
    </w:p>
    <w:p w14:paraId="7FF26413" w14:textId="5004E283" w:rsidR="008C0398" w:rsidRPr="00403C55" w:rsidRDefault="008C0398" w:rsidP="008C0398">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5.5. </w:t>
      </w:r>
      <w:r w:rsidR="00D274A0" w:rsidRPr="00403C55">
        <w:rPr>
          <w:rFonts w:ascii="Times New Roman" w:hAnsi="Times New Roman" w:cs="Times New Roman"/>
          <w:b/>
          <w:lang w:val="fr-FR"/>
        </w:rPr>
        <w:t>P</w:t>
      </w:r>
      <w:r w:rsidR="00254787" w:rsidRPr="00403C55">
        <w:rPr>
          <w:rFonts w:ascii="Times New Roman" w:hAnsi="Times New Roman" w:cs="Times New Roman"/>
          <w:b/>
          <w:lang w:val="fr-FR"/>
        </w:rPr>
        <w:t>rojets</w:t>
      </w:r>
      <w:r w:rsidR="00D274A0" w:rsidRPr="00403C55">
        <w:rPr>
          <w:rFonts w:ascii="Times New Roman" w:hAnsi="Times New Roman" w:cs="Times New Roman"/>
          <w:b/>
          <w:lang w:val="fr-FR"/>
        </w:rPr>
        <w:t xml:space="preserve"> actuels pour de nouveaux plans </w:t>
      </w:r>
      <w:r w:rsidR="0003562F">
        <w:rPr>
          <w:rFonts w:ascii="Times New Roman" w:hAnsi="Times New Roman" w:cs="Times New Roman"/>
          <w:b/>
          <w:lang w:val="fr-FR"/>
        </w:rPr>
        <w:t>d’action</w:t>
      </w:r>
      <w:r w:rsidR="00D274A0" w:rsidRPr="00403C55">
        <w:rPr>
          <w:rFonts w:ascii="Times New Roman" w:hAnsi="Times New Roman" w:cs="Times New Roman"/>
          <w:b/>
          <w:lang w:val="fr-FR"/>
        </w:rPr>
        <w:t xml:space="preserve"> et de gestion internationaux par espèce </w:t>
      </w:r>
      <w:r w:rsidR="0003562F">
        <w:rPr>
          <w:rFonts w:ascii="Times New Roman" w:hAnsi="Times New Roman" w:cs="Times New Roman"/>
          <w:b/>
          <w:lang w:val="fr-FR"/>
        </w:rPr>
        <w:t>de l’AEWA</w:t>
      </w:r>
    </w:p>
    <w:p w14:paraId="05AE0494" w14:textId="77777777" w:rsidR="008C0398" w:rsidRPr="00403C55" w:rsidRDefault="008C0398" w:rsidP="008C0398">
      <w:pPr>
        <w:spacing w:after="0" w:line="240" w:lineRule="auto"/>
        <w:jc w:val="both"/>
        <w:rPr>
          <w:rFonts w:ascii="Times New Roman" w:hAnsi="Times New Roman" w:cs="Times New Roman"/>
          <w:lang w:val="fr-FR"/>
        </w:rPr>
      </w:pPr>
    </w:p>
    <w:p w14:paraId="3B8EBE9B" w14:textId="589B8370" w:rsidR="008C0398" w:rsidRPr="00403C55" w:rsidRDefault="00D274A0" w:rsidP="008C0398">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D’autres espèces ont été considérées comme prioritaires par le Comité technique </w:t>
      </w:r>
      <w:r w:rsidR="0003562F">
        <w:rPr>
          <w:rFonts w:ascii="Times New Roman" w:hAnsi="Times New Roman" w:cs="Times New Roman"/>
          <w:lang w:val="fr-FR"/>
        </w:rPr>
        <w:t>de l’AEWA</w:t>
      </w:r>
      <w:r w:rsidRPr="00403C55">
        <w:rPr>
          <w:rFonts w:ascii="Times New Roman" w:hAnsi="Times New Roman" w:cs="Times New Roman"/>
          <w:lang w:val="fr-FR"/>
        </w:rPr>
        <w:t xml:space="preserve"> (voir liste actuelle à l’Annexe 6) pour l’élaboration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(par exemple la Grue couronnée </w:t>
      </w:r>
      <w:r w:rsidRPr="00403C55">
        <w:rPr>
          <w:rFonts w:ascii="Times New Roman" w:hAnsi="Times New Roman" w:cs="Times New Roman"/>
          <w:i/>
          <w:lang w:val="fr-FR"/>
        </w:rPr>
        <w:t>Balearica pavonina</w:t>
      </w:r>
      <w:r w:rsidRPr="00403C55">
        <w:rPr>
          <w:rFonts w:ascii="Times New Roman" w:hAnsi="Times New Roman" w:cs="Times New Roman"/>
          <w:lang w:val="fr-FR"/>
        </w:rPr>
        <w:t>) et le Secrétariat a reçu des demandes concernant l’élaboration de nouveaux plans de gestion.</w:t>
      </w:r>
      <w:r w:rsidR="008C0398" w:rsidRPr="00403C55">
        <w:rPr>
          <w:rFonts w:ascii="Times New Roman" w:hAnsi="Times New Roman" w:cs="Times New Roman"/>
          <w:lang w:val="fr-FR"/>
        </w:rPr>
        <w:t xml:space="preserve"> </w:t>
      </w:r>
    </w:p>
    <w:p w14:paraId="3A6AAADF" w14:textId="77777777" w:rsidR="008C0398" w:rsidRPr="00403C55" w:rsidRDefault="008C0398" w:rsidP="008C0398">
      <w:pPr>
        <w:spacing w:after="0" w:line="240" w:lineRule="auto"/>
        <w:jc w:val="both"/>
        <w:rPr>
          <w:rFonts w:ascii="Times New Roman" w:hAnsi="Times New Roman" w:cs="Times New Roman"/>
          <w:lang w:val="fr-FR"/>
        </w:rPr>
      </w:pPr>
    </w:p>
    <w:p w14:paraId="1E99AB1D" w14:textId="61730775" w:rsidR="008C0398" w:rsidRPr="00403C55" w:rsidRDefault="00D274A0" w:rsidP="008C0398">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Toutefois,</w:t>
      </w:r>
      <w:r w:rsidR="00DE1124" w:rsidRPr="00403C55">
        <w:rPr>
          <w:rFonts w:ascii="Times New Roman" w:hAnsi="Times New Roman" w:cs="Times New Roman"/>
          <w:lang w:val="fr-FR"/>
        </w:rPr>
        <w:t xml:space="preserve"> </w:t>
      </w:r>
      <w:r w:rsidRPr="00403C55">
        <w:rPr>
          <w:rFonts w:ascii="Times New Roman" w:hAnsi="Times New Roman" w:cs="Times New Roman"/>
          <w:lang w:val="fr-FR"/>
        </w:rPr>
        <w:t xml:space="preserve">au moment </w:t>
      </w:r>
      <w:r w:rsidR="0003562F">
        <w:rPr>
          <w:rFonts w:ascii="Times New Roman" w:hAnsi="Times New Roman" w:cs="Times New Roman"/>
          <w:lang w:val="fr-FR"/>
        </w:rPr>
        <w:t>de la rédaction</w:t>
      </w:r>
      <w:r w:rsidRPr="00403C55">
        <w:rPr>
          <w:rFonts w:ascii="Times New Roman" w:hAnsi="Times New Roman" w:cs="Times New Roman"/>
          <w:lang w:val="fr-FR"/>
        </w:rPr>
        <w:t xml:space="preserve"> </w:t>
      </w:r>
      <w:r w:rsidR="0003562F">
        <w:rPr>
          <w:rFonts w:ascii="Times New Roman" w:hAnsi="Times New Roman" w:cs="Times New Roman"/>
          <w:lang w:val="fr-FR"/>
        </w:rPr>
        <w:t xml:space="preserve">de </w:t>
      </w:r>
      <w:r w:rsidRPr="00403C55">
        <w:rPr>
          <w:rFonts w:ascii="Times New Roman" w:hAnsi="Times New Roman" w:cs="Times New Roman"/>
          <w:lang w:val="fr-FR"/>
        </w:rPr>
        <w:t xml:space="preserve">ce document, les projets concrets d’élaboration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supplémentaires au cours de la prochaine période triennale concernent uniquement le Pélican frisé </w:t>
      </w:r>
      <w:r w:rsidRPr="00403C55">
        <w:rPr>
          <w:rFonts w:ascii="Times New Roman" w:hAnsi="Times New Roman" w:cs="Times New Roman"/>
          <w:i/>
          <w:lang w:val="fr-FR"/>
        </w:rPr>
        <w:t>(Pelecanus crispus)</w:t>
      </w:r>
      <w:r w:rsidRPr="00403C55">
        <w:rPr>
          <w:rFonts w:ascii="Times New Roman" w:hAnsi="Times New Roman" w:cs="Times New Roman"/>
          <w:lang w:val="fr-FR"/>
        </w:rPr>
        <w:t xml:space="preserve">, la Macreuse brune </w:t>
      </w:r>
      <w:r w:rsidRPr="00403C55">
        <w:rPr>
          <w:rFonts w:ascii="Times New Roman" w:hAnsi="Times New Roman" w:cs="Times New Roman"/>
          <w:i/>
          <w:lang w:val="fr-FR"/>
        </w:rPr>
        <w:t>(Melanitta fusca)</w:t>
      </w:r>
      <w:r w:rsidRPr="00403C55">
        <w:rPr>
          <w:rFonts w:ascii="Times New Roman" w:hAnsi="Times New Roman" w:cs="Times New Roman"/>
          <w:lang w:val="fr-FR"/>
        </w:rPr>
        <w:t xml:space="preserve">, ainsi qu’une révision </w:t>
      </w:r>
      <w:r w:rsidR="00DE1124" w:rsidRPr="00403C55">
        <w:rPr>
          <w:rFonts w:ascii="Times New Roman" w:hAnsi="Times New Roman" w:cs="Times New Roman"/>
          <w:lang w:val="fr-FR"/>
        </w:rPr>
        <w:t xml:space="preserve">du </w:t>
      </w:r>
      <w:r w:rsidRPr="00403C55">
        <w:rPr>
          <w:rFonts w:ascii="Times New Roman" w:hAnsi="Times New Roman" w:cs="Times New Roman"/>
          <w:lang w:val="fr-FR"/>
        </w:rPr>
        <w:t xml:space="preserve">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l’</w:t>
      </w:r>
      <w:r w:rsidR="00870983">
        <w:rPr>
          <w:rFonts w:ascii="Times New Roman" w:hAnsi="Times New Roman" w:cs="Times New Roman"/>
          <w:lang w:val="fr-FR"/>
        </w:rPr>
        <w:t>Érismature</w:t>
      </w:r>
      <w:r w:rsidRPr="00403C55">
        <w:rPr>
          <w:rFonts w:ascii="Times New Roman" w:hAnsi="Times New Roman" w:cs="Times New Roman"/>
          <w:lang w:val="fr-FR"/>
        </w:rPr>
        <w:t xml:space="preserve"> à tête blanche </w:t>
      </w:r>
      <w:r w:rsidRPr="00403C55">
        <w:rPr>
          <w:rFonts w:ascii="Times New Roman" w:hAnsi="Times New Roman" w:cs="Times New Roman"/>
          <w:i/>
          <w:lang w:val="fr-FR"/>
        </w:rPr>
        <w:t>(Oxyura leucocephala)</w:t>
      </w:r>
      <w:r w:rsidRPr="00403C55">
        <w:rPr>
          <w:rFonts w:ascii="Times New Roman" w:hAnsi="Times New Roman" w:cs="Times New Roman"/>
          <w:lang w:val="fr-FR"/>
        </w:rPr>
        <w:t>.</w:t>
      </w:r>
      <w:r w:rsidR="008C0398" w:rsidRPr="00403C55">
        <w:rPr>
          <w:rFonts w:ascii="Times New Roman" w:hAnsi="Times New Roman" w:cs="Times New Roman"/>
          <w:lang w:val="fr-FR"/>
        </w:rPr>
        <w:t xml:space="preserve"> </w:t>
      </w:r>
      <w:r w:rsidRPr="00403C55">
        <w:rPr>
          <w:rFonts w:ascii="Times New Roman" w:hAnsi="Times New Roman" w:cs="Times New Roman"/>
          <w:lang w:val="fr-FR"/>
        </w:rPr>
        <w:t xml:space="preserve">Ces trois plans seront élaborés sous les auspices du projet LIFE EuroSAP </w:t>
      </w:r>
      <w:r w:rsidR="00F30D6B" w:rsidRPr="00403C55">
        <w:rPr>
          <w:rFonts w:ascii="Times New Roman" w:hAnsi="Times New Roman" w:cs="Times New Roman"/>
          <w:lang w:val="fr-FR"/>
        </w:rPr>
        <w:t>de l’UE, financé par la Commission européenne</w:t>
      </w:r>
      <w:r w:rsidRPr="00403C55">
        <w:rPr>
          <w:rFonts w:ascii="Times New Roman" w:hAnsi="Times New Roman" w:cs="Times New Roman"/>
          <w:lang w:val="fr-FR"/>
        </w:rPr>
        <w:t xml:space="preserve"> </w:t>
      </w:r>
      <w:r w:rsidR="00F30D6B" w:rsidRPr="00403C55">
        <w:rPr>
          <w:rFonts w:ascii="Times New Roman" w:hAnsi="Times New Roman" w:cs="Times New Roman"/>
          <w:lang w:val="fr-FR"/>
        </w:rPr>
        <w:t>et coordonné par</w:t>
      </w:r>
      <w:r w:rsidRPr="00403C55">
        <w:rPr>
          <w:rFonts w:ascii="Times New Roman" w:hAnsi="Times New Roman" w:cs="Times New Roman"/>
          <w:lang w:val="fr-FR"/>
        </w:rPr>
        <w:t xml:space="preserve"> BirdLife.</w:t>
      </w:r>
    </w:p>
    <w:p w14:paraId="1415B879" w14:textId="77777777" w:rsidR="00981C81" w:rsidRPr="00403C55" w:rsidRDefault="00981C81" w:rsidP="00981C81">
      <w:pPr>
        <w:spacing w:after="0" w:line="240" w:lineRule="auto"/>
        <w:jc w:val="both"/>
        <w:rPr>
          <w:rFonts w:ascii="Times New Roman" w:hAnsi="Times New Roman" w:cs="Times New Roman"/>
          <w:sz w:val="20"/>
          <w:szCs w:val="20"/>
          <w:lang w:val="fr-FR"/>
        </w:rPr>
      </w:pPr>
    </w:p>
    <w:p w14:paraId="2052C6C3" w14:textId="77777777" w:rsidR="0036491E" w:rsidRPr="00403C55" w:rsidRDefault="0036491E">
      <w:pPr>
        <w:rPr>
          <w:rFonts w:ascii="Times New Roman" w:hAnsi="Times New Roman" w:cs="Times New Roman"/>
          <w:sz w:val="24"/>
          <w:szCs w:val="24"/>
          <w:lang w:val="fr-FR"/>
        </w:rPr>
      </w:pPr>
      <w:r w:rsidRPr="00403C55">
        <w:rPr>
          <w:rFonts w:ascii="Times New Roman" w:hAnsi="Times New Roman" w:cs="Times New Roman"/>
          <w:sz w:val="24"/>
          <w:szCs w:val="24"/>
          <w:lang w:val="fr-FR"/>
        </w:rPr>
        <w:br w:type="page"/>
      </w:r>
    </w:p>
    <w:p w14:paraId="229FE149" w14:textId="4F5C5EAB" w:rsidR="00D17ADD" w:rsidRPr="00403C55" w:rsidRDefault="008F7800" w:rsidP="00413735">
      <w:pPr>
        <w:shd w:val="clear" w:color="auto" w:fill="C6D9F1" w:themeFill="text2" w:themeFillTint="33"/>
        <w:spacing w:after="0" w:line="240" w:lineRule="auto"/>
        <w:rPr>
          <w:rFonts w:ascii="Times New Roman" w:hAnsi="Times New Roman" w:cs="Times New Roman"/>
          <w:i/>
          <w:sz w:val="20"/>
          <w:szCs w:val="20"/>
          <w:lang w:val="fr-FR"/>
        </w:rPr>
      </w:pPr>
      <w:r w:rsidRPr="00403C55">
        <w:rPr>
          <w:rFonts w:ascii="Times New Roman" w:hAnsi="Times New Roman" w:cs="Times New Roman"/>
          <w:sz w:val="24"/>
          <w:szCs w:val="24"/>
          <w:lang w:val="fr-FR"/>
        </w:rPr>
        <w:lastRenderedPageBreak/>
        <w:t>6</w:t>
      </w:r>
      <w:r w:rsidR="008855A4" w:rsidRPr="00403C55">
        <w:rPr>
          <w:rFonts w:ascii="Times New Roman" w:hAnsi="Times New Roman" w:cs="Times New Roman"/>
          <w:sz w:val="24"/>
          <w:szCs w:val="24"/>
          <w:lang w:val="fr-FR"/>
        </w:rPr>
        <w:t xml:space="preserve">. </w:t>
      </w:r>
      <w:r w:rsidR="00F30D6B" w:rsidRPr="00403C55">
        <w:rPr>
          <w:rFonts w:ascii="Times New Roman" w:hAnsi="Times New Roman" w:cs="Times New Roman"/>
          <w:sz w:val="24"/>
          <w:szCs w:val="24"/>
          <w:lang w:val="fr-FR"/>
        </w:rPr>
        <w:t xml:space="preserve">Étude du niveau actuel de mise en œuvre des plans </w:t>
      </w:r>
      <w:r w:rsidR="0003562F">
        <w:rPr>
          <w:rFonts w:ascii="Times New Roman" w:hAnsi="Times New Roman" w:cs="Times New Roman"/>
          <w:sz w:val="24"/>
          <w:szCs w:val="24"/>
          <w:lang w:val="fr-FR"/>
        </w:rPr>
        <w:t>d’action</w:t>
      </w:r>
      <w:r w:rsidR="00F30D6B" w:rsidRPr="00403C55">
        <w:rPr>
          <w:rFonts w:ascii="Times New Roman" w:hAnsi="Times New Roman" w:cs="Times New Roman"/>
          <w:sz w:val="24"/>
          <w:szCs w:val="24"/>
          <w:lang w:val="fr-FR"/>
        </w:rPr>
        <w:t xml:space="preserve"> et de gestion internationaux </w:t>
      </w:r>
      <w:r w:rsidR="0003562F">
        <w:rPr>
          <w:rFonts w:ascii="Times New Roman" w:hAnsi="Times New Roman" w:cs="Times New Roman"/>
          <w:sz w:val="24"/>
          <w:szCs w:val="24"/>
          <w:lang w:val="fr-FR"/>
        </w:rPr>
        <w:t>de l’AEWA</w:t>
      </w:r>
      <w:r w:rsidR="00C76A6E" w:rsidRPr="00403C55">
        <w:rPr>
          <w:rFonts w:ascii="Times New Roman" w:hAnsi="Times New Roman" w:cs="Times New Roman"/>
          <w:sz w:val="24"/>
          <w:szCs w:val="24"/>
          <w:lang w:val="fr-FR"/>
        </w:rPr>
        <w:t xml:space="preserve"> </w:t>
      </w:r>
    </w:p>
    <w:p w14:paraId="6A927B11" w14:textId="77777777" w:rsidR="00D17ADD" w:rsidRPr="00403C55" w:rsidRDefault="00D17ADD" w:rsidP="00D17ADD">
      <w:pPr>
        <w:spacing w:after="0" w:line="240" w:lineRule="auto"/>
        <w:jc w:val="both"/>
        <w:rPr>
          <w:rFonts w:ascii="Times New Roman" w:hAnsi="Times New Roman" w:cs="Times New Roman"/>
          <w:sz w:val="20"/>
          <w:szCs w:val="20"/>
          <w:lang w:val="fr-FR"/>
        </w:rPr>
      </w:pPr>
    </w:p>
    <w:p w14:paraId="10883B4E" w14:textId="0E250E00" w:rsidR="00D17ADD" w:rsidRPr="00403C55" w:rsidRDefault="008F7800" w:rsidP="00413735">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6</w:t>
      </w:r>
      <w:r w:rsidR="00C76A6E" w:rsidRPr="00403C55">
        <w:rPr>
          <w:rFonts w:ascii="Times New Roman" w:hAnsi="Times New Roman" w:cs="Times New Roman"/>
          <w:b/>
          <w:lang w:val="fr-FR"/>
        </w:rPr>
        <w:t xml:space="preserve">.1. </w:t>
      </w:r>
      <w:r w:rsidR="00F30D6B" w:rsidRPr="00403C55">
        <w:rPr>
          <w:rFonts w:ascii="Times New Roman" w:hAnsi="Times New Roman" w:cs="Times New Roman"/>
          <w:b/>
          <w:lang w:val="fr-FR"/>
        </w:rPr>
        <w:t>Introduction</w:t>
      </w:r>
    </w:p>
    <w:p w14:paraId="5557EA0A" w14:textId="77777777" w:rsidR="00D17ADD" w:rsidRPr="00403C55" w:rsidRDefault="00D17ADD" w:rsidP="00D17ADD">
      <w:pPr>
        <w:spacing w:after="0" w:line="240" w:lineRule="auto"/>
        <w:jc w:val="both"/>
        <w:rPr>
          <w:rFonts w:ascii="Times New Roman" w:hAnsi="Times New Roman" w:cs="Times New Roman"/>
          <w:lang w:val="fr-FR"/>
        </w:rPr>
      </w:pPr>
    </w:p>
    <w:p w14:paraId="3E9992BD" w14:textId="0A1E047F" w:rsidR="006F6B99" w:rsidRPr="00403C55" w:rsidRDefault="00F30D6B" w:rsidP="008855A4">
      <w:pPr>
        <w:spacing w:after="0" w:line="240" w:lineRule="auto"/>
        <w:jc w:val="both"/>
        <w:rPr>
          <w:rFonts w:ascii="Times New Roman" w:hAnsi="Times New Roman" w:cs="Times New Roman"/>
          <w:lang w:val="fr-FR"/>
        </w:rPr>
      </w:pPr>
      <w:r w:rsidRPr="00403C55">
        <w:rPr>
          <w:rFonts w:ascii="Times New Roman" w:hAnsi="Times New Roman" w:cs="Times New Roman"/>
          <w:lang w:val="fr-FR"/>
        </w:rPr>
        <w:t>En préparation de la 6</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Réunion des Parties à l’AEWA, 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a réalisé une étude </w:t>
      </w:r>
      <w:r w:rsidR="0003562F">
        <w:rPr>
          <w:rFonts w:ascii="Times New Roman" w:hAnsi="Times New Roman" w:cs="Times New Roman"/>
          <w:lang w:val="fr-FR"/>
        </w:rPr>
        <w:t>limitée</w:t>
      </w:r>
      <w:r w:rsidRPr="00403C55">
        <w:rPr>
          <w:rFonts w:ascii="Times New Roman" w:hAnsi="Times New Roman" w:cs="Times New Roman"/>
          <w:lang w:val="fr-FR"/>
        </w:rPr>
        <w:t xml:space="preserve"> sur le niveau de mise en œuvre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comme exposé au paragraphe 7.4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de l’Accord.</w:t>
      </w:r>
      <w:r w:rsidR="008855A4" w:rsidRPr="00403C55">
        <w:rPr>
          <w:rFonts w:ascii="Times New Roman" w:hAnsi="Times New Roman" w:cs="Times New Roman"/>
          <w:lang w:val="fr-FR"/>
        </w:rPr>
        <w:t xml:space="preserve"> </w:t>
      </w:r>
      <w:r w:rsidRPr="00403C55">
        <w:rPr>
          <w:rFonts w:ascii="Times New Roman" w:hAnsi="Times New Roman" w:cs="Times New Roman"/>
          <w:lang w:val="fr-FR"/>
        </w:rPr>
        <w:t>En raison d’un manque de contributions financières volontaires, la compilation d’une étude complète a été impossible.</w:t>
      </w:r>
      <w:r w:rsidR="006F6B99" w:rsidRPr="00403C55">
        <w:rPr>
          <w:rFonts w:ascii="Times New Roman" w:hAnsi="Times New Roman" w:cs="Times New Roman"/>
          <w:lang w:val="fr-FR"/>
        </w:rPr>
        <w:t xml:space="preserve"> </w:t>
      </w:r>
      <w:r w:rsidRPr="00403C55">
        <w:rPr>
          <w:rFonts w:ascii="Times New Roman" w:hAnsi="Times New Roman" w:cs="Times New Roman"/>
          <w:lang w:val="fr-FR"/>
        </w:rPr>
        <w:t xml:space="preserve">L’étude </w:t>
      </w:r>
      <w:r w:rsidR="0003562F">
        <w:rPr>
          <w:rFonts w:ascii="Times New Roman" w:hAnsi="Times New Roman" w:cs="Times New Roman"/>
          <w:lang w:val="fr-FR"/>
        </w:rPr>
        <w:t>limitée</w:t>
      </w:r>
      <w:r w:rsidRPr="00403C55">
        <w:rPr>
          <w:rFonts w:ascii="Times New Roman" w:hAnsi="Times New Roman" w:cs="Times New Roman"/>
          <w:lang w:val="fr-FR"/>
        </w:rPr>
        <w:t xml:space="preserve"> couvre </w:t>
      </w:r>
      <w:r w:rsidR="00DE1124" w:rsidRPr="00403C55">
        <w:rPr>
          <w:rFonts w:ascii="Times New Roman" w:hAnsi="Times New Roman" w:cs="Times New Roman"/>
          <w:lang w:val="fr-FR"/>
        </w:rPr>
        <w:t>8</w:t>
      </w:r>
      <w:r w:rsidRPr="00403C55">
        <w:rPr>
          <w:rFonts w:ascii="Times New Roman" w:hAnsi="Times New Roman" w:cs="Times New Roman"/>
          <w:lang w:val="fr-FR"/>
        </w:rPr>
        <w:t xml:space="preserve"> des 20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par espèce adoptés </w:t>
      </w:r>
      <w:r w:rsidR="000A1F2D">
        <w:rPr>
          <w:rFonts w:ascii="Times New Roman" w:hAnsi="Times New Roman" w:cs="Times New Roman"/>
          <w:lang w:val="fr-FR"/>
        </w:rPr>
        <w:t>dans le cadre de</w:t>
      </w:r>
      <w:r w:rsidRPr="00403C55">
        <w:rPr>
          <w:rFonts w:ascii="Times New Roman" w:hAnsi="Times New Roman" w:cs="Times New Roman"/>
          <w:lang w:val="fr-FR"/>
        </w:rPr>
        <w:t xml:space="preserve"> l’AEWA à cette date.</w:t>
      </w:r>
      <w:r w:rsidR="00910D95" w:rsidRPr="00403C55">
        <w:rPr>
          <w:rFonts w:ascii="Times New Roman" w:hAnsi="Times New Roman" w:cs="Times New Roman"/>
          <w:lang w:val="fr-FR"/>
        </w:rPr>
        <w:t xml:space="preserve"> </w:t>
      </w:r>
    </w:p>
    <w:p w14:paraId="10E0DC4C" w14:textId="77777777" w:rsidR="008855A4" w:rsidRPr="00403C55" w:rsidRDefault="008855A4" w:rsidP="008855A4">
      <w:pPr>
        <w:spacing w:after="0" w:line="240" w:lineRule="auto"/>
        <w:jc w:val="both"/>
        <w:rPr>
          <w:rFonts w:ascii="Times New Roman" w:hAnsi="Times New Roman" w:cs="Times New Roman"/>
          <w:lang w:val="fr-FR"/>
        </w:rPr>
      </w:pPr>
    </w:p>
    <w:p w14:paraId="1D6FF886" w14:textId="046F0E60" w:rsidR="008855A4" w:rsidRPr="00403C55" w:rsidRDefault="00F30D6B" w:rsidP="008855A4">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Une lettre a été envoyée par le Secrétariat à tous les points focaux et contacts nationaux </w:t>
      </w:r>
      <w:r w:rsidR="0003562F">
        <w:rPr>
          <w:rFonts w:ascii="Times New Roman" w:hAnsi="Times New Roman" w:cs="Times New Roman"/>
          <w:lang w:val="fr-FR"/>
        </w:rPr>
        <w:t>de l’AEWA</w:t>
      </w:r>
      <w:r w:rsidRPr="00403C55">
        <w:rPr>
          <w:rFonts w:ascii="Times New Roman" w:hAnsi="Times New Roman" w:cs="Times New Roman"/>
          <w:lang w:val="fr-FR"/>
        </w:rPr>
        <w:t xml:space="preserve">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couverts par un ou plusieurs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et/ou de gestion par espèce dont il a été envisagé de réviser la mise en œuvre, en les informant du processus ainsi que des représentants et experts désignés du groupe de travail national.</w:t>
      </w:r>
    </w:p>
    <w:p w14:paraId="6B9DE6E6" w14:textId="77777777" w:rsidR="009A196F" w:rsidRPr="00403C55" w:rsidRDefault="009A196F" w:rsidP="008855A4">
      <w:pPr>
        <w:spacing w:after="0" w:line="240" w:lineRule="auto"/>
        <w:jc w:val="both"/>
        <w:rPr>
          <w:rFonts w:ascii="Times New Roman" w:hAnsi="Times New Roman" w:cs="Times New Roman"/>
          <w:lang w:val="fr-FR"/>
        </w:rPr>
      </w:pPr>
    </w:p>
    <w:p w14:paraId="23AFE491" w14:textId="578F27AC" w:rsidR="009A196F" w:rsidRPr="00403C55" w:rsidRDefault="00F30D6B" w:rsidP="009A196F">
      <w:pPr>
        <w:spacing w:after="0" w:line="240" w:lineRule="auto"/>
        <w:jc w:val="both"/>
        <w:rPr>
          <w:rFonts w:ascii="Times New Roman" w:hAnsi="Times New Roman" w:cs="Times New Roman"/>
          <w:lang w:val="fr-FR"/>
        </w:rPr>
      </w:pPr>
      <w:r w:rsidRPr="00403C55">
        <w:rPr>
          <w:rFonts w:ascii="Times New Roman" w:hAnsi="Times New Roman" w:cs="Times New Roman"/>
          <w:lang w:val="fr-FR"/>
        </w:rPr>
        <w:t>Une première étude de ce genre a été soumise à la 4</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session de la Réunion des Parties à l’AEWA en 2008 (document AEWA/MOP 4.10). La présente étude traite de l’avancement de la mise en œuvre au cours de la période 2008-2015.</w:t>
      </w:r>
      <w:r w:rsidR="009A196F" w:rsidRPr="00403C55">
        <w:rPr>
          <w:rFonts w:ascii="Times New Roman" w:hAnsi="Times New Roman" w:cs="Times New Roman"/>
          <w:lang w:val="fr-FR"/>
        </w:rPr>
        <w:t xml:space="preserve"> </w:t>
      </w:r>
    </w:p>
    <w:p w14:paraId="2DE04E71" w14:textId="77777777" w:rsidR="00782ED5" w:rsidRPr="00403C55" w:rsidRDefault="00782ED5" w:rsidP="00D17ADD">
      <w:pPr>
        <w:spacing w:after="0" w:line="240" w:lineRule="auto"/>
        <w:jc w:val="both"/>
        <w:rPr>
          <w:rFonts w:ascii="Times New Roman" w:hAnsi="Times New Roman" w:cs="Times New Roman"/>
          <w:b/>
          <w:lang w:val="fr-FR"/>
        </w:rPr>
      </w:pPr>
    </w:p>
    <w:p w14:paraId="112E0EA2" w14:textId="3D0935B4" w:rsidR="00D17ADD" w:rsidRPr="00403C55" w:rsidRDefault="008F7800" w:rsidP="00413735">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6</w:t>
      </w:r>
      <w:r w:rsidR="00782ED5" w:rsidRPr="00403C55">
        <w:rPr>
          <w:rFonts w:ascii="Times New Roman" w:hAnsi="Times New Roman" w:cs="Times New Roman"/>
          <w:b/>
          <w:lang w:val="fr-FR"/>
        </w:rPr>
        <w:t xml:space="preserve">.2. </w:t>
      </w:r>
      <w:r w:rsidR="00F30D6B" w:rsidRPr="00403C55">
        <w:rPr>
          <w:rFonts w:ascii="Times New Roman" w:hAnsi="Times New Roman" w:cs="Times New Roman"/>
          <w:b/>
          <w:lang w:val="fr-FR"/>
        </w:rPr>
        <w:t>Méthodologie et portée</w:t>
      </w:r>
    </w:p>
    <w:p w14:paraId="2EF41E91" w14:textId="77777777" w:rsidR="00D17ADD" w:rsidRPr="00403C55" w:rsidRDefault="00D17ADD" w:rsidP="00D17ADD">
      <w:pPr>
        <w:spacing w:after="0" w:line="240" w:lineRule="auto"/>
        <w:jc w:val="both"/>
        <w:rPr>
          <w:rFonts w:ascii="Times New Roman" w:hAnsi="Times New Roman" w:cs="Times New Roman"/>
          <w:lang w:val="fr-FR"/>
        </w:rPr>
      </w:pPr>
    </w:p>
    <w:p w14:paraId="66455F9D" w14:textId="23CAFDA9" w:rsidR="00A6279D" w:rsidRPr="00403C55" w:rsidRDefault="008F7800" w:rsidP="00D17ADD">
      <w:pPr>
        <w:spacing w:after="0" w:line="240" w:lineRule="auto"/>
        <w:jc w:val="both"/>
        <w:rPr>
          <w:rFonts w:ascii="Times New Roman" w:hAnsi="Times New Roman" w:cs="Times New Roman"/>
          <w:i/>
          <w:lang w:val="fr-FR"/>
        </w:rPr>
      </w:pPr>
      <w:r w:rsidRPr="00403C55">
        <w:rPr>
          <w:rFonts w:ascii="Times New Roman" w:hAnsi="Times New Roman" w:cs="Times New Roman"/>
          <w:lang w:val="fr-FR"/>
        </w:rPr>
        <w:t>6</w:t>
      </w:r>
      <w:r w:rsidR="00A6279D" w:rsidRPr="00403C55">
        <w:rPr>
          <w:rFonts w:ascii="Times New Roman" w:hAnsi="Times New Roman" w:cs="Times New Roman"/>
          <w:lang w:val="fr-FR"/>
        </w:rPr>
        <w:t xml:space="preserve">.2.1. </w:t>
      </w:r>
      <w:r w:rsidR="00F30D6B" w:rsidRPr="00403C55">
        <w:rPr>
          <w:rFonts w:ascii="Times New Roman" w:hAnsi="Times New Roman" w:cs="Times New Roman"/>
          <w:i/>
          <w:lang w:val="fr-FR"/>
        </w:rPr>
        <w:t>Méthodologie</w:t>
      </w:r>
    </w:p>
    <w:p w14:paraId="0E71FA0E" w14:textId="77777777" w:rsidR="00A6279D" w:rsidRPr="00403C55" w:rsidRDefault="00A6279D" w:rsidP="00D17ADD">
      <w:pPr>
        <w:spacing w:after="0" w:line="240" w:lineRule="auto"/>
        <w:jc w:val="both"/>
        <w:rPr>
          <w:rFonts w:ascii="Times New Roman" w:hAnsi="Times New Roman" w:cs="Times New Roman"/>
          <w:lang w:val="fr-FR"/>
        </w:rPr>
      </w:pPr>
    </w:p>
    <w:p w14:paraId="4592B3C4" w14:textId="7D96A7D7" w:rsidR="00242DEE" w:rsidRPr="00403C55" w:rsidRDefault="00324717" w:rsidP="00242DEE">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w:t>
      </w:r>
      <w:r w:rsidR="00F30D6B" w:rsidRPr="00403C55">
        <w:rPr>
          <w:rFonts w:ascii="Times New Roman" w:hAnsi="Times New Roman" w:cs="Times New Roman"/>
          <w:lang w:val="fr-FR"/>
        </w:rPr>
        <w:t xml:space="preserve"> Secr</w:t>
      </w:r>
      <w:r w:rsidRPr="00403C55">
        <w:rPr>
          <w:rFonts w:ascii="Times New Roman" w:hAnsi="Times New Roman" w:cs="Times New Roman"/>
          <w:lang w:val="fr-FR"/>
        </w:rPr>
        <w:t>é</w:t>
      </w:r>
      <w:r w:rsidR="00F30D6B" w:rsidRPr="00403C55">
        <w:rPr>
          <w:rFonts w:ascii="Times New Roman" w:hAnsi="Times New Roman" w:cs="Times New Roman"/>
          <w:lang w:val="fr-FR"/>
        </w:rPr>
        <w:t xml:space="preserve">tariat </w:t>
      </w:r>
      <w:r w:rsidRPr="00403C55">
        <w:rPr>
          <w:rFonts w:ascii="Times New Roman" w:hAnsi="Times New Roman" w:cs="Times New Roman"/>
          <w:lang w:val="fr-FR"/>
        </w:rPr>
        <w:t>a rédigé un</w:t>
      </w:r>
      <w:r w:rsidR="00F30D6B" w:rsidRPr="00403C55">
        <w:rPr>
          <w:rFonts w:ascii="Times New Roman" w:hAnsi="Times New Roman" w:cs="Times New Roman"/>
          <w:lang w:val="fr-FR"/>
        </w:rPr>
        <w:t xml:space="preserve"> questionnaire </w:t>
      </w:r>
      <w:r w:rsidRPr="00403C55">
        <w:rPr>
          <w:rFonts w:ascii="Times New Roman" w:hAnsi="Times New Roman" w:cs="Times New Roman"/>
          <w:lang w:val="fr-FR"/>
        </w:rPr>
        <w:t>e</w:t>
      </w:r>
      <w:r w:rsidR="00F30D6B" w:rsidRPr="00403C55">
        <w:rPr>
          <w:rFonts w:ascii="Times New Roman" w:hAnsi="Times New Roman" w:cs="Times New Roman"/>
          <w:lang w:val="fr-FR"/>
        </w:rPr>
        <w:t xml:space="preserve">n consultation </w:t>
      </w:r>
      <w:r w:rsidRPr="00403C55">
        <w:rPr>
          <w:rFonts w:ascii="Times New Roman" w:hAnsi="Times New Roman" w:cs="Times New Roman"/>
          <w:lang w:val="fr-FR"/>
        </w:rPr>
        <w:t xml:space="preserve">avec le Comité technique </w:t>
      </w:r>
      <w:r w:rsidR="0003562F">
        <w:rPr>
          <w:rFonts w:ascii="Times New Roman" w:hAnsi="Times New Roman" w:cs="Times New Roman"/>
          <w:lang w:val="fr-FR"/>
        </w:rPr>
        <w:t>de l’AEWA</w:t>
      </w:r>
      <w:r w:rsidR="00F30D6B" w:rsidRPr="00403C55">
        <w:rPr>
          <w:rFonts w:ascii="Times New Roman" w:hAnsi="Times New Roman" w:cs="Times New Roman"/>
          <w:lang w:val="fr-FR"/>
        </w:rPr>
        <w:t xml:space="preserve">, </w:t>
      </w:r>
      <w:r w:rsidRPr="00403C55">
        <w:rPr>
          <w:rFonts w:ascii="Times New Roman" w:hAnsi="Times New Roman" w:cs="Times New Roman"/>
          <w:lang w:val="fr-FR"/>
        </w:rPr>
        <w:t>qui a été modifié et adapté à chaque plan, pour refléter les buts, résultats et activités spécifiques</w:t>
      </w:r>
      <w:r w:rsidR="00F30D6B" w:rsidRPr="00403C55">
        <w:rPr>
          <w:rFonts w:ascii="Times New Roman" w:hAnsi="Times New Roman" w:cs="Times New Roman"/>
          <w:lang w:val="fr-FR"/>
        </w:rPr>
        <w:t xml:space="preserve"> </w:t>
      </w:r>
      <w:r w:rsidRPr="00403C55">
        <w:rPr>
          <w:rFonts w:ascii="Times New Roman" w:hAnsi="Times New Roman" w:cs="Times New Roman"/>
          <w:lang w:val="fr-FR"/>
        </w:rPr>
        <w:t xml:space="preserve">revenant aux coordinateurs des groupes de travail et d’experts des espèces </w:t>
      </w:r>
      <w:r w:rsidR="0003562F">
        <w:rPr>
          <w:rFonts w:ascii="Times New Roman" w:hAnsi="Times New Roman" w:cs="Times New Roman"/>
          <w:lang w:val="fr-FR"/>
        </w:rPr>
        <w:t>de l’AEWA</w:t>
      </w:r>
      <w:r w:rsidRPr="00403C55">
        <w:rPr>
          <w:rFonts w:ascii="Times New Roman" w:hAnsi="Times New Roman" w:cs="Times New Roman"/>
          <w:lang w:val="fr-FR"/>
        </w:rPr>
        <w:t xml:space="preserve"> respectifs</w:t>
      </w:r>
      <w:r w:rsidR="00870983">
        <w:rPr>
          <w:rFonts w:ascii="Times New Roman" w:hAnsi="Times New Roman" w:cs="Times New Roman"/>
          <w:lang w:val="fr-FR"/>
        </w:rPr>
        <w:t>,</w:t>
      </w:r>
      <w:r w:rsidRPr="00403C55">
        <w:rPr>
          <w:rFonts w:ascii="Times New Roman" w:hAnsi="Times New Roman" w:cs="Times New Roman"/>
          <w:lang w:val="fr-FR"/>
        </w:rPr>
        <w:t xml:space="preserve"> et envoyé aux membres des groupes de travail/d’experts</w:t>
      </w:r>
      <w:r w:rsidR="00F30D6B" w:rsidRPr="00403C55">
        <w:rPr>
          <w:rFonts w:ascii="Times New Roman" w:hAnsi="Times New Roman" w:cs="Times New Roman"/>
          <w:lang w:val="fr-FR"/>
        </w:rPr>
        <w:t xml:space="preserve"> </w:t>
      </w:r>
      <w:r w:rsidRPr="00403C55">
        <w:rPr>
          <w:rFonts w:ascii="Times New Roman" w:hAnsi="Times New Roman" w:cs="Times New Roman"/>
          <w:lang w:val="fr-FR"/>
        </w:rPr>
        <w:t>pour les compléter en anglais ou en français</w:t>
      </w:r>
      <w:r w:rsidR="00F30D6B" w:rsidRPr="00403C55">
        <w:rPr>
          <w:rFonts w:ascii="Times New Roman" w:hAnsi="Times New Roman" w:cs="Times New Roman"/>
          <w:lang w:val="fr-FR"/>
        </w:rPr>
        <w:t>.</w:t>
      </w:r>
      <w:r w:rsidR="00242DEE" w:rsidRPr="00403C55">
        <w:rPr>
          <w:rFonts w:ascii="Times New Roman" w:hAnsi="Times New Roman" w:cs="Times New Roman"/>
          <w:lang w:val="fr-FR"/>
        </w:rPr>
        <w:t xml:space="preserve"> </w:t>
      </w:r>
      <w:r w:rsidRPr="00403C55">
        <w:rPr>
          <w:rFonts w:ascii="Times New Roman" w:hAnsi="Times New Roman" w:cs="Times New Roman"/>
          <w:lang w:val="fr-FR"/>
        </w:rPr>
        <w:t>Lorsqu’aucun membre d’un groupe de travail ou d’experts n’avait été désigné pour un pays particulier, le questionnaire a été envoyé</w:t>
      </w:r>
      <w:r w:rsidR="00985A4E">
        <w:rPr>
          <w:rFonts w:ascii="Times New Roman" w:hAnsi="Times New Roman" w:cs="Times New Roman"/>
          <w:lang w:val="fr-FR"/>
        </w:rPr>
        <w:t xml:space="preserve"> </w:t>
      </w:r>
      <w:r w:rsidRPr="00403C55">
        <w:rPr>
          <w:rFonts w:ascii="Times New Roman" w:hAnsi="Times New Roman" w:cs="Times New Roman"/>
          <w:lang w:val="fr-FR"/>
        </w:rPr>
        <w:t xml:space="preserve">au point focal/contact national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qu’il </w:t>
      </w:r>
      <w:r w:rsidR="00DE1124" w:rsidRPr="00403C55">
        <w:rPr>
          <w:rFonts w:ascii="Times New Roman" w:hAnsi="Times New Roman" w:cs="Times New Roman"/>
          <w:lang w:val="fr-FR"/>
        </w:rPr>
        <w:t>s’en charge.</w:t>
      </w:r>
    </w:p>
    <w:p w14:paraId="53F77DCB" w14:textId="77777777" w:rsidR="00242DEE" w:rsidRPr="00403C55" w:rsidRDefault="00242DEE" w:rsidP="00242DEE">
      <w:pPr>
        <w:spacing w:after="0" w:line="240" w:lineRule="auto"/>
        <w:jc w:val="both"/>
        <w:rPr>
          <w:rFonts w:ascii="Times New Roman" w:hAnsi="Times New Roman" w:cs="Times New Roman"/>
          <w:lang w:val="fr-FR"/>
        </w:rPr>
      </w:pPr>
    </w:p>
    <w:p w14:paraId="58A1C7AF" w14:textId="34B9836A" w:rsidR="00242DEE" w:rsidRPr="00403C55" w:rsidRDefault="00870983" w:rsidP="00242DEE">
      <w:pPr>
        <w:spacing w:after="0" w:line="240" w:lineRule="auto"/>
        <w:jc w:val="both"/>
        <w:rPr>
          <w:rFonts w:ascii="Times New Roman" w:hAnsi="Times New Roman" w:cs="Times New Roman"/>
          <w:lang w:val="fr-FR"/>
        </w:rPr>
      </w:pPr>
      <w:r>
        <w:rPr>
          <w:rFonts w:ascii="Times New Roman" w:hAnsi="Times New Roman" w:cs="Times New Roman"/>
          <w:lang w:val="fr-FR"/>
        </w:rPr>
        <w:t>Cette</w:t>
      </w:r>
      <w:r w:rsidR="00324717" w:rsidRPr="00403C55">
        <w:rPr>
          <w:rFonts w:ascii="Times New Roman" w:hAnsi="Times New Roman" w:cs="Times New Roman"/>
          <w:lang w:val="fr-FR"/>
        </w:rPr>
        <w:t xml:space="preserve"> étude </w:t>
      </w:r>
      <w:r>
        <w:rPr>
          <w:rFonts w:ascii="Times New Roman" w:hAnsi="Times New Roman" w:cs="Times New Roman"/>
          <w:lang w:val="fr-FR"/>
        </w:rPr>
        <w:t>porte sur</w:t>
      </w:r>
      <w:r w:rsidR="00324717" w:rsidRPr="00403C55">
        <w:rPr>
          <w:rFonts w:ascii="Times New Roman" w:hAnsi="Times New Roman" w:cs="Times New Roman"/>
          <w:lang w:val="fr-FR"/>
        </w:rPr>
        <w:t xml:space="preserve"> </w:t>
      </w:r>
      <w:r w:rsidR="0059229B" w:rsidRPr="00403C55">
        <w:rPr>
          <w:rFonts w:ascii="Times New Roman" w:hAnsi="Times New Roman" w:cs="Times New Roman"/>
          <w:lang w:val="fr-FR"/>
        </w:rPr>
        <w:t xml:space="preserve">la période </w:t>
      </w:r>
      <w:r w:rsidR="00324717" w:rsidRPr="00403C55">
        <w:rPr>
          <w:rFonts w:ascii="Times New Roman" w:hAnsi="Times New Roman" w:cs="Times New Roman"/>
          <w:lang w:val="fr-FR"/>
        </w:rPr>
        <w:t xml:space="preserve">2008-2015. L’avancement de la mise en œuvre des plans adoptés en 2008 et plus tard a été examiné </w:t>
      </w:r>
      <w:r w:rsidR="008A7115" w:rsidRPr="00403C55">
        <w:rPr>
          <w:rFonts w:ascii="Times New Roman" w:hAnsi="Times New Roman" w:cs="Times New Roman"/>
          <w:lang w:val="fr-FR"/>
        </w:rPr>
        <w:t>en fonction</w:t>
      </w:r>
      <w:r w:rsidR="00324717" w:rsidRPr="00403C55">
        <w:rPr>
          <w:rFonts w:ascii="Times New Roman" w:hAnsi="Times New Roman" w:cs="Times New Roman"/>
          <w:lang w:val="fr-FR"/>
        </w:rPr>
        <w:t xml:space="preserve"> </w:t>
      </w:r>
      <w:r w:rsidR="008A7115" w:rsidRPr="00403C55">
        <w:rPr>
          <w:rFonts w:ascii="Times New Roman" w:hAnsi="Times New Roman" w:cs="Times New Roman"/>
          <w:lang w:val="fr-FR"/>
        </w:rPr>
        <w:t>d</w:t>
      </w:r>
      <w:r w:rsidR="00324717" w:rsidRPr="00403C55">
        <w:rPr>
          <w:rFonts w:ascii="Times New Roman" w:hAnsi="Times New Roman" w:cs="Times New Roman"/>
          <w:lang w:val="fr-FR"/>
        </w:rPr>
        <w:t>u point de départ indiqué dans chaque plan.</w:t>
      </w:r>
      <w:r w:rsidR="00242DEE" w:rsidRPr="00403C55">
        <w:rPr>
          <w:rFonts w:ascii="Times New Roman" w:hAnsi="Times New Roman" w:cs="Times New Roman"/>
          <w:lang w:val="fr-FR"/>
        </w:rPr>
        <w:t xml:space="preserve"> </w:t>
      </w:r>
      <w:r w:rsidR="008A7115" w:rsidRPr="00403C55">
        <w:rPr>
          <w:rFonts w:ascii="Times New Roman" w:hAnsi="Times New Roman" w:cs="Times New Roman"/>
          <w:lang w:val="fr-FR"/>
        </w:rPr>
        <w:t>Pour les plans adoptés avant 2008, qui avaient déjà été évalués dans l’étude de 2008 soumise à la MOP4 (document AEWA/MOP 4.10), l’avancement de la mise en œuvre a été mesuré en fonction de l’étude de 2008.</w:t>
      </w:r>
    </w:p>
    <w:p w14:paraId="2A3E4C7B" w14:textId="6A402F97" w:rsidR="005600ED" w:rsidRPr="00403C55" w:rsidRDefault="005600ED" w:rsidP="005600ED">
      <w:pPr>
        <w:spacing w:after="0" w:line="240" w:lineRule="auto"/>
        <w:jc w:val="both"/>
        <w:rPr>
          <w:rFonts w:ascii="Times New Roman" w:hAnsi="Times New Roman" w:cs="Times New Roman"/>
          <w:highlight w:val="yellow"/>
          <w:lang w:val="fr-FR"/>
        </w:rPr>
      </w:pPr>
    </w:p>
    <w:p w14:paraId="66695700" w14:textId="1BDA02E2" w:rsidR="00C6595D" w:rsidRPr="00403C55" w:rsidRDefault="008A7115" w:rsidP="005600E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plus des résultats spécifiés dans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/de gestion, il a été demandé 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de </w:t>
      </w:r>
      <w:r w:rsidR="0059229B" w:rsidRPr="00403C55">
        <w:rPr>
          <w:rFonts w:ascii="Times New Roman" w:hAnsi="Times New Roman" w:cs="Times New Roman"/>
          <w:lang w:val="fr-FR"/>
        </w:rPr>
        <w:t>présenter</w:t>
      </w:r>
      <w:r w:rsidRPr="00403C55">
        <w:rPr>
          <w:rFonts w:ascii="Times New Roman" w:hAnsi="Times New Roman" w:cs="Times New Roman"/>
          <w:lang w:val="fr-FR"/>
        </w:rPr>
        <w:t xml:space="preserve"> un rapport sur l’état et la tendance des espèces dans leur pays, ainsi que sur les progrès réalisés dans l’établissement de structures nationales pour renforcer et coordonner la mise en œuvre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et groupes de travail nationaux).</w:t>
      </w:r>
      <w:r w:rsidR="005600ED" w:rsidRPr="00403C55">
        <w:rPr>
          <w:rFonts w:ascii="Times New Roman" w:hAnsi="Times New Roman" w:cs="Times New Roman"/>
          <w:lang w:val="fr-FR"/>
        </w:rPr>
        <w:t xml:space="preserve"> </w:t>
      </w:r>
      <w:r w:rsidRPr="00403C55">
        <w:rPr>
          <w:rFonts w:ascii="Times New Roman" w:hAnsi="Times New Roman" w:cs="Times New Roman"/>
          <w:lang w:val="fr-FR"/>
        </w:rPr>
        <w:t xml:space="preserve">Il a en outre été demandé 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de présenter un rapport sur les trois principaux facteurs qui contribuent à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/de gestion respectifs, ou bien qui l’entravent.</w:t>
      </w:r>
      <w:r w:rsidR="00C6595D" w:rsidRPr="00403C55">
        <w:rPr>
          <w:rFonts w:ascii="Times New Roman" w:hAnsi="Times New Roman" w:cs="Times New Roman"/>
          <w:lang w:val="fr-FR"/>
        </w:rPr>
        <w:t xml:space="preserve"> </w:t>
      </w:r>
    </w:p>
    <w:p w14:paraId="7535DB3B" w14:textId="77777777" w:rsidR="00C6595D" w:rsidRPr="00403C55" w:rsidRDefault="00C6595D" w:rsidP="005600ED">
      <w:pPr>
        <w:spacing w:after="0" w:line="240" w:lineRule="auto"/>
        <w:jc w:val="both"/>
        <w:rPr>
          <w:rFonts w:ascii="Times New Roman" w:hAnsi="Times New Roman" w:cs="Times New Roman"/>
          <w:lang w:val="fr-FR"/>
        </w:rPr>
      </w:pPr>
    </w:p>
    <w:p w14:paraId="2E284B10" w14:textId="1CDD714C" w:rsidR="00C6595D" w:rsidRPr="00403C55" w:rsidRDefault="008A7115" w:rsidP="005600E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Dans le calcul du taux moyen indicatif de mise en œuvre pour chaque plan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seuls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ayant répondu « oui » ont été considérés comme ayant complètement mis en œuvre chaque activité/résultat.</w:t>
      </w:r>
      <w:r w:rsidR="00C6595D" w:rsidRPr="00403C55">
        <w:rPr>
          <w:rFonts w:ascii="Times New Roman" w:hAnsi="Times New Roman" w:cs="Times New Roman"/>
          <w:lang w:val="fr-FR"/>
        </w:rPr>
        <w:t xml:space="preserve"> </w:t>
      </w:r>
      <w:r w:rsidRPr="00403C55">
        <w:rPr>
          <w:rFonts w:ascii="Times New Roman" w:hAnsi="Times New Roman" w:cs="Times New Roman"/>
          <w:lang w:val="fr-FR"/>
        </w:rPr>
        <w:t>Lorsque la réponse était « non » ou « partiellement » et quand aucune information n’a été fournie, on a considéré qu’une activité/un résultat n’avait pas été mis en œuvre.</w:t>
      </w:r>
      <w:r w:rsidR="00C6595D" w:rsidRPr="00403C55">
        <w:rPr>
          <w:rFonts w:ascii="Times New Roman" w:hAnsi="Times New Roman" w:cs="Times New Roman"/>
          <w:lang w:val="fr-FR"/>
        </w:rPr>
        <w:t xml:space="preserve"> </w:t>
      </w:r>
      <w:r w:rsidRPr="00403C55">
        <w:rPr>
          <w:rFonts w:ascii="Times New Roman" w:hAnsi="Times New Roman" w:cs="Times New Roman"/>
          <w:lang w:val="fr-FR"/>
        </w:rPr>
        <w:t xml:space="preserve">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qui n’ont pas soumis le questionnaire ont été pris en compte sous la rubrique « pas d’information fournie ».</w:t>
      </w:r>
      <w:r w:rsidR="00C6595D" w:rsidRPr="00403C55">
        <w:rPr>
          <w:rFonts w:ascii="Times New Roman" w:hAnsi="Times New Roman" w:cs="Times New Roman"/>
          <w:lang w:val="fr-FR"/>
        </w:rPr>
        <w:t xml:space="preserve"> </w:t>
      </w:r>
      <w:r w:rsidRPr="00403C55">
        <w:rPr>
          <w:rFonts w:ascii="Times New Roman" w:hAnsi="Times New Roman" w:cs="Times New Roman"/>
          <w:lang w:val="fr-FR"/>
        </w:rPr>
        <w:t>Le taux moyen de mise en œuvre pour chaque activité/résultat a été calculé sur la base du nombre total d’</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w:t>
      </w:r>
      <w:r w:rsidR="00870983">
        <w:rPr>
          <w:rFonts w:ascii="Times New Roman" w:hAnsi="Times New Roman" w:cs="Times New Roman"/>
          <w:lang w:val="fr-FR"/>
        </w:rPr>
        <w:t xml:space="preserve">identifiés dans le plan </w:t>
      </w:r>
      <w:r w:rsidR="00300A91" w:rsidRPr="00403C55">
        <w:rPr>
          <w:rFonts w:ascii="Times New Roman" w:hAnsi="Times New Roman" w:cs="Times New Roman"/>
          <w:lang w:val="fr-FR"/>
        </w:rPr>
        <w:t>auxquels l’activité/résultat respectif s’applique</w:t>
      </w:r>
      <w:r w:rsidRPr="00403C55">
        <w:rPr>
          <w:rFonts w:ascii="Times New Roman" w:hAnsi="Times New Roman" w:cs="Times New Roman"/>
          <w:lang w:val="fr-FR"/>
        </w:rPr>
        <w:t>.</w:t>
      </w:r>
      <w:r w:rsidR="00332CB7" w:rsidRPr="00403C55">
        <w:rPr>
          <w:rFonts w:ascii="Times New Roman" w:hAnsi="Times New Roman" w:cs="Times New Roman"/>
          <w:lang w:val="fr-FR"/>
        </w:rPr>
        <w:t xml:space="preserve"> </w:t>
      </w:r>
      <w:r w:rsidR="00300A91" w:rsidRPr="00403C55">
        <w:rPr>
          <w:rFonts w:ascii="Times New Roman" w:hAnsi="Times New Roman" w:cs="Times New Roman"/>
          <w:lang w:val="fr-FR"/>
        </w:rPr>
        <w:t xml:space="preserve">Dans certains cas, des </w:t>
      </w:r>
      <w:r w:rsidR="00FE6EE5">
        <w:rPr>
          <w:rFonts w:ascii="Times New Roman" w:hAnsi="Times New Roman" w:cs="Times New Roman"/>
          <w:lang w:val="fr-FR"/>
        </w:rPr>
        <w:t>États de l’aire de répartition</w:t>
      </w:r>
      <w:r w:rsidR="00300A91" w:rsidRPr="00403C55">
        <w:rPr>
          <w:rFonts w:ascii="Times New Roman" w:hAnsi="Times New Roman" w:cs="Times New Roman"/>
          <w:lang w:val="fr-FR"/>
        </w:rPr>
        <w:t xml:space="preserve"> ont indiqué que certaines activités individuelles ne s’appliquaient pas à leur situation, bien que ceci soit </w:t>
      </w:r>
      <w:r w:rsidR="00DE1124" w:rsidRPr="00403C55">
        <w:rPr>
          <w:rFonts w:ascii="Times New Roman" w:hAnsi="Times New Roman" w:cs="Times New Roman"/>
          <w:lang w:val="fr-FR"/>
        </w:rPr>
        <w:t>stipulé</w:t>
      </w:r>
      <w:r w:rsidR="00300A91" w:rsidRPr="00403C55">
        <w:rPr>
          <w:rFonts w:ascii="Times New Roman" w:hAnsi="Times New Roman" w:cs="Times New Roman"/>
          <w:lang w:val="fr-FR"/>
        </w:rPr>
        <w:t xml:space="preserve"> différemment dans le plan.</w:t>
      </w:r>
      <w:r w:rsidR="00C6595D" w:rsidRPr="00403C55">
        <w:rPr>
          <w:rFonts w:ascii="Times New Roman" w:hAnsi="Times New Roman" w:cs="Times New Roman"/>
          <w:lang w:val="fr-FR"/>
        </w:rPr>
        <w:t xml:space="preserve"> </w:t>
      </w:r>
      <w:r w:rsidR="00300A91" w:rsidRPr="00403C55">
        <w:rPr>
          <w:rFonts w:ascii="Times New Roman" w:hAnsi="Times New Roman" w:cs="Times New Roman"/>
          <w:lang w:val="fr-FR"/>
        </w:rPr>
        <w:t xml:space="preserve">Si une justification avait été fournie, ces </w:t>
      </w:r>
      <w:r w:rsidR="00FE6EE5">
        <w:rPr>
          <w:rFonts w:ascii="Times New Roman" w:hAnsi="Times New Roman" w:cs="Times New Roman"/>
          <w:lang w:val="fr-FR"/>
        </w:rPr>
        <w:t>États de l’aire de répartition</w:t>
      </w:r>
      <w:r w:rsidR="00300A91" w:rsidRPr="00403C55">
        <w:rPr>
          <w:rFonts w:ascii="Times New Roman" w:hAnsi="Times New Roman" w:cs="Times New Roman"/>
          <w:lang w:val="fr-FR"/>
        </w:rPr>
        <w:t xml:space="preserve"> ont été supprimés du nombre total d’</w:t>
      </w:r>
      <w:r w:rsidR="00FE6EE5">
        <w:rPr>
          <w:rFonts w:ascii="Times New Roman" w:hAnsi="Times New Roman" w:cs="Times New Roman"/>
          <w:lang w:val="fr-FR"/>
        </w:rPr>
        <w:t>États de l’aire de répartition</w:t>
      </w:r>
      <w:r w:rsidR="00300A91" w:rsidRPr="00403C55">
        <w:rPr>
          <w:rFonts w:ascii="Times New Roman" w:hAnsi="Times New Roman" w:cs="Times New Roman"/>
          <w:lang w:val="fr-FR"/>
        </w:rPr>
        <w:t xml:space="preserve"> sur la base duquel le taux de mise en œuvre a été calculé pour cette activité/ce résultat particulier.</w:t>
      </w:r>
      <w:r w:rsidR="00985A4E">
        <w:rPr>
          <w:rFonts w:ascii="Times New Roman" w:hAnsi="Times New Roman" w:cs="Times New Roman"/>
          <w:lang w:val="fr-FR"/>
        </w:rPr>
        <w:t xml:space="preserve"> </w:t>
      </w:r>
    </w:p>
    <w:p w14:paraId="7CA45101" w14:textId="77777777" w:rsidR="00747A31" w:rsidRPr="00403C55" w:rsidRDefault="00747A31" w:rsidP="005600ED">
      <w:pPr>
        <w:spacing w:after="0" w:line="240" w:lineRule="auto"/>
        <w:jc w:val="both"/>
        <w:rPr>
          <w:rFonts w:ascii="Times New Roman" w:hAnsi="Times New Roman" w:cs="Times New Roman"/>
          <w:lang w:val="fr-FR"/>
        </w:rPr>
      </w:pPr>
    </w:p>
    <w:p w14:paraId="46C47F8F" w14:textId="39FC27F3" w:rsidR="00747A31" w:rsidRPr="00403C55" w:rsidRDefault="00300A91" w:rsidP="005600E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Il convient de noter que la présente étude et les conclusions relatives à l’avancement de la mise en œuvre sont seulement basées sur les informations fournies par les différents </w:t>
      </w:r>
      <w:r w:rsidR="00FE6EE5">
        <w:rPr>
          <w:rFonts w:ascii="Times New Roman" w:hAnsi="Times New Roman" w:cs="Times New Roman"/>
          <w:lang w:val="fr-FR"/>
        </w:rPr>
        <w:t>États de l’aire de répartition</w:t>
      </w:r>
      <w:r w:rsidR="006F460A">
        <w:rPr>
          <w:rFonts w:ascii="Times New Roman" w:hAnsi="Times New Roman" w:cs="Times New Roman"/>
          <w:lang w:val="fr-FR"/>
        </w:rPr>
        <w:t xml:space="preserve"> – une approche qui limite substantiellement les évaluations qui peuvent être faites</w:t>
      </w:r>
      <w:r w:rsidRPr="00403C55">
        <w:rPr>
          <w:rFonts w:ascii="Times New Roman" w:hAnsi="Times New Roman" w:cs="Times New Roman"/>
          <w:lang w:val="fr-FR"/>
        </w:rPr>
        <w:t>.</w:t>
      </w:r>
      <w:r w:rsidR="00747A31" w:rsidRPr="00403C55">
        <w:rPr>
          <w:rFonts w:ascii="Times New Roman" w:hAnsi="Times New Roman" w:cs="Times New Roman"/>
          <w:lang w:val="fr-FR"/>
        </w:rPr>
        <w:t xml:space="preserve"> </w:t>
      </w:r>
      <w:r w:rsidRPr="00403C55">
        <w:rPr>
          <w:rFonts w:ascii="Times New Roman" w:hAnsi="Times New Roman" w:cs="Times New Roman"/>
          <w:lang w:val="fr-FR"/>
        </w:rPr>
        <w:t xml:space="preserve">Entreprendre une vérification plus poussée de l’obtention des résultats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en consultant les diverses autres sources (externes/indépendantes) de vérification citées dans les plans</w:t>
      </w:r>
      <w:r w:rsidR="006F460A">
        <w:rPr>
          <w:rFonts w:ascii="Times New Roman" w:hAnsi="Times New Roman" w:cs="Times New Roman"/>
          <w:lang w:val="fr-FR"/>
        </w:rPr>
        <w:t>, ou en consultant d’autres parties prenantes internationales ou nationales susceptibles d’entreprendre des activités liées aux plans d’action ou de gestion dans différents pays,</w:t>
      </w:r>
      <w:r w:rsidRPr="00403C55">
        <w:rPr>
          <w:rFonts w:ascii="Times New Roman" w:hAnsi="Times New Roman" w:cs="Times New Roman"/>
          <w:lang w:val="fr-FR"/>
        </w:rPr>
        <w:t xml:space="preserve"> allait au-delà de la portée du présent document.</w:t>
      </w:r>
      <w:r w:rsidR="001F1904" w:rsidRPr="00403C55">
        <w:rPr>
          <w:rFonts w:ascii="Times New Roman" w:hAnsi="Times New Roman" w:cs="Times New Roman"/>
          <w:lang w:val="fr-FR"/>
        </w:rPr>
        <w:t xml:space="preserve"> </w:t>
      </w:r>
      <w:r w:rsidRPr="00403C55">
        <w:rPr>
          <w:rFonts w:ascii="Times New Roman" w:hAnsi="Times New Roman" w:cs="Times New Roman"/>
          <w:lang w:val="fr-FR"/>
        </w:rPr>
        <w:t>Cette tâche devra toutefois être entreprise par les coordinateurs des groupes de travail et présentée, à titre de priorité, aux groupes de travail et d'experts internationaux par espèce respectifs.</w:t>
      </w:r>
      <w:r w:rsidR="00985A4E">
        <w:rPr>
          <w:rFonts w:ascii="Times New Roman" w:hAnsi="Times New Roman" w:cs="Times New Roman"/>
          <w:lang w:val="fr-FR"/>
        </w:rPr>
        <w:t xml:space="preserve"> </w:t>
      </w:r>
    </w:p>
    <w:p w14:paraId="517676D7" w14:textId="77777777" w:rsidR="00A6279D" w:rsidRPr="00403C55" w:rsidRDefault="00A6279D" w:rsidP="00D17ADD">
      <w:pPr>
        <w:spacing w:after="0" w:line="240" w:lineRule="auto"/>
        <w:jc w:val="both"/>
        <w:rPr>
          <w:rFonts w:ascii="Times New Roman" w:hAnsi="Times New Roman" w:cs="Times New Roman"/>
          <w:lang w:val="fr-FR"/>
        </w:rPr>
      </w:pPr>
    </w:p>
    <w:p w14:paraId="48B9F005" w14:textId="57229F32" w:rsidR="00A6279D" w:rsidRPr="00403C55" w:rsidRDefault="008F7800" w:rsidP="00D17ADD">
      <w:pPr>
        <w:spacing w:after="0" w:line="240" w:lineRule="auto"/>
        <w:jc w:val="both"/>
        <w:rPr>
          <w:rFonts w:ascii="Times New Roman" w:hAnsi="Times New Roman" w:cs="Times New Roman"/>
          <w:i/>
          <w:lang w:val="fr-FR"/>
        </w:rPr>
      </w:pPr>
      <w:r w:rsidRPr="00403C55">
        <w:rPr>
          <w:rFonts w:ascii="Times New Roman" w:hAnsi="Times New Roman" w:cs="Times New Roman"/>
          <w:lang w:val="fr-FR"/>
        </w:rPr>
        <w:t>6</w:t>
      </w:r>
      <w:r w:rsidR="00A6279D" w:rsidRPr="00403C55">
        <w:rPr>
          <w:rFonts w:ascii="Times New Roman" w:hAnsi="Times New Roman" w:cs="Times New Roman"/>
          <w:lang w:val="fr-FR"/>
        </w:rPr>
        <w:t>.2.2.</w:t>
      </w:r>
      <w:r w:rsidR="00A6279D" w:rsidRPr="00403C55">
        <w:rPr>
          <w:rFonts w:ascii="Times New Roman" w:hAnsi="Times New Roman" w:cs="Times New Roman"/>
          <w:i/>
          <w:lang w:val="fr-FR"/>
        </w:rPr>
        <w:t xml:space="preserve"> </w:t>
      </w:r>
      <w:r w:rsidR="00300A91" w:rsidRPr="00403C55">
        <w:rPr>
          <w:rFonts w:ascii="Times New Roman" w:hAnsi="Times New Roman" w:cs="Times New Roman"/>
          <w:i/>
          <w:lang w:val="fr-FR"/>
        </w:rPr>
        <w:t>Portée</w:t>
      </w:r>
    </w:p>
    <w:p w14:paraId="2039C875" w14:textId="77777777" w:rsidR="00A6279D" w:rsidRPr="00403C55" w:rsidRDefault="00A6279D" w:rsidP="00D17ADD">
      <w:pPr>
        <w:spacing w:after="0" w:line="240" w:lineRule="auto"/>
        <w:jc w:val="both"/>
        <w:rPr>
          <w:rFonts w:ascii="Times New Roman" w:hAnsi="Times New Roman" w:cs="Times New Roman"/>
          <w:lang w:val="fr-FR"/>
        </w:rPr>
      </w:pPr>
    </w:p>
    <w:p w14:paraId="547847C7" w14:textId="4D8BBAAF" w:rsidR="00CF48DA" w:rsidRPr="00403C55" w:rsidRDefault="00DE1124" w:rsidP="00D17A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À l’origine, la cible visée était que l’étude couvre 13 des 20 plans </w:t>
      </w:r>
      <w:r w:rsidR="0003562F">
        <w:rPr>
          <w:rFonts w:ascii="Times New Roman" w:hAnsi="Times New Roman" w:cs="Times New Roman"/>
          <w:lang w:val="fr-FR"/>
        </w:rPr>
        <w:t>de l’AEWA</w:t>
      </w:r>
      <w:r w:rsidRPr="00403C55">
        <w:rPr>
          <w:rFonts w:ascii="Times New Roman" w:hAnsi="Times New Roman" w:cs="Times New Roman"/>
          <w:lang w:val="fr-FR"/>
        </w:rPr>
        <w:t xml:space="preserve"> adoptés à cette date (12 plans </w:t>
      </w:r>
      <w:r w:rsidR="0003562F">
        <w:rPr>
          <w:rFonts w:ascii="Times New Roman" w:hAnsi="Times New Roman" w:cs="Times New Roman"/>
          <w:lang w:val="fr-FR"/>
        </w:rPr>
        <w:t>d’action</w:t>
      </w:r>
      <w:r w:rsidRPr="00403C55">
        <w:rPr>
          <w:rFonts w:ascii="Times New Roman" w:hAnsi="Times New Roman" w:cs="Times New Roman"/>
          <w:lang w:val="fr-FR"/>
        </w:rPr>
        <w:t xml:space="preserve"> ainsi qu’un Plan international de gestion pour l’Oie à bec court), pour lesquels des groupes internationaux de travail ou d’experts </w:t>
      </w:r>
      <w:r w:rsidR="0003562F">
        <w:rPr>
          <w:rFonts w:ascii="Times New Roman" w:hAnsi="Times New Roman" w:cs="Times New Roman"/>
          <w:lang w:val="fr-FR"/>
        </w:rPr>
        <w:t>de l’AEWA</w:t>
      </w:r>
      <w:r w:rsidRPr="00403C55">
        <w:rPr>
          <w:rFonts w:ascii="Times New Roman" w:hAnsi="Times New Roman" w:cs="Times New Roman"/>
          <w:lang w:val="fr-FR"/>
        </w:rPr>
        <w:t xml:space="preserve"> avaient été établis ou </w:t>
      </w:r>
      <w:r w:rsidR="0059229B" w:rsidRPr="00403C55">
        <w:rPr>
          <w:rFonts w:ascii="Times New Roman" w:hAnsi="Times New Roman" w:cs="Times New Roman"/>
          <w:lang w:val="fr-FR"/>
        </w:rPr>
        <w:t xml:space="preserve">étaient </w:t>
      </w:r>
      <w:r w:rsidRPr="00403C55">
        <w:rPr>
          <w:rFonts w:ascii="Times New Roman" w:hAnsi="Times New Roman" w:cs="Times New Roman"/>
          <w:lang w:val="fr-FR"/>
        </w:rPr>
        <w:t>en cours d’établissement.</w:t>
      </w:r>
      <w:r w:rsidR="006F6B99" w:rsidRPr="00403C55">
        <w:rPr>
          <w:rFonts w:ascii="Times New Roman" w:hAnsi="Times New Roman" w:cs="Times New Roman"/>
          <w:lang w:val="fr-FR"/>
        </w:rPr>
        <w:t xml:space="preserve"> </w:t>
      </w:r>
      <w:r w:rsidRPr="00403C55">
        <w:rPr>
          <w:rFonts w:ascii="Times New Roman" w:hAnsi="Times New Roman" w:cs="Times New Roman"/>
          <w:lang w:val="fr-FR"/>
        </w:rPr>
        <w:t xml:space="preserve">Toutefois, en raison du taux de réponse extrêmement faible pour certains plans </w:t>
      </w:r>
      <w:r w:rsidR="0003562F">
        <w:rPr>
          <w:rFonts w:ascii="Times New Roman" w:hAnsi="Times New Roman" w:cs="Times New Roman"/>
          <w:lang w:val="fr-FR"/>
        </w:rPr>
        <w:t>d’action</w:t>
      </w:r>
      <w:r w:rsidRPr="00403C55">
        <w:rPr>
          <w:rFonts w:ascii="Times New Roman" w:hAnsi="Times New Roman" w:cs="Times New Roman"/>
          <w:lang w:val="fr-FR"/>
        </w:rPr>
        <w:t>, ceux-ci n’ont pu être inclus dans l’étude.</w:t>
      </w:r>
      <w:r w:rsidR="006F6B99" w:rsidRPr="00403C55">
        <w:rPr>
          <w:rFonts w:ascii="Times New Roman" w:hAnsi="Times New Roman" w:cs="Times New Roman"/>
          <w:lang w:val="fr-FR"/>
        </w:rPr>
        <w:t xml:space="preserve"> </w:t>
      </w:r>
      <w:r w:rsidRPr="00403C55">
        <w:rPr>
          <w:rFonts w:ascii="Times New Roman" w:hAnsi="Times New Roman" w:cs="Times New Roman"/>
          <w:lang w:val="fr-FR"/>
        </w:rPr>
        <w:t xml:space="preserve">Tous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pour lesquels </w:t>
      </w:r>
      <w:r w:rsidR="00996EBD" w:rsidRPr="00403C55">
        <w:rPr>
          <w:rFonts w:ascii="Times New Roman" w:hAnsi="Times New Roman" w:cs="Times New Roman"/>
          <w:lang w:val="fr-FR"/>
        </w:rPr>
        <w:t>nous n’avons reçu, à la date limite prolongée, qu’une</w:t>
      </w:r>
      <w:r w:rsidRPr="00403C55">
        <w:rPr>
          <w:rFonts w:ascii="Times New Roman" w:hAnsi="Times New Roman" w:cs="Times New Roman"/>
          <w:lang w:val="fr-FR"/>
        </w:rPr>
        <w:t xml:space="preserve"> réponse de moins de 30 % des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identifiés</w:t>
      </w:r>
      <w:r w:rsidR="00996EBD" w:rsidRPr="00403C55">
        <w:rPr>
          <w:rFonts w:ascii="Times New Roman" w:hAnsi="Times New Roman" w:cs="Times New Roman"/>
          <w:lang w:val="fr-FR"/>
        </w:rPr>
        <w:t>, ont donc été exclus</w:t>
      </w:r>
      <w:r w:rsidRPr="00403C55">
        <w:rPr>
          <w:rFonts w:ascii="Times New Roman" w:hAnsi="Times New Roman" w:cs="Times New Roman"/>
          <w:lang w:val="fr-FR"/>
        </w:rPr>
        <w:t>.</w:t>
      </w:r>
      <w:r w:rsidR="00CB57D6" w:rsidRPr="00403C55">
        <w:rPr>
          <w:rFonts w:ascii="Times New Roman" w:hAnsi="Times New Roman" w:cs="Times New Roman"/>
          <w:lang w:val="fr-FR"/>
        </w:rPr>
        <w:t xml:space="preserve"> </w:t>
      </w:r>
      <w:r w:rsidR="00996EBD" w:rsidRPr="00403C55">
        <w:rPr>
          <w:rFonts w:ascii="Times New Roman" w:hAnsi="Times New Roman" w:cs="Times New Roman"/>
          <w:lang w:val="fr-FR"/>
        </w:rPr>
        <w:t>En outre, le questionnaire pour la Bernache à ventre pâle n’a pas été distribué par manque de capacité dans le réseau d’experts.</w:t>
      </w:r>
      <w:r w:rsidR="005B4B40" w:rsidRPr="00403C55">
        <w:rPr>
          <w:rFonts w:ascii="Times New Roman" w:hAnsi="Times New Roman" w:cs="Times New Roman"/>
          <w:lang w:val="fr-FR"/>
        </w:rPr>
        <w:t xml:space="preserve"> </w:t>
      </w:r>
      <w:r w:rsidR="00996EBD" w:rsidRPr="00403C55">
        <w:rPr>
          <w:rFonts w:ascii="Times New Roman" w:hAnsi="Times New Roman" w:cs="Times New Roman"/>
          <w:lang w:val="fr-FR"/>
        </w:rPr>
        <w:t>Pour une vue d'ensemble de toutes les rép</w:t>
      </w:r>
      <w:r w:rsidR="00B34832">
        <w:rPr>
          <w:rFonts w:ascii="Times New Roman" w:hAnsi="Times New Roman" w:cs="Times New Roman"/>
          <w:lang w:val="fr-FR"/>
        </w:rPr>
        <w:t>onses reçues par plan, veuillez-</w:t>
      </w:r>
      <w:r w:rsidR="00996EBD" w:rsidRPr="00403C55">
        <w:rPr>
          <w:rFonts w:ascii="Times New Roman" w:hAnsi="Times New Roman" w:cs="Times New Roman"/>
          <w:lang w:val="fr-FR"/>
        </w:rPr>
        <w:t>vous reporter à l’Annexe 2.</w:t>
      </w:r>
      <w:r w:rsidR="00CF48DA" w:rsidRPr="00403C55">
        <w:rPr>
          <w:rFonts w:ascii="Times New Roman" w:hAnsi="Times New Roman" w:cs="Times New Roman"/>
          <w:lang w:val="fr-FR"/>
        </w:rPr>
        <w:t xml:space="preserve"> </w:t>
      </w:r>
    </w:p>
    <w:p w14:paraId="6759C07F" w14:textId="77777777" w:rsidR="00CF48DA" w:rsidRPr="00403C55" w:rsidRDefault="00CF48DA" w:rsidP="00D17ADD">
      <w:pPr>
        <w:spacing w:after="0" w:line="240" w:lineRule="auto"/>
        <w:jc w:val="both"/>
        <w:rPr>
          <w:rFonts w:ascii="Times New Roman" w:hAnsi="Times New Roman" w:cs="Times New Roman"/>
          <w:lang w:val="fr-FR"/>
        </w:rPr>
      </w:pPr>
    </w:p>
    <w:p w14:paraId="63CC05C5" w14:textId="7E2F0F5D" w:rsidR="00BD7D09" w:rsidRPr="00403C55" w:rsidRDefault="00996EBD" w:rsidP="00D17A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L’étude couvre donc les 8 plans </w:t>
      </w:r>
      <w:r w:rsidR="0003562F">
        <w:rPr>
          <w:rFonts w:ascii="Times New Roman" w:hAnsi="Times New Roman" w:cs="Times New Roman"/>
          <w:lang w:val="fr-FR"/>
        </w:rPr>
        <w:t>d’action</w:t>
      </w:r>
      <w:r w:rsidRPr="00403C55">
        <w:rPr>
          <w:rFonts w:ascii="Times New Roman" w:hAnsi="Times New Roman" w:cs="Times New Roman"/>
          <w:lang w:val="fr-FR"/>
        </w:rPr>
        <w:t>/de gestion suivants :</w:t>
      </w:r>
      <w:r w:rsidR="00985A4E">
        <w:rPr>
          <w:rFonts w:ascii="Times New Roman" w:hAnsi="Times New Roman" w:cs="Times New Roman"/>
          <w:lang w:val="fr-FR"/>
        </w:rPr>
        <w:t xml:space="preserve"> </w:t>
      </w:r>
    </w:p>
    <w:p w14:paraId="25064B88" w14:textId="77777777" w:rsidR="00346FDB" w:rsidRPr="00403C55" w:rsidRDefault="00346FDB" w:rsidP="00D17ADD">
      <w:pPr>
        <w:spacing w:after="0" w:line="240" w:lineRule="auto"/>
        <w:jc w:val="both"/>
        <w:rPr>
          <w:rFonts w:ascii="Times New Roman" w:hAnsi="Times New Roman" w:cs="Times New Roman"/>
          <w:lang w:val="fr-FR"/>
        </w:rPr>
      </w:pPr>
    </w:p>
    <w:p w14:paraId="5686FB9E" w14:textId="749BA5D5" w:rsidR="00C92BB4"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Ibis chauve (</w:t>
      </w:r>
      <w:r w:rsidRPr="00870983">
        <w:rPr>
          <w:rFonts w:ascii="Times New Roman" w:hAnsi="Times New Roman" w:cs="Times New Roman"/>
          <w:i/>
          <w:lang w:val="fr-FR"/>
        </w:rPr>
        <w:t>Geronticus eremita</w:t>
      </w:r>
      <w:r w:rsidRPr="00403C55">
        <w:rPr>
          <w:rFonts w:ascii="Times New Roman" w:hAnsi="Times New Roman" w:cs="Times New Roman"/>
          <w:lang w:val="fr-FR"/>
        </w:rPr>
        <w:t>)</w:t>
      </w:r>
    </w:p>
    <w:p w14:paraId="41A61D33" w14:textId="756456B0" w:rsidR="00C92BB4"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Flamant nain (</w:t>
      </w:r>
      <w:r w:rsidRPr="00870983">
        <w:rPr>
          <w:rFonts w:ascii="Times New Roman" w:hAnsi="Times New Roman" w:cs="Times New Roman"/>
          <w:i/>
          <w:lang w:val="fr-FR"/>
        </w:rPr>
        <w:t>Phoeniconaias minor</w:t>
      </w:r>
      <w:r w:rsidRPr="00403C55">
        <w:rPr>
          <w:rFonts w:ascii="Times New Roman" w:hAnsi="Times New Roman" w:cs="Times New Roman"/>
          <w:lang w:val="fr-FR"/>
        </w:rPr>
        <w:t>)</w:t>
      </w:r>
      <w:r w:rsidR="00985A4E">
        <w:rPr>
          <w:rFonts w:ascii="Times New Roman" w:hAnsi="Times New Roman" w:cs="Times New Roman"/>
          <w:i/>
          <w:lang w:val="fr-FR"/>
        </w:rPr>
        <w:t xml:space="preserve"> </w:t>
      </w:r>
    </w:p>
    <w:p w14:paraId="47B8F2C9" w14:textId="4B1B5E40" w:rsidR="00C92BB4"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Cygne de Bewick (</w:t>
      </w:r>
      <w:r w:rsidRPr="00870983">
        <w:rPr>
          <w:rFonts w:ascii="Times New Roman" w:hAnsi="Times New Roman" w:cs="Times New Roman"/>
          <w:i/>
          <w:lang w:val="fr-FR"/>
        </w:rPr>
        <w:t>Cygnus columbianus bewickii</w:t>
      </w:r>
      <w:r w:rsidRPr="00403C55">
        <w:rPr>
          <w:rFonts w:ascii="Times New Roman" w:hAnsi="Times New Roman" w:cs="Times New Roman"/>
          <w:lang w:val="fr-FR"/>
        </w:rPr>
        <w:t>)</w:t>
      </w:r>
    </w:p>
    <w:p w14:paraId="1A7E4FA9" w14:textId="191919EA" w:rsidR="00C92BB4"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Oie à bec court (</w:t>
      </w:r>
      <w:r w:rsidRPr="00870983">
        <w:rPr>
          <w:rFonts w:ascii="Times New Roman" w:hAnsi="Times New Roman" w:cs="Times New Roman"/>
          <w:i/>
          <w:lang w:val="fr-FR"/>
        </w:rPr>
        <w:t>Anser brachyrhynchus</w:t>
      </w:r>
      <w:r w:rsidRPr="00403C55">
        <w:rPr>
          <w:rFonts w:ascii="Times New Roman" w:hAnsi="Times New Roman" w:cs="Times New Roman"/>
          <w:lang w:val="fr-FR"/>
        </w:rPr>
        <w:t>)</w:t>
      </w:r>
    </w:p>
    <w:p w14:paraId="680649D0" w14:textId="76A6F11C" w:rsidR="00C92BB4"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Oie rieuse du Groenland (</w:t>
      </w:r>
      <w:r w:rsidRPr="00870983">
        <w:rPr>
          <w:rFonts w:ascii="Times New Roman" w:hAnsi="Times New Roman" w:cs="Times New Roman"/>
          <w:i/>
          <w:lang w:val="fr-FR"/>
        </w:rPr>
        <w:t>Anser albifrons flavirostris</w:t>
      </w:r>
      <w:r w:rsidRPr="00403C55">
        <w:rPr>
          <w:rFonts w:ascii="Times New Roman" w:hAnsi="Times New Roman" w:cs="Times New Roman"/>
          <w:lang w:val="fr-FR"/>
        </w:rPr>
        <w:t>)</w:t>
      </w:r>
    </w:p>
    <w:p w14:paraId="4D342B4F" w14:textId="36CF0BBA" w:rsidR="00346FDB"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Oie naine (</w:t>
      </w:r>
      <w:r w:rsidRPr="00870983">
        <w:rPr>
          <w:rFonts w:ascii="Times New Roman" w:hAnsi="Times New Roman" w:cs="Times New Roman"/>
          <w:i/>
          <w:lang w:val="fr-FR"/>
        </w:rPr>
        <w:t>Anser erythropus</w:t>
      </w:r>
      <w:r w:rsidRPr="00403C55">
        <w:rPr>
          <w:rFonts w:ascii="Times New Roman" w:hAnsi="Times New Roman" w:cs="Times New Roman"/>
          <w:lang w:val="fr-FR"/>
        </w:rPr>
        <w:t>)</w:t>
      </w:r>
      <w:r w:rsidR="00346FDB" w:rsidRPr="00403C55">
        <w:rPr>
          <w:rFonts w:ascii="Times New Roman" w:hAnsi="Times New Roman" w:cs="Times New Roman"/>
          <w:lang w:val="fr-FR"/>
        </w:rPr>
        <w:t xml:space="preserve"> </w:t>
      </w:r>
    </w:p>
    <w:p w14:paraId="3B07B70B" w14:textId="18F614E5" w:rsidR="00C92BB4"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Bernache à cou roux (</w:t>
      </w:r>
      <w:r w:rsidRPr="00870983">
        <w:rPr>
          <w:rFonts w:ascii="Times New Roman" w:hAnsi="Times New Roman" w:cs="Times New Roman"/>
          <w:i/>
          <w:lang w:val="fr-FR"/>
        </w:rPr>
        <w:t>Branta ruficollis</w:t>
      </w:r>
      <w:r w:rsidRPr="00403C55">
        <w:rPr>
          <w:rFonts w:ascii="Times New Roman" w:hAnsi="Times New Roman" w:cs="Times New Roman"/>
          <w:lang w:val="fr-FR"/>
        </w:rPr>
        <w:t>)</w:t>
      </w:r>
    </w:p>
    <w:p w14:paraId="293D9BB6" w14:textId="2850D3D9" w:rsidR="00346FDB"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Vanneau sociable (</w:t>
      </w:r>
      <w:r w:rsidRPr="00870983">
        <w:rPr>
          <w:rFonts w:ascii="Times New Roman" w:hAnsi="Times New Roman" w:cs="Times New Roman"/>
          <w:i/>
          <w:lang w:val="fr-FR"/>
        </w:rPr>
        <w:t>Vanellus gregarius</w:t>
      </w:r>
      <w:r w:rsidRPr="00403C55">
        <w:rPr>
          <w:rFonts w:ascii="Times New Roman" w:hAnsi="Times New Roman" w:cs="Times New Roman"/>
          <w:lang w:val="fr-FR"/>
        </w:rPr>
        <w:t>)</w:t>
      </w:r>
      <w:r w:rsidR="00346FDB" w:rsidRPr="00403C55">
        <w:rPr>
          <w:rFonts w:ascii="Times New Roman" w:hAnsi="Times New Roman" w:cs="Times New Roman"/>
          <w:lang w:val="fr-FR"/>
        </w:rPr>
        <w:tab/>
        <w:t xml:space="preserve"> </w:t>
      </w:r>
      <w:r w:rsidR="00346FDB" w:rsidRPr="00403C55">
        <w:rPr>
          <w:rFonts w:ascii="Times New Roman" w:hAnsi="Times New Roman" w:cs="Times New Roman"/>
          <w:lang w:val="fr-FR"/>
        </w:rPr>
        <w:tab/>
      </w:r>
      <w:r w:rsidR="00346FDB" w:rsidRPr="00403C55">
        <w:rPr>
          <w:rFonts w:ascii="Times New Roman" w:hAnsi="Times New Roman" w:cs="Times New Roman"/>
          <w:i/>
          <w:lang w:val="fr-FR"/>
        </w:rPr>
        <w:t xml:space="preserve"> </w:t>
      </w:r>
    </w:p>
    <w:p w14:paraId="4836D580" w14:textId="4824E5AE" w:rsidR="00346FDB" w:rsidRPr="00403C55" w:rsidRDefault="00C23615" w:rsidP="00346FDB">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 </w:t>
      </w:r>
    </w:p>
    <w:p w14:paraId="2EBE785A" w14:textId="5464E749" w:rsidR="00CF48DA" w:rsidRPr="00403C55" w:rsidRDefault="00996EBD" w:rsidP="00CF48D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Plans </w:t>
      </w:r>
      <w:r w:rsidR="0003562F">
        <w:rPr>
          <w:rFonts w:ascii="Times New Roman" w:hAnsi="Times New Roman" w:cs="Times New Roman"/>
          <w:lang w:val="fr-FR"/>
        </w:rPr>
        <w:t>d’action</w:t>
      </w:r>
      <w:r w:rsidRPr="00403C55">
        <w:rPr>
          <w:rFonts w:ascii="Times New Roman" w:hAnsi="Times New Roman" w:cs="Times New Roman"/>
          <w:lang w:val="fr-FR"/>
        </w:rPr>
        <w:t xml:space="preserve"> exclus de l’étude sur la base d’un taux de réponse trop faible/inexistant :</w:t>
      </w:r>
    </w:p>
    <w:p w14:paraId="36757120" w14:textId="77777777" w:rsidR="00CF48DA" w:rsidRPr="00403C55" w:rsidRDefault="00CF48DA" w:rsidP="00CF48DA">
      <w:pPr>
        <w:spacing w:after="0" w:line="240" w:lineRule="auto"/>
        <w:jc w:val="both"/>
        <w:rPr>
          <w:rFonts w:ascii="Times New Roman" w:hAnsi="Times New Roman" w:cs="Times New Roman"/>
          <w:lang w:val="fr-FR"/>
        </w:rPr>
      </w:pPr>
    </w:p>
    <w:p w14:paraId="4D318F6A" w14:textId="6D32D515" w:rsidR="00AC09AE"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Crabier blanc (</w:t>
      </w:r>
      <w:r w:rsidRPr="00870983">
        <w:rPr>
          <w:rFonts w:ascii="Times New Roman" w:hAnsi="Times New Roman" w:cs="Times New Roman"/>
          <w:i/>
          <w:lang w:val="fr-FR"/>
        </w:rPr>
        <w:t>Ardeola idae</w:t>
      </w:r>
      <w:r w:rsidRPr="00403C55">
        <w:rPr>
          <w:rFonts w:ascii="Times New Roman" w:hAnsi="Times New Roman" w:cs="Times New Roman"/>
          <w:lang w:val="fr-FR"/>
        </w:rPr>
        <w:t>)</w:t>
      </w:r>
    </w:p>
    <w:p w14:paraId="2058E564" w14:textId="027664CA" w:rsidR="00AC09AE"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Spatule blanche (</w:t>
      </w:r>
      <w:r w:rsidRPr="00870983">
        <w:rPr>
          <w:rFonts w:ascii="Times New Roman" w:hAnsi="Times New Roman" w:cs="Times New Roman"/>
          <w:i/>
          <w:lang w:val="fr-FR"/>
        </w:rPr>
        <w:t>Platalea leucorodia</w:t>
      </w:r>
      <w:r w:rsidRPr="00403C55">
        <w:rPr>
          <w:rFonts w:ascii="Times New Roman" w:hAnsi="Times New Roman" w:cs="Times New Roman"/>
          <w:lang w:val="fr-FR"/>
        </w:rPr>
        <w:t>)</w:t>
      </w:r>
    </w:p>
    <w:p w14:paraId="78572684" w14:textId="4F7BED69" w:rsidR="00AC09AE"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Bernache à ventre pâle (</w:t>
      </w:r>
      <w:r w:rsidRPr="00870983">
        <w:rPr>
          <w:rFonts w:ascii="Times New Roman" w:hAnsi="Times New Roman" w:cs="Times New Roman"/>
          <w:i/>
          <w:lang w:val="fr-FR"/>
        </w:rPr>
        <w:t>Branta bernicla hrota</w:t>
      </w:r>
      <w:r w:rsidRPr="00403C55">
        <w:rPr>
          <w:rFonts w:ascii="Times New Roman" w:hAnsi="Times New Roman" w:cs="Times New Roman"/>
          <w:lang w:val="fr-FR"/>
        </w:rPr>
        <w:t>)</w:t>
      </w:r>
    </w:p>
    <w:p w14:paraId="7F7D12D7" w14:textId="6ED8AA1C" w:rsidR="00AC09AE"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Râle à miroir (</w:t>
      </w:r>
      <w:r w:rsidRPr="00870983">
        <w:rPr>
          <w:rFonts w:ascii="Times New Roman" w:hAnsi="Times New Roman" w:cs="Times New Roman"/>
          <w:i/>
          <w:lang w:val="fr-FR"/>
        </w:rPr>
        <w:t>Sarothrura ayresi</w:t>
      </w:r>
      <w:r w:rsidRPr="00403C55">
        <w:rPr>
          <w:rFonts w:ascii="Times New Roman" w:hAnsi="Times New Roman" w:cs="Times New Roman"/>
          <w:lang w:val="fr-FR"/>
        </w:rPr>
        <w:t>)</w:t>
      </w:r>
    </w:p>
    <w:p w14:paraId="615862BB" w14:textId="4E74BA81" w:rsidR="002368B3"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Barge à queue noire (</w:t>
      </w:r>
      <w:r w:rsidRPr="00870983">
        <w:rPr>
          <w:rFonts w:ascii="Times New Roman" w:hAnsi="Times New Roman" w:cs="Times New Roman"/>
          <w:i/>
          <w:lang w:val="fr-FR"/>
        </w:rPr>
        <w:t>Limosa limosa</w:t>
      </w:r>
      <w:r w:rsidRPr="00403C55">
        <w:rPr>
          <w:rFonts w:ascii="Times New Roman" w:hAnsi="Times New Roman" w:cs="Times New Roman"/>
          <w:lang w:val="fr-FR"/>
        </w:rPr>
        <w:t>)</w:t>
      </w:r>
    </w:p>
    <w:p w14:paraId="2F173DF1" w14:textId="77777777" w:rsidR="002368B3" w:rsidRPr="00403C55" w:rsidRDefault="002368B3" w:rsidP="002368B3">
      <w:pPr>
        <w:spacing w:after="0" w:line="240" w:lineRule="auto"/>
        <w:jc w:val="both"/>
        <w:rPr>
          <w:rFonts w:ascii="Times New Roman" w:hAnsi="Times New Roman" w:cs="Times New Roman"/>
          <w:i/>
          <w:lang w:val="fr-FR"/>
        </w:rPr>
      </w:pPr>
    </w:p>
    <w:p w14:paraId="7AA96B22" w14:textId="234395A0" w:rsidR="00A6279D" w:rsidRPr="00403C55" w:rsidRDefault="008F7800" w:rsidP="00D17A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6</w:t>
      </w:r>
      <w:r w:rsidR="00A6279D" w:rsidRPr="00403C55">
        <w:rPr>
          <w:rFonts w:ascii="Times New Roman" w:hAnsi="Times New Roman" w:cs="Times New Roman"/>
          <w:lang w:val="fr-FR"/>
        </w:rPr>
        <w:t xml:space="preserve">.2.3. </w:t>
      </w:r>
      <w:r w:rsidR="00996EBD" w:rsidRPr="00403C55">
        <w:rPr>
          <w:rFonts w:ascii="Times New Roman" w:hAnsi="Times New Roman" w:cs="Times New Roman"/>
          <w:i/>
          <w:lang w:val="fr-FR"/>
        </w:rPr>
        <w:t xml:space="preserve">Plans </w:t>
      </w:r>
      <w:r w:rsidR="0003562F">
        <w:rPr>
          <w:rFonts w:ascii="Times New Roman" w:hAnsi="Times New Roman" w:cs="Times New Roman"/>
          <w:i/>
          <w:lang w:val="fr-FR"/>
        </w:rPr>
        <w:t>d’action</w:t>
      </w:r>
      <w:r w:rsidR="00996EBD" w:rsidRPr="00403C55">
        <w:rPr>
          <w:rFonts w:ascii="Times New Roman" w:hAnsi="Times New Roman" w:cs="Times New Roman"/>
          <w:i/>
          <w:lang w:val="fr-FR"/>
        </w:rPr>
        <w:t xml:space="preserve"> </w:t>
      </w:r>
      <w:r w:rsidR="0003562F">
        <w:rPr>
          <w:rFonts w:ascii="Times New Roman" w:hAnsi="Times New Roman" w:cs="Times New Roman"/>
          <w:i/>
          <w:lang w:val="fr-FR"/>
        </w:rPr>
        <w:t>de l’AEWA</w:t>
      </w:r>
      <w:r w:rsidR="00996EBD" w:rsidRPr="00403C55">
        <w:rPr>
          <w:rFonts w:ascii="Times New Roman" w:hAnsi="Times New Roman" w:cs="Times New Roman"/>
          <w:i/>
          <w:lang w:val="fr-FR"/>
        </w:rPr>
        <w:t xml:space="preserve"> omis de l’étude </w:t>
      </w:r>
    </w:p>
    <w:p w14:paraId="507FFD2C" w14:textId="77777777" w:rsidR="00A6279D" w:rsidRPr="00403C55" w:rsidRDefault="00A6279D" w:rsidP="00D17ADD">
      <w:pPr>
        <w:spacing w:after="0" w:line="240" w:lineRule="auto"/>
        <w:jc w:val="both"/>
        <w:rPr>
          <w:rFonts w:ascii="Times New Roman" w:hAnsi="Times New Roman" w:cs="Times New Roman"/>
          <w:lang w:val="fr-FR"/>
        </w:rPr>
      </w:pPr>
    </w:p>
    <w:p w14:paraId="59206AB5" w14:textId="2A1031CA" w:rsidR="00BD7D09" w:rsidRPr="00403C55" w:rsidRDefault="00996EBD" w:rsidP="00D17A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suivants ont été omis de l’étude dès le début, du fait qu’il n’existait pas actuellement de mécanisme international de coordination pour les espèces dans le cadre </w:t>
      </w:r>
      <w:r w:rsidR="0003562F">
        <w:rPr>
          <w:rFonts w:ascii="Times New Roman" w:hAnsi="Times New Roman" w:cs="Times New Roman"/>
          <w:lang w:val="fr-FR"/>
        </w:rPr>
        <w:t>de l’AEWA</w:t>
      </w:r>
      <w:r w:rsidRPr="00403C55">
        <w:rPr>
          <w:rFonts w:ascii="Times New Roman" w:hAnsi="Times New Roman" w:cs="Times New Roman"/>
          <w:lang w:val="fr-FR"/>
        </w:rPr>
        <w:t>, et qu’il n’y avait donc pas de réseau direct auprès duquel des informations pouvaient être aisément recueillies :</w:t>
      </w:r>
      <w:r w:rsidR="00932F4D" w:rsidRPr="00403C55">
        <w:rPr>
          <w:rFonts w:ascii="Times New Roman" w:hAnsi="Times New Roman" w:cs="Times New Roman"/>
          <w:lang w:val="fr-FR"/>
        </w:rPr>
        <w:t xml:space="preserve"> </w:t>
      </w:r>
    </w:p>
    <w:p w14:paraId="4BAA86E8" w14:textId="77777777" w:rsidR="00346FDB" w:rsidRPr="00403C55" w:rsidRDefault="00346FDB" w:rsidP="00D17ADD">
      <w:pPr>
        <w:spacing w:after="0" w:line="240" w:lineRule="auto"/>
        <w:jc w:val="both"/>
        <w:rPr>
          <w:rFonts w:ascii="Times New Roman" w:hAnsi="Times New Roman" w:cs="Times New Roman"/>
          <w:lang w:val="fr-FR"/>
        </w:rPr>
      </w:pPr>
    </w:p>
    <w:p w14:paraId="73C711EF" w14:textId="2064980E" w:rsidR="00D35073" w:rsidRPr="00403C55" w:rsidRDefault="00870983" w:rsidP="003356B2">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Érismature</w:t>
      </w:r>
      <w:r w:rsidR="00996EBD" w:rsidRPr="00403C55">
        <w:rPr>
          <w:rFonts w:ascii="Times New Roman" w:hAnsi="Times New Roman" w:cs="Times New Roman"/>
          <w:lang w:val="fr-FR"/>
        </w:rPr>
        <w:t xml:space="preserve"> à tête blanche (</w:t>
      </w:r>
      <w:r w:rsidR="00996EBD" w:rsidRPr="00870983">
        <w:rPr>
          <w:rFonts w:ascii="Times New Roman" w:hAnsi="Times New Roman" w:cs="Times New Roman"/>
          <w:i/>
          <w:lang w:val="fr-FR"/>
        </w:rPr>
        <w:t>Oxyura leucocephala</w:t>
      </w:r>
      <w:r w:rsidR="00996EBD" w:rsidRPr="00403C55">
        <w:rPr>
          <w:rFonts w:ascii="Times New Roman" w:hAnsi="Times New Roman" w:cs="Times New Roman"/>
          <w:lang w:val="fr-FR"/>
        </w:rPr>
        <w:t>)</w:t>
      </w:r>
      <w:r w:rsidR="00346FDB" w:rsidRPr="00403C55">
        <w:rPr>
          <w:rFonts w:ascii="Times New Roman" w:hAnsi="Times New Roman" w:cs="Times New Roman"/>
          <w:lang w:val="fr-FR"/>
        </w:rPr>
        <w:tab/>
      </w:r>
    </w:p>
    <w:p w14:paraId="6806545C" w14:textId="2B988BB3" w:rsidR="00346FDB"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Érismature Maccoa (</w:t>
      </w:r>
      <w:r w:rsidRPr="00870983">
        <w:rPr>
          <w:rFonts w:ascii="Times New Roman" w:hAnsi="Times New Roman" w:cs="Times New Roman"/>
          <w:i/>
          <w:lang w:val="fr-FR"/>
        </w:rPr>
        <w:t>Oxyura maccoa</w:t>
      </w:r>
      <w:r w:rsidRPr="00403C55">
        <w:rPr>
          <w:rFonts w:ascii="Times New Roman" w:hAnsi="Times New Roman" w:cs="Times New Roman"/>
          <w:lang w:val="fr-FR"/>
        </w:rPr>
        <w:t>)</w:t>
      </w:r>
    </w:p>
    <w:p w14:paraId="1C0C8D1D" w14:textId="68059207" w:rsidR="00D35073"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Fuligule nyroca (</w:t>
      </w:r>
      <w:r w:rsidRPr="00870983">
        <w:rPr>
          <w:rFonts w:ascii="Times New Roman" w:hAnsi="Times New Roman" w:cs="Times New Roman"/>
          <w:i/>
          <w:lang w:val="fr-FR"/>
        </w:rPr>
        <w:t>Aythya nyroca</w:t>
      </w:r>
      <w:r w:rsidRPr="00403C55">
        <w:rPr>
          <w:rFonts w:ascii="Times New Roman" w:hAnsi="Times New Roman" w:cs="Times New Roman"/>
          <w:lang w:val="fr-FR"/>
        </w:rPr>
        <w:t>)</w:t>
      </w:r>
    </w:p>
    <w:p w14:paraId="55DF44B5" w14:textId="3B43F9EC" w:rsidR="00346FDB" w:rsidRPr="00403C55" w:rsidRDefault="00996EBD"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Râle des genêts (</w:t>
      </w:r>
      <w:r w:rsidRPr="00870983">
        <w:rPr>
          <w:rFonts w:ascii="Times New Roman" w:hAnsi="Times New Roman" w:cs="Times New Roman"/>
          <w:i/>
          <w:lang w:val="fr-FR"/>
        </w:rPr>
        <w:t>Crex crex</w:t>
      </w:r>
      <w:r w:rsidRPr="00403C55">
        <w:rPr>
          <w:rFonts w:ascii="Times New Roman" w:hAnsi="Times New Roman" w:cs="Times New Roman"/>
          <w:lang w:val="fr-FR"/>
        </w:rPr>
        <w:t>)</w:t>
      </w:r>
    </w:p>
    <w:p w14:paraId="695E3A90" w14:textId="2215944D" w:rsidR="00D35073" w:rsidRPr="00403C55" w:rsidRDefault="00D35073" w:rsidP="003356B2">
      <w:pPr>
        <w:pStyle w:val="ListParagraph"/>
        <w:numPr>
          <w:ilvl w:val="0"/>
          <w:numId w:val="3"/>
        </w:numPr>
        <w:spacing w:after="0" w:line="240" w:lineRule="auto"/>
        <w:jc w:val="both"/>
        <w:rPr>
          <w:rFonts w:ascii="Times New Roman" w:hAnsi="Times New Roman" w:cs="Times New Roman"/>
          <w:i/>
          <w:lang w:val="fr-FR"/>
        </w:rPr>
      </w:pPr>
      <w:r w:rsidRPr="00403C55">
        <w:rPr>
          <w:rFonts w:ascii="Times New Roman" w:hAnsi="Times New Roman" w:cs="Times New Roman"/>
          <w:lang w:val="fr-FR"/>
        </w:rPr>
        <w:t xml:space="preserve"> </w:t>
      </w:r>
      <w:r w:rsidR="00996EBD" w:rsidRPr="00403C55">
        <w:rPr>
          <w:rFonts w:ascii="Times New Roman" w:hAnsi="Times New Roman" w:cs="Times New Roman"/>
          <w:lang w:val="fr-FR"/>
        </w:rPr>
        <w:t>Glaréole à ailes noires (</w:t>
      </w:r>
      <w:r w:rsidR="00996EBD" w:rsidRPr="00870983">
        <w:rPr>
          <w:rFonts w:ascii="Times New Roman" w:hAnsi="Times New Roman" w:cs="Times New Roman"/>
          <w:i/>
          <w:lang w:val="fr-FR"/>
        </w:rPr>
        <w:t>Glareola nordmanni</w:t>
      </w:r>
      <w:r w:rsidR="00996EBD" w:rsidRPr="00403C55">
        <w:rPr>
          <w:rFonts w:ascii="Times New Roman" w:hAnsi="Times New Roman" w:cs="Times New Roman"/>
          <w:lang w:val="fr-FR"/>
        </w:rPr>
        <w:t>)</w:t>
      </w:r>
    </w:p>
    <w:p w14:paraId="661C6682" w14:textId="2B2953B0" w:rsidR="00346FDB" w:rsidRPr="00403C55" w:rsidRDefault="00996EBD" w:rsidP="003356B2">
      <w:pPr>
        <w:pStyle w:val="ListParagraph"/>
        <w:numPr>
          <w:ilvl w:val="0"/>
          <w:numId w:val="3"/>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Bécassine double (</w:t>
      </w:r>
      <w:r w:rsidRPr="00870983">
        <w:rPr>
          <w:rFonts w:ascii="Times New Roman" w:hAnsi="Times New Roman" w:cs="Times New Roman"/>
          <w:i/>
          <w:lang w:val="fr-FR"/>
        </w:rPr>
        <w:t>Gallinago media</w:t>
      </w:r>
      <w:r w:rsidRPr="00403C55">
        <w:rPr>
          <w:rFonts w:ascii="Times New Roman" w:hAnsi="Times New Roman" w:cs="Times New Roman"/>
          <w:lang w:val="fr-FR"/>
        </w:rPr>
        <w:t>)</w:t>
      </w:r>
    </w:p>
    <w:p w14:paraId="031FB128" w14:textId="3BA8B9E3" w:rsidR="00346FDB" w:rsidRPr="00403C55" w:rsidRDefault="00346FDB" w:rsidP="00346FDB">
      <w:pPr>
        <w:spacing w:after="0" w:line="240" w:lineRule="auto"/>
        <w:jc w:val="both"/>
        <w:rPr>
          <w:rFonts w:ascii="Times New Roman" w:hAnsi="Times New Roman" w:cs="Times New Roman"/>
          <w:i/>
          <w:lang w:val="fr-FR"/>
        </w:rPr>
      </w:pPr>
      <w:r w:rsidRPr="00403C55">
        <w:rPr>
          <w:rFonts w:ascii="Times New Roman" w:hAnsi="Times New Roman" w:cs="Times New Roman"/>
          <w:lang w:val="fr-FR"/>
        </w:rPr>
        <w:lastRenderedPageBreak/>
        <w:tab/>
      </w:r>
    </w:p>
    <w:p w14:paraId="21C6EAE6" w14:textId="50869FEB" w:rsidR="00932F4D" w:rsidRDefault="00996EBD" w:rsidP="00D17A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par espèce pour l’Aigrette vineuse </w:t>
      </w:r>
      <w:r w:rsidRPr="00403C55">
        <w:rPr>
          <w:rFonts w:ascii="Times New Roman" w:hAnsi="Times New Roman" w:cs="Times New Roman"/>
          <w:i/>
          <w:lang w:val="fr-FR"/>
        </w:rPr>
        <w:t>(Egretta vinaceigula)</w:t>
      </w:r>
      <w:r w:rsidRPr="00403C55">
        <w:rPr>
          <w:rFonts w:ascii="Times New Roman" w:hAnsi="Times New Roman" w:cs="Times New Roman"/>
          <w:lang w:val="fr-FR"/>
        </w:rPr>
        <w:t>, qui a été adopté lors de la 5</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Réunion des Parties à l’AEWA en 2012, a également été omis, car le groupe de travail international et les arrangements visant à sa coordination n’ont été établis qu’en 2014.</w:t>
      </w:r>
    </w:p>
    <w:p w14:paraId="6C2BBAE7" w14:textId="77777777" w:rsidR="00F45AF6" w:rsidRPr="00403C55" w:rsidRDefault="00F45AF6" w:rsidP="00D17ADD">
      <w:pPr>
        <w:spacing w:after="0" w:line="240" w:lineRule="auto"/>
        <w:jc w:val="both"/>
        <w:rPr>
          <w:rFonts w:ascii="Times New Roman" w:hAnsi="Times New Roman" w:cs="Times New Roman"/>
          <w:lang w:val="fr-FR"/>
        </w:rPr>
      </w:pPr>
    </w:p>
    <w:p w14:paraId="3B08B36C" w14:textId="3DC0C001" w:rsidR="002C4677" w:rsidRPr="00403C55" w:rsidRDefault="002C4677" w:rsidP="002C4677">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t xml:space="preserve">6.3. </w:t>
      </w:r>
      <w:r w:rsidR="00996EBD" w:rsidRPr="00403C55">
        <w:rPr>
          <w:rFonts w:ascii="Times New Roman" w:hAnsi="Times New Roman" w:cs="Times New Roman"/>
          <w:b/>
          <w:lang w:val="fr-FR"/>
        </w:rPr>
        <w:t>Vue d'ensemble des résultats de l’étude</w:t>
      </w:r>
    </w:p>
    <w:p w14:paraId="6C8CC66D" w14:textId="77777777" w:rsidR="002C4677" w:rsidRPr="00403C55" w:rsidRDefault="002C4677" w:rsidP="002C4677">
      <w:pPr>
        <w:spacing w:after="0" w:line="240" w:lineRule="auto"/>
        <w:jc w:val="both"/>
        <w:rPr>
          <w:rFonts w:ascii="Times New Roman" w:hAnsi="Times New Roman" w:cs="Times New Roman"/>
          <w:lang w:val="fr-FR"/>
        </w:rPr>
      </w:pPr>
    </w:p>
    <w:p w14:paraId="5EDD7905" w14:textId="5AFEDA9C" w:rsidR="005638E2" w:rsidRPr="00403C55" w:rsidRDefault="00996EBD"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Une vue d'ensemble des progrès réalisés dans la mise en œuvre </w:t>
      </w:r>
      <w:r w:rsidR="00691333" w:rsidRPr="00403C55">
        <w:rPr>
          <w:rFonts w:ascii="Times New Roman" w:hAnsi="Times New Roman" w:cs="Times New Roman"/>
          <w:lang w:val="fr-FR"/>
        </w:rPr>
        <w:t>d</w:t>
      </w:r>
      <w:r w:rsidRPr="00403C55">
        <w:rPr>
          <w:rFonts w:ascii="Times New Roman" w:hAnsi="Times New Roman" w:cs="Times New Roman"/>
          <w:lang w:val="fr-FR"/>
        </w:rPr>
        <w:t xml:space="preserve">es sept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par espèce et </w:t>
      </w:r>
      <w:r w:rsidR="00691333" w:rsidRPr="00403C55">
        <w:rPr>
          <w:rFonts w:ascii="Times New Roman" w:hAnsi="Times New Roman" w:cs="Times New Roman"/>
          <w:lang w:val="fr-FR"/>
        </w:rPr>
        <w:t>d</w:t>
      </w:r>
      <w:r w:rsidRPr="00403C55">
        <w:rPr>
          <w:rFonts w:ascii="Times New Roman" w:hAnsi="Times New Roman" w:cs="Times New Roman"/>
          <w:lang w:val="fr-FR"/>
        </w:rPr>
        <w:t xml:space="preserve">u plan de gestion international par espèce </w:t>
      </w:r>
      <w:r w:rsidR="00691333" w:rsidRPr="00403C55">
        <w:rPr>
          <w:rFonts w:ascii="Times New Roman" w:hAnsi="Times New Roman" w:cs="Times New Roman"/>
          <w:lang w:val="fr-FR"/>
        </w:rPr>
        <w:t>inclus dans l’étude est présentée au</w:t>
      </w:r>
      <w:r w:rsidRPr="00403C55">
        <w:rPr>
          <w:rFonts w:ascii="Times New Roman" w:hAnsi="Times New Roman" w:cs="Times New Roman"/>
          <w:lang w:val="fr-FR"/>
        </w:rPr>
        <w:t xml:space="preserve"> </w:t>
      </w:r>
      <w:r w:rsidR="00691333" w:rsidRPr="00403C55">
        <w:rPr>
          <w:rFonts w:ascii="Times New Roman" w:hAnsi="Times New Roman" w:cs="Times New Roman"/>
          <w:lang w:val="fr-FR"/>
        </w:rPr>
        <w:t>t</w:t>
      </w:r>
      <w:r w:rsidRPr="00403C55">
        <w:rPr>
          <w:rFonts w:ascii="Times New Roman" w:hAnsi="Times New Roman" w:cs="Times New Roman"/>
          <w:lang w:val="fr-FR"/>
        </w:rPr>
        <w:t>able</w:t>
      </w:r>
      <w:r w:rsidR="00691333" w:rsidRPr="00403C55">
        <w:rPr>
          <w:rFonts w:ascii="Times New Roman" w:hAnsi="Times New Roman" w:cs="Times New Roman"/>
          <w:lang w:val="fr-FR"/>
        </w:rPr>
        <w:t>au</w:t>
      </w:r>
      <w:r w:rsidRPr="00403C55">
        <w:rPr>
          <w:rFonts w:ascii="Times New Roman" w:hAnsi="Times New Roman" w:cs="Times New Roman"/>
          <w:lang w:val="fr-FR"/>
        </w:rPr>
        <w:t xml:space="preserve"> 5 </w:t>
      </w:r>
      <w:r w:rsidR="00691333" w:rsidRPr="00403C55">
        <w:rPr>
          <w:rFonts w:ascii="Times New Roman" w:hAnsi="Times New Roman" w:cs="Times New Roman"/>
          <w:lang w:val="fr-FR"/>
        </w:rPr>
        <w:t>ci-dessous</w:t>
      </w:r>
      <w:r w:rsidRPr="00403C55">
        <w:rPr>
          <w:rFonts w:ascii="Times New Roman" w:hAnsi="Times New Roman" w:cs="Times New Roman"/>
          <w:lang w:val="fr-FR"/>
        </w:rPr>
        <w:t>.</w:t>
      </w:r>
      <w:r w:rsidR="002C4677" w:rsidRPr="00403C55">
        <w:rPr>
          <w:rFonts w:ascii="Times New Roman" w:hAnsi="Times New Roman" w:cs="Times New Roman"/>
          <w:lang w:val="fr-FR"/>
        </w:rPr>
        <w:t xml:space="preserve"> </w:t>
      </w:r>
      <w:r w:rsidR="00691333" w:rsidRPr="00403C55">
        <w:rPr>
          <w:rFonts w:ascii="Times New Roman" w:hAnsi="Times New Roman" w:cs="Times New Roman"/>
          <w:lang w:val="fr-FR"/>
        </w:rPr>
        <w:t>Ont été inclus :</w:t>
      </w:r>
    </w:p>
    <w:p w14:paraId="3B83B7FE" w14:textId="77777777" w:rsidR="005638E2" w:rsidRPr="00403C55" w:rsidRDefault="005638E2" w:rsidP="002C4677">
      <w:pPr>
        <w:spacing w:after="0" w:line="240" w:lineRule="auto"/>
        <w:jc w:val="both"/>
        <w:rPr>
          <w:rFonts w:ascii="Times New Roman" w:hAnsi="Times New Roman" w:cs="Times New Roman"/>
          <w:lang w:val="fr-FR"/>
        </w:rPr>
      </w:pPr>
    </w:p>
    <w:p w14:paraId="5196FDBF" w14:textId="173E4BC6" w:rsidR="00E6145E"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w:t>
      </w:r>
      <w:r w:rsidRPr="00403C55">
        <w:rPr>
          <w:rFonts w:ascii="Times New Roman" w:hAnsi="Times New Roman" w:cs="Times New Roman"/>
          <w:b/>
          <w:lang w:val="fr-FR"/>
        </w:rPr>
        <w:t>taux général de réponse</w:t>
      </w:r>
      <w:r w:rsidRPr="00403C55">
        <w:rPr>
          <w:rFonts w:ascii="Times New Roman" w:hAnsi="Times New Roman" w:cs="Times New Roman"/>
          <w:lang w:val="fr-FR"/>
        </w:rPr>
        <w:t>, c’est-à-dire combien d’</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principaux parmi le nombre total identifié dans les réponses soumises pour les plans </w:t>
      </w:r>
      <w:r w:rsidR="0003562F">
        <w:rPr>
          <w:rFonts w:ascii="Times New Roman" w:hAnsi="Times New Roman" w:cs="Times New Roman"/>
          <w:lang w:val="fr-FR"/>
        </w:rPr>
        <w:t>d’action</w:t>
      </w:r>
      <w:r w:rsidRPr="00403C55">
        <w:rPr>
          <w:rFonts w:ascii="Times New Roman" w:hAnsi="Times New Roman" w:cs="Times New Roman"/>
          <w:lang w:val="fr-FR"/>
        </w:rPr>
        <w:t>/de gestion, dans le format requis et avant la date limite ;</w:t>
      </w:r>
    </w:p>
    <w:p w14:paraId="43EAE538" w14:textId="77777777" w:rsidR="00270370" w:rsidRPr="00403C55" w:rsidRDefault="00270370" w:rsidP="00270370">
      <w:pPr>
        <w:pStyle w:val="ListParagraph"/>
        <w:spacing w:after="0" w:line="240" w:lineRule="auto"/>
        <w:jc w:val="both"/>
        <w:rPr>
          <w:rFonts w:ascii="Times New Roman" w:hAnsi="Times New Roman" w:cs="Times New Roman"/>
          <w:lang w:val="fr-FR"/>
        </w:rPr>
      </w:pPr>
    </w:p>
    <w:p w14:paraId="6E43C7CA" w14:textId="76670780" w:rsidR="00E6145E"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b/>
          <w:lang w:val="fr-FR"/>
        </w:rPr>
        <w:t xml:space="preserve">Depuis combien d’années le plan </w:t>
      </w:r>
      <w:r w:rsidR="0003562F">
        <w:rPr>
          <w:rFonts w:ascii="Times New Roman" w:hAnsi="Times New Roman" w:cs="Times New Roman"/>
          <w:b/>
          <w:lang w:val="fr-FR"/>
        </w:rPr>
        <w:t>d’action</w:t>
      </w:r>
      <w:r w:rsidRPr="00403C55">
        <w:rPr>
          <w:rFonts w:ascii="Times New Roman" w:hAnsi="Times New Roman" w:cs="Times New Roman"/>
          <w:b/>
          <w:lang w:val="fr-FR"/>
        </w:rPr>
        <w:t xml:space="preserve">/de gestion est en vigueur </w:t>
      </w:r>
      <w:r w:rsidRPr="00403C55">
        <w:rPr>
          <w:rFonts w:ascii="Times New Roman" w:hAnsi="Times New Roman" w:cs="Times New Roman"/>
          <w:lang w:val="fr-FR"/>
        </w:rPr>
        <w:t>suite à son adoption par la MOP ;</w:t>
      </w:r>
    </w:p>
    <w:p w14:paraId="2568684B" w14:textId="77777777" w:rsidR="00270370" w:rsidRPr="00403C55" w:rsidRDefault="00270370" w:rsidP="00270370">
      <w:pPr>
        <w:spacing w:after="0" w:line="240" w:lineRule="auto"/>
        <w:jc w:val="both"/>
        <w:rPr>
          <w:rFonts w:ascii="Times New Roman" w:hAnsi="Times New Roman" w:cs="Times New Roman"/>
          <w:lang w:val="fr-FR"/>
        </w:rPr>
      </w:pPr>
    </w:p>
    <w:p w14:paraId="21A6FB9D" w14:textId="5B96FC12" w:rsidR="00E6145E"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w:t>
      </w:r>
      <w:r w:rsidR="00870983">
        <w:rPr>
          <w:rFonts w:ascii="Times New Roman" w:hAnsi="Times New Roman" w:cs="Times New Roman"/>
          <w:lang w:val="fr-FR"/>
        </w:rPr>
        <w:t>’éventualité d’un changement de</w:t>
      </w:r>
      <w:r w:rsidRPr="00403C55">
        <w:rPr>
          <w:rFonts w:ascii="Times New Roman" w:hAnsi="Times New Roman" w:cs="Times New Roman"/>
          <w:lang w:val="fr-FR"/>
        </w:rPr>
        <w:t xml:space="preserve"> </w:t>
      </w:r>
      <w:r w:rsidR="005C4FD0">
        <w:rPr>
          <w:rFonts w:ascii="Times New Roman" w:hAnsi="Times New Roman" w:cs="Times New Roman"/>
          <w:lang w:val="fr-FR"/>
        </w:rPr>
        <w:t xml:space="preserve">classement </w:t>
      </w:r>
      <w:r w:rsidR="000A1F2D">
        <w:rPr>
          <w:rFonts w:ascii="Times New Roman" w:hAnsi="Times New Roman" w:cs="Times New Roman"/>
          <w:lang w:val="fr-FR"/>
        </w:rPr>
        <w:t>d’une</w:t>
      </w:r>
      <w:r w:rsidRPr="00403C55">
        <w:rPr>
          <w:rFonts w:ascii="Times New Roman" w:hAnsi="Times New Roman" w:cs="Times New Roman"/>
          <w:lang w:val="fr-FR"/>
        </w:rPr>
        <w:t xml:space="preserve"> espèce </w:t>
      </w:r>
      <w:r w:rsidR="000A1F2D">
        <w:rPr>
          <w:rFonts w:ascii="Times New Roman" w:hAnsi="Times New Roman" w:cs="Times New Roman"/>
          <w:lang w:val="fr-FR"/>
        </w:rPr>
        <w:t>sur</w:t>
      </w:r>
      <w:r w:rsidRPr="00403C55">
        <w:rPr>
          <w:rFonts w:ascii="Times New Roman" w:hAnsi="Times New Roman" w:cs="Times New Roman"/>
          <w:lang w:val="fr-FR"/>
        </w:rPr>
        <w:t xml:space="preserve"> la Liste rouge de l’UICN depuis le début de la mise en œuvre du plan </w:t>
      </w:r>
      <w:r w:rsidR="0003562F">
        <w:rPr>
          <w:rFonts w:ascii="Times New Roman" w:hAnsi="Times New Roman" w:cs="Times New Roman"/>
          <w:lang w:val="fr-FR"/>
        </w:rPr>
        <w:t>d’action</w:t>
      </w:r>
      <w:r w:rsidRPr="00403C55">
        <w:rPr>
          <w:rFonts w:ascii="Times New Roman" w:hAnsi="Times New Roman" w:cs="Times New Roman"/>
          <w:lang w:val="fr-FR"/>
        </w:rPr>
        <w:t>/de gestion</w:t>
      </w:r>
      <w:r w:rsidR="005C4FD0">
        <w:rPr>
          <w:rFonts w:ascii="Times New Roman" w:hAnsi="Times New Roman" w:cs="Times New Roman"/>
          <w:lang w:val="fr-FR"/>
        </w:rPr>
        <w:t xml:space="preserve"> – où il convient de noter que les changements dans l’état de conservation sont le résultat d’un processus très lent</w:t>
      </w:r>
      <w:r w:rsidRPr="00403C55">
        <w:rPr>
          <w:rFonts w:ascii="Times New Roman" w:hAnsi="Times New Roman" w:cs="Times New Roman"/>
          <w:lang w:val="fr-FR"/>
        </w:rPr>
        <w:t xml:space="preserve"> ;</w:t>
      </w:r>
    </w:p>
    <w:p w14:paraId="530BD476" w14:textId="77777777" w:rsidR="00270370" w:rsidRPr="00403C55" w:rsidRDefault="00270370" w:rsidP="00270370">
      <w:pPr>
        <w:spacing w:after="0" w:line="240" w:lineRule="auto"/>
        <w:jc w:val="both"/>
        <w:rPr>
          <w:rFonts w:ascii="Times New Roman" w:hAnsi="Times New Roman" w:cs="Times New Roman"/>
          <w:lang w:val="fr-FR"/>
        </w:rPr>
      </w:pPr>
    </w:p>
    <w:p w14:paraId="78BD993A" w14:textId="693A6404" w:rsidR="002319E2"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/de gestion pour lesquels des </w:t>
      </w:r>
      <w:r w:rsidRPr="00403C55">
        <w:rPr>
          <w:rFonts w:ascii="Times New Roman" w:hAnsi="Times New Roman" w:cs="Times New Roman"/>
          <w:b/>
          <w:lang w:val="fr-FR"/>
        </w:rPr>
        <w:t xml:space="preserve">groupes de travail ou d’experts internationaux des espèces </w:t>
      </w:r>
      <w:r w:rsidR="0003562F">
        <w:rPr>
          <w:rFonts w:ascii="Times New Roman" w:hAnsi="Times New Roman" w:cs="Times New Roman"/>
          <w:b/>
          <w:lang w:val="fr-FR"/>
        </w:rPr>
        <w:t>de l’AEWA</w:t>
      </w:r>
      <w:r w:rsidRPr="00403C55">
        <w:rPr>
          <w:rFonts w:ascii="Times New Roman" w:hAnsi="Times New Roman" w:cs="Times New Roman"/>
          <w:b/>
          <w:lang w:val="fr-FR"/>
        </w:rPr>
        <w:t xml:space="preserve"> </w:t>
      </w:r>
      <w:r w:rsidRPr="00403C55">
        <w:rPr>
          <w:rFonts w:ascii="Times New Roman" w:hAnsi="Times New Roman" w:cs="Times New Roman"/>
          <w:lang w:val="fr-FR"/>
        </w:rPr>
        <w:t>ont été établis et/ou pour lesquels une coordination internationale est actuellement fournie sous la forme d’un coordinateur ;</w:t>
      </w:r>
    </w:p>
    <w:p w14:paraId="150B20F5" w14:textId="77777777" w:rsidR="002319E2" w:rsidRPr="00403C55" w:rsidRDefault="002319E2" w:rsidP="002319E2">
      <w:pPr>
        <w:pStyle w:val="ListParagraph"/>
        <w:rPr>
          <w:rFonts w:ascii="Times New Roman" w:hAnsi="Times New Roman" w:cs="Times New Roman"/>
          <w:lang w:val="fr-FR"/>
        </w:rPr>
      </w:pPr>
    </w:p>
    <w:p w14:paraId="20AB9337" w14:textId="0665404A" w:rsidR="002319E2"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Le pourcentage d</w:t>
      </w:r>
      <w:r w:rsidR="00A23749">
        <w:rPr>
          <w:rFonts w:ascii="Times New Roman" w:hAnsi="Times New Roman" w:cs="Times New Roman"/>
          <w:lang w:val="fr-FR"/>
        </w:rPr>
        <w:t>’</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qui ont adopté </w:t>
      </w:r>
      <w:r w:rsidR="0059229B" w:rsidRPr="00403C55">
        <w:rPr>
          <w:rFonts w:ascii="Times New Roman" w:hAnsi="Times New Roman" w:cs="Times New Roman"/>
          <w:lang w:val="fr-FR"/>
        </w:rPr>
        <w:t>d</w:t>
      </w:r>
      <w:r w:rsidRPr="00403C55">
        <w:rPr>
          <w:rFonts w:ascii="Times New Roman" w:hAnsi="Times New Roman" w:cs="Times New Roman"/>
          <w:lang w:val="fr-FR"/>
        </w:rPr>
        <w:t xml:space="preserve">es </w:t>
      </w:r>
      <w:r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Pr="00403C55">
        <w:rPr>
          <w:rFonts w:ascii="Times New Roman" w:hAnsi="Times New Roman" w:cs="Times New Roman"/>
          <w:b/>
          <w:lang w:val="fr-FR"/>
        </w:rPr>
        <w:t>/de gestion</w:t>
      </w:r>
      <w:r w:rsidRPr="00403C55">
        <w:rPr>
          <w:rFonts w:ascii="Times New Roman" w:hAnsi="Times New Roman" w:cs="Times New Roman"/>
          <w:lang w:val="fr-FR"/>
        </w:rPr>
        <w:t xml:space="preserve"> n</w:t>
      </w:r>
      <w:r w:rsidRPr="00403C55">
        <w:rPr>
          <w:rFonts w:ascii="Times New Roman" w:hAnsi="Times New Roman" w:cs="Times New Roman"/>
          <w:b/>
          <w:lang w:val="fr-FR"/>
        </w:rPr>
        <w:t>ationaux</w:t>
      </w:r>
      <w:r w:rsidRPr="00403C55">
        <w:rPr>
          <w:rFonts w:ascii="Times New Roman" w:hAnsi="Times New Roman" w:cs="Times New Roman"/>
          <w:lang w:val="fr-FR"/>
        </w:rPr>
        <w:t xml:space="preserve"> pour les espèces ;</w:t>
      </w:r>
    </w:p>
    <w:p w14:paraId="1E380CC8" w14:textId="77777777" w:rsidR="002319E2" w:rsidRPr="00403C55" w:rsidRDefault="002319E2" w:rsidP="002319E2">
      <w:pPr>
        <w:spacing w:after="0" w:line="240" w:lineRule="auto"/>
        <w:jc w:val="both"/>
        <w:rPr>
          <w:rFonts w:ascii="Times New Roman" w:hAnsi="Times New Roman" w:cs="Times New Roman"/>
          <w:lang w:val="fr-FR"/>
        </w:rPr>
      </w:pPr>
    </w:p>
    <w:p w14:paraId="68E0D9A9" w14:textId="246C508B" w:rsidR="002319E2"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Le pourcentage d</w:t>
      </w:r>
      <w:r w:rsidR="00A23749">
        <w:rPr>
          <w:rFonts w:ascii="Times New Roman" w:hAnsi="Times New Roman" w:cs="Times New Roman"/>
          <w:lang w:val="fr-FR"/>
        </w:rPr>
        <w:t>’</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qui ont établi des </w:t>
      </w:r>
      <w:r w:rsidRPr="00403C55">
        <w:rPr>
          <w:rFonts w:ascii="Times New Roman" w:hAnsi="Times New Roman" w:cs="Times New Roman"/>
          <w:b/>
          <w:lang w:val="fr-FR"/>
        </w:rPr>
        <w:t xml:space="preserve">groupes de travail nationaux </w:t>
      </w:r>
      <w:r w:rsidRPr="00403C55">
        <w:rPr>
          <w:rFonts w:ascii="Times New Roman" w:hAnsi="Times New Roman" w:cs="Times New Roman"/>
          <w:lang w:val="fr-FR"/>
        </w:rPr>
        <w:t>pour les espèces ;</w:t>
      </w:r>
    </w:p>
    <w:p w14:paraId="1CAC42AE" w14:textId="77777777" w:rsidR="002319E2" w:rsidRPr="00403C55" w:rsidRDefault="002319E2" w:rsidP="002319E2">
      <w:pPr>
        <w:pStyle w:val="ListParagraph"/>
        <w:rPr>
          <w:rFonts w:ascii="Times New Roman" w:hAnsi="Times New Roman" w:cs="Times New Roman"/>
          <w:lang w:val="fr-FR"/>
        </w:rPr>
      </w:pPr>
    </w:p>
    <w:p w14:paraId="3B6E9CFB" w14:textId="15027260" w:rsidR="000C523C" w:rsidRPr="00403C55" w:rsidRDefault="00691333" w:rsidP="003356B2">
      <w:pPr>
        <w:pStyle w:val="ListParagraph"/>
        <w:numPr>
          <w:ilvl w:val="0"/>
          <w:numId w:val="7"/>
        </w:num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w:t>
      </w:r>
      <w:r w:rsidRPr="00403C55">
        <w:rPr>
          <w:rFonts w:ascii="Times New Roman" w:hAnsi="Times New Roman" w:cs="Times New Roman"/>
          <w:b/>
          <w:lang w:val="fr-FR"/>
        </w:rPr>
        <w:t>pourcentage général d’activités mises en œuvre</w:t>
      </w:r>
      <w:r w:rsidRPr="00403C55">
        <w:rPr>
          <w:rFonts w:ascii="Times New Roman" w:hAnsi="Times New Roman" w:cs="Times New Roman"/>
          <w:lang w:val="fr-FR"/>
        </w:rPr>
        <w:t xml:space="preserve">, sur la base des questionnaires reçus, </w:t>
      </w:r>
      <w:r w:rsidR="00AE4DA1" w:rsidRPr="00403C55">
        <w:rPr>
          <w:rFonts w:ascii="Times New Roman" w:hAnsi="Times New Roman" w:cs="Times New Roman"/>
          <w:lang w:val="fr-FR"/>
        </w:rPr>
        <w:t>dans l’hypothèse que les réponses « oui » sont égales à la mise en œuvre complète d’une</w:t>
      </w:r>
      <w:r w:rsidRPr="00403C55">
        <w:rPr>
          <w:rFonts w:ascii="Times New Roman" w:hAnsi="Times New Roman" w:cs="Times New Roman"/>
          <w:lang w:val="fr-FR"/>
        </w:rPr>
        <w:t xml:space="preserve"> activi</w:t>
      </w:r>
      <w:r w:rsidR="00AE4DA1" w:rsidRPr="00403C55">
        <w:rPr>
          <w:rFonts w:ascii="Times New Roman" w:hAnsi="Times New Roman" w:cs="Times New Roman"/>
          <w:lang w:val="fr-FR"/>
        </w:rPr>
        <w:t>té</w:t>
      </w:r>
      <w:r w:rsidRPr="00403C55">
        <w:rPr>
          <w:rFonts w:ascii="Times New Roman" w:hAnsi="Times New Roman" w:cs="Times New Roman"/>
          <w:lang w:val="fr-FR"/>
        </w:rPr>
        <w:t xml:space="preserve"> (</w:t>
      </w:r>
      <w:r w:rsidR="00AE4DA1" w:rsidRPr="00403C55">
        <w:rPr>
          <w:rFonts w:ascii="Times New Roman" w:hAnsi="Times New Roman" w:cs="Times New Roman"/>
          <w:lang w:val="fr-FR"/>
        </w:rPr>
        <w:t>pour une explication complète de la</w:t>
      </w:r>
      <w:r w:rsidRPr="00403C55">
        <w:rPr>
          <w:rFonts w:ascii="Times New Roman" w:hAnsi="Times New Roman" w:cs="Times New Roman"/>
          <w:lang w:val="fr-FR"/>
        </w:rPr>
        <w:t xml:space="preserve"> m</w:t>
      </w:r>
      <w:r w:rsidR="00AE4DA1" w:rsidRPr="00403C55">
        <w:rPr>
          <w:rFonts w:ascii="Times New Roman" w:hAnsi="Times New Roman" w:cs="Times New Roman"/>
          <w:lang w:val="fr-FR"/>
        </w:rPr>
        <w:t>é</w:t>
      </w:r>
      <w:r w:rsidRPr="00403C55">
        <w:rPr>
          <w:rFonts w:ascii="Times New Roman" w:hAnsi="Times New Roman" w:cs="Times New Roman"/>
          <w:lang w:val="fr-FR"/>
        </w:rPr>
        <w:t>thodolog</w:t>
      </w:r>
      <w:r w:rsidR="00AE4DA1" w:rsidRPr="00403C55">
        <w:rPr>
          <w:rFonts w:ascii="Times New Roman" w:hAnsi="Times New Roman" w:cs="Times New Roman"/>
          <w:lang w:val="fr-FR"/>
        </w:rPr>
        <w:t>ie utilisée</w:t>
      </w:r>
      <w:r w:rsidRPr="00403C55">
        <w:rPr>
          <w:rFonts w:ascii="Times New Roman" w:hAnsi="Times New Roman" w:cs="Times New Roman"/>
          <w:lang w:val="fr-FR"/>
        </w:rPr>
        <w:t xml:space="preserve">, </w:t>
      </w:r>
      <w:r w:rsidR="00AE4DA1" w:rsidRPr="00403C55">
        <w:rPr>
          <w:rFonts w:ascii="Times New Roman" w:hAnsi="Times New Roman" w:cs="Times New Roman"/>
          <w:lang w:val="fr-FR"/>
        </w:rPr>
        <w:t>veuille</w:t>
      </w:r>
      <w:r w:rsidR="0059229B" w:rsidRPr="00403C55">
        <w:rPr>
          <w:rFonts w:ascii="Times New Roman" w:hAnsi="Times New Roman" w:cs="Times New Roman"/>
          <w:lang w:val="fr-FR"/>
        </w:rPr>
        <w:t>z</w:t>
      </w:r>
      <w:r w:rsidR="00B34832">
        <w:rPr>
          <w:rFonts w:ascii="Times New Roman" w:hAnsi="Times New Roman" w:cs="Times New Roman"/>
          <w:lang w:val="fr-FR"/>
        </w:rPr>
        <w:t>-</w:t>
      </w:r>
      <w:r w:rsidR="00AE4DA1" w:rsidRPr="00403C55">
        <w:rPr>
          <w:rFonts w:ascii="Times New Roman" w:hAnsi="Times New Roman" w:cs="Times New Roman"/>
          <w:lang w:val="fr-FR"/>
        </w:rPr>
        <w:t>vous reporter à</w:t>
      </w:r>
      <w:r w:rsidRPr="00403C55">
        <w:rPr>
          <w:rFonts w:ascii="Times New Roman" w:hAnsi="Times New Roman" w:cs="Times New Roman"/>
          <w:lang w:val="fr-FR"/>
        </w:rPr>
        <w:t xml:space="preserve"> </w:t>
      </w:r>
      <w:r w:rsidRPr="00403C55">
        <w:rPr>
          <w:rFonts w:ascii="Times New Roman" w:hAnsi="Times New Roman" w:cs="Times New Roman"/>
          <w:i/>
          <w:lang w:val="fr-FR"/>
        </w:rPr>
        <w:t>6.2.1. M</w:t>
      </w:r>
      <w:r w:rsidR="00AE4DA1" w:rsidRPr="00403C55">
        <w:rPr>
          <w:rFonts w:ascii="Times New Roman" w:hAnsi="Times New Roman" w:cs="Times New Roman"/>
          <w:i/>
          <w:lang w:val="fr-FR"/>
        </w:rPr>
        <w:t>é</w:t>
      </w:r>
      <w:r w:rsidRPr="00403C55">
        <w:rPr>
          <w:rFonts w:ascii="Times New Roman" w:hAnsi="Times New Roman" w:cs="Times New Roman"/>
          <w:i/>
          <w:lang w:val="fr-FR"/>
        </w:rPr>
        <w:t>thodolog</w:t>
      </w:r>
      <w:r w:rsidR="00AE4DA1" w:rsidRPr="00403C55">
        <w:rPr>
          <w:rFonts w:ascii="Times New Roman" w:hAnsi="Times New Roman" w:cs="Times New Roman"/>
          <w:i/>
          <w:lang w:val="fr-FR"/>
        </w:rPr>
        <w:t xml:space="preserve">ie </w:t>
      </w:r>
      <w:r w:rsidR="00AE4DA1" w:rsidRPr="00403C55">
        <w:rPr>
          <w:rFonts w:ascii="Times New Roman" w:hAnsi="Times New Roman" w:cs="Times New Roman"/>
          <w:lang w:val="fr-FR"/>
        </w:rPr>
        <w:t>ci-dessus</w:t>
      </w:r>
      <w:r w:rsidRPr="00403C55">
        <w:rPr>
          <w:rFonts w:ascii="Times New Roman" w:hAnsi="Times New Roman" w:cs="Times New Roman"/>
          <w:lang w:val="fr-FR"/>
        </w:rPr>
        <w:t>)</w:t>
      </w:r>
      <w:r w:rsidR="00DC2978">
        <w:rPr>
          <w:rFonts w:ascii="Times New Roman" w:hAnsi="Times New Roman" w:cs="Times New Roman"/>
          <w:lang w:val="fr-FR"/>
        </w:rPr>
        <w:t>.</w:t>
      </w:r>
    </w:p>
    <w:p w14:paraId="30289954" w14:textId="77777777" w:rsidR="000C523C" w:rsidRPr="00403C55" w:rsidRDefault="000C523C" w:rsidP="000C523C">
      <w:pPr>
        <w:pStyle w:val="ListParagraph"/>
        <w:rPr>
          <w:rFonts w:ascii="Times New Roman" w:hAnsi="Times New Roman" w:cs="Times New Roman"/>
          <w:lang w:val="fr-FR"/>
        </w:rPr>
      </w:pPr>
    </w:p>
    <w:p w14:paraId="22B5357E" w14:textId="53FA51FD" w:rsidR="00270370" w:rsidRPr="00DC2978" w:rsidRDefault="00AE4DA1" w:rsidP="00DC2978">
      <w:pPr>
        <w:spacing w:after="0" w:line="240" w:lineRule="auto"/>
        <w:jc w:val="both"/>
        <w:rPr>
          <w:rFonts w:ascii="Times New Roman" w:hAnsi="Times New Roman" w:cs="Times New Roman"/>
          <w:lang w:val="fr-FR"/>
        </w:rPr>
      </w:pPr>
      <w:r w:rsidRPr="00DC2978">
        <w:rPr>
          <w:rFonts w:ascii="Times New Roman" w:hAnsi="Times New Roman" w:cs="Times New Roman"/>
          <w:lang w:val="fr-FR"/>
        </w:rPr>
        <w:t xml:space="preserve">Le </w:t>
      </w:r>
      <w:r w:rsidRPr="00DC2978">
        <w:rPr>
          <w:rFonts w:ascii="Times New Roman" w:hAnsi="Times New Roman" w:cs="Times New Roman"/>
          <w:b/>
          <w:lang w:val="fr-FR"/>
        </w:rPr>
        <w:t>pourcentage d’activités mises en œuvre classées comme ayant une priorité de mise en œuvre « critique » ou « élevée »</w:t>
      </w:r>
      <w:r w:rsidRPr="00DC2978">
        <w:rPr>
          <w:rFonts w:ascii="Times New Roman" w:hAnsi="Times New Roman" w:cs="Times New Roman"/>
          <w:lang w:val="fr-FR"/>
        </w:rPr>
        <w:t xml:space="preserve"> dans le plan </w:t>
      </w:r>
      <w:r w:rsidR="0003562F" w:rsidRPr="00DC2978">
        <w:rPr>
          <w:rFonts w:ascii="Times New Roman" w:hAnsi="Times New Roman" w:cs="Times New Roman"/>
          <w:lang w:val="fr-FR"/>
        </w:rPr>
        <w:t>d’action</w:t>
      </w:r>
      <w:r w:rsidRPr="00DC2978">
        <w:rPr>
          <w:rFonts w:ascii="Times New Roman" w:hAnsi="Times New Roman" w:cs="Times New Roman"/>
          <w:lang w:val="fr-FR"/>
        </w:rPr>
        <w:t>/de gestion, sur la base des questionnaires reçus, dans l’hypothèse que les réponses « oui » sont égales à la mise en œuvre complète d’une activité (pour une explication complète de la méthodologie utilisée, veuille</w:t>
      </w:r>
      <w:r w:rsidR="00A23749" w:rsidRPr="00DC2978">
        <w:rPr>
          <w:rFonts w:ascii="Times New Roman" w:hAnsi="Times New Roman" w:cs="Times New Roman"/>
          <w:lang w:val="fr-FR"/>
        </w:rPr>
        <w:t>z</w:t>
      </w:r>
      <w:r w:rsidR="00B34832">
        <w:rPr>
          <w:rFonts w:ascii="Times New Roman" w:hAnsi="Times New Roman" w:cs="Times New Roman"/>
          <w:lang w:val="fr-FR"/>
        </w:rPr>
        <w:t>-</w:t>
      </w:r>
      <w:r w:rsidRPr="00DC2978">
        <w:rPr>
          <w:rFonts w:ascii="Times New Roman" w:hAnsi="Times New Roman" w:cs="Times New Roman"/>
          <w:lang w:val="fr-FR"/>
        </w:rPr>
        <w:t xml:space="preserve">vous reporter à </w:t>
      </w:r>
      <w:r w:rsidRPr="00DC2978">
        <w:rPr>
          <w:rFonts w:ascii="Times New Roman" w:hAnsi="Times New Roman" w:cs="Times New Roman"/>
          <w:i/>
          <w:lang w:val="fr-FR"/>
        </w:rPr>
        <w:t xml:space="preserve">6.2.1. Méthodologie </w:t>
      </w:r>
      <w:r w:rsidR="00DC2978">
        <w:rPr>
          <w:rFonts w:ascii="Times New Roman" w:hAnsi="Times New Roman" w:cs="Times New Roman"/>
          <w:lang w:val="fr-FR"/>
        </w:rPr>
        <w:t>ci-dessus).</w:t>
      </w:r>
    </w:p>
    <w:p w14:paraId="540B7410" w14:textId="77777777" w:rsidR="005638E2" w:rsidRPr="00403C55" w:rsidRDefault="005638E2" w:rsidP="002C4677">
      <w:pPr>
        <w:spacing w:after="0" w:line="240" w:lineRule="auto"/>
        <w:jc w:val="both"/>
        <w:rPr>
          <w:rFonts w:ascii="Times New Roman" w:hAnsi="Times New Roman" w:cs="Times New Roman"/>
          <w:lang w:val="fr-FR"/>
        </w:rPr>
      </w:pPr>
    </w:p>
    <w:p w14:paraId="5928EDBC" w14:textId="051D01E6" w:rsidR="00F40442" w:rsidRPr="00403C55" w:rsidRDefault="00AE4DA1" w:rsidP="00A23749">
      <w:pPr>
        <w:spacing w:after="0" w:line="240" w:lineRule="auto"/>
        <w:rPr>
          <w:rFonts w:ascii="Times New Roman" w:hAnsi="Times New Roman" w:cs="Times New Roman"/>
          <w:lang w:val="fr-FR"/>
        </w:rPr>
        <w:sectPr w:rsidR="00F40442" w:rsidRPr="00403C55" w:rsidSect="00697C77">
          <w:footerReference w:type="default" r:id="rId12"/>
          <w:pgSz w:w="11906" w:h="16838" w:code="9"/>
          <w:pgMar w:top="1418" w:right="1418" w:bottom="1134" w:left="1418" w:header="709" w:footer="709" w:gutter="0"/>
          <w:cols w:space="708"/>
          <w:docGrid w:linePitch="360"/>
        </w:sectPr>
      </w:pPr>
      <w:r w:rsidRPr="00403C55">
        <w:rPr>
          <w:rFonts w:ascii="Times New Roman" w:hAnsi="Times New Roman" w:cs="Times New Roman"/>
          <w:lang w:val="fr-FR"/>
        </w:rPr>
        <w:t xml:space="preserve">Un compte rendu plus détaillé des résultats est donné pour chaque plan </w:t>
      </w:r>
      <w:r w:rsidR="0003562F">
        <w:rPr>
          <w:rFonts w:ascii="Times New Roman" w:hAnsi="Times New Roman" w:cs="Times New Roman"/>
          <w:lang w:val="fr-FR"/>
        </w:rPr>
        <w:t>d’action</w:t>
      </w:r>
      <w:r w:rsidRPr="00403C55">
        <w:rPr>
          <w:rFonts w:ascii="Times New Roman" w:hAnsi="Times New Roman" w:cs="Times New Roman"/>
          <w:lang w:val="fr-FR"/>
        </w:rPr>
        <w:t>/de gestion séparément à l’Annexe 1.</w:t>
      </w:r>
    </w:p>
    <w:p w14:paraId="02F2F85D" w14:textId="7E4AA3B7" w:rsidR="00F40442" w:rsidRPr="00403C55" w:rsidRDefault="00AE4DA1" w:rsidP="00DD72D0">
      <w:pPr>
        <w:spacing w:line="280" w:lineRule="auto"/>
        <w:rPr>
          <w:rFonts w:ascii="Times New Roman" w:hAnsi="Times New Roman" w:cs="Times New Roman"/>
          <w:i/>
          <w:lang w:val="fr-FR"/>
        </w:rPr>
      </w:pPr>
      <w:r w:rsidRPr="00403C55">
        <w:rPr>
          <w:rFonts w:ascii="Times New Roman" w:hAnsi="Times New Roman" w:cs="Times New Roman"/>
          <w:i/>
          <w:lang w:val="fr-FR"/>
        </w:rPr>
        <w:lastRenderedPageBreak/>
        <w:t xml:space="preserve">Tableau 5 : vue d'ensemble de l’avancement de la mise en œuvre des plans </w:t>
      </w:r>
      <w:r w:rsidR="0003562F">
        <w:rPr>
          <w:rFonts w:ascii="Times New Roman" w:hAnsi="Times New Roman" w:cs="Times New Roman"/>
          <w:i/>
          <w:lang w:val="fr-FR"/>
        </w:rPr>
        <w:t>d’action</w:t>
      </w:r>
      <w:r w:rsidRPr="00403C55">
        <w:rPr>
          <w:rFonts w:ascii="Times New Roman" w:hAnsi="Times New Roman" w:cs="Times New Roman"/>
          <w:i/>
          <w:lang w:val="fr-FR"/>
        </w:rPr>
        <w:t>/de gestion</w:t>
      </w:r>
    </w:p>
    <w:tbl>
      <w:tblPr>
        <w:tblStyle w:val="TableGrid"/>
        <w:tblW w:w="13363" w:type="dxa"/>
        <w:tblLayout w:type="fixed"/>
        <w:tblLook w:val="04A0" w:firstRow="1" w:lastRow="0" w:firstColumn="1" w:lastColumn="0" w:noHBand="0" w:noVBand="1"/>
      </w:tblPr>
      <w:tblGrid>
        <w:gridCol w:w="2335"/>
        <w:gridCol w:w="1080"/>
        <w:gridCol w:w="900"/>
        <w:gridCol w:w="990"/>
        <w:gridCol w:w="1350"/>
        <w:gridCol w:w="1170"/>
        <w:gridCol w:w="1260"/>
        <w:gridCol w:w="1440"/>
        <w:gridCol w:w="1440"/>
        <w:gridCol w:w="1398"/>
      </w:tblGrid>
      <w:tr w:rsidR="00F40442" w:rsidRPr="00DE4CF4" w14:paraId="764FA1A7" w14:textId="77777777" w:rsidTr="00DD72D0">
        <w:trPr>
          <w:trHeight w:val="1430"/>
        </w:trPr>
        <w:tc>
          <w:tcPr>
            <w:tcW w:w="2335" w:type="dxa"/>
            <w:shd w:val="clear" w:color="auto" w:fill="DBE5F1" w:themeFill="accent1" w:themeFillTint="33"/>
          </w:tcPr>
          <w:p w14:paraId="3FB06548" w14:textId="2133AF34"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Espèce</w:t>
            </w:r>
          </w:p>
        </w:tc>
        <w:tc>
          <w:tcPr>
            <w:tcW w:w="1080" w:type="dxa"/>
            <w:shd w:val="clear" w:color="auto" w:fill="DBE5F1" w:themeFill="accent1" w:themeFillTint="33"/>
          </w:tcPr>
          <w:p w14:paraId="6D2A5B23" w14:textId="4B3E0453"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a) taux de réponse</w:t>
            </w:r>
          </w:p>
        </w:tc>
        <w:tc>
          <w:tcPr>
            <w:tcW w:w="900" w:type="dxa"/>
            <w:shd w:val="clear" w:color="auto" w:fill="DBE5F1" w:themeFill="accent1" w:themeFillTint="33"/>
          </w:tcPr>
          <w:p w14:paraId="0CF741B5" w14:textId="0B2B7E7A"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b) années en vigueur</w:t>
            </w:r>
          </w:p>
        </w:tc>
        <w:tc>
          <w:tcPr>
            <w:tcW w:w="990" w:type="dxa"/>
            <w:shd w:val="clear" w:color="auto" w:fill="DBE5F1" w:themeFill="accent1" w:themeFillTint="33"/>
          </w:tcPr>
          <w:p w14:paraId="04A07721" w14:textId="370EC5E5" w:rsidR="00F40442" w:rsidRPr="00403C55" w:rsidRDefault="00AE4DA1" w:rsidP="000A1F2D">
            <w:pPr>
              <w:rPr>
                <w:rFonts w:ascii="Times New Roman" w:hAnsi="Times New Roman" w:cs="Times New Roman"/>
                <w:lang w:val="fr-FR"/>
              </w:rPr>
            </w:pPr>
            <w:r w:rsidRPr="00403C55">
              <w:rPr>
                <w:rFonts w:ascii="Times New Roman" w:hAnsi="Times New Roman" w:cs="Times New Roman"/>
                <w:lang w:val="fr-FR"/>
              </w:rPr>
              <w:t xml:space="preserve">c) changement de statut </w:t>
            </w:r>
            <w:r w:rsidR="000A1F2D">
              <w:rPr>
                <w:rFonts w:ascii="Times New Roman" w:hAnsi="Times New Roman" w:cs="Times New Roman"/>
                <w:lang w:val="fr-FR"/>
              </w:rPr>
              <w:t>sur</w:t>
            </w:r>
            <w:r w:rsidRPr="00403C55">
              <w:rPr>
                <w:rFonts w:ascii="Times New Roman" w:hAnsi="Times New Roman" w:cs="Times New Roman"/>
                <w:lang w:val="fr-FR"/>
              </w:rPr>
              <w:t xml:space="preserve"> la Liste rouge</w:t>
            </w:r>
          </w:p>
        </w:tc>
        <w:tc>
          <w:tcPr>
            <w:tcW w:w="1350" w:type="dxa"/>
            <w:shd w:val="clear" w:color="auto" w:fill="DBE5F1" w:themeFill="accent1" w:themeFillTint="33"/>
          </w:tcPr>
          <w:p w14:paraId="1B06CD36" w14:textId="6ABCEA47" w:rsidR="00F40442" w:rsidRPr="00403C55" w:rsidRDefault="00AE4DA1" w:rsidP="00B33D52">
            <w:pPr>
              <w:rPr>
                <w:rFonts w:ascii="Times New Roman" w:hAnsi="Times New Roman" w:cs="Times New Roman"/>
                <w:lang w:val="fr-FR"/>
              </w:rPr>
            </w:pPr>
            <w:r w:rsidRPr="00403C55">
              <w:rPr>
                <w:rFonts w:ascii="Times New Roman" w:hAnsi="Times New Roman" w:cs="Times New Roman"/>
                <w:lang w:val="fr-FR"/>
              </w:rPr>
              <w:t>Groupe de travail international/Groupe d’experts international</w:t>
            </w:r>
          </w:p>
          <w:p w14:paraId="6EFB4823" w14:textId="50FD05B9" w:rsidR="00F40442" w:rsidRPr="00403C55" w:rsidRDefault="00DD72D0" w:rsidP="003F50F9">
            <w:pPr>
              <w:rPr>
                <w:rFonts w:ascii="Times New Roman" w:hAnsi="Times New Roman" w:cs="Times New Roman"/>
                <w:lang w:val="fr-FR"/>
              </w:rPr>
            </w:pPr>
            <w:r w:rsidRPr="00403C55">
              <w:rPr>
                <w:rFonts w:ascii="Times New Roman" w:hAnsi="Times New Roman" w:cs="Times New Roman"/>
                <w:lang w:val="fr-FR"/>
              </w:rPr>
              <w:t>a</w:t>
            </w:r>
            <w:r w:rsidR="00AE4DA1" w:rsidRPr="00403C55">
              <w:rPr>
                <w:rFonts w:ascii="Times New Roman" w:hAnsi="Times New Roman" w:cs="Times New Roman"/>
                <w:lang w:val="fr-FR"/>
              </w:rPr>
              <w:t>vec coordinateur</w:t>
            </w:r>
          </w:p>
        </w:tc>
        <w:tc>
          <w:tcPr>
            <w:tcW w:w="1170" w:type="dxa"/>
            <w:shd w:val="clear" w:color="auto" w:fill="DBE5F1" w:themeFill="accent1" w:themeFillTint="33"/>
          </w:tcPr>
          <w:p w14:paraId="390B5768" w14:textId="59987944"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e) % d’</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a</w:t>
            </w:r>
            <w:r w:rsidR="00DD72D0" w:rsidRPr="00403C55">
              <w:rPr>
                <w:rFonts w:ascii="Times New Roman" w:hAnsi="Times New Roman" w:cs="Times New Roman"/>
                <w:lang w:val="fr-FR"/>
              </w:rPr>
              <w:t>yant</w:t>
            </w:r>
            <w:r w:rsidRPr="00403C55">
              <w:rPr>
                <w:rFonts w:ascii="Times New Roman" w:hAnsi="Times New Roman" w:cs="Times New Roman"/>
                <w:lang w:val="fr-FR"/>
              </w:rPr>
              <w:t xml:space="preserv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w:t>
            </w:r>
          </w:p>
        </w:tc>
        <w:tc>
          <w:tcPr>
            <w:tcW w:w="1260" w:type="dxa"/>
            <w:shd w:val="clear" w:color="auto" w:fill="DBE5F1" w:themeFill="accent1" w:themeFillTint="33"/>
          </w:tcPr>
          <w:p w14:paraId="032511D1" w14:textId="7A5EA511"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e) % d’</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a</w:t>
            </w:r>
            <w:r w:rsidR="00DD72D0" w:rsidRPr="00403C55">
              <w:rPr>
                <w:rFonts w:ascii="Times New Roman" w:hAnsi="Times New Roman" w:cs="Times New Roman"/>
                <w:lang w:val="fr-FR"/>
              </w:rPr>
              <w:t>yant</w:t>
            </w:r>
            <w:r w:rsidRPr="00403C55">
              <w:rPr>
                <w:rFonts w:ascii="Times New Roman" w:hAnsi="Times New Roman" w:cs="Times New Roman"/>
                <w:lang w:val="fr-FR"/>
              </w:rPr>
              <w:t xml:space="preserve"> des groupes de travail nationaux*</w:t>
            </w:r>
          </w:p>
        </w:tc>
        <w:tc>
          <w:tcPr>
            <w:tcW w:w="1440" w:type="dxa"/>
            <w:shd w:val="clear" w:color="auto" w:fill="DBE5F1" w:themeFill="accent1" w:themeFillTint="33"/>
          </w:tcPr>
          <w:p w14:paraId="40293B05" w14:textId="6F5AA3B4"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 xml:space="preserve">g) % général d’activités mises en œuvre </w:t>
            </w:r>
          </w:p>
        </w:tc>
        <w:tc>
          <w:tcPr>
            <w:tcW w:w="1440" w:type="dxa"/>
            <w:shd w:val="clear" w:color="auto" w:fill="DBE5F1" w:themeFill="accent1" w:themeFillTint="33"/>
          </w:tcPr>
          <w:p w14:paraId="08C9FC39" w14:textId="4CCAAE3E" w:rsidR="00F40442" w:rsidRPr="00403C55" w:rsidRDefault="00AE4DA1" w:rsidP="003F50F9">
            <w:pPr>
              <w:rPr>
                <w:rFonts w:ascii="Times New Roman" w:hAnsi="Times New Roman" w:cs="Times New Roman"/>
                <w:lang w:val="fr-FR"/>
              </w:rPr>
            </w:pPr>
            <w:r w:rsidRPr="00403C55">
              <w:rPr>
                <w:rFonts w:ascii="Times New Roman" w:hAnsi="Times New Roman" w:cs="Times New Roman"/>
                <w:lang w:val="fr-FR"/>
              </w:rPr>
              <w:t xml:space="preserve">h) % d’activités </w:t>
            </w:r>
            <w:r w:rsidR="00DD72D0" w:rsidRPr="00403C55">
              <w:rPr>
                <w:rFonts w:ascii="Times New Roman" w:hAnsi="Times New Roman" w:cs="Times New Roman"/>
                <w:lang w:val="fr-FR"/>
              </w:rPr>
              <w:t>ayant une</w:t>
            </w:r>
            <w:r w:rsidRPr="00403C55">
              <w:rPr>
                <w:rFonts w:ascii="Times New Roman" w:hAnsi="Times New Roman" w:cs="Times New Roman"/>
                <w:lang w:val="fr-FR"/>
              </w:rPr>
              <w:t xml:space="preserve"> priorité critique ou élevé</w:t>
            </w:r>
            <w:r w:rsidR="000A1F2D">
              <w:rPr>
                <w:rFonts w:ascii="Times New Roman" w:hAnsi="Times New Roman" w:cs="Times New Roman"/>
                <w:lang w:val="fr-FR"/>
              </w:rPr>
              <w:t>e</w:t>
            </w:r>
            <w:r w:rsidRPr="00403C55">
              <w:rPr>
                <w:rFonts w:ascii="Times New Roman" w:hAnsi="Times New Roman" w:cs="Times New Roman"/>
                <w:lang w:val="fr-FR"/>
              </w:rPr>
              <w:t xml:space="preserve"> mises en œuvre </w:t>
            </w:r>
          </w:p>
        </w:tc>
        <w:tc>
          <w:tcPr>
            <w:tcW w:w="1398" w:type="dxa"/>
            <w:shd w:val="clear" w:color="auto" w:fill="DBE5F1" w:themeFill="accent1" w:themeFillTint="33"/>
          </w:tcPr>
          <w:p w14:paraId="47DDD32D" w14:textId="12C57E1B" w:rsidR="00F40442" w:rsidRPr="00403C55" w:rsidRDefault="00345876" w:rsidP="00B33D52">
            <w:pPr>
              <w:rPr>
                <w:rFonts w:ascii="Times New Roman" w:hAnsi="Times New Roman" w:cs="Times New Roman"/>
                <w:lang w:val="fr-FR"/>
              </w:rPr>
            </w:pPr>
            <w:r w:rsidRPr="00403C55">
              <w:rPr>
                <w:rFonts w:ascii="Times New Roman" w:hAnsi="Times New Roman" w:cs="Times New Roman"/>
                <w:lang w:val="fr-FR"/>
              </w:rPr>
              <w:t xml:space="preserve">But du plan </w:t>
            </w:r>
            <w:r w:rsidR="0003562F">
              <w:rPr>
                <w:rFonts w:ascii="Times New Roman" w:hAnsi="Times New Roman" w:cs="Times New Roman"/>
                <w:lang w:val="fr-FR"/>
              </w:rPr>
              <w:t>d’action</w:t>
            </w:r>
            <w:r w:rsidRPr="00403C55">
              <w:rPr>
                <w:rFonts w:ascii="Times New Roman" w:hAnsi="Times New Roman" w:cs="Times New Roman"/>
                <w:lang w:val="fr-FR"/>
              </w:rPr>
              <w:t>/</w:t>
            </w:r>
          </w:p>
          <w:p w14:paraId="23FB2F3B" w14:textId="159DABC0" w:rsidR="00F40442" w:rsidRPr="00403C55" w:rsidRDefault="00345876" w:rsidP="003F50F9">
            <w:pPr>
              <w:rPr>
                <w:rFonts w:ascii="Times New Roman" w:hAnsi="Times New Roman" w:cs="Times New Roman"/>
                <w:lang w:val="fr-FR"/>
              </w:rPr>
            </w:pPr>
            <w:r w:rsidRPr="00403C55">
              <w:rPr>
                <w:rFonts w:ascii="Times New Roman" w:hAnsi="Times New Roman" w:cs="Times New Roman"/>
                <w:lang w:val="fr-FR"/>
              </w:rPr>
              <w:t>de gestion atteint ?</w:t>
            </w:r>
          </w:p>
        </w:tc>
      </w:tr>
      <w:tr w:rsidR="00F40442" w:rsidRPr="00403C55" w14:paraId="53BF9A42" w14:textId="77777777" w:rsidTr="00DD72D0">
        <w:trPr>
          <w:trHeight w:val="455"/>
        </w:trPr>
        <w:tc>
          <w:tcPr>
            <w:tcW w:w="2335" w:type="dxa"/>
          </w:tcPr>
          <w:p w14:paraId="67F97ED9" w14:textId="168B6860"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ISSAP </w:t>
            </w:r>
            <w:r w:rsidR="00345876" w:rsidRPr="00403C55">
              <w:rPr>
                <w:rFonts w:ascii="Times New Roman" w:hAnsi="Times New Roman" w:cs="Times New Roman"/>
                <w:sz w:val="20"/>
                <w:szCs w:val="20"/>
                <w:lang w:val="fr-FR"/>
              </w:rPr>
              <w:t>Ibis chauve (</w:t>
            </w:r>
            <w:r w:rsidR="00345876" w:rsidRPr="00403C55">
              <w:rPr>
                <w:rFonts w:ascii="Times New Roman" w:hAnsi="Times New Roman" w:cs="Times New Roman"/>
                <w:i/>
                <w:sz w:val="20"/>
                <w:szCs w:val="20"/>
                <w:lang w:val="fr-FR"/>
              </w:rPr>
              <w:t>Geronticus eremita</w:t>
            </w:r>
            <w:r w:rsidR="00345876" w:rsidRPr="00403C55">
              <w:rPr>
                <w:rFonts w:ascii="Times New Roman" w:hAnsi="Times New Roman" w:cs="Times New Roman"/>
                <w:sz w:val="20"/>
                <w:szCs w:val="20"/>
                <w:lang w:val="fr-FR"/>
              </w:rPr>
              <w:t>)</w:t>
            </w:r>
          </w:p>
        </w:tc>
        <w:tc>
          <w:tcPr>
            <w:tcW w:w="1080" w:type="dxa"/>
          </w:tcPr>
          <w:p w14:paraId="5CFA8242" w14:textId="66002D84"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100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69843C59" w14:textId="116404B5"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(3/3)</w:t>
            </w:r>
          </w:p>
        </w:tc>
        <w:tc>
          <w:tcPr>
            <w:tcW w:w="900" w:type="dxa"/>
          </w:tcPr>
          <w:p w14:paraId="110C034B"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10</w:t>
            </w:r>
          </w:p>
        </w:tc>
        <w:tc>
          <w:tcPr>
            <w:tcW w:w="990" w:type="dxa"/>
          </w:tcPr>
          <w:p w14:paraId="14E70960" w14:textId="55013BD9"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c>
          <w:tcPr>
            <w:tcW w:w="1350" w:type="dxa"/>
          </w:tcPr>
          <w:p w14:paraId="7E5F5308" w14:textId="63135D09"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 travail international/OUI</w:t>
            </w:r>
          </w:p>
        </w:tc>
        <w:tc>
          <w:tcPr>
            <w:tcW w:w="1170" w:type="dxa"/>
          </w:tcPr>
          <w:p w14:paraId="2A014BB9" w14:textId="2FDEFF84"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33</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0EC2CEC1" w14:textId="028F7658"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62826DB8" w14:textId="42D8645F" w:rsidR="00F40442" w:rsidRPr="00403C55" w:rsidRDefault="00F40442" w:rsidP="00DD72D0">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6</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40B8211B" w14:textId="54BBBBAD"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69</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tcPr>
          <w:p w14:paraId="72DAECE9" w14:textId="069C8DD6"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r>
      <w:tr w:rsidR="00F40442" w:rsidRPr="00403C55" w14:paraId="039FAFAF" w14:textId="77777777" w:rsidTr="00DD72D0">
        <w:trPr>
          <w:trHeight w:val="455"/>
        </w:trPr>
        <w:tc>
          <w:tcPr>
            <w:tcW w:w="2335" w:type="dxa"/>
          </w:tcPr>
          <w:p w14:paraId="788DBA4D" w14:textId="3A139AC2"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ISSAP </w:t>
            </w:r>
            <w:r w:rsidR="00345876" w:rsidRPr="00403C55">
              <w:rPr>
                <w:rFonts w:ascii="Times New Roman" w:hAnsi="Times New Roman" w:cs="Times New Roman"/>
                <w:sz w:val="20"/>
                <w:szCs w:val="20"/>
                <w:lang w:val="fr-FR"/>
              </w:rPr>
              <w:t>Flamant nain (</w:t>
            </w:r>
            <w:r w:rsidR="00345876" w:rsidRPr="00403C55">
              <w:rPr>
                <w:rFonts w:ascii="Times New Roman" w:hAnsi="Times New Roman" w:cs="Times New Roman"/>
                <w:i/>
                <w:sz w:val="20"/>
                <w:szCs w:val="20"/>
                <w:lang w:val="fr-FR"/>
              </w:rPr>
              <w:t>Phoeniconaias minor</w:t>
            </w:r>
            <w:r w:rsidR="00345876" w:rsidRPr="00403C55">
              <w:rPr>
                <w:rFonts w:ascii="Times New Roman" w:hAnsi="Times New Roman" w:cs="Times New Roman"/>
                <w:sz w:val="20"/>
                <w:szCs w:val="20"/>
                <w:lang w:val="fr-FR"/>
              </w:rPr>
              <w:t>)</w:t>
            </w:r>
            <w:r w:rsidR="00985A4E">
              <w:rPr>
                <w:rFonts w:ascii="Times New Roman" w:hAnsi="Times New Roman" w:cs="Times New Roman"/>
                <w:sz w:val="20"/>
                <w:szCs w:val="20"/>
                <w:lang w:val="fr-FR"/>
              </w:rPr>
              <w:t xml:space="preserve"> </w:t>
            </w:r>
          </w:p>
        </w:tc>
        <w:tc>
          <w:tcPr>
            <w:tcW w:w="1080" w:type="dxa"/>
          </w:tcPr>
          <w:p w14:paraId="4515485B" w14:textId="411BAE0C"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58</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7031247D" w14:textId="5C85922A"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(7/12)</w:t>
            </w:r>
          </w:p>
        </w:tc>
        <w:tc>
          <w:tcPr>
            <w:tcW w:w="900" w:type="dxa"/>
          </w:tcPr>
          <w:p w14:paraId="2851CDD1"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7</w:t>
            </w:r>
          </w:p>
        </w:tc>
        <w:tc>
          <w:tcPr>
            <w:tcW w:w="990" w:type="dxa"/>
          </w:tcPr>
          <w:p w14:paraId="65518EE2" w14:textId="4DE0F786"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c>
          <w:tcPr>
            <w:tcW w:w="1350" w:type="dxa"/>
          </w:tcPr>
          <w:p w14:paraId="04E36AA4" w14:textId="5E066962"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 travail international/NON</w:t>
            </w:r>
          </w:p>
        </w:tc>
        <w:tc>
          <w:tcPr>
            <w:tcW w:w="1170" w:type="dxa"/>
          </w:tcPr>
          <w:p w14:paraId="237ED6B1" w14:textId="5DF0D6CD"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17</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53FF1838" w14:textId="7B6D6B82"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17</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7C5106F7" w14:textId="2FC24FCA"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26</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4B851DC7" w14:textId="4C7BD212"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23</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tcPr>
          <w:p w14:paraId="4CD4326F" w14:textId="73B0CC4D" w:rsidR="00F40442" w:rsidRPr="00403C55" w:rsidRDefault="00345876" w:rsidP="003F50F9">
            <w:pPr>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r>
      <w:tr w:rsidR="00F40442" w:rsidRPr="00403C55" w14:paraId="182C4080" w14:textId="77777777" w:rsidTr="00DD72D0">
        <w:trPr>
          <w:trHeight w:val="698"/>
        </w:trPr>
        <w:tc>
          <w:tcPr>
            <w:tcW w:w="2335" w:type="dxa"/>
          </w:tcPr>
          <w:p w14:paraId="20237A82" w14:textId="34C78273"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ISSAP </w:t>
            </w:r>
            <w:r w:rsidR="00345876" w:rsidRPr="00403C55">
              <w:rPr>
                <w:rFonts w:ascii="Times New Roman" w:hAnsi="Times New Roman" w:cs="Times New Roman"/>
                <w:sz w:val="20"/>
                <w:szCs w:val="20"/>
                <w:lang w:val="fr-FR"/>
              </w:rPr>
              <w:t>Cygne de Bewick (</w:t>
            </w:r>
            <w:r w:rsidR="00345876" w:rsidRPr="00403C55">
              <w:rPr>
                <w:rFonts w:ascii="Times New Roman" w:hAnsi="Times New Roman" w:cs="Times New Roman"/>
                <w:i/>
                <w:sz w:val="20"/>
                <w:szCs w:val="20"/>
                <w:lang w:val="fr-FR"/>
              </w:rPr>
              <w:t>Cygnus columbianus bewickii</w:t>
            </w:r>
            <w:r w:rsidR="00345876" w:rsidRPr="00403C55">
              <w:rPr>
                <w:rFonts w:ascii="Times New Roman" w:hAnsi="Times New Roman" w:cs="Times New Roman"/>
                <w:sz w:val="20"/>
                <w:szCs w:val="20"/>
                <w:lang w:val="fr-FR"/>
              </w:rPr>
              <w:t>)</w:t>
            </w:r>
          </w:p>
        </w:tc>
        <w:tc>
          <w:tcPr>
            <w:tcW w:w="1080" w:type="dxa"/>
          </w:tcPr>
          <w:p w14:paraId="0B453D90" w14:textId="4536E6A3"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67</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0C1F8DF8" w14:textId="06A8D168"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(10/15)</w:t>
            </w:r>
          </w:p>
        </w:tc>
        <w:tc>
          <w:tcPr>
            <w:tcW w:w="900" w:type="dxa"/>
          </w:tcPr>
          <w:p w14:paraId="3196142C"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w:t>
            </w:r>
          </w:p>
        </w:tc>
        <w:tc>
          <w:tcPr>
            <w:tcW w:w="990" w:type="dxa"/>
          </w:tcPr>
          <w:p w14:paraId="6590B4D9" w14:textId="6CD392D2"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c>
          <w:tcPr>
            <w:tcW w:w="1350" w:type="dxa"/>
          </w:tcPr>
          <w:p w14:paraId="7B76D301" w14:textId="2275A1C5"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d’experts international/OUI</w:t>
            </w:r>
          </w:p>
        </w:tc>
        <w:tc>
          <w:tcPr>
            <w:tcW w:w="1170" w:type="dxa"/>
          </w:tcPr>
          <w:p w14:paraId="1889B5F7" w14:textId="663ADCD8"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76168E15" w14:textId="7B373E4E"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5A55B529" w14:textId="115E2F80"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14</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2513D7B6" w14:textId="6550EA09" w:rsidR="00F40442" w:rsidRPr="00403C55" w:rsidRDefault="00F40442"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24</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tcPr>
          <w:p w14:paraId="05473797" w14:textId="46581009"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r>
      <w:tr w:rsidR="00F40442" w:rsidRPr="00403C55" w14:paraId="4EE8CA9D" w14:textId="77777777" w:rsidTr="00DD72D0">
        <w:trPr>
          <w:trHeight w:val="455"/>
        </w:trPr>
        <w:tc>
          <w:tcPr>
            <w:tcW w:w="2335" w:type="dxa"/>
          </w:tcPr>
          <w:p w14:paraId="74B31B28" w14:textId="64E43D55"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ISSMP </w:t>
            </w:r>
            <w:r w:rsidR="00345876" w:rsidRPr="00403C55">
              <w:rPr>
                <w:rFonts w:ascii="Times New Roman" w:hAnsi="Times New Roman" w:cs="Times New Roman"/>
                <w:sz w:val="20"/>
                <w:szCs w:val="20"/>
                <w:lang w:val="fr-FR"/>
              </w:rPr>
              <w:t>Oie à bec court (</w:t>
            </w:r>
            <w:r w:rsidR="00345876" w:rsidRPr="00403C55">
              <w:rPr>
                <w:rFonts w:ascii="Times New Roman" w:hAnsi="Times New Roman" w:cs="Times New Roman"/>
                <w:i/>
                <w:sz w:val="20"/>
                <w:szCs w:val="20"/>
                <w:lang w:val="fr-FR"/>
              </w:rPr>
              <w:t>Anser brachyrhynchus</w:t>
            </w:r>
            <w:r w:rsidR="00345876" w:rsidRPr="00403C55">
              <w:rPr>
                <w:rFonts w:ascii="Times New Roman" w:hAnsi="Times New Roman" w:cs="Times New Roman"/>
                <w:sz w:val="20"/>
                <w:szCs w:val="20"/>
                <w:lang w:val="fr-FR"/>
              </w:rPr>
              <w:t>)</w:t>
            </w:r>
          </w:p>
        </w:tc>
        <w:tc>
          <w:tcPr>
            <w:tcW w:w="1080" w:type="dxa"/>
          </w:tcPr>
          <w:p w14:paraId="15762660" w14:textId="6C2F3F5F"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100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1625B144" w14:textId="70AAEF10"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(4/4)</w:t>
            </w:r>
          </w:p>
        </w:tc>
        <w:tc>
          <w:tcPr>
            <w:tcW w:w="900" w:type="dxa"/>
          </w:tcPr>
          <w:p w14:paraId="3F0E2830"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w:t>
            </w:r>
          </w:p>
        </w:tc>
        <w:tc>
          <w:tcPr>
            <w:tcW w:w="990" w:type="dxa"/>
          </w:tcPr>
          <w:p w14:paraId="1D2892E8" w14:textId="775B9EF6"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c>
          <w:tcPr>
            <w:tcW w:w="1350" w:type="dxa"/>
          </w:tcPr>
          <w:p w14:paraId="38987D1D" w14:textId="1C2511EF"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 travail international/OUI</w:t>
            </w:r>
          </w:p>
        </w:tc>
        <w:tc>
          <w:tcPr>
            <w:tcW w:w="1170" w:type="dxa"/>
          </w:tcPr>
          <w:p w14:paraId="4D04892B" w14:textId="6B9F1320" w:rsidR="00F40442" w:rsidRPr="00403C55" w:rsidRDefault="00FB350B"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100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420F02F9" w14:textId="50AD96F4" w:rsidR="00F40442" w:rsidRPr="00403C55" w:rsidRDefault="00FB350B"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50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54F1E7D1" w14:textId="2E84F0DF" w:rsidR="00F40442" w:rsidRPr="00403C55" w:rsidRDefault="00FB350B"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45</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5F572334" w14:textId="573F2E64" w:rsidR="00F40442" w:rsidRPr="00403C55" w:rsidRDefault="00345876" w:rsidP="003F50F9">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s/o</w:t>
            </w:r>
          </w:p>
        </w:tc>
        <w:tc>
          <w:tcPr>
            <w:tcW w:w="1398" w:type="dxa"/>
          </w:tcPr>
          <w:p w14:paraId="2CEE5969" w14:textId="0E907345"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r>
      <w:tr w:rsidR="00F40442" w:rsidRPr="00403C55" w14:paraId="3DD95C15" w14:textId="77777777" w:rsidTr="00DD72D0">
        <w:trPr>
          <w:trHeight w:val="698"/>
        </w:trPr>
        <w:tc>
          <w:tcPr>
            <w:tcW w:w="2335" w:type="dxa"/>
          </w:tcPr>
          <w:p w14:paraId="53B1CF16" w14:textId="2311D1A1"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ISSAP </w:t>
            </w:r>
            <w:r w:rsidR="00345876" w:rsidRPr="00403C55">
              <w:rPr>
                <w:rFonts w:ascii="Times New Roman" w:hAnsi="Times New Roman" w:cs="Times New Roman"/>
                <w:sz w:val="20"/>
                <w:szCs w:val="20"/>
                <w:lang w:val="fr-FR"/>
              </w:rPr>
              <w:t>Oie rieuse du Groenland (</w:t>
            </w:r>
            <w:r w:rsidR="00345876" w:rsidRPr="00403C55">
              <w:rPr>
                <w:rFonts w:ascii="Times New Roman" w:hAnsi="Times New Roman" w:cs="Times New Roman"/>
                <w:i/>
                <w:sz w:val="20"/>
                <w:szCs w:val="20"/>
                <w:lang w:val="fr-FR"/>
              </w:rPr>
              <w:t>Anser albifrons flavirostris</w:t>
            </w:r>
            <w:r w:rsidR="00345876" w:rsidRPr="00403C55">
              <w:rPr>
                <w:rFonts w:ascii="Times New Roman" w:hAnsi="Times New Roman" w:cs="Times New Roman"/>
                <w:sz w:val="20"/>
                <w:szCs w:val="20"/>
                <w:lang w:val="fr-FR"/>
              </w:rPr>
              <w:t>)</w:t>
            </w:r>
          </w:p>
        </w:tc>
        <w:tc>
          <w:tcPr>
            <w:tcW w:w="1080" w:type="dxa"/>
          </w:tcPr>
          <w:p w14:paraId="68A22FDF" w14:textId="3D1979DF"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75</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676267F7" w14:textId="31136FFB"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(3/4)</w:t>
            </w:r>
          </w:p>
        </w:tc>
        <w:tc>
          <w:tcPr>
            <w:tcW w:w="900" w:type="dxa"/>
          </w:tcPr>
          <w:p w14:paraId="453B5AED"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w:t>
            </w:r>
          </w:p>
        </w:tc>
        <w:tc>
          <w:tcPr>
            <w:tcW w:w="990" w:type="dxa"/>
          </w:tcPr>
          <w:p w14:paraId="111C1B07" w14:textId="71549B1C"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c>
          <w:tcPr>
            <w:tcW w:w="1350" w:type="dxa"/>
          </w:tcPr>
          <w:p w14:paraId="7E45A8B7" w14:textId="130DC3C9"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NON/NON</w:t>
            </w:r>
          </w:p>
        </w:tc>
        <w:tc>
          <w:tcPr>
            <w:tcW w:w="1170" w:type="dxa"/>
          </w:tcPr>
          <w:p w14:paraId="51667821" w14:textId="15653835" w:rsidR="00F40442" w:rsidRPr="00403C55" w:rsidRDefault="00BD5557"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631B695F" w14:textId="6729F4B6" w:rsidR="00F40442" w:rsidRPr="00403C55" w:rsidRDefault="00BD5557"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25</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2DA6441E" w14:textId="4F9DD171" w:rsidR="00F40442" w:rsidRPr="00403C55" w:rsidRDefault="001024D8"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27</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shd w:val="clear" w:color="auto" w:fill="auto"/>
          </w:tcPr>
          <w:p w14:paraId="5E900E3C" w14:textId="7478C865" w:rsidR="00F40442" w:rsidRPr="00403C55" w:rsidRDefault="001024D8"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45</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shd w:val="clear" w:color="auto" w:fill="auto"/>
          </w:tcPr>
          <w:p w14:paraId="577EFDBF" w14:textId="716595E2"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r>
      <w:tr w:rsidR="00F40442" w:rsidRPr="00403C55" w14:paraId="369C41B8" w14:textId="77777777" w:rsidTr="00DD72D0">
        <w:trPr>
          <w:trHeight w:val="698"/>
        </w:trPr>
        <w:tc>
          <w:tcPr>
            <w:tcW w:w="2335" w:type="dxa"/>
          </w:tcPr>
          <w:p w14:paraId="56AE6759" w14:textId="7DA3C89A"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ISSAP </w:t>
            </w:r>
            <w:r w:rsidR="00345876" w:rsidRPr="00403C55">
              <w:rPr>
                <w:rFonts w:ascii="Times New Roman" w:hAnsi="Times New Roman" w:cs="Times New Roman"/>
                <w:sz w:val="20"/>
                <w:szCs w:val="20"/>
                <w:lang w:val="fr-FR"/>
              </w:rPr>
              <w:t>Oie naine (</w:t>
            </w:r>
            <w:r w:rsidR="00345876" w:rsidRPr="00403C55">
              <w:rPr>
                <w:rFonts w:ascii="Times New Roman" w:hAnsi="Times New Roman" w:cs="Times New Roman"/>
                <w:i/>
                <w:sz w:val="20"/>
                <w:szCs w:val="20"/>
                <w:lang w:val="fr-FR"/>
              </w:rPr>
              <w:t>Anser erythropus</w:t>
            </w:r>
            <w:r w:rsidR="00345876" w:rsidRPr="00403C55">
              <w:rPr>
                <w:rFonts w:ascii="Times New Roman" w:hAnsi="Times New Roman" w:cs="Times New Roman"/>
                <w:sz w:val="20"/>
                <w:szCs w:val="20"/>
                <w:lang w:val="fr-FR"/>
              </w:rPr>
              <w:t>)</w:t>
            </w:r>
          </w:p>
        </w:tc>
        <w:tc>
          <w:tcPr>
            <w:tcW w:w="1080" w:type="dxa"/>
          </w:tcPr>
          <w:p w14:paraId="51BBAE39" w14:textId="58ACBD8E"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68</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7BBF9360" w14:textId="2817A9D5"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(15/22)</w:t>
            </w:r>
          </w:p>
        </w:tc>
        <w:tc>
          <w:tcPr>
            <w:tcW w:w="900" w:type="dxa"/>
          </w:tcPr>
          <w:p w14:paraId="7F85C61A"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7</w:t>
            </w:r>
          </w:p>
        </w:tc>
        <w:tc>
          <w:tcPr>
            <w:tcW w:w="990" w:type="dxa"/>
          </w:tcPr>
          <w:p w14:paraId="4A0DD9F1" w14:textId="25402C20"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c>
          <w:tcPr>
            <w:tcW w:w="1350" w:type="dxa"/>
          </w:tcPr>
          <w:p w14:paraId="106ECE31" w14:textId="0051E186"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 travail international/OUI</w:t>
            </w:r>
          </w:p>
        </w:tc>
        <w:tc>
          <w:tcPr>
            <w:tcW w:w="1170" w:type="dxa"/>
          </w:tcPr>
          <w:p w14:paraId="05E8E6E6" w14:textId="75F0DBF5" w:rsidR="00F40442" w:rsidRPr="00403C55" w:rsidRDefault="00AF53C0"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36</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52EEC8C4" w14:textId="34332B02" w:rsidR="00F40442" w:rsidRPr="00403C55" w:rsidRDefault="00AF53C0"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45</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2D98DE6C" w14:textId="2A05BFDF" w:rsidR="00F40442" w:rsidRPr="00403C55" w:rsidRDefault="00AF53C0"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43</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5C999931" w14:textId="399EA72D" w:rsidR="00F40442" w:rsidRPr="00403C55" w:rsidRDefault="00AF53C0"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36</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tcPr>
          <w:p w14:paraId="0B96E357" w14:textId="63B39C7E"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r>
      <w:tr w:rsidR="00F40442" w:rsidRPr="00403C55" w14:paraId="52C9E921" w14:textId="77777777" w:rsidTr="00DD72D0">
        <w:trPr>
          <w:trHeight w:val="455"/>
        </w:trPr>
        <w:tc>
          <w:tcPr>
            <w:tcW w:w="2335" w:type="dxa"/>
          </w:tcPr>
          <w:p w14:paraId="239203C4" w14:textId="0F53C837"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t xml:space="preserve">ISSAP </w:t>
            </w:r>
            <w:r w:rsidR="00345876" w:rsidRPr="00403C55">
              <w:rPr>
                <w:rFonts w:ascii="Times New Roman" w:hAnsi="Times New Roman" w:cs="Times New Roman"/>
                <w:sz w:val="20"/>
                <w:szCs w:val="20"/>
                <w:lang w:val="fr-FR"/>
              </w:rPr>
              <w:t>Bernache à cou roux (</w:t>
            </w:r>
            <w:r w:rsidR="00345876" w:rsidRPr="00403C55">
              <w:rPr>
                <w:rFonts w:ascii="Times New Roman" w:hAnsi="Times New Roman" w:cs="Times New Roman"/>
                <w:i/>
                <w:sz w:val="20"/>
                <w:szCs w:val="20"/>
                <w:lang w:val="fr-FR"/>
              </w:rPr>
              <w:t>Branta ruficollis</w:t>
            </w:r>
            <w:r w:rsidR="00345876" w:rsidRPr="00403C55">
              <w:rPr>
                <w:rFonts w:ascii="Times New Roman" w:hAnsi="Times New Roman" w:cs="Times New Roman"/>
                <w:sz w:val="20"/>
                <w:szCs w:val="20"/>
                <w:lang w:val="fr-FR"/>
              </w:rPr>
              <w:t>)</w:t>
            </w:r>
          </w:p>
        </w:tc>
        <w:tc>
          <w:tcPr>
            <w:tcW w:w="1080" w:type="dxa"/>
          </w:tcPr>
          <w:p w14:paraId="2EDB2426" w14:textId="16804909"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100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33A73A77" w14:textId="2806A27E" w:rsidR="004412EA" w:rsidRPr="00403C55" w:rsidRDefault="004412EA"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(5/5)</w:t>
            </w:r>
          </w:p>
        </w:tc>
        <w:tc>
          <w:tcPr>
            <w:tcW w:w="900" w:type="dxa"/>
          </w:tcPr>
          <w:p w14:paraId="317AACEA"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w:t>
            </w:r>
          </w:p>
        </w:tc>
        <w:tc>
          <w:tcPr>
            <w:tcW w:w="990" w:type="dxa"/>
          </w:tcPr>
          <w:p w14:paraId="4A486400" w14:textId="01A77CA8"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c>
          <w:tcPr>
            <w:tcW w:w="1350" w:type="dxa"/>
          </w:tcPr>
          <w:p w14:paraId="5631296B" w14:textId="1014D30C"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 travail international/</w:t>
            </w:r>
            <w:r w:rsidRPr="00403C55">
              <w:rPr>
                <w:rFonts w:ascii="Times New Roman" w:hAnsi="Times New Roman" w:cs="Times New Roman"/>
                <w:sz w:val="20"/>
                <w:szCs w:val="20"/>
                <w:lang w:val="fr-FR"/>
              </w:rPr>
              <w:lastRenderedPageBreak/>
              <w:t>OUI</w:t>
            </w:r>
          </w:p>
        </w:tc>
        <w:tc>
          <w:tcPr>
            <w:tcW w:w="1170" w:type="dxa"/>
          </w:tcPr>
          <w:p w14:paraId="370ECA69" w14:textId="527E9005" w:rsidR="00F40442" w:rsidRPr="00403C55" w:rsidRDefault="00A15443"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lastRenderedPageBreak/>
              <w:t>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4D77DE22" w14:textId="5C680108" w:rsidR="00F40442" w:rsidRPr="00403C55" w:rsidRDefault="00A15443"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0A919CD7" w14:textId="1CFC7B5B" w:rsidR="00F40442" w:rsidRPr="00403C55" w:rsidRDefault="00E50E0E"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56</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0F3A9975" w14:textId="1D1517AB" w:rsidR="00F40442" w:rsidRPr="00403C55" w:rsidRDefault="00E50E0E"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50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tcPr>
          <w:p w14:paraId="561DDD91" w14:textId="0430988F"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r>
      <w:tr w:rsidR="00F40442" w:rsidRPr="00403C55" w14:paraId="75A01CE2" w14:textId="77777777" w:rsidTr="00DD72D0">
        <w:trPr>
          <w:trHeight w:val="455"/>
        </w:trPr>
        <w:tc>
          <w:tcPr>
            <w:tcW w:w="2335" w:type="dxa"/>
          </w:tcPr>
          <w:p w14:paraId="27016E95" w14:textId="2AAF1A44" w:rsidR="00F40442" w:rsidRPr="00403C55" w:rsidRDefault="000A1F2D" w:rsidP="003F50F9">
            <w:pPr>
              <w:rPr>
                <w:rFonts w:ascii="Times New Roman" w:hAnsi="Times New Roman" w:cs="Times New Roman"/>
                <w:sz w:val="20"/>
                <w:szCs w:val="20"/>
                <w:lang w:val="fr-FR"/>
              </w:rPr>
            </w:pPr>
            <w:r>
              <w:rPr>
                <w:rFonts w:ascii="Times New Roman" w:hAnsi="Times New Roman" w:cs="Times New Roman"/>
                <w:sz w:val="20"/>
                <w:szCs w:val="20"/>
                <w:lang w:val="fr-FR"/>
              </w:rPr>
              <w:lastRenderedPageBreak/>
              <w:t xml:space="preserve">ISSAP </w:t>
            </w:r>
            <w:r w:rsidR="00345876" w:rsidRPr="00403C55">
              <w:rPr>
                <w:rFonts w:ascii="Times New Roman" w:hAnsi="Times New Roman" w:cs="Times New Roman"/>
                <w:sz w:val="20"/>
                <w:szCs w:val="20"/>
                <w:lang w:val="fr-FR"/>
              </w:rPr>
              <w:t>Vanneau sociable (</w:t>
            </w:r>
            <w:r w:rsidR="00345876" w:rsidRPr="00403C55">
              <w:rPr>
                <w:rFonts w:ascii="Times New Roman" w:hAnsi="Times New Roman" w:cs="Times New Roman"/>
                <w:i/>
                <w:sz w:val="20"/>
                <w:szCs w:val="20"/>
                <w:lang w:val="fr-FR"/>
              </w:rPr>
              <w:t>Vanellus gregarius</w:t>
            </w:r>
            <w:r w:rsidR="00345876" w:rsidRPr="00403C55">
              <w:rPr>
                <w:rFonts w:ascii="Times New Roman" w:hAnsi="Times New Roman" w:cs="Times New Roman"/>
                <w:sz w:val="20"/>
                <w:szCs w:val="20"/>
                <w:lang w:val="fr-FR"/>
              </w:rPr>
              <w:t>)</w:t>
            </w:r>
          </w:p>
        </w:tc>
        <w:tc>
          <w:tcPr>
            <w:tcW w:w="1080" w:type="dxa"/>
          </w:tcPr>
          <w:p w14:paraId="219489B3" w14:textId="03412512"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38</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p w14:paraId="7CFC0A90" w14:textId="7228436A" w:rsidR="004412EA" w:rsidRPr="00403C55" w:rsidRDefault="00E844BE"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(5/13</w:t>
            </w:r>
            <w:r w:rsidR="004412EA" w:rsidRPr="00403C55">
              <w:rPr>
                <w:rFonts w:ascii="Times New Roman" w:hAnsi="Times New Roman" w:cs="Times New Roman"/>
                <w:sz w:val="20"/>
                <w:szCs w:val="20"/>
                <w:lang w:val="fr-FR"/>
              </w:rPr>
              <w:t>)</w:t>
            </w:r>
          </w:p>
        </w:tc>
        <w:tc>
          <w:tcPr>
            <w:tcW w:w="900" w:type="dxa"/>
          </w:tcPr>
          <w:p w14:paraId="6C2E3E9B" w14:textId="77777777" w:rsidR="00F40442" w:rsidRPr="00403C55" w:rsidRDefault="00F40442" w:rsidP="00B33D52">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3**</w:t>
            </w:r>
          </w:p>
        </w:tc>
        <w:tc>
          <w:tcPr>
            <w:tcW w:w="990" w:type="dxa"/>
          </w:tcPr>
          <w:p w14:paraId="4524A9BC" w14:textId="44F46826"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c>
          <w:tcPr>
            <w:tcW w:w="1350" w:type="dxa"/>
          </w:tcPr>
          <w:p w14:paraId="2A905AA7" w14:textId="5E0C544B" w:rsidR="00F40442" w:rsidRPr="00403C55" w:rsidRDefault="00345876" w:rsidP="003F50F9">
            <w:pPr>
              <w:jc w:val="both"/>
              <w:rPr>
                <w:rFonts w:ascii="Times New Roman" w:hAnsi="Times New Roman" w:cs="Times New Roman"/>
                <w:sz w:val="20"/>
                <w:szCs w:val="20"/>
                <w:lang w:val="fr-FR"/>
              </w:rPr>
            </w:pPr>
            <w:r w:rsidRPr="00403C55">
              <w:rPr>
                <w:rFonts w:ascii="Times New Roman" w:hAnsi="Times New Roman" w:cs="Times New Roman"/>
                <w:sz w:val="20"/>
                <w:szCs w:val="20"/>
                <w:lang w:val="fr-FR"/>
              </w:rPr>
              <w:t>Groupe de travail international/OUI</w:t>
            </w:r>
          </w:p>
        </w:tc>
        <w:tc>
          <w:tcPr>
            <w:tcW w:w="1170" w:type="dxa"/>
          </w:tcPr>
          <w:p w14:paraId="7EF28BD6" w14:textId="7537E240" w:rsidR="00F40442" w:rsidRPr="00403C55" w:rsidRDefault="008D234A"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8</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260" w:type="dxa"/>
          </w:tcPr>
          <w:p w14:paraId="39EB8269" w14:textId="7BEFB2BA" w:rsidR="00F40442" w:rsidRPr="00403C55" w:rsidRDefault="008D234A"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0</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1AF6BEC1" w14:textId="35A8758B" w:rsidR="00F40442" w:rsidRPr="00403C55" w:rsidRDefault="008D234A"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27</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440" w:type="dxa"/>
          </w:tcPr>
          <w:p w14:paraId="0700A5F8" w14:textId="1AB22599" w:rsidR="00F40442" w:rsidRPr="00403C55" w:rsidRDefault="008D234A" w:rsidP="00B33D52">
            <w:pPr>
              <w:jc w:val="center"/>
              <w:rPr>
                <w:rFonts w:ascii="Times New Roman" w:hAnsi="Times New Roman" w:cs="Times New Roman"/>
                <w:sz w:val="20"/>
                <w:szCs w:val="20"/>
                <w:lang w:val="fr-FR"/>
              </w:rPr>
            </w:pPr>
            <w:r w:rsidRPr="00403C55">
              <w:rPr>
                <w:rFonts w:ascii="Times New Roman" w:hAnsi="Times New Roman" w:cs="Times New Roman"/>
                <w:sz w:val="20"/>
                <w:szCs w:val="20"/>
                <w:lang w:val="fr-FR"/>
              </w:rPr>
              <w:t>28</w:t>
            </w:r>
            <w:r w:rsidR="00DD72D0" w:rsidRPr="00403C55">
              <w:rPr>
                <w:rFonts w:ascii="Times New Roman" w:hAnsi="Times New Roman" w:cs="Times New Roman"/>
                <w:sz w:val="20"/>
                <w:szCs w:val="20"/>
                <w:lang w:val="fr-FR"/>
              </w:rPr>
              <w:t xml:space="preserve"> </w:t>
            </w:r>
            <w:r w:rsidRPr="00403C55">
              <w:rPr>
                <w:rFonts w:ascii="Times New Roman" w:hAnsi="Times New Roman" w:cs="Times New Roman"/>
                <w:sz w:val="20"/>
                <w:szCs w:val="20"/>
                <w:lang w:val="fr-FR"/>
              </w:rPr>
              <w:t>%</w:t>
            </w:r>
          </w:p>
        </w:tc>
        <w:tc>
          <w:tcPr>
            <w:tcW w:w="1398" w:type="dxa"/>
          </w:tcPr>
          <w:p w14:paraId="3EEBC2E2" w14:textId="2625930F" w:rsidR="00F40442" w:rsidRPr="00403C55" w:rsidRDefault="00345876" w:rsidP="003F50F9">
            <w:pPr>
              <w:jc w:val="both"/>
              <w:rPr>
                <w:rFonts w:ascii="Times New Roman" w:hAnsi="Times New Roman" w:cs="Times New Roman"/>
                <w:sz w:val="20"/>
                <w:szCs w:val="20"/>
                <w:highlight w:val="yellow"/>
                <w:lang w:val="fr-FR"/>
              </w:rPr>
            </w:pPr>
            <w:r w:rsidRPr="00403C55">
              <w:rPr>
                <w:rFonts w:ascii="Times New Roman" w:hAnsi="Times New Roman" w:cs="Times New Roman"/>
                <w:sz w:val="20"/>
                <w:szCs w:val="20"/>
                <w:lang w:val="fr-FR"/>
              </w:rPr>
              <w:t>NON</w:t>
            </w:r>
          </w:p>
        </w:tc>
      </w:tr>
    </w:tbl>
    <w:p w14:paraId="1A810091" w14:textId="4AA316CD" w:rsidR="00F40442" w:rsidRPr="00403C55" w:rsidRDefault="00345876" w:rsidP="00B33D52">
      <w:pPr>
        <w:spacing w:after="0" w:line="240" w:lineRule="auto"/>
        <w:rPr>
          <w:rFonts w:ascii="Times New Roman" w:hAnsi="Times New Roman" w:cs="Times New Roman"/>
          <w:i/>
          <w:sz w:val="20"/>
          <w:szCs w:val="20"/>
          <w:lang w:val="fr-FR"/>
        </w:rPr>
      </w:pPr>
      <w:r w:rsidRPr="00403C55">
        <w:rPr>
          <w:rFonts w:ascii="Times New Roman" w:hAnsi="Times New Roman" w:cs="Times New Roman"/>
          <w:i/>
          <w:sz w:val="20"/>
          <w:szCs w:val="20"/>
          <w:lang w:val="fr-FR"/>
        </w:rPr>
        <w:t xml:space="preserve">*Sur la base des réponses reçues des </w:t>
      </w:r>
      <w:r w:rsidR="00FE6EE5">
        <w:rPr>
          <w:rFonts w:ascii="Times New Roman" w:hAnsi="Times New Roman" w:cs="Times New Roman"/>
          <w:i/>
          <w:sz w:val="20"/>
          <w:szCs w:val="20"/>
          <w:lang w:val="fr-FR"/>
        </w:rPr>
        <w:t>États de l’aire de répartition</w:t>
      </w:r>
    </w:p>
    <w:p w14:paraId="61FF74E5" w14:textId="25650A95" w:rsidR="00F40442" w:rsidRPr="00403C55" w:rsidRDefault="00345876" w:rsidP="00B33D52">
      <w:pPr>
        <w:spacing w:after="0" w:line="240" w:lineRule="auto"/>
        <w:rPr>
          <w:rFonts w:ascii="Times New Roman" w:hAnsi="Times New Roman" w:cs="Times New Roman"/>
          <w:i/>
          <w:sz w:val="20"/>
          <w:szCs w:val="20"/>
          <w:lang w:val="fr-FR"/>
        </w:rPr>
      </w:pPr>
      <w:r w:rsidRPr="00403C55">
        <w:rPr>
          <w:rFonts w:ascii="Times New Roman" w:hAnsi="Times New Roman" w:cs="Times New Roman"/>
          <w:i/>
          <w:sz w:val="20"/>
          <w:szCs w:val="20"/>
          <w:lang w:val="fr-FR"/>
        </w:rPr>
        <w:t xml:space="preserve">**Révision de l’ISSAP </w:t>
      </w:r>
      <w:r w:rsidR="0003562F">
        <w:rPr>
          <w:rFonts w:ascii="Times New Roman" w:hAnsi="Times New Roman" w:cs="Times New Roman"/>
          <w:i/>
          <w:sz w:val="20"/>
          <w:szCs w:val="20"/>
          <w:lang w:val="fr-FR"/>
        </w:rPr>
        <w:t>de l’AEWA</w:t>
      </w:r>
      <w:r w:rsidRPr="00403C55">
        <w:rPr>
          <w:rFonts w:ascii="Times New Roman" w:hAnsi="Times New Roman" w:cs="Times New Roman"/>
          <w:i/>
          <w:sz w:val="20"/>
          <w:szCs w:val="20"/>
          <w:lang w:val="fr-FR"/>
        </w:rPr>
        <w:t xml:space="preserve"> 2002</w:t>
      </w:r>
    </w:p>
    <w:p w14:paraId="20345434" w14:textId="77777777" w:rsidR="00F40442" w:rsidRPr="00403C55" w:rsidRDefault="00F40442">
      <w:pPr>
        <w:rPr>
          <w:rFonts w:ascii="Times New Roman" w:hAnsi="Times New Roman" w:cs="Times New Roman"/>
          <w:i/>
          <w:lang w:val="fr-FR"/>
        </w:rPr>
      </w:pPr>
    </w:p>
    <w:p w14:paraId="128F0EA8" w14:textId="77777777" w:rsidR="00F40442" w:rsidRPr="00403C55" w:rsidRDefault="00F40442" w:rsidP="00B33D52">
      <w:pPr>
        <w:rPr>
          <w:rFonts w:ascii="Times New Roman" w:hAnsi="Times New Roman" w:cs="Times New Roman"/>
          <w:i/>
          <w:lang w:val="fr-FR"/>
        </w:rPr>
      </w:pPr>
    </w:p>
    <w:p w14:paraId="3C1AA4BF" w14:textId="77777777" w:rsidR="00F40442" w:rsidRPr="00403C55" w:rsidRDefault="00F40442" w:rsidP="002C4677">
      <w:pPr>
        <w:spacing w:after="0" w:line="240" w:lineRule="auto"/>
        <w:jc w:val="both"/>
        <w:rPr>
          <w:rFonts w:ascii="Times New Roman" w:hAnsi="Times New Roman" w:cs="Times New Roman"/>
          <w:lang w:val="fr-FR"/>
        </w:rPr>
        <w:sectPr w:rsidR="00F40442" w:rsidRPr="00403C55" w:rsidSect="00F40442">
          <w:pgSz w:w="16838" w:h="11906" w:orient="landscape" w:code="9"/>
          <w:pgMar w:top="1418" w:right="1418" w:bottom="1418" w:left="1134" w:header="709" w:footer="709" w:gutter="0"/>
          <w:cols w:space="708"/>
          <w:docGrid w:linePitch="360"/>
        </w:sectPr>
      </w:pPr>
    </w:p>
    <w:p w14:paraId="58099241" w14:textId="5E75E431" w:rsidR="00EB4B40" w:rsidRPr="00403C55" w:rsidRDefault="00EB4B40" w:rsidP="00EB4B40">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lastRenderedPageBreak/>
        <w:t xml:space="preserve">6.4. </w:t>
      </w:r>
      <w:r w:rsidR="00345876" w:rsidRPr="00403C55">
        <w:rPr>
          <w:rFonts w:ascii="Times New Roman" w:hAnsi="Times New Roman" w:cs="Times New Roman"/>
          <w:b/>
          <w:lang w:val="fr-FR"/>
        </w:rPr>
        <w:t xml:space="preserve">Principales activités </w:t>
      </w:r>
      <w:r w:rsidR="00A23749">
        <w:rPr>
          <w:rFonts w:ascii="Times New Roman" w:hAnsi="Times New Roman" w:cs="Times New Roman"/>
          <w:b/>
          <w:lang w:val="fr-FR"/>
        </w:rPr>
        <w:t>favorisant</w:t>
      </w:r>
      <w:r w:rsidR="00345876" w:rsidRPr="00403C55">
        <w:rPr>
          <w:rFonts w:ascii="Times New Roman" w:hAnsi="Times New Roman" w:cs="Times New Roman"/>
          <w:b/>
          <w:lang w:val="fr-FR"/>
        </w:rPr>
        <w:t xml:space="preserve"> une mise en œuvre efficace du plan </w:t>
      </w:r>
      <w:r w:rsidR="0003562F">
        <w:rPr>
          <w:rFonts w:ascii="Times New Roman" w:hAnsi="Times New Roman" w:cs="Times New Roman"/>
          <w:b/>
          <w:lang w:val="fr-FR"/>
        </w:rPr>
        <w:t>d’action</w:t>
      </w:r>
      <w:r w:rsidR="00345876" w:rsidRPr="00403C55">
        <w:rPr>
          <w:rFonts w:ascii="Times New Roman" w:hAnsi="Times New Roman" w:cs="Times New Roman"/>
          <w:b/>
          <w:lang w:val="fr-FR"/>
        </w:rPr>
        <w:t xml:space="preserve">/de gestion et </w:t>
      </w:r>
      <w:r w:rsidR="00DD72D0" w:rsidRPr="00403C55">
        <w:rPr>
          <w:rFonts w:ascii="Times New Roman" w:hAnsi="Times New Roman" w:cs="Times New Roman"/>
          <w:b/>
          <w:lang w:val="fr-FR"/>
        </w:rPr>
        <w:t xml:space="preserve">principaux </w:t>
      </w:r>
      <w:r w:rsidR="00345876" w:rsidRPr="00403C55">
        <w:rPr>
          <w:rFonts w:ascii="Times New Roman" w:hAnsi="Times New Roman" w:cs="Times New Roman"/>
          <w:b/>
          <w:lang w:val="fr-FR"/>
        </w:rPr>
        <w:t>obstacles l’entravant</w:t>
      </w:r>
    </w:p>
    <w:p w14:paraId="76B42676" w14:textId="77777777" w:rsidR="00720FD7" w:rsidRPr="00403C55" w:rsidRDefault="00720FD7" w:rsidP="00720FD7">
      <w:pPr>
        <w:spacing w:after="0" w:line="240" w:lineRule="auto"/>
        <w:rPr>
          <w:rFonts w:ascii="Times New Roman" w:hAnsi="Times New Roman" w:cs="Times New Roman"/>
          <w:lang w:val="fr-FR"/>
        </w:rPr>
      </w:pPr>
    </w:p>
    <w:p w14:paraId="02D5ACDF" w14:textId="532F4F5C" w:rsidR="00EA76C5" w:rsidRPr="00403C55" w:rsidRDefault="00345876" w:rsidP="00720FD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plus d’un compte rendu sur la mise en œuvre des diverses activités découlant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/de gestion, il a été demandé 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de </w:t>
      </w:r>
      <w:r w:rsidR="00DD72D0" w:rsidRPr="00403C55">
        <w:rPr>
          <w:rFonts w:ascii="Times New Roman" w:hAnsi="Times New Roman" w:cs="Times New Roman"/>
          <w:lang w:val="fr-FR"/>
        </w:rPr>
        <w:t>citer</w:t>
      </w:r>
      <w:r w:rsidRPr="00403C55">
        <w:rPr>
          <w:rFonts w:ascii="Times New Roman" w:hAnsi="Times New Roman" w:cs="Times New Roman"/>
          <w:lang w:val="fr-FR"/>
        </w:rPr>
        <w:t xml:space="preserve"> trois activités/questions principales </w:t>
      </w:r>
      <w:r w:rsidR="00A23749">
        <w:rPr>
          <w:rFonts w:ascii="Times New Roman" w:hAnsi="Times New Roman" w:cs="Times New Roman"/>
          <w:lang w:val="fr-FR"/>
        </w:rPr>
        <w:t>favorisant</w:t>
      </w:r>
      <w:r w:rsidRPr="00403C55">
        <w:rPr>
          <w:rFonts w:ascii="Times New Roman" w:hAnsi="Times New Roman" w:cs="Times New Roman"/>
          <w:lang w:val="fr-FR"/>
        </w:rPr>
        <w:t xml:space="preserve"> la mise en œuvre effic</w:t>
      </w:r>
      <w:r w:rsidR="003D5F64" w:rsidRPr="00403C55">
        <w:rPr>
          <w:rFonts w:ascii="Times New Roman" w:hAnsi="Times New Roman" w:cs="Times New Roman"/>
          <w:lang w:val="fr-FR"/>
        </w:rPr>
        <w:t>iente</w:t>
      </w:r>
      <w:r w:rsidRPr="00403C55">
        <w:rPr>
          <w:rFonts w:ascii="Times New Roman" w:hAnsi="Times New Roman" w:cs="Times New Roman"/>
          <w:lang w:val="fr-FR"/>
        </w:rPr>
        <w:t xml:space="preserve"> des plans respectifs, de même que trois principaux </w:t>
      </w:r>
      <w:r w:rsidR="00A23749">
        <w:rPr>
          <w:rFonts w:ascii="Times New Roman" w:hAnsi="Times New Roman" w:cs="Times New Roman"/>
          <w:lang w:val="fr-FR"/>
        </w:rPr>
        <w:t xml:space="preserve">obstacles </w:t>
      </w:r>
      <w:r w:rsidRPr="00403C55">
        <w:rPr>
          <w:rFonts w:ascii="Times New Roman" w:hAnsi="Times New Roman" w:cs="Times New Roman"/>
          <w:lang w:val="fr-FR"/>
        </w:rPr>
        <w:t>l’entravant.</w:t>
      </w:r>
      <w:r w:rsidR="00720FD7" w:rsidRPr="00403C55">
        <w:rPr>
          <w:rFonts w:ascii="Times New Roman" w:hAnsi="Times New Roman" w:cs="Times New Roman"/>
          <w:lang w:val="fr-FR"/>
        </w:rPr>
        <w:t xml:space="preserve"> </w:t>
      </w:r>
      <w:r w:rsidRPr="00403C55">
        <w:rPr>
          <w:rFonts w:ascii="Times New Roman" w:hAnsi="Times New Roman" w:cs="Times New Roman"/>
          <w:lang w:val="fr-FR"/>
        </w:rPr>
        <w:t>Un résumé des cinq réponses les plus fréquemment données dans chaque catégorie est fourni dans les figures 1 et 2 ci-dessous.</w:t>
      </w:r>
      <w:r w:rsidR="00720FD7" w:rsidRPr="00403C55">
        <w:rPr>
          <w:rFonts w:ascii="Times New Roman" w:hAnsi="Times New Roman" w:cs="Times New Roman"/>
          <w:lang w:val="fr-FR"/>
        </w:rPr>
        <w:t xml:space="preserve"> </w:t>
      </w:r>
      <w:r w:rsidRPr="00403C55">
        <w:rPr>
          <w:rFonts w:ascii="Times New Roman" w:hAnsi="Times New Roman" w:cs="Times New Roman"/>
          <w:lang w:val="fr-FR"/>
        </w:rPr>
        <w:t>Les réponses complètes données pour chaque plan séparément se trouvent dans les comptes rendu détaillés à l’Annexe 1.</w:t>
      </w:r>
    </w:p>
    <w:p w14:paraId="1FE3CCCC" w14:textId="77777777" w:rsidR="00EA76C5" w:rsidRPr="00403C55" w:rsidRDefault="00EA76C5" w:rsidP="00720FD7">
      <w:pPr>
        <w:spacing w:after="0" w:line="240" w:lineRule="auto"/>
        <w:jc w:val="both"/>
        <w:rPr>
          <w:rFonts w:ascii="Times New Roman" w:hAnsi="Times New Roman" w:cs="Times New Roman"/>
          <w:lang w:val="fr-FR"/>
        </w:rPr>
      </w:pPr>
    </w:p>
    <w:p w14:paraId="64F0A23D" w14:textId="3F4CE7CD" w:rsidR="004A755E" w:rsidRPr="00403C55" w:rsidRDefault="00C238F0" w:rsidP="00720FD7">
      <w:pPr>
        <w:spacing w:after="0" w:line="240" w:lineRule="auto"/>
        <w:jc w:val="both"/>
        <w:rPr>
          <w:rFonts w:ascii="Times New Roman" w:hAnsi="Times New Roman" w:cs="Times New Roman"/>
          <w:lang w:val="fr-FR"/>
        </w:rPr>
      </w:pPr>
      <w:r w:rsidRPr="00403C55">
        <w:rPr>
          <w:noProof/>
          <w:lang w:val="en-US"/>
        </w:rPr>
        <w:drawing>
          <wp:inline distT="0" distB="0" distL="0" distR="0" wp14:anchorId="0465846F" wp14:editId="6945C13E">
            <wp:extent cx="4648200" cy="29051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0E7022" w14:textId="77777777" w:rsidR="00B97CEB" w:rsidRPr="00403C55" w:rsidRDefault="00B97CEB" w:rsidP="00720FD7">
      <w:pPr>
        <w:spacing w:after="0" w:line="240" w:lineRule="auto"/>
        <w:jc w:val="both"/>
        <w:rPr>
          <w:rFonts w:ascii="Times New Roman" w:hAnsi="Times New Roman" w:cs="Times New Roman"/>
          <w:lang w:val="fr-FR"/>
        </w:rPr>
      </w:pPr>
    </w:p>
    <w:p w14:paraId="62C7AB17" w14:textId="72CE5FAD"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Mise en œuvre de plans de conservation ou de gestion internationaux/nationaux</w:t>
      </w:r>
    </w:p>
    <w:p w14:paraId="5A0AFE65" w14:textId="0BD18E73"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Surveillance améliorée : réseau int./équipes nationales, etc.</w:t>
      </w:r>
    </w:p>
    <w:p w14:paraId="553C77EC" w14:textId="14A97F33"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Coordination, coopération et action internationales/nationales améliorées</w:t>
      </w:r>
    </w:p>
    <w:p w14:paraId="545D26E2" w14:textId="24CB8F30"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Identification des sites clés et d’une protection adéquate des sites</w:t>
      </w:r>
    </w:p>
    <w:p w14:paraId="0A2ABE1A" w14:textId="3040F091"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Meilleure sensibilisation du public</w:t>
      </w:r>
    </w:p>
    <w:p w14:paraId="3DFE6078" w14:textId="77777777" w:rsidR="00B97CEB" w:rsidRPr="00403C55" w:rsidRDefault="00B97CEB" w:rsidP="00720FD7">
      <w:pPr>
        <w:spacing w:after="0" w:line="240" w:lineRule="auto"/>
        <w:jc w:val="both"/>
        <w:rPr>
          <w:rFonts w:ascii="Times New Roman" w:hAnsi="Times New Roman" w:cs="Times New Roman"/>
          <w:lang w:val="fr-FR"/>
        </w:rPr>
      </w:pPr>
    </w:p>
    <w:p w14:paraId="0AD886BA" w14:textId="08D889A7" w:rsidR="004A755E" w:rsidRPr="00403C55" w:rsidRDefault="00345876" w:rsidP="00720FD7">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Figure 1 : Vue d’ensemble des cinq activités/questions les plus fréquemment indiquées comme </w:t>
      </w:r>
      <w:r w:rsidR="00B97CEB" w:rsidRPr="00403C55">
        <w:rPr>
          <w:rFonts w:ascii="Times New Roman" w:hAnsi="Times New Roman" w:cs="Times New Roman"/>
          <w:i/>
          <w:lang w:val="fr-FR"/>
        </w:rPr>
        <w:t>favorisant</w:t>
      </w:r>
      <w:r w:rsidRPr="00403C55">
        <w:rPr>
          <w:rFonts w:ascii="Times New Roman" w:hAnsi="Times New Roman" w:cs="Times New Roman"/>
          <w:i/>
          <w:lang w:val="fr-FR"/>
        </w:rPr>
        <w:t xml:space="preserve"> une mise en œuvre effic</w:t>
      </w:r>
      <w:r w:rsidR="000A1F2D">
        <w:rPr>
          <w:rFonts w:ascii="Times New Roman" w:hAnsi="Times New Roman" w:cs="Times New Roman"/>
          <w:i/>
          <w:lang w:val="fr-FR"/>
        </w:rPr>
        <w:t>ace</w:t>
      </w:r>
      <w:r w:rsidRPr="00403C55">
        <w:rPr>
          <w:rFonts w:ascii="Times New Roman" w:hAnsi="Times New Roman" w:cs="Times New Roman"/>
          <w:i/>
          <w:lang w:val="fr-FR"/>
        </w:rPr>
        <w:t xml:space="preserve"> des plans </w:t>
      </w:r>
      <w:r w:rsidR="0003562F">
        <w:rPr>
          <w:rFonts w:ascii="Times New Roman" w:hAnsi="Times New Roman" w:cs="Times New Roman"/>
          <w:i/>
          <w:lang w:val="fr-FR"/>
        </w:rPr>
        <w:t>d’action</w:t>
      </w:r>
      <w:r w:rsidRPr="00403C55">
        <w:rPr>
          <w:rFonts w:ascii="Times New Roman" w:hAnsi="Times New Roman" w:cs="Times New Roman"/>
          <w:i/>
          <w:lang w:val="fr-FR"/>
        </w:rPr>
        <w:t xml:space="preserve"> et de gestion internationaux par espèce </w:t>
      </w:r>
      <w:r w:rsidR="0003562F">
        <w:rPr>
          <w:rFonts w:ascii="Times New Roman" w:hAnsi="Times New Roman" w:cs="Times New Roman"/>
          <w:i/>
          <w:lang w:val="fr-FR"/>
        </w:rPr>
        <w:t>de l’AEWA</w:t>
      </w:r>
      <w:r w:rsidRPr="00403C55">
        <w:rPr>
          <w:rFonts w:ascii="Times New Roman" w:hAnsi="Times New Roman" w:cs="Times New Roman"/>
          <w:i/>
          <w:lang w:val="fr-FR"/>
        </w:rPr>
        <w:t>.</w:t>
      </w:r>
    </w:p>
    <w:p w14:paraId="119F6F2B" w14:textId="77777777" w:rsidR="0085708F" w:rsidRPr="00403C55" w:rsidRDefault="0085708F" w:rsidP="00720FD7">
      <w:pPr>
        <w:spacing w:after="0" w:line="240" w:lineRule="auto"/>
        <w:jc w:val="both"/>
        <w:rPr>
          <w:rFonts w:ascii="Times New Roman" w:hAnsi="Times New Roman" w:cs="Times New Roman"/>
          <w:i/>
          <w:lang w:val="fr-FR"/>
        </w:rPr>
      </w:pPr>
    </w:p>
    <w:p w14:paraId="3DBFC801" w14:textId="77777777" w:rsidR="004A755E" w:rsidRPr="00403C55" w:rsidRDefault="004A755E" w:rsidP="00EA76C5">
      <w:pPr>
        <w:spacing w:after="0" w:line="240" w:lineRule="auto"/>
        <w:jc w:val="both"/>
        <w:rPr>
          <w:rFonts w:ascii="Times New Roman" w:hAnsi="Times New Roman" w:cs="Times New Roman"/>
          <w:lang w:val="fr-FR"/>
        </w:rPr>
      </w:pPr>
    </w:p>
    <w:p w14:paraId="1A1F4886" w14:textId="373BEF62" w:rsidR="004A755E" w:rsidRPr="00403C55" w:rsidRDefault="00C238F0" w:rsidP="00720FD7">
      <w:pPr>
        <w:spacing w:after="0" w:line="240" w:lineRule="auto"/>
        <w:jc w:val="both"/>
        <w:rPr>
          <w:rFonts w:ascii="Times New Roman" w:hAnsi="Times New Roman" w:cs="Times New Roman"/>
          <w:lang w:val="fr-FR"/>
        </w:rPr>
      </w:pPr>
      <w:r w:rsidRPr="00403C55">
        <w:rPr>
          <w:noProof/>
          <w:lang w:val="en-US"/>
        </w:rPr>
        <w:lastRenderedPageBreak/>
        <w:drawing>
          <wp:inline distT="0" distB="0" distL="0" distR="0" wp14:anchorId="115B6416" wp14:editId="5096CF65">
            <wp:extent cx="4657725" cy="2847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59B322" w14:textId="77777777" w:rsidR="00B97CEB" w:rsidRPr="00403C55" w:rsidRDefault="00B97CEB" w:rsidP="00720FD7">
      <w:pPr>
        <w:spacing w:after="0" w:line="240" w:lineRule="auto"/>
        <w:jc w:val="both"/>
        <w:rPr>
          <w:rFonts w:ascii="Times New Roman" w:hAnsi="Times New Roman" w:cs="Times New Roman"/>
          <w:lang w:val="fr-FR"/>
        </w:rPr>
      </w:pPr>
    </w:p>
    <w:p w14:paraId="36F2C7C6" w14:textId="77777777" w:rsidR="00B97CEB" w:rsidRPr="00403C55" w:rsidRDefault="00B97CEB" w:rsidP="00720FD7">
      <w:pPr>
        <w:spacing w:after="0" w:line="240" w:lineRule="auto"/>
        <w:jc w:val="both"/>
        <w:rPr>
          <w:rFonts w:ascii="Times New Roman" w:hAnsi="Times New Roman" w:cs="Times New Roman"/>
          <w:lang w:val="fr-FR"/>
        </w:rPr>
      </w:pPr>
    </w:p>
    <w:p w14:paraId="1AE6BE30" w14:textId="4C3A8529"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Manque de financement adéquat</w:t>
      </w:r>
    </w:p>
    <w:p w14:paraId="24F453AB" w14:textId="019C93A4"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Manque de participation gouvernementale et de gestion</w:t>
      </w:r>
    </w:p>
    <w:p w14:paraId="0C3C552F" w14:textId="4BB3BCA7"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Manque de capacité humaine et technique</w:t>
      </w:r>
    </w:p>
    <w:p w14:paraId="091026F8" w14:textId="600713AE"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Manque de coopération</w:t>
      </w:r>
    </w:p>
    <w:p w14:paraId="7E355B93" w14:textId="49C9C561" w:rsidR="00B97CEB" w:rsidRPr="00CB0D85" w:rsidRDefault="00B97CEB" w:rsidP="00720FD7">
      <w:pPr>
        <w:spacing w:after="0" w:line="240" w:lineRule="auto"/>
        <w:jc w:val="both"/>
        <w:rPr>
          <w:rFonts w:ascii="Arial" w:hAnsi="Arial" w:cs="Arial"/>
          <w:sz w:val="18"/>
          <w:szCs w:val="18"/>
          <w:lang w:val="fr-FR"/>
        </w:rPr>
      </w:pPr>
      <w:r w:rsidRPr="00CB0D85">
        <w:rPr>
          <w:rFonts w:ascii="Arial" w:hAnsi="Arial" w:cs="Arial"/>
          <w:sz w:val="18"/>
          <w:szCs w:val="18"/>
          <w:lang w:val="fr-FR"/>
        </w:rPr>
        <w:t>Manque de réglementation de la chasse, de leur application, etc.</w:t>
      </w:r>
    </w:p>
    <w:p w14:paraId="3B54BC82" w14:textId="77777777" w:rsidR="00B97CEB" w:rsidRPr="00CB0D85" w:rsidRDefault="00B97CEB" w:rsidP="00720FD7">
      <w:pPr>
        <w:spacing w:after="0" w:line="240" w:lineRule="auto"/>
        <w:jc w:val="both"/>
        <w:rPr>
          <w:rFonts w:ascii="Arial" w:hAnsi="Arial" w:cs="Arial"/>
          <w:lang w:val="fr-FR"/>
        </w:rPr>
      </w:pPr>
    </w:p>
    <w:p w14:paraId="3D2DF5C7" w14:textId="7DBE8972" w:rsidR="004A755E" w:rsidRPr="00403C55" w:rsidRDefault="00345876" w:rsidP="004A755E">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Figure 2 : Vue d’ensemble des cinq obstacles/questions les plus fréquemment indiqués comme entravant une mise en œuvre effic</w:t>
      </w:r>
      <w:r w:rsidR="000A1F2D">
        <w:rPr>
          <w:rFonts w:ascii="Times New Roman" w:hAnsi="Times New Roman" w:cs="Times New Roman"/>
          <w:i/>
          <w:lang w:val="fr-FR"/>
        </w:rPr>
        <w:t>ace</w:t>
      </w:r>
      <w:r w:rsidRPr="00403C55">
        <w:rPr>
          <w:rFonts w:ascii="Times New Roman" w:hAnsi="Times New Roman" w:cs="Times New Roman"/>
          <w:i/>
          <w:lang w:val="fr-FR"/>
        </w:rPr>
        <w:t xml:space="preserve"> des plans </w:t>
      </w:r>
      <w:r w:rsidR="0003562F">
        <w:rPr>
          <w:rFonts w:ascii="Times New Roman" w:hAnsi="Times New Roman" w:cs="Times New Roman"/>
          <w:i/>
          <w:lang w:val="fr-FR"/>
        </w:rPr>
        <w:t>d’action</w:t>
      </w:r>
      <w:r w:rsidRPr="00403C55">
        <w:rPr>
          <w:rFonts w:ascii="Times New Roman" w:hAnsi="Times New Roman" w:cs="Times New Roman"/>
          <w:i/>
          <w:lang w:val="fr-FR"/>
        </w:rPr>
        <w:t xml:space="preserve"> et de gestion internationaux par espèce </w:t>
      </w:r>
      <w:r w:rsidR="0003562F">
        <w:rPr>
          <w:rFonts w:ascii="Times New Roman" w:hAnsi="Times New Roman" w:cs="Times New Roman"/>
          <w:i/>
          <w:lang w:val="fr-FR"/>
        </w:rPr>
        <w:t>de l’AEWA</w:t>
      </w:r>
      <w:r w:rsidRPr="00403C55">
        <w:rPr>
          <w:rFonts w:ascii="Times New Roman" w:hAnsi="Times New Roman" w:cs="Times New Roman"/>
          <w:i/>
          <w:lang w:val="fr-FR"/>
        </w:rPr>
        <w:t>.</w:t>
      </w:r>
    </w:p>
    <w:p w14:paraId="672E4F7F" w14:textId="5A55928B" w:rsidR="002C4677" w:rsidRPr="00403C55" w:rsidRDefault="002C4677" w:rsidP="00720FD7">
      <w:pPr>
        <w:spacing w:after="0" w:line="240" w:lineRule="auto"/>
        <w:jc w:val="both"/>
        <w:rPr>
          <w:rFonts w:ascii="Times New Roman" w:hAnsi="Times New Roman" w:cs="Times New Roman"/>
          <w:lang w:val="fr-FR"/>
        </w:rPr>
      </w:pPr>
      <w:r w:rsidRPr="00403C55">
        <w:rPr>
          <w:rFonts w:ascii="Times New Roman" w:hAnsi="Times New Roman" w:cs="Times New Roman"/>
          <w:lang w:val="fr-FR"/>
        </w:rPr>
        <w:br w:type="page"/>
      </w:r>
    </w:p>
    <w:p w14:paraId="5F8C70A7" w14:textId="11F29069" w:rsidR="002C4677" w:rsidRPr="00403C55" w:rsidRDefault="002C4677" w:rsidP="002C4677">
      <w:pPr>
        <w:shd w:val="clear" w:color="auto" w:fill="C6D9F1" w:themeFill="text2" w:themeFillTint="33"/>
        <w:spacing w:after="0" w:line="240" w:lineRule="auto"/>
        <w:rPr>
          <w:rFonts w:ascii="Times New Roman" w:hAnsi="Times New Roman" w:cs="Times New Roman"/>
          <w:i/>
          <w:sz w:val="24"/>
          <w:szCs w:val="24"/>
          <w:lang w:val="fr-FR"/>
        </w:rPr>
      </w:pPr>
      <w:r w:rsidRPr="00403C55">
        <w:rPr>
          <w:rFonts w:ascii="Times New Roman" w:hAnsi="Times New Roman" w:cs="Times New Roman"/>
          <w:sz w:val="24"/>
          <w:szCs w:val="24"/>
          <w:lang w:val="fr-FR"/>
        </w:rPr>
        <w:lastRenderedPageBreak/>
        <w:t xml:space="preserve">7. </w:t>
      </w:r>
      <w:r w:rsidR="002E07FE" w:rsidRPr="00403C55">
        <w:rPr>
          <w:rFonts w:ascii="Times New Roman" w:hAnsi="Times New Roman" w:cs="Times New Roman"/>
          <w:sz w:val="24"/>
          <w:szCs w:val="24"/>
          <w:lang w:val="fr-FR"/>
        </w:rPr>
        <w:t>CONCLUSIONS</w:t>
      </w:r>
      <w:r w:rsidRPr="00403C55">
        <w:rPr>
          <w:rFonts w:ascii="Times New Roman" w:hAnsi="Times New Roman" w:cs="Times New Roman"/>
          <w:sz w:val="24"/>
          <w:szCs w:val="24"/>
          <w:lang w:val="fr-FR"/>
        </w:rPr>
        <w:t xml:space="preserve"> </w:t>
      </w:r>
    </w:p>
    <w:p w14:paraId="29CA941B" w14:textId="77777777" w:rsidR="002C4677" w:rsidRPr="00403C55" w:rsidRDefault="002C4677" w:rsidP="002C4677">
      <w:pPr>
        <w:spacing w:after="0" w:line="240" w:lineRule="auto"/>
        <w:jc w:val="both"/>
        <w:rPr>
          <w:rFonts w:ascii="Times New Roman" w:hAnsi="Times New Roman" w:cs="Times New Roman"/>
          <w:lang w:val="fr-FR"/>
        </w:rPr>
      </w:pPr>
    </w:p>
    <w:p w14:paraId="4F5EB49F" w14:textId="3FF11E9A" w:rsidR="00AF7823" w:rsidRPr="00403C55" w:rsidRDefault="002E07FE" w:rsidP="002C4677">
      <w:pPr>
        <w:spacing w:after="0" w:line="240" w:lineRule="auto"/>
        <w:jc w:val="both"/>
        <w:rPr>
          <w:rFonts w:ascii="Times New Roman" w:hAnsi="Times New Roman" w:cs="Times New Roman"/>
          <w:lang w:val="fr-FR"/>
        </w:rPr>
      </w:pPr>
      <w:r w:rsidRPr="00403C55">
        <w:rPr>
          <w:rFonts w:ascii="Times New Roman" w:hAnsi="Times New Roman" w:cs="Times New Roman"/>
          <w:b/>
          <w:lang w:val="fr-FR"/>
        </w:rPr>
        <w:t>Les P</w:t>
      </w:r>
      <w:r w:rsidR="000A1F2D">
        <w:rPr>
          <w:rFonts w:ascii="Times New Roman" w:hAnsi="Times New Roman" w:cs="Times New Roman"/>
          <w:b/>
          <w:lang w:val="fr-FR"/>
        </w:rPr>
        <w:t>l</w:t>
      </w:r>
      <w:r w:rsidRPr="00403C55">
        <w:rPr>
          <w:rFonts w:ascii="Times New Roman" w:hAnsi="Times New Roman" w:cs="Times New Roman"/>
          <w:b/>
          <w:lang w:val="fr-FR"/>
        </w:rPr>
        <w:t xml:space="preserve">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et de gestion internationaux par espèce </w:t>
      </w:r>
      <w:r w:rsidR="0003562F">
        <w:rPr>
          <w:rFonts w:ascii="Times New Roman" w:hAnsi="Times New Roman" w:cs="Times New Roman"/>
          <w:b/>
          <w:lang w:val="fr-FR"/>
        </w:rPr>
        <w:t>de l’AEWA</w:t>
      </w:r>
      <w:r w:rsidR="001831B7">
        <w:rPr>
          <w:rFonts w:ascii="Times New Roman" w:hAnsi="Times New Roman" w:cs="Times New Roman"/>
          <w:b/>
          <w:lang w:val="fr-FR"/>
        </w:rPr>
        <w:t xml:space="preserve"> peuvent potentiellement être des</w:t>
      </w:r>
      <w:r w:rsidRPr="00403C55">
        <w:rPr>
          <w:rFonts w:ascii="Times New Roman" w:hAnsi="Times New Roman" w:cs="Times New Roman"/>
          <w:b/>
          <w:lang w:val="fr-FR"/>
        </w:rPr>
        <w:t xml:space="preserve"> outil</w:t>
      </w:r>
      <w:r w:rsidR="001831B7">
        <w:rPr>
          <w:rFonts w:ascii="Times New Roman" w:hAnsi="Times New Roman" w:cs="Times New Roman"/>
          <w:b/>
          <w:lang w:val="fr-FR"/>
        </w:rPr>
        <w:t>s essentiels</w:t>
      </w:r>
      <w:r w:rsidRPr="00403C55">
        <w:rPr>
          <w:rFonts w:ascii="Times New Roman" w:hAnsi="Times New Roman" w:cs="Times New Roman"/>
          <w:b/>
          <w:lang w:val="fr-FR"/>
        </w:rPr>
        <w:t xml:space="preserve"> pour la conservation et l’utilisation durable coordonnées des oiseaux d’eau migrateurs </w:t>
      </w:r>
      <w:r w:rsidR="000A1F2D">
        <w:rPr>
          <w:rFonts w:ascii="Times New Roman" w:hAnsi="Times New Roman" w:cs="Times New Roman"/>
          <w:b/>
          <w:lang w:val="fr-FR"/>
        </w:rPr>
        <w:t>en vertu de</w:t>
      </w:r>
      <w:r w:rsidRPr="00403C55">
        <w:rPr>
          <w:rFonts w:ascii="Times New Roman" w:hAnsi="Times New Roman" w:cs="Times New Roman"/>
          <w:b/>
          <w:lang w:val="fr-FR"/>
        </w:rPr>
        <w:t xml:space="preserve"> l’Accord.</w:t>
      </w:r>
      <w:r w:rsidR="00AF7823" w:rsidRPr="00403C55">
        <w:rPr>
          <w:rFonts w:ascii="Times New Roman" w:hAnsi="Times New Roman" w:cs="Times New Roman"/>
          <w:lang w:val="fr-FR"/>
        </w:rPr>
        <w:t xml:space="preserve"> </w:t>
      </w:r>
      <w:r w:rsidRPr="00403C55">
        <w:rPr>
          <w:rFonts w:ascii="Times New Roman" w:hAnsi="Times New Roman" w:cs="Times New Roman"/>
          <w:lang w:val="fr-FR"/>
        </w:rPr>
        <w:t xml:space="preserve">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ont souligné que l’établissement de plans in</w:t>
      </w:r>
      <w:r w:rsidR="00A23749">
        <w:rPr>
          <w:rFonts w:ascii="Times New Roman" w:hAnsi="Times New Roman" w:cs="Times New Roman"/>
          <w:lang w:val="fr-FR"/>
        </w:rPr>
        <w:t xml:space="preserve">ternationaux et nationaux, </w:t>
      </w:r>
      <w:r w:rsidR="000A1F2D">
        <w:rPr>
          <w:rFonts w:ascii="Times New Roman" w:hAnsi="Times New Roman" w:cs="Times New Roman"/>
          <w:lang w:val="fr-FR"/>
        </w:rPr>
        <w:t>assorti d</w:t>
      </w:r>
      <w:r w:rsidR="00A23749">
        <w:rPr>
          <w:rFonts w:ascii="Times New Roman" w:hAnsi="Times New Roman" w:cs="Times New Roman"/>
          <w:lang w:val="fr-FR"/>
        </w:rPr>
        <w:t>e l’</w:t>
      </w:r>
      <w:r w:rsidRPr="00403C55">
        <w:rPr>
          <w:rFonts w:ascii="Times New Roman" w:hAnsi="Times New Roman" w:cs="Times New Roman"/>
          <w:lang w:val="fr-FR"/>
        </w:rPr>
        <w:t>amélioration de la coopération internationale et nationale</w:t>
      </w:r>
      <w:r w:rsidR="00A23749">
        <w:rPr>
          <w:rFonts w:ascii="Times New Roman" w:hAnsi="Times New Roman" w:cs="Times New Roman"/>
          <w:lang w:val="fr-FR"/>
        </w:rPr>
        <w:t>,</w:t>
      </w:r>
      <w:r w:rsidRPr="00403C55">
        <w:rPr>
          <w:rFonts w:ascii="Times New Roman" w:hAnsi="Times New Roman" w:cs="Times New Roman"/>
          <w:lang w:val="fr-FR"/>
        </w:rPr>
        <w:t xml:space="preserve"> avait une valeur particulière pour la mise en œuvre des activités de conservation et de gestion des espèces.</w:t>
      </w:r>
      <w:r w:rsidR="008B7447" w:rsidRPr="00403C55">
        <w:rPr>
          <w:rFonts w:ascii="Times New Roman" w:hAnsi="Times New Roman" w:cs="Times New Roman"/>
          <w:lang w:val="fr-FR"/>
        </w:rPr>
        <w:t xml:space="preserve"> </w:t>
      </w:r>
      <w:r w:rsidRPr="00403C55">
        <w:rPr>
          <w:rFonts w:ascii="Times New Roman" w:hAnsi="Times New Roman" w:cs="Times New Roman"/>
          <w:lang w:val="fr-FR"/>
        </w:rPr>
        <w:t>Toutefois, comme indiqué ci-dessous,</w:t>
      </w:r>
      <w:r w:rsidR="001831B7">
        <w:rPr>
          <w:rFonts w:ascii="Times New Roman" w:hAnsi="Times New Roman" w:cs="Times New Roman"/>
          <w:lang w:val="fr-FR"/>
        </w:rPr>
        <w:t xml:space="preserve"> nous sommes loin d’utiliser ces</w:t>
      </w:r>
      <w:r w:rsidRPr="00403C55">
        <w:rPr>
          <w:rFonts w:ascii="Times New Roman" w:hAnsi="Times New Roman" w:cs="Times New Roman"/>
          <w:lang w:val="fr-FR"/>
        </w:rPr>
        <w:t xml:space="preserve"> outil</w:t>
      </w:r>
      <w:r w:rsidR="001831B7">
        <w:rPr>
          <w:rFonts w:ascii="Times New Roman" w:hAnsi="Times New Roman" w:cs="Times New Roman"/>
          <w:lang w:val="fr-FR"/>
        </w:rPr>
        <w:t>s pleinement</w:t>
      </w:r>
      <w:r w:rsidRPr="00403C55">
        <w:rPr>
          <w:rFonts w:ascii="Times New Roman" w:hAnsi="Times New Roman" w:cs="Times New Roman"/>
          <w:lang w:val="fr-FR"/>
        </w:rPr>
        <w:t>.</w:t>
      </w:r>
      <w:r w:rsidR="001831B7">
        <w:rPr>
          <w:rFonts w:ascii="Times New Roman" w:hAnsi="Times New Roman" w:cs="Times New Roman"/>
          <w:lang w:val="fr-FR"/>
        </w:rPr>
        <w:t xml:space="preserve"> Bien que les plans d’action en particulier permettent de parvenir à un consensus international sur le type de mesures requises et le lancement d’une action, leur plein potentiel n’est pas souvent réalisé, en raison d’un manque de financement et d’engagement des gouvernements.   </w:t>
      </w:r>
      <w:r w:rsidR="00985A4E">
        <w:rPr>
          <w:rFonts w:ascii="Times New Roman" w:hAnsi="Times New Roman" w:cs="Times New Roman"/>
          <w:lang w:val="fr-FR"/>
        </w:rPr>
        <w:t xml:space="preserve"> </w:t>
      </w:r>
    </w:p>
    <w:p w14:paraId="713614AF" w14:textId="77777777" w:rsidR="00AF7823" w:rsidRPr="00403C55" w:rsidRDefault="00AF7823" w:rsidP="002C4677">
      <w:pPr>
        <w:spacing w:after="0" w:line="240" w:lineRule="auto"/>
        <w:jc w:val="both"/>
        <w:rPr>
          <w:rFonts w:ascii="Times New Roman" w:hAnsi="Times New Roman" w:cs="Times New Roman"/>
          <w:lang w:val="fr-FR"/>
        </w:rPr>
      </w:pPr>
    </w:p>
    <w:p w14:paraId="11D5208C" w14:textId="09CDA5CA" w:rsidR="008B7447" w:rsidRPr="00403C55" w:rsidRDefault="002E07FE"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Comme décrit ci-dessus dans la vue d’ensemble (chapitres 1-4), un </w:t>
      </w:r>
      <w:r w:rsidRPr="00403C55">
        <w:rPr>
          <w:rFonts w:ascii="Times New Roman" w:hAnsi="Times New Roman" w:cs="Times New Roman"/>
          <w:b/>
          <w:lang w:val="fr-FR"/>
        </w:rPr>
        <w:t>processus rigoureux de planification de l’action et de la gestion</w:t>
      </w:r>
      <w:r w:rsidRPr="00403C55">
        <w:rPr>
          <w:rFonts w:ascii="Times New Roman" w:hAnsi="Times New Roman" w:cs="Times New Roman"/>
          <w:lang w:val="fr-FR"/>
        </w:rPr>
        <w:t xml:space="preserve"> a été élaboré </w:t>
      </w:r>
      <w:r w:rsidR="000A1F2D">
        <w:rPr>
          <w:rFonts w:ascii="Times New Roman" w:hAnsi="Times New Roman" w:cs="Times New Roman"/>
          <w:lang w:val="fr-FR"/>
        </w:rPr>
        <w:t xml:space="preserve">au fil du temps dans le cadre de </w:t>
      </w:r>
      <w:r w:rsidRPr="00403C55">
        <w:rPr>
          <w:rFonts w:ascii="Times New Roman" w:hAnsi="Times New Roman" w:cs="Times New Roman"/>
          <w:lang w:val="fr-FR"/>
        </w:rPr>
        <w:t>l’Accord.</w:t>
      </w:r>
      <w:r w:rsidR="000937A0" w:rsidRPr="00403C55">
        <w:rPr>
          <w:rFonts w:ascii="Times New Roman" w:hAnsi="Times New Roman" w:cs="Times New Roman"/>
          <w:lang w:val="fr-FR"/>
        </w:rPr>
        <w:t xml:space="preserve"> </w:t>
      </w:r>
      <w:r w:rsidRPr="00403C55">
        <w:rPr>
          <w:rFonts w:ascii="Times New Roman" w:hAnsi="Times New Roman" w:cs="Times New Roman"/>
          <w:lang w:val="fr-FR"/>
        </w:rPr>
        <w:t xml:space="preserve">Chaque étape de ce processus – des procédures de première rédaction et de consultation à l’établissement de groupes internationaux de travail et d’experts, et </w:t>
      </w:r>
      <w:r w:rsidR="00AB69AD" w:rsidRPr="00403C55">
        <w:rPr>
          <w:rFonts w:ascii="Times New Roman" w:hAnsi="Times New Roman" w:cs="Times New Roman"/>
          <w:lang w:val="fr-FR"/>
        </w:rPr>
        <w:t xml:space="preserve">de plans </w:t>
      </w:r>
      <w:r w:rsidR="0003562F">
        <w:rPr>
          <w:rFonts w:ascii="Times New Roman" w:hAnsi="Times New Roman" w:cs="Times New Roman"/>
          <w:lang w:val="fr-FR"/>
        </w:rPr>
        <w:t>d’action</w:t>
      </w:r>
      <w:r w:rsidR="00AB69AD" w:rsidRPr="00403C55">
        <w:rPr>
          <w:rFonts w:ascii="Times New Roman" w:hAnsi="Times New Roman" w:cs="Times New Roman"/>
          <w:lang w:val="fr-FR"/>
        </w:rPr>
        <w:t xml:space="preserve"> et de groupes de travail nationaux</w:t>
      </w:r>
      <w:r w:rsidR="0032381F">
        <w:rPr>
          <w:rFonts w:ascii="Times New Roman" w:hAnsi="Times New Roman" w:cs="Times New Roman"/>
          <w:lang w:val="fr-FR"/>
        </w:rPr>
        <w:t>, selon qu’il convient,</w:t>
      </w:r>
      <w:r w:rsidR="00985A4E">
        <w:rPr>
          <w:rFonts w:ascii="Times New Roman" w:hAnsi="Times New Roman" w:cs="Times New Roman"/>
          <w:lang w:val="fr-FR"/>
        </w:rPr>
        <w:t xml:space="preserve"> </w:t>
      </w:r>
      <w:r w:rsidR="00AB69AD" w:rsidRPr="00403C55">
        <w:rPr>
          <w:rFonts w:ascii="Times New Roman" w:hAnsi="Times New Roman" w:cs="Times New Roman"/>
          <w:lang w:val="fr-FR"/>
        </w:rPr>
        <w:t>- vise à être transparente</w:t>
      </w:r>
      <w:r w:rsidRPr="00403C55">
        <w:rPr>
          <w:rFonts w:ascii="Times New Roman" w:hAnsi="Times New Roman" w:cs="Times New Roman"/>
          <w:lang w:val="fr-FR"/>
        </w:rPr>
        <w:t xml:space="preserve">, inclusive </w:t>
      </w:r>
      <w:r w:rsidR="00AB69AD" w:rsidRPr="00403C55">
        <w:rPr>
          <w:rFonts w:ascii="Times New Roman" w:hAnsi="Times New Roman" w:cs="Times New Roman"/>
          <w:lang w:val="fr-FR"/>
        </w:rPr>
        <w:t xml:space="preserve">et, plus important encore, </w:t>
      </w:r>
      <w:r w:rsidRPr="00403C55">
        <w:rPr>
          <w:rFonts w:ascii="Times New Roman" w:hAnsi="Times New Roman" w:cs="Times New Roman"/>
          <w:lang w:val="fr-FR"/>
        </w:rPr>
        <w:t>intergo</w:t>
      </w:r>
      <w:r w:rsidR="00AB69AD" w:rsidRPr="00403C55">
        <w:rPr>
          <w:rFonts w:ascii="Times New Roman" w:hAnsi="Times New Roman" w:cs="Times New Roman"/>
          <w:lang w:val="fr-FR"/>
        </w:rPr>
        <w:t>u</w:t>
      </w:r>
      <w:r w:rsidRPr="00403C55">
        <w:rPr>
          <w:rFonts w:ascii="Times New Roman" w:hAnsi="Times New Roman" w:cs="Times New Roman"/>
          <w:lang w:val="fr-FR"/>
        </w:rPr>
        <w:t>vern</w:t>
      </w:r>
      <w:r w:rsidR="00AB69AD" w:rsidRPr="00403C55">
        <w:rPr>
          <w:rFonts w:ascii="Times New Roman" w:hAnsi="Times New Roman" w:cs="Times New Roman"/>
          <w:lang w:val="fr-FR"/>
        </w:rPr>
        <w:t>e</w:t>
      </w:r>
      <w:r w:rsidRPr="00403C55">
        <w:rPr>
          <w:rFonts w:ascii="Times New Roman" w:hAnsi="Times New Roman" w:cs="Times New Roman"/>
          <w:lang w:val="fr-FR"/>
        </w:rPr>
        <w:t>mental</w:t>
      </w:r>
      <w:r w:rsidR="00AB69AD" w:rsidRPr="00403C55">
        <w:rPr>
          <w:rFonts w:ascii="Times New Roman" w:hAnsi="Times New Roman" w:cs="Times New Roman"/>
          <w:lang w:val="fr-FR"/>
        </w:rPr>
        <w:t>e</w:t>
      </w:r>
      <w:r w:rsidRPr="00403C55">
        <w:rPr>
          <w:rFonts w:ascii="Times New Roman" w:hAnsi="Times New Roman" w:cs="Times New Roman"/>
          <w:lang w:val="fr-FR"/>
        </w:rPr>
        <w:t xml:space="preserve"> </w:t>
      </w:r>
      <w:r w:rsidR="00AB69AD" w:rsidRPr="00403C55">
        <w:rPr>
          <w:rFonts w:ascii="Times New Roman" w:hAnsi="Times New Roman" w:cs="Times New Roman"/>
          <w:lang w:val="fr-FR"/>
        </w:rPr>
        <w:t>pour promouvoir l</w:t>
      </w:r>
      <w:r w:rsidR="00AB69AD" w:rsidRPr="000A1F2D">
        <w:rPr>
          <w:rFonts w:ascii="Times New Roman" w:hAnsi="Times New Roman" w:cs="Times New Roman"/>
          <w:lang w:val="fr-FR"/>
        </w:rPr>
        <w:t>a participation des gouvernements</w:t>
      </w:r>
      <w:r w:rsidRPr="000A1F2D">
        <w:rPr>
          <w:rFonts w:ascii="Times New Roman" w:hAnsi="Times New Roman" w:cs="Times New Roman"/>
          <w:lang w:val="fr-FR"/>
        </w:rPr>
        <w:t>.</w:t>
      </w:r>
      <w:r w:rsidR="000937A0" w:rsidRPr="000A1F2D">
        <w:rPr>
          <w:rFonts w:ascii="Times New Roman" w:hAnsi="Times New Roman" w:cs="Times New Roman"/>
          <w:lang w:val="fr-FR"/>
        </w:rPr>
        <w:t xml:space="preserve"> </w:t>
      </w:r>
      <w:r w:rsidR="00AB69AD" w:rsidRPr="000A1F2D">
        <w:rPr>
          <w:rFonts w:ascii="Times New Roman" w:hAnsi="Times New Roman" w:cs="Times New Roman"/>
          <w:lang w:val="fr-FR"/>
        </w:rPr>
        <w:t xml:space="preserve">Bien que quelques modifications </w:t>
      </w:r>
      <w:r w:rsidR="00DD72D0" w:rsidRPr="000A1F2D">
        <w:rPr>
          <w:rFonts w:ascii="Times New Roman" w:hAnsi="Times New Roman" w:cs="Times New Roman"/>
          <w:lang w:val="fr-FR"/>
        </w:rPr>
        <w:t>doivent</w:t>
      </w:r>
      <w:r w:rsidR="00AB69AD" w:rsidRPr="000A1F2D">
        <w:rPr>
          <w:rFonts w:ascii="Times New Roman" w:hAnsi="Times New Roman" w:cs="Times New Roman"/>
          <w:lang w:val="fr-FR"/>
        </w:rPr>
        <w:t xml:space="preserve"> certainement </w:t>
      </w:r>
      <w:r w:rsidR="00DD72D0" w:rsidRPr="000A1F2D">
        <w:rPr>
          <w:rFonts w:ascii="Times New Roman" w:hAnsi="Times New Roman" w:cs="Times New Roman"/>
          <w:lang w:val="fr-FR"/>
        </w:rPr>
        <w:t xml:space="preserve">être apportées </w:t>
      </w:r>
      <w:r w:rsidR="00A23749" w:rsidRPr="000A1F2D">
        <w:rPr>
          <w:rFonts w:ascii="Times New Roman" w:hAnsi="Times New Roman" w:cs="Times New Roman"/>
          <w:lang w:val="fr-FR"/>
        </w:rPr>
        <w:t>à</w:t>
      </w:r>
      <w:r w:rsidR="00DD72D0" w:rsidRPr="000A1F2D">
        <w:rPr>
          <w:rFonts w:ascii="Times New Roman" w:hAnsi="Times New Roman" w:cs="Times New Roman"/>
          <w:lang w:val="fr-FR"/>
        </w:rPr>
        <w:t xml:space="preserve"> ces process</w:t>
      </w:r>
      <w:r w:rsidR="00DD72D0" w:rsidRPr="00403C55">
        <w:rPr>
          <w:rFonts w:ascii="Times New Roman" w:hAnsi="Times New Roman" w:cs="Times New Roman"/>
          <w:lang w:val="fr-FR"/>
        </w:rPr>
        <w:t>us</w:t>
      </w:r>
      <w:r w:rsidR="00AB69AD" w:rsidRPr="00403C55">
        <w:rPr>
          <w:rFonts w:ascii="Times New Roman" w:hAnsi="Times New Roman" w:cs="Times New Roman"/>
          <w:lang w:val="fr-FR"/>
        </w:rPr>
        <w:t xml:space="preserve">, ils forment un cadre robuste pour le futur classement par ordre de priorité, développement et révision ou retrait de plans </w:t>
      </w:r>
      <w:r w:rsidR="0003562F">
        <w:rPr>
          <w:rFonts w:ascii="Times New Roman" w:hAnsi="Times New Roman" w:cs="Times New Roman"/>
          <w:lang w:val="fr-FR"/>
        </w:rPr>
        <w:t>d’action</w:t>
      </w:r>
      <w:r w:rsidR="00AB69AD" w:rsidRPr="00403C55">
        <w:rPr>
          <w:rFonts w:ascii="Times New Roman" w:hAnsi="Times New Roman" w:cs="Times New Roman"/>
          <w:lang w:val="fr-FR"/>
        </w:rPr>
        <w:t xml:space="preserve"> et de gestion internationaux par espèce </w:t>
      </w:r>
      <w:r w:rsidR="0003562F">
        <w:rPr>
          <w:rFonts w:ascii="Times New Roman" w:hAnsi="Times New Roman" w:cs="Times New Roman"/>
          <w:lang w:val="fr-FR"/>
        </w:rPr>
        <w:t>de l’AEWA</w:t>
      </w:r>
      <w:r w:rsidR="00AB69AD" w:rsidRPr="00403C55">
        <w:rPr>
          <w:rFonts w:ascii="Times New Roman" w:hAnsi="Times New Roman" w:cs="Times New Roman"/>
          <w:lang w:val="fr-FR"/>
        </w:rPr>
        <w:t>.</w:t>
      </w:r>
      <w:r w:rsidR="00EE766F">
        <w:rPr>
          <w:rFonts w:ascii="Times New Roman" w:hAnsi="Times New Roman" w:cs="Times New Roman"/>
          <w:lang w:val="fr-FR"/>
        </w:rPr>
        <w:t xml:space="preserve"> </w:t>
      </w:r>
    </w:p>
    <w:p w14:paraId="328423DC" w14:textId="77777777" w:rsidR="008B7447" w:rsidRPr="00403C55" w:rsidRDefault="008B7447" w:rsidP="002C4677">
      <w:pPr>
        <w:spacing w:after="0" w:line="240" w:lineRule="auto"/>
        <w:jc w:val="both"/>
        <w:rPr>
          <w:rFonts w:ascii="Times New Roman" w:hAnsi="Times New Roman" w:cs="Times New Roman"/>
          <w:lang w:val="fr-FR"/>
        </w:rPr>
      </w:pPr>
    </w:p>
    <w:p w14:paraId="7DC6E6F3" w14:textId="46C588AD" w:rsidR="00221A7A" w:rsidRPr="00403C55" w:rsidRDefault="00AB69AD" w:rsidP="00221A7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revanche, </w:t>
      </w:r>
      <w:r w:rsidRPr="00403C55">
        <w:rPr>
          <w:rFonts w:ascii="Times New Roman" w:hAnsi="Times New Roman" w:cs="Times New Roman"/>
          <w:b/>
          <w:lang w:val="fr-FR"/>
        </w:rPr>
        <w:t>la mise en œuvre de</w:t>
      </w:r>
      <w:r w:rsidR="00DD72D0" w:rsidRPr="00403C55">
        <w:rPr>
          <w:rFonts w:ascii="Times New Roman" w:hAnsi="Times New Roman" w:cs="Times New Roman"/>
          <w:b/>
          <w:lang w:val="fr-FR"/>
        </w:rPr>
        <w:t>s</w:t>
      </w:r>
      <w:r w:rsidRPr="00403C55">
        <w:rPr>
          <w:rFonts w:ascii="Times New Roman" w:hAnsi="Times New Roman" w:cs="Times New Roman"/>
          <w:b/>
          <w:lang w:val="fr-FR"/>
        </w:rPr>
        <w:t xml:space="preserve"> plans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adoptés </w:t>
      </w:r>
      <w:r w:rsidR="000A1F2D">
        <w:rPr>
          <w:rFonts w:ascii="Times New Roman" w:hAnsi="Times New Roman" w:cs="Times New Roman"/>
          <w:b/>
          <w:lang w:val="fr-FR"/>
        </w:rPr>
        <w:t>est nettement insuffisante</w:t>
      </w:r>
      <w:r w:rsidRPr="00403C55">
        <w:rPr>
          <w:rFonts w:ascii="Times New Roman" w:hAnsi="Times New Roman" w:cs="Times New Roman"/>
          <w:b/>
          <w:lang w:val="fr-FR"/>
        </w:rPr>
        <w:t xml:space="preserve"> </w:t>
      </w:r>
      <w:r w:rsidRPr="00403C55">
        <w:rPr>
          <w:rFonts w:ascii="Times New Roman" w:hAnsi="Times New Roman" w:cs="Times New Roman"/>
          <w:lang w:val="fr-FR"/>
        </w:rPr>
        <w:t xml:space="preserve">(chapitres 5-6, Annexe 1-2) et des </w:t>
      </w:r>
      <w:r w:rsidRPr="00403C55">
        <w:rPr>
          <w:rFonts w:ascii="Times New Roman" w:hAnsi="Times New Roman" w:cs="Times New Roman"/>
          <w:b/>
          <w:lang w:val="fr-FR"/>
        </w:rPr>
        <w:t>mesures urgentes doivent être prises pour la revitaliser et l’intensifier</w:t>
      </w:r>
      <w:r w:rsidRPr="00403C55">
        <w:rPr>
          <w:rFonts w:ascii="Times New Roman" w:hAnsi="Times New Roman" w:cs="Times New Roman"/>
          <w:lang w:val="fr-FR"/>
        </w:rPr>
        <w:t>.</w:t>
      </w:r>
      <w:r w:rsidR="00221A7A" w:rsidRPr="00403C55">
        <w:rPr>
          <w:rFonts w:ascii="Times New Roman" w:hAnsi="Times New Roman" w:cs="Times New Roman"/>
          <w:lang w:val="fr-FR"/>
        </w:rPr>
        <w:t xml:space="preserve"> </w:t>
      </w:r>
      <w:r w:rsidR="0032381F">
        <w:rPr>
          <w:rFonts w:ascii="Times New Roman" w:hAnsi="Times New Roman" w:cs="Times New Roman"/>
          <w:lang w:val="fr-FR"/>
        </w:rPr>
        <w:t xml:space="preserve">Tout particulièrement, </w:t>
      </w:r>
      <w:r w:rsidR="0009408D">
        <w:rPr>
          <w:rFonts w:ascii="Times New Roman" w:hAnsi="Times New Roman" w:cs="Times New Roman"/>
          <w:lang w:val="fr-FR"/>
        </w:rPr>
        <w:t>d’autres délibérations doivent être menées en priorité sur la façon d’améliorer la mise en œuvre des différents plans d’action.</w:t>
      </w:r>
      <w:r w:rsidR="0032381F">
        <w:rPr>
          <w:rFonts w:ascii="Times New Roman" w:hAnsi="Times New Roman" w:cs="Times New Roman"/>
          <w:lang w:val="fr-FR"/>
        </w:rPr>
        <w:t xml:space="preserve"> </w:t>
      </w:r>
      <w:r w:rsidRPr="00403C55">
        <w:rPr>
          <w:rFonts w:ascii="Times New Roman" w:hAnsi="Times New Roman" w:cs="Times New Roman"/>
          <w:lang w:val="fr-FR"/>
        </w:rPr>
        <w:t xml:space="preserve">Comme mentionné précédemment, l’étude de la mise en œuvre entreprise dans le présent document </w:t>
      </w:r>
      <w:r w:rsidR="00DD72D0" w:rsidRPr="00403C55">
        <w:rPr>
          <w:rFonts w:ascii="Times New Roman" w:hAnsi="Times New Roman" w:cs="Times New Roman"/>
          <w:lang w:val="fr-FR"/>
        </w:rPr>
        <w:t>est</w:t>
      </w:r>
      <w:r w:rsidRPr="00403C55">
        <w:rPr>
          <w:rFonts w:ascii="Times New Roman" w:hAnsi="Times New Roman" w:cs="Times New Roman"/>
          <w:lang w:val="fr-FR"/>
        </w:rPr>
        <w:t xml:space="preserve"> très limitée</w:t>
      </w:r>
      <w:r w:rsidR="000A1F2D">
        <w:rPr>
          <w:rFonts w:ascii="Times New Roman" w:hAnsi="Times New Roman" w:cs="Times New Roman"/>
          <w:lang w:val="fr-FR"/>
        </w:rPr>
        <w:t>,</w:t>
      </w:r>
      <w:r w:rsidRPr="00403C55">
        <w:rPr>
          <w:rFonts w:ascii="Times New Roman" w:hAnsi="Times New Roman" w:cs="Times New Roman"/>
          <w:lang w:val="fr-FR"/>
        </w:rPr>
        <w:t xml:space="preserve"> basée uniquement sur les réponses soumises par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w:t>
      </w:r>
      <w:r w:rsidR="007923E9" w:rsidRPr="00403C55">
        <w:rPr>
          <w:rFonts w:ascii="Times New Roman" w:hAnsi="Times New Roman" w:cs="Times New Roman"/>
          <w:lang w:val="fr-FR"/>
        </w:rPr>
        <w:t xml:space="preserve"> </w:t>
      </w:r>
      <w:r w:rsidRPr="00403C55">
        <w:rPr>
          <w:rFonts w:ascii="Times New Roman" w:hAnsi="Times New Roman" w:cs="Times New Roman"/>
          <w:lang w:val="fr-FR"/>
        </w:rPr>
        <w:t xml:space="preserve">Prendre en considération dans l’analyse d’autres moyens (indépendants) de vérification tels que cités dans les plans </w:t>
      </w:r>
      <w:r w:rsidR="0003562F">
        <w:rPr>
          <w:rFonts w:ascii="Times New Roman" w:hAnsi="Times New Roman" w:cs="Times New Roman"/>
          <w:lang w:val="fr-FR"/>
        </w:rPr>
        <w:t>d’action</w:t>
      </w:r>
      <w:r w:rsidRPr="00403C55">
        <w:rPr>
          <w:rFonts w:ascii="Times New Roman" w:hAnsi="Times New Roman" w:cs="Times New Roman"/>
          <w:lang w:val="fr-FR"/>
        </w:rPr>
        <w:t>/de gestion allait au-delà de la portée de la présente étude et de la capacité du Secrétariat.</w:t>
      </w:r>
      <w:r w:rsidR="00EE766F">
        <w:rPr>
          <w:rFonts w:ascii="Times New Roman" w:hAnsi="Times New Roman" w:cs="Times New Roman"/>
          <w:lang w:val="fr-FR"/>
        </w:rPr>
        <w:t xml:space="preserve"> </w:t>
      </w:r>
      <w:r w:rsidR="00965377" w:rsidRPr="00403C55">
        <w:rPr>
          <w:rFonts w:ascii="Times New Roman" w:hAnsi="Times New Roman" w:cs="Times New Roman"/>
          <w:lang w:val="fr-FR"/>
        </w:rPr>
        <w:t xml:space="preserve">Bien que l’étude ne soit donc pas conclusive, le déroulement du processus lui-même ainsi que les informations soumises permettent de tirer </w:t>
      </w:r>
      <w:r w:rsidR="00DD72D0" w:rsidRPr="00403C55">
        <w:rPr>
          <w:rFonts w:ascii="Times New Roman" w:hAnsi="Times New Roman" w:cs="Times New Roman"/>
          <w:lang w:val="fr-FR"/>
        </w:rPr>
        <w:t>certaines</w:t>
      </w:r>
      <w:r w:rsidR="00965377" w:rsidRPr="00403C55">
        <w:rPr>
          <w:rFonts w:ascii="Times New Roman" w:hAnsi="Times New Roman" w:cs="Times New Roman"/>
          <w:lang w:val="fr-FR"/>
        </w:rPr>
        <w:t xml:space="preserve"> conclusions.</w:t>
      </w:r>
      <w:r w:rsidR="00221A7A" w:rsidRPr="00403C55">
        <w:rPr>
          <w:rFonts w:ascii="Times New Roman" w:hAnsi="Times New Roman" w:cs="Times New Roman"/>
          <w:lang w:val="fr-FR"/>
        </w:rPr>
        <w:t xml:space="preserve"> </w:t>
      </w:r>
    </w:p>
    <w:p w14:paraId="0576B078" w14:textId="77777777" w:rsidR="00221A7A" w:rsidRPr="00403C55" w:rsidRDefault="00221A7A" w:rsidP="00221A7A">
      <w:pPr>
        <w:spacing w:after="0" w:line="240" w:lineRule="auto"/>
        <w:jc w:val="both"/>
        <w:rPr>
          <w:rFonts w:ascii="Times New Roman" w:hAnsi="Times New Roman" w:cs="Times New Roman"/>
          <w:lang w:val="fr-FR"/>
        </w:rPr>
      </w:pPr>
    </w:p>
    <w:p w14:paraId="2CEA0095" w14:textId="64A3B2CD" w:rsidR="007923E9" w:rsidRPr="00403C55" w:rsidRDefault="00965377" w:rsidP="00CF07D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Sur les 19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internationaux et </w:t>
      </w:r>
      <w:r w:rsidR="00DD72D0" w:rsidRPr="00403C55">
        <w:rPr>
          <w:rFonts w:ascii="Times New Roman" w:hAnsi="Times New Roman" w:cs="Times New Roman"/>
          <w:lang w:val="fr-FR"/>
        </w:rPr>
        <w:t>le</w:t>
      </w:r>
      <w:r w:rsidRPr="00403C55">
        <w:rPr>
          <w:rFonts w:ascii="Times New Roman" w:hAnsi="Times New Roman" w:cs="Times New Roman"/>
          <w:lang w:val="fr-FR"/>
        </w:rPr>
        <w:t xml:space="preserve"> plan de gestion international adoptés </w:t>
      </w:r>
      <w:r w:rsidR="000A1F2D">
        <w:rPr>
          <w:rFonts w:ascii="Times New Roman" w:hAnsi="Times New Roman" w:cs="Times New Roman"/>
          <w:lang w:val="fr-FR"/>
        </w:rPr>
        <w:t>conformément à</w:t>
      </w:r>
      <w:r w:rsidRPr="00403C55">
        <w:rPr>
          <w:rFonts w:ascii="Times New Roman" w:hAnsi="Times New Roman" w:cs="Times New Roman"/>
          <w:lang w:val="fr-FR"/>
        </w:rPr>
        <w:t xml:space="preserve"> l’Accord à ce jour, seuls 8 ont pu être inclus dans la présente étude.</w:t>
      </w:r>
      <w:r w:rsidR="00221A7A" w:rsidRPr="00403C55">
        <w:rPr>
          <w:rFonts w:ascii="Times New Roman" w:hAnsi="Times New Roman" w:cs="Times New Roman"/>
          <w:lang w:val="fr-FR"/>
        </w:rPr>
        <w:t xml:space="preserve"> </w:t>
      </w:r>
      <w:r w:rsidRPr="00403C55">
        <w:rPr>
          <w:rFonts w:ascii="Times New Roman" w:hAnsi="Times New Roman" w:cs="Times New Roman"/>
          <w:lang w:val="fr-FR"/>
        </w:rPr>
        <w:t>Sept plans ont été omis dès le début en raison d’un manque de mise en œuvre en cours et/ou un manque de mécanismes internationaux de coordination établis.</w:t>
      </w:r>
      <w:r w:rsidR="00221A7A" w:rsidRPr="00403C55">
        <w:rPr>
          <w:rFonts w:ascii="Times New Roman" w:hAnsi="Times New Roman" w:cs="Times New Roman"/>
          <w:lang w:val="fr-FR"/>
        </w:rPr>
        <w:t xml:space="preserve"> </w:t>
      </w:r>
      <w:r w:rsidRPr="00403C55">
        <w:rPr>
          <w:rFonts w:ascii="Times New Roman" w:hAnsi="Times New Roman" w:cs="Times New Roman"/>
          <w:lang w:val="fr-FR"/>
        </w:rPr>
        <w:t xml:space="preserve">Cinq de plus ont plus tard été omis en raison du </w:t>
      </w:r>
      <w:r w:rsidR="000A1F2D">
        <w:rPr>
          <w:rFonts w:ascii="Times New Roman" w:hAnsi="Times New Roman" w:cs="Times New Roman"/>
          <w:lang w:val="fr-FR"/>
        </w:rPr>
        <w:t>faible taux</w:t>
      </w:r>
      <w:r w:rsidRPr="00403C55">
        <w:rPr>
          <w:rFonts w:ascii="Times New Roman" w:hAnsi="Times New Roman" w:cs="Times New Roman"/>
          <w:lang w:val="fr-FR"/>
        </w:rPr>
        <w:t xml:space="preserve"> de</w:t>
      </w:r>
      <w:r w:rsidR="0009408D">
        <w:rPr>
          <w:rFonts w:ascii="Times New Roman" w:hAnsi="Times New Roman" w:cs="Times New Roman"/>
          <w:lang w:val="fr-FR"/>
        </w:rPr>
        <w:t xml:space="preserve"> réponses et de l’absence de communication</w:t>
      </w:r>
      <w:r w:rsidRPr="00403C55">
        <w:rPr>
          <w:rFonts w:ascii="Times New Roman" w:hAnsi="Times New Roman" w:cs="Times New Roman"/>
          <w:lang w:val="fr-FR"/>
        </w:rPr>
        <w:t xml:space="preserve"> des qu</w:t>
      </w:r>
      <w:r w:rsidR="0009408D">
        <w:rPr>
          <w:rFonts w:ascii="Times New Roman" w:hAnsi="Times New Roman" w:cs="Times New Roman"/>
          <w:lang w:val="fr-FR"/>
        </w:rPr>
        <w:t>estionnaires</w:t>
      </w:r>
      <w:r w:rsidRPr="00403C55">
        <w:rPr>
          <w:rFonts w:ascii="Times New Roman" w:hAnsi="Times New Roman" w:cs="Times New Roman"/>
          <w:lang w:val="fr-FR"/>
        </w:rPr>
        <w:t>.</w:t>
      </w:r>
      <w:r w:rsidR="000D08FE" w:rsidRPr="00403C55">
        <w:rPr>
          <w:rFonts w:ascii="Times New Roman" w:hAnsi="Times New Roman" w:cs="Times New Roman"/>
          <w:lang w:val="fr-FR"/>
        </w:rPr>
        <w:t xml:space="preserve"> </w:t>
      </w:r>
      <w:r w:rsidR="0009408D">
        <w:rPr>
          <w:rFonts w:ascii="Times New Roman" w:hAnsi="Times New Roman" w:cs="Times New Roman"/>
          <w:lang w:val="fr-FR"/>
        </w:rPr>
        <w:t xml:space="preserve">Les </w:t>
      </w:r>
      <w:r w:rsidRPr="00403C55">
        <w:rPr>
          <w:rFonts w:ascii="Times New Roman" w:hAnsi="Times New Roman" w:cs="Times New Roman"/>
          <w:lang w:val="fr-FR"/>
        </w:rPr>
        <w:t>information</w:t>
      </w:r>
      <w:r w:rsidR="0009408D">
        <w:rPr>
          <w:rFonts w:ascii="Times New Roman" w:hAnsi="Times New Roman" w:cs="Times New Roman"/>
          <w:lang w:val="fr-FR"/>
        </w:rPr>
        <w:t>s communiquées</w:t>
      </w:r>
      <w:r w:rsidRPr="00403C55">
        <w:rPr>
          <w:rFonts w:ascii="Times New Roman" w:hAnsi="Times New Roman" w:cs="Times New Roman"/>
          <w:lang w:val="fr-FR"/>
        </w:rPr>
        <w:t xml:space="preserve"> étai</w:t>
      </w:r>
      <w:r w:rsidR="0009408D">
        <w:rPr>
          <w:rFonts w:ascii="Times New Roman" w:hAnsi="Times New Roman" w:cs="Times New Roman"/>
          <w:lang w:val="fr-FR"/>
        </w:rPr>
        <w:t xml:space="preserve">ent souvent </w:t>
      </w:r>
      <w:r w:rsidRPr="00403C55">
        <w:rPr>
          <w:rFonts w:ascii="Times New Roman" w:hAnsi="Times New Roman" w:cs="Times New Roman"/>
          <w:lang w:val="fr-FR"/>
        </w:rPr>
        <w:t>incomplète</w:t>
      </w:r>
      <w:r w:rsidR="0009408D">
        <w:rPr>
          <w:rFonts w:ascii="Times New Roman" w:hAnsi="Times New Roman" w:cs="Times New Roman"/>
          <w:lang w:val="fr-FR"/>
        </w:rPr>
        <w:t>s</w:t>
      </w:r>
      <w:r w:rsidRPr="00403C55">
        <w:rPr>
          <w:rFonts w:ascii="Times New Roman" w:hAnsi="Times New Roman" w:cs="Times New Roman"/>
          <w:lang w:val="fr-FR"/>
        </w:rPr>
        <w:t>.</w:t>
      </w:r>
      <w:r w:rsidR="00D23086" w:rsidRPr="00403C55">
        <w:rPr>
          <w:rFonts w:ascii="Times New Roman" w:hAnsi="Times New Roman" w:cs="Times New Roman"/>
          <w:lang w:val="fr-FR"/>
        </w:rPr>
        <w:t xml:space="preserve"> </w:t>
      </w:r>
    </w:p>
    <w:p w14:paraId="10036508" w14:textId="6801ECE5" w:rsidR="00C03669" w:rsidRPr="00403C55" w:rsidRDefault="000D08FE"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 </w:t>
      </w:r>
    </w:p>
    <w:p w14:paraId="58C441CB" w14:textId="014F082F" w:rsidR="00795DE3" w:rsidRDefault="001E048E" w:rsidP="002C4677">
      <w:pPr>
        <w:spacing w:after="0" w:line="240" w:lineRule="auto"/>
        <w:jc w:val="both"/>
        <w:rPr>
          <w:rFonts w:ascii="Times New Roman" w:hAnsi="Times New Roman" w:cs="Times New Roman"/>
          <w:lang w:val="fr-FR"/>
        </w:rPr>
      </w:pPr>
      <w:r>
        <w:rPr>
          <w:rFonts w:ascii="Times New Roman" w:hAnsi="Times New Roman" w:cs="Times New Roman"/>
          <w:lang w:val="fr-FR"/>
        </w:rPr>
        <w:t>Sur la base des réponses fournies par les Etats de l’aire de répartition, le pourcentage général des activités réalisées pour les huit plans examinés était de 38</w:t>
      </w:r>
      <w:r w:rsidRPr="001E048E">
        <w:rPr>
          <w:rFonts w:ascii="Times New Roman" w:hAnsi="Times New Roman" w:cs="Times New Roman"/>
          <w:lang w:val="fr-FR"/>
        </w:rPr>
        <w:t>% - il convi</w:t>
      </w:r>
      <w:r>
        <w:rPr>
          <w:rFonts w:ascii="Times New Roman" w:hAnsi="Times New Roman" w:cs="Times New Roman"/>
          <w:lang w:val="fr-FR"/>
        </w:rPr>
        <w:t>ent de noter cependant que certains Etats de l’aire de répartition n’</w:t>
      </w:r>
      <w:r w:rsidR="00795DE3">
        <w:rPr>
          <w:rFonts w:ascii="Times New Roman" w:hAnsi="Times New Roman" w:cs="Times New Roman"/>
          <w:lang w:val="fr-FR"/>
        </w:rPr>
        <w:t>ont pas communiqué de rapport (voir le tableau 5 ci-dessus).</w:t>
      </w:r>
      <w:r w:rsidR="00202D1A" w:rsidRPr="00403C55">
        <w:rPr>
          <w:rFonts w:ascii="Times New Roman" w:hAnsi="Times New Roman" w:cs="Times New Roman"/>
          <w:lang w:val="fr-FR"/>
        </w:rPr>
        <w:t xml:space="preserve"> </w:t>
      </w:r>
      <w:r w:rsidR="00965377" w:rsidRPr="00403C55">
        <w:rPr>
          <w:rFonts w:ascii="Times New Roman" w:hAnsi="Times New Roman" w:cs="Times New Roman"/>
          <w:lang w:val="fr-FR"/>
        </w:rPr>
        <w:t xml:space="preserve">Pour cinq plans adoptés lors de la MOP5 (Cygne de Bewick, Oie à bec court, Oie rieuse du Groenland, Bernache à cou roux et révision du Plan </w:t>
      </w:r>
      <w:r w:rsidR="0003562F">
        <w:rPr>
          <w:rFonts w:ascii="Times New Roman" w:hAnsi="Times New Roman" w:cs="Times New Roman"/>
          <w:lang w:val="fr-FR"/>
        </w:rPr>
        <w:t>d’action</w:t>
      </w:r>
      <w:r w:rsidR="00965377" w:rsidRPr="00403C55">
        <w:rPr>
          <w:rFonts w:ascii="Times New Roman" w:hAnsi="Times New Roman" w:cs="Times New Roman"/>
          <w:lang w:val="fr-FR"/>
        </w:rPr>
        <w:t xml:space="preserve"> 2002 pour le Vanneau sociable), ceci est</w:t>
      </w:r>
      <w:r w:rsidR="00A23749">
        <w:rPr>
          <w:rFonts w:ascii="Times New Roman" w:hAnsi="Times New Roman" w:cs="Times New Roman"/>
          <w:lang w:val="fr-FR"/>
        </w:rPr>
        <w:t xml:space="preserve"> peu</w:t>
      </w:r>
      <w:r w:rsidR="00965377" w:rsidRPr="00403C55">
        <w:rPr>
          <w:rFonts w:ascii="Times New Roman" w:hAnsi="Times New Roman" w:cs="Times New Roman"/>
          <w:lang w:val="fr-FR"/>
        </w:rPr>
        <w:t xml:space="preserve"> surprenant puisqu’ils sont en vigueur </w:t>
      </w:r>
      <w:r w:rsidR="00DD72D0" w:rsidRPr="00403C55">
        <w:rPr>
          <w:rFonts w:ascii="Times New Roman" w:hAnsi="Times New Roman" w:cs="Times New Roman"/>
          <w:lang w:val="fr-FR"/>
        </w:rPr>
        <w:t>depuis</w:t>
      </w:r>
      <w:r w:rsidR="00965377" w:rsidRPr="00403C55">
        <w:rPr>
          <w:rFonts w:ascii="Times New Roman" w:hAnsi="Times New Roman" w:cs="Times New Roman"/>
          <w:lang w:val="fr-FR"/>
        </w:rPr>
        <w:t xml:space="preserve"> trois ans seulement.</w:t>
      </w:r>
      <w:r w:rsidR="00CF622B" w:rsidRPr="00403C55">
        <w:rPr>
          <w:rFonts w:ascii="Times New Roman" w:hAnsi="Times New Roman" w:cs="Times New Roman"/>
          <w:lang w:val="fr-FR"/>
        </w:rPr>
        <w:t xml:space="preserve"> </w:t>
      </w:r>
      <w:r w:rsidR="00795DE3">
        <w:rPr>
          <w:rFonts w:ascii="Times New Roman" w:hAnsi="Times New Roman" w:cs="Times New Roman"/>
          <w:lang w:val="fr-FR"/>
        </w:rPr>
        <w:t xml:space="preserve">Un certain nombre de </w:t>
      </w:r>
      <w:r w:rsidR="00DD72D0" w:rsidRPr="00403C55">
        <w:rPr>
          <w:rFonts w:ascii="Times New Roman" w:hAnsi="Times New Roman" w:cs="Times New Roman"/>
          <w:lang w:val="fr-FR"/>
        </w:rPr>
        <w:t xml:space="preserve">progrès </w:t>
      </w:r>
      <w:r w:rsidR="00795DE3">
        <w:rPr>
          <w:rFonts w:ascii="Times New Roman" w:hAnsi="Times New Roman" w:cs="Times New Roman"/>
          <w:lang w:val="fr-FR"/>
        </w:rPr>
        <w:t>o</w:t>
      </w:r>
      <w:r w:rsidR="00965377" w:rsidRPr="00403C55">
        <w:rPr>
          <w:rFonts w:ascii="Times New Roman" w:hAnsi="Times New Roman" w:cs="Times New Roman"/>
          <w:lang w:val="fr-FR"/>
        </w:rPr>
        <w:t xml:space="preserve">nt été réalisés </w:t>
      </w:r>
      <w:r w:rsidR="00795DE3">
        <w:rPr>
          <w:rFonts w:ascii="Times New Roman" w:hAnsi="Times New Roman" w:cs="Times New Roman"/>
          <w:lang w:val="fr-FR"/>
        </w:rPr>
        <w:t>dans la mise en œuvre de deux</w:t>
      </w:r>
      <w:r w:rsidR="00965377" w:rsidRPr="00403C55">
        <w:rPr>
          <w:rFonts w:ascii="Times New Roman" w:hAnsi="Times New Roman" w:cs="Times New Roman"/>
          <w:lang w:val="fr-FR"/>
        </w:rPr>
        <w:t xml:space="preserve"> plans plus ancien</w:t>
      </w:r>
      <w:r w:rsidR="00795DE3">
        <w:rPr>
          <w:rFonts w:ascii="Times New Roman" w:hAnsi="Times New Roman" w:cs="Times New Roman"/>
          <w:lang w:val="fr-FR"/>
        </w:rPr>
        <w:t>s adoptés à la MOP4 (Flamant nain et Oie naine), tandis que des progrès satisfaisants ont été accomplis dans la mise en œuvre du Plan d’action pour l’Ibis chauve, adopté à la MOP3</w:t>
      </w:r>
      <w:r w:rsidR="00965377" w:rsidRPr="00403C55">
        <w:rPr>
          <w:rFonts w:ascii="Times New Roman" w:hAnsi="Times New Roman" w:cs="Times New Roman"/>
          <w:lang w:val="fr-FR"/>
        </w:rPr>
        <w:t>.</w:t>
      </w:r>
      <w:r w:rsidR="00CF622B" w:rsidRPr="00403C55">
        <w:rPr>
          <w:rFonts w:ascii="Times New Roman" w:hAnsi="Times New Roman" w:cs="Times New Roman"/>
          <w:lang w:val="fr-FR"/>
        </w:rPr>
        <w:t xml:space="preserve"> </w:t>
      </w:r>
    </w:p>
    <w:p w14:paraId="7DDC6740" w14:textId="77777777" w:rsidR="00795DE3" w:rsidRDefault="00795DE3" w:rsidP="002C4677">
      <w:pPr>
        <w:spacing w:after="0" w:line="240" w:lineRule="auto"/>
        <w:jc w:val="both"/>
        <w:rPr>
          <w:rFonts w:ascii="Times New Roman" w:hAnsi="Times New Roman" w:cs="Times New Roman"/>
          <w:lang w:val="fr-FR"/>
        </w:rPr>
      </w:pPr>
    </w:p>
    <w:p w14:paraId="3BA2271C" w14:textId="31DD47AF" w:rsidR="00124D10" w:rsidRPr="006D51B7" w:rsidRDefault="00795DE3" w:rsidP="002C4677">
      <w:pPr>
        <w:spacing w:after="0" w:line="240" w:lineRule="auto"/>
        <w:jc w:val="both"/>
        <w:rPr>
          <w:rFonts w:ascii="Times New Roman" w:hAnsi="Times New Roman" w:cs="Times New Roman"/>
          <w:lang w:val="fr-FR"/>
        </w:rPr>
      </w:pPr>
      <w:r w:rsidRPr="00795DE3">
        <w:rPr>
          <w:rFonts w:ascii="Times New Roman" w:hAnsi="Times New Roman" w:cs="Times New Roman"/>
          <w:lang w:val="fr-FR"/>
        </w:rPr>
        <w:t xml:space="preserve">L’évaluation de l’impact </w:t>
      </w:r>
      <w:r>
        <w:rPr>
          <w:rFonts w:ascii="Times New Roman" w:hAnsi="Times New Roman" w:cs="Times New Roman"/>
          <w:lang w:val="fr-FR"/>
        </w:rPr>
        <w:t>ré</w:t>
      </w:r>
      <w:r w:rsidRPr="00795DE3">
        <w:rPr>
          <w:rFonts w:ascii="Times New Roman" w:hAnsi="Times New Roman" w:cs="Times New Roman"/>
          <w:lang w:val="fr-FR"/>
        </w:rPr>
        <w:t xml:space="preserve">el des plans d’action et de gestion adoptés sur l’état des espèces en question </w:t>
      </w:r>
      <w:r>
        <w:rPr>
          <w:rFonts w:ascii="Times New Roman" w:hAnsi="Times New Roman" w:cs="Times New Roman"/>
          <w:lang w:val="fr-FR"/>
        </w:rPr>
        <w:t xml:space="preserve">est difficile, et n’est pas </w:t>
      </w:r>
      <w:r w:rsidRPr="00795DE3">
        <w:rPr>
          <w:rFonts w:ascii="Times New Roman" w:hAnsi="Times New Roman" w:cs="Times New Roman"/>
          <w:lang w:val="fr-FR"/>
        </w:rPr>
        <w:t xml:space="preserve">possible </w:t>
      </w:r>
      <w:r>
        <w:rPr>
          <w:rFonts w:ascii="Times New Roman" w:hAnsi="Times New Roman" w:cs="Times New Roman"/>
          <w:lang w:val="fr-FR"/>
        </w:rPr>
        <w:t>en se basant seulement sur le pourcentage d’activités réalisées</w:t>
      </w:r>
      <w:r w:rsidRPr="00795DE3">
        <w:rPr>
          <w:rFonts w:ascii="Times New Roman" w:hAnsi="Times New Roman" w:cs="Times New Roman"/>
          <w:lang w:val="fr-FR"/>
        </w:rPr>
        <w:t xml:space="preserve">. </w:t>
      </w:r>
      <w:r w:rsidRPr="00795DE3">
        <w:rPr>
          <w:rFonts w:ascii="Times New Roman" w:hAnsi="Times New Roman" w:cs="Times New Roman"/>
          <w:b/>
          <w:lang w:val="fr-FR"/>
        </w:rPr>
        <w:t xml:space="preserve">La mise en </w:t>
      </w:r>
      <w:r w:rsidR="00B34832" w:rsidRPr="00795DE3">
        <w:rPr>
          <w:rFonts w:ascii="Times New Roman" w:hAnsi="Times New Roman" w:cs="Times New Roman"/>
          <w:b/>
          <w:lang w:val="fr-FR"/>
        </w:rPr>
        <w:t>œuvre</w:t>
      </w:r>
      <w:r w:rsidRPr="00795DE3">
        <w:rPr>
          <w:rFonts w:ascii="Times New Roman" w:hAnsi="Times New Roman" w:cs="Times New Roman"/>
          <w:b/>
          <w:lang w:val="fr-FR"/>
        </w:rPr>
        <w:t xml:space="preserve"> des plans d’action et de gestion par espèce, ainsi que les changements réalisés dans l’état </w:t>
      </w:r>
      <w:r>
        <w:rPr>
          <w:rFonts w:ascii="Times New Roman" w:hAnsi="Times New Roman" w:cs="Times New Roman"/>
          <w:b/>
          <w:lang w:val="fr-FR"/>
        </w:rPr>
        <w:t xml:space="preserve">de </w:t>
      </w:r>
      <w:r w:rsidRPr="00795DE3">
        <w:rPr>
          <w:rFonts w:ascii="Times New Roman" w:hAnsi="Times New Roman" w:cs="Times New Roman"/>
          <w:b/>
          <w:lang w:val="fr-FR"/>
        </w:rPr>
        <w:t xml:space="preserve">conservation </w:t>
      </w:r>
      <w:r>
        <w:rPr>
          <w:rFonts w:ascii="Times New Roman" w:hAnsi="Times New Roman" w:cs="Times New Roman"/>
          <w:b/>
          <w:lang w:val="fr-FR"/>
        </w:rPr>
        <w:t>des espèces visées par ces plans sont des processus lents et à long terme</w:t>
      </w:r>
      <w:r w:rsidRPr="00795DE3">
        <w:rPr>
          <w:rFonts w:ascii="Times New Roman" w:hAnsi="Times New Roman" w:cs="Times New Roman"/>
          <w:b/>
          <w:lang w:val="fr-FR"/>
        </w:rPr>
        <w:t>.</w:t>
      </w:r>
      <w:r w:rsidRPr="00795DE3">
        <w:rPr>
          <w:rFonts w:ascii="Times New Roman" w:hAnsi="Times New Roman" w:cs="Times New Roman"/>
          <w:lang w:val="fr-FR"/>
        </w:rPr>
        <w:t xml:space="preserve"> S</w:t>
      </w:r>
      <w:r w:rsidR="006D51B7">
        <w:rPr>
          <w:rFonts w:ascii="Times New Roman" w:hAnsi="Times New Roman" w:cs="Times New Roman"/>
          <w:lang w:val="fr-FR"/>
        </w:rPr>
        <w:t xml:space="preserve">i nous nous penchons sur la question de savoir </w:t>
      </w:r>
      <w:r w:rsidRPr="00795DE3">
        <w:rPr>
          <w:rFonts w:ascii="Times New Roman" w:hAnsi="Times New Roman" w:cs="Times New Roman"/>
          <w:lang w:val="fr-FR"/>
        </w:rPr>
        <w:t>si des progrès ont été accomplis</w:t>
      </w:r>
      <w:r w:rsidR="006D51B7">
        <w:rPr>
          <w:rFonts w:ascii="Times New Roman" w:hAnsi="Times New Roman" w:cs="Times New Roman"/>
          <w:lang w:val="fr-FR"/>
        </w:rPr>
        <w:t xml:space="preserve"> dans la </w:t>
      </w:r>
      <w:r w:rsidR="006D51B7">
        <w:rPr>
          <w:rFonts w:ascii="Times New Roman" w:hAnsi="Times New Roman" w:cs="Times New Roman"/>
          <w:lang w:val="fr-FR"/>
        </w:rPr>
        <w:lastRenderedPageBreak/>
        <w:t>réalisation des</w:t>
      </w:r>
      <w:r w:rsidRPr="00795DE3">
        <w:rPr>
          <w:rFonts w:ascii="Times New Roman" w:hAnsi="Times New Roman" w:cs="Times New Roman"/>
          <w:lang w:val="fr-FR"/>
        </w:rPr>
        <w:t xml:space="preserve"> objectifs à </w:t>
      </w:r>
      <w:r w:rsidR="006D51B7">
        <w:rPr>
          <w:rFonts w:ascii="Times New Roman" w:hAnsi="Times New Roman" w:cs="Times New Roman"/>
          <w:lang w:val="fr-FR"/>
        </w:rPr>
        <w:t>court terme des plans en question</w:t>
      </w:r>
      <w:r w:rsidRPr="00795DE3">
        <w:rPr>
          <w:rFonts w:ascii="Times New Roman" w:hAnsi="Times New Roman" w:cs="Times New Roman"/>
          <w:lang w:val="fr-FR"/>
        </w:rPr>
        <w:t xml:space="preserve"> – c’est-à-dire, si le taux de déclin a été arrêté ou réduit</w:t>
      </w:r>
      <w:r w:rsidR="006D51B7">
        <w:rPr>
          <w:rFonts w:ascii="Times New Roman" w:hAnsi="Times New Roman" w:cs="Times New Roman"/>
          <w:lang w:val="fr-FR"/>
        </w:rPr>
        <w:t>,</w:t>
      </w:r>
      <w:r w:rsidRPr="00795DE3">
        <w:rPr>
          <w:rFonts w:ascii="Times New Roman" w:hAnsi="Times New Roman" w:cs="Times New Roman"/>
          <w:lang w:val="fr-FR"/>
        </w:rPr>
        <w:t xml:space="preserve"> et si le rétabliss</w:t>
      </w:r>
      <w:r>
        <w:rPr>
          <w:rFonts w:ascii="Times New Roman" w:hAnsi="Times New Roman" w:cs="Times New Roman"/>
          <w:lang w:val="fr-FR"/>
        </w:rPr>
        <w:t xml:space="preserve">ement ou la gestion des </w:t>
      </w:r>
      <w:r w:rsidRPr="00795DE3">
        <w:rPr>
          <w:rFonts w:ascii="Times New Roman" w:hAnsi="Times New Roman" w:cs="Times New Roman"/>
          <w:lang w:val="fr-FR"/>
        </w:rPr>
        <w:t>populations</w:t>
      </w:r>
      <w:r w:rsidR="006D51B7">
        <w:rPr>
          <w:rFonts w:ascii="Times New Roman" w:hAnsi="Times New Roman" w:cs="Times New Roman"/>
          <w:lang w:val="fr-FR"/>
        </w:rPr>
        <w:t xml:space="preserve"> visées</w:t>
      </w:r>
      <w:r>
        <w:rPr>
          <w:rFonts w:ascii="Times New Roman" w:hAnsi="Times New Roman" w:cs="Times New Roman"/>
          <w:lang w:val="fr-FR"/>
        </w:rPr>
        <w:t xml:space="preserve"> a commencé</w:t>
      </w:r>
      <w:r w:rsidRPr="00795DE3">
        <w:rPr>
          <w:rFonts w:ascii="Times New Roman" w:hAnsi="Times New Roman" w:cs="Times New Roman"/>
          <w:lang w:val="fr-FR"/>
        </w:rPr>
        <w:t xml:space="preserve"> –</w:t>
      </w:r>
      <w:r w:rsidR="006D51B7">
        <w:rPr>
          <w:rFonts w:ascii="Times New Roman" w:hAnsi="Times New Roman" w:cs="Times New Roman"/>
          <w:lang w:val="fr-FR"/>
        </w:rPr>
        <w:t>,</w:t>
      </w:r>
      <w:r w:rsidRPr="00795DE3">
        <w:rPr>
          <w:rFonts w:ascii="Times New Roman" w:hAnsi="Times New Roman" w:cs="Times New Roman"/>
          <w:lang w:val="fr-FR"/>
        </w:rPr>
        <w:t xml:space="preserve"> </w:t>
      </w:r>
      <w:r>
        <w:rPr>
          <w:rFonts w:ascii="Times New Roman" w:hAnsi="Times New Roman" w:cs="Times New Roman"/>
          <w:lang w:val="fr-FR"/>
        </w:rPr>
        <w:t xml:space="preserve">alors la réponse pourrait être positive pour l’Ibis chauve, </w:t>
      </w:r>
      <w:r w:rsidR="006E36D8">
        <w:rPr>
          <w:rFonts w:ascii="Times New Roman" w:hAnsi="Times New Roman" w:cs="Times New Roman"/>
          <w:lang w:val="fr-FR"/>
        </w:rPr>
        <w:t>l’Oie naine</w:t>
      </w:r>
      <w:r w:rsidRPr="00795DE3">
        <w:rPr>
          <w:rFonts w:ascii="Times New Roman" w:hAnsi="Times New Roman" w:cs="Times New Roman"/>
          <w:lang w:val="fr-FR"/>
        </w:rPr>
        <w:t xml:space="preserve">, </w:t>
      </w:r>
      <w:r w:rsidR="006E36D8">
        <w:rPr>
          <w:rFonts w:ascii="Times New Roman" w:hAnsi="Times New Roman" w:cs="Times New Roman"/>
          <w:lang w:val="fr-FR"/>
        </w:rPr>
        <w:t>l’Oie à bec court</w:t>
      </w:r>
      <w:r w:rsidR="005F6773">
        <w:rPr>
          <w:rFonts w:ascii="Times New Roman" w:hAnsi="Times New Roman" w:cs="Times New Roman"/>
          <w:lang w:val="fr-FR"/>
        </w:rPr>
        <w:t xml:space="preserve">, la Bernache à cou roux </w:t>
      </w:r>
      <w:r w:rsidR="006E36D8">
        <w:rPr>
          <w:rFonts w:ascii="Times New Roman" w:hAnsi="Times New Roman" w:cs="Times New Roman"/>
          <w:lang w:val="fr-FR"/>
        </w:rPr>
        <w:t>et le Vanneau sociable</w:t>
      </w:r>
      <w:r w:rsidRPr="00795DE3">
        <w:rPr>
          <w:rFonts w:ascii="Times New Roman" w:hAnsi="Times New Roman" w:cs="Times New Roman"/>
          <w:lang w:val="fr-FR"/>
        </w:rPr>
        <w:t xml:space="preserve">, </w:t>
      </w:r>
      <w:r w:rsidR="005F6773">
        <w:rPr>
          <w:rFonts w:ascii="Times New Roman" w:hAnsi="Times New Roman" w:cs="Times New Roman"/>
          <w:lang w:val="fr-FR"/>
        </w:rPr>
        <w:t>soit pour l’ensemble ou pour une partie de leurs populations visées dans les plans d’action et/ou de gestion respectif</w:t>
      </w:r>
      <w:r w:rsidRPr="00795DE3">
        <w:rPr>
          <w:rFonts w:ascii="Times New Roman" w:hAnsi="Times New Roman" w:cs="Times New Roman"/>
          <w:lang w:val="fr-FR"/>
        </w:rPr>
        <w:t xml:space="preserve">s. </w:t>
      </w:r>
      <w:r w:rsidR="006D51B7" w:rsidRPr="006D51B7">
        <w:rPr>
          <w:rFonts w:ascii="Times New Roman" w:hAnsi="Times New Roman" w:cs="Times New Roman"/>
          <w:lang w:val="fr-FR"/>
        </w:rPr>
        <w:t xml:space="preserve">Il est donc possible de conclure que des </w:t>
      </w:r>
      <w:r w:rsidR="006D51B7">
        <w:rPr>
          <w:rFonts w:ascii="Times New Roman" w:hAnsi="Times New Roman" w:cs="Times New Roman"/>
          <w:b/>
          <w:lang w:val="fr-FR"/>
        </w:rPr>
        <w:t>progrè</w:t>
      </w:r>
      <w:r w:rsidR="006D51B7" w:rsidRPr="006D51B7">
        <w:rPr>
          <w:rFonts w:ascii="Times New Roman" w:hAnsi="Times New Roman" w:cs="Times New Roman"/>
          <w:b/>
          <w:lang w:val="fr-FR"/>
        </w:rPr>
        <w:t xml:space="preserve">s ont été </w:t>
      </w:r>
      <w:r w:rsidR="006D51B7">
        <w:rPr>
          <w:rFonts w:ascii="Times New Roman" w:hAnsi="Times New Roman" w:cs="Times New Roman"/>
          <w:b/>
          <w:lang w:val="fr-FR"/>
        </w:rPr>
        <w:t>accomplis</w:t>
      </w:r>
      <w:r w:rsidR="006D51B7" w:rsidRPr="006D51B7">
        <w:rPr>
          <w:rFonts w:ascii="Times New Roman" w:hAnsi="Times New Roman" w:cs="Times New Roman"/>
          <w:b/>
          <w:lang w:val="fr-FR"/>
        </w:rPr>
        <w:t xml:space="preserve"> dans la </w:t>
      </w:r>
      <w:r w:rsidR="006D51B7">
        <w:rPr>
          <w:rFonts w:ascii="Times New Roman" w:hAnsi="Times New Roman" w:cs="Times New Roman"/>
          <w:b/>
          <w:lang w:val="fr-FR"/>
        </w:rPr>
        <w:t>réalis</w:t>
      </w:r>
      <w:r w:rsidR="006D51B7" w:rsidRPr="006D51B7">
        <w:rPr>
          <w:rFonts w:ascii="Times New Roman" w:hAnsi="Times New Roman" w:cs="Times New Roman"/>
          <w:b/>
          <w:lang w:val="fr-FR"/>
        </w:rPr>
        <w:t xml:space="preserve">ation des objectifs à court terme de certains plans,  </w:t>
      </w:r>
      <w:r w:rsidR="006D51B7">
        <w:rPr>
          <w:rFonts w:ascii="Times New Roman" w:hAnsi="Times New Roman" w:cs="Times New Roman"/>
          <w:lang w:val="fr-FR"/>
        </w:rPr>
        <w:t>bien qu’un long chemin reste à parcourir pour atteindre les buts et les objectif</w:t>
      </w:r>
      <w:r w:rsidRPr="006D51B7">
        <w:rPr>
          <w:rFonts w:ascii="Times New Roman" w:hAnsi="Times New Roman" w:cs="Times New Roman"/>
          <w:lang w:val="fr-FR"/>
        </w:rPr>
        <w:t>s</w:t>
      </w:r>
      <w:r w:rsidR="006D51B7">
        <w:rPr>
          <w:rFonts w:ascii="Times New Roman" w:hAnsi="Times New Roman" w:cs="Times New Roman"/>
          <w:lang w:val="fr-FR"/>
        </w:rPr>
        <w:t xml:space="preserve"> généraux</w:t>
      </w:r>
      <w:r w:rsidRPr="006D51B7">
        <w:rPr>
          <w:rFonts w:ascii="Times New Roman" w:hAnsi="Times New Roman" w:cs="Times New Roman"/>
          <w:lang w:val="fr-FR"/>
        </w:rPr>
        <w:t>.</w:t>
      </w:r>
    </w:p>
    <w:p w14:paraId="4FF99F95" w14:textId="77777777" w:rsidR="00795DE3" w:rsidRPr="006D51B7" w:rsidRDefault="00795DE3" w:rsidP="002C4677">
      <w:pPr>
        <w:spacing w:after="0" w:line="240" w:lineRule="auto"/>
        <w:jc w:val="both"/>
        <w:rPr>
          <w:rFonts w:ascii="Times New Roman" w:hAnsi="Times New Roman" w:cs="Times New Roman"/>
          <w:lang w:val="fr-FR"/>
        </w:rPr>
      </w:pPr>
    </w:p>
    <w:p w14:paraId="63F85FC6" w14:textId="0A8A9A62" w:rsidR="00D23086" w:rsidRPr="00403C55" w:rsidRDefault="00DA36A4"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Sans surprise, le </w:t>
      </w:r>
      <w:r w:rsidRPr="00403C55">
        <w:rPr>
          <w:rFonts w:ascii="Times New Roman" w:hAnsi="Times New Roman" w:cs="Times New Roman"/>
          <w:b/>
          <w:lang w:val="fr-FR"/>
        </w:rPr>
        <w:t>manque de financement adéquat</w:t>
      </w:r>
      <w:r w:rsidRPr="00403C55">
        <w:rPr>
          <w:rFonts w:ascii="Times New Roman" w:hAnsi="Times New Roman" w:cs="Times New Roman"/>
          <w:lang w:val="fr-FR"/>
        </w:rPr>
        <w:t xml:space="preserve"> était le tout premier obstacle </w:t>
      </w:r>
      <w:r w:rsidR="000A1F2D">
        <w:rPr>
          <w:rFonts w:ascii="Times New Roman" w:hAnsi="Times New Roman" w:cs="Times New Roman"/>
          <w:lang w:val="fr-FR"/>
        </w:rPr>
        <w:t>mentionné</w:t>
      </w:r>
      <w:r w:rsidRPr="00403C55">
        <w:rPr>
          <w:rFonts w:ascii="Times New Roman" w:hAnsi="Times New Roman" w:cs="Times New Roman"/>
          <w:lang w:val="fr-FR"/>
        </w:rPr>
        <w:t xml:space="preserve"> </w:t>
      </w:r>
      <w:r w:rsidR="000A1F2D">
        <w:rPr>
          <w:rFonts w:ascii="Times New Roman" w:hAnsi="Times New Roman" w:cs="Times New Roman"/>
          <w:lang w:val="fr-FR"/>
        </w:rPr>
        <w:t>à</w:t>
      </w:r>
      <w:r w:rsidRPr="00403C55">
        <w:rPr>
          <w:rFonts w:ascii="Times New Roman" w:hAnsi="Times New Roman" w:cs="Times New Roman"/>
          <w:lang w:val="fr-FR"/>
        </w:rPr>
        <w:t xml:space="preserve"> une </w:t>
      </w:r>
      <w:r w:rsidRPr="00403C55">
        <w:rPr>
          <w:rFonts w:ascii="Times New Roman" w:hAnsi="Times New Roman" w:cs="Times New Roman"/>
          <w:b/>
          <w:lang w:val="fr-FR"/>
        </w:rPr>
        <w:t xml:space="preserve">mise en œuvre fructueuse des plans </w:t>
      </w:r>
      <w:r w:rsidR="0003562F">
        <w:rPr>
          <w:rFonts w:ascii="Times New Roman" w:hAnsi="Times New Roman" w:cs="Times New Roman"/>
          <w:b/>
          <w:lang w:val="fr-FR"/>
        </w:rPr>
        <w:t>d’action</w:t>
      </w:r>
      <w:r w:rsidRPr="00403C55">
        <w:rPr>
          <w:rFonts w:ascii="Times New Roman" w:hAnsi="Times New Roman" w:cs="Times New Roman"/>
          <w:lang w:val="fr-FR"/>
        </w:rPr>
        <w:t xml:space="preserve"> (à travers l’aire de répartition </w:t>
      </w:r>
      <w:r w:rsidR="0003562F">
        <w:rPr>
          <w:rFonts w:ascii="Times New Roman" w:hAnsi="Times New Roman" w:cs="Times New Roman"/>
          <w:lang w:val="fr-FR"/>
        </w:rPr>
        <w:t>de l’AEWA</w:t>
      </w:r>
      <w:r w:rsidRPr="00403C55">
        <w:rPr>
          <w:rFonts w:ascii="Times New Roman" w:hAnsi="Times New Roman" w:cs="Times New Roman"/>
          <w:lang w:val="fr-FR"/>
        </w:rPr>
        <w:t xml:space="preserve"> – n’est pas limité à une région spécifique), suivi par que </w:t>
      </w:r>
      <w:r w:rsidRPr="00403C55">
        <w:rPr>
          <w:rFonts w:ascii="Times New Roman" w:hAnsi="Times New Roman" w:cs="Times New Roman"/>
          <w:b/>
          <w:lang w:val="fr-FR"/>
        </w:rPr>
        <w:t>le manque de capacité technique et en personnel</w:t>
      </w:r>
      <w:r w:rsidRPr="00403C55">
        <w:rPr>
          <w:rFonts w:ascii="Times New Roman" w:hAnsi="Times New Roman" w:cs="Times New Roman"/>
          <w:lang w:val="fr-FR"/>
        </w:rPr>
        <w:t xml:space="preserve"> à l</w:t>
      </w:r>
      <w:r w:rsidRPr="00A23749">
        <w:rPr>
          <w:rFonts w:ascii="Times New Roman" w:hAnsi="Times New Roman" w:cs="Times New Roman"/>
          <w:lang w:val="fr-FR"/>
        </w:rPr>
        <w:t>a troisième p</w:t>
      </w:r>
      <w:r w:rsidRPr="00403C55">
        <w:rPr>
          <w:rFonts w:ascii="Times New Roman" w:hAnsi="Times New Roman" w:cs="Times New Roman"/>
          <w:lang w:val="fr-FR"/>
        </w:rPr>
        <w:t>lace.</w:t>
      </w:r>
      <w:r w:rsidR="00F06699" w:rsidRPr="00403C55">
        <w:rPr>
          <w:rFonts w:ascii="Times New Roman" w:hAnsi="Times New Roman" w:cs="Times New Roman"/>
          <w:lang w:val="fr-FR"/>
        </w:rPr>
        <w:t xml:space="preserve"> </w:t>
      </w:r>
      <w:r w:rsidR="005F6773">
        <w:rPr>
          <w:rFonts w:ascii="Times New Roman" w:hAnsi="Times New Roman" w:cs="Times New Roman"/>
          <w:lang w:val="fr-FR"/>
        </w:rPr>
        <w:t>Il convient de noter que le manque de fina</w:t>
      </w:r>
      <w:r w:rsidR="008F0017">
        <w:rPr>
          <w:rFonts w:ascii="Times New Roman" w:hAnsi="Times New Roman" w:cs="Times New Roman"/>
          <w:lang w:val="fr-FR"/>
        </w:rPr>
        <w:t>ncement signalé concerne surtout</w:t>
      </w:r>
      <w:r w:rsidR="005F6773">
        <w:rPr>
          <w:rFonts w:ascii="Times New Roman" w:hAnsi="Times New Roman" w:cs="Times New Roman"/>
          <w:lang w:val="fr-FR"/>
        </w:rPr>
        <w:t xml:space="preserve"> un manque de financement national disponible pour la mise en œuvre. </w:t>
      </w:r>
      <w:r w:rsidR="008F0017">
        <w:rPr>
          <w:rFonts w:ascii="Times New Roman" w:hAnsi="Times New Roman" w:cs="Times New Roman"/>
          <w:lang w:val="fr-FR"/>
        </w:rPr>
        <w:t>Ainsi, d</w:t>
      </w:r>
      <w:r w:rsidR="005F6773">
        <w:rPr>
          <w:rFonts w:ascii="Times New Roman" w:hAnsi="Times New Roman" w:cs="Times New Roman"/>
          <w:lang w:val="fr-FR"/>
        </w:rPr>
        <w:t>e nombreux pays au sein de l’Union européenne ont</w:t>
      </w:r>
      <w:r w:rsidR="008F0017">
        <w:rPr>
          <w:rFonts w:ascii="Times New Roman" w:hAnsi="Times New Roman" w:cs="Times New Roman"/>
          <w:lang w:val="fr-FR"/>
        </w:rPr>
        <w:t xml:space="preserve"> pu augmenter la réalisation</w:t>
      </w:r>
      <w:r w:rsidR="005F6773">
        <w:rPr>
          <w:rFonts w:ascii="Times New Roman" w:hAnsi="Times New Roman" w:cs="Times New Roman"/>
          <w:lang w:val="fr-FR"/>
        </w:rPr>
        <w:t xml:space="preserve"> d’activités liées aux plans d’</w:t>
      </w:r>
      <w:r w:rsidR="008F0017">
        <w:rPr>
          <w:rFonts w:ascii="Times New Roman" w:hAnsi="Times New Roman" w:cs="Times New Roman"/>
          <w:lang w:val="fr-FR"/>
        </w:rPr>
        <w:t>action dans le cadre de</w:t>
      </w:r>
      <w:r w:rsidR="005F6773">
        <w:rPr>
          <w:rFonts w:ascii="Times New Roman" w:hAnsi="Times New Roman" w:cs="Times New Roman"/>
          <w:lang w:val="fr-FR"/>
        </w:rPr>
        <w:t xml:space="preserve"> projets EU Life+. Cependant,</w:t>
      </w:r>
      <w:r w:rsidR="008F0017">
        <w:rPr>
          <w:rFonts w:ascii="Times New Roman" w:hAnsi="Times New Roman" w:cs="Times New Roman"/>
          <w:lang w:val="fr-FR"/>
        </w:rPr>
        <w:t xml:space="preserve"> il n’existe aucun outil de financement semblable en dehors de l’Union européenne.</w:t>
      </w:r>
      <w:r w:rsidR="005F6773">
        <w:rPr>
          <w:rFonts w:ascii="Times New Roman" w:hAnsi="Times New Roman" w:cs="Times New Roman"/>
          <w:lang w:val="fr-FR"/>
        </w:rPr>
        <w:t xml:space="preserve">  </w:t>
      </w:r>
      <w:r w:rsidRPr="00403C55">
        <w:rPr>
          <w:rFonts w:ascii="Times New Roman" w:hAnsi="Times New Roman" w:cs="Times New Roman"/>
          <w:lang w:val="fr-FR"/>
        </w:rPr>
        <w:t xml:space="preserve">Il est clair que </w:t>
      </w:r>
      <w:r w:rsidRPr="00403C55">
        <w:rPr>
          <w:rFonts w:ascii="Times New Roman" w:hAnsi="Times New Roman" w:cs="Times New Roman"/>
          <w:b/>
          <w:lang w:val="fr-FR"/>
        </w:rPr>
        <w:t>les efforts pour combler ces lacunes doivent être intensifiés, notamment pour les espèces considérées comme menacées au niveau mondial</w:t>
      </w:r>
      <w:r w:rsidRPr="00403C55">
        <w:rPr>
          <w:rFonts w:ascii="Times New Roman" w:hAnsi="Times New Roman" w:cs="Times New Roman"/>
          <w:lang w:val="fr-FR"/>
        </w:rPr>
        <w:t>.</w:t>
      </w:r>
      <w:r w:rsidR="009F218E" w:rsidRPr="00403C55">
        <w:rPr>
          <w:rFonts w:ascii="Times New Roman" w:hAnsi="Times New Roman" w:cs="Times New Roman"/>
          <w:lang w:val="fr-FR"/>
        </w:rPr>
        <w:t xml:space="preserve"> </w:t>
      </w:r>
      <w:r w:rsidRPr="00403C55">
        <w:rPr>
          <w:rFonts w:ascii="Times New Roman" w:hAnsi="Times New Roman" w:cs="Times New Roman"/>
          <w:lang w:val="fr-FR"/>
        </w:rPr>
        <w:t>Une coopération renforcée entre certains des différents groupes de travail et d</w:t>
      </w:r>
      <w:r w:rsidR="00A23749">
        <w:rPr>
          <w:rFonts w:ascii="Times New Roman" w:hAnsi="Times New Roman" w:cs="Times New Roman"/>
          <w:lang w:val="fr-FR"/>
        </w:rPr>
        <w:t>’</w:t>
      </w:r>
      <w:r w:rsidRPr="00403C55">
        <w:rPr>
          <w:rFonts w:ascii="Times New Roman" w:hAnsi="Times New Roman" w:cs="Times New Roman"/>
          <w:lang w:val="fr-FR"/>
        </w:rPr>
        <w:t xml:space="preserve">experts internationaux par espèce dont les aires de répartition </w:t>
      </w:r>
      <w:r w:rsidR="00A23749">
        <w:rPr>
          <w:rFonts w:ascii="Times New Roman" w:hAnsi="Times New Roman" w:cs="Times New Roman"/>
          <w:lang w:val="fr-FR"/>
        </w:rPr>
        <w:t xml:space="preserve">présentent des </w:t>
      </w:r>
      <w:r w:rsidRPr="00403C55">
        <w:rPr>
          <w:rFonts w:ascii="Times New Roman" w:hAnsi="Times New Roman" w:cs="Times New Roman"/>
          <w:lang w:val="fr-FR"/>
        </w:rPr>
        <w:t>chevauche</w:t>
      </w:r>
      <w:r w:rsidR="00A23749">
        <w:rPr>
          <w:rFonts w:ascii="Times New Roman" w:hAnsi="Times New Roman" w:cs="Times New Roman"/>
          <w:lang w:val="fr-FR"/>
        </w:rPr>
        <w:t>men</w:t>
      </w:r>
      <w:r w:rsidRPr="00403C55">
        <w:rPr>
          <w:rFonts w:ascii="Times New Roman" w:hAnsi="Times New Roman" w:cs="Times New Roman"/>
          <w:lang w:val="fr-FR"/>
        </w:rPr>
        <w:t>t</w:t>
      </w:r>
      <w:r w:rsidR="00A23749">
        <w:rPr>
          <w:rFonts w:ascii="Times New Roman" w:hAnsi="Times New Roman" w:cs="Times New Roman"/>
          <w:lang w:val="fr-FR"/>
        </w:rPr>
        <w:t xml:space="preserve">s </w:t>
      </w:r>
      <w:r w:rsidRPr="00403C55">
        <w:rPr>
          <w:rFonts w:ascii="Times New Roman" w:hAnsi="Times New Roman" w:cs="Times New Roman"/>
          <w:lang w:val="fr-FR"/>
        </w:rPr>
        <w:t xml:space="preserve">pourrait, par exemple, être </w:t>
      </w:r>
      <w:r w:rsidR="00F62BB6" w:rsidRPr="00403C55">
        <w:rPr>
          <w:rFonts w:ascii="Times New Roman" w:hAnsi="Times New Roman" w:cs="Times New Roman"/>
          <w:lang w:val="fr-FR"/>
        </w:rPr>
        <w:t>envisagée</w:t>
      </w:r>
      <w:r w:rsidRPr="00403C55">
        <w:rPr>
          <w:rFonts w:ascii="Times New Roman" w:hAnsi="Times New Roman" w:cs="Times New Roman"/>
          <w:lang w:val="fr-FR"/>
        </w:rPr>
        <w:t xml:space="preserve"> dans un effort de mettre en commun les ressources limitées, ainsi que le savoir-faire et l’expertise techniques.</w:t>
      </w:r>
      <w:r w:rsidR="00EE766F">
        <w:rPr>
          <w:rFonts w:ascii="Times New Roman" w:hAnsi="Times New Roman" w:cs="Times New Roman"/>
          <w:lang w:val="fr-FR"/>
        </w:rPr>
        <w:t xml:space="preserve"> </w:t>
      </w:r>
    </w:p>
    <w:p w14:paraId="7D9C25CE" w14:textId="77777777" w:rsidR="000D08FE" w:rsidRPr="00403C55" w:rsidRDefault="000D08FE" w:rsidP="002C4677">
      <w:pPr>
        <w:spacing w:after="0" w:line="240" w:lineRule="auto"/>
        <w:jc w:val="both"/>
        <w:rPr>
          <w:rFonts w:ascii="Times New Roman" w:hAnsi="Times New Roman" w:cs="Times New Roman"/>
          <w:lang w:val="fr-FR"/>
        </w:rPr>
      </w:pPr>
    </w:p>
    <w:p w14:paraId="641BF517" w14:textId="476B3C98" w:rsidR="0011024C" w:rsidRPr="00403C55" w:rsidRDefault="00DA36A4" w:rsidP="002C4677">
      <w:pPr>
        <w:spacing w:after="0" w:line="240" w:lineRule="auto"/>
        <w:jc w:val="both"/>
        <w:rPr>
          <w:rFonts w:ascii="Times New Roman" w:hAnsi="Times New Roman" w:cs="Times New Roman"/>
          <w:lang w:val="fr-FR"/>
        </w:rPr>
      </w:pPr>
      <w:r w:rsidRPr="008F0017">
        <w:rPr>
          <w:rFonts w:ascii="Times New Roman" w:hAnsi="Times New Roman" w:cs="Times New Roman"/>
          <w:b/>
          <w:lang w:val="fr-FR"/>
        </w:rPr>
        <w:t>Le</w:t>
      </w:r>
      <w:r w:rsidR="008F0017">
        <w:rPr>
          <w:rFonts w:ascii="Times New Roman" w:hAnsi="Times New Roman" w:cs="Times New Roman"/>
          <w:b/>
          <w:lang w:val="fr-FR"/>
        </w:rPr>
        <w:t xml:space="preserve"> manque d’intérêt,</w:t>
      </w:r>
      <w:r w:rsidRPr="00403C55">
        <w:rPr>
          <w:rFonts w:ascii="Times New Roman" w:hAnsi="Times New Roman" w:cs="Times New Roman"/>
          <w:b/>
          <w:lang w:val="fr-FR"/>
        </w:rPr>
        <w:t xml:space="preserve"> d’engagement </w:t>
      </w:r>
      <w:r w:rsidR="008F0017">
        <w:rPr>
          <w:rFonts w:ascii="Times New Roman" w:hAnsi="Times New Roman" w:cs="Times New Roman"/>
          <w:b/>
          <w:lang w:val="fr-FR"/>
        </w:rPr>
        <w:t xml:space="preserve">et de capacité signalé des gouvernements pour </w:t>
      </w:r>
      <w:r w:rsidRPr="00403C55">
        <w:rPr>
          <w:rFonts w:ascii="Times New Roman" w:hAnsi="Times New Roman" w:cs="Times New Roman"/>
          <w:b/>
          <w:lang w:val="fr-FR"/>
        </w:rPr>
        <w:t xml:space="preserve">la mise en œuvre des plans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w:t>
      </w:r>
      <w:r w:rsidR="0003562F">
        <w:rPr>
          <w:rFonts w:ascii="Times New Roman" w:hAnsi="Times New Roman" w:cs="Times New Roman"/>
          <w:b/>
          <w:lang w:val="fr-FR"/>
        </w:rPr>
        <w:t>de l’AEWA</w:t>
      </w:r>
      <w:r w:rsidR="00985A4E">
        <w:rPr>
          <w:rFonts w:ascii="Times New Roman" w:hAnsi="Times New Roman" w:cs="Times New Roman"/>
          <w:b/>
          <w:lang w:val="fr-FR"/>
        </w:rPr>
        <w:t xml:space="preserve"> </w:t>
      </w:r>
      <w:r w:rsidRPr="00403C55">
        <w:rPr>
          <w:rFonts w:ascii="Times New Roman" w:hAnsi="Times New Roman" w:cs="Times New Roman"/>
          <w:lang w:val="fr-FR"/>
        </w:rPr>
        <w:t xml:space="preserve">est l’un des problèmes les plus sérieux entravant la réalisation des buts et des objectifs des plans </w:t>
      </w:r>
      <w:r w:rsidR="0003562F">
        <w:rPr>
          <w:rFonts w:ascii="Times New Roman" w:hAnsi="Times New Roman" w:cs="Times New Roman"/>
          <w:lang w:val="fr-FR"/>
        </w:rPr>
        <w:t>d’action</w:t>
      </w:r>
      <w:r w:rsidRPr="00403C55">
        <w:rPr>
          <w:rFonts w:ascii="Times New Roman" w:hAnsi="Times New Roman" w:cs="Times New Roman"/>
          <w:lang w:val="fr-FR"/>
        </w:rPr>
        <w:t>.</w:t>
      </w:r>
      <w:r w:rsidR="008F0017">
        <w:rPr>
          <w:rFonts w:ascii="Times New Roman" w:hAnsi="Times New Roman" w:cs="Times New Roman"/>
          <w:lang w:val="fr-FR"/>
        </w:rPr>
        <w:t xml:space="preserve"> Ceci est directement lié au manque de financement signalé, ainsi qu’au manque de capacités humaines et techniques adéquates, puisqu’un soutien et </w:t>
      </w:r>
      <w:r w:rsidR="00544CDF">
        <w:rPr>
          <w:rFonts w:ascii="Times New Roman" w:hAnsi="Times New Roman" w:cs="Times New Roman"/>
          <w:lang w:val="fr-FR"/>
        </w:rPr>
        <w:t xml:space="preserve">un </w:t>
      </w:r>
      <w:r w:rsidR="008F0017">
        <w:rPr>
          <w:rFonts w:ascii="Times New Roman" w:hAnsi="Times New Roman" w:cs="Times New Roman"/>
          <w:lang w:val="fr-FR"/>
        </w:rPr>
        <w:t xml:space="preserve">engagement des gouvernements aux processus de mise en œuvre devraient permettre l’accès (même minime) à des ressources </w:t>
      </w:r>
      <w:r w:rsidR="00544CDF">
        <w:rPr>
          <w:rFonts w:ascii="Times New Roman" w:hAnsi="Times New Roman" w:cs="Times New Roman"/>
          <w:lang w:val="fr-FR"/>
        </w:rPr>
        <w:t>au niveau national</w:t>
      </w:r>
      <w:r w:rsidR="008F0017">
        <w:rPr>
          <w:rFonts w:ascii="Times New Roman" w:hAnsi="Times New Roman" w:cs="Times New Roman"/>
          <w:lang w:val="fr-FR"/>
        </w:rPr>
        <w:t xml:space="preserve">. Les questions relatives au manque de soutien </w:t>
      </w:r>
      <w:r w:rsidR="00544CDF">
        <w:rPr>
          <w:rFonts w:ascii="Times New Roman" w:hAnsi="Times New Roman" w:cs="Times New Roman"/>
          <w:lang w:val="fr-FR"/>
        </w:rPr>
        <w:t>apporté par l</w:t>
      </w:r>
      <w:r w:rsidR="008F0017">
        <w:rPr>
          <w:rFonts w:ascii="Times New Roman" w:hAnsi="Times New Roman" w:cs="Times New Roman"/>
          <w:lang w:val="fr-FR"/>
        </w:rPr>
        <w:t>es gouvernements à la mise en œuvre ont été mises en avant à plusieurs reprise</w:t>
      </w:r>
      <w:r w:rsidR="00544CDF">
        <w:rPr>
          <w:rFonts w:ascii="Times New Roman" w:hAnsi="Times New Roman" w:cs="Times New Roman"/>
          <w:lang w:val="fr-FR"/>
        </w:rPr>
        <w:t>s dans les questionnaires remi</w:t>
      </w:r>
      <w:r w:rsidR="008F0017">
        <w:rPr>
          <w:rFonts w:ascii="Times New Roman" w:hAnsi="Times New Roman" w:cs="Times New Roman"/>
          <w:lang w:val="fr-FR"/>
        </w:rPr>
        <w:t>s par les fonctionnaires de gouvernement et les praticiens dans</w:t>
      </w:r>
      <w:r w:rsidR="00544CDF">
        <w:rPr>
          <w:rFonts w:ascii="Times New Roman" w:hAnsi="Times New Roman" w:cs="Times New Roman"/>
          <w:lang w:val="fr-FR"/>
        </w:rPr>
        <w:t xml:space="preserve"> le domaine de la conservation, constituant le deuxième principal obstacle à la mise en œuvre</w:t>
      </w:r>
      <w:r w:rsidR="00F62BB6" w:rsidRPr="00403C55">
        <w:rPr>
          <w:rFonts w:ascii="Times New Roman" w:hAnsi="Times New Roman" w:cs="Times New Roman"/>
          <w:lang w:val="fr-FR"/>
        </w:rPr>
        <w:t>.</w:t>
      </w:r>
    </w:p>
    <w:p w14:paraId="667DAD6B" w14:textId="77777777" w:rsidR="0011024C" w:rsidRDefault="0011024C" w:rsidP="002C4677">
      <w:pPr>
        <w:spacing w:after="0" w:line="240" w:lineRule="auto"/>
        <w:jc w:val="both"/>
        <w:rPr>
          <w:rFonts w:ascii="Times New Roman" w:hAnsi="Times New Roman" w:cs="Times New Roman"/>
          <w:lang w:val="fr-FR"/>
        </w:rPr>
      </w:pPr>
    </w:p>
    <w:p w14:paraId="6DE9823C" w14:textId="72731CD0" w:rsidR="00544CDF" w:rsidRPr="000A322A" w:rsidRDefault="00544CDF" w:rsidP="00544CDF">
      <w:pPr>
        <w:spacing w:after="0" w:line="240" w:lineRule="auto"/>
        <w:jc w:val="both"/>
        <w:rPr>
          <w:rFonts w:ascii="Times New Roman" w:hAnsi="Times New Roman" w:cs="Times New Roman"/>
          <w:lang w:val="fr-FR"/>
        </w:rPr>
      </w:pPr>
      <w:r w:rsidRPr="00544CDF">
        <w:rPr>
          <w:rFonts w:ascii="Times New Roman" w:hAnsi="Times New Roman" w:cs="Times New Roman"/>
          <w:lang w:val="fr-FR"/>
        </w:rPr>
        <w:t>La trans</w:t>
      </w:r>
      <w:r>
        <w:rPr>
          <w:rFonts w:ascii="Times New Roman" w:hAnsi="Times New Roman" w:cs="Times New Roman"/>
          <w:lang w:val="fr-FR"/>
        </w:rPr>
        <w:t>posit</w:t>
      </w:r>
      <w:r w:rsidRPr="00544CDF">
        <w:rPr>
          <w:rFonts w:ascii="Times New Roman" w:hAnsi="Times New Roman" w:cs="Times New Roman"/>
          <w:lang w:val="fr-FR"/>
        </w:rPr>
        <w:t>ion des activités</w:t>
      </w:r>
      <w:r>
        <w:rPr>
          <w:rFonts w:ascii="Times New Roman" w:hAnsi="Times New Roman" w:cs="Times New Roman"/>
          <w:lang w:val="fr-FR"/>
        </w:rPr>
        <w:t xml:space="preserve"> et des objectifs énoncés dans le</w:t>
      </w:r>
      <w:r w:rsidRPr="00544CDF">
        <w:rPr>
          <w:rFonts w:ascii="Times New Roman" w:hAnsi="Times New Roman" w:cs="Times New Roman"/>
          <w:lang w:val="fr-FR"/>
        </w:rPr>
        <w:t>s plans d’action et de gestion internationaux po</w:t>
      </w:r>
      <w:r>
        <w:rPr>
          <w:rFonts w:ascii="Times New Roman" w:hAnsi="Times New Roman" w:cs="Times New Roman"/>
          <w:lang w:val="fr-FR"/>
        </w:rPr>
        <w:t>ur des espèces en politiques et straté</w:t>
      </w:r>
      <w:r w:rsidRPr="00544CDF">
        <w:rPr>
          <w:rFonts w:ascii="Times New Roman" w:hAnsi="Times New Roman" w:cs="Times New Roman"/>
          <w:lang w:val="fr-FR"/>
        </w:rPr>
        <w:t xml:space="preserve">gies </w:t>
      </w:r>
      <w:r>
        <w:rPr>
          <w:rFonts w:ascii="Times New Roman" w:hAnsi="Times New Roman" w:cs="Times New Roman"/>
          <w:lang w:val="fr-FR"/>
        </w:rPr>
        <w:t xml:space="preserve">nationales est une autre étape essentielle pour assurer l’engagement des </w:t>
      </w:r>
      <w:r w:rsidRPr="00544CDF">
        <w:rPr>
          <w:rFonts w:ascii="Times New Roman" w:hAnsi="Times New Roman" w:cs="Times New Roman"/>
          <w:lang w:val="fr-FR"/>
        </w:rPr>
        <w:t>go</w:t>
      </w:r>
      <w:r>
        <w:rPr>
          <w:rFonts w:ascii="Times New Roman" w:hAnsi="Times New Roman" w:cs="Times New Roman"/>
          <w:lang w:val="fr-FR"/>
        </w:rPr>
        <w:t>u</w:t>
      </w:r>
      <w:r w:rsidRPr="00544CDF">
        <w:rPr>
          <w:rFonts w:ascii="Times New Roman" w:hAnsi="Times New Roman" w:cs="Times New Roman"/>
          <w:lang w:val="fr-FR"/>
        </w:rPr>
        <w:t>vern</w:t>
      </w:r>
      <w:r>
        <w:rPr>
          <w:rFonts w:ascii="Times New Roman" w:hAnsi="Times New Roman" w:cs="Times New Roman"/>
          <w:lang w:val="fr-FR"/>
        </w:rPr>
        <w:t>e</w:t>
      </w:r>
      <w:r w:rsidRPr="00544CDF">
        <w:rPr>
          <w:rFonts w:ascii="Times New Roman" w:hAnsi="Times New Roman" w:cs="Times New Roman"/>
          <w:lang w:val="fr-FR"/>
        </w:rPr>
        <w:t>ment</w:t>
      </w:r>
      <w:r>
        <w:rPr>
          <w:rFonts w:ascii="Times New Roman" w:hAnsi="Times New Roman" w:cs="Times New Roman"/>
          <w:lang w:val="fr-FR"/>
        </w:rPr>
        <w:t>s et une mise en œuvre à plus long terme</w:t>
      </w:r>
      <w:r w:rsidRPr="00544CDF">
        <w:rPr>
          <w:rFonts w:ascii="Times New Roman" w:hAnsi="Times New Roman" w:cs="Times New Roman"/>
          <w:lang w:val="fr-FR"/>
        </w:rPr>
        <w:t xml:space="preserve">. </w:t>
      </w:r>
      <w:r>
        <w:rPr>
          <w:rFonts w:ascii="Times New Roman" w:hAnsi="Times New Roman" w:cs="Times New Roman"/>
          <w:lang w:val="fr-FR"/>
        </w:rPr>
        <w:t>N</w:t>
      </w:r>
      <w:r w:rsidRPr="00544CDF">
        <w:rPr>
          <w:rFonts w:ascii="Times New Roman" w:hAnsi="Times New Roman" w:cs="Times New Roman"/>
          <w:lang w:val="fr-FR"/>
        </w:rPr>
        <w:t>ombre de plans d’</w:t>
      </w:r>
      <w:r>
        <w:rPr>
          <w:rFonts w:ascii="Times New Roman" w:hAnsi="Times New Roman" w:cs="Times New Roman"/>
          <w:lang w:val="fr-FR"/>
        </w:rPr>
        <w:t>action adopté</w:t>
      </w:r>
      <w:r w:rsidRPr="00544CDF">
        <w:rPr>
          <w:rFonts w:ascii="Times New Roman" w:hAnsi="Times New Roman" w:cs="Times New Roman"/>
          <w:lang w:val="fr-FR"/>
        </w:rPr>
        <w:t xml:space="preserve">s au titre de l’AEWA mettent l’accent en particulier sur l’adoption de plans d’action nationaux à cette fin, et </w:t>
      </w:r>
      <w:r>
        <w:rPr>
          <w:rFonts w:ascii="Times New Roman" w:hAnsi="Times New Roman" w:cs="Times New Roman"/>
          <w:lang w:val="fr-FR"/>
        </w:rPr>
        <w:t>ceci est l’un des facteurs considérés comme indicateur de progrès dans la mise en œuvre</w:t>
      </w:r>
      <w:r w:rsidRPr="00544CDF">
        <w:rPr>
          <w:rFonts w:ascii="Times New Roman" w:hAnsi="Times New Roman" w:cs="Times New Roman"/>
          <w:lang w:val="fr-FR"/>
        </w:rPr>
        <w:t xml:space="preserve">. </w:t>
      </w:r>
      <w:r w:rsidR="000A322A" w:rsidRPr="000A322A">
        <w:rPr>
          <w:rFonts w:ascii="Times New Roman" w:hAnsi="Times New Roman" w:cs="Times New Roman"/>
          <w:lang w:val="fr-FR"/>
        </w:rPr>
        <w:t xml:space="preserve">Le nombre </w:t>
      </w:r>
      <w:r w:rsidRPr="000A322A">
        <w:rPr>
          <w:rFonts w:ascii="Times New Roman" w:hAnsi="Times New Roman" w:cs="Times New Roman"/>
          <w:lang w:val="fr-FR"/>
        </w:rPr>
        <w:t>r</w:t>
      </w:r>
      <w:r w:rsidR="000A322A" w:rsidRPr="000A322A">
        <w:rPr>
          <w:rFonts w:ascii="Times New Roman" w:hAnsi="Times New Roman" w:cs="Times New Roman"/>
          <w:lang w:val="fr-FR"/>
        </w:rPr>
        <w:t>elativement faible de plans d’action nationaux signalés, cependant, ne prend pas en considération le fait que de nombreux pays disposent déjà de cadres nati</w:t>
      </w:r>
      <w:r w:rsidR="000A322A">
        <w:rPr>
          <w:rFonts w:ascii="Times New Roman" w:hAnsi="Times New Roman" w:cs="Times New Roman"/>
          <w:lang w:val="fr-FR"/>
        </w:rPr>
        <w:t xml:space="preserve">onaux adéquats et </w:t>
      </w:r>
      <w:r w:rsidR="000A322A" w:rsidRPr="000A322A">
        <w:rPr>
          <w:rFonts w:ascii="Times New Roman" w:hAnsi="Times New Roman" w:cs="Times New Roman"/>
          <w:lang w:val="fr-FR"/>
        </w:rPr>
        <w:t xml:space="preserve">qu’ils n’ont </w:t>
      </w:r>
      <w:r w:rsidR="000A322A">
        <w:rPr>
          <w:rFonts w:ascii="Times New Roman" w:hAnsi="Times New Roman" w:cs="Times New Roman"/>
          <w:lang w:val="fr-FR"/>
        </w:rPr>
        <w:t xml:space="preserve">donc </w:t>
      </w:r>
      <w:r w:rsidR="000A322A" w:rsidRPr="000A322A">
        <w:rPr>
          <w:rFonts w:ascii="Times New Roman" w:hAnsi="Times New Roman" w:cs="Times New Roman"/>
          <w:lang w:val="fr-FR"/>
        </w:rPr>
        <w:t>pas besoin d’adopter d’autres plans d’action nationaux.</w:t>
      </w:r>
      <w:r w:rsidR="000A322A">
        <w:rPr>
          <w:rFonts w:ascii="Times New Roman" w:hAnsi="Times New Roman" w:cs="Times New Roman"/>
          <w:lang w:val="fr-FR"/>
        </w:rPr>
        <w:t xml:space="preserve"> </w:t>
      </w:r>
      <w:r w:rsidR="000A322A" w:rsidRPr="000A322A">
        <w:rPr>
          <w:rFonts w:ascii="Times New Roman" w:hAnsi="Times New Roman" w:cs="Times New Roman"/>
          <w:lang w:val="fr-FR"/>
        </w:rPr>
        <w:t>Ceci étant dit,</w:t>
      </w:r>
      <w:r w:rsidRPr="000A322A">
        <w:rPr>
          <w:rFonts w:ascii="Times New Roman" w:hAnsi="Times New Roman" w:cs="Times New Roman"/>
          <w:lang w:val="fr-FR"/>
        </w:rPr>
        <w:t xml:space="preserve"> </w:t>
      </w:r>
      <w:r w:rsidR="000A322A" w:rsidRPr="000A322A">
        <w:rPr>
          <w:rFonts w:ascii="Times New Roman" w:hAnsi="Times New Roman" w:cs="Times New Roman"/>
          <w:lang w:val="fr-FR"/>
        </w:rPr>
        <w:t>les plans d’action nationaux et les group</w:t>
      </w:r>
      <w:r w:rsidR="000A322A">
        <w:rPr>
          <w:rFonts w:ascii="Times New Roman" w:hAnsi="Times New Roman" w:cs="Times New Roman"/>
          <w:lang w:val="fr-FR"/>
        </w:rPr>
        <w:t>e</w:t>
      </w:r>
      <w:r w:rsidR="000A322A" w:rsidRPr="000A322A">
        <w:rPr>
          <w:rFonts w:ascii="Times New Roman" w:hAnsi="Times New Roman" w:cs="Times New Roman"/>
          <w:lang w:val="fr-FR"/>
        </w:rPr>
        <w:t xml:space="preserve">s </w:t>
      </w:r>
      <w:r w:rsidR="000A322A">
        <w:rPr>
          <w:rFonts w:ascii="Times New Roman" w:hAnsi="Times New Roman" w:cs="Times New Roman"/>
          <w:lang w:val="fr-FR"/>
        </w:rPr>
        <w:t>de travail rest</w:t>
      </w:r>
      <w:r w:rsidR="000A322A" w:rsidRPr="000A322A">
        <w:rPr>
          <w:rFonts w:ascii="Times New Roman" w:hAnsi="Times New Roman" w:cs="Times New Roman"/>
          <w:lang w:val="fr-FR"/>
        </w:rPr>
        <w:t>ent un outil important pour les pays qui n’ont pas mis en place de tels cadres</w:t>
      </w:r>
      <w:r w:rsidR="000A322A">
        <w:rPr>
          <w:rFonts w:ascii="Times New Roman" w:hAnsi="Times New Roman" w:cs="Times New Roman"/>
          <w:lang w:val="fr-FR"/>
        </w:rPr>
        <w:t> ; il conviendra</w:t>
      </w:r>
      <w:r w:rsidR="000A322A" w:rsidRPr="000A322A">
        <w:rPr>
          <w:rFonts w:ascii="Times New Roman" w:hAnsi="Times New Roman" w:cs="Times New Roman"/>
          <w:lang w:val="fr-FR"/>
        </w:rPr>
        <w:t xml:space="preserve"> de </w:t>
      </w:r>
      <w:r w:rsidR="000A322A">
        <w:rPr>
          <w:rFonts w:ascii="Times New Roman" w:hAnsi="Times New Roman" w:cs="Times New Roman"/>
          <w:lang w:val="fr-FR"/>
        </w:rPr>
        <w:t>ré</w:t>
      </w:r>
      <w:r w:rsidR="000A322A" w:rsidRPr="000A322A">
        <w:rPr>
          <w:rFonts w:ascii="Times New Roman" w:hAnsi="Times New Roman" w:cs="Times New Roman"/>
          <w:lang w:val="fr-FR"/>
        </w:rPr>
        <w:t>viser</w:t>
      </w:r>
      <w:r w:rsidR="000A322A">
        <w:rPr>
          <w:rFonts w:ascii="Times New Roman" w:hAnsi="Times New Roman" w:cs="Times New Roman"/>
          <w:lang w:val="fr-FR"/>
        </w:rPr>
        <w:t xml:space="preserve"> les Lignes directrices de conservation de l’</w:t>
      </w:r>
      <w:r w:rsidRPr="000A322A">
        <w:rPr>
          <w:rFonts w:ascii="Times New Roman" w:hAnsi="Times New Roman" w:cs="Times New Roman"/>
          <w:lang w:val="fr-FR"/>
        </w:rPr>
        <w:t xml:space="preserve">AEWA </w:t>
      </w:r>
      <w:r w:rsidR="000A322A">
        <w:rPr>
          <w:rFonts w:ascii="Times New Roman" w:hAnsi="Times New Roman" w:cs="Times New Roman"/>
          <w:lang w:val="fr-FR"/>
        </w:rPr>
        <w:t>pour l’élaboration des plans d’action nationaux, de sorte que les pays disposent d’orientations adé</w:t>
      </w:r>
      <w:r w:rsidRPr="000A322A">
        <w:rPr>
          <w:rFonts w:ascii="Times New Roman" w:hAnsi="Times New Roman" w:cs="Times New Roman"/>
          <w:lang w:val="fr-FR"/>
        </w:rPr>
        <w:t>quate</w:t>
      </w:r>
      <w:r w:rsidR="000A322A">
        <w:rPr>
          <w:rFonts w:ascii="Times New Roman" w:hAnsi="Times New Roman" w:cs="Times New Roman"/>
          <w:lang w:val="fr-FR"/>
        </w:rPr>
        <w:t>s et à jour pour l’élaboration de ces plans d’action</w:t>
      </w:r>
      <w:r w:rsidRPr="000A322A">
        <w:rPr>
          <w:rFonts w:ascii="Times New Roman" w:hAnsi="Times New Roman" w:cs="Times New Roman"/>
          <w:lang w:val="fr-FR"/>
        </w:rPr>
        <w:t>.</w:t>
      </w:r>
    </w:p>
    <w:p w14:paraId="11502388" w14:textId="77777777" w:rsidR="00544CDF" w:rsidRPr="000A322A" w:rsidRDefault="00544CDF" w:rsidP="002C4677">
      <w:pPr>
        <w:spacing w:after="0" w:line="240" w:lineRule="auto"/>
        <w:jc w:val="both"/>
        <w:rPr>
          <w:rFonts w:ascii="Times New Roman" w:hAnsi="Times New Roman" w:cs="Times New Roman"/>
          <w:lang w:val="fr-FR"/>
        </w:rPr>
      </w:pPr>
    </w:p>
    <w:p w14:paraId="61AD136A" w14:textId="0849549D" w:rsidR="00CF07DD" w:rsidRPr="00403C55" w:rsidRDefault="002C78AE"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w:t>
      </w:r>
      <w:r w:rsidRPr="00403C55">
        <w:rPr>
          <w:rFonts w:ascii="Times New Roman" w:hAnsi="Times New Roman" w:cs="Times New Roman"/>
          <w:b/>
          <w:lang w:val="fr-FR"/>
        </w:rPr>
        <w:t xml:space="preserve">responsabilité première de la mise en œuvre des plans </w:t>
      </w:r>
      <w:r w:rsidR="0003562F">
        <w:rPr>
          <w:rFonts w:ascii="Times New Roman" w:hAnsi="Times New Roman" w:cs="Times New Roman"/>
          <w:b/>
          <w:lang w:val="fr-FR"/>
        </w:rPr>
        <w:t>d’action</w:t>
      </w:r>
      <w:r w:rsidRPr="00403C55">
        <w:rPr>
          <w:rFonts w:ascii="Times New Roman" w:hAnsi="Times New Roman" w:cs="Times New Roman"/>
          <w:b/>
          <w:lang w:val="fr-FR"/>
        </w:rPr>
        <w:t xml:space="preserve"> revient aux gouvernements des principaux </w:t>
      </w:r>
      <w:r w:rsidR="00FE6EE5">
        <w:rPr>
          <w:rFonts w:ascii="Times New Roman" w:hAnsi="Times New Roman" w:cs="Times New Roman"/>
          <w:b/>
          <w:lang w:val="fr-FR"/>
        </w:rPr>
        <w:t>États de l’aire de répartition</w:t>
      </w:r>
      <w:r w:rsidRPr="00403C55">
        <w:rPr>
          <w:rFonts w:ascii="Times New Roman" w:hAnsi="Times New Roman" w:cs="Times New Roman"/>
          <w:lang w:val="fr-FR"/>
        </w:rPr>
        <w:t>.</w:t>
      </w:r>
      <w:r w:rsidR="0011024C" w:rsidRPr="00403C55">
        <w:rPr>
          <w:rFonts w:ascii="Times New Roman" w:hAnsi="Times New Roman" w:cs="Times New Roman"/>
          <w:lang w:val="fr-FR"/>
        </w:rPr>
        <w:t xml:space="preserve"> </w:t>
      </w:r>
      <w:r w:rsidRPr="00403C55">
        <w:rPr>
          <w:rFonts w:ascii="Times New Roman" w:hAnsi="Times New Roman" w:cs="Times New Roman"/>
          <w:lang w:val="fr-FR"/>
        </w:rPr>
        <w:t xml:space="preserve">Il faut donc réitérer que les Parties contractantes à l’AEWA sont – en fait – obligées de mettre en œuvre </w:t>
      </w:r>
      <w:r w:rsidR="000A1F2D">
        <w:rPr>
          <w:rFonts w:ascii="Times New Roman" w:hAnsi="Times New Roman" w:cs="Times New Roman"/>
          <w:lang w:val="fr-FR"/>
        </w:rPr>
        <w:t>les plans adoptés aux termes de</w:t>
      </w:r>
      <w:r w:rsidRPr="00403C55">
        <w:rPr>
          <w:rFonts w:ascii="Times New Roman" w:hAnsi="Times New Roman" w:cs="Times New Roman"/>
          <w:lang w:val="fr-FR"/>
        </w:rPr>
        <w:t xml:space="preserve"> l</w:t>
      </w:r>
      <w:r w:rsidR="00F62BB6" w:rsidRPr="00403C55">
        <w:rPr>
          <w:rFonts w:ascii="Times New Roman" w:hAnsi="Times New Roman" w:cs="Times New Roman"/>
          <w:lang w:val="fr-FR"/>
        </w:rPr>
        <w:t>’</w:t>
      </w:r>
      <w:r w:rsidRPr="00403C55">
        <w:rPr>
          <w:rFonts w:ascii="Times New Roman" w:hAnsi="Times New Roman" w:cs="Times New Roman"/>
          <w:lang w:val="fr-FR"/>
        </w:rPr>
        <w:t xml:space="preserve">Accord (chapitre 1). Bien que réalisant souvent un travail précieux, les ONG et </w:t>
      </w:r>
      <w:r w:rsidR="005B1832">
        <w:rPr>
          <w:rFonts w:ascii="Times New Roman" w:hAnsi="Times New Roman" w:cs="Times New Roman"/>
          <w:lang w:val="fr-FR"/>
        </w:rPr>
        <w:t xml:space="preserve">les </w:t>
      </w:r>
      <w:r w:rsidRPr="00403C55">
        <w:rPr>
          <w:rFonts w:ascii="Times New Roman" w:hAnsi="Times New Roman" w:cs="Times New Roman"/>
          <w:lang w:val="fr-FR"/>
        </w:rPr>
        <w:t>autres o</w:t>
      </w:r>
      <w:r w:rsidR="005B1832">
        <w:rPr>
          <w:rFonts w:ascii="Times New Roman" w:hAnsi="Times New Roman" w:cs="Times New Roman"/>
          <w:lang w:val="fr-FR"/>
        </w:rPr>
        <w:t xml:space="preserve">rganisations </w:t>
      </w:r>
      <w:r w:rsidR="007D35B4">
        <w:rPr>
          <w:rFonts w:ascii="Times New Roman" w:hAnsi="Times New Roman" w:cs="Times New Roman"/>
          <w:lang w:val="fr-FR"/>
        </w:rPr>
        <w:t>et parties prenantes</w:t>
      </w:r>
      <w:r w:rsidR="005B1832">
        <w:rPr>
          <w:rFonts w:ascii="Times New Roman" w:hAnsi="Times New Roman" w:cs="Times New Roman"/>
          <w:lang w:val="fr-FR"/>
        </w:rPr>
        <w:t xml:space="preserve"> </w:t>
      </w:r>
      <w:r w:rsidRPr="00403C55">
        <w:rPr>
          <w:rFonts w:ascii="Times New Roman" w:hAnsi="Times New Roman" w:cs="Times New Roman"/>
          <w:lang w:val="fr-FR"/>
        </w:rPr>
        <w:t>internat</w:t>
      </w:r>
      <w:r w:rsidR="005B1832">
        <w:rPr>
          <w:rFonts w:ascii="Times New Roman" w:hAnsi="Times New Roman" w:cs="Times New Roman"/>
          <w:lang w:val="fr-FR"/>
        </w:rPr>
        <w:t xml:space="preserve">ionales et nationales </w:t>
      </w:r>
      <w:r w:rsidR="007D35B4">
        <w:rPr>
          <w:rFonts w:ascii="Times New Roman" w:hAnsi="Times New Roman" w:cs="Times New Roman"/>
          <w:lang w:val="fr-FR"/>
        </w:rPr>
        <w:t xml:space="preserve">de protection de l’environnement </w:t>
      </w:r>
      <w:r w:rsidR="005B1832">
        <w:rPr>
          <w:rFonts w:ascii="Times New Roman" w:hAnsi="Times New Roman" w:cs="Times New Roman"/>
          <w:lang w:val="fr-FR"/>
        </w:rPr>
        <w:t>ne sont pas en mesu</w:t>
      </w:r>
      <w:r w:rsidR="007D35B4">
        <w:rPr>
          <w:rFonts w:ascii="Times New Roman" w:hAnsi="Times New Roman" w:cs="Times New Roman"/>
          <w:lang w:val="fr-FR"/>
        </w:rPr>
        <w:t>re de prendre en charge</w:t>
      </w:r>
      <w:r w:rsidR="005B1832">
        <w:rPr>
          <w:rFonts w:ascii="Times New Roman" w:hAnsi="Times New Roman" w:cs="Times New Roman"/>
          <w:lang w:val="fr-FR"/>
        </w:rPr>
        <w:t xml:space="preserve"> </w:t>
      </w:r>
      <w:r w:rsidRPr="00403C55">
        <w:rPr>
          <w:rFonts w:ascii="Times New Roman" w:hAnsi="Times New Roman" w:cs="Times New Roman"/>
          <w:lang w:val="fr-FR"/>
        </w:rPr>
        <w:t>l’intégr</w:t>
      </w:r>
      <w:r w:rsidR="005B1832">
        <w:rPr>
          <w:rFonts w:ascii="Times New Roman" w:hAnsi="Times New Roman" w:cs="Times New Roman"/>
          <w:lang w:val="fr-FR"/>
        </w:rPr>
        <w:t>alité de la mise en œuvre d’un p</w:t>
      </w:r>
      <w:r w:rsidRPr="00403C55">
        <w:rPr>
          <w:rFonts w:ascii="Times New Roman" w:hAnsi="Times New Roman" w:cs="Times New Roman"/>
          <w:lang w:val="fr-FR"/>
        </w:rPr>
        <w:t xml:space="preserve">lan </w:t>
      </w:r>
      <w:r w:rsidR="0003562F">
        <w:rPr>
          <w:rFonts w:ascii="Times New Roman" w:hAnsi="Times New Roman" w:cs="Times New Roman"/>
          <w:lang w:val="fr-FR"/>
        </w:rPr>
        <w:t>d’action</w:t>
      </w:r>
      <w:r w:rsidR="005B1832">
        <w:rPr>
          <w:rFonts w:ascii="Times New Roman" w:hAnsi="Times New Roman" w:cs="Times New Roman"/>
          <w:lang w:val="fr-FR"/>
        </w:rPr>
        <w:t xml:space="preserve"> à long-terme</w:t>
      </w:r>
      <w:r w:rsidRPr="00403C55">
        <w:rPr>
          <w:rFonts w:ascii="Times New Roman" w:hAnsi="Times New Roman" w:cs="Times New Roman"/>
          <w:lang w:val="fr-FR"/>
        </w:rPr>
        <w:t>.</w:t>
      </w:r>
      <w:r w:rsidR="00C03669" w:rsidRPr="00403C55">
        <w:rPr>
          <w:rFonts w:ascii="Times New Roman" w:hAnsi="Times New Roman" w:cs="Times New Roman"/>
          <w:lang w:val="fr-FR"/>
        </w:rPr>
        <w:t xml:space="preserve"> </w:t>
      </w:r>
    </w:p>
    <w:p w14:paraId="61FDA9B8" w14:textId="77777777" w:rsidR="00CF07DD" w:rsidRPr="00403C55" w:rsidRDefault="00CF07DD" w:rsidP="002C4677">
      <w:pPr>
        <w:spacing w:after="0" w:line="240" w:lineRule="auto"/>
        <w:jc w:val="both"/>
        <w:rPr>
          <w:rFonts w:ascii="Times New Roman" w:hAnsi="Times New Roman" w:cs="Times New Roman"/>
          <w:lang w:val="fr-FR"/>
        </w:rPr>
      </w:pPr>
    </w:p>
    <w:p w14:paraId="74A86482" w14:textId="04536D8D" w:rsidR="00830F42" w:rsidRPr="00403C55" w:rsidRDefault="002C78AE"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situation du Plan de gestion international pour l’Oie à bec court est légèrement différente, </w:t>
      </w:r>
      <w:r w:rsidR="00866190" w:rsidRPr="00403C55">
        <w:rPr>
          <w:rFonts w:ascii="Times New Roman" w:hAnsi="Times New Roman" w:cs="Times New Roman"/>
          <w:lang w:val="fr-FR"/>
        </w:rPr>
        <w:t>car les gouvernements des État de l'aire de répartition</w:t>
      </w:r>
      <w:r w:rsidRPr="00403C55">
        <w:rPr>
          <w:rFonts w:ascii="Times New Roman" w:hAnsi="Times New Roman" w:cs="Times New Roman"/>
          <w:lang w:val="fr-FR"/>
        </w:rPr>
        <w:t xml:space="preserve"> </w:t>
      </w:r>
      <w:r w:rsidR="007D35B4">
        <w:rPr>
          <w:rFonts w:ascii="Times New Roman" w:hAnsi="Times New Roman" w:cs="Times New Roman"/>
          <w:lang w:val="fr-FR"/>
        </w:rPr>
        <w:t>o</w:t>
      </w:r>
      <w:r w:rsidR="00866190" w:rsidRPr="00403C55">
        <w:rPr>
          <w:rFonts w:ascii="Times New Roman" w:hAnsi="Times New Roman" w:cs="Times New Roman"/>
          <w:lang w:val="fr-FR"/>
        </w:rPr>
        <w:t xml:space="preserve">nt un rôle plus </w:t>
      </w:r>
      <w:r w:rsidR="007D35B4">
        <w:rPr>
          <w:rFonts w:ascii="Times New Roman" w:hAnsi="Times New Roman" w:cs="Times New Roman"/>
          <w:lang w:val="fr-FR"/>
        </w:rPr>
        <w:t>pro</w:t>
      </w:r>
      <w:r w:rsidR="00866190" w:rsidRPr="00403C55">
        <w:rPr>
          <w:rFonts w:ascii="Times New Roman" w:hAnsi="Times New Roman" w:cs="Times New Roman"/>
          <w:lang w:val="fr-FR"/>
        </w:rPr>
        <w:t>actif dans la mise en œuvre</w:t>
      </w:r>
      <w:r w:rsidRPr="00403C55">
        <w:rPr>
          <w:rFonts w:ascii="Times New Roman" w:hAnsi="Times New Roman" w:cs="Times New Roman"/>
          <w:lang w:val="fr-FR"/>
        </w:rPr>
        <w:t xml:space="preserve"> </w:t>
      </w:r>
      <w:r w:rsidR="00866190" w:rsidRPr="00403C55">
        <w:rPr>
          <w:rFonts w:ascii="Times New Roman" w:hAnsi="Times New Roman" w:cs="Times New Roman"/>
          <w:lang w:val="fr-FR"/>
        </w:rPr>
        <w:t>du système de gestion des prélèvements établi</w:t>
      </w:r>
      <w:r w:rsidRPr="00403C55">
        <w:rPr>
          <w:rFonts w:ascii="Times New Roman" w:hAnsi="Times New Roman" w:cs="Times New Roman"/>
          <w:lang w:val="fr-FR"/>
        </w:rPr>
        <w:t>.</w:t>
      </w:r>
      <w:r w:rsidR="007B0E9F" w:rsidRPr="00403C55">
        <w:rPr>
          <w:rFonts w:ascii="Times New Roman" w:hAnsi="Times New Roman" w:cs="Times New Roman"/>
          <w:lang w:val="fr-FR"/>
        </w:rPr>
        <w:t xml:space="preserve"> </w:t>
      </w:r>
      <w:r w:rsidR="00866190" w:rsidRPr="00403C55">
        <w:rPr>
          <w:rFonts w:ascii="Times New Roman" w:hAnsi="Times New Roman" w:cs="Times New Roman"/>
          <w:lang w:val="fr-FR"/>
        </w:rPr>
        <w:t>Peut-être y a-t-il des leçons à tirer de ce processus</w:t>
      </w:r>
      <w:r w:rsidR="00F62BB6" w:rsidRPr="00403C55">
        <w:rPr>
          <w:rFonts w:ascii="Times New Roman" w:hAnsi="Times New Roman" w:cs="Times New Roman"/>
          <w:lang w:val="fr-FR"/>
        </w:rPr>
        <w:t>,</w:t>
      </w:r>
      <w:r w:rsidR="00866190" w:rsidRPr="00403C55">
        <w:rPr>
          <w:rFonts w:ascii="Times New Roman" w:hAnsi="Times New Roman" w:cs="Times New Roman"/>
          <w:lang w:val="fr-FR"/>
        </w:rPr>
        <w:t xml:space="preserve"> au niveau de l’engagement des autorités gouvernementales, leçons qui pourraient être appliquées à la mise en œuvre des plans </w:t>
      </w:r>
      <w:r w:rsidR="0003562F">
        <w:rPr>
          <w:rFonts w:ascii="Times New Roman" w:hAnsi="Times New Roman" w:cs="Times New Roman"/>
          <w:lang w:val="fr-FR"/>
        </w:rPr>
        <w:t>d’action</w:t>
      </w:r>
      <w:r w:rsidR="00866190" w:rsidRPr="00403C55">
        <w:rPr>
          <w:rFonts w:ascii="Times New Roman" w:hAnsi="Times New Roman" w:cs="Times New Roman"/>
          <w:lang w:val="fr-FR"/>
        </w:rPr>
        <w:t xml:space="preserve"> par espèce.</w:t>
      </w:r>
      <w:r w:rsidR="00CF07DD" w:rsidRPr="00403C55">
        <w:rPr>
          <w:rFonts w:ascii="Times New Roman" w:hAnsi="Times New Roman" w:cs="Times New Roman"/>
          <w:lang w:val="fr-FR"/>
        </w:rPr>
        <w:t xml:space="preserve"> </w:t>
      </w:r>
      <w:r w:rsidR="00866190" w:rsidRPr="00403C55">
        <w:rPr>
          <w:rFonts w:ascii="Times New Roman" w:hAnsi="Times New Roman" w:cs="Times New Roman"/>
          <w:lang w:val="fr-FR"/>
        </w:rPr>
        <w:t xml:space="preserve">Il existe certainement des perspectives pour le </w:t>
      </w:r>
      <w:r w:rsidR="00866190" w:rsidRPr="00403C55">
        <w:rPr>
          <w:rFonts w:ascii="Times New Roman" w:hAnsi="Times New Roman" w:cs="Times New Roman"/>
          <w:lang w:val="fr-FR"/>
        </w:rPr>
        <w:lastRenderedPageBreak/>
        <w:t>développement d’autres plans de gestion des espèces à partir de l'exemple de l</w:t>
      </w:r>
      <w:r w:rsidR="004568C2">
        <w:rPr>
          <w:rFonts w:ascii="Times New Roman" w:hAnsi="Times New Roman" w:cs="Times New Roman"/>
          <w:lang w:val="fr-FR"/>
        </w:rPr>
        <w:t>’</w:t>
      </w:r>
      <w:r w:rsidR="00866190" w:rsidRPr="00403C55">
        <w:rPr>
          <w:rFonts w:ascii="Times New Roman" w:hAnsi="Times New Roman" w:cs="Times New Roman"/>
          <w:lang w:val="fr-FR"/>
        </w:rPr>
        <w:t xml:space="preserve">Oie à bec court, ainsi que de Lignes directrices révisées </w:t>
      </w:r>
      <w:r w:rsidR="0003562F">
        <w:rPr>
          <w:rFonts w:ascii="Times New Roman" w:hAnsi="Times New Roman" w:cs="Times New Roman"/>
          <w:lang w:val="fr-FR"/>
        </w:rPr>
        <w:t>de l’AEWA</w:t>
      </w:r>
      <w:r w:rsidR="00866190" w:rsidRPr="00403C55">
        <w:rPr>
          <w:rFonts w:ascii="Times New Roman" w:hAnsi="Times New Roman" w:cs="Times New Roman"/>
          <w:lang w:val="fr-FR"/>
        </w:rPr>
        <w:t xml:space="preserve"> sur le prélèvement durable des oiseaux d'eau migrateurs, suivant un classement par ordre de priorité des espèces dont la gestion peut être planifiée par Comité technique </w:t>
      </w:r>
      <w:r w:rsidR="0003562F">
        <w:rPr>
          <w:rFonts w:ascii="Times New Roman" w:hAnsi="Times New Roman" w:cs="Times New Roman"/>
          <w:lang w:val="fr-FR"/>
        </w:rPr>
        <w:t>de l’AEWA</w:t>
      </w:r>
      <w:r w:rsidR="00866190" w:rsidRPr="00403C55">
        <w:rPr>
          <w:rFonts w:ascii="Times New Roman" w:hAnsi="Times New Roman" w:cs="Times New Roman"/>
          <w:lang w:val="fr-FR"/>
        </w:rPr>
        <w:t>.</w:t>
      </w:r>
      <w:r w:rsidR="00CF07DD" w:rsidRPr="00403C55">
        <w:rPr>
          <w:rFonts w:ascii="Times New Roman" w:hAnsi="Times New Roman" w:cs="Times New Roman"/>
          <w:lang w:val="fr-FR"/>
        </w:rPr>
        <w:t xml:space="preserve"> </w:t>
      </w:r>
    </w:p>
    <w:p w14:paraId="0067E9B4" w14:textId="77777777" w:rsidR="00C03669" w:rsidRPr="00403C55" w:rsidRDefault="00C03669" w:rsidP="002C4677">
      <w:pPr>
        <w:spacing w:after="0" w:line="240" w:lineRule="auto"/>
        <w:jc w:val="both"/>
        <w:rPr>
          <w:rFonts w:ascii="Times New Roman" w:hAnsi="Times New Roman" w:cs="Times New Roman"/>
          <w:lang w:val="fr-FR"/>
        </w:rPr>
      </w:pPr>
    </w:p>
    <w:p w14:paraId="0E027554" w14:textId="26A9EBE2" w:rsidR="000D33EB" w:rsidRPr="00403C55" w:rsidRDefault="007D35B4" w:rsidP="002C4677">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est aussi très </w:t>
      </w:r>
      <w:r w:rsidR="00866190" w:rsidRPr="00403C55">
        <w:rPr>
          <w:rFonts w:ascii="Times New Roman" w:hAnsi="Times New Roman" w:cs="Times New Roman"/>
          <w:lang w:val="fr-FR"/>
        </w:rPr>
        <w:t xml:space="preserve">encourageant de voir que plusieurs </w:t>
      </w:r>
      <w:r w:rsidR="00FE6EE5">
        <w:rPr>
          <w:rFonts w:ascii="Times New Roman" w:hAnsi="Times New Roman" w:cs="Times New Roman"/>
          <w:b/>
          <w:lang w:val="fr-FR"/>
        </w:rPr>
        <w:t>États de l’aire de répartition</w:t>
      </w:r>
      <w:r w:rsidR="00866190" w:rsidRPr="00403C55">
        <w:rPr>
          <w:rFonts w:ascii="Times New Roman" w:hAnsi="Times New Roman" w:cs="Times New Roman"/>
          <w:b/>
          <w:lang w:val="fr-FR"/>
        </w:rPr>
        <w:t xml:space="preserve"> non Parties</w:t>
      </w:r>
      <w:r w:rsidR="00866190" w:rsidRPr="00403C55">
        <w:rPr>
          <w:rFonts w:ascii="Times New Roman" w:hAnsi="Times New Roman" w:cs="Times New Roman"/>
          <w:lang w:val="fr-FR"/>
        </w:rPr>
        <w:t xml:space="preserve"> participent activement à la mise en œuvre des plans </w:t>
      </w:r>
      <w:r w:rsidR="000A1F2D">
        <w:rPr>
          <w:rFonts w:ascii="Times New Roman" w:hAnsi="Times New Roman" w:cs="Times New Roman"/>
          <w:lang w:val="fr-FR"/>
        </w:rPr>
        <w:t>par l’entremise de groupes</w:t>
      </w:r>
      <w:r w:rsidR="00866190" w:rsidRPr="00403C55">
        <w:rPr>
          <w:rFonts w:ascii="Times New Roman" w:hAnsi="Times New Roman" w:cs="Times New Roman"/>
          <w:lang w:val="fr-FR"/>
        </w:rPr>
        <w:t xml:space="preserve"> de travail internationaux, même si c’est presque exclusivement au niveau d’experts des espèces.</w:t>
      </w:r>
      <w:r w:rsidR="00C03669" w:rsidRPr="00403C55">
        <w:rPr>
          <w:rFonts w:ascii="Times New Roman" w:hAnsi="Times New Roman" w:cs="Times New Roman"/>
          <w:lang w:val="fr-FR"/>
        </w:rPr>
        <w:t xml:space="preserve"> </w:t>
      </w:r>
      <w:r w:rsidR="00866190" w:rsidRPr="00403C55">
        <w:rPr>
          <w:rFonts w:ascii="Times New Roman" w:hAnsi="Times New Roman" w:cs="Times New Roman"/>
          <w:lang w:val="fr-FR"/>
        </w:rPr>
        <w:t xml:space="preserve">De nombreuses activités essentielles – notamment pour les espèces menacées au niveau mondial – doivent être mises en œuvres dans des </w:t>
      </w:r>
      <w:r w:rsidR="00FE6EE5">
        <w:rPr>
          <w:rFonts w:ascii="Times New Roman" w:hAnsi="Times New Roman" w:cs="Times New Roman"/>
          <w:lang w:val="fr-FR"/>
        </w:rPr>
        <w:t>États de l’aire de répartition</w:t>
      </w:r>
      <w:r w:rsidR="00866190" w:rsidRPr="00403C55">
        <w:rPr>
          <w:rFonts w:ascii="Times New Roman" w:hAnsi="Times New Roman" w:cs="Times New Roman"/>
          <w:lang w:val="fr-FR"/>
        </w:rPr>
        <w:t xml:space="preserve"> qui ne sont actuellement pas Parties à l’AEWA</w:t>
      </w:r>
      <w:r w:rsidR="00F62BB6" w:rsidRPr="00403C55">
        <w:rPr>
          <w:rFonts w:ascii="Times New Roman" w:hAnsi="Times New Roman" w:cs="Times New Roman"/>
          <w:lang w:val="fr-FR"/>
        </w:rPr>
        <w:t> ;</w:t>
      </w:r>
      <w:r w:rsidR="00866190" w:rsidRPr="00403C55">
        <w:rPr>
          <w:rFonts w:ascii="Times New Roman" w:hAnsi="Times New Roman" w:cs="Times New Roman"/>
          <w:lang w:val="fr-FR"/>
        </w:rPr>
        <w:t xml:space="preserve"> toutes les parties prenantes concernées </w:t>
      </w:r>
      <w:r w:rsidR="00866190" w:rsidRPr="00403C55">
        <w:rPr>
          <w:rFonts w:ascii="Times New Roman" w:hAnsi="Times New Roman" w:cs="Times New Roman"/>
          <w:b/>
          <w:lang w:val="fr-FR"/>
        </w:rPr>
        <w:t xml:space="preserve">doivent d’urgence intensifier leurs efforts afin de promouvoir leur adhésion à l’Accord </w:t>
      </w:r>
      <w:r w:rsidR="00866190" w:rsidRPr="00403C55">
        <w:rPr>
          <w:rFonts w:ascii="Times New Roman" w:hAnsi="Times New Roman" w:cs="Times New Roman"/>
          <w:lang w:val="fr-FR"/>
        </w:rPr>
        <w:t xml:space="preserve">(par le biais de voies gouvernementales bilatérales des Parties contractantes à l’AEWA, </w:t>
      </w:r>
      <w:r>
        <w:rPr>
          <w:rFonts w:ascii="Times New Roman" w:hAnsi="Times New Roman" w:cs="Times New Roman"/>
          <w:lang w:val="fr-FR"/>
        </w:rPr>
        <w:t xml:space="preserve">des organismes d’aide au développement internationaux et nationaux, </w:t>
      </w:r>
      <w:r w:rsidR="00866190" w:rsidRPr="00403C55">
        <w:rPr>
          <w:rFonts w:ascii="Times New Roman" w:hAnsi="Times New Roman" w:cs="Times New Roman"/>
          <w:lang w:val="fr-FR"/>
        </w:rPr>
        <w:t xml:space="preserve">d’autres réunions et forums internationaux, </w:t>
      </w:r>
      <w:r w:rsidR="00F62BB6" w:rsidRPr="00403C55">
        <w:rPr>
          <w:rFonts w:ascii="Times New Roman" w:hAnsi="Times New Roman" w:cs="Times New Roman"/>
          <w:lang w:val="fr-FR"/>
        </w:rPr>
        <w:t>d</w:t>
      </w:r>
      <w:r w:rsidR="00866190" w:rsidRPr="00403C55">
        <w:rPr>
          <w:rFonts w:ascii="Times New Roman" w:hAnsi="Times New Roman" w:cs="Times New Roman"/>
          <w:lang w:val="fr-FR"/>
        </w:rPr>
        <w:t xml:space="preserve">es groupes de travail et d'experts internationaux par espèce </w:t>
      </w:r>
      <w:r w:rsidR="0003562F">
        <w:rPr>
          <w:rFonts w:ascii="Times New Roman" w:hAnsi="Times New Roman" w:cs="Times New Roman"/>
          <w:lang w:val="fr-FR"/>
        </w:rPr>
        <w:t>de l’AEWA</w:t>
      </w:r>
      <w:r w:rsidR="00866190" w:rsidRPr="00403C55">
        <w:rPr>
          <w:rFonts w:ascii="Times New Roman" w:hAnsi="Times New Roman" w:cs="Times New Roman"/>
          <w:lang w:val="fr-FR"/>
        </w:rPr>
        <w:t xml:space="preserve">, </w:t>
      </w:r>
      <w:r w:rsidR="00F62BB6" w:rsidRPr="00403C55">
        <w:rPr>
          <w:rFonts w:ascii="Times New Roman" w:hAnsi="Times New Roman" w:cs="Times New Roman"/>
          <w:lang w:val="fr-FR"/>
        </w:rPr>
        <w:t>du</w:t>
      </w:r>
      <w:r w:rsidR="00866190" w:rsidRPr="00403C55">
        <w:rPr>
          <w:rFonts w:ascii="Times New Roman" w:hAnsi="Times New Roman" w:cs="Times New Roman"/>
          <w:lang w:val="fr-FR"/>
        </w:rPr>
        <w:t xml:space="preserve"> Secrétariat </w:t>
      </w:r>
      <w:r w:rsidR="0003562F">
        <w:rPr>
          <w:rFonts w:ascii="Times New Roman" w:hAnsi="Times New Roman" w:cs="Times New Roman"/>
          <w:lang w:val="fr-FR"/>
        </w:rPr>
        <w:t>de l’AEWA</w:t>
      </w:r>
      <w:r w:rsidR="00866190" w:rsidRPr="00403C55">
        <w:rPr>
          <w:rFonts w:ascii="Times New Roman" w:hAnsi="Times New Roman" w:cs="Times New Roman"/>
          <w:lang w:val="fr-FR"/>
        </w:rPr>
        <w:t>, etc</w:t>
      </w:r>
      <w:r w:rsidR="003A2CDB" w:rsidRPr="00403C55">
        <w:rPr>
          <w:rFonts w:ascii="Times New Roman" w:hAnsi="Times New Roman" w:cs="Times New Roman"/>
          <w:lang w:val="fr-FR"/>
        </w:rPr>
        <w:t>.</w:t>
      </w:r>
      <w:r w:rsidR="00866190" w:rsidRPr="00403C55">
        <w:rPr>
          <w:rFonts w:ascii="Times New Roman" w:hAnsi="Times New Roman" w:cs="Times New Roman"/>
          <w:lang w:val="fr-FR"/>
        </w:rPr>
        <w:t>).</w:t>
      </w:r>
      <w:r w:rsidR="00317082" w:rsidRPr="00403C55">
        <w:rPr>
          <w:rFonts w:ascii="Times New Roman" w:hAnsi="Times New Roman" w:cs="Times New Roman"/>
          <w:lang w:val="fr-FR"/>
        </w:rPr>
        <w:t xml:space="preserve"> </w:t>
      </w:r>
      <w:r w:rsidR="003A2CDB" w:rsidRPr="00403C55">
        <w:rPr>
          <w:rFonts w:ascii="Times New Roman" w:hAnsi="Times New Roman" w:cs="Times New Roman"/>
          <w:lang w:val="fr-FR"/>
        </w:rPr>
        <w:t xml:space="preserve">Ceci vaut en particulier pour les </w:t>
      </w:r>
      <w:r w:rsidR="003A2CDB" w:rsidRPr="00403C55">
        <w:rPr>
          <w:rFonts w:ascii="Times New Roman" w:hAnsi="Times New Roman" w:cs="Times New Roman"/>
          <w:b/>
          <w:lang w:val="fr-FR"/>
        </w:rPr>
        <w:t>pays d’Asie centrale et du Moyen-Orient</w:t>
      </w:r>
      <w:r w:rsidR="003A2CDB" w:rsidRPr="00403C55">
        <w:rPr>
          <w:rFonts w:ascii="Times New Roman" w:hAnsi="Times New Roman" w:cs="Times New Roman"/>
          <w:lang w:val="fr-FR"/>
        </w:rPr>
        <w:t>.</w:t>
      </w:r>
      <w:r w:rsidR="003A2CDB" w:rsidRPr="00403C55">
        <w:rPr>
          <w:lang w:val="fr-FR"/>
        </w:rPr>
        <w:t xml:space="preserve"> </w:t>
      </w:r>
    </w:p>
    <w:p w14:paraId="77124D08" w14:textId="77777777" w:rsidR="00530EDC" w:rsidRPr="00403C55" w:rsidRDefault="00530EDC" w:rsidP="002C4677">
      <w:pPr>
        <w:spacing w:after="0" w:line="240" w:lineRule="auto"/>
        <w:jc w:val="both"/>
        <w:rPr>
          <w:rFonts w:ascii="Times New Roman" w:hAnsi="Times New Roman" w:cs="Times New Roman"/>
          <w:lang w:val="fr-FR"/>
        </w:rPr>
      </w:pPr>
    </w:p>
    <w:p w14:paraId="32F0F889" w14:textId="39A43975" w:rsidR="00570CE8" w:rsidRPr="00403C55" w:rsidRDefault="003A2CDB" w:rsidP="00C03669">
      <w:pPr>
        <w:spacing w:after="0" w:line="240" w:lineRule="auto"/>
        <w:jc w:val="both"/>
        <w:rPr>
          <w:rFonts w:ascii="Times New Roman" w:hAnsi="Times New Roman" w:cs="Times New Roman"/>
          <w:lang w:val="fr-FR"/>
        </w:rPr>
      </w:pPr>
      <w:r w:rsidRPr="00403C55">
        <w:rPr>
          <w:rFonts w:ascii="Times New Roman" w:hAnsi="Times New Roman" w:cs="Times New Roman"/>
          <w:b/>
          <w:lang w:val="fr-FR"/>
        </w:rPr>
        <w:t>Un autre facteur clé pour une mise en œuvre fructueuse est une coordination active au plan international.</w:t>
      </w:r>
      <w:r w:rsidR="00884435" w:rsidRPr="00403C55">
        <w:rPr>
          <w:rFonts w:ascii="Times New Roman" w:hAnsi="Times New Roman" w:cs="Times New Roman"/>
          <w:lang w:val="fr-FR"/>
        </w:rPr>
        <w:t xml:space="preserve"> </w:t>
      </w:r>
      <w:r w:rsidR="007D35B4">
        <w:rPr>
          <w:rFonts w:ascii="Times New Roman" w:hAnsi="Times New Roman" w:cs="Times New Roman"/>
          <w:lang w:val="fr-FR"/>
        </w:rPr>
        <w:t>Des efforts ont été prodigué</w:t>
      </w:r>
      <w:r w:rsidRPr="00403C55">
        <w:rPr>
          <w:rFonts w:ascii="Times New Roman" w:hAnsi="Times New Roman" w:cs="Times New Roman"/>
          <w:lang w:val="fr-FR"/>
        </w:rPr>
        <w:t>s depuis la MOP4 pour établir autant de groupes de travail et d'experts internationaux par espèce que possible, avec des coordinateurs veil</w:t>
      </w:r>
      <w:r w:rsidR="007D35B4">
        <w:rPr>
          <w:rFonts w:ascii="Times New Roman" w:hAnsi="Times New Roman" w:cs="Times New Roman"/>
          <w:lang w:val="fr-FR"/>
        </w:rPr>
        <w:t>lant à faciliter la mise en œuvre</w:t>
      </w:r>
      <w:r w:rsidRPr="00403C55">
        <w:rPr>
          <w:rFonts w:ascii="Times New Roman" w:hAnsi="Times New Roman" w:cs="Times New Roman"/>
          <w:lang w:val="fr-FR"/>
        </w:rPr>
        <w:t xml:space="preserv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adoptés, comme recommandé dans la première étude de ce ge</w:t>
      </w:r>
      <w:r w:rsidR="007D35B4">
        <w:rPr>
          <w:rFonts w:ascii="Times New Roman" w:hAnsi="Times New Roman" w:cs="Times New Roman"/>
          <w:lang w:val="fr-FR"/>
        </w:rPr>
        <w:t>nre présentée à la MOP4</w:t>
      </w:r>
      <w:r w:rsidRPr="00403C55">
        <w:rPr>
          <w:rFonts w:ascii="Times New Roman" w:hAnsi="Times New Roman" w:cs="Times New Roman"/>
          <w:lang w:val="fr-FR"/>
        </w:rPr>
        <w:t>.</w:t>
      </w:r>
      <w:r w:rsidR="007D35B4">
        <w:rPr>
          <w:rFonts w:ascii="Times New Roman" w:hAnsi="Times New Roman" w:cs="Times New Roman"/>
          <w:lang w:val="fr-FR"/>
        </w:rPr>
        <w:t xml:space="preserve"> Ces groupes </w:t>
      </w:r>
      <w:r w:rsidR="00FB37C0">
        <w:rPr>
          <w:rFonts w:ascii="Times New Roman" w:hAnsi="Times New Roman" w:cs="Times New Roman"/>
          <w:lang w:val="fr-FR"/>
        </w:rPr>
        <w:t xml:space="preserve">– en assurant une coordination proactive – peuvent servir de catalyseurs pour la mise en œuvre, tandis que les Etats de l’aire de répartition partagent régulièrement des ressources et des informations. Le nombre élevé de réponses fournies pour tous les plans d’action et de gestion adoptés à la MOP5 montre que des progrès satisfaisants ont été accomplis pour les établir ; il reste cependant du travail à faire pour assurer une coordination internationale stable et à long terme pour plusieurs groupes de travail et d’experts antérieurs sur des espèces au titre de l’AEWA. </w:t>
      </w:r>
      <w:r w:rsidR="00884435" w:rsidRPr="00403C55">
        <w:rPr>
          <w:rFonts w:ascii="Times New Roman" w:hAnsi="Times New Roman" w:cs="Times New Roman"/>
          <w:lang w:val="fr-FR"/>
        </w:rPr>
        <w:t xml:space="preserve"> </w:t>
      </w:r>
    </w:p>
    <w:p w14:paraId="76F3921B" w14:textId="77777777" w:rsidR="00570CE8" w:rsidRPr="00403C55" w:rsidRDefault="00570CE8" w:rsidP="00C03669">
      <w:pPr>
        <w:spacing w:after="0" w:line="240" w:lineRule="auto"/>
        <w:jc w:val="both"/>
        <w:rPr>
          <w:rFonts w:ascii="Times New Roman" w:hAnsi="Times New Roman" w:cs="Times New Roman"/>
          <w:lang w:val="fr-FR"/>
        </w:rPr>
      </w:pPr>
    </w:p>
    <w:p w14:paraId="714D968F" w14:textId="30D77F27" w:rsidR="000B67CC" w:rsidRDefault="00FB37C0" w:rsidP="00C03669">
      <w:pPr>
        <w:spacing w:after="0" w:line="240" w:lineRule="auto"/>
        <w:jc w:val="both"/>
        <w:rPr>
          <w:rFonts w:ascii="Times New Roman" w:hAnsi="Times New Roman" w:cs="Times New Roman"/>
          <w:lang w:val="fr-FR"/>
        </w:rPr>
      </w:pPr>
      <w:r>
        <w:rPr>
          <w:rFonts w:ascii="Times New Roman" w:hAnsi="Times New Roman" w:cs="Times New Roman"/>
          <w:b/>
          <w:lang w:val="fr-FR"/>
        </w:rPr>
        <w:t xml:space="preserve">Les questions </w:t>
      </w:r>
      <w:r w:rsidR="00F45AF6">
        <w:rPr>
          <w:rFonts w:ascii="Times New Roman" w:hAnsi="Times New Roman" w:cs="Times New Roman"/>
          <w:b/>
          <w:lang w:val="fr-FR"/>
        </w:rPr>
        <w:t xml:space="preserve">auxquelles il convient de s’attaquer </w:t>
      </w:r>
      <w:r w:rsidR="003A2CDB" w:rsidRPr="00403C55">
        <w:rPr>
          <w:rFonts w:ascii="Times New Roman" w:hAnsi="Times New Roman" w:cs="Times New Roman"/>
          <w:b/>
          <w:lang w:val="fr-FR"/>
        </w:rPr>
        <w:t>à cet égard incluent :</w:t>
      </w:r>
      <w:r w:rsidR="00DE48FC" w:rsidRPr="00403C55">
        <w:rPr>
          <w:rFonts w:ascii="Times New Roman" w:hAnsi="Times New Roman" w:cs="Times New Roman"/>
          <w:lang w:val="fr-FR"/>
        </w:rPr>
        <w:t xml:space="preserve"> </w:t>
      </w:r>
      <w:r w:rsidR="003A2CDB" w:rsidRPr="00403C55">
        <w:rPr>
          <w:rFonts w:ascii="Times New Roman" w:hAnsi="Times New Roman" w:cs="Times New Roman"/>
          <w:lang w:val="fr-FR"/>
        </w:rPr>
        <w:t>relance</w:t>
      </w:r>
      <w:r w:rsidR="000B67CC">
        <w:rPr>
          <w:rFonts w:ascii="Times New Roman" w:hAnsi="Times New Roman" w:cs="Times New Roman"/>
          <w:lang w:val="fr-FR"/>
        </w:rPr>
        <w:t>r l</w:t>
      </w:r>
      <w:r w:rsidR="003A2CDB" w:rsidRPr="00403C55">
        <w:rPr>
          <w:rFonts w:ascii="Times New Roman" w:hAnsi="Times New Roman" w:cs="Times New Roman"/>
          <w:lang w:val="fr-FR"/>
        </w:rPr>
        <w:t>es groupes de travail actuellement inactifs en raison d’</w:t>
      </w:r>
      <w:r w:rsidR="006015A7" w:rsidRPr="00403C55">
        <w:rPr>
          <w:rFonts w:ascii="Times New Roman" w:hAnsi="Times New Roman" w:cs="Times New Roman"/>
          <w:lang w:val="fr-FR"/>
        </w:rPr>
        <w:t>u</w:t>
      </w:r>
      <w:r w:rsidR="003A2CDB" w:rsidRPr="00403C55">
        <w:rPr>
          <w:rFonts w:ascii="Times New Roman" w:hAnsi="Times New Roman" w:cs="Times New Roman"/>
          <w:lang w:val="fr-FR"/>
        </w:rPr>
        <w:t>n manq</w:t>
      </w:r>
      <w:r>
        <w:rPr>
          <w:rFonts w:ascii="Times New Roman" w:hAnsi="Times New Roman" w:cs="Times New Roman"/>
          <w:lang w:val="fr-FR"/>
        </w:rPr>
        <w:t xml:space="preserve">ue de coordination ; œuvrer pour </w:t>
      </w:r>
      <w:r w:rsidR="000B67CC">
        <w:rPr>
          <w:rFonts w:ascii="Times New Roman" w:hAnsi="Times New Roman" w:cs="Times New Roman"/>
          <w:lang w:val="fr-FR"/>
        </w:rPr>
        <w:t>assurer une</w:t>
      </w:r>
      <w:r>
        <w:rPr>
          <w:rFonts w:ascii="Times New Roman" w:hAnsi="Times New Roman" w:cs="Times New Roman"/>
          <w:lang w:val="fr-FR"/>
        </w:rPr>
        <w:t xml:space="preserve"> participation de</w:t>
      </w:r>
      <w:r w:rsidR="003A2CDB" w:rsidRPr="00403C55">
        <w:rPr>
          <w:rFonts w:ascii="Times New Roman" w:hAnsi="Times New Roman" w:cs="Times New Roman"/>
          <w:lang w:val="fr-FR"/>
        </w:rPr>
        <w:t xml:space="preserve"> tous les principaux </w:t>
      </w:r>
      <w:r w:rsidR="00FE6EE5">
        <w:rPr>
          <w:rFonts w:ascii="Times New Roman" w:hAnsi="Times New Roman" w:cs="Times New Roman"/>
          <w:lang w:val="fr-FR"/>
        </w:rPr>
        <w:t>États de l’aire de répartition</w:t>
      </w:r>
      <w:r>
        <w:rPr>
          <w:rFonts w:ascii="Times New Roman" w:hAnsi="Times New Roman" w:cs="Times New Roman"/>
          <w:lang w:val="fr-FR"/>
        </w:rPr>
        <w:t xml:space="preserve"> dans chaque groupe, afin d’avoir une couverture complète des voies de migration;</w:t>
      </w:r>
      <w:r w:rsidR="003A2CDB" w:rsidRPr="00403C55">
        <w:rPr>
          <w:rFonts w:ascii="Times New Roman" w:hAnsi="Times New Roman" w:cs="Times New Roman"/>
          <w:lang w:val="fr-FR"/>
        </w:rPr>
        <w:t xml:space="preserve"> </w:t>
      </w:r>
      <w:r w:rsidR="000B67CC">
        <w:rPr>
          <w:rFonts w:ascii="Times New Roman" w:hAnsi="Times New Roman" w:cs="Times New Roman"/>
          <w:lang w:val="fr-FR"/>
        </w:rPr>
        <w:t>fournir</w:t>
      </w:r>
      <w:r w:rsidR="001A530D" w:rsidRPr="00403C55">
        <w:rPr>
          <w:rFonts w:ascii="Times New Roman" w:hAnsi="Times New Roman" w:cs="Times New Roman"/>
          <w:lang w:val="fr-FR"/>
        </w:rPr>
        <w:t xml:space="preserve"> une</w:t>
      </w:r>
      <w:r w:rsidR="003A2CDB" w:rsidRPr="00403C55">
        <w:rPr>
          <w:rFonts w:ascii="Times New Roman" w:hAnsi="Times New Roman" w:cs="Times New Roman"/>
          <w:lang w:val="fr-FR"/>
        </w:rPr>
        <w:t xml:space="preserve"> coordination </w:t>
      </w:r>
      <w:r w:rsidR="001A530D" w:rsidRPr="00403C55">
        <w:rPr>
          <w:rFonts w:ascii="Times New Roman" w:hAnsi="Times New Roman" w:cs="Times New Roman"/>
          <w:lang w:val="fr-FR"/>
        </w:rPr>
        <w:t xml:space="preserve">suffisante et </w:t>
      </w:r>
      <w:r w:rsidR="000B67CC">
        <w:rPr>
          <w:rFonts w:ascii="Times New Roman" w:hAnsi="Times New Roman" w:cs="Times New Roman"/>
          <w:lang w:val="fr-FR"/>
        </w:rPr>
        <w:t xml:space="preserve">proactive pour les </w:t>
      </w:r>
      <w:r w:rsidR="001A530D" w:rsidRPr="00403C55">
        <w:rPr>
          <w:rFonts w:ascii="Times New Roman" w:hAnsi="Times New Roman" w:cs="Times New Roman"/>
          <w:lang w:val="fr-FR"/>
        </w:rPr>
        <w:t>groupes</w:t>
      </w:r>
      <w:r w:rsidR="000B67CC">
        <w:rPr>
          <w:rFonts w:ascii="Times New Roman" w:hAnsi="Times New Roman" w:cs="Times New Roman"/>
          <w:lang w:val="fr-FR"/>
        </w:rPr>
        <w:t xml:space="preserve"> de travail; et augmenter</w:t>
      </w:r>
      <w:r w:rsidR="001A530D" w:rsidRPr="00403C55">
        <w:rPr>
          <w:rFonts w:ascii="Times New Roman" w:hAnsi="Times New Roman" w:cs="Times New Roman"/>
          <w:lang w:val="fr-FR"/>
        </w:rPr>
        <w:t xml:space="preserve"> la coopération et l’échange avec d’autres secteurs</w:t>
      </w:r>
      <w:r w:rsidR="003A2CDB" w:rsidRPr="00403C55">
        <w:rPr>
          <w:rFonts w:ascii="Times New Roman" w:hAnsi="Times New Roman" w:cs="Times New Roman"/>
          <w:lang w:val="fr-FR"/>
        </w:rPr>
        <w:t xml:space="preserve"> </w:t>
      </w:r>
      <w:r w:rsidR="001A530D" w:rsidRPr="00403C55">
        <w:rPr>
          <w:rFonts w:ascii="Times New Roman" w:hAnsi="Times New Roman" w:cs="Times New Roman"/>
          <w:lang w:val="fr-FR"/>
        </w:rPr>
        <w:t>gouvernementaux et économiques pertinents</w:t>
      </w:r>
      <w:r w:rsidR="003A2CDB" w:rsidRPr="00403C55">
        <w:rPr>
          <w:rFonts w:ascii="Times New Roman" w:hAnsi="Times New Roman" w:cs="Times New Roman"/>
          <w:lang w:val="fr-FR"/>
        </w:rPr>
        <w:t xml:space="preserve"> (</w:t>
      </w:r>
      <w:r w:rsidR="00870983">
        <w:rPr>
          <w:rFonts w:ascii="Times New Roman" w:hAnsi="Times New Roman" w:cs="Times New Roman"/>
          <w:lang w:val="fr-FR"/>
        </w:rPr>
        <w:t>en dehors</w:t>
      </w:r>
      <w:r w:rsidR="001A530D" w:rsidRPr="00403C55">
        <w:rPr>
          <w:rFonts w:ascii="Times New Roman" w:hAnsi="Times New Roman" w:cs="Times New Roman"/>
          <w:lang w:val="fr-FR"/>
        </w:rPr>
        <w:t xml:space="preserve"> de la « sphère de </w:t>
      </w:r>
      <w:r w:rsidR="000B67CC">
        <w:rPr>
          <w:rFonts w:ascii="Times New Roman" w:hAnsi="Times New Roman" w:cs="Times New Roman"/>
          <w:lang w:val="fr-FR"/>
        </w:rPr>
        <w:t xml:space="preserve">la </w:t>
      </w:r>
      <w:r w:rsidR="001A530D" w:rsidRPr="00403C55">
        <w:rPr>
          <w:rFonts w:ascii="Times New Roman" w:hAnsi="Times New Roman" w:cs="Times New Roman"/>
          <w:lang w:val="fr-FR"/>
        </w:rPr>
        <w:t>conservation »)</w:t>
      </w:r>
      <w:r w:rsidR="003A2CDB" w:rsidRPr="00403C55">
        <w:rPr>
          <w:rFonts w:ascii="Times New Roman" w:hAnsi="Times New Roman" w:cs="Times New Roman"/>
          <w:lang w:val="fr-FR"/>
        </w:rPr>
        <w:t>.</w:t>
      </w:r>
      <w:r w:rsidR="00DE48FC" w:rsidRPr="00403C55">
        <w:rPr>
          <w:rFonts w:ascii="Times New Roman" w:hAnsi="Times New Roman" w:cs="Times New Roman"/>
          <w:lang w:val="fr-FR"/>
        </w:rPr>
        <w:t xml:space="preserve"> </w:t>
      </w:r>
      <w:r w:rsidR="000B67CC">
        <w:rPr>
          <w:rFonts w:ascii="Times New Roman" w:hAnsi="Times New Roman" w:cs="Times New Roman"/>
          <w:lang w:val="fr-FR"/>
        </w:rPr>
        <w:t xml:space="preserve"> Comme mentionné plus haut, les groupes de travail et d’experts internationaux sur les espèces peuvent potentiellement favoriser la mise en œuvre – y compris le renforcement des capacités et la génération de ressources, ainsi que l’appui et l’intérêt des Etats de l’aire de répartition à l’intérieur des voies de migration concernées.</w:t>
      </w:r>
    </w:p>
    <w:p w14:paraId="39FBECA4" w14:textId="77777777" w:rsidR="000B67CC" w:rsidRDefault="000B67CC" w:rsidP="00C03669">
      <w:pPr>
        <w:spacing w:after="0" w:line="240" w:lineRule="auto"/>
        <w:jc w:val="both"/>
        <w:rPr>
          <w:rFonts w:ascii="Times New Roman" w:hAnsi="Times New Roman" w:cs="Times New Roman"/>
          <w:lang w:val="fr-FR"/>
        </w:rPr>
      </w:pPr>
    </w:p>
    <w:p w14:paraId="59277842" w14:textId="3F715D00" w:rsidR="00C03669" w:rsidRPr="00403C55" w:rsidRDefault="001A530D" w:rsidP="00C03669">
      <w:pPr>
        <w:spacing w:after="0" w:line="240" w:lineRule="auto"/>
        <w:jc w:val="both"/>
        <w:rPr>
          <w:rFonts w:ascii="Times New Roman" w:hAnsi="Times New Roman" w:cs="Times New Roman"/>
          <w:lang w:val="fr-FR"/>
        </w:rPr>
      </w:pPr>
      <w:r w:rsidRPr="00403C55">
        <w:rPr>
          <w:rFonts w:ascii="Times New Roman" w:hAnsi="Times New Roman" w:cs="Times New Roman"/>
          <w:lang w:val="fr-FR"/>
        </w:rPr>
        <w:t>D</w:t>
      </w:r>
      <w:r w:rsidR="000B67CC">
        <w:rPr>
          <w:rFonts w:ascii="Times New Roman" w:hAnsi="Times New Roman" w:cs="Times New Roman"/>
          <w:lang w:val="fr-FR"/>
        </w:rPr>
        <w:t>e plus – bien que ceci soit moins important et urgent -, d</w:t>
      </w:r>
      <w:r w:rsidRPr="00403C55">
        <w:rPr>
          <w:rFonts w:ascii="Times New Roman" w:hAnsi="Times New Roman" w:cs="Times New Roman"/>
          <w:lang w:val="fr-FR"/>
        </w:rPr>
        <w:t>avantage de conseils et de ment</w:t>
      </w:r>
      <w:r w:rsidR="000B67CC">
        <w:rPr>
          <w:rFonts w:ascii="Times New Roman" w:hAnsi="Times New Roman" w:cs="Times New Roman"/>
          <w:lang w:val="fr-FR"/>
        </w:rPr>
        <w:t>orat de la part du Secrétariat semblent nécessaires,</w:t>
      </w:r>
      <w:r w:rsidRPr="00403C55">
        <w:rPr>
          <w:rFonts w:ascii="Times New Roman" w:hAnsi="Times New Roman" w:cs="Times New Roman"/>
          <w:lang w:val="fr-FR"/>
        </w:rPr>
        <w:t xml:space="preserve"> notamment sur diverses questions telles que l’adhésion aux groupes de travail, le processus de remise des rapports, l’organisation et le déroulement des réunions</w:t>
      </w:r>
      <w:r w:rsidR="000B67CC">
        <w:rPr>
          <w:rFonts w:ascii="Times New Roman" w:hAnsi="Times New Roman" w:cs="Times New Roman"/>
          <w:lang w:val="fr-FR"/>
        </w:rPr>
        <w:t xml:space="preserve"> et les sites Web dédiés, etc</w:t>
      </w:r>
      <w:r w:rsidRPr="00403C55">
        <w:rPr>
          <w:rFonts w:ascii="Times New Roman" w:hAnsi="Times New Roman" w:cs="Times New Roman"/>
          <w:lang w:val="fr-FR"/>
        </w:rPr>
        <w:t>.</w:t>
      </w:r>
      <w:r w:rsidR="00570CE8" w:rsidRPr="00403C55">
        <w:rPr>
          <w:rFonts w:ascii="Times New Roman" w:hAnsi="Times New Roman" w:cs="Times New Roman"/>
          <w:lang w:val="fr-FR"/>
        </w:rPr>
        <w:t xml:space="preserve"> </w:t>
      </w:r>
      <w:r w:rsidR="000B67CC">
        <w:rPr>
          <w:rFonts w:ascii="Times New Roman" w:hAnsi="Times New Roman" w:cs="Times New Roman"/>
          <w:lang w:val="fr-FR"/>
        </w:rPr>
        <w:t xml:space="preserve">En </w:t>
      </w:r>
      <w:r w:rsidRPr="00403C55">
        <w:rPr>
          <w:rFonts w:ascii="Times New Roman" w:hAnsi="Times New Roman" w:cs="Times New Roman"/>
          <w:lang w:val="fr-FR"/>
        </w:rPr>
        <w:t xml:space="preserve">se référant à la portée limitée de la présente étude, les coordinateurs doivent assurer un avancement concluant de la surveillance de la mise en œuvre en entreprenant des études approfondies de leurs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respectifs, en se fondant sur les indicateurs et les sources de vérification (indépendantes) citées dans ce document.</w:t>
      </w:r>
      <w:r w:rsidR="00985A4E">
        <w:rPr>
          <w:rFonts w:ascii="Times New Roman" w:hAnsi="Times New Roman" w:cs="Times New Roman"/>
          <w:lang w:val="fr-FR"/>
        </w:rPr>
        <w:t xml:space="preserve"> </w:t>
      </w:r>
    </w:p>
    <w:p w14:paraId="1265971B" w14:textId="77777777" w:rsidR="00830F42" w:rsidRPr="00403C55" w:rsidRDefault="00830F42" w:rsidP="002C4677">
      <w:pPr>
        <w:spacing w:after="0" w:line="240" w:lineRule="auto"/>
        <w:jc w:val="both"/>
        <w:rPr>
          <w:rFonts w:ascii="Times New Roman" w:hAnsi="Times New Roman" w:cs="Times New Roman"/>
          <w:lang w:val="fr-FR"/>
        </w:rPr>
      </w:pPr>
    </w:p>
    <w:p w14:paraId="456FDC7C" w14:textId="2954E08A" w:rsidR="00C40FD4" w:rsidRPr="00403C55" w:rsidRDefault="001A530D"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Comme mentionné ci-dessus, il existe toujours des perspectives d’amélioration du </w:t>
      </w:r>
      <w:r w:rsidR="004568C2">
        <w:rPr>
          <w:rFonts w:ascii="Times New Roman" w:hAnsi="Times New Roman" w:cs="Times New Roman"/>
          <w:lang w:val="fr-FR"/>
        </w:rPr>
        <w:t>processus de planification de l’</w:t>
      </w:r>
      <w:r w:rsidRPr="00403C55">
        <w:rPr>
          <w:rFonts w:ascii="Times New Roman" w:hAnsi="Times New Roman" w:cs="Times New Roman"/>
          <w:lang w:val="fr-FR"/>
        </w:rPr>
        <w:t xml:space="preserve">action et de la gestion </w:t>
      </w:r>
      <w:r w:rsidR="0003562F">
        <w:rPr>
          <w:rFonts w:ascii="Times New Roman" w:hAnsi="Times New Roman" w:cs="Times New Roman"/>
          <w:lang w:val="fr-FR"/>
        </w:rPr>
        <w:t>de l’AEWA</w:t>
      </w:r>
      <w:r w:rsidRPr="00403C55">
        <w:rPr>
          <w:rFonts w:ascii="Times New Roman" w:hAnsi="Times New Roman" w:cs="Times New Roman"/>
          <w:lang w:val="fr-FR"/>
        </w:rPr>
        <w:t xml:space="preserve"> en lui-même, ce qui, nous l’espérons, conduira à son tour à une meilleure mise en œuvre.</w:t>
      </w:r>
      <w:r w:rsidR="009E13D7" w:rsidRPr="00403C55">
        <w:rPr>
          <w:rFonts w:ascii="Times New Roman" w:hAnsi="Times New Roman" w:cs="Times New Roman"/>
          <w:lang w:val="fr-FR"/>
        </w:rPr>
        <w:t xml:space="preserve"> </w:t>
      </w:r>
      <w:r w:rsidRPr="00403C55">
        <w:rPr>
          <w:rFonts w:ascii="Times New Roman" w:hAnsi="Times New Roman" w:cs="Times New Roman"/>
          <w:lang w:val="fr-FR"/>
        </w:rPr>
        <w:t xml:space="preserve">Il est clairement nécessaire de </w:t>
      </w:r>
      <w:r w:rsidRPr="00403C55">
        <w:rPr>
          <w:rFonts w:ascii="Times New Roman" w:hAnsi="Times New Roman" w:cs="Times New Roman"/>
          <w:b/>
          <w:lang w:val="fr-FR"/>
        </w:rPr>
        <w:t xml:space="preserve">réviser le format actuel de plan </w:t>
      </w:r>
      <w:r w:rsidR="0003562F">
        <w:rPr>
          <w:rFonts w:ascii="Times New Roman" w:hAnsi="Times New Roman" w:cs="Times New Roman"/>
          <w:b/>
          <w:lang w:val="fr-FR"/>
        </w:rPr>
        <w:t>d’action</w:t>
      </w:r>
      <w:r w:rsidRPr="00403C55">
        <w:rPr>
          <w:rFonts w:ascii="Times New Roman" w:hAnsi="Times New Roman" w:cs="Times New Roman"/>
          <w:b/>
          <w:lang w:val="fr-FR"/>
        </w:rPr>
        <w:t xml:space="preserve"> international par espèce </w:t>
      </w:r>
      <w:r w:rsidR="0003562F">
        <w:rPr>
          <w:rFonts w:ascii="Times New Roman" w:hAnsi="Times New Roman" w:cs="Times New Roman"/>
          <w:b/>
          <w:lang w:val="fr-FR"/>
        </w:rPr>
        <w:t>de l’AEWA</w:t>
      </w:r>
      <w:r w:rsidRPr="00403C55">
        <w:rPr>
          <w:rFonts w:ascii="Times New Roman" w:hAnsi="Times New Roman" w:cs="Times New Roman"/>
          <w:lang w:val="fr-FR"/>
        </w:rPr>
        <w:t xml:space="preserve">, afin que les </w:t>
      </w:r>
      <w:r w:rsidR="000B67CC">
        <w:rPr>
          <w:rFonts w:ascii="Times New Roman" w:hAnsi="Times New Roman" w:cs="Times New Roman"/>
          <w:lang w:val="fr-FR"/>
        </w:rPr>
        <w:t xml:space="preserve">futurs </w:t>
      </w:r>
      <w:r w:rsidRPr="00403C55">
        <w:rPr>
          <w:rFonts w:ascii="Times New Roman" w:hAnsi="Times New Roman" w:cs="Times New Roman"/>
          <w:lang w:val="fr-FR"/>
        </w:rPr>
        <w:t xml:space="preserve">plans </w:t>
      </w:r>
      <w:r w:rsidR="0003562F">
        <w:rPr>
          <w:rFonts w:ascii="Times New Roman" w:hAnsi="Times New Roman" w:cs="Times New Roman"/>
          <w:lang w:val="fr-FR"/>
        </w:rPr>
        <w:t>d’action</w:t>
      </w:r>
      <w:r w:rsidR="000B67CC">
        <w:rPr>
          <w:rFonts w:ascii="Times New Roman" w:hAnsi="Times New Roman" w:cs="Times New Roman"/>
          <w:lang w:val="fr-FR"/>
        </w:rPr>
        <w:t xml:space="preserve"> </w:t>
      </w:r>
      <w:r w:rsidRPr="00403C55">
        <w:rPr>
          <w:rFonts w:ascii="Times New Roman" w:hAnsi="Times New Roman" w:cs="Times New Roman"/>
          <w:lang w:val="fr-FR"/>
        </w:rPr>
        <w:t>s</w:t>
      </w:r>
      <w:r w:rsidR="000B67CC">
        <w:rPr>
          <w:rFonts w:ascii="Times New Roman" w:hAnsi="Times New Roman" w:cs="Times New Roman"/>
          <w:lang w:val="fr-FR"/>
        </w:rPr>
        <w:t>oient simplifiés et plus faciles à mettre</w:t>
      </w:r>
      <w:r w:rsidRPr="00403C55">
        <w:rPr>
          <w:rFonts w:ascii="Times New Roman" w:hAnsi="Times New Roman" w:cs="Times New Roman"/>
          <w:lang w:val="fr-FR"/>
        </w:rPr>
        <w:t xml:space="preserve"> en œuvre, ainsi</w:t>
      </w:r>
      <w:r w:rsidR="000B67CC">
        <w:rPr>
          <w:rFonts w:ascii="Times New Roman" w:hAnsi="Times New Roman" w:cs="Times New Roman"/>
          <w:lang w:val="fr-FR"/>
        </w:rPr>
        <w:t xml:space="preserve"> que plus accessibles et plus concr</w:t>
      </w:r>
      <w:r w:rsidRPr="00403C55">
        <w:rPr>
          <w:rFonts w:ascii="Times New Roman" w:hAnsi="Times New Roman" w:cs="Times New Roman"/>
          <w:lang w:val="fr-FR"/>
        </w:rPr>
        <w:t>e</w:t>
      </w:r>
      <w:r w:rsidR="000B67CC">
        <w:rPr>
          <w:rFonts w:ascii="Times New Roman" w:hAnsi="Times New Roman" w:cs="Times New Roman"/>
          <w:lang w:val="fr-FR"/>
        </w:rPr>
        <w:t>t</w:t>
      </w:r>
      <w:r w:rsidRPr="00403C55">
        <w:rPr>
          <w:rFonts w:ascii="Times New Roman" w:hAnsi="Times New Roman" w:cs="Times New Roman"/>
          <w:lang w:val="fr-FR"/>
        </w:rPr>
        <w:t xml:space="preserve">s pour les </w:t>
      </w:r>
      <w:r w:rsidR="000B67CC">
        <w:rPr>
          <w:rFonts w:ascii="Times New Roman" w:hAnsi="Times New Roman" w:cs="Times New Roman"/>
          <w:lang w:val="fr-FR"/>
        </w:rPr>
        <w:t xml:space="preserve">organismes d’exécution et les </w:t>
      </w:r>
      <w:r w:rsidRPr="00403C55">
        <w:rPr>
          <w:rFonts w:ascii="Times New Roman" w:hAnsi="Times New Roman" w:cs="Times New Roman"/>
          <w:lang w:val="fr-FR"/>
        </w:rPr>
        <w:t>décideurs.</w:t>
      </w:r>
      <w:r w:rsidR="00C40FD4" w:rsidRPr="00403C55">
        <w:rPr>
          <w:rFonts w:ascii="Times New Roman" w:hAnsi="Times New Roman" w:cs="Times New Roman"/>
          <w:lang w:val="fr-FR"/>
        </w:rPr>
        <w:t xml:space="preserve"> </w:t>
      </w:r>
      <w:r w:rsidR="000B67CC">
        <w:rPr>
          <w:rFonts w:ascii="Times New Roman" w:hAnsi="Times New Roman" w:cs="Times New Roman"/>
          <w:b/>
          <w:lang w:val="fr-FR"/>
        </w:rPr>
        <w:t xml:space="preserve">Les activités menées au titre des </w:t>
      </w:r>
      <w:r w:rsidRPr="00403C55">
        <w:rPr>
          <w:rFonts w:ascii="Times New Roman" w:hAnsi="Times New Roman" w:cs="Times New Roman"/>
          <w:b/>
          <w:lang w:val="fr-FR"/>
        </w:rPr>
        <w:t xml:space="preserve">plans </w:t>
      </w:r>
      <w:r w:rsidR="0003562F">
        <w:rPr>
          <w:rFonts w:ascii="Times New Roman" w:hAnsi="Times New Roman" w:cs="Times New Roman"/>
          <w:b/>
          <w:lang w:val="fr-FR"/>
        </w:rPr>
        <w:t>d’action</w:t>
      </w:r>
      <w:r w:rsidR="000B67CC">
        <w:rPr>
          <w:rFonts w:ascii="Times New Roman" w:hAnsi="Times New Roman" w:cs="Times New Roman"/>
          <w:b/>
          <w:lang w:val="fr-FR"/>
        </w:rPr>
        <w:t xml:space="preserve"> doivent être plus ciblées et doivent </w:t>
      </w:r>
      <w:r w:rsidRPr="00403C55">
        <w:rPr>
          <w:rFonts w:ascii="Times New Roman" w:hAnsi="Times New Roman" w:cs="Times New Roman"/>
          <w:b/>
          <w:lang w:val="fr-FR"/>
        </w:rPr>
        <w:t xml:space="preserve">correspondre </w:t>
      </w:r>
      <w:r w:rsidR="000B67CC">
        <w:rPr>
          <w:rFonts w:ascii="Times New Roman" w:hAnsi="Times New Roman" w:cs="Times New Roman"/>
          <w:b/>
          <w:lang w:val="fr-FR"/>
        </w:rPr>
        <w:t xml:space="preserve">de façon plus stricte </w:t>
      </w:r>
      <w:r w:rsidR="00B7153C">
        <w:rPr>
          <w:rFonts w:ascii="Times New Roman" w:hAnsi="Times New Roman" w:cs="Times New Roman"/>
          <w:b/>
          <w:lang w:val="fr-FR"/>
        </w:rPr>
        <w:t>aux objectifs et buts fixés</w:t>
      </w:r>
      <w:r w:rsidR="00B7153C" w:rsidRPr="00B7153C">
        <w:rPr>
          <w:rFonts w:ascii="Times New Roman" w:hAnsi="Times New Roman" w:cs="Times New Roman"/>
          <w:lang w:val="fr-FR"/>
        </w:rPr>
        <w:t>, sur la base des menaces identifiées.</w:t>
      </w:r>
      <w:r w:rsidR="009A0B1C" w:rsidRPr="00B7153C">
        <w:rPr>
          <w:rFonts w:ascii="Times New Roman" w:hAnsi="Times New Roman" w:cs="Times New Roman"/>
          <w:lang w:val="fr-FR"/>
        </w:rPr>
        <w:t xml:space="preserve"> </w:t>
      </w:r>
      <w:r w:rsidR="00B7153C">
        <w:rPr>
          <w:rFonts w:ascii="Times New Roman" w:hAnsi="Times New Roman" w:cs="Times New Roman"/>
          <w:lang w:val="fr-FR"/>
        </w:rPr>
        <w:t>Un</w:t>
      </w:r>
      <w:r w:rsidR="00587705">
        <w:rPr>
          <w:rFonts w:ascii="Times New Roman" w:hAnsi="Times New Roman" w:cs="Times New Roman"/>
          <w:lang w:val="fr-FR"/>
        </w:rPr>
        <w:t xml:space="preserve">e meilleure planification et hiérarchisation </w:t>
      </w:r>
      <w:r w:rsidR="00576995">
        <w:rPr>
          <w:rFonts w:ascii="Times New Roman" w:hAnsi="Times New Roman" w:cs="Times New Roman"/>
          <w:lang w:val="fr-FR"/>
        </w:rPr>
        <w:t xml:space="preserve">lors </w:t>
      </w:r>
      <w:r w:rsidR="00587705">
        <w:rPr>
          <w:rFonts w:ascii="Times New Roman" w:hAnsi="Times New Roman" w:cs="Times New Roman"/>
          <w:lang w:val="fr-FR"/>
        </w:rPr>
        <w:t xml:space="preserve">du </w:t>
      </w:r>
      <w:r w:rsidR="00576995">
        <w:rPr>
          <w:rFonts w:ascii="Times New Roman" w:hAnsi="Times New Roman" w:cs="Times New Roman"/>
          <w:lang w:val="fr-FR"/>
        </w:rPr>
        <w:t>processus du plan</w:t>
      </w:r>
      <w:r w:rsidR="00B7153C">
        <w:rPr>
          <w:rFonts w:ascii="Times New Roman" w:hAnsi="Times New Roman" w:cs="Times New Roman"/>
          <w:lang w:val="fr-FR"/>
        </w:rPr>
        <w:t xml:space="preserve"> </w:t>
      </w:r>
      <w:r w:rsidR="00B7153C">
        <w:rPr>
          <w:rFonts w:ascii="Times New Roman" w:hAnsi="Times New Roman" w:cs="Times New Roman"/>
          <w:lang w:val="fr-FR"/>
        </w:rPr>
        <w:lastRenderedPageBreak/>
        <w:t>d’action lui-m</w:t>
      </w:r>
      <w:r w:rsidR="00587705">
        <w:rPr>
          <w:rFonts w:ascii="Times New Roman" w:hAnsi="Times New Roman" w:cs="Times New Roman"/>
          <w:lang w:val="fr-FR"/>
        </w:rPr>
        <w:t xml:space="preserve">ême </w:t>
      </w:r>
      <w:r w:rsidR="00576995">
        <w:rPr>
          <w:rFonts w:ascii="Times New Roman" w:hAnsi="Times New Roman" w:cs="Times New Roman"/>
          <w:lang w:val="fr-FR"/>
        </w:rPr>
        <w:t xml:space="preserve">contribuera à ce </w:t>
      </w:r>
      <w:r w:rsidR="00B7153C">
        <w:rPr>
          <w:rFonts w:ascii="Times New Roman" w:hAnsi="Times New Roman" w:cs="Times New Roman"/>
          <w:lang w:val="fr-FR"/>
        </w:rPr>
        <w:t>que l</w:t>
      </w:r>
      <w:r w:rsidR="00576995">
        <w:rPr>
          <w:rFonts w:ascii="Times New Roman" w:hAnsi="Times New Roman" w:cs="Times New Roman"/>
          <w:lang w:val="fr-FR"/>
        </w:rPr>
        <w:t>a mise en œuvre des actions et des résultats énonc</w:t>
      </w:r>
      <w:r w:rsidR="00504C3D" w:rsidRPr="00B7153C">
        <w:rPr>
          <w:rFonts w:ascii="Times New Roman" w:hAnsi="Times New Roman" w:cs="Times New Roman"/>
          <w:lang w:val="fr-FR"/>
        </w:rPr>
        <w:t>és dans</w:t>
      </w:r>
      <w:r w:rsidR="00576995">
        <w:rPr>
          <w:rFonts w:ascii="Times New Roman" w:hAnsi="Times New Roman" w:cs="Times New Roman"/>
          <w:lang w:val="fr-FR"/>
        </w:rPr>
        <w:t xml:space="preserve"> l</w:t>
      </w:r>
      <w:r w:rsidR="00504C3D" w:rsidRPr="00403C55">
        <w:rPr>
          <w:rFonts w:ascii="Times New Roman" w:hAnsi="Times New Roman" w:cs="Times New Roman"/>
          <w:lang w:val="fr-FR"/>
        </w:rPr>
        <w:t>e</w:t>
      </w:r>
      <w:r w:rsidR="00576995">
        <w:rPr>
          <w:rFonts w:ascii="Times New Roman" w:hAnsi="Times New Roman" w:cs="Times New Roman"/>
          <w:lang w:val="fr-FR"/>
        </w:rPr>
        <w:t>s</w:t>
      </w:r>
      <w:r w:rsidR="00504C3D" w:rsidRPr="00403C55">
        <w:rPr>
          <w:rFonts w:ascii="Times New Roman" w:hAnsi="Times New Roman" w:cs="Times New Roman"/>
          <w:lang w:val="fr-FR"/>
        </w:rPr>
        <w:t xml:space="preserve"> plans</w:t>
      </w:r>
      <w:r w:rsidR="00576995">
        <w:rPr>
          <w:rFonts w:ascii="Times New Roman" w:hAnsi="Times New Roman" w:cs="Times New Roman"/>
          <w:lang w:val="fr-FR"/>
        </w:rPr>
        <w:t xml:space="preserve"> aboutissent réellement à la réalisation</w:t>
      </w:r>
      <w:r w:rsidR="00504C3D" w:rsidRPr="00403C55">
        <w:rPr>
          <w:rFonts w:ascii="Times New Roman" w:hAnsi="Times New Roman" w:cs="Times New Roman"/>
          <w:lang w:val="fr-FR"/>
        </w:rPr>
        <w:t xml:space="preserve"> des buts de conservation à moyen </w:t>
      </w:r>
      <w:r w:rsidR="00576995">
        <w:rPr>
          <w:rFonts w:ascii="Times New Roman" w:hAnsi="Times New Roman" w:cs="Times New Roman"/>
          <w:lang w:val="fr-FR"/>
        </w:rPr>
        <w:t>terme et à long terme</w:t>
      </w:r>
      <w:r w:rsidR="00504C3D" w:rsidRPr="00403C55">
        <w:rPr>
          <w:rFonts w:ascii="Times New Roman" w:hAnsi="Times New Roman" w:cs="Times New Roman"/>
          <w:lang w:val="fr-FR"/>
        </w:rPr>
        <w:t>.</w:t>
      </w:r>
    </w:p>
    <w:p w14:paraId="5B61C856" w14:textId="77777777" w:rsidR="00C40FD4" w:rsidRPr="00403C55" w:rsidRDefault="00C40FD4" w:rsidP="002C4677">
      <w:pPr>
        <w:spacing w:after="0" w:line="240" w:lineRule="auto"/>
        <w:jc w:val="both"/>
        <w:rPr>
          <w:rFonts w:ascii="Times New Roman" w:hAnsi="Times New Roman" w:cs="Times New Roman"/>
          <w:lang w:val="fr-FR"/>
        </w:rPr>
      </w:pPr>
    </w:p>
    <w:p w14:paraId="3871D88E" w14:textId="6BEB1707" w:rsidR="00702DBA" w:rsidRPr="00403C55" w:rsidRDefault="00504C3D" w:rsidP="002C4677">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En outre, il est nécessaire, dans les nouveaux plans et les plans révisés, de </w:t>
      </w:r>
      <w:r w:rsidRPr="00403C55">
        <w:rPr>
          <w:rFonts w:ascii="Times New Roman" w:hAnsi="Times New Roman" w:cs="Times New Roman"/>
          <w:b/>
          <w:lang w:val="fr-FR"/>
        </w:rPr>
        <w:t>restreindre le nombre d’</w:t>
      </w:r>
      <w:r w:rsidR="00FE6EE5">
        <w:rPr>
          <w:rFonts w:ascii="Times New Roman" w:hAnsi="Times New Roman" w:cs="Times New Roman"/>
          <w:b/>
          <w:lang w:val="fr-FR"/>
        </w:rPr>
        <w:t>États de l’aire de répartition</w:t>
      </w:r>
      <w:r w:rsidRPr="00403C55">
        <w:rPr>
          <w:rFonts w:ascii="Times New Roman" w:hAnsi="Times New Roman" w:cs="Times New Roman"/>
          <w:lang w:val="fr-FR"/>
        </w:rPr>
        <w:t xml:space="preserve"> </w:t>
      </w:r>
      <w:r w:rsidRPr="00403C55">
        <w:rPr>
          <w:rFonts w:ascii="Times New Roman" w:hAnsi="Times New Roman" w:cs="Times New Roman"/>
          <w:b/>
          <w:lang w:val="fr-FR"/>
        </w:rPr>
        <w:t>principaux</w:t>
      </w:r>
      <w:r w:rsidRPr="00403C55">
        <w:rPr>
          <w:rFonts w:ascii="Times New Roman" w:hAnsi="Times New Roman" w:cs="Times New Roman"/>
          <w:lang w:val="fr-FR"/>
        </w:rPr>
        <w:t xml:space="preserve"> à ceux qui sont les plus </w:t>
      </w:r>
      <w:r w:rsidR="006015A7" w:rsidRPr="00403C55">
        <w:rPr>
          <w:rFonts w:ascii="Times New Roman" w:hAnsi="Times New Roman" w:cs="Times New Roman"/>
          <w:lang w:val="fr-FR"/>
        </w:rPr>
        <w:t>importants</w:t>
      </w:r>
      <w:r w:rsidRPr="00403C55">
        <w:rPr>
          <w:rFonts w:ascii="Times New Roman" w:hAnsi="Times New Roman" w:cs="Times New Roman"/>
          <w:lang w:val="fr-FR"/>
        </w:rPr>
        <w:t xml:space="preserve"> pour la conservation d’une espèce.</w:t>
      </w:r>
      <w:r w:rsidR="00173496" w:rsidRPr="00403C55">
        <w:rPr>
          <w:rFonts w:ascii="Times New Roman" w:hAnsi="Times New Roman" w:cs="Times New Roman"/>
          <w:lang w:val="fr-FR"/>
        </w:rPr>
        <w:t xml:space="preserve"> </w:t>
      </w:r>
      <w:r w:rsidR="00576995">
        <w:rPr>
          <w:rFonts w:ascii="Times New Roman" w:hAnsi="Times New Roman" w:cs="Times New Roman"/>
          <w:lang w:val="fr-FR"/>
        </w:rPr>
        <w:t>Comme l’indique</w:t>
      </w:r>
      <w:r w:rsidRPr="00403C55">
        <w:rPr>
          <w:rFonts w:ascii="Times New Roman" w:hAnsi="Times New Roman" w:cs="Times New Roman"/>
          <w:lang w:val="fr-FR"/>
        </w:rPr>
        <w:t xml:space="preserve"> le faible taux de réponse</w:t>
      </w:r>
      <w:r w:rsidR="00576995">
        <w:rPr>
          <w:rFonts w:ascii="Times New Roman" w:hAnsi="Times New Roman" w:cs="Times New Roman"/>
          <w:lang w:val="fr-FR"/>
        </w:rPr>
        <w:t>s po</w:t>
      </w:r>
      <w:r w:rsidRPr="00403C55">
        <w:rPr>
          <w:rFonts w:ascii="Times New Roman" w:hAnsi="Times New Roman" w:cs="Times New Roman"/>
          <w:lang w:val="fr-FR"/>
        </w:rPr>
        <w:t xml:space="preserve">ur 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pour la Spatule blanche rate et la Barge à queue noire, une coordination internationale </w:t>
      </w:r>
      <w:r w:rsidR="00576995">
        <w:rPr>
          <w:rFonts w:ascii="Times New Roman" w:hAnsi="Times New Roman" w:cs="Times New Roman"/>
          <w:lang w:val="fr-FR"/>
        </w:rPr>
        <w:t>et</w:t>
      </w:r>
      <w:r w:rsidRPr="00403C55">
        <w:rPr>
          <w:rFonts w:ascii="Times New Roman" w:hAnsi="Times New Roman" w:cs="Times New Roman"/>
          <w:lang w:val="fr-FR"/>
        </w:rPr>
        <w:t xml:space="preserve"> </w:t>
      </w:r>
      <w:r w:rsidR="006015A7" w:rsidRPr="00403C55">
        <w:rPr>
          <w:rFonts w:ascii="Times New Roman" w:hAnsi="Times New Roman" w:cs="Times New Roman"/>
          <w:lang w:val="fr-FR"/>
        </w:rPr>
        <w:t xml:space="preserve">une </w:t>
      </w:r>
      <w:r w:rsidRPr="00403C55">
        <w:rPr>
          <w:rFonts w:ascii="Times New Roman" w:hAnsi="Times New Roman" w:cs="Times New Roman"/>
          <w:lang w:val="fr-FR"/>
        </w:rPr>
        <w:t>mise en œuvre effic</w:t>
      </w:r>
      <w:r w:rsidR="000A1F2D">
        <w:rPr>
          <w:rFonts w:ascii="Times New Roman" w:hAnsi="Times New Roman" w:cs="Times New Roman"/>
          <w:lang w:val="fr-FR"/>
        </w:rPr>
        <w:t>ace</w:t>
      </w:r>
      <w:r w:rsidR="00576995">
        <w:rPr>
          <w:rFonts w:ascii="Times New Roman" w:hAnsi="Times New Roman" w:cs="Times New Roman"/>
          <w:lang w:val="fr-FR"/>
        </w:rPr>
        <w:t xml:space="preserve"> consécutive dans 50 à </w:t>
      </w:r>
      <w:r w:rsidRPr="00403C55">
        <w:rPr>
          <w:rFonts w:ascii="Times New Roman" w:hAnsi="Times New Roman" w:cs="Times New Roman"/>
          <w:lang w:val="fr-FR"/>
        </w:rPr>
        <w:t xml:space="preserve">60 </w:t>
      </w:r>
      <w:r w:rsidR="00FE6EE5">
        <w:rPr>
          <w:rFonts w:ascii="Times New Roman" w:hAnsi="Times New Roman" w:cs="Times New Roman"/>
          <w:lang w:val="fr-FR"/>
        </w:rPr>
        <w:t>États de l’aire de répartition</w:t>
      </w:r>
      <w:r w:rsidR="00576995">
        <w:rPr>
          <w:rFonts w:ascii="Times New Roman" w:hAnsi="Times New Roman" w:cs="Times New Roman"/>
          <w:lang w:val="fr-FR"/>
        </w:rPr>
        <w:t xml:space="preserve"> n’est </w:t>
      </w:r>
      <w:r w:rsidRPr="00403C55">
        <w:rPr>
          <w:rFonts w:ascii="Times New Roman" w:hAnsi="Times New Roman" w:cs="Times New Roman"/>
          <w:lang w:val="fr-FR"/>
        </w:rPr>
        <w:t xml:space="preserve">pas </w:t>
      </w:r>
      <w:r w:rsidR="00576995">
        <w:rPr>
          <w:rFonts w:ascii="Times New Roman" w:hAnsi="Times New Roman" w:cs="Times New Roman"/>
          <w:lang w:val="fr-FR"/>
        </w:rPr>
        <w:t xml:space="preserve">très </w:t>
      </w:r>
      <w:r w:rsidRPr="00403C55">
        <w:rPr>
          <w:rFonts w:ascii="Times New Roman" w:hAnsi="Times New Roman" w:cs="Times New Roman"/>
          <w:lang w:val="fr-FR"/>
        </w:rPr>
        <w:t>faisable.</w:t>
      </w:r>
      <w:r w:rsidR="00C40FD4" w:rsidRPr="00403C55">
        <w:rPr>
          <w:rFonts w:ascii="Times New Roman" w:hAnsi="Times New Roman" w:cs="Times New Roman"/>
          <w:lang w:val="fr-FR"/>
        </w:rPr>
        <w:t xml:space="preserve"> </w:t>
      </w:r>
      <w:r w:rsidRPr="00403C55">
        <w:rPr>
          <w:rFonts w:ascii="Times New Roman" w:hAnsi="Times New Roman" w:cs="Times New Roman"/>
          <w:lang w:val="fr-FR"/>
        </w:rPr>
        <w:t xml:space="preserve">Les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incluant un plus petit nombre d’</w:t>
      </w:r>
      <w:r w:rsidR="00FE6EE5">
        <w:rPr>
          <w:rFonts w:ascii="Times New Roman" w:hAnsi="Times New Roman" w:cs="Times New Roman"/>
          <w:lang w:val="fr-FR"/>
        </w:rPr>
        <w:t>États de l’aire de répartition</w:t>
      </w:r>
      <w:r w:rsidR="006015A7" w:rsidRPr="00403C55">
        <w:rPr>
          <w:rFonts w:ascii="Times New Roman" w:hAnsi="Times New Roman" w:cs="Times New Roman"/>
          <w:lang w:val="fr-FR"/>
        </w:rPr>
        <w:t xml:space="preserve"> sont souvent plus ciblés</w:t>
      </w:r>
      <w:r w:rsidRPr="00403C55">
        <w:rPr>
          <w:rFonts w:ascii="Times New Roman" w:hAnsi="Times New Roman" w:cs="Times New Roman"/>
          <w:lang w:val="fr-FR"/>
        </w:rPr>
        <w:t xml:space="preserve">, plus faciles à coordonner et ont de meilleures chances d’engager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dans les groupes internationaux de travail et d’experts.</w:t>
      </w:r>
      <w:r w:rsidR="008524D6" w:rsidRPr="00403C55">
        <w:rPr>
          <w:rFonts w:ascii="Times New Roman" w:hAnsi="Times New Roman" w:cs="Times New Roman"/>
          <w:lang w:val="fr-FR"/>
        </w:rPr>
        <w:t xml:space="preserve"> </w:t>
      </w:r>
      <w:r w:rsidRPr="00403C55">
        <w:rPr>
          <w:rFonts w:ascii="Times New Roman" w:hAnsi="Times New Roman" w:cs="Times New Roman"/>
          <w:lang w:val="fr-FR"/>
        </w:rPr>
        <w:t xml:space="preserve">D’autres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sont, bien entendu, toujours les bienvenus pour mettre en œuvre leurs plans respectifs et s’associer aux efforts internationaux de conservation, mais la mise en œuvre ne devrait pas être obligatoire.</w:t>
      </w:r>
      <w:r w:rsidR="00702DBA" w:rsidRPr="00403C55">
        <w:rPr>
          <w:rFonts w:ascii="Times New Roman" w:hAnsi="Times New Roman" w:cs="Times New Roman"/>
          <w:lang w:val="fr-FR"/>
        </w:rPr>
        <w:t xml:space="preserve"> </w:t>
      </w:r>
      <w:r w:rsidR="00576995">
        <w:rPr>
          <w:rFonts w:ascii="Times New Roman" w:hAnsi="Times New Roman" w:cs="Times New Roman"/>
          <w:lang w:val="fr-FR"/>
        </w:rPr>
        <w:t xml:space="preserve">D’autre part, </w:t>
      </w:r>
      <w:r w:rsidR="00576995">
        <w:rPr>
          <w:rFonts w:ascii="Times New Roman" w:hAnsi="Times New Roman" w:cs="Times New Roman"/>
          <w:b/>
          <w:lang w:val="fr-FR"/>
        </w:rPr>
        <w:t>l</w:t>
      </w:r>
      <w:r w:rsidR="007202CA" w:rsidRPr="00403C55">
        <w:rPr>
          <w:rFonts w:ascii="Times New Roman" w:hAnsi="Times New Roman" w:cs="Times New Roman"/>
          <w:b/>
          <w:lang w:val="fr-FR"/>
        </w:rPr>
        <w:t xml:space="preserve">es Lignes directrices de conservation </w:t>
      </w:r>
      <w:r w:rsidR="0003562F">
        <w:rPr>
          <w:rFonts w:ascii="Times New Roman" w:hAnsi="Times New Roman" w:cs="Times New Roman"/>
          <w:b/>
          <w:lang w:val="fr-FR"/>
        </w:rPr>
        <w:t>de l’AEWA</w:t>
      </w:r>
      <w:r w:rsidR="007202CA" w:rsidRPr="00403C55">
        <w:rPr>
          <w:rFonts w:ascii="Times New Roman" w:hAnsi="Times New Roman" w:cs="Times New Roman"/>
          <w:b/>
          <w:lang w:val="fr-FR"/>
        </w:rPr>
        <w:t xml:space="preserve"> a</w:t>
      </w:r>
      <w:r w:rsidRPr="00403C55">
        <w:rPr>
          <w:rFonts w:ascii="Times New Roman" w:hAnsi="Times New Roman" w:cs="Times New Roman"/>
          <w:b/>
          <w:lang w:val="fr-FR"/>
        </w:rPr>
        <w:t>dopt</w:t>
      </w:r>
      <w:r w:rsidR="007202CA" w:rsidRPr="00403C55">
        <w:rPr>
          <w:rFonts w:ascii="Times New Roman" w:hAnsi="Times New Roman" w:cs="Times New Roman"/>
          <w:b/>
          <w:lang w:val="fr-FR"/>
        </w:rPr>
        <w:t>é</w:t>
      </w:r>
      <w:r w:rsidRPr="00403C55">
        <w:rPr>
          <w:rFonts w:ascii="Times New Roman" w:hAnsi="Times New Roman" w:cs="Times New Roman"/>
          <w:b/>
          <w:lang w:val="fr-FR"/>
        </w:rPr>
        <w:t>e</w:t>
      </w:r>
      <w:r w:rsidR="007202CA" w:rsidRPr="00403C55">
        <w:rPr>
          <w:rFonts w:ascii="Times New Roman" w:hAnsi="Times New Roman" w:cs="Times New Roman"/>
          <w:b/>
          <w:lang w:val="fr-FR"/>
        </w:rPr>
        <w:t>s</w:t>
      </w:r>
      <w:r w:rsidRPr="00403C55">
        <w:rPr>
          <w:rFonts w:ascii="Times New Roman" w:hAnsi="Times New Roman" w:cs="Times New Roman"/>
          <w:b/>
          <w:lang w:val="fr-FR"/>
        </w:rPr>
        <w:t xml:space="preserve"> </w:t>
      </w:r>
      <w:r w:rsidR="007202CA" w:rsidRPr="00403C55">
        <w:rPr>
          <w:rFonts w:ascii="Times New Roman" w:hAnsi="Times New Roman" w:cs="Times New Roman"/>
          <w:b/>
          <w:lang w:val="fr-FR"/>
        </w:rPr>
        <w:t>doivent être prises en compte</w:t>
      </w:r>
      <w:r w:rsidRPr="00403C55">
        <w:rPr>
          <w:rFonts w:ascii="Times New Roman" w:hAnsi="Times New Roman" w:cs="Times New Roman"/>
          <w:lang w:val="fr-FR"/>
        </w:rPr>
        <w:t xml:space="preserve"> </w:t>
      </w:r>
      <w:r w:rsidR="007202CA" w:rsidRPr="00403C55">
        <w:rPr>
          <w:rFonts w:ascii="Times New Roman" w:hAnsi="Times New Roman" w:cs="Times New Roman"/>
          <w:lang w:val="fr-FR"/>
        </w:rPr>
        <w:t>au cou</w:t>
      </w:r>
      <w:r w:rsidR="00576995">
        <w:rPr>
          <w:rFonts w:ascii="Times New Roman" w:hAnsi="Times New Roman" w:cs="Times New Roman"/>
          <w:lang w:val="fr-FR"/>
        </w:rPr>
        <w:t xml:space="preserve">rs de l’élaboration, et tout particulièrement la mise en œuvre des </w:t>
      </w:r>
      <w:r w:rsidR="007202CA" w:rsidRPr="00403C55">
        <w:rPr>
          <w:rFonts w:ascii="Times New Roman" w:hAnsi="Times New Roman" w:cs="Times New Roman"/>
          <w:lang w:val="fr-FR"/>
        </w:rPr>
        <w:t xml:space="preserve">plans </w:t>
      </w:r>
      <w:r w:rsidR="0003562F">
        <w:rPr>
          <w:rFonts w:ascii="Times New Roman" w:hAnsi="Times New Roman" w:cs="Times New Roman"/>
          <w:lang w:val="fr-FR"/>
        </w:rPr>
        <w:t>d’action</w:t>
      </w:r>
      <w:r w:rsidR="007202CA" w:rsidRPr="00403C55">
        <w:rPr>
          <w:rFonts w:ascii="Times New Roman" w:hAnsi="Times New Roman" w:cs="Times New Roman"/>
          <w:lang w:val="fr-FR"/>
        </w:rPr>
        <w:t xml:space="preserve"> et de gestion</w:t>
      </w:r>
      <w:r w:rsidRPr="00403C55">
        <w:rPr>
          <w:rFonts w:ascii="Times New Roman" w:hAnsi="Times New Roman" w:cs="Times New Roman"/>
          <w:lang w:val="fr-FR"/>
        </w:rPr>
        <w:t>.</w:t>
      </w:r>
      <w:r w:rsidR="00985A4E">
        <w:rPr>
          <w:rFonts w:ascii="Times New Roman" w:hAnsi="Times New Roman" w:cs="Times New Roman"/>
          <w:lang w:val="fr-FR"/>
        </w:rPr>
        <w:t xml:space="preserve"> </w:t>
      </w:r>
    </w:p>
    <w:p w14:paraId="0ACB58BA" w14:textId="77777777" w:rsidR="00702DBA" w:rsidRPr="00403C55" w:rsidRDefault="00702DBA" w:rsidP="002C4677">
      <w:pPr>
        <w:spacing w:after="0" w:line="240" w:lineRule="auto"/>
        <w:jc w:val="both"/>
        <w:rPr>
          <w:rFonts w:ascii="Times New Roman" w:hAnsi="Times New Roman" w:cs="Times New Roman"/>
          <w:lang w:val="fr-FR"/>
        </w:rPr>
      </w:pPr>
    </w:p>
    <w:p w14:paraId="386133D5" w14:textId="132EBCCC" w:rsidR="0076200D" w:rsidRPr="00403C55" w:rsidRDefault="00576995" w:rsidP="002C4677">
      <w:pPr>
        <w:spacing w:after="0" w:line="240" w:lineRule="auto"/>
        <w:jc w:val="both"/>
        <w:rPr>
          <w:rFonts w:ascii="Times New Roman" w:hAnsi="Times New Roman" w:cs="Times New Roman"/>
          <w:lang w:val="fr-FR"/>
        </w:rPr>
      </w:pPr>
      <w:r>
        <w:rPr>
          <w:rFonts w:ascii="Times New Roman" w:hAnsi="Times New Roman" w:cs="Times New Roman"/>
          <w:lang w:val="fr-FR"/>
        </w:rPr>
        <w:t>Considérant</w:t>
      </w:r>
      <w:r w:rsidR="007202CA" w:rsidRPr="00403C55">
        <w:rPr>
          <w:rFonts w:ascii="Times New Roman" w:hAnsi="Times New Roman" w:cs="Times New Roman"/>
          <w:lang w:val="fr-FR"/>
        </w:rPr>
        <w:t xml:space="preserve"> la mise en œuvre imminente du premier </w:t>
      </w:r>
      <w:r w:rsidR="007202CA" w:rsidRPr="00403C55">
        <w:rPr>
          <w:rFonts w:ascii="Times New Roman" w:hAnsi="Times New Roman" w:cs="Times New Roman"/>
          <w:b/>
          <w:lang w:val="fr-FR"/>
        </w:rPr>
        <w:t xml:space="preserve">Plan </w:t>
      </w:r>
      <w:r w:rsidR="0003562F">
        <w:rPr>
          <w:rFonts w:ascii="Times New Roman" w:hAnsi="Times New Roman" w:cs="Times New Roman"/>
          <w:b/>
          <w:lang w:val="fr-FR"/>
        </w:rPr>
        <w:t>d’action</w:t>
      </w:r>
      <w:r w:rsidR="007202CA" w:rsidRPr="00403C55">
        <w:rPr>
          <w:rFonts w:ascii="Times New Roman" w:hAnsi="Times New Roman" w:cs="Times New Roman"/>
          <w:b/>
          <w:lang w:val="fr-FR"/>
        </w:rPr>
        <w:t xml:space="preserve"> multi-espèces</w:t>
      </w:r>
      <w:r w:rsidR="007202CA" w:rsidRPr="00403C55">
        <w:rPr>
          <w:rFonts w:ascii="Times New Roman" w:hAnsi="Times New Roman" w:cs="Times New Roman"/>
          <w:lang w:val="fr-FR"/>
        </w:rPr>
        <w:t xml:space="preserve"> </w:t>
      </w:r>
      <w:r w:rsidR="000A1F2D">
        <w:rPr>
          <w:rFonts w:ascii="Times New Roman" w:hAnsi="Times New Roman" w:cs="Times New Roman"/>
          <w:lang w:val="fr-FR"/>
        </w:rPr>
        <w:t>dans le cadre de</w:t>
      </w:r>
      <w:r w:rsidR="007202CA" w:rsidRPr="00403C55">
        <w:rPr>
          <w:rFonts w:ascii="Times New Roman" w:hAnsi="Times New Roman" w:cs="Times New Roman"/>
          <w:lang w:val="fr-FR"/>
        </w:rPr>
        <w:t xml:space="preserve"> l’AEWA à la MOP6, ainsi que la préparation éventuelle de </w:t>
      </w:r>
      <w:r w:rsidR="007202CA" w:rsidRPr="00403C55">
        <w:rPr>
          <w:rFonts w:ascii="Times New Roman" w:hAnsi="Times New Roman" w:cs="Times New Roman"/>
          <w:b/>
          <w:lang w:val="fr-FR"/>
        </w:rPr>
        <w:t>plans de gestion multi-espèces</w:t>
      </w:r>
      <w:r w:rsidR="007202CA" w:rsidRPr="00403C55">
        <w:rPr>
          <w:rFonts w:ascii="Times New Roman" w:hAnsi="Times New Roman" w:cs="Times New Roman"/>
          <w:lang w:val="fr-FR"/>
        </w:rPr>
        <w:t xml:space="preserve"> dans l’avenir, il est égalem</w:t>
      </w:r>
      <w:r>
        <w:rPr>
          <w:rFonts w:ascii="Times New Roman" w:hAnsi="Times New Roman" w:cs="Times New Roman"/>
          <w:lang w:val="fr-FR"/>
        </w:rPr>
        <w:t>ent nécessaire d’élaborer un modèle</w:t>
      </w:r>
      <w:r w:rsidR="007202CA" w:rsidRPr="00403C55">
        <w:rPr>
          <w:rFonts w:ascii="Times New Roman" w:hAnsi="Times New Roman" w:cs="Times New Roman"/>
          <w:lang w:val="fr-FR"/>
        </w:rPr>
        <w:t xml:space="preserve"> pour ce type de plans.</w:t>
      </w:r>
      <w:r w:rsidR="000B081C" w:rsidRPr="00403C55">
        <w:rPr>
          <w:rFonts w:ascii="Times New Roman" w:hAnsi="Times New Roman" w:cs="Times New Roman"/>
          <w:lang w:val="fr-FR"/>
        </w:rPr>
        <w:t xml:space="preserve"> </w:t>
      </w:r>
    </w:p>
    <w:p w14:paraId="34DC3B73" w14:textId="77777777" w:rsidR="00D23086" w:rsidRPr="00403C55" w:rsidRDefault="00D23086" w:rsidP="002C4677">
      <w:pPr>
        <w:spacing w:after="0" w:line="240" w:lineRule="auto"/>
        <w:jc w:val="both"/>
        <w:rPr>
          <w:rFonts w:ascii="Times New Roman" w:hAnsi="Times New Roman" w:cs="Times New Roman"/>
          <w:lang w:val="fr-FR"/>
        </w:rPr>
      </w:pPr>
    </w:p>
    <w:p w14:paraId="211F3639" w14:textId="77777777" w:rsidR="00C40FD4" w:rsidRPr="00403C55" w:rsidRDefault="00C40FD4" w:rsidP="002C4677">
      <w:pPr>
        <w:spacing w:after="0" w:line="240" w:lineRule="auto"/>
        <w:jc w:val="both"/>
        <w:rPr>
          <w:rFonts w:ascii="Times New Roman" w:hAnsi="Times New Roman" w:cs="Times New Roman"/>
          <w:lang w:val="fr-FR"/>
        </w:rPr>
      </w:pPr>
    </w:p>
    <w:p w14:paraId="205EB852" w14:textId="77777777" w:rsidR="002C4677" w:rsidRPr="00403C55" w:rsidRDefault="002C4677" w:rsidP="002C4677">
      <w:pPr>
        <w:spacing w:after="0" w:line="240" w:lineRule="auto"/>
        <w:rPr>
          <w:rFonts w:ascii="Times New Roman" w:hAnsi="Times New Roman" w:cs="Times New Roman"/>
          <w:lang w:val="fr-FR"/>
        </w:rPr>
      </w:pPr>
    </w:p>
    <w:p w14:paraId="4911E1D3" w14:textId="77777777" w:rsidR="002C4677" w:rsidRPr="00403C55" w:rsidRDefault="002C4677" w:rsidP="002C4677">
      <w:pPr>
        <w:spacing w:after="0" w:line="240" w:lineRule="auto"/>
        <w:jc w:val="both"/>
        <w:rPr>
          <w:rFonts w:ascii="Times New Roman" w:hAnsi="Times New Roman" w:cs="Times New Roman"/>
          <w:lang w:val="fr-FR"/>
        </w:rPr>
      </w:pPr>
    </w:p>
    <w:p w14:paraId="7A81C5C1" w14:textId="4EA5A1CF" w:rsidR="00864090" w:rsidRPr="00403C55" w:rsidRDefault="00864090">
      <w:pPr>
        <w:rPr>
          <w:rFonts w:ascii="Times New Roman" w:hAnsi="Times New Roman" w:cs="Times New Roman"/>
          <w:lang w:val="fr-FR"/>
        </w:rPr>
      </w:pPr>
      <w:r w:rsidRPr="00403C55">
        <w:rPr>
          <w:rFonts w:ascii="Times New Roman" w:hAnsi="Times New Roman" w:cs="Times New Roman"/>
          <w:lang w:val="fr-FR"/>
        </w:rPr>
        <w:br w:type="page"/>
      </w:r>
    </w:p>
    <w:p w14:paraId="24991674" w14:textId="79B86D3B" w:rsidR="00864090" w:rsidRPr="00403C55" w:rsidRDefault="00864090" w:rsidP="00864090">
      <w:pPr>
        <w:shd w:val="clear" w:color="auto" w:fill="C6D9F1" w:themeFill="text2" w:themeFillTint="33"/>
        <w:spacing w:after="0" w:line="240" w:lineRule="auto"/>
        <w:jc w:val="both"/>
        <w:rPr>
          <w:rFonts w:ascii="Times New Roman" w:hAnsi="Times New Roman" w:cs="Times New Roman"/>
          <w:sz w:val="24"/>
          <w:szCs w:val="24"/>
          <w:lang w:val="fr-FR"/>
        </w:rPr>
      </w:pPr>
      <w:r w:rsidRPr="00403C55">
        <w:rPr>
          <w:rFonts w:ascii="Times New Roman" w:hAnsi="Times New Roman" w:cs="Times New Roman"/>
          <w:sz w:val="24"/>
          <w:szCs w:val="24"/>
          <w:lang w:val="fr-FR"/>
        </w:rPr>
        <w:lastRenderedPageBreak/>
        <w:t xml:space="preserve">8. </w:t>
      </w:r>
      <w:r w:rsidR="007202CA" w:rsidRPr="00403C55">
        <w:rPr>
          <w:rFonts w:ascii="Times New Roman" w:hAnsi="Times New Roman" w:cs="Times New Roman"/>
          <w:sz w:val="24"/>
          <w:szCs w:val="24"/>
          <w:lang w:val="fr-FR"/>
        </w:rPr>
        <w:t>ANNEXES</w:t>
      </w:r>
    </w:p>
    <w:p w14:paraId="1FFF1EEF" w14:textId="77777777" w:rsidR="00864090" w:rsidRPr="00403C55" w:rsidRDefault="00864090" w:rsidP="00864090">
      <w:pPr>
        <w:spacing w:after="0" w:line="240" w:lineRule="auto"/>
        <w:jc w:val="both"/>
        <w:rPr>
          <w:rFonts w:ascii="Times New Roman" w:hAnsi="Times New Roman" w:cs="Times New Roman"/>
          <w:sz w:val="20"/>
          <w:szCs w:val="20"/>
          <w:lang w:val="fr-FR"/>
        </w:rPr>
      </w:pPr>
    </w:p>
    <w:p w14:paraId="1952728B" w14:textId="77777777" w:rsidR="00864090" w:rsidRPr="00403C55" w:rsidRDefault="00864090" w:rsidP="00864090">
      <w:pPr>
        <w:spacing w:after="0" w:line="240" w:lineRule="auto"/>
        <w:jc w:val="both"/>
        <w:rPr>
          <w:rFonts w:ascii="Times New Roman" w:hAnsi="Times New Roman" w:cs="Times New Roman"/>
          <w:sz w:val="20"/>
          <w:szCs w:val="20"/>
          <w:lang w:val="fr-FR"/>
        </w:rPr>
      </w:pPr>
    </w:p>
    <w:p w14:paraId="02A6D404" w14:textId="028C5C33" w:rsidR="00864090" w:rsidRPr="00403C55" w:rsidRDefault="007202CA" w:rsidP="00864090">
      <w:pPr>
        <w:tabs>
          <w:tab w:val="left" w:pos="851"/>
          <w:tab w:val="right" w:leader="dot" w:pos="8930"/>
        </w:tabs>
        <w:spacing w:after="0" w:line="240" w:lineRule="auto"/>
        <w:ind w:left="284"/>
        <w:rPr>
          <w:rFonts w:ascii="Times New Roman" w:hAnsi="Times New Roman" w:cs="Times New Roman"/>
          <w:lang w:val="fr-FR"/>
        </w:rPr>
      </w:pPr>
      <w:r w:rsidRPr="00403C55">
        <w:rPr>
          <w:rFonts w:ascii="Times New Roman" w:hAnsi="Times New Roman" w:cs="Times New Roman"/>
          <w:lang w:val="fr-FR"/>
        </w:rPr>
        <w:t>Annexe I.</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 xml:space="preserve">Études individuelles de la mise en œuvre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et de gestion internationaux </w:t>
      </w:r>
      <w:r w:rsidR="0003562F">
        <w:rPr>
          <w:rFonts w:ascii="Times New Roman" w:hAnsi="Times New Roman" w:cs="Times New Roman"/>
          <w:lang w:val="fr-FR"/>
        </w:rPr>
        <w:t>de l’AEWA</w:t>
      </w:r>
      <w:r w:rsidRPr="00403C55">
        <w:rPr>
          <w:rFonts w:ascii="Times New Roman" w:hAnsi="Times New Roman" w:cs="Times New Roman"/>
          <w:lang w:val="fr-FR"/>
        </w:rPr>
        <w:t> :</w:t>
      </w:r>
    </w:p>
    <w:p w14:paraId="552059D8" w14:textId="77777777" w:rsidR="00864090" w:rsidRPr="00403C55" w:rsidRDefault="00864090" w:rsidP="00864090">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b/>
      </w:r>
    </w:p>
    <w:p w14:paraId="55239CBF" w14:textId="676D029E"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A.</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Ibis chauve (</w:t>
      </w:r>
      <w:r w:rsidRPr="000A1F2D">
        <w:rPr>
          <w:rFonts w:ascii="Times New Roman" w:hAnsi="Times New Roman" w:cs="Times New Roman"/>
          <w:i/>
          <w:lang w:val="fr-FR"/>
        </w:rPr>
        <w:t>Geronticus eremita</w:t>
      </w:r>
      <w:r w:rsidRPr="00403C55">
        <w:rPr>
          <w:rFonts w:ascii="Times New Roman" w:hAnsi="Times New Roman" w:cs="Times New Roman"/>
          <w:lang w:val="fr-FR"/>
        </w:rPr>
        <w:t>)</w:t>
      </w:r>
      <w:r w:rsidR="0016732E">
        <w:rPr>
          <w:rFonts w:ascii="Times New Roman" w:hAnsi="Times New Roman" w:cs="Times New Roman"/>
          <w:lang w:val="fr-FR"/>
        </w:rPr>
        <w:tab/>
        <w:t>36</w:t>
      </w:r>
    </w:p>
    <w:p w14:paraId="52411DBB" w14:textId="7F137197"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B.</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 xml:space="preserve">Flamant nain </w:t>
      </w:r>
      <w:r w:rsidRPr="00403C55">
        <w:rPr>
          <w:rFonts w:ascii="Times New Roman" w:hAnsi="Times New Roman" w:cs="Times New Roman"/>
          <w:i/>
          <w:lang w:val="fr-FR"/>
        </w:rPr>
        <w:t>(Phoeniconaias minor)</w:t>
      </w:r>
      <w:r w:rsidR="0016732E">
        <w:rPr>
          <w:rFonts w:ascii="Times New Roman" w:hAnsi="Times New Roman" w:cs="Times New Roman"/>
          <w:lang w:val="fr-FR"/>
        </w:rPr>
        <w:tab/>
        <w:t>46</w:t>
      </w:r>
    </w:p>
    <w:p w14:paraId="271E80AD" w14:textId="253B0444"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C.</w:t>
      </w:r>
      <w:r w:rsidR="001253EB" w:rsidRPr="00403C55">
        <w:rPr>
          <w:rFonts w:ascii="Times New Roman" w:hAnsi="Times New Roman" w:cs="Times New Roman"/>
          <w:lang w:val="fr-FR"/>
        </w:rPr>
        <w:t xml:space="preserve"> </w:t>
      </w:r>
      <w:r w:rsidRPr="00403C55">
        <w:rPr>
          <w:rFonts w:ascii="Times New Roman" w:hAnsi="Times New Roman" w:cs="Times New Roman"/>
          <w:lang w:val="fr-FR"/>
        </w:rPr>
        <w:t>Cygne de Bewick (</w:t>
      </w:r>
      <w:r w:rsidRPr="000A1F2D">
        <w:rPr>
          <w:rFonts w:ascii="Times New Roman" w:hAnsi="Times New Roman" w:cs="Times New Roman"/>
          <w:i/>
          <w:lang w:val="fr-FR"/>
        </w:rPr>
        <w:t>Cygnus columbianus bewickii</w:t>
      </w:r>
      <w:r w:rsidRPr="00403C55">
        <w:rPr>
          <w:rFonts w:ascii="Times New Roman" w:hAnsi="Times New Roman" w:cs="Times New Roman"/>
          <w:lang w:val="fr-FR"/>
        </w:rPr>
        <w:t>)</w:t>
      </w:r>
      <w:r w:rsidR="0016732E">
        <w:rPr>
          <w:rFonts w:ascii="Times New Roman" w:hAnsi="Times New Roman" w:cs="Times New Roman"/>
          <w:lang w:val="fr-FR"/>
        </w:rPr>
        <w:tab/>
        <w:t>55</w:t>
      </w:r>
    </w:p>
    <w:p w14:paraId="583B3C58" w14:textId="6C68F809"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D.</w:t>
      </w:r>
      <w:r w:rsidR="001253EB" w:rsidRPr="00403C55">
        <w:rPr>
          <w:rFonts w:ascii="Times New Roman" w:hAnsi="Times New Roman" w:cs="Times New Roman"/>
          <w:lang w:val="fr-FR"/>
        </w:rPr>
        <w:t xml:space="preserve"> </w:t>
      </w:r>
      <w:r w:rsidRPr="00403C55">
        <w:rPr>
          <w:rFonts w:ascii="Times New Roman" w:hAnsi="Times New Roman" w:cs="Times New Roman"/>
          <w:lang w:val="fr-FR"/>
        </w:rPr>
        <w:t>Oie à bec court (</w:t>
      </w:r>
      <w:r w:rsidRPr="000A1F2D">
        <w:rPr>
          <w:rFonts w:ascii="Times New Roman" w:hAnsi="Times New Roman" w:cs="Times New Roman"/>
          <w:i/>
          <w:lang w:val="fr-FR"/>
        </w:rPr>
        <w:t>Anser brachyrhynchus</w:t>
      </w:r>
      <w:r w:rsidRPr="00403C55">
        <w:rPr>
          <w:rFonts w:ascii="Times New Roman" w:hAnsi="Times New Roman" w:cs="Times New Roman"/>
          <w:lang w:val="fr-FR"/>
        </w:rPr>
        <w:t>)</w:t>
      </w:r>
      <w:r w:rsidR="00864090" w:rsidRPr="00403C55">
        <w:rPr>
          <w:rFonts w:ascii="Times New Roman" w:hAnsi="Times New Roman" w:cs="Times New Roman"/>
          <w:lang w:val="fr-FR"/>
        </w:rPr>
        <w:tab/>
      </w:r>
      <w:r w:rsidR="0016732E">
        <w:rPr>
          <w:rFonts w:ascii="Times New Roman" w:hAnsi="Times New Roman" w:cs="Times New Roman"/>
          <w:lang w:val="fr-FR"/>
        </w:rPr>
        <w:t>65</w:t>
      </w:r>
    </w:p>
    <w:p w14:paraId="7386F174" w14:textId="6D395163"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E.</w:t>
      </w:r>
      <w:r w:rsidR="001253EB" w:rsidRPr="00403C55">
        <w:rPr>
          <w:rFonts w:ascii="Times New Roman" w:hAnsi="Times New Roman" w:cs="Times New Roman"/>
          <w:lang w:val="fr-FR"/>
        </w:rPr>
        <w:t xml:space="preserve"> </w:t>
      </w:r>
      <w:r w:rsidRPr="00403C55">
        <w:rPr>
          <w:rFonts w:ascii="Times New Roman" w:hAnsi="Times New Roman" w:cs="Times New Roman"/>
          <w:lang w:val="fr-FR"/>
        </w:rPr>
        <w:t>Oie rieuse du Groenland (</w:t>
      </w:r>
      <w:r w:rsidRPr="000A1F2D">
        <w:rPr>
          <w:rFonts w:ascii="Times New Roman" w:hAnsi="Times New Roman" w:cs="Times New Roman"/>
          <w:i/>
          <w:lang w:val="fr-FR"/>
        </w:rPr>
        <w:t>Anser albifrons flavirostris</w:t>
      </w:r>
      <w:r w:rsidRPr="00403C55">
        <w:rPr>
          <w:rFonts w:ascii="Times New Roman" w:hAnsi="Times New Roman" w:cs="Times New Roman"/>
          <w:lang w:val="fr-FR"/>
        </w:rPr>
        <w:t>)</w:t>
      </w:r>
      <w:r w:rsidR="00864090" w:rsidRPr="00403C55">
        <w:rPr>
          <w:rFonts w:ascii="Times New Roman" w:hAnsi="Times New Roman" w:cs="Times New Roman"/>
          <w:lang w:val="fr-FR"/>
        </w:rPr>
        <w:tab/>
      </w:r>
      <w:r w:rsidR="0016732E">
        <w:rPr>
          <w:rFonts w:ascii="Times New Roman" w:hAnsi="Times New Roman" w:cs="Times New Roman"/>
          <w:lang w:val="fr-FR"/>
        </w:rPr>
        <w:t>71</w:t>
      </w:r>
    </w:p>
    <w:p w14:paraId="1AE9E827" w14:textId="5B4474F6"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F.</w:t>
      </w:r>
      <w:r w:rsidR="001253EB" w:rsidRPr="00403C55">
        <w:rPr>
          <w:rFonts w:ascii="Times New Roman" w:hAnsi="Times New Roman" w:cs="Times New Roman"/>
          <w:lang w:val="fr-FR"/>
        </w:rPr>
        <w:t xml:space="preserve"> </w:t>
      </w:r>
      <w:r w:rsidRPr="00403C55">
        <w:rPr>
          <w:rFonts w:ascii="Times New Roman" w:hAnsi="Times New Roman" w:cs="Times New Roman"/>
          <w:lang w:val="fr-FR"/>
        </w:rPr>
        <w:t>Oie naine (</w:t>
      </w:r>
      <w:r w:rsidRPr="000A1F2D">
        <w:rPr>
          <w:rFonts w:ascii="Times New Roman" w:hAnsi="Times New Roman" w:cs="Times New Roman"/>
          <w:i/>
          <w:lang w:val="fr-FR"/>
        </w:rPr>
        <w:t>Anser erythropus</w:t>
      </w:r>
      <w:r w:rsidRPr="00403C55">
        <w:rPr>
          <w:rFonts w:ascii="Times New Roman" w:hAnsi="Times New Roman" w:cs="Times New Roman"/>
          <w:lang w:val="fr-FR"/>
        </w:rPr>
        <w:t>)</w:t>
      </w:r>
      <w:r w:rsidR="00864090" w:rsidRPr="00403C55">
        <w:rPr>
          <w:rFonts w:ascii="Times New Roman" w:hAnsi="Times New Roman" w:cs="Times New Roman"/>
          <w:lang w:val="fr-FR"/>
        </w:rPr>
        <w:tab/>
      </w:r>
      <w:r w:rsidR="0016732E">
        <w:rPr>
          <w:rFonts w:ascii="Times New Roman" w:hAnsi="Times New Roman" w:cs="Times New Roman"/>
          <w:lang w:val="fr-FR"/>
        </w:rPr>
        <w:t>79</w:t>
      </w:r>
    </w:p>
    <w:p w14:paraId="1A7BE122" w14:textId="5145CC56"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G.</w:t>
      </w:r>
      <w:r w:rsidR="001253EB" w:rsidRPr="00403C55">
        <w:rPr>
          <w:rFonts w:ascii="Times New Roman" w:hAnsi="Times New Roman" w:cs="Times New Roman"/>
          <w:lang w:val="fr-FR"/>
        </w:rPr>
        <w:t xml:space="preserve"> </w:t>
      </w:r>
      <w:r w:rsidRPr="00403C55">
        <w:rPr>
          <w:rFonts w:ascii="Times New Roman" w:hAnsi="Times New Roman" w:cs="Times New Roman"/>
          <w:lang w:val="fr-FR"/>
        </w:rPr>
        <w:t>Bernache à cou roux (</w:t>
      </w:r>
      <w:r w:rsidRPr="000A1F2D">
        <w:rPr>
          <w:rFonts w:ascii="Times New Roman" w:hAnsi="Times New Roman" w:cs="Times New Roman"/>
          <w:i/>
          <w:lang w:val="fr-FR"/>
        </w:rPr>
        <w:t>Branta ruficollis</w:t>
      </w:r>
      <w:r w:rsidRPr="00403C55">
        <w:rPr>
          <w:rFonts w:ascii="Times New Roman" w:hAnsi="Times New Roman" w:cs="Times New Roman"/>
          <w:lang w:val="fr-FR"/>
        </w:rPr>
        <w:t>)</w:t>
      </w:r>
      <w:r w:rsidR="00864090" w:rsidRPr="00403C55">
        <w:rPr>
          <w:rFonts w:ascii="Times New Roman" w:hAnsi="Times New Roman" w:cs="Times New Roman"/>
          <w:i/>
          <w:lang w:val="fr-FR"/>
        </w:rPr>
        <w:tab/>
      </w:r>
      <w:r w:rsidR="0016732E">
        <w:rPr>
          <w:rFonts w:ascii="Times New Roman" w:hAnsi="Times New Roman" w:cs="Times New Roman"/>
          <w:lang w:val="fr-FR"/>
        </w:rPr>
        <w:t>88</w:t>
      </w:r>
    </w:p>
    <w:p w14:paraId="1D789B56" w14:textId="1E75D748" w:rsidR="00864090" w:rsidRPr="00403C55" w:rsidRDefault="007202CA"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fr-FR"/>
        </w:rPr>
      </w:pPr>
      <w:r w:rsidRPr="00403C55">
        <w:rPr>
          <w:rFonts w:ascii="Times New Roman" w:hAnsi="Times New Roman" w:cs="Times New Roman"/>
          <w:lang w:val="fr-FR"/>
        </w:rPr>
        <w:t>H.</w:t>
      </w:r>
      <w:r w:rsidR="001253EB" w:rsidRPr="00403C55">
        <w:rPr>
          <w:rFonts w:ascii="Times New Roman" w:hAnsi="Times New Roman" w:cs="Times New Roman"/>
          <w:lang w:val="fr-FR"/>
        </w:rPr>
        <w:t xml:space="preserve"> </w:t>
      </w:r>
      <w:r w:rsidRPr="00403C55">
        <w:rPr>
          <w:rFonts w:ascii="Times New Roman" w:hAnsi="Times New Roman" w:cs="Times New Roman"/>
          <w:lang w:val="fr-FR"/>
        </w:rPr>
        <w:t>Vanneau sociable (</w:t>
      </w:r>
      <w:r w:rsidRPr="000A1F2D">
        <w:rPr>
          <w:rFonts w:ascii="Times New Roman" w:hAnsi="Times New Roman" w:cs="Times New Roman"/>
          <w:i/>
          <w:lang w:val="fr-FR"/>
        </w:rPr>
        <w:t>Vanellus gregarius</w:t>
      </w:r>
      <w:r w:rsidRPr="00403C55">
        <w:rPr>
          <w:rFonts w:ascii="Times New Roman" w:hAnsi="Times New Roman" w:cs="Times New Roman"/>
          <w:lang w:val="fr-FR"/>
        </w:rPr>
        <w:t>)</w:t>
      </w:r>
      <w:r w:rsidR="00864090" w:rsidRPr="00403C55">
        <w:rPr>
          <w:rFonts w:ascii="Times New Roman" w:hAnsi="Times New Roman" w:cs="Times New Roman"/>
          <w:lang w:val="fr-FR"/>
        </w:rPr>
        <w:tab/>
      </w:r>
      <w:r w:rsidR="0016732E">
        <w:rPr>
          <w:rFonts w:ascii="Times New Roman" w:hAnsi="Times New Roman" w:cs="Times New Roman"/>
          <w:lang w:val="fr-FR"/>
        </w:rPr>
        <w:t>99</w:t>
      </w:r>
    </w:p>
    <w:p w14:paraId="36EBFEBF" w14:textId="77777777" w:rsidR="00864090" w:rsidRPr="00403C55" w:rsidRDefault="00864090" w:rsidP="00864090">
      <w:pPr>
        <w:tabs>
          <w:tab w:val="left" w:pos="851"/>
          <w:tab w:val="right" w:leader="dot" w:pos="8930"/>
        </w:tabs>
        <w:spacing w:after="0" w:line="240" w:lineRule="auto"/>
        <w:ind w:firstLine="284"/>
        <w:rPr>
          <w:rFonts w:ascii="Times New Roman" w:hAnsi="Times New Roman" w:cs="Times New Roman"/>
          <w:lang w:val="fr-FR"/>
        </w:rPr>
      </w:pPr>
    </w:p>
    <w:p w14:paraId="1698AA53" w14:textId="45FB0AD2" w:rsidR="00864090" w:rsidRPr="00403C55" w:rsidRDefault="007202CA" w:rsidP="00864090">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II.</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Vue d’ensemble des questionnaires soumis aux fins de l’étude</w:t>
      </w:r>
      <w:r w:rsidR="00864090" w:rsidRPr="00403C55">
        <w:rPr>
          <w:rFonts w:ascii="Times New Roman" w:hAnsi="Times New Roman" w:cs="Times New Roman"/>
          <w:lang w:val="fr-FR"/>
        </w:rPr>
        <w:tab/>
      </w:r>
      <w:r w:rsidR="0016732E">
        <w:rPr>
          <w:rFonts w:ascii="Times New Roman" w:hAnsi="Times New Roman" w:cs="Times New Roman"/>
          <w:lang w:val="fr-FR"/>
        </w:rPr>
        <w:t>107</w:t>
      </w:r>
      <w:r w:rsidR="00864090" w:rsidRPr="00403C55">
        <w:rPr>
          <w:rFonts w:ascii="Times New Roman" w:hAnsi="Times New Roman" w:cs="Times New Roman"/>
          <w:lang w:val="fr-FR"/>
        </w:rPr>
        <w:t xml:space="preserve"> </w:t>
      </w:r>
    </w:p>
    <w:p w14:paraId="79CAE9D2" w14:textId="47603328" w:rsidR="00864090" w:rsidRPr="00403C55" w:rsidRDefault="007202CA" w:rsidP="00864090">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III.</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 xml:space="preserve">Termes de référence des groupes de travail internationaux par espèce </w:t>
      </w:r>
      <w:r w:rsidR="0003562F">
        <w:rPr>
          <w:rFonts w:ascii="Times New Roman" w:hAnsi="Times New Roman" w:cs="Times New Roman"/>
          <w:lang w:val="fr-FR"/>
        </w:rPr>
        <w:t>de l’AEWA</w:t>
      </w:r>
      <w:r w:rsidR="00864090" w:rsidRPr="00403C55">
        <w:rPr>
          <w:rFonts w:ascii="Times New Roman" w:hAnsi="Times New Roman" w:cs="Times New Roman"/>
          <w:lang w:val="fr-FR"/>
        </w:rPr>
        <w:tab/>
      </w:r>
      <w:r w:rsidR="0016732E">
        <w:rPr>
          <w:rFonts w:ascii="Times New Roman" w:hAnsi="Times New Roman" w:cs="Times New Roman"/>
          <w:lang w:val="fr-FR"/>
        </w:rPr>
        <w:t>108</w:t>
      </w:r>
    </w:p>
    <w:p w14:paraId="78791BEA" w14:textId="6A5E231C" w:rsidR="00864090" w:rsidRPr="00403C55" w:rsidRDefault="007202CA" w:rsidP="00864090">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IV.</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 xml:space="preserve">Termes de référence des groupes d’experts internationaux par espèce </w:t>
      </w:r>
      <w:r w:rsidR="0003562F">
        <w:rPr>
          <w:rFonts w:ascii="Times New Roman" w:hAnsi="Times New Roman" w:cs="Times New Roman"/>
          <w:lang w:val="fr-FR"/>
        </w:rPr>
        <w:t>de l’AEWA</w:t>
      </w:r>
      <w:r w:rsidR="00864090" w:rsidRPr="00403C55">
        <w:rPr>
          <w:rFonts w:ascii="Times New Roman" w:hAnsi="Times New Roman" w:cs="Times New Roman"/>
          <w:lang w:val="fr-FR"/>
        </w:rPr>
        <w:tab/>
      </w:r>
      <w:r w:rsidR="0016732E">
        <w:rPr>
          <w:rFonts w:ascii="Times New Roman" w:hAnsi="Times New Roman" w:cs="Times New Roman"/>
          <w:lang w:val="fr-FR"/>
        </w:rPr>
        <w:t>109</w:t>
      </w:r>
    </w:p>
    <w:p w14:paraId="5930DF4F" w14:textId="4B5C728F" w:rsidR="00864090" w:rsidRPr="00403C55" w:rsidRDefault="007202CA" w:rsidP="00864090">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V.</w:t>
      </w:r>
      <w:r w:rsidR="001723A5" w:rsidRPr="00403C55">
        <w:rPr>
          <w:rFonts w:ascii="Times New Roman" w:hAnsi="Times New Roman" w:cs="Times New Roman"/>
          <w:lang w:val="fr-FR"/>
        </w:rPr>
        <w:t xml:space="preserve"> </w:t>
      </w:r>
      <w:r w:rsidR="00A025CE">
        <w:rPr>
          <w:rFonts w:ascii="Times New Roman" w:hAnsi="Times New Roman" w:cs="Times New Roman"/>
          <w:lang w:val="fr-FR"/>
        </w:rPr>
        <w:t xml:space="preserve"> </w:t>
      </w:r>
      <w:r w:rsidRPr="00403C55">
        <w:rPr>
          <w:rFonts w:ascii="Times New Roman" w:hAnsi="Times New Roman" w:cs="Times New Roman"/>
          <w:lang w:val="fr-FR"/>
        </w:rPr>
        <w:t xml:space="preserve">Conseils sur la coordination des groupes de travail internationaux par espèce </w:t>
      </w:r>
      <w:r w:rsidR="0003562F">
        <w:rPr>
          <w:rFonts w:ascii="Times New Roman" w:hAnsi="Times New Roman" w:cs="Times New Roman"/>
          <w:lang w:val="fr-FR"/>
        </w:rPr>
        <w:t xml:space="preserve">de </w:t>
      </w:r>
      <w:r w:rsidR="00A025CE">
        <w:rPr>
          <w:rFonts w:ascii="Times New Roman" w:hAnsi="Times New Roman" w:cs="Times New Roman"/>
          <w:lang w:val="fr-FR"/>
        </w:rPr>
        <w:tab/>
      </w:r>
      <w:r w:rsidR="00A025CE">
        <w:rPr>
          <w:rFonts w:ascii="Times New Roman" w:hAnsi="Times New Roman" w:cs="Times New Roman"/>
          <w:lang w:val="fr-FR"/>
        </w:rPr>
        <w:tab/>
        <w:t xml:space="preserve">         </w:t>
      </w:r>
      <w:r w:rsidR="0003562F">
        <w:rPr>
          <w:rFonts w:ascii="Times New Roman" w:hAnsi="Times New Roman" w:cs="Times New Roman"/>
          <w:lang w:val="fr-FR"/>
        </w:rPr>
        <w:t>l’AEWA</w:t>
      </w:r>
      <w:r w:rsidR="00864090" w:rsidRPr="00403C55">
        <w:rPr>
          <w:rFonts w:ascii="Times New Roman" w:hAnsi="Times New Roman" w:cs="Times New Roman"/>
          <w:lang w:val="fr-FR"/>
        </w:rPr>
        <w:tab/>
      </w:r>
      <w:r w:rsidR="0016732E">
        <w:rPr>
          <w:rFonts w:ascii="Times New Roman" w:hAnsi="Times New Roman" w:cs="Times New Roman"/>
          <w:lang w:val="fr-FR"/>
        </w:rPr>
        <w:t>111</w:t>
      </w:r>
    </w:p>
    <w:p w14:paraId="42F3CAEA" w14:textId="0F0A61B1" w:rsidR="00864090" w:rsidRPr="00403C55" w:rsidRDefault="007202CA" w:rsidP="00864090">
      <w:pPr>
        <w:tabs>
          <w:tab w:val="left" w:pos="851"/>
          <w:tab w:val="right" w:leader="dot" w:pos="8930"/>
        </w:tabs>
        <w:spacing w:after="0" w:line="240" w:lineRule="auto"/>
        <w:ind w:firstLine="284"/>
        <w:rPr>
          <w:rFonts w:ascii="Times New Roman" w:hAnsi="Times New Roman" w:cs="Times New Roman"/>
          <w:lang w:val="fr-FR"/>
        </w:rPr>
      </w:pPr>
      <w:r w:rsidRPr="00403C55">
        <w:rPr>
          <w:rFonts w:ascii="Times New Roman" w:hAnsi="Times New Roman" w:cs="Times New Roman"/>
          <w:lang w:val="fr-FR"/>
        </w:rPr>
        <w:t>Annexe VI.</w:t>
      </w:r>
      <w:r w:rsidR="001723A5" w:rsidRPr="00403C55">
        <w:rPr>
          <w:rFonts w:ascii="Times New Roman" w:hAnsi="Times New Roman" w:cs="Times New Roman"/>
          <w:lang w:val="fr-FR"/>
        </w:rPr>
        <w:t xml:space="preserve"> </w:t>
      </w:r>
      <w:r w:rsidRPr="00403C55">
        <w:rPr>
          <w:rFonts w:ascii="Times New Roman" w:hAnsi="Times New Roman" w:cs="Times New Roman"/>
          <w:lang w:val="fr-FR"/>
        </w:rPr>
        <w:t xml:space="preserve">Liste des espèces classées par ordre de priorité par le Comité technique en vue de la </w:t>
      </w:r>
      <w:r w:rsidR="00A025CE">
        <w:rPr>
          <w:rFonts w:ascii="Times New Roman" w:hAnsi="Times New Roman" w:cs="Times New Roman"/>
          <w:lang w:val="fr-FR"/>
        </w:rPr>
        <w:t xml:space="preserve"> </w:t>
      </w:r>
      <w:r w:rsidR="00A025CE">
        <w:rPr>
          <w:rFonts w:ascii="Times New Roman" w:hAnsi="Times New Roman" w:cs="Times New Roman"/>
          <w:lang w:val="fr-FR"/>
        </w:rPr>
        <w:tab/>
        <w:t xml:space="preserve">  </w:t>
      </w:r>
      <w:r w:rsidR="00A025CE">
        <w:rPr>
          <w:rFonts w:ascii="Times New Roman" w:hAnsi="Times New Roman" w:cs="Times New Roman"/>
          <w:lang w:val="fr-FR"/>
        </w:rPr>
        <w:tab/>
        <w:t xml:space="preserve">         </w:t>
      </w:r>
      <w:r w:rsidRPr="00403C55">
        <w:rPr>
          <w:rFonts w:ascii="Times New Roman" w:hAnsi="Times New Roman" w:cs="Times New Roman"/>
          <w:lang w:val="fr-FR"/>
        </w:rPr>
        <w:t>planification de l’action</w:t>
      </w:r>
      <w:r w:rsidR="00864090" w:rsidRPr="00403C55">
        <w:rPr>
          <w:rFonts w:ascii="Times New Roman" w:hAnsi="Times New Roman" w:cs="Times New Roman"/>
          <w:lang w:val="fr-FR"/>
        </w:rPr>
        <w:tab/>
      </w:r>
      <w:r w:rsidR="0016732E">
        <w:rPr>
          <w:rFonts w:ascii="Times New Roman" w:hAnsi="Times New Roman" w:cs="Times New Roman"/>
          <w:lang w:val="fr-FR"/>
        </w:rPr>
        <w:t>118</w:t>
      </w:r>
    </w:p>
    <w:p w14:paraId="14298AC2" w14:textId="77777777" w:rsidR="00864090" w:rsidRPr="00403C55" w:rsidRDefault="00864090" w:rsidP="00864090">
      <w:pPr>
        <w:spacing w:after="0" w:line="240" w:lineRule="auto"/>
        <w:jc w:val="both"/>
        <w:rPr>
          <w:rFonts w:ascii="Times New Roman" w:hAnsi="Times New Roman" w:cs="Times New Roman"/>
          <w:lang w:val="fr-FR"/>
        </w:rPr>
      </w:pPr>
    </w:p>
    <w:p w14:paraId="1FC01529" w14:textId="77777777" w:rsidR="00EE1D7D" w:rsidRPr="00403C55" w:rsidRDefault="00EE1D7D">
      <w:pPr>
        <w:rPr>
          <w:rFonts w:ascii="Times New Roman" w:hAnsi="Times New Roman" w:cs="Times New Roman"/>
          <w:lang w:val="fr-FR"/>
        </w:rPr>
      </w:pPr>
      <w:r w:rsidRPr="00403C55">
        <w:rPr>
          <w:rFonts w:ascii="Times New Roman" w:hAnsi="Times New Roman" w:cs="Times New Roman"/>
          <w:lang w:val="fr-FR"/>
        </w:rPr>
        <w:br w:type="page"/>
      </w:r>
    </w:p>
    <w:p w14:paraId="4B89EA95" w14:textId="6BB3DD6B" w:rsidR="00400EAB" w:rsidRPr="00403C55" w:rsidRDefault="007202CA" w:rsidP="00400EAB">
      <w:pPr>
        <w:shd w:val="clear" w:color="auto" w:fill="DBE5F1" w:themeFill="accent1" w:themeFillTint="33"/>
        <w:spacing w:after="0" w:line="240" w:lineRule="auto"/>
        <w:rPr>
          <w:rFonts w:ascii="Times New Roman" w:hAnsi="Times New Roman" w:cs="Times New Roman"/>
          <w:b/>
          <w:lang w:val="fr-FR"/>
        </w:rPr>
      </w:pPr>
      <w:r w:rsidRPr="00403C55">
        <w:rPr>
          <w:rFonts w:ascii="Times New Roman" w:hAnsi="Times New Roman" w:cs="Times New Roman"/>
          <w:b/>
          <w:lang w:val="fr-FR"/>
        </w:rPr>
        <w:lastRenderedPageBreak/>
        <w:t>A.</w:t>
      </w:r>
      <w:r w:rsidR="00400EAB" w:rsidRPr="00403C55">
        <w:rPr>
          <w:rFonts w:ascii="Times New Roman" w:hAnsi="Times New Roman" w:cs="Times New Roman"/>
          <w:b/>
          <w:lang w:val="fr-FR"/>
        </w:rPr>
        <w:t xml:space="preserve"> </w:t>
      </w:r>
      <w:r w:rsidRPr="00403C55">
        <w:rPr>
          <w:rFonts w:ascii="Times New Roman" w:hAnsi="Times New Roman" w:cs="Times New Roman"/>
          <w:b/>
          <w:lang w:val="fr-FR"/>
        </w:rPr>
        <w:t xml:space="preserve">Mise en œuvre de l’ISSAP </w:t>
      </w:r>
      <w:r w:rsidR="0003562F">
        <w:rPr>
          <w:rFonts w:ascii="Times New Roman" w:hAnsi="Times New Roman" w:cs="Times New Roman"/>
          <w:b/>
          <w:lang w:val="fr-FR"/>
        </w:rPr>
        <w:t>de l’AEWA</w:t>
      </w:r>
      <w:r w:rsidRPr="00403C55">
        <w:rPr>
          <w:rFonts w:ascii="Times New Roman" w:hAnsi="Times New Roman" w:cs="Times New Roman"/>
          <w:b/>
          <w:lang w:val="fr-FR"/>
        </w:rPr>
        <w:t xml:space="preserve"> pour l’Ibis chauve</w:t>
      </w:r>
    </w:p>
    <w:p w14:paraId="46547CCD" w14:textId="77777777" w:rsidR="001D0C51" w:rsidRPr="00403C55" w:rsidRDefault="001D0C51" w:rsidP="001D0C51">
      <w:pPr>
        <w:shd w:val="clear" w:color="auto" w:fill="FFFFFF" w:themeFill="background1"/>
        <w:spacing w:after="0" w:line="240" w:lineRule="auto"/>
        <w:rPr>
          <w:rFonts w:ascii="Times New Roman" w:hAnsi="Times New Roman" w:cs="Times New Roman"/>
          <w:b/>
          <w:lang w:val="fr-FR"/>
        </w:rPr>
      </w:pPr>
    </w:p>
    <w:p w14:paraId="0433703F" w14:textId="50FE1011" w:rsidR="001D0C51" w:rsidRPr="00403C55" w:rsidRDefault="001D0C51" w:rsidP="002F3ECE">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1. </w:t>
      </w:r>
      <w:r w:rsidR="007202CA" w:rsidRPr="00403C55">
        <w:rPr>
          <w:rFonts w:ascii="Times New Roman" w:hAnsi="Times New Roman" w:cs="Times New Roman"/>
          <w:i/>
          <w:lang w:val="fr-FR"/>
        </w:rPr>
        <w:t>Introduction</w:t>
      </w:r>
    </w:p>
    <w:p w14:paraId="146F5A7C" w14:textId="77777777" w:rsidR="001D0C51" w:rsidRPr="00403C55" w:rsidRDefault="001D0C51" w:rsidP="001D0C51">
      <w:pPr>
        <w:shd w:val="clear" w:color="auto" w:fill="FFFFFF" w:themeFill="background1"/>
        <w:spacing w:after="0" w:line="240" w:lineRule="auto"/>
        <w:rPr>
          <w:rFonts w:ascii="Times New Roman" w:hAnsi="Times New Roman" w:cs="Times New Roman"/>
          <w:lang w:val="fr-FR"/>
        </w:rPr>
      </w:pPr>
    </w:p>
    <w:p w14:paraId="32FCB96E" w14:textId="65F9E9F5" w:rsidR="000868CC" w:rsidRPr="00403C55" w:rsidRDefault="007202CA" w:rsidP="00A37EA9">
      <w:pPr>
        <w:shd w:val="clear" w:color="auto" w:fill="FFFFFF" w:themeFill="background1"/>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L’Ibis chauve </w:t>
      </w:r>
      <w:r w:rsidRPr="00403C55">
        <w:rPr>
          <w:rFonts w:ascii="Times New Roman" w:hAnsi="Times New Roman" w:cs="Times New Roman"/>
          <w:i/>
          <w:lang w:val="fr-FR"/>
        </w:rPr>
        <w:t>(Geronticus eremita)</w:t>
      </w:r>
      <w:r w:rsidRPr="00403C55">
        <w:rPr>
          <w:rFonts w:ascii="Times New Roman" w:hAnsi="Times New Roman" w:cs="Times New Roman"/>
          <w:lang w:val="fr-FR"/>
        </w:rPr>
        <w:t xml:space="preserve"> est reconnu comme étant en danger critique d</w:t>
      </w:r>
      <w:r w:rsidR="00B34832">
        <w:rPr>
          <w:rFonts w:ascii="Times New Roman" w:hAnsi="Times New Roman" w:cs="Times New Roman"/>
          <w:lang w:val="fr-FR"/>
        </w:rPr>
        <w:t>’extinction par l’UICN et les po</w:t>
      </w:r>
      <w:r w:rsidRPr="00403C55">
        <w:rPr>
          <w:rFonts w:ascii="Times New Roman" w:hAnsi="Times New Roman" w:cs="Times New Roman"/>
          <w:lang w:val="fr-FR"/>
        </w:rPr>
        <w:t xml:space="preserve">pulations marocaines et syriennes figurent </w:t>
      </w:r>
      <w:r w:rsidR="00552518">
        <w:rPr>
          <w:rFonts w:ascii="Times New Roman" w:hAnsi="Times New Roman" w:cs="Times New Roman"/>
          <w:lang w:val="fr-FR"/>
        </w:rPr>
        <w:t>sur</w:t>
      </w:r>
      <w:r w:rsidRPr="00403C55">
        <w:rPr>
          <w:rFonts w:ascii="Times New Roman" w:hAnsi="Times New Roman" w:cs="Times New Roman"/>
          <w:lang w:val="fr-FR"/>
        </w:rPr>
        <w:t xml:space="preserve"> les listes 1a 1b 1c de la colonne A du tableau 1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w:t>
      </w:r>
      <w:r w:rsidR="000868CC" w:rsidRPr="00403C55">
        <w:rPr>
          <w:rFonts w:ascii="Times New Roman" w:hAnsi="Times New Roman" w:cs="Times New Roman"/>
          <w:lang w:val="fr-FR"/>
        </w:rPr>
        <w:t xml:space="preserve"> </w:t>
      </w:r>
      <w:r w:rsidRPr="00403C55">
        <w:rPr>
          <w:rFonts w:ascii="Times New Roman" w:hAnsi="Times New Roman" w:cs="Times New Roman"/>
          <w:lang w:val="fr-FR"/>
        </w:rPr>
        <w:t xml:space="preserve">Le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pour la conservation de l’Ibis chauve a été adopté lors de la 3</w:t>
      </w:r>
      <w:r w:rsidRPr="00403C55">
        <w:rPr>
          <w:rFonts w:ascii="Times New Roman" w:hAnsi="Times New Roman" w:cs="Times New Roman"/>
          <w:vertAlign w:val="superscript"/>
          <w:lang w:val="fr-FR"/>
        </w:rPr>
        <w:t>ème</w:t>
      </w:r>
      <w:r w:rsidR="006015A7" w:rsidRPr="00403C55">
        <w:rPr>
          <w:rFonts w:ascii="Times New Roman" w:hAnsi="Times New Roman" w:cs="Times New Roman"/>
          <w:lang w:val="fr-FR"/>
        </w:rPr>
        <w:t xml:space="preserve"> </w:t>
      </w:r>
      <w:r w:rsidRPr="00403C55">
        <w:rPr>
          <w:rFonts w:ascii="Times New Roman" w:hAnsi="Times New Roman" w:cs="Times New Roman"/>
          <w:lang w:val="fr-FR"/>
        </w:rPr>
        <w:t>session de la Réunion des Parties à l’AEWA en 2005</w:t>
      </w:r>
      <w:r w:rsidRPr="00403C55">
        <w:rPr>
          <w:rStyle w:val="FootnoteReference"/>
          <w:rFonts w:ascii="Times New Roman" w:hAnsi="Times New Roman" w:cs="Times New Roman"/>
          <w:lang w:val="fr-FR"/>
        </w:rPr>
        <w:footnoteReference w:id="2"/>
      </w:r>
      <w:r w:rsidRPr="00403C55">
        <w:rPr>
          <w:rFonts w:ascii="Times New Roman" w:hAnsi="Times New Roman" w:cs="Times New Roman"/>
          <w:lang w:val="fr-FR"/>
        </w:rPr>
        <w:t>.</w:t>
      </w:r>
    </w:p>
    <w:p w14:paraId="29DD1FBA" w14:textId="77777777" w:rsidR="00BC3D69" w:rsidRPr="00403C55" w:rsidRDefault="00BC3D69" w:rsidP="00A37EA9">
      <w:pPr>
        <w:shd w:val="clear" w:color="auto" w:fill="FFFFFF" w:themeFill="background1"/>
        <w:spacing w:after="0" w:line="240" w:lineRule="auto"/>
        <w:jc w:val="both"/>
        <w:rPr>
          <w:rFonts w:ascii="Times New Roman" w:hAnsi="Times New Roman" w:cs="Times New Roman"/>
          <w:lang w:val="fr-FR"/>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BC3D69" w:rsidRPr="00DE4CF4" w14:paraId="0B51443F" w14:textId="77777777" w:rsidTr="006015A7">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487DDB6" w14:textId="7C9B2E86" w:rsidR="00BC3D69" w:rsidRPr="00403C55" w:rsidRDefault="007202CA" w:rsidP="003F50F9">
            <w:pPr>
              <w:shd w:val="clear" w:color="auto" w:fill="FFFFFF" w:themeFill="background1"/>
              <w:jc w:val="both"/>
              <w:rPr>
                <w:rFonts w:ascii="Times New Roman" w:hAnsi="Times New Roman" w:cs="Times New Roman"/>
                <w:lang w:val="fr-FR"/>
              </w:rPr>
            </w:pPr>
            <w:r w:rsidRPr="00403C55">
              <w:rPr>
                <w:rFonts w:ascii="Times New Roman" w:hAnsi="Times New Roman" w:cs="Times New Roman"/>
                <w:lang w:val="fr-FR"/>
              </w:rPr>
              <w:t xml:space="preserve">Le but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est d’accroître le nombre de colonies d’ibis chauves, en vue de le conserve</w:t>
            </w:r>
            <w:r w:rsidR="00552518">
              <w:rPr>
                <w:rFonts w:ascii="Times New Roman" w:hAnsi="Times New Roman" w:cs="Times New Roman"/>
                <w:lang w:val="fr-FR"/>
              </w:rPr>
              <w:t>r</w:t>
            </w:r>
            <w:r w:rsidRPr="00403C55">
              <w:rPr>
                <w:rFonts w:ascii="Times New Roman" w:hAnsi="Times New Roman" w:cs="Times New Roman"/>
                <w:lang w:val="fr-FR"/>
              </w:rPr>
              <w:t xml:space="preserve"> en protégeant les colonies sauvages, en faisant augmenter le nombre d’oiseaux et en améliorant la compréhension de leurs besoins.</w:t>
            </w:r>
            <w:r w:rsidR="00BC3D69" w:rsidRPr="00403C55">
              <w:rPr>
                <w:rFonts w:ascii="Times New Roman" w:hAnsi="Times New Roman" w:cs="Times New Roman"/>
                <w:lang w:val="fr-FR"/>
              </w:rPr>
              <w:t xml:space="preserve"> </w:t>
            </w:r>
          </w:p>
        </w:tc>
      </w:tr>
    </w:tbl>
    <w:p w14:paraId="64115CC2" w14:textId="77777777" w:rsidR="00BC3D69" w:rsidRPr="00403C55" w:rsidRDefault="00BC3D69" w:rsidP="00A37EA9">
      <w:pPr>
        <w:shd w:val="clear" w:color="auto" w:fill="FFFFFF" w:themeFill="background1"/>
        <w:spacing w:after="0" w:line="240" w:lineRule="auto"/>
        <w:jc w:val="both"/>
        <w:rPr>
          <w:rFonts w:ascii="Times New Roman" w:hAnsi="Times New Roman" w:cs="Times New Roman"/>
          <w:lang w:val="fr-FR"/>
        </w:rPr>
      </w:pPr>
    </w:p>
    <w:p w14:paraId="2FF3C4A6" w14:textId="5125D4D5" w:rsidR="000868CC" w:rsidRPr="00403C55" w:rsidRDefault="007202CA" w:rsidP="00A37EA9">
      <w:pPr>
        <w:shd w:val="clear" w:color="auto" w:fill="FFFFFF" w:themeFill="background1"/>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groupe de travail international intergouvernemental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l’Ibis chauve (NBI IWG) a été convoqué par 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en 2011 et a participé à une réunion en face à face en 2012, à Jazan, Arabie saoudite.</w:t>
      </w:r>
      <w:r w:rsidR="000868CC" w:rsidRPr="00403C55">
        <w:rPr>
          <w:rFonts w:ascii="Times New Roman" w:hAnsi="Times New Roman" w:cs="Times New Roman"/>
          <w:lang w:val="fr-FR"/>
        </w:rPr>
        <w:t xml:space="preserve"> </w:t>
      </w:r>
      <w:r w:rsidRPr="00403C55">
        <w:rPr>
          <w:rFonts w:ascii="Times New Roman" w:hAnsi="Times New Roman" w:cs="Times New Roman"/>
          <w:lang w:val="fr-FR"/>
        </w:rPr>
        <w:t>La coordination du groupe de travail a été assurée par la Société britannique royale de protection des oiseaux (RSPB).</w:t>
      </w:r>
      <w:r w:rsidR="000868CC" w:rsidRPr="00403C55">
        <w:rPr>
          <w:rFonts w:ascii="Times New Roman" w:hAnsi="Times New Roman" w:cs="Times New Roman"/>
          <w:lang w:val="fr-FR"/>
        </w:rPr>
        <w:t xml:space="preserve"> </w:t>
      </w:r>
      <w:r w:rsidRPr="00403C55">
        <w:rPr>
          <w:rFonts w:ascii="Times New Roman" w:hAnsi="Times New Roman" w:cs="Times New Roman"/>
          <w:lang w:val="fr-FR"/>
        </w:rPr>
        <w:t xml:space="preserve">Une révision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devrait être adoptée lors de la 6</w:t>
      </w:r>
      <w:r w:rsidRPr="00403C55">
        <w:rPr>
          <w:rFonts w:ascii="Times New Roman" w:hAnsi="Times New Roman" w:cs="Times New Roman"/>
          <w:vertAlign w:val="superscript"/>
          <w:lang w:val="fr-FR"/>
        </w:rPr>
        <w:t>ème</w:t>
      </w:r>
      <w:r w:rsidR="006015A7" w:rsidRPr="00403C55">
        <w:rPr>
          <w:rFonts w:ascii="Times New Roman" w:hAnsi="Times New Roman" w:cs="Times New Roman"/>
          <w:lang w:val="fr-FR"/>
        </w:rPr>
        <w:t xml:space="preserve"> </w:t>
      </w:r>
      <w:r w:rsidRPr="00403C55">
        <w:rPr>
          <w:rFonts w:ascii="Times New Roman" w:hAnsi="Times New Roman" w:cs="Times New Roman"/>
          <w:lang w:val="fr-FR"/>
        </w:rPr>
        <w:t>session de la Réunion des Parties à l’AEWA en novembre 2015.</w:t>
      </w:r>
    </w:p>
    <w:p w14:paraId="5B1E0759" w14:textId="77777777" w:rsidR="000868CC" w:rsidRPr="00403C55" w:rsidRDefault="000868CC" w:rsidP="001D0C51">
      <w:pPr>
        <w:shd w:val="clear" w:color="auto" w:fill="FFFFFF" w:themeFill="background1"/>
        <w:spacing w:after="0" w:line="240" w:lineRule="auto"/>
        <w:rPr>
          <w:rFonts w:ascii="Times New Roman" w:hAnsi="Times New Roman" w:cs="Times New Roman"/>
          <w:lang w:val="fr-FR"/>
        </w:rPr>
      </w:pPr>
    </w:p>
    <w:p w14:paraId="377F953F" w14:textId="70BC6ACB" w:rsidR="00A37EA9" w:rsidRPr="00403C55" w:rsidRDefault="00A37EA9" w:rsidP="002F3ECE">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2. </w:t>
      </w:r>
      <w:r w:rsidR="007202CA" w:rsidRPr="00403C55">
        <w:rPr>
          <w:rFonts w:ascii="Times New Roman" w:hAnsi="Times New Roman" w:cs="Times New Roman"/>
          <w:i/>
          <w:lang w:val="fr-FR"/>
        </w:rPr>
        <w:t>Taux de réponse</w:t>
      </w:r>
    </w:p>
    <w:p w14:paraId="348D61FC" w14:textId="77777777" w:rsidR="00A37EA9" w:rsidRPr="00403C55" w:rsidRDefault="00A37EA9" w:rsidP="001D0C51">
      <w:pPr>
        <w:shd w:val="clear" w:color="auto" w:fill="FFFFFF" w:themeFill="background1"/>
        <w:spacing w:after="0" w:line="240" w:lineRule="auto"/>
        <w:rPr>
          <w:rFonts w:ascii="Times New Roman" w:hAnsi="Times New Roman" w:cs="Times New Roman"/>
          <w:i/>
          <w:lang w:val="fr-FR"/>
        </w:rPr>
      </w:pPr>
    </w:p>
    <w:p w14:paraId="3BB210E2" w14:textId="3852B79F" w:rsidR="00A37EA9" w:rsidRPr="00403C55" w:rsidRDefault="007202CA" w:rsidP="00A37EA9">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trois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identifiés dans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ont répondu au questionnaire (100 %).</w:t>
      </w:r>
      <w:r w:rsidR="00A37EA9" w:rsidRPr="00403C55">
        <w:rPr>
          <w:rFonts w:ascii="Times New Roman" w:hAnsi="Times New Roman" w:cs="Times New Roman"/>
          <w:lang w:val="fr-FR"/>
        </w:rPr>
        <w:t xml:space="preserve"> </w:t>
      </w:r>
    </w:p>
    <w:p w14:paraId="393E86E4" w14:textId="77777777" w:rsidR="00A37EA9" w:rsidRPr="00403C55" w:rsidRDefault="00A37EA9" w:rsidP="00A37EA9">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6461"/>
        <w:gridCol w:w="2599"/>
      </w:tblGrid>
      <w:tr w:rsidR="00A37EA9" w:rsidRPr="00403C55" w14:paraId="7810C877" w14:textId="77777777" w:rsidTr="006015A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610" w:type="dxa"/>
          </w:tcPr>
          <w:p w14:paraId="2EC9BC09" w14:textId="37A8DBF0" w:rsidR="00A37EA9" w:rsidRPr="00403C55" w:rsidRDefault="007202CA" w:rsidP="003F50F9">
            <w:pPr>
              <w:jc w:val="both"/>
              <w:rPr>
                <w:rFonts w:ascii="Times New Roman" w:hAnsi="Times New Roman" w:cs="Times New Roman"/>
                <w:b w:val="0"/>
                <w:i/>
                <w:lang w:val="fr-FR"/>
              </w:rPr>
            </w:pPr>
            <w:r w:rsidRPr="00403C55">
              <w:rPr>
                <w:rFonts w:ascii="Times New Roman" w:hAnsi="Times New Roman" w:cs="Times New Roman"/>
                <w:b w:val="0"/>
                <w:i/>
                <w:lang w:val="fr-FR"/>
              </w:rPr>
              <w:t>Réponse reçue</w:t>
            </w:r>
          </w:p>
        </w:tc>
        <w:tc>
          <w:tcPr>
            <w:tcW w:w="2648" w:type="dxa"/>
          </w:tcPr>
          <w:p w14:paraId="0C3F6BA1" w14:textId="7CC521B4" w:rsidR="00A37EA9" w:rsidRPr="00403C55" w:rsidRDefault="007202CA"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PC AEWA</w:t>
            </w:r>
          </w:p>
        </w:tc>
      </w:tr>
      <w:tr w:rsidR="00A37EA9" w:rsidRPr="00403C55" w14:paraId="02777C7E" w14:textId="77777777" w:rsidTr="006015A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610" w:type="dxa"/>
          </w:tcPr>
          <w:p w14:paraId="36E77A49" w14:textId="061F1E44" w:rsidR="00A37EA9" w:rsidRPr="00403C55" w:rsidRDefault="007202CA" w:rsidP="003F50F9">
            <w:pPr>
              <w:rPr>
                <w:rFonts w:ascii="Times New Roman" w:hAnsi="Times New Roman" w:cs="Times New Roman"/>
                <w:b w:val="0"/>
                <w:lang w:val="fr-FR"/>
              </w:rPr>
            </w:pPr>
            <w:r w:rsidRPr="00403C55">
              <w:rPr>
                <w:rFonts w:ascii="Times New Roman" w:hAnsi="Times New Roman" w:cs="Times New Roman"/>
                <w:b w:val="0"/>
                <w:lang w:val="fr-FR"/>
              </w:rPr>
              <w:t>Maroc</w:t>
            </w:r>
          </w:p>
        </w:tc>
        <w:tc>
          <w:tcPr>
            <w:tcW w:w="2648" w:type="dxa"/>
          </w:tcPr>
          <w:p w14:paraId="694B2280" w14:textId="0274F104" w:rsidR="00A37EA9" w:rsidRPr="00403C55" w:rsidRDefault="007202CA"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r>
      <w:tr w:rsidR="00A37EA9" w:rsidRPr="00403C55" w14:paraId="48148D11" w14:textId="77777777" w:rsidTr="006015A7">
        <w:trPr>
          <w:trHeight w:val="255"/>
        </w:trPr>
        <w:tc>
          <w:tcPr>
            <w:cnfStyle w:val="001000000000" w:firstRow="0" w:lastRow="0" w:firstColumn="1" w:lastColumn="0" w:oddVBand="0" w:evenVBand="0" w:oddHBand="0" w:evenHBand="0" w:firstRowFirstColumn="0" w:firstRowLastColumn="0" w:lastRowFirstColumn="0" w:lastRowLastColumn="0"/>
            <w:tcW w:w="6610" w:type="dxa"/>
          </w:tcPr>
          <w:p w14:paraId="3CEFA825" w14:textId="7A47D9ED" w:rsidR="00A37EA9" w:rsidRPr="00403C55" w:rsidRDefault="007202CA" w:rsidP="003F50F9">
            <w:pPr>
              <w:rPr>
                <w:rFonts w:ascii="Times New Roman" w:hAnsi="Times New Roman" w:cs="Times New Roman"/>
                <w:b w:val="0"/>
                <w:lang w:val="fr-FR"/>
              </w:rPr>
            </w:pPr>
            <w:r w:rsidRPr="00403C55">
              <w:rPr>
                <w:rFonts w:ascii="Times New Roman" w:hAnsi="Times New Roman" w:cs="Times New Roman"/>
                <w:b w:val="0"/>
                <w:lang w:val="fr-FR"/>
              </w:rPr>
              <w:t>Syrie</w:t>
            </w:r>
          </w:p>
        </w:tc>
        <w:tc>
          <w:tcPr>
            <w:tcW w:w="2648" w:type="dxa"/>
          </w:tcPr>
          <w:p w14:paraId="51125A07" w14:textId="235097C2" w:rsidR="00A37EA9" w:rsidRPr="00403C55" w:rsidRDefault="007202CA"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r>
      <w:tr w:rsidR="00A37EA9" w:rsidRPr="00403C55" w14:paraId="146376E6" w14:textId="77777777" w:rsidTr="006015A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610" w:type="dxa"/>
          </w:tcPr>
          <w:p w14:paraId="5774ACCD" w14:textId="1484E6F4" w:rsidR="00A37EA9" w:rsidRPr="00403C55" w:rsidRDefault="007202CA" w:rsidP="003F50F9">
            <w:pPr>
              <w:rPr>
                <w:rFonts w:ascii="Times New Roman" w:hAnsi="Times New Roman" w:cs="Times New Roman"/>
                <w:b w:val="0"/>
                <w:lang w:val="fr-FR"/>
              </w:rPr>
            </w:pPr>
            <w:r w:rsidRPr="00403C55">
              <w:rPr>
                <w:rFonts w:ascii="Times New Roman" w:hAnsi="Times New Roman" w:cs="Times New Roman"/>
                <w:b w:val="0"/>
                <w:lang w:val="fr-FR"/>
              </w:rPr>
              <w:t>Turquie</w:t>
            </w:r>
          </w:p>
        </w:tc>
        <w:tc>
          <w:tcPr>
            <w:tcW w:w="2648" w:type="dxa"/>
          </w:tcPr>
          <w:p w14:paraId="32161655" w14:textId="2420CD70" w:rsidR="00A37EA9" w:rsidRPr="00403C55" w:rsidRDefault="007202CA"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Non</w:t>
            </w:r>
          </w:p>
        </w:tc>
      </w:tr>
    </w:tbl>
    <w:p w14:paraId="036AAE21" w14:textId="77777777" w:rsidR="00A37EA9" w:rsidRPr="00403C55" w:rsidRDefault="00A37EA9" w:rsidP="001D0C51">
      <w:pPr>
        <w:shd w:val="clear" w:color="auto" w:fill="FFFFFF" w:themeFill="background1"/>
        <w:spacing w:after="0" w:line="240" w:lineRule="auto"/>
        <w:rPr>
          <w:rFonts w:ascii="Times New Roman" w:hAnsi="Times New Roman" w:cs="Times New Roman"/>
          <w:lang w:val="fr-FR"/>
        </w:rPr>
      </w:pPr>
    </w:p>
    <w:p w14:paraId="2AADE10A" w14:textId="60281CF3" w:rsidR="00A37EA9" w:rsidRPr="00403C55" w:rsidRDefault="00A37EA9" w:rsidP="002F3ECE">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3. </w:t>
      </w:r>
      <w:r w:rsidR="00543939" w:rsidRPr="00403C55">
        <w:rPr>
          <w:rFonts w:ascii="Times New Roman" w:hAnsi="Times New Roman" w:cs="Times New Roman"/>
          <w:i/>
          <w:lang w:val="fr-FR"/>
        </w:rPr>
        <w:t>T</w:t>
      </w:r>
      <w:r w:rsidR="00EF08A3" w:rsidRPr="00403C55">
        <w:rPr>
          <w:rFonts w:ascii="Times New Roman" w:hAnsi="Times New Roman" w:cs="Times New Roman"/>
          <w:i/>
          <w:lang w:val="fr-FR"/>
        </w:rPr>
        <w:t xml:space="preserve">endances </w:t>
      </w:r>
      <w:r w:rsidR="00543939" w:rsidRPr="00403C55">
        <w:rPr>
          <w:rFonts w:ascii="Times New Roman" w:hAnsi="Times New Roman" w:cs="Times New Roman"/>
          <w:i/>
          <w:lang w:val="fr-FR"/>
        </w:rPr>
        <w:t xml:space="preserve">et estimation </w:t>
      </w:r>
      <w:r w:rsidR="00EF08A3" w:rsidRPr="00403C55">
        <w:rPr>
          <w:rFonts w:ascii="Times New Roman" w:hAnsi="Times New Roman" w:cs="Times New Roman"/>
          <w:i/>
          <w:lang w:val="fr-FR"/>
        </w:rPr>
        <w:t>de l’espèce</w:t>
      </w:r>
    </w:p>
    <w:p w14:paraId="50ADE9A4" w14:textId="77777777" w:rsidR="00A37EA9" w:rsidRPr="00403C55" w:rsidRDefault="00A37EA9" w:rsidP="00A37EA9">
      <w:pPr>
        <w:spacing w:after="0" w:line="240" w:lineRule="auto"/>
        <w:rPr>
          <w:rFonts w:ascii="Times New Roman" w:hAnsi="Times New Roman" w:cs="Times New Roman"/>
          <w:i/>
          <w:lang w:val="fr-FR"/>
        </w:rPr>
      </w:pPr>
    </w:p>
    <w:p w14:paraId="57FC3605" w14:textId="7A0649E6" w:rsidR="00D60D7E" w:rsidRPr="00403C55" w:rsidRDefault="00EF08A3" w:rsidP="00D60D7E">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 Maroc et la Turquie ont indiqué que la tendance à court terme de l’espèce est inconnue, et la Syrie que la tendance à court terme est décroissante.</w:t>
      </w:r>
      <w:r w:rsidR="00A37EA9" w:rsidRPr="00403C55">
        <w:rPr>
          <w:rFonts w:ascii="Times New Roman" w:hAnsi="Times New Roman" w:cs="Times New Roman"/>
          <w:lang w:val="fr-FR"/>
        </w:rPr>
        <w:t xml:space="preserve"> </w:t>
      </w:r>
      <w:r w:rsidRPr="00403C55">
        <w:rPr>
          <w:rFonts w:ascii="Times New Roman" w:hAnsi="Times New Roman" w:cs="Times New Roman"/>
          <w:lang w:val="fr-FR"/>
        </w:rPr>
        <w:t>Le Maroc a indiqué que la tendance à long terme est en augmentation, tandis que la tendance à long terme indiquée par la Syrie était décroissante et par la Turquie inconnue.</w:t>
      </w:r>
    </w:p>
    <w:p w14:paraId="7FAB059E" w14:textId="77777777" w:rsidR="00D60D7E" w:rsidRPr="00403C55" w:rsidRDefault="00D60D7E" w:rsidP="00D60D7E">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1511"/>
        <w:gridCol w:w="1570"/>
        <w:gridCol w:w="1647"/>
        <w:gridCol w:w="1822"/>
        <w:gridCol w:w="795"/>
        <w:gridCol w:w="1715"/>
      </w:tblGrid>
      <w:tr w:rsidR="00543939" w:rsidRPr="00403C55" w14:paraId="11686A39" w14:textId="77777777" w:rsidTr="0019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25F6F648" w14:textId="6E2ECF85" w:rsidR="00D60D7E" w:rsidRPr="00403C55" w:rsidRDefault="00EF08A3" w:rsidP="003F50F9">
            <w:pPr>
              <w:jc w:val="both"/>
              <w:rPr>
                <w:rFonts w:ascii="Times New Roman" w:hAnsi="Times New Roman" w:cs="Times New Roman"/>
                <w:b w:val="0"/>
                <w:i/>
                <w:lang w:val="fr-FR"/>
              </w:rPr>
            </w:pPr>
            <w:r w:rsidRPr="00403C55">
              <w:rPr>
                <w:rFonts w:ascii="Times New Roman" w:hAnsi="Times New Roman" w:cs="Times New Roman"/>
                <w:b w:val="0"/>
                <w:i/>
                <w:lang w:val="fr-FR"/>
              </w:rPr>
              <w:t>État de l'aire de répartition</w:t>
            </w:r>
          </w:p>
        </w:tc>
        <w:tc>
          <w:tcPr>
            <w:tcW w:w="1570" w:type="dxa"/>
          </w:tcPr>
          <w:p w14:paraId="0E52E5C0" w14:textId="57335436" w:rsidR="00D60D7E" w:rsidRPr="00403C55" w:rsidRDefault="00543939"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 xml:space="preserve">Total estimation minimale </w:t>
            </w:r>
          </w:p>
        </w:tc>
        <w:tc>
          <w:tcPr>
            <w:tcW w:w="1647" w:type="dxa"/>
          </w:tcPr>
          <w:p w14:paraId="1D44B611" w14:textId="359341F7" w:rsidR="00D60D7E" w:rsidRPr="00403C55" w:rsidRDefault="00543939"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Total estimation maximale</w:t>
            </w:r>
            <w:r w:rsidR="00EE766F">
              <w:rPr>
                <w:rFonts w:ascii="Times New Roman" w:hAnsi="Times New Roman" w:cs="Times New Roman"/>
                <w:b w:val="0"/>
                <w:i/>
                <w:lang w:val="fr-FR"/>
              </w:rPr>
              <w:t xml:space="preserve"> </w:t>
            </w:r>
          </w:p>
        </w:tc>
        <w:tc>
          <w:tcPr>
            <w:tcW w:w="1822" w:type="dxa"/>
          </w:tcPr>
          <w:p w14:paraId="7009704E" w14:textId="20991016" w:rsidR="00D60D7E" w:rsidRPr="00403C55" w:rsidRDefault="00543939"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Unité</w:t>
            </w:r>
          </w:p>
        </w:tc>
        <w:tc>
          <w:tcPr>
            <w:tcW w:w="795" w:type="dxa"/>
          </w:tcPr>
          <w:p w14:paraId="35266123" w14:textId="5AB18A26" w:rsidR="00D60D7E" w:rsidRPr="00403C55" w:rsidRDefault="00543939"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Année</w:t>
            </w:r>
          </w:p>
        </w:tc>
        <w:tc>
          <w:tcPr>
            <w:tcW w:w="1715" w:type="dxa"/>
          </w:tcPr>
          <w:p w14:paraId="1C695ED9" w14:textId="735A9B9D" w:rsidR="00D60D7E" w:rsidRPr="00403C55" w:rsidRDefault="00543939"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Valeur de référence population</w:t>
            </w:r>
          </w:p>
        </w:tc>
      </w:tr>
      <w:tr w:rsidR="00543939" w:rsidRPr="00403C55" w14:paraId="6D2301DC" w14:textId="77777777" w:rsidTr="0019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tcPr>
          <w:p w14:paraId="6DBFD9CE" w14:textId="7E98D819" w:rsidR="001927A0" w:rsidRPr="00403C55" w:rsidRDefault="00543939" w:rsidP="003F50F9">
            <w:pPr>
              <w:rPr>
                <w:rFonts w:ascii="Times New Roman" w:hAnsi="Times New Roman" w:cs="Times New Roman"/>
                <w:b w:val="0"/>
                <w:lang w:val="fr-FR"/>
              </w:rPr>
            </w:pPr>
            <w:r w:rsidRPr="00403C55">
              <w:rPr>
                <w:rFonts w:ascii="Times New Roman" w:hAnsi="Times New Roman" w:cs="Times New Roman"/>
                <w:b w:val="0"/>
                <w:lang w:val="fr-FR"/>
              </w:rPr>
              <w:t>Maroc</w:t>
            </w:r>
          </w:p>
        </w:tc>
        <w:tc>
          <w:tcPr>
            <w:tcW w:w="1570" w:type="dxa"/>
          </w:tcPr>
          <w:p w14:paraId="7413B084" w14:textId="6C8BBDA8" w:rsidR="001927A0" w:rsidRPr="00403C55"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300</w:t>
            </w:r>
          </w:p>
        </w:tc>
        <w:tc>
          <w:tcPr>
            <w:tcW w:w="1647" w:type="dxa"/>
          </w:tcPr>
          <w:p w14:paraId="32679B62" w14:textId="47F7C8E5" w:rsidR="001927A0" w:rsidRPr="00403C55"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500</w:t>
            </w:r>
          </w:p>
        </w:tc>
        <w:tc>
          <w:tcPr>
            <w:tcW w:w="1822" w:type="dxa"/>
          </w:tcPr>
          <w:p w14:paraId="4BC0D9F0" w14:textId="4F549C0C" w:rsidR="001927A0" w:rsidRPr="00403C55" w:rsidRDefault="00543939"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Individus</w:t>
            </w:r>
          </w:p>
        </w:tc>
        <w:tc>
          <w:tcPr>
            <w:tcW w:w="795" w:type="dxa"/>
          </w:tcPr>
          <w:p w14:paraId="4075B623" w14:textId="05D2EA35" w:rsidR="001927A0" w:rsidRPr="00403C55"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2008</w:t>
            </w:r>
          </w:p>
        </w:tc>
        <w:tc>
          <w:tcPr>
            <w:tcW w:w="1715" w:type="dxa"/>
          </w:tcPr>
          <w:p w14:paraId="7ED93068" w14:textId="623C5B84" w:rsidR="001927A0" w:rsidRPr="00403C55"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700 (1980)</w:t>
            </w:r>
          </w:p>
        </w:tc>
      </w:tr>
      <w:tr w:rsidR="00543939" w:rsidRPr="00403C55" w14:paraId="2E9DED6C" w14:textId="77777777" w:rsidTr="001927A0">
        <w:tc>
          <w:tcPr>
            <w:cnfStyle w:val="001000000000" w:firstRow="0" w:lastRow="0" w:firstColumn="1" w:lastColumn="0" w:oddVBand="0" w:evenVBand="0" w:oddHBand="0" w:evenHBand="0" w:firstRowFirstColumn="0" w:firstRowLastColumn="0" w:lastRowFirstColumn="0" w:lastRowLastColumn="0"/>
            <w:tcW w:w="1511" w:type="dxa"/>
            <w:vMerge/>
          </w:tcPr>
          <w:p w14:paraId="187FF905" w14:textId="77777777" w:rsidR="001927A0" w:rsidRPr="00403C55" w:rsidRDefault="001927A0" w:rsidP="001927A0">
            <w:pPr>
              <w:rPr>
                <w:rFonts w:ascii="Times New Roman" w:hAnsi="Times New Roman" w:cs="Times New Roman"/>
                <w:lang w:val="fr-FR"/>
              </w:rPr>
            </w:pPr>
          </w:p>
        </w:tc>
        <w:tc>
          <w:tcPr>
            <w:tcW w:w="1570" w:type="dxa"/>
          </w:tcPr>
          <w:p w14:paraId="0080F3AF" w14:textId="77777777"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647" w:type="dxa"/>
          </w:tcPr>
          <w:p w14:paraId="6E114342" w14:textId="2A16EFA9"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115</w:t>
            </w:r>
          </w:p>
        </w:tc>
        <w:tc>
          <w:tcPr>
            <w:tcW w:w="1822" w:type="dxa"/>
          </w:tcPr>
          <w:p w14:paraId="5711E210" w14:textId="3F2131A9" w:rsidR="001927A0" w:rsidRPr="00403C55" w:rsidRDefault="00543939"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Couples</w:t>
            </w:r>
          </w:p>
          <w:p w14:paraId="274E2E25" w14:textId="40F34318" w:rsidR="001927A0" w:rsidRPr="00403C55" w:rsidRDefault="00543939"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fr-FR"/>
              </w:rPr>
            </w:pPr>
            <w:r w:rsidRPr="00403C55">
              <w:rPr>
                <w:rFonts w:ascii="Times New Roman" w:hAnsi="Times New Roman" w:cs="Times New Roman"/>
                <w:i/>
                <w:lang w:val="fr-FR"/>
              </w:rPr>
              <w:t>(reproduction)</w:t>
            </w:r>
          </w:p>
        </w:tc>
        <w:tc>
          <w:tcPr>
            <w:tcW w:w="795" w:type="dxa"/>
          </w:tcPr>
          <w:p w14:paraId="7D4D077F" w14:textId="69A1A2CF"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2014</w:t>
            </w:r>
          </w:p>
        </w:tc>
        <w:tc>
          <w:tcPr>
            <w:tcW w:w="1715" w:type="dxa"/>
          </w:tcPr>
          <w:p w14:paraId="0F258CF9" w14:textId="78EFD163"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65 (1994)</w:t>
            </w:r>
          </w:p>
        </w:tc>
      </w:tr>
      <w:tr w:rsidR="00543939" w:rsidRPr="00403C55" w14:paraId="3E3FCC17" w14:textId="77777777" w:rsidTr="0019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730B4D54" w14:textId="75058A0D" w:rsidR="009D5496" w:rsidRPr="00403C55" w:rsidRDefault="00543939" w:rsidP="003F50F9">
            <w:pPr>
              <w:rPr>
                <w:rFonts w:ascii="Times New Roman" w:hAnsi="Times New Roman" w:cs="Times New Roman"/>
                <w:b w:val="0"/>
                <w:lang w:val="fr-FR"/>
              </w:rPr>
            </w:pPr>
            <w:r w:rsidRPr="00403C55">
              <w:rPr>
                <w:rFonts w:ascii="Times New Roman" w:hAnsi="Times New Roman" w:cs="Times New Roman"/>
                <w:b w:val="0"/>
                <w:lang w:val="fr-FR"/>
              </w:rPr>
              <w:t>Syrie</w:t>
            </w:r>
          </w:p>
        </w:tc>
        <w:tc>
          <w:tcPr>
            <w:tcW w:w="1570" w:type="dxa"/>
          </w:tcPr>
          <w:p w14:paraId="13A28BD3" w14:textId="41462367" w:rsidR="009D5496" w:rsidRPr="00403C55"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3</w:t>
            </w:r>
          </w:p>
        </w:tc>
        <w:tc>
          <w:tcPr>
            <w:tcW w:w="1647" w:type="dxa"/>
          </w:tcPr>
          <w:p w14:paraId="5DDADE50" w14:textId="4DDC2179" w:rsidR="009D5496" w:rsidRPr="00403C55"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4</w:t>
            </w:r>
          </w:p>
        </w:tc>
        <w:tc>
          <w:tcPr>
            <w:tcW w:w="1822" w:type="dxa"/>
          </w:tcPr>
          <w:p w14:paraId="62611BA8" w14:textId="12E5BAF4" w:rsidR="009D5496" w:rsidRPr="00403C55" w:rsidRDefault="00543939"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Individus</w:t>
            </w:r>
          </w:p>
          <w:p w14:paraId="100FE98B" w14:textId="069CE216" w:rsidR="009D5496" w:rsidRPr="00403C55" w:rsidRDefault="00543939"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lang w:val="fr-FR"/>
              </w:rPr>
            </w:pPr>
            <w:r w:rsidRPr="00403C55">
              <w:rPr>
                <w:rFonts w:ascii="Times New Roman" w:hAnsi="Times New Roman" w:cs="Times New Roman"/>
                <w:i/>
                <w:lang w:val="fr-FR"/>
              </w:rPr>
              <w:t>(reproduction)</w:t>
            </w:r>
          </w:p>
        </w:tc>
        <w:tc>
          <w:tcPr>
            <w:tcW w:w="795" w:type="dxa"/>
          </w:tcPr>
          <w:p w14:paraId="4D7F3CEE" w14:textId="72CE6F82" w:rsidR="009D5496" w:rsidRPr="00403C55"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2015</w:t>
            </w:r>
          </w:p>
        </w:tc>
        <w:tc>
          <w:tcPr>
            <w:tcW w:w="1715" w:type="dxa"/>
          </w:tcPr>
          <w:p w14:paraId="25516296" w14:textId="240EF0E7" w:rsidR="009D5496" w:rsidRPr="00403C55"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11 (2005)</w:t>
            </w:r>
          </w:p>
        </w:tc>
      </w:tr>
      <w:tr w:rsidR="00543939" w:rsidRPr="00403C55" w14:paraId="783F4384" w14:textId="77777777" w:rsidTr="001927A0">
        <w:tc>
          <w:tcPr>
            <w:cnfStyle w:val="001000000000" w:firstRow="0" w:lastRow="0" w:firstColumn="1" w:lastColumn="0" w:oddVBand="0" w:evenVBand="0" w:oddHBand="0" w:evenHBand="0" w:firstRowFirstColumn="0" w:firstRowLastColumn="0" w:lastRowFirstColumn="0" w:lastRowLastColumn="0"/>
            <w:tcW w:w="1511" w:type="dxa"/>
          </w:tcPr>
          <w:p w14:paraId="30855FA7" w14:textId="72039FEF" w:rsidR="001927A0" w:rsidRPr="00403C55" w:rsidRDefault="00543939" w:rsidP="003F50F9">
            <w:pPr>
              <w:rPr>
                <w:rFonts w:ascii="Times New Roman" w:hAnsi="Times New Roman" w:cs="Times New Roman"/>
                <w:b w:val="0"/>
                <w:lang w:val="fr-FR"/>
              </w:rPr>
            </w:pPr>
            <w:r w:rsidRPr="00403C55">
              <w:rPr>
                <w:rFonts w:ascii="Times New Roman" w:hAnsi="Times New Roman" w:cs="Times New Roman"/>
                <w:b w:val="0"/>
                <w:lang w:val="fr-FR"/>
              </w:rPr>
              <w:t>Turquie</w:t>
            </w:r>
          </w:p>
        </w:tc>
        <w:tc>
          <w:tcPr>
            <w:tcW w:w="1570" w:type="dxa"/>
          </w:tcPr>
          <w:p w14:paraId="07B36695" w14:textId="1898462D"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42</w:t>
            </w:r>
          </w:p>
        </w:tc>
        <w:tc>
          <w:tcPr>
            <w:tcW w:w="1647" w:type="dxa"/>
          </w:tcPr>
          <w:p w14:paraId="08731E9A" w14:textId="24C8E871"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189</w:t>
            </w:r>
          </w:p>
        </w:tc>
        <w:tc>
          <w:tcPr>
            <w:tcW w:w="1822" w:type="dxa"/>
          </w:tcPr>
          <w:p w14:paraId="43699D76" w14:textId="0D5B1EAC" w:rsidR="001927A0" w:rsidRPr="00403C55" w:rsidRDefault="00543939"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Individus</w:t>
            </w:r>
          </w:p>
        </w:tc>
        <w:tc>
          <w:tcPr>
            <w:tcW w:w="795" w:type="dxa"/>
          </w:tcPr>
          <w:p w14:paraId="45CA9574" w14:textId="2BD9A1F8" w:rsidR="001927A0" w:rsidRPr="00403C55"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2014</w:t>
            </w:r>
          </w:p>
        </w:tc>
        <w:tc>
          <w:tcPr>
            <w:tcW w:w="1715" w:type="dxa"/>
          </w:tcPr>
          <w:p w14:paraId="07D457F7" w14:textId="52C0C74E" w:rsidR="001927A0" w:rsidRPr="00403C55" w:rsidRDefault="00543939"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fr-FR"/>
              </w:rPr>
            </w:pPr>
            <w:r w:rsidRPr="00403C55">
              <w:rPr>
                <w:rFonts w:ascii="Times New Roman" w:hAnsi="Times New Roman" w:cs="Times New Roman"/>
                <w:i/>
                <w:lang w:val="fr-FR"/>
              </w:rPr>
              <w:t>pas d’information</w:t>
            </w:r>
          </w:p>
        </w:tc>
      </w:tr>
    </w:tbl>
    <w:p w14:paraId="5F038AF6" w14:textId="77777777" w:rsidR="00D60D7E" w:rsidRPr="00403C55" w:rsidRDefault="00D60D7E" w:rsidP="00D60D7E">
      <w:pPr>
        <w:spacing w:after="0" w:line="240" w:lineRule="auto"/>
        <w:jc w:val="both"/>
        <w:rPr>
          <w:rFonts w:ascii="Times New Roman" w:hAnsi="Times New Roman" w:cs="Times New Roman"/>
          <w:lang w:val="fr-FR"/>
        </w:rPr>
      </w:pPr>
    </w:p>
    <w:p w14:paraId="09DB953D" w14:textId="77777777" w:rsidR="00D60D7E" w:rsidRPr="00403C55" w:rsidRDefault="00D60D7E" w:rsidP="00D60D7E">
      <w:pPr>
        <w:spacing w:after="0" w:line="240" w:lineRule="auto"/>
        <w:jc w:val="both"/>
        <w:rPr>
          <w:rFonts w:ascii="Times New Roman" w:hAnsi="Times New Roman" w:cs="Times New Roman"/>
          <w:lang w:val="fr-FR"/>
        </w:rPr>
      </w:pPr>
    </w:p>
    <w:tbl>
      <w:tblPr>
        <w:tblStyle w:val="TableGrid"/>
        <w:tblW w:w="8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391"/>
      </w:tblGrid>
      <w:tr w:rsidR="00D60D7E" w:rsidRPr="00403C55" w14:paraId="2906B133" w14:textId="77777777" w:rsidTr="00E84778">
        <w:trPr>
          <w:trHeight w:val="3047"/>
        </w:trPr>
        <w:tc>
          <w:tcPr>
            <w:tcW w:w="4417" w:type="dxa"/>
          </w:tcPr>
          <w:p w14:paraId="47F8ECF3" w14:textId="77777777" w:rsidR="00D60D7E" w:rsidRPr="00403C55" w:rsidRDefault="00D60D7E" w:rsidP="00E013BB">
            <w:pPr>
              <w:rPr>
                <w:rFonts w:ascii="Arial" w:hAnsi="Arial" w:cs="Arial"/>
                <w:sz w:val="20"/>
                <w:szCs w:val="20"/>
                <w:lang w:val="fr-FR"/>
              </w:rPr>
            </w:pPr>
            <w:r w:rsidRPr="00403C55">
              <w:rPr>
                <w:noProof/>
              </w:rPr>
              <w:lastRenderedPageBreak/>
              <w:drawing>
                <wp:inline distT="0" distB="0" distL="0" distR="0" wp14:anchorId="00C8AA67" wp14:editId="49E65E97">
                  <wp:extent cx="2647950" cy="18669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391" w:type="dxa"/>
          </w:tcPr>
          <w:p w14:paraId="33A7020E" w14:textId="77777777" w:rsidR="00D60D7E" w:rsidRPr="00403C55" w:rsidRDefault="00D60D7E" w:rsidP="00E013BB">
            <w:pPr>
              <w:rPr>
                <w:rFonts w:ascii="Arial" w:hAnsi="Arial" w:cs="Arial"/>
                <w:sz w:val="20"/>
                <w:szCs w:val="20"/>
                <w:lang w:val="fr-FR"/>
              </w:rPr>
            </w:pPr>
            <w:r w:rsidRPr="00403C55">
              <w:rPr>
                <w:noProof/>
              </w:rPr>
              <w:drawing>
                <wp:inline distT="0" distB="0" distL="0" distR="0" wp14:anchorId="39BC9FCA" wp14:editId="6F22AC3A">
                  <wp:extent cx="2447925" cy="1847850"/>
                  <wp:effectExtent l="0" t="0" r="952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21EAFF4A" w14:textId="77777777" w:rsidR="002F3ECE" w:rsidRPr="00403C55" w:rsidRDefault="002F3ECE" w:rsidP="00E84778">
      <w:pPr>
        <w:spacing w:after="0" w:line="240" w:lineRule="auto"/>
        <w:rPr>
          <w:rFonts w:ascii="Times New Roman" w:hAnsi="Times New Roman" w:cs="Times New Roman"/>
          <w:i/>
          <w:lang w:val="fr-FR"/>
        </w:rPr>
      </w:pPr>
    </w:p>
    <w:p w14:paraId="6EDC3386" w14:textId="1F4D9E47" w:rsidR="003D19CA" w:rsidRPr="00403C55" w:rsidRDefault="003D19CA" w:rsidP="003D19CA">
      <w:pPr>
        <w:tabs>
          <w:tab w:val="left" w:pos="2127"/>
          <w:tab w:val="left" w:pos="4395"/>
          <w:tab w:val="left" w:pos="6237"/>
          <w:tab w:val="left" w:pos="7513"/>
        </w:tabs>
        <w:spacing w:after="0" w:line="240" w:lineRule="auto"/>
        <w:rPr>
          <w:rFonts w:ascii="Times New Roman" w:hAnsi="Times New Roman" w:cs="Times New Roman"/>
          <w:lang w:val="fr-FR"/>
        </w:rPr>
      </w:pPr>
      <w:r w:rsidRPr="00403C55">
        <w:rPr>
          <w:rFonts w:ascii="Times New Roman" w:hAnsi="Times New Roman" w:cs="Times New Roman"/>
          <w:lang w:val="fr-FR"/>
        </w:rPr>
        <w:t>décroissante</w:t>
      </w:r>
      <w:r w:rsidRPr="00403C55">
        <w:rPr>
          <w:rFonts w:ascii="Times New Roman" w:hAnsi="Times New Roman" w:cs="Times New Roman"/>
          <w:lang w:val="fr-FR"/>
        </w:rPr>
        <w:tab/>
        <w:t xml:space="preserve"> inconnue</w:t>
      </w:r>
      <w:r w:rsidRPr="00403C55">
        <w:rPr>
          <w:rFonts w:ascii="Times New Roman" w:hAnsi="Times New Roman" w:cs="Times New Roman"/>
          <w:lang w:val="fr-FR"/>
        </w:rPr>
        <w:tab/>
        <w:t>en augmentation</w:t>
      </w:r>
      <w:r w:rsidRPr="00403C55">
        <w:rPr>
          <w:rFonts w:ascii="Times New Roman" w:hAnsi="Times New Roman" w:cs="Times New Roman"/>
          <w:lang w:val="fr-FR"/>
        </w:rPr>
        <w:tab/>
        <w:t>décroissante</w:t>
      </w:r>
      <w:r w:rsidRPr="00403C55">
        <w:rPr>
          <w:rFonts w:ascii="Times New Roman" w:hAnsi="Times New Roman" w:cs="Times New Roman"/>
          <w:lang w:val="fr-FR"/>
        </w:rPr>
        <w:tab/>
        <w:t>inconnue</w:t>
      </w:r>
    </w:p>
    <w:p w14:paraId="49901D79" w14:textId="77777777" w:rsidR="00CF0E12" w:rsidRPr="00403C55" w:rsidRDefault="00CF0E12" w:rsidP="003D19CA">
      <w:pPr>
        <w:tabs>
          <w:tab w:val="left" w:pos="2127"/>
          <w:tab w:val="left" w:pos="4395"/>
          <w:tab w:val="left" w:pos="6237"/>
          <w:tab w:val="left" w:pos="7513"/>
        </w:tabs>
        <w:spacing w:after="0" w:line="240" w:lineRule="auto"/>
        <w:rPr>
          <w:rFonts w:ascii="Times New Roman" w:hAnsi="Times New Roman" w:cs="Times New Roman"/>
          <w:lang w:val="fr-FR"/>
        </w:rPr>
      </w:pPr>
    </w:p>
    <w:p w14:paraId="75A6C0B7" w14:textId="5D2E2C1B" w:rsidR="00E84778" w:rsidRPr="00403C55" w:rsidRDefault="00E84778" w:rsidP="002F3ECE">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4. </w:t>
      </w:r>
      <w:r w:rsidR="00543939" w:rsidRPr="00403C55">
        <w:rPr>
          <w:rFonts w:ascii="Times New Roman" w:hAnsi="Times New Roman" w:cs="Times New Roman"/>
          <w:i/>
          <w:lang w:val="fr-FR"/>
        </w:rPr>
        <w:t xml:space="preserve">Structures nationales </w:t>
      </w:r>
      <w:r w:rsidR="009B5471" w:rsidRPr="00403C55">
        <w:rPr>
          <w:rFonts w:ascii="Times New Roman" w:hAnsi="Times New Roman" w:cs="Times New Roman"/>
          <w:i/>
          <w:lang w:val="fr-FR"/>
        </w:rPr>
        <w:t>de</w:t>
      </w:r>
      <w:r w:rsidR="00543939" w:rsidRPr="00403C55">
        <w:rPr>
          <w:rFonts w:ascii="Times New Roman" w:hAnsi="Times New Roman" w:cs="Times New Roman"/>
          <w:i/>
          <w:lang w:val="fr-FR"/>
        </w:rPr>
        <w:t xml:space="preserve"> mise en œuvre</w:t>
      </w:r>
    </w:p>
    <w:p w14:paraId="193C2F15" w14:textId="77777777" w:rsidR="00E84778" w:rsidRPr="00403C55" w:rsidRDefault="00E84778" w:rsidP="00E84778">
      <w:pPr>
        <w:spacing w:after="0" w:line="240" w:lineRule="auto"/>
        <w:rPr>
          <w:rFonts w:ascii="Times New Roman" w:hAnsi="Times New Roman" w:cs="Times New Roman"/>
          <w:i/>
          <w:lang w:val="fr-FR"/>
        </w:rPr>
      </w:pPr>
    </w:p>
    <w:p w14:paraId="34E7032F" w14:textId="3ABBBE6E" w:rsidR="00E84778" w:rsidRPr="00403C55" w:rsidRDefault="009B5471" w:rsidP="00E84778">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Maroc est le seul État de l'aire de répartition à avoir adopté un plan </w:t>
      </w:r>
      <w:r w:rsidR="0003562F">
        <w:rPr>
          <w:rFonts w:ascii="Times New Roman" w:hAnsi="Times New Roman" w:cs="Times New Roman"/>
          <w:lang w:val="fr-FR"/>
        </w:rPr>
        <w:t>d’action</w:t>
      </w:r>
      <w:r w:rsidRPr="00403C55">
        <w:rPr>
          <w:rFonts w:ascii="Times New Roman" w:hAnsi="Times New Roman" w:cs="Times New Roman"/>
          <w:lang w:val="fr-FR"/>
        </w:rPr>
        <w:t xml:space="preserve"> national pour l’espèce.</w:t>
      </w:r>
      <w:r w:rsidR="00E84778" w:rsidRPr="00403C55">
        <w:rPr>
          <w:rFonts w:ascii="Times New Roman" w:hAnsi="Times New Roman" w:cs="Times New Roman"/>
          <w:lang w:val="fr-FR"/>
        </w:rPr>
        <w:t xml:space="preserve"> </w:t>
      </w:r>
      <w:r w:rsidRPr="00403C55">
        <w:rPr>
          <w:rFonts w:ascii="Times New Roman" w:hAnsi="Times New Roman" w:cs="Times New Roman"/>
          <w:lang w:val="fr-FR"/>
        </w:rPr>
        <w:t xml:space="preserve">Aucun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n’</w:t>
      </w:r>
      <w:r w:rsidR="006015A7" w:rsidRPr="00403C55">
        <w:rPr>
          <w:rFonts w:ascii="Times New Roman" w:hAnsi="Times New Roman" w:cs="Times New Roman"/>
          <w:lang w:val="fr-FR"/>
        </w:rPr>
        <w:t>a</w:t>
      </w:r>
      <w:r w:rsidRPr="00403C55">
        <w:rPr>
          <w:rFonts w:ascii="Times New Roman" w:hAnsi="Times New Roman" w:cs="Times New Roman"/>
          <w:lang w:val="fr-FR"/>
        </w:rPr>
        <w:t xml:space="preserve"> établi de groupes de travail nationaux pour l’Ibis chauve.</w:t>
      </w:r>
      <w:r w:rsidR="00E84778" w:rsidRPr="00403C55">
        <w:rPr>
          <w:rFonts w:ascii="Times New Roman" w:hAnsi="Times New Roman" w:cs="Times New Roman"/>
          <w:lang w:val="fr-FR"/>
        </w:rPr>
        <w:t xml:space="preserve"> </w:t>
      </w:r>
    </w:p>
    <w:p w14:paraId="1D71F1A7" w14:textId="77777777" w:rsidR="00E84778" w:rsidRPr="00403C55" w:rsidRDefault="00E84778" w:rsidP="00E84778">
      <w:pPr>
        <w:spacing w:after="0" w:line="240" w:lineRule="auto"/>
        <w:rPr>
          <w:rFonts w:ascii="Arial" w:hAnsi="Arial" w:cs="Arial"/>
          <w:i/>
          <w:sz w:val="20"/>
          <w:szCs w:val="20"/>
          <w:lang w:val="fr-FR"/>
        </w:rPr>
      </w:pPr>
    </w:p>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326"/>
      </w:tblGrid>
      <w:tr w:rsidR="00E84778" w:rsidRPr="00403C55" w14:paraId="4C3D0B64" w14:textId="77777777" w:rsidTr="00E013BB">
        <w:trPr>
          <w:trHeight w:val="3337"/>
        </w:trPr>
        <w:tc>
          <w:tcPr>
            <w:tcW w:w="4352" w:type="dxa"/>
          </w:tcPr>
          <w:p w14:paraId="37504366" w14:textId="77777777" w:rsidR="00E84778" w:rsidRPr="00403C55" w:rsidRDefault="00E84778" w:rsidP="00E013BB">
            <w:pPr>
              <w:rPr>
                <w:rFonts w:ascii="Arial" w:hAnsi="Arial" w:cs="Arial"/>
                <w:i/>
                <w:sz w:val="20"/>
                <w:szCs w:val="20"/>
                <w:lang w:val="fr-FR"/>
              </w:rPr>
            </w:pPr>
            <w:r w:rsidRPr="00403C55">
              <w:rPr>
                <w:noProof/>
              </w:rPr>
              <w:drawing>
                <wp:inline distT="0" distB="0" distL="0" distR="0" wp14:anchorId="7FEAA848" wp14:editId="541D2945">
                  <wp:extent cx="2476500" cy="2009775"/>
                  <wp:effectExtent l="0" t="0" r="1905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26" w:type="dxa"/>
          </w:tcPr>
          <w:p w14:paraId="1D366E95" w14:textId="77777777" w:rsidR="00E84778" w:rsidRPr="00403C55" w:rsidRDefault="00E84778" w:rsidP="00E013BB">
            <w:pPr>
              <w:rPr>
                <w:rFonts w:ascii="Arial" w:hAnsi="Arial" w:cs="Arial"/>
                <w:i/>
                <w:sz w:val="20"/>
                <w:szCs w:val="20"/>
                <w:lang w:val="fr-FR"/>
              </w:rPr>
            </w:pPr>
            <w:r w:rsidRPr="00403C55">
              <w:rPr>
                <w:noProof/>
              </w:rPr>
              <w:drawing>
                <wp:inline distT="0" distB="0" distL="0" distR="0" wp14:anchorId="00F81A0D" wp14:editId="2E1A3420">
                  <wp:extent cx="2524125" cy="200977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2117585" w14:textId="00BB1B8C" w:rsidR="003D19CA" w:rsidRPr="00403C55" w:rsidRDefault="003D19CA" w:rsidP="003D19CA">
      <w:pPr>
        <w:tabs>
          <w:tab w:val="left" w:pos="1560"/>
          <w:tab w:val="left" w:pos="4962"/>
        </w:tabs>
        <w:spacing w:after="0" w:line="240" w:lineRule="auto"/>
        <w:rPr>
          <w:rFonts w:ascii="Arial" w:hAnsi="Arial" w:cs="Arial"/>
          <w:sz w:val="20"/>
          <w:szCs w:val="20"/>
          <w:lang w:val="fr-FR"/>
        </w:rPr>
      </w:pP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t>Oui</w:t>
      </w:r>
      <w:r w:rsidRPr="00403C55">
        <w:rPr>
          <w:rFonts w:ascii="Arial" w:hAnsi="Arial" w:cs="Arial"/>
          <w:sz w:val="20"/>
          <w:szCs w:val="20"/>
          <w:lang w:val="fr-FR"/>
        </w:rPr>
        <w:tab/>
        <w:t>Non</w:t>
      </w:r>
    </w:p>
    <w:p w14:paraId="658C50F2" w14:textId="77777777" w:rsidR="00CF0E12" w:rsidRPr="00403C55" w:rsidRDefault="00CF0E12" w:rsidP="003D19CA">
      <w:pPr>
        <w:tabs>
          <w:tab w:val="left" w:pos="1560"/>
          <w:tab w:val="left" w:pos="4962"/>
        </w:tabs>
        <w:spacing w:after="0" w:line="240" w:lineRule="auto"/>
        <w:rPr>
          <w:rFonts w:ascii="Arial" w:hAnsi="Arial" w:cs="Arial"/>
          <w:sz w:val="20"/>
          <w:szCs w:val="20"/>
          <w:lang w:val="fr-FR"/>
        </w:rPr>
      </w:pPr>
    </w:p>
    <w:p w14:paraId="125793E0" w14:textId="49DA9C3F" w:rsidR="002F3ECE" w:rsidRPr="00403C55" w:rsidRDefault="00E84778" w:rsidP="002F3ECE">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 </w:t>
      </w:r>
      <w:r w:rsidR="009B5471" w:rsidRPr="00403C55">
        <w:rPr>
          <w:rFonts w:ascii="Times New Roman" w:hAnsi="Times New Roman" w:cs="Times New Roman"/>
          <w:i/>
          <w:lang w:val="fr-FR"/>
        </w:rPr>
        <w:t xml:space="preserve">Mise en œuvre des activités du plan </w:t>
      </w:r>
      <w:r w:rsidR="0003562F">
        <w:rPr>
          <w:rFonts w:ascii="Times New Roman" w:hAnsi="Times New Roman" w:cs="Times New Roman"/>
          <w:i/>
          <w:lang w:val="fr-FR"/>
        </w:rPr>
        <w:t>d’action</w:t>
      </w:r>
    </w:p>
    <w:p w14:paraId="1817F0EF" w14:textId="77777777" w:rsidR="002F3ECE" w:rsidRPr="00403C55" w:rsidRDefault="002F3ECE" w:rsidP="00E84778">
      <w:pPr>
        <w:spacing w:after="0" w:line="240" w:lineRule="auto"/>
        <w:rPr>
          <w:rFonts w:ascii="Times New Roman" w:hAnsi="Times New Roman" w:cs="Times New Roman"/>
          <w:i/>
          <w:lang w:val="fr-FR"/>
        </w:rPr>
      </w:pPr>
    </w:p>
    <w:p w14:paraId="39343675" w14:textId="7A6A7DC9" w:rsidR="00E84778" w:rsidRPr="00403C55" w:rsidRDefault="002F3ECE" w:rsidP="00E84778">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5.1. </w:t>
      </w:r>
      <w:r w:rsidR="009B5471" w:rsidRPr="00403C55">
        <w:rPr>
          <w:rFonts w:ascii="Times New Roman" w:hAnsi="Times New Roman" w:cs="Times New Roman"/>
          <w:i/>
          <w:lang w:val="fr-FR"/>
        </w:rPr>
        <w:t>Résultat 1 – Succès de reproduction, compétition interspécifique et intra-spécifique et prédation enregistrée sur tous les sites clés (priorité élevée)</w:t>
      </w:r>
    </w:p>
    <w:p w14:paraId="2319ECF0" w14:textId="77777777" w:rsidR="00E84778" w:rsidRPr="00403C55" w:rsidRDefault="00E84778" w:rsidP="00E84778">
      <w:pPr>
        <w:spacing w:after="0" w:line="240" w:lineRule="auto"/>
        <w:jc w:val="both"/>
        <w:rPr>
          <w:rFonts w:ascii="Times New Roman" w:hAnsi="Times New Roman" w:cs="Times New Roman"/>
          <w:lang w:val="fr-FR"/>
        </w:rPr>
      </w:pPr>
    </w:p>
    <w:p w14:paraId="34A38323" w14:textId="60985D60" w:rsidR="00E84778" w:rsidRPr="00403C55" w:rsidRDefault="009B5471" w:rsidP="00E84778">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Ce résultat de priorité élevée consiste dans trois activités qui s’appliquent à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w:t>
      </w:r>
      <w:r w:rsidR="00F0651A" w:rsidRPr="00403C55">
        <w:rPr>
          <w:rFonts w:ascii="Times New Roman" w:hAnsi="Times New Roman" w:cs="Times New Roman"/>
          <w:lang w:val="fr-FR"/>
        </w:rPr>
        <w:t xml:space="preserve"> </w:t>
      </w:r>
      <w:r w:rsidR="004568C2">
        <w:rPr>
          <w:rFonts w:ascii="Times New Roman" w:hAnsi="Times New Roman" w:cs="Times New Roman"/>
          <w:lang w:val="fr-FR"/>
        </w:rPr>
        <w:t>t</w:t>
      </w:r>
      <w:r w:rsidRPr="00403C55">
        <w:rPr>
          <w:rFonts w:ascii="Times New Roman" w:hAnsi="Times New Roman" w:cs="Times New Roman"/>
          <w:lang w:val="fr-FR"/>
        </w:rPr>
        <w:t xml:space="preserve">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ont indiqué avoir </w:t>
      </w:r>
      <w:r w:rsidR="004A0E96" w:rsidRPr="00403C55">
        <w:rPr>
          <w:rFonts w:ascii="Times New Roman" w:hAnsi="Times New Roman" w:cs="Times New Roman"/>
          <w:lang w:val="fr-FR"/>
        </w:rPr>
        <w:t>des réseaux de gardes établis et formés</w:t>
      </w:r>
      <w:r w:rsidRPr="00403C55">
        <w:rPr>
          <w:rFonts w:ascii="Times New Roman" w:hAnsi="Times New Roman" w:cs="Times New Roman"/>
          <w:lang w:val="fr-FR"/>
        </w:rPr>
        <w:t xml:space="preserve"> </w:t>
      </w:r>
      <w:r w:rsidR="004A0E96" w:rsidRPr="00403C55">
        <w:rPr>
          <w:rFonts w:ascii="Times New Roman" w:hAnsi="Times New Roman" w:cs="Times New Roman"/>
          <w:lang w:val="fr-FR"/>
        </w:rPr>
        <w:t>pour surveiller les colonies reproductrices</w:t>
      </w:r>
      <w:r w:rsidRPr="00403C55">
        <w:rPr>
          <w:rFonts w:ascii="Times New Roman" w:hAnsi="Times New Roman" w:cs="Times New Roman"/>
          <w:lang w:val="fr-FR"/>
        </w:rPr>
        <w:t xml:space="preserve"> (activit</w:t>
      </w:r>
      <w:r w:rsidR="004A0E96" w:rsidRPr="00403C55">
        <w:rPr>
          <w:rFonts w:ascii="Times New Roman" w:hAnsi="Times New Roman" w:cs="Times New Roman"/>
          <w:lang w:val="fr-FR"/>
        </w:rPr>
        <w:t>é</w:t>
      </w:r>
      <w:r w:rsidRPr="00403C55">
        <w:rPr>
          <w:rFonts w:ascii="Times New Roman" w:hAnsi="Times New Roman" w:cs="Times New Roman"/>
          <w:lang w:val="fr-FR"/>
        </w:rPr>
        <w:t xml:space="preserve"> 1.1) </w:t>
      </w:r>
      <w:r w:rsidR="004A0E96" w:rsidRPr="00403C55">
        <w:rPr>
          <w:rFonts w:ascii="Times New Roman" w:hAnsi="Times New Roman" w:cs="Times New Roman"/>
          <w:lang w:val="fr-FR"/>
        </w:rPr>
        <w:t xml:space="preserve">et deux </w:t>
      </w:r>
      <w:r w:rsidR="00FE6EE5">
        <w:rPr>
          <w:rFonts w:ascii="Times New Roman" w:hAnsi="Times New Roman" w:cs="Times New Roman"/>
          <w:lang w:val="fr-FR"/>
        </w:rPr>
        <w:t>États de l’aire de répartition</w:t>
      </w:r>
      <w:r w:rsidR="004A0E96" w:rsidRPr="00403C55">
        <w:rPr>
          <w:rFonts w:ascii="Times New Roman" w:hAnsi="Times New Roman" w:cs="Times New Roman"/>
          <w:lang w:val="fr-FR"/>
        </w:rPr>
        <w:t xml:space="preserve"> ont également fourni à ces équipes</w:t>
      </w:r>
      <w:r w:rsidRPr="00403C55">
        <w:rPr>
          <w:rFonts w:ascii="Times New Roman" w:hAnsi="Times New Roman" w:cs="Times New Roman"/>
          <w:lang w:val="fr-FR"/>
        </w:rPr>
        <w:t xml:space="preserve"> </w:t>
      </w:r>
      <w:r w:rsidR="004A0E96" w:rsidRPr="00403C55">
        <w:rPr>
          <w:rFonts w:ascii="Times New Roman" w:hAnsi="Times New Roman" w:cs="Times New Roman"/>
          <w:lang w:val="fr-FR"/>
        </w:rPr>
        <w:t>un équipement adéquat tels que jumelles</w:t>
      </w:r>
      <w:r w:rsidRPr="00403C55">
        <w:rPr>
          <w:rFonts w:ascii="Times New Roman" w:hAnsi="Times New Roman" w:cs="Times New Roman"/>
          <w:lang w:val="fr-FR"/>
        </w:rPr>
        <w:t>, t</w:t>
      </w:r>
      <w:r w:rsidR="004A0E96" w:rsidRPr="00403C55">
        <w:rPr>
          <w:rFonts w:ascii="Times New Roman" w:hAnsi="Times New Roman" w:cs="Times New Roman"/>
          <w:lang w:val="fr-FR"/>
        </w:rPr>
        <w:t>é</w:t>
      </w:r>
      <w:r w:rsidRPr="00403C55">
        <w:rPr>
          <w:rFonts w:ascii="Times New Roman" w:hAnsi="Times New Roman" w:cs="Times New Roman"/>
          <w:lang w:val="fr-FR"/>
        </w:rPr>
        <w:t>lescopes, v</w:t>
      </w:r>
      <w:r w:rsidR="004A0E96" w:rsidRPr="00403C55">
        <w:rPr>
          <w:rFonts w:ascii="Times New Roman" w:hAnsi="Times New Roman" w:cs="Times New Roman"/>
          <w:lang w:val="fr-FR"/>
        </w:rPr>
        <w:t>é</w:t>
      </w:r>
      <w:r w:rsidRPr="00403C55">
        <w:rPr>
          <w:rFonts w:ascii="Times New Roman" w:hAnsi="Times New Roman" w:cs="Times New Roman"/>
          <w:lang w:val="fr-FR"/>
        </w:rPr>
        <w:t>hic</w:t>
      </w:r>
      <w:r w:rsidR="004A0E96" w:rsidRPr="00403C55">
        <w:rPr>
          <w:rFonts w:ascii="Times New Roman" w:hAnsi="Times New Roman" w:cs="Times New Roman"/>
          <w:lang w:val="fr-FR"/>
        </w:rPr>
        <w:t>u</w:t>
      </w:r>
      <w:r w:rsidRPr="00403C55">
        <w:rPr>
          <w:rFonts w:ascii="Times New Roman" w:hAnsi="Times New Roman" w:cs="Times New Roman"/>
          <w:lang w:val="fr-FR"/>
        </w:rPr>
        <w:t>les</w:t>
      </w:r>
      <w:r w:rsidR="004A0E96" w:rsidRPr="00403C55">
        <w:rPr>
          <w:rFonts w:ascii="Times New Roman" w:hAnsi="Times New Roman" w:cs="Times New Roman"/>
          <w:lang w:val="fr-FR"/>
        </w:rPr>
        <w:t>,</w:t>
      </w:r>
      <w:r w:rsidRPr="00403C55">
        <w:rPr>
          <w:rFonts w:ascii="Times New Roman" w:hAnsi="Times New Roman" w:cs="Times New Roman"/>
          <w:lang w:val="fr-FR"/>
        </w:rPr>
        <w:t xml:space="preserve"> etc.</w:t>
      </w:r>
      <w:r w:rsidR="0094786E" w:rsidRPr="00403C55">
        <w:rPr>
          <w:rFonts w:ascii="Times New Roman" w:hAnsi="Times New Roman" w:cs="Times New Roman"/>
          <w:lang w:val="fr-FR"/>
        </w:rPr>
        <w:t xml:space="preserve"> </w:t>
      </w:r>
      <w:r w:rsidR="004A0E96" w:rsidRPr="00403C55">
        <w:rPr>
          <w:rFonts w:ascii="Times New Roman" w:hAnsi="Times New Roman" w:cs="Times New Roman"/>
          <w:lang w:val="fr-FR"/>
        </w:rPr>
        <w:t>(activité 1.2).</w:t>
      </w:r>
      <w:r w:rsidR="00985A4E">
        <w:rPr>
          <w:rFonts w:ascii="Times New Roman" w:hAnsi="Times New Roman" w:cs="Times New Roman"/>
          <w:lang w:val="fr-FR"/>
        </w:rPr>
        <w:t xml:space="preserve"> </w:t>
      </w:r>
    </w:p>
    <w:p w14:paraId="12B0FEB5" w14:textId="77777777" w:rsidR="00752A35" w:rsidRPr="00403C55" w:rsidRDefault="00752A35" w:rsidP="00D60D7E">
      <w:pPr>
        <w:spacing w:after="0" w:line="240" w:lineRule="auto"/>
        <w:jc w:val="both"/>
        <w:rPr>
          <w:rFonts w:ascii="Times New Roman" w:hAnsi="Times New Roman" w:cs="Times New Roman"/>
          <w:lang w:val="fr-FR"/>
        </w:rPr>
      </w:pPr>
    </w:p>
    <w:tbl>
      <w:tblPr>
        <w:tblStyle w:val="TableGrid"/>
        <w:tblW w:w="9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626"/>
      </w:tblGrid>
      <w:tr w:rsidR="00752A35" w:rsidRPr="00403C55" w14:paraId="3EEB001C" w14:textId="77777777" w:rsidTr="00752A35">
        <w:trPr>
          <w:trHeight w:val="3546"/>
        </w:trPr>
        <w:tc>
          <w:tcPr>
            <w:tcW w:w="4385" w:type="dxa"/>
          </w:tcPr>
          <w:p w14:paraId="2B282392" w14:textId="77777777" w:rsidR="00752A35" w:rsidRPr="00403C55" w:rsidRDefault="00752A35" w:rsidP="00E013BB">
            <w:pPr>
              <w:rPr>
                <w:rFonts w:ascii="Arial" w:hAnsi="Arial" w:cs="Arial"/>
                <w:sz w:val="20"/>
                <w:szCs w:val="20"/>
                <w:lang w:val="fr-FR"/>
              </w:rPr>
            </w:pPr>
            <w:r w:rsidRPr="00403C55">
              <w:rPr>
                <w:noProof/>
              </w:rPr>
              <w:lastRenderedPageBreak/>
              <w:drawing>
                <wp:inline distT="0" distB="0" distL="0" distR="0" wp14:anchorId="58700DBC" wp14:editId="381DE620">
                  <wp:extent cx="2552700" cy="22098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26" w:type="dxa"/>
          </w:tcPr>
          <w:p w14:paraId="3DE96C42" w14:textId="77777777" w:rsidR="00752A35" w:rsidRPr="00403C55" w:rsidRDefault="00752A35" w:rsidP="00E013BB">
            <w:pPr>
              <w:rPr>
                <w:rFonts w:ascii="Arial" w:hAnsi="Arial" w:cs="Arial"/>
                <w:i/>
                <w:sz w:val="20"/>
                <w:szCs w:val="20"/>
                <w:lang w:val="fr-FR"/>
              </w:rPr>
            </w:pPr>
            <w:r w:rsidRPr="00403C55">
              <w:rPr>
                <w:noProof/>
              </w:rPr>
              <w:drawing>
                <wp:inline distT="0" distB="0" distL="0" distR="0" wp14:anchorId="6C3CB5B6" wp14:editId="505C3381">
                  <wp:extent cx="2619375" cy="22002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87B71E8" w14:textId="77777777" w:rsidR="00752A35" w:rsidRPr="00403C55" w:rsidRDefault="00752A35" w:rsidP="00D60D7E">
      <w:pPr>
        <w:spacing w:after="0" w:line="240" w:lineRule="auto"/>
        <w:jc w:val="both"/>
        <w:rPr>
          <w:rFonts w:ascii="Times New Roman" w:hAnsi="Times New Roman" w:cs="Times New Roman"/>
          <w:lang w:val="fr-FR"/>
        </w:rPr>
      </w:pPr>
    </w:p>
    <w:p w14:paraId="5F9914CE" w14:textId="7635B8CD" w:rsidR="003D19CA" w:rsidRPr="00403C55" w:rsidRDefault="003D19CA" w:rsidP="003C5766">
      <w:pPr>
        <w:tabs>
          <w:tab w:val="left" w:pos="709"/>
          <w:tab w:val="left" w:pos="1418"/>
          <w:tab w:val="left" w:pos="5387"/>
        </w:tabs>
        <w:spacing w:after="0" w:line="240" w:lineRule="auto"/>
        <w:jc w:val="both"/>
        <w:rPr>
          <w:rFonts w:ascii="Times New Roman" w:hAnsi="Times New Roman" w:cs="Times New Roman"/>
          <w:lang w:val="fr-FR"/>
        </w:rPr>
      </w:pPr>
      <w:r w:rsidRPr="00403C55">
        <w:rPr>
          <w:rFonts w:ascii="Times New Roman" w:hAnsi="Times New Roman" w:cs="Times New Roman"/>
          <w:lang w:val="fr-FR"/>
        </w:rPr>
        <w:tab/>
        <w:t>Oui</w:t>
      </w:r>
      <w:r w:rsidRPr="00403C55">
        <w:rPr>
          <w:rFonts w:ascii="Times New Roman" w:hAnsi="Times New Roman" w:cs="Times New Roman"/>
          <w:lang w:val="fr-FR"/>
        </w:rPr>
        <w:tab/>
        <w:t>Non</w:t>
      </w:r>
      <w:r w:rsidR="003C5766" w:rsidRPr="00403C55">
        <w:rPr>
          <w:rFonts w:ascii="Times New Roman" w:hAnsi="Times New Roman" w:cs="Times New Roman"/>
          <w:lang w:val="fr-FR"/>
        </w:rPr>
        <w:tab/>
        <w:t>Oui</w:t>
      </w:r>
      <w:r w:rsidR="003C5766" w:rsidRPr="00403C55">
        <w:rPr>
          <w:rFonts w:ascii="Times New Roman" w:hAnsi="Times New Roman" w:cs="Times New Roman"/>
          <w:lang w:val="fr-FR"/>
        </w:rPr>
        <w:tab/>
        <w:t>Partiellement</w:t>
      </w:r>
    </w:p>
    <w:p w14:paraId="621ABB6F" w14:textId="77777777" w:rsidR="003D19CA" w:rsidRPr="00403C55" w:rsidRDefault="003D19CA" w:rsidP="00D60D7E">
      <w:pPr>
        <w:spacing w:after="0" w:line="240" w:lineRule="auto"/>
        <w:jc w:val="both"/>
        <w:rPr>
          <w:rFonts w:ascii="Times New Roman" w:hAnsi="Times New Roman" w:cs="Times New Roman"/>
          <w:lang w:val="fr-FR"/>
        </w:rPr>
      </w:pPr>
    </w:p>
    <w:p w14:paraId="6DF22E08" w14:textId="7D8ADC20" w:rsidR="00F0651A" w:rsidRPr="00403C55" w:rsidRDefault="004A0E96" w:rsidP="00D60D7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De plus,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(100 %) ont indiqué avoir établi un protocole scientifique uniforme pour la surveillance des colonies reproductrices (activité 1.3).</w:t>
      </w:r>
    </w:p>
    <w:p w14:paraId="4D30898C" w14:textId="77777777" w:rsidR="00F0651A" w:rsidRPr="00403C55" w:rsidRDefault="00F0651A" w:rsidP="00D60D7E">
      <w:pPr>
        <w:spacing w:after="0" w:line="240" w:lineRule="auto"/>
        <w:jc w:val="both"/>
        <w:rPr>
          <w:rFonts w:ascii="Times New Roman" w:hAnsi="Times New Roman" w:cs="Times New Roman"/>
          <w:lang w:val="fr-FR"/>
        </w:rPr>
      </w:pPr>
    </w:p>
    <w:p w14:paraId="66B17881" w14:textId="3404998D" w:rsidR="00F0651A" w:rsidRPr="00403C55" w:rsidRDefault="004A0E96" w:rsidP="00DF3C0E">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F0651A" w:rsidRPr="00403C55">
        <w:rPr>
          <w:rFonts w:ascii="Times New Roman" w:hAnsi="Times New Roman" w:cs="Times New Roman"/>
          <w:b/>
          <w:lang w:val="fr-FR"/>
        </w:rPr>
        <w:tab/>
      </w:r>
      <w:r w:rsidR="006764DD" w:rsidRPr="00403C55">
        <w:rPr>
          <w:rFonts w:ascii="Times New Roman" w:hAnsi="Times New Roman" w:cs="Times New Roman"/>
          <w:b/>
          <w:lang w:val="fr-FR"/>
        </w:rPr>
        <w:t>89</w:t>
      </w:r>
      <w:r w:rsidRPr="00403C55">
        <w:rPr>
          <w:rFonts w:ascii="Times New Roman" w:hAnsi="Times New Roman" w:cs="Times New Roman"/>
          <w:b/>
          <w:lang w:val="fr-FR"/>
        </w:rPr>
        <w:t xml:space="preserve"> </w:t>
      </w:r>
      <w:r w:rsidR="006764DD" w:rsidRPr="00403C55">
        <w:rPr>
          <w:rFonts w:ascii="Times New Roman" w:hAnsi="Times New Roman" w:cs="Times New Roman"/>
          <w:b/>
          <w:lang w:val="fr-FR"/>
        </w:rPr>
        <w:t xml:space="preserve">% </w:t>
      </w:r>
    </w:p>
    <w:p w14:paraId="557661A3" w14:textId="4168D7C9" w:rsidR="00DF3C0E" w:rsidRPr="00403C55" w:rsidRDefault="00F0651A" w:rsidP="00DF3C0E">
      <w:pPr>
        <w:spacing w:after="0" w:line="240" w:lineRule="auto"/>
        <w:rPr>
          <w:rFonts w:ascii="Times New Roman" w:hAnsi="Times New Roman" w:cs="Times New Roman"/>
          <w:lang w:val="fr-FR"/>
        </w:rPr>
      </w:pPr>
      <w:r w:rsidRPr="00403C55">
        <w:rPr>
          <w:rFonts w:ascii="Times New Roman" w:hAnsi="Times New Roman" w:cs="Times New Roman"/>
          <w:lang w:val="fr-FR"/>
        </w:rPr>
        <w:tab/>
      </w:r>
    </w:p>
    <w:p w14:paraId="398C8D0C" w14:textId="032C795F" w:rsidR="00DF3C0E"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5.2.</w:t>
      </w:r>
      <w:r w:rsidR="00DF3C0E" w:rsidRPr="00403C55">
        <w:rPr>
          <w:rFonts w:ascii="Times New Roman" w:hAnsi="Times New Roman" w:cs="Times New Roman"/>
          <w:i/>
          <w:lang w:val="fr-FR"/>
        </w:rPr>
        <w:t xml:space="preserve"> </w:t>
      </w:r>
      <w:r w:rsidR="004A0E96" w:rsidRPr="00403C55">
        <w:rPr>
          <w:rFonts w:ascii="Times New Roman" w:hAnsi="Times New Roman" w:cs="Times New Roman"/>
          <w:i/>
          <w:lang w:val="fr-FR"/>
        </w:rPr>
        <w:t>Résultat 2 – Mise à disposition de sources d’eau douce non-contaminée près des sites de reproduction maintenue et approuvée.</w:t>
      </w:r>
      <w:r w:rsidR="00DF3C0E" w:rsidRPr="00403C55">
        <w:rPr>
          <w:rFonts w:ascii="Times New Roman" w:hAnsi="Times New Roman" w:cs="Times New Roman"/>
          <w:i/>
          <w:lang w:val="fr-FR"/>
        </w:rPr>
        <w:t xml:space="preserve"> </w:t>
      </w:r>
      <w:r w:rsidR="004A0E96" w:rsidRPr="00403C55">
        <w:rPr>
          <w:rFonts w:ascii="Times New Roman" w:hAnsi="Times New Roman" w:cs="Times New Roman"/>
          <w:i/>
          <w:lang w:val="fr-FR"/>
        </w:rPr>
        <w:t>Gestion des réservoirs existants en accord avec les besoins des ibis.</w:t>
      </w:r>
      <w:r w:rsidR="00F0651A" w:rsidRPr="00403C55">
        <w:rPr>
          <w:rFonts w:ascii="Times New Roman" w:hAnsi="Times New Roman" w:cs="Times New Roman"/>
          <w:i/>
          <w:lang w:val="fr-FR"/>
        </w:rPr>
        <w:t xml:space="preserve"> </w:t>
      </w:r>
      <w:r w:rsidR="004A0E96" w:rsidRPr="00403C55">
        <w:rPr>
          <w:rFonts w:ascii="Times New Roman" w:hAnsi="Times New Roman" w:cs="Times New Roman"/>
          <w:i/>
          <w:lang w:val="fr-FR"/>
        </w:rPr>
        <w:t>(priorité élevée)</w:t>
      </w:r>
    </w:p>
    <w:p w14:paraId="600BCF3D" w14:textId="77777777" w:rsidR="00DF3C0E" w:rsidRPr="00403C55" w:rsidRDefault="00DF3C0E" w:rsidP="00DF3C0E">
      <w:pPr>
        <w:spacing w:after="0" w:line="240" w:lineRule="auto"/>
        <w:rPr>
          <w:rFonts w:ascii="Times New Roman" w:hAnsi="Times New Roman" w:cs="Times New Roman"/>
          <w:lang w:val="fr-FR"/>
        </w:rPr>
      </w:pPr>
    </w:p>
    <w:p w14:paraId="401A34BF" w14:textId="0D144E5D" w:rsidR="00DF3C0E" w:rsidRPr="00403C55" w:rsidRDefault="004A0E96" w:rsidP="00F0651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Ce résultat de priorité </w:t>
      </w:r>
      <w:r w:rsidR="006015A7" w:rsidRPr="00403C55">
        <w:rPr>
          <w:rFonts w:ascii="Times New Roman" w:hAnsi="Times New Roman" w:cs="Times New Roman"/>
          <w:lang w:val="fr-FR"/>
        </w:rPr>
        <w:t xml:space="preserve">élevée </w:t>
      </w:r>
      <w:r w:rsidRPr="00403C55">
        <w:rPr>
          <w:rFonts w:ascii="Times New Roman" w:hAnsi="Times New Roman" w:cs="Times New Roman"/>
          <w:lang w:val="fr-FR"/>
        </w:rPr>
        <w:t>et les deux actions correspondantes (2.1 et 2.2) ne s’appliquent qu’à la Syrie et au Maroc.</w:t>
      </w:r>
      <w:r w:rsidR="00DF3C0E" w:rsidRPr="00403C55">
        <w:rPr>
          <w:rFonts w:ascii="Times New Roman" w:hAnsi="Times New Roman" w:cs="Times New Roman"/>
          <w:lang w:val="fr-FR"/>
        </w:rPr>
        <w:t xml:space="preserve"> </w:t>
      </w:r>
      <w:r w:rsidRPr="00403C55">
        <w:rPr>
          <w:rFonts w:ascii="Times New Roman" w:hAnsi="Times New Roman" w:cs="Times New Roman"/>
          <w:lang w:val="fr-FR"/>
        </w:rPr>
        <w:t>Les deux pays ont indiqué avoir mis en œuvre les actions.</w:t>
      </w:r>
      <w:r w:rsidR="00DF3C0E" w:rsidRPr="00403C55">
        <w:rPr>
          <w:rFonts w:ascii="Times New Roman" w:hAnsi="Times New Roman" w:cs="Times New Roman"/>
          <w:lang w:val="fr-FR"/>
        </w:rPr>
        <w:t xml:space="preserve"> </w:t>
      </w:r>
    </w:p>
    <w:p w14:paraId="29D42110" w14:textId="77777777" w:rsidR="0088279E" w:rsidRPr="00403C55" w:rsidRDefault="0088279E" w:rsidP="00F0651A">
      <w:pPr>
        <w:spacing w:after="0" w:line="240" w:lineRule="auto"/>
        <w:jc w:val="both"/>
        <w:rPr>
          <w:rFonts w:ascii="Times New Roman" w:hAnsi="Times New Roman" w:cs="Times New Roman"/>
          <w:lang w:val="fr-FR"/>
        </w:rPr>
      </w:pPr>
    </w:p>
    <w:tbl>
      <w:tblPr>
        <w:tblStyle w:val="TableGrid"/>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81"/>
      </w:tblGrid>
      <w:tr w:rsidR="00DF3C0E" w:rsidRPr="00403C55" w14:paraId="14DFDABE" w14:textId="77777777" w:rsidTr="00F0651A">
        <w:trPr>
          <w:trHeight w:val="3651"/>
        </w:trPr>
        <w:tc>
          <w:tcPr>
            <w:tcW w:w="4587" w:type="dxa"/>
          </w:tcPr>
          <w:p w14:paraId="48665835" w14:textId="77777777" w:rsidR="00DF3C0E" w:rsidRPr="00403C55" w:rsidRDefault="00DF3C0E" w:rsidP="00E013BB">
            <w:pPr>
              <w:rPr>
                <w:rFonts w:ascii="Arial" w:hAnsi="Arial" w:cs="Arial"/>
                <w:sz w:val="20"/>
                <w:szCs w:val="20"/>
                <w:lang w:val="fr-FR"/>
              </w:rPr>
            </w:pPr>
            <w:r w:rsidRPr="00403C55">
              <w:rPr>
                <w:noProof/>
              </w:rPr>
              <w:drawing>
                <wp:inline distT="0" distB="0" distL="0" distR="0" wp14:anchorId="502395D0" wp14:editId="6409843C">
                  <wp:extent cx="2676525" cy="213360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81" w:type="dxa"/>
          </w:tcPr>
          <w:p w14:paraId="1952B469" w14:textId="77777777" w:rsidR="00DF3C0E" w:rsidRPr="00403C55" w:rsidRDefault="00DF3C0E" w:rsidP="00E013BB">
            <w:pPr>
              <w:rPr>
                <w:rFonts w:ascii="Arial" w:hAnsi="Arial" w:cs="Arial"/>
                <w:i/>
                <w:sz w:val="20"/>
                <w:szCs w:val="20"/>
                <w:lang w:val="fr-FR"/>
              </w:rPr>
            </w:pPr>
            <w:r w:rsidRPr="00403C55">
              <w:rPr>
                <w:noProof/>
              </w:rPr>
              <w:drawing>
                <wp:inline distT="0" distB="0" distL="0" distR="0" wp14:anchorId="5F41C9A8" wp14:editId="0BC07317">
                  <wp:extent cx="2743200" cy="2105025"/>
                  <wp:effectExtent l="0" t="0" r="1905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21231A1" w14:textId="1DB50A43" w:rsidR="003D19CA" w:rsidRPr="00403C55" w:rsidRDefault="003D19CA" w:rsidP="003D19CA">
      <w:pPr>
        <w:tabs>
          <w:tab w:val="left" w:pos="567"/>
          <w:tab w:val="left" w:pos="1701"/>
          <w:tab w:val="left" w:pos="5245"/>
          <w:tab w:val="left" w:pos="6521"/>
        </w:tabs>
        <w:spacing w:after="0" w:line="240" w:lineRule="auto"/>
        <w:rPr>
          <w:rFonts w:ascii="Times New Roman" w:hAnsi="Times New Roman" w:cs="Times New Roman"/>
          <w:lang w:val="fr-FR"/>
        </w:rPr>
      </w:pPr>
      <w:r w:rsidRPr="00403C55">
        <w:rPr>
          <w:rFonts w:ascii="Times New Roman" w:hAnsi="Times New Roman" w:cs="Times New Roman"/>
          <w:lang w:val="fr-FR"/>
        </w:rPr>
        <w:tab/>
        <w:t>Oui</w:t>
      </w:r>
      <w:r w:rsidRPr="00403C55">
        <w:rPr>
          <w:rFonts w:ascii="Times New Roman" w:hAnsi="Times New Roman" w:cs="Times New Roman"/>
          <w:lang w:val="fr-FR"/>
        </w:rPr>
        <w:tab/>
        <w:t>Non applicable</w:t>
      </w:r>
      <w:r w:rsidRPr="00403C55">
        <w:rPr>
          <w:rFonts w:ascii="Times New Roman" w:hAnsi="Times New Roman" w:cs="Times New Roman"/>
          <w:lang w:val="fr-FR"/>
        </w:rPr>
        <w:tab/>
        <w:t>Oui</w:t>
      </w:r>
      <w:r w:rsidRPr="00403C55">
        <w:rPr>
          <w:rFonts w:ascii="Times New Roman" w:hAnsi="Times New Roman" w:cs="Times New Roman"/>
          <w:lang w:val="fr-FR"/>
        </w:rPr>
        <w:tab/>
        <w:t>Non applicable</w:t>
      </w:r>
    </w:p>
    <w:p w14:paraId="6F47B30B" w14:textId="77777777" w:rsidR="00020461" w:rsidRPr="00403C55" w:rsidRDefault="00020461" w:rsidP="003D19CA">
      <w:pPr>
        <w:tabs>
          <w:tab w:val="left" w:pos="567"/>
          <w:tab w:val="left" w:pos="1701"/>
          <w:tab w:val="left" w:pos="5245"/>
          <w:tab w:val="left" w:pos="6521"/>
        </w:tabs>
        <w:spacing w:after="0" w:line="240" w:lineRule="auto"/>
        <w:rPr>
          <w:rFonts w:ascii="Times New Roman" w:hAnsi="Times New Roman" w:cs="Times New Roman"/>
          <w:lang w:val="fr-FR"/>
        </w:rPr>
      </w:pPr>
    </w:p>
    <w:p w14:paraId="7CB597B0" w14:textId="37F9BB3D" w:rsidR="00F0651A" w:rsidRPr="00403C55" w:rsidRDefault="004A0E96" w:rsidP="00F0651A">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F0651A" w:rsidRPr="00403C55">
        <w:rPr>
          <w:rFonts w:ascii="Times New Roman" w:hAnsi="Times New Roman" w:cs="Times New Roman"/>
          <w:b/>
          <w:lang w:val="fr-FR"/>
        </w:rPr>
        <w:tab/>
        <w:t>100</w:t>
      </w:r>
      <w:r w:rsidR="00985A4E">
        <w:rPr>
          <w:rFonts w:ascii="Times New Roman" w:hAnsi="Times New Roman" w:cs="Times New Roman"/>
          <w:b/>
          <w:lang w:val="fr-FR"/>
        </w:rPr>
        <w:t xml:space="preserve"> </w:t>
      </w:r>
      <w:r w:rsidR="00F0651A" w:rsidRPr="00403C55">
        <w:rPr>
          <w:rFonts w:ascii="Times New Roman" w:hAnsi="Times New Roman" w:cs="Times New Roman"/>
          <w:b/>
          <w:lang w:val="fr-FR"/>
        </w:rPr>
        <w:t xml:space="preserve">% </w:t>
      </w:r>
    </w:p>
    <w:p w14:paraId="6AD76025" w14:textId="1B5E82D1" w:rsidR="00DF3C0E" w:rsidRPr="00403C55" w:rsidRDefault="004A0E96" w:rsidP="00DF3C0E">
      <w:pPr>
        <w:spacing w:after="0" w:line="240" w:lineRule="auto"/>
        <w:rPr>
          <w:rFonts w:ascii="Arial" w:hAnsi="Arial" w:cs="Arial"/>
          <w:sz w:val="20"/>
          <w:szCs w:val="20"/>
          <w:lang w:val="fr-FR"/>
        </w:rPr>
      </w:pPr>
      <w:r w:rsidRPr="00403C55">
        <w:rPr>
          <w:rFonts w:ascii="Arial" w:hAnsi="Arial" w:cs="Arial"/>
          <w:sz w:val="20"/>
          <w:szCs w:val="20"/>
          <w:lang w:val="fr-FR"/>
        </w:rPr>
        <w:t xml:space="preserve"> </w:t>
      </w:r>
    </w:p>
    <w:p w14:paraId="63906353" w14:textId="67E40081" w:rsidR="00DF3C0E"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5.3.</w:t>
      </w:r>
      <w:r w:rsidR="00DF3C0E" w:rsidRPr="00403C55">
        <w:rPr>
          <w:rFonts w:ascii="Times New Roman" w:hAnsi="Times New Roman" w:cs="Times New Roman"/>
          <w:i/>
          <w:lang w:val="fr-FR"/>
        </w:rPr>
        <w:t xml:space="preserve"> </w:t>
      </w:r>
      <w:r w:rsidR="004A0E96" w:rsidRPr="00403C55">
        <w:rPr>
          <w:rFonts w:ascii="Times New Roman" w:hAnsi="Times New Roman" w:cs="Times New Roman"/>
          <w:i/>
          <w:lang w:val="fr-FR"/>
        </w:rPr>
        <w:t>Résultat 3 – L’impact de l’introduction de nouveaux oiseaux dans les colonies reproductrices existantes est étudié en captivité au cours de la saison de reproduction (faible priorité)</w:t>
      </w:r>
    </w:p>
    <w:p w14:paraId="353F58F8" w14:textId="77777777" w:rsidR="00DF3C0E" w:rsidRPr="00403C55" w:rsidRDefault="00DF3C0E" w:rsidP="00DF3C0E">
      <w:pPr>
        <w:spacing w:after="0" w:line="240" w:lineRule="auto"/>
        <w:rPr>
          <w:rFonts w:ascii="Times New Roman" w:hAnsi="Times New Roman" w:cs="Times New Roman"/>
          <w:i/>
          <w:lang w:val="fr-FR"/>
        </w:rPr>
      </w:pPr>
    </w:p>
    <w:p w14:paraId="63EE3172" w14:textId="1D552823" w:rsidR="00DF3C0E" w:rsidRPr="00403C55" w:rsidRDefault="00F33F4D" w:rsidP="00DF3C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Des in</w:t>
      </w:r>
      <w:r w:rsidR="004A0E96" w:rsidRPr="00403C55">
        <w:rPr>
          <w:rFonts w:ascii="Times New Roman" w:hAnsi="Times New Roman" w:cs="Times New Roman"/>
          <w:lang w:val="fr-FR"/>
        </w:rPr>
        <w:t xml:space="preserve">stitutions </w:t>
      </w:r>
      <w:r w:rsidRPr="00403C55">
        <w:rPr>
          <w:rFonts w:ascii="Times New Roman" w:hAnsi="Times New Roman" w:cs="Times New Roman"/>
          <w:lang w:val="fr-FR"/>
        </w:rPr>
        <w:t>et des modèles de recherche adéquats ont été identifiés</w:t>
      </w:r>
      <w:r w:rsidR="004A0E96" w:rsidRPr="00403C55">
        <w:rPr>
          <w:rFonts w:ascii="Times New Roman" w:hAnsi="Times New Roman" w:cs="Times New Roman"/>
          <w:lang w:val="fr-FR"/>
        </w:rPr>
        <w:t xml:space="preserve"> </w:t>
      </w:r>
      <w:r w:rsidRPr="00403C55">
        <w:rPr>
          <w:rFonts w:ascii="Times New Roman" w:hAnsi="Times New Roman" w:cs="Times New Roman"/>
          <w:lang w:val="fr-FR"/>
        </w:rPr>
        <w:t>pour manipuler les colonies captives</w:t>
      </w:r>
      <w:r w:rsidR="004A0E96" w:rsidRPr="00403C55">
        <w:rPr>
          <w:rFonts w:ascii="Times New Roman" w:hAnsi="Times New Roman" w:cs="Times New Roman"/>
          <w:lang w:val="fr-FR"/>
        </w:rPr>
        <w:t xml:space="preserve"> (activit</w:t>
      </w:r>
      <w:r w:rsidRPr="00403C55">
        <w:rPr>
          <w:rFonts w:ascii="Times New Roman" w:hAnsi="Times New Roman" w:cs="Times New Roman"/>
          <w:lang w:val="fr-FR"/>
        </w:rPr>
        <w:t>é</w:t>
      </w:r>
      <w:r w:rsidR="004A0E96" w:rsidRPr="00403C55">
        <w:rPr>
          <w:rFonts w:ascii="Times New Roman" w:hAnsi="Times New Roman" w:cs="Times New Roman"/>
          <w:lang w:val="fr-FR"/>
        </w:rPr>
        <w:t xml:space="preserve"> 3.1) </w:t>
      </w:r>
      <w:r w:rsidRPr="00403C55">
        <w:rPr>
          <w:rFonts w:ascii="Times New Roman" w:hAnsi="Times New Roman" w:cs="Times New Roman"/>
          <w:lang w:val="fr-FR"/>
        </w:rPr>
        <w:t>e</w:t>
      </w:r>
      <w:r w:rsidR="004A0E96" w:rsidRPr="00403C55">
        <w:rPr>
          <w:rFonts w:ascii="Times New Roman" w:hAnsi="Times New Roman" w:cs="Times New Roman"/>
          <w:lang w:val="fr-FR"/>
        </w:rPr>
        <w:t>n Syri</w:t>
      </w:r>
      <w:r w:rsidRPr="00403C55">
        <w:rPr>
          <w:rFonts w:ascii="Times New Roman" w:hAnsi="Times New Roman" w:cs="Times New Roman"/>
          <w:lang w:val="fr-FR"/>
        </w:rPr>
        <w:t>e</w:t>
      </w:r>
      <w:r w:rsidR="004A0E96" w:rsidRPr="00403C55">
        <w:rPr>
          <w:rFonts w:ascii="Times New Roman" w:hAnsi="Times New Roman" w:cs="Times New Roman"/>
          <w:lang w:val="fr-FR"/>
        </w:rPr>
        <w:t xml:space="preserve"> </w:t>
      </w:r>
      <w:r w:rsidRPr="00403C55">
        <w:rPr>
          <w:rFonts w:ascii="Times New Roman" w:hAnsi="Times New Roman" w:cs="Times New Roman"/>
          <w:lang w:val="fr-FR"/>
        </w:rPr>
        <w:t>et au Maroc</w:t>
      </w:r>
      <w:r w:rsidR="004A0E96" w:rsidRPr="00403C55">
        <w:rPr>
          <w:rFonts w:ascii="Times New Roman" w:hAnsi="Times New Roman" w:cs="Times New Roman"/>
          <w:lang w:val="fr-FR"/>
        </w:rPr>
        <w:t xml:space="preserve">, </w:t>
      </w:r>
      <w:r w:rsidRPr="00403C55">
        <w:rPr>
          <w:rFonts w:ascii="Times New Roman" w:hAnsi="Times New Roman" w:cs="Times New Roman"/>
          <w:lang w:val="fr-FR"/>
        </w:rPr>
        <w:t>mais pas en Turquie</w:t>
      </w:r>
      <w:r w:rsidR="004A0E96" w:rsidRPr="00403C55">
        <w:rPr>
          <w:rFonts w:ascii="Times New Roman" w:hAnsi="Times New Roman" w:cs="Times New Roman"/>
          <w:lang w:val="fr-FR"/>
        </w:rPr>
        <w:t xml:space="preserve"> (67</w:t>
      </w:r>
      <w:r w:rsidRPr="00403C55">
        <w:rPr>
          <w:rFonts w:ascii="Times New Roman" w:hAnsi="Times New Roman" w:cs="Times New Roman"/>
          <w:lang w:val="fr-FR"/>
        </w:rPr>
        <w:t xml:space="preserve"> </w:t>
      </w:r>
      <w:r w:rsidR="004A0E96" w:rsidRPr="00403C55">
        <w:rPr>
          <w:rFonts w:ascii="Times New Roman" w:hAnsi="Times New Roman" w:cs="Times New Roman"/>
          <w:lang w:val="fr-FR"/>
        </w:rPr>
        <w:t>%).</w:t>
      </w:r>
      <w:r w:rsidR="00DF3C0E" w:rsidRPr="00403C55">
        <w:rPr>
          <w:rFonts w:ascii="Times New Roman" w:hAnsi="Times New Roman" w:cs="Times New Roman"/>
          <w:lang w:val="fr-FR"/>
        </w:rPr>
        <w:t xml:space="preserve"> </w:t>
      </w:r>
      <w:r w:rsidRPr="00403C55">
        <w:rPr>
          <w:rFonts w:ascii="Times New Roman" w:hAnsi="Times New Roman" w:cs="Times New Roman"/>
          <w:lang w:val="fr-FR"/>
        </w:rPr>
        <w:t>Aucune recherche n’a été menée pour étudier l’impact de l’introduction de nouveaux oiseaux dans des colonies reproductrices existantes (activité 3.2) ni au Maroc ni en Turquie.</w:t>
      </w:r>
      <w:r w:rsidR="00DF3C0E" w:rsidRPr="00403C55">
        <w:rPr>
          <w:rFonts w:ascii="Times New Roman" w:hAnsi="Times New Roman" w:cs="Times New Roman"/>
          <w:lang w:val="fr-FR"/>
        </w:rPr>
        <w:t xml:space="preserve"> </w:t>
      </w:r>
      <w:r w:rsidRPr="00403C55">
        <w:rPr>
          <w:rFonts w:ascii="Times New Roman" w:hAnsi="Times New Roman" w:cs="Times New Roman"/>
          <w:lang w:val="fr-FR"/>
        </w:rPr>
        <w:t>Mais la Syrie (33 %) a réalisé ce genre de recherches et a indiqué que les oiseaux en captivité essayaient de se reproduire mais ne parvenaient pas à élever leurs petits à cause de perturbations du nid par un second mâle.</w:t>
      </w:r>
      <w:r w:rsidR="00DF3C0E" w:rsidRPr="00403C55">
        <w:rPr>
          <w:rFonts w:ascii="Times New Roman" w:hAnsi="Times New Roman" w:cs="Times New Roman"/>
          <w:lang w:val="fr-FR"/>
        </w:rPr>
        <w:t xml:space="preserve"> </w:t>
      </w:r>
      <w:r w:rsidRPr="00403C55">
        <w:rPr>
          <w:rFonts w:ascii="Times New Roman" w:hAnsi="Times New Roman" w:cs="Times New Roman"/>
          <w:lang w:val="fr-FR"/>
        </w:rPr>
        <w:t xml:space="preserve">La surveillance de leur </w:t>
      </w:r>
      <w:r w:rsidRPr="00403C55">
        <w:rPr>
          <w:rFonts w:ascii="Times New Roman" w:hAnsi="Times New Roman" w:cs="Times New Roman"/>
          <w:lang w:val="fr-FR"/>
        </w:rPr>
        <w:lastRenderedPageBreak/>
        <w:t>comportement en cage a abouti à un accouplement réussi au bout de deux ans, mais aucun œuf n’est éclos.</w:t>
      </w:r>
      <w:r w:rsidR="00DF3C0E" w:rsidRPr="00403C55">
        <w:rPr>
          <w:rFonts w:ascii="Times New Roman" w:hAnsi="Times New Roman" w:cs="Times New Roman"/>
          <w:lang w:val="fr-FR"/>
        </w:rPr>
        <w:t xml:space="preserve"> </w:t>
      </w:r>
      <w:r w:rsidRPr="00403C55">
        <w:rPr>
          <w:rFonts w:ascii="Times New Roman" w:hAnsi="Times New Roman" w:cs="Times New Roman"/>
          <w:lang w:val="fr-FR"/>
        </w:rPr>
        <w:t>En 2015, l’accouplement et l</w:t>
      </w:r>
      <w:r w:rsidR="004568C2">
        <w:rPr>
          <w:rFonts w:ascii="Times New Roman" w:hAnsi="Times New Roman" w:cs="Times New Roman"/>
          <w:lang w:val="fr-FR"/>
        </w:rPr>
        <w:t>’éloignement</w:t>
      </w:r>
      <w:r w:rsidRPr="00403C55">
        <w:rPr>
          <w:rFonts w:ascii="Times New Roman" w:hAnsi="Times New Roman" w:cs="Times New Roman"/>
          <w:lang w:val="fr-FR"/>
        </w:rPr>
        <w:t xml:space="preserve"> des couples </w:t>
      </w:r>
      <w:r w:rsidR="00870983">
        <w:rPr>
          <w:rFonts w:ascii="Times New Roman" w:hAnsi="Times New Roman" w:cs="Times New Roman"/>
          <w:lang w:val="fr-FR"/>
        </w:rPr>
        <w:t>en dehors</w:t>
      </w:r>
      <w:r w:rsidRPr="00403C55">
        <w:rPr>
          <w:rFonts w:ascii="Times New Roman" w:hAnsi="Times New Roman" w:cs="Times New Roman"/>
          <w:lang w:val="fr-FR"/>
        </w:rPr>
        <w:t xml:space="preserve"> des perturbations ont mené à une reproduction réussie et un petit est né récemment.</w:t>
      </w:r>
      <w:r w:rsidR="00CC3347" w:rsidRPr="00403C55">
        <w:rPr>
          <w:rFonts w:ascii="Times New Roman" w:hAnsi="Times New Roman" w:cs="Times New Roman"/>
          <w:lang w:val="fr-FR"/>
        </w:rPr>
        <w:t xml:space="preserve"> </w:t>
      </w:r>
    </w:p>
    <w:p w14:paraId="43EBC625" w14:textId="77777777" w:rsidR="00DF3C0E" w:rsidRPr="00403C55" w:rsidRDefault="00DF3C0E" w:rsidP="00DF3C0E">
      <w:pPr>
        <w:spacing w:after="0" w:line="240" w:lineRule="auto"/>
        <w:jc w:val="both"/>
        <w:rPr>
          <w:rFonts w:ascii="Times New Roman" w:hAnsi="Times New Roman" w:cs="Times New Roman"/>
          <w:lang w:val="fr-FR"/>
        </w:rPr>
      </w:pPr>
    </w:p>
    <w:p w14:paraId="471D4A37" w14:textId="35FF219E" w:rsidR="00DF3C0E" w:rsidRPr="00403C55" w:rsidRDefault="00F33F4D" w:rsidP="00DF3C0E">
      <w:pPr>
        <w:spacing w:after="0" w:line="240" w:lineRule="auto"/>
        <w:jc w:val="both"/>
        <w:rPr>
          <w:rFonts w:ascii="Times New Roman" w:hAnsi="Times New Roman" w:cs="Times New Roman"/>
          <w:lang w:val="fr-FR"/>
        </w:rPr>
      </w:pPr>
      <w:r w:rsidRPr="00403C55">
        <w:rPr>
          <w:rFonts w:ascii="Times New Roman" w:hAnsi="Times New Roman" w:cs="Times New Roman"/>
          <w:b/>
          <w:lang w:val="fr-FR"/>
        </w:rPr>
        <w:t>Taux de mise en œuvre moyen :</w:t>
      </w:r>
      <w:r w:rsidR="00BA3F4D" w:rsidRPr="00403C55">
        <w:rPr>
          <w:rFonts w:ascii="Times New Roman" w:hAnsi="Times New Roman" w:cs="Times New Roman"/>
          <w:b/>
          <w:lang w:val="fr-FR"/>
        </w:rPr>
        <w:t xml:space="preserve"> </w:t>
      </w:r>
      <w:r w:rsidR="00003162" w:rsidRPr="00403C55">
        <w:rPr>
          <w:rFonts w:ascii="Times New Roman" w:hAnsi="Times New Roman" w:cs="Times New Roman"/>
          <w:b/>
          <w:lang w:val="fr-FR"/>
        </w:rPr>
        <w:t>50</w:t>
      </w:r>
      <w:r w:rsidRPr="00403C55">
        <w:rPr>
          <w:rFonts w:ascii="Times New Roman" w:hAnsi="Times New Roman" w:cs="Times New Roman"/>
          <w:b/>
          <w:lang w:val="fr-FR"/>
        </w:rPr>
        <w:t xml:space="preserve"> </w:t>
      </w:r>
      <w:r w:rsidR="00003162" w:rsidRPr="00403C55">
        <w:rPr>
          <w:rFonts w:ascii="Times New Roman" w:hAnsi="Times New Roman" w:cs="Times New Roman"/>
          <w:b/>
          <w:lang w:val="fr-FR"/>
        </w:rPr>
        <w:t>%</w:t>
      </w:r>
    </w:p>
    <w:p w14:paraId="49B4F27A" w14:textId="77777777" w:rsidR="00DF3C0E" w:rsidRPr="00403C55" w:rsidRDefault="00DF3C0E" w:rsidP="00DF3C0E">
      <w:pPr>
        <w:spacing w:after="0" w:line="240" w:lineRule="auto"/>
        <w:jc w:val="both"/>
        <w:rPr>
          <w:rFonts w:ascii="Times New Roman" w:hAnsi="Times New Roman" w:cs="Times New Roman"/>
          <w:lang w:val="fr-FR"/>
        </w:rPr>
      </w:pPr>
    </w:p>
    <w:p w14:paraId="3DC70BA3" w14:textId="3FC0101D" w:rsidR="00DF3C0E" w:rsidRPr="00403C55" w:rsidRDefault="002F3ECE" w:rsidP="00DF3C0E">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5.4.</w:t>
      </w:r>
      <w:r w:rsidR="00DF3C0E" w:rsidRPr="00403C55">
        <w:rPr>
          <w:rFonts w:ascii="Times New Roman" w:hAnsi="Times New Roman" w:cs="Times New Roman"/>
          <w:i/>
          <w:lang w:val="fr-FR"/>
        </w:rPr>
        <w:t xml:space="preserve"> </w:t>
      </w:r>
      <w:r w:rsidR="00F33F4D" w:rsidRPr="00403C55">
        <w:rPr>
          <w:rFonts w:ascii="Times New Roman" w:hAnsi="Times New Roman" w:cs="Times New Roman"/>
          <w:i/>
          <w:lang w:val="fr-FR"/>
        </w:rPr>
        <w:t>Résultat 4 – Le niveau de variation génétique au sein des populations captives, semi-sauvages et sauvages est évaluée (priorité moyenne)</w:t>
      </w:r>
    </w:p>
    <w:p w14:paraId="18163379" w14:textId="77777777" w:rsidR="00DF3C0E" w:rsidRPr="00403C55" w:rsidRDefault="00DF3C0E" w:rsidP="00DF3C0E">
      <w:pPr>
        <w:spacing w:after="0" w:line="240" w:lineRule="auto"/>
        <w:jc w:val="both"/>
        <w:rPr>
          <w:rFonts w:ascii="Times New Roman" w:hAnsi="Times New Roman" w:cs="Times New Roman"/>
          <w:lang w:val="fr-FR"/>
        </w:rPr>
      </w:pPr>
    </w:p>
    <w:p w14:paraId="6B71B3A9" w14:textId="09B08F67" w:rsidR="00003162" w:rsidRPr="00403C55" w:rsidRDefault="00F33F4D" w:rsidP="00003162">
      <w:pPr>
        <w:spacing w:after="0" w:line="240" w:lineRule="auto"/>
        <w:jc w:val="both"/>
        <w:rPr>
          <w:rFonts w:ascii="Times New Roman" w:hAnsi="Times New Roman" w:cs="Times New Roman"/>
          <w:lang w:val="fr-FR"/>
        </w:rPr>
      </w:pPr>
      <w:r w:rsidRPr="00403C55">
        <w:rPr>
          <w:rFonts w:ascii="Times New Roman" w:hAnsi="Times New Roman" w:cs="Times New Roman"/>
          <w:lang w:val="fr-FR"/>
        </w:rPr>
        <w:t>Aucun pays n’a</w:t>
      </w:r>
      <w:r w:rsidR="00552518">
        <w:rPr>
          <w:rFonts w:ascii="Times New Roman" w:hAnsi="Times New Roman" w:cs="Times New Roman"/>
          <w:lang w:val="fr-FR"/>
        </w:rPr>
        <w:t xml:space="preserve"> indiqué l’élaboration de</w:t>
      </w:r>
      <w:r w:rsidRPr="00403C55">
        <w:rPr>
          <w:rFonts w:ascii="Times New Roman" w:hAnsi="Times New Roman" w:cs="Times New Roman"/>
          <w:lang w:val="fr-FR"/>
        </w:rPr>
        <w:t xml:space="preserve"> protocoles pour évaluer les variations génétiques chez l’Ibis chauve (activité 4.1). La Syrie a fait part de la mise en œuvre partielle de l’activité 4.2, </w:t>
      </w:r>
      <w:r w:rsidR="006015A7" w:rsidRPr="00403C55">
        <w:rPr>
          <w:rFonts w:ascii="Times New Roman" w:hAnsi="Times New Roman" w:cs="Times New Roman"/>
          <w:lang w:val="fr-FR"/>
        </w:rPr>
        <w:t xml:space="preserve">de </w:t>
      </w:r>
      <w:r w:rsidRPr="00403C55">
        <w:rPr>
          <w:rFonts w:ascii="Times New Roman" w:hAnsi="Times New Roman" w:cs="Times New Roman"/>
          <w:lang w:val="fr-FR"/>
        </w:rPr>
        <w:t xml:space="preserve">l’identification d’institutions adéquates et </w:t>
      </w:r>
      <w:r w:rsidR="006015A7" w:rsidRPr="00403C55">
        <w:rPr>
          <w:rFonts w:ascii="Times New Roman" w:hAnsi="Times New Roman" w:cs="Times New Roman"/>
          <w:lang w:val="fr-FR"/>
        </w:rPr>
        <w:t>du</w:t>
      </w:r>
      <w:r w:rsidRPr="00403C55">
        <w:rPr>
          <w:rFonts w:ascii="Times New Roman" w:hAnsi="Times New Roman" w:cs="Times New Roman"/>
          <w:lang w:val="fr-FR"/>
        </w:rPr>
        <w:t xml:space="preserve"> recueil d’échantillons appropriés.</w:t>
      </w:r>
      <w:r w:rsidR="007E6178" w:rsidRPr="00403C55">
        <w:rPr>
          <w:rFonts w:ascii="Times New Roman" w:hAnsi="Times New Roman" w:cs="Times New Roman"/>
          <w:lang w:val="fr-FR"/>
        </w:rPr>
        <w:t xml:space="preserve"> </w:t>
      </w:r>
      <w:r w:rsidR="000E649A" w:rsidRPr="00403C55">
        <w:rPr>
          <w:rFonts w:ascii="Times New Roman" w:hAnsi="Times New Roman" w:cs="Times New Roman"/>
          <w:lang w:val="fr-FR"/>
        </w:rPr>
        <w:t>L’activité 4.3 relative à l’évaluation de toute donnée existante sur l’interférence des colonies causée par des oiseaux introduits tel qu'à Birecik, n’a pas été introduite dans le questionnaire.</w:t>
      </w:r>
      <w:r w:rsidR="00985A4E">
        <w:rPr>
          <w:rFonts w:ascii="Times New Roman" w:hAnsi="Times New Roman" w:cs="Times New Roman"/>
          <w:lang w:val="fr-FR"/>
        </w:rPr>
        <w:t xml:space="preserve"> </w:t>
      </w:r>
    </w:p>
    <w:p w14:paraId="00059168" w14:textId="77777777" w:rsidR="00003162" w:rsidRPr="00403C55" w:rsidRDefault="00003162" w:rsidP="00DF3C0E">
      <w:pPr>
        <w:spacing w:after="0" w:line="240" w:lineRule="auto"/>
        <w:rPr>
          <w:rFonts w:ascii="Times New Roman" w:hAnsi="Times New Roman" w:cs="Times New Roman"/>
          <w:lang w:val="fr-FR"/>
        </w:rPr>
      </w:pPr>
    </w:p>
    <w:p w14:paraId="0DE0472C" w14:textId="2556E82C" w:rsidR="00DF3C0E" w:rsidRPr="00403C55" w:rsidRDefault="000E649A" w:rsidP="00DF3C0E">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7E6178" w:rsidRPr="00403C55">
        <w:rPr>
          <w:rFonts w:ascii="Times New Roman" w:hAnsi="Times New Roman" w:cs="Times New Roman"/>
          <w:lang w:val="fr-FR"/>
        </w:rPr>
        <w:t xml:space="preserve"> </w:t>
      </w:r>
      <w:r w:rsidR="007E6178" w:rsidRPr="00403C55">
        <w:rPr>
          <w:rFonts w:ascii="Times New Roman" w:hAnsi="Times New Roman" w:cs="Times New Roman"/>
          <w:b/>
          <w:lang w:val="fr-FR"/>
        </w:rPr>
        <w:t>0%</w:t>
      </w:r>
      <w:r w:rsidR="00003162" w:rsidRPr="00403C55">
        <w:rPr>
          <w:rFonts w:ascii="Times New Roman" w:hAnsi="Times New Roman" w:cs="Times New Roman"/>
          <w:b/>
          <w:lang w:val="fr-FR"/>
        </w:rPr>
        <w:t xml:space="preserve"> </w:t>
      </w:r>
    </w:p>
    <w:p w14:paraId="70171974" w14:textId="77777777" w:rsidR="00DF3C0E" w:rsidRPr="00403C55" w:rsidRDefault="00DF3C0E" w:rsidP="00DF3C0E">
      <w:pPr>
        <w:spacing w:after="0" w:line="240" w:lineRule="auto"/>
        <w:rPr>
          <w:rFonts w:ascii="Times New Roman" w:hAnsi="Times New Roman" w:cs="Times New Roman"/>
          <w:lang w:val="fr-FR"/>
        </w:rPr>
      </w:pPr>
    </w:p>
    <w:p w14:paraId="4A0522E0" w14:textId="77777777" w:rsidR="0088279E" w:rsidRPr="00403C55" w:rsidRDefault="0088279E" w:rsidP="00DF3C0E">
      <w:pPr>
        <w:spacing w:after="0" w:line="240" w:lineRule="auto"/>
        <w:rPr>
          <w:rFonts w:ascii="Times New Roman" w:hAnsi="Times New Roman" w:cs="Times New Roman"/>
          <w:lang w:val="fr-FR"/>
        </w:rPr>
      </w:pPr>
    </w:p>
    <w:p w14:paraId="4CF354DA" w14:textId="6572B1BD" w:rsidR="00910B8D"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5.5.</w:t>
      </w:r>
      <w:r w:rsidR="00910B8D" w:rsidRPr="00403C55">
        <w:rPr>
          <w:rFonts w:ascii="Times New Roman" w:hAnsi="Times New Roman" w:cs="Times New Roman"/>
          <w:i/>
          <w:lang w:val="fr-FR"/>
        </w:rPr>
        <w:t xml:space="preserve"> </w:t>
      </w:r>
      <w:r w:rsidR="000E649A" w:rsidRPr="00403C55">
        <w:rPr>
          <w:rFonts w:ascii="Times New Roman" w:hAnsi="Times New Roman" w:cs="Times New Roman"/>
          <w:i/>
          <w:lang w:val="fr-FR"/>
        </w:rPr>
        <w:t xml:space="preserve">Résultat 5 – Un contrôle sanitaire complet </w:t>
      </w:r>
      <w:r w:rsidR="00ED66B8" w:rsidRPr="00403C55">
        <w:rPr>
          <w:rFonts w:ascii="Times New Roman" w:hAnsi="Times New Roman" w:cs="Times New Roman"/>
          <w:i/>
          <w:lang w:val="fr-FR"/>
        </w:rPr>
        <w:t>est effectué</w:t>
      </w:r>
      <w:r w:rsidR="000E649A" w:rsidRPr="00403C55">
        <w:rPr>
          <w:rFonts w:ascii="Times New Roman" w:hAnsi="Times New Roman" w:cs="Times New Roman"/>
          <w:i/>
          <w:lang w:val="fr-FR"/>
        </w:rPr>
        <w:t xml:space="preserve"> sur tous les oiseaux avant la réintroduction (priorité élevée)</w:t>
      </w:r>
    </w:p>
    <w:p w14:paraId="631DDFFE" w14:textId="77777777" w:rsidR="00910B8D" w:rsidRPr="00403C55" w:rsidRDefault="00910B8D" w:rsidP="00DF3C0E">
      <w:pPr>
        <w:spacing w:after="0" w:line="240" w:lineRule="auto"/>
        <w:rPr>
          <w:rFonts w:ascii="Times New Roman" w:hAnsi="Times New Roman" w:cs="Times New Roman"/>
          <w:lang w:val="fr-FR"/>
        </w:rPr>
      </w:pPr>
    </w:p>
    <w:p w14:paraId="3BD887B3" w14:textId="4EF5F4A9" w:rsidR="00162BBA" w:rsidRPr="00403C55" w:rsidRDefault="000E649A" w:rsidP="00162BB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Comme des activités de lâcher ou de réintroduction ont uniquement été entreprises en Turquie, en pratique, les activités relevant de ce résultat ne s’appliquent pas aux autres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w:t>
      </w:r>
      <w:r w:rsidR="00162BBA" w:rsidRPr="00403C55">
        <w:rPr>
          <w:rFonts w:ascii="Times New Roman" w:hAnsi="Times New Roman" w:cs="Times New Roman"/>
          <w:lang w:val="fr-FR"/>
        </w:rPr>
        <w:t xml:space="preserve"> </w:t>
      </w:r>
      <w:r w:rsidRPr="00403C55">
        <w:rPr>
          <w:rFonts w:ascii="Times New Roman" w:hAnsi="Times New Roman" w:cs="Times New Roman"/>
          <w:lang w:val="fr-FR"/>
        </w:rPr>
        <w:t xml:space="preserve">La Turquie a fait savoir qu’elle avait établi un protocole de </w:t>
      </w:r>
      <w:r w:rsidR="008657AF" w:rsidRPr="00403C55">
        <w:rPr>
          <w:rFonts w:ascii="Times New Roman" w:hAnsi="Times New Roman" w:cs="Times New Roman"/>
          <w:lang w:val="fr-FR"/>
        </w:rPr>
        <w:t>contrôle sanitaire</w:t>
      </w:r>
      <w:r w:rsidRPr="00403C55">
        <w:rPr>
          <w:rFonts w:ascii="Times New Roman" w:hAnsi="Times New Roman" w:cs="Times New Roman"/>
          <w:lang w:val="fr-FR"/>
        </w:rPr>
        <w:t xml:space="preserve"> </w:t>
      </w:r>
      <w:r w:rsidR="008657AF" w:rsidRPr="00403C55">
        <w:rPr>
          <w:rFonts w:ascii="Times New Roman" w:hAnsi="Times New Roman" w:cs="Times New Roman"/>
          <w:lang w:val="fr-FR"/>
        </w:rPr>
        <w:t>pour l’Ibis chauve</w:t>
      </w:r>
      <w:r w:rsidRPr="00403C55">
        <w:rPr>
          <w:rFonts w:ascii="Times New Roman" w:hAnsi="Times New Roman" w:cs="Times New Roman"/>
          <w:lang w:val="fr-FR"/>
        </w:rPr>
        <w:t xml:space="preserve"> </w:t>
      </w:r>
      <w:r w:rsidR="008657AF" w:rsidRPr="00403C55">
        <w:rPr>
          <w:rFonts w:ascii="Times New Roman" w:hAnsi="Times New Roman" w:cs="Times New Roman"/>
          <w:lang w:val="fr-FR"/>
        </w:rPr>
        <w:t>avant la ré</w:t>
      </w:r>
      <w:r w:rsidRPr="00403C55">
        <w:rPr>
          <w:rFonts w:ascii="Times New Roman" w:hAnsi="Times New Roman" w:cs="Times New Roman"/>
          <w:lang w:val="fr-FR"/>
        </w:rPr>
        <w:t>introduction (activit</w:t>
      </w:r>
      <w:r w:rsidR="008657AF" w:rsidRPr="00403C55">
        <w:rPr>
          <w:rFonts w:ascii="Times New Roman" w:hAnsi="Times New Roman" w:cs="Times New Roman"/>
          <w:lang w:val="fr-FR"/>
        </w:rPr>
        <w:t>é</w:t>
      </w:r>
      <w:r w:rsidRPr="00403C55">
        <w:rPr>
          <w:rFonts w:ascii="Times New Roman" w:hAnsi="Times New Roman" w:cs="Times New Roman"/>
          <w:lang w:val="fr-FR"/>
        </w:rPr>
        <w:t xml:space="preserve"> 5.1 / 100</w:t>
      </w:r>
      <w:r w:rsidR="008657AF" w:rsidRPr="00403C55">
        <w:rPr>
          <w:rFonts w:ascii="Times New Roman" w:hAnsi="Times New Roman" w:cs="Times New Roman"/>
          <w:lang w:val="fr-FR"/>
        </w:rPr>
        <w:t xml:space="preserve"> </w:t>
      </w:r>
      <w:r w:rsidRPr="00403C55">
        <w:rPr>
          <w:rFonts w:ascii="Times New Roman" w:hAnsi="Times New Roman" w:cs="Times New Roman"/>
          <w:lang w:val="fr-FR"/>
        </w:rPr>
        <w:t>%).</w:t>
      </w:r>
      <w:r w:rsidR="00162BBA" w:rsidRPr="00403C55">
        <w:rPr>
          <w:rFonts w:ascii="Times New Roman" w:hAnsi="Times New Roman" w:cs="Times New Roman"/>
          <w:lang w:val="fr-FR"/>
        </w:rPr>
        <w:t xml:space="preserve"> </w:t>
      </w:r>
      <w:r w:rsidR="008657AF" w:rsidRPr="00403C55">
        <w:rPr>
          <w:rFonts w:ascii="Times New Roman" w:hAnsi="Times New Roman" w:cs="Times New Roman"/>
          <w:lang w:val="fr-FR"/>
        </w:rPr>
        <w:t xml:space="preserve">Une analyse du risque sanitaire en tant que part d’une étude de faisabilité avant la réintroduction (activité 5.2) devait être réalisée par le </w:t>
      </w:r>
      <w:r w:rsidR="008B5AD6" w:rsidRPr="00403C55">
        <w:rPr>
          <w:rFonts w:ascii="Times New Roman" w:hAnsi="Times New Roman" w:cs="Times New Roman"/>
          <w:lang w:val="fr-FR"/>
        </w:rPr>
        <w:t>G</w:t>
      </w:r>
      <w:r w:rsidR="008657AF" w:rsidRPr="00403C55">
        <w:rPr>
          <w:rFonts w:ascii="Times New Roman" w:hAnsi="Times New Roman" w:cs="Times New Roman"/>
          <w:lang w:val="fr-FR"/>
        </w:rPr>
        <w:t xml:space="preserve">roupe de spécialistes de la réintroduction des espèces l’UICN et le </w:t>
      </w:r>
      <w:r w:rsidR="00FF50F9" w:rsidRPr="00403C55">
        <w:rPr>
          <w:rFonts w:ascii="Times New Roman" w:hAnsi="Times New Roman" w:cs="Times New Roman"/>
          <w:lang w:val="fr-FR"/>
        </w:rPr>
        <w:t>G</w:t>
      </w:r>
      <w:r w:rsidR="008657AF" w:rsidRPr="00403C55">
        <w:rPr>
          <w:rFonts w:ascii="Times New Roman" w:hAnsi="Times New Roman" w:cs="Times New Roman"/>
          <w:lang w:val="fr-FR"/>
        </w:rPr>
        <w:t>roupe consultatif international sur l’Ibis chauve (IAGNBI), et a donc été mentionnée comme non-applicable en Turquie.</w:t>
      </w:r>
      <w:r w:rsidR="00162BBA" w:rsidRPr="00403C55">
        <w:rPr>
          <w:rFonts w:ascii="Times New Roman" w:hAnsi="Times New Roman" w:cs="Times New Roman"/>
          <w:lang w:val="fr-FR"/>
        </w:rPr>
        <w:t xml:space="preserve"> </w:t>
      </w:r>
    </w:p>
    <w:p w14:paraId="66DA956D" w14:textId="77777777" w:rsidR="00162BBA" w:rsidRPr="00403C55" w:rsidRDefault="00162BBA" w:rsidP="00162BBA">
      <w:pPr>
        <w:spacing w:after="0" w:line="240" w:lineRule="auto"/>
        <w:jc w:val="both"/>
        <w:rPr>
          <w:rFonts w:ascii="Times New Roman" w:hAnsi="Times New Roman" w:cs="Times New Roman"/>
          <w:lang w:val="fr-FR"/>
        </w:rPr>
      </w:pPr>
    </w:p>
    <w:p w14:paraId="18DB4D22" w14:textId="4A80FA02" w:rsidR="00162BBA" w:rsidRPr="00403C55" w:rsidRDefault="008657AF" w:rsidP="00162BB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Turquie a également indiqué avoir renforcé la capacité </w:t>
      </w:r>
      <w:r w:rsidR="00ED66B8" w:rsidRPr="00403C55">
        <w:rPr>
          <w:rFonts w:ascii="Times New Roman" w:hAnsi="Times New Roman" w:cs="Times New Roman"/>
          <w:lang w:val="fr-FR"/>
        </w:rPr>
        <w:t>pour</w:t>
      </w:r>
      <w:r w:rsidRPr="00403C55">
        <w:rPr>
          <w:rFonts w:ascii="Times New Roman" w:hAnsi="Times New Roman" w:cs="Times New Roman"/>
          <w:lang w:val="fr-FR"/>
        </w:rPr>
        <w:t xml:space="preserve"> les techniques de contrôle sanitaire (activité 5.3 / 100%) et </w:t>
      </w:r>
      <w:r w:rsidR="00601894">
        <w:rPr>
          <w:rFonts w:ascii="Times New Roman" w:hAnsi="Times New Roman" w:cs="Times New Roman"/>
          <w:lang w:val="fr-FR"/>
        </w:rPr>
        <w:t xml:space="preserve">pourvu à </w:t>
      </w:r>
      <w:r w:rsidR="00ED66B8" w:rsidRPr="00403C55">
        <w:rPr>
          <w:rFonts w:ascii="Times New Roman" w:hAnsi="Times New Roman" w:cs="Times New Roman"/>
          <w:lang w:val="fr-FR"/>
        </w:rPr>
        <w:t>la fourniture d’</w:t>
      </w:r>
      <w:r w:rsidRPr="00403C55">
        <w:rPr>
          <w:rFonts w:ascii="Times New Roman" w:hAnsi="Times New Roman" w:cs="Times New Roman"/>
          <w:lang w:val="fr-FR"/>
        </w:rPr>
        <w:t xml:space="preserve">équipements et </w:t>
      </w:r>
      <w:r w:rsidR="00ED66B8" w:rsidRPr="00403C55">
        <w:rPr>
          <w:rFonts w:ascii="Times New Roman" w:hAnsi="Times New Roman" w:cs="Times New Roman"/>
          <w:lang w:val="fr-FR"/>
        </w:rPr>
        <w:t xml:space="preserve">de </w:t>
      </w:r>
      <w:r w:rsidRPr="00403C55">
        <w:rPr>
          <w:rFonts w:ascii="Times New Roman" w:hAnsi="Times New Roman" w:cs="Times New Roman"/>
          <w:lang w:val="fr-FR"/>
        </w:rPr>
        <w:t>matériel pour mener des évaluations sanitaires sur les oiseaux (activité 5.4 / 100 %).</w:t>
      </w:r>
      <w:r w:rsidR="00985A4E">
        <w:rPr>
          <w:rFonts w:ascii="Times New Roman" w:hAnsi="Times New Roman" w:cs="Times New Roman"/>
          <w:lang w:val="fr-FR"/>
        </w:rPr>
        <w:t xml:space="preserve"> </w:t>
      </w:r>
    </w:p>
    <w:p w14:paraId="51318BDB" w14:textId="77777777" w:rsidR="00910B8D" w:rsidRPr="00403C55" w:rsidRDefault="00910B8D" w:rsidP="00DF3C0E">
      <w:pPr>
        <w:spacing w:after="0" w:line="240" w:lineRule="auto"/>
        <w:rPr>
          <w:rFonts w:ascii="Times New Roman" w:hAnsi="Times New Roman" w:cs="Times New Roman"/>
          <w:lang w:val="fr-FR"/>
        </w:rPr>
      </w:pPr>
    </w:p>
    <w:p w14:paraId="117EB4D9" w14:textId="4C80698B" w:rsidR="00162BBA" w:rsidRPr="00403C55" w:rsidRDefault="008657AF" w:rsidP="00DF3C0E">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162BBA" w:rsidRPr="00403C55">
        <w:rPr>
          <w:rFonts w:ascii="Times New Roman" w:hAnsi="Times New Roman" w:cs="Times New Roman"/>
          <w:b/>
          <w:lang w:val="fr-FR"/>
        </w:rPr>
        <w:t xml:space="preserve"> 100</w:t>
      </w:r>
      <w:r w:rsidRPr="00403C55">
        <w:rPr>
          <w:rFonts w:ascii="Times New Roman" w:hAnsi="Times New Roman" w:cs="Times New Roman"/>
          <w:b/>
          <w:lang w:val="fr-FR"/>
        </w:rPr>
        <w:t xml:space="preserve"> </w:t>
      </w:r>
      <w:r w:rsidR="0088279E" w:rsidRPr="00403C55">
        <w:rPr>
          <w:rFonts w:ascii="Times New Roman" w:hAnsi="Times New Roman" w:cs="Times New Roman"/>
          <w:b/>
          <w:lang w:val="fr-FR"/>
        </w:rPr>
        <w:t>%</w:t>
      </w:r>
    </w:p>
    <w:p w14:paraId="0B28FF8F" w14:textId="77777777" w:rsidR="00162BBA" w:rsidRPr="00403C55" w:rsidRDefault="00162BBA" w:rsidP="00DF3C0E">
      <w:pPr>
        <w:spacing w:after="0" w:line="240" w:lineRule="auto"/>
        <w:rPr>
          <w:rFonts w:ascii="Times New Roman" w:hAnsi="Times New Roman" w:cs="Times New Roman"/>
          <w:lang w:val="fr-FR"/>
        </w:rPr>
      </w:pPr>
    </w:p>
    <w:p w14:paraId="76AA42A0" w14:textId="79BF9D3B" w:rsidR="001C313C"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5.6.</w:t>
      </w:r>
      <w:r w:rsidR="001C313C" w:rsidRPr="00403C55">
        <w:rPr>
          <w:rFonts w:ascii="Times New Roman" w:hAnsi="Times New Roman" w:cs="Times New Roman"/>
          <w:i/>
          <w:lang w:val="fr-FR"/>
        </w:rPr>
        <w:t xml:space="preserve"> </w:t>
      </w:r>
      <w:r w:rsidR="008657AF" w:rsidRPr="00403C55">
        <w:rPr>
          <w:rFonts w:ascii="Times New Roman" w:hAnsi="Times New Roman" w:cs="Times New Roman"/>
          <w:i/>
          <w:lang w:val="fr-FR"/>
        </w:rPr>
        <w:t xml:space="preserve">Résultat 6 – Les </w:t>
      </w:r>
      <w:r w:rsidR="00552518">
        <w:rPr>
          <w:rFonts w:ascii="Times New Roman" w:hAnsi="Times New Roman" w:cs="Times New Roman"/>
          <w:i/>
          <w:lang w:val="fr-FR"/>
        </w:rPr>
        <w:t>lignes</w:t>
      </w:r>
      <w:r w:rsidR="00B8334F" w:rsidRPr="00403C55">
        <w:rPr>
          <w:rFonts w:ascii="Times New Roman" w:hAnsi="Times New Roman" w:cs="Times New Roman"/>
          <w:i/>
          <w:lang w:val="fr-FR"/>
        </w:rPr>
        <w:t xml:space="preserve"> </w:t>
      </w:r>
      <w:r w:rsidR="00552518">
        <w:rPr>
          <w:rFonts w:ascii="Times New Roman" w:hAnsi="Times New Roman" w:cs="Times New Roman"/>
          <w:i/>
          <w:lang w:val="fr-FR"/>
        </w:rPr>
        <w:t>de</w:t>
      </w:r>
      <w:r w:rsidR="008657AF" w:rsidRPr="00403C55">
        <w:rPr>
          <w:rFonts w:ascii="Times New Roman" w:hAnsi="Times New Roman" w:cs="Times New Roman"/>
          <w:i/>
          <w:lang w:val="fr-FR"/>
        </w:rPr>
        <w:t xml:space="preserve"> pêche jetées et autres débris potentiellement dangereux doivent être recueillis et évacués de façon sûre (faible priorité)</w:t>
      </w:r>
    </w:p>
    <w:p w14:paraId="024D402C" w14:textId="77777777" w:rsidR="001C313C" w:rsidRPr="00403C55" w:rsidRDefault="001C313C" w:rsidP="00DF3C0E">
      <w:pPr>
        <w:spacing w:after="0" w:line="240" w:lineRule="auto"/>
        <w:rPr>
          <w:rFonts w:ascii="Times New Roman" w:hAnsi="Times New Roman" w:cs="Times New Roman"/>
          <w:i/>
          <w:lang w:val="fr-FR"/>
        </w:rPr>
      </w:pPr>
    </w:p>
    <w:p w14:paraId="43D54546" w14:textId="35FB7975" w:rsidR="0025197E" w:rsidRPr="00403C55" w:rsidRDefault="008657AF" w:rsidP="00CC3347">
      <w:pPr>
        <w:spacing w:after="0" w:line="240" w:lineRule="auto"/>
        <w:jc w:val="both"/>
        <w:rPr>
          <w:rFonts w:ascii="Times New Roman" w:hAnsi="Times New Roman" w:cs="Times New Roman"/>
          <w:lang w:val="fr-FR"/>
        </w:rPr>
      </w:pPr>
      <w:r w:rsidRPr="00403C55">
        <w:rPr>
          <w:rFonts w:ascii="Times New Roman" w:hAnsi="Times New Roman" w:cs="Times New Roman"/>
          <w:lang w:val="fr-FR"/>
        </w:rPr>
        <w:t>Ces résultats s’appliquent uniquement au Maroc, qui a indiqué la mise en œuvre des deux activités prévues :</w:t>
      </w:r>
      <w:r w:rsidR="0025197E" w:rsidRPr="00403C55">
        <w:rPr>
          <w:rFonts w:ascii="Times New Roman" w:hAnsi="Times New Roman" w:cs="Times New Roman"/>
          <w:lang w:val="fr-FR"/>
        </w:rPr>
        <w:t xml:space="preserve"> </w:t>
      </w:r>
      <w:r w:rsidRPr="00403C55">
        <w:rPr>
          <w:rFonts w:ascii="Times New Roman" w:hAnsi="Times New Roman" w:cs="Times New Roman"/>
          <w:lang w:val="fr-FR"/>
        </w:rPr>
        <w:t xml:space="preserve">s’assurer que </w:t>
      </w:r>
      <w:r w:rsidR="00B8334F" w:rsidRPr="00403C55">
        <w:rPr>
          <w:rFonts w:ascii="Times New Roman" w:hAnsi="Times New Roman" w:cs="Times New Roman"/>
          <w:lang w:val="fr-FR"/>
        </w:rPr>
        <w:t>des gardes</w:t>
      </w:r>
      <w:r w:rsidRPr="00403C55">
        <w:rPr>
          <w:rFonts w:ascii="Times New Roman" w:hAnsi="Times New Roman" w:cs="Times New Roman"/>
          <w:lang w:val="fr-FR"/>
        </w:rPr>
        <w:t xml:space="preserve"> </w:t>
      </w:r>
      <w:r w:rsidR="00B8334F" w:rsidRPr="00403C55">
        <w:rPr>
          <w:rFonts w:ascii="Times New Roman" w:hAnsi="Times New Roman" w:cs="Times New Roman"/>
          <w:lang w:val="fr-FR"/>
        </w:rPr>
        <w:t xml:space="preserve">incluent l’évacuation des </w:t>
      </w:r>
      <w:r w:rsidR="00552518">
        <w:rPr>
          <w:rFonts w:ascii="Times New Roman" w:hAnsi="Times New Roman" w:cs="Times New Roman"/>
          <w:lang w:val="fr-FR"/>
        </w:rPr>
        <w:t>lignes de</w:t>
      </w:r>
      <w:r w:rsidR="00B8334F" w:rsidRPr="00403C55">
        <w:rPr>
          <w:rFonts w:ascii="Times New Roman" w:hAnsi="Times New Roman" w:cs="Times New Roman"/>
          <w:lang w:val="fr-FR"/>
        </w:rPr>
        <w:t xml:space="preserve"> pêche et des débris dans leurs activités quotidiennes</w:t>
      </w:r>
      <w:r w:rsidRPr="00403C55">
        <w:rPr>
          <w:rFonts w:ascii="Times New Roman" w:hAnsi="Times New Roman" w:cs="Times New Roman"/>
          <w:lang w:val="fr-FR"/>
        </w:rPr>
        <w:t xml:space="preserve"> (6.1 /100</w:t>
      </w:r>
      <w:r w:rsidR="00B8334F" w:rsidRPr="00403C55">
        <w:rPr>
          <w:rFonts w:ascii="Times New Roman" w:hAnsi="Times New Roman" w:cs="Times New Roman"/>
          <w:lang w:val="fr-FR"/>
        </w:rPr>
        <w:t xml:space="preserve"> </w:t>
      </w:r>
      <w:r w:rsidRPr="00403C55">
        <w:rPr>
          <w:rFonts w:ascii="Times New Roman" w:hAnsi="Times New Roman" w:cs="Times New Roman"/>
          <w:lang w:val="fr-FR"/>
        </w:rPr>
        <w:t xml:space="preserve">%) </w:t>
      </w:r>
      <w:r w:rsidR="00B8334F" w:rsidRPr="00403C55">
        <w:rPr>
          <w:rFonts w:ascii="Times New Roman" w:hAnsi="Times New Roman" w:cs="Times New Roman"/>
          <w:lang w:val="fr-FR"/>
        </w:rPr>
        <w:t xml:space="preserve">et </w:t>
      </w:r>
      <w:r w:rsidR="00552518">
        <w:rPr>
          <w:rFonts w:ascii="Times New Roman" w:hAnsi="Times New Roman" w:cs="Times New Roman"/>
          <w:lang w:val="fr-FR"/>
        </w:rPr>
        <w:t>instruire</w:t>
      </w:r>
      <w:r w:rsidR="00B8334F" w:rsidRPr="00403C55">
        <w:rPr>
          <w:rFonts w:ascii="Times New Roman" w:hAnsi="Times New Roman" w:cs="Times New Roman"/>
          <w:lang w:val="fr-FR"/>
        </w:rPr>
        <w:t xml:space="preserve"> les pêcheurs lors de réunions informelles sur les dangers que constituent les débris de pêche perdus ou jetés (</w:t>
      </w:r>
      <w:r w:rsidRPr="00403C55">
        <w:rPr>
          <w:rFonts w:ascii="Times New Roman" w:hAnsi="Times New Roman" w:cs="Times New Roman"/>
          <w:lang w:val="fr-FR"/>
        </w:rPr>
        <w:t>6.2 / 100</w:t>
      </w:r>
      <w:r w:rsidR="00B8334F" w:rsidRPr="00403C55">
        <w:rPr>
          <w:rFonts w:ascii="Times New Roman" w:hAnsi="Times New Roman" w:cs="Times New Roman"/>
          <w:lang w:val="fr-FR"/>
        </w:rPr>
        <w:t> </w:t>
      </w:r>
      <w:r w:rsidRPr="00403C55">
        <w:rPr>
          <w:rFonts w:ascii="Times New Roman" w:hAnsi="Times New Roman" w:cs="Times New Roman"/>
          <w:lang w:val="fr-FR"/>
        </w:rPr>
        <w:t>%).</w:t>
      </w:r>
    </w:p>
    <w:p w14:paraId="1AF40FD6" w14:textId="77777777" w:rsidR="0025197E" w:rsidRPr="00403C55" w:rsidRDefault="0025197E" w:rsidP="00DF3C0E">
      <w:pPr>
        <w:spacing w:after="0" w:line="240" w:lineRule="auto"/>
        <w:rPr>
          <w:rFonts w:ascii="Times New Roman" w:hAnsi="Times New Roman" w:cs="Times New Roman"/>
          <w:lang w:val="fr-FR"/>
        </w:rPr>
      </w:pPr>
    </w:p>
    <w:p w14:paraId="65EA96E0" w14:textId="25848222" w:rsidR="001C313C" w:rsidRPr="00403C55" w:rsidRDefault="00B8334F" w:rsidP="00DF3C0E">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25197E" w:rsidRPr="00403C55">
        <w:rPr>
          <w:rFonts w:ascii="Times New Roman" w:hAnsi="Times New Roman" w:cs="Times New Roman"/>
          <w:b/>
          <w:lang w:val="fr-FR"/>
        </w:rPr>
        <w:t xml:space="preserve"> </w:t>
      </w:r>
      <w:r w:rsidR="0088279E" w:rsidRPr="00403C55">
        <w:rPr>
          <w:rFonts w:ascii="Times New Roman" w:hAnsi="Times New Roman" w:cs="Times New Roman"/>
          <w:b/>
          <w:lang w:val="fr-FR"/>
        </w:rPr>
        <w:t>100</w:t>
      </w:r>
      <w:r w:rsidRPr="00403C55">
        <w:rPr>
          <w:rFonts w:ascii="Times New Roman" w:hAnsi="Times New Roman" w:cs="Times New Roman"/>
          <w:b/>
          <w:lang w:val="fr-FR"/>
        </w:rPr>
        <w:t xml:space="preserve"> </w:t>
      </w:r>
      <w:r w:rsidR="0088279E" w:rsidRPr="00403C55">
        <w:rPr>
          <w:rFonts w:ascii="Times New Roman" w:hAnsi="Times New Roman" w:cs="Times New Roman"/>
          <w:b/>
          <w:lang w:val="fr-FR"/>
        </w:rPr>
        <w:t>%</w:t>
      </w:r>
    </w:p>
    <w:p w14:paraId="7E65BB73" w14:textId="77777777" w:rsidR="0025197E" w:rsidRPr="00403C55" w:rsidRDefault="0025197E" w:rsidP="00DF3C0E">
      <w:pPr>
        <w:spacing w:after="0" w:line="240" w:lineRule="auto"/>
        <w:rPr>
          <w:rFonts w:ascii="Times New Roman" w:hAnsi="Times New Roman" w:cs="Times New Roman"/>
          <w:lang w:val="fr-FR"/>
        </w:rPr>
      </w:pPr>
    </w:p>
    <w:p w14:paraId="25CD7D1A" w14:textId="5D675510" w:rsidR="00C934E0"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5.7.</w:t>
      </w:r>
      <w:r w:rsidR="00C934E0" w:rsidRPr="00403C55">
        <w:rPr>
          <w:rFonts w:ascii="Times New Roman" w:hAnsi="Times New Roman" w:cs="Times New Roman"/>
          <w:i/>
          <w:lang w:val="fr-FR"/>
        </w:rPr>
        <w:t xml:space="preserve"> </w:t>
      </w:r>
      <w:r w:rsidR="00B8334F" w:rsidRPr="00403C55">
        <w:rPr>
          <w:rFonts w:ascii="Times New Roman" w:hAnsi="Times New Roman" w:cs="Times New Roman"/>
          <w:i/>
          <w:lang w:val="fr-FR"/>
        </w:rPr>
        <w:t>Résultat 7 – Une population captive est maintenue dont la santé, la consanguinité et la structure d’âge sont gérées (priorité élevée)</w:t>
      </w:r>
    </w:p>
    <w:p w14:paraId="304A654E" w14:textId="77777777" w:rsidR="00C934E0" w:rsidRPr="00403C55" w:rsidRDefault="00C934E0" w:rsidP="00DF3C0E">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7375"/>
        <w:gridCol w:w="1597"/>
      </w:tblGrid>
      <w:tr w:rsidR="00711618" w:rsidRPr="00DE4CF4" w14:paraId="571E462B" w14:textId="77777777" w:rsidTr="00ED66B8">
        <w:trPr>
          <w:trHeight w:val="480"/>
        </w:trPr>
        <w:tc>
          <w:tcPr>
            <w:tcW w:w="7375" w:type="dxa"/>
            <w:shd w:val="clear" w:color="auto" w:fill="DBE5F1" w:themeFill="accent1" w:themeFillTint="33"/>
          </w:tcPr>
          <w:p w14:paraId="0306073F" w14:textId="40E915F0" w:rsidR="00711618" w:rsidRPr="00403C55" w:rsidRDefault="00B8334F"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597" w:type="dxa"/>
            <w:shd w:val="clear" w:color="auto" w:fill="DBE5F1" w:themeFill="accent1" w:themeFillTint="33"/>
          </w:tcPr>
          <w:p w14:paraId="491C20AC" w14:textId="73B3ACCB" w:rsidR="00711618" w:rsidRPr="00403C55" w:rsidRDefault="00B8334F"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711618" w:rsidRPr="00403C55" w14:paraId="6CC9D63D" w14:textId="77777777" w:rsidTr="00ED66B8">
        <w:trPr>
          <w:trHeight w:val="495"/>
        </w:trPr>
        <w:tc>
          <w:tcPr>
            <w:tcW w:w="7375" w:type="dxa"/>
          </w:tcPr>
          <w:p w14:paraId="3F76B7BD" w14:textId="3F2358CC" w:rsidR="00711618" w:rsidRPr="00403C55" w:rsidRDefault="005F3DDE" w:rsidP="003F50F9">
            <w:pPr>
              <w:jc w:val="both"/>
              <w:rPr>
                <w:rFonts w:ascii="Times New Roman" w:hAnsi="Times New Roman" w:cs="Times New Roman"/>
                <w:lang w:val="fr-FR"/>
              </w:rPr>
            </w:pPr>
            <w:r w:rsidRPr="00403C55">
              <w:rPr>
                <w:rFonts w:ascii="Times New Roman" w:hAnsi="Times New Roman" w:cs="Times New Roman"/>
                <w:lang w:val="fr-FR"/>
              </w:rPr>
              <w:t xml:space="preserve">7.1. </w:t>
            </w:r>
            <w:r w:rsidR="00B8334F" w:rsidRPr="00403C55">
              <w:rPr>
                <w:rFonts w:ascii="Times New Roman" w:hAnsi="Times New Roman" w:cs="Times New Roman"/>
                <w:lang w:val="fr-FR"/>
              </w:rPr>
              <w:t>Des populations orientale et occidentale captives séparées sont constituées et maintenues jusqu’à ce que des recherches plus poussées clarifient leur relation.</w:t>
            </w:r>
          </w:p>
        </w:tc>
        <w:tc>
          <w:tcPr>
            <w:tcW w:w="1597" w:type="dxa"/>
          </w:tcPr>
          <w:p w14:paraId="15AEC50A" w14:textId="58B7633B" w:rsidR="00711618" w:rsidRPr="00403C55" w:rsidRDefault="00E2789B" w:rsidP="00010148">
            <w:pPr>
              <w:jc w:val="center"/>
              <w:rPr>
                <w:rFonts w:ascii="Times New Roman" w:hAnsi="Times New Roman" w:cs="Times New Roman"/>
                <w:lang w:val="fr-FR"/>
              </w:rPr>
            </w:pPr>
            <w:r w:rsidRPr="00403C55">
              <w:rPr>
                <w:rFonts w:ascii="Times New Roman" w:hAnsi="Times New Roman" w:cs="Times New Roman"/>
                <w:lang w:val="fr-FR"/>
              </w:rPr>
              <w:t>0</w:t>
            </w:r>
            <w:r w:rsidR="00B833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711618" w:rsidRPr="00403C55" w14:paraId="148044DB" w14:textId="77777777" w:rsidTr="00ED66B8">
        <w:trPr>
          <w:trHeight w:val="480"/>
        </w:trPr>
        <w:tc>
          <w:tcPr>
            <w:tcW w:w="7375" w:type="dxa"/>
          </w:tcPr>
          <w:p w14:paraId="162CD88D" w14:textId="40997B8B" w:rsidR="00711618" w:rsidRPr="00403C55" w:rsidRDefault="005F3DDE" w:rsidP="003F50F9">
            <w:pPr>
              <w:jc w:val="both"/>
              <w:rPr>
                <w:rFonts w:ascii="Times New Roman" w:hAnsi="Times New Roman" w:cs="Times New Roman"/>
                <w:lang w:val="fr-FR"/>
              </w:rPr>
            </w:pPr>
            <w:r w:rsidRPr="00403C55">
              <w:rPr>
                <w:rFonts w:ascii="Times New Roman" w:hAnsi="Times New Roman" w:cs="Times New Roman"/>
                <w:lang w:val="fr-FR"/>
              </w:rPr>
              <w:t xml:space="preserve">7.2 </w:t>
            </w:r>
            <w:r w:rsidR="00B8334F" w:rsidRPr="00403C55">
              <w:rPr>
                <w:rFonts w:ascii="Times New Roman" w:hAnsi="Times New Roman" w:cs="Times New Roman"/>
                <w:lang w:val="fr-FR"/>
              </w:rPr>
              <w:t>Des recherches génétiques sont menées pour clarifier la relation entre les populations orientale et occidentale.</w:t>
            </w:r>
          </w:p>
        </w:tc>
        <w:tc>
          <w:tcPr>
            <w:tcW w:w="1597" w:type="dxa"/>
          </w:tcPr>
          <w:p w14:paraId="288BC138" w14:textId="0E66AD99" w:rsidR="00711618" w:rsidRPr="00403C55" w:rsidRDefault="00E2789B" w:rsidP="00010148">
            <w:pPr>
              <w:jc w:val="center"/>
              <w:rPr>
                <w:rFonts w:ascii="Times New Roman" w:hAnsi="Times New Roman" w:cs="Times New Roman"/>
                <w:lang w:val="fr-FR"/>
              </w:rPr>
            </w:pPr>
            <w:r w:rsidRPr="00403C55">
              <w:rPr>
                <w:rFonts w:ascii="Times New Roman" w:hAnsi="Times New Roman" w:cs="Times New Roman"/>
                <w:lang w:val="fr-FR"/>
              </w:rPr>
              <w:t>0</w:t>
            </w:r>
            <w:r w:rsidR="00B833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711618" w:rsidRPr="00403C55" w14:paraId="2FF3F51C" w14:textId="77777777" w:rsidTr="00ED66B8">
        <w:trPr>
          <w:trHeight w:val="495"/>
        </w:trPr>
        <w:tc>
          <w:tcPr>
            <w:tcW w:w="7375" w:type="dxa"/>
          </w:tcPr>
          <w:p w14:paraId="17DE524A" w14:textId="44403F09" w:rsidR="00711618" w:rsidRPr="00403C55" w:rsidRDefault="005F3DDE" w:rsidP="003F50F9">
            <w:pPr>
              <w:jc w:val="both"/>
              <w:rPr>
                <w:rFonts w:ascii="Times New Roman" w:hAnsi="Times New Roman" w:cs="Times New Roman"/>
                <w:lang w:val="fr-FR"/>
              </w:rPr>
            </w:pPr>
            <w:r w:rsidRPr="00403C55">
              <w:rPr>
                <w:rFonts w:ascii="Times New Roman" w:hAnsi="Times New Roman" w:cs="Times New Roman"/>
                <w:lang w:val="fr-FR"/>
              </w:rPr>
              <w:t xml:space="preserve">7.3 </w:t>
            </w:r>
            <w:r w:rsidR="00B8334F" w:rsidRPr="00403C55">
              <w:rPr>
                <w:rFonts w:ascii="Times New Roman" w:hAnsi="Times New Roman" w:cs="Times New Roman"/>
                <w:lang w:val="fr-FR"/>
              </w:rPr>
              <w:t>Le nombre d’individus de la population orientale se monte à 200-250 oiseaux</w:t>
            </w:r>
            <w:r w:rsidR="0001632F" w:rsidRPr="00403C55">
              <w:rPr>
                <w:rFonts w:ascii="Times New Roman" w:hAnsi="Times New Roman" w:cs="Times New Roman"/>
                <w:i/>
                <w:lang w:val="fr-FR"/>
              </w:rPr>
              <w:t xml:space="preserve"> </w:t>
            </w:r>
            <w:r w:rsidR="00B8334F" w:rsidRPr="00403C55">
              <w:rPr>
                <w:rFonts w:ascii="Times New Roman" w:hAnsi="Times New Roman" w:cs="Times New Roman"/>
                <w:i/>
                <w:lang w:val="fr-FR"/>
              </w:rPr>
              <w:t>(s’applique à la Syrie et à la Turquie)</w:t>
            </w:r>
          </w:p>
        </w:tc>
        <w:tc>
          <w:tcPr>
            <w:tcW w:w="1597" w:type="dxa"/>
          </w:tcPr>
          <w:p w14:paraId="08D35F19" w14:textId="141E6DEC" w:rsidR="00711618" w:rsidRPr="00403C55" w:rsidRDefault="00E2789B" w:rsidP="00010148">
            <w:pPr>
              <w:jc w:val="center"/>
              <w:rPr>
                <w:rFonts w:ascii="Times New Roman" w:hAnsi="Times New Roman" w:cs="Times New Roman"/>
                <w:lang w:val="fr-FR"/>
              </w:rPr>
            </w:pPr>
            <w:r w:rsidRPr="00403C55">
              <w:rPr>
                <w:rFonts w:ascii="Times New Roman" w:hAnsi="Times New Roman" w:cs="Times New Roman"/>
                <w:lang w:val="fr-FR"/>
              </w:rPr>
              <w:t>0</w:t>
            </w:r>
            <w:r w:rsidR="00B833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711618" w:rsidRPr="00403C55" w14:paraId="27E7453B" w14:textId="77777777" w:rsidTr="00ED66B8">
        <w:trPr>
          <w:trHeight w:val="480"/>
        </w:trPr>
        <w:tc>
          <w:tcPr>
            <w:tcW w:w="7375" w:type="dxa"/>
          </w:tcPr>
          <w:p w14:paraId="3D0F0166" w14:textId="45863E14" w:rsidR="00711618" w:rsidRPr="00403C55" w:rsidRDefault="00B8334F" w:rsidP="003F50F9">
            <w:pPr>
              <w:jc w:val="both"/>
              <w:rPr>
                <w:rFonts w:ascii="Times New Roman" w:hAnsi="Times New Roman" w:cs="Times New Roman"/>
                <w:i/>
                <w:lang w:val="fr-FR"/>
              </w:rPr>
            </w:pPr>
            <w:r w:rsidRPr="00403C55">
              <w:rPr>
                <w:rFonts w:ascii="Times New Roman" w:hAnsi="Times New Roman" w:cs="Times New Roman"/>
                <w:i/>
                <w:lang w:val="fr-FR"/>
              </w:rPr>
              <w:lastRenderedPageBreak/>
              <w:t xml:space="preserve">[7.4. s/o pour </w:t>
            </w:r>
            <w:r w:rsidR="00FE6EE5">
              <w:rPr>
                <w:rFonts w:ascii="Times New Roman" w:hAnsi="Times New Roman" w:cs="Times New Roman"/>
                <w:i/>
                <w:lang w:val="fr-FR"/>
              </w:rPr>
              <w:t>États de l’aire de répartition</w:t>
            </w:r>
            <w:r w:rsidRPr="00403C55">
              <w:rPr>
                <w:rFonts w:ascii="Times New Roman" w:hAnsi="Times New Roman" w:cs="Times New Roman"/>
                <w:i/>
                <w:lang w:val="fr-FR"/>
              </w:rPr>
              <w:t>]</w:t>
            </w:r>
          </w:p>
        </w:tc>
        <w:tc>
          <w:tcPr>
            <w:tcW w:w="1597" w:type="dxa"/>
          </w:tcPr>
          <w:p w14:paraId="62DBDE2D" w14:textId="7ED64C94" w:rsidR="00711618" w:rsidRPr="00403C55" w:rsidRDefault="00B8334F" w:rsidP="003F50F9">
            <w:pPr>
              <w:jc w:val="center"/>
              <w:rPr>
                <w:rFonts w:ascii="Times New Roman" w:hAnsi="Times New Roman" w:cs="Times New Roman"/>
                <w:lang w:val="fr-FR"/>
              </w:rPr>
            </w:pPr>
            <w:r w:rsidRPr="00403C55">
              <w:rPr>
                <w:rFonts w:ascii="Times New Roman" w:hAnsi="Times New Roman" w:cs="Times New Roman"/>
                <w:lang w:val="fr-FR"/>
              </w:rPr>
              <w:t>s/o</w:t>
            </w:r>
          </w:p>
        </w:tc>
      </w:tr>
      <w:tr w:rsidR="00711618" w:rsidRPr="00403C55" w14:paraId="0B355872" w14:textId="77777777" w:rsidTr="00ED66B8">
        <w:trPr>
          <w:trHeight w:val="480"/>
        </w:trPr>
        <w:tc>
          <w:tcPr>
            <w:tcW w:w="7375" w:type="dxa"/>
          </w:tcPr>
          <w:p w14:paraId="6E57BCF3" w14:textId="2D531FE1" w:rsidR="00711618" w:rsidRPr="00403C55" w:rsidRDefault="005F3DDE" w:rsidP="003F50F9">
            <w:pPr>
              <w:jc w:val="both"/>
              <w:rPr>
                <w:rFonts w:ascii="Times New Roman" w:hAnsi="Times New Roman" w:cs="Times New Roman"/>
                <w:lang w:val="fr-FR"/>
              </w:rPr>
            </w:pPr>
            <w:r w:rsidRPr="00403C55">
              <w:rPr>
                <w:rFonts w:ascii="Times New Roman" w:hAnsi="Times New Roman" w:cs="Times New Roman"/>
                <w:lang w:val="fr-FR"/>
              </w:rPr>
              <w:t xml:space="preserve">7.5 </w:t>
            </w:r>
            <w:r w:rsidR="00B8334F" w:rsidRPr="00403C55">
              <w:rPr>
                <w:rFonts w:ascii="Times New Roman" w:hAnsi="Times New Roman" w:cs="Times New Roman"/>
                <w:lang w:val="fr-FR"/>
              </w:rPr>
              <w:t xml:space="preserve">Examiner l’origine de tous les oiseaux de la population orientale maintenus en captivité </w:t>
            </w:r>
            <w:r w:rsidR="00B8334F" w:rsidRPr="00403C55">
              <w:rPr>
                <w:rFonts w:ascii="Times New Roman" w:hAnsi="Times New Roman" w:cs="Times New Roman"/>
                <w:i/>
                <w:lang w:val="fr-FR"/>
              </w:rPr>
              <w:t>(s’applique à la Syrie et à la Turquie)</w:t>
            </w:r>
            <w:r w:rsidR="00B8334F" w:rsidRPr="00403C55">
              <w:rPr>
                <w:rFonts w:ascii="Times New Roman" w:hAnsi="Times New Roman" w:cs="Times New Roman"/>
                <w:lang w:val="fr-FR"/>
              </w:rPr>
              <w:t>.</w:t>
            </w:r>
          </w:p>
        </w:tc>
        <w:tc>
          <w:tcPr>
            <w:tcW w:w="1597" w:type="dxa"/>
          </w:tcPr>
          <w:p w14:paraId="7DDC65AB" w14:textId="4BE363DF" w:rsidR="00711618" w:rsidRPr="00403C55" w:rsidRDefault="00E2789B" w:rsidP="00010148">
            <w:pPr>
              <w:jc w:val="center"/>
              <w:rPr>
                <w:rFonts w:ascii="Times New Roman" w:hAnsi="Times New Roman" w:cs="Times New Roman"/>
                <w:lang w:val="fr-FR"/>
              </w:rPr>
            </w:pPr>
            <w:r w:rsidRPr="00403C55">
              <w:rPr>
                <w:rFonts w:ascii="Times New Roman" w:hAnsi="Times New Roman" w:cs="Times New Roman"/>
                <w:lang w:val="fr-FR"/>
              </w:rPr>
              <w:t>50</w:t>
            </w:r>
            <w:r w:rsidR="00B833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5F3DDE" w:rsidRPr="00403C55" w14:paraId="383AAE89" w14:textId="77777777" w:rsidTr="00ED66B8">
        <w:trPr>
          <w:trHeight w:val="480"/>
        </w:trPr>
        <w:tc>
          <w:tcPr>
            <w:tcW w:w="7375" w:type="dxa"/>
          </w:tcPr>
          <w:p w14:paraId="0CB047D7" w14:textId="2FFB7DB3" w:rsidR="005F3DDE" w:rsidRPr="00403C55" w:rsidRDefault="0001632F" w:rsidP="003F50F9">
            <w:pPr>
              <w:jc w:val="both"/>
              <w:rPr>
                <w:rFonts w:ascii="Times New Roman" w:hAnsi="Times New Roman" w:cs="Times New Roman"/>
                <w:i/>
                <w:lang w:val="fr-FR"/>
              </w:rPr>
            </w:pPr>
            <w:r w:rsidRPr="00403C55">
              <w:rPr>
                <w:rFonts w:ascii="Times New Roman" w:hAnsi="Times New Roman" w:cs="Times New Roman"/>
                <w:lang w:val="fr-FR"/>
              </w:rPr>
              <w:t xml:space="preserve">7.6 </w:t>
            </w:r>
            <w:r w:rsidR="00B8334F" w:rsidRPr="00403C55">
              <w:rPr>
                <w:rFonts w:ascii="Times New Roman" w:hAnsi="Times New Roman" w:cs="Times New Roman"/>
                <w:lang w:val="fr-FR"/>
              </w:rPr>
              <w:t xml:space="preserve">Accroître la capacité à Birecik, pour les aider et faire augmenter leur population </w:t>
            </w:r>
            <w:r w:rsidR="00ED66B8" w:rsidRPr="00403C55">
              <w:rPr>
                <w:rFonts w:ascii="Times New Roman" w:hAnsi="Times New Roman" w:cs="Times New Roman"/>
                <w:lang w:val="fr-FR"/>
              </w:rPr>
              <w:t>jusqu’au chiffre de</w:t>
            </w:r>
            <w:r w:rsidR="00B8334F" w:rsidRPr="00403C55">
              <w:rPr>
                <w:rFonts w:ascii="Times New Roman" w:hAnsi="Times New Roman" w:cs="Times New Roman"/>
                <w:lang w:val="fr-FR"/>
              </w:rPr>
              <w:t xml:space="preserve"> 150 oiseaux (par ex. enlever des arbres, agrandir les cages et promouvoir de bonnes conditions).</w:t>
            </w:r>
            <w:r w:rsidRPr="00403C55">
              <w:rPr>
                <w:rFonts w:ascii="Times New Roman" w:hAnsi="Times New Roman" w:cs="Times New Roman"/>
                <w:lang w:val="fr-FR"/>
              </w:rPr>
              <w:t xml:space="preserve"> </w:t>
            </w:r>
            <w:r w:rsidR="00B8334F" w:rsidRPr="00403C55">
              <w:rPr>
                <w:rFonts w:ascii="Times New Roman" w:hAnsi="Times New Roman" w:cs="Times New Roman"/>
                <w:i/>
                <w:lang w:val="fr-FR"/>
              </w:rPr>
              <w:t>(s’applique à la Turquie )</w:t>
            </w:r>
          </w:p>
        </w:tc>
        <w:tc>
          <w:tcPr>
            <w:tcW w:w="1597" w:type="dxa"/>
          </w:tcPr>
          <w:p w14:paraId="61C0B05C" w14:textId="6D7B3AB9" w:rsidR="005F3DDE" w:rsidRPr="00403C55" w:rsidRDefault="00E2789B" w:rsidP="00010148">
            <w:pPr>
              <w:jc w:val="center"/>
              <w:rPr>
                <w:rFonts w:ascii="Times New Roman" w:hAnsi="Times New Roman" w:cs="Times New Roman"/>
                <w:lang w:val="fr-FR"/>
              </w:rPr>
            </w:pPr>
            <w:r w:rsidRPr="00403C55">
              <w:rPr>
                <w:rFonts w:ascii="Times New Roman" w:hAnsi="Times New Roman" w:cs="Times New Roman"/>
                <w:lang w:val="fr-FR"/>
              </w:rPr>
              <w:t>100</w:t>
            </w:r>
            <w:r w:rsidR="00B8334F"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671DF327" w14:textId="77777777" w:rsidR="00711618" w:rsidRPr="00403C55" w:rsidRDefault="00711618" w:rsidP="00DF3C0E">
      <w:pPr>
        <w:spacing w:after="0" w:line="240" w:lineRule="auto"/>
        <w:rPr>
          <w:rFonts w:ascii="Times New Roman" w:hAnsi="Times New Roman" w:cs="Times New Roman"/>
          <w:lang w:val="fr-FR"/>
        </w:rPr>
      </w:pPr>
    </w:p>
    <w:p w14:paraId="0B872E2E" w14:textId="76F79627" w:rsidR="00C32BBF" w:rsidRPr="00403C55" w:rsidRDefault="00B8334F"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E2789B" w:rsidRPr="00403C55">
        <w:rPr>
          <w:rFonts w:ascii="Times New Roman" w:hAnsi="Times New Roman" w:cs="Times New Roman"/>
          <w:b/>
          <w:lang w:val="fr-FR"/>
        </w:rPr>
        <w:t xml:space="preserve"> 30</w:t>
      </w:r>
      <w:r w:rsidRPr="00403C55">
        <w:rPr>
          <w:rFonts w:ascii="Times New Roman" w:hAnsi="Times New Roman" w:cs="Times New Roman"/>
          <w:b/>
          <w:lang w:val="fr-FR"/>
        </w:rPr>
        <w:t xml:space="preserve"> </w:t>
      </w:r>
      <w:r w:rsidR="00E2789B" w:rsidRPr="00403C55">
        <w:rPr>
          <w:rFonts w:ascii="Times New Roman" w:hAnsi="Times New Roman" w:cs="Times New Roman"/>
          <w:b/>
          <w:lang w:val="fr-FR"/>
        </w:rPr>
        <w:t>%</w:t>
      </w:r>
      <w:r w:rsidR="00C32BBF" w:rsidRPr="00403C55">
        <w:rPr>
          <w:rFonts w:ascii="Times New Roman" w:hAnsi="Times New Roman" w:cs="Times New Roman"/>
          <w:b/>
          <w:lang w:val="fr-FR"/>
        </w:rPr>
        <w:t xml:space="preserve"> </w:t>
      </w:r>
    </w:p>
    <w:p w14:paraId="4998F1F5" w14:textId="77777777" w:rsidR="00C32BBF" w:rsidRPr="00403C55" w:rsidRDefault="00C32BBF" w:rsidP="00DF3C0E">
      <w:pPr>
        <w:spacing w:after="0" w:line="240" w:lineRule="auto"/>
        <w:rPr>
          <w:rFonts w:ascii="Times New Roman" w:hAnsi="Times New Roman" w:cs="Times New Roman"/>
          <w:lang w:val="fr-FR"/>
        </w:rPr>
      </w:pPr>
    </w:p>
    <w:p w14:paraId="45DC2867" w14:textId="5945EAC2" w:rsidR="00C934E0"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5.8</w:t>
      </w:r>
      <w:r w:rsidR="00D10E17" w:rsidRPr="00403C55">
        <w:rPr>
          <w:rFonts w:ascii="Times New Roman" w:hAnsi="Times New Roman" w:cs="Times New Roman"/>
          <w:i/>
          <w:lang w:val="fr-FR"/>
        </w:rPr>
        <w:t xml:space="preserve">. </w:t>
      </w:r>
      <w:r w:rsidR="00B8334F" w:rsidRPr="00403C55">
        <w:rPr>
          <w:rFonts w:ascii="Times New Roman" w:hAnsi="Times New Roman" w:cs="Times New Roman"/>
          <w:i/>
          <w:lang w:val="fr-FR"/>
        </w:rPr>
        <w:t xml:space="preserve">Résultat 8 – </w:t>
      </w:r>
      <w:r w:rsidR="00FF50F9" w:rsidRPr="00403C55">
        <w:rPr>
          <w:rFonts w:ascii="Times New Roman" w:hAnsi="Times New Roman" w:cs="Times New Roman"/>
          <w:i/>
          <w:lang w:val="fr-FR"/>
        </w:rPr>
        <w:t>La</w:t>
      </w:r>
      <w:r w:rsidR="00B8334F" w:rsidRPr="00403C55">
        <w:rPr>
          <w:rFonts w:ascii="Times New Roman" w:hAnsi="Times New Roman" w:cs="Times New Roman"/>
          <w:i/>
          <w:lang w:val="fr-FR"/>
        </w:rPr>
        <w:t xml:space="preserve"> conservation </w:t>
      </w:r>
      <w:r w:rsidR="00FF50F9" w:rsidRPr="00403C55">
        <w:rPr>
          <w:rFonts w:ascii="Times New Roman" w:hAnsi="Times New Roman" w:cs="Times New Roman"/>
          <w:i/>
          <w:lang w:val="fr-FR"/>
        </w:rPr>
        <w:t xml:space="preserve">de l’Ibis chauve à travers une </w:t>
      </w:r>
      <w:r w:rsidR="00B8334F" w:rsidRPr="00403C55">
        <w:rPr>
          <w:rFonts w:ascii="Times New Roman" w:hAnsi="Times New Roman" w:cs="Times New Roman"/>
          <w:i/>
          <w:lang w:val="fr-FR"/>
        </w:rPr>
        <w:t xml:space="preserve">coordination </w:t>
      </w:r>
      <w:r w:rsidR="00FF50F9" w:rsidRPr="00403C55">
        <w:rPr>
          <w:rFonts w:ascii="Times New Roman" w:hAnsi="Times New Roman" w:cs="Times New Roman"/>
          <w:i/>
          <w:lang w:val="fr-FR"/>
        </w:rPr>
        <w:t>et une</w:t>
      </w:r>
      <w:r w:rsidR="00B8334F" w:rsidRPr="00403C55">
        <w:rPr>
          <w:rFonts w:ascii="Times New Roman" w:hAnsi="Times New Roman" w:cs="Times New Roman"/>
          <w:i/>
          <w:lang w:val="fr-FR"/>
        </w:rPr>
        <w:t xml:space="preserve"> coop</w:t>
      </w:r>
      <w:r w:rsidR="00FF50F9" w:rsidRPr="00403C55">
        <w:rPr>
          <w:rFonts w:ascii="Times New Roman" w:hAnsi="Times New Roman" w:cs="Times New Roman"/>
          <w:i/>
          <w:lang w:val="fr-FR"/>
        </w:rPr>
        <w:t>é</w:t>
      </w:r>
      <w:r w:rsidR="00B8334F" w:rsidRPr="00403C55">
        <w:rPr>
          <w:rFonts w:ascii="Times New Roman" w:hAnsi="Times New Roman" w:cs="Times New Roman"/>
          <w:i/>
          <w:lang w:val="fr-FR"/>
        </w:rPr>
        <w:t xml:space="preserve">ration </w:t>
      </w:r>
      <w:r w:rsidR="00FF50F9" w:rsidRPr="00403C55">
        <w:rPr>
          <w:rFonts w:ascii="Times New Roman" w:hAnsi="Times New Roman" w:cs="Times New Roman"/>
          <w:i/>
          <w:lang w:val="fr-FR"/>
        </w:rPr>
        <w:t xml:space="preserve">internationale est </w:t>
      </w:r>
      <w:r w:rsidR="00ED66B8" w:rsidRPr="00403C55">
        <w:rPr>
          <w:rFonts w:ascii="Times New Roman" w:hAnsi="Times New Roman" w:cs="Times New Roman"/>
          <w:i/>
          <w:lang w:val="fr-FR"/>
        </w:rPr>
        <w:t>favorisée</w:t>
      </w:r>
      <w:r w:rsidR="00FF50F9" w:rsidRPr="00403C55">
        <w:rPr>
          <w:rFonts w:ascii="Times New Roman" w:hAnsi="Times New Roman" w:cs="Times New Roman"/>
          <w:i/>
          <w:lang w:val="fr-FR"/>
        </w:rPr>
        <w:t xml:space="preserve"> par le Groupe consultatif international pour l’Ibis chauve</w:t>
      </w:r>
      <w:r w:rsidR="00B8334F" w:rsidRPr="00403C55">
        <w:rPr>
          <w:rFonts w:ascii="Times New Roman" w:hAnsi="Times New Roman" w:cs="Times New Roman"/>
          <w:i/>
          <w:lang w:val="fr-FR"/>
        </w:rPr>
        <w:t xml:space="preserve"> (IAGNBI) (</w:t>
      </w:r>
      <w:r w:rsidR="00FF50F9" w:rsidRPr="00403C55">
        <w:rPr>
          <w:rFonts w:ascii="Times New Roman" w:hAnsi="Times New Roman" w:cs="Times New Roman"/>
          <w:i/>
          <w:lang w:val="fr-FR"/>
        </w:rPr>
        <w:t>priorité critique</w:t>
      </w:r>
      <w:r w:rsidR="00B8334F" w:rsidRPr="00403C55">
        <w:rPr>
          <w:rFonts w:ascii="Times New Roman" w:hAnsi="Times New Roman" w:cs="Times New Roman"/>
          <w:i/>
          <w:lang w:val="fr-FR"/>
        </w:rPr>
        <w:t>)</w:t>
      </w:r>
    </w:p>
    <w:p w14:paraId="7F69FA4D" w14:textId="77777777" w:rsidR="00D10E17" w:rsidRPr="00403C55" w:rsidRDefault="00D10E17" w:rsidP="00DF3C0E">
      <w:pPr>
        <w:spacing w:after="0" w:line="240" w:lineRule="auto"/>
        <w:rPr>
          <w:rFonts w:ascii="Times New Roman" w:hAnsi="Times New Roman" w:cs="Times New Roman"/>
          <w:lang w:val="fr-FR"/>
        </w:rPr>
      </w:pPr>
    </w:p>
    <w:p w14:paraId="19742026" w14:textId="0B6F4E6E" w:rsidR="00E2789B" w:rsidRPr="00403C55" w:rsidRDefault="00FF50F9" w:rsidP="00E2789B">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 mise en œuvre d</w:t>
      </w:r>
      <w:r w:rsidR="00ED66B8" w:rsidRPr="00403C55">
        <w:rPr>
          <w:rFonts w:ascii="Times New Roman" w:hAnsi="Times New Roman" w:cs="Times New Roman"/>
          <w:lang w:val="fr-FR"/>
        </w:rPr>
        <w:t xml:space="preserve">es </w:t>
      </w:r>
      <w:r w:rsidRPr="00403C55">
        <w:rPr>
          <w:rFonts w:ascii="Times New Roman" w:hAnsi="Times New Roman" w:cs="Times New Roman"/>
          <w:lang w:val="fr-FR"/>
        </w:rPr>
        <w:t xml:space="preserve">activités </w:t>
      </w:r>
      <w:r w:rsidR="00ED66B8" w:rsidRPr="00403C55">
        <w:rPr>
          <w:rFonts w:ascii="Times New Roman" w:hAnsi="Times New Roman" w:cs="Times New Roman"/>
          <w:lang w:val="fr-FR"/>
        </w:rPr>
        <w:t>visant à</w:t>
      </w:r>
      <w:r w:rsidRPr="00403C55">
        <w:rPr>
          <w:rFonts w:ascii="Times New Roman" w:hAnsi="Times New Roman" w:cs="Times New Roman"/>
          <w:lang w:val="fr-FR"/>
        </w:rPr>
        <w:t xml:space="preserve"> atteindre ce résultat ont été seulement assignées à l’IAGNBI même, </w:t>
      </w:r>
      <w:r w:rsidR="00ED66B8" w:rsidRPr="00403C55">
        <w:rPr>
          <w:rFonts w:ascii="Times New Roman" w:hAnsi="Times New Roman" w:cs="Times New Roman"/>
          <w:lang w:val="fr-FR"/>
        </w:rPr>
        <w:t>ainsi qu’à</w:t>
      </w:r>
      <w:r w:rsidRPr="00403C55">
        <w:rPr>
          <w:rFonts w:ascii="Times New Roman" w:hAnsi="Times New Roman" w:cs="Times New Roman"/>
          <w:lang w:val="fr-FR"/>
        </w:rPr>
        <w:t xml:space="preserve"> d’autres organisations internationale</w:t>
      </w:r>
      <w:r w:rsidR="00552518">
        <w:rPr>
          <w:rFonts w:ascii="Times New Roman" w:hAnsi="Times New Roman" w:cs="Times New Roman"/>
          <w:lang w:val="fr-FR"/>
        </w:rPr>
        <w:t>s</w:t>
      </w:r>
      <w:r w:rsidRPr="00403C55">
        <w:rPr>
          <w:rFonts w:ascii="Times New Roman" w:hAnsi="Times New Roman" w:cs="Times New Roman"/>
          <w:lang w:val="fr-FR"/>
        </w:rPr>
        <w:t>, des ONG de conservation et des groupes d’experts internationaux.</w:t>
      </w:r>
      <w:r w:rsidR="00E2789B" w:rsidRPr="00403C55">
        <w:rPr>
          <w:rFonts w:ascii="Times New Roman" w:hAnsi="Times New Roman" w:cs="Times New Roman"/>
          <w:lang w:val="fr-FR"/>
        </w:rPr>
        <w:t xml:space="preserve"> </w:t>
      </w:r>
      <w:r w:rsidRPr="00403C55">
        <w:rPr>
          <w:rFonts w:ascii="Times New Roman" w:hAnsi="Times New Roman" w:cs="Times New Roman"/>
          <w:lang w:val="fr-FR"/>
        </w:rPr>
        <w:t xml:space="preserve">Par conséquent, la mise en œuvre ne peut pas être évaluée sur la base des réponses fournies par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w:t>
      </w:r>
      <w:r w:rsidR="00E2789B" w:rsidRPr="00403C55">
        <w:rPr>
          <w:rFonts w:ascii="Times New Roman" w:hAnsi="Times New Roman" w:cs="Times New Roman"/>
          <w:lang w:val="fr-FR"/>
        </w:rPr>
        <w:t xml:space="preserve"> </w:t>
      </w:r>
      <w:r w:rsidRPr="00403C55">
        <w:rPr>
          <w:rFonts w:ascii="Times New Roman" w:hAnsi="Times New Roman" w:cs="Times New Roman"/>
          <w:lang w:val="fr-FR"/>
        </w:rPr>
        <w:t xml:space="preserve">En outre, avec l’établissement du groupe de travail international (IWG) intergouvernemental </w:t>
      </w:r>
      <w:r w:rsidR="0003562F">
        <w:rPr>
          <w:rFonts w:ascii="Times New Roman" w:hAnsi="Times New Roman" w:cs="Times New Roman"/>
          <w:lang w:val="fr-FR"/>
        </w:rPr>
        <w:t>de l’AEWA</w:t>
      </w:r>
      <w:r w:rsidRPr="00403C55">
        <w:rPr>
          <w:rFonts w:ascii="Times New Roman" w:hAnsi="Times New Roman" w:cs="Times New Roman"/>
          <w:lang w:val="fr-FR"/>
        </w:rPr>
        <w:t xml:space="preserve"> sur l’Ibis chauve, certaines des fonctions facilitées à l’origine par l’IAGNBI ont été reprises par l’IWG.</w:t>
      </w:r>
      <w:r w:rsidR="00E2789B" w:rsidRPr="00403C55">
        <w:rPr>
          <w:rFonts w:ascii="Times New Roman" w:hAnsi="Times New Roman" w:cs="Times New Roman"/>
          <w:lang w:val="fr-FR"/>
        </w:rPr>
        <w:t xml:space="preserve"> </w:t>
      </w:r>
      <w:r w:rsidRPr="00403C55">
        <w:rPr>
          <w:rFonts w:ascii="Times New Roman" w:hAnsi="Times New Roman" w:cs="Times New Roman"/>
          <w:lang w:val="fr-FR"/>
        </w:rPr>
        <w:t>Néanmoins, l’IAGNBI joue toujours un rôle crucial d’expert en fournissant des conseils scientifiques et de conservation pour l’espèce.</w:t>
      </w:r>
    </w:p>
    <w:p w14:paraId="65324032" w14:textId="20C83FD3" w:rsidR="00C32BBF" w:rsidRPr="00403C55" w:rsidRDefault="00985A4E" w:rsidP="00E2789B">
      <w:pPr>
        <w:spacing w:after="0" w:line="240" w:lineRule="auto"/>
        <w:jc w:val="both"/>
        <w:rPr>
          <w:rFonts w:ascii="Times New Roman" w:hAnsi="Times New Roman" w:cs="Times New Roman"/>
          <w:i/>
          <w:lang w:val="fr-FR"/>
        </w:rPr>
      </w:pPr>
      <w:r>
        <w:rPr>
          <w:rFonts w:ascii="Times New Roman" w:hAnsi="Times New Roman" w:cs="Times New Roman"/>
          <w:lang w:val="fr-FR"/>
        </w:rPr>
        <w:t xml:space="preserve"> </w:t>
      </w:r>
    </w:p>
    <w:p w14:paraId="63C2AD5E" w14:textId="5A27E6D9" w:rsidR="00D10E17"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5.9.</w:t>
      </w:r>
      <w:r w:rsidR="00D10E17" w:rsidRPr="00403C55">
        <w:rPr>
          <w:rFonts w:ascii="Times New Roman" w:hAnsi="Times New Roman" w:cs="Times New Roman"/>
          <w:i/>
          <w:lang w:val="fr-FR"/>
        </w:rPr>
        <w:t xml:space="preserve"> </w:t>
      </w:r>
      <w:r w:rsidR="00FF50F9" w:rsidRPr="00403C55">
        <w:rPr>
          <w:rFonts w:ascii="Times New Roman" w:hAnsi="Times New Roman" w:cs="Times New Roman"/>
          <w:i/>
          <w:lang w:val="fr-FR"/>
        </w:rPr>
        <w:t>Résultat 9 – Des techniques pour l’établissement de nouvelles colonies par réintroduction sont examinées (priorité moyenne)</w:t>
      </w:r>
    </w:p>
    <w:p w14:paraId="5EB52981" w14:textId="77777777" w:rsidR="00D10E17" w:rsidRPr="00403C55" w:rsidRDefault="00D10E17" w:rsidP="00DF3C0E">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7375"/>
        <w:gridCol w:w="1597"/>
      </w:tblGrid>
      <w:tr w:rsidR="008B2036" w:rsidRPr="00DE4CF4" w14:paraId="450DD16E" w14:textId="77777777" w:rsidTr="00ED66B8">
        <w:trPr>
          <w:trHeight w:val="480"/>
        </w:trPr>
        <w:tc>
          <w:tcPr>
            <w:tcW w:w="7375" w:type="dxa"/>
            <w:shd w:val="clear" w:color="auto" w:fill="DBE5F1" w:themeFill="accent1" w:themeFillTint="33"/>
          </w:tcPr>
          <w:p w14:paraId="1A3D658D" w14:textId="0FD1077C" w:rsidR="008B2036" w:rsidRPr="00403C55" w:rsidRDefault="00FF50F9"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597" w:type="dxa"/>
            <w:shd w:val="clear" w:color="auto" w:fill="DBE5F1" w:themeFill="accent1" w:themeFillTint="33"/>
          </w:tcPr>
          <w:p w14:paraId="406D882C" w14:textId="131DEED5" w:rsidR="008B2036" w:rsidRPr="00403C55" w:rsidRDefault="00FF50F9"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8B2036" w:rsidRPr="00403C55" w14:paraId="7D253E02" w14:textId="77777777" w:rsidTr="00ED66B8">
        <w:trPr>
          <w:trHeight w:val="495"/>
        </w:trPr>
        <w:tc>
          <w:tcPr>
            <w:tcW w:w="7375" w:type="dxa"/>
          </w:tcPr>
          <w:p w14:paraId="3E2853CF" w14:textId="4AB5FD12" w:rsidR="008B2036" w:rsidRPr="00403C55" w:rsidRDefault="00595928" w:rsidP="003F50F9">
            <w:pPr>
              <w:jc w:val="both"/>
              <w:rPr>
                <w:rFonts w:ascii="Times New Roman" w:hAnsi="Times New Roman" w:cs="Times New Roman"/>
                <w:lang w:val="fr-FR"/>
              </w:rPr>
            </w:pPr>
            <w:r w:rsidRPr="00403C55">
              <w:rPr>
                <w:rFonts w:ascii="Times New Roman" w:hAnsi="Times New Roman" w:cs="Times New Roman"/>
                <w:lang w:val="fr-FR"/>
              </w:rPr>
              <w:t xml:space="preserve">9.1 </w:t>
            </w:r>
            <w:r w:rsidR="00FF50F9" w:rsidRPr="00403C55">
              <w:rPr>
                <w:rFonts w:ascii="Times New Roman" w:hAnsi="Times New Roman" w:cs="Times New Roman"/>
                <w:lang w:val="fr-FR"/>
              </w:rPr>
              <w:t>Établir des protocoles pour la création de populations sédentaires et migratrices d’ibis chauves dans un habitat adéquat.</w:t>
            </w:r>
          </w:p>
        </w:tc>
        <w:tc>
          <w:tcPr>
            <w:tcW w:w="1597" w:type="dxa"/>
          </w:tcPr>
          <w:p w14:paraId="2C2406CA" w14:textId="776B120A" w:rsidR="008B2036" w:rsidRPr="00403C55" w:rsidRDefault="00595928" w:rsidP="00595928">
            <w:pPr>
              <w:jc w:val="center"/>
              <w:rPr>
                <w:rFonts w:ascii="Times New Roman" w:hAnsi="Times New Roman" w:cs="Times New Roman"/>
                <w:lang w:val="fr-FR"/>
              </w:rPr>
            </w:pPr>
            <w:r w:rsidRPr="00403C55">
              <w:rPr>
                <w:rFonts w:ascii="Times New Roman" w:hAnsi="Times New Roman" w:cs="Times New Roman"/>
                <w:lang w:val="fr-FR"/>
              </w:rPr>
              <w:t>0</w:t>
            </w:r>
            <w:r w:rsidR="00FF50F9"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8B2036" w:rsidRPr="00403C55" w14:paraId="20B68C6D" w14:textId="77777777" w:rsidTr="00ED66B8">
        <w:trPr>
          <w:trHeight w:val="480"/>
        </w:trPr>
        <w:tc>
          <w:tcPr>
            <w:tcW w:w="7375" w:type="dxa"/>
          </w:tcPr>
          <w:p w14:paraId="18C8CFA2" w14:textId="0607DDFC" w:rsidR="008B2036" w:rsidRPr="00403C55" w:rsidRDefault="00595928" w:rsidP="003F50F9">
            <w:pPr>
              <w:jc w:val="both"/>
              <w:rPr>
                <w:rFonts w:ascii="Times New Roman" w:hAnsi="Times New Roman" w:cs="Times New Roman"/>
                <w:lang w:val="fr-FR"/>
              </w:rPr>
            </w:pPr>
            <w:r w:rsidRPr="00403C55">
              <w:rPr>
                <w:rFonts w:ascii="Times New Roman" w:hAnsi="Times New Roman" w:cs="Times New Roman"/>
                <w:lang w:val="fr-FR"/>
              </w:rPr>
              <w:t xml:space="preserve">9.2 </w:t>
            </w:r>
            <w:r w:rsidR="008B5AD6" w:rsidRPr="00403C55">
              <w:rPr>
                <w:rFonts w:ascii="Times New Roman" w:hAnsi="Times New Roman" w:cs="Times New Roman"/>
                <w:lang w:val="fr-FR"/>
              </w:rPr>
              <w:t>Développer des (modèles de) techniques pour évaluer si les sites de lâcher sont adaptés.</w:t>
            </w:r>
          </w:p>
        </w:tc>
        <w:tc>
          <w:tcPr>
            <w:tcW w:w="1597" w:type="dxa"/>
          </w:tcPr>
          <w:p w14:paraId="6AD24BE5" w14:textId="619FFD52" w:rsidR="008B2036" w:rsidRPr="00403C55" w:rsidRDefault="00595928" w:rsidP="00010148">
            <w:pPr>
              <w:jc w:val="center"/>
              <w:rPr>
                <w:rFonts w:ascii="Times New Roman" w:hAnsi="Times New Roman" w:cs="Times New Roman"/>
                <w:lang w:val="fr-FR"/>
              </w:rPr>
            </w:pPr>
            <w:r w:rsidRPr="00403C55">
              <w:rPr>
                <w:rFonts w:ascii="Times New Roman" w:hAnsi="Times New Roman" w:cs="Times New Roman"/>
                <w:lang w:val="fr-FR"/>
              </w:rPr>
              <w:t>33</w:t>
            </w:r>
            <w:r w:rsidR="00FF50F9"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8B2036" w:rsidRPr="00403C55" w14:paraId="078C2E9C" w14:textId="77777777" w:rsidTr="00ED66B8">
        <w:trPr>
          <w:trHeight w:val="495"/>
        </w:trPr>
        <w:tc>
          <w:tcPr>
            <w:tcW w:w="7375" w:type="dxa"/>
          </w:tcPr>
          <w:p w14:paraId="1635EB5F" w14:textId="65B34B40" w:rsidR="008B2036" w:rsidRPr="00403C55" w:rsidRDefault="00595928" w:rsidP="003F50F9">
            <w:pPr>
              <w:jc w:val="both"/>
              <w:rPr>
                <w:rFonts w:ascii="Times New Roman" w:hAnsi="Times New Roman" w:cs="Times New Roman"/>
                <w:lang w:val="fr-FR"/>
              </w:rPr>
            </w:pPr>
            <w:r w:rsidRPr="00403C55">
              <w:rPr>
                <w:rFonts w:ascii="Times New Roman" w:hAnsi="Times New Roman" w:cs="Times New Roman"/>
                <w:lang w:val="fr-FR"/>
              </w:rPr>
              <w:t xml:space="preserve">9.3 </w:t>
            </w:r>
            <w:r w:rsidR="008B5AD6" w:rsidRPr="00403C55">
              <w:rPr>
                <w:rFonts w:ascii="Times New Roman" w:hAnsi="Times New Roman" w:cs="Times New Roman"/>
                <w:lang w:val="fr-FR"/>
              </w:rPr>
              <w:t>Examiner si le partage d’une colonie captive peut être une technique de réintroduction potentielle.</w:t>
            </w:r>
          </w:p>
        </w:tc>
        <w:tc>
          <w:tcPr>
            <w:tcW w:w="1597" w:type="dxa"/>
          </w:tcPr>
          <w:p w14:paraId="2D9350B6" w14:textId="51C61E03" w:rsidR="008B2036" w:rsidRPr="00403C55" w:rsidRDefault="00595928" w:rsidP="00010148">
            <w:pPr>
              <w:jc w:val="center"/>
              <w:rPr>
                <w:rFonts w:ascii="Times New Roman" w:hAnsi="Times New Roman" w:cs="Times New Roman"/>
                <w:lang w:val="fr-FR"/>
              </w:rPr>
            </w:pPr>
            <w:r w:rsidRPr="00403C55">
              <w:rPr>
                <w:rFonts w:ascii="Times New Roman" w:hAnsi="Times New Roman" w:cs="Times New Roman"/>
                <w:lang w:val="fr-FR"/>
              </w:rPr>
              <w:t>0</w:t>
            </w:r>
            <w:r w:rsidR="00FF50F9"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8B2036" w:rsidRPr="00403C55" w14:paraId="48F2EFBC" w14:textId="77777777" w:rsidTr="00ED66B8">
        <w:trPr>
          <w:trHeight w:val="480"/>
        </w:trPr>
        <w:tc>
          <w:tcPr>
            <w:tcW w:w="7375" w:type="dxa"/>
          </w:tcPr>
          <w:p w14:paraId="27E4DE01" w14:textId="74B7AD4D" w:rsidR="008B2036" w:rsidRPr="00403C55" w:rsidRDefault="00595928" w:rsidP="003F50F9">
            <w:pPr>
              <w:jc w:val="both"/>
              <w:rPr>
                <w:rFonts w:ascii="Times New Roman" w:hAnsi="Times New Roman" w:cs="Times New Roman"/>
                <w:lang w:val="fr-FR"/>
              </w:rPr>
            </w:pPr>
            <w:r w:rsidRPr="00403C55">
              <w:rPr>
                <w:rFonts w:ascii="Times New Roman" w:hAnsi="Times New Roman" w:cs="Times New Roman"/>
                <w:lang w:val="fr-FR"/>
              </w:rPr>
              <w:t xml:space="preserve">9.4 </w:t>
            </w:r>
            <w:r w:rsidR="008B5AD6" w:rsidRPr="00403C55">
              <w:rPr>
                <w:rFonts w:ascii="Times New Roman" w:hAnsi="Times New Roman" w:cs="Times New Roman"/>
                <w:lang w:val="fr-FR"/>
              </w:rPr>
              <w:t>S’assurer que la planification de projets de réintroduction a lieu en totale consultation avec l’IAGNBI et le Groupe de spécialistes de la réintroduction de l’UICN SSC.</w:t>
            </w:r>
          </w:p>
        </w:tc>
        <w:tc>
          <w:tcPr>
            <w:tcW w:w="1597" w:type="dxa"/>
          </w:tcPr>
          <w:p w14:paraId="1225A335" w14:textId="387A3028" w:rsidR="008B2036" w:rsidRPr="00403C55" w:rsidRDefault="00595928" w:rsidP="00010148">
            <w:pPr>
              <w:jc w:val="center"/>
              <w:rPr>
                <w:rFonts w:ascii="Times New Roman" w:hAnsi="Times New Roman" w:cs="Times New Roman"/>
                <w:lang w:val="fr-FR"/>
              </w:rPr>
            </w:pPr>
            <w:r w:rsidRPr="00403C55">
              <w:rPr>
                <w:rFonts w:ascii="Times New Roman" w:hAnsi="Times New Roman" w:cs="Times New Roman"/>
                <w:lang w:val="fr-FR"/>
              </w:rPr>
              <w:t>33</w:t>
            </w:r>
            <w:r w:rsidR="00FF50F9"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1C6999C9" w14:textId="77777777" w:rsidR="008B2036" w:rsidRPr="00403C55" w:rsidRDefault="008B2036" w:rsidP="00DF3C0E">
      <w:pPr>
        <w:spacing w:after="0" w:line="240" w:lineRule="auto"/>
        <w:rPr>
          <w:rFonts w:ascii="Times New Roman" w:hAnsi="Times New Roman" w:cs="Times New Roman"/>
          <w:lang w:val="fr-FR"/>
        </w:rPr>
      </w:pPr>
    </w:p>
    <w:p w14:paraId="7A77E8FE" w14:textId="24645588" w:rsidR="00C32BBF" w:rsidRPr="00403C55" w:rsidRDefault="008B5AD6"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C32BBF" w:rsidRPr="00403C55">
        <w:rPr>
          <w:rFonts w:ascii="Times New Roman" w:hAnsi="Times New Roman" w:cs="Times New Roman"/>
          <w:b/>
          <w:lang w:val="fr-FR"/>
        </w:rPr>
        <w:t xml:space="preserve"> </w:t>
      </w:r>
      <w:r w:rsidR="00595928" w:rsidRPr="00403C55">
        <w:rPr>
          <w:rFonts w:ascii="Times New Roman" w:hAnsi="Times New Roman" w:cs="Times New Roman"/>
          <w:b/>
          <w:lang w:val="fr-FR"/>
        </w:rPr>
        <w:t>17</w:t>
      </w:r>
      <w:r w:rsidRPr="00403C55">
        <w:rPr>
          <w:rFonts w:ascii="Times New Roman" w:hAnsi="Times New Roman" w:cs="Times New Roman"/>
          <w:b/>
          <w:lang w:val="fr-FR"/>
        </w:rPr>
        <w:t xml:space="preserve"> </w:t>
      </w:r>
      <w:r w:rsidR="00595928" w:rsidRPr="00403C55">
        <w:rPr>
          <w:rFonts w:ascii="Times New Roman" w:hAnsi="Times New Roman" w:cs="Times New Roman"/>
          <w:b/>
          <w:lang w:val="fr-FR"/>
        </w:rPr>
        <w:t>%</w:t>
      </w:r>
      <w:r w:rsidR="00985A4E">
        <w:rPr>
          <w:rFonts w:ascii="Times New Roman" w:hAnsi="Times New Roman" w:cs="Times New Roman"/>
          <w:b/>
          <w:lang w:val="fr-FR"/>
        </w:rPr>
        <w:t xml:space="preserve"> </w:t>
      </w:r>
    </w:p>
    <w:p w14:paraId="7F79B093" w14:textId="77777777" w:rsidR="00C32BBF" w:rsidRPr="00403C55" w:rsidRDefault="00C32BBF" w:rsidP="00DF3C0E">
      <w:pPr>
        <w:spacing w:after="0" w:line="240" w:lineRule="auto"/>
        <w:rPr>
          <w:rFonts w:ascii="Times New Roman" w:hAnsi="Times New Roman" w:cs="Times New Roman"/>
          <w:lang w:val="fr-FR"/>
        </w:rPr>
      </w:pPr>
    </w:p>
    <w:p w14:paraId="6F6DEF37" w14:textId="564FDF52" w:rsidR="00D10E17"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5.10.</w:t>
      </w:r>
      <w:r w:rsidR="00D10E17" w:rsidRPr="00403C55">
        <w:rPr>
          <w:rFonts w:ascii="Times New Roman" w:hAnsi="Times New Roman" w:cs="Times New Roman"/>
          <w:i/>
          <w:lang w:val="fr-FR"/>
        </w:rPr>
        <w:t xml:space="preserve"> </w:t>
      </w:r>
      <w:r w:rsidR="008B5AD6" w:rsidRPr="00403C55">
        <w:rPr>
          <w:rFonts w:ascii="Times New Roman" w:hAnsi="Times New Roman" w:cs="Times New Roman"/>
          <w:i/>
          <w:lang w:val="fr-FR"/>
        </w:rPr>
        <w:t>Résultat 10 – Le risque de maladies infectieuses est réduit (priorité élevée)</w:t>
      </w:r>
    </w:p>
    <w:p w14:paraId="4DBC54EC" w14:textId="77777777" w:rsidR="00D10E17" w:rsidRPr="00403C55" w:rsidRDefault="00D10E17" w:rsidP="00DF3C0E">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7375"/>
        <w:gridCol w:w="1597"/>
      </w:tblGrid>
      <w:tr w:rsidR="008B2036" w:rsidRPr="00DE4CF4" w14:paraId="40A77EBB" w14:textId="77777777" w:rsidTr="00ED66B8">
        <w:trPr>
          <w:trHeight w:val="480"/>
        </w:trPr>
        <w:tc>
          <w:tcPr>
            <w:tcW w:w="7375" w:type="dxa"/>
            <w:shd w:val="clear" w:color="auto" w:fill="DBE5F1" w:themeFill="accent1" w:themeFillTint="33"/>
          </w:tcPr>
          <w:p w14:paraId="5567C02D" w14:textId="5007AFAA" w:rsidR="008B2036" w:rsidRPr="00403C55" w:rsidRDefault="008B5AD6"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597" w:type="dxa"/>
            <w:shd w:val="clear" w:color="auto" w:fill="DBE5F1" w:themeFill="accent1" w:themeFillTint="33"/>
          </w:tcPr>
          <w:p w14:paraId="08445618" w14:textId="39EB40C8" w:rsidR="008B2036" w:rsidRPr="00403C55" w:rsidRDefault="008B5AD6"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8B2036" w:rsidRPr="00403C55" w14:paraId="44040F8E" w14:textId="77777777" w:rsidTr="00ED66B8">
        <w:trPr>
          <w:trHeight w:val="495"/>
        </w:trPr>
        <w:tc>
          <w:tcPr>
            <w:tcW w:w="7375" w:type="dxa"/>
          </w:tcPr>
          <w:p w14:paraId="74B5A59F" w14:textId="3E02F5F9" w:rsidR="008B2036" w:rsidRPr="00403C55" w:rsidRDefault="00B72288" w:rsidP="003F50F9">
            <w:pPr>
              <w:jc w:val="both"/>
              <w:rPr>
                <w:rFonts w:ascii="Times New Roman" w:hAnsi="Times New Roman" w:cs="Times New Roman"/>
                <w:lang w:val="fr-FR"/>
              </w:rPr>
            </w:pPr>
            <w:r w:rsidRPr="00552518">
              <w:rPr>
                <w:rFonts w:ascii="Times New Roman" w:hAnsi="Times New Roman" w:cs="Times New Roman"/>
                <w:lang w:val="fr-FR"/>
              </w:rPr>
              <w:t>10.1</w:t>
            </w:r>
            <w:r w:rsidRPr="00403C55">
              <w:rPr>
                <w:rFonts w:ascii="Times New Roman" w:hAnsi="Times New Roman" w:cs="Times New Roman"/>
                <w:lang w:val="fr-FR"/>
              </w:rPr>
              <w:t xml:space="preserve"> </w:t>
            </w:r>
            <w:r w:rsidR="008B5AD6" w:rsidRPr="00403C55">
              <w:rPr>
                <w:rFonts w:ascii="Times New Roman" w:hAnsi="Times New Roman" w:cs="Times New Roman"/>
                <w:lang w:val="fr-FR"/>
              </w:rPr>
              <w:t>Établir un protocole vétérinaire / post-mortem pour chaque oiseau malade ou mort.</w:t>
            </w:r>
          </w:p>
        </w:tc>
        <w:tc>
          <w:tcPr>
            <w:tcW w:w="1597" w:type="dxa"/>
          </w:tcPr>
          <w:p w14:paraId="779FAEDB" w14:textId="4B584FF0" w:rsidR="008B2036" w:rsidRPr="00403C55" w:rsidRDefault="005446EC" w:rsidP="005446EC">
            <w:pPr>
              <w:jc w:val="center"/>
              <w:rPr>
                <w:rFonts w:ascii="Times New Roman" w:hAnsi="Times New Roman" w:cs="Times New Roman"/>
                <w:lang w:val="fr-FR"/>
              </w:rPr>
            </w:pPr>
            <w:r w:rsidRPr="00403C55">
              <w:rPr>
                <w:rFonts w:ascii="Times New Roman" w:hAnsi="Times New Roman" w:cs="Times New Roman"/>
                <w:lang w:val="fr-FR"/>
              </w:rPr>
              <w:t>67</w:t>
            </w:r>
            <w:r w:rsidR="008B5AD6"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8B2036" w:rsidRPr="00403C55" w14:paraId="1F51B98A" w14:textId="77777777" w:rsidTr="00ED66B8">
        <w:trPr>
          <w:trHeight w:val="480"/>
        </w:trPr>
        <w:tc>
          <w:tcPr>
            <w:tcW w:w="7375" w:type="dxa"/>
          </w:tcPr>
          <w:p w14:paraId="6AD58822" w14:textId="20A56831" w:rsidR="008B2036" w:rsidRPr="00403C55" w:rsidRDefault="00B72288" w:rsidP="00552518">
            <w:pPr>
              <w:jc w:val="both"/>
              <w:rPr>
                <w:rFonts w:ascii="Times New Roman" w:hAnsi="Times New Roman" w:cs="Times New Roman"/>
                <w:lang w:val="fr-FR"/>
              </w:rPr>
            </w:pPr>
            <w:r w:rsidRPr="00403C55">
              <w:rPr>
                <w:rFonts w:ascii="Times New Roman" w:hAnsi="Times New Roman" w:cs="Times New Roman"/>
                <w:lang w:val="fr-FR"/>
              </w:rPr>
              <w:t xml:space="preserve">10.2 </w:t>
            </w:r>
            <w:r w:rsidR="008B5AD6" w:rsidRPr="00403C55">
              <w:rPr>
                <w:rFonts w:ascii="Times New Roman" w:hAnsi="Times New Roman" w:cs="Times New Roman"/>
                <w:lang w:val="fr-FR"/>
              </w:rPr>
              <w:t>Développer la capacité vétérinaire au Maroc, en Syrie et en Turquie pour le travail post-mortem.</w:t>
            </w:r>
          </w:p>
        </w:tc>
        <w:tc>
          <w:tcPr>
            <w:tcW w:w="1597" w:type="dxa"/>
          </w:tcPr>
          <w:p w14:paraId="1CD4807B" w14:textId="15FF926A" w:rsidR="008B2036" w:rsidRPr="00403C55" w:rsidRDefault="005446EC" w:rsidP="00010148">
            <w:pPr>
              <w:jc w:val="center"/>
              <w:rPr>
                <w:rFonts w:ascii="Times New Roman" w:hAnsi="Times New Roman" w:cs="Times New Roman"/>
                <w:lang w:val="fr-FR"/>
              </w:rPr>
            </w:pPr>
            <w:r w:rsidRPr="00403C55">
              <w:rPr>
                <w:rFonts w:ascii="Times New Roman" w:hAnsi="Times New Roman" w:cs="Times New Roman"/>
                <w:lang w:val="fr-FR"/>
              </w:rPr>
              <w:t>33</w:t>
            </w:r>
            <w:r w:rsidR="008B5AD6"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8B2036" w:rsidRPr="00403C55" w14:paraId="52422DAA" w14:textId="77777777" w:rsidTr="00ED66B8">
        <w:trPr>
          <w:trHeight w:val="495"/>
        </w:trPr>
        <w:tc>
          <w:tcPr>
            <w:tcW w:w="7375" w:type="dxa"/>
          </w:tcPr>
          <w:p w14:paraId="1D47A838" w14:textId="169F4F92" w:rsidR="008B2036" w:rsidRPr="00403C55" w:rsidRDefault="00B72288" w:rsidP="003F50F9">
            <w:pPr>
              <w:jc w:val="both"/>
              <w:rPr>
                <w:rFonts w:ascii="Times New Roman" w:hAnsi="Times New Roman" w:cs="Times New Roman"/>
                <w:lang w:val="fr-FR"/>
              </w:rPr>
            </w:pPr>
            <w:r w:rsidRPr="00552518">
              <w:rPr>
                <w:rFonts w:ascii="Times New Roman" w:hAnsi="Times New Roman" w:cs="Times New Roman"/>
                <w:lang w:val="fr-FR"/>
              </w:rPr>
              <w:t>10.3</w:t>
            </w:r>
            <w:r w:rsidRPr="00403C55">
              <w:rPr>
                <w:rFonts w:ascii="Times New Roman" w:hAnsi="Times New Roman" w:cs="Times New Roman"/>
                <w:lang w:val="fr-FR"/>
              </w:rPr>
              <w:t xml:space="preserve"> </w:t>
            </w:r>
            <w:r w:rsidR="008B5AD6" w:rsidRPr="00403C55">
              <w:rPr>
                <w:rFonts w:ascii="Times New Roman" w:hAnsi="Times New Roman" w:cs="Times New Roman"/>
                <w:lang w:val="fr-FR"/>
              </w:rPr>
              <w:t>S’assurer de la disponibilité de l’équipement et du matériel nécessaire</w:t>
            </w:r>
            <w:r w:rsidR="00EF3C1F" w:rsidRPr="00403C55">
              <w:rPr>
                <w:rFonts w:ascii="Times New Roman" w:hAnsi="Times New Roman" w:cs="Times New Roman"/>
                <w:lang w:val="fr-FR"/>
              </w:rPr>
              <w:t>s</w:t>
            </w:r>
            <w:r w:rsidR="008B5AD6" w:rsidRPr="00403C55">
              <w:rPr>
                <w:rFonts w:ascii="Times New Roman" w:hAnsi="Times New Roman" w:cs="Times New Roman"/>
                <w:lang w:val="fr-FR"/>
              </w:rPr>
              <w:t xml:space="preserve"> pour mener le travail vétérinaire / post-mortem.</w:t>
            </w:r>
          </w:p>
        </w:tc>
        <w:tc>
          <w:tcPr>
            <w:tcW w:w="1597" w:type="dxa"/>
          </w:tcPr>
          <w:p w14:paraId="610D31F3" w14:textId="08A0B963" w:rsidR="008B2036" w:rsidRPr="00403C55" w:rsidRDefault="005446EC" w:rsidP="00010148">
            <w:pPr>
              <w:jc w:val="center"/>
              <w:rPr>
                <w:rFonts w:ascii="Times New Roman" w:hAnsi="Times New Roman" w:cs="Times New Roman"/>
                <w:lang w:val="fr-FR"/>
              </w:rPr>
            </w:pPr>
            <w:r w:rsidRPr="00403C55">
              <w:rPr>
                <w:rFonts w:ascii="Times New Roman" w:hAnsi="Times New Roman" w:cs="Times New Roman"/>
                <w:lang w:val="fr-FR"/>
              </w:rPr>
              <w:t>67</w:t>
            </w:r>
            <w:r w:rsidR="008B5AD6"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8B2036" w:rsidRPr="00403C55" w14:paraId="7B245E70" w14:textId="77777777" w:rsidTr="00ED66B8">
        <w:trPr>
          <w:trHeight w:val="480"/>
        </w:trPr>
        <w:tc>
          <w:tcPr>
            <w:tcW w:w="7375" w:type="dxa"/>
          </w:tcPr>
          <w:p w14:paraId="4FDEAC4C" w14:textId="6C692998" w:rsidR="008B2036" w:rsidRPr="00403C55" w:rsidRDefault="00B72288" w:rsidP="003F50F9">
            <w:pPr>
              <w:jc w:val="both"/>
              <w:rPr>
                <w:rFonts w:ascii="Times New Roman" w:hAnsi="Times New Roman" w:cs="Times New Roman"/>
                <w:lang w:val="fr-FR"/>
              </w:rPr>
            </w:pPr>
            <w:r w:rsidRPr="00403C55">
              <w:rPr>
                <w:rFonts w:ascii="Times New Roman" w:hAnsi="Times New Roman" w:cs="Times New Roman"/>
                <w:lang w:val="fr-FR"/>
              </w:rPr>
              <w:t xml:space="preserve">10.4 </w:t>
            </w:r>
            <w:r w:rsidR="008B5AD6" w:rsidRPr="00403C55">
              <w:rPr>
                <w:rFonts w:ascii="Times New Roman" w:hAnsi="Times New Roman" w:cs="Times New Roman"/>
                <w:lang w:val="fr-FR"/>
              </w:rPr>
              <w:t>Réaliser une évaluation standardisée du risque de maladie dans chaque pays (domestique et sauvage).</w:t>
            </w:r>
          </w:p>
        </w:tc>
        <w:tc>
          <w:tcPr>
            <w:tcW w:w="1597" w:type="dxa"/>
          </w:tcPr>
          <w:p w14:paraId="2C84BBC6" w14:textId="18F4CC61" w:rsidR="008B2036" w:rsidRPr="00403C55" w:rsidRDefault="005446EC" w:rsidP="00010148">
            <w:pPr>
              <w:jc w:val="center"/>
              <w:rPr>
                <w:rFonts w:ascii="Times New Roman" w:hAnsi="Times New Roman" w:cs="Times New Roman"/>
                <w:lang w:val="fr-FR"/>
              </w:rPr>
            </w:pPr>
            <w:r w:rsidRPr="00403C55">
              <w:rPr>
                <w:rFonts w:ascii="Times New Roman" w:hAnsi="Times New Roman" w:cs="Times New Roman"/>
                <w:lang w:val="fr-FR"/>
              </w:rPr>
              <w:t>33</w:t>
            </w:r>
            <w:r w:rsidR="008B5AD6"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B72288" w:rsidRPr="00403C55" w14:paraId="407343BC" w14:textId="77777777" w:rsidTr="00ED66B8">
        <w:trPr>
          <w:trHeight w:val="480"/>
        </w:trPr>
        <w:tc>
          <w:tcPr>
            <w:tcW w:w="7375" w:type="dxa"/>
          </w:tcPr>
          <w:p w14:paraId="360AC102" w14:textId="45DB579B" w:rsidR="00B72288" w:rsidRPr="00403C55" w:rsidRDefault="00B72288" w:rsidP="003F50F9">
            <w:pPr>
              <w:jc w:val="both"/>
              <w:rPr>
                <w:rFonts w:ascii="Times New Roman" w:hAnsi="Times New Roman" w:cs="Times New Roman"/>
                <w:lang w:val="fr-FR"/>
              </w:rPr>
            </w:pPr>
            <w:r w:rsidRPr="00403C55">
              <w:rPr>
                <w:rFonts w:ascii="Times New Roman" w:hAnsi="Times New Roman" w:cs="Times New Roman"/>
                <w:lang w:val="fr-FR"/>
              </w:rPr>
              <w:t xml:space="preserve">10.5 </w:t>
            </w:r>
            <w:r w:rsidR="008B5AD6" w:rsidRPr="00403C55">
              <w:rPr>
                <w:rFonts w:ascii="Times New Roman" w:hAnsi="Times New Roman" w:cs="Times New Roman"/>
                <w:lang w:val="fr-FR"/>
              </w:rPr>
              <w:t xml:space="preserve">Introduire des protocoles appropriés </w:t>
            </w:r>
            <w:r w:rsidR="00ED66B8" w:rsidRPr="00403C55">
              <w:rPr>
                <w:rFonts w:ascii="Times New Roman" w:hAnsi="Times New Roman" w:cs="Times New Roman"/>
                <w:lang w:val="fr-FR"/>
              </w:rPr>
              <w:t xml:space="preserve">pour les déchets </w:t>
            </w:r>
            <w:r w:rsidR="008B5AD6" w:rsidRPr="00403C55">
              <w:rPr>
                <w:rFonts w:ascii="Times New Roman" w:hAnsi="Times New Roman" w:cs="Times New Roman"/>
                <w:lang w:val="fr-FR"/>
              </w:rPr>
              <w:t>dans les unités aviaires intensives d</w:t>
            </w:r>
            <w:r w:rsidR="00ED66B8" w:rsidRPr="00403C55">
              <w:rPr>
                <w:rFonts w:ascii="Times New Roman" w:hAnsi="Times New Roman" w:cs="Times New Roman"/>
                <w:lang w:val="fr-FR"/>
              </w:rPr>
              <w:t>u</w:t>
            </w:r>
            <w:r w:rsidR="008B5AD6" w:rsidRPr="00403C55">
              <w:rPr>
                <w:rFonts w:ascii="Times New Roman" w:hAnsi="Times New Roman" w:cs="Times New Roman"/>
                <w:lang w:val="fr-FR"/>
              </w:rPr>
              <w:t xml:space="preserve"> parc national de Souss-Massa (et provisoirement à Douaira) et assurer </w:t>
            </w:r>
            <w:r w:rsidR="00EF3C1F" w:rsidRPr="00403C55">
              <w:rPr>
                <w:rFonts w:ascii="Times New Roman" w:hAnsi="Times New Roman" w:cs="Times New Roman"/>
                <w:lang w:val="fr-FR"/>
              </w:rPr>
              <w:t xml:space="preserve">qu’ils sont mis en œuvre </w:t>
            </w:r>
            <w:r w:rsidR="006A5CC6" w:rsidRPr="00403C55">
              <w:rPr>
                <w:rFonts w:ascii="Times New Roman" w:hAnsi="Times New Roman" w:cs="Times New Roman"/>
                <w:lang w:val="fr-FR"/>
              </w:rPr>
              <w:t>sur</w:t>
            </w:r>
            <w:r w:rsidR="00EF3C1F" w:rsidRPr="00403C55">
              <w:rPr>
                <w:rFonts w:ascii="Times New Roman" w:hAnsi="Times New Roman" w:cs="Times New Roman"/>
                <w:lang w:val="fr-FR"/>
              </w:rPr>
              <w:t xml:space="preserve"> tous les </w:t>
            </w:r>
            <w:r w:rsidR="006A5CC6" w:rsidRPr="00403C55">
              <w:rPr>
                <w:rFonts w:ascii="Times New Roman" w:hAnsi="Times New Roman" w:cs="Times New Roman"/>
                <w:lang w:val="fr-FR"/>
              </w:rPr>
              <w:t>sites</w:t>
            </w:r>
            <w:r w:rsidR="00EF3C1F" w:rsidRPr="00403C55">
              <w:rPr>
                <w:rFonts w:ascii="Times New Roman" w:hAnsi="Times New Roman" w:cs="Times New Roman"/>
                <w:lang w:val="fr-FR"/>
              </w:rPr>
              <w:t xml:space="preserve"> d’alimentation connus</w:t>
            </w:r>
            <w:r w:rsidR="008B5AD6" w:rsidRPr="00403C55">
              <w:rPr>
                <w:rFonts w:ascii="Times New Roman" w:hAnsi="Times New Roman" w:cs="Times New Roman"/>
                <w:lang w:val="fr-FR"/>
              </w:rPr>
              <w:t>.</w:t>
            </w:r>
            <w:r w:rsidRPr="00403C55">
              <w:rPr>
                <w:rFonts w:ascii="Times New Roman" w:hAnsi="Times New Roman" w:cs="Times New Roman"/>
                <w:lang w:val="fr-FR"/>
              </w:rPr>
              <w:t xml:space="preserve"> </w:t>
            </w:r>
            <w:r w:rsidR="00552518">
              <w:rPr>
                <w:rFonts w:ascii="Times New Roman" w:hAnsi="Times New Roman" w:cs="Times New Roman"/>
                <w:lang w:val="fr-FR"/>
              </w:rPr>
              <w:t>(</w:t>
            </w:r>
            <w:r w:rsidR="00EF3C1F" w:rsidRPr="00403C55">
              <w:rPr>
                <w:rFonts w:ascii="Times New Roman" w:hAnsi="Times New Roman" w:cs="Times New Roman"/>
                <w:lang w:val="fr-FR"/>
              </w:rPr>
              <w:t>Maroc</w:t>
            </w:r>
            <w:r w:rsidR="00552518">
              <w:rPr>
                <w:rFonts w:ascii="Times New Roman" w:hAnsi="Times New Roman" w:cs="Times New Roman"/>
                <w:lang w:val="fr-FR"/>
              </w:rPr>
              <w:t>)</w:t>
            </w:r>
          </w:p>
        </w:tc>
        <w:tc>
          <w:tcPr>
            <w:tcW w:w="1597" w:type="dxa"/>
          </w:tcPr>
          <w:p w14:paraId="559B4357" w14:textId="02516EAC" w:rsidR="00B72288" w:rsidRPr="00403C55" w:rsidRDefault="005446EC" w:rsidP="00010148">
            <w:pPr>
              <w:jc w:val="center"/>
              <w:rPr>
                <w:rFonts w:ascii="Times New Roman" w:hAnsi="Times New Roman" w:cs="Times New Roman"/>
                <w:lang w:val="fr-FR"/>
              </w:rPr>
            </w:pPr>
            <w:r w:rsidRPr="00403C55">
              <w:rPr>
                <w:rFonts w:ascii="Times New Roman" w:hAnsi="Times New Roman" w:cs="Times New Roman"/>
                <w:lang w:val="fr-FR"/>
              </w:rPr>
              <w:t>100</w:t>
            </w:r>
            <w:r w:rsidR="008B5AD6"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B72288" w:rsidRPr="00403C55" w14:paraId="67C8ADA6" w14:textId="77777777" w:rsidTr="00ED66B8">
        <w:trPr>
          <w:trHeight w:val="480"/>
        </w:trPr>
        <w:tc>
          <w:tcPr>
            <w:tcW w:w="7375" w:type="dxa"/>
          </w:tcPr>
          <w:p w14:paraId="14B4F3DC" w14:textId="05BD1DC7" w:rsidR="00B72288" w:rsidRPr="00403C55" w:rsidRDefault="00B72288" w:rsidP="003F50F9">
            <w:pPr>
              <w:jc w:val="both"/>
              <w:rPr>
                <w:rFonts w:ascii="Times New Roman" w:hAnsi="Times New Roman" w:cs="Times New Roman"/>
                <w:lang w:val="fr-FR"/>
              </w:rPr>
            </w:pPr>
            <w:r w:rsidRPr="00403C55">
              <w:rPr>
                <w:rFonts w:ascii="Times New Roman" w:hAnsi="Times New Roman" w:cs="Times New Roman"/>
                <w:lang w:val="fr-FR"/>
              </w:rPr>
              <w:lastRenderedPageBreak/>
              <w:t xml:space="preserve">10.6 </w:t>
            </w:r>
            <w:r w:rsidR="00EF3C1F" w:rsidRPr="00403C55">
              <w:rPr>
                <w:rFonts w:ascii="Times New Roman" w:hAnsi="Times New Roman" w:cs="Times New Roman"/>
                <w:lang w:val="fr-FR"/>
              </w:rPr>
              <w:t>Relocaliser l’unité aviaire de Dou</w:t>
            </w:r>
            <w:r w:rsidR="00403C55">
              <w:rPr>
                <w:rFonts w:ascii="Times New Roman" w:hAnsi="Times New Roman" w:cs="Times New Roman"/>
                <w:lang w:val="fr-FR"/>
              </w:rPr>
              <w:t>a</w:t>
            </w:r>
            <w:r w:rsidR="00EF3C1F" w:rsidRPr="00403C55">
              <w:rPr>
                <w:rFonts w:ascii="Times New Roman" w:hAnsi="Times New Roman" w:cs="Times New Roman"/>
                <w:lang w:val="fr-FR"/>
              </w:rPr>
              <w:t>ira dans un endroit éloigné du principal site de perchage.</w:t>
            </w:r>
            <w:r w:rsidRPr="00403C55">
              <w:rPr>
                <w:rFonts w:ascii="Times New Roman" w:hAnsi="Times New Roman" w:cs="Times New Roman"/>
                <w:lang w:val="fr-FR"/>
              </w:rPr>
              <w:t xml:space="preserve"> </w:t>
            </w:r>
            <w:r w:rsidR="00552518">
              <w:rPr>
                <w:rFonts w:ascii="Times New Roman" w:hAnsi="Times New Roman" w:cs="Times New Roman"/>
                <w:lang w:val="fr-FR"/>
              </w:rPr>
              <w:t>(</w:t>
            </w:r>
            <w:r w:rsidR="00EF3C1F" w:rsidRPr="00403C55">
              <w:rPr>
                <w:rFonts w:ascii="Times New Roman" w:hAnsi="Times New Roman" w:cs="Times New Roman"/>
                <w:lang w:val="fr-FR"/>
              </w:rPr>
              <w:t>Maroc</w:t>
            </w:r>
            <w:r w:rsidR="00552518">
              <w:rPr>
                <w:rFonts w:ascii="Times New Roman" w:hAnsi="Times New Roman" w:cs="Times New Roman"/>
                <w:lang w:val="fr-FR"/>
              </w:rPr>
              <w:t>)</w:t>
            </w:r>
          </w:p>
        </w:tc>
        <w:tc>
          <w:tcPr>
            <w:tcW w:w="1597" w:type="dxa"/>
          </w:tcPr>
          <w:p w14:paraId="7CFBED39" w14:textId="090F7043" w:rsidR="00B72288" w:rsidRPr="00403C55" w:rsidRDefault="005446EC" w:rsidP="00010148">
            <w:pPr>
              <w:jc w:val="center"/>
              <w:rPr>
                <w:rFonts w:ascii="Times New Roman" w:hAnsi="Times New Roman" w:cs="Times New Roman"/>
                <w:lang w:val="fr-FR"/>
              </w:rPr>
            </w:pPr>
            <w:r w:rsidRPr="00403C55">
              <w:rPr>
                <w:rFonts w:ascii="Times New Roman" w:hAnsi="Times New Roman" w:cs="Times New Roman"/>
                <w:lang w:val="fr-FR"/>
              </w:rPr>
              <w:t>100</w:t>
            </w:r>
            <w:r w:rsidR="008B5AD6"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45B1E9EB" w14:textId="77777777" w:rsidR="008B2036" w:rsidRPr="00403C55" w:rsidRDefault="008B2036" w:rsidP="00DF3C0E">
      <w:pPr>
        <w:spacing w:after="0" w:line="240" w:lineRule="auto"/>
        <w:rPr>
          <w:rFonts w:ascii="Times New Roman" w:hAnsi="Times New Roman" w:cs="Times New Roman"/>
          <w:lang w:val="fr-FR"/>
        </w:rPr>
      </w:pPr>
    </w:p>
    <w:p w14:paraId="4490BB99" w14:textId="066C0B04" w:rsidR="00C32BBF" w:rsidRPr="00403C55" w:rsidRDefault="00EF3C1F"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5446EC" w:rsidRPr="00403C55">
        <w:rPr>
          <w:rFonts w:ascii="Times New Roman" w:hAnsi="Times New Roman" w:cs="Times New Roman"/>
          <w:b/>
          <w:lang w:val="fr-FR"/>
        </w:rPr>
        <w:t xml:space="preserve"> 67%</w:t>
      </w:r>
      <w:r w:rsidR="00C32BBF" w:rsidRPr="00403C55">
        <w:rPr>
          <w:rFonts w:ascii="Times New Roman" w:hAnsi="Times New Roman" w:cs="Times New Roman"/>
          <w:b/>
          <w:lang w:val="fr-FR"/>
        </w:rPr>
        <w:t xml:space="preserve"> </w:t>
      </w:r>
    </w:p>
    <w:p w14:paraId="28B1B59B" w14:textId="77777777" w:rsidR="00C32BBF" w:rsidRPr="00403C55" w:rsidRDefault="00C32BBF" w:rsidP="00DF3C0E">
      <w:pPr>
        <w:spacing w:after="0" w:line="240" w:lineRule="auto"/>
        <w:rPr>
          <w:rFonts w:ascii="Times New Roman" w:hAnsi="Times New Roman" w:cs="Times New Roman"/>
          <w:lang w:val="fr-FR"/>
        </w:rPr>
      </w:pPr>
    </w:p>
    <w:p w14:paraId="6362202F" w14:textId="6B636517" w:rsidR="00D10E17"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5.11</w:t>
      </w:r>
      <w:r w:rsidR="00D10E17" w:rsidRPr="00403C55">
        <w:rPr>
          <w:rFonts w:ascii="Times New Roman" w:hAnsi="Times New Roman" w:cs="Times New Roman"/>
          <w:i/>
          <w:lang w:val="fr-FR"/>
        </w:rPr>
        <w:t xml:space="preserve">. </w:t>
      </w:r>
      <w:r w:rsidR="00EF3C1F" w:rsidRPr="00403C55">
        <w:rPr>
          <w:rFonts w:ascii="Times New Roman" w:hAnsi="Times New Roman" w:cs="Times New Roman"/>
          <w:i/>
          <w:lang w:val="fr-FR"/>
        </w:rPr>
        <w:t>Résultat 11 – Le risque d’intoxication est réduit (priorité élevée)</w:t>
      </w:r>
    </w:p>
    <w:p w14:paraId="0ABB8164" w14:textId="77777777" w:rsidR="00D10E17" w:rsidRPr="00403C55" w:rsidRDefault="00D10E17" w:rsidP="00DF3C0E">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7375"/>
        <w:gridCol w:w="1597"/>
      </w:tblGrid>
      <w:tr w:rsidR="008B2036" w:rsidRPr="00DE4CF4" w14:paraId="7FA092CE" w14:textId="77777777" w:rsidTr="00ED66B8">
        <w:trPr>
          <w:trHeight w:val="480"/>
        </w:trPr>
        <w:tc>
          <w:tcPr>
            <w:tcW w:w="7375" w:type="dxa"/>
            <w:shd w:val="clear" w:color="auto" w:fill="DBE5F1" w:themeFill="accent1" w:themeFillTint="33"/>
          </w:tcPr>
          <w:p w14:paraId="39D7EC91" w14:textId="6A646794" w:rsidR="008B2036" w:rsidRPr="00403C55" w:rsidRDefault="00EF3C1F"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597" w:type="dxa"/>
            <w:shd w:val="clear" w:color="auto" w:fill="DBE5F1" w:themeFill="accent1" w:themeFillTint="33"/>
          </w:tcPr>
          <w:p w14:paraId="2B9B4B32" w14:textId="303CA2A4" w:rsidR="008B2036" w:rsidRPr="00403C55" w:rsidRDefault="00EF3C1F"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8B2036" w:rsidRPr="00403C55" w14:paraId="13702B02" w14:textId="77777777" w:rsidTr="00ED66B8">
        <w:trPr>
          <w:trHeight w:val="495"/>
        </w:trPr>
        <w:tc>
          <w:tcPr>
            <w:tcW w:w="7375" w:type="dxa"/>
          </w:tcPr>
          <w:p w14:paraId="4E2CDA47" w14:textId="034FF121" w:rsidR="008B2036" w:rsidRPr="00403C55" w:rsidRDefault="008B2036" w:rsidP="003F50F9">
            <w:pPr>
              <w:jc w:val="both"/>
              <w:rPr>
                <w:rFonts w:ascii="Times New Roman" w:hAnsi="Times New Roman" w:cs="Times New Roman"/>
                <w:lang w:val="fr-FR"/>
              </w:rPr>
            </w:pPr>
            <w:r w:rsidRPr="00403C55">
              <w:rPr>
                <w:rFonts w:ascii="Times New Roman" w:hAnsi="Times New Roman" w:cs="Times New Roman"/>
                <w:lang w:val="fr-FR"/>
              </w:rPr>
              <w:t xml:space="preserve">11.1 </w:t>
            </w:r>
            <w:r w:rsidR="00EF3C1F" w:rsidRPr="00403C55">
              <w:rPr>
                <w:rFonts w:ascii="Times New Roman" w:hAnsi="Times New Roman" w:cs="Times New Roman"/>
                <w:lang w:val="fr-FR"/>
              </w:rPr>
              <w:t>Questionner les fermiers locaux sur leur utilisation de pesticides.</w:t>
            </w:r>
          </w:p>
        </w:tc>
        <w:tc>
          <w:tcPr>
            <w:tcW w:w="1597" w:type="dxa"/>
          </w:tcPr>
          <w:p w14:paraId="29BEAFEF" w14:textId="29765755"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33%</w:t>
            </w:r>
          </w:p>
        </w:tc>
      </w:tr>
      <w:tr w:rsidR="008B2036" w:rsidRPr="00403C55" w14:paraId="7D6F3D6E" w14:textId="77777777" w:rsidTr="00ED66B8">
        <w:trPr>
          <w:trHeight w:val="480"/>
        </w:trPr>
        <w:tc>
          <w:tcPr>
            <w:tcW w:w="7375" w:type="dxa"/>
          </w:tcPr>
          <w:p w14:paraId="512EB4A2" w14:textId="7DCDA45B" w:rsidR="008B2036" w:rsidRPr="00403C55" w:rsidRDefault="008B2036" w:rsidP="003F50F9">
            <w:pPr>
              <w:jc w:val="both"/>
              <w:rPr>
                <w:rFonts w:ascii="Times New Roman" w:hAnsi="Times New Roman" w:cs="Times New Roman"/>
                <w:lang w:val="fr-FR"/>
              </w:rPr>
            </w:pPr>
            <w:r w:rsidRPr="00403C55">
              <w:rPr>
                <w:rFonts w:ascii="Times New Roman" w:hAnsi="Times New Roman" w:cs="Times New Roman"/>
                <w:lang w:val="fr-FR"/>
              </w:rPr>
              <w:t xml:space="preserve">11.2 </w:t>
            </w:r>
            <w:r w:rsidR="00EF3C1F" w:rsidRPr="00403C55">
              <w:rPr>
                <w:rFonts w:ascii="Times New Roman" w:hAnsi="Times New Roman" w:cs="Times New Roman"/>
                <w:lang w:val="fr-FR"/>
              </w:rPr>
              <w:t>Organiser des réunions avec les fermiers, les professeurs, etc. pour sensibiliser aux risques présentés par les pesticides utilisés.</w:t>
            </w:r>
          </w:p>
        </w:tc>
        <w:tc>
          <w:tcPr>
            <w:tcW w:w="1597" w:type="dxa"/>
          </w:tcPr>
          <w:p w14:paraId="07D47A94" w14:textId="144D77FC"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67%</w:t>
            </w:r>
          </w:p>
        </w:tc>
      </w:tr>
      <w:tr w:rsidR="008B2036" w:rsidRPr="00403C55" w14:paraId="0E0C0722" w14:textId="77777777" w:rsidTr="00ED66B8">
        <w:trPr>
          <w:trHeight w:val="495"/>
        </w:trPr>
        <w:tc>
          <w:tcPr>
            <w:tcW w:w="7375" w:type="dxa"/>
          </w:tcPr>
          <w:p w14:paraId="2F94919C" w14:textId="0EF42E13" w:rsidR="008B2036" w:rsidRPr="00403C55" w:rsidRDefault="008B2036" w:rsidP="003F50F9">
            <w:pPr>
              <w:jc w:val="both"/>
              <w:rPr>
                <w:rFonts w:ascii="Times New Roman" w:hAnsi="Times New Roman" w:cs="Times New Roman"/>
                <w:lang w:val="fr-FR"/>
              </w:rPr>
            </w:pPr>
            <w:r w:rsidRPr="00403C55">
              <w:rPr>
                <w:rFonts w:ascii="Times New Roman" w:hAnsi="Times New Roman" w:cs="Times New Roman"/>
                <w:lang w:val="fr-FR"/>
              </w:rPr>
              <w:t xml:space="preserve">11.3 </w:t>
            </w:r>
            <w:r w:rsidR="00EF3C1F" w:rsidRPr="00403C55">
              <w:rPr>
                <w:rFonts w:ascii="Times New Roman" w:hAnsi="Times New Roman" w:cs="Times New Roman"/>
                <w:lang w:val="fr-FR"/>
              </w:rPr>
              <w:t xml:space="preserve">Les </w:t>
            </w:r>
            <w:r w:rsidR="00A07452" w:rsidRPr="00403C55">
              <w:rPr>
                <w:rFonts w:ascii="Times New Roman" w:hAnsi="Times New Roman" w:cs="Times New Roman"/>
                <w:lang w:val="fr-FR"/>
              </w:rPr>
              <w:t>sites</w:t>
            </w:r>
            <w:r w:rsidR="00EF3C1F" w:rsidRPr="00403C55">
              <w:rPr>
                <w:rFonts w:ascii="Times New Roman" w:hAnsi="Times New Roman" w:cs="Times New Roman"/>
                <w:lang w:val="fr-FR"/>
              </w:rPr>
              <w:t xml:space="preserve"> d’alimentation </w:t>
            </w:r>
            <w:r w:rsidR="00552518">
              <w:rPr>
                <w:rFonts w:ascii="Times New Roman" w:hAnsi="Times New Roman" w:cs="Times New Roman"/>
                <w:lang w:val="fr-FR"/>
              </w:rPr>
              <w:t xml:space="preserve">clés </w:t>
            </w:r>
            <w:r w:rsidR="00EF3C1F" w:rsidRPr="00403C55">
              <w:rPr>
                <w:rFonts w:ascii="Times New Roman" w:hAnsi="Times New Roman" w:cs="Times New Roman"/>
                <w:lang w:val="fr-FR"/>
              </w:rPr>
              <w:t>sont bien définis grâce à de la documentation scientifique.</w:t>
            </w:r>
          </w:p>
        </w:tc>
        <w:tc>
          <w:tcPr>
            <w:tcW w:w="1597" w:type="dxa"/>
          </w:tcPr>
          <w:p w14:paraId="71A2CFD5" w14:textId="76461466"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100%</w:t>
            </w:r>
          </w:p>
        </w:tc>
      </w:tr>
      <w:tr w:rsidR="008B2036" w:rsidRPr="00403C55" w14:paraId="195C00FA" w14:textId="77777777" w:rsidTr="00ED66B8">
        <w:trPr>
          <w:trHeight w:val="480"/>
        </w:trPr>
        <w:tc>
          <w:tcPr>
            <w:tcW w:w="7375" w:type="dxa"/>
          </w:tcPr>
          <w:p w14:paraId="7E7A546D" w14:textId="5D40033C" w:rsidR="008B2036" w:rsidRPr="00403C55" w:rsidRDefault="008B2036" w:rsidP="003F50F9">
            <w:pPr>
              <w:jc w:val="both"/>
              <w:rPr>
                <w:rFonts w:ascii="Times New Roman" w:hAnsi="Times New Roman" w:cs="Times New Roman"/>
                <w:lang w:val="fr-FR"/>
              </w:rPr>
            </w:pPr>
            <w:r w:rsidRPr="00403C55">
              <w:rPr>
                <w:rFonts w:ascii="Times New Roman" w:hAnsi="Times New Roman" w:cs="Times New Roman"/>
                <w:lang w:val="fr-FR"/>
              </w:rPr>
              <w:t xml:space="preserve">11.4 </w:t>
            </w:r>
            <w:r w:rsidR="00EF3C1F" w:rsidRPr="00403C55">
              <w:rPr>
                <w:rFonts w:ascii="Times New Roman" w:hAnsi="Times New Roman" w:cs="Times New Roman"/>
                <w:lang w:val="fr-FR"/>
              </w:rPr>
              <w:t>Maintenir des points d’approvisionnement en eau près des colonies (Maroc).</w:t>
            </w:r>
          </w:p>
        </w:tc>
        <w:tc>
          <w:tcPr>
            <w:tcW w:w="1597" w:type="dxa"/>
          </w:tcPr>
          <w:p w14:paraId="3605D8D4" w14:textId="4B2F757F"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100%</w:t>
            </w:r>
          </w:p>
        </w:tc>
      </w:tr>
      <w:tr w:rsidR="008B2036" w:rsidRPr="00403C55" w14:paraId="1E4A4ABF" w14:textId="77777777" w:rsidTr="00ED66B8">
        <w:trPr>
          <w:trHeight w:val="480"/>
        </w:trPr>
        <w:tc>
          <w:tcPr>
            <w:tcW w:w="7375" w:type="dxa"/>
          </w:tcPr>
          <w:p w14:paraId="799E46FE" w14:textId="6AC4A35A" w:rsidR="008B2036" w:rsidRPr="00403C55" w:rsidRDefault="008B2036" w:rsidP="003F50F9">
            <w:pPr>
              <w:jc w:val="both"/>
              <w:rPr>
                <w:rFonts w:ascii="Times New Roman" w:hAnsi="Times New Roman" w:cs="Times New Roman"/>
                <w:lang w:val="fr-FR"/>
              </w:rPr>
            </w:pPr>
            <w:r w:rsidRPr="00552518">
              <w:rPr>
                <w:rFonts w:ascii="Times New Roman" w:hAnsi="Times New Roman" w:cs="Times New Roman"/>
                <w:lang w:val="fr-FR"/>
              </w:rPr>
              <w:t>11.5</w:t>
            </w:r>
            <w:r w:rsidRPr="00403C55">
              <w:rPr>
                <w:rFonts w:ascii="Times New Roman" w:hAnsi="Times New Roman" w:cs="Times New Roman"/>
                <w:lang w:val="fr-FR"/>
              </w:rPr>
              <w:t xml:space="preserve"> </w:t>
            </w:r>
            <w:r w:rsidR="00EF3C1F" w:rsidRPr="00403C55">
              <w:rPr>
                <w:rFonts w:ascii="Times New Roman" w:hAnsi="Times New Roman" w:cs="Times New Roman"/>
                <w:lang w:val="fr-FR"/>
              </w:rPr>
              <w:t>Établir un protocole vétérinaire / post-mortem pour chaque oiseau malade ou mort. (Maroc)</w:t>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p>
        </w:tc>
        <w:tc>
          <w:tcPr>
            <w:tcW w:w="1597" w:type="dxa"/>
          </w:tcPr>
          <w:p w14:paraId="481665C0" w14:textId="0D7AA660"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100%</w:t>
            </w:r>
          </w:p>
        </w:tc>
      </w:tr>
      <w:tr w:rsidR="008B2036" w:rsidRPr="00403C55" w14:paraId="7BCB56BB" w14:textId="77777777" w:rsidTr="00ED66B8">
        <w:trPr>
          <w:trHeight w:val="480"/>
        </w:trPr>
        <w:tc>
          <w:tcPr>
            <w:tcW w:w="7375" w:type="dxa"/>
          </w:tcPr>
          <w:p w14:paraId="23224C9E" w14:textId="7F111A63" w:rsidR="008B2036" w:rsidRPr="00403C55" w:rsidRDefault="008B2036" w:rsidP="003F50F9">
            <w:pPr>
              <w:jc w:val="both"/>
              <w:rPr>
                <w:rFonts w:ascii="Times New Roman" w:hAnsi="Times New Roman" w:cs="Times New Roman"/>
                <w:i/>
                <w:lang w:val="fr-FR"/>
              </w:rPr>
            </w:pPr>
            <w:r w:rsidRPr="00403C55">
              <w:rPr>
                <w:rFonts w:ascii="Times New Roman" w:hAnsi="Times New Roman" w:cs="Times New Roman"/>
                <w:lang w:val="fr-FR"/>
              </w:rPr>
              <w:t xml:space="preserve">11.6 </w:t>
            </w:r>
            <w:r w:rsidR="00EF3C1F" w:rsidRPr="00403C55">
              <w:rPr>
                <w:rFonts w:ascii="Times New Roman" w:hAnsi="Times New Roman" w:cs="Times New Roman"/>
                <w:lang w:val="fr-FR"/>
              </w:rPr>
              <w:t>Développer de la capacité vétérinaire au Maroc, en Syrie et en Turquie pour le travail post-mortem.</w:t>
            </w:r>
          </w:p>
        </w:tc>
        <w:tc>
          <w:tcPr>
            <w:tcW w:w="1597" w:type="dxa"/>
          </w:tcPr>
          <w:p w14:paraId="75E20AF5" w14:textId="66CB4A0E"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67%</w:t>
            </w:r>
          </w:p>
        </w:tc>
      </w:tr>
      <w:tr w:rsidR="008B2036" w:rsidRPr="00403C55" w14:paraId="2085D61A" w14:textId="77777777" w:rsidTr="00ED66B8">
        <w:trPr>
          <w:trHeight w:val="480"/>
        </w:trPr>
        <w:tc>
          <w:tcPr>
            <w:tcW w:w="7375" w:type="dxa"/>
          </w:tcPr>
          <w:p w14:paraId="113FBE99" w14:textId="5DFB692A" w:rsidR="008B2036" w:rsidRPr="00403C55" w:rsidRDefault="008B2036" w:rsidP="003F50F9">
            <w:pPr>
              <w:jc w:val="both"/>
              <w:rPr>
                <w:rFonts w:ascii="Times New Roman" w:hAnsi="Times New Roman" w:cs="Times New Roman"/>
                <w:lang w:val="fr-FR"/>
              </w:rPr>
            </w:pPr>
            <w:r w:rsidRPr="00552518">
              <w:rPr>
                <w:rFonts w:ascii="Times New Roman" w:hAnsi="Times New Roman" w:cs="Times New Roman"/>
                <w:lang w:val="fr-FR"/>
              </w:rPr>
              <w:t>11.7</w:t>
            </w:r>
            <w:r w:rsidRPr="00403C55">
              <w:rPr>
                <w:rFonts w:ascii="Times New Roman" w:hAnsi="Times New Roman" w:cs="Times New Roman"/>
                <w:lang w:val="fr-FR"/>
              </w:rPr>
              <w:t xml:space="preserve"> </w:t>
            </w:r>
            <w:r w:rsidR="00EF3C1F" w:rsidRPr="00403C55">
              <w:rPr>
                <w:rFonts w:ascii="Times New Roman" w:hAnsi="Times New Roman" w:cs="Times New Roman"/>
                <w:lang w:val="fr-FR"/>
              </w:rPr>
              <w:t>S’assurer de la disponibilité de l’équipement et du matériel nécessaires pour mener le travail vétérinaire / post-mortem.</w:t>
            </w:r>
          </w:p>
        </w:tc>
        <w:tc>
          <w:tcPr>
            <w:tcW w:w="1597" w:type="dxa"/>
          </w:tcPr>
          <w:p w14:paraId="557FBD16" w14:textId="4FC90C6C" w:rsidR="008B2036" w:rsidRPr="00403C55" w:rsidRDefault="00026B1C" w:rsidP="00010148">
            <w:pPr>
              <w:jc w:val="center"/>
              <w:rPr>
                <w:rFonts w:ascii="Times New Roman" w:hAnsi="Times New Roman" w:cs="Times New Roman"/>
                <w:lang w:val="fr-FR"/>
              </w:rPr>
            </w:pPr>
            <w:r w:rsidRPr="00403C55">
              <w:rPr>
                <w:rFonts w:ascii="Times New Roman" w:hAnsi="Times New Roman" w:cs="Times New Roman"/>
                <w:lang w:val="fr-FR"/>
              </w:rPr>
              <w:t>0%</w:t>
            </w:r>
          </w:p>
        </w:tc>
      </w:tr>
    </w:tbl>
    <w:p w14:paraId="4337417B" w14:textId="77777777" w:rsidR="008B2036" w:rsidRPr="00403C55" w:rsidRDefault="008B2036" w:rsidP="00DF3C0E">
      <w:pPr>
        <w:spacing w:after="0" w:line="240" w:lineRule="auto"/>
        <w:rPr>
          <w:rFonts w:ascii="Times New Roman" w:hAnsi="Times New Roman" w:cs="Times New Roman"/>
          <w:lang w:val="fr-FR"/>
        </w:rPr>
      </w:pPr>
    </w:p>
    <w:p w14:paraId="35C02E01" w14:textId="0B0ADD9B" w:rsidR="00C32BBF" w:rsidRPr="00403C55" w:rsidRDefault="00EF3C1F"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026B1C" w:rsidRPr="00403C55">
        <w:rPr>
          <w:rFonts w:ascii="Times New Roman" w:hAnsi="Times New Roman" w:cs="Times New Roman"/>
          <w:b/>
          <w:lang w:val="fr-FR"/>
        </w:rPr>
        <w:t xml:space="preserve"> 67</w:t>
      </w:r>
      <w:r w:rsidRPr="00403C55">
        <w:rPr>
          <w:rFonts w:ascii="Times New Roman" w:hAnsi="Times New Roman" w:cs="Times New Roman"/>
          <w:b/>
          <w:lang w:val="fr-FR"/>
        </w:rPr>
        <w:t xml:space="preserve"> </w:t>
      </w:r>
      <w:r w:rsidR="00026B1C" w:rsidRPr="00403C55">
        <w:rPr>
          <w:rFonts w:ascii="Times New Roman" w:hAnsi="Times New Roman" w:cs="Times New Roman"/>
          <w:b/>
          <w:lang w:val="fr-FR"/>
        </w:rPr>
        <w:t>%</w:t>
      </w:r>
      <w:r w:rsidR="00C32BBF" w:rsidRPr="00403C55">
        <w:rPr>
          <w:rFonts w:ascii="Times New Roman" w:hAnsi="Times New Roman" w:cs="Times New Roman"/>
          <w:b/>
          <w:lang w:val="fr-FR"/>
        </w:rPr>
        <w:t xml:space="preserve"> </w:t>
      </w:r>
    </w:p>
    <w:p w14:paraId="1D064501" w14:textId="77777777" w:rsidR="002F3ECE" w:rsidRPr="00403C55" w:rsidRDefault="002F3ECE" w:rsidP="00DF3C0E">
      <w:pPr>
        <w:spacing w:after="0" w:line="240" w:lineRule="auto"/>
        <w:rPr>
          <w:rFonts w:ascii="Times New Roman" w:hAnsi="Times New Roman" w:cs="Times New Roman"/>
          <w:lang w:val="fr-FR"/>
        </w:rPr>
      </w:pPr>
    </w:p>
    <w:p w14:paraId="2B9821C6" w14:textId="5F27F96D" w:rsidR="00D10E17"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5.12</w:t>
      </w:r>
      <w:r w:rsidR="00D10E17" w:rsidRPr="00403C55">
        <w:rPr>
          <w:rFonts w:ascii="Times New Roman" w:hAnsi="Times New Roman" w:cs="Times New Roman"/>
          <w:i/>
          <w:lang w:val="fr-FR"/>
        </w:rPr>
        <w:t xml:space="preserve">. </w:t>
      </w:r>
      <w:r w:rsidR="00EF3C1F" w:rsidRPr="00403C55">
        <w:rPr>
          <w:rFonts w:ascii="Times New Roman" w:hAnsi="Times New Roman" w:cs="Times New Roman"/>
          <w:i/>
          <w:lang w:val="fr-FR"/>
        </w:rPr>
        <w:t>Résultat 12 – Réduire l’impact des prédateurs (faible priorité)</w:t>
      </w:r>
    </w:p>
    <w:p w14:paraId="745534EC" w14:textId="77777777" w:rsidR="00D10E17" w:rsidRPr="00403C55" w:rsidRDefault="00D10E17" w:rsidP="00DF3C0E">
      <w:pPr>
        <w:spacing w:after="0" w:line="240" w:lineRule="auto"/>
        <w:rPr>
          <w:rFonts w:ascii="Times New Roman" w:hAnsi="Times New Roman" w:cs="Times New Roman"/>
          <w:lang w:val="fr-FR"/>
        </w:rPr>
      </w:pPr>
    </w:p>
    <w:p w14:paraId="4B968F6F" w14:textId="157E37BE" w:rsidR="00F92ACF" w:rsidRPr="00403C55" w:rsidRDefault="00EF3C1F" w:rsidP="00014331">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 Maroc et la Syrie ont indiqué avoir mis en œuvre une surveillance de tous les événements de prédation (activité 12.1 / 100 %) ainsi que des mesures de lutte si nécessaire (12.2 / 100 %).</w:t>
      </w:r>
      <w:r w:rsidR="00F92ACF" w:rsidRPr="00403C55">
        <w:rPr>
          <w:rFonts w:ascii="Times New Roman" w:hAnsi="Times New Roman" w:cs="Times New Roman"/>
          <w:lang w:val="fr-FR"/>
        </w:rPr>
        <w:t xml:space="preserve"> </w:t>
      </w:r>
      <w:r w:rsidRPr="00403C55">
        <w:rPr>
          <w:rFonts w:ascii="Times New Roman" w:hAnsi="Times New Roman" w:cs="Times New Roman"/>
          <w:lang w:val="fr-FR"/>
        </w:rPr>
        <w:t>La Syrie a noté en outre que la prédation</w:t>
      </w:r>
      <w:r w:rsidR="00920052">
        <w:rPr>
          <w:rFonts w:ascii="Times New Roman" w:hAnsi="Times New Roman" w:cs="Times New Roman"/>
          <w:lang w:val="fr-FR"/>
        </w:rPr>
        <w:t xml:space="preserve"> </w:t>
      </w:r>
      <w:r w:rsidRPr="00403C55">
        <w:rPr>
          <w:rFonts w:ascii="Times New Roman" w:hAnsi="Times New Roman" w:cs="Times New Roman"/>
          <w:lang w:val="fr-FR"/>
        </w:rPr>
        <w:t>n’était pas considérée comme un problème sérieux dans le pays.</w:t>
      </w:r>
      <w:r w:rsidR="00F92ACF" w:rsidRPr="00403C55">
        <w:rPr>
          <w:rFonts w:ascii="Times New Roman" w:hAnsi="Times New Roman" w:cs="Times New Roman"/>
          <w:lang w:val="fr-FR"/>
        </w:rPr>
        <w:t xml:space="preserve"> </w:t>
      </w:r>
      <w:r w:rsidRPr="00403C55">
        <w:rPr>
          <w:rFonts w:ascii="Times New Roman" w:hAnsi="Times New Roman" w:cs="Times New Roman"/>
          <w:lang w:val="fr-FR"/>
        </w:rPr>
        <w:t>La Turquie a indiqué que la prédation n’était pas un problème et aucune mesure n’a été prise dans ce cadre.</w:t>
      </w:r>
    </w:p>
    <w:p w14:paraId="0C518FDE" w14:textId="77777777" w:rsidR="00F92ACF" w:rsidRPr="00403C55" w:rsidRDefault="00F92ACF" w:rsidP="00DF3C0E">
      <w:pPr>
        <w:spacing w:after="0" w:line="240" w:lineRule="auto"/>
        <w:rPr>
          <w:rFonts w:ascii="Times New Roman" w:hAnsi="Times New Roman" w:cs="Times New Roman"/>
          <w:lang w:val="fr-FR"/>
        </w:rPr>
      </w:pPr>
    </w:p>
    <w:p w14:paraId="146DCF7E" w14:textId="721CB4F7" w:rsidR="00C32BBF" w:rsidRPr="00403C55" w:rsidRDefault="00EF3C1F"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F92ACF" w:rsidRPr="00403C55">
        <w:rPr>
          <w:rFonts w:ascii="Times New Roman" w:hAnsi="Times New Roman" w:cs="Times New Roman"/>
          <w:b/>
          <w:lang w:val="fr-FR"/>
        </w:rPr>
        <w:t xml:space="preserve"> 100</w:t>
      </w:r>
      <w:r w:rsidRPr="00403C55">
        <w:rPr>
          <w:rFonts w:ascii="Times New Roman" w:hAnsi="Times New Roman" w:cs="Times New Roman"/>
          <w:b/>
          <w:lang w:val="fr-FR"/>
        </w:rPr>
        <w:t xml:space="preserve"> </w:t>
      </w:r>
      <w:r w:rsidR="00F92ACF" w:rsidRPr="00403C55">
        <w:rPr>
          <w:rFonts w:ascii="Times New Roman" w:hAnsi="Times New Roman" w:cs="Times New Roman"/>
          <w:b/>
          <w:lang w:val="fr-FR"/>
        </w:rPr>
        <w:t>%</w:t>
      </w:r>
      <w:r w:rsidR="00985A4E">
        <w:rPr>
          <w:rFonts w:ascii="Times New Roman" w:hAnsi="Times New Roman" w:cs="Times New Roman"/>
          <w:b/>
          <w:lang w:val="fr-FR"/>
        </w:rPr>
        <w:t xml:space="preserve"> </w:t>
      </w:r>
    </w:p>
    <w:p w14:paraId="25D917AB" w14:textId="77777777" w:rsidR="00C32BBF" w:rsidRPr="00403C55" w:rsidRDefault="00C32BBF" w:rsidP="00DF3C0E">
      <w:pPr>
        <w:spacing w:after="0" w:line="240" w:lineRule="auto"/>
        <w:rPr>
          <w:rFonts w:ascii="Times New Roman" w:hAnsi="Times New Roman" w:cs="Times New Roman"/>
          <w:lang w:val="fr-FR"/>
        </w:rPr>
      </w:pPr>
    </w:p>
    <w:p w14:paraId="314B036C" w14:textId="096D3EFA" w:rsidR="00D10E17" w:rsidRPr="00403C55" w:rsidRDefault="002F3ECE"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5.13</w:t>
      </w:r>
      <w:r w:rsidR="00D10E17" w:rsidRPr="00403C55">
        <w:rPr>
          <w:rFonts w:ascii="Times New Roman" w:hAnsi="Times New Roman" w:cs="Times New Roman"/>
          <w:i/>
          <w:lang w:val="fr-FR"/>
        </w:rPr>
        <w:t xml:space="preserve">. </w:t>
      </w:r>
      <w:r w:rsidR="00EF3C1F" w:rsidRPr="00403C55">
        <w:rPr>
          <w:rFonts w:ascii="Times New Roman" w:hAnsi="Times New Roman" w:cs="Times New Roman"/>
          <w:i/>
          <w:lang w:val="fr-FR"/>
        </w:rPr>
        <w:t>Résultat 13 – La chasse est stoppée (priorité critique)</w:t>
      </w:r>
    </w:p>
    <w:p w14:paraId="47FB7F1F" w14:textId="77777777" w:rsidR="00D10E17" w:rsidRPr="00403C55" w:rsidRDefault="00D10E17" w:rsidP="00DF3C0E">
      <w:pPr>
        <w:spacing w:after="0" w:line="240" w:lineRule="auto"/>
        <w:rPr>
          <w:rFonts w:ascii="Times New Roman" w:hAnsi="Times New Roman" w:cs="Times New Roman"/>
          <w:lang w:val="fr-FR"/>
        </w:rPr>
      </w:pPr>
    </w:p>
    <w:p w14:paraId="76270D4D" w14:textId="48984633" w:rsidR="00642640" w:rsidRPr="00403C55" w:rsidRDefault="00EF3C1F" w:rsidP="003A500D">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trois pays ont indiqué avoir mis en œuvre l’activité 13.1 qui prévoit le placement et l</w:t>
      </w:r>
      <w:r w:rsidR="00ED66B8" w:rsidRPr="00403C55">
        <w:rPr>
          <w:rFonts w:ascii="Times New Roman" w:hAnsi="Times New Roman" w:cs="Times New Roman"/>
          <w:lang w:val="fr-FR"/>
        </w:rPr>
        <w:t>e</w:t>
      </w:r>
      <w:r w:rsidRPr="00403C55">
        <w:rPr>
          <w:rFonts w:ascii="Times New Roman" w:hAnsi="Times New Roman" w:cs="Times New Roman"/>
          <w:lang w:val="fr-FR"/>
        </w:rPr>
        <w:t xml:space="preserve"> maint</w:t>
      </w:r>
      <w:r w:rsidR="00ED66B8" w:rsidRPr="00403C55">
        <w:rPr>
          <w:rFonts w:ascii="Times New Roman" w:hAnsi="Times New Roman" w:cs="Times New Roman"/>
          <w:lang w:val="fr-FR"/>
        </w:rPr>
        <w:t>i</w:t>
      </w:r>
      <w:r w:rsidRPr="00403C55">
        <w:rPr>
          <w:rFonts w:ascii="Times New Roman" w:hAnsi="Times New Roman" w:cs="Times New Roman"/>
          <w:lang w:val="fr-FR"/>
        </w:rPr>
        <w:t xml:space="preserve">en de panneaux </w:t>
      </w:r>
      <w:r w:rsidR="00A07452" w:rsidRPr="00403C55">
        <w:rPr>
          <w:rFonts w:ascii="Times New Roman" w:hAnsi="Times New Roman" w:cs="Times New Roman"/>
          <w:lang w:val="fr-FR"/>
        </w:rPr>
        <w:t>sur</w:t>
      </w:r>
      <w:r w:rsidRPr="00403C55">
        <w:rPr>
          <w:rFonts w:ascii="Times New Roman" w:hAnsi="Times New Roman" w:cs="Times New Roman"/>
          <w:lang w:val="fr-FR"/>
        </w:rPr>
        <w:t xml:space="preserve"> tous les </w:t>
      </w:r>
      <w:r w:rsidR="00A07452" w:rsidRPr="00403C55">
        <w:rPr>
          <w:rFonts w:ascii="Times New Roman" w:hAnsi="Times New Roman" w:cs="Times New Roman"/>
          <w:lang w:val="fr-FR"/>
        </w:rPr>
        <w:t>sites</w:t>
      </w:r>
      <w:r w:rsidRPr="00403C55">
        <w:rPr>
          <w:rFonts w:ascii="Times New Roman" w:hAnsi="Times New Roman" w:cs="Times New Roman"/>
          <w:lang w:val="fr-FR"/>
        </w:rPr>
        <w:t xml:space="preserve"> d’alimentation, ainsi que la réalisation d’un travail de sensibilisation (100</w:t>
      </w:r>
      <w:r w:rsidR="00920052">
        <w:rPr>
          <w:rFonts w:ascii="Times New Roman" w:hAnsi="Times New Roman" w:cs="Times New Roman"/>
          <w:lang w:val="fr-FR"/>
        </w:rPr>
        <w:t> </w:t>
      </w:r>
      <w:r w:rsidRPr="00403C55">
        <w:rPr>
          <w:rFonts w:ascii="Times New Roman" w:hAnsi="Times New Roman" w:cs="Times New Roman"/>
          <w:lang w:val="fr-FR"/>
        </w:rPr>
        <w:t>%).</w:t>
      </w:r>
      <w:r w:rsidR="003A500D" w:rsidRPr="00403C55">
        <w:rPr>
          <w:rFonts w:ascii="Times New Roman" w:hAnsi="Times New Roman" w:cs="Times New Roman"/>
          <w:lang w:val="fr-FR"/>
        </w:rPr>
        <w:t xml:space="preserve"> </w:t>
      </w:r>
      <w:r w:rsidRPr="00403C55">
        <w:rPr>
          <w:rFonts w:ascii="Times New Roman" w:hAnsi="Times New Roman" w:cs="Times New Roman"/>
          <w:lang w:val="fr-FR"/>
        </w:rPr>
        <w:t xml:space="preserve">Tous les pays ont également rapporté qu’ils avaient mis en œuvre une campagne médiatique (TV, etc.) </w:t>
      </w:r>
      <w:r w:rsidR="00D42D44" w:rsidRPr="00403C55">
        <w:rPr>
          <w:rFonts w:ascii="Times New Roman" w:hAnsi="Times New Roman" w:cs="Times New Roman"/>
          <w:lang w:val="fr-FR"/>
        </w:rPr>
        <w:t>faisant la promotion de l’Ibis chauve et de la législation de la chasse</w:t>
      </w:r>
      <w:r w:rsidRPr="00403C55">
        <w:rPr>
          <w:rFonts w:ascii="Times New Roman" w:hAnsi="Times New Roman" w:cs="Times New Roman"/>
          <w:lang w:val="fr-FR"/>
        </w:rPr>
        <w:t xml:space="preserve"> (Syri</w:t>
      </w:r>
      <w:r w:rsidR="00D42D44" w:rsidRPr="00403C55">
        <w:rPr>
          <w:rFonts w:ascii="Times New Roman" w:hAnsi="Times New Roman" w:cs="Times New Roman"/>
          <w:lang w:val="fr-FR"/>
        </w:rPr>
        <w:t>e</w:t>
      </w:r>
      <w:r w:rsidRPr="00403C55">
        <w:rPr>
          <w:rFonts w:ascii="Times New Roman" w:hAnsi="Times New Roman" w:cs="Times New Roman"/>
          <w:lang w:val="fr-FR"/>
        </w:rPr>
        <w:t xml:space="preserve"> &amp; M</w:t>
      </w:r>
      <w:r w:rsidR="00D42D44" w:rsidRPr="00403C55">
        <w:rPr>
          <w:rFonts w:ascii="Times New Roman" w:hAnsi="Times New Roman" w:cs="Times New Roman"/>
          <w:lang w:val="fr-FR"/>
        </w:rPr>
        <w:t>a</w:t>
      </w:r>
      <w:r w:rsidRPr="00403C55">
        <w:rPr>
          <w:rFonts w:ascii="Times New Roman" w:hAnsi="Times New Roman" w:cs="Times New Roman"/>
          <w:lang w:val="fr-FR"/>
        </w:rPr>
        <w:t>roc)</w:t>
      </w:r>
      <w:r w:rsidR="00552518">
        <w:rPr>
          <w:rFonts w:ascii="Times New Roman" w:hAnsi="Times New Roman" w:cs="Times New Roman"/>
          <w:lang w:val="fr-FR"/>
        </w:rPr>
        <w:t>,</w:t>
      </w:r>
      <w:r w:rsidRPr="00403C55">
        <w:rPr>
          <w:rFonts w:ascii="Times New Roman" w:hAnsi="Times New Roman" w:cs="Times New Roman"/>
          <w:lang w:val="fr-FR"/>
        </w:rPr>
        <w:t xml:space="preserve"> </w:t>
      </w:r>
      <w:r w:rsidR="00D42D44" w:rsidRPr="00403C55">
        <w:rPr>
          <w:rFonts w:ascii="Times New Roman" w:hAnsi="Times New Roman" w:cs="Times New Roman"/>
          <w:lang w:val="fr-FR"/>
        </w:rPr>
        <w:t xml:space="preserve">et avaient produit des affiches et des calendriers </w:t>
      </w:r>
      <w:r w:rsidRPr="00403C55">
        <w:rPr>
          <w:rFonts w:ascii="Times New Roman" w:hAnsi="Times New Roman" w:cs="Times New Roman"/>
          <w:lang w:val="fr-FR"/>
        </w:rPr>
        <w:t>(Tur</w:t>
      </w:r>
      <w:r w:rsidR="00D42D44" w:rsidRPr="00403C55">
        <w:rPr>
          <w:rFonts w:ascii="Times New Roman" w:hAnsi="Times New Roman" w:cs="Times New Roman"/>
          <w:lang w:val="fr-FR"/>
        </w:rPr>
        <w:t>quie</w:t>
      </w:r>
      <w:r w:rsidRPr="00403C55">
        <w:rPr>
          <w:rFonts w:ascii="Times New Roman" w:hAnsi="Times New Roman" w:cs="Times New Roman"/>
          <w:lang w:val="fr-FR"/>
        </w:rPr>
        <w:t>) (activit</w:t>
      </w:r>
      <w:r w:rsidR="00D42D44" w:rsidRPr="00403C55">
        <w:rPr>
          <w:rFonts w:ascii="Times New Roman" w:hAnsi="Times New Roman" w:cs="Times New Roman"/>
          <w:lang w:val="fr-FR"/>
        </w:rPr>
        <w:t>é</w:t>
      </w:r>
      <w:r w:rsidRPr="00403C55">
        <w:rPr>
          <w:rFonts w:ascii="Times New Roman" w:hAnsi="Times New Roman" w:cs="Times New Roman"/>
          <w:lang w:val="fr-FR"/>
        </w:rPr>
        <w:t xml:space="preserve"> 13.5 / 100</w:t>
      </w:r>
      <w:r w:rsidR="00D42D44" w:rsidRPr="00403C55">
        <w:rPr>
          <w:rFonts w:ascii="Times New Roman" w:hAnsi="Times New Roman" w:cs="Times New Roman"/>
          <w:lang w:val="fr-FR"/>
        </w:rPr>
        <w:t xml:space="preserve"> </w:t>
      </w:r>
      <w:r w:rsidRPr="00403C55">
        <w:rPr>
          <w:rFonts w:ascii="Times New Roman" w:hAnsi="Times New Roman" w:cs="Times New Roman"/>
          <w:lang w:val="fr-FR"/>
        </w:rPr>
        <w:t>%).</w:t>
      </w:r>
    </w:p>
    <w:p w14:paraId="608E6B9E" w14:textId="77777777" w:rsidR="00642640" w:rsidRPr="00403C55" w:rsidRDefault="00642640" w:rsidP="003A500D">
      <w:pPr>
        <w:spacing w:after="0" w:line="240" w:lineRule="auto"/>
        <w:jc w:val="both"/>
        <w:rPr>
          <w:rFonts w:ascii="Times New Roman" w:hAnsi="Times New Roman" w:cs="Times New Roman"/>
          <w:lang w:val="fr-FR"/>
        </w:rPr>
      </w:pPr>
    </w:p>
    <w:p w14:paraId="4FB32776" w14:textId="7D9CF49B" w:rsidR="003A500D" w:rsidRPr="00403C55" w:rsidRDefault="00D42D44" w:rsidP="003A500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activités 13.2) </w:t>
      </w:r>
      <w:r w:rsidR="0036168D" w:rsidRPr="00403C55">
        <w:rPr>
          <w:rFonts w:ascii="Times New Roman" w:hAnsi="Times New Roman" w:cs="Times New Roman"/>
          <w:lang w:val="fr-FR"/>
        </w:rPr>
        <w:t>r</w:t>
      </w:r>
      <w:r w:rsidRPr="00403C55">
        <w:rPr>
          <w:rFonts w:ascii="Times New Roman" w:hAnsi="Times New Roman" w:cs="Times New Roman"/>
          <w:lang w:val="fr-FR"/>
        </w:rPr>
        <w:t xml:space="preserve">éunions de sensibilisation avec les chasseurs et les écoles, 13.3) une déclaration officielle préparée par les autorités syriennes chargées de l’application, indiquant la stricte interdiction de chasser l’Ibis </w:t>
      </w:r>
      <w:r w:rsidR="006A5CC6" w:rsidRPr="00403C55">
        <w:rPr>
          <w:rFonts w:ascii="Times New Roman" w:hAnsi="Times New Roman" w:cs="Times New Roman"/>
          <w:lang w:val="fr-FR"/>
        </w:rPr>
        <w:t>sur les sites</w:t>
      </w:r>
      <w:r w:rsidRPr="00403C55">
        <w:rPr>
          <w:rFonts w:ascii="Times New Roman" w:hAnsi="Times New Roman" w:cs="Times New Roman"/>
          <w:lang w:val="fr-FR"/>
        </w:rPr>
        <w:t xml:space="preserve"> de reproduction, 13.4) la surveillance de toute chasse potentielle et la définition de tous les </w:t>
      </w:r>
      <w:r w:rsidR="00A07452" w:rsidRPr="00403C55">
        <w:rPr>
          <w:rFonts w:ascii="Times New Roman" w:hAnsi="Times New Roman" w:cs="Times New Roman"/>
          <w:lang w:val="fr-FR"/>
        </w:rPr>
        <w:t>sites</w:t>
      </w:r>
      <w:r w:rsidRPr="00403C55">
        <w:rPr>
          <w:rFonts w:ascii="Times New Roman" w:hAnsi="Times New Roman" w:cs="Times New Roman"/>
          <w:lang w:val="fr-FR"/>
        </w:rPr>
        <w:t xml:space="preserve"> d’alimentation, 13.6) l’identification et la clôture de tous les magasins de trophées, 13.7) l’amélioration de l’application de la loi sur la chasse et 13.8) le recrutement et la formation de chasseurs locaux pour des activités de gardiennage, d’écotourisme, etc., s’appliquent</w:t>
      </w:r>
      <w:r w:rsidR="00985A4E">
        <w:rPr>
          <w:rFonts w:ascii="Times New Roman" w:hAnsi="Times New Roman" w:cs="Times New Roman"/>
          <w:lang w:val="fr-FR"/>
        </w:rPr>
        <w:t xml:space="preserve"> </w:t>
      </w:r>
      <w:r w:rsidRPr="00403C55">
        <w:rPr>
          <w:rFonts w:ascii="Times New Roman" w:hAnsi="Times New Roman" w:cs="Times New Roman"/>
          <w:lang w:val="fr-FR"/>
        </w:rPr>
        <w:t>toutes seulement à la Syrie.</w:t>
      </w:r>
      <w:r w:rsidR="00840CF2" w:rsidRPr="00403C55">
        <w:rPr>
          <w:rFonts w:ascii="Times New Roman" w:hAnsi="Times New Roman" w:cs="Times New Roman"/>
          <w:lang w:val="fr-FR"/>
        </w:rPr>
        <w:t xml:space="preserve"> </w:t>
      </w:r>
      <w:r w:rsidRPr="00403C55">
        <w:rPr>
          <w:rFonts w:ascii="Times New Roman" w:hAnsi="Times New Roman" w:cs="Times New Roman"/>
          <w:lang w:val="fr-FR"/>
        </w:rPr>
        <w:t xml:space="preserve">La Syrie a fait part de la mise en œuvre complète de toutes les activités (100 %), excepté </w:t>
      </w:r>
      <w:r w:rsidR="00920052">
        <w:rPr>
          <w:rFonts w:ascii="Times New Roman" w:hAnsi="Times New Roman" w:cs="Times New Roman"/>
          <w:lang w:val="fr-FR"/>
        </w:rPr>
        <w:t xml:space="preserve">l’activité </w:t>
      </w:r>
      <w:r w:rsidRPr="00403C55">
        <w:rPr>
          <w:rFonts w:ascii="Times New Roman" w:hAnsi="Times New Roman" w:cs="Times New Roman"/>
          <w:lang w:val="fr-FR"/>
        </w:rPr>
        <w:t>13.6., relative à la clôture des magasins de trophées (0 %).</w:t>
      </w:r>
      <w:r w:rsidR="00840CF2" w:rsidRPr="00403C55">
        <w:rPr>
          <w:rFonts w:ascii="Times New Roman" w:hAnsi="Times New Roman" w:cs="Times New Roman"/>
          <w:lang w:val="fr-FR"/>
        </w:rPr>
        <w:t xml:space="preserve"> </w:t>
      </w:r>
      <w:r w:rsidR="00DD4BA6" w:rsidRPr="00403C55">
        <w:rPr>
          <w:rFonts w:ascii="Times New Roman" w:hAnsi="Times New Roman" w:cs="Times New Roman"/>
          <w:lang w:val="fr-FR"/>
        </w:rPr>
        <w:t>La zone se trouvant près du site de reproduction ne comporte pas de magasins de trophées.</w:t>
      </w:r>
      <w:r w:rsidR="00840CF2" w:rsidRPr="00403C55">
        <w:rPr>
          <w:rFonts w:ascii="Times New Roman" w:hAnsi="Times New Roman" w:cs="Times New Roman"/>
          <w:lang w:val="fr-FR"/>
        </w:rPr>
        <w:t xml:space="preserve"> </w:t>
      </w:r>
      <w:r w:rsidR="00A07452" w:rsidRPr="00403C55">
        <w:rPr>
          <w:rFonts w:ascii="Times New Roman" w:hAnsi="Times New Roman" w:cs="Times New Roman"/>
          <w:lang w:val="fr-FR"/>
        </w:rPr>
        <w:t xml:space="preserve">Toutefois, dans les grandes villes, ces magasins existent encore sans cependant </w:t>
      </w:r>
      <w:r w:rsidR="00403C55">
        <w:rPr>
          <w:rFonts w:ascii="Times New Roman" w:hAnsi="Times New Roman" w:cs="Times New Roman"/>
          <w:lang w:val="fr-FR"/>
        </w:rPr>
        <w:t>détenir</w:t>
      </w:r>
      <w:r w:rsidR="00A07452" w:rsidRPr="00403C55">
        <w:rPr>
          <w:rFonts w:ascii="Times New Roman" w:hAnsi="Times New Roman" w:cs="Times New Roman"/>
          <w:lang w:val="fr-FR"/>
        </w:rPr>
        <w:t xml:space="preserve"> aucun des oiseaux pertinents, et ils sont toujours sous le contrôle de la réglementation CITES nationale et des nouvelles lois sur la chasse qui ont été mises en œuvre. </w:t>
      </w:r>
    </w:p>
    <w:p w14:paraId="090B740D" w14:textId="77777777" w:rsidR="003A500D" w:rsidRPr="00403C55" w:rsidRDefault="003A500D" w:rsidP="00DF3C0E">
      <w:pPr>
        <w:spacing w:after="0" w:line="240" w:lineRule="auto"/>
        <w:rPr>
          <w:rFonts w:ascii="Times New Roman" w:hAnsi="Times New Roman" w:cs="Times New Roman"/>
          <w:lang w:val="fr-FR"/>
        </w:rPr>
      </w:pPr>
    </w:p>
    <w:p w14:paraId="2C111180" w14:textId="63ACC044" w:rsidR="00C32BBF" w:rsidRPr="00403C55" w:rsidRDefault="00A07452"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3A500D" w:rsidRPr="00403C55">
        <w:rPr>
          <w:rFonts w:ascii="Times New Roman" w:hAnsi="Times New Roman" w:cs="Times New Roman"/>
          <w:b/>
          <w:lang w:val="fr-FR"/>
        </w:rPr>
        <w:t xml:space="preserve"> </w:t>
      </w:r>
      <w:r w:rsidR="00CA1398" w:rsidRPr="00403C55">
        <w:rPr>
          <w:rFonts w:ascii="Times New Roman" w:hAnsi="Times New Roman" w:cs="Times New Roman"/>
          <w:b/>
          <w:lang w:val="fr-FR"/>
        </w:rPr>
        <w:t>88</w:t>
      </w:r>
      <w:r w:rsidRPr="00403C55">
        <w:rPr>
          <w:rFonts w:ascii="Times New Roman" w:hAnsi="Times New Roman" w:cs="Times New Roman"/>
          <w:b/>
          <w:lang w:val="fr-FR"/>
        </w:rPr>
        <w:t xml:space="preserve"> </w:t>
      </w:r>
      <w:r w:rsidR="00CA1398" w:rsidRPr="00403C55">
        <w:rPr>
          <w:rFonts w:ascii="Times New Roman" w:hAnsi="Times New Roman" w:cs="Times New Roman"/>
          <w:b/>
          <w:lang w:val="fr-FR"/>
        </w:rPr>
        <w:t>%</w:t>
      </w:r>
      <w:r w:rsidR="00985A4E">
        <w:rPr>
          <w:rFonts w:ascii="Times New Roman" w:hAnsi="Times New Roman" w:cs="Times New Roman"/>
          <w:b/>
          <w:lang w:val="fr-FR"/>
        </w:rPr>
        <w:t xml:space="preserve"> </w:t>
      </w:r>
    </w:p>
    <w:p w14:paraId="71462BF4" w14:textId="77777777" w:rsidR="00C32BBF" w:rsidRPr="00403C55" w:rsidRDefault="00C32BBF" w:rsidP="00DF3C0E">
      <w:pPr>
        <w:spacing w:after="0" w:line="240" w:lineRule="auto"/>
        <w:rPr>
          <w:rFonts w:ascii="Times New Roman" w:hAnsi="Times New Roman" w:cs="Times New Roman"/>
          <w:lang w:val="fr-FR"/>
        </w:rPr>
      </w:pPr>
    </w:p>
    <w:p w14:paraId="7BCA4DC0" w14:textId="79513633" w:rsidR="00D10E17"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5.14</w:t>
      </w:r>
      <w:r w:rsidR="00D10E17" w:rsidRPr="00403C55">
        <w:rPr>
          <w:rFonts w:ascii="Times New Roman" w:hAnsi="Times New Roman" w:cs="Times New Roman"/>
          <w:i/>
          <w:lang w:val="fr-FR"/>
        </w:rPr>
        <w:t xml:space="preserve">. </w:t>
      </w:r>
      <w:r w:rsidR="00A07452" w:rsidRPr="00403C55">
        <w:rPr>
          <w:rFonts w:ascii="Times New Roman" w:hAnsi="Times New Roman" w:cs="Times New Roman"/>
          <w:i/>
          <w:lang w:val="fr-FR"/>
        </w:rPr>
        <w:t xml:space="preserve">Résultat 14 – </w:t>
      </w:r>
      <w:r w:rsidR="00D96BF6" w:rsidRPr="00403C55">
        <w:rPr>
          <w:rFonts w:ascii="Times New Roman" w:hAnsi="Times New Roman" w:cs="Times New Roman"/>
          <w:i/>
          <w:lang w:val="fr-FR"/>
        </w:rPr>
        <w:t>Les r</w:t>
      </w:r>
      <w:r w:rsidR="00A07452" w:rsidRPr="00403C55">
        <w:rPr>
          <w:rFonts w:ascii="Times New Roman" w:hAnsi="Times New Roman" w:cs="Times New Roman"/>
          <w:i/>
          <w:lang w:val="fr-FR"/>
        </w:rPr>
        <w:t xml:space="preserve">isques </w:t>
      </w:r>
      <w:r w:rsidR="00920052">
        <w:rPr>
          <w:rFonts w:ascii="Times New Roman" w:hAnsi="Times New Roman" w:cs="Times New Roman"/>
          <w:i/>
          <w:lang w:val="fr-FR"/>
        </w:rPr>
        <w:t>liés</w:t>
      </w:r>
      <w:r w:rsidR="00A07452" w:rsidRPr="00403C55">
        <w:rPr>
          <w:rFonts w:ascii="Times New Roman" w:hAnsi="Times New Roman" w:cs="Times New Roman"/>
          <w:i/>
          <w:lang w:val="fr-FR"/>
        </w:rPr>
        <w:t xml:space="preserve"> </w:t>
      </w:r>
      <w:r w:rsidR="00920052">
        <w:rPr>
          <w:rFonts w:ascii="Times New Roman" w:hAnsi="Times New Roman" w:cs="Times New Roman"/>
          <w:i/>
          <w:lang w:val="fr-FR"/>
        </w:rPr>
        <w:t>aux</w:t>
      </w:r>
      <w:r w:rsidR="00A07452" w:rsidRPr="00403C55">
        <w:rPr>
          <w:rFonts w:ascii="Times New Roman" w:hAnsi="Times New Roman" w:cs="Times New Roman"/>
          <w:i/>
          <w:lang w:val="fr-FR"/>
        </w:rPr>
        <w:t xml:space="preserve"> câbles électriques et </w:t>
      </w:r>
      <w:r w:rsidR="00920052">
        <w:rPr>
          <w:rFonts w:ascii="Times New Roman" w:hAnsi="Times New Roman" w:cs="Times New Roman"/>
          <w:i/>
          <w:lang w:val="fr-FR"/>
        </w:rPr>
        <w:t>aux</w:t>
      </w:r>
      <w:r w:rsidR="00A07452" w:rsidRPr="00403C55">
        <w:rPr>
          <w:rFonts w:ascii="Times New Roman" w:hAnsi="Times New Roman" w:cs="Times New Roman"/>
          <w:i/>
          <w:lang w:val="fr-FR"/>
        </w:rPr>
        <w:t xml:space="preserve"> collisions</w:t>
      </w:r>
      <w:r w:rsidR="00D96BF6" w:rsidRPr="00403C55">
        <w:rPr>
          <w:rFonts w:ascii="Times New Roman" w:hAnsi="Times New Roman" w:cs="Times New Roman"/>
          <w:i/>
          <w:lang w:val="fr-FR"/>
        </w:rPr>
        <w:t xml:space="preserve"> sont réduits</w:t>
      </w:r>
      <w:r w:rsidR="00A07452" w:rsidRPr="00403C55">
        <w:rPr>
          <w:rFonts w:ascii="Times New Roman" w:hAnsi="Times New Roman" w:cs="Times New Roman"/>
          <w:i/>
          <w:lang w:val="fr-FR"/>
        </w:rPr>
        <w:t xml:space="preserve"> (faible priorité)</w:t>
      </w:r>
    </w:p>
    <w:p w14:paraId="65FA5488" w14:textId="77777777" w:rsidR="00D10E17" w:rsidRPr="00403C55" w:rsidRDefault="00D10E17" w:rsidP="00DF3C0E">
      <w:pPr>
        <w:spacing w:after="0" w:line="240" w:lineRule="auto"/>
        <w:rPr>
          <w:rFonts w:ascii="Times New Roman" w:hAnsi="Times New Roman" w:cs="Times New Roman"/>
          <w:lang w:val="fr-FR"/>
        </w:rPr>
      </w:pPr>
    </w:p>
    <w:p w14:paraId="263D7590" w14:textId="48385BFC" w:rsidR="00774C3B" w:rsidRPr="00403C55" w:rsidRDefault="00A07452" w:rsidP="00774C3B">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activités 14.1 et 14.2 s’appliquent au Maroc et à la Turquie.</w:t>
      </w:r>
      <w:r w:rsidR="00774C3B" w:rsidRPr="00403C55">
        <w:rPr>
          <w:rFonts w:ascii="Times New Roman" w:hAnsi="Times New Roman" w:cs="Times New Roman"/>
          <w:lang w:val="fr-FR"/>
        </w:rPr>
        <w:t xml:space="preserve"> </w:t>
      </w:r>
      <w:r w:rsidRPr="00403C55">
        <w:rPr>
          <w:rFonts w:ascii="Times New Roman" w:hAnsi="Times New Roman" w:cs="Times New Roman"/>
          <w:lang w:val="fr-FR"/>
        </w:rPr>
        <w:t>Les deux pays ont indiqué que les mâts situés dans le voisinage des sites de reproduction et d’alimentation de l’Ibis chauve ne</w:t>
      </w:r>
      <w:r w:rsidR="00552518">
        <w:rPr>
          <w:rFonts w:ascii="Times New Roman" w:hAnsi="Times New Roman" w:cs="Times New Roman"/>
          <w:lang w:val="fr-FR"/>
        </w:rPr>
        <w:t xml:space="preserve"> sont pas encore conçus de façon à</w:t>
      </w:r>
      <w:r w:rsidRPr="00403C55">
        <w:rPr>
          <w:rFonts w:ascii="Times New Roman" w:hAnsi="Times New Roman" w:cs="Times New Roman"/>
          <w:lang w:val="fr-FR"/>
        </w:rPr>
        <w:t xml:space="preserve"> présente</w:t>
      </w:r>
      <w:r w:rsidR="00552518">
        <w:rPr>
          <w:rFonts w:ascii="Times New Roman" w:hAnsi="Times New Roman" w:cs="Times New Roman"/>
          <w:lang w:val="fr-FR"/>
        </w:rPr>
        <w:t>r un</w:t>
      </w:r>
      <w:r w:rsidRPr="00552518">
        <w:rPr>
          <w:rFonts w:ascii="Times New Roman" w:hAnsi="Times New Roman" w:cs="Times New Roman"/>
          <w:lang w:val="fr-FR"/>
        </w:rPr>
        <w:t xml:space="preserve"> risque d’électrocution</w:t>
      </w:r>
      <w:r w:rsidRPr="00403C55">
        <w:rPr>
          <w:rFonts w:ascii="Times New Roman" w:hAnsi="Times New Roman" w:cs="Times New Roman"/>
          <w:lang w:val="fr-FR"/>
        </w:rPr>
        <w:t xml:space="preserve"> faible (0 %).</w:t>
      </w:r>
      <w:r w:rsidR="00774C3B" w:rsidRPr="00403C55">
        <w:rPr>
          <w:rFonts w:ascii="Times New Roman" w:hAnsi="Times New Roman" w:cs="Times New Roman"/>
          <w:lang w:val="fr-FR"/>
        </w:rPr>
        <w:t xml:space="preserve"> </w:t>
      </w:r>
      <w:r w:rsidRPr="00403C55">
        <w:rPr>
          <w:rFonts w:ascii="Times New Roman" w:hAnsi="Times New Roman" w:cs="Times New Roman"/>
          <w:lang w:val="fr-FR"/>
        </w:rPr>
        <w:t xml:space="preserve">Les deux pays ont en outre rapporté qu’aucun progrès n’avait été réalisé </w:t>
      </w:r>
      <w:r w:rsidR="0036168D" w:rsidRPr="00403C55">
        <w:rPr>
          <w:rFonts w:ascii="Times New Roman" w:hAnsi="Times New Roman" w:cs="Times New Roman"/>
          <w:lang w:val="fr-FR"/>
        </w:rPr>
        <w:t>au niveau de</w:t>
      </w:r>
      <w:r w:rsidRPr="00403C55">
        <w:rPr>
          <w:rFonts w:ascii="Times New Roman" w:hAnsi="Times New Roman" w:cs="Times New Roman"/>
          <w:lang w:val="fr-FR"/>
        </w:rPr>
        <w:t xml:space="preserve"> l’accroissement de la visibilité des câbles électriques sur les sites d’alimentation (0 %).</w:t>
      </w:r>
      <w:r w:rsidR="00774C3B" w:rsidRPr="00403C55">
        <w:rPr>
          <w:rFonts w:ascii="Times New Roman" w:hAnsi="Times New Roman" w:cs="Times New Roman"/>
          <w:lang w:val="fr-FR"/>
        </w:rPr>
        <w:t xml:space="preserve"> </w:t>
      </w:r>
      <w:r w:rsidRPr="00403C55">
        <w:rPr>
          <w:rFonts w:ascii="Times New Roman" w:hAnsi="Times New Roman" w:cs="Times New Roman"/>
          <w:lang w:val="fr-FR"/>
        </w:rPr>
        <w:t>La Turquie a cependant fait savoir que des contacts ont été établis avec la compagnie d’électricité de Birecik afin de prendre en main ces problèmes.</w:t>
      </w:r>
      <w:r w:rsidR="00774C3B" w:rsidRPr="00403C55">
        <w:rPr>
          <w:rFonts w:ascii="Times New Roman" w:hAnsi="Times New Roman" w:cs="Times New Roman"/>
          <w:lang w:val="fr-FR"/>
        </w:rPr>
        <w:t xml:space="preserve"> </w:t>
      </w:r>
      <w:r w:rsidRPr="00403C55">
        <w:rPr>
          <w:rFonts w:ascii="Times New Roman" w:hAnsi="Times New Roman" w:cs="Times New Roman"/>
          <w:lang w:val="fr-FR"/>
        </w:rPr>
        <w:t>Une activité supplémentaire (14.3) relative à la prise en compte de l’Ibis chauve au cours de toute nouvelle construction de générateurs éoliens et de routes sur les sites d’alimentation</w:t>
      </w:r>
      <w:r w:rsidR="006A5CC6" w:rsidRPr="00403C55">
        <w:rPr>
          <w:rFonts w:ascii="Times New Roman" w:hAnsi="Times New Roman" w:cs="Times New Roman"/>
          <w:lang w:val="fr-FR"/>
        </w:rPr>
        <w:t xml:space="preserve"> ne s’applique qu’à la Turquie</w:t>
      </w:r>
      <w:r w:rsidRPr="00403C55">
        <w:rPr>
          <w:rFonts w:ascii="Times New Roman" w:hAnsi="Times New Roman" w:cs="Times New Roman"/>
          <w:lang w:val="fr-FR"/>
        </w:rPr>
        <w:t>.</w:t>
      </w:r>
      <w:r w:rsidR="007F2E67" w:rsidRPr="00403C55">
        <w:rPr>
          <w:rFonts w:ascii="Times New Roman" w:hAnsi="Times New Roman" w:cs="Times New Roman"/>
          <w:lang w:val="fr-FR"/>
        </w:rPr>
        <w:t xml:space="preserve"> </w:t>
      </w:r>
      <w:r w:rsidR="006A5CC6" w:rsidRPr="00403C55">
        <w:rPr>
          <w:rFonts w:ascii="Times New Roman" w:hAnsi="Times New Roman" w:cs="Times New Roman"/>
          <w:lang w:val="fr-FR"/>
        </w:rPr>
        <w:t>Le pays a fait part de la mise en œuvre de l’activité précisant que l'espèce doit être prise en compte au cours des Évaluations d’impact environnemental (100 %).</w:t>
      </w:r>
    </w:p>
    <w:p w14:paraId="3863FB36" w14:textId="77777777" w:rsidR="00774C3B" w:rsidRPr="00403C55" w:rsidRDefault="00774C3B" w:rsidP="00DF3C0E">
      <w:pPr>
        <w:spacing w:after="0" w:line="240" w:lineRule="auto"/>
        <w:rPr>
          <w:rFonts w:ascii="Times New Roman" w:hAnsi="Times New Roman" w:cs="Times New Roman"/>
          <w:lang w:val="fr-FR"/>
        </w:rPr>
      </w:pPr>
    </w:p>
    <w:p w14:paraId="3E9EE864" w14:textId="26088E7C" w:rsidR="00C32BBF" w:rsidRPr="00403C55" w:rsidRDefault="006A5CC6"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7F2E67" w:rsidRPr="00403C55">
        <w:rPr>
          <w:rFonts w:ascii="Times New Roman" w:hAnsi="Times New Roman" w:cs="Times New Roman"/>
          <w:b/>
          <w:lang w:val="fr-FR"/>
        </w:rPr>
        <w:t xml:space="preserve"> 33</w:t>
      </w:r>
      <w:r w:rsidRPr="00403C55">
        <w:rPr>
          <w:rFonts w:ascii="Times New Roman" w:hAnsi="Times New Roman" w:cs="Times New Roman"/>
          <w:b/>
          <w:lang w:val="fr-FR"/>
        </w:rPr>
        <w:t xml:space="preserve"> </w:t>
      </w:r>
      <w:r w:rsidR="007F2E67" w:rsidRPr="00403C55">
        <w:rPr>
          <w:rFonts w:ascii="Times New Roman" w:hAnsi="Times New Roman" w:cs="Times New Roman"/>
          <w:b/>
          <w:lang w:val="fr-FR"/>
        </w:rPr>
        <w:t>%</w:t>
      </w:r>
      <w:r w:rsidR="00EE766F">
        <w:rPr>
          <w:rFonts w:ascii="Times New Roman" w:hAnsi="Times New Roman" w:cs="Times New Roman"/>
          <w:b/>
          <w:lang w:val="fr-FR"/>
        </w:rPr>
        <w:t xml:space="preserve"> </w:t>
      </w:r>
    </w:p>
    <w:p w14:paraId="61456775" w14:textId="77777777" w:rsidR="00C32BBF" w:rsidRPr="00403C55" w:rsidRDefault="00C32BBF" w:rsidP="00DF3C0E">
      <w:pPr>
        <w:spacing w:after="0" w:line="240" w:lineRule="auto"/>
        <w:rPr>
          <w:rFonts w:ascii="Times New Roman" w:hAnsi="Times New Roman" w:cs="Times New Roman"/>
          <w:lang w:val="fr-FR"/>
        </w:rPr>
      </w:pPr>
    </w:p>
    <w:p w14:paraId="6F8F9A4F" w14:textId="2F43DEBE" w:rsidR="00D10E17"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5.15</w:t>
      </w:r>
      <w:r w:rsidR="00D10E17" w:rsidRPr="00403C55">
        <w:rPr>
          <w:rFonts w:ascii="Times New Roman" w:hAnsi="Times New Roman" w:cs="Times New Roman"/>
          <w:i/>
          <w:lang w:val="fr-FR"/>
        </w:rPr>
        <w:t xml:space="preserve">. </w:t>
      </w:r>
      <w:r w:rsidR="006A5CC6" w:rsidRPr="00403C55">
        <w:rPr>
          <w:rFonts w:ascii="Times New Roman" w:hAnsi="Times New Roman" w:cs="Times New Roman"/>
          <w:i/>
          <w:lang w:val="fr-FR"/>
        </w:rPr>
        <w:t xml:space="preserve">Résultat 15 – </w:t>
      </w:r>
      <w:r w:rsidR="0036168D" w:rsidRPr="00403C55">
        <w:rPr>
          <w:rFonts w:ascii="Times New Roman" w:hAnsi="Times New Roman" w:cs="Times New Roman"/>
          <w:i/>
          <w:lang w:val="fr-FR"/>
        </w:rPr>
        <w:t>Limitation</w:t>
      </w:r>
      <w:r w:rsidR="00985A4E">
        <w:rPr>
          <w:rFonts w:ascii="Times New Roman" w:hAnsi="Times New Roman" w:cs="Times New Roman"/>
          <w:i/>
          <w:lang w:val="fr-FR"/>
        </w:rPr>
        <w:t xml:space="preserve"> </w:t>
      </w:r>
      <w:r w:rsidR="0036168D" w:rsidRPr="00403C55">
        <w:rPr>
          <w:rFonts w:ascii="Times New Roman" w:hAnsi="Times New Roman" w:cs="Times New Roman"/>
          <w:i/>
          <w:lang w:val="fr-FR"/>
        </w:rPr>
        <w:t>des activités de c</w:t>
      </w:r>
      <w:r w:rsidR="006A5CC6" w:rsidRPr="00403C55">
        <w:rPr>
          <w:rFonts w:ascii="Times New Roman" w:hAnsi="Times New Roman" w:cs="Times New Roman"/>
          <w:i/>
          <w:lang w:val="fr-FR"/>
        </w:rPr>
        <w:t>onstru</w:t>
      </w:r>
      <w:r w:rsidR="0036168D" w:rsidRPr="00403C55">
        <w:rPr>
          <w:rFonts w:ascii="Times New Roman" w:hAnsi="Times New Roman" w:cs="Times New Roman"/>
          <w:i/>
          <w:lang w:val="fr-FR"/>
        </w:rPr>
        <w:t>ction</w:t>
      </w:r>
      <w:r w:rsidR="00985A4E">
        <w:rPr>
          <w:rFonts w:ascii="Times New Roman" w:hAnsi="Times New Roman" w:cs="Times New Roman"/>
          <w:i/>
          <w:lang w:val="fr-FR"/>
        </w:rPr>
        <w:t xml:space="preserve"> </w:t>
      </w:r>
      <w:r w:rsidR="006A5CC6" w:rsidRPr="00403C55">
        <w:rPr>
          <w:rFonts w:ascii="Times New Roman" w:hAnsi="Times New Roman" w:cs="Times New Roman"/>
          <w:i/>
          <w:lang w:val="fr-FR"/>
        </w:rPr>
        <w:t xml:space="preserve">sur </w:t>
      </w:r>
      <w:r w:rsidR="0036168D" w:rsidRPr="00403C55">
        <w:rPr>
          <w:rFonts w:ascii="Times New Roman" w:hAnsi="Times New Roman" w:cs="Times New Roman"/>
          <w:i/>
          <w:lang w:val="fr-FR"/>
        </w:rPr>
        <w:t>l</w:t>
      </w:r>
      <w:r w:rsidR="006A5CC6" w:rsidRPr="00403C55">
        <w:rPr>
          <w:rFonts w:ascii="Times New Roman" w:hAnsi="Times New Roman" w:cs="Times New Roman"/>
          <w:i/>
          <w:lang w:val="fr-FR"/>
        </w:rPr>
        <w:t>es sites de reproduction et d’alimentation de l’Ibis chauve, ou dans leur voisinage (priorité critique)</w:t>
      </w:r>
    </w:p>
    <w:p w14:paraId="0EC9402B" w14:textId="77777777" w:rsidR="00D10E17" w:rsidRPr="00403C55" w:rsidRDefault="00D10E17" w:rsidP="00DF3C0E">
      <w:pPr>
        <w:spacing w:after="0" w:line="240" w:lineRule="auto"/>
        <w:rPr>
          <w:rFonts w:ascii="Times New Roman" w:hAnsi="Times New Roman" w:cs="Times New Roman"/>
          <w:lang w:val="fr-FR"/>
        </w:rPr>
      </w:pPr>
    </w:p>
    <w:p w14:paraId="31D7C3E8" w14:textId="224EFFBA" w:rsidR="001D623B" w:rsidRPr="00403C55" w:rsidRDefault="006A5CC6" w:rsidP="001D623B">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L’activité 15.1 relative à l’arrêt de la construction illégale de grottes sur les sites de reproduction et de perchage, ou dans leur voisinage, a été déclarée mise en œuvre par le Maroc et la Syrie (l’activité ne s’applique pas à la Turquie / 100 %).</w:t>
      </w:r>
      <w:r w:rsidR="001D623B" w:rsidRPr="00403C55">
        <w:rPr>
          <w:rFonts w:ascii="Times New Roman" w:hAnsi="Times New Roman" w:cs="Times New Roman"/>
          <w:lang w:val="fr-FR"/>
        </w:rPr>
        <w:t xml:space="preserve"> </w:t>
      </w:r>
      <w:r w:rsidRPr="00403C55">
        <w:rPr>
          <w:rFonts w:ascii="Times New Roman" w:hAnsi="Times New Roman" w:cs="Times New Roman"/>
          <w:lang w:val="fr-FR"/>
        </w:rPr>
        <w:t>Tous les pays ont indiqué avoir désigné</w:t>
      </w:r>
      <w:r w:rsidR="0036168D" w:rsidRPr="00403C55">
        <w:rPr>
          <w:rFonts w:ascii="Times New Roman" w:hAnsi="Times New Roman" w:cs="Times New Roman"/>
          <w:lang w:val="fr-FR"/>
        </w:rPr>
        <w:t xml:space="preserve"> « </w:t>
      </w:r>
      <w:r w:rsidRPr="00403C55">
        <w:rPr>
          <w:rFonts w:ascii="Times New Roman" w:hAnsi="Times New Roman" w:cs="Times New Roman"/>
          <w:lang w:val="fr-FR"/>
        </w:rPr>
        <w:t>sites protégés</w:t>
      </w:r>
      <w:r w:rsidR="0036168D" w:rsidRPr="00403C55">
        <w:rPr>
          <w:rFonts w:ascii="Times New Roman" w:hAnsi="Times New Roman" w:cs="Times New Roman"/>
          <w:lang w:val="fr-FR"/>
        </w:rPr>
        <w:t> »</w:t>
      </w:r>
      <w:r w:rsidRPr="00403C55">
        <w:rPr>
          <w:rFonts w:ascii="Times New Roman" w:hAnsi="Times New Roman" w:cs="Times New Roman"/>
          <w:lang w:val="fr-FR"/>
        </w:rPr>
        <w:t xml:space="preserve"> tous les sites de reproduction et d’alimentation en partenariat avec les communautés locales (activité 15.2 / 100 %).</w:t>
      </w:r>
      <w:r w:rsidR="001D623B" w:rsidRPr="00403C55">
        <w:rPr>
          <w:rFonts w:ascii="Times New Roman" w:hAnsi="Times New Roman" w:cs="Times New Roman"/>
          <w:lang w:val="fr-FR"/>
        </w:rPr>
        <w:t xml:space="preserve"> </w:t>
      </w:r>
      <w:r w:rsidRPr="00403C55">
        <w:rPr>
          <w:rFonts w:ascii="Times New Roman" w:hAnsi="Times New Roman" w:cs="Times New Roman"/>
          <w:lang w:val="fr-FR"/>
        </w:rPr>
        <w:t>Tant le Maroc que la Syrie ont déclaré avoir développé des plans de gestion pour Tamri et Palmyre en partenariat avec les communautés locales (activité 15.3 / 100</w:t>
      </w:r>
      <w:r w:rsidR="00D96BF6" w:rsidRPr="00403C55">
        <w:rPr>
          <w:rFonts w:ascii="Times New Roman" w:hAnsi="Times New Roman" w:cs="Times New Roman"/>
          <w:lang w:val="fr-FR"/>
        </w:rPr>
        <w:t xml:space="preserve"> </w:t>
      </w:r>
      <w:r w:rsidRPr="00403C55">
        <w:rPr>
          <w:rFonts w:ascii="Times New Roman" w:hAnsi="Times New Roman" w:cs="Times New Roman"/>
          <w:lang w:val="fr-FR"/>
        </w:rPr>
        <w:t>%).</w:t>
      </w:r>
      <w:r w:rsidR="00FB1878" w:rsidRPr="00403C55">
        <w:rPr>
          <w:rFonts w:ascii="Times New Roman" w:hAnsi="Times New Roman" w:cs="Times New Roman"/>
          <w:lang w:val="fr-FR"/>
        </w:rPr>
        <w:t xml:space="preserve"> </w:t>
      </w:r>
      <w:r w:rsidRPr="00403C55">
        <w:rPr>
          <w:rFonts w:ascii="Times New Roman" w:hAnsi="Times New Roman" w:cs="Times New Roman"/>
          <w:lang w:val="fr-FR"/>
        </w:rPr>
        <w:t>L’activité 15.4 relative à l’initiation de formation et la fourniture d’équipement pour le personnel en vue de mettre en œuvre les plans de gestion s’applique uniquement au Maroc, qui a fait savoir que l’activité avait été mise en œuvre (100 %).</w:t>
      </w:r>
    </w:p>
    <w:p w14:paraId="4F9D0DFD" w14:textId="77777777" w:rsidR="001D623B" w:rsidRPr="00403C55" w:rsidRDefault="001D623B" w:rsidP="001D623B">
      <w:pPr>
        <w:spacing w:after="0" w:line="240" w:lineRule="auto"/>
        <w:jc w:val="both"/>
        <w:rPr>
          <w:rFonts w:ascii="Times New Roman" w:hAnsi="Times New Roman" w:cs="Times New Roman"/>
          <w:lang w:val="fr-FR"/>
        </w:rPr>
      </w:pPr>
    </w:p>
    <w:p w14:paraId="473F44F6" w14:textId="0596119E" w:rsidR="00C32BBF" w:rsidRPr="00403C55" w:rsidRDefault="006A5CC6"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8D6899" w:rsidRPr="00403C55">
        <w:rPr>
          <w:rFonts w:ascii="Times New Roman" w:hAnsi="Times New Roman" w:cs="Times New Roman"/>
          <w:b/>
          <w:lang w:val="fr-FR"/>
        </w:rPr>
        <w:t xml:space="preserve"> </w:t>
      </w:r>
      <w:r w:rsidR="008E334F" w:rsidRPr="00403C55">
        <w:rPr>
          <w:rFonts w:ascii="Times New Roman" w:hAnsi="Times New Roman" w:cs="Times New Roman"/>
          <w:b/>
          <w:lang w:val="fr-FR"/>
        </w:rPr>
        <w:t>100</w:t>
      </w:r>
      <w:r w:rsidRPr="00403C55">
        <w:rPr>
          <w:rFonts w:ascii="Times New Roman" w:hAnsi="Times New Roman" w:cs="Times New Roman"/>
          <w:b/>
          <w:lang w:val="fr-FR"/>
        </w:rPr>
        <w:t xml:space="preserve"> </w:t>
      </w:r>
      <w:r w:rsidR="008E334F" w:rsidRPr="00403C55">
        <w:rPr>
          <w:rFonts w:ascii="Times New Roman" w:hAnsi="Times New Roman" w:cs="Times New Roman"/>
          <w:b/>
          <w:lang w:val="fr-FR"/>
        </w:rPr>
        <w:t>%</w:t>
      </w:r>
    </w:p>
    <w:p w14:paraId="7D79DDCF" w14:textId="77777777" w:rsidR="00C32BBF" w:rsidRPr="00403C55" w:rsidRDefault="00C32BBF" w:rsidP="00DF3C0E">
      <w:pPr>
        <w:spacing w:after="0" w:line="240" w:lineRule="auto"/>
        <w:rPr>
          <w:rFonts w:ascii="Times New Roman" w:hAnsi="Times New Roman" w:cs="Times New Roman"/>
          <w:lang w:val="fr-FR"/>
        </w:rPr>
      </w:pPr>
    </w:p>
    <w:p w14:paraId="59AF774E" w14:textId="389B6C58" w:rsidR="00D10E17"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5.16</w:t>
      </w:r>
      <w:r w:rsidR="00D10E17" w:rsidRPr="00403C55">
        <w:rPr>
          <w:rFonts w:ascii="Times New Roman" w:hAnsi="Times New Roman" w:cs="Times New Roman"/>
          <w:i/>
          <w:lang w:val="fr-FR"/>
        </w:rPr>
        <w:t xml:space="preserve">. </w:t>
      </w:r>
      <w:r w:rsidR="006A5CC6" w:rsidRPr="00403C55">
        <w:rPr>
          <w:rFonts w:ascii="Times New Roman" w:hAnsi="Times New Roman" w:cs="Times New Roman"/>
          <w:i/>
          <w:lang w:val="fr-FR"/>
        </w:rPr>
        <w:t xml:space="preserve">Résultat 16 – </w:t>
      </w:r>
      <w:r w:rsidR="0034424B" w:rsidRPr="00403C55">
        <w:rPr>
          <w:rFonts w:ascii="Times New Roman" w:hAnsi="Times New Roman" w:cs="Times New Roman"/>
          <w:i/>
          <w:lang w:val="fr-FR"/>
        </w:rPr>
        <w:t xml:space="preserve">La </w:t>
      </w:r>
      <w:r w:rsidR="006A5CC6" w:rsidRPr="00403C55">
        <w:rPr>
          <w:rFonts w:ascii="Times New Roman" w:hAnsi="Times New Roman" w:cs="Times New Roman"/>
          <w:i/>
          <w:lang w:val="fr-FR"/>
        </w:rPr>
        <w:t xml:space="preserve">construction </w:t>
      </w:r>
      <w:r w:rsidR="0034424B" w:rsidRPr="00403C55">
        <w:rPr>
          <w:rFonts w:ascii="Times New Roman" w:hAnsi="Times New Roman" w:cs="Times New Roman"/>
          <w:i/>
          <w:lang w:val="fr-FR"/>
        </w:rPr>
        <w:t xml:space="preserve">d’un réservoir </w:t>
      </w:r>
      <w:r w:rsidR="006A5CC6" w:rsidRPr="00403C55">
        <w:rPr>
          <w:rFonts w:ascii="Times New Roman" w:hAnsi="Times New Roman" w:cs="Times New Roman"/>
          <w:i/>
          <w:lang w:val="fr-FR"/>
        </w:rPr>
        <w:t>affect</w:t>
      </w:r>
      <w:r w:rsidR="0034424B" w:rsidRPr="00403C55">
        <w:rPr>
          <w:rFonts w:ascii="Times New Roman" w:hAnsi="Times New Roman" w:cs="Times New Roman"/>
          <w:i/>
          <w:lang w:val="fr-FR"/>
        </w:rPr>
        <w:t>ant les sites d’alimentation et de reproduction est sous contrôle</w:t>
      </w:r>
      <w:r w:rsidR="006A5CC6" w:rsidRPr="00403C55">
        <w:rPr>
          <w:rFonts w:ascii="Times New Roman" w:hAnsi="Times New Roman" w:cs="Times New Roman"/>
          <w:i/>
          <w:lang w:val="fr-FR"/>
        </w:rPr>
        <w:t xml:space="preserve"> (</w:t>
      </w:r>
      <w:r w:rsidR="0034424B" w:rsidRPr="00403C55">
        <w:rPr>
          <w:rFonts w:ascii="Times New Roman" w:hAnsi="Times New Roman" w:cs="Times New Roman"/>
          <w:i/>
          <w:lang w:val="fr-FR"/>
        </w:rPr>
        <w:t>faible priorité</w:t>
      </w:r>
      <w:r w:rsidR="006A5CC6" w:rsidRPr="00403C55">
        <w:rPr>
          <w:rFonts w:ascii="Times New Roman" w:hAnsi="Times New Roman" w:cs="Times New Roman"/>
          <w:i/>
          <w:lang w:val="fr-FR"/>
        </w:rPr>
        <w:t>)</w:t>
      </w:r>
    </w:p>
    <w:p w14:paraId="3FF5E03E" w14:textId="77777777" w:rsidR="00C32BBF" w:rsidRPr="00403C55" w:rsidRDefault="00C32BBF" w:rsidP="00DF3C0E">
      <w:pPr>
        <w:spacing w:after="0" w:line="240" w:lineRule="auto"/>
        <w:rPr>
          <w:rFonts w:ascii="Times New Roman" w:hAnsi="Times New Roman" w:cs="Times New Roman"/>
          <w:lang w:val="fr-FR"/>
        </w:rPr>
      </w:pPr>
    </w:p>
    <w:p w14:paraId="1B98E291" w14:textId="6BD841BD" w:rsidR="00292D9A" w:rsidRPr="00403C55" w:rsidRDefault="0034424B" w:rsidP="00292D9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Cette activité s’applique uniquement à la Syrie, qui a fait part de </w:t>
      </w:r>
      <w:r w:rsidR="0036168D" w:rsidRPr="00403C55">
        <w:rPr>
          <w:rFonts w:ascii="Times New Roman" w:hAnsi="Times New Roman" w:cs="Times New Roman"/>
          <w:lang w:val="fr-FR"/>
        </w:rPr>
        <w:t>s</w:t>
      </w:r>
      <w:r w:rsidRPr="00403C55">
        <w:rPr>
          <w:rFonts w:ascii="Times New Roman" w:hAnsi="Times New Roman" w:cs="Times New Roman"/>
          <w:lang w:val="fr-FR"/>
        </w:rPr>
        <w:t xml:space="preserve">a mise en œuvre complète, indiquant qu’aucun bénéficiaire direct du barrage de Palmyre n’est autorisé à agir sur des sites avoisinant </w:t>
      </w:r>
      <w:r w:rsidR="00552518">
        <w:rPr>
          <w:rFonts w:ascii="Times New Roman" w:hAnsi="Times New Roman" w:cs="Times New Roman"/>
          <w:lang w:val="fr-FR"/>
        </w:rPr>
        <w:t>le site protégé</w:t>
      </w:r>
      <w:r w:rsidRPr="00403C55">
        <w:rPr>
          <w:rFonts w:ascii="Times New Roman" w:hAnsi="Times New Roman" w:cs="Times New Roman"/>
          <w:lang w:val="fr-FR"/>
        </w:rPr>
        <w:t>.</w:t>
      </w:r>
      <w:r w:rsidR="00292D9A" w:rsidRPr="00403C55">
        <w:rPr>
          <w:rFonts w:ascii="Times New Roman" w:hAnsi="Times New Roman" w:cs="Times New Roman"/>
          <w:lang w:val="fr-FR"/>
        </w:rPr>
        <w:t xml:space="preserve"> </w:t>
      </w:r>
      <w:r w:rsidRPr="00403C55">
        <w:rPr>
          <w:rFonts w:ascii="Times New Roman" w:hAnsi="Times New Roman" w:cs="Times New Roman"/>
          <w:lang w:val="fr-FR"/>
        </w:rPr>
        <w:t>En outre, une étroite surveillance a été réalisée pendant la saison de reproduction pour s’assurer que les oiseaux n’étaient pas perturbés.</w:t>
      </w:r>
    </w:p>
    <w:p w14:paraId="2C366FBE" w14:textId="77777777" w:rsidR="00292D9A" w:rsidRPr="00403C55" w:rsidRDefault="00292D9A" w:rsidP="00DF3C0E">
      <w:pPr>
        <w:spacing w:after="0" w:line="240" w:lineRule="auto"/>
        <w:rPr>
          <w:rFonts w:ascii="Times New Roman" w:hAnsi="Times New Roman" w:cs="Times New Roman"/>
          <w:lang w:val="fr-FR"/>
        </w:rPr>
      </w:pPr>
    </w:p>
    <w:p w14:paraId="31D2C26F" w14:textId="36D2D478" w:rsidR="00C32BBF" w:rsidRPr="00403C55" w:rsidRDefault="0034424B"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292D9A" w:rsidRPr="00403C55">
        <w:rPr>
          <w:rFonts w:ascii="Times New Roman" w:hAnsi="Times New Roman" w:cs="Times New Roman"/>
          <w:b/>
          <w:lang w:val="fr-FR"/>
        </w:rPr>
        <w:t xml:space="preserve"> 100</w:t>
      </w:r>
      <w:r w:rsidRPr="00403C55">
        <w:rPr>
          <w:rFonts w:ascii="Times New Roman" w:hAnsi="Times New Roman" w:cs="Times New Roman"/>
          <w:b/>
          <w:lang w:val="fr-FR"/>
        </w:rPr>
        <w:t xml:space="preserve"> </w:t>
      </w:r>
      <w:r w:rsidR="00292D9A" w:rsidRPr="00403C55">
        <w:rPr>
          <w:rFonts w:ascii="Times New Roman" w:hAnsi="Times New Roman" w:cs="Times New Roman"/>
          <w:b/>
          <w:lang w:val="fr-FR"/>
        </w:rPr>
        <w:t>%</w:t>
      </w:r>
      <w:r w:rsidR="00C32BBF" w:rsidRPr="00403C55">
        <w:rPr>
          <w:rFonts w:ascii="Times New Roman" w:hAnsi="Times New Roman" w:cs="Times New Roman"/>
          <w:b/>
          <w:lang w:val="fr-FR"/>
        </w:rPr>
        <w:t xml:space="preserve"> </w:t>
      </w:r>
    </w:p>
    <w:p w14:paraId="2F6787D5" w14:textId="77777777" w:rsidR="00C32BBF" w:rsidRPr="00403C55" w:rsidRDefault="00C32BBF" w:rsidP="00DF3C0E">
      <w:pPr>
        <w:spacing w:after="0" w:line="240" w:lineRule="auto"/>
        <w:rPr>
          <w:rFonts w:ascii="Times New Roman" w:hAnsi="Times New Roman" w:cs="Times New Roman"/>
          <w:lang w:val="fr-FR"/>
        </w:rPr>
      </w:pPr>
    </w:p>
    <w:p w14:paraId="1B7D235B" w14:textId="6887F726" w:rsidR="00C32BBF"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5.17</w:t>
      </w:r>
      <w:r w:rsidR="00C32BBF" w:rsidRPr="00403C55">
        <w:rPr>
          <w:rFonts w:ascii="Times New Roman" w:hAnsi="Times New Roman" w:cs="Times New Roman"/>
          <w:i/>
          <w:lang w:val="fr-FR"/>
        </w:rPr>
        <w:t xml:space="preserve">. </w:t>
      </w:r>
      <w:r w:rsidR="0034424B" w:rsidRPr="00403C55">
        <w:rPr>
          <w:rFonts w:ascii="Times New Roman" w:hAnsi="Times New Roman" w:cs="Times New Roman"/>
          <w:i/>
          <w:lang w:val="fr-FR"/>
        </w:rPr>
        <w:t xml:space="preserve">Résultat 17 – L’agriculture et les régimes de pâturage </w:t>
      </w:r>
      <w:r w:rsidR="0034743B" w:rsidRPr="00403C55">
        <w:rPr>
          <w:rFonts w:ascii="Times New Roman" w:hAnsi="Times New Roman" w:cs="Times New Roman"/>
          <w:i/>
          <w:lang w:val="fr-FR"/>
        </w:rPr>
        <w:t xml:space="preserve">sont </w:t>
      </w:r>
      <w:r w:rsidR="0034424B" w:rsidRPr="00403C55">
        <w:rPr>
          <w:rFonts w:ascii="Times New Roman" w:hAnsi="Times New Roman" w:cs="Times New Roman"/>
          <w:i/>
          <w:lang w:val="fr-FR"/>
        </w:rPr>
        <w:t>maintenus/</w:t>
      </w:r>
      <w:r w:rsidR="00D96BF6" w:rsidRPr="00403C55">
        <w:rPr>
          <w:rFonts w:ascii="Times New Roman" w:hAnsi="Times New Roman" w:cs="Times New Roman"/>
          <w:i/>
          <w:lang w:val="fr-FR"/>
        </w:rPr>
        <w:t>modifi</w:t>
      </w:r>
      <w:r w:rsidR="0034424B" w:rsidRPr="00403C55">
        <w:rPr>
          <w:rFonts w:ascii="Times New Roman" w:hAnsi="Times New Roman" w:cs="Times New Roman"/>
          <w:i/>
          <w:lang w:val="fr-FR"/>
        </w:rPr>
        <w:t>és pour fournir des sites d’alimentation adéquats (priorité critique)</w:t>
      </w:r>
    </w:p>
    <w:p w14:paraId="3B2376D0" w14:textId="77777777" w:rsidR="00C32BBF" w:rsidRPr="00403C55" w:rsidRDefault="00C32BBF" w:rsidP="00DF3C0E">
      <w:pPr>
        <w:spacing w:after="0" w:line="240" w:lineRule="auto"/>
        <w:rPr>
          <w:rFonts w:ascii="Times New Roman" w:hAnsi="Times New Roman" w:cs="Times New Roman"/>
          <w:lang w:val="fr-FR"/>
        </w:rPr>
      </w:pPr>
    </w:p>
    <w:p w14:paraId="46DA494F" w14:textId="6F916EBF" w:rsidR="00C8196A" w:rsidRPr="00403C55" w:rsidRDefault="0034424B" w:rsidP="00DF3C0E">
      <w:pPr>
        <w:spacing w:after="0" w:line="240" w:lineRule="auto"/>
        <w:rPr>
          <w:rFonts w:ascii="Times New Roman" w:hAnsi="Times New Roman" w:cs="Times New Roman"/>
          <w:lang w:val="fr-FR"/>
        </w:rPr>
      </w:pPr>
      <w:r w:rsidRPr="00403C55">
        <w:rPr>
          <w:rFonts w:ascii="Times New Roman" w:hAnsi="Times New Roman" w:cs="Times New Roman"/>
          <w:lang w:val="fr-FR"/>
        </w:rPr>
        <w:t>Les trois pays ont indiqué que cette activité était pleinement mise en œuvre.</w:t>
      </w:r>
    </w:p>
    <w:p w14:paraId="3F3B2761" w14:textId="77777777" w:rsidR="00C8196A" w:rsidRPr="00403C55" w:rsidRDefault="00C8196A" w:rsidP="00DF3C0E">
      <w:pPr>
        <w:spacing w:after="0" w:line="240" w:lineRule="auto"/>
        <w:rPr>
          <w:rFonts w:ascii="Times New Roman" w:hAnsi="Times New Roman" w:cs="Times New Roman"/>
          <w:lang w:val="fr-FR"/>
        </w:rPr>
      </w:pPr>
    </w:p>
    <w:p w14:paraId="759D5234" w14:textId="300DD5EE" w:rsidR="00C32BBF" w:rsidRPr="00403C55" w:rsidRDefault="0034424B"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C32BBF" w:rsidRPr="00403C55">
        <w:rPr>
          <w:rFonts w:ascii="Times New Roman" w:hAnsi="Times New Roman" w:cs="Times New Roman"/>
          <w:b/>
          <w:lang w:val="fr-FR"/>
        </w:rPr>
        <w:t xml:space="preserve"> </w:t>
      </w:r>
      <w:r w:rsidR="00C8196A" w:rsidRPr="00403C55">
        <w:rPr>
          <w:rFonts w:ascii="Times New Roman" w:hAnsi="Times New Roman" w:cs="Times New Roman"/>
          <w:b/>
          <w:lang w:val="fr-FR"/>
        </w:rPr>
        <w:t>100</w:t>
      </w:r>
      <w:r w:rsidRPr="00403C55">
        <w:rPr>
          <w:rFonts w:ascii="Times New Roman" w:hAnsi="Times New Roman" w:cs="Times New Roman"/>
          <w:b/>
          <w:lang w:val="fr-FR"/>
        </w:rPr>
        <w:t xml:space="preserve"> </w:t>
      </w:r>
      <w:r w:rsidR="00C8196A" w:rsidRPr="00403C55">
        <w:rPr>
          <w:rFonts w:ascii="Times New Roman" w:hAnsi="Times New Roman" w:cs="Times New Roman"/>
          <w:b/>
          <w:lang w:val="fr-FR"/>
        </w:rPr>
        <w:t>%</w:t>
      </w:r>
    </w:p>
    <w:p w14:paraId="51A6587B" w14:textId="77777777" w:rsidR="00C32BBF" w:rsidRPr="00403C55" w:rsidRDefault="00C32BBF" w:rsidP="00DF3C0E">
      <w:pPr>
        <w:spacing w:after="0" w:line="240" w:lineRule="auto"/>
        <w:rPr>
          <w:rFonts w:ascii="Times New Roman" w:hAnsi="Times New Roman" w:cs="Times New Roman"/>
          <w:lang w:val="fr-FR"/>
        </w:rPr>
      </w:pPr>
    </w:p>
    <w:p w14:paraId="5A91D803" w14:textId="0C05E5CB" w:rsidR="00C32BBF"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5.18</w:t>
      </w:r>
      <w:r w:rsidR="00C32BBF" w:rsidRPr="00403C55">
        <w:rPr>
          <w:rFonts w:ascii="Times New Roman" w:hAnsi="Times New Roman" w:cs="Times New Roman"/>
          <w:i/>
          <w:lang w:val="fr-FR"/>
        </w:rPr>
        <w:t xml:space="preserve">. </w:t>
      </w:r>
      <w:r w:rsidR="0034424B" w:rsidRPr="00403C55">
        <w:rPr>
          <w:rFonts w:ascii="Times New Roman" w:hAnsi="Times New Roman" w:cs="Times New Roman"/>
          <w:i/>
          <w:lang w:val="fr-FR"/>
        </w:rPr>
        <w:t xml:space="preserve">Résultat 18 – La collecte de bois de chauffage est </w:t>
      </w:r>
      <w:r w:rsidR="00F13ED9" w:rsidRPr="00403C55">
        <w:rPr>
          <w:rFonts w:ascii="Times New Roman" w:hAnsi="Times New Roman" w:cs="Times New Roman"/>
          <w:i/>
          <w:lang w:val="fr-FR"/>
        </w:rPr>
        <w:t xml:space="preserve">placée sous </w:t>
      </w:r>
      <w:r w:rsidR="0034424B" w:rsidRPr="00403C55">
        <w:rPr>
          <w:rFonts w:ascii="Times New Roman" w:hAnsi="Times New Roman" w:cs="Times New Roman"/>
          <w:i/>
          <w:lang w:val="fr-FR"/>
        </w:rPr>
        <w:t>contrôl</w:t>
      </w:r>
      <w:r w:rsidR="002C2464" w:rsidRPr="00403C55">
        <w:rPr>
          <w:rFonts w:ascii="Times New Roman" w:hAnsi="Times New Roman" w:cs="Times New Roman"/>
          <w:i/>
          <w:lang w:val="fr-FR"/>
        </w:rPr>
        <w:t>e</w:t>
      </w:r>
      <w:r w:rsidR="0034424B" w:rsidRPr="00403C55">
        <w:rPr>
          <w:rFonts w:ascii="Times New Roman" w:hAnsi="Times New Roman" w:cs="Times New Roman"/>
          <w:i/>
          <w:lang w:val="fr-FR"/>
        </w:rPr>
        <w:t xml:space="preserve"> pour éviter la destruction ou la dégradation des sites d’alimentation de l’Ibis chauve (priorité critique)</w:t>
      </w:r>
    </w:p>
    <w:p w14:paraId="3106D5D4" w14:textId="77777777" w:rsidR="00C32BBF" w:rsidRPr="00403C55" w:rsidRDefault="00C32BBF" w:rsidP="00DF3C0E">
      <w:pPr>
        <w:spacing w:after="0" w:line="240" w:lineRule="auto"/>
        <w:rPr>
          <w:rFonts w:ascii="Times New Roman" w:hAnsi="Times New Roman" w:cs="Times New Roman"/>
          <w:lang w:val="fr-FR"/>
        </w:rPr>
      </w:pPr>
    </w:p>
    <w:p w14:paraId="1820C160" w14:textId="07BD78DB" w:rsidR="00C8196A" w:rsidRPr="00403C55" w:rsidRDefault="0034424B" w:rsidP="00C8196A">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Cette activité s’appliquait uniquement au Maroc et à la Syrie, le Maroc ayant fait part d’une mise en œuvre complète et la Syrie d’une mise en œuvre partielle, déclarant qu’il y a eu un léger changement au niveau des pratiques de collecte de bois de chauffage chez les nomades.</w:t>
      </w:r>
    </w:p>
    <w:p w14:paraId="6EBB0EBA" w14:textId="77777777" w:rsidR="00C8196A" w:rsidRPr="00403C55" w:rsidRDefault="00C8196A" w:rsidP="00DF3C0E">
      <w:pPr>
        <w:spacing w:after="0" w:line="240" w:lineRule="auto"/>
        <w:rPr>
          <w:rFonts w:ascii="Times New Roman" w:hAnsi="Times New Roman" w:cs="Times New Roman"/>
          <w:lang w:val="fr-FR"/>
        </w:rPr>
      </w:pPr>
    </w:p>
    <w:p w14:paraId="02B6C845" w14:textId="385AA355" w:rsidR="00C8196A" w:rsidRPr="00403C55" w:rsidRDefault="0034424B" w:rsidP="00DF3C0E">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C8196A" w:rsidRPr="00403C55">
        <w:rPr>
          <w:rFonts w:ascii="Times New Roman" w:hAnsi="Times New Roman" w:cs="Times New Roman"/>
          <w:b/>
          <w:lang w:val="fr-FR"/>
        </w:rPr>
        <w:t xml:space="preserve"> 50</w:t>
      </w:r>
      <w:r w:rsidRPr="00403C55">
        <w:rPr>
          <w:rFonts w:ascii="Times New Roman" w:hAnsi="Times New Roman" w:cs="Times New Roman"/>
          <w:b/>
          <w:lang w:val="fr-FR"/>
        </w:rPr>
        <w:t xml:space="preserve"> </w:t>
      </w:r>
      <w:r w:rsidR="00C8196A" w:rsidRPr="00403C55">
        <w:rPr>
          <w:rFonts w:ascii="Times New Roman" w:hAnsi="Times New Roman" w:cs="Times New Roman"/>
          <w:b/>
          <w:lang w:val="fr-FR"/>
        </w:rPr>
        <w:t>%</w:t>
      </w:r>
    </w:p>
    <w:p w14:paraId="58A72FD9" w14:textId="77777777" w:rsidR="00C32BBF" w:rsidRPr="00403C55" w:rsidRDefault="00C32BBF" w:rsidP="00DF3C0E">
      <w:pPr>
        <w:spacing w:after="0" w:line="240" w:lineRule="auto"/>
        <w:rPr>
          <w:rFonts w:ascii="Times New Roman" w:hAnsi="Times New Roman" w:cs="Times New Roman"/>
          <w:lang w:val="fr-FR"/>
        </w:rPr>
      </w:pPr>
    </w:p>
    <w:p w14:paraId="5CEECB90" w14:textId="7E09FB10" w:rsidR="00C32BBF"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5.19</w:t>
      </w:r>
      <w:r w:rsidR="00C32BBF" w:rsidRPr="00403C55">
        <w:rPr>
          <w:rFonts w:ascii="Times New Roman" w:hAnsi="Times New Roman" w:cs="Times New Roman"/>
          <w:i/>
          <w:lang w:val="fr-FR"/>
        </w:rPr>
        <w:t xml:space="preserve">. </w:t>
      </w:r>
      <w:r w:rsidR="0034424B" w:rsidRPr="00403C55">
        <w:rPr>
          <w:rFonts w:ascii="Times New Roman" w:hAnsi="Times New Roman" w:cs="Times New Roman"/>
          <w:i/>
          <w:lang w:val="fr-FR"/>
        </w:rPr>
        <w:t xml:space="preserve">Résultat 19 – </w:t>
      </w:r>
      <w:r w:rsidR="002C2464" w:rsidRPr="00403C55">
        <w:rPr>
          <w:rFonts w:ascii="Times New Roman" w:hAnsi="Times New Roman" w:cs="Times New Roman"/>
          <w:i/>
          <w:lang w:val="fr-FR"/>
        </w:rPr>
        <w:t>Les facteurs s</w:t>
      </w:r>
      <w:r w:rsidR="0034424B" w:rsidRPr="00403C55">
        <w:rPr>
          <w:rFonts w:ascii="Times New Roman" w:hAnsi="Times New Roman" w:cs="Times New Roman"/>
          <w:i/>
          <w:lang w:val="fr-FR"/>
        </w:rPr>
        <w:t>ocio-</w:t>
      </w:r>
      <w:r w:rsidR="002C2464" w:rsidRPr="00403C55">
        <w:rPr>
          <w:rFonts w:ascii="Times New Roman" w:hAnsi="Times New Roman" w:cs="Times New Roman"/>
          <w:i/>
          <w:lang w:val="fr-FR"/>
        </w:rPr>
        <w:t>é</w:t>
      </w:r>
      <w:r w:rsidR="0034424B" w:rsidRPr="00403C55">
        <w:rPr>
          <w:rFonts w:ascii="Times New Roman" w:hAnsi="Times New Roman" w:cs="Times New Roman"/>
          <w:i/>
          <w:lang w:val="fr-FR"/>
        </w:rPr>
        <w:t>conomi</w:t>
      </w:r>
      <w:r w:rsidR="002C2464" w:rsidRPr="00403C55">
        <w:rPr>
          <w:rFonts w:ascii="Times New Roman" w:hAnsi="Times New Roman" w:cs="Times New Roman"/>
          <w:i/>
          <w:lang w:val="fr-FR"/>
        </w:rPr>
        <w:t>ques</w:t>
      </w:r>
      <w:r w:rsidR="0034424B" w:rsidRPr="00403C55">
        <w:rPr>
          <w:rFonts w:ascii="Times New Roman" w:hAnsi="Times New Roman" w:cs="Times New Roman"/>
          <w:i/>
          <w:lang w:val="fr-FR"/>
        </w:rPr>
        <w:t xml:space="preserve"> </w:t>
      </w:r>
      <w:r w:rsidR="002C2464" w:rsidRPr="00403C55">
        <w:rPr>
          <w:rFonts w:ascii="Times New Roman" w:hAnsi="Times New Roman" w:cs="Times New Roman"/>
          <w:i/>
          <w:lang w:val="fr-FR"/>
        </w:rPr>
        <w:t xml:space="preserve">entraînant </w:t>
      </w:r>
      <w:r w:rsidR="00920052">
        <w:rPr>
          <w:rFonts w:ascii="Times New Roman" w:hAnsi="Times New Roman" w:cs="Times New Roman"/>
          <w:i/>
          <w:lang w:val="fr-FR"/>
        </w:rPr>
        <w:t>d</w:t>
      </w:r>
      <w:r w:rsidR="002C2464" w:rsidRPr="00403C55">
        <w:rPr>
          <w:rFonts w:ascii="Times New Roman" w:hAnsi="Times New Roman" w:cs="Times New Roman"/>
          <w:i/>
          <w:lang w:val="fr-FR"/>
        </w:rPr>
        <w:t>es changements d’utilisation des sols</w:t>
      </w:r>
      <w:r w:rsidR="0034424B" w:rsidRPr="00403C55">
        <w:rPr>
          <w:rFonts w:ascii="Times New Roman" w:hAnsi="Times New Roman" w:cs="Times New Roman"/>
          <w:i/>
          <w:lang w:val="fr-FR"/>
        </w:rPr>
        <w:t xml:space="preserve"> </w:t>
      </w:r>
      <w:r w:rsidR="002C2464" w:rsidRPr="00403C55">
        <w:rPr>
          <w:rFonts w:ascii="Times New Roman" w:hAnsi="Times New Roman" w:cs="Times New Roman"/>
          <w:i/>
          <w:lang w:val="fr-FR"/>
        </w:rPr>
        <w:t>sont examinés</w:t>
      </w:r>
      <w:r w:rsidR="0034424B" w:rsidRPr="00403C55">
        <w:rPr>
          <w:rFonts w:ascii="Times New Roman" w:hAnsi="Times New Roman" w:cs="Times New Roman"/>
          <w:i/>
          <w:lang w:val="fr-FR"/>
        </w:rPr>
        <w:t xml:space="preserve"> </w:t>
      </w:r>
      <w:r w:rsidR="002C2464" w:rsidRPr="00403C55">
        <w:rPr>
          <w:rFonts w:ascii="Times New Roman" w:hAnsi="Times New Roman" w:cs="Times New Roman"/>
          <w:i/>
          <w:lang w:val="fr-FR"/>
        </w:rPr>
        <w:t>et pris en main</w:t>
      </w:r>
      <w:r w:rsidR="0034424B" w:rsidRPr="00403C55">
        <w:rPr>
          <w:rFonts w:ascii="Times New Roman" w:hAnsi="Times New Roman" w:cs="Times New Roman"/>
          <w:i/>
          <w:lang w:val="fr-FR"/>
        </w:rPr>
        <w:t xml:space="preserve"> </w:t>
      </w:r>
      <w:r w:rsidR="002C2464" w:rsidRPr="00403C55">
        <w:rPr>
          <w:rFonts w:ascii="Times New Roman" w:hAnsi="Times New Roman" w:cs="Times New Roman"/>
          <w:i/>
          <w:lang w:val="fr-FR"/>
        </w:rPr>
        <w:t>en partenariat avec les communautés et les parties prenantes locales</w:t>
      </w:r>
      <w:r w:rsidR="0034424B" w:rsidRPr="00403C55">
        <w:rPr>
          <w:rFonts w:ascii="Times New Roman" w:hAnsi="Times New Roman" w:cs="Times New Roman"/>
          <w:i/>
          <w:lang w:val="fr-FR"/>
        </w:rPr>
        <w:t xml:space="preserve"> (priorit</w:t>
      </w:r>
      <w:r w:rsidR="002C2464" w:rsidRPr="00403C55">
        <w:rPr>
          <w:rFonts w:ascii="Times New Roman" w:hAnsi="Times New Roman" w:cs="Times New Roman"/>
          <w:i/>
          <w:lang w:val="fr-FR"/>
        </w:rPr>
        <w:t>é critique</w:t>
      </w:r>
      <w:r w:rsidR="0034424B" w:rsidRPr="00403C55">
        <w:rPr>
          <w:rFonts w:ascii="Times New Roman" w:hAnsi="Times New Roman" w:cs="Times New Roman"/>
          <w:i/>
          <w:lang w:val="fr-FR"/>
        </w:rPr>
        <w:t>)</w:t>
      </w:r>
    </w:p>
    <w:p w14:paraId="39073927" w14:textId="77777777" w:rsidR="00C8196A" w:rsidRPr="00403C55" w:rsidRDefault="00C8196A" w:rsidP="00DF3C0E">
      <w:pPr>
        <w:spacing w:after="0" w:line="240" w:lineRule="auto"/>
        <w:rPr>
          <w:rFonts w:ascii="Times New Roman" w:hAnsi="Times New Roman" w:cs="Times New Roman"/>
          <w:i/>
          <w:lang w:val="fr-FR"/>
        </w:rPr>
      </w:pPr>
    </w:p>
    <w:p w14:paraId="652858FE" w14:textId="13EDAD5F" w:rsidR="00C8196A" w:rsidRPr="00403C55" w:rsidRDefault="002C2464" w:rsidP="00C8196A">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 Syrie et la Turquie ont toutes les deux fait part d’une mise en œuvre partielle de cette activité.</w:t>
      </w:r>
      <w:r w:rsidR="00C8196A" w:rsidRPr="00403C55">
        <w:rPr>
          <w:rFonts w:ascii="Times New Roman" w:hAnsi="Times New Roman" w:cs="Times New Roman"/>
          <w:lang w:val="fr-FR"/>
        </w:rPr>
        <w:t xml:space="preserve"> </w:t>
      </w:r>
      <w:r w:rsidRPr="00403C55">
        <w:rPr>
          <w:rFonts w:ascii="Times New Roman" w:hAnsi="Times New Roman" w:cs="Times New Roman"/>
          <w:lang w:val="fr-FR"/>
        </w:rPr>
        <w:t>La Syrie a notamment indiqué que depuis la découverte de la colonie, tous les partenaires nationaux ont tent</w:t>
      </w:r>
      <w:r w:rsidR="00D96BF6" w:rsidRPr="00403C55">
        <w:rPr>
          <w:rFonts w:ascii="Times New Roman" w:hAnsi="Times New Roman" w:cs="Times New Roman"/>
          <w:lang w:val="fr-FR"/>
        </w:rPr>
        <w:t>é de</w:t>
      </w:r>
      <w:r w:rsidRPr="00403C55">
        <w:rPr>
          <w:rFonts w:ascii="Times New Roman" w:hAnsi="Times New Roman" w:cs="Times New Roman"/>
          <w:lang w:val="fr-FR"/>
        </w:rPr>
        <w:t xml:space="preserve"> convaincre les populations locales de réduire les utilisations des sols ayant des effets négatifs et de passer à des sources de revenus alternatives telles que l’écotourisme.</w:t>
      </w:r>
      <w:r w:rsidR="00C8196A" w:rsidRPr="00403C55">
        <w:rPr>
          <w:rFonts w:ascii="Times New Roman" w:hAnsi="Times New Roman" w:cs="Times New Roman"/>
          <w:lang w:val="fr-FR"/>
        </w:rPr>
        <w:t xml:space="preserve"> </w:t>
      </w:r>
      <w:r w:rsidRPr="00403C55">
        <w:rPr>
          <w:rFonts w:ascii="Times New Roman" w:hAnsi="Times New Roman" w:cs="Times New Roman"/>
          <w:lang w:val="fr-FR"/>
        </w:rPr>
        <w:t>La Turquie a indiqué que ce type d’études était mené par une ONG (Doga Dernegi).</w:t>
      </w:r>
      <w:r w:rsidR="00C8196A" w:rsidRPr="00403C55">
        <w:rPr>
          <w:rFonts w:ascii="Times New Roman" w:hAnsi="Times New Roman" w:cs="Times New Roman"/>
          <w:lang w:val="fr-FR"/>
        </w:rPr>
        <w:t xml:space="preserve"> </w:t>
      </w:r>
    </w:p>
    <w:p w14:paraId="4871FF9D" w14:textId="77777777" w:rsidR="00C8196A" w:rsidRPr="00403C55" w:rsidRDefault="00C8196A" w:rsidP="00C8196A">
      <w:pPr>
        <w:spacing w:after="0" w:line="240" w:lineRule="auto"/>
        <w:jc w:val="both"/>
        <w:rPr>
          <w:rFonts w:ascii="Times New Roman" w:hAnsi="Times New Roman" w:cs="Times New Roman"/>
          <w:lang w:val="fr-FR"/>
        </w:rPr>
      </w:pPr>
    </w:p>
    <w:p w14:paraId="5D9FDB26" w14:textId="70087BF2" w:rsidR="00C32BBF" w:rsidRPr="00403C55" w:rsidRDefault="002C2464"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C8196A" w:rsidRPr="00403C55">
        <w:rPr>
          <w:rFonts w:ascii="Times New Roman" w:hAnsi="Times New Roman" w:cs="Times New Roman"/>
          <w:b/>
          <w:lang w:val="fr-FR"/>
        </w:rPr>
        <w:t xml:space="preserve"> 0</w:t>
      </w:r>
      <w:r w:rsidRPr="00403C55">
        <w:rPr>
          <w:rFonts w:ascii="Times New Roman" w:hAnsi="Times New Roman" w:cs="Times New Roman"/>
          <w:b/>
          <w:lang w:val="fr-FR"/>
        </w:rPr>
        <w:t xml:space="preserve"> </w:t>
      </w:r>
      <w:r w:rsidR="00C8196A" w:rsidRPr="00403C55">
        <w:rPr>
          <w:rFonts w:ascii="Times New Roman" w:hAnsi="Times New Roman" w:cs="Times New Roman"/>
          <w:b/>
          <w:lang w:val="fr-FR"/>
        </w:rPr>
        <w:t>%</w:t>
      </w:r>
      <w:r w:rsidR="00985A4E">
        <w:rPr>
          <w:rFonts w:ascii="Times New Roman" w:hAnsi="Times New Roman" w:cs="Times New Roman"/>
          <w:b/>
          <w:lang w:val="fr-FR"/>
        </w:rPr>
        <w:t xml:space="preserve"> </w:t>
      </w:r>
    </w:p>
    <w:p w14:paraId="3A79618B" w14:textId="77777777" w:rsidR="00C32BBF" w:rsidRPr="00403C55" w:rsidRDefault="00C32BBF" w:rsidP="00DF3C0E">
      <w:pPr>
        <w:spacing w:after="0" w:line="240" w:lineRule="auto"/>
        <w:rPr>
          <w:rFonts w:ascii="Times New Roman" w:hAnsi="Times New Roman" w:cs="Times New Roman"/>
          <w:lang w:val="fr-FR"/>
        </w:rPr>
      </w:pPr>
    </w:p>
    <w:p w14:paraId="5AF7FCA0" w14:textId="0B2C8FBC" w:rsidR="00C32BBF"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5.20.</w:t>
      </w:r>
      <w:r w:rsidR="00C32BBF" w:rsidRPr="00403C55">
        <w:rPr>
          <w:rFonts w:ascii="Times New Roman" w:hAnsi="Times New Roman" w:cs="Times New Roman"/>
          <w:i/>
          <w:lang w:val="fr-FR"/>
        </w:rPr>
        <w:t xml:space="preserve"> </w:t>
      </w:r>
      <w:r w:rsidR="002C2464" w:rsidRPr="00403C55">
        <w:rPr>
          <w:rFonts w:ascii="Times New Roman" w:hAnsi="Times New Roman" w:cs="Times New Roman"/>
          <w:i/>
          <w:lang w:val="fr-FR"/>
        </w:rPr>
        <w:t>Résultat 20 – Les exigences en termes d’habitat, la disponibilité de nourriture et l’écologie alimentaire au sein de l’aire</w:t>
      </w:r>
      <w:r w:rsidR="0034743B" w:rsidRPr="00403C55">
        <w:rPr>
          <w:rFonts w:ascii="Times New Roman" w:hAnsi="Times New Roman" w:cs="Times New Roman"/>
          <w:i/>
          <w:lang w:val="fr-FR"/>
        </w:rPr>
        <w:t xml:space="preserve"> </w:t>
      </w:r>
      <w:r w:rsidR="002C2464" w:rsidRPr="00403C55">
        <w:rPr>
          <w:rFonts w:ascii="Times New Roman" w:hAnsi="Times New Roman" w:cs="Times New Roman"/>
          <w:i/>
          <w:lang w:val="fr-FR"/>
        </w:rPr>
        <w:t xml:space="preserve">de répartition actuelle et des sites pilotes de lâcher </w:t>
      </w:r>
      <w:r w:rsidR="00F13ED9" w:rsidRPr="00403C55">
        <w:rPr>
          <w:rFonts w:ascii="Times New Roman" w:hAnsi="Times New Roman" w:cs="Times New Roman"/>
          <w:i/>
          <w:lang w:val="fr-FR"/>
        </w:rPr>
        <w:t xml:space="preserve">font l’objet de </w:t>
      </w:r>
      <w:r w:rsidR="002C2464" w:rsidRPr="00403C55">
        <w:rPr>
          <w:rFonts w:ascii="Times New Roman" w:hAnsi="Times New Roman" w:cs="Times New Roman"/>
          <w:i/>
          <w:lang w:val="fr-FR"/>
        </w:rPr>
        <w:t xml:space="preserve">recherches et </w:t>
      </w:r>
      <w:r w:rsidR="00F13ED9" w:rsidRPr="00403C55">
        <w:rPr>
          <w:rFonts w:ascii="Times New Roman" w:hAnsi="Times New Roman" w:cs="Times New Roman"/>
          <w:i/>
          <w:lang w:val="fr-FR"/>
        </w:rPr>
        <w:t xml:space="preserve">sont </w:t>
      </w:r>
      <w:r w:rsidR="002C2464" w:rsidRPr="00403C55">
        <w:rPr>
          <w:rFonts w:ascii="Times New Roman" w:hAnsi="Times New Roman" w:cs="Times New Roman"/>
          <w:i/>
          <w:lang w:val="fr-FR"/>
        </w:rPr>
        <w:t>comparées (priorité élevée)</w:t>
      </w:r>
    </w:p>
    <w:p w14:paraId="78DB47E7" w14:textId="77777777" w:rsidR="00C32BBF" w:rsidRPr="00403C55" w:rsidRDefault="00C32BBF" w:rsidP="00DF3C0E">
      <w:pPr>
        <w:spacing w:after="0" w:line="240" w:lineRule="auto"/>
        <w:rPr>
          <w:rFonts w:ascii="Times New Roman" w:hAnsi="Times New Roman" w:cs="Times New Roman"/>
          <w:lang w:val="fr-FR"/>
        </w:rPr>
      </w:pPr>
    </w:p>
    <w:p w14:paraId="13794422" w14:textId="66ACC799" w:rsidR="00A82CAA" w:rsidRPr="00403C55" w:rsidRDefault="0034743B" w:rsidP="00DF3C0E">
      <w:pPr>
        <w:spacing w:after="0" w:line="240" w:lineRule="auto"/>
        <w:rPr>
          <w:rFonts w:ascii="Times New Roman" w:hAnsi="Times New Roman" w:cs="Times New Roman"/>
          <w:lang w:val="fr-FR"/>
        </w:rPr>
      </w:pPr>
      <w:r w:rsidRPr="00403C55">
        <w:rPr>
          <w:rFonts w:ascii="Times New Roman" w:hAnsi="Times New Roman" w:cs="Times New Roman"/>
          <w:lang w:val="fr-FR"/>
        </w:rPr>
        <w:t>La Syrie a indiqué que cette activité était mise en œuvre, tandis que le Maroc et la Turquie ont uniquement fait part d’une mise en œuvre partielle.</w:t>
      </w:r>
    </w:p>
    <w:p w14:paraId="297EB718" w14:textId="77777777" w:rsidR="00A82CAA" w:rsidRPr="00403C55" w:rsidRDefault="00A82CAA" w:rsidP="00DF3C0E">
      <w:pPr>
        <w:spacing w:after="0" w:line="240" w:lineRule="auto"/>
        <w:rPr>
          <w:rFonts w:ascii="Times New Roman" w:hAnsi="Times New Roman" w:cs="Times New Roman"/>
          <w:lang w:val="fr-FR"/>
        </w:rPr>
      </w:pPr>
    </w:p>
    <w:p w14:paraId="32B08F62" w14:textId="45C3CE7B" w:rsidR="00C32BBF" w:rsidRPr="00403C55" w:rsidRDefault="0034743B" w:rsidP="00C32BBF">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A82CAA" w:rsidRPr="00403C55">
        <w:rPr>
          <w:rFonts w:ascii="Times New Roman" w:hAnsi="Times New Roman" w:cs="Times New Roman"/>
          <w:b/>
          <w:lang w:val="fr-FR"/>
        </w:rPr>
        <w:t xml:space="preserve"> 33</w:t>
      </w:r>
      <w:r w:rsidRPr="00403C55">
        <w:rPr>
          <w:rFonts w:ascii="Times New Roman" w:hAnsi="Times New Roman" w:cs="Times New Roman"/>
          <w:b/>
          <w:lang w:val="fr-FR"/>
        </w:rPr>
        <w:t xml:space="preserve"> </w:t>
      </w:r>
      <w:r w:rsidR="00A82CAA" w:rsidRPr="00403C55">
        <w:rPr>
          <w:rFonts w:ascii="Times New Roman" w:hAnsi="Times New Roman" w:cs="Times New Roman"/>
          <w:b/>
          <w:lang w:val="fr-FR"/>
        </w:rPr>
        <w:t>%</w:t>
      </w:r>
      <w:r w:rsidR="00985A4E">
        <w:rPr>
          <w:rFonts w:ascii="Times New Roman" w:hAnsi="Times New Roman" w:cs="Times New Roman"/>
          <w:b/>
          <w:lang w:val="fr-FR"/>
        </w:rPr>
        <w:t xml:space="preserve"> </w:t>
      </w:r>
    </w:p>
    <w:p w14:paraId="3C9B73A7" w14:textId="77777777" w:rsidR="00C32BBF" w:rsidRPr="00403C55" w:rsidRDefault="00C32BBF" w:rsidP="00DF3C0E">
      <w:pPr>
        <w:spacing w:after="0" w:line="240" w:lineRule="auto"/>
        <w:rPr>
          <w:rFonts w:ascii="Times New Roman" w:hAnsi="Times New Roman" w:cs="Times New Roman"/>
          <w:lang w:val="fr-FR"/>
        </w:rPr>
      </w:pPr>
    </w:p>
    <w:p w14:paraId="0B7791E8" w14:textId="7BA67E62" w:rsidR="00C32BBF" w:rsidRPr="00403C55" w:rsidRDefault="00D629E5" w:rsidP="00DF3C0E">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5.21. </w:t>
      </w:r>
      <w:r w:rsidR="0034743B" w:rsidRPr="00403C55">
        <w:rPr>
          <w:rFonts w:ascii="Times New Roman" w:hAnsi="Times New Roman" w:cs="Times New Roman"/>
          <w:i/>
          <w:lang w:val="fr-FR"/>
        </w:rPr>
        <w:t>Résultat 21 – Les perturbations induites par des champs de tir militaire sont réduites (suggéré pour le Souss-Massa au Maroc) (faible priorité)</w:t>
      </w:r>
    </w:p>
    <w:p w14:paraId="7BA9E789" w14:textId="77777777" w:rsidR="00C32BBF" w:rsidRPr="00403C55" w:rsidRDefault="00C32BBF" w:rsidP="00DF3C0E">
      <w:pPr>
        <w:spacing w:after="0" w:line="240" w:lineRule="auto"/>
        <w:rPr>
          <w:rFonts w:ascii="Times New Roman" w:hAnsi="Times New Roman" w:cs="Times New Roman"/>
          <w:lang w:val="fr-FR"/>
        </w:rPr>
      </w:pPr>
    </w:p>
    <w:p w14:paraId="500B3B69" w14:textId="0F4FDB7D" w:rsidR="00C32BBF" w:rsidRPr="00403C55" w:rsidRDefault="0034743B" w:rsidP="00A82CAA">
      <w:pPr>
        <w:spacing w:after="0" w:line="240" w:lineRule="auto"/>
        <w:jc w:val="both"/>
        <w:rPr>
          <w:rFonts w:ascii="Times New Roman" w:hAnsi="Times New Roman" w:cs="Times New Roman"/>
          <w:lang w:val="fr-FR"/>
        </w:rPr>
      </w:pPr>
      <w:r w:rsidRPr="00403C55">
        <w:rPr>
          <w:rFonts w:ascii="Times New Roman" w:hAnsi="Times New Roman" w:cs="Times New Roman"/>
          <w:lang w:val="fr-FR"/>
        </w:rPr>
        <w:t>Cette activité s’applique uniquement au Maroc, qui a fait savoir que le champs de tir n’était plus considéré comme une cause de perturbations pour les oiseaux.</w:t>
      </w:r>
    </w:p>
    <w:p w14:paraId="5A9D2E85" w14:textId="77777777" w:rsidR="00C32BBF" w:rsidRPr="00403C55" w:rsidRDefault="00C32BBF" w:rsidP="00DF3C0E">
      <w:pPr>
        <w:spacing w:after="0" w:line="240" w:lineRule="auto"/>
        <w:rPr>
          <w:rFonts w:ascii="Times New Roman" w:hAnsi="Times New Roman" w:cs="Times New Roman"/>
          <w:lang w:val="fr-FR"/>
        </w:rPr>
      </w:pPr>
    </w:p>
    <w:p w14:paraId="4E6F9E5F" w14:textId="7F2A60D0" w:rsidR="00C32BBF" w:rsidRPr="00403C55" w:rsidRDefault="0034743B" w:rsidP="00DF3C0E">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C32BBF" w:rsidRPr="00403C55">
        <w:rPr>
          <w:rFonts w:ascii="Times New Roman" w:hAnsi="Times New Roman" w:cs="Times New Roman"/>
          <w:b/>
          <w:lang w:val="fr-FR"/>
        </w:rPr>
        <w:t xml:space="preserve"> </w:t>
      </w:r>
      <w:r w:rsidR="008E334F" w:rsidRPr="00403C55">
        <w:rPr>
          <w:rFonts w:ascii="Times New Roman" w:hAnsi="Times New Roman" w:cs="Times New Roman"/>
          <w:b/>
          <w:lang w:val="fr-FR"/>
        </w:rPr>
        <w:t>100</w:t>
      </w:r>
      <w:r w:rsidRPr="00403C55">
        <w:rPr>
          <w:rFonts w:ascii="Times New Roman" w:hAnsi="Times New Roman" w:cs="Times New Roman"/>
          <w:b/>
          <w:lang w:val="fr-FR"/>
        </w:rPr>
        <w:t xml:space="preserve"> </w:t>
      </w:r>
      <w:r w:rsidR="008E334F" w:rsidRPr="00403C55">
        <w:rPr>
          <w:rFonts w:ascii="Times New Roman" w:hAnsi="Times New Roman" w:cs="Times New Roman"/>
          <w:b/>
          <w:lang w:val="fr-FR"/>
        </w:rPr>
        <w:t>%</w:t>
      </w:r>
      <w:r w:rsidR="00C32BBF" w:rsidRPr="00403C55">
        <w:rPr>
          <w:rFonts w:ascii="Times New Roman" w:hAnsi="Times New Roman" w:cs="Times New Roman"/>
          <w:b/>
          <w:lang w:val="fr-FR"/>
        </w:rPr>
        <w:t xml:space="preserve"> </w:t>
      </w:r>
    </w:p>
    <w:p w14:paraId="3F560D8C" w14:textId="77777777" w:rsidR="00E527D8" w:rsidRPr="00403C55" w:rsidRDefault="00E527D8" w:rsidP="00DF3C0E">
      <w:pPr>
        <w:spacing w:after="0" w:line="240" w:lineRule="auto"/>
        <w:rPr>
          <w:rFonts w:ascii="Times New Roman" w:hAnsi="Times New Roman" w:cs="Times New Roman"/>
          <w:b/>
          <w:lang w:val="fr-FR"/>
        </w:rPr>
      </w:pPr>
    </w:p>
    <w:p w14:paraId="04B56215" w14:textId="77777777" w:rsidR="00C32BBF" w:rsidRPr="00403C55" w:rsidRDefault="00C32BBF" w:rsidP="00DF3C0E">
      <w:pPr>
        <w:spacing w:after="0" w:line="240" w:lineRule="auto"/>
        <w:rPr>
          <w:rFonts w:ascii="Times New Roman" w:hAnsi="Times New Roman" w:cs="Times New Roman"/>
          <w:lang w:val="fr-FR"/>
        </w:rPr>
      </w:pPr>
    </w:p>
    <w:p w14:paraId="2E94D94D" w14:textId="13D9818E" w:rsidR="00DF3C0E" w:rsidRPr="00403C55" w:rsidRDefault="00D629E5" w:rsidP="00D629E5">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6.</w:t>
      </w:r>
      <w:r w:rsidR="00C32BBF" w:rsidRPr="00403C55">
        <w:rPr>
          <w:rFonts w:ascii="Times New Roman" w:hAnsi="Times New Roman" w:cs="Times New Roman"/>
          <w:i/>
          <w:lang w:val="fr-FR"/>
        </w:rPr>
        <w:t xml:space="preserve"> </w:t>
      </w:r>
      <w:r w:rsidR="0034743B" w:rsidRPr="00403C55">
        <w:rPr>
          <w:rFonts w:ascii="Times New Roman" w:hAnsi="Times New Roman" w:cs="Times New Roman"/>
          <w:i/>
          <w:lang w:val="fr-FR"/>
        </w:rPr>
        <w:t xml:space="preserve">Principales actions </w:t>
      </w:r>
      <w:r w:rsidR="00D96BF6" w:rsidRPr="00403C55">
        <w:rPr>
          <w:rFonts w:ascii="Times New Roman" w:hAnsi="Times New Roman" w:cs="Times New Roman"/>
          <w:i/>
          <w:lang w:val="fr-FR"/>
        </w:rPr>
        <w:t>favorisant</w:t>
      </w:r>
      <w:r w:rsidR="0034743B" w:rsidRPr="00403C55">
        <w:rPr>
          <w:rFonts w:ascii="Times New Roman" w:hAnsi="Times New Roman" w:cs="Times New Roman"/>
          <w:i/>
          <w:lang w:val="fr-FR"/>
        </w:rPr>
        <w:t xml:space="preserve"> la mise en œuvre </w:t>
      </w:r>
      <w:r w:rsidR="00552518">
        <w:rPr>
          <w:rFonts w:ascii="Times New Roman" w:hAnsi="Times New Roman" w:cs="Times New Roman"/>
          <w:i/>
          <w:lang w:val="fr-FR"/>
        </w:rPr>
        <w:t>et principaux obstacles l’entravant</w:t>
      </w:r>
    </w:p>
    <w:p w14:paraId="1F6123C2" w14:textId="77777777" w:rsidR="00DF3C0E" w:rsidRPr="00403C55" w:rsidRDefault="00DF3C0E" w:rsidP="00DF3C0E">
      <w:pPr>
        <w:spacing w:after="0" w:line="240" w:lineRule="auto"/>
        <w:rPr>
          <w:rFonts w:ascii="Times New Roman" w:hAnsi="Times New Roman" w:cs="Times New Roman"/>
          <w:lang w:val="fr-FR"/>
        </w:rPr>
      </w:pPr>
    </w:p>
    <w:p w14:paraId="6CA59993" w14:textId="0A4FA9BE" w:rsidR="00DF3C0E" w:rsidRPr="00403C55" w:rsidRDefault="0034743B" w:rsidP="00DF3C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Il a également été demandé 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de nommer les trois premières activités </w:t>
      </w:r>
      <w:r w:rsidR="00F13ED9" w:rsidRPr="00403C55">
        <w:rPr>
          <w:rFonts w:ascii="Times New Roman" w:hAnsi="Times New Roman" w:cs="Times New Roman"/>
          <w:lang w:val="fr-FR"/>
        </w:rPr>
        <w:t>favorisant</w:t>
      </w:r>
      <w:r w:rsidRPr="00403C55">
        <w:rPr>
          <w:rFonts w:ascii="Times New Roman" w:hAnsi="Times New Roman" w:cs="Times New Roman"/>
          <w:lang w:val="fr-FR"/>
        </w:rPr>
        <w:t xml:space="preserve"> la mise en œuvre efficace du plan </w:t>
      </w:r>
      <w:r w:rsidR="0003562F">
        <w:rPr>
          <w:rFonts w:ascii="Times New Roman" w:hAnsi="Times New Roman" w:cs="Times New Roman"/>
          <w:lang w:val="fr-FR"/>
        </w:rPr>
        <w:t>d’action</w:t>
      </w:r>
      <w:r w:rsidRPr="00403C55">
        <w:rPr>
          <w:rFonts w:ascii="Times New Roman" w:hAnsi="Times New Roman" w:cs="Times New Roman"/>
          <w:lang w:val="fr-FR"/>
        </w:rPr>
        <w:t>, ou l’entravant.</w:t>
      </w:r>
      <w:r w:rsidR="00DF3C0E" w:rsidRPr="00403C55">
        <w:rPr>
          <w:rFonts w:ascii="Times New Roman" w:hAnsi="Times New Roman" w:cs="Times New Roman"/>
          <w:lang w:val="fr-FR"/>
        </w:rPr>
        <w:t xml:space="preserve"> </w:t>
      </w:r>
      <w:r w:rsidRPr="00403C55">
        <w:rPr>
          <w:rFonts w:ascii="Times New Roman" w:hAnsi="Times New Roman" w:cs="Times New Roman"/>
          <w:lang w:val="fr-FR"/>
        </w:rPr>
        <w:t>Celles-ci sont résumées dans les tableaux ci-dessous.</w:t>
      </w:r>
    </w:p>
    <w:p w14:paraId="28017CE9" w14:textId="77777777" w:rsidR="00DF3C0E" w:rsidRPr="00403C55" w:rsidRDefault="00DF3C0E" w:rsidP="00DF3C0E">
      <w:pPr>
        <w:spacing w:after="0" w:line="240" w:lineRule="auto"/>
        <w:rPr>
          <w:rFonts w:ascii="Times New Roman" w:hAnsi="Times New Roman" w:cs="Times New Roman"/>
          <w:lang w:val="fr-FR"/>
        </w:rPr>
      </w:pPr>
    </w:p>
    <w:p w14:paraId="5C21CEAF" w14:textId="77777777" w:rsidR="00DF3C0E" w:rsidRPr="00403C55" w:rsidRDefault="00DF3C0E" w:rsidP="00DF3C0E">
      <w:pPr>
        <w:spacing w:after="0" w:line="240" w:lineRule="auto"/>
        <w:rPr>
          <w:rFonts w:ascii="Arial" w:hAnsi="Arial" w:cs="Arial"/>
          <w:sz w:val="20"/>
          <w:szCs w:val="20"/>
          <w:lang w:val="fr-FR"/>
        </w:rPr>
      </w:pPr>
      <w:r w:rsidRPr="00403C55">
        <w:rPr>
          <w:noProof/>
          <w:lang w:val="en-US"/>
        </w:rPr>
        <w:lastRenderedPageBreak/>
        <w:drawing>
          <wp:inline distT="0" distB="0" distL="0" distR="0" wp14:anchorId="72ABAA83" wp14:editId="5D6DB545">
            <wp:extent cx="4810125" cy="30575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576283" w14:textId="77777777" w:rsidR="003D19CA" w:rsidRPr="00403C55" w:rsidRDefault="003D19CA" w:rsidP="00DF3C0E">
      <w:pPr>
        <w:spacing w:after="0" w:line="240" w:lineRule="auto"/>
        <w:rPr>
          <w:rFonts w:ascii="Arial" w:hAnsi="Arial" w:cs="Arial"/>
          <w:sz w:val="20"/>
          <w:szCs w:val="20"/>
          <w:lang w:val="fr-FR"/>
        </w:rPr>
      </w:pPr>
    </w:p>
    <w:p w14:paraId="05FF99D2" w14:textId="77777777" w:rsidR="003C5766" w:rsidRPr="00403C55" w:rsidRDefault="003C5766" w:rsidP="00DF3C0E">
      <w:pPr>
        <w:spacing w:after="0" w:line="240" w:lineRule="auto"/>
        <w:rPr>
          <w:rFonts w:ascii="Arial" w:hAnsi="Arial" w:cs="Arial"/>
          <w:sz w:val="20"/>
          <w:szCs w:val="20"/>
          <w:lang w:val="fr-FR"/>
        </w:rPr>
      </w:pPr>
    </w:p>
    <w:p w14:paraId="39BCBED1" w14:textId="2941FA28"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Établissement de programmes de reproduction</w:t>
      </w:r>
    </w:p>
    <w:p w14:paraId="6326AB1E" w14:textId="01999760"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Initiatives locales</w:t>
      </w:r>
    </w:p>
    <w:p w14:paraId="5D7F8EE4" w14:textId="35AB8954"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Protection adéquate des sites d’hivernage clés</w:t>
      </w:r>
    </w:p>
    <w:p w14:paraId="51A4ADC7" w14:textId="7865D050"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Mise en œuvre de programmes de conservation/SSAP nationaux</w:t>
      </w:r>
    </w:p>
    <w:p w14:paraId="4C5BCA1E" w14:textId="0BCBD4C8"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Accroissement de la sensibilisation du public</w:t>
      </w:r>
    </w:p>
    <w:p w14:paraId="74F59115" w14:textId="30515164"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Coordination/coopération améliorées</w:t>
      </w:r>
    </w:p>
    <w:p w14:paraId="4536DCDB" w14:textId="77777777" w:rsidR="00DF3C0E" w:rsidRPr="00403C55" w:rsidRDefault="00DF3C0E" w:rsidP="00DF3C0E">
      <w:pPr>
        <w:spacing w:after="0" w:line="240" w:lineRule="auto"/>
        <w:rPr>
          <w:rFonts w:ascii="Arial" w:hAnsi="Arial" w:cs="Arial"/>
          <w:i/>
          <w:sz w:val="20"/>
          <w:szCs w:val="20"/>
          <w:lang w:val="fr-FR"/>
        </w:rPr>
      </w:pPr>
    </w:p>
    <w:p w14:paraId="64C3A927" w14:textId="77777777" w:rsidR="00DF3C0E" w:rsidRPr="00403C55" w:rsidRDefault="00DF3C0E" w:rsidP="00DF3C0E">
      <w:pPr>
        <w:spacing w:after="0" w:line="240" w:lineRule="auto"/>
        <w:rPr>
          <w:rFonts w:ascii="Arial" w:hAnsi="Arial" w:cs="Arial"/>
          <w:sz w:val="20"/>
          <w:szCs w:val="20"/>
          <w:lang w:val="fr-FR"/>
        </w:rPr>
      </w:pPr>
      <w:r w:rsidRPr="00403C55">
        <w:rPr>
          <w:noProof/>
          <w:lang w:val="en-US"/>
        </w:rPr>
        <w:drawing>
          <wp:inline distT="0" distB="0" distL="0" distR="0" wp14:anchorId="673C4B41" wp14:editId="1D478A7A">
            <wp:extent cx="4829175" cy="229552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3D3714" w14:textId="77777777" w:rsidR="00DF3C0E" w:rsidRPr="00403C55" w:rsidRDefault="00DF3C0E" w:rsidP="00DF3C0E">
      <w:pPr>
        <w:spacing w:after="0" w:line="240" w:lineRule="auto"/>
        <w:rPr>
          <w:rFonts w:ascii="Arial" w:hAnsi="Arial" w:cs="Arial"/>
          <w:sz w:val="20"/>
          <w:szCs w:val="20"/>
          <w:lang w:val="fr-FR"/>
        </w:rPr>
      </w:pPr>
    </w:p>
    <w:p w14:paraId="26BE74A4" w14:textId="77777777" w:rsidR="003C5766" w:rsidRPr="00403C55" w:rsidRDefault="003C5766" w:rsidP="00DF3C0E">
      <w:pPr>
        <w:spacing w:after="0" w:line="240" w:lineRule="auto"/>
        <w:rPr>
          <w:rFonts w:ascii="Arial" w:hAnsi="Arial" w:cs="Arial"/>
          <w:sz w:val="20"/>
          <w:szCs w:val="20"/>
          <w:lang w:val="fr-FR"/>
        </w:rPr>
      </w:pPr>
    </w:p>
    <w:p w14:paraId="15B7EE16" w14:textId="08E646F3"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Manque de capacité financière</w:t>
      </w:r>
    </w:p>
    <w:p w14:paraId="200F6018" w14:textId="27A60D11"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Manque d’intérêt/de motivation</w:t>
      </w:r>
    </w:p>
    <w:p w14:paraId="679DB142" w14:textId="6E131FC3"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Manque de capacité technique</w:t>
      </w:r>
    </w:p>
    <w:p w14:paraId="205EC0B2" w14:textId="690F4BC2" w:rsidR="003C5766" w:rsidRPr="00403C55" w:rsidRDefault="003C5766" w:rsidP="00DF3C0E">
      <w:pPr>
        <w:spacing w:after="0" w:line="240" w:lineRule="auto"/>
        <w:rPr>
          <w:rFonts w:ascii="Arial" w:hAnsi="Arial" w:cs="Arial"/>
          <w:sz w:val="20"/>
          <w:szCs w:val="20"/>
          <w:lang w:val="fr-FR"/>
        </w:rPr>
      </w:pPr>
      <w:r w:rsidRPr="00403C55">
        <w:rPr>
          <w:rFonts w:ascii="Arial" w:hAnsi="Arial" w:cs="Arial"/>
          <w:sz w:val="20"/>
          <w:szCs w:val="20"/>
          <w:lang w:val="fr-FR"/>
        </w:rPr>
        <w:t>Agitation civile</w:t>
      </w:r>
    </w:p>
    <w:p w14:paraId="6EB67765" w14:textId="77777777" w:rsidR="003C5766" w:rsidRPr="00403C55" w:rsidRDefault="003C5766" w:rsidP="00DF3C0E">
      <w:pPr>
        <w:spacing w:after="0" w:line="240" w:lineRule="auto"/>
        <w:rPr>
          <w:rFonts w:ascii="Arial" w:hAnsi="Arial" w:cs="Arial"/>
          <w:sz w:val="20"/>
          <w:szCs w:val="20"/>
          <w:lang w:val="fr-FR"/>
        </w:rPr>
      </w:pPr>
    </w:p>
    <w:p w14:paraId="3AFF20A6" w14:textId="59C7C956" w:rsidR="00DF3C0E" w:rsidRPr="00403C55" w:rsidRDefault="00D629E5" w:rsidP="00D629E5">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7</w:t>
      </w:r>
      <w:r w:rsidR="00C32BBF" w:rsidRPr="00403C55">
        <w:rPr>
          <w:rFonts w:ascii="Times New Roman" w:hAnsi="Times New Roman" w:cs="Times New Roman"/>
          <w:i/>
          <w:lang w:val="fr-FR"/>
        </w:rPr>
        <w:t xml:space="preserve">. </w:t>
      </w:r>
      <w:r w:rsidR="0034743B" w:rsidRPr="00403C55">
        <w:rPr>
          <w:rFonts w:ascii="Times New Roman" w:hAnsi="Times New Roman" w:cs="Times New Roman"/>
          <w:i/>
          <w:lang w:val="fr-FR"/>
        </w:rPr>
        <w:t>Conclusions</w:t>
      </w:r>
    </w:p>
    <w:p w14:paraId="6894556C" w14:textId="77777777" w:rsidR="00DF3C0E" w:rsidRPr="00403C55" w:rsidRDefault="00DF3C0E" w:rsidP="00DF3C0E">
      <w:pPr>
        <w:spacing w:after="0" w:line="240" w:lineRule="auto"/>
        <w:rPr>
          <w:rFonts w:ascii="Times New Roman" w:hAnsi="Times New Roman" w:cs="Times New Roman"/>
          <w:i/>
          <w:lang w:val="fr-FR"/>
        </w:rPr>
      </w:pPr>
    </w:p>
    <w:p w14:paraId="1A73F022" w14:textId="22D97771" w:rsidR="00D24C98" w:rsidRPr="00403C55" w:rsidRDefault="0034743B" w:rsidP="00DF3C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Dix ans après l’adoption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pour la conservation de l’Ibis chauve, on peut conclure que </w:t>
      </w:r>
      <w:r w:rsidR="00552518">
        <w:rPr>
          <w:rFonts w:ascii="Times New Roman" w:hAnsi="Times New Roman" w:cs="Times New Roman"/>
          <w:lang w:val="fr-FR"/>
        </w:rPr>
        <w:t>dans l’ensemble, des</w:t>
      </w:r>
      <w:r w:rsidRPr="00403C55">
        <w:rPr>
          <w:rFonts w:ascii="Times New Roman" w:hAnsi="Times New Roman" w:cs="Times New Roman"/>
          <w:lang w:val="fr-FR"/>
        </w:rPr>
        <w:t xml:space="preserve"> progrès </w:t>
      </w:r>
      <w:r w:rsidR="00552518">
        <w:rPr>
          <w:rFonts w:ascii="Times New Roman" w:hAnsi="Times New Roman" w:cs="Times New Roman"/>
          <w:lang w:val="fr-FR"/>
        </w:rPr>
        <w:t>très satisfaisants</w:t>
      </w:r>
      <w:r w:rsidR="00F13ED9" w:rsidRPr="00403C55">
        <w:rPr>
          <w:rFonts w:ascii="Times New Roman" w:hAnsi="Times New Roman" w:cs="Times New Roman"/>
          <w:lang w:val="fr-FR"/>
        </w:rPr>
        <w:t xml:space="preserve"> </w:t>
      </w:r>
      <w:r w:rsidRPr="00403C55">
        <w:rPr>
          <w:rFonts w:ascii="Times New Roman" w:hAnsi="Times New Roman" w:cs="Times New Roman"/>
          <w:lang w:val="fr-FR"/>
        </w:rPr>
        <w:t xml:space="preserve">ont été réalisés au niveau de sa mise en œuvre dans les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w:t>
      </w:r>
      <w:r w:rsidR="0051732A" w:rsidRPr="00403C55">
        <w:rPr>
          <w:rFonts w:ascii="Times New Roman" w:hAnsi="Times New Roman" w:cs="Times New Roman"/>
          <w:lang w:val="fr-FR"/>
        </w:rPr>
        <w:t xml:space="preserve"> </w:t>
      </w:r>
      <w:r w:rsidRPr="00403C55">
        <w:rPr>
          <w:rFonts w:ascii="Times New Roman" w:hAnsi="Times New Roman" w:cs="Times New Roman"/>
          <w:lang w:val="fr-FR"/>
        </w:rPr>
        <w:t xml:space="preserve">Seul un État de l'aire de répartition </w:t>
      </w:r>
      <w:r w:rsidR="00F13ED9" w:rsidRPr="00403C55">
        <w:rPr>
          <w:rFonts w:ascii="Times New Roman" w:hAnsi="Times New Roman" w:cs="Times New Roman"/>
          <w:lang w:val="fr-FR"/>
        </w:rPr>
        <w:t>–</w:t>
      </w:r>
      <w:r w:rsidRPr="00403C55">
        <w:rPr>
          <w:rFonts w:ascii="Times New Roman" w:hAnsi="Times New Roman" w:cs="Times New Roman"/>
          <w:lang w:val="fr-FR"/>
        </w:rPr>
        <w:t xml:space="preserve"> </w:t>
      </w:r>
      <w:r w:rsidR="00F13ED9" w:rsidRPr="00403C55">
        <w:rPr>
          <w:rFonts w:ascii="Times New Roman" w:hAnsi="Times New Roman" w:cs="Times New Roman"/>
          <w:lang w:val="fr-FR"/>
        </w:rPr>
        <w:t xml:space="preserve">la </w:t>
      </w:r>
      <w:r w:rsidRPr="00403C55">
        <w:rPr>
          <w:rFonts w:ascii="Times New Roman" w:hAnsi="Times New Roman" w:cs="Times New Roman"/>
          <w:lang w:val="fr-FR"/>
        </w:rPr>
        <w:t>Syrie – a indiqué que la tendance à court et à long terme de l’espèce était déclinante, le Maroc indiquant pour sa part une tendance à long terme en augmentation.</w:t>
      </w:r>
    </w:p>
    <w:p w14:paraId="6C694733" w14:textId="77777777" w:rsidR="00D24C98" w:rsidRPr="00403C55" w:rsidRDefault="00D24C98" w:rsidP="00DF3C0E">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723"/>
      </w:tblGrid>
      <w:tr w:rsidR="00D24C98" w:rsidRPr="00DE4CF4" w14:paraId="32BC1099" w14:textId="77777777" w:rsidTr="00D96BF6">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73892B" w14:textId="77777777" w:rsidR="00D24C98" w:rsidRPr="00403C55" w:rsidRDefault="00D24C98" w:rsidP="00A01A49">
            <w:pPr>
              <w:jc w:val="center"/>
              <w:rPr>
                <w:rFonts w:ascii="Times New Roman" w:hAnsi="Times New Roman" w:cs="Times New Roman"/>
                <w:lang w:val="fr-FR"/>
              </w:rPr>
            </w:pPr>
          </w:p>
          <w:p w14:paraId="7C622330" w14:textId="542C8DA1" w:rsidR="00D24C98" w:rsidRPr="00403C55" w:rsidRDefault="0034743B" w:rsidP="00A01A49">
            <w:pPr>
              <w:jc w:val="center"/>
              <w:rPr>
                <w:rFonts w:ascii="Times New Roman" w:hAnsi="Times New Roman" w:cs="Times New Roman"/>
                <w:b/>
                <w:lang w:val="fr-FR"/>
              </w:rPr>
            </w:pPr>
            <w:r w:rsidRPr="00403C55">
              <w:rPr>
                <w:rFonts w:ascii="Times New Roman" w:hAnsi="Times New Roman" w:cs="Times New Roman"/>
                <w:b/>
                <w:lang w:val="fr-FR"/>
              </w:rPr>
              <w:t xml:space="preserve">Taux </w:t>
            </w:r>
            <w:r w:rsidR="006923C3" w:rsidRPr="00403C55">
              <w:rPr>
                <w:rFonts w:ascii="Times New Roman" w:hAnsi="Times New Roman" w:cs="Times New Roman"/>
                <w:b/>
                <w:lang w:val="fr-FR"/>
              </w:rPr>
              <w:t>général moyen de mise en œuvre pour</w:t>
            </w:r>
            <w:r w:rsidRPr="00403C55">
              <w:rPr>
                <w:rFonts w:ascii="Times New Roman" w:hAnsi="Times New Roman" w:cs="Times New Roman"/>
                <w:b/>
                <w:lang w:val="fr-FR"/>
              </w:rPr>
              <w:t xml:space="preserve"> 20 r</w:t>
            </w:r>
            <w:r w:rsidR="006923C3" w:rsidRPr="00403C55">
              <w:rPr>
                <w:rFonts w:ascii="Times New Roman" w:hAnsi="Times New Roman" w:cs="Times New Roman"/>
                <w:b/>
                <w:lang w:val="fr-FR"/>
              </w:rPr>
              <w:t>é</w:t>
            </w:r>
            <w:r w:rsidRPr="00403C55">
              <w:rPr>
                <w:rFonts w:ascii="Times New Roman" w:hAnsi="Times New Roman" w:cs="Times New Roman"/>
                <w:b/>
                <w:lang w:val="fr-FR"/>
              </w:rPr>
              <w:t>sult</w:t>
            </w:r>
            <w:r w:rsidR="006923C3" w:rsidRPr="00403C55">
              <w:rPr>
                <w:rFonts w:ascii="Times New Roman" w:hAnsi="Times New Roman" w:cs="Times New Roman"/>
                <w:b/>
                <w:lang w:val="fr-FR"/>
              </w:rPr>
              <w:t>at</w:t>
            </w:r>
            <w:r w:rsidRPr="00403C55">
              <w:rPr>
                <w:rFonts w:ascii="Times New Roman" w:hAnsi="Times New Roman" w:cs="Times New Roman"/>
                <w:b/>
                <w:lang w:val="fr-FR"/>
              </w:rPr>
              <w:t>s*</w:t>
            </w:r>
            <w:r w:rsidR="006923C3" w:rsidRPr="00403C55">
              <w:rPr>
                <w:rFonts w:ascii="Times New Roman" w:hAnsi="Times New Roman" w:cs="Times New Roman"/>
                <w:b/>
                <w:lang w:val="fr-FR"/>
              </w:rPr>
              <w:t xml:space="preserve"> </w:t>
            </w:r>
            <w:r w:rsidRPr="00403C55">
              <w:rPr>
                <w:rFonts w:ascii="Times New Roman" w:hAnsi="Times New Roman" w:cs="Times New Roman"/>
                <w:b/>
                <w:lang w:val="fr-FR"/>
              </w:rPr>
              <w:t>:</w:t>
            </w:r>
            <w:r w:rsidR="00D24C98" w:rsidRPr="00403C55">
              <w:rPr>
                <w:rFonts w:ascii="Times New Roman" w:hAnsi="Times New Roman" w:cs="Times New Roman"/>
                <w:b/>
                <w:lang w:val="fr-FR"/>
              </w:rPr>
              <w:t xml:space="preserve"> </w:t>
            </w:r>
            <w:r w:rsidR="00D24C98" w:rsidRPr="00403C55">
              <w:rPr>
                <w:rFonts w:ascii="Times New Roman" w:hAnsi="Times New Roman" w:cs="Times New Roman"/>
                <w:b/>
                <w:color w:val="FF0000"/>
                <w:lang w:val="fr-FR"/>
              </w:rPr>
              <w:t>66</w:t>
            </w:r>
            <w:r w:rsidR="006923C3" w:rsidRPr="00403C55">
              <w:rPr>
                <w:rFonts w:ascii="Times New Roman" w:hAnsi="Times New Roman" w:cs="Times New Roman"/>
                <w:b/>
                <w:color w:val="FF0000"/>
                <w:lang w:val="fr-FR"/>
              </w:rPr>
              <w:t xml:space="preserve"> </w:t>
            </w:r>
            <w:r w:rsidR="00D24C98" w:rsidRPr="00403C55">
              <w:rPr>
                <w:rFonts w:ascii="Times New Roman" w:hAnsi="Times New Roman" w:cs="Times New Roman"/>
                <w:b/>
                <w:color w:val="FF0000"/>
                <w:lang w:val="fr-FR"/>
              </w:rPr>
              <w:t>%</w:t>
            </w:r>
          </w:p>
          <w:p w14:paraId="5BECF035" w14:textId="205FFF1B" w:rsidR="00D24C98" w:rsidRPr="00403C55" w:rsidRDefault="006923C3" w:rsidP="00A01A49">
            <w:pPr>
              <w:jc w:val="center"/>
              <w:rPr>
                <w:rFonts w:ascii="Times New Roman" w:hAnsi="Times New Roman" w:cs="Times New Roman"/>
                <w:b/>
                <w:lang w:val="fr-FR"/>
              </w:rPr>
            </w:pPr>
            <w:r w:rsidRPr="00403C55">
              <w:rPr>
                <w:rFonts w:ascii="Times New Roman" w:hAnsi="Times New Roman" w:cs="Times New Roman"/>
                <w:b/>
                <w:lang w:val="fr-FR"/>
              </w:rPr>
              <w:t>Taux moyen de mise en œuvre pour les résultats ayant une priorité critique et élevée (12)* :</w:t>
            </w:r>
            <w:r w:rsidR="00985A4E">
              <w:rPr>
                <w:rFonts w:ascii="Times New Roman" w:hAnsi="Times New Roman" w:cs="Times New Roman"/>
                <w:b/>
                <w:lang w:val="fr-FR"/>
              </w:rPr>
              <w:t xml:space="preserve"> </w:t>
            </w:r>
            <w:r w:rsidR="00D24C98" w:rsidRPr="00403C55">
              <w:rPr>
                <w:rFonts w:ascii="Times New Roman" w:hAnsi="Times New Roman" w:cs="Times New Roman"/>
                <w:b/>
                <w:color w:val="FF0000"/>
                <w:lang w:val="fr-FR"/>
              </w:rPr>
              <w:t>69</w:t>
            </w:r>
            <w:r w:rsidRPr="00403C55">
              <w:rPr>
                <w:rFonts w:ascii="Times New Roman" w:hAnsi="Times New Roman" w:cs="Times New Roman"/>
                <w:b/>
                <w:color w:val="FF0000"/>
                <w:lang w:val="fr-FR"/>
              </w:rPr>
              <w:t xml:space="preserve"> </w:t>
            </w:r>
            <w:r w:rsidR="00D24C98" w:rsidRPr="00403C55">
              <w:rPr>
                <w:rFonts w:ascii="Times New Roman" w:hAnsi="Times New Roman" w:cs="Times New Roman"/>
                <w:b/>
                <w:color w:val="FF0000"/>
                <w:lang w:val="fr-FR"/>
              </w:rPr>
              <w:t>%</w:t>
            </w:r>
          </w:p>
          <w:p w14:paraId="393AA92D" w14:textId="77777777" w:rsidR="00D24C98" w:rsidRPr="00403C55" w:rsidRDefault="00D24C98" w:rsidP="00A01A49">
            <w:pPr>
              <w:jc w:val="both"/>
              <w:rPr>
                <w:rFonts w:ascii="Times New Roman" w:hAnsi="Times New Roman" w:cs="Times New Roman"/>
                <w:lang w:val="fr-FR"/>
              </w:rPr>
            </w:pPr>
          </w:p>
          <w:p w14:paraId="2BC80031" w14:textId="7973D2B1" w:rsidR="00444D8B" w:rsidRPr="00403C55" w:rsidRDefault="006923C3" w:rsidP="003F50F9">
            <w:pPr>
              <w:rPr>
                <w:rFonts w:ascii="Times New Roman" w:hAnsi="Times New Roman" w:cs="Times New Roman"/>
                <w:sz w:val="20"/>
                <w:szCs w:val="20"/>
                <w:lang w:val="fr-FR"/>
              </w:rPr>
            </w:pPr>
            <w:r w:rsidRPr="00403C55">
              <w:rPr>
                <w:rFonts w:ascii="Times New Roman" w:hAnsi="Times New Roman" w:cs="Times New Roman"/>
                <w:i/>
                <w:sz w:val="20"/>
                <w:szCs w:val="20"/>
                <w:lang w:val="fr-FR"/>
              </w:rPr>
              <w:t xml:space="preserve">*sur un total de 21: en omettant le Résultat 8, pour lequel la responsabilité de la mise en œuvre ne revient pas aux </w:t>
            </w:r>
            <w:r w:rsidR="00FE6EE5">
              <w:rPr>
                <w:rFonts w:ascii="Times New Roman" w:hAnsi="Times New Roman" w:cs="Times New Roman"/>
                <w:i/>
                <w:sz w:val="20"/>
                <w:szCs w:val="20"/>
                <w:lang w:val="fr-FR"/>
              </w:rPr>
              <w:t>États de l’aire de répartition</w:t>
            </w:r>
            <w:r w:rsidRPr="00403C55">
              <w:rPr>
                <w:rFonts w:ascii="Times New Roman" w:hAnsi="Times New Roman" w:cs="Times New Roman"/>
                <w:i/>
                <w:sz w:val="20"/>
                <w:szCs w:val="20"/>
                <w:lang w:val="fr-FR"/>
              </w:rPr>
              <w:t>.</w:t>
            </w:r>
          </w:p>
        </w:tc>
      </w:tr>
    </w:tbl>
    <w:p w14:paraId="04192D61" w14:textId="77777777" w:rsidR="00D24C98" w:rsidRPr="00403C55" w:rsidRDefault="00D24C98" w:rsidP="00DF3C0E">
      <w:pPr>
        <w:spacing w:after="0" w:line="240" w:lineRule="auto"/>
        <w:jc w:val="both"/>
        <w:rPr>
          <w:rFonts w:ascii="Times New Roman" w:hAnsi="Times New Roman" w:cs="Times New Roman"/>
          <w:lang w:val="fr-FR"/>
        </w:rPr>
      </w:pPr>
    </w:p>
    <w:p w14:paraId="0CB416E9" w14:textId="106FF45A" w:rsidR="000235F1" w:rsidRPr="00403C55" w:rsidRDefault="006923C3" w:rsidP="00DF3C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Toutefois, l’Ibis chauve demeure dans la catégorie « En danger critique » de l’UICN et beaucoup de travail reste encore à </w:t>
      </w:r>
      <w:r w:rsidR="00F13ED9" w:rsidRPr="00403C55">
        <w:rPr>
          <w:rFonts w:ascii="Times New Roman" w:hAnsi="Times New Roman" w:cs="Times New Roman"/>
          <w:lang w:val="fr-FR"/>
        </w:rPr>
        <w:t>faire</w:t>
      </w:r>
      <w:r w:rsidRPr="00403C55">
        <w:rPr>
          <w:rFonts w:ascii="Times New Roman" w:hAnsi="Times New Roman" w:cs="Times New Roman"/>
          <w:lang w:val="fr-FR"/>
        </w:rPr>
        <w:t xml:space="preserve"> pour atteindre le but à long terme du </w:t>
      </w:r>
      <w:r w:rsidR="00F13ED9" w:rsidRPr="00403C55">
        <w:rPr>
          <w:rFonts w:ascii="Times New Roman" w:hAnsi="Times New Roman" w:cs="Times New Roman"/>
          <w:lang w:val="fr-FR"/>
        </w:rPr>
        <w:t>p</w:t>
      </w:r>
      <w:r w:rsidRPr="00403C55">
        <w:rPr>
          <w:rFonts w:ascii="Times New Roman" w:hAnsi="Times New Roman" w:cs="Times New Roman"/>
          <w:lang w:val="fr-FR"/>
        </w:rPr>
        <w:t xml:space="preserve">lan </w:t>
      </w:r>
      <w:r w:rsidR="0003562F">
        <w:rPr>
          <w:rFonts w:ascii="Times New Roman" w:hAnsi="Times New Roman" w:cs="Times New Roman"/>
          <w:lang w:val="fr-FR"/>
        </w:rPr>
        <w:t>d’action</w:t>
      </w:r>
      <w:r w:rsidRPr="00403C55">
        <w:rPr>
          <w:rFonts w:ascii="Times New Roman" w:hAnsi="Times New Roman" w:cs="Times New Roman"/>
          <w:lang w:val="fr-FR"/>
        </w:rPr>
        <w:t xml:space="preserve">, à savoir faire augmenter le nombre de colonies d’ibis chauves dans les trois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w:t>
      </w:r>
      <w:r w:rsidR="000F3528" w:rsidRPr="00403C55">
        <w:rPr>
          <w:rFonts w:ascii="Times New Roman" w:hAnsi="Times New Roman" w:cs="Times New Roman"/>
          <w:lang w:val="fr-FR"/>
        </w:rPr>
        <w:t xml:space="preserve"> </w:t>
      </w:r>
      <w:r w:rsidRPr="00403C55">
        <w:rPr>
          <w:rFonts w:ascii="Times New Roman" w:hAnsi="Times New Roman" w:cs="Times New Roman"/>
          <w:lang w:val="fr-FR"/>
        </w:rPr>
        <w:t>Les activités à priorité élevée permettant d’atteindre ce but, telles que faire augmenter le nombre d’oiseaux captifs de la population orientale en le faisant passer à 200-250 oiseaux, restent encore à mettre en œuvre.</w:t>
      </w:r>
      <w:r w:rsidR="00957E71" w:rsidRPr="00403C55">
        <w:rPr>
          <w:rFonts w:ascii="Times New Roman" w:hAnsi="Times New Roman" w:cs="Times New Roman"/>
          <w:lang w:val="fr-FR"/>
        </w:rPr>
        <w:t xml:space="preserve"> </w:t>
      </w:r>
      <w:r w:rsidRPr="00403C55">
        <w:rPr>
          <w:rFonts w:ascii="Times New Roman" w:hAnsi="Times New Roman" w:cs="Times New Roman"/>
          <w:lang w:val="fr-FR"/>
        </w:rPr>
        <w:t xml:space="preserve">Le manque de fonds et de ressources, ainsi que les conflits </w:t>
      </w:r>
      <w:r w:rsidR="00552518">
        <w:rPr>
          <w:rFonts w:ascii="Times New Roman" w:hAnsi="Times New Roman" w:cs="Times New Roman"/>
          <w:lang w:val="fr-FR"/>
        </w:rPr>
        <w:t>en cours</w:t>
      </w:r>
      <w:r w:rsidRPr="00403C55">
        <w:rPr>
          <w:rFonts w:ascii="Times New Roman" w:hAnsi="Times New Roman" w:cs="Times New Roman"/>
          <w:lang w:val="fr-FR"/>
        </w:rPr>
        <w:t xml:space="preserve"> dans la région sont certainement de sérieux obstacles entravant la mise en œuvre.</w:t>
      </w:r>
    </w:p>
    <w:p w14:paraId="41E0F47D" w14:textId="77777777" w:rsidR="000F3528" w:rsidRPr="00403C55" w:rsidRDefault="000F3528" w:rsidP="00DF3C0E">
      <w:pPr>
        <w:spacing w:after="0" w:line="240" w:lineRule="auto"/>
        <w:jc w:val="both"/>
        <w:rPr>
          <w:rFonts w:ascii="Times New Roman" w:hAnsi="Times New Roman" w:cs="Times New Roman"/>
          <w:lang w:val="fr-FR"/>
        </w:rPr>
      </w:pPr>
    </w:p>
    <w:p w14:paraId="632D71AD" w14:textId="49A856CE" w:rsidR="000235F1" w:rsidRPr="00403C55" w:rsidRDefault="006923C3" w:rsidP="000235F1">
      <w:pPr>
        <w:spacing w:after="0" w:line="240" w:lineRule="auto"/>
        <w:jc w:val="both"/>
        <w:rPr>
          <w:rFonts w:ascii="Times New Roman" w:hAnsi="Times New Roman" w:cs="Times New Roman"/>
          <w:lang w:val="fr-FR"/>
        </w:rPr>
      </w:pPr>
      <w:r w:rsidRPr="00403C55">
        <w:rPr>
          <w:rFonts w:ascii="Times New Roman" w:hAnsi="Times New Roman" w:cs="Times New Roman"/>
          <w:lang w:val="fr-FR"/>
        </w:rPr>
        <w:t>E</w:t>
      </w:r>
      <w:r w:rsidR="00552518">
        <w:rPr>
          <w:rFonts w:ascii="Times New Roman" w:hAnsi="Times New Roman" w:cs="Times New Roman"/>
          <w:lang w:val="fr-FR"/>
        </w:rPr>
        <w:t>n ce qui concerne</w:t>
      </w:r>
      <w:r w:rsidRPr="00403C55">
        <w:rPr>
          <w:rFonts w:ascii="Times New Roman" w:hAnsi="Times New Roman" w:cs="Times New Roman"/>
          <w:lang w:val="fr-FR"/>
        </w:rPr>
        <w:t xml:space="preserve"> </w:t>
      </w:r>
      <w:r w:rsidR="00552518">
        <w:rPr>
          <w:rFonts w:ascii="Times New Roman" w:hAnsi="Times New Roman" w:cs="Times New Roman"/>
          <w:lang w:val="fr-FR"/>
        </w:rPr>
        <w:t>l</w:t>
      </w:r>
      <w:r w:rsidRPr="00403C55">
        <w:rPr>
          <w:rFonts w:ascii="Times New Roman" w:hAnsi="Times New Roman" w:cs="Times New Roman"/>
          <w:lang w:val="fr-FR"/>
        </w:rPr>
        <w:t xml:space="preserve">es taux de mise en œuvre généraux moyens présentés ci-dessus, il convient de noter que les acteurs identifiés dans le </w:t>
      </w:r>
      <w:r w:rsidR="00552518">
        <w:rPr>
          <w:rFonts w:ascii="Times New Roman" w:hAnsi="Times New Roman" w:cs="Times New Roman"/>
          <w:lang w:val="fr-FR"/>
        </w:rPr>
        <w:t>p</w:t>
      </w:r>
      <w:r w:rsidRPr="00403C55">
        <w:rPr>
          <w:rFonts w:ascii="Times New Roman" w:hAnsi="Times New Roman" w:cs="Times New Roman"/>
          <w:lang w:val="fr-FR"/>
        </w:rPr>
        <w:t xml:space="preserve">lan </w:t>
      </w:r>
      <w:r w:rsidR="0003562F">
        <w:rPr>
          <w:rFonts w:ascii="Times New Roman" w:hAnsi="Times New Roman" w:cs="Times New Roman"/>
          <w:lang w:val="fr-FR"/>
        </w:rPr>
        <w:t>d’action</w:t>
      </w:r>
      <w:r w:rsidRPr="00403C55">
        <w:rPr>
          <w:rFonts w:ascii="Times New Roman" w:hAnsi="Times New Roman" w:cs="Times New Roman"/>
          <w:lang w:val="fr-FR"/>
        </w:rPr>
        <w:t xml:space="preserve"> comme devant mener </w:t>
      </w:r>
      <w:r w:rsidR="00F13ED9" w:rsidRPr="00403C55">
        <w:rPr>
          <w:rFonts w:ascii="Times New Roman" w:hAnsi="Times New Roman" w:cs="Times New Roman"/>
          <w:lang w:val="fr-FR"/>
        </w:rPr>
        <w:t>un grand nombre des activités</w:t>
      </w:r>
      <w:r w:rsidRPr="00403C55">
        <w:rPr>
          <w:rFonts w:ascii="Times New Roman" w:hAnsi="Times New Roman" w:cs="Times New Roman"/>
          <w:lang w:val="fr-FR"/>
        </w:rPr>
        <w:t xml:space="preserve"> citées, sont en fait des institutions et des </w:t>
      </w:r>
      <w:r w:rsidR="00B34832">
        <w:rPr>
          <w:rFonts w:ascii="Times New Roman" w:hAnsi="Times New Roman" w:cs="Times New Roman"/>
          <w:lang w:val="fr-FR"/>
        </w:rPr>
        <w:t>organisations</w:t>
      </w:r>
      <w:r w:rsidRPr="00403C55">
        <w:rPr>
          <w:rFonts w:ascii="Times New Roman" w:hAnsi="Times New Roman" w:cs="Times New Roman"/>
          <w:lang w:val="fr-FR"/>
        </w:rPr>
        <w:t xml:space="preserve"> internationales </w:t>
      </w:r>
      <w:r w:rsidR="00B34832">
        <w:rPr>
          <w:rFonts w:ascii="Times New Roman" w:hAnsi="Times New Roman" w:cs="Times New Roman"/>
          <w:lang w:val="fr-FR"/>
        </w:rPr>
        <w:t xml:space="preserve">de défense de l’environnement, </w:t>
      </w:r>
      <w:r w:rsidRPr="00403C55">
        <w:rPr>
          <w:rFonts w:ascii="Times New Roman" w:hAnsi="Times New Roman" w:cs="Times New Roman"/>
          <w:lang w:val="fr-FR"/>
        </w:rPr>
        <w:t>telles qu’EAZA, IAGNBI, RSPB et l’UICN.</w:t>
      </w:r>
      <w:r w:rsidR="007449F9" w:rsidRPr="00403C55">
        <w:rPr>
          <w:rFonts w:ascii="Times New Roman" w:hAnsi="Times New Roman" w:cs="Times New Roman"/>
          <w:lang w:val="fr-FR"/>
        </w:rPr>
        <w:t xml:space="preserve"> </w:t>
      </w:r>
      <w:r w:rsidRPr="00403C55">
        <w:rPr>
          <w:rFonts w:ascii="Times New Roman" w:hAnsi="Times New Roman" w:cs="Times New Roman"/>
          <w:lang w:val="fr-FR"/>
        </w:rPr>
        <w:t xml:space="preserve">Par conséquent, une vue d’ensemble des activités mises en œuvre </w:t>
      </w:r>
      <w:r w:rsidR="00870983">
        <w:rPr>
          <w:rFonts w:ascii="Times New Roman" w:hAnsi="Times New Roman" w:cs="Times New Roman"/>
          <w:lang w:val="fr-FR"/>
        </w:rPr>
        <w:t>en dehors</w:t>
      </w:r>
      <w:r w:rsidR="007F5B93" w:rsidRPr="00403C55">
        <w:rPr>
          <w:rFonts w:ascii="Times New Roman" w:hAnsi="Times New Roman" w:cs="Times New Roman"/>
          <w:lang w:val="fr-FR"/>
        </w:rPr>
        <w:t xml:space="preserve"> des attributions immédiates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w:t>
      </w:r>
      <w:r w:rsidR="007F5B93" w:rsidRPr="00403C55">
        <w:rPr>
          <w:rFonts w:ascii="Times New Roman" w:hAnsi="Times New Roman" w:cs="Times New Roman"/>
          <w:lang w:val="fr-FR"/>
        </w:rPr>
        <w:t>serait extrêmement utile et rendrait l’évaluation générale de la mise en œuvre plus complète</w:t>
      </w:r>
      <w:r w:rsidRPr="00403C55">
        <w:rPr>
          <w:rFonts w:ascii="Times New Roman" w:hAnsi="Times New Roman" w:cs="Times New Roman"/>
          <w:lang w:val="fr-FR"/>
        </w:rPr>
        <w:t>.</w:t>
      </w:r>
    </w:p>
    <w:p w14:paraId="73DF9393" w14:textId="77777777" w:rsidR="000235F1" w:rsidRPr="00403C55" w:rsidRDefault="000235F1" w:rsidP="00DF3C0E">
      <w:pPr>
        <w:spacing w:after="0" w:line="240" w:lineRule="auto"/>
        <w:jc w:val="both"/>
        <w:rPr>
          <w:rFonts w:ascii="Times New Roman" w:hAnsi="Times New Roman" w:cs="Times New Roman"/>
          <w:lang w:val="fr-FR"/>
        </w:rPr>
      </w:pPr>
    </w:p>
    <w:p w14:paraId="4F8EB69F" w14:textId="191D483E" w:rsidR="00A51954" w:rsidRPr="00403C55" w:rsidRDefault="007F5B93" w:rsidP="00DF3C0E">
      <w:pPr>
        <w:spacing w:after="0" w:line="240" w:lineRule="auto"/>
        <w:jc w:val="both"/>
        <w:rPr>
          <w:rFonts w:ascii="Times New Roman" w:hAnsi="Times New Roman" w:cs="Times New Roman"/>
          <w:lang w:val="fr-FR"/>
        </w:rPr>
      </w:pPr>
      <w:r w:rsidRPr="00403C55">
        <w:rPr>
          <w:rFonts w:ascii="Times New Roman" w:hAnsi="Times New Roman" w:cs="Times New Roman"/>
          <w:lang w:val="fr-FR"/>
        </w:rPr>
        <w:t>Une revitalisation du groupe de travail international sur l’Ibis chauve est clairement nécessaire.</w:t>
      </w:r>
      <w:r w:rsidR="00957E71" w:rsidRPr="00403C55">
        <w:rPr>
          <w:rFonts w:ascii="Times New Roman" w:hAnsi="Times New Roman" w:cs="Times New Roman"/>
          <w:lang w:val="fr-FR"/>
        </w:rPr>
        <w:t xml:space="preserve"> </w:t>
      </w:r>
      <w:r w:rsidRPr="00403C55">
        <w:rPr>
          <w:rFonts w:ascii="Times New Roman" w:hAnsi="Times New Roman" w:cs="Times New Roman"/>
          <w:lang w:val="fr-FR"/>
        </w:rPr>
        <w:t xml:space="preserve">Une révision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2005 devrait être adoptée lors de la 6</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session de la Réunion des Parties à l’AEWA, en novembre 2015. Nous espérons qu’elle apportera une nouvelle impulsion et </w:t>
      </w:r>
      <w:r w:rsidR="00D96BF6" w:rsidRPr="00403C55">
        <w:rPr>
          <w:rFonts w:ascii="Times New Roman" w:hAnsi="Times New Roman" w:cs="Times New Roman"/>
          <w:lang w:val="fr-FR"/>
        </w:rPr>
        <w:t>l</w:t>
      </w:r>
      <w:r w:rsidRPr="00403C55">
        <w:rPr>
          <w:rFonts w:ascii="Times New Roman" w:hAnsi="Times New Roman" w:cs="Times New Roman"/>
          <w:lang w:val="fr-FR"/>
        </w:rPr>
        <w:t xml:space="preserve">es ressources requises d’urgence pour la mise en œuvre du plan </w:t>
      </w:r>
      <w:r w:rsidR="0003562F">
        <w:rPr>
          <w:rFonts w:ascii="Times New Roman" w:hAnsi="Times New Roman" w:cs="Times New Roman"/>
          <w:lang w:val="fr-FR"/>
        </w:rPr>
        <w:t>d’action</w:t>
      </w:r>
      <w:r w:rsidRPr="00403C55">
        <w:rPr>
          <w:rFonts w:ascii="Times New Roman" w:hAnsi="Times New Roman" w:cs="Times New Roman"/>
          <w:lang w:val="fr-FR"/>
        </w:rPr>
        <w:t>.</w:t>
      </w:r>
    </w:p>
    <w:p w14:paraId="139FA6E2" w14:textId="63892308" w:rsidR="00A51954" w:rsidRPr="00403C55" w:rsidRDefault="00A51954" w:rsidP="00DF3C0E">
      <w:pPr>
        <w:spacing w:after="0" w:line="240" w:lineRule="auto"/>
        <w:jc w:val="both"/>
        <w:rPr>
          <w:rFonts w:ascii="Times New Roman" w:hAnsi="Times New Roman" w:cs="Times New Roman"/>
          <w:lang w:val="fr-FR"/>
        </w:rPr>
      </w:pPr>
    </w:p>
    <w:p w14:paraId="236012DB" w14:textId="77777777" w:rsidR="000235F1" w:rsidRPr="00403C55" w:rsidRDefault="000235F1" w:rsidP="00DF3C0E">
      <w:pPr>
        <w:spacing w:after="0" w:line="240" w:lineRule="auto"/>
        <w:jc w:val="both"/>
        <w:rPr>
          <w:rFonts w:ascii="Times New Roman" w:hAnsi="Times New Roman" w:cs="Times New Roman"/>
          <w:lang w:val="fr-FR"/>
        </w:rPr>
      </w:pPr>
    </w:p>
    <w:p w14:paraId="7FAF0820" w14:textId="01B14CCA" w:rsidR="001D0C51" w:rsidRPr="00403C55" w:rsidRDefault="001D0C51" w:rsidP="00D60D7E">
      <w:pPr>
        <w:spacing w:after="0" w:line="240" w:lineRule="auto"/>
        <w:jc w:val="both"/>
        <w:rPr>
          <w:rFonts w:ascii="Times New Roman" w:hAnsi="Times New Roman" w:cs="Times New Roman"/>
          <w:lang w:val="fr-FR"/>
        </w:rPr>
      </w:pPr>
      <w:r w:rsidRPr="00403C55">
        <w:rPr>
          <w:rFonts w:ascii="Times New Roman" w:hAnsi="Times New Roman" w:cs="Times New Roman"/>
          <w:lang w:val="fr-FR"/>
        </w:rPr>
        <w:br w:type="page"/>
      </w:r>
    </w:p>
    <w:p w14:paraId="26F88330" w14:textId="4AB6F61E" w:rsidR="00EE1D7D" w:rsidRPr="00403C55" w:rsidRDefault="007F5B93" w:rsidP="001D0C51">
      <w:pPr>
        <w:shd w:val="clear" w:color="auto" w:fill="DBE5F1" w:themeFill="accent1"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lastRenderedPageBreak/>
        <w:t>B.</w:t>
      </w:r>
      <w:r w:rsidR="00EE1D7D" w:rsidRPr="00403C55">
        <w:rPr>
          <w:rFonts w:ascii="Times New Roman" w:hAnsi="Times New Roman" w:cs="Times New Roman"/>
          <w:b/>
          <w:lang w:val="fr-FR"/>
        </w:rPr>
        <w:t xml:space="preserve"> </w:t>
      </w:r>
      <w:r w:rsidR="00F13ED9" w:rsidRPr="00403C55">
        <w:rPr>
          <w:rFonts w:ascii="Times New Roman" w:hAnsi="Times New Roman" w:cs="Times New Roman"/>
          <w:b/>
          <w:lang w:val="fr-FR"/>
        </w:rPr>
        <w:t xml:space="preserve">ISSAP </w:t>
      </w:r>
      <w:r w:rsidR="0003562F">
        <w:rPr>
          <w:rFonts w:ascii="Times New Roman" w:hAnsi="Times New Roman" w:cs="Times New Roman"/>
          <w:b/>
          <w:lang w:val="fr-FR"/>
        </w:rPr>
        <w:t>de l’AEWA</w:t>
      </w:r>
      <w:r w:rsidR="00F13ED9" w:rsidRPr="00403C55">
        <w:rPr>
          <w:rFonts w:ascii="Times New Roman" w:hAnsi="Times New Roman" w:cs="Times New Roman"/>
          <w:b/>
          <w:lang w:val="fr-FR"/>
        </w:rPr>
        <w:t xml:space="preserve"> pour le Flamant nain</w:t>
      </w:r>
    </w:p>
    <w:p w14:paraId="26CD923E" w14:textId="77777777" w:rsidR="00EE1D7D" w:rsidRPr="00403C55" w:rsidRDefault="00EE1D7D" w:rsidP="00EE1D7D">
      <w:pPr>
        <w:spacing w:after="0" w:line="240" w:lineRule="auto"/>
        <w:rPr>
          <w:rFonts w:ascii="Times New Roman" w:hAnsi="Times New Roman" w:cs="Times New Roman"/>
          <w:lang w:val="fr-FR"/>
        </w:rPr>
      </w:pPr>
    </w:p>
    <w:p w14:paraId="6533DD04" w14:textId="0C53B43D" w:rsidR="00EE1D7D" w:rsidRPr="00403C55" w:rsidRDefault="000E0420" w:rsidP="00D629E5">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1</w:t>
      </w:r>
      <w:r w:rsidR="00EE1D7D" w:rsidRPr="00403C55">
        <w:rPr>
          <w:rFonts w:ascii="Times New Roman" w:hAnsi="Times New Roman" w:cs="Times New Roman"/>
          <w:i/>
          <w:lang w:val="fr-FR"/>
        </w:rPr>
        <w:t xml:space="preserve">. </w:t>
      </w:r>
      <w:r w:rsidR="00F13ED9" w:rsidRPr="00403C55">
        <w:rPr>
          <w:rFonts w:ascii="Times New Roman" w:hAnsi="Times New Roman" w:cs="Times New Roman"/>
          <w:i/>
          <w:lang w:val="fr-FR"/>
        </w:rPr>
        <w:t>Introduction</w:t>
      </w:r>
    </w:p>
    <w:p w14:paraId="4013D4D5" w14:textId="77777777" w:rsidR="00D629E5" w:rsidRPr="00403C55" w:rsidRDefault="00D629E5" w:rsidP="00D629E5">
      <w:pPr>
        <w:shd w:val="clear" w:color="auto" w:fill="FFFFFF" w:themeFill="background1"/>
        <w:spacing w:after="0" w:line="240" w:lineRule="auto"/>
        <w:rPr>
          <w:rFonts w:ascii="Times New Roman" w:hAnsi="Times New Roman" w:cs="Times New Roman"/>
          <w:i/>
          <w:lang w:val="fr-FR"/>
        </w:rPr>
      </w:pPr>
    </w:p>
    <w:p w14:paraId="71CC8669" w14:textId="4BB867B3" w:rsidR="008505F1" w:rsidRPr="00403C55" w:rsidRDefault="00F13ED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Flamant nain </w:t>
      </w:r>
      <w:r w:rsidRPr="00403C55">
        <w:rPr>
          <w:rFonts w:ascii="Times New Roman" w:hAnsi="Times New Roman" w:cs="Times New Roman"/>
          <w:i/>
          <w:lang w:val="fr-FR"/>
        </w:rPr>
        <w:t>(Phoeniconaias minor)</w:t>
      </w:r>
      <w:r w:rsidRPr="00403C55">
        <w:rPr>
          <w:rFonts w:ascii="Times New Roman" w:hAnsi="Times New Roman" w:cs="Times New Roman"/>
          <w:lang w:val="fr-FR"/>
        </w:rPr>
        <w:t xml:space="preserve"> est classé dans la catégorie « Quasi</w:t>
      </w:r>
      <w:r w:rsidR="00D96BF6" w:rsidRPr="00403C55">
        <w:rPr>
          <w:rFonts w:ascii="Times New Roman" w:hAnsi="Times New Roman" w:cs="Times New Roman"/>
          <w:lang w:val="fr-FR"/>
        </w:rPr>
        <w:t xml:space="preserve"> </w:t>
      </w:r>
      <w:r w:rsidRPr="00403C55">
        <w:rPr>
          <w:rFonts w:ascii="Times New Roman" w:hAnsi="Times New Roman" w:cs="Times New Roman"/>
          <w:lang w:val="fr-FR"/>
        </w:rPr>
        <w:t xml:space="preserve">menacé » de l’UICN et figure dans la colonne A catégories 2 (Afrique de l’Ouest), 4 (Afrique de l’Est) et 3a (Afrique australe et Madagascar) du tableau 1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 xml:space="preserve">Le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de la CMS/AEWA pour la conservation du Flamant nain a été adopté lors de la 4</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session de la Réunion des Parties à l’AEWA en 2008</w:t>
      </w:r>
      <w:r w:rsidRPr="00403C55">
        <w:rPr>
          <w:rFonts w:ascii="Times New Roman" w:hAnsi="Times New Roman" w:cs="Times New Roman"/>
          <w:vertAlign w:val="superscript"/>
          <w:lang w:val="fr-FR"/>
        </w:rPr>
        <w:footnoteReference w:id="3"/>
      </w:r>
      <w:r w:rsidRPr="00403C55">
        <w:rPr>
          <w:rFonts w:ascii="Times New Roman" w:hAnsi="Times New Roman" w:cs="Times New Roman"/>
          <w:lang w:val="fr-FR"/>
        </w:rPr>
        <w:t>.</w:t>
      </w:r>
      <w:r w:rsidR="00EE1D7D" w:rsidRPr="00403C55">
        <w:rPr>
          <w:rFonts w:ascii="Times New Roman" w:hAnsi="Times New Roman" w:cs="Times New Roman"/>
          <w:lang w:val="fr-FR"/>
        </w:rPr>
        <w:t xml:space="preserve"> </w:t>
      </w:r>
    </w:p>
    <w:p w14:paraId="06F6581F" w14:textId="77777777" w:rsidR="008505F1" w:rsidRPr="00403C55" w:rsidRDefault="008505F1" w:rsidP="00EE1D7D">
      <w:pPr>
        <w:spacing w:after="0" w:line="240" w:lineRule="auto"/>
        <w:jc w:val="both"/>
        <w:rPr>
          <w:rFonts w:ascii="Times New Roman" w:hAnsi="Times New Roman" w:cs="Times New Roman"/>
          <w:lang w:val="fr-FR"/>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8505F1" w:rsidRPr="00DE4CF4" w14:paraId="243DA34A" w14:textId="77777777" w:rsidTr="00D96BF6">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942D6F7" w14:textId="709827C4" w:rsidR="008505F1" w:rsidRPr="00403C55" w:rsidRDefault="00F13ED9" w:rsidP="003F50F9">
            <w:pPr>
              <w:jc w:val="both"/>
              <w:rPr>
                <w:rFonts w:ascii="Times New Roman" w:hAnsi="Times New Roman" w:cs="Times New Roman"/>
                <w:lang w:val="fr-FR"/>
              </w:rPr>
            </w:pPr>
            <w:r w:rsidRPr="00403C55">
              <w:rPr>
                <w:rFonts w:ascii="Times New Roman" w:hAnsi="Times New Roman" w:cs="Times New Roman"/>
                <w:lang w:val="fr-FR"/>
              </w:rPr>
              <w:t xml:space="preserve">L’objectif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est d’améliorer l’état de conservation du Flamant nain en le faisant passer de la catégorie « Quasi-menacé » à </w:t>
            </w:r>
            <w:r w:rsidR="00D96BF6" w:rsidRPr="00403C55">
              <w:rPr>
                <w:rFonts w:ascii="Times New Roman" w:hAnsi="Times New Roman" w:cs="Times New Roman"/>
                <w:lang w:val="fr-FR"/>
              </w:rPr>
              <w:t xml:space="preserve">la catégorie </w:t>
            </w:r>
            <w:r w:rsidRPr="00403C55">
              <w:rPr>
                <w:rFonts w:ascii="Times New Roman" w:hAnsi="Times New Roman" w:cs="Times New Roman"/>
                <w:lang w:val="fr-FR"/>
              </w:rPr>
              <w:t xml:space="preserve">« Préoccupation mineure » </w:t>
            </w:r>
            <w:r w:rsidR="00D96BF6" w:rsidRPr="00403C55">
              <w:rPr>
                <w:rFonts w:ascii="Times New Roman" w:hAnsi="Times New Roman" w:cs="Times New Roman"/>
                <w:lang w:val="fr-FR"/>
              </w:rPr>
              <w:t xml:space="preserve">au niveau </w:t>
            </w:r>
            <w:r w:rsidRPr="00403C55">
              <w:rPr>
                <w:rFonts w:ascii="Times New Roman" w:hAnsi="Times New Roman" w:cs="Times New Roman"/>
                <w:lang w:val="fr-FR"/>
              </w:rPr>
              <w:t>mondial et de chacune de ses quatre populations régionales, en stabilisant la taille et la distribution des populations régionales à leur niveau actuel d’ici à 2020.</w:t>
            </w:r>
          </w:p>
        </w:tc>
      </w:tr>
    </w:tbl>
    <w:p w14:paraId="378CFED4" w14:textId="77777777" w:rsidR="008505F1" w:rsidRPr="00403C55" w:rsidRDefault="008505F1" w:rsidP="00EE1D7D">
      <w:pPr>
        <w:spacing w:after="0" w:line="240" w:lineRule="auto"/>
        <w:jc w:val="both"/>
        <w:rPr>
          <w:rFonts w:ascii="Times New Roman" w:hAnsi="Times New Roman" w:cs="Times New Roman"/>
          <w:lang w:val="fr-FR"/>
        </w:rPr>
      </w:pPr>
    </w:p>
    <w:p w14:paraId="4147D8B0" w14:textId="7B6816D0" w:rsidR="00EE1D7D" w:rsidRPr="00403C55" w:rsidRDefault="00F13ED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groupe de travail international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le Flamant nain (LF IWG) a été </w:t>
      </w:r>
      <w:r w:rsidR="00552518">
        <w:rPr>
          <w:rFonts w:ascii="Times New Roman" w:hAnsi="Times New Roman" w:cs="Times New Roman"/>
          <w:lang w:val="fr-FR"/>
        </w:rPr>
        <w:t>mis en place</w:t>
      </w:r>
      <w:r w:rsidRPr="00403C55">
        <w:rPr>
          <w:rFonts w:ascii="Times New Roman" w:hAnsi="Times New Roman" w:cs="Times New Roman"/>
          <w:lang w:val="fr-FR"/>
        </w:rPr>
        <w:t xml:space="preserve"> par le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en 2011, </w:t>
      </w:r>
      <w:r w:rsidR="00E9574D" w:rsidRPr="00403C55">
        <w:rPr>
          <w:rFonts w:ascii="Times New Roman" w:hAnsi="Times New Roman" w:cs="Times New Roman"/>
          <w:lang w:val="fr-FR"/>
        </w:rPr>
        <w:t>et une réunion en face à face s’est tenue en mai</w:t>
      </w:r>
      <w:r w:rsidRPr="00403C55">
        <w:rPr>
          <w:rFonts w:ascii="Times New Roman" w:hAnsi="Times New Roman" w:cs="Times New Roman"/>
          <w:lang w:val="fr-FR"/>
        </w:rPr>
        <w:t xml:space="preserve"> 2012 </w:t>
      </w:r>
      <w:r w:rsidR="00E9574D" w:rsidRPr="00403C55">
        <w:rPr>
          <w:rFonts w:ascii="Times New Roman" w:hAnsi="Times New Roman" w:cs="Times New Roman"/>
          <w:lang w:val="fr-FR"/>
        </w:rPr>
        <w:t xml:space="preserve">en marge de la MOP5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00E9574D" w:rsidRPr="00403C55">
        <w:rPr>
          <w:rFonts w:ascii="Times New Roman" w:hAnsi="Times New Roman" w:cs="Times New Roman"/>
          <w:lang w:val="fr-FR"/>
        </w:rPr>
        <w:t>La</w:t>
      </w:r>
      <w:r w:rsidRPr="00403C55">
        <w:rPr>
          <w:rFonts w:ascii="Times New Roman" w:hAnsi="Times New Roman" w:cs="Times New Roman"/>
          <w:lang w:val="fr-FR"/>
        </w:rPr>
        <w:t xml:space="preserve"> coordination </w:t>
      </w:r>
      <w:r w:rsidR="00E9574D" w:rsidRPr="00403C55">
        <w:rPr>
          <w:rFonts w:ascii="Times New Roman" w:hAnsi="Times New Roman" w:cs="Times New Roman"/>
          <w:lang w:val="fr-FR"/>
        </w:rPr>
        <w:t>du groupe de travail était initialement assurée par</w:t>
      </w:r>
      <w:r w:rsidRPr="00403C55">
        <w:rPr>
          <w:rFonts w:ascii="Times New Roman" w:hAnsi="Times New Roman" w:cs="Times New Roman"/>
          <w:lang w:val="fr-FR"/>
        </w:rPr>
        <w:t xml:space="preserve"> </w:t>
      </w:r>
      <w:r w:rsidR="00E9574D" w:rsidRPr="00403C55">
        <w:rPr>
          <w:rFonts w:ascii="Times New Roman" w:hAnsi="Times New Roman" w:cs="Times New Roman"/>
          <w:lang w:val="fr-FR"/>
        </w:rPr>
        <w:t xml:space="preserve">le secrétariat du partenariat de </w:t>
      </w:r>
      <w:r w:rsidRPr="00403C55">
        <w:rPr>
          <w:rFonts w:ascii="Times New Roman" w:hAnsi="Times New Roman" w:cs="Times New Roman"/>
          <w:lang w:val="fr-FR"/>
        </w:rPr>
        <w:t>BirdLife Afri</w:t>
      </w:r>
      <w:r w:rsidR="00E9574D" w:rsidRPr="00403C55">
        <w:rPr>
          <w:rFonts w:ascii="Times New Roman" w:hAnsi="Times New Roman" w:cs="Times New Roman"/>
          <w:lang w:val="fr-FR"/>
        </w:rPr>
        <w:t xml:space="preserve">que, un financement à court terme étant fourni par le biais du Secrétariat </w:t>
      </w:r>
      <w:r w:rsidR="0003562F">
        <w:rPr>
          <w:rFonts w:ascii="Times New Roman" w:hAnsi="Times New Roman" w:cs="Times New Roman"/>
          <w:lang w:val="fr-FR"/>
        </w:rPr>
        <w:t>de l’AEWA</w:t>
      </w:r>
      <w:r w:rsidRPr="00403C55">
        <w:rPr>
          <w:rFonts w:ascii="Times New Roman" w:hAnsi="Times New Roman" w:cs="Times New Roman"/>
          <w:lang w:val="fr-FR"/>
        </w:rPr>
        <w:t xml:space="preserve">, </w:t>
      </w:r>
      <w:r w:rsidR="00E9574D" w:rsidRPr="00403C55">
        <w:rPr>
          <w:rFonts w:ascii="Times New Roman" w:hAnsi="Times New Roman" w:cs="Times New Roman"/>
          <w:lang w:val="fr-FR"/>
        </w:rPr>
        <w:t>mais en raison d’un manque de fonds, ce groupe de travail</w:t>
      </w:r>
      <w:r w:rsidR="00985A4E">
        <w:rPr>
          <w:rFonts w:ascii="Times New Roman" w:hAnsi="Times New Roman" w:cs="Times New Roman"/>
          <w:lang w:val="fr-FR"/>
        </w:rPr>
        <w:t xml:space="preserve"> </w:t>
      </w:r>
      <w:r w:rsidR="00E9574D" w:rsidRPr="00403C55">
        <w:rPr>
          <w:rFonts w:ascii="Times New Roman" w:hAnsi="Times New Roman" w:cs="Times New Roman"/>
          <w:lang w:val="fr-FR"/>
        </w:rPr>
        <w:t xml:space="preserve">ne dispose plus d’une </w:t>
      </w:r>
      <w:r w:rsidRPr="00403C55">
        <w:rPr>
          <w:rFonts w:ascii="Times New Roman" w:hAnsi="Times New Roman" w:cs="Times New Roman"/>
          <w:lang w:val="fr-FR"/>
        </w:rPr>
        <w:t xml:space="preserve">coordination </w:t>
      </w:r>
      <w:r w:rsidR="00E9574D" w:rsidRPr="00403C55">
        <w:rPr>
          <w:rFonts w:ascii="Times New Roman" w:hAnsi="Times New Roman" w:cs="Times New Roman"/>
          <w:lang w:val="fr-FR"/>
        </w:rPr>
        <w:t>active</w:t>
      </w:r>
      <w:r w:rsidRPr="00403C55">
        <w:rPr>
          <w:rFonts w:ascii="Times New Roman" w:hAnsi="Times New Roman" w:cs="Times New Roman"/>
          <w:lang w:val="fr-FR"/>
        </w:rPr>
        <w:t>.</w:t>
      </w:r>
    </w:p>
    <w:p w14:paraId="7C50A257" w14:textId="77777777" w:rsidR="00EE1D7D" w:rsidRPr="00403C55" w:rsidRDefault="00EE1D7D" w:rsidP="00EE1D7D">
      <w:pPr>
        <w:spacing w:after="0" w:line="240" w:lineRule="auto"/>
        <w:jc w:val="both"/>
        <w:rPr>
          <w:rFonts w:ascii="Times New Roman" w:hAnsi="Times New Roman" w:cs="Times New Roman"/>
          <w:lang w:val="fr-FR"/>
        </w:rPr>
      </w:pPr>
    </w:p>
    <w:p w14:paraId="3C70CB9B" w14:textId="79A1E44A" w:rsidR="00EE1D7D" w:rsidRPr="00403C55" w:rsidRDefault="00EE1D7D" w:rsidP="00D629E5">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2. </w:t>
      </w:r>
      <w:r w:rsidR="00E9574D" w:rsidRPr="00403C55">
        <w:rPr>
          <w:rFonts w:ascii="Times New Roman" w:hAnsi="Times New Roman" w:cs="Times New Roman"/>
          <w:i/>
          <w:lang w:val="fr-FR"/>
        </w:rPr>
        <w:t>Taux de réponse</w:t>
      </w:r>
    </w:p>
    <w:p w14:paraId="4E3FD7A5" w14:textId="77777777" w:rsidR="00EE1D7D" w:rsidRPr="00403C55" w:rsidRDefault="00EE1D7D" w:rsidP="00EE1D7D">
      <w:pPr>
        <w:spacing w:after="0" w:line="240" w:lineRule="auto"/>
        <w:jc w:val="both"/>
        <w:rPr>
          <w:rFonts w:ascii="Times New Roman" w:hAnsi="Times New Roman" w:cs="Times New Roman"/>
          <w:i/>
          <w:lang w:val="fr-FR"/>
        </w:rPr>
      </w:pPr>
    </w:p>
    <w:p w14:paraId="0240A2B9" w14:textId="2F3BB9C7" w:rsidR="00EE1D7D" w:rsidRPr="00403C55" w:rsidRDefault="00E9574D"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Sept des douze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identifiés dans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ont répondu au questionnaire (58 % de taux de réponse).</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Les pays n’ayant pas soumis de rapport sont inclus dans l’analyse ci-dessous et sont considérés comme n’ayant pas mis en œuvre les activités prévues.</w:t>
      </w:r>
      <w:r w:rsidR="00985A4E">
        <w:rPr>
          <w:rFonts w:ascii="Times New Roman" w:hAnsi="Times New Roman" w:cs="Times New Roman"/>
          <w:lang w:val="fr-FR"/>
        </w:rPr>
        <w:t xml:space="preserve"> </w:t>
      </w:r>
    </w:p>
    <w:p w14:paraId="04AF3527" w14:textId="77777777" w:rsidR="00EE1D7D" w:rsidRPr="00403C55" w:rsidRDefault="00EE1D7D" w:rsidP="00EE1D7D">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3036"/>
        <w:gridCol w:w="1236"/>
        <w:gridCol w:w="3472"/>
        <w:gridCol w:w="1316"/>
      </w:tblGrid>
      <w:tr w:rsidR="00EE1D7D" w:rsidRPr="00403C55" w14:paraId="32C1FD6D" w14:textId="77777777" w:rsidTr="00846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096D783" w14:textId="51736D32" w:rsidR="00EE1D7D" w:rsidRPr="00403C55" w:rsidRDefault="00E9574D" w:rsidP="003F50F9">
            <w:pPr>
              <w:jc w:val="both"/>
              <w:rPr>
                <w:rFonts w:ascii="Times New Roman" w:hAnsi="Times New Roman" w:cs="Times New Roman"/>
                <w:b w:val="0"/>
                <w:i/>
                <w:lang w:val="fr-FR"/>
              </w:rPr>
            </w:pPr>
            <w:r w:rsidRPr="00403C55">
              <w:rPr>
                <w:rFonts w:ascii="Times New Roman" w:hAnsi="Times New Roman" w:cs="Times New Roman"/>
                <w:b w:val="0"/>
                <w:i/>
                <w:lang w:val="fr-FR"/>
              </w:rPr>
              <w:t>Réponse reçue</w:t>
            </w:r>
          </w:p>
        </w:tc>
        <w:tc>
          <w:tcPr>
            <w:tcW w:w="1236" w:type="dxa"/>
          </w:tcPr>
          <w:p w14:paraId="45D68BDB" w14:textId="731C363C"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PC AEWA</w:t>
            </w:r>
          </w:p>
        </w:tc>
        <w:tc>
          <w:tcPr>
            <w:tcW w:w="3472" w:type="dxa"/>
          </w:tcPr>
          <w:p w14:paraId="52C021DB" w14:textId="30980DA7"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Pas de réponse à la date limite</w:t>
            </w:r>
          </w:p>
        </w:tc>
        <w:tc>
          <w:tcPr>
            <w:tcW w:w="1316" w:type="dxa"/>
          </w:tcPr>
          <w:p w14:paraId="2FDFAB79" w14:textId="32350C60"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PC AEWA</w:t>
            </w:r>
          </w:p>
        </w:tc>
      </w:tr>
      <w:tr w:rsidR="00EE1D7D" w:rsidRPr="00403C55" w14:paraId="0CCE208B"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724087A" w14:textId="06AE6AB8" w:rsidR="00EE1D7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Botswana</w:t>
            </w:r>
          </w:p>
        </w:tc>
        <w:tc>
          <w:tcPr>
            <w:tcW w:w="1236" w:type="dxa"/>
          </w:tcPr>
          <w:p w14:paraId="1C660DE9" w14:textId="0CB65EF0"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Non</w:t>
            </w:r>
          </w:p>
        </w:tc>
        <w:tc>
          <w:tcPr>
            <w:tcW w:w="3472" w:type="dxa"/>
          </w:tcPr>
          <w:p w14:paraId="1230521A" w14:textId="76F90C2B"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Guinée-Bissau</w:t>
            </w:r>
          </w:p>
        </w:tc>
        <w:tc>
          <w:tcPr>
            <w:tcW w:w="1316" w:type="dxa"/>
          </w:tcPr>
          <w:p w14:paraId="62CA7A99" w14:textId="0B7516ED"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r>
      <w:tr w:rsidR="00EE1D7D" w:rsidRPr="00403C55" w14:paraId="242FA21A" w14:textId="77777777" w:rsidTr="00846D6D">
        <w:tc>
          <w:tcPr>
            <w:cnfStyle w:val="001000000000" w:firstRow="0" w:lastRow="0" w:firstColumn="1" w:lastColumn="0" w:oddVBand="0" w:evenVBand="0" w:oddHBand="0" w:evenHBand="0" w:firstRowFirstColumn="0" w:firstRowLastColumn="0" w:lastRowFirstColumn="0" w:lastRowLastColumn="0"/>
            <w:tcW w:w="3036" w:type="dxa"/>
          </w:tcPr>
          <w:p w14:paraId="5AC3299E" w14:textId="7DE33B3C" w:rsidR="00EE1D7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Éthiopie</w:t>
            </w:r>
          </w:p>
        </w:tc>
        <w:tc>
          <w:tcPr>
            <w:tcW w:w="1236" w:type="dxa"/>
          </w:tcPr>
          <w:p w14:paraId="0C208A4A" w14:textId="54744DA5" w:rsidR="00EE1D7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c>
          <w:tcPr>
            <w:tcW w:w="3472" w:type="dxa"/>
          </w:tcPr>
          <w:p w14:paraId="5765DDF9" w14:textId="2D7027F0" w:rsidR="00EE1D7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Inde</w:t>
            </w:r>
          </w:p>
        </w:tc>
        <w:tc>
          <w:tcPr>
            <w:tcW w:w="1316" w:type="dxa"/>
          </w:tcPr>
          <w:p w14:paraId="7A016FEC" w14:textId="4C30DB28" w:rsidR="00EE1D7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Non*</w:t>
            </w:r>
          </w:p>
        </w:tc>
      </w:tr>
      <w:tr w:rsidR="00EE1D7D" w:rsidRPr="00403C55" w14:paraId="1E1C1B17"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26A928A" w14:textId="0667952E" w:rsidR="00EE1D7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Guinée</w:t>
            </w:r>
          </w:p>
        </w:tc>
        <w:tc>
          <w:tcPr>
            <w:tcW w:w="1236" w:type="dxa"/>
          </w:tcPr>
          <w:p w14:paraId="5D84A2D4" w14:textId="03202EBF"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c>
          <w:tcPr>
            <w:tcW w:w="3472" w:type="dxa"/>
          </w:tcPr>
          <w:p w14:paraId="44679208" w14:textId="225D860F"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Mauritanie</w:t>
            </w:r>
          </w:p>
        </w:tc>
        <w:tc>
          <w:tcPr>
            <w:tcW w:w="1316" w:type="dxa"/>
          </w:tcPr>
          <w:p w14:paraId="545A0FC7" w14:textId="2A9B341C"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r>
      <w:tr w:rsidR="00846D6D" w:rsidRPr="00403C55" w14:paraId="69CBA29B" w14:textId="77777777" w:rsidTr="00846D6D">
        <w:tc>
          <w:tcPr>
            <w:cnfStyle w:val="001000000000" w:firstRow="0" w:lastRow="0" w:firstColumn="1" w:lastColumn="0" w:oddVBand="0" w:evenVBand="0" w:oddHBand="0" w:evenHBand="0" w:firstRowFirstColumn="0" w:firstRowLastColumn="0" w:lastRowFirstColumn="0" w:lastRowLastColumn="0"/>
            <w:tcW w:w="3036" w:type="dxa"/>
          </w:tcPr>
          <w:p w14:paraId="3747F402" w14:textId="484A2E2F" w:rsidR="00846D6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Kenya</w:t>
            </w:r>
          </w:p>
        </w:tc>
        <w:tc>
          <w:tcPr>
            <w:tcW w:w="1236" w:type="dxa"/>
          </w:tcPr>
          <w:p w14:paraId="5E68C279" w14:textId="3BA429A2" w:rsidR="00846D6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c>
          <w:tcPr>
            <w:tcW w:w="3472" w:type="dxa"/>
          </w:tcPr>
          <w:p w14:paraId="73F97C50" w14:textId="140C5153" w:rsidR="00846D6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Afrique du Sud</w:t>
            </w:r>
          </w:p>
        </w:tc>
        <w:tc>
          <w:tcPr>
            <w:tcW w:w="1316" w:type="dxa"/>
          </w:tcPr>
          <w:p w14:paraId="4522F988" w14:textId="75D6E0CB" w:rsidR="00846D6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r>
      <w:tr w:rsidR="00846D6D" w:rsidRPr="00403C55" w14:paraId="357AD25C"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442A0A19" w14:textId="30C1AB22" w:rsidR="00846D6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Namibie</w:t>
            </w:r>
          </w:p>
        </w:tc>
        <w:tc>
          <w:tcPr>
            <w:tcW w:w="1236" w:type="dxa"/>
          </w:tcPr>
          <w:p w14:paraId="1BD2293E" w14:textId="7393EDCE" w:rsidR="00846D6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Non</w:t>
            </w:r>
          </w:p>
        </w:tc>
        <w:tc>
          <w:tcPr>
            <w:tcW w:w="3472" w:type="dxa"/>
          </w:tcPr>
          <w:p w14:paraId="6884DFED" w14:textId="4402D725" w:rsidR="00846D6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Ouganda</w:t>
            </w:r>
          </w:p>
        </w:tc>
        <w:tc>
          <w:tcPr>
            <w:tcW w:w="1316" w:type="dxa"/>
          </w:tcPr>
          <w:p w14:paraId="4C8F6DF9" w14:textId="10C05E1A" w:rsidR="00846D6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r>
      <w:tr w:rsidR="00EE1D7D" w:rsidRPr="00403C55" w14:paraId="69611A8E" w14:textId="77777777" w:rsidTr="00846D6D">
        <w:tc>
          <w:tcPr>
            <w:cnfStyle w:val="001000000000" w:firstRow="0" w:lastRow="0" w:firstColumn="1" w:lastColumn="0" w:oddVBand="0" w:evenVBand="0" w:oddHBand="0" w:evenHBand="0" w:firstRowFirstColumn="0" w:firstRowLastColumn="0" w:lastRowFirstColumn="0" w:lastRowLastColumn="0"/>
            <w:tcW w:w="3036" w:type="dxa"/>
          </w:tcPr>
          <w:p w14:paraId="43E4D249" w14:textId="37D4F746" w:rsidR="00EE1D7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Tanzanie</w:t>
            </w:r>
          </w:p>
        </w:tc>
        <w:tc>
          <w:tcPr>
            <w:tcW w:w="1236" w:type="dxa"/>
          </w:tcPr>
          <w:p w14:paraId="3C642392" w14:textId="42D05574" w:rsidR="00EE1D7D"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c>
          <w:tcPr>
            <w:tcW w:w="3472" w:type="dxa"/>
          </w:tcPr>
          <w:p w14:paraId="68B564D7" w14:textId="3CD87250" w:rsidR="00EE1D7D" w:rsidRPr="00403C55"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316" w:type="dxa"/>
          </w:tcPr>
          <w:p w14:paraId="11EA6CEA" w14:textId="72658CD3" w:rsidR="00EE1D7D" w:rsidRPr="00403C55"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846D6D" w:rsidRPr="00403C55" w14:paraId="2F6EBD2E"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C1E16E3" w14:textId="22AAF914" w:rsidR="00846D6D" w:rsidRPr="00403C55" w:rsidRDefault="00E9574D" w:rsidP="003F50F9">
            <w:pPr>
              <w:rPr>
                <w:rFonts w:ascii="Times New Roman" w:hAnsi="Times New Roman" w:cs="Times New Roman"/>
                <w:b w:val="0"/>
                <w:lang w:val="fr-FR"/>
              </w:rPr>
            </w:pPr>
            <w:r w:rsidRPr="00403C55">
              <w:rPr>
                <w:rFonts w:ascii="Times New Roman" w:hAnsi="Times New Roman" w:cs="Times New Roman"/>
                <w:b w:val="0"/>
                <w:lang w:val="fr-FR"/>
              </w:rPr>
              <w:t>Sénégal</w:t>
            </w:r>
          </w:p>
        </w:tc>
        <w:tc>
          <w:tcPr>
            <w:tcW w:w="1236" w:type="dxa"/>
          </w:tcPr>
          <w:p w14:paraId="0960DDCE" w14:textId="7FDC78DA" w:rsidR="00846D6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403C55">
              <w:rPr>
                <w:rFonts w:ascii="Times New Roman" w:hAnsi="Times New Roman" w:cs="Times New Roman"/>
                <w:lang w:val="fr-FR"/>
              </w:rPr>
              <w:t>Oui</w:t>
            </w:r>
          </w:p>
        </w:tc>
        <w:tc>
          <w:tcPr>
            <w:tcW w:w="3472" w:type="dxa"/>
          </w:tcPr>
          <w:p w14:paraId="6429EB6B" w14:textId="77777777" w:rsidR="00846D6D" w:rsidRPr="00403C55"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316" w:type="dxa"/>
          </w:tcPr>
          <w:p w14:paraId="373961EE" w14:textId="77777777" w:rsidR="00846D6D" w:rsidRPr="00403C55"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bl>
    <w:p w14:paraId="4D44B9B6" w14:textId="48007AD1" w:rsidR="00EE1D7D" w:rsidRPr="00403C55" w:rsidRDefault="00E9574D"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w:t>
      </w:r>
      <w:r w:rsidR="00870983">
        <w:rPr>
          <w:rFonts w:ascii="Times New Roman" w:hAnsi="Times New Roman" w:cs="Times New Roman"/>
          <w:i/>
          <w:lang w:val="fr-FR"/>
        </w:rPr>
        <w:t>en dehors</w:t>
      </w:r>
      <w:r w:rsidRPr="00403C55">
        <w:rPr>
          <w:rFonts w:ascii="Times New Roman" w:hAnsi="Times New Roman" w:cs="Times New Roman"/>
          <w:i/>
          <w:lang w:val="fr-FR"/>
        </w:rPr>
        <w:t xml:space="preserve"> de l’aire de répartition </w:t>
      </w:r>
      <w:r w:rsidR="0003562F">
        <w:rPr>
          <w:rFonts w:ascii="Times New Roman" w:hAnsi="Times New Roman" w:cs="Times New Roman"/>
          <w:i/>
          <w:lang w:val="fr-FR"/>
        </w:rPr>
        <w:t>de l’AEWA</w:t>
      </w:r>
    </w:p>
    <w:p w14:paraId="60956C2F" w14:textId="77777777" w:rsidR="00EE1D7D" w:rsidRPr="00403C55" w:rsidRDefault="00EE1D7D" w:rsidP="00EE1D7D">
      <w:pPr>
        <w:spacing w:after="0" w:line="240" w:lineRule="auto"/>
        <w:jc w:val="both"/>
        <w:rPr>
          <w:rFonts w:ascii="Times New Roman" w:hAnsi="Times New Roman" w:cs="Times New Roman"/>
          <w:i/>
          <w:lang w:val="fr-FR"/>
        </w:rPr>
      </w:pPr>
    </w:p>
    <w:p w14:paraId="5F642495" w14:textId="6862900A" w:rsidR="00EE1D7D" w:rsidRPr="00403C55" w:rsidRDefault="00347B4B" w:rsidP="00D629E5">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3</w:t>
      </w:r>
      <w:r w:rsidR="00EE1D7D" w:rsidRPr="00403C55">
        <w:rPr>
          <w:rFonts w:ascii="Times New Roman" w:hAnsi="Times New Roman" w:cs="Times New Roman"/>
          <w:i/>
          <w:lang w:val="fr-FR"/>
        </w:rPr>
        <w:t xml:space="preserve">. </w:t>
      </w:r>
      <w:r w:rsidR="00E9574D" w:rsidRPr="00403C55">
        <w:rPr>
          <w:rFonts w:ascii="Times New Roman" w:hAnsi="Times New Roman" w:cs="Times New Roman"/>
          <w:i/>
          <w:lang w:val="fr-FR"/>
        </w:rPr>
        <w:t>Tendances et estimation de l’espèce</w:t>
      </w:r>
    </w:p>
    <w:p w14:paraId="1FDC5C58" w14:textId="77777777" w:rsidR="00EE1D7D" w:rsidRPr="00403C55" w:rsidRDefault="00EE1D7D" w:rsidP="00EE1D7D">
      <w:pPr>
        <w:spacing w:after="0" w:line="240" w:lineRule="auto"/>
        <w:jc w:val="both"/>
        <w:rPr>
          <w:rFonts w:ascii="Times New Roman" w:hAnsi="Times New Roman" w:cs="Times New Roman"/>
          <w:lang w:val="fr-FR"/>
        </w:rPr>
      </w:pPr>
    </w:p>
    <w:p w14:paraId="63CF6B3E" w14:textId="0082EA55" w:rsidR="00EE1D7D" w:rsidRPr="00403C55" w:rsidRDefault="00E9574D"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Seuls deux pays – le Botswana et la Namibie – ont remis un rapport sur la tendance nationale actuelle du Flamant nain :</w:t>
      </w:r>
      <w:r w:rsidR="00EE1D7D" w:rsidRPr="00403C55">
        <w:rPr>
          <w:rFonts w:ascii="Times New Roman" w:hAnsi="Times New Roman" w:cs="Times New Roman"/>
          <w:lang w:val="fr-FR"/>
        </w:rPr>
        <w:t xml:space="preserve"> </w:t>
      </w:r>
      <w:r w:rsidR="00485296">
        <w:rPr>
          <w:rFonts w:ascii="Times New Roman" w:hAnsi="Times New Roman" w:cs="Times New Roman"/>
          <w:lang w:val="fr-FR"/>
        </w:rPr>
        <w:t>l</w:t>
      </w:r>
      <w:r w:rsidRPr="00403C55">
        <w:rPr>
          <w:rFonts w:ascii="Times New Roman" w:hAnsi="Times New Roman" w:cs="Times New Roman"/>
          <w:lang w:val="fr-FR"/>
        </w:rPr>
        <w:t>e Botswana a indiqué que la tendance à court terme était inconnue et la tendance à long terme en déclin.</w:t>
      </w:r>
      <w:r w:rsidR="00985A4E">
        <w:rPr>
          <w:rFonts w:ascii="Times New Roman" w:hAnsi="Times New Roman" w:cs="Times New Roman"/>
          <w:lang w:val="fr-FR"/>
        </w:rPr>
        <w:t xml:space="preserve"> </w:t>
      </w:r>
      <w:r w:rsidRPr="00403C55">
        <w:rPr>
          <w:rFonts w:ascii="Times New Roman" w:hAnsi="Times New Roman" w:cs="Times New Roman"/>
          <w:lang w:val="fr-FR"/>
        </w:rPr>
        <w:t>La Namibie a indiqué que la tendance à court terme était en augmentation et la tendance à long terme stable.</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 xml:space="preserve">Les estimations nationales de populations données par les pays </w:t>
      </w:r>
      <w:r w:rsidR="00B06CAE" w:rsidRPr="00403C55">
        <w:rPr>
          <w:rFonts w:ascii="Times New Roman" w:hAnsi="Times New Roman" w:cs="Times New Roman"/>
          <w:lang w:val="fr-FR"/>
        </w:rPr>
        <w:t>indépendamment les uns des autres</w:t>
      </w:r>
      <w:r w:rsidRPr="00403C55">
        <w:rPr>
          <w:rFonts w:ascii="Times New Roman" w:hAnsi="Times New Roman" w:cs="Times New Roman"/>
          <w:lang w:val="fr-FR"/>
        </w:rPr>
        <w:t xml:space="preserve"> sont présentées dans le tableau ci-dessous.</w:t>
      </w:r>
    </w:p>
    <w:p w14:paraId="27520A1C" w14:textId="77777777" w:rsidR="00EE1D7D" w:rsidRPr="00403C55" w:rsidRDefault="00EE1D7D" w:rsidP="00EE1D7D">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1631"/>
        <w:gridCol w:w="1468"/>
        <w:gridCol w:w="1537"/>
        <w:gridCol w:w="1690"/>
        <w:gridCol w:w="1122"/>
        <w:gridCol w:w="1612"/>
      </w:tblGrid>
      <w:tr w:rsidR="00EE1D7D" w:rsidRPr="00403C55" w14:paraId="47FD5C01" w14:textId="77777777" w:rsidTr="006C7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115A8CD2" w14:textId="237ABD42" w:rsidR="00EE1D7D" w:rsidRPr="00403C55" w:rsidRDefault="00E9574D" w:rsidP="003F50F9">
            <w:pPr>
              <w:jc w:val="both"/>
              <w:rPr>
                <w:rFonts w:ascii="Times New Roman" w:hAnsi="Times New Roman" w:cs="Times New Roman"/>
                <w:b w:val="0"/>
                <w:i/>
                <w:lang w:val="fr-FR"/>
              </w:rPr>
            </w:pPr>
            <w:r w:rsidRPr="00403C55">
              <w:rPr>
                <w:rFonts w:ascii="Times New Roman" w:hAnsi="Times New Roman" w:cs="Times New Roman"/>
                <w:b w:val="0"/>
                <w:i/>
                <w:lang w:val="fr-FR"/>
              </w:rPr>
              <w:t>État de l'aire de répartition</w:t>
            </w:r>
          </w:p>
        </w:tc>
        <w:tc>
          <w:tcPr>
            <w:tcW w:w="1468" w:type="dxa"/>
          </w:tcPr>
          <w:p w14:paraId="59D9140D" w14:textId="49736A80"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 xml:space="preserve">Total estimation minimale </w:t>
            </w:r>
          </w:p>
        </w:tc>
        <w:tc>
          <w:tcPr>
            <w:tcW w:w="1537" w:type="dxa"/>
          </w:tcPr>
          <w:p w14:paraId="77E326AA" w14:textId="3DAF5ED4"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Total estimation maximale</w:t>
            </w:r>
            <w:r w:rsidR="00EE766F">
              <w:rPr>
                <w:rFonts w:ascii="Times New Roman" w:hAnsi="Times New Roman" w:cs="Times New Roman"/>
                <w:b w:val="0"/>
                <w:i/>
                <w:lang w:val="fr-FR"/>
              </w:rPr>
              <w:t xml:space="preserve"> </w:t>
            </w:r>
          </w:p>
        </w:tc>
        <w:tc>
          <w:tcPr>
            <w:tcW w:w="1690" w:type="dxa"/>
          </w:tcPr>
          <w:p w14:paraId="604F2FD5" w14:textId="2BA6A1A9"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Unité</w:t>
            </w:r>
          </w:p>
        </w:tc>
        <w:tc>
          <w:tcPr>
            <w:tcW w:w="1122" w:type="dxa"/>
          </w:tcPr>
          <w:p w14:paraId="58EAE3C1" w14:textId="0A98E563"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Année</w:t>
            </w:r>
          </w:p>
        </w:tc>
        <w:tc>
          <w:tcPr>
            <w:tcW w:w="1612" w:type="dxa"/>
          </w:tcPr>
          <w:p w14:paraId="46305A19" w14:textId="1B9F2F8C" w:rsidR="00EE1D7D" w:rsidRPr="00403C55" w:rsidRDefault="00E9574D"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Valeur de référence population</w:t>
            </w:r>
          </w:p>
        </w:tc>
      </w:tr>
      <w:tr w:rsidR="005D0534" w:rsidRPr="00403C55" w14:paraId="07CC293D"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vMerge w:val="restart"/>
          </w:tcPr>
          <w:p w14:paraId="5DBF73EB" w14:textId="41455EF6" w:rsidR="005D0534" w:rsidRPr="00403C55" w:rsidRDefault="00E9574D"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Botswana</w:t>
            </w:r>
          </w:p>
        </w:tc>
        <w:tc>
          <w:tcPr>
            <w:tcW w:w="1468" w:type="dxa"/>
          </w:tcPr>
          <w:p w14:paraId="14CEEB3F" w14:textId="54916A2C" w:rsidR="005D0534" w:rsidRPr="00403C55"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16</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430</w:t>
            </w:r>
          </w:p>
        </w:tc>
        <w:tc>
          <w:tcPr>
            <w:tcW w:w="1537" w:type="dxa"/>
          </w:tcPr>
          <w:p w14:paraId="61238070" w14:textId="2A12071B" w:rsidR="005D0534" w:rsidRPr="00403C55"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64</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287</w:t>
            </w:r>
          </w:p>
        </w:tc>
        <w:tc>
          <w:tcPr>
            <w:tcW w:w="1690" w:type="dxa"/>
          </w:tcPr>
          <w:p w14:paraId="77D46BE8" w14:textId="733CA22B" w:rsidR="005D0534" w:rsidRPr="00403C55" w:rsidRDefault="00E9574D"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Couples</w:t>
            </w:r>
          </w:p>
          <w:p w14:paraId="2A033D81" w14:textId="6D2412D5" w:rsidR="005D0534"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(reproduction)</w:t>
            </w:r>
          </w:p>
        </w:tc>
        <w:tc>
          <w:tcPr>
            <w:tcW w:w="1122" w:type="dxa"/>
          </w:tcPr>
          <w:p w14:paraId="595B3828" w14:textId="63AE00FF" w:rsidR="005D0534"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 xml:space="preserve">min. de 1998/2000, max, de </w:t>
            </w:r>
            <w:r w:rsidRPr="00403C55">
              <w:rPr>
                <w:rFonts w:ascii="Times New Roman" w:hAnsi="Times New Roman" w:cs="Times New Roman"/>
                <w:sz w:val="20"/>
                <w:szCs w:val="20"/>
                <w:lang w:val="fr-FR"/>
              </w:rPr>
              <w:lastRenderedPageBreak/>
              <w:t>1999/2000</w:t>
            </w:r>
          </w:p>
        </w:tc>
        <w:tc>
          <w:tcPr>
            <w:tcW w:w="1612" w:type="dxa"/>
          </w:tcPr>
          <w:p w14:paraId="1B863C83" w14:textId="7D639DFB" w:rsidR="005D0534" w:rsidRPr="00403C55"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lastRenderedPageBreak/>
              <w:t>42</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 (1988)</w:t>
            </w:r>
          </w:p>
        </w:tc>
      </w:tr>
      <w:tr w:rsidR="005D0534" w:rsidRPr="00403C55" w14:paraId="64E33EDA" w14:textId="77777777" w:rsidTr="006C7549">
        <w:tc>
          <w:tcPr>
            <w:cnfStyle w:val="001000000000" w:firstRow="0" w:lastRow="0" w:firstColumn="1" w:lastColumn="0" w:oddVBand="0" w:evenVBand="0" w:oddHBand="0" w:evenHBand="0" w:firstRowFirstColumn="0" w:firstRowLastColumn="0" w:lastRowFirstColumn="0" w:lastRowLastColumn="0"/>
            <w:tcW w:w="1631" w:type="dxa"/>
            <w:vMerge/>
          </w:tcPr>
          <w:p w14:paraId="3C06B36C" w14:textId="77777777" w:rsidR="005D0534" w:rsidRPr="00403C55" w:rsidRDefault="005D0534" w:rsidP="007677AA">
            <w:pPr>
              <w:rPr>
                <w:rFonts w:ascii="Times New Roman" w:hAnsi="Times New Roman" w:cs="Times New Roman"/>
                <w:b w:val="0"/>
                <w:lang w:val="fr-FR"/>
              </w:rPr>
            </w:pPr>
          </w:p>
        </w:tc>
        <w:tc>
          <w:tcPr>
            <w:tcW w:w="1468" w:type="dxa"/>
          </w:tcPr>
          <w:p w14:paraId="681E1312" w14:textId="484B48AD" w:rsidR="005D0534" w:rsidRPr="00403C55"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18</w:t>
            </w:r>
          </w:p>
        </w:tc>
        <w:tc>
          <w:tcPr>
            <w:tcW w:w="1537" w:type="dxa"/>
          </w:tcPr>
          <w:p w14:paraId="64CE7566" w14:textId="0B2FE4F3" w:rsidR="005D0534" w:rsidRPr="00403C55"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412</w:t>
            </w:r>
          </w:p>
        </w:tc>
        <w:tc>
          <w:tcPr>
            <w:tcW w:w="1690" w:type="dxa"/>
          </w:tcPr>
          <w:p w14:paraId="51C5AD72" w14:textId="4FA91071" w:rsidR="005D0534" w:rsidRPr="00403C55" w:rsidRDefault="00E9574D"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Individus</w:t>
            </w:r>
          </w:p>
          <w:p w14:paraId="5F7ABE6B" w14:textId="2E4F4837" w:rsidR="005D0534"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(non-reproduction)</w:t>
            </w:r>
          </w:p>
        </w:tc>
        <w:tc>
          <w:tcPr>
            <w:tcW w:w="1122" w:type="dxa"/>
          </w:tcPr>
          <w:p w14:paraId="02E7EC16" w14:textId="073D1F47" w:rsidR="005D0534" w:rsidRPr="00403C55"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2008</w:t>
            </w:r>
          </w:p>
        </w:tc>
        <w:tc>
          <w:tcPr>
            <w:tcW w:w="1612" w:type="dxa"/>
          </w:tcPr>
          <w:p w14:paraId="1658B9F9" w14:textId="4EE5AAAD" w:rsidR="005D0534" w:rsidRPr="00403C55"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412 (2008)</w:t>
            </w:r>
          </w:p>
        </w:tc>
      </w:tr>
      <w:tr w:rsidR="00EE1D7D" w:rsidRPr="00403C55" w14:paraId="7EC8C027"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3E56ACC0" w14:textId="2E681B51" w:rsidR="00EE1D7D" w:rsidRPr="00403C55" w:rsidRDefault="00E9574D"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Éthiopie</w:t>
            </w:r>
          </w:p>
        </w:tc>
        <w:tc>
          <w:tcPr>
            <w:tcW w:w="1468" w:type="dxa"/>
          </w:tcPr>
          <w:p w14:paraId="1E2E264E" w14:textId="1FF4C0D6" w:rsidR="00EE1D7D" w:rsidRPr="00403C55"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160</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537" w:type="dxa"/>
          </w:tcPr>
          <w:p w14:paraId="6B804F08" w14:textId="2ADD2BDC" w:rsidR="00EE1D7D" w:rsidRPr="00403C55"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170</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690" w:type="dxa"/>
          </w:tcPr>
          <w:p w14:paraId="3464D7CC" w14:textId="18E3C433" w:rsidR="00EE1D7D" w:rsidRPr="00403C55" w:rsidRDefault="00E9574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Individus</w:t>
            </w:r>
          </w:p>
          <w:p w14:paraId="1BB78A8C" w14:textId="64071FAC" w:rsidR="00EE1D7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(non-reproduction)</w:t>
            </w:r>
          </w:p>
        </w:tc>
        <w:tc>
          <w:tcPr>
            <w:tcW w:w="1122" w:type="dxa"/>
          </w:tcPr>
          <w:p w14:paraId="6B4AE3BD" w14:textId="77777777" w:rsidR="00EE1D7D" w:rsidRPr="00403C55"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2015</w:t>
            </w:r>
          </w:p>
        </w:tc>
        <w:tc>
          <w:tcPr>
            <w:tcW w:w="1612" w:type="dxa"/>
          </w:tcPr>
          <w:p w14:paraId="330FC36B" w14:textId="49F36046" w:rsidR="00EE1D7D" w:rsidRPr="00403C55"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146</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 (1990)</w:t>
            </w:r>
          </w:p>
        </w:tc>
      </w:tr>
      <w:tr w:rsidR="006C7549" w:rsidRPr="00403C55" w14:paraId="709B8217" w14:textId="77777777" w:rsidTr="006C7549">
        <w:tc>
          <w:tcPr>
            <w:cnfStyle w:val="001000000000" w:firstRow="0" w:lastRow="0" w:firstColumn="1" w:lastColumn="0" w:oddVBand="0" w:evenVBand="0" w:oddHBand="0" w:evenHBand="0" w:firstRowFirstColumn="0" w:firstRowLastColumn="0" w:lastRowFirstColumn="0" w:lastRowLastColumn="0"/>
            <w:tcW w:w="1631" w:type="dxa"/>
          </w:tcPr>
          <w:p w14:paraId="768081AA" w14:textId="24218D5F" w:rsidR="007677AA" w:rsidRPr="00403C55" w:rsidRDefault="00E9574D"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Guinée</w:t>
            </w:r>
          </w:p>
        </w:tc>
        <w:tc>
          <w:tcPr>
            <w:tcW w:w="1468" w:type="dxa"/>
          </w:tcPr>
          <w:p w14:paraId="3AFB4D5F" w14:textId="04F21CFE" w:rsidR="007677AA" w:rsidRPr="00403C55"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300</w:t>
            </w:r>
          </w:p>
        </w:tc>
        <w:tc>
          <w:tcPr>
            <w:tcW w:w="1537" w:type="dxa"/>
          </w:tcPr>
          <w:p w14:paraId="55D3FDAB" w14:textId="497D6334" w:rsidR="007677AA" w:rsidRPr="00403C55"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5</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690" w:type="dxa"/>
          </w:tcPr>
          <w:p w14:paraId="5641BF8B" w14:textId="4F0AD6BD" w:rsidR="007677AA" w:rsidRPr="00403C55" w:rsidRDefault="00E9574D"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Individus</w:t>
            </w:r>
          </w:p>
          <w:p w14:paraId="40B75FE3" w14:textId="4D2E986A" w:rsidR="007677AA"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(non-reproduction)</w:t>
            </w:r>
          </w:p>
        </w:tc>
        <w:tc>
          <w:tcPr>
            <w:tcW w:w="1122" w:type="dxa"/>
          </w:tcPr>
          <w:p w14:paraId="55E66E57" w14:textId="08DDDE62" w:rsidR="007677AA" w:rsidRPr="00403C55"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2010-2015</w:t>
            </w:r>
          </w:p>
        </w:tc>
        <w:tc>
          <w:tcPr>
            <w:tcW w:w="1612" w:type="dxa"/>
          </w:tcPr>
          <w:p w14:paraId="0423E882" w14:textId="25B23949" w:rsidR="007677AA" w:rsidRPr="00403C55"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5</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 (2015)</w:t>
            </w:r>
          </w:p>
        </w:tc>
      </w:tr>
      <w:tr w:rsidR="00A66AB1" w:rsidRPr="00403C55" w14:paraId="606DA84B"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18DA9568" w14:textId="22EBED3A" w:rsidR="00A66AB1" w:rsidRPr="00403C55" w:rsidRDefault="00E9574D"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Kenya</w:t>
            </w:r>
          </w:p>
        </w:tc>
        <w:tc>
          <w:tcPr>
            <w:tcW w:w="1468" w:type="dxa"/>
          </w:tcPr>
          <w:p w14:paraId="14A283BC" w14:textId="4B238BD2" w:rsidR="00A66AB1" w:rsidRPr="00403C55"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028</w:t>
            </w:r>
          </w:p>
        </w:tc>
        <w:tc>
          <w:tcPr>
            <w:tcW w:w="1537" w:type="dxa"/>
          </w:tcPr>
          <w:p w14:paraId="39A48BAE" w14:textId="02E10E01" w:rsidR="00A66AB1" w:rsidRPr="00403C55"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028</w:t>
            </w:r>
          </w:p>
        </w:tc>
        <w:tc>
          <w:tcPr>
            <w:tcW w:w="1690" w:type="dxa"/>
          </w:tcPr>
          <w:p w14:paraId="37F2117E" w14:textId="0D62199A" w:rsidR="00A66AB1" w:rsidRPr="00403C55" w:rsidRDefault="00E9574D"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Individus</w:t>
            </w:r>
          </w:p>
          <w:p w14:paraId="788F5784" w14:textId="5AE4BB21" w:rsidR="00E434BD" w:rsidRPr="00403C55" w:rsidRDefault="00E9574D"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(non-reproduction)</w:t>
            </w:r>
          </w:p>
        </w:tc>
        <w:tc>
          <w:tcPr>
            <w:tcW w:w="1122" w:type="dxa"/>
          </w:tcPr>
          <w:p w14:paraId="2E1D63D5" w14:textId="79973456" w:rsidR="00A66AB1" w:rsidRPr="00403C55"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2014</w:t>
            </w:r>
          </w:p>
        </w:tc>
        <w:tc>
          <w:tcPr>
            <w:tcW w:w="1612" w:type="dxa"/>
          </w:tcPr>
          <w:p w14:paraId="388BA60A" w14:textId="2E4EA324" w:rsidR="00A66AB1" w:rsidRPr="00403C55"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32</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9433 (2008)</w:t>
            </w:r>
          </w:p>
        </w:tc>
      </w:tr>
      <w:tr w:rsidR="005D0534" w:rsidRPr="00403C55" w14:paraId="626EBF2F" w14:textId="77777777" w:rsidTr="006C7549">
        <w:tc>
          <w:tcPr>
            <w:cnfStyle w:val="001000000000" w:firstRow="0" w:lastRow="0" w:firstColumn="1" w:lastColumn="0" w:oddVBand="0" w:evenVBand="0" w:oddHBand="0" w:evenHBand="0" w:firstRowFirstColumn="0" w:firstRowLastColumn="0" w:lastRowFirstColumn="0" w:lastRowLastColumn="0"/>
            <w:tcW w:w="1631" w:type="dxa"/>
            <w:vMerge w:val="restart"/>
          </w:tcPr>
          <w:p w14:paraId="7098E8B9" w14:textId="5A0B7367" w:rsidR="005D0534" w:rsidRPr="00403C55" w:rsidRDefault="00E9574D"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Namibie</w:t>
            </w:r>
          </w:p>
        </w:tc>
        <w:tc>
          <w:tcPr>
            <w:tcW w:w="1468" w:type="dxa"/>
          </w:tcPr>
          <w:p w14:paraId="352507A1" w14:textId="2DB7E536" w:rsidR="005D0534" w:rsidRPr="00403C55"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5</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537" w:type="dxa"/>
          </w:tcPr>
          <w:p w14:paraId="68A2803B" w14:textId="6E68F247" w:rsidR="005D0534" w:rsidRPr="00403C55"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10</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690" w:type="dxa"/>
          </w:tcPr>
          <w:p w14:paraId="0093D418" w14:textId="1F4A9548" w:rsidR="005D0534" w:rsidRPr="00403C55" w:rsidRDefault="00E9574D"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Individus</w:t>
            </w:r>
          </w:p>
          <w:p w14:paraId="3D1E41FB" w14:textId="407748B9" w:rsidR="005D0534" w:rsidRPr="00403C55" w:rsidRDefault="00E9574D"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(reproduction)</w:t>
            </w:r>
          </w:p>
        </w:tc>
        <w:tc>
          <w:tcPr>
            <w:tcW w:w="1122" w:type="dxa"/>
          </w:tcPr>
          <w:p w14:paraId="4CD61F43" w14:textId="68BE91EC" w:rsidR="005D0534" w:rsidRPr="00403C55"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2013-2015</w:t>
            </w:r>
          </w:p>
        </w:tc>
        <w:tc>
          <w:tcPr>
            <w:tcW w:w="1612" w:type="dxa"/>
          </w:tcPr>
          <w:p w14:paraId="4D7A2874" w14:textId="6628391D" w:rsidR="005D0534" w:rsidRPr="00403C55" w:rsidRDefault="00D96BF6"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P</w:t>
            </w:r>
            <w:r w:rsidR="00E9574D" w:rsidRPr="00403C55">
              <w:rPr>
                <w:rFonts w:ascii="Times New Roman" w:hAnsi="Times New Roman" w:cs="Times New Roman"/>
                <w:sz w:val="20"/>
                <w:szCs w:val="20"/>
                <w:lang w:val="fr-FR"/>
              </w:rPr>
              <w:t>as d’information</w:t>
            </w:r>
            <w:r w:rsidR="00483609" w:rsidRPr="00403C55">
              <w:rPr>
                <w:rFonts w:ascii="Times New Roman" w:hAnsi="Times New Roman" w:cs="Times New Roman"/>
                <w:sz w:val="20"/>
                <w:szCs w:val="20"/>
                <w:lang w:val="fr-FR"/>
              </w:rPr>
              <w:t xml:space="preserve"> fournie</w:t>
            </w:r>
          </w:p>
        </w:tc>
      </w:tr>
      <w:tr w:rsidR="005D0534" w:rsidRPr="00403C55" w14:paraId="70C9AF7C"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vMerge/>
          </w:tcPr>
          <w:p w14:paraId="69DE3D34" w14:textId="6E62377F" w:rsidR="005D0534" w:rsidRPr="00403C55" w:rsidRDefault="005D0534" w:rsidP="005D0534">
            <w:pPr>
              <w:rPr>
                <w:rFonts w:ascii="Times New Roman" w:hAnsi="Times New Roman" w:cs="Times New Roman"/>
                <w:b w:val="0"/>
                <w:sz w:val="20"/>
                <w:szCs w:val="20"/>
                <w:lang w:val="fr-FR"/>
              </w:rPr>
            </w:pPr>
          </w:p>
        </w:tc>
        <w:tc>
          <w:tcPr>
            <w:tcW w:w="1468" w:type="dxa"/>
          </w:tcPr>
          <w:p w14:paraId="0DDEECAE" w14:textId="285F607E" w:rsidR="005D0534" w:rsidRPr="00403C55"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537" w:type="dxa"/>
          </w:tcPr>
          <w:p w14:paraId="3C2A7B32" w14:textId="63A93BD3" w:rsidR="005D0534" w:rsidRPr="00403C55"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50</w:t>
            </w:r>
            <w:r w:rsidR="00985A4E">
              <w:rPr>
                <w:rFonts w:ascii="Times New Roman" w:hAnsi="Times New Roman" w:cs="Times New Roman"/>
                <w:sz w:val="20"/>
                <w:szCs w:val="20"/>
                <w:lang w:val="fr-FR"/>
              </w:rPr>
              <w:t> </w:t>
            </w:r>
            <w:r w:rsidRPr="00403C55">
              <w:rPr>
                <w:rFonts w:ascii="Times New Roman" w:hAnsi="Times New Roman" w:cs="Times New Roman"/>
                <w:sz w:val="20"/>
                <w:szCs w:val="20"/>
                <w:lang w:val="fr-FR"/>
              </w:rPr>
              <w:t>000</w:t>
            </w:r>
          </w:p>
        </w:tc>
        <w:tc>
          <w:tcPr>
            <w:tcW w:w="1690" w:type="dxa"/>
          </w:tcPr>
          <w:p w14:paraId="79943CDA" w14:textId="6EFF820F" w:rsidR="005D0534" w:rsidRPr="00403C55" w:rsidRDefault="00483609"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Individus</w:t>
            </w:r>
          </w:p>
          <w:p w14:paraId="44C4F88B" w14:textId="77BB2EC7" w:rsidR="005D0534" w:rsidRPr="00403C55" w:rsidRDefault="00483609"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(non-reproduction)</w:t>
            </w:r>
          </w:p>
        </w:tc>
        <w:tc>
          <w:tcPr>
            <w:tcW w:w="1122" w:type="dxa"/>
          </w:tcPr>
          <w:p w14:paraId="537FBBFF" w14:textId="1629B898" w:rsidR="005D0534" w:rsidRPr="00403C55"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2013-2015</w:t>
            </w:r>
          </w:p>
        </w:tc>
        <w:tc>
          <w:tcPr>
            <w:tcW w:w="1612" w:type="dxa"/>
          </w:tcPr>
          <w:p w14:paraId="665BF4C2" w14:textId="591DA970" w:rsidR="005D0534" w:rsidRPr="00403C55" w:rsidRDefault="00D96BF6"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P</w:t>
            </w:r>
            <w:r w:rsidR="00483609" w:rsidRPr="00403C55">
              <w:rPr>
                <w:rFonts w:ascii="Times New Roman" w:hAnsi="Times New Roman" w:cs="Times New Roman"/>
                <w:sz w:val="20"/>
                <w:szCs w:val="20"/>
                <w:lang w:val="fr-FR"/>
              </w:rPr>
              <w:t>as d’information fournie</w:t>
            </w:r>
          </w:p>
        </w:tc>
      </w:tr>
      <w:tr w:rsidR="00073727" w:rsidRPr="00403C55" w14:paraId="0BA33771" w14:textId="77777777" w:rsidTr="00A01A49">
        <w:tc>
          <w:tcPr>
            <w:cnfStyle w:val="001000000000" w:firstRow="0" w:lastRow="0" w:firstColumn="1" w:lastColumn="0" w:oddVBand="0" w:evenVBand="0" w:oddHBand="0" w:evenHBand="0" w:firstRowFirstColumn="0" w:firstRowLastColumn="0" w:lastRowFirstColumn="0" w:lastRowLastColumn="0"/>
            <w:tcW w:w="1631" w:type="dxa"/>
          </w:tcPr>
          <w:p w14:paraId="12423AC8" w14:textId="51DFA21E" w:rsidR="00073727" w:rsidRPr="00403C55" w:rsidRDefault="00483609"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Sénégal</w:t>
            </w:r>
          </w:p>
        </w:tc>
        <w:tc>
          <w:tcPr>
            <w:tcW w:w="7429" w:type="dxa"/>
            <w:gridSpan w:val="5"/>
          </w:tcPr>
          <w:p w14:paraId="609D3FBE" w14:textId="44FE2B19" w:rsidR="00073727" w:rsidRPr="00403C55" w:rsidRDefault="00483609"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sz w:val="20"/>
                <w:szCs w:val="20"/>
                <w:lang w:val="fr-FR"/>
              </w:rPr>
              <w:t>pas d’information fournie</w:t>
            </w:r>
          </w:p>
        </w:tc>
      </w:tr>
      <w:tr w:rsidR="005D0534" w:rsidRPr="00403C55" w14:paraId="79C788DF" w14:textId="77777777" w:rsidTr="0001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045E0F4D" w14:textId="4ED3B65C" w:rsidR="005D0534" w:rsidRPr="00403C55" w:rsidRDefault="00483609"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Tanzanie</w:t>
            </w:r>
          </w:p>
        </w:tc>
        <w:tc>
          <w:tcPr>
            <w:tcW w:w="7429" w:type="dxa"/>
            <w:gridSpan w:val="5"/>
          </w:tcPr>
          <w:p w14:paraId="09D2DF27" w14:textId="657F42A3" w:rsidR="005D0534" w:rsidRPr="00403C55" w:rsidRDefault="00483609"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pas d’information fournie</w:t>
            </w:r>
          </w:p>
        </w:tc>
      </w:tr>
    </w:tbl>
    <w:p w14:paraId="76DACB91" w14:textId="77777777" w:rsidR="00EE1D7D" w:rsidRPr="00403C55" w:rsidRDefault="00EE1D7D" w:rsidP="00EE1D7D">
      <w:pPr>
        <w:spacing w:after="0" w:line="240" w:lineRule="auto"/>
        <w:jc w:val="both"/>
        <w:rPr>
          <w:rFonts w:ascii="Times New Roman" w:hAnsi="Times New Roman" w:cs="Times New Roman"/>
          <w:lang w:val="fr-FR"/>
        </w:rPr>
      </w:pPr>
    </w:p>
    <w:p w14:paraId="7C58CBFE" w14:textId="77777777" w:rsidR="00AD158D" w:rsidRPr="00403C55" w:rsidRDefault="00AD158D" w:rsidP="00EE1D7D">
      <w:pPr>
        <w:spacing w:after="0" w:line="240" w:lineRule="auto"/>
        <w:jc w:val="both"/>
        <w:rPr>
          <w:rFonts w:ascii="Times New Roman" w:hAnsi="Times New Roman" w:cs="Times New Roman"/>
          <w:lang w:val="fr-FR"/>
        </w:rPr>
      </w:pPr>
    </w:p>
    <w:p w14:paraId="42C083EB" w14:textId="651B8CFC" w:rsidR="00EE1D7D" w:rsidRPr="00403C55" w:rsidRDefault="00EE1D7D" w:rsidP="00D629E5">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4. </w:t>
      </w:r>
      <w:r w:rsidR="00483609" w:rsidRPr="00403C55">
        <w:rPr>
          <w:rFonts w:ascii="Times New Roman" w:hAnsi="Times New Roman" w:cs="Times New Roman"/>
          <w:i/>
          <w:lang w:val="fr-FR"/>
        </w:rPr>
        <w:t>Structures nationales de mise en œuvre</w:t>
      </w:r>
    </w:p>
    <w:p w14:paraId="6E91AD27" w14:textId="77777777" w:rsidR="00EE1D7D" w:rsidRPr="00403C55" w:rsidRDefault="00EE1D7D" w:rsidP="00EE1D7D">
      <w:pPr>
        <w:spacing w:after="0" w:line="240" w:lineRule="auto"/>
        <w:jc w:val="both"/>
        <w:rPr>
          <w:rFonts w:ascii="Times New Roman" w:hAnsi="Times New Roman" w:cs="Times New Roman"/>
          <w:i/>
          <w:lang w:val="fr-FR"/>
        </w:rPr>
      </w:pPr>
    </w:p>
    <w:p w14:paraId="65ACA8C0" w14:textId="670431C7" w:rsidR="00EE1D7D" w:rsidRPr="00403C55" w:rsidRDefault="0048360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Seuls deux pays ont rapporté avoir établi des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pour le Flamant nain (la Guinée et la Tanzanie) et deux pays ont indiqué avoir établi des groupes de travail nationaux pour l’espèce (la Guinée et la Namibie).</w:t>
      </w:r>
    </w:p>
    <w:p w14:paraId="2BD2CA0F" w14:textId="77777777" w:rsidR="00EE1D7D" w:rsidRPr="00403C55" w:rsidRDefault="00EE1D7D" w:rsidP="00EE1D7D">
      <w:pPr>
        <w:spacing w:after="0" w:line="240" w:lineRule="auto"/>
        <w:jc w:val="both"/>
        <w:rPr>
          <w:rFonts w:ascii="Times New Roman" w:hAnsi="Times New Roman" w:cs="Times New Roman"/>
          <w:i/>
          <w:lang w:val="fr-FR"/>
        </w:rPr>
      </w:pPr>
    </w:p>
    <w:tbl>
      <w:tblPr>
        <w:tblStyle w:val="TableGrid"/>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869"/>
      </w:tblGrid>
      <w:tr w:rsidR="00EE1D7D" w:rsidRPr="00403C55" w14:paraId="66CD96D2" w14:textId="77777777" w:rsidTr="00073727">
        <w:trPr>
          <w:trHeight w:val="3823"/>
        </w:trPr>
        <w:tc>
          <w:tcPr>
            <w:tcW w:w="4472" w:type="dxa"/>
          </w:tcPr>
          <w:p w14:paraId="509E6209" w14:textId="5CF2E9C2" w:rsidR="00EE1D7D" w:rsidRPr="00403C55" w:rsidRDefault="00073727" w:rsidP="00CC46D2">
            <w:pPr>
              <w:jc w:val="both"/>
              <w:rPr>
                <w:rFonts w:ascii="Times New Roman" w:hAnsi="Times New Roman" w:cs="Times New Roman"/>
                <w:lang w:val="fr-FR"/>
              </w:rPr>
            </w:pPr>
            <w:r w:rsidRPr="00403C55">
              <w:rPr>
                <w:noProof/>
              </w:rPr>
              <w:drawing>
                <wp:inline distT="0" distB="0" distL="0" distR="0" wp14:anchorId="6DFE9BF4" wp14:editId="2DC04F32">
                  <wp:extent cx="2562225" cy="21907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869" w:type="dxa"/>
          </w:tcPr>
          <w:p w14:paraId="6723E323" w14:textId="6C1848FE" w:rsidR="00EE1D7D" w:rsidRPr="00403C55" w:rsidRDefault="00073727" w:rsidP="00CC46D2">
            <w:pPr>
              <w:jc w:val="both"/>
              <w:rPr>
                <w:rFonts w:ascii="Times New Roman" w:hAnsi="Times New Roman" w:cs="Times New Roman"/>
                <w:lang w:val="fr-FR"/>
              </w:rPr>
            </w:pPr>
            <w:r w:rsidRPr="00403C55">
              <w:rPr>
                <w:noProof/>
              </w:rPr>
              <w:drawing>
                <wp:inline distT="0" distB="0" distL="0" distR="0" wp14:anchorId="7AB53207" wp14:editId="0A77FC75">
                  <wp:extent cx="2752725" cy="21621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37792F8" w14:textId="3B31E037" w:rsidR="003C5766" w:rsidRPr="00403C55" w:rsidRDefault="003C5766" w:rsidP="003C5766">
      <w:pPr>
        <w:tabs>
          <w:tab w:val="left" w:pos="851"/>
          <w:tab w:val="left" w:pos="1701"/>
          <w:tab w:val="left" w:pos="4962"/>
        </w:tabs>
        <w:spacing w:after="0" w:line="240" w:lineRule="auto"/>
        <w:rPr>
          <w:rFonts w:ascii="Arial" w:hAnsi="Arial" w:cs="Arial"/>
          <w:sz w:val="20"/>
          <w:szCs w:val="20"/>
          <w:lang w:val="fr-FR"/>
        </w:rPr>
      </w:pP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t>Pas d’information fournie</w:t>
      </w:r>
      <w:r w:rsidRPr="00403C55">
        <w:rPr>
          <w:rFonts w:ascii="Arial" w:hAnsi="Arial" w:cs="Arial"/>
          <w:sz w:val="20"/>
          <w:szCs w:val="20"/>
          <w:lang w:val="fr-FR"/>
        </w:rPr>
        <w:tab/>
        <w:t>Oui</w:t>
      </w:r>
      <w:r w:rsidRPr="00403C55">
        <w:rPr>
          <w:rFonts w:ascii="Arial" w:hAnsi="Arial" w:cs="Arial"/>
          <w:sz w:val="20"/>
          <w:szCs w:val="20"/>
          <w:lang w:val="fr-FR"/>
        </w:rPr>
        <w:tab/>
        <w:t>Non</w:t>
      </w:r>
      <w:r w:rsidRPr="00403C55">
        <w:rPr>
          <w:rFonts w:ascii="Arial" w:hAnsi="Arial" w:cs="Arial"/>
          <w:sz w:val="20"/>
          <w:szCs w:val="20"/>
          <w:lang w:val="fr-FR"/>
        </w:rPr>
        <w:tab/>
        <w:t>Pas d’information fournie</w:t>
      </w:r>
    </w:p>
    <w:p w14:paraId="458C5EB2" w14:textId="77777777" w:rsidR="00020461" w:rsidRPr="00403C55" w:rsidRDefault="00020461" w:rsidP="003C5766">
      <w:pPr>
        <w:tabs>
          <w:tab w:val="left" w:pos="851"/>
          <w:tab w:val="left" w:pos="1701"/>
          <w:tab w:val="left" w:pos="4962"/>
        </w:tabs>
        <w:spacing w:after="0" w:line="240" w:lineRule="auto"/>
        <w:rPr>
          <w:rFonts w:ascii="Arial" w:hAnsi="Arial" w:cs="Arial"/>
          <w:sz w:val="20"/>
          <w:szCs w:val="20"/>
          <w:lang w:val="fr-FR"/>
        </w:rPr>
      </w:pPr>
    </w:p>
    <w:p w14:paraId="726AF404" w14:textId="5C3AF4DD" w:rsidR="00D629E5" w:rsidRPr="00403C55" w:rsidRDefault="00D629E5" w:rsidP="00D629E5">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5. </w:t>
      </w:r>
      <w:r w:rsidR="00483609" w:rsidRPr="00403C55">
        <w:rPr>
          <w:rFonts w:ascii="Times New Roman" w:hAnsi="Times New Roman" w:cs="Times New Roman"/>
          <w:i/>
          <w:lang w:val="fr-FR"/>
        </w:rPr>
        <w:t xml:space="preserve">Mise en œuvre des activités du plan </w:t>
      </w:r>
      <w:r w:rsidR="0003562F">
        <w:rPr>
          <w:rFonts w:ascii="Times New Roman" w:hAnsi="Times New Roman" w:cs="Times New Roman"/>
          <w:i/>
          <w:lang w:val="fr-FR"/>
        </w:rPr>
        <w:t>d’action</w:t>
      </w:r>
    </w:p>
    <w:p w14:paraId="4DA95E05" w14:textId="77777777" w:rsidR="00D629E5" w:rsidRPr="00403C55" w:rsidRDefault="00D629E5" w:rsidP="00EE1D7D">
      <w:pPr>
        <w:spacing w:after="0" w:line="240" w:lineRule="auto"/>
        <w:jc w:val="both"/>
        <w:rPr>
          <w:rFonts w:ascii="Times New Roman" w:hAnsi="Times New Roman" w:cs="Times New Roman"/>
          <w:i/>
          <w:lang w:val="fr-FR"/>
        </w:rPr>
      </w:pPr>
    </w:p>
    <w:p w14:paraId="781FDFB6" w14:textId="49D44B5E" w:rsidR="00EE1D7D" w:rsidRPr="00403C55" w:rsidRDefault="00EE1D7D"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w:t>
      </w:r>
      <w:r w:rsidR="00D629E5" w:rsidRPr="00403C55">
        <w:rPr>
          <w:rFonts w:ascii="Times New Roman" w:hAnsi="Times New Roman" w:cs="Times New Roman"/>
          <w:i/>
          <w:lang w:val="fr-FR"/>
        </w:rPr>
        <w:t>1.</w:t>
      </w:r>
      <w:r w:rsidRPr="00403C55">
        <w:rPr>
          <w:rFonts w:ascii="Times New Roman" w:hAnsi="Times New Roman" w:cs="Times New Roman"/>
          <w:i/>
          <w:lang w:val="fr-FR"/>
        </w:rPr>
        <w:t xml:space="preserve"> </w:t>
      </w:r>
      <w:r w:rsidR="00483609" w:rsidRPr="00403C55">
        <w:rPr>
          <w:rFonts w:ascii="Times New Roman" w:hAnsi="Times New Roman" w:cs="Times New Roman"/>
          <w:i/>
          <w:lang w:val="fr-FR"/>
        </w:rPr>
        <w:t xml:space="preserve">Résultat 1 du plan </w:t>
      </w:r>
      <w:r w:rsidR="0003562F">
        <w:rPr>
          <w:rFonts w:ascii="Times New Roman" w:hAnsi="Times New Roman" w:cs="Times New Roman"/>
          <w:i/>
          <w:lang w:val="fr-FR"/>
        </w:rPr>
        <w:t>d’action</w:t>
      </w:r>
      <w:r w:rsidR="00483609" w:rsidRPr="00403C55">
        <w:rPr>
          <w:rFonts w:ascii="Times New Roman" w:hAnsi="Times New Roman" w:cs="Times New Roman"/>
          <w:i/>
          <w:lang w:val="fr-FR"/>
        </w:rPr>
        <w:t xml:space="preserve"> – S’assurer que tous les principaux sites de reproduction et d’alimentation sont maintenus dans de bonnes conditions écologiques</w:t>
      </w:r>
      <w:r w:rsidR="006D2E2E" w:rsidRPr="00403C55">
        <w:rPr>
          <w:rFonts w:ascii="Times New Roman" w:hAnsi="Times New Roman" w:cs="Times New Roman"/>
          <w:i/>
          <w:lang w:val="fr-FR"/>
        </w:rPr>
        <w:t xml:space="preserve"> </w:t>
      </w:r>
    </w:p>
    <w:p w14:paraId="79D638C2" w14:textId="77777777" w:rsidR="00EE1D7D" w:rsidRPr="00403C55" w:rsidRDefault="00EE1D7D" w:rsidP="00EE1D7D">
      <w:pPr>
        <w:spacing w:after="0" w:line="240" w:lineRule="auto"/>
        <w:jc w:val="both"/>
        <w:rPr>
          <w:rFonts w:ascii="Times New Roman" w:hAnsi="Times New Roman" w:cs="Times New Roman"/>
          <w:i/>
          <w:lang w:val="fr-FR"/>
        </w:rPr>
      </w:pPr>
    </w:p>
    <w:p w14:paraId="2A4C5D32" w14:textId="40A4E46D" w:rsidR="00EE1D7D" w:rsidRPr="00403C55" w:rsidRDefault="0048360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Six pays ont fait savoir que tous les sites de reproduction et d’alimentation ont été dotés d’un statut officiel de protection, soit en tant qu’aires protégées nationales, soit en tant que sites Ramsar, ZICO de BirdLife, ou sites du Patrimoine mondial, ou une combinaison de ceux-ci (activité 1.1 / critique / 50</w:t>
      </w:r>
      <w:r w:rsidR="00485296">
        <w:rPr>
          <w:rFonts w:ascii="Times New Roman" w:hAnsi="Times New Roman" w:cs="Times New Roman"/>
          <w:lang w:val="fr-FR"/>
        </w:rPr>
        <w:t> </w:t>
      </w:r>
      <w:r w:rsidRPr="00403C55">
        <w:rPr>
          <w:rFonts w:ascii="Times New Roman" w:hAnsi="Times New Roman" w:cs="Times New Roman"/>
          <w:lang w:val="fr-FR"/>
        </w:rPr>
        <w:t>%).</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Cinq pays ont également indiqué avoir identifié des conditions de base de durabilité pour l’habitat du Flamant nain et avoir assuré que les sites clés sont maintenus dans un état écologique favorable (activité 1.2 / élevé / 50 %).</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 xml:space="preserve">Les mesures indiquées comme étant mises en œuvre incluent la </w:t>
      </w:r>
      <w:r w:rsidRPr="00403C55">
        <w:rPr>
          <w:rFonts w:ascii="Times New Roman" w:hAnsi="Times New Roman" w:cs="Times New Roman"/>
          <w:lang w:val="fr-FR"/>
        </w:rPr>
        <w:lastRenderedPageBreak/>
        <w:t>désignation de sites de reproduction en tant qu’aires protégées ainsi que la surveillance, la protection et la gestion des sites clés.</w:t>
      </w:r>
    </w:p>
    <w:p w14:paraId="4E9FFE3C" w14:textId="77777777" w:rsidR="00EE1D7D" w:rsidRPr="00403C55" w:rsidRDefault="00EE1D7D" w:rsidP="00EE1D7D">
      <w:pPr>
        <w:spacing w:after="0" w:line="240" w:lineRule="auto"/>
        <w:jc w:val="both"/>
        <w:rPr>
          <w:rFonts w:ascii="Times New Roman" w:hAnsi="Times New Roman" w:cs="Times New Roman"/>
          <w:lang w:val="fr-FR"/>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14"/>
      </w:tblGrid>
      <w:tr w:rsidR="00EE1D7D" w:rsidRPr="00403C55" w14:paraId="3E984A9D" w14:textId="77777777" w:rsidTr="00357969">
        <w:trPr>
          <w:trHeight w:val="4035"/>
        </w:trPr>
        <w:tc>
          <w:tcPr>
            <w:tcW w:w="4656" w:type="dxa"/>
          </w:tcPr>
          <w:p w14:paraId="6AE9310A" w14:textId="49A6DE12" w:rsidR="00EE1D7D" w:rsidRPr="00403C55" w:rsidRDefault="00357969" w:rsidP="00CC46D2">
            <w:pPr>
              <w:jc w:val="both"/>
              <w:rPr>
                <w:rFonts w:ascii="Times New Roman" w:hAnsi="Times New Roman" w:cs="Times New Roman"/>
                <w:lang w:val="fr-FR"/>
              </w:rPr>
            </w:pPr>
            <w:r w:rsidRPr="00403C55">
              <w:rPr>
                <w:noProof/>
              </w:rPr>
              <w:drawing>
                <wp:inline distT="0" distB="0" distL="0" distR="0" wp14:anchorId="21A2342E" wp14:editId="5AF5EBF3">
                  <wp:extent cx="2809875" cy="24479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714" w:type="dxa"/>
          </w:tcPr>
          <w:p w14:paraId="0F0B4665" w14:textId="2687CD0C" w:rsidR="00EE1D7D" w:rsidRPr="00403C55" w:rsidRDefault="00357969" w:rsidP="00CC46D2">
            <w:pPr>
              <w:jc w:val="both"/>
              <w:rPr>
                <w:rFonts w:ascii="Times New Roman" w:hAnsi="Times New Roman" w:cs="Times New Roman"/>
                <w:lang w:val="fr-FR"/>
              </w:rPr>
            </w:pPr>
            <w:r w:rsidRPr="00403C55">
              <w:rPr>
                <w:noProof/>
              </w:rPr>
              <w:drawing>
                <wp:inline distT="0" distB="0" distL="0" distR="0" wp14:anchorId="42D217B5" wp14:editId="252CB595">
                  <wp:extent cx="2800350" cy="2466975"/>
                  <wp:effectExtent l="0" t="0" r="1905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05B0FC5A" w14:textId="35390B41" w:rsidR="003C5766" w:rsidRPr="00403C55" w:rsidRDefault="003C5766" w:rsidP="00CF0E12">
      <w:pPr>
        <w:tabs>
          <w:tab w:val="left" w:pos="567"/>
          <w:tab w:val="left" w:pos="1276"/>
          <w:tab w:val="left" w:pos="2694"/>
          <w:tab w:val="left" w:pos="4678"/>
          <w:tab w:val="left" w:pos="5245"/>
          <w:tab w:val="left" w:pos="5954"/>
          <w:tab w:val="left" w:pos="7371"/>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r w:rsidR="00CF0E12" w:rsidRPr="00403C55">
        <w:rPr>
          <w:rFonts w:ascii="Times New Roman" w:hAnsi="Times New Roman" w:cs="Times New Roman"/>
          <w:lang w:val="fr-FR"/>
        </w:rPr>
        <w:tab/>
        <w:t>Oui</w:t>
      </w:r>
      <w:r w:rsidR="00CF0E12" w:rsidRPr="00403C55">
        <w:rPr>
          <w:rFonts w:ascii="Times New Roman" w:hAnsi="Times New Roman" w:cs="Times New Roman"/>
          <w:lang w:val="fr-FR"/>
        </w:rPr>
        <w:tab/>
        <w:t>Non</w:t>
      </w:r>
      <w:r w:rsidR="00CF0E12" w:rsidRPr="00403C55">
        <w:rPr>
          <w:rFonts w:ascii="Times New Roman" w:hAnsi="Times New Roman" w:cs="Times New Roman"/>
          <w:lang w:val="fr-FR"/>
        </w:rPr>
        <w:tab/>
        <w:t>Partiellement</w:t>
      </w:r>
      <w:r w:rsidR="00CF0E12" w:rsidRPr="00403C55">
        <w:rPr>
          <w:rFonts w:ascii="Times New Roman" w:hAnsi="Times New Roman" w:cs="Times New Roman"/>
          <w:lang w:val="fr-FR"/>
        </w:rPr>
        <w:tab/>
        <w:t>Pas d’information</w:t>
      </w:r>
    </w:p>
    <w:p w14:paraId="6BA3B23B" w14:textId="77777777" w:rsidR="00CF0E12" w:rsidRPr="00403C55" w:rsidRDefault="00CF0E12" w:rsidP="00CF0E12">
      <w:pPr>
        <w:tabs>
          <w:tab w:val="left" w:pos="567"/>
          <w:tab w:val="left" w:pos="1276"/>
          <w:tab w:val="left" w:pos="2694"/>
          <w:tab w:val="left" w:pos="4678"/>
          <w:tab w:val="left" w:pos="5245"/>
          <w:tab w:val="left" w:pos="5954"/>
          <w:tab w:val="left" w:pos="7371"/>
        </w:tabs>
        <w:spacing w:after="0" w:line="240" w:lineRule="auto"/>
        <w:jc w:val="both"/>
        <w:rPr>
          <w:rFonts w:ascii="Times New Roman" w:hAnsi="Times New Roman" w:cs="Times New Roman"/>
          <w:lang w:val="fr-FR"/>
        </w:rPr>
      </w:pPr>
    </w:p>
    <w:p w14:paraId="60F39417" w14:textId="25E24DAC" w:rsidR="00844494" w:rsidRPr="00403C55" w:rsidRDefault="0048360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Une vue d'ensemble du taux de mise en œuvre des autres activités liées à ce résultat est présentée dans le tableau </w:t>
      </w:r>
      <w:r w:rsidR="00552518">
        <w:rPr>
          <w:rFonts w:ascii="Times New Roman" w:hAnsi="Times New Roman" w:cs="Times New Roman"/>
          <w:lang w:val="fr-FR"/>
        </w:rPr>
        <w:t xml:space="preserve">ci-dessous </w:t>
      </w:r>
      <w:r w:rsidRPr="00403C55">
        <w:rPr>
          <w:rFonts w:ascii="Times New Roman" w:hAnsi="Times New Roman" w:cs="Times New Roman"/>
          <w:lang w:val="fr-FR"/>
        </w:rPr>
        <w:t>:</w:t>
      </w:r>
    </w:p>
    <w:p w14:paraId="32CD07AB" w14:textId="77777777" w:rsidR="00844494" w:rsidRPr="00403C55" w:rsidRDefault="00844494" w:rsidP="00EE1D7D">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385"/>
        <w:gridCol w:w="1078"/>
        <w:gridCol w:w="1597"/>
      </w:tblGrid>
      <w:tr w:rsidR="00E013BB" w:rsidRPr="00DE4CF4" w14:paraId="4AF9584F" w14:textId="77777777" w:rsidTr="002117A3">
        <w:tc>
          <w:tcPr>
            <w:tcW w:w="6385" w:type="dxa"/>
            <w:shd w:val="clear" w:color="auto" w:fill="DBE5F1" w:themeFill="accent1" w:themeFillTint="33"/>
          </w:tcPr>
          <w:p w14:paraId="722E6E1F" w14:textId="25E08560" w:rsidR="00E013BB" w:rsidRPr="00403C55" w:rsidRDefault="00483609"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078" w:type="dxa"/>
            <w:shd w:val="clear" w:color="auto" w:fill="DBE5F1" w:themeFill="accent1" w:themeFillTint="33"/>
          </w:tcPr>
          <w:p w14:paraId="7A438AFA" w14:textId="3407D55C" w:rsidR="00E013BB" w:rsidRPr="00403C55" w:rsidRDefault="00483609" w:rsidP="003F50F9">
            <w:pPr>
              <w:jc w:val="both"/>
              <w:rPr>
                <w:rFonts w:ascii="Times New Roman" w:hAnsi="Times New Roman" w:cs="Times New Roman"/>
                <w:i/>
                <w:lang w:val="fr-FR"/>
              </w:rPr>
            </w:pPr>
            <w:r w:rsidRPr="00403C55">
              <w:rPr>
                <w:rFonts w:ascii="Times New Roman" w:hAnsi="Times New Roman" w:cs="Times New Roman"/>
                <w:i/>
                <w:lang w:val="fr-FR"/>
              </w:rPr>
              <w:t>Priorité</w:t>
            </w:r>
          </w:p>
        </w:tc>
        <w:tc>
          <w:tcPr>
            <w:tcW w:w="1597" w:type="dxa"/>
            <w:shd w:val="clear" w:color="auto" w:fill="DBE5F1" w:themeFill="accent1" w:themeFillTint="33"/>
          </w:tcPr>
          <w:p w14:paraId="0C37926F" w14:textId="736646A4" w:rsidR="00E013BB" w:rsidRPr="00403C55" w:rsidRDefault="00483609"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E013BB" w:rsidRPr="00403C55" w14:paraId="2CC2DF2A" w14:textId="77777777" w:rsidTr="002117A3">
        <w:tc>
          <w:tcPr>
            <w:tcW w:w="6385" w:type="dxa"/>
          </w:tcPr>
          <w:p w14:paraId="5ABD9A13" w14:textId="6164D56C" w:rsidR="00E013BB" w:rsidRPr="00403C55" w:rsidRDefault="00E013BB" w:rsidP="003F50F9">
            <w:pPr>
              <w:jc w:val="both"/>
              <w:rPr>
                <w:rFonts w:ascii="Times New Roman" w:hAnsi="Times New Roman" w:cs="Times New Roman"/>
                <w:lang w:val="fr-FR"/>
              </w:rPr>
            </w:pPr>
            <w:r w:rsidRPr="00403C55">
              <w:rPr>
                <w:rFonts w:ascii="Times New Roman" w:hAnsi="Times New Roman" w:cs="Times New Roman"/>
                <w:lang w:val="fr-FR"/>
              </w:rPr>
              <w:t xml:space="preserve">1.3 </w:t>
            </w:r>
            <w:r w:rsidR="005B3667" w:rsidRPr="00403C55">
              <w:rPr>
                <w:rFonts w:ascii="Times New Roman" w:hAnsi="Times New Roman" w:cs="Times New Roman"/>
                <w:lang w:val="fr-FR"/>
              </w:rPr>
              <w:t>Mener des évaluations d’impact environnemental et des audits pour les opérations existantes sur tous les sites clés</w:t>
            </w:r>
          </w:p>
        </w:tc>
        <w:tc>
          <w:tcPr>
            <w:tcW w:w="1078" w:type="dxa"/>
          </w:tcPr>
          <w:p w14:paraId="36CCC0C4" w14:textId="1C605E68" w:rsidR="00E013BB" w:rsidRPr="00403C55" w:rsidRDefault="005B3667"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680BEE53" w14:textId="78525AF8" w:rsidR="00E013BB" w:rsidRPr="00403C55" w:rsidRDefault="00C13271" w:rsidP="00C13271">
            <w:pPr>
              <w:jc w:val="center"/>
              <w:rPr>
                <w:rFonts w:ascii="Times New Roman" w:hAnsi="Times New Roman" w:cs="Times New Roman"/>
                <w:lang w:val="fr-FR"/>
              </w:rPr>
            </w:pPr>
            <w:r w:rsidRPr="00403C55">
              <w:rPr>
                <w:rFonts w:ascii="Times New Roman" w:hAnsi="Times New Roman" w:cs="Times New Roman"/>
                <w:lang w:val="fr-FR"/>
              </w:rPr>
              <w:t>8</w:t>
            </w:r>
            <w:r w:rsidR="005B3667"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E013BB" w:rsidRPr="00403C55" w14:paraId="1AB03892" w14:textId="77777777" w:rsidTr="002117A3">
        <w:tc>
          <w:tcPr>
            <w:tcW w:w="6385" w:type="dxa"/>
          </w:tcPr>
          <w:p w14:paraId="4AF80F25" w14:textId="39F1DE3B" w:rsidR="00E013BB" w:rsidRPr="00403C55" w:rsidRDefault="00E013BB" w:rsidP="003F50F9">
            <w:pPr>
              <w:jc w:val="both"/>
              <w:rPr>
                <w:rFonts w:ascii="Times New Roman" w:hAnsi="Times New Roman" w:cs="Times New Roman"/>
                <w:lang w:val="fr-FR"/>
              </w:rPr>
            </w:pPr>
            <w:r w:rsidRPr="00403C55">
              <w:rPr>
                <w:rFonts w:ascii="Times New Roman" w:hAnsi="Times New Roman" w:cs="Times New Roman"/>
                <w:lang w:val="fr-FR"/>
              </w:rPr>
              <w:t xml:space="preserve">1.4 </w:t>
            </w:r>
            <w:r w:rsidR="005B3667" w:rsidRPr="00403C55">
              <w:rPr>
                <w:rFonts w:ascii="Times New Roman" w:hAnsi="Times New Roman" w:cs="Times New Roman"/>
                <w:lang w:val="fr-FR"/>
              </w:rPr>
              <w:t>Identifier les besoins de gestion de l’habitat des flamants nains sur les sites clés et mettre en œuvre si nécessaire des actions de gestion</w:t>
            </w:r>
          </w:p>
        </w:tc>
        <w:tc>
          <w:tcPr>
            <w:tcW w:w="1078" w:type="dxa"/>
          </w:tcPr>
          <w:p w14:paraId="2969E3D2" w14:textId="5AA1BA65" w:rsidR="00E013BB" w:rsidRPr="00403C55" w:rsidRDefault="005B3667"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5E55BFE9" w14:textId="0A78C333" w:rsidR="00E013BB" w:rsidRPr="00403C55" w:rsidRDefault="00A01A49" w:rsidP="00C13271">
            <w:pPr>
              <w:jc w:val="center"/>
              <w:rPr>
                <w:rFonts w:ascii="Times New Roman" w:hAnsi="Times New Roman" w:cs="Times New Roman"/>
                <w:lang w:val="fr-FR"/>
              </w:rPr>
            </w:pPr>
            <w:r w:rsidRPr="00403C55">
              <w:rPr>
                <w:rFonts w:ascii="Times New Roman" w:hAnsi="Times New Roman" w:cs="Times New Roman"/>
                <w:lang w:val="fr-FR"/>
              </w:rPr>
              <w:t>33</w:t>
            </w:r>
            <w:r w:rsidR="005B3667" w:rsidRPr="00403C55">
              <w:rPr>
                <w:rFonts w:ascii="Times New Roman" w:hAnsi="Times New Roman" w:cs="Times New Roman"/>
                <w:lang w:val="fr-FR"/>
              </w:rPr>
              <w:t xml:space="preserve"> </w:t>
            </w:r>
            <w:r w:rsidR="00C13271" w:rsidRPr="00403C55">
              <w:rPr>
                <w:rFonts w:ascii="Times New Roman" w:hAnsi="Times New Roman" w:cs="Times New Roman"/>
                <w:lang w:val="fr-FR"/>
              </w:rPr>
              <w:t>%</w:t>
            </w:r>
          </w:p>
        </w:tc>
      </w:tr>
      <w:tr w:rsidR="00E013BB" w:rsidRPr="00403C55" w14:paraId="7ECA1F01" w14:textId="77777777" w:rsidTr="002117A3">
        <w:tc>
          <w:tcPr>
            <w:tcW w:w="6385" w:type="dxa"/>
          </w:tcPr>
          <w:p w14:paraId="7576F43B" w14:textId="7403266A" w:rsidR="00E013BB" w:rsidRPr="00403C55" w:rsidRDefault="00E013BB" w:rsidP="003F50F9">
            <w:pPr>
              <w:jc w:val="both"/>
              <w:rPr>
                <w:rFonts w:ascii="Times New Roman" w:hAnsi="Times New Roman" w:cs="Times New Roman"/>
                <w:lang w:val="fr-FR"/>
              </w:rPr>
            </w:pPr>
            <w:r w:rsidRPr="00403C55">
              <w:rPr>
                <w:rFonts w:ascii="Times New Roman" w:hAnsi="Times New Roman" w:cs="Times New Roman"/>
                <w:lang w:val="fr-FR"/>
              </w:rPr>
              <w:t xml:space="preserve">1.5 </w:t>
            </w:r>
            <w:r w:rsidR="005B3667" w:rsidRPr="00403C55">
              <w:rPr>
                <w:rFonts w:ascii="Times New Roman" w:hAnsi="Times New Roman" w:cs="Times New Roman"/>
                <w:lang w:val="fr-FR"/>
              </w:rPr>
              <w:t>Élaborer e</w:t>
            </w:r>
            <w:r w:rsidR="009D5188" w:rsidRPr="00403C55">
              <w:rPr>
                <w:rFonts w:ascii="Times New Roman" w:hAnsi="Times New Roman" w:cs="Times New Roman"/>
                <w:lang w:val="fr-FR"/>
              </w:rPr>
              <w:t>t</w:t>
            </w:r>
            <w:r w:rsidR="005B3667" w:rsidRPr="00403C55">
              <w:rPr>
                <w:rFonts w:ascii="Times New Roman" w:hAnsi="Times New Roman" w:cs="Times New Roman"/>
                <w:lang w:val="fr-FR"/>
              </w:rPr>
              <w:t xml:space="preserve"> maintenir des plans de gestion intégrée (zones de captation/ côtières) pour les sites clés</w:t>
            </w:r>
          </w:p>
        </w:tc>
        <w:tc>
          <w:tcPr>
            <w:tcW w:w="1078" w:type="dxa"/>
          </w:tcPr>
          <w:p w14:paraId="6F84684D" w14:textId="02DE3AAD" w:rsidR="00E013BB" w:rsidRPr="00403C55" w:rsidRDefault="005B3667"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45A24F54" w14:textId="55E52C9B" w:rsidR="00E013BB" w:rsidRPr="00403C55" w:rsidRDefault="00A01A49" w:rsidP="00C13271">
            <w:pPr>
              <w:jc w:val="center"/>
              <w:rPr>
                <w:rFonts w:ascii="Times New Roman" w:hAnsi="Times New Roman" w:cs="Times New Roman"/>
                <w:lang w:val="fr-FR"/>
              </w:rPr>
            </w:pPr>
            <w:r w:rsidRPr="00403C55">
              <w:rPr>
                <w:rFonts w:ascii="Times New Roman" w:hAnsi="Times New Roman" w:cs="Times New Roman"/>
                <w:lang w:val="fr-FR"/>
              </w:rPr>
              <w:t>42</w:t>
            </w:r>
            <w:r w:rsidR="005B3667" w:rsidRPr="00403C55">
              <w:rPr>
                <w:rFonts w:ascii="Times New Roman" w:hAnsi="Times New Roman" w:cs="Times New Roman"/>
                <w:lang w:val="fr-FR"/>
              </w:rPr>
              <w:t xml:space="preserve"> </w:t>
            </w:r>
            <w:r w:rsidR="00C13271" w:rsidRPr="00403C55">
              <w:rPr>
                <w:rFonts w:ascii="Times New Roman" w:hAnsi="Times New Roman" w:cs="Times New Roman"/>
                <w:lang w:val="fr-FR"/>
              </w:rPr>
              <w:t>%</w:t>
            </w:r>
          </w:p>
        </w:tc>
      </w:tr>
      <w:tr w:rsidR="00E013BB" w:rsidRPr="00403C55" w14:paraId="1803FD98" w14:textId="77777777" w:rsidTr="002117A3">
        <w:tc>
          <w:tcPr>
            <w:tcW w:w="6385" w:type="dxa"/>
          </w:tcPr>
          <w:p w14:paraId="2B14733C" w14:textId="4C683DBB" w:rsidR="00E013BB" w:rsidRPr="00403C55" w:rsidRDefault="00E013BB" w:rsidP="003F50F9">
            <w:pPr>
              <w:jc w:val="both"/>
              <w:rPr>
                <w:rFonts w:ascii="Times New Roman" w:hAnsi="Times New Roman" w:cs="Times New Roman"/>
                <w:lang w:val="fr-FR"/>
              </w:rPr>
            </w:pPr>
            <w:r w:rsidRPr="00403C55">
              <w:rPr>
                <w:rFonts w:ascii="Times New Roman" w:hAnsi="Times New Roman" w:cs="Times New Roman"/>
                <w:lang w:val="fr-FR"/>
              </w:rPr>
              <w:t xml:space="preserve">1.6 </w:t>
            </w:r>
            <w:r w:rsidR="005B3667" w:rsidRPr="00403C55">
              <w:rPr>
                <w:rFonts w:ascii="Times New Roman" w:hAnsi="Times New Roman" w:cs="Times New Roman"/>
                <w:lang w:val="fr-FR"/>
              </w:rPr>
              <w:t>Maintenir ou rétablir, là où nécessaire, des conditions hydrologiques favorables et la qualité de l’eau pour l’espèce</w:t>
            </w:r>
          </w:p>
        </w:tc>
        <w:tc>
          <w:tcPr>
            <w:tcW w:w="1078" w:type="dxa"/>
          </w:tcPr>
          <w:p w14:paraId="4A9580AA" w14:textId="7F4C2D9E" w:rsidR="00E013BB" w:rsidRPr="00403C55" w:rsidRDefault="005B3667"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6475D89D" w14:textId="53ED0F2C" w:rsidR="00E013BB" w:rsidRPr="00403C55" w:rsidRDefault="00A01A49" w:rsidP="00C13271">
            <w:pPr>
              <w:jc w:val="center"/>
              <w:rPr>
                <w:rFonts w:ascii="Times New Roman" w:hAnsi="Times New Roman" w:cs="Times New Roman"/>
                <w:lang w:val="fr-FR"/>
              </w:rPr>
            </w:pPr>
            <w:r w:rsidRPr="00403C55">
              <w:rPr>
                <w:rFonts w:ascii="Times New Roman" w:hAnsi="Times New Roman" w:cs="Times New Roman"/>
                <w:lang w:val="fr-FR"/>
              </w:rPr>
              <w:t>17</w:t>
            </w:r>
            <w:r w:rsidR="005B3667" w:rsidRPr="00403C55">
              <w:rPr>
                <w:rFonts w:ascii="Times New Roman" w:hAnsi="Times New Roman" w:cs="Times New Roman"/>
                <w:lang w:val="fr-FR"/>
              </w:rPr>
              <w:t xml:space="preserve"> </w:t>
            </w:r>
            <w:r w:rsidR="00C13271" w:rsidRPr="00403C55">
              <w:rPr>
                <w:rFonts w:ascii="Times New Roman" w:hAnsi="Times New Roman" w:cs="Times New Roman"/>
                <w:lang w:val="fr-FR"/>
              </w:rPr>
              <w:t>%</w:t>
            </w:r>
          </w:p>
        </w:tc>
      </w:tr>
      <w:tr w:rsidR="00E013BB" w:rsidRPr="00403C55" w14:paraId="03999841" w14:textId="77777777" w:rsidTr="002117A3">
        <w:tc>
          <w:tcPr>
            <w:tcW w:w="6385" w:type="dxa"/>
          </w:tcPr>
          <w:p w14:paraId="6C245BAD" w14:textId="2A27AAF9" w:rsidR="00E013BB" w:rsidRPr="00403C55" w:rsidRDefault="00E013BB" w:rsidP="003F50F9">
            <w:pPr>
              <w:jc w:val="both"/>
              <w:rPr>
                <w:rFonts w:ascii="Times New Roman" w:hAnsi="Times New Roman" w:cs="Times New Roman"/>
                <w:lang w:val="fr-FR"/>
              </w:rPr>
            </w:pPr>
            <w:r w:rsidRPr="00403C55">
              <w:rPr>
                <w:rFonts w:ascii="Times New Roman" w:hAnsi="Times New Roman" w:cs="Times New Roman"/>
                <w:lang w:val="fr-FR"/>
              </w:rPr>
              <w:t xml:space="preserve">1.7 </w:t>
            </w:r>
            <w:r w:rsidR="005B3667" w:rsidRPr="00403C55">
              <w:rPr>
                <w:rFonts w:ascii="Times New Roman" w:hAnsi="Times New Roman" w:cs="Times New Roman"/>
                <w:lang w:val="fr-FR"/>
              </w:rPr>
              <w:t>Renforcer l’habitat sur les sites adéquats (par ex. création d’îles de reproduction, réhabilitation/création de zones humides) là où nécessaire</w:t>
            </w:r>
          </w:p>
        </w:tc>
        <w:tc>
          <w:tcPr>
            <w:tcW w:w="1078" w:type="dxa"/>
          </w:tcPr>
          <w:p w14:paraId="49DDE32C" w14:textId="235CB201" w:rsidR="00E013BB" w:rsidRPr="00403C55" w:rsidRDefault="005B3667" w:rsidP="003F50F9">
            <w:pPr>
              <w:jc w:val="both"/>
              <w:rPr>
                <w:rFonts w:ascii="Times New Roman" w:hAnsi="Times New Roman" w:cs="Times New Roman"/>
                <w:lang w:val="fr-FR"/>
              </w:rPr>
            </w:pPr>
            <w:r w:rsidRPr="00403C55">
              <w:rPr>
                <w:rFonts w:ascii="Times New Roman" w:hAnsi="Times New Roman" w:cs="Times New Roman"/>
                <w:lang w:val="fr-FR"/>
              </w:rPr>
              <w:t>Faible</w:t>
            </w:r>
            <w:r w:rsidR="005E1E00" w:rsidRPr="00403C55">
              <w:rPr>
                <w:rFonts w:ascii="Times New Roman" w:hAnsi="Times New Roman" w:cs="Times New Roman"/>
                <w:lang w:val="fr-FR"/>
              </w:rPr>
              <w:t xml:space="preserve"> </w:t>
            </w:r>
          </w:p>
        </w:tc>
        <w:tc>
          <w:tcPr>
            <w:tcW w:w="1597" w:type="dxa"/>
          </w:tcPr>
          <w:p w14:paraId="6060FB67" w14:textId="486BF528" w:rsidR="00E013BB" w:rsidRPr="00403C55" w:rsidRDefault="00C13271" w:rsidP="00C13271">
            <w:pPr>
              <w:jc w:val="center"/>
              <w:rPr>
                <w:rFonts w:ascii="Times New Roman" w:hAnsi="Times New Roman" w:cs="Times New Roman"/>
                <w:lang w:val="fr-FR"/>
              </w:rPr>
            </w:pPr>
            <w:r w:rsidRPr="00403C55">
              <w:rPr>
                <w:rFonts w:ascii="Times New Roman" w:hAnsi="Times New Roman" w:cs="Times New Roman"/>
                <w:lang w:val="fr-FR"/>
              </w:rPr>
              <w:t>25</w:t>
            </w:r>
            <w:r w:rsidR="005B3667"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7C3DA05C" w14:textId="77777777" w:rsidR="00E013BB" w:rsidRPr="00403C55" w:rsidRDefault="00E013BB" w:rsidP="00EE1D7D">
      <w:pPr>
        <w:spacing w:after="0" w:line="240" w:lineRule="auto"/>
        <w:jc w:val="both"/>
        <w:rPr>
          <w:rFonts w:ascii="Times New Roman" w:hAnsi="Times New Roman" w:cs="Times New Roman"/>
          <w:lang w:val="fr-FR"/>
        </w:rPr>
      </w:pPr>
    </w:p>
    <w:p w14:paraId="39689A59" w14:textId="5933F5C9" w:rsidR="00E013BB" w:rsidRPr="00403C55" w:rsidRDefault="005B3667" w:rsidP="00EE1D7D">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E013BB" w:rsidRPr="00403C55">
        <w:rPr>
          <w:rFonts w:ascii="Times New Roman" w:hAnsi="Times New Roman" w:cs="Times New Roman"/>
          <w:b/>
          <w:lang w:val="fr-FR"/>
        </w:rPr>
        <w:t xml:space="preserve"> </w:t>
      </w:r>
      <w:r w:rsidR="00A46CC2" w:rsidRPr="00403C55">
        <w:rPr>
          <w:rFonts w:ascii="Times New Roman" w:hAnsi="Times New Roman" w:cs="Times New Roman"/>
          <w:b/>
          <w:lang w:val="fr-FR"/>
        </w:rPr>
        <w:t>32</w:t>
      </w:r>
      <w:r w:rsidRPr="00403C55">
        <w:rPr>
          <w:rFonts w:ascii="Times New Roman" w:hAnsi="Times New Roman" w:cs="Times New Roman"/>
          <w:b/>
          <w:lang w:val="fr-FR"/>
        </w:rPr>
        <w:t xml:space="preserve"> </w:t>
      </w:r>
      <w:r w:rsidR="00D155F4" w:rsidRPr="00403C55">
        <w:rPr>
          <w:rFonts w:ascii="Times New Roman" w:hAnsi="Times New Roman" w:cs="Times New Roman"/>
          <w:b/>
          <w:lang w:val="fr-FR"/>
        </w:rPr>
        <w:t>%</w:t>
      </w:r>
    </w:p>
    <w:p w14:paraId="7CF61E45" w14:textId="77777777" w:rsidR="00E013BB" w:rsidRPr="00403C55" w:rsidRDefault="00E013BB" w:rsidP="00EE1D7D">
      <w:pPr>
        <w:spacing w:after="0" w:line="240" w:lineRule="auto"/>
        <w:jc w:val="both"/>
        <w:rPr>
          <w:rFonts w:ascii="Times New Roman" w:hAnsi="Times New Roman" w:cs="Times New Roman"/>
          <w:lang w:val="fr-FR"/>
        </w:rPr>
      </w:pPr>
    </w:p>
    <w:p w14:paraId="2472643C" w14:textId="19D444FC"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5.2</w:t>
      </w:r>
      <w:r w:rsidR="00C55326" w:rsidRPr="00403C55">
        <w:rPr>
          <w:rFonts w:ascii="Times New Roman" w:hAnsi="Times New Roman" w:cs="Times New Roman"/>
          <w:i/>
          <w:lang w:val="fr-FR"/>
        </w:rPr>
        <w:t>.</w:t>
      </w:r>
      <w:r w:rsidR="00046D84" w:rsidRPr="00403C55">
        <w:rPr>
          <w:rFonts w:ascii="Times New Roman" w:hAnsi="Times New Roman" w:cs="Times New Roman"/>
          <w:i/>
          <w:lang w:val="fr-FR"/>
        </w:rPr>
        <w:t xml:space="preserve"> </w:t>
      </w:r>
      <w:r w:rsidR="005B3667"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5B3667" w:rsidRPr="00403C55">
        <w:rPr>
          <w:rFonts w:ascii="Times New Roman" w:hAnsi="Times New Roman" w:cs="Times New Roman"/>
          <w:i/>
          <w:lang w:val="fr-FR"/>
        </w:rPr>
        <w:t xml:space="preserve"> 2 – S’assurer que les colonies de reproduction ne sont pas perturbées par des activités humaines</w:t>
      </w:r>
    </w:p>
    <w:p w14:paraId="537C19F4" w14:textId="77777777" w:rsidR="00EE1D7D" w:rsidRPr="00403C55" w:rsidRDefault="00EE1D7D" w:rsidP="00EE1D7D">
      <w:pPr>
        <w:spacing w:after="0" w:line="240" w:lineRule="auto"/>
        <w:jc w:val="both"/>
        <w:rPr>
          <w:rFonts w:ascii="Times New Roman" w:hAnsi="Times New Roman" w:cs="Times New Roman"/>
          <w:lang w:val="fr-FR"/>
        </w:rPr>
      </w:pPr>
    </w:p>
    <w:p w14:paraId="5AFC7C68" w14:textId="2388A93B" w:rsidR="00EE1D7D" w:rsidRPr="00403C55" w:rsidRDefault="005B3667"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Sur les pays ayant soumis un rapport, le Botswana, la Namibie et la Tanzanie hébergent des flamants nains reproducteurs selon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(sur un total de quatre pays où la reproduction a régulièrement lieu).</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Parmi eux, le Botswana et la Namibie ont indiqué avoir pris des mesures pour éviter les perturbations humaines au moyen de législation, de planification, de zonage et de leur application là où cela est nécessaire (activityé2.1 / 50 %).</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 xml:space="preserve">Cette activité a été classée critique et </w:t>
      </w:r>
      <w:r w:rsidR="00F82903">
        <w:rPr>
          <w:rFonts w:ascii="Times New Roman" w:hAnsi="Times New Roman" w:cs="Times New Roman"/>
          <w:lang w:val="fr-FR"/>
        </w:rPr>
        <w:t>devant</w:t>
      </w:r>
      <w:r w:rsidRPr="00403C55">
        <w:rPr>
          <w:rFonts w:ascii="Times New Roman" w:hAnsi="Times New Roman" w:cs="Times New Roman"/>
          <w:lang w:val="fr-FR"/>
        </w:rPr>
        <w:t xml:space="preserve"> être mise en œuvre à court terme – notamment en ce qui concerne l’extraction de soude – mais aucune information supplémentaire n’a été fournie quant à l’étendue </w:t>
      </w:r>
      <w:r w:rsidR="00272DB6" w:rsidRPr="00403C55">
        <w:rPr>
          <w:rFonts w:ascii="Times New Roman" w:hAnsi="Times New Roman" w:cs="Times New Roman"/>
          <w:lang w:val="fr-FR"/>
        </w:rPr>
        <w:t>et l’objectif des mesures</w:t>
      </w:r>
      <w:r w:rsidRPr="00403C55">
        <w:rPr>
          <w:rFonts w:ascii="Times New Roman" w:hAnsi="Times New Roman" w:cs="Times New Roman"/>
          <w:lang w:val="fr-FR"/>
        </w:rPr>
        <w:t>.</w:t>
      </w:r>
      <w:r w:rsidR="00EE1D7D" w:rsidRPr="00403C55">
        <w:rPr>
          <w:rFonts w:ascii="Times New Roman" w:hAnsi="Times New Roman" w:cs="Times New Roman"/>
          <w:lang w:val="fr-FR"/>
        </w:rPr>
        <w:t xml:space="preserve"> </w:t>
      </w:r>
      <w:r w:rsidR="00272DB6" w:rsidRPr="00403C55">
        <w:rPr>
          <w:rFonts w:ascii="Times New Roman" w:hAnsi="Times New Roman" w:cs="Times New Roman"/>
          <w:lang w:val="fr-FR"/>
        </w:rPr>
        <w:t>La Tanzanie a indiqué que cette activité n’avait pas encore été mise en œuvre parce que les règlements relatifs aux réserves de zones humides n’ont pas encore été mises en œuvre par le gouvernement.</w:t>
      </w:r>
    </w:p>
    <w:p w14:paraId="233D88A9" w14:textId="77777777" w:rsidR="00EE1D7D" w:rsidRPr="00403C55" w:rsidRDefault="00EE1D7D" w:rsidP="00EE1D7D">
      <w:pPr>
        <w:spacing w:after="0" w:line="240" w:lineRule="auto"/>
        <w:jc w:val="both"/>
        <w:rPr>
          <w:rFonts w:ascii="Times New Roman" w:hAnsi="Times New Roman" w:cs="Times New Roman"/>
          <w:lang w:val="fr-FR"/>
        </w:rPr>
      </w:pPr>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069"/>
        <w:gridCol w:w="2946"/>
      </w:tblGrid>
      <w:tr w:rsidR="00EE1D7D" w:rsidRPr="00403C55" w14:paraId="24E060FD" w14:textId="77777777" w:rsidTr="00C55326">
        <w:trPr>
          <w:trHeight w:val="4035"/>
        </w:trPr>
        <w:tc>
          <w:tcPr>
            <w:tcW w:w="4866" w:type="dxa"/>
          </w:tcPr>
          <w:p w14:paraId="1E9E294A" w14:textId="17517E93" w:rsidR="00EE1D7D" w:rsidRPr="00403C55" w:rsidRDefault="00C55326" w:rsidP="00CC46D2">
            <w:pPr>
              <w:jc w:val="both"/>
              <w:rPr>
                <w:rFonts w:ascii="Times New Roman" w:hAnsi="Times New Roman" w:cs="Times New Roman"/>
                <w:lang w:val="fr-FR"/>
              </w:rPr>
            </w:pPr>
            <w:r w:rsidRPr="00403C55">
              <w:rPr>
                <w:noProof/>
              </w:rPr>
              <w:lastRenderedPageBreak/>
              <w:drawing>
                <wp:inline distT="0" distB="0" distL="0" distR="0" wp14:anchorId="6C34B9A7" wp14:editId="44B73CCA">
                  <wp:extent cx="2667000" cy="2305050"/>
                  <wp:effectExtent l="0" t="0" r="1905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F9835D" w14:textId="77777777" w:rsidR="00CF0E12" w:rsidRPr="00403C55" w:rsidRDefault="00CF0E12" w:rsidP="00CC46D2">
            <w:pPr>
              <w:jc w:val="both"/>
              <w:rPr>
                <w:rFonts w:ascii="Times New Roman" w:hAnsi="Times New Roman" w:cs="Times New Roman"/>
                <w:lang w:val="fr-FR"/>
              </w:rPr>
            </w:pPr>
          </w:p>
          <w:p w14:paraId="6EAA8150" w14:textId="407A5E20" w:rsidR="00CF0E12" w:rsidRPr="00403C55" w:rsidRDefault="00CF0E12" w:rsidP="00CF0E12">
            <w:pPr>
              <w:tabs>
                <w:tab w:val="left" w:pos="851"/>
              </w:tabs>
              <w:jc w:val="both"/>
              <w:rPr>
                <w:rFonts w:ascii="Times New Roman" w:hAnsi="Times New Roman" w:cs="Times New Roman"/>
                <w:lang w:val="fr-FR"/>
              </w:rPr>
            </w:pPr>
            <w:r w:rsidRPr="00403C55">
              <w:rPr>
                <w:rFonts w:ascii="Times New Roman" w:hAnsi="Times New Roman" w:cs="Times New Roman"/>
                <w:lang w:val="fr-FR"/>
              </w:rPr>
              <w:t>Oui</w:t>
            </w:r>
            <w:r w:rsidR="00EE766F">
              <w:rPr>
                <w:rFonts w:ascii="Times New Roman" w:hAnsi="Times New Roman" w:cs="Times New Roman"/>
                <w:lang w:val="fr-FR"/>
              </w:rPr>
              <w:t xml:space="preserve"> </w:t>
            </w:r>
            <w:r w:rsidR="00985A4E">
              <w:rPr>
                <w:rFonts w:ascii="Times New Roman" w:hAnsi="Times New Roman" w:cs="Times New Roman"/>
                <w:lang w:val="fr-FR"/>
              </w:rPr>
              <w:t xml:space="preserve"> </w:t>
            </w:r>
            <w:r w:rsidRPr="00403C55">
              <w:rPr>
                <w:rFonts w:ascii="Times New Roman" w:hAnsi="Times New Roman" w:cs="Times New Roman"/>
                <w:lang w:val="fr-FR"/>
              </w:rPr>
              <w:t>Non</w:t>
            </w:r>
            <w:r w:rsidR="00EE766F">
              <w:rPr>
                <w:rFonts w:ascii="Times New Roman" w:hAnsi="Times New Roman" w:cs="Times New Roman"/>
                <w:lang w:val="fr-FR"/>
              </w:rPr>
              <w:t xml:space="preserve"> </w:t>
            </w:r>
            <w:r w:rsidRPr="00403C55">
              <w:rPr>
                <w:rFonts w:ascii="Times New Roman" w:hAnsi="Times New Roman" w:cs="Times New Roman"/>
                <w:lang w:val="fr-FR"/>
              </w:rPr>
              <w:t>Pas d’information</w:t>
            </w:r>
          </w:p>
          <w:p w14:paraId="0AB07DEF" w14:textId="449D1E45" w:rsidR="00020461" w:rsidRPr="00403C55" w:rsidRDefault="00020461" w:rsidP="00CF0E12">
            <w:pPr>
              <w:tabs>
                <w:tab w:val="left" w:pos="851"/>
              </w:tabs>
              <w:jc w:val="both"/>
              <w:rPr>
                <w:rFonts w:ascii="Times New Roman" w:hAnsi="Times New Roman" w:cs="Times New Roman"/>
                <w:lang w:val="fr-FR"/>
              </w:rPr>
            </w:pPr>
          </w:p>
        </w:tc>
        <w:tc>
          <w:tcPr>
            <w:tcW w:w="4956" w:type="dxa"/>
            <w:gridSpan w:val="2"/>
          </w:tcPr>
          <w:p w14:paraId="2FDBF8B1" w14:textId="22C33721" w:rsidR="00EE1D7D" w:rsidRPr="00403C55" w:rsidRDefault="00EE1D7D" w:rsidP="00CC46D2">
            <w:pPr>
              <w:jc w:val="both"/>
              <w:rPr>
                <w:rFonts w:ascii="Times New Roman" w:hAnsi="Times New Roman" w:cs="Times New Roman"/>
                <w:lang w:val="fr-FR"/>
              </w:rPr>
            </w:pPr>
          </w:p>
        </w:tc>
      </w:tr>
      <w:tr w:rsidR="00C55326" w:rsidRPr="00DE4CF4" w14:paraId="4BC7777D" w14:textId="77777777" w:rsidTr="005E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shd w:val="clear" w:color="auto" w:fill="DBE5F1" w:themeFill="accent1" w:themeFillTint="33"/>
          </w:tcPr>
          <w:p w14:paraId="60F14020" w14:textId="6E5E13FC" w:rsidR="005E1E00" w:rsidRPr="00403C55" w:rsidRDefault="00272DB6"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078" w:type="dxa"/>
            <w:shd w:val="clear" w:color="auto" w:fill="DBE5F1" w:themeFill="accent1" w:themeFillTint="33"/>
          </w:tcPr>
          <w:p w14:paraId="2235F67A" w14:textId="4C81EFBE" w:rsidR="005E1E00" w:rsidRPr="00403C55" w:rsidRDefault="00272DB6" w:rsidP="003F50F9">
            <w:pPr>
              <w:jc w:val="both"/>
              <w:rPr>
                <w:rFonts w:ascii="Times New Roman" w:hAnsi="Times New Roman" w:cs="Times New Roman"/>
                <w:i/>
                <w:lang w:val="fr-FR"/>
              </w:rPr>
            </w:pPr>
            <w:r w:rsidRPr="00403C55">
              <w:rPr>
                <w:rFonts w:ascii="Times New Roman" w:hAnsi="Times New Roman" w:cs="Times New Roman"/>
                <w:i/>
                <w:lang w:val="fr-FR"/>
              </w:rPr>
              <w:t>Priorité</w:t>
            </w:r>
          </w:p>
        </w:tc>
        <w:tc>
          <w:tcPr>
            <w:tcW w:w="1597" w:type="dxa"/>
            <w:shd w:val="clear" w:color="auto" w:fill="DBE5F1" w:themeFill="accent1" w:themeFillTint="33"/>
          </w:tcPr>
          <w:p w14:paraId="0B3D5A8D" w14:textId="69CC185D" w:rsidR="005E1E00" w:rsidRPr="00403C55" w:rsidRDefault="00272DB6"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C55326" w:rsidRPr="00403C55" w14:paraId="7BC083ED" w14:textId="77777777" w:rsidTr="005E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tcPr>
          <w:p w14:paraId="3E3FCCF4" w14:textId="1727EC38" w:rsidR="005E1E00" w:rsidRPr="00403C55" w:rsidRDefault="005E1E00" w:rsidP="003F50F9">
            <w:pPr>
              <w:jc w:val="both"/>
              <w:rPr>
                <w:rFonts w:ascii="Times New Roman" w:hAnsi="Times New Roman" w:cs="Times New Roman"/>
                <w:lang w:val="fr-FR"/>
              </w:rPr>
            </w:pPr>
            <w:r w:rsidRPr="00403C55">
              <w:rPr>
                <w:rFonts w:ascii="Times New Roman" w:hAnsi="Times New Roman" w:cs="Times New Roman"/>
                <w:lang w:val="fr-FR"/>
              </w:rPr>
              <w:t xml:space="preserve">2.2 </w:t>
            </w:r>
            <w:r w:rsidR="00272DB6" w:rsidRPr="00403C55">
              <w:rPr>
                <w:rFonts w:ascii="Times New Roman" w:hAnsi="Times New Roman" w:cs="Times New Roman"/>
                <w:lang w:val="fr-FR"/>
              </w:rPr>
              <w:t>Sensibiliser aux besoins de conservation de l’espèce au niveau national et local</w:t>
            </w:r>
          </w:p>
        </w:tc>
        <w:tc>
          <w:tcPr>
            <w:tcW w:w="1078" w:type="dxa"/>
          </w:tcPr>
          <w:p w14:paraId="30A67E9D" w14:textId="50410089" w:rsidR="005E1E00" w:rsidRPr="00403C55" w:rsidRDefault="00272DB6"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7E541BEE" w14:textId="1C3EA9FE" w:rsidR="005E1E00" w:rsidRPr="00403C55" w:rsidRDefault="00C13271" w:rsidP="00C55326">
            <w:pPr>
              <w:jc w:val="center"/>
              <w:rPr>
                <w:rFonts w:ascii="Times New Roman" w:hAnsi="Times New Roman" w:cs="Times New Roman"/>
                <w:lang w:val="fr-FR"/>
              </w:rPr>
            </w:pPr>
            <w:r w:rsidRPr="00403C55">
              <w:rPr>
                <w:rFonts w:ascii="Times New Roman" w:hAnsi="Times New Roman" w:cs="Times New Roman"/>
                <w:lang w:val="fr-FR"/>
              </w:rPr>
              <w:t>75%</w:t>
            </w:r>
          </w:p>
        </w:tc>
      </w:tr>
      <w:tr w:rsidR="00C55326" w:rsidRPr="00403C55" w14:paraId="0E04B3EF" w14:textId="77777777" w:rsidTr="005E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tcPr>
          <w:p w14:paraId="23920EB7" w14:textId="6CB31852" w:rsidR="005E1E00" w:rsidRPr="00403C55" w:rsidRDefault="005E1E00" w:rsidP="003F50F9">
            <w:pPr>
              <w:jc w:val="both"/>
              <w:rPr>
                <w:rFonts w:ascii="Times New Roman" w:hAnsi="Times New Roman" w:cs="Times New Roman"/>
                <w:lang w:val="fr-FR"/>
              </w:rPr>
            </w:pPr>
            <w:r w:rsidRPr="00403C55">
              <w:rPr>
                <w:rFonts w:ascii="Times New Roman" w:hAnsi="Times New Roman" w:cs="Times New Roman"/>
                <w:lang w:val="fr-FR"/>
              </w:rPr>
              <w:t xml:space="preserve">2.3 </w:t>
            </w:r>
            <w:r w:rsidR="00272DB6" w:rsidRPr="00403C55">
              <w:rPr>
                <w:rFonts w:ascii="Times New Roman" w:hAnsi="Times New Roman" w:cs="Times New Roman"/>
                <w:lang w:val="fr-FR"/>
              </w:rPr>
              <w:t>Aider les communautés locales d’Inde et de Mauritanie à développer des pratiques de subsistance alternatives pour réduire les perturbations</w:t>
            </w:r>
          </w:p>
        </w:tc>
        <w:tc>
          <w:tcPr>
            <w:tcW w:w="1078" w:type="dxa"/>
          </w:tcPr>
          <w:p w14:paraId="354B4072" w14:textId="2CCAC7D1" w:rsidR="005E1E00" w:rsidRPr="00403C55" w:rsidRDefault="00272DB6"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22F43792" w14:textId="102A3014" w:rsidR="005E1E00" w:rsidRPr="00403C55" w:rsidRDefault="00C55326" w:rsidP="00C55326">
            <w:pPr>
              <w:jc w:val="center"/>
              <w:rPr>
                <w:rFonts w:ascii="Times New Roman" w:hAnsi="Times New Roman" w:cs="Times New Roman"/>
                <w:lang w:val="fr-FR"/>
              </w:rPr>
            </w:pPr>
            <w:r w:rsidRPr="00403C55">
              <w:rPr>
                <w:rFonts w:ascii="Times New Roman" w:hAnsi="Times New Roman" w:cs="Times New Roman"/>
                <w:lang w:val="fr-FR"/>
              </w:rPr>
              <w:t>0%</w:t>
            </w:r>
          </w:p>
        </w:tc>
      </w:tr>
    </w:tbl>
    <w:p w14:paraId="4EF596B6" w14:textId="77777777" w:rsidR="00EE1D7D" w:rsidRPr="00403C55" w:rsidRDefault="00EE1D7D" w:rsidP="00EE1D7D">
      <w:pPr>
        <w:spacing w:after="0" w:line="240" w:lineRule="auto"/>
        <w:jc w:val="both"/>
        <w:rPr>
          <w:rFonts w:ascii="Times New Roman" w:hAnsi="Times New Roman" w:cs="Times New Roman"/>
          <w:lang w:val="fr-FR"/>
        </w:rPr>
      </w:pPr>
    </w:p>
    <w:p w14:paraId="21484F21" w14:textId="5EB3D1A9" w:rsidR="00C55326" w:rsidRPr="00403C55" w:rsidRDefault="00272DB6" w:rsidP="00EE1D7D">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C55326" w:rsidRPr="00403C55">
        <w:rPr>
          <w:rFonts w:ascii="Times New Roman" w:hAnsi="Times New Roman" w:cs="Times New Roman"/>
          <w:b/>
          <w:lang w:val="fr-FR"/>
        </w:rPr>
        <w:t xml:space="preserve"> </w:t>
      </w:r>
      <w:r w:rsidR="00D155F4" w:rsidRPr="00403C55">
        <w:rPr>
          <w:rFonts w:ascii="Times New Roman" w:hAnsi="Times New Roman" w:cs="Times New Roman"/>
          <w:b/>
          <w:lang w:val="fr-FR"/>
        </w:rPr>
        <w:t>42</w:t>
      </w:r>
      <w:r w:rsidRPr="00403C55">
        <w:rPr>
          <w:rFonts w:ascii="Times New Roman" w:hAnsi="Times New Roman" w:cs="Times New Roman"/>
          <w:b/>
          <w:lang w:val="fr-FR"/>
        </w:rPr>
        <w:t xml:space="preserve"> </w:t>
      </w:r>
      <w:r w:rsidR="00D155F4" w:rsidRPr="00403C55">
        <w:rPr>
          <w:rFonts w:ascii="Times New Roman" w:hAnsi="Times New Roman" w:cs="Times New Roman"/>
          <w:b/>
          <w:lang w:val="fr-FR"/>
        </w:rPr>
        <w:t>%</w:t>
      </w:r>
    </w:p>
    <w:p w14:paraId="3EA3A4ED" w14:textId="77777777" w:rsidR="00EE1D7D" w:rsidRPr="00403C55" w:rsidRDefault="00EE1D7D" w:rsidP="00EE1D7D">
      <w:pPr>
        <w:spacing w:after="0" w:line="240" w:lineRule="auto"/>
        <w:jc w:val="both"/>
        <w:rPr>
          <w:rFonts w:ascii="Times New Roman" w:hAnsi="Times New Roman" w:cs="Times New Roman"/>
          <w:lang w:val="fr-FR"/>
        </w:rPr>
      </w:pPr>
    </w:p>
    <w:p w14:paraId="26FAE5A6" w14:textId="56400D43"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5.3</w:t>
      </w:r>
      <w:r w:rsidR="00EE1D7D" w:rsidRPr="00403C55">
        <w:rPr>
          <w:rFonts w:ascii="Times New Roman" w:hAnsi="Times New Roman" w:cs="Times New Roman"/>
          <w:i/>
          <w:lang w:val="fr-FR"/>
        </w:rPr>
        <w:t xml:space="preserve">. </w:t>
      </w:r>
      <w:r w:rsidR="00272DB6"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272DB6" w:rsidRPr="00403C55">
        <w:rPr>
          <w:rFonts w:ascii="Times New Roman" w:hAnsi="Times New Roman" w:cs="Times New Roman"/>
          <w:i/>
          <w:lang w:val="fr-FR"/>
        </w:rPr>
        <w:t xml:space="preserve"> 3 – Réduire les effets sur les populations régionales des maladies toxicologiques et/ou infectieuses</w:t>
      </w:r>
    </w:p>
    <w:p w14:paraId="0248EB13" w14:textId="77777777" w:rsidR="00EE1D7D" w:rsidRPr="00403C55" w:rsidRDefault="00EE1D7D" w:rsidP="00EE1D7D">
      <w:pPr>
        <w:spacing w:after="0" w:line="240" w:lineRule="auto"/>
        <w:jc w:val="both"/>
        <w:rPr>
          <w:rFonts w:ascii="Times New Roman" w:hAnsi="Times New Roman" w:cs="Times New Roman"/>
          <w:i/>
          <w:lang w:val="fr-FR"/>
        </w:rPr>
      </w:pPr>
    </w:p>
    <w:p w14:paraId="426EDC3E" w14:textId="576DF626" w:rsidR="00EE1D7D" w:rsidRPr="00403C55" w:rsidRDefault="00272DB6"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Les activités relatives à ce résultat ont toutes été classées comme ayant une priorité moyenne.</w:t>
      </w:r>
      <w:r w:rsidR="00764D97" w:rsidRPr="00403C55">
        <w:rPr>
          <w:rFonts w:ascii="Times New Roman" w:hAnsi="Times New Roman" w:cs="Times New Roman"/>
          <w:lang w:val="fr-FR"/>
        </w:rPr>
        <w:t xml:space="preserve"> </w:t>
      </w:r>
      <w:r w:rsidRPr="00403C55">
        <w:rPr>
          <w:rFonts w:ascii="Times New Roman" w:hAnsi="Times New Roman" w:cs="Times New Roman"/>
          <w:lang w:val="fr-FR"/>
        </w:rPr>
        <w:t xml:space="preserve">L’Éthiopie et le Kenya ont </w:t>
      </w:r>
      <w:r w:rsidR="009D5188" w:rsidRPr="00403C55">
        <w:rPr>
          <w:rFonts w:ascii="Times New Roman" w:hAnsi="Times New Roman" w:cs="Times New Roman"/>
          <w:lang w:val="fr-FR"/>
        </w:rPr>
        <w:t>indiqué</w:t>
      </w:r>
      <w:r w:rsidRPr="00403C55">
        <w:rPr>
          <w:rFonts w:ascii="Times New Roman" w:hAnsi="Times New Roman" w:cs="Times New Roman"/>
          <w:lang w:val="fr-FR"/>
        </w:rPr>
        <w:t xml:space="preserve"> avoir établi des programmes de surveillance sanitaire – sous la forme de programmes de surveillance annuelle/saisonnière – pour évaluer l’effet des hécatombes au sein des populations de flamants nains, tandis que la Namibie faisait état d’une mise en œuvre partielle de l’activité, avec des scientifiques travaillant sur les cyanobactéries en collaboration avec le gouvernement (activité 3.1 / 17 %).</w:t>
      </w:r>
      <w:r w:rsidR="00EE1D7D" w:rsidRPr="00403C55">
        <w:rPr>
          <w:rFonts w:ascii="Times New Roman" w:hAnsi="Times New Roman" w:cs="Times New Roman"/>
          <w:lang w:val="fr-FR"/>
        </w:rPr>
        <w:t xml:space="preserve"> </w:t>
      </w:r>
    </w:p>
    <w:p w14:paraId="77F7DBF7" w14:textId="77777777" w:rsidR="00C55326" w:rsidRPr="00403C55" w:rsidRDefault="00C55326" w:rsidP="00EE1D7D">
      <w:pPr>
        <w:spacing w:after="0" w:line="240" w:lineRule="auto"/>
        <w:jc w:val="both"/>
        <w:rPr>
          <w:rFonts w:ascii="Times New Roman" w:hAnsi="Times New Roman" w:cs="Times New Roman"/>
          <w:lang w:val="fr-FR"/>
        </w:rPr>
      </w:pPr>
    </w:p>
    <w:p w14:paraId="25998994" w14:textId="1893BB0B" w:rsidR="00C55326" w:rsidRPr="00403C55" w:rsidRDefault="00BE5DF0" w:rsidP="00EE1D7D">
      <w:pPr>
        <w:spacing w:after="0" w:line="240" w:lineRule="auto"/>
        <w:jc w:val="both"/>
        <w:rPr>
          <w:rFonts w:ascii="Times New Roman" w:hAnsi="Times New Roman" w:cs="Times New Roman"/>
          <w:lang w:val="fr-FR"/>
        </w:rPr>
      </w:pPr>
      <w:r w:rsidRPr="00403C55">
        <w:rPr>
          <w:noProof/>
          <w:lang w:val="en-US"/>
        </w:rPr>
        <w:drawing>
          <wp:inline distT="0" distB="0" distL="0" distR="0" wp14:anchorId="767B5BF3" wp14:editId="33DB8201">
            <wp:extent cx="3076575" cy="2105025"/>
            <wp:effectExtent l="0" t="0" r="9525"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204140A" w14:textId="77777777" w:rsidR="00EE1D7D" w:rsidRPr="00403C55" w:rsidRDefault="00EE1D7D" w:rsidP="00EE1D7D">
      <w:pPr>
        <w:spacing w:after="0" w:line="240" w:lineRule="auto"/>
        <w:jc w:val="both"/>
        <w:rPr>
          <w:rFonts w:ascii="Times New Roman" w:hAnsi="Times New Roman" w:cs="Times New Roman"/>
          <w:i/>
          <w:lang w:val="fr-FR"/>
        </w:rPr>
      </w:pPr>
    </w:p>
    <w:p w14:paraId="24A32F6E" w14:textId="0AC75742" w:rsidR="00CF0E12" w:rsidRPr="00403C55" w:rsidRDefault="00CF0E12"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1E5D8E61" w14:textId="77777777" w:rsidR="00020461" w:rsidRPr="00403C55" w:rsidRDefault="00020461" w:rsidP="00AE1D6E">
      <w:pPr>
        <w:spacing w:after="0" w:line="240" w:lineRule="auto"/>
        <w:jc w:val="both"/>
        <w:rPr>
          <w:rFonts w:ascii="Times New Roman" w:hAnsi="Times New Roman" w:cs="Times New Roman"/>
          <w:lang w:val="fr-FR"/>
        </w:rPr>
      </w:pPr>
    </w:p>
    <w:p w14:paraId="37EAA47F" w14:textId="5F80DB82" w:rsidR="00AE1D6E" w:rsidRPr="00403C55" w:rsidRDefault="00272DB6" w:rsidP="00AE1D6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Une vue d'ensemble du taux de mise en œuvre des autres activités liées à ce résultat est présentée dans le tableau </w:t>
      </w:r>
      <w:r w:rsidR="00F82903">
        <w:rPr>
          <w:rFonts w:ascii="Times New Roman" w:hAnsi="Times New Roman" w:cs="Times New Roman"/>
          <w:lang w:val="fr-FR"/>
        </w:rPr>
        <w:t xml:space="preserve">ci-dessous </w:t>
      </w:r>
      <w:r w:rsidRPr="00403C55">
        <w:rPr>
          <w:rFonts w:ascii="Times New Roman" w:hAnsi="Times New Roman" w:cs="Times New Roman"/>
          <w:lang w:val="fr-FR"/>
        </w:rPr>
        <w:t>:</w:t>
      </w:r>
    </w:p>
    <w:p w14:paraId="04611E5B" w14:textId="77777777" w:rsidR="008B3B34" w:rsidRPr="00403C55" w:rsidRDefault="008B3B34" w:rsidP="00AE1D6E">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385"/>
        <w:gridCol w:w="1078"/>
        <w:gridCol w:w="1597"/>
      </w:tblGrid>
      <w:tr w:rsidR="00764D97" w:rsidRPr="00DE4CF4" w14:paraId="632CE4F3" w14:textId="77777777" w:rsidTr="00010148">
        <w:tc>
          <w:tcPr>
            <w:tcW w:w="6385" w:type="dxa"/>
            <w:shd w:val="clear" w:color="auto" w:fill="DBE5F1" w:themeFill="accent1" w:themeFillTint="33"/>
          </w:tcPr>
          <w:p w14:paraId="6E27541A" w14:textId="12C33B2E" w:rsidR="00764D97" w:rsidRPr="00403C55" w:rsidRDefault="00272DB6" w:rsidP="003F50F9">
            <w:pPr>
              <w:jc w:val="both"/>
              <w:rPr>
                <w:rFonts w:ascii="Times New Roman" w:hAnsi="Times New Roman" w:cs="Times New Roman"/>
                <w:i/>
                <w:lang w:val="fr-FR"/>
              </w:rPr>
            </w:pPr>
            <w:r w:rsidRPr="00403C55">
              <w:rPr>
                <w:rFonts w:ascii="Times New Roman" w:hAnsi="Times New Roman" w:cs="Times New Roman"/>
                <w:i/>
                <w:lang w:val="fr-FR"/>
              </w:rPr>
              <w:lastRenderedPageBreak/>
              <w:t>Activité</w:t>
            </w:r>
          </w:p>
        </w:tc>
        <w:tc>
          <w:tcPr>
            <w:tcW w:w="1078" w:type="dxa"/>
            <w:shd w:val="clear" w:color="auto" w:fill="DBE5F1" w:themeFill="accent1" w:themeFillTint="33"/>
          </w:tcPr>
          <w:p w14:paraId="75D24993" w14:textId="3FE4C838" w:rsidR="00764D97" w:rsidRPr="00403C55" w:rsidRDefault="00272DB6" w:rsidP="003F50F9">
            <w:pPr>
              <w:jc w:val="both"/>
              <w:rPr>
                <w:rFonts w:ascii="Times New Roman" w:hAnsi="Times New Roman" w:cs="Times New Roman"/>
                <w:i/>
                <w:lang w:val="fr-FR"/>
              </w:rPr>
            </w:pPr>
            <w:r w:rsidRPr="00403C55">
              <w:rPr>
                <w:rFonts w:ascii="Times New Roman" w:hAnsi="Times New Roman" w:cs="Times New Roman"/>
                <w:i/>
                <w:lang w:val="fr-FR"/>
              </w:rPr>
              <w:t>Priorité</w:t>
            </w:r>
          </w:p>
        </w:tc>
        <w:tc>
          <w:tcPr>
            <w:tcW w:w="1597" w:type="dxa"/>
            <w:shd w:val="clear" w:color="auto" w:fill="DBE5F1" w:themeFill="accent1" w:themeFillTint="33"/>
          </w:tcPr>
          <w:p w14:paraId="1F5D8E68" w14:textId="607CAAF2" w:rsidR="00764D97" w:rsidRPr="00403C55" w:rsidRDefault="00272DB6"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764D97" w:rsidRPr="00403C55" w14:paraId="56CA11A0" w14:textId="77777777" w:rsidTr="00010148">
        <w:tc>
          <w:tcPr>
            <w:tcW w:w="6385" w:type="dxa"/>
          </w:tcPr>
          <w:p w14:paraId="4C582ED2" w14:textId="6BEE7007" w:rsidR="00764D97" w:rsidRPr="00403C55" w:rsidRDefault="00764D97" w:rsidP="003F50F9">
            <w:pPr>
              <w:jc w:val="both"/>
              <w:rPr>
                <w:rFonts w:ascii="Times New Roman" w:hAnsi="Times New Roman" w:cs="Times New Roman"/>
                <w:lang w:val="fr-FR"/>
              </w:rPr>
            </w:pPr>
            <w:r w:rsidRPr="00403C55">
              <w:rPr>
                <w:rFonts w:ascii="Times New Roman" w:hAnsi="Times New Roman" w:cs="Times New Roman"/>
                <w:lang w:val="fr-FR"/>
              </w:rPr>
              <w:t xml:space="preserve">3.2 </w:t>
            </w:r>
            <w:r w:rsidR="00272DB6" w:rsidRPr="00403C55">
              <w:rPr>
                <w:rFonts w:ascii="Times New Roman" w:hAnsi="Times New Roman" w:cs="Times New Roman"/>
                <w:lang w:val="fr-FR"/>
              </w:rPr>
              <w:t>Sensibiliser les décideurs et l’industrie aux risques présentés par la pollution sur le Flamant nain</w:t>
            </w:r>
          </w:p>
        </w:tc>
        <w:tc>
          <w:tcPr>
            <w:tcW w:w="1078" w:type="dxa"/>
          </w:tcPr>
          <w:p w14:paraId="6E090162" w14:textId="59037ED0" w:rsidR="00764D97" w:rsidRPr="00403C55" w:rsidRDefault="00272DB6"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6A86F74C" w14:textId="054493C5" w:rsidR="00764D97" w:rsidRPr="00403C55" w:rsidRDefault="007A2C2C" w:rsidP="00C13271">
            <w:pPr>
              <w:jc w:val="center"/>
              <w:rPr>
                <w:rFonts w:ascii="Times New Roman" w:hAnsi="Times New Roman" w:cs="Times New Roman"/>
                <w:lang w:val="fr-FR"/>
              </w:rPr>
            </w:pPr>
            <w:r w:rsidRPr="00403C55">
              <w:rPr>
                <w:rFonts w:ascii="Times New Roman" w:hAnsi="Times New Roman" w:cs="Times New Roman"/>
                <w:lang w:val="fr-FR"/>
              </w:rPr>
              <w:t>42</w:t>
            </w:r>
            <w:r w:rsidR="00C13271" w:rsidRPr="00403C55">
              <w:rPr>
                <w:rFonts w:ascii="Times New Roman" w:hAnsi="Times New Roman" w:cs="Times New Roman"/>
                <w:lang w:val="fr-FR"/>
              </w:rPr>
              <w:t>%</w:t>
            </w:r>
          </w:p>
        </w:tc>
      </w:tr>
      <w:tr w:rsidR="00764D97" w:rsidRPr="00403C55" w14:paraId="01291592" w14:textId="77777777" w:rsidTr="00010148">
        <w:tc>
          <w:tcPr>
            <w:tcW w:w="6385" w:type="dxa"/>
          </w:tcPr>
          <w:p w14:paraId="2112F9FF" w14:textId="7CC15E68" w:rsidR="00764D97" w:rsidRPr="00403C55" w:rsidRDefault="00764D97" w:rsidP="003F50F9">
            <w:pPr>
              <w:jc w:val="both"/>
              <w:rPr>
                <w:rFonts w:ascii="Times New Roman" w:hAnsi="Times New Roman" w:cs="Times New Roman"/>
                <w:lang w:val="fr-FR"/>
              </w:rPr>
            </w:pPr>
            <w:r w:rsidRPr="00403C55">
              <w:rPr>
                <w:rFonts w:ascii="Times New Roman" w:hAnsi="Times New Roman" w:cs="Times New Roman"/>
                <w:lang w:val="fr-FR"/>
              </w:rPr>
              <w:t>3</w:t>
            </w:r>
            <w:r w:rsidR="005B2EA6" w:rsidRPr="00403C55">
              <w:rPr>
                <w:rFonts w:ascii="Times New Roman" w:hAnsi="Times New Roman" w:cs="Times New Roman"/>
                <w:lang w:val="fr-FR"/>
              </w:rPr>
              <w:t>.3</w:t>
            </w:r>
            <w:r w:rsidRPr="00403C55">
              <w:rPr>
                <w:rFonts w:ascii="Times New Roman" w:hAnsi="Times New Roman" w:cs="Times New Roman"/>
                <w:lang w:val="fr-FR"/>
              </w:rPr>
              <w:t xml:space="preserve"> </w:t>
            </w:r>
            <w:r w:rsidR="00272DB6" w:rsidRPr="00403C55">
              <w:rPr>
                <w:rFonts w:ascii="Times New Roman" w:hAnsi="Times New Roman" w:cs="Times New Roman"/>
                <w:lang w:val="fr-FR"/>
              </w:rPr>
              <w:t>S’assurer que les lignes directrices/la législation relatives à la pollution sur les sites clés reflètent la sensibilité de l’espèce</w:t>
            </w:r>
          </w:p>
        </w:tc>
        <w:tc>
          <w:tcPr>
            <w:tcW w:w="1078" w:type="dxa"/>
          </w:tcPr>
          <w:p w14:paraId="700D816D" w14:textId="08959F32" w:rsidR="00764D97" w:rsidRPr="00403C55" w:rsidRDefault="00272DB6"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512B31FA" w14:textId="680F472A" w:rsidR="00764D97" w:rsidRPr="00403C55" w:rsidRDefault="00C13271" w:rsidP="00C13271">
            <w:pPr>
              <w:jc w:val="center"/>
              <w:rPr>
                <w:rFonts w:ascii="Times New Roman" w:hAnsi="Times New Roman" w:cs="Times New Roman"/>
                <w:lang w:val="fr-FR"/>
              </w:rPr>
            </w:pPr>
            <w:r w:rsidRPr="00403C55">
              <w:rPr>
                <w:rFonts w:ascii="Times New Roman" w:hAnsi="Times New Roman" w:cs="Times New Roman"/>
                <w:lang w:val="fr-FR"/>
              </w:rPr>
              <w:t>33%</w:t>
            </w:r>
          </w:p>
        </w:tc>
      </w:tr>
      <w:tr w:rsidR="00764D97" w:rsidRPr="00403C55" w14:paraId="3552E4F9" w14:textId="77777777" w:rsidTr="00010148">
        <w:tc>
          <w:tcPr>
            <w:tcW w:w="6385" w:type="dxa"/>
          </w:tcPr>
          <w:p w14:paraId="202D3C09" w14:textId="4892073D" w:rsidR="00764D97" w:rsidRPr="00403C55" w:rsidRDefault="00764D97" w:rsidP="003F50F9">
            <w:pPr>
              <w:jc w:val="both"/>
              <w:rPr>
                <w:rFonts w:ascii="Times New Roman" w:hAnsi="Times New Roman" w:cs="Times New Roman"/>
                <w:lang w:val="fr-FR"/>
              </w:rPr>
            </w:pPr>
            <w:r w:rsidRPr="00403C55">
              <w:rPr>
                <w:rFonts w:ascii="Times New Roman" w:hAnsi="Times New Roman" w:cs="Times New Roman"/>
                <w:lang w:val="fr-FR"/>
              </w:rPr>
              <w:t>3</w:t>
            </w:r>
            <w:r w:rsidR="005B2EA6" w:rsidRPr="00403C55">
              <w:rPr>
                <w:rFonts w:ascii="Times New Roman" w:hAnsi="Times New Roman" w:cs="Times New Roman"/>
                <w:lang w:val="fr-FR"/>
              </w:rPr>
              <w:t>.4</w:t>
            </w:r>
            <w:r w:rsidRPr="00403C55">
              <w:rPr>
                <w:rFonts w:ascii="Times New Roman" w:hAnsi="Times New Roman" w:cs="Times New Roman"/>
                <w:lang w:val="fr-FR"/>
              </w:rPr>
              <w:t xml:space="preserve"> </w:t>
            </w:r>
            <w:r w:rsidR="00272DB6" w:rsidRPr="00403C55">
              <w:rPr>
                <w:rFonts w:ascii="Times New Roman" w:hAnsi="Times New Roman" w:cs="Times New Roman"/>
                <w:lang w:val="fr-FR"/>
              </w:rPr>
              <w:t>S’assurer que des lignes directrices/la législation relatives à la pollution sont élaborées et appliquées, notamment en référence avec les produits chimiques industriels et les métaux lourds</w:t>
            </w:r>
          </w:p>
        </w:tc>
        <w:tc>
          <w:tcPr>
            <w:tcW w:w="1078" w:type="dxa"/>
          </w:tcPr>
          <w:p w14:paraId="0264EF61" w14:textId="370F6801" w:rsidR="00764D97" w:rsidRPr="00403C55" w:rsidRDefault="00272DB6"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75400D80" w14:textId="2C98CA6C" w:rsidR="00764D97" w:rsidRPr="00403C55" w:rsidRDefault="007A2C2C" w:rsidP="00C13271">
            <w:pPr>
              <w:jc w:val="center"/>
              <w:rPr>
                <w:rFonts w:ascii="Times New Roman" w:hAnsi="Times New Roman" w:cs="Times New Roman"/>
                <w:lang w:val="fr-FR"/>
              </w:rPr>
            </w:pPr>
            <w:r w:rsidRPr="00403C55">
              <w:rPr>
                <w:rFonts w:ascii="Times New Roman" w:hAnsi="Times New Roman" w:cs="Times New Roman"/>
                <w:lang w:val="fr-FR"/>
              </w:rPr>
              <w:t>33</w:t>
            </w:r>
            <w:r w:rsidR="00C13271" w:rsidRPr="00403C55">
              <w:rPr>
                <w:rFonts w:ascii="Times New Roman" w:hAnsi="Times New Roman" w:cs="Times New Roman"/>
                <w:lang w:val="fr-FR"/>
              </w:rPr>
              <w:t>%</w:t>
            </w:r>
          </w:p>
        </w:tc>
      </w:tr>
    </w:tbl>
    <w:p w14:paraId="58FB3E2A" w14:textId="77777777" w:rsidR="00764D97" w:rsidRPr="00403C55" w:rsidRDefault="00764D97" w:rsidP="00EE1D7D">
      <w:pPr>
        <w:spacing w:after="0" w:line="240" w:lineRule="auto"/>
        <w:jc w:val="both"/>
        <w:rPr>
          <w:rFonts w:ascii="Times New Roman" w:hAnsi="Times New Roman" w:cs="Times New Roman"/>
          <w:i/>
          <w:lang w:val="fr-FR"/>
        </w:rPr>
      </w:pPr>
    </w:p>
    <w:p w14:paraId="398CB8FE" w14:textId="0C21ED6F" w:rsidR="00764D97" w:rsidRPr="00403C55" w:rsidRDefault="00272DB6" w:rsidP="00EE1D7D">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046D84" w:rsidRPr="00403C55">
        <w:rPr>
          <w:rFonts w:ascii="Times New Roman" w:hAnsi="Times New Roman" w:cs="Times New Roman"/>
          <w:b/>
          <w:lang w:val="fr-FR"/>
        </w:rPr>
        <w:t xml:space="preserve"> </w:t>
      </w:r>
      <w:r w:rsidR="007A2C2C" w:rsidRPr="00403C55">
        <w:rPr>
          <w:rFonts w:ascii="Times New Roman" w:hAnsi="Times New Roman" w:cs="Times New Roman"/>
          <w:b/>
          <w:lang w:val="fr-FR"/>
        </w:rPr>
        <w:t>31</w:t>
      </w:r>
      <w:r w:rsidR="00016CCA" w:rsidRPr="00403C55">
        <w:rPr>
          <w:rFonts w:ascii="Times New Roman" w:hAnsi="Times New Roman" w:cs="Times New Roman"/>
          <w:b/>
          <w:lang w:val="fr-FR"/>
        </w:rPr>
        <w:t xml:space="preserve"> </w:t>
      </w:r>
      <w:r w:rsidR="00A97D8F" w:rsidRPr="00403C55">
        <w:rPr>
          <w:rFonts w:ascii="Times New Roman" w:hAnsi="Times New Roman" w:cs="Times New Roman"/>
          <w:b/>
          <w:lang w:val="fr-FR"/>
        </w:rPr>
        <w:t>%</w:t>
      </w:r>
    </w:p>
    <w:p w14:paraId="4EA7E69F" w14:textId="77777777" w:rsidR="00046D84" w:rsidRPr="00403C55" w:rsidRDefault="00046D84" w:rsidP="00EE1D7D">
      <w:pPr>
        <w:spacing w:after="0" w:line="240" w:lineRule="auto"/>
        <w:jc w:val="both"/>
        <w:rPr>
          <w:rFonts w:ascii="Times New Roman" w:hAnsi="Times New Roman" w:cs="Times New Roman"/>
          <w:b/>
          <w:lang w:val="fr-FR"/>
        </w:rPr>
      </w:pPr>
    </w:p>
    <w:p w14:paraId="6181821F" w14:textId="72CA6FF0"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5.4</w:t>
      </w:r>
      <w:r w:rsidR="00EE1D7D" w:rsidRPr="00403C55">
        <w:rPr>
          <w:rFonts w:ascii="Times New Roman" w:hAnsi="Times New Roman" w:cs="Times New Roman"/>
          <w:i/>
          <w:lang w:val="fr-FR"/>
        </w:rPr>
        <w:t xml:space="preserve">. </w:t>
      </w:r>
      <w:r w:rsidR="00016CCA"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016CCA" w:rsidRPr="00403C55">
        <w:rPr>
          <w:rFonts w:ascii="Times New Roman" w:hAnsi="Times New Roman" w:cs="Times New Roman"/>
          <w:i/>
          <w:lang w:val="fr-FR"/>
        </w:rPr>
        <w:t xml:space="preserve"> 4 – S’assurer que le prélèvement d’œufs et le commerce de spécimens vivants n’ont pas d’effet sur</w:t>
      </w:r>
      <w:r w:rsidR="00F82903">
        <w:rPr>
          <w:rFonts w:ascii="Times New Roman" w:hAnsi="Times New Roman" w:cs="Times New Roman"/>
          <w:i/>
          <w:lang w:val="fr-FR"/>
        </w:rPr>
        <w:t xml:space="preserve"> les populations régionales de f</w:t>
      </w:r>
      <w:r w:rsidR="00016CCA" w:rsidRPr="00403C55">
        <w:rPr>
          <w:rFonts w:ascii="Times New Roman" w:hAnsi="Times New Roman" w:cs="Times New Roman"/>
          <w:i/>
          <w:lang w:val="fr-FR"/>
        </w:rPr>
        <w:t xml:space="preserve">lamants nains </w:t>
      </w:r>
    </w:p>
    <w:p w14:paraId="4069CBD5" w14:textId="77777777" w:rsidR="00EE1D7D" w:rsidRPr="00403C55" w:rsidRDefault="00EE1D7D" w:rsidP="00EE1D7D">
      <w:pPr>
        <w:spacing w:after="0" w:line="240" w:lineRule="auto"/>
        <w:jc w:val="both"/>
        <w:rPr>
          <w:rFonts w:ascii="Times New Roman" w:hAnsi="Times New Roman" w:cs="Times New Roman"/>
          <w:i/>
          <w:lang w:val="fr-FR"/>
        </w:rPr>
      </w:pPr>
    </w:p>
    <w:p w14:paraId="35BD8BC9" w14:textId="5BDCAEE6" w:rsidR="00EE1D7D" w:rsidRPr="00403C55" w:rsidRDefault="00016CCA"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maintien des interdictions existantes sur le commerce de spécimens de flamants nains, des parties de leur corps et </w:t>
      </w:r>
      <w:r w:rsidR="009D5188" w:rsidRPr="00403C55">
        <w:rPr>
          <w:rFonts w:ascii="Times New Roman" w:hAnsi="Times New Roman" w:cs="Times New Roman"/>
          <w:lang w:val="fr-FR"/>
        </w:rPr>
        <w:t xml:space="preserve">de </w:t>
      </w:r>
      <w:r w:rsidRPr="00403C55">
        <w:rPr>
          <w:rFonts w:ascii="Times New Roman" w:hAnsi="Times New Roman" w:cs="Times New Roman"/>
          <w:lang w:val="fr-FR"/>
        </w:rPr>
        <w:t>leurs œufs (activité 4.1) et la régl</w:t>
      </w:r>
      <w:r w:rsidR="009D5188" w:rsidRPr="00403C55">
        <w:rPr>
          <w:rFonts w:ascii="Times New Roman" w:hAnsi="Times New Roman" w:cs="Times New Roman"/>
          <w:lang w:val="fr-FR"/>
        </w:rPr>
        <w:t>ementation</w:t>
      </w:r>
      <w:r w:rsidRPr="00403C55">
        <w:rPr>
          <w:rFonts w:ascii="Times New Roman" w:hAnsi="Times New Roman" w:cs="Times New Roman"/>
          <w:lang w:val="fr-FR"/>
        </w:rPr>
        <w:t xml:space="preserve"> et l’application d’un mécanisme strict d’autorisation du commerce au niveau national, basée sur des évaluations du commerce </w:t>
      </w:r>
      <w:r w:rsidR="009D5188" w:rsidRPr="00403C55">
        <w:rPr>
          <w:rFonts w:ascii="Times New Roman" w:hAnsi="Times New Roman" w:cs="Times New Roman"/>
          <w:lang w:val="fr-FR"/>
        </w:rPr>
        <w:t>des</w:t>
      </w:r>
      <w:r w:rsidRPr="00403C55">
        <w:rPr>
          <w:rFonts w:ascii="Times New Roman" w:hAnsi="Times New Roman" w:cs="Times New Roman"/>
          <w:lang w:val="fr-FR"/>
        </w:rPr>
        <w:t xml:space="preserve"> populations régionales de flamants nains, ont été classés dans la catégorie des activités </w:t>
      </w:r>
      <w:r w:rsidR="009D5188" w:rsidRPr="00403C55">
        <w:rPr>
          <w:rFonts w:ascii="Times New Roman" w:hAnsi="Times New Roman" w:cs="Times New Roman"/>
          <w:lang w:val="fr-FR"/>
        </w:rPr>
        <w:t>à</w:t>
      </w:r>
      <w:r w:rsidRPr="00403C55">
        <w:rPr>
          <w:rFonts w:ascii="Times New Roman" w:hAnsi="Times New Roman" w:cs="Times New Roman"/>
          <w:lang w:val="fr-FR"/>
        </w:rPr>
        <w:t xml:space="preserve"> priorité élevée dans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(activité 4.2). Quatre pays ont fait part de la mise en œuvre de ces deux activités.</w:t>
      </w:r>
      <w:r w:rsidR="00AF5182" w:rsidRPr="00403C55">
        <w:rPr>
          <w:rFonts w:ascii="Times New Roman" w:hAnsi="Times New Roman" w:cs="Times New Roman"/>
          <w:lang w:val="fr-FR"/>
        </w:rPr>
        <w:t xml:space="preserve"> </w:t>
      </w:r>
    </w:p>
    <w:p w14:paraId="43A87CF4" w14:textId="77777777" w:rsidR="00EE1D7D" w:rsidRPr="00403C55" w:rsidRDefault="00EE1D7D" w:rsidP="00EE1D7D">
      <w:pPr>
        <w:spacing w:after="0" w:line="240" w:lineRule="auto"/>
        <w:jc w:val="both"/>
        <w:rPr>
          <w:rFonts w:ascii="Times New Roman" w:hAnsi="Times New Roman" w:cs="Times New Roman"/>
          <w:i/>
          <w:lang w:val="fr-FR"/>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46"/>
      </w:tblGrid>
      <w:tr w:rsidR="00EE1D7D" w:rsidRPr="00403C55" w14:paraId="40B4C0AF" w14:textId="77777777" w:rsidTr="00AF5182">
        <w:trPr>
          <w:trHeight w:val="4035"/>
        </w:trPr>
        <w:tc>
          <w:tcPr>
            <w:tcW w:w="4624" w:type="dxa"/>
          </w:tcPr>
          <w:p w14:paraId="31CE7BCD" w14:textId="27DE3BDB" w:rsidR="00EE1D7D" w:rsidRPr="00403C55" w:rsidRDefault="00AF5182" w:rsidP="00CC46D2">
            <w:pPr>
              <w:jc w:val="both"/>
              <w:rPr>
                <w:rFonts w:ascii="Times New Roman" w:hAnsi="Times New Roman" w:cs="Times New Roman"/>
                <w:lang w:val="fr-FR"/>
              </w:rPr>
            </w:pPr>
            <w:r w:rsidRPr="00403C55">
              <w:rPr>
                <w:noProof/>
              </w:rPr>
              <w:drawing>
                <wp:inline distT="0" distB="0" distL="0" distR="0" wp14:anchorId="13AAFEC1" wp14:editId="5B3531BD">
                  <wp:extent cx="2733675" cy="2314575"/>
                  <wp:effectExtent l="0" t="0" r="952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46" w:type="dxa"/>
          </w:tcPr>
          <w:p w14:paraId="5970352C" w14:textId="262C2124" w:rsidR="00EE1D7D" w:rsidRPr="00403C55" w:rsidRDefault="00046D84" w:rsidP="00CC46D2">
            <w:pPr>
              <w:jc w:val="both"/>
              <w:rPr>
                <w:rFonts w:ascii="Times New Roman" w:hAnsi="Times New Roman" w:cs="Times New Roman"/>
                <w:lang w:val="fr-FR"/>
              </w:rPr>
            </w:pPr>
            <w:r w:rsidRPr="00403C55">
              <w:rPr>
                <w:noProof/>
              </w:rPr>
              <w:drawing>
                <wp:inline distT="0" distB="0" distL="0" distR="0" wp14:anchorId="06001E66" wp14:editId="08C19933">
                  <wp:extent cx="2667000" cy="2314575"/>
                  <wp:effectExtent l="0" t="0" r="1905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55515F68" w14:textId="5C2E1438" w:rsidR="00020461" w:rsidRPr="00403C55" w:rsidRDefault="00020461"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Pas d’information</w:t>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t>Oui</w:t>
      </w:r>
      <w:r w:rsidRPr="00403C55">
        <w:rPr>
          <w:rFonts w:ascii="Times New Roman" w:hAnsi="Times New Roman" w:cs="Times New Roman"/>
          <w:lang w:val="fr-FR"/>
        </w:rPr>
        <w:tab/>
        <w:t>Pas d’information</w:t>
      </w:r>
    </w:p>
    <w:p w14:paraId="63D42220" w14:textId="77777777" w:rsidR="00020461" w:rsidRPr="00403C55" w:rsidRDefault="00020461" w:rsidP="00EE1D7D">
      <w:pPr>
        <w:spacing w:after="0" w:line="240" w:lineRule="auto"/>
        <w:jc w:val="both"/>
        <w:rPr>
          <w:rFonts w:ascii="Times New Roman" w:hAnsi="Times New Roman" w:cs="Times New Roman"/>
          <w:b/>
          <w:lang w:val="fr-FR"/>
        </w:rPr>
      </w:pPr>
    </w:p>
    <w:p w14:paraId="470A4150" w14:textId="242831F9" w:rsidR="00EE1D7D" w:rsidRPr="00403C55" w:rsidRDefault="00016CCA" w:rsidP="00EE1D7D">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AF5182" w:rsidRPr="00403C55">
        <w:rPr>
          <w:rFonts w:ascii="Times New Roman" w:hAnsi="Times New Roman" w:cs="Times New Roman"/>
          <w:b/>
          <w:lang w:val="fr-FR"/>
        </w:rPr>
        <w:t xml:space="preserve"> 33</w:t>
      </w:r>
      <w:r w:rsidRPr="00403C55">
        <w:rPr>
          <w:rFonts w:ascii="Times New Roman" w:hAnsi="Times New Roman" w:cs="Times New Roman"/>
          <w:b/>
          <w:lang w:val="fr-FR"/>
        </w:rPr>
        <w:t xml:space="preserve"> </w:t>
      </w:r>
      <w:r w:rsidR="00AF5182" w:rsidRPr="00403C55">
        <w:rPr>
          <w:rFonts w:ascii="Times New Roman" w:hAnsi="Times New Roman" w:cs="Times New Roman"/>
          <w:b/>
          <w:lang w:val="fr-FR"/>
        </w:rPr>
        <w:t>%</w:t>
      </w:r>
    </w:p>
    <w:p w14:paraId="43AECB43" w14:textId="77777777" w:rsidR="00C13271" w:rsidRPr="00403C55" w:rsidRDefault="00C13271" w:rsidP="00EE1D7D">
      <w:pPr>
        <w:spacing w:after="0" w:line="240" w:lineRule="auto"/>
        <w:jc w:val="both"/>
        <w:rPr>
          <w:rFonts w:ascii="Times New Roman" w:hAnsi="Times New Roman" w:cs="Times New Roman"/>
          <w:lang w:val="fr-FR"/>
        </w:rPr>
      </w:pPr>
    </w:p>
    <w:p w14:paraId="6F788761" w14:textId="61716F53"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5.5</w:t>
      </w:r>
      <w:r w:rsidR="00EE1D7D" w:rsidRPr="00403C55">
        <w:rPr>
          <w:rFonts w:ascii="Times New Roman" w:hAnsi="Times New Roman" w:cs="Times New Roman"/>
          <w:i/>
          <w:lang w:val="fr-FR"/>
        </w:rPr>
        <w:t xml:space="preserve">. </w:t>
      </w:r>
      <w:r w:rsidR="00016CCA"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016CCA" w:rsidRPr="00403C55">
        <w:rPr>
          <w:rFonts w:ascii="Times New Roman" w:hAnsi="Times New Roman" w:cs="Times New Roman"/>
          <w:i/>
          <w:lang w:val="fr-FR"/>
        </w:rPr>
        <w:t xml:space="preserve"> 5 – Minimiser les collisions avec les structures créées par l’homme</w:t>
      </w:r>
    </w:p>
    <w:p w14:paraId="7DEE94F6" w14:textId="77777777" w:rsidR="00EE1D7D" w:rsidRPr="00403C55" w:rsidRDefault="00EE1D7D" w:rsidP="00EE1D7D">
      <w:pPr>
        <w:spacing w:after="0" w:line="240" w:lineRule="auto"/>
        <w:jc w:val="both"/>
        <w:rPr>
          <w:rFonts w:ascii="Times New Roman" w:hAnsi="Times New Roman" w:cs="Times New Roman"/>
          <w:i/>
          <w:lang w:val="fr-FR"/>
        </w:rPr>
      </w:pPr>
    </w:p>
    <w:p w14:paraId="44D5A3F8" w14:textId="06C91968" w:rsidR="00EE1D7D" w:rsidRPr="00403C55" w:rsidRDefault="00016CCA"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Ce résultat inclut une seule activité (5.1) classée comme étant de priorité moyenne :</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éviter de traverser des habitats et voies de migrations importantes pour le Flamant nain lors du traçage de nouvelles lignes de haute tension et de téléphonie, de clôtures, de pylônes d’éclairage et de câbles guides.</w:t>
      </w:r>
      <w:r w:rsidR="00EE1D7D" w:rsidRPr="00403C55">
        <w:rPr>
          <w:rFonts w:ascii="Times New Roman" w:hAnsi="Times New Roman" w:cs="Times New Roman"/>
          <w:lang w:val="fr-FR"/>
        </w:rPr>
        <w:t xml:space="preserve"> </w:t>
      </w:r>
      <w:r w:rsidRPr="00403C55">
        <w:rPr>
          <w:rFonts w:ascii="Times New Roman" w:hAnsi="Times New Roman" w:cs="Times New Roman"/>
          <w:lang w:val="fr-FR"/>
        </w:rPr>
        <w:t>Seules la Guinée et la Tanzanie ont indiqué avoir mis en œuvre cette activité.</w:t>
      </w:r>
    </w:p>
    <w:p w14:paraId="53002BA6" w14:textId="77777777" w:rsidR="00EE1D7D" w:rsidRPr="00403C55" w:rsidRDefault="00EE1D7D" w:rsidP="00EE1D7D">
      <w:pPr>
        <w:spacing w:after="0" w:line="240" w:lineRule="auto"/>
        <w:jc w:val="both"/>
        <w:rPr>
          <w:rFonts w:ascii="Times New Roman" w:hAnsi="Times New Roman" w:cs="Times New Roman"/>
          <w:lang w:val="fr-FR"/>
        </w:rPr>
      </w:pPr>
    </w:p>
    <w:p w14:paraId="48974EE1" w14:textId="134701D0" w:rsidR="00EE1D7D" w:rsidRPr="00403C55" w:rsidRDefault="00CC359F" w:rsidP="00EE1D7D">
      <w:pPr>
        <w:spacing w:after="0" w:line="240" w:lineRule="auto"/>
        <w:jc w:val="both"/>
        <w:rPr>
          <w:rFonts w:ascii="Times New Roman" w:hAnsi="Times New Roman" w:cs="Times New Roman"/>
          <w:lang w:val="fr-FR"/>
        </w:rPr>
      </w:pPr>
      <w:r w:rsidRPr="00403C55">
        <w:rPr>
          <w:noProof/>
          <w:lang w:val="en-US"/>
        </w:rPr>
        <w:lastRenderedPageBreak/>
        <w:drawing>
          <wp:inline distT="0" distB="0" distL="0" distR="0" wp14:anchorId="261D4615" wp14:editId="5A532B01">
            <wp:extent cx="3457575" cy="2428875"/>
            <wp:effectExtent l="0" t="0" r="9525" b="9525"/>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B9E3D4" w14:textId="77777777" w:rsidR="00EE1D7D" w:rsidRPr="00403C55" w:rsidRDefault="00EE1D7D" w:rsidP="00EE1D7D">
      <w:pPr>
        <w:spacing w:after="0" w:line="240" w:lineRule="auto"/>
        <w:jc w:val="both"/>
        <w:rPr>
          <w:rFonts w:ascii="Times New Roman" w:hAnsi="Times New Roman" w:cs="Times New Roman"/>
          <w:lang w:val="fr-FR"/>
        </w:rPr>
      </w:pPr>
    </w:p>
    <w:p w14:paraId="65FC4E4D" w14:textId="4EE5D105" w:rsidR="003214D2" w:rsidRPr="00403C55" w:rsidRDefault="003214D2"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ab/>
        <w:t>Oui</w:t>
      </w:r>
      <w:r w:rsidRPr="00403C55">
        <w:rPr>
          <w:rFonts w:ascii="Times New Roman" w:hAnsi="Times New Roman" w:cs="Times New Roman"/>
          <w:lang w:val="fr-FR"/>
        </w:rPr>
        <w:tab/>
        <w:t>Non</w:t>
      </w:r>
      <w:r w:rsidRPr="00403C55">
        <w:rPr>
          <w:rFonts w:ascii="Times New Roman" w:hAnsi="Times New Roman" w:cs="Times New Roman"/>
          <w:lang w:val="fr-FR"/>
        </w:rPr>
        <w:tab/>
        <w:t>Pas d’information</w:t>
      </w:r>
    </w:p>
    <w:p w14:paraId="1B54CD5F" w14:textId="77777777" w:rsidR="003214D2" w:rsidRPr="00403C55" w:rsidRDefault="003214D2" w:rsidP="00EE1D7D">
      <w:pPr>
        <w:spacing w:after="0" w:line="240" w:lineRule="auto"/>
        <w:jc w:val="both"/>
        <w:rPr>
          <w:rFonts w:ascii="Times New Roman" w:hAnsi="Times New Roman" w:cs="Times New Roman"/>
          <w:b/>
          <w:lang w:val="fr-FR"/>
        </w:rPr>
      </w:pPr>
    </w:p>
    <w:p w14:paraId="578D29D5" w14:textId="1A7E50CA" w:rsidR="008F309F" w:rsidRPr="00403C55" w:rsidRDefault="00016CCA" w:rsidP="00EE1D7D">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8F309F" w:rsidRPr="00403C55">
        <w:rPr>
          <w:rFonts w:ascii="Times New Roman" w:hAnsi="Times New Roman" w:cs="Times New Roman"/>
          <w:b/>
          <w:lang w:val="fr-FR"/>
        </w:rPr>
        <w:t xml:space="preserve"> 17</w:t>
      </w:r>
      <w:r w:rsidRPr="00403C55">
        <w:rPr>
          <w:rFonts w:ascii="Times New Roman" w:hAnsi="Times New Roman" w:cs="Times New Roman"/>
          <w:b/>
          <w:lang w:val="fr-FR"/>
        </w:rPr>
        <w:t xml:space="preserve"> </w:t>
      </w:r>
      <w:r w:rsidR="008F309F" w:rsidRPr="00403C55">
        <w:rPr>
          <w:rFonts w:ascii="Times New Roman" w:hAnsi="Times New Roman" w:cs="Times New Roman"/>
          <w:b/>
          <w:lang w:val="fr-FR"/>
        </w:rPr>
        <w:t>%</w:t>
      </w:r>
    </w:p>
    <w:p w14:paraId="5D8AB47B" w14:textId="77777777" w:rsidR="008F309F" w:rsidRPr="00403C55" w:rsidRDefault="008F309F" w:rsidP="00EE1D7D">
      <w:pPr>
        <w:spacing w:after="0" w:line="240" w:lineRule="auto"/>
        <w:jc w:val="both"/>
        <w:rPr>
          <w:rFonts w:ascii="Times New Roman" w:hAnsi="Times New Roman" w:cs="Times New Roman"/>
          <w:lang w:val="fr-FR"/>
        </w:rPr>
      </w:pPr>
    </w:p>
    <w:p w14:paraId="496630E7" w14:textId="4A12A1B7"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5.6</w:t>
      </w:r>
      <w:r w:rsidR="00EE1D7D" w:rsidRPr="00403C55">
        <w:rPr>
          <w:rFonts w:ascii="Times New Roman" w:hAnsi="Times New Roman" w:cs="Times New Roman"/>
          <w:i/>
          <w:lang w:val="fr-FR"/>
        </w:rPr>
        <w:t xml:space="preserve">. </w:t>
      </w:r>
      <w:r w:rsidR="00016CCA"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016CCA" w:rsidRPr="00403C55">
        <w:rPr>
          <w:rFonts w:ascii="Times New Roman" w:hAnsi="Times New Roman" w:cs="Times New Roman"/>
          <w:i/>
          <w:lang w:val="fr-FR"/>
        </w:rPr>
        <w:t xml:space="preserve"> 6 – Minimiser les perturbations humaines sur les sites de non-reproduction</w:t>
      </w:r>
    </w:p>
    <w:p w14:paraId="706EF58B" w14:textId="77777777" w:rsidR="00EE1D7D" w:rsidRPr="00403C55" w:rsidRDefault="00EE1D7D" w:rsidP="00EE1D7D">
      <w:pPr>
        <w:spacing w:after="0" w:line="240" w:lineRule="auto"/>
        <w:jc w:val="both"/>
        <w:rPr>
          <w:rFonts w:ascii="Times New Roman" w:hAnsi="Times New Roman" w:cs="Times New Roman"/>
          <w:lang w:val="fr-FR"/>
        </w:rPr>
      </w:pPr>
    </w:p>
    <w:p w14:paraId="6BCEB75A" w14:textId="04765D90" w:rsidR="00EE1D7D" w:rsidRPr="00403C55" w:rsidRDefault="006A114F"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L</w:t>
      </w:r>
      <w:r w:rsidR="00016CCA" w:rsidRPr="00403C55">
        <w:rPr>
          <w:rFonts w:ascii="Times New Roman" w:hAnsi="Times New Roman" w:cs="Times New Roman"/>
          <w:lang w:val="fr-FR"/>
        </w:rPr>
        <w:t xml:space="preserve">a Guinée, le Kenya et la Tanzanie </w:t>
      </w:r>
      <w:r w:rsidRPr="00403C55">
        <w:rPr>
          <w:rFonts w:ascii="Times New Roman" w:hAnsi="Times New Roman" w:cs="Times New Roman"/>
          <w:lang w:val="fr-FR"/>
        </w:rPr>
        <w:t xml:space="preserve">ont pris des </w:t>
      </w:r>
      <w:r w:rsidR="00016CCA" w:rsidRPr="00403C55">
        <w:rPr>
          <w:rFonts w:ascii="Times New Roman" w:hAnsi="Times New Roman" w:cs="Times New Roman"/>
          <w:lang w:val="fr-FR"/>
        </w:rPr>
        <w:t xml:space="preserve">mesures pour éviter les perturbations humaines </w:t>
      </w:r>
      <w:r w:rsidRPr="00403C55">
        <w:rPr>
          <w:rFonts w:ascii="Times New Roman" w:hAnsi="Times New Roman" w:cs="Times New Roman"/>
          <w:lang w:val="fr-FR"/>
        </w:rPr>
        <w:t>(causées en particulier par les avions volant à basse altitude) au</w:t>
      </w:r>
      <w:r w:rsidR="00016CCA" w:rsidRPr="00403C55">
        <w:rPr>
          <w:rFonts w:ascii="Times New Roman" w:hAnsi="Times New Roman" w:cs="Times New Roman"/>
          <w:lang w:val="fr-FR"/>
        </w:rPr>
        <w:t xml:space="preserve"> moyen de législation, de planification, de zonage, et de l</w:t>
      </w:r>
      <w:r w:rsidRPr="00403C55">
        <w:rPr>
          <w:rFonts w:ascii="Times New Roman" w:hAnsi="Times New Roman" w:cs="Times New Roman"/>
          <w:lang w:val="fr-FR"/>
        </w:rPr>
        <w:t>’</w:t>
      </w:r>
      <w:r w:rsidR="00016CCA" w:rsidRPr="00403C55">
        <w:rPr>
          <w:rFonts w:ascii="Times New Roman" w:hAnsi="Times New Roman" w:cs="Times New Roman"/>
          <w:lang w:val="fr-FR"/>
        </w:rPr>
        <w:t xml:space="preserve">application </w:t>
      </w:r>
      <w:r w:rsidRPr="00403C55">
        <w:rPr>
          <w:rFonts w:ascii="Times New Roman" w:hAnsi="Times New Roman" w:cs="Times New Roman"/>
          <w:lang w:val="fr-FR"/>
        </w:rPr>
        <w:t>de ces règles</w:t>
      </w:r>
      <w:r w:rsidR="00016CCA" w:rsidRPr="00403C55">
        <w:rPr>
          <w:rFonts w:ascii="Times New Roman" w:hAnsi="Times New Roman" w:cs="Times New Roman"/>
          <w:lang w:val="fr-FR"/>
        </w:rPr>
        <w:t xml:space="preserve"> (activité</w:t>
      </w:r>
      <w:r w:rsidRPr="00403C55">
        <w:rPr>
          <w:rFonts w:ascii="Times New Roman" w:hAnsi="Times New Roman" w:cs="Times New Roman"/>
          <w:lang w:val="fr-FR"/>
        </w:rPr>
        <w:t xml:space="preserve"> </w:t>
      </w:r>
      <w:r w:rsidR="00016CCA" w:rsidRPr="00403C55">
        <w:rPr>
          <w:rFonts w:ascii="Times New Roman" w:hAnsi="Times New Roman" w:cs="Times New Roman"/>
          <w:lang w:val="fr-FR"/>
        </w:rPr>
        <w:t xml:space="preserve">6.1 / </w:t>
      </w:r>
      <w:r w:rsidRPr="00403C55">
        <w:rPr>
          <w:rFonts w:ascii="Times New Roman" w:hAnsi="Times New Roman" w:cs="Times New Roman"/>
          <w:lang w:val="fr-FR"/>
        </w:rPr>
        <w:t>2</w:t>
      </w:r>
      <w:r w:rsidR="00016CCA" w:rsidRPr="00403C55">
        <w:rPr>
          <w:rFonts w:ascii="Times New Roman" w:hAnsi="Times New Roman" w:cs="Times New Roman"/>
          <w:lang w:val="fr-FR"/>
        </w:rPr>
        <w:t>5</w:t>
      </w:r>
      <w:r w:rsidRPr="00403C55">
        <w:rPr>
          <w:rFonts w:ascii="Times New Roman" w:hAnsi="Times New Roman" w:cs="Times New Roman"/>
          <w:lang w:val="fr-FR"/>
        </w:rPr>
        <w:t xml:space="preserve"> %), ce qui est une autre activité </w:t>
      </w:r>
      <w:r w:rsidR="009D5188" w:rsidRPr="00403C55">
        <w:rPr>
          <w:rFonts w:ascii="Times New Roman" w:hAnsi="Times New Roman" w:cs="Times New Roman"/>
          <w:lang w:val="fr-FR"/>
        </w:rPr>
        <w:t>à</w:t>
      </w:r>
      <w:r w:rsidRPr="00403C55">
        <w:rPr>
          <w:rFonts w:ascii="Times New Roman" w:hAnsi="Times New Roman" w:cs="Times New Roman"/>
          <w:lang w:val="fr-FR"/>
        </w:rPr>
        <w:t xml:space="preserve"> priorité élevée.</w:t>
      </w:r>
      <w:r w:rsidR="00985A4E">
        <w:rPr>
          <w:rFonts w:ascii="Times New Roman" w:hAnsi="Times New Roman" w:cs="Times New Roman"/>
          <w:lang w:val="fr-FR"/>
        </w:rPr>
        <w:t xml:space="preserve"> </w:t>
      </w:r>
    </w:p>
    <w:p w14:paraId="745CDA39" w14:textId="77777777" w:rsidR="00EE1D7D" w:rsidRPr="00403C55" w:rsidRDefault="00EE1D7D" w:rsidP="00EE1D7D">
      <w:pPr>
        <w:spacing w:after="0" w:line="240" w:lineRule="auto"/>
        <w:jc w:val="both"/>
        <w:rPr>
          <w:rFonts w:ascii="Times New Roman" w:hAnsi="Times New Roman" w:cs="Times New Roman"/>
          <w:lang w:val="fr-FR"/>
        </w:rPr>
      </w:pPr>
    </w:p>
    <w:p w14:paraId="292CB784" w14:textId="0EF4E637" w:rsidR="00EE1D7D" w:rsidRPr="00403C55" w:rsidRDefault="008F72DF" w:rsidP="00EE1D7D">
      <w:pPr>
        <w:spacing w:after="0" w:line="240" w:lineRule="auto"/>
        <w:jc w:val="both"/>
        <w:rPr>
          <w:rFonts w:ascii="Times New Roman" w:hAnsi="Times New Roman" w:cs="Times New Roman"/>
          <w:lang w:val="fr-FR"/>
        </w:rPr>
      </w:pPr>
      <w:r w:rsidRPr="00403C55">
        <w:rPr>
          <w:noProof/>
          <w:lang w:val="en-US"/>
        </w:rPr>
        <w:drawing>
          <wp:inline distT="0" distB="0" distL="0" distR="0" wp14:anchorId="64308E24" wp14:editId="21928D41">
            <wp:extent cx="3609975" cy="2143125"/>
            <wp:effectExtent l="0" t="0" r="9525" b="9525"/>
            <wp:docPr id="258" name="Chart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428521" w14:textId="77777777" w:rsidR="00AE1D6E" w:rsidRPr="00403C55" w:rsidRDefault="00AE1D6E" w:rsidP="00EE1D7D">
      <w:pPr>
        <w:spacing w:after="0" w:line="240" w:lineRule="auto"/>
        <w:jc w:val="both"/>
        <w:rPr>
          <w:rFonts w:ascii="Times New Roman" w:hAnsi="Times New Roman" w:cs="Times New Roman"/>
          <w:lang w:val="fr-FR"/>
        </w:rPr>
      </w:pPr>
    </w:p>
    <w:p w14:paraId="08E79D5E" w14:textId="286A7C24" w:rsidR="003214D2" w:rsidRPr="00403C55" w:rsidRDefault="003214D2" w:rsidP="00AE1D6E">
      <w:pPr>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388CCA9C" w14:textId="77777777" w:rsidR="003214D2" w:rsidRPr="00403C55" w:rsidRDefault="003214D2" w:rsidP="00AE1D6E">
      <w:pPr>
        <w:spacing w:after="0" w:line="240" w:lineRule="auto"/>
        <w:jc w:val="both"/>
        <w:rPr>
          <w:rFonts w:ascii="Times New Roman" w:hAnsi="Times New Roman" w:cs="Times New Roman"/>
          <w:lang w:val="fr-FR"/>
        </w:rPr>
      </w:pPr>
    </w:p>
    <w:p w14:paraId="05AAADD4" w14:textId="6AB399D4" w:rsidR="00AE1D6E" w:rsidRPr="00403C55" w:rsidRDefault="006A114F" w:rsidP="00AE1D6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Une vue d'ensemble du taux de mise en œuvre des autres activités liées à ce résultat est présentée dans le tableau </w:t>
      </w:r>
      <w:r w:rsidR="00F82903">
        <w:rPr>
          <w:rFonts w:ascii="Times New Roman" w:hAnsi="Times New Roman" w:cs="Times New Roman"/>
          <w:lang w:val="fr-FR"/>
        </w:rPr>
        <w:t xml:space="preserve">ci-dessous </w:t>
      </w:r>
      <w:r w:rsidRPr="00403C55">
        <w:rPr>
          <w:rFonts w:ascii="Times New Roman" w:hAnsi="Times New Roman" w:cs="Times New Roman"/>
          <w:lang w:val="fr-FR"/>
        </w:rPr>
        <w:t>:</w:t>
      </w:r>
    </w:p>
    <w:p w14:paraId="338911B4" w14:textId="77777777" w:rsidR="00EE1D7D" w:rsidRPr="00403C55" w:rsidRDefault="00EE1D7D" w:rsidP="00EE1D7D">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385"/>
        <w:gridCol w:w="1078"/>
        <w:gridCol w:w="1597"/>
      </w:tblGrid>
      <w:tr w:rsidR="005B2EA6" w:rsidRPr="00DE4CF4" w14:paraId="35624901" w14:textId="77777777" w:rsidTr="00010148">
        <w:tc>
          <w:tcPr>
            <w:tcW w:w="6385" w:type="dxa"/>
            <w:shd w:val="clear" w:color="auto" w:fill="DBE5F1" w:themeFill="accent1" w:themeFillTint="33"/>
          </w:tcPr>
          <w:p w14:paraId="65CC5725" w14:textId="4718A2D6" w:rsidR="005B2EA6" w:rsidRPr="00403C55" w:rsidRDefault="006A114F"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078" w:type="dxa"/>
            <w:shd w:val="clear" w:color="auto" w:fill="DBE5F1" w:themeFill="accent1" w:themeFillTint="33"/>
          </w:tcPr>
          <w:p w14:paraId="6B381410" w14:textId="069AE78B" w:rsidR="005B2EA6" w:rsidRPr="00403C55" w:rsidRDefault="006A114F" w:rsidP="003F50F9">
            <w:pPr>
              <w:jc w:val="both"/>
              <w:rPr>
                <w:rFonts w:ascii="Times New Roman" w:hAnsi="Times New Roman" w:cs="Times New Roman"/>
                <w:i/>
                <w:lang w:val="fr-FR"/>
              </w:rPr>
            </w:pPr>
            <w:r w:rsidRPr="00403C55">
              <w:rPr>
                <w:rFonts w:ascii="Times New Roman" w:hAnsi="Times New Roman" w:cs="Times New Roman"/>
                <w:i/>
                <w:lang w:val="fr-FR"/>
              </w:rPr>
              <w:t>Priorité</w:t>
            </w:r>
          </w:p>
        </w:tc>
        <w:tc>
          <w:tcPr>
            <w:tcW w:w="1597" w:type="dxa"/>
            <w:shd w:val="clear" w:color="auto" w:fill="DBE5F1" w:themeFill="accent1" w:themeFillTint="33"/>
          </w:tcPr>
          <w:p w14:paraId="61668752" w14:textId="57607770" w:rsidR="005B2EA6" w:rsidRPr="00403C55" w:rsidRDefault="006A114F"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5B2EA6" w:rsidRPr="00403C55" w14:paraId="10074907" w14:textId="77777777" w:rsidTr="00010148">
        <w:tc>
          <w:tcPr>
            <w:tcW w:w="6385" w:type="dxa"/>
          </w:tcPr>
          <w:p w14:paraId="16977AA4" w14:textId="756422E7" w:rsidR="005B2EA6" w:rsidRPr="00403C55" w:rsidRDefault="005B2EA6" w:rsidP="003F50F9">
            <w:pPr>
              <w:jc w:val="both"/>
              <w:rPr>
                <w:rFonts w:ascii="Times New Roman" w:hAnsi="Times New Roman" w:cs="Times New Roman"/>
                <w:lang w:val="fr-FR"/>
              </w:rPr>
            </w:pPr>
            <w:r w:rsidRPr="00403C55">
              <w:rPr>
                <w:rFonts w:ascii="Times New Roman" w:hAnsi="Times New Roman" w:cs="Times New Roman"/>
                <w:lang w:val="fr-FR"/>
              </w:rPr>
              <w:t xml:space="preserve">6.2 </w:t>
            </w:r>
            <w:r w:rsidR="006A114F" w:rsidRPr="00403C55">
              <w:rPr>
                <w:rFonts w:ascii="Times New Roman" w:hAnsi="Times New Roman" w:cs="Times New Roman"/>
                <w:lang w:val="fr-FR"/>
              </w:rPr>
              <w:t>Sensibiliser aux besoins de conservation de l’espèce au niveau national et local</w:t>
            </w:r>
          </w:p>
        </w:tc>
        <w:tc>
          <w:tcPr>
            <w:tcW w:w="1078" w:type="dxa"/>
          </w:tcPr>
          <w:p w14:paraId="4C489FCC" w14:textId="033A12A2" w:rsidR="005B2EA6" w:rsidRPr="00403C55" w:rsidRDefault="006A114F"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1927341F" w14:textId="7D954AAA" w:rsidR="005B2EA6" w:rsidRPr="00403C55" w:rsidRDefault="00C13271" w:rsidP="00010148">
            <w:pPr>
              <w:jc w:val="both"/>
              <w:rPr>
                <w:rFonts w:ascii="Times New Roman" w:hAnsi="Times New Roman" w:cs="Times New Roman"/>
                <w:lang w:val="fr-FR"/>
              </w:rPr>
            </w:pPr>
            <w:r w:rsidRPr="00403C55">
              <w:rPr>
                <w:rFonts w:ascii="Times New Roman" w:hAnsi="Times New Roman" w:cs="Times New Roman"/>
                <w:lang w:val="fr-FR"/>
              </w:rPr>
              <w:t>33%</w:t>
            </w:r>
          </w:p>
        </w:tc>
      </w:tr>
      <w:tr w:rsidR="005B2EA6" w:rsidRPr="00403C55" w14:paraId="0CD6FF85" w14:textId="77777777" w:rsidTr="00010148">
        <w:tc>
          <w:tcPr>
            <w:tcW w:w="6385" w:type="dxa"/>
          </w:tcPr>
          <w:p w14:paraId="02895B20" w14:textId="4B8BF06C" w:rsidR="005B2EA6" w:rsidRPr="00403C55" w:rsidRDefault="005B2EA6" w:rsidP="003F50F9">
            <w:pPr>
              <w:jc w:val="both"/>
              <w:rPr>
                <w:rFonts w:ascii="Times New Roman" w:hAnsi="Times New Roman" w:cs="Times New Roman"/>
                <w:lang w:val="fr-FR"/>
              </w:rPr>
            </w:pPr>
            <w:r w:rsidRPr="00403C55">
              <w:rPr>
                <w:rFonts w:ascii="Times New Roman" w:hAnsi="Times New Roman" w:cs="Times New Roman"/>
                <w:lang w:val="fr-FR"/>
              </w:rPr>
              <w:t xml:space="preserve">6.3 </w:t>
            </w:r>
            <w:r w:rsidR="006A114F" w:rsidRPr="00403C55">
              <w:rPr>
                <w:rFonts w:ascii="Times New Roman" w:hAnsi="Times New Roman" w:cs="Times New Roman"/>
                <w:lang w:val="fr-FR"/>
              </w:rPr>
              <w:t>Aider les communautés locales d’Inde et de Mauritanie à développer des pratiques de subsistance alternatives pour réduire les perturbations</w:t>
            </w:r>
          </w:p>
        </w:tc>
        <w:tc>
          <w:tcPr>
            <w:tcW w:w="1078" w:type="dxa"/>
          </w:tcPr>
          <w:p w14:paraId="6A799C56" w14:textId="73ED6BFD" w:rsidR="005B2EA6" w:rsidRPr="00403C55" w:rsidRDefault="006A114F"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566F748C" w14:textId="72328594" w:rsidR="005B2EA6" w:rsidRPr="00403C55" w:rsidRDefault="005B2EA6" w:rsidP="00010148">
            <w:pPr>
              <w:jc w:val="both"/>
              <w:rPr>
                <w:rFonts w:ascii="Times New Roman" w:hAnsi="Times New Roman" w:cs="Times New Roman"/>
                <w:lang w:val="fr-FR"/>
              </w:rPr>
            </w:pPr>
            <w:r w:rsidRPr="00403C55">
              <w:rPr>
                <w:rFonts w:ascii="Times New Roman" w:hAnsi="Times New Roman" w:cs="Times New Roman"/>
                <w:lang w:val="fr-FR"/>
              </w:rPr>
              <w:t>0%</w:t>
            </w:r>
          </w:p>
        </w:tc>
      </w:tr>
    </w:tbl>
    <w:p w14:paraId="2C78FC8F" w14:textId="77777777" w:rsidR="00EE1D7D" w:rsidRPr="00403C55" w:rsidRDefault="00EE1D7D" w:rsidP="00EE1D7D">
      <w:pPr>
        <w:spacing w:after="0" w:line="240" w:lineRule="auto"/>
        <w:jc w:val="both"/>
        <w:rPr>
          <w:rFonts w:ascii="Times New Roman" w:hAnsi="Times New Roman" w:cs="Times New Roman"/>
          <w:lang w:val="fr-FR"/>
        </w:rPr>
      </w:pPr>
    </w:p>
    <w:p w14:paraId="0DE66E45" w14:textId="29AF1D95" w:rsidR="000D1F22" w:rsidRPr="00403C55" w:rsidRDefault="006A114F" w:rsidP="00EE1D7D">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lastRenderedPageBreak/>
        <w:t>Taux de mise en œuvre moyen :</w:t>
      </w:r>
      <w:r w:rsidR="000D1F22" w:rsidRPr="00403C55">
        <w:rPr>
          <w:rFonts w:ascii="Times New Roman" w:hAnsi="Times New Roman" w:cs="Times New Roman"/>
          <w:b/>
          <w:lang w:val="fr-FR"/>
        </w:rPr>
        <w:t xml:space="preserve"> </w:t>
      </w:r>
      <w:r w:rsidR="00A97D8F" w:rsidRPr="00403C55">
        <w:rPr>
          <w:rFonts w:ascii="Times New Roman" w:hAnsi="Times New Roman" w:cs="Times New Roman"/>
          <w:b/>
          <w:lang w:val="fr-FR"/>
        </w:rPr>
        <w:t>19</w:t>
      </w:r>
      <w:r w:rsidRPr="00403C55">
        <w:rPr>
          <w:rFonts w:ascii="Times New Roman" w:hAnsi="Times New Roman" w:cs="Times New Roman"/>
          <w:b/>
          <w:lang w:val="fr-FR"/>
        </w:rPr>
        <w:t xml:space="preserve"> </w:t>
      </w:r>
      <w:r w:rsidR="00A97D8F" w:rsidRPr="00403C55">
        <w:rPr>
          <w:rFonts w:ascii="Times New Roman" w:hAnsi="Times New Roman" w:cs="Times New Roman"/>
          <w:b/>
          <w:lang w:val="fr-FR"/>
        </w:rPr>
        <w:t>%</w:t>
      </w:r>
    </w:p>
    <w:p w14:paraId="795543B5" w14:textId="77777777" w:rsidR="000D1F22" w:rsidRPr="00403C55" w:rsidRDefault="000D1F22" w:rsidP="00EE1D7D">
      <w:pPr>
        <w:spacing w:after="0" w:line="240" w:lineRule="auto"/>
        <w:jc w:val="both"/>
        <w:rPr>
          <w:rFonts w:ascii="Times New Roman" w:hAnsi="Times New Roman" w:cs="Times New Roman"/>
          <w:b/>
          <w:lang w:val="fr-FR"/>
        </w:rPr>
      </w:pPr>
    </w:p>
    <w:p w14:paraId="387DCF71" w14:textId="7D0BE1E7"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5.7</w:t>
      </w:r>
      <w:r w:rsidR="00EE1D7D" w:rsidRPr="00403C55">
        <w:rPr>
          <w:rFonts w:ascii="Times New Roman" w:hAnsi="Times New Roman" w:cs="Times New Roman"/>
          <w:i/>
          <w:lang w:val="fr-FR"/>
        </w:rPr>
        <w:t xml:space="preserve">. </w:t>
      </w:r>
      <w:r w:rsidR="006A114F"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6A114F" w:rsidRPr="00403C55">
        <w:rPr>
          <w:rFonts w:ascii="Times New Roman" w:hAnsi="Times New Roman" w:cs="Times New Roman"/>
          <w:i/>
          <w:lang w:val="fr-FR"/>
        </w:rPr>
        <w:t xml:space="preserve"> 7 – Combler les lacunes en termes de connaissances</w:t>
      </w:r>
    </w:p>
    <w:p w14:paraId="4D8C058E" w14:textId="77777777" w:rsidR="00EE1D7D" w:rsidRPr="00403C55" w:rsidRDefault="00EE1D7D" w:rsidP="00EE1D7D">
      <w:pPr>
        <w:spacing w:after="0" w:line="240" w:lineRule="auto"/>
        <w:jc w:val="both"/>
        <w:rPr>
          <w:rFonts w:ascii="Times New Roman" w:hAnsi="Times New Roman" w:cs="Times New Roman"/>
          <w:lang w:val="fr-FR"/>
        </w:rPr>
      </w:pPr>
    </w:p>
    <w:p w14:paraId="0FBDFAD2" w14:textId="60A1363B" w:rsidR="00EE1D7D" w:rsidRPr="00403C55" w:rsidRDefault="006A114F"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 total de quinze activités liées aux lacunes en termes de connaissances sont identifiées dans le plan </w:t>
      </w:r>
      <w:r w:rsidR="0003562F">
        <w:rPr>
          <w:rFonts w:ascii="Times New Roman" w:hAnsi="Times New Roman" w:cs="Times New Roman"/>
          <w:lang w:val="fr-FR"/>
        </w:rPr>
        <w:t>d’action</w:t>
      </w:r>
      <w:r w:rsidRPr="00403C55">
        <w:rPr>
          <w:rFonts w:ascii="Times New Roman" w:hAnsi="Times New Roman" w:cs="Times New Roman"/>
          <w:lang w:val="fr-FR"/>
        </w:rPr>
        <w:t>, dont six sont classées hautement prioritaires et ayant un calendrier de mise en œuvre indiqué comme étant « en cours » ou « moyen », c’est-à-dire devant être réalisées au cours de 1 à 5 ans après l’adoption du plan (à la fin 2013).</w:t>
      </w:r>
      <w:r w:rsidR="00EE1D7D" w:rsidRPr="00403C55">
        <w:rPr>
          <w:rFonts w:ascii="Times New Roman" w:hAnsi="Times New Roman" w:cs="Times New Roman"/>
          <w:lang w:val="fr-FR"/>
        </w:rPr>
        <w:t xml:space="preserve"> </w:t>
      </w:r>
    </w:p>
    <w:p w14:paraId="064C02CA" w14:textId="77777777" w:rsidR="00EE1D7D" w:rsidRPr="00403C55" w:rsidRDefault="00EE1D7D" w:rsidP="00EE1D7D">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385"/>
        <w:gridCol w:w="1078"/>
        <w:gridCol w:w="1597"/>
      </w:tblGrid>
      <w:tr w:rsidR="009D5188" w:rsidRPr="00DE4CF4" w14:paraId="0E97303E" w14:textId="77777777" w:rsidTr="00010148">
        <w:tc>
          <w:tcPr>
            <w:tcW w:w="6385" w:type="dxa"/>
            <w:shd w:val="clear" w:color="auto" w:fill="DBE5F1" w:themeFill="accent1" w:themeFillTint="33"/>
          </w:tcPr>
          <w:p w14:paraId="6EDCF7B7" w14:textId="3803D060" w:rsidR="00377A39" w:rsidRPr="00403C55" w:rsidRDefault="006A114F" w:rsidP="003F50F9">
            <w:pPr>
              <w:jc w:val="both"/>
              <w:rPr>
                <w:rFonts w:ascii="Times New Roman" w:hAnsi="Times New Roman" w:cs="Times New Roman"/>
                <w:i/>
                <w:lang w:val="fr-FR"/>
              </w:rPr>
            </w:pPr>
            <w:r w:rsidRPr="00403C55">
              <w:rPr>
                <w:rFonts w:ascii="Times New Roman" w:hAnsi="Times New Roman" w:cs="Times New Roman"/>
                <w:i/>
                <w:lang w:val="fr-FR"/>
              </w:rPr>
              <w:t>Activité</w:t>
            </w:r>
          </w:p>
        </w:tc>
        <w:tc>
          <w:tcPr>
            <w:tcW w:w="1078" w:type="dxa"/>
            <w:shd w:val="clear" w:color="auto" w:fill="DBE5F1" w:themeFill="accent1" w:themeFillTint="33"/>
          </w:tcPr>
          <w:p w14:paraId="2E18103B" w14:textId="79F9605B" w:rsidR="00377A39" w:rsidRPr="00403C55" w:rsidRDefault="006A114F" w:rsidP="003F50F9">
            <w:pPr>
              <w:jc w:val="both"/>
              <w:rPr>
                <w:rFonts w:ascii="Times New Roman" w:hAnsi="Times New Roman" w:cs="Times New Roman"/>
                <w:i/>
                <w:lang w:val="fr-FR"/>
              </w:rPr>
            </w:pPr>
            <w:r w:rsidRPr="00403C55">
              <w:rPr>
                <w:rFonts w:ascii="Times New Roman" w:hAnsi="Times New Roman" w:cs="Times New Roman"/>
                <w:i/>
                <w:lang w:val="fr-FR"/>
              </w:rPr>
              <w:t>Priorité</w:t>
            </w:r>
          </w:p>
        </w:tc>
        <w:tc>
          <w:tcPr>
            <w:tcW w:w="1597" w:type="dxa"/>
            <w:shd w:val="clear" w:color="auto" w:fill="DBE5F1" w:themeFill="accent1" w:themeFillTint="33"/>
          </w:tcPr>
          <w:p w14:paraId="6C337EDF" w14:textId="69772984" w:rsidR="00377A39" w:rsidRPr="00403C55" w:rsidRDefault="006A114F" w:rsidP="003F50F9">
            <w:pPr>
              <w:jc w:val="both"/>
              <w:rPr>
                <w:rFonts w:ascii="Times New Roman" w:hAnsi="Times New Roman" w:cs="Times New Roman"/>
                <w:i/>
                <w:lang w:val="fr-FR"/>
              </w:rPr>
            </w:pPr>
            <w:r w:rsidRPr="00403C55">
              <w:rPr>
                <w:rFonts w:ascii="Times New Roman" w:hAnsi="Times New Roman" w:cs="Times New Roman"/>
                <w:i/>
                <w:lang w:val="fr-FR"/>
              </w:rPr>
              <w:t xml:space="preserve">Taux de mise en œuvre </w:t>
            </w:r>
          </w:p>
        </w:tc>
      </w:tr>
      <w:tr w:rsidR="009D5188" w:rsidRPr="00403C55" w14:paraId="795E4E35" w14:textId="77777777" w:rsidTr="00010148">
        <w:tc>
          <w:tcPr>
            <w:tcW w:w="6385" w:type="dxa"/>
          </w:tcPr>
          <w:p w14:paraId="59227E7B" w14:textId="2E079CAD" w:rsidR="00377A39" w:rsidRPr="00403C55" w:rsidRDefault="00377A39" w:rsidP="003F50F9">
            <w:pPr>
              <w:jc w:val="both"/>
              <w:rPr>
                <w:rFonts w:ascii="Times New Roman" w:hAnsi="Times New Roman" w:cs="Times New Roman"/>
                <w:lang w:val="fr-FR"/>
              </w:rPr>
            </w:pPr>
            <w:r w:rsidRPr="00403C55">
              <w:rPr>
                <w:rFonts w:ascii="Times New Roman" w:hAnsi="Times New Roman" w:cs="Times New Roman"/>
                <w:lang w:val="fr-FR"/>
              </w:rPr>
              <w:t xml:space="preserve">7.1 </w:t>
            </w:r>
            <w:r w:rsidR="006A114F" w:rsidRPr="00403C55">
              <w:rPr>
                <w:rFonts w:ascii="Times New Roman" w:hAnsi="Times New Roman" w:cs="Times New Roman"/>
                <w:lang w:val="fr-FR"/>
              </w:rPr>
              <w:t xml:space="preserve">Déterminer les tailles et tendances des populations en développant une stratégie de surveillance et des protocoles, en réalisant des études régulières coordonnées des populations aériennes sur les sites de non-reproduction, en surveillant les populations reproductrices et les succès de reproduction chaque année </w:t>
            </w:r>
            <w:r w:rsidR="009D5188" w:rsidRPr="00403C55">
              <w:rPr>
                <w:rFonts w:ascii="Times New Roman" w:hAnsi="Times New Roman" w:cs="Times New Roman"/>
                <w:lang w:val="fr-FR"/>
              </w:rPr>
              <w:t>sur</w:t>
            </w:r>
            <w:r w:rsidR="006A114F" w:rsidRPr="00403C55">
              <w:rPr>
                <w:rFonts w:ascii="Times New Roman" w:hAnsi="Times New Roman" w:cs="Times New Roman"/>
                <w:lang w:val="fr-FR"/>
              </w:rPr>
              <w:t xml:space="preserve"> tous les principaux sites de reproduction, et en identifiant les sites de reproduction et de non reproduction potentiellement inconnus.</w:t>
            </w:r>
          </w:p>
        </w:tc>
        <w:tc>
          <w:tcPr>
            <w:tcW w:w="1078" w:type="dxa"/>
          </w:tcPr>
          <w:p w14:paraId="1B5B2B39" w14:textId="5E4B2CAE" w:rsidR="00377A39" w:rsidRPr="00403C55" w:rsidRDefault="006A114F" w:rsidP="003F50F9">
            <w:pPr>
              <w:jc w:val="both"/>
              <w:rPr>
                <w:rFonts w:ascii="Times New Roman" w:hAnsi="Times New Roman" w:cs="Times New Roman"/>
                <w:lang w:val="fr-FR"/>
              </w:rPr>
            </w:pPr>
            <w:r w:rsidRPr="00403C55">
              <w:rPr>
                <w:rFonts w:ascii="Times New Roman" w:hAnsi="Times New Roman" w:cs="Times New Roman"/>
                <w:lang w:val="fr-FR"/>
              </w:rPr>
              <w:t>Élevée</w:t>
            </w:r>
          </w:p>
        </w:tc>
        <w:tc>
          <w:tcPr>
            <w:tcW w:w="1597" w:type="dxa"/>
          </w:tcPr>
          <w:p w14:paraId="3B9A5A81" w14:textId="4C1015F4" w:rsidR="00377A39" w:rsidRPr="00403C55" w:rsidRDefault="00D16E6B"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p w14:paraId="1395EAD3" w14:textId="7D3742F1" w:rsidR="00991F3D" w:rsidRPr="00403C55" w:rsidRDefault="006A114F" w:rsidP="00D16E6B">
            <w:pPr>
              <w:rPr>
                <w:rFonts w:ascii="Times New Roman" w:hAnsi="Times New Roman" w:cs="Times New Roman"/>
                <w:lang w:val="fr-FR"/>
              </w:rPr>
            </w:pPr>
            <w:r w:rsidRPr="00403C55">
              <w:rPr>
                <w:rFonts w:ascii="Times New Roman" w:hAnsi="Times New Roman" w:cs="Times New Roman"/>
                <w:lang w:val="fr-FR"/>
              </w:rPr>
              <w:t xml:space="preserve"> </w:t>
            </w:r>
          </w:p>
        </w:tc>
      </w:tr>
      <w:tr w:rsidR="009D5188" w:rsidRPr="00403C55" w14:paraId="39743861" w14:textId="77777777" w:rsidTr="00010148">
        <w:tc>
          <w:tcPr>
            <w:tcW w:w="6385" w:type="dxa"/>
          </w:tcPr>
          <w:p w14:paraId="31EB31E1" w14:textId="24FC0898" w:rsidR="00377A39" w:rsidRPr="00403C55" w:rsidRDefault="00377A39" w:rsidP="00F82903">
            <w:pPr>
              <w:jc w:val="both"/>
              <w:rPr>
                <w:rFonts w:ascii="Times New Roman" w:hAnsi="Times New Roman" w:cs="Times New Roman"/>
                <w:lang w:val="fr-FR"/>
              </w:rPr>
            </w:pPr>
            <w:r w:rsidRPr="00403C55">
              <w:rPr>
                <w:rFonts w:ascii="Times New Roman" w:hAnsi="Times New Roman" w:cs="Times New Roman"/>
                <w:lang w:val="fr-FR"/>
              </w:rPr>
              <w:t xml:space="preserve">7.2 </w:t>
            </w:r>
            <w:r w:rsidR="006A114F" w:rsidRPr="00403C55">
              <w:rPr>
                <w:rFonts w:ascii="Times New Roman" w:hAnsi="Times New Roman" w:cs="Times New Roman"/>
                <w:lang w:val="fr-FR"/>
              </w:rPr>
              <w:t xml:space="preserve">Déterminer la délimitation et les mouvements des populations en effectuant des </w:t>
            </w:r>
            <w:r w:rsidR="00F82903">
              <w:rPr>
                <w:rFonts w:ascii="Times New Roman" w:hAnsi="Times New Roman" w:cs="Times New Roman"/>
                <w:lang w:val="fr-FR"/>
              </w:rPr>
              <w:t>suivis</w:t>
            </w:r>
            <w:r w:rsidR="006A114F" w:rsidRPr="00403C55">
              <w:rPr>
                <w:rFonts w:ascii="Times New Roman" w:hAnsi="Times New Roman" w:cs="Times New Roman"/>
                <w:lang w:val="fr-FR"/>
              </w:rPr>
              <w:t xml:space="preserve"> satellitaires et des études de baguage</w:t>
            </w:r>
          </w:p>
        </w:tc>
        <w:tc>
          <w:tcPr>
            <w:tcW w:w="1078" w:type="dxa"/>
          </w:tcPr>
          <w:p w14:paraId="26E54A80" w14:textId="1A8EE24B" w:rsidR="00377A39" w:rsidRPr="00403C55" w:rsidRDefault="002D060B" w:rsidP="003F50F9">
            <w:pPr>
              <w:jc w:val="both"/>
              <w:rPr>
                <w:rFonts w:ascii="Times New Roman" w:hAnsi="Times New Roman" w:cs="Times New Roman"/>
                <w:lang w:val="fr-FR"/>
              </w:rPr>
            </w:pPr>
            <w:r w:rsidRPr="00403C55">
              <w:rPr>
                <w:rFonts w:ascii="Times New Roman" w:hAnsi="Times New Roman" w:cs="Times New Roman"/>
                <w:lang w:val="fr-FR"/>
              </w:rPr>
              <w:t>Élevée</w:t>
            </w:r>
          </w:p>
        </w:tc>
        <w:tc>
          <w:tcPr>
            <w:tcW w:w="1597" w:type="dxa"/>
          </w:tcPr>
          <w:p w14:paraId="4567C819" w14:textId="20271BF7" w:rsidR="00377A39" w:rsidRPr="00403C55" w:rsidRDefault="00614C98" w:rsidP="00147F08">
            <w:pPr>
              <w:jc w:val="center"/>
              <w:rPr>
                <w:rFonts w:ascii="Times New Roman" w:hAnsi="Times New Roman" w:cs="Times New Roman"/>
                <w:lang w:val="fr-FR"/>
              </w:rPr>
            </w:pPr>
            <w:r w:rsidRPr="00403C55">
              <w:rPr>
                <w:rFonts w:ascii="Times New Roman" w:hAnsi="Times New Roman" w:cs="Times New Roman"/>
                <w:lang w:val="fr-FR"/>
              </w:rPr>
              <w:t>25</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304EEB1B" w14:textId="77777777" w:rsidTr="00010148">
        <w:tc>
          <w:tcPr>
            <w:tcW w:w="6385" w:type="dxa"/>
          </w:tcPr>
          <w:p w14:paraId="06491F45" w14:textId="432167D7" w:rsidR="00377A39" w:rsidRPr="00403C55" w:rsidRDefault="004D77FD" w:rsidP="00485296">
            <w:pPr>
              <w:jc w:val="both"/>
              <w:rPr>
                <w:rFonts w:ascii="Times New Roman" w:hAnsi="Times New Roman" w:cs="Times New Roman"/>
                <w:lang w:val="fr-FR"/>
              </w:rPr>
            </w:pPr>
            <w:r w:rsidRPr="00403C55">
              <w:rPr>
                <w:rFonts w:ascii="Times New Roman" w:hAnsi="Times New Roman" w:cs="Times New Roman"/>
                <w:lang w:val="fr-FR"/>
              </w:rPr>
              <w:t xml:space="preserve">7.3 </w:t>
            </w:r>
            <w:r w:rsidR="002D060B" w:rsidRPr="00403C55">
              <w:rPr>
                <w:rFonts w:ascii="Times New Roman" w:hAnsi="Times New Roman" w:cs="Times New Roman"/>
                <w:lang w:val="fr-FR"/>
              </w:rPr>
              <w:t>Établir une stratégie de surveillance sanitaire et mener un programme intégré de surveillance sanitaire pour le Flamant, afin d’évaluer l’effet des hécatombes sur les populations de Flamants nains</w:t>
            </w:r>
          </w:p>
        </w:tc>
        <w:tc>
          <w:tcPr>
            <w:tcW w:w="1078" w:type="dxa"/>
          </w:tcPr>
          <w:p w14:paraId="3E414CCB" w14:textId="707365EE" w:rsidR="00377A39" w:rsidRPr="00403C55" w:rsidRDefault="002D060B"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6A2BE075" w14:textId="1768A2E8" w:rsidR="00377A39" w:rsidRPr="00403C55" w:rsidRDefault="00D16E6B"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63AEBCCA" w14:textId="77777777" w:rsidTr="00010148">
        <w:tc>
          <w:tcPr>
            <w:tcW w:w="6385" w:type="dxa"/>
          </w:tcPr>
          <w:p w14:paraId="0D9C0947" w14:textId="0CE4F2CE" w:rsidR="00377A39" w:rsidRPr="00403C55" w:rsidRDefault="00147F08" w:rsidP="003F50F9">
            <w:pPr>
              <w:jc w:val="both"/>
              <w:rPr>
                <w:rFonts w:ascii="Times New Roman" w:hAnsi="Times New Roman" w:cs="Times New Roman"/>
                <w:lang w:val="fr-FR"/>
              </w:rPr>
            </w:pPr>
            <w:r w:rsidRPr="00403C55">
              <w:rPr>
                <w:rFonts w:ascii="Times New Roman" w:hAnsi="Times New Roman" w:cs="Times New Roman"/>
                <w:lang w:val="fr-FR"/>
              </w:rPr>
              <w:t xml:space="preserve">7.4 </w:t>
            </w:r>
            <w:r w:rsidR="002D060B" w:rsidRPr="00403C55">
              <w:rPr>
                <w:rFonts w:ascii="Times New Roman" w:hAnsi="Times New Roman" w:cs="Times New Roman"/>
                <w:lang w:val="fr-FR"/>
              </w:rPr>
              <w:t xml:space="preserve">Recueillir systématiquement </w:t>
            </w:r>
            <w:r w:rsidR="009D5188" w:rsidRPr="00403C55">
              <w:rPr>
                <w:rFonts w:ascii="Times New Roman" w:hAnsi="Times New Roman" w:cs="Times New Roman"/>
                <w:lang w:val="fr-FR"/>
              </w:rPr>
              <w:t>d</w:t>
            </w:r>
            <w:r w:rsidR="002D060B" w:rsidRPr="00403C55">
              <w:rPr>
                <w:rFonts w:ascii="Times New Roman" w:hAnsi="Times New Roman" w:cs="Times New Roman"/>
                <w:lang w:val="fr-FR"/>
              </w:rPr>
              <w:t xml:space="preserve">es données sur les succès de reproduction et </w:t>
            </w:r>
            <w:r w:rsidR="009D5188" w:rsidRPr="00403C55">
              <w:rPr>
                <w:rFonts w:ascii="Times New Roman" w:hAnsi="Times New Roman" w:cs="Times New Roman"/>
                <w:lang w:val="fr-FR"/>
              </w:rPr>
              <w:t>l</w:t>
            </w:r>
            <w:r w:rsidR="002D060B" w:rsidRPr="00403C55">
              <w:rPr>
                <w:rFonts w:ascii="Times New Roman" w:hAnsi="Times New Roman" w:cs="Times New Roman"/>
                <w:lang w:val="fr-FR"/>
              </w:rPr>
              <w:t>e recrutement</w:t>
            </w:r>
          </w:p>
        </w:tc>
        <w:tc>
          <w:tcPr>
            <w:tcW w:w="1078" w:type="dxa"/>
          </w:tcPr>
          <w:p w14:paraId="361CAD94" w14:textId="240251E3" w:rsidR="00377A39" w:rsidRPr="00403C55" w:rsidRDefault="002D060B"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053BD6DE" w14:textId="243E5F65" w:rsidR="00377A39" w:rsidRPr="00403C55" w:rsidRDefault="00147F08"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3D386C64" w14:textId="77777777" w:rsidTr="00010148">
        <w:tc>
          <w:tcPr>
            <w:tcW w:w="6385" w:type="dxa"/>
          </w:tcPr>
          <w:p w14:paraId="6F28BEBC" w14:textId="072B4799" w:rsidR="00377A39" w:rsidRPr="00403C55" w:rsidRDefault="00147F08" w:rsidP="00F82903">
            <w:pPr>
              <w:jc w:val="both"/>
              <w:rPr>
                <w:rFonts w:ascii="Times New Roman" w:hAnsi="Times New Roman" w:cs="Times New Roman"/>
                <w:lang w:val="fr-FR"/>
              </w:rPr>
            </w:pPr>
            <w:r w:rsidRPr="00403C55">
              <w:rPr>
                <w:rFonts w:ascii="Times New Roman" w:hAnsi="Times New Roman" w:cs="Times New Roman"/>
                <w:lang w:val="fr-FR"/>
              </w:rPr>
              <w:t xml:space="preserve">7.5 </w:t>
            </w:r>
            <w:r w:rsidR="002D060B" w:rsidRPr="00403C55">
              <w:rPr>
                <w:rFonts w:ascii="Times New Roman" w:hAnsi="Times New Roman" w:cs="Times New Roman"/>
                <w:lang w:val="fr-FR"/>
              </w:rPr>
              <w:t xml:space="preserve">Recueillir systématiquement </w:t>
            </w:r>
            <w:r w:rsidR="009D5188" w:rsidRPr="00403C55">
              <w:rPr>
                <w:rFonts w:ascii="Times New Roman" w:hAnsi="Times New Roman" w:cs="Times New Roman"/>
                <w:lang w:val="fr-FR"/>
              </w:rPr>
              <w:t>d</w:t>
            </w:r>
            <w:r w:rsidR="002D060B" w:rsidRPr="00403C55">
              <w:rPr>
                <w:rFonts w:ascii="Times New Roman" w:hAnsi="Times New Roman" w:cs="Times New Roman"/>
                <w:lang w:val="fr-FR"/>
              </w:rPr>
              <w:t xml:space="preserve">es données sur les exigences posées </w:t>
            </w:r>
            <w:r w:rsidR="00F82903">
              <w:rPr>
                <w:rFonts w:ascii="Times New Roman" w:hAnsi="Times New Roman" w:cs="Times New Roman"/>
                <w:lang w:val="fr-FR"/>
              </w:rPr>
              <w:t>en matière d’</w:t>
            </w:r>
            <w:r w:rsidR="002D060B" w:rsidRPr="00403C55">
              <w:rPr>
                <w:rFonts w:ascii="Times New Roman" w:hAnsi="Times New Roman" w:cs="Times New Roman"/>
                <w:lang w:val="fr-FR"/>
              </w:rPr>
              <w:t>habitats de reproduction, y compris le rôle des précipitations</w:t>
            </w:r>
            <w:r w:rsidR="009D5188" w:rsidRPr="00403C55">
              <w:rPr>
                <w:rFonts w:ascii="Times New Roman" w:hAnsi="Times New Roman" w:cs="Times New Roman"/>
                <w:lang w:val="fr-FR"/>
              </w:rPr>
              <w:t>,</w:t>
            </w:r>
            <w:r w:rsidR="002D060B" w:rsidRPr="00403C55">
              <w:rPr>
                <w:rFonts w:ascii="Times New Roman" w:hAnsi="Times New Roman" w:cs="Times New Roman"/>
                <w:lang w:val="fr-FR"/>
              </w:rPr>
              <w:t xml:space="preserve"> dans la détermination des succès de reproduction</w:t>
            </w:r>
          </w:p>
        </w:tc>
        <w:tc>
          <w:tcPr>
            <w:tcW w:w="1078" w:type="dxa"/>
          </w:tcPr>
          <w:p w14:paraId="092A332D" w14:textId="280002D1" w:rsidR="00377A39" w:rsidRPr="00403C55" w:rsidRDefault="002D060B" w:rsidP="003F50F9">
            <w:pPr>
              <w:jc w:val="both"/>
              <w:rPr>
                <w:rFonts w:ascii="Times New Roman" w:hAnsi="Times New Roman" w:cs="Times New Roman"/>
                <w:lang w:val="fr-FR"/>
              </w:rPr>
            </w:pPr>
            <w:r w:rsidRPr="00403C55">
              <w:rPr>
                <w:rFonts w:ascii="Times New Roman" w:hAnsi="Times New Roman" w:cs="Times New Roman"/>
                <w:lang w:val="fr-FR"/>
              </w:rPr>
              <w:t>Élevée</w:t>
            </w:r>
          </w:p>
        </w:tc>
        <w:tc>
          <w:tcPr>
            <w:tcW w:w="1597" w:type="dxa"/>
          </w:tcPr>
          <w:p w14:paraId="32FA0902" w14:textId="07DE799D" w:rsidR="00377A39" w:rsidRPr="00403C55" w:rsidRDefault="00147F08"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03EF2D75" w14:textId="77777777" w:rsidTr="00010148">
        <w:tc>
          <w:tcPr>
            <w:tcW w:w="6385" w:type="dxa"/>
          </w:tcPr>
          <w:p w14:paraId="6A34B822" w14:textId="444F6A69" w:rsidR="00377A39" w:rsidRPr="00403C55" w:rsidRDefault="00172EFF" w:rsidP="00F82903">
            <w:pPr>
              <w:jc w:val="both"/>
              <w:rPr>
                <w:rFonts w:ascii="Times New Roman" w:hAnsi="Times New Roman" w:cs="Times New Roman"/>
                <w:lang w:val="fr-FR"/>
              </w:rPr>
            </w:pPr>
            <w:r w:rsidRPr="00403C55">
              <w:rPr>
                <w:rFonts w:ascii="Times New Roman" w:hAnsi="Times New Roman" w:cs="Times New Roman"/>
                <w:lang w:val="fr-FR"/>
              </w:rPr>
              <w:t xml:space="preserve">7.6 </w:t>
            </w:r>
            <w:r w:rsidR="002D060B" w:rsidRPr="00403C55">
              <w:rPr>
                <w:rFonts w:ascii="Times New Roman" w:hAnsi="Times New Roman" w:cs="Times New Roman"/>
                <w:lang w:val="fr-FR"/>
              </w:rPr>
              <w:t xml:space="preserve">Recueillir systématiquement </w:t>
            </w:r>
            <w:r w:rsidR="009D5188" w:rsidRPr="00403C55">
              <w:rPr>
                <w:rFonts w:ascii="Times New Roman" w:hAnsi="Times New Roman" w:cs="Times New Roman"/>
                <w:lang w:val="fr-FR"/>
              </w:rPr>
              <w:t>d</w:t>
            </w:r>
            <w:r w:rsidR="002D060B" w:rsidRPr="00403C55">
              <w:rPr>
                <w:rFonts w:ascii="Times New Roman" w:hAnsi="Times New Roman" w:cs="Times New Roman"/>
                <w:lang w:val="fr-FR"/>
              </w:rPr>
              <w:t xml:space="preserve">es données sur les exigences </w:t>
            </w:r>
            <w:r w:rsidR="00F82903">
              <w:rPr>
                <w:rFonts w:ascii="Times New Roman" w:hAnsi="Times New Roman" w:cs="Times New Roman"/>
                <w:lang w:val="fr-FR"/>
              </w:rPr>
              <w:t>en matière</w:t>
            </w:r>
            <w:r w:rsidR="002D060B" w:rsidRPr="00403C55">
              <w:rPr>
                <w:rFonts w:ascii="Times New Roman" w:hAnsi="Times New Roman" w:cs="Times New Roman"/>
                <w:lang w:val="fr-FR"/>
              </w:rPr>
              <w:t xml:space="preserve"> </w:t>
            </w:r>
            <w:r w:rsidR="00F82903">
              <w:rPr>
                <w:rFonts w:ascii="Times New Roman" w:hAnsi="Times New Roman" w:cs="Times New Roman"/>
                <w:lang w:val="fr-FR"/>
              </w:rPr>
              <w:t>d’</w:t>
            </w:r>
            <w:r w:rsidR="002D060B" w:rsidRPr="00403C55">
              <w:rPr>
                <w:rFonts w:ascii="Times New Roman" w:hAnsi="Times New Roman" w:cs="Times New Roman"/>
                <w:lang w:val="fr-FR"/>
              </w:rPr>
              <w:t>habitats d’alimentation</w:t>
            </w:r>
          </w:p>
        </w:tc>
        <w:tc>
          <w:tcPr>
            <w:tcW w:w="1078" w:type="dxa"/>
          </w:tcPr>
          <w:p w14:paraId="0388E638" w14:textId="5FA18EA3" w:rsidR="00377A39" w:rsidRPr="00403C55" w:rsidRDefault="002D060B" w:rsidP="003F50F9">
            <w:pPr>
              <w:jc w:val="both"/>
              <w:rPr>
                <w:rFonts w:ascii="Times New Roman" w:hAnsi="Times New Roman" w:cs="Times New Roman"/>
                <w:lang w:val="fr-FR"/>
              </w:rPr>
            </w:pPr>
            <w:r w:rsidRPr="00403C55">
              <w:rPr>
                <w:rFonts w:ascii="Times New Roman" w:hAnsi="Times New Roman" w:cs="Times New Roman"/>
                <w:lang w:val="fr-FR"/>
              </w:rPr>
              <w:t>Élevée</w:t>
            </w:r>
          </w:p>
        </w:tc>
        <w:tc>
          <w:tcPr>
            <w:tcW w:w="1597" w:type="dxa"/>
          </w:tcPr>
          <w:p w14:paraId="35F49B1B" w14:textId="7CEC404B" w:rsidR="00377A39" w:rsidRPr="00403C55" w:rsidRDefault="00614C98" w:rsidP="00147F08">
            <w:pPr>
              <w:jc w:val="center"/>
              <w:rPr>
                <w:rFonts w:ascii="Times New Roman" w:hAnsi="Times New Roman" w:cs="Times New Roman"/>
                <w:lang w:val="fr-FR"/>
              </w:rPr>
            </w:pPr>
            <w:r w:rsidRPr="00403C55">
              <w:rPr>
                <w:rFonts w:ascii="Times New Roman" w:hAnsi="Times New Roman" w:cs="Times New Roman"/>
                <w:lang w:val="fr-FR"/>
              </w:rPr>
              <w:t>8</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40EDE07B" w14:textId="77777777" w:rsidTr="00010148">
        <w:tc>
          <w:tcPr>
            <w:tcW w:w="6385" w:type="dxa"/>
          </w:tcPr>
          <w:p w14:paraId="103C50CD" w14:textId="0D2F2622" w:rsidR="00172EFF" w:rsidRPr="00403C55" w:rsidRDefault="00172EFF" w:rsidP="00F82903">
            <w:pPr>
              <w:jc w:val="both"/>
              <w:rPr>
                <w:rFonts w:ascii="Times New Roman" w:hAnsi="Times New Roman" w:cs="Times New Roman"/>
                <w:lang w:val="fr-FR"/>
              </w:rPr>
            </w:pPr>
            <w:r w:rsidRPr="00403C55">
              <w:rPr>
                <w:rFonts w:ascii="Times New Roman" w:hAnsi="Times New Roman" w:cs="Times New Roman"/>
                <w:lang w:val="fr-FR"/>
              </w:rPr>
              <w:t xml:space="preserve">7.7 </w:t>
            </w:r>
            <w:r w:rsidR="002D060B" w:rsidRPr="00403C55">
              <w:rPr>
                <w:rFonts w:ascii="Times New Roman" w:hAnsi="Times New Roman" w:cs="Times New Roman"/>
                <w:lang w:val="fr-FR"/>
              </w:rPr>
              <w:t>Compréhension des processus d</w:t>
            </w:r>
            <w:r w:rsidR="002D060B" w:rsidRPr="00F82903">
              <w:rPr>
                <w:rFonts w:ascii="Times New Roman" w:hAnsi="Times New Roman" w:cs="Times New Roman"/>
                <w:lang w:val="fr-FR"/>
              </w:rPr>
              <w:t xml:space="preserve">e </w:t>
            </w:r>
            <w:r w:rsidR="00AB43A2" w:rsidRPr="00F82903">
              <w:rPr>
                <w:rFonts w:ascii="Times New Roman" w:hAnsi="Times New Roman" w:cs="Times New Roman"/>
                <w:lang w:val="fr-FR"/>
              </w:rPr>
              <w:t>captage d’eau</w:t>
            </w:r>
          </w:p>
        </w:tc>
        <w:tc>
          <w:tcPr>
            <w:tcW w:w="1078" w:type="dxa"/>
          </w:tcPr>
          <w:p w14:paraId="74F483AA" w14:textId="4A9B4F9A" w:rsidR="00172EFF" w:rsidRPr="00403C55" w:rsidRDefault="002D060B"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636BFDA0" w14:textId="0E6B694C" w:rsidR="00172EFF" w:rsidRPr="00403C55" w:rsidRDefault="00614C98" w:rsidP="00172EFF">
            <w:pPr>
              <w:jc w:val="center"/>
              <w:rPr>
                <w:rFonts w:ascii="Times New Roman" w:hAnsi="Times New Roman" w:cs="Times New Roman"/>
                <w:lang w:val="fr-FR"/>
              </w:rPr>
            </w:pPr>
            <w:r w:rsidRPr="00403C55">
              <w:rPr>
                <w:rFonts w:ascii="Times New Roman" w:hAnsi="Times New Roman" w:cs="Times New Roman"/>
                <w:lang w:val="fr-FR"/>
              </w:rPr>
              <w:t>8</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08E3033F" w14:textId="77777777" w:rsidTr="00010148">
        <w:tc>
          <w:tcPr>
            <w:tcW w:w="6385" w:type="dxa"/>
          </w:tcPr>
          <w:p w14:paraId="51A1C5B8" w14:textId="1B590357" w:rsidR="00172EFF" w:rsidRPr="00403C55" w:rsidRDefault="00172EFF" w:rsidP="00F82903">
            <w:pPr>
              <w:jc w:val="both"/>
              <w:rPr>
                <w:rFonts w:ascii="Times New Roman" w:hAnsi="Times New Roman" w:cs="Times New Roman"/>
                <w:lang w:val="fr-FR"/>
              </w:rPr>
            </w:pPr>
            <w:r w:rsidRPr="00403C55">
              <w:rPr>
                <w:rFonts w:ascii="Times New Roman" w:hAnsi="Times New Roman" w:cs="Times New Roman"/>
                <w:lang w:val="fr-FR"/>
              </w:rPr>
              <w:t xml:space="preserve">7.8 </w:t>
            </w:r>
            <w:r w:rsidR="00AB43A2" w:rsidRPr="00403C55">
              <w:rPr>
                <w:rFonts w:ascii="Times New Roman" w:hAnsi="Times New Roman" w:cs="Times New Roman"/>
                <w:lang w:val="fr-FR"/>
              </w:rPr>
              <w:t xml:space="preserve">Recueillir systématiquement </w:t>
            </w:r>
            <w:r w:rsidR="009D5188" w:rsidRPr="00403C55">
              <w:rPr>
                <w:rFonts w:ascii="Times New Roman" w:hAnsi="Times New Roman" w:cs="Times New Roman"/>
                <w:lang w:val="fr-FR"/>
              </w:rPr>
              <w:t>d</w:t>
            </w:r>
            <w:r w:rsidR="00AB43A2" w:rsidRPr="00403C55">
              <w:rPr>
                <w:rFonts w:ascii="Times New Roman" w:hAnsi="Times New Roman" w:cs="Times New Roman"/>
                <w:lang w:val="fr-FR"/>
              </w:rPr>
              <w:t>es données sur le rôle des maladies et des poisons dans la rég</w:t>
            </w:r>
            <w:r w:rsidR="00F82903">
              <w:rPr>
                <w:rFonts w:ascii="Times New Roman" w:hAnsi="Times New Roman" w:cs="Times New Roman"/>
                <w:lang w:val="fr-FR"/>
              </w:rPr>
              <w:t>ulation</w:t>
            </w:r>
            <w:r w:rsidR="00AB43A2" w:rsidRPr="00403C55">
              <w:rPr>
                <w:rFonts w:ascii="Times New Roman" w:hAnsi="Times New Roman" w:cs="Times New Roman"/>
                <w:lang w:val="fr-FR"/>
              </w:rPr>
              <w:t xml:space="preserve"> des populations, y compris les effets des maladies infectieuses et non-infectieuses</w:t>
            </w:r>
          </w:p>
        </w:tc>
        <w:tc>
          <w:tcPr>
            <w:tcW w:w="1078" w:type="dxa"/>
          </w:tcPr>
          <w:p w14:paraId="462AF78A" w14:textId="4D523A41" w:rsidR="00172EFF"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Élevée</w:t>
            </w:r>
          </w:p>
        </w:tc>
        <w:tc>
          <w:tcPr>
            <w:tcW w:w="1597" w:type="dxa"/>
          </w:tcPr>
          <w:p w14:paraId="79673ED9" w14:textId="49B3393D" w:rsidR="00172EFF" w:rsidRPr="00403C55" w:rsidRDefault="00D16E6B" w:rsidP="00172EFF">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172E5C4C" w14:textId="77777777" w:rsidTr="00010148">
        <w:tc>
          <w:tcPr>
            <w:tcW w:w="6385" w:type="dxa"/>
          </w:tcPr>
          <w:p w14:paraId="4AB5C1DF" w14:textId="7F3DE05E" w:rsidR="00377A39" w:rsidRPr="00403C55" w:rsidRDefault="00291A41" w:rsidP="003F50F9">
            <w:pPr>
              <w:jc w:val="both"/>
              <w:rPr>
                <w:rFonts w:ascii="Times New Roman" w:hAnsi="Times New Roman" w:cs="Times New Roman"/>
                <w:lang w:val="fr-FR"/>
              </w:rPr>
            </w:pPr>
            <w:r w:rsidRPr="00403C55">
              <w:rPr>
                <w:rFonts w:ascii="Times New Roman" w:hAnsi="Times New Roman" w:cs="Times New Roman"/>
                <w:lang w:val="fr-FR"/>
              </w:rPr>
              <w:t xml:space="preserve">7.9 </w:t>
            </w:r>
            <w:r w:rsidR="00AB43A2" w:rsidRPr="00403C55">
              <w:rPr>
                <w:rFonts w:ascii="Times New Roman" w:hAnsi="Times New Roman" w:cs="Times New Roman"/>
                <w:lang w:val="fr-FR"/>
              </w:rPr>
              <w:t>Modéliser les effets à long terme du changement climatique et des maladies</w:t>
            </w:r>
          </w:p>
        </w:tc>
        <w:tc>
          <w:tcPr>
            <w:tcW w:w="1078" w:type="dxa"/>
          </w:tcPr>
          <w:p w14:paraId="39DB7170" w14:textId="2D5B6131" w:rsidR="00377A39"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Élevée</w:t>
            </w:r>
          </w:p>
        </w:tc>
        <w:tc>
          <w:tcPr>
            <w:tcW w:w="1597" w:type="dxa"/>
          </w:tcPr>
          <w:p w14:paraId="329B9EF8" w14:textId="7BA7AE93" w:rsidR="00377A39" w:rsidRPr="00403C55" w:rsidRDefault="003A31E9"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74CAAF01" w14:textId="77777777" w:rsidTr="00010148">
        <w:tc>
          <w:tcPr>
            <w:tcW w:w="6385" w:type="dxa"/>
          </w:tcPr>
          <w:p w14:paraId="20DED6AA" w14:textId="6191EAA3" w:rsidR="00377A39" w:rsidRPr="00403C55" w:rsidRDefault="00291A41" w:rsidP="003F50F9">
            <w:pPr>
              <w:jc w:val="both"/>
              <w:rPr>
                <w:rFonts w:ascii="Times New Roman" w:hAnsi="Times New Roman" w:cs="Times New Roman"/>
                <w:lang w:val="fr-FR"/>
              </w:rPr>
            </w:pPr>
            <w:r w:rsidRPr="00403C55">
              <w:rPr>
                <w:rFonts w:ascii="Times New Roman" w:hAnsi="Times New Roman" w:cs="Times New Roman"/>
                <w:lang w:val="fr-FR"/>
              </w:rPr>
              <w:t xml:space="preserve">7.10 </w:t>
            </w:r>
            <w:r w:rsidR="00485296">
              <w:rPr>
                <w:rFonts w:ascii="Times New Roman" w:hAnsi="Times New Roman" w:cs="Times New Roman"/>
                <w:lang w:val="fr-FR"/>
              </w:rPr>
              <w:t>É</w:t>
            </w:r>
            <w:r w:rsidR="00AB43A2" w:rsidRPr="00403C55">
              <w:rPr>
                <w:rFonts w:ascii="Times New Roman" w:hAnsi="Times New Roman" w:cs="Times New Roman"/>
                <w:lang w:val="fr-FR"/>
              </w:rPr>
              <w:t>valuer l’importance des différentes menaces</w:t>
            </w:r>
          </w:p>
        </w:tc>
        <w:tc>
          <w:tcPr>
            <w:tcW w:w="1078" w:type="dxa"/>
          </w:tcPr>
          <w:p w14:paraId="1FDDFA4C" w14:textId="6FC08A63" w:rsidR="00377A39"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21D7F47A" w14:textId="6AE1404D" w:rsidR="00377A39" w:rsidRPr="00403C55" w:rsidRDefault="003A31E9" w:rsidP="00147F08">
            <w:pPr>
              <w:jc w:val="center"/>
              <w:rPr>
                <w:rFonts w:ascii="Times New Roman" w:hAnsi="Times New Roman" w:cs="Times New Roman"/>
                <w:lang w:val="fr-FR"/>
              </w:rPr>
            </w:pPr>
            <w:r w:rsidRPr="00403C55">
              <w:rPr>
                <w:rFonts w:ascii="Times New Roman" w:hAnsi="Times New Roman" w:cs="Times New Roman"/>
                <w:lang w:val="fr-FR"/>
              </w:rPr>
              <w:t>17</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55B39F70" w14:textId="77777777" w:rsidTr="00010148">
        <w:tc>
          <w:tcPr>
            <w:tcW w:w="6385" w:type="dxa"/>
          </w:tcPr>
          <w:p w14:paraId="2F5D0A0B" w14:textId="6C1CE82B" w:rsidR="00377A39" w:rsidRPr="00403C55" w:rsidRDefault="00291A41" w:rsidP="003F50F9">
            <w:pPr>
              <w:jc w:val="both"/>
              <w:rPr>
                <w:rFonts w:ascii="Times New Roman" w:hAnsi="Times New Roman" w:cs="Times New Roman"/>
                <w:lang w:val="fr-FR"/>
              </w:rPr>
            </w:pPr>
            <w:r w:rsidRPr="00403C55">
              <w:rPr>
                <w:rFonts w:ascii="Times New Roman" w:hAnsi="Times New Roman" w:cs="Times New Roman"/>
                <w:lang w:val="fr-FR"/>
              </w:rPr>
              <w:t xml:space="preserve">7.11 </w:t>
            </w:r>
            <w:r w:rsidR="00AB43A2" w:rsidRPr="00403C55">
              <w:rPr>
                <w:rFonts w:ascii="Times New Roman" w:hAnsi="Times New Roman" w:cs="Times New Roman"/>
                <w:lang w:val="fr-FR"/>
              </w:rPr>
              <w:t xml:space="preserve">Recueillir systématiquement </w:t>
            </w:r>
            <w:r w:rsidR="009D5188" w:rsidRPr="00403C55">
              <w:rPr>
                <w:rFonts w:ascii="Times New Roman" w:hAnsi="Times New Roman" w:cs="Times New Roman"/>
                <w:lang w:val="fr-FR"/>
              </w:rPr>
              <w:t>d</w:t>
            </w:r>
            <w:r w:rsidR="00AB43A2" w:rsidRPr="00403C55">
              <w:rPr>
                <w:rFonts w:ascii="Times New Roman" w:hAnsi="Times New Roman" w:cs="Times New Roman"/>
                <w:lang w:val="fr-FR"/>
              </w:rPr>
              <w:t>es données sur les relations génétiques au sein des populations régionales et sur l’échange génétique entre les populations régionales afin de détecter les problèmes génétiques</w:t>
            </w:r>
          </w:p>
        </w:tc>
        <w:tc>
          <w:tcPr>
            <w:tcW w:w="1078" w:type="dxa"/>
          </w:tcPr>
          <w:p w14:paraId="1F571314" w14:textId="21C0F615" w:rsidR="00377A39"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6A8399E4" w14:textId="5E6CB066" w:rsidR="00377A39" w:rsidRPr="00403C55" w:rsidRDefault="00D16E6B"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1A517063" w14:textId="77777777" w:rsidTr="00010148">
        <w:tc>
          <w:tcPr>
            <w:tcW w:w="6385" w:type="dxa"/>
          </w:tcPr>
          <w:p w14:paraId="6C0957B7" w14:textId="4CF39847" w:rsidR="00377A39" w:rsidRPr="00403C55" w:rsidRDefault="00291A41" w:rsidP="003F50F9">
            <w:pPr>
              <w:jc w:val="both"/>
              <w:rPr>
                <w:rFonts w:ascii="Times New Roman" w:hAnsi="Times New Roman" w:cs="Times New Roman"/>
                <w:lang w:val="fr-FR"/>
              </w:rPr>
            </w:pPr>
            <w:r w:rsidRPr="00403C55">
              <w:rPr>
                <w:rFonts w:ascii="Times New Roman" w:hAnsi="Times New Roman" w:cs="Times New Roman"/>
                <w:lang w:val="fr-FR"/>
              </w:rPr>
              <w:t xml:space="preserve">7.12 </w:t>
            </w:r>
            <w:r w:rsidR="00AB43A2" w:rsidRPr="00403C55">
              <w:rPr>
                <w:rFonts w:ascii="Times New Roman" w:hAnsi="Times New Roman" w:cs="Times New Roman"/>
                <w:lang w:val="fr-FR"/>
              </w:rPr>
              <w:t xml:space="preserve">Comprendre l’importance culturelle des flamants nains </w:t>
            </w:r>
            <w:r w:rsidR="009D5188" w:rsidRPr="00403C55">
              <w:rPr>
                <w:rFonts w:ascii="Times New Roman" w:hAnsi="Times New Roman" w:cs="Times New Roman"/>
                <w:lang w:val="fr-FR"/>
              </w:rPr>
              <w:t xml:space="preserve">en </w:t>
            </w:r>
            <w:r w:rsidR="00AB43A2" w:rsidRPr="00403C55">
              <w:rPr>
                <w:rFonts w:ascii="Times New Roman" w:hAnsi="Times New Roman" w:cs="Times New Roman"/>
                <w:lang w:val="fr-FR"/>
              </w:rPr>
              <w:t xml:space="preserve">Afrique du Sud et </w:t>
            </w:r>
            <w:r w:rsidR="009D5188" w:rsidRPr="00403C55">
              <w:rPr>
                <w:rFonts w:ascii="Times New Roman" w:hAnsi="Times New Roman" w:cs="Times New Roman"/>
                <w:lang w:val="fr-FR"/>
              </w:rPr>
              <w:t xml:space="preserve">en </w:t>
            </w:r>
            <w:r w:rsidR="00AB43A2" w:rsidRPr="00403C55">
              <w:rPr>
                <w:rFonts w:ascii="Times New Roman" w:hAnsi="Times New Roman" w:cs="Times New Roman"/>
                <w:lang w:val="fr-FR"/>
              </w:rPr>
              <w:t>Inde</w:t>
            </w:r>
          </w:p>
        </w:tc>
        <w:tc>
          <w:tcPr>
            <w:tcW w:w="1078" w:type="dxa"/>
          </w:tcPr>
          <w:p w14:paraId="3D76EC1C" w14:textId="1B17809F" w:rsidR="00377A39"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164CC5EA" w14:textId="0AB81E96" w:rsidR="00377A39" w:rsidRPr="00403C55" w:rsidRDefault="00D16E6B"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364F9E7C" w14:textId="77777777" w:rsidTr="00010148">
        <w:tc>
          <w:tcPr>
            <w:tcW w:w="6385" w:type="dxa"/>
          </w:tcPr>
          <w:p w14:paraId="40B02E34" w14:textId="0571DD24" w:rsidR="00291A41" w:rsidRPr="00403C55" w:rsidRDefault="00291A41" w:rsidP="003F50F9">
            <w:pPr>
              <w:jc w:val="both"/>
              <w:rPr>
                <w:rFonts w:ascii="Times New Roman" w:hAnsi="Times New Roman" w:cs="Times New Roman"/>
                <w:lang w:val="fr-FR"/>
              </w:rPr>
            </w:pPr>
            <w:r w:rsidRPr="00403C55">
              <w:rPr>
                <w:rFonts w:ascii="Times New Roman" w:hAnsi="Times New Roman" w:cs="Times New Roman"/>
                <w:lang w:val="fr-FR"/>
              </w:rPr>
              <w:t xml:space="preserve">7.13 </w:t>
            </w:r>
            <w:r w:rsidR="00AB43A2" w:rsidRPr="00403C55">
              <w:rPr>
                <w:rFonts w:ascii="Times New Roman" w:hAnsi="Times New Roman" w:cs="Times New Roman"/>
                <w:lang w:val="fr-FR"/>
              </w:rPr>
              <w:t>Calculer la valeur économique des flamants nains pour les nations et les communautés locales</w:t>
            </w:r>
          </w:p>
        </w:tc>
        <w:tc>
          <w:tcPr>
            <w:tcW w:w="1078" w:type="dxa"/>
          </w:tcPr>
          <w:p w14:paraId="41E96478" w14:textId="5BC87FC1" w:rsidR="00291A41"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31C038CB" w14:textId="547A18B0" w:rsidR="00291A41" w:rsidRPr="00403C55" w:rsidRDefault="001A2AD3" w:rsidP="00147F08">
            <w:pPr>
              <w:jc w:val="center"/>
              <w:rPr>
                <w:rFonts w:ascii="Times New Roman" w:hAnsi="Times New Roman" w:cs="Times New Roman"/>
                <w:lang w:val="fr-FR"/>
              </w:rPr>
            </w:pPr>
            <w:r w:rsidRPr="00403C55">
              <w:rPr>
                <w:rFonts w:ascii="Times New Roman" w:hAnsi="Times New Roman" w:cs="Times New Roman"/>
                <w:lang w:val="fr-FR"/>
              </w:rPr>
              <w:t>33</w:t>
            </w:r>
            <w:r w:rsidR="006A114F" w:rsidRPr="00403C55">
              <w:rPr>
                <w:rFonts w:ascii="Times New Roman" w:hAnsi="Times New Roman" w:cs="Times New Roman"/>
                <w:lang w:val="fr-FR"/>
              </w:rPr>
              <w:t xml:space="preserve"> </w:t>
            </w:r>
            <w:r w:rsidR="003A31E9" w:rsidRPr="00403C55">
              <w:rPr>
                <w:rFonts w:ascii="Times New Roman" w:hAnsi="Times New Roman" w:cs="Times New Roman"/>
                <w:lang w:val="fr-FR"/>
              </w:rPr>
              <w:t>%</w:t>
            </w:r>
          </w:p>
        </w:tc>
      </w:tr>
      <w:tr w:rsidR="009D5188" w:rsidRPr="00403C55" w14:paraId="1BDEDD39" w14:textId="77777777" w:rsidTr="00010148">
        <w:tc>
          <w:tcPr>
            <w:tcW w:w="6385" w:type="dxa"/>
          </w:tcPr>
          <w:p w14:paraId="59D369B2" w14:textId="53620B52" w:rsidR="00991F3D" w:rsidRPr="00403C55" w:rsidRDefault="00991F3D" w:rsidP="003F50F9">
            <w:pPr>
              <w:jc w:val="both"/>
              <w:rPr>
                <w:rFonts w:ascii="Times New Roman" w:hAnsi="Times New Roman" w:cs="Times New Roman"/>
                <w:lang w:val="fr-FR"/>
              </w:rPr>
            </w:pPr>
            <w:r w:rsidRPr="00403C55">
              <w:rPr>
                <w:rFonts w:ascii="Times New Roman" w:hAnsi="Times New Roman" w:cs="Times New Roman"/>
                <w:lang w:val="fr-FR"/>
              </w:rPr>
              <w:t xml:space="preserve">7.14 </w:t>
            </w:r>
            <w:r w:rsidR="00AB43A2" w:rsidRPr="00403C55">
              <w:rPr>
                <w:rFonts w:ascii="Times New Roman" w:hAnsi="Times New Roman" w:cs="Times New Roman"/>
                <w:lang w:val="fr-FR"/>
              </w:rPr>
              <w:t>Rassembler une bibliographie sur</w:t>
            </w:r>
            <w:r w:rsidR="00985A4E">
              <w:rPr>
                <w:rFonts w:ascii="Times New Roman" w:hAnsi="Times New Roman" w:cs="Times New Roman"/>
                <w:lang w:val="fr-FR"/>
              </w:rPr>
              <w:t xml:space="preserve"> </w:t>
            </w:r>
            <w:r w:rsidR="00AB43A2" w:rsidRPr="00403C55">
              <w:rPr>
                <w:rFonts w:ascii="Times New Roman" w:hAnsi="Times New Roman" w:cs="Times New Roman"/>
                <w:lang w:val="fr-FR"/>
              </w:rPr>
              <w:t xml:space="preserve">le Flamant nain </w:t>
            </w:r>
          </w:p>
        </w:tc>
        <w:tc>
          <w:tcPr>
            <w:tcW w:w="1078" w:type="dxa"/>
          </w:tcPr>
          <w:p w14:paraId="1E8AA968" w14:textId="07D90731" w:rsidR="00991F3D"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4891C928" w14:textId="6B11FA9E" w:rsidR="00991F3D" w:rsidRPr="00403C55" w:rsidRDefault="00D16E6B"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9D5188" w:rsidRPr="00403C55" w14:paraId="46495993" w14:textId="77777777" w:rsidTr="00010148">
        <w:tc>
          <w:tcPr>
            <w:tcW w:w="6385" w:type="dxa"/>
          </w:tcPr>
          <w:p w14:paraId="5A062424" w14:textId="05BB88AE" w:rsidR="00991F3D" w:rsidRPr="00403C55" w:rsidRDefault="00991F3D" w:rsidP="003F50F9">
            <w:pPr>
              <w:jc w:val="both"/>
              <w:rPr>
                <w:rFonts w:ascii="Times New Roman" w:hAnsi="Times New Roman" w:cs="Times New Roman"/>
                <w:lang w:val="fr-FR"/>
              </w:rPr>
            </w:pPr>
            <w:r w:rsidRPr="00403C55">
              <w:rPr>
                <w:rFonts w:ascii="Times New Roman" w:hAnsi="Times New Roman" w:cs="Times New Roman"/>
                <w:lang w:val="fr-FR"/>
              </w:rPr>
              <w:t xml:space="preserve">7.15 </w:t>
            </w:r>
            <w:r w:rsidR="00AB43A2" w:rsidRPr="00403C55">
              <w:rPr>
                <w:rFonts w:ascii="Times New Roman" w:hAnsi="Times New Roman" w:cs="Times New Roman"/>
                <w:lang w:val="fr-FR"/>
              </w:rPr>
              <w:t>Rassembler une base de données sur les sources de financement</w:t>
            </w:r>
          </w:p>
        </w:tc>
        <w:tc>
          <w:tcPr>
            <w:tcW w:w="1078" w:type="dxa"/>
          </w:tcPr>
          <w:p w14:paraId="38A55637" w14:textId="230241BC" w:rsidR="00991F3D" w:rsidRPr="00403C55" w:rsidRDefault="00AB43A2" w:rsidP="003F50F9">
            <w:pPr>
              <w:jc w:val="both"/>
              <w:rPr>
                <w:rFonts w:ascii="Times New Roman" w:hAnsi="Times New Roman" w:cs="Times New Roman"/>
                <w:lang w:val="fr-FR"/>
              </w:rPr>
            </w:pPr>
            <w:r w:rsidRPr="00403C55">
              <w:rPr>
                <w:rFonts w:ascii="Times New Roman" w:hAnsi="Times New Roman" w:cs="Times New Roman"/>
                <w:lang w:val="fr-FR"/>
              </w:rPr>
              <w:t>Moyenne</w:t>
            </w:r>
          </w:p>
        </w:tc>
        <w:tc>
          <w:tcPr>
            <w:tcW w:w="1597" w:type="dxa"/>
          </w:tcPr>
          <w:p w14:paraId="39E94D5A" w14:textId="2BC861B5" w:rsidR="00991F3D" w:rsidRPr="00403C55" w:rsidRDefault="00D16E6B" w:rsidP="00147F08">
            <w:pPr>
              <w:jc w:val="center"/>
              <w:rPr>
                <w:rFonts w:ascii="Times New Roman" w:hAnsi="Times New Roman" w:cs="Times New Roman"/>
                <w:lang w:val="fr-FR"/>
              </w:rPr>
            </w:pPr>
            <w:r w:rsidRPr="00403C55">
              <w:rPr>
                <w:rFonts w:ascii="Times New Roman" w:hAnsi="Times New Roman" w:cs="Times New Roman"/>
                <w:lang w:val="fr-FR"/>
              </w:rPr>
              <w:t>0</w:t>
            </w:r>
            <w:r w:rsidR="006A114F"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2D13B136" w14:textId="37A7D676" w:rsidR="00EE1D7D" w:rsidRPr="00403C55" w:rsidRDefault="00EE1D7D" w:rsidP="00EE1D7D">
      <w:pPr>
        <w:spacing w:after="0" w:line="240" w:lineRule="auto"/>
        <w:jc w:val="both"/>
        <w:rPr>
          <w:rFonts w:ascii="Times New Roman" w:hAnsi="Times New Roman" w:cs="Times New Roman"/>
          <w:lang w:val="fr-FR"/>
        </w:rPr>
      </w:pPr>
    </w:p>
    <w:p w14:paraId="2D3C43BC" w14:textId="33D35C14" w:rsidR="00377A39" w:rsidRPr="00403C55" w:rsidRDefault="00AB43A2" w:rsidP="00A418D4">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BD532A" w:rsidRPr="00403C55">
        <w:rPr>
          <w:rFonts w:ascii="Times New Roman" w:hAnsi="Times New Roman" w:cs="Times New Roman"/>
          <w:b/>
          <w:lang w:val="fr-FR"/>
        </w:rPr>
        <w:t xml:space="preserve"> </w:t>
      </w:r>
      <w:r w:rsidR="001E0A03" w:rsidRPr="00403C55">
        <w:rPr>
          <w:rFonts w:ascii="Times New Roman" w:hAnsi="Times New Roman" w:cs="Times New Roman"/>
          <w:b/>
          <w:lang w:val="fr-FR"/>
        </w:rPr>
        <w:t>6</w:t>
      </w:r>
      <w:r w:rsidRPr="00403C55">
        <w:rPr>
          <w:rFonts w:ascii="Times New Roman" w:hAnsi="Times New Roman" w:cs="Times New Roman"/>
          <w:b/>
          <w:lang w:val="fr-FR"/>
        </w:rPr>
        <w:t xml:space="preserve"> </w:t>
      </w:r>
      <w:r w:rsidR="001E0A03" w:rsidRPr="00403C55">
        <w:rPr>
          <w:rFonts w:ascii="Times New Roman" w:hAnsi="Times New Roman" w:cs="Times New Roman"/>
          <w:b/>
          <w:lang w:val="fr-FR"/>
        </w:rPr>
        <w:t>%</w:t>
      </w:r>
    </w:p>
    <w:p w14:paraId="67823670" w14:textId="4FD4917F" w:rsidR="00EE1D7D" w:rsidRDefault="00EE1D7D" w:rsidP="00EE1D7D">
      <w:pPr>
        <w:spacing w:after="0" w:line="240" w:lineRule="auto"/>
        <w:jc w:val="both"/>
        <w:rPr>
          <w:rFonts w:ascii="Times New Roman" w:hAnsi="Times New Roman" w:cs="Times New Roman"/>
          <w:lang w:val="fr-FR"/>
        </w:rPr>
      </w:pPr>
    </w:p>
    <w:p w14:paraId="359262D8" w14:textId="77777777" w:rsidR="00DE4CF4" w:rsidRDefault="00DE4CF4" w:rsidP="00EE1D7D">
      <w:pPr>
        <w:spacing w:after="0" w:line="240" w:lineRule="auto"/>
        <w:jc w:val="both"/>
        <w:rPr>
          <w:rFonts w:ascii="Times New Roman" w:hAnsi="Times New Roman" w:cs="Times New Roman"/>
          <w:lang w:val="fr-FR"/>
        </w:rPr>
      </w:pPr>
    </w:p>
    <w:p w14:paraId="4BE6C74B" w14:textId="77777777" w:rsidR="00DE4CF4" w:rsidRDefault="00DE4CF4" w:rsidP="00EE1D7D">
      <w:pPr>
        <w:spacing w:after="0" w:line="240" w:lineRule="auto"/>
        <w:jc w:val="both"/>
        <w:rPr>
          <w:rFonts w:ascii="Times New Roman" w:hAnsi="Times New Roman" w:cs="Times New Roman"/>
          <w:lang w:val="fr-FR"/>
        </w:rPr>
      </w:pPr>
    </w:p>
    <w:p w14:paraId="4273671E" w14:textId="77777777" w:rsidR="00686C3F" w:rsidRDefault="00686C3F" w:rsidP="00EE1D7D">
      <w:pPr>
        <w:spacing w:after="0" w:line="240" w:lineRule="auto"/>
        <w:jc w:val="both"/>
        <w:rPr>
          <w:rFonts w:ascii="Times New Roman" w:hAnsi="Times New Roman" w:cs="Times New Roman"/>
          <w:lang w:val="fr-FR"/>
        </w:rPr>
      </w:pPr>
    </w:p>
    <w:p w14:paraId="6047BF9D" w14:textId="77777777" w:rsidR="00686C3F" w:rsidRDefault="00686C3F" w:rsidP="00EE1D7D">
      <w:pPr>
        <w:spacing w:after="0" w:line="240" w:lineRule="auto"/>
        <w:jc w:val="both"/>
        <w:rPr>
          <w:rFonts w:ascii="Times New Roman" w:hAnsi="Times New Roman" w:cs="Times New Roman"/>
          <w:lang w:val="fr-FR"/>
        </w:rPr>
      </w:pPr>
      <w:bookmarkStart w:id="3" w:name="_GoBack"/>
      <w:bookmarkEnd w:id="3"/>
    </w:p>
    <w:p w14:paraId="6F786561" w14:textId="77777777" w:rsidR="00DE4CF4" w:rsidRDefault="00DE4CF4" w:rsidP="00EE1D7D">
      <w:pPr>
        <w:spacing w:after="0" w:line="240" w:lineRule="auto"/>
        <w:jc w:val="both"/>
        <w:rPr>
          <w:rFonts w:ascii="Times New Roman" w:hAnsi="Times New Roman" w:cs="Times New Roman"/>
          <w:lang w:val="fr-FR"/>
        </w:rPr>
      </w:pPr>
    </w:p>
    <w:p w14:paraId="78D631F8" w14:textId="77777777" w:rsidR="00DE4CF4" w:rsidRPr="00403C55" w:rsidRDefault="00DE4CF4" w:rsidP="00EE1D7D">
      <w:pPr>
        <w:spacing w:after="0" w:line="240" w:lineRule="auto"/>
        <w:jc w:val="both"/>
        <w:rPr>
          <w:rFonts w:ascii="Times New Roman" w:hAnsi="Times New Roman" w:cs="Times New Roman"/>
          <w:lang w:val="fr-FR"/>
        </w:rPr>
      </w:pPr>
    </w:p>
    <w:p w14:paraId="096F4E04" w14:textId="580EDDD5" w:rsidR="00EE1D7D" w:rsidRPr="00403C55" w:rsidRDefault="00D629E5" w:rsidP="00D629E5">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6</w:t>
      </w:r>
      <w:r w:rsidR="00EE1D7D" w:rsidRPr="00403C55">
        <w:rPr>
          <w:rFonts w:ascii="Times New Roman" w:hAnsi="Times New Roman" w:cs="Times New Roman"/>
          <w:i/>
          <w:lang w:val="fr-FR"/>
        </w:rPr>
        <w:t xml:space="preserve">. </w:t>
      </w:r>
      <w:r w:rsidR="00AB43A2" w:rsidRPr="00403C55">
        <w:rPr>
          <w:rFonts w:ascii="Times New Roman" w:hAnsi="Times New Roman" w:cs="Times New Roman"/>
          <w:i/>
          <w:lang w:val="fr-FR"/>
        </w:rPr>
        <w:t xml:space="preserve">Principales activités contribuant à la mise en œuvre du plan </w:t>
      </w:r>
      <w:r w:rsidR="0003562F">
        <w:rPr>
          <w:rFonts w:ascii="Times New Roman" w:hAnsi="Times New Roman" w:cs="Times New Roman"/>
          <w:i/>
          <w:lang w:val="fr-FR"/>
        </w:rPr>
        <w:t>d’action</w:t>
      </w:r>
      <w:r w:rsidR="00AB43A2" w:rsidRPr="00403C55">
        <w:rPr>
          <w:rFonts w:ascii="Times New Roman" w:hAnsi="Times New Roman" w:cs="Times New Roman"/>
          <w:i/>
          <w:lang w:val="fr-FR"/>
        </w:rPr>
        <w:t xml:space="preserve"> et l’entravant</w:t>
      </w:r>
    </w:p>
    <w:p w14:paraId="0E10B571" w14:textId="77777777" w:rsidR="00EE1D7D" w:rsidRPr="00403C55" w:rsidRDefault="00EE1D7D" w:rsidP="00EE1D7D">
      <w:pPr>
        <w:spacing w:after="0" w:line="240" w:lineRule="auto"/>
        <w:jc w:val="both"/>
        <w:rPr>
          <w:rFonts w:ascii="Times New Roman" w:hAnsi="Times New Roman" w:cs="Times New Roman"/>
          <w:i/>
          <w:lang w:val="fr-FR"/>
        </w:rPr>
      </w:pPr>
    </w:p>
    <w:p w14:paraId="320D5631" w14:textId="77777777" w:rsidR="00EE1D7D" w:rsidRPr="00403C55" w:rsidRDefault="00EE1D7D" w:rsidP="00EE1D7D">
      <w:pPr>
        <w:spacing w:after="0" w:line="240" w:lineRule="auto"/>
        <w:jc w:val="both"/>
        <w:rPr>
          <w:rFonts w:ascii="Times New Roman" w:hAnsi="Times New Roman" w:cs="Times New Roman"/>
          <w:i/>
          <w:lang w:val="fr-FR"/>
        </w:rPr>
      </w:pPr>
      <w:r w:rsidRPr="00403C55">
        <w:rPr>
          <w:noProof/>
          <w:lang w:val="en-US"/>
        </w:rPr>
        <w:lastRenderedPageBreak/>
        <w:drawing>
          <wp:inline distT="0" distB="0" distL="0" distR="0" wp14:anchorId="04294EFD" wp14:editId="40B80AA5">
            <wp:extent cx="5457825" cy="2767013"/>
            <wp:effectExtent l="0" t="0" r="9525"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B05ABC" w14:textId="77777777" w:rsidR="00EE1D7D" w:rsidRPr="00403C55" w:rsidRDefault="00EE1D7D" w:rsidP="00EE1D7D">
      <w:pPr>
        <w:spacing w:after="0" w:line="240" w:lineRule="auto"/>
        <w:jc w:val="both"/>
        <w:rPr>
          <w:rFonts w:ascii="Times New Roman" w:hAnsi="Times New Roman" w:cs="Times New Roman"/>
          <w:i/>
          <w:lang w:val="fr-FR"/>
        </w:rPr>
      </w:pPr>
    </w:p>
    <w:p w14:paraId="7FDDE3A8" w14:textId="2FEDBE6A" w:rsidR="0000292D" w:rsidRPr="00985A4E" w:rsidRDefault="0000292D"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Sensibilisation accrue du public</w:t>
      </w:r>
    </w:p>
    <w:p w14:paraId="769E3F42" w14:textId="5C20BAC4" w:rsidR="0000292D" w:rsidRPr="00985A4E" w:rsidRDefault="006166F5"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Identification des sites c</w:t>
      </w:r>
      <w:r w:rsidR="0000292D" w:rsidRPr="00985A4E">
        <w:rPr>
          <w:rFonts w:ascii="Arial" w:hAnsi="Arial" w:cs="Arial"/>
          <w:sz w:val="18"/>
          <w:szCs w:val="18"/>
          <w:lang w:val="fr-FR"/>
        </w:rPr>
        <w:t>lés et sites adéquats</w:t>
      </w:r>
    </w:p>
    <w:p w14:paraId="6E4B09AA" w14:textId="625962E0" w:rsidR="0000292D" w:rsidRPr="00985A4E" w:rsidRDefault="0000292D"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Participation de la communauté locale</w:t>
      </w:r>
    </w:p>
    <w:p w14:paraId="0F845263" w14:textId="2D6D0759" w:rsidR="0000292D" w:rsidRPr="00985A4E" w:rsidRDefault="0000292D"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Financement assuré/accru</w:t>
      </w:r>
    </w:p>
    <w:p w14:paraId="6FE132F6" w14:textId="72A980D7" w:rsidR="0000292D" w:rsidRPr="00985A4E" w:rsidRDefault="0000292D"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Aide adéquate du gouvernement</w:t>
      </w:r>
    </w:p>
    <w:p w14:paraId="34210AD6" w14:textId="5AE46673" w:rsidR="0000292D" w:rsidRPr="00985A4E" w:rsidRDefault="0000292D"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Établissement de programmes de reproduction</w:t>
      </w:r>
    </w:p>
    <w:p w14:paraId="6BC0B4C9" w14:textId="536BDE1E" w:rsidR="0000292D" w:rsidRPr="00985A4E" w:rsidRDefault="0000292D"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Mise en œuvre de programmes de conservation/</w:t>
      </w:r>
      <w:r w:rsidR="00374B05" w:rsidRPr="00985A4E">
        <w:rPr>
          <w:rFonts w:ascii="Arial" w:hAnsi="Arial" w:cs="Arial"/>
          <w:sz w:val="18"/>
          <w:szCs w:val="18"/>
          <w:lang w:val="fr-FR"/>
        </w:rPr>
        <w:t>N</w:t>
      </w:r>
      <w:r w:rsidRPr="00985A4E">
        <w:rPr>
          <w:rFonts w:ascii="Arial" w:hAnsi="Arial" w:cs="Arial"/>
          <w:sz w:val="18"/>
          <w:szCs w:val="18"/>
          <w:lang w:val="fr-FR"/>
        </w:rPr>
        <w:t>SSAP</w:t>
      </w:r>
    </w:p>
    <w:p w14:paraId="1549052E" w14:textId="373AA068" w:rsidR="0000292D" w:rsidRPr="00403C55" w:rsidRDefault="0000292D" w:rsidP="00EE1D7D">
      <w:pPr>
        <w:spacing w:after="0" w:line="240" w:lineRule="auto"/>
        <w:jc w:val="both"/>
        <w:rPr>
          <w:rFonts w:ascii="Times New Roman" w:hAnsi="Times New Roman" w:cs="Times New Roman"/>
          <w:lang w:val="fr-FR"/>
        </w:rPr>
      </w:pPr>
      <w:r w:rsidRPr="00985A4E">
        <w:rPr>
          <w:rFonts w:ascii="Arial" w:hAnsi="Arial" w:cs="Arial"/>
          <w:sz w:val="18"/>
          <w:szCs w:val="18"/>
          <w:lang w:val="fr-FR"/>
        </w:rPr>
        <w:t>Coordination/coopération fructueuse</w:t>
      </w:r>
    </w:p>
    <w:p w14:paraId="7E73A368" w14:textId="77777777" w:rsidR="0000292D" w:rsidRPr="00403C55" w:rsidRDefault="0000292D" w:rsidP="00EE1D7D">
      <w:pPr>
        <w:spacing w:after="0" w:line="240" w:lineRule="auto"/>
        <w:jc w:val="both"/>
        <w:rPr>
          <w:rFonts w:ascii="Times New Roman" w:hAnsi="Times New Roman" w:cs="Times New Roman"/>
          <w:i/>
          <w:lang w:val="fr-FR"/>
        </w:rPr>
      </w:pPr>
    </w:p>
    <w:p w14:paraId="3C95BC55" w14:textId="77777777" w:rsidR="00EE1D7D" w:rsidRPr="00403C55" w:rsidRDefault="00EE1D7D" w:rsidP="00EE1D7D">
      <w:pPr>
        <w:spacing w:after="0" w:line="240" w:lineRule="auto"/>
        <w:jc w:val="both"/>
        <w:rPr>
          <w:rFonts w:ascii="Times New Roman" w:hAnsi="Times New Roman" w:cs="Times New Roman"/>
          <w:i/>
          <w:lang w:val="fr-FR"/>
        </w:rPr>
      </w:pPr>
      <w:r w:rsidRPr="00403C55">
        <w:rPr>
          <w:noProof/>
          <w:lang w:val="en-US"/>
        </w:rPr>
        <w:drawing>
          <wp:inline distT="0" distB="0" distL="0" distR="0" wp14:anchorId="77888F56" wp14:editId="21E6CEB7">
            <wp:extent cx="5438775" cy="27336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66E125" w14:textId="77777777" w:rsidR="00EE1D7D" w:rsidRPr="00403C55" w:rsidRDefault="00EE1D7D" w:rsidP="00EE1D7D">
      <w:pPr>
        <w:spacing w:after="0" w:line="240" w:lineRule="auto"/>
        <w:jc w:val="both"/>
        <w:rPr>
          <w:rFonts w:ascii="Times New Roman" w:hAnsi="Times New Roman" w:cs="Times New Roman"/>
          <w:i/>
          <w:lang w:val="fr-FR"/>
        </w:rPr>
      </w:pPr>
    </w:p>
    <w:p w14:paraId="2641ABEF" w14:textId="69376D4D" w:rsidR="0000292D" w:rsidRPr="00985A4E" w:rsidRDefault="00A379E2"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Manque de capacité financière</w:t>
      </w:r>
    </w:p>
    <w:p w14:paraId="0B4ECDBC" w14:textId="1C7C7F07" w:rsidR="00A379E2" w:rsidRPr="00985A4E" w:rsidRDefault="00A379E2"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Manque de capacité humaine et technique</w:t>
      </w:r>
    </w:p>
    <w:p w14:paraId="6FEAC460" w14:textId="4B9CECCA" w:rsidR="00A379E2" w:rsidRPr="00985A4E" w:rsidRDefault="00A379E2"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Manque d’intérêt/de motivation</w:t>
      </w:r>
    </w:p>
    <w:p w14:paraId="6DBCF14D" w14:textId="77777777" w:rsidR="00A379E2" w:rsidRPr="00985A4E" w:rsidRDefault="00A379E2"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Lacunes dans les connaissances des sites</w:t>
      </w:r>
    </w:p>
    <w:p w14:paraId="6B5DE163" w14:textId="77777777" w:rsidR="00A379E2" w:rsidRPr="00985A4E" w:rsidRDefault="00A379E2"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Manque de coopération</w:t>
      </w:r>
    </w:p>
    <w:p w14:paraId="4222C99A" w14:textId="0DBE8D4A" w:rsidR="00A379E2" w:rsidRPr="00985A4E" w:rsidRDefault="00A379E2" w:rsidP="00EE1D7D">
      <w:pPr>
        <w:spacing w:after="0" w:line="240" w:lineRule="auto"/>
        <w:jc w:val="both"/>
        <w:rPr>
          <w:rFonts w:ascii="Arial" w:hAnsi="Arial" w:cs="Arial"/>
          <w:sz w:val="18"/>
          <w:szCs w:val="18"/>
          <w:lang w:val="fr-FR"/>
        </w:rPr>
      </w:pPr>
      <w:r w:rsidRPr="00985A4E">
        <w:rPr>
          <w:rFonts w:ascii="Arial" w:hAnsi="Arial" w:cs="Arial"/>
          <w:sz w:val="18"/>
          <w:szCs w:val="18"/>
          <w:lang w:val="fr-FR"/>
        </w:rPr>
        <w:t xml:space="preserve">Manque de gestion </w:t>
      </w:r>
    </w:p>
    <w:p w14:paraId="406DAE17" w14:textId="77777777" w:rsidR="0000292D" w:rsidRPr="00403C55" w:rsidRDefault="0000292D" w:rsidP="00EE1D7D">
      <w:pPr>
        <w:spacing w:after="0" w:line="240" w:lineRule="auto"/>
        <w:jc w:val="both"/>
        <w:rPr>
          <w:rFonts w:ascii="Times New Roman" w:hAnsi="Times New Roman" w:cs="Times New Roman"/>
          <w:i/>
          <w:lang w:val="fr-FR"/>
        </w:rPr>
      </w:pPr>
    </w:p>
    <w:p w14:paraId="20D8213C" w14:textId="76C0DF60" w:rsidR="00EE1D7D" w:rsidRPr="00403C55" w:rsidRDefault="00D629E5" w:rsidP="00EE1D7D">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7</w:t>
      </w:r>
      <w:r w:rsidR="00EE1D7D" w:rsidRPr="00403C55">
        <w:rPr>
          <w:rFonts w:ascii="Times New Roman" w:hAnsi="Times New Roman" w:cs="Times New Roman"/>
          <w:i/>
          <w:lang w:val="fr-FR"/>
        </w:rPr>
        <w:t xml:space="preserve">. </w:t>
      </w:r>
      <w:r w:rsidR="00AB43A2" w:rsidRPr="00403C55">
        <w:rPr>
          <w:rFonts w:ascii="Times New Roman" w:hAnsi="Times New Roman" w:cs="Times New Roman"/>
          <w:i/>
          <w:lang w:val="fr-FR"/>
        </w:rPr>
        <w:t>Conclusion</w:t>
      </w:r>
    </w:p>
    <w:p w14:paraId="1E7FB7A4" w14:textId="77777777" w:rsidR="00EE1D7D" w:rsidRPr="00403C55" w:rsidRDefault="00EE1D7D" w:rsidP="00EE1D7D">
      <w:pPr>
        <w:spacing w:after="0" w:line="240" w:lineRule="auto"/>
        <w:jc w:val="both"/>
        <w:rPr>
          <w:rFonts w:ascii="Times New Roman" w:hAnsi="Times New Roman" w:cs="Times New Roman"/>
          <w:i/>
          <w:lang w:val="fr-FR"/>
        </w:rPr>
      </w:pPr>
    </w:p>
    <w:p w14:paraId="65875CF8" w14:textId="40A308DB" w:rsidR="001B12A4" w:rsidRPr="00403C55" w:rsidRDefault="00AB43A2"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Sept ans après l’adoption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pour la conservation du Flamant nain,</w:t>
      </w:r>
      <w:r w:rsidR="009D5188" w:rsidRPr="00403C55">
        <w:rPr>
          <w:rFonts w:ascii="Times New Roman" w:hAnsi="Times New Roman" w:cs="Times New Roman"/>
          <w:lang w:val="fr-FR"/>
        </w:rPr>
        <w:t xml:space="preserve"> on peut conclure,</w:t>
      </w:r>
      <w:r w:rsidR="00985A4E">
        <w:rPr>
          <w:rFonts w:ascii="Times New Roman" w:hAnsi="Times New Roman" w:cs="Times New Roman"/>
          <w:lang w:val="fr-FR"/>
        </w:rPr>
        <w:t xml:space="preserve"> </w:t>
      </w:r>
      <w:r w:rsidRPr="00403C55">
        <w:rPr>
          <w:rFonts w:ascii="Times New Roman" w:hAnsi="Times New Roman" w:cs="Times New Roman"/>
          <w:lang w:val="fr-FR"/>
        </w:rPr>
        <w:t>sur la base des réponses des État de l'aire de répartition reçues, que certains progrès ont été réalisés au niveau de la mise en œuvre – notamment en ce qui concerne celle des activités clés telles que la désignation, la protection officielle et la gestion des sites clés.</w:t>
      </w:r>
      <w:r w:rsidR="00685BCA" w:rsidRPr="00403C55">
        <w:rPr>
          <w:rFonts w:ascii="Times New Roman" w:hAnsi="Times New Roman" w:cs="Times New Roman"/>
          <w:lang w:val="fr-FR"/>
        </w:rPr>
        <w:t xml:space="preserve"> </w:t>
      </w:r>
    </w:p>
    <w:p w14:paraId="24B4D4F0" w14:textId="17A33AB5" w:rsidR="00EE1D7D" w:rsidRPr="00403C55" w:rsidRDefault="00AB43A2"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 xml:space="preserve">Partout cependant, la mise en œuvre accuse un retard par rapport aux buts et calendriers fixés dans le plan </w:t>
      </w:r>
      <w:r w:rsidR="0003562F">
        <w:rPr>
          <w:rFonts w:ascii="Times New Roman" w:hAnsi="Times New Roman" w:cs="Times New Roman"/>
          <w:lang w:val="fr-FR"/>
        </w:rPr>
        <w:t>d’action</w:t>
      </w:r>
      <w:r w:rsidRPr="00403C55">
        <w:rPr>
          <w:rFonts w:ascii="Times New Roman" w:hAnsi="Times New Roman" w:cs="Times New Roman"/>
          <w:lang w:val="fr-FR"/>
        </w:rPr>
        <w:t>.</w:t>
      </w:r>
      <w:r w:rsidR="00EE1D7D" w:rsidRPr="00403C55">
        <w:rPr>
          <w:rFonts w:ascii="Times New Roman" w:hAnsi="Times New Roman" w:cs="Times New Roman"/>
          <w:lang w:val="fr-FR"/>
        </w:rPr>
        <w:t xml:space="preserve"> </w:t>
      </w:r>
      <w:r w:rsidR="00954BD9" w:rsidRPr="00403C55">
        <w:rPr>
          <w:rFonts w:ascii="Times New Roman" w:hAnsi="Times New Roman" w:cs="Times New Roman"/>
          <w:lang w:val="fr-FR"/>
        </w:rPr>
        <w:t>De vastes lacunes demeurent en termes de mise en œuvre, notamment en ce qui concerne</w:t>
      </w:r>
      <w:r w:rsidRPr="00403C55">
        <w:rPr>
          <w:rFonts w:ascii="Times New Roman" w:hAnsi="Times New Roman" w:cs="Times New Roman"/>
          <w:lang w:val="fr-FR"/>
        </w:rPr>
        <w:t xml:space="preserve"> </w:t>
      </w:r>
      <w:r w:rsidR="00954BD9" w:rsidRPr="00403C55">
        <w:rPr>
          <w:rFonts w:ascii="Times New Roman" w:hAnsi="Times New Roman" w:cs="Times New Roman"/>
          <w:lang w:val="fr-FR"/>
        </w:rPr>
        <w:t>le comblement des lacunes identifiées au niveau des connaissances clés</w:t>
      </w:r>
      <w:r w:rsidRPr="00403C55">
        <w:rPr>
          <w:rFonts w:ascii="Times New Roman" w:hAnsi="Times New Roman" w:cs="Times New Roman"/>
          <w:lang w:val="fr-FR"/>
        </w:rPr>
        <w:t>.</w:t>
      </w:r>
      <w:r w:rsidR="00EE1D7D" w:rsidRPr="00403C55">
        <w:rPr>
          <w:rFonts w:ascii="Times New Roman" w:hAnsi="Times New Roman" w:cs="Times New Roman"/>
          <w:lang w:val="fr-FR"/>
        </w:rPr>
        <w:t xml:space="preserve"> </w:t>
      </w:r>
      <w:r w:rsidR="00954BD9" w:rsidRPr="00403C55">
        <w:rPr>
          <w:rFonts w:ascii="Times New Roman" w:hAnsi="Times New Roman" w:cs="Times New Roman"/>
          <w:lang w:val="fr-FR"/>
        </w:rPr>
        <w:t>L</w:t>
      </w:r>
      <w:r w:rsidR="006166F5">
        <w:rPr>
          <w:rFonts w:ascii="Times New Roman" w:hAnsi="Times New Roman" w:cs="Times New Roman"/>
          <w:lang w:val="fr-FR"/>
        </w:rPr>
        <w:t xml:space="preserve">e premier </w:t>
      </w:r>
      <w:r w:rsidR="00954BD9" w:rsidRPr="00403C55">
        <w:rPr>
          <w:rFonts w:ascii="Times New Roman" w:hAnsi="Times New Roman" w:cs="Times New Roman"/>
          <w:lang w:val="fr-FR"/>
        </w:rPr>
        <w:t>objectif de ramener le Flamant nain dans la catégorie « Préoccupation mineure » au niveau mondial et de chacune de ses quatre populations régionales, n’a pas encore été atteint.</w:t>
      </w:r>
    </w:p>
    <w:p w14:paraId="4859C42B" w14:textId="77777777" w:rsidR="00EE1D7D" w:rsidRPr="00403C55" w:rsidRDefault="00EE1D7D" w:rsidP="00EE1D7D">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857"/>
      </w:tblGrid>
      <w:tr w:rsidR="00685BCA" w:rsidRPr="00DE4CF4" w14:paraId="36AC2753" w14:textId="77777777" w:rsidTr="00B06CAE">
        <w:trPr>
          <w:trHeight w:val="1022"/>
          <w:jc w:val="center"/>
        </w:trPr>
        <w:tc>
          <w:tcPr>
            <w:tcW w:w="7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21C17" w14:textId="77777777" w:rsidR="00685BCA" w:rsidRPr="00403C55" w:rsidRDefault="00685BCA" w:rsidP="00A01A49">
            <w:pPr>
              <w:jc w:val="center"/>
              <w:rPr>
                <w:rFonts w:ascii="Times New Roman" w:hAnsi="Times New Roman" w:cs="Times New Roman"/>
                <w:lang w:val="fr-FR"/>
              </w:rPr>
            </w:pPr>
          </w:p>
          <w:p w14:paraId="68FC6C94" w14:textId="60DBC128" w:rsidR="00685BCA" w:rsidRPr="00403C55" w:rsidRDefault="00954BD9" w:rsidP="00A01A49">
            <w:pPr>
              <w:jc w:val="center"/>
              <w:rPr>
                <w:rFonts w:ascii="Times New Roman" w:hAnsi="Times New Roman" w:cs="Times New Roman"/>
                <w:b/>
                <w:color w:val="FF0000"/>
                <w:lang w:val="fr-FR"/>
              </w:rPr>
            </w:pPr>
            <w:r w:rsidRPr="00403C55">
              <w:rPr>
                <w:rFonts w:ascii="Times New Roman" w:hAnsi="Times New Roman" w:cs="Times New Roman"/>
                <w:b/>
                <w:lang w:val="fr-FR"/>
              </w:rPr>
              <w:t>Taux général moyen de mise en œuvre pour 7 résultats* :</w:t>
            </w:r>
            <w:r w:rsidR="00685BCA" w:rsidRPr="00403C55">
              <w:rPr>
                <w:rFonts w:ascii="Times New Roman" w:hAnsi="Times New Roman" w:cs="Times New Roman"/>
                <w:b/>
                <w:lang w:val="fr-FR"/>
              </w:rPr>
              <w:t xml:space="preserve"> </w:t>
            </w:r>
            <w:r w:rsidR="0066226B" w:rsidRPr="00403C55">
              <w:rPr>
                <w:rFonts w:ascii="Times New Roman" w:hAnsi="Times New Roman" w:cs="Times New Roman"/>
                <w:b/>
                <w:color w:val="FF0000"/>
                <w:lang w:val="fr-FR"/>
              </w:rPr>
              <w:t>26</w:t>
            </w:r>
            <w:r w:rsidRPr="00403C55">
              <w:rPr>
                <w:rFonts w:ascii="Times New Roman" w:hAnsi="Times New Roman" w:cs="Times New Roman"/>
                <w:b/>
                <w:color w:val="FF0000"/>
                <w:lang w:val="fr-FR"/>
              </w:rPr>
              <w:t xml:space="preserve"> </w:t>
            </w:r>
            <w:r w:rsidR="00685BCA" w:rsidRPr="00403C55">
              <w:rPr>
                <w:rFonts w:ascii="Times New Roman" w:hAnsi="Times New Roman" w:cs="Times New Roman"/>
                <w:b/>
                <w:color w:val="FF0000"/>
                <w:lang w:val="fr-FR"/>
              </w:rPr>
              <w:t>%</w:t>
            </w:r>
          </w:p>
          <w:p w14:paraId="36DE5BE2" w14:textId="77777777" w:rsidR="00685BCA" w:rsidRPr="00403C55" w:rsidRDefault="00685BCA" w:rsidP="00A01A49">
            <w:pPr>
              <w:jc w:val="center"/>
              <w:rPr>
                <w:rFonts w:ascii="Times New Roman" w:hAnsi="Times New Roman" w:cs="Times New Roman"/>
                <w:b/>
                <w:lang w:val="fr-FR"/>
              </w:rPr>
            </w:pPr>
          </w:p>
          <w:p w14:paraId="0B77B915" w14:textId="551017F8" w:rsidR="00685BCA" w:rsidRPr="00403C55" w:rsidRDefault="00954BD9" w:rsidP="00A01A49">
            <w:pPr>
              <w:jc w:val="center"/>
              <w:rPr>
                <w:rFonts w:ascii="Times New Roman" w:hAnsi="Times New Roman" w:cs="Times New Roman"/>
                <w:b/>
                <w:color w:val="FF0000"/>
                <w:lang w:val="fr-FR"/>
              </w:rPr>
            </w:pPr>
            <w:r w:rsidRPr="00403C55">
              <w:rPr>
                <w:rFonts w:ascii="Times New Roman" w:hAnsi="Times New Roman" w:cs="Times New Roman"/>
                <w:b/>
                <w:lang w:val="fr-FR"/>
              </w:rPr>
              <w:t>Taux moyen de mise en œuvre pour les activités ayant une priorité critique et élevée (12)* :</w:t>
            </w:r>
            <w:r w:rsidR="00985A4E">
              <w:rPr>
                <w:rFonts w:ascii="Times New Roman" w:hAnsi="Times New Roman" w:cs="Times New Roman"/>
                <w:b/>
                <w:lang w:val="fr-FR"/>
              </w:rPr>
              <w:t xml:space="preserve"> </w:t>
            </w:r>
            <w:r w:rsidR="00685BCA" w:rsidRPr="00403C55">
              <w:rPr>
                <w:rFonts w:ascii="Times New Roman" w:hAnsi="Times New Roman" w:cs="Times New Roman"/>
                <w:b/>
                <w:color w:val="FF0000"/>
                <w:lang w:val="fr-FR"/>
              </w:rPr>
              <w:t>2</w:t>
            </w:r>
            <w:r w:rsidR="0066226B" w:rsidRPr="00403C55">
              <w:rPr>
                <w:rFonts w:ascii="Times New Roman" w:hAnsi="Times New Roman" w:cs="Times New Roman"/>
                <w:b/>
                <w:color w:val="FF0000"/>
                <w:lang w:val="fr-FR"/>
              </w:rPr>
              <w:t>3</w:t>
            </w:r>
            <w:r w:rsidRPr="00403C55">
              <w:rPr>
                <w:rFonts w:ascii="Times New Roman" w:hAnsi="Times New Roman" w:cs="Times New Roman"/>
                <w:b/>
                <w:color w:val="FF0000"/>
                <w:lang w:val="fr-FR"/>
              </w:rPr>
              <w:t xml:space="preserve"> </w:t>
            </w:r>
            <w:r w:rsidR="00685BCA" w:rsidRPr="00403C55">
              <w:rPr>
                <w:rFonts w:ascii="Times New Roman" w:hAnsi="Times New Roman" w:cs="Times New Roman"/>
                <w:b/>
                <w:color w:val="FF0000"/>
                <w:lang w:val="fr-FR"/>
              </w:rPr>
              <w:t>%</w:t>
            </w:r>
          </w:p>
          <w:p w14:paraId="0B041527" w14:textId="77777777" w:rsidR="00685BCA" w:rsidRPr="00403C55" w:rsidRDefault="00685BCA" w:rsidP="00A01A49">
            <w:pPr>
              <w:jc w:val="both"/>
              <w:rPr>
                <w:rFonts w:ascii="Times New Roman" w:hAnsi="Times New Roman" w:cs="Times New Roman"/>
                <w:lang w:val="fr-FR"/>
              </w:rPr>
            </w:pPr>
          </w:p>
        </w:tc>
      </w:tr>
    </w:tbl>
    <w:p w14:paraId="7B74C2B7" w14:textId="77777777" w:rsidR="00685BCA" w:rsidRPr="00403C55" w:rsidRDefault="00685BCA" w:rsidP="00EE1D7D">
      <w:pPr>
        <w:spacing w:after="0" w:line="240" w:lineRule="auto"/>
        <w:jc w:val="both"/>
        <w:rPr>
          <w:rFonts w:ascii="Times New Roman" w:hAnsi="Times New Roman" w:cs="Times New Roman"/>
          <w:highlight w:val="yellow"/>
          <w:lang w:val="fr-FR"/>
        </w:rPr>
      </w:pPr>
    </w:p>
    <w:p w14:paraId="36C77C50" w14:textId="35499C01" w:rsidR="00EE1D7D" w:rsidRPr="00403C55" w:rsidRDefault="00954BD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Il convient de noter que les taux moyens de mise en œuvre présentés ci-dessus ne doivent être considérés que comme indicatifs.</w:t>
      </w:r>
      <w:r w:rsidR="003A3BA7" w:rsidRPr="00403C55">
        <w:rPr>
          <w:rFonts w:ascii="Times New Roman" w:hAnsi="Times New Roman" w:cs="Times New Roman"/>
          <w:lang w:val="fr-FR"/>
        </w:rPr>
        <w:t xml:space="preserve"> </w:t>
      </w:r>
      <w:r w:rsidRPr="00403C55">
        <w:rPr>
          <w:rFonts w:ascii="Times New Roman" w:hAnsi="Times New Roman" w:cs="Times New Roman"/>
          <w:lang w:val="fr-FR"/>
        </w:rPr>
        <w:t>Malheureusement, la qualité/consistance de certains des questionnaires soumis était médiocre, beaucoup de questions étant par exemple restées sans réponse.</w:t>
      </w:r>
      <w:r w:rsidR="00B04CD3" w:rsidRPr="00403C55">
        <w:rPr>
          <w:rFonts w:ascii="Times New Roman" w:hAnsi="Times New Roman" w:cs="Times New Roman"/>
          <w:lang w:val="fr-FR"/>
        </w:rPr>
        <w:t xml:space="preserve"> </w:t>
      </w:r>
      <w:r w:rsidRPr="00403C55">
        <w:rPr>
          <w:rFonts w:ascii="Times New Roman" w:hAnsi="Times New Roman" w:cs="Times New Roman"/>
          <w:lang w:val="fr-FR"/>
        </w:rPr>
        <w:t>Davantage d’aide et de coordination externes lors de la préparation des réponses auraient peut-être été utile</w:t>
      </w:r>
      <w:r w:rsidR="006166F5">
        <w:rPr>
          <w:rFonts w:ascii="Times New Roman" w:hAnsi="Times New Roman" w:cs="Times New Roman"/>
          <w:lang w:val="fr-FR"/>
        </w:rPr>
        <w:t>s</w:t>
      </w:r>
      <w:r w:rsidRPr="00403C55">
        <w:rPr>
          <w:rFonts w:ascii="Times New Roman" w:hAnsi="Times New Roman" w:cs="Times New Roman"/>
          <w:lang w:val="fr-FR"/>
        </w:rPr>
        <w:t>.</w:t>
      </w:r>
      <w:r w:rsidR="003A3BA7" w:rsidRPr="00403C55">
        <w:rPr>
          <w:rFonts w:ascii="Times New Roman" w:hAnsi="Times New Roman" w:cs="Times New Roman"/>
          <w:lang w:val="fr-FR"/>
        </w:rPr>
        <w:t xml:space="preserve"> </w:t>
      </w:r>
      <w:r w:rsidRPr="00403C55">
        <w:rPr>
          <w:rFonts w:ascii="Times New Roman" w:hAnsi="Times New Roman" w:cs="Times New Roman"/>
          <w:lang w:val="fr-FR"/>
        </w:rPr>
        <w:t xml:space="preserve">Plusieurs pays clés pour l’espèce – certains ayant des activités de conservation bien établies, comme l’Afrique du Sud – n’ont pas </w:t>
      </w:r>
      <w:r w:rsidR="00F82903">
        <w:rPr>
          <w:rFonts w:ascii="Times New Roman" w:hAnsi="Times New Roman" w:cs="Times New Roman"/>
          <w:lang w:val="fr-FR"/>
        </w:rPr>
        <w:t>remis</w:t>
      </w:r>
      <w:r w:rsidRPr="00403C55">
        <w:rPr>
          <w:rFonts w:ascii="Times New Roman" w:hAnsi="Times New Roman" w:cs="Times New Roman"/>
          <w:lang w:val="fr-FR"/>
        </w:rPr>
        <w:t xml:space="preserve"> de rapports.</w:t>
      </w:r>
      <w:r w:rsidR="00B04CD3" w:rsidRPr="00403C55">
        <w:rPr>
          <w:rFonts w:ascii="Times New Roman" w:hAnsi="Times New Roman" w:cs="Times New Roman"/>
          <w:lang w:val="fr-FR"/>
        </w:rPr>
        <w:t xml:space="preserve"> </w:t>
      </w:r>
    </w:p>
    <w:p w14:paraId="1DF8E8F9" w14:textId="77777777" w:rsidR="00EE1D7D" w:rsidRPr="00403C55" w:rsidRDefault="00EE1D7D" w:rsidP="00EE1D7D">
      <w:pPr>
        <w:spacing w:after="0" w:line="240" w:lineRule="auto"/>
        <w:jc w:val="both"/>
        <w:rPr>
          <w:rFonts w:ascii="Times New Roman" w:hAnsi="Times New Roman" w:cs="Times New Roman"/>
          <w:highlight w:val="yellow"/>
          <w:lang w:val="fr-FR"/>
        </w:rPr>
      </w:pPr>
    </w:p>
    <w:p w14:paraId="40D882B0" w14:textId="3B8606D4" w:rsidR="00EE1D7D" w:rsidRPr="00403C55" w:rsidRDefault="00954BD9"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Ce plan </w:t>
      </w:r>
      <w:r w:rsidR="0003562F">
        <w:rPr>
          <w:rFonts w:ascii="Times New Roman" w:hAnsi="Times New Roman" w:cs="Times New Roman"/>
          <w:lang w:val="fr-FR"/>
        </w:rPr>
        <w:t>d’action</w:t>
      </w:r>
      <w:r w:rsidRPr="00403C55">
        <w:rPr>
          <w:rFonts w:ascii="Times New Roman" w:hAnsi="Times New Roman" w:cs="Times New Roman"/>
          <w:lang w:val="fr-FR"/>
        </w:rPr>
        <w:t xml:space="preserve"> présente un bon potentiel pour une mise en œuvre accrue :</w:t>
      </w:r>
      <w:r w:rsidR="00164976" w:rsidRPr="00403C55">
        <w:rPr>
          <w:rFonts w:ascii="Times New Roman" w:hAnsi="Times New Roman" w:cs="Times New Roman"/>
          <w:lang w:val="fr-FR"/>
        </w:rPr>
        <w:t xml:space="preserve"> </w:t>
      </w:r>
      <w:r w:rsidRPr="00403C55">
        <w:rPr>
          <w:rFonts w:ascii="Times New Roman" w:hAnsi="Times New Roman" w:cs="Times New Roman"/>
          <w:lang w:val="fr-FR"/>
        </w:rPr>
        <w:t>un groupe relativement petit d</w:t>
      </w:r>
      <w:r w:rsidR="00B06CAE" w:rsidRPr="00403C55">
        <w:rPr>
          <w:rFonts w:ascii="Times New Roman" w:hAnsi="Times New Roman" w:cs="Times New Roman"/>
          <w:lang w:val="fr-FR"/>
        </w:rPr>
        <w:t>’</w:t>
      </w:r>
      <w:r w:rsidR="00FE6EE5">
        <w:rPr>
          <w:rFonts w:ascii="Times New Roman" w:hAnsi="Times New Roman" w:cs="Times New Roman"/>
          <w:lang w:val="fr-FR"/>
        </w:rPr>
        <w:t>États de l’aire de répartition</w:t>
      </w:r>
      <w:r w:rsidRPr="00403C55">
        <w:rPr>
          <w:rFonts w:ascii="Times New Roman" w:hAnsi="Times New Roman" w:cs="Times New Roman"/>
          <w:lang w:val="fr-FR"/>
        </w:rPr>
        <w:t>, une espèce iconique et bien connue, etc., des activités clairement structurées, etc.</w:t>
      </w:r>
      <w:r w:rsidR="00164976" w:rsidRPr="00403C55">
        <w:rPr>
          <w:rFonts w:ascii="Times New Roman" w:hAnsi="Times New Roman" w:cs="Times New Roman"/>
          <w:lang w:val="fr-FR"/>
        </w:rPr>
        <w:t xml:space="preserve"> </w:t>
      </w:r>
      <w:r w:rsidRPr="00403C55">
        <w:rPr>
          <w:rFonts w:ascii="Times New Roman" w:hAnsi="Times New Roman" w:cs="Times New Roman"/>
          <w:lang w:val="fr-FR"/>
        </w:rPr>
        <w:t>Toutefois, le manque de coordination internationale générale des activités, de même que le manque de fonds et de capacité humaine et technique, continuent à entraver les progrès.</w:t>
      </w:r>
      <w:r w:rsidR="00EE1D7D" w:rsidRPr="00403C55">
        <w:rPr>
          <w:rFonts w:ascii="Times New Roman" w:hAnsi="Times New Roman" w:cs="Times New Roman"/>
          <w:lang w:val="fr-FR"/>
        </w:rPr>
        <w:t xml:space="preserve"> </w:t>
      </w:r>
    </w:p>
    <w:p w14:paraId="4D1A62EB" w14:textId="77777777" w:rsidR="00EE1D7D" w:rsidRPr="00403C55" w:rsidRDefault="00EE1D7D" w:rsidP="00EE1D7D">
      <w:pPr>
        <w:spacing w:after="0" w:line="240" w:lineRule="auto"/>
        <w:jc w:val="both"/>
        <w:rPr>
          <w:rFonts w:ascii="Times New Roman" w:hAnsi="Times New Roman" w:cs="Times New Roman"/>
          <w:lang w:val="fr-FR"/>
        </w:rPr>
      </w:pPr>
    </w:p>
    <w:p w14:paraId="5544608F" w14:textId="55407F18" w:rsidR="00164976" w:rsidRPr="00403C55" w:rsidRDefault="00954BD9" w:rsidP="00164976">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Il est donc nécessaire, </w:t>
      </w:r>
      <w:r w:rsidR="00B06CAE" w:rsidRPr="00403C55">
        <w:rPr>
          <w:rFonts w:ascii="Times New Roman" w:hAnsi="Times New Roman" w:cs="Times New Roman"/>
          <w:lang w:val="fr-FR"/>
        </w:rPr>
        <w:t>d</w:t>
      </w:r>
      <w:r w:rsidRPr="00403C55">
        <w:rPr>
          <w:rFonts w:ascii="Times New Roman" w:hAnsi="Times New Roman" w:cs="Times New Roman"/>
          <w:lang w:val="fr-FR"/>
        </w:rPr>
        <w:t xml:space="preserve">e toute urgence, de réactiver le </w:t>
      </w:r>
      <w:r w:rsidR="0083784F" w:rsidRPr="00403C55">
        <w:rPr>
          <w:rFonts w:ascii="Times New Roman" w:hAnsi="Times New Roman" w:cs="Times New Roman"/>
          <w:lang w:val="fr-FR"/>
        </w:rPr>
        <w:t xml:space="preserve">groupe de travail international </w:t>
      </w:r>
      <w:r w:rsidR="0003562F">
        <w:rPr>
          <w:rFonts w:ascii="Times New Roman" w:hAnsi="Times New Roman" w:cs="Times New Roman"/>
          <w:lang w:val="fr-FR"/>
        </w:rPr>
        <w:t>de l’AEWA</w:t>
      </w:r>
      <w:r w:rsidR="0083784F" w:rsidRPr="00403C55">
        <w:rPr>
          <w:rFonts w:ascii="Times New Roman" w:hAnsi="Times New Roman" w:cs="Times New Roman"/>
          <w:lang w:val="fr-FR"/>
        </w:rPr>
        <w:t xml:space="preserve"> sur le Flamant nain</w:t>
      </w:r>
      <w:r w:rsidRPr="00403C55">
        <w:rPr>
          <w:rFonts w:ascii="Times New Roman" w:hAnsi="Times New Roman" w:cs="Times New Roman"/>
          <w:lang w:val="fr-FR"/>
        </w:rPr>
        <w:t xml:space="preserve"> </w:t>
      </w:r>
      <w:r w:rsidR="0083784F" w:rsidRPr="00403C55">
        <w:rPr>
          <w:rFonts w:ascii="Times New Roman" w:hAnsi="Times New Roman" w:cs="Times New Roman"/>
          <w:lang w:val="fr-FR"/>
        </w:rPr>
        <w:t>et de rétablir un coordinateur du groupe de travail</w:t>
      </w:r>
      <w:r w:rsidR="00B06CAE" w:rsidRPr="00403C55">
        <w:rPr>
          <w:rFonts w:ascii="Times New Roman" w:hAnsi="Times New Roman" w:cs="Times New Roman"/>
          <w:lang w:val="fr-FR"/>
        </w:rPr>
        <w:t>.</w:t>
      </w:r>
      <w:r w:rsidR="00164976" w:rsidRPr="00403C55">
        <w:rPr>
          <w:rFonts w:ascii="Times New Roman" w:hAnsi="Times New Roman" w:cs="Times New Roman"/>
          <w:lang w:val="fr-FR"/>
        </w:rPr>
        <w:t xml:space="preserve"> </w:t>
      </w:r>
      <w:r w:rsidR="0083784F" w:rsidRPr="00403C55">
        <w:rPr>
          <w:rFonts w:ascii="Times New Roman" w:hAnsi="Times New Roman" w:cs="Times New Roman"/>
          <w:lang w:val="fr-FR"/>
        </w:rPr>
        <w:t xml:space="preserve">Ceci est particulièrement important à la lumière du fait que ce plan </w:t>
      </w:r>
      <w:r w:rsidR="0003562F">
        <w:rPr>
          <w:rFonts w:ascii="Times New Roman" w:hAnsi="Times New Roman" w:cs="Times New Roman"/>
          <w:lang w:val="fr-FR"/>
        </w:rPr>
        <w:t>d’action</w:t>
      </w:r>
      <w:r w:rsidR="0083784F" w:rsidRPr="00403C55">
        <w:rPr>
          <w:rFonts w:ascii="Times New Roman" w:hAnsi="Times New Roman" w:cs="Times New Roman"/>
          <w:lang w:val="fr-FR"/>
        </w:rPr>
        <w:t xml:space="preserve"> devrait être révisé d’ici trois ans.</w:t>
      </w:r>
    </w:p>
    <w:p w14:paraId="6B952F4C" w14:textId="77777777" w:rsidR="00164976" w:rsidRPr="00403C55" w:rsidRDefault="00164976" w:rsidP="00EE1D7D">
      <w:pPr>
        <w:spacing w:after="0" w:line="240" w:lineRule="auto"/>
        <w:jc w:val="both"/>
        <w:rPr>
          <w:rFonts w:ascii="Times New Roman" w:hAnsi="Times New Roman" w:cs="Times New Roman"/>
          <w:lang w:val="fr-FR"/>
        </w:rPr>
      </w:pPr>
    </w:p>
    <w:p w14:paraId="0851A811" w14:textId="6CF79B22" w:rsidR="00EE1D7D" w:rsidRPr="00403C55" w:rsidRDefault="00EE1D7D" w:rsidP="00EE1D7D">
      <w:pPr>
        <w:spacing w:after="0" w:line="240" w:lineRule="auto"/>
        <w:jc w:val="both"/>
        <w:rPr>
          <w:rFonts w:ascii="Times New Roman" w:hAnsi="Times New Roman" w:cs="Times New Roman"/>
          <w:lang w:val="fr-FR"/>
        </w:rPr>
      </w:pPr>
      <w:r w:rsidRPr="00403C55">
        <w:rPr>
          <w:rFonts w:ascii="Times New Roman" w:hAnsi="Times New Roman" w:cs="Times New Roman"/>
          <w:lang w:val="fr-FR"/>
        </w:rPr>
        <w:br w:type="page"/>
      </w:r>
    </w:p>
    <w:p w14:paraId="74CE531E" w14:textId="328D7CAB" w:rsidR="005A5C57" w:rsidRPr="00403C55" w:rsidRDefault="0083784F" w:rsidP="005A5C57">
      <w:pPr>
        <w:shd w:val="clear" w:color="auto" w:fill="C6D9F1" w:themeFill="text2" w:themeFillTint="33"/>
        <w:spacing w:after="0" w:line="240" w:lineRule="auto"/>
        <w:jc w:val="both"/>
        <w:rPr>
          <w:rFonts w:ascii="Times New Roman" w:hAnsi="Times New Roman" w:cs="Times New Roman"/>
          <w:b/>
          <w:lang w:val="fr-FR"/>
        </w:rPr>
      </w:pPr>
      <w:r w:rsidRPr="00403C55">
        <w:rPr>
          <w:rFonts w:ascii="Times New Roman" w:hAnsi="Times New Roman" w:cs="Times New Roman"/>
          <w:b/>
          <w:lang w:val="fr-FR"/>
        </w:rPr>
        <w:lastRenderedPageBreak/>
        <w:t>C.</w:t>
      </w:r>
      <w:r w:rsidR="005A5C57" w:rsidRPr="00403C55">
        <w:rPr>
          <w:rFonts w:ascii="Times New Roman" w:hAnsi="Times New Roman" w:cs="Times New Roman"/>
          <w:b/>
          <w:lang w:val="fr-FR"/>
        </w:rPr>
        <w:t xml:space="preserve"> </w:t>
      </w:r>
      <w:r w:rsidRPr="00403C55">
        <w:rPr>
          <w:rFonts w:ascii="Times New Roman" w:hAnsi="Times New Roman" w:cs="Times New Roman"/>
          <w:b/>
          <w:lang w:val="fr-FR"/>
        </w:rPr>
        <w:t xml:space="preserve">ISSAP </w:t>
      </w:r>
      <w:r w:rsidR="0003562F">
        <w:rPr>
          <w:rFonts w:ascii="Times New Roman" w:hAnsi="Times New Roman" w:cs="Times New Roman"/>
          <w:b/>
          <w:lang w:val="fr-FR"/>
        </w:rPr>
        <w:t>de l’AEWA</w:t>
      </w:r>
      <w:r w:rsidRPr="00403C55">
        <w:rPr>
          <w:rFonts w:ascii="Times New Roman" w:hAnsi="Times New Roman" w:cs="Times New Roman"/>
          <w:b/>
          <w:lang w:val="fr-FR"/>
        </w:rPr>
        <w:t xml:space="preserve"> pour le Cygne de Bewick</w:t>
      </w:r>
    </w:p>
    <w:p w14:paraId="2A579B2A" w14:textId="77777777" w:rsidR="005A5C57" w:rsidRPr="00403C55" w:rsidRDefault="005A5C57" w:rsidP="005A5C57">
      <w:pPr>
        <w:spacing w:after="0" w:line="240" w:lineRule="auto"/>
        <w:rPr>
          <w:rFonts w:ascii="Times New Roman" w:hAnsi="Times New Roman" w:cs="Times New Roman"/>
          <w:lang w:val="fr-FR"/>
        </w:rPr>
      </w:pPr>
    </w:p>
    <w:p w14:paraId="1C1AF009" w14:textId="1F79DEEC" w:rsidR="00C022CA" w:rsidRPr="00403C55" w:rsidRDefault="00C022CA" w:rsidP="00C022CA">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1. </w:t>
      </w:r>
      <w:r w:rsidR="0083784F" w:rsidRPr="00403C55">
        <w:rPr>
          <w:rFonts w:ascii="Times New Roman" w:hAnsi="Times New Roman" w:cs="Times New Roman"/>
          <w:i/>
          <w:lang w:val="fr-FR"/>
        </w:rPr>
        <w:t>Introduction</w:t>
      </w:r>
    </w:p>
    <w:p w14:paraId="50774536" w14:textId="77777777" w:rsidR="00C022CA" w:rsidRPr="00403C55" w:rsidRDefault="00C022CA" w:rsidP="00C022CA">
      <w:pPr>
        <w:shd w:val="clear" w:color="auto" w:fill="FFFFFF" w:themeFill="background1"/>
        <w:spacing w:after="0" w:line="240" w:lineRule="auto"/>
        <w:rPr>
          <w:rFonts w:ascii="Times New Roman" w:hAnsi="Times New Roman" w:cs="Times New Roman"/>
          <w:i/>
          <w:lang w:val="fr-FR"/>
        </w:rPr>
      </w:pPr>
    </w:p>
    <w:p w14:paraId="0D3A8AE5" w14:textId="3F16E9B8" w:rsidR="00C022CA" w:rsidRPr="00403C55" w:rsidRDefault="0083784F" w:rsidP="00C022C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Cygne siffleur </w:t>
      </w:r>
      <w:r w:rsidRPr="00403C55">
        <w:rPr>
          <w:rFonts w:ascii="Times New Roman" w:hAnsi="Times New Roman" w:cs="Times New Roman"/>
          <w:i/>
          <w:lang w:val="fr-FR"/>
        </w:rPr>
        <w:t xml:space="preserve">(Cygnus columbianus) </w:t>
      </w:r>
      <w:r w:rsidRPr="00403C55">
        <w:rPr>
          <w:rFonts w:ascii="Times New Roman" w:hAnsi="Times New Roman" w:cs="Times New Roman"/>
          <w:lang w:val="fr-FR"/>
        </w:rPr>
        <w:t>dont le Cygne de Bewick</w:t>
      </w:r>
      <w:r w:rsidR="00985A4E">
        <w:rPr>
          <w:rFonts w:ascii="Times New Roman" w:hAnsi="Times New Roman" w:cs="Times New Roman"/>
          <w:lang w:val="fr-FR"/>
        </w:rPr>
        <w:t xml:space="preserve"> </w:t>
      </w:r>
      <w:r w:rsidRPr="00403C55">
        <w:rPr>
          <w:rFonts w:ascii="Times New Roman" w:hAnsi="Times New Roman" w:cs="Times New Roman"/>
          <w:i/>
          <w:lang w:val="fr-FR"/>
        </w:rPr>
        <w:t xml:space="preserve">(Cygnus columbianus bewickii) </w:t>
      </w:r>
      <w:r w:rsidRPr="00403C55">
        <w:rPr>
          <w:rFonts w:ascii="Times New Roman" w:hAnsi="Times New Roman" w:cs="Times New Roman"/>
          <w:lang w:val="fr-FR"/>
        </w:rPr>
        <w:t xml:space="preserve">est la sous-espèce paléarctique, </w:t>
      </w:r>
      <w:r w:rsidR="00F82903">
        <w:rPr>
          <w:rFonts w:ascii="Times New Roman" w:hAnsi="Times New Roman" w:cs="Times New Roman"/>
          <w:lang w:val="fr-FR"/>
        </w:rPr>
        <w:t>présente</w:t>
      </w:r>
      <w:r w:rsidRPr="00403C55">
        <w:rPr>
          <w:rFonts w:ascii="Times New Roman" w:hAnsi="Times New Roman" w:cs="Times New Roman"/>
          <w:lang w:val="fr-FR"/>
        </w:rPr>
        <w:t xml:space="preserve"> un état de conservation mondial classé comme étant de « Préoccupation mineure ».</w:t>
      </w:r>
      <w:r w:rsidR="0040784D" w:rsidRPr="00403C55">
        <w:rPr>
          <w:rFonts w:ascii="Times New Roman" w:hAnsi="Times New Roman" w:cs="Times New Roman"/>
          <w:lang w:val="fr-FR"/>
        </w:rPr>
        <w:t xml:space="preserve"> </w:t>
      </w:r>
      <w:r w:rsidRPr="00403C55">
        <w:rPr>
          <w:rFonts w:ascii="Times New Roman" w:hAnsi="Times New Roman" w:cs="Times New Roman"/>
          <w:lang w:val="fr-FR"/>
        </w:rPr>
        <w:t>Cependant, l’état de l’espèce figure dans la catégorie « En danger » en Europe selon la Liste rouge européenne 2015.</w:t>
      </w:r>
      <w:r w:rsidR="003C7330" w:rsidRPr="00403C55">
        <w:rPr>
          <w:rFonts w:ascii="Times New Roman" w:hAnsi="Times New Roman" w:cs="Times New Roman"/>
          <w:lang w:val="fr-FR"/>
        </w:rPr>
        <w:t xml:space="preserve"> </w:t>
      </w:r>
      <w:r w:rsidRPr="00403C55">
        <w:rPr>
          <w:rFonts w:ascii="Times New Roman" w:hAnsi="Times New Roman" w:cs="Times New Roman"/>
          <w:lang w:val="fr-FR"/>
        </w:rPr>
        <w:t>La population de cygnes de Bewick de l’</w:t>
      </w:r>
      <w:r w:rsidR="00B06CAE" w:rsidRPr="00403C55">
        <w:rPr>
          <w:rFonts w:ascii="Times New Roman" w:hAnsi="Times New Roman" w:cs="Times New Roman"/>
          <w:lang w:val="fr-FR"/>
        </w:rPr>
        <w:t>o</w:t>
      </w:r>
      <w:r w:rsidRPr="00403C55">
        <w:rPr>
          <w:rFonts w:ascii="Times New Roman" w:hAnsi="Times New Roman" w:cs="Times New Roman"/>
          <w:lang w:val="fr-FR"/>
        </w:rPr>
        <w:t xml:space="preserve">uest de la Sibérie et du nord-est/nord-ouest de l’Europe figure dans la catégorie 2 de la colonne A du </w:t>
      </w:r>
      <w:r w:rsidR="00F82903">
        <w:rPr>
          <w:rFonts w:ascii="Times New Roman" w:hAnsi="Times New Roman" w:cs="Times New Roman"/>
          <w:lang w:val="fr-FR"/>
        </w:rPr>
        <w:t>T</w:t>
      </w:r>
      <w:r w:rsidRPr="00403C55">
        <w:rPr>
          <w:rFonts w:ascii="Times New Roman" w:hAnsi="Times New Roman" w:cs="Times New Roman"/>
          <w:lang w:val="fr-FR"/>
        </w:rPr>
        <w:t xml:space="preserve">ableau 1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w:t>
      </w:r>
      <w:r w:rsidR="0003562F">
        <w:rPr>
          <w:rFonts w:ascii="Times New Roman" w:hAnsi="Times New Roman" w:cs="Times New Roman"/>
          <w:lang w:val="fr-FR"/>
        </w:rPr>
        <w:t>de l’AEWA</w:t>
      </w:r>
      <w:r w:rsidRPr="00403C55">
        <w:rPr>
          <w:rFonts w:ascii="Times New Roman" w:hAnsi="Times New Roman" w:cs="Times New Roman"/>
          <w:lang w:val="fr-FR"/>
        </w:rPr>
        <w:t>.</w:t>
      </w:r>
      <w:r w:rsidR="00C022CA" w:rsidRPr="00403C55">
        <w:rPr>
          <w:rFonts w:ascii="Times New Roman" w:hAnsi="Times New Roman" w:cs="Times New Roman"/>
          <w:lang w:val="fr-FR"/>
        </w:rPr>
        <w:t xml:space="preserve"> </w:t>
      </w:r>
      <w:r w:rsidRPr="00403C55">
        <w:rPr>
          <w:rFonts w:ascii="Times New Roman" w:hAnsi="Times New Roman" w:cs="Times New Roman"/>
          <w:lang w:val="fr-FR"/>
        </w:rPr>
        <w:t xml:space="preserve">Le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la conservation du Cygne de Bewick a été adopté lors de la 5</w:t>
      </w:r>
      <w:r w:rsidRPr="00403C55">
        <w:rPr>
          <w:rFonts w:ascii="Times New Roman" w:hAnsi="Times New Roman" w:cs="Times New Roman"/>
          <w:vertAlign w:val="superscript"/>
          <w:lang w:val="fr-FR"/>
        </w:rPr>
        <w:t>ème</w:t>
      </w:r>
      <w:r w:rsidRPr="00403C55">
        <w:rPr>
          <w:rFonts w:ascii="Times New Roman" w:hAnsi="Times New Roman" w:cs="Times New Roman"/>
          <w:lang w:val="fr-FR"/>
        </w:rPr>
        <w:t xml:space="preserve"> session de la Réunion des Parties à l’AEWA en mai 2012</w:t>
      </w:r>
      <w:r w:rsidRPr="00403C55">
        <w:rPr>
          <w:rFonts w:ascii="Times New Roman" w:hAnsi="Times New Roman" w:cs="Times New Roman"/>
          <w:vertAlign w:val="superscript"/>
          <w:lang w:val="fr-FR"/>
        </w:rPr>
        <w:footnoteReference w:id="4"/>
      </w:r>
      <w:r w:rsidRPr="00403C55">
        <w:rPr>
          <w:rFonts w:ascii="Times New Roman" w:hAnsi="Times New Roman" w:cs="Times New Roman"/>
          <w:lang w:val="fr-FR"/>
        </w:rPr>
        <w:t>.</w:t>
      </w:r>
      <w:r w:rsidR="00C022CA" w:rsidRPr="00403C55">
        <w:rPr>
          <w:rFonts w:ascii="Times New Roman" w:hAnsi="Times New Roman" w:cs="Times New Roman"/>
          <w:lang w:val="fr-FR"/>
        </w:rPr>
        <w:t xml:space="preserve"> </w:t>
      </w:r>
    </w:p>
    <w:p w14:paraId="42200B66" w14:textId="77777777" w:rsidR="00C022CA" w:rsidRPr="00403C55" w:rsidRDefault="00C022CA" w:rsidP="00C022CA">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8295"/>
      </w:tblGrid>
      <w:tr w:rsidR="009E71AE" w:rsidRPr="00DE4CF4" w14:paraId="2295F93A" w14:textId="77777777" w:rsidTr="00B06CAE">
        <w:trPr>
          <w:trHeight w:val="1014"/>
          <w:jc w:val="center"/>
        </w:trPr>
        <w:tc>
          <w:tcPr>
            <w:tcW w:w="82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9C5C83" w14:textId="414DA37D" w:rsidR="009E71AE" w:rsidRPr="00403C55" w:rsidRDefault="0083784F" w:rsidP="003F50F9">
            <w:pPr>
              <w:jc w:val="both"/>
              <w:rPr>
                <w:rFonts w:ascii="Times New Roman" w:hAnsi="Times New Roman" w:cs="Times New Roman"/>
                <w:lang w:val="fr-FR"/>
              </w:rPr>
            </w:pPr>
            <w:r w:rsidRPr="00403C55">
              <w:rPr>
                <w:rFonts w:ascii="Times New Roman" w:hAnsi="Times New Roman" w:cs="Times New Roman"/>
                <w:lang w:val="fr-FR"/>
              </w:rPr>
              <w:t xml:space="preserve">L’objectif du plan </w:t>
            </w:r>
            <w:r w:rsidR="0003562F">
              <w:rPr>
                <w:rFonts w:ascii="Times New Roman" w:hAnsi="Times New Roman" w:cs="Times New Roman"/>
                <w:lang w:val="fr-FR"/>
              </w:rPr>
              <w:t>d’action</w:t>
            </w:r>
            <w:r w:rsidRPr="00403C55">
              <w:rPr>
                <w:rFonts w:ascii="Times New Roman" w:hAnsi="Times New Roman" w:cs="Times New Roman"/>
                <w:lang w:val="fr-FR"/>
              </w:rPr>
              <w:t xml:space="preserve"> est de maintenir la population, au minimum, à son niveau de 2000 (soit 23 000 oiseaux) à long terme, dans le but de stopper le déclin en cours et, si nécessaire, d’amorcer un rétablissement de la population à son niveau de 2000.</w:t>
            </w:r>
          </w:p>
        </w:tc>
      </w:tr>
    </w:tbl>
    <w:p w14:paraId="26049F53" w14:textId="77777777" w:rsidR="009E71AE" w:rsidRPr="00403C55" w:rsidRDefault="009E71AE" w:rsidP="00C022CA">
      <w:pPr>
        <w:spacing w:after="0" w:line="240" w:lineRule="auto"/>
        <w:jc w:val="both"/>
        <w:rPr>
          <w:rFonts w:ascii="Times New Roman" w:hAnsi="Times New Roman" w:cs="Times New Roman"/>
          <w:lang w:val="fr-FR"/>
        </w:rPr>
      </w:pPr>
    </w:p>
    <w:p w14:paraId="2F99CA15" w14:textId="1BFB9CD8" w:rsidR="00C022CA" w:rsidRPr="00403C55" w:rsidRDefault="0083784F" w:rsidP="00C022C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groupe d’experts international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le Cygne de Bewick (BS IEG) a été </w:t>
      </w:r>
      <w:r w:rsidR="00F82903">
        <w:rPr>
          <w:rFonts w:ascii="Times New Roman" w:hAnsi="Times New Roman" w:cs="Times New Roman"/>
          <w:lang w:val="fr-FR"/>
        </w:rPr>
        <w:t>mis en place</w:t>
      </w:r>
      <w:r w:rsidRPr="00403C55">
        <w:rPr>
          <w:rFonts w:ascii="Times New Roman" w:hAnsi="Times New Roman" w:cs="Times New Roman"/>
          <w:lang w:val="fr-FR"/>
        </w:rPr>
        <w:t xml:space="preserve"> par le Wildfowl &amp; Wetlands Trust (WWT) en 2014, et le WWT a également fourni un coordinateur pour </w:t>
      </w:r>
      <w:r w:rsidR="008C4973" w:rsidRPr="00403C55">
        <w:rPr>
          <w:rFonts w:ascii="Times New Roman" w:hAnsi="Times New Roman" w:cs="Times New Roman"/>
          <w:lang w:val="fr-FR"/>
        </w:rPr>
        <w:t>ce groupe</w:t>
      </w:r>
      <w:r w:rsidRPr="00403C55">
        <w:rPr>
          <w:rFonts w:ascii="Times New Roman" w:hAnsi="Times New Roman" w:cs="Times New Roman"/>
          <w:lang w:val="fr-FR"/>
        </w:rPr>
        <w:t>.</w:t>
      </w:r>
      <w:r w:rsidR="00C022CA" w:rsidRPr="00403C55">
        <w:rPr>
          <w:rFonts w:ascii="Times New Roman" w:hAnsi="Times New Roman" w:cs="Times New Roman"/>
          <w:lang w:val="fr-FR"/>
        </w:rPr>
        <w:t xml:space="preserve"> </w:t>
      </w:r>
    </w:p>
    <w:p w14:paraId="177CD055" w14:textId="77777777" w:rsidR="00C022CA" w:rsidRPr="00403C55" w:rsidRDefault="00C022CA" w:rsidP="00C022CA">
      <w:pPr>
        <w:spacing w:after="0" w:line="240" w:lineRule="auto"/>
        <w:jc w:val="both"/>
        <w:rPr>
          <w:rFonts w:ascii="Times New Roman" w:hAnsi="Times New Roman" w:cs="Times New Roman"/>
          <w:lang w:val="fr-FR"/>
        </w:rPr>
      </w:pPr>
    </w:p>
    <w:p w14:paraId="69324D1B" w14:textId="77777777" w:rsidR="006166F5" w:rsidRDefault="006166F5" w:rsidP="00C022CA">
      <w:pPr>
        <w:shd w:val="clear" w:color="auto" w:fill="DBE5F1" w:themeFill="accent1" w:themeFillTint="33"/>
        <w:spacing w:after="0" w:line="240" w:lineRule="auto"/>
        <w:jc w:val="both"/>
        <w:rPr>
          <w:rFonts w:ascii="Times New Roman" w:hAnsi="Times New Roman" w:cs="Times New Roman"/>
          <w:i/>
          <w:lang w:val="fr-FR"/>
        </w:rPr>
      </w:pPr>
    </w:p>
    <w:p w14:paraId="2A50FE42" w14:textId="193BC68C" w:rsidR="00C022CA" w:rsidRPr="00403C55" w:rsidRDefault="00C022CA" w:rsidP="00C022CA">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2. </w:t>
      </w:r>
      <w:r w:rsidR="008C4973" w:rsidRPr="00403C55">
        <w:rPr>
          <w:rFonts w:ascii="Times New Roman" w:hAnsi="Times New Roman" w:cs="Times New Roman"/>
          <w:i/>
          <w:lang w:val="fr-FR"/>
        </w:rPr>
        <w:t>Taux de réponse</w:t>
      </w:r>
    </w:p>
    <w:p w14:paraId="0036F85B" w14:textId="77777777" w:rsidR="00C022CA" w:rsidRPr="00403C55" w:rsidRDefault="00C022CA" w:rsidP="00C022CA">
      <w:pPr>
        <w:spacing w:after="0" w:line="240" w:lineRule="auto"/>
        <w:jc w:val="both"/>
        <w:rPr>
          <w:rFonts w:ascii="Times New Roman" w:hAnsi="Times New Roman" w:cs="Times New Roman"/>
          <w:i/>
          <w:lang w:val="fr-FR"/>
        </w:rPr>
      </w:pPr>
    </w:p>
    <w:p w14:paraId="57E26E62" w14:textId="3F8D5E87" w:rsidR="00C022CA" w:rsidRPr="00403C55" w:rsidRDefault="008C4973" w:rsidP="00C022C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Un nombre total de 10 des 15 principaux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identifiés dans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ont répondu au questionnaire (67 % de taux de réponse).</w:t>
      </w:r>
      <w:r w:rsidR="00C022CA" w:rsidRPr="00403C55">
        <w:rPr>
          <w:rFonts w:ascii="Times New Roman" w:hAnsi="Times New Roman" w:cs="Times New Roman"/>
          <w:lang w:val="fr-FR"/>
        </w:rPr>
        <w:t xml:space="preserve"> </w:t>
      </w:r>
      <w:r w:rsidRPr="00403C55">
        <w:rPr>
          <w:rFonts w:ascii="Times New Roman" w:hAnsi="Times New Roman" w:cs="Times New Roman"/>
          <w:lang w:val="fr-FR"/>
        </w:rPr>
        <w:t xml:space="preserve">Bien que figurant </w:t>
      </w:r>
      <w:r w:rsidR="00B06CAE" w:rsidRPr="00403C55">
        <w:rPr>
          <w:rFonts w:ascii="Times New Roman" w:hAnsi="Times New Roman" w:cs="Times New Roman"/>
          <w:lang w:val="fr-FR"/>
        </w:rPr>
        <w:t xml:space="preserve">parmi </w:t>
      </w:r>
      <w:r w:rsidRPr="00403C55">
        <w:rPr>
          <w:rFonts w:ascii="Times New Roman" w:hAnsi="Times New Roman" w:cs="Times New Roman"/>
          <w:lang w:val="fr-FR"/>
        </w:rPr>
        <w:t>les État de l</w:t>
      </w:r>
      <w:r w:rsidR="006166F5">
        <w:rPr>
          <w:rFonts w:ascii="Times New Roman" w:hAnsi="Times New Roman" w:cs="Times New Roman"/>
          <w:lang w:val="fr-FR"/>
        </w:rPr>
        <w:t>’</w:t>
      </w:r>
      <w:r w:rsidRPr="00403C55">
        <w:rPr>
          <w:rFonts w:ascii="Times New Roman" w:hAnsi="Times New Roman" w:cs="Times New Roman"/>
          <w:lang w:val="fr-FR"/>
        </w:rPr>
        <w:t xml:space="preserve">aire de répartition cités (qui sont au nombre de 16 pays), la Norvège a indiqué que l’espèce n’était présente que très rarement dans le pays et n’a donc pas </w:t>
      </w:r>
      <w:r w:rsidR="00B06CAE" w:rsidRPr="00403C55">
        <w:rPr>
          <w:rFonts w:ascii="Times New Roman" w:hAnsi="Times New Roman" w:cs="Times New Roman"/>
          <w:lang w:val="fr-FR"/>
        </w:rPr>
        <w:t>répondu au</w:t>
      </w:r>
      <w:r w:rsidRPr="00403C55">
        <w:rPr>
          <w:rFonts w:ascii="Times New Roman" w:hAnsi="Times New Roman" w:cs="Times New Roman"/>
          <w:lang w:val="fr-FR"/>
        </w:rPr>
        <w:t xml:space="preserve"> questionnaire.</w:t>
      </w:r>
      <w:r w:rsidR="00C022CA" w:rsidRPr="00403C55">
        <w:rPr>
          <w:rFonts w:ascii="Times New Roman" w:hAnsi="Times New Roman" w:cs="Times New Roman"/>
          <w:lang w:val="fr-FR"/>
        </w:rPr>
        <w:t xml:space="preserve"> </w:t>
      </w:r>
      <w:r w:rsidRPr="00403C55">
        <w:rPr>
          <w:rFonts w:ascii="Times New Roman" w:hAnsi="Times New Roman" w:cs="Times New Roman"/>
          <w:lang w:val="fr-FR"/>
        </w:rPr>
        <w:t>Les autres pays n’ayant pas soumis de rapport sont inclus dans l’analyse ci-dessous et sont considérés comme n’ayant pas mis en œuvre les activités prévues.</w:t>
      </w:r>
      <w:r w:rsidR="00985A4E">
        <w:rPr>
          <w:rFonts w:ascii="Times New Roman" w:hAnsi="Times New Roman" w:cs="Times New Roman"/>
          <w:lang w:val="fr-FR"/>
        </w:rPr>
        <w:t xml:space="preserve"> </w:t>
      </w:r>
    </w:p>
    <w:p w14:paraId="24B18FB4" w14:textId="77777777" w:rsidR="00C022CA" w:rsidRPr="00403C55" w:rsidRDefault="00C022CA" w:rsidP="00C022CA">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3036"/>
        <w:gridCol w:w="1236"/>
        <w:gridCol w:w="3472"/>
        <w:gridCol w:w="1316"/>
      </w:tblGrid>
      <w:tr w:rsidR="00C022CA" w:rsidRPr="00403C55" w14:paraId="56670A08" w14:textId="77777777" w:rsidTr="00035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4AE2B60B" w14:textId="6114E56A" w:rsidR="00C022CA" w:rsidRPr="00403C55" w:rsidRDefault="008C4973" w:rsidP="003F50F9">
            <w:pPr>
              <w:jc w:val="both"/>
              <w:rPr>
                <w:rFonts w:ascii="Times New Roman" w:hAnsi="Times New Roman" w:cs="Times New Roman"/>
                <w:b w:val="0"/>
                <w:i/>
                <w:lang w:val="fr-FR"/>
              </w:rPr>
            </w:pPr>
            <w:r w:rsidRPr="00403C55">
              <w:rPr>
                <w:rFonts w:ascii="Times New Roman" w:hAnsi="Times New Roman" w:cs="Times New Roman"/>
                <w:b w:val="0"/>
                <w:i/>
                <w:lang w:val="fr-FR"/>
              </w:rPr>
              <w:t>Réponse reçue</w:t>
            </w:r>
          </w:p>
        </w:tc>
        <w:tc>
          <w:tcPr>
            <w:tcW w:w="1236" w:type="dxa"/>
          </w:tcPr>
          <w:p w14:paraId="766EB309" w14:textId="39E58143" w:rsidR="00C022CA"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PC AEWA</w:t>
            </w:r>
          </w:p>
        </w:tc>
        <w:tc>
          <w:tcPr>
            <w:tcW w:w="3472" w:type="dxa"/>
          </w:tcPr>
          <w:p w14:paraId="0FD767D1" w14:textId="7DD6C5EE" w:rsidR="00C022CA"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Pas de réponse à la date limite</w:t>
            </w:r>
          </w:p>
        </w:tc>
        <w:tc>
          <w:tcPr>
            <w:tcW w:w="1316" w:type="dxa"/>
          </w:tcPr>
          <w:p w14:paraId="55B68707" w14:textId="0C1386AA" w:rsidR="00C022CA"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PC AEWA</w:t>
            </w:r>
          </w:p>
        </w:tc>
      </w:tr>
      <w:tr w:rsidR="00C022CA" w:rsidRPr="00403C55" w14:paraId="71F560F3"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49F8C3BA" w14:textId="036E2CC1"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Belgique</w:t>
            </w:r>
          </w:p>
        </w:tc>
        <w:tc>
          <w:tcPr>
            <w:tcW w:w="1236" w:type="dxa"/>
          </w:tcPr>
          <w:p w14:paraId="677982D8" w14:textId="04684F8E"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3B9D953A" w14:textId="6B35C9BB"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Danemark</w:t>
            </w:r>
          </w:p>
        </w:tc>
        <w:tc>
          <w:tcPr>
            <w:tcW w:w="1316" w:type="dxa"/>
          </w:tcPr>
          <w:p w14:paraId="2772961B" w14:textId="68C237CA"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r>
      <w:tr w:rsidR="00C022CA" w:rsidRPr="00403C55" w14:paraId="3A08BF59"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6D952DA1" w14:textId="12066E1B"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Estonie</w:t>
            </w:r>
          </w:p>
        </w:tc>
        <w:tc>
          <w:tcPr>
            <w:tcW w:w="1236" w:type="dxa"/>
          </w:tcPr>
          <w:p w14:paraId="0F04744D" w14:textId="683EDB5B"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38EE565C" w14:textId="0D6F4C7B"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Grèce</w:t>
            </w:r>
          </w:p>
        </w:tc>
        <w:tc>
          <w:tcPr>
            <w:tcW w:w="1316" w:type="dxa"/>
          </w:tcPr>
          <w:p w14:paraId="2A73DD97" w14:textId="01FDE4C6"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r>
      <w:tr w:rsidR="00C022CA" w:rsidRPr="00403C55" w14:paraId="43471A1C"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7CA19CD5" w14:textId="628EB6B5"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France</w:t>
            </w:r>
          </w:p>
        </w:tc>
        <w:tc>
          <w:tcPr>
            <w:tcW w:w="1236" w:type="dxa"/>
          </w:tcPr>
          <w:p w14:paraId="5F0A9FF9" w14:textId="71CDC987"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35A7F264" w14:textId="21252231"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Russie</w:t>
            </w:r>
          </w:p>
        </w:tc>
        <w:tc>
          <w:tcPr>
            <w:tcW w:w="1316" w:type="dxa"/>
          </w:tcPr>
          <w:p w14:paraId="070AC57E" w14:textId="3B768D1E"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r>
      <w:tr w:rsidR="00C022CA" w:rsidRPr="00403C55" w14:paraId="551B0769"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19C18BE0" w14:textId="6C5215BA"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Irlande</w:t>
            </w:r>
          </w:p>
        </w:tc>
        <w:tc>
          <w:tcPr>
            <w:tcW w:w="1236" w:type="dxa"/>
          </w:tcPr>
          <w:p w14:paraId="311FD2D6" w14:textId="59001579"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2CE83A01" w14:textId="2031A3B3"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1316" w:type="dxa"/>
          </w:tcPr>
          <w:p w14:paraId="6405FF2B" w14:textId="636E7955"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r w:rsidR="00C022CA" w:rsidRPr="00403C55" w14:paraId="25A26818"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08F82B7A" w14:textId="29E1340D"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Lettonie</w:t>
            </w:r>
          </w:p>
        </w:tc>
        <w:tc>
          <w:tcPr>
            <w:tcW w:w="1236" w:type="dxa"/>
          </w:tcPr>
          <w:p w14:paraId="33A8A31D" w14:textId="105434C4"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6786676D" w14:textId="60E64191" w:rsidR="00C022CA" w:rsidRPr="00403C5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16" w:type="dxa"/>
          </w:tcPr>
          <w:p w14:paraId="2A3A9CE9" w14:textId="2B61C599" w:rsidR="00C022CA" w:rsidRPr="00403C5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r>
      <w:tr w:rsidR="00C022CA" w:rsidRPr="00403C55" w14:paraId="42E3E248"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62802534" w14:textId="03CC9E29"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Lituanie</w:t>
            </w:r>
          </w:p>
        </w:tc>
        <w:tc>
          <w:tcPr>
            <w:tcW w:w="1236" w:type="dxa"/>
          </w:tcPr>
          <w:p w14:paraId="6920167A" w14:textId="2854F696"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0F0B3751" w14:textId="77777777"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1316" w:type="dxa"/>
          </w:tcPr>
          <w:p w14:paraId="3C55CE9B" w14:textId="77777777"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r w:rsidR="00C022CA" w:rsidRPr="00403C55" w14:paraId="44323102"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3B6CB30E" w14:textId="21365586"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Pays-Bas</w:t>
            </w:r>
          </w:p>
        </w:tc>
        <w:tc>
          <w:tcPr>
            <w:tcW w:w="1236" w:type="dxa"/>
          </w:tcPr>
          <w:p w14:paraId="541E0430" w14:textId="6F5FF1D7"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1E93990E" w14:textId="77777777" w:rsidR="00C022CA" w:rsidRPr="00403C5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16" w:type="dxa"/>
          </w:tcPr>
          <w:p w14:paraId="1F636BFB" w14:textId="77777777" w:rsidR="00C022CA" w:rsidRPr="00403C5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r>
      <w:tr w:rsidR="00C022CA" w:rsidRPr="00403C55" w14:paraId="6F244FF6"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684DB77B" w14:textId="4276EEBA"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Pologne</w:t>
            </w:r>
          </w:p>
        </w:tc>
        <w:tc>
          <w:tcPr>
            <w:tcW w:w="1236" w:type="dxa"/>
          </w:tcPr>
          <w:p w14:paraId="0884E804" w14:textId="15EA247F"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Non</w:t>
            </w:r>
          </w:p>
        </w:tc>
        <w:tc>
          <w:tcPr>
            <w:tcW w:w="3472" w:type="dxa"/>
          </w:tcPr>
          <w:p w14:paraId="6DC59E5E" w14:textId="77777777"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1316" w:type="dxa"/>
          </w:tcPr>
          <w:p w14:paraId="51596FD6" w14:textId="77777777"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r w:rsidR="00C022CA" w:rsidRPr="00403C55" w14:paraId="5A710392"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616A93A5" w14:textId="1B80CD0F"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Suède</w:t>
            </w:r>
          </w:p>
        </w:tc>
        <w:tc>
          <w:tcPr>
            <w:tcW w:w="1236" w:type="dxa"/>
          </w:tcPr>
          <w:p w14:paraId="50AF075E" w14:textId="4D0F31B9" w:rsidR="00C022CA"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65BA8699" w14:textId="77777777" w:rsidR="00C022CA" w:rsidRPr="00403C5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16" w:type="dxa"/>
          </w:tcPr>
          <w:p w14:paraId="3FCA9989" w14:textId="77777777" w:rsidR="00C022CA" w:rsidRPr="00403C5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r>
      <w:tr w:rsidR="00C022CA" w:rsidRPr="00403C55" w14:paraId="6EF08D17"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342E0A3E" w14:textId="4503662E" w:rsidR="00C022CA"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R-U</w:t>
            </w:r>
          </w:p>
        </w:tc>
        <w:tc>
          <w:tcPr>
            <w:tcW w:w="1236" w:type="dxa"/>
          </w:tcPr>
          <w:p w14:paraId="654BB833" w14:textId="2A13BF10" w:rsidR="00C022CA"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sz w:val="20"/>
                <w:szCs w:val="20"/>
                <w:lang w:val="fr-FR"/>
              </w:rPr>
              <w:t>Oui</w:t>
            </w:r>
          </w:p>
        </w:tc>
        <w:tc>
          <w:tcPr>
            <w:tcW w:w="3472" w:type="dxa"/>
          </w:tcPr>
          <w:p w14:paraId="24E667E7" w14:textId="77777777"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1316" w:type="dxa"/>
          </w:tcPr>
          <w:p w14:paraId="362CC78F" w14:textId="77777777" w:rsidR="00C022CA" w:rsidRPr="00403C5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bl>
    <w:p w14:paraId="0B762F9A" w14:textId="77777777" w:rsidR="00C022CA" w:rsidRPr="00403C55" w:rsidRDefault="00C022CA" w:rsidP="00C022CA">
      <w:pPr>
        <w:spacing w:after="0" w:line="240" w:lineRule="auto"/>
        <w:jc w:val="both"/>
        <w:rPr>
          <w:rFonts w:ascii="Times New Roman" w:hAnsi="Times New Roman" w:cs="Times New Roman"/>
          <w:i/>
          <w:lang w:val="fr-FR"/>
        </w:rPr>
      </w:pPr>
    </w:p>
    <w:p w14:paraId="7C6E4059" w14:textId="4E323902" w:rsidR="00C022CA" w:rsidRPr="00403C55" w:rsidRDefault="008C4973" w:rsidP="00C022CA">
      <w:pPr>
        <w:spacing w:after="0" w:line="240" w:lineRule="auto"/>
        <w:jc w:val="both"/>
        <w:rPr>
          <w:rFonts w:ascii="Times New Roman" w:hAnsi="Times New Roman" w:cs="Times New Roman"/>
          <w:lang w:val="fr-FR"/>
        </w:rPr>
      </w:pPr>
      <w:r w:rsidRPr="00403C55">
        <w:rPr>
          <w:rFonts w:ascii="Times New Roman" w:hAnsi="Times New Roman" w:cs="Times New Roman"/>
          <w:lang w:val="fr-FR"/>
        </w:rPr>
        <w:t>En outre, les informations de l’Allemagne et de la Finlande n’ont malheureusement pas été fournies dans le format requis et n’ont donc pas pu être prises en considération.</w:t>
      </w:r>
      <w:r w:rsidR="00F106E2" w:rsidRPr="00403C55">
        <w:rPr>
          <w:rFonts w:ascii="Times New Roman" w:hAnsi="Times New Roman" w:cs="Times New Roman"/>
          <w:lang w:val="fr-FR"/>
        </w:rPr>
        <w:t xml:space="preserve"> </w:t>
      </w:r>
    </w:p>
    <w:p w14:paraId="7671BCB7" w14:textId="77777777" w:rsidR="00C022CA" w:rsidRPr="00403C55" w:rsidRDefault="00C022CA" w:rsidP="00C022CA">
      <w:pPr>
        <w:spacing w:after="0" w:line="240" w:lineRule="auto"/>
        <w:jc w:val="both"/>
        <w:rPr>
          <w:rFonts w:ascii="Times New Roman" w:hAnsi="Times New Roman" w:cs="Times New Roman"/>
          <w:lang w:val="fr-FR"/>
        </w:rPr>
      </w:pPr>
    </w:p>
    <w:p w14:paraId="19338998" w14:textId="77777777" w:rsidR="006166F5" w:rsidRDefault="006166F5" w:rsidP="00C022CA">
      <w:pPr>
        <w:shd w:val="clear" w:color="auto" w:fill="DBE5F1" w:themeFill="accent1" w:themeFillTint="33"/>
        <w:spacing w:after="0" w:line="240" w:lineRule="auto"/>
        <w:jc w:val="both"/>
        <w:rPr>
          <w:rFonts w:ascii="Times New Roman" w:hAnsi="Times New Roman" w:cs="Times New Roman"/>
          <w:i/>
          <w:lang w:val="fr-FR"/>
        </w:rPr>
      </w:pPr>
    </w:p>
    <w:p w14:paraId="500CD58D" w14:textId="63AF343C" w:rsidR="00C022CA" w:rsidRPr="00403C55" w:rsidRDefault="00C022CA" w:rsidP="00C022CA">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3. </w:t>
      </w:r>
      <w:r w:rsidR="008C4973" w:rsidRPr="00403C55">
        <w:rPr>
          <w:rFonts w:ascii="Times New Roman" w:hAnsi="Times New Roman" w:cs="Times New Roman"/>
          <w:i/>
          <w:lang w:val="fr-FR"/>
        </w:rPr>
        <w:t>Tendances et estimation de l’espèce</w:t>
      </w:r>
    </w:p>
    <w:p w14:paraId="17695B51" w14:textId="77777777" w:rsidR="00C022CA" w:rsidRPr="00403C55" w:rsidRDefault="00C022CA" w:rsidP="00C022CA">
      <w:pPr>
        <w:spacing w:after="0" w:line="240" w:lineRule="auto"/>
        <w:jc w:val="both"/>
        <w:rPr>
          <w:rFonts w:ascii="Times New Roman" w:hAnsi="Times New Roman" w:cs="Times New Roman"/>
          <w:lang w:val="fr-FR"/>
        </w:rPr>
      </w:pPr>
    </w:p>
    <w:p w14:paraId="35ABE721" w14:textId="1A6AE875" w:rsidR="005D7986" w:rsidRPr="00403C55" w:rsidRDefault="008C4973" w:rsidP="005D7986">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Les estimations nationales de populations données par les pays </w:t>
      </w:r>
      <w:r w:rsidR="00B06CAE" w:rsidRPr="00403C55">
        <w:rPr>
          <w:rFonts w:ascii="Times New Roman" w:hAnsi="Times New Roman" w:cs="Times New Roman"/>
          <w:lang w:val="fr-FR"/>
        </w:rPr>
        <w:t>indépendamment les uns des autres</w:t>
      </w:r>
      <w:r w:rsidRPr="00403C55">
        <w:rPr>
          <w:rFonts w:ascii="Times New Roman" w:hAnsi="Times New Roman" w:cs="Times New Roman"/>
          <w:lang w:val="fr-FR"/>
        </w:rPr>
        <w:t xml:space="preserve"> sont présentées dans le tableau ci-dessous.</w:t>
      </w:r>
    </w:p>
    <w:p w14:paraId="1ECEA5BF" w14:textId="77777777" w:rsidR="005D7986" w:rsidRPr="00403C55" w:rsidRDefault="005D7986" w:rsidP="005D7986">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1552"/>
        <w:gridCol w:w="1409"/>
        <w:gridCol w:w="1350"/>
        <w:gridCol w:w="1850"/>
        <w:gridCol w:w="1363"/>
        <w:gridCol w:w="1536"/>
      </w:tblGrid>
      <w:tr w:rsidR="00B06CAE" w:rsidRPr="00403C55" w14:paraId="3947BDE7" w14:textId="77777777" w:rsidTr="00A01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78B9522C" w14:textId="37E5664D" w:rsidR="005D7986" w:rsidRPr="00403C55" w:rsidRDefault="008C4973" w:rsidP="003F50F9">
            <w:pPr>
              <w:jc w:val="both"/>
              <w:rPr>
                <w:rFonts w:ascii="Times New Roman" w:hAnsi="Times New Roman" w:cs="Times New Roman"/>
                <w:b w:val="0"/>
                <w:i/>
                <w:lang w:val="fr-FR"/>
              </w:rPr>
            </w:pPr>
            <w:r w:rsidRPr="00403C55">
              <w:rPr>
                <w:rFonts w:ascii="Times New Roman" w:hAnsi="Times New Roman" w:cs="Times New Roman"/>
                <w:b w:val="0"/>
                <w:i/>
                <w:lang w:val="fr-FR"/>
              </w:rPr>
              <w:lastRenderedPageBreak/>
              <w:t>État de l'aire de répartition</w:t>
            </w:r>
          </w:p>
        </w:tc>
        <w:tc>
          <w:tcPr>
            <w:tcW w:w="1461" w:type="dxa"/>
          </w:tcPr>
          <w:p w14:paraId="78924E41" w14:textId="69DD58FA" w:rsidR="005D7986"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 xml:space="preserve">Total estimation minimale </w:t>
            </w:r>
          </w:p>
        </w:tc>
        <w:tc>
          <w:tcPr>
            <w:tcW w:w="1391" w:type="dxa"/>
          </w:tcPr>
          <w:p w14:paraId="1FD0FF96" w14:textId="2AA18D55" w:rsidR="005D7986"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Total estimation maximale</w:t>
            </w:r>
            <w:r w:rsidR="00EE766F">
              <w:rPr>
                <w:rFonts w:ascii="Times New Roman" w:hAnsi="Times New Roman" w:cs="Times New Roman"/>
                <w:b w:val="0"/>
                <w:i/>
                <w:lang w:val="fr-FR"/>
              </w:rPr>
              <w:t xml:space="preserve"> </w:t>
            </w:r>
          </w:p>
        </w:tc>
        <w:tc>
          <w:tcPr>
            <w:tcW w:w="1561" w:type="dxa"/>
          </w:tcPr>
          <w:p w14:paraId="2FE9ED98" w14:textId="1C5A473C" w:rsidR="005D7986"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Unité</w:t>
            </w:r>
          </w:p>
        </w:tc>
        <w:tc>
          <w:tcPr>
            <w:tcW w:w="1418" w:type="dxa"/>
          </w:tcPr>
          <w:p w14:paraId="3C4C9A5D" w14:textId="1017B23D" w:rsidR="005D7986"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Année</w:t>
            </w:r>
          </w:p>
        </w:tc>
        <w:tc>
          <w:tcPr>
            <w:tcW w:w="1605" w:type="dxa"/>
          </w:tcPr>
          <w:p w14:paraId="61CAB9D3" w14:textId="1F42590B" w:rsidR="005D7986" w:rsidRPr="00403C55" w:rsidRDefault="008C4973" w:rsidP="003F50F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403C55">
              <w:rPr>
                <w:rFonts w:ascii="Times New Roman" w:hAnsi="Times New Roman" w:cs="Times New Roman"/>
                <w:b w:val="0"/>
                <w:i/>
                <w:lang w:val="fr-FR"/>
              </w:rPr>
              <w:t>Valeur de référence population</w:t>
            </w:r>
          </w:p>
        </w:tc>
      </w:tr>
      <w:tr w:rsidR="00B06CAE" w:rsidRPr="00403C55" w14:paraId="5F689DC2"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104D1020" w14:textId="01F00040"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Belgique</w:t>
            </w:r>
          </w:p>
        </w:tc>
        <w:tc>
          <w:tcPr>
            <w:tcW w:w="1461" w:type="dxa"/>
            <w:vAlign w:val="bottom"/>
          </w:tcPr>
          <w:p w14:paraId="777060DB"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390</w:t>
            </w:r>
          </w:p>
        </w:tc>
        <w:tc>
          <w:tcPr>
            <w:tcW w:w="1391" w:type="dxa"/>
            <w:vAlign w:val="bottom"/>
          </w:tcPr>
          <w:p w14:paraId="2D40AB78"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954</w:t>
            </w:r>
          </w:p>
        </w:tc>
        <w:tc>
          <w:tcPr>
            <w:tcW w:w="1561" w:type="dxa"/>
            <w:vAlign w:val="bottom"/>
          </w:tcPr>
          <w:p w14:paraId="24FEE274" w14:textId="74746CD9"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61423708" w14:textId="32A59196"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44462544"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2008-2012</w:t>
            </w:r>
          </w:p>
        </w:tc>
        <w:tc>
          <w:tcPr>
            <w:tcW w:w="1605" w:type="dxa"/>
            <w:vAlign w:val="bottom"/>
          </w:tcPr>
          <w:p w14:paraId="5210891A"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r>
      <w:tr w:rsidR="00B06CAE" w:rsidRPr="00403C55" w14:paraId="4E25C198"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4B790A38" w14:textId="652243A9"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Estonie</w:t>
            </w:r>
          </w:p>
        </w:tc>
        <w:tc>
          <w:tcPr>
            <w:tcW w:w="1461" w:type="dxa"/>
            <w:vAlign w:val="bottom"/>
          </w:tcPr>
          <w:p w14:paraId="7D89F203" w14:textId="0EE2F77C"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391" w:type="dxa"/>
            <w:vAlign w:val="bottom"/>
          </w:tcPr>
          <w:p w14:paraId="30165DF8" w14:textId="343D0F9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17</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561" w:type="dxa"/>
            <w:vAlign w:val="bottom"/>
          </w:tcPr>
          <w:p w14:paraId="651FB6C1" w14:textId="5580C6A1"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0CB2E4C8" w14:textId="63216DDC"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(passage)</w:t>
            </w:r>
          </w:p>
        </w:tc>
        <w:tc>
          <w:tcPr>
            <w:tcW w:w="1418" w:type="dxa"/>
            <w:vAlign w:val="bottom"/>
          </w:tcPr>
          <w:p w14:paraId="45FF77E4"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2010-2014</w:t>
            </w:r>
          </w:p>
        </w:tc>
        <w:tc>
          <w:tcPr>
            <w:tcW w:w="1605" w:type="dxa"/>
            <w:vAlign w:val="bottom"/>
          </w:tcPr>
          <w:p w14:paraId="74A7383F" w14:textId="653773C1"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74DF648C"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1980D60A"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7E9FEDBC"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p>
        </w:tc>
        <w:tc>
          <w:tcPr>
            <w:tcW w:w="1391" w:type="dxa"/>
            <w:vAlign w:val="bottom"/>
          </w:tcPr>
          <w:p w14:paraId="587036AA"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30</w:t>
            </w:r>
          </w:p>
        </w:tc>
        <w:tc>
          <w:tcPr>
            <w:tcW w:w="1561" w:type="dxa"/>
            <w:vAlign w:val="bottom"/>
          </w:tcPr>
          <w:p w14:paraId="63EDEADA" w14:textId="1DDD08E5"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395797E5" w14:textId="0F296F17"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706AF8D7"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2001-2012</w:t>
            </w:r>
          </w:p>
        </w:tc>
        <w:tc>
          <w:tcPr>
            <w:tcW w:w="1605" w:type="dxa"/>
            <w:vAlign w:val="bottom"/>
          </w:tcPr>
          <w:p w14:paraId="52D94957"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10-50 (1991-2002)</w:t>
            </w:r>
          </w:p>
        </w:tc>
      </w:tr>
      <w:tr w:rsidR="00B06CAE" w:rsidRPr="00403C55" w14:paraId="6A9ECB06" w14:textId="77777777" w:rsidTr="00A01A49">
        <w:tc>
          <w:tcPr>
            <w:cnfStyle w:val="001000000000" w:firstRow="0" w:lastRow="0" w:firstColumn="1" w:lastColumn="0" w:oddVBand="0" w:evenVBand="0" w:oddHBand="0" w:evenHBand="0" w:firstRowFirstColumn="0" w:firstRowLastColumn="0" w:lastRowFirstColumn="0" w:lastRowLastColumn="0"/>
            <w:tcW w:w="1624" w:type="dxa"/>
          </w:tcPr>
          <w:p w14:paraId="392135D0" w14:textId="255F50EA"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France</w:t>
            </w:r>
          </w:p>
        </w:tc>
        <w:tc>
          <w:tcPr>
            <w:tcW w:w="7436" w:type="dxa"/>
            <w:gridSpan w:val="5"/>
          </w:tcPr>
          <w:p w14:paraId="4A1A3637" w14:textId="7BA2063F"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sz w:val="20"/>
                <w:szCs w:val="20"/>
                <w:lang w:val="fr-FR"/>
              </w:rPr>
              <w:t>Pas d’information claire fournie</w:t>
            </w:r>
          </w:p>
        </w:tc>
      </w:tr>
      <w:tr w:rsidR="00B06CAE" w:rsidRPr="00403C55" w14:paraId="77F85647"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68DF865C" w14:textId="6FE19B46"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Irlande</w:t>
            </w:r>
          </w:p>
        </w:tc>
        <w:tc>
          <w:tcPr>
            <w:tcW w:w="1461" w:type="dxa"/>
          </w:tcPr>
          <w:p w14:paraId="623267D0"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91" w:type="dxa"/>
            <w:vAlign w:val="bottom"/>
          </w:tcPr>
          <w:p w14:paraId="42C58216"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&lt;20</w:t>
            </w:r>
          </w:p>
        </w:tc>
        <w:tc>
          <w:tcPr>
            <w:tcW w:w="1561" w:type="dxa"/>
            <w:vAlign w:val="bottom"/>
          </w:tcPr>
          <w:p w14:paraId="2E1C5292" w14:textId="7B62D94E"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0F9876F2" w14:textId="5ED43343"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6717D576"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2015</w:t>
            </w:r>
          </w:p>
        </w:tc>
        <w:tc>
          <w:tcPr>
            <w:tcW w:w="1605" w:type="dxa"/>
          </w:tcPr>
          <w:p w14:paraId="18650EE0"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r>
      <w:tr w:rsidR="00B06CAE" w:rsidRPr="00403C55" w14:paraId="169FD604"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0D12D6C2" w14:textId="03AAB372"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Lettonie</w:t>
            </w:r>
          </w:p>
        </w:tc>
        <w:tc>
          <w:tcPr>
            <w:tcW w:w="1461" w:type="dxa"/>
            <w:vAlign w:val="bottom"/>
          </w:tcPr>
          <w:p w14:paraId="26C598C9"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0</w:t>
            </w:r>
          </w:p>
        </w:tc>
        <w:tc>
          <w:tcPr>
            <w:tcW w:w="1391" w:type="dxa"/>
            <w:vAlign w:val="bottom"/>
          </w:tcPr>
          <w:p w14:paraId="0583155D"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0</w:t>
            </w:r>
          </w:p>
        </w:tc>
        <w:tc>
          <w:tcPr>
            <w:tcW w:w="1561" w:type="dxa"/>
            <w:vAlign w:val="bottom"/>
          </w:tcPr>
          <w:p w14:paraId="10D7490F" w14:textId="5708F68A"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Couples</w:t>
            </w:r>
          </w:p>
          <w:p w14:paraId="2E1A87BC" w14:textId="6F89E22F"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(reproduction)</w:t>
            </w:r>
          </w:p>
        </w:tc>
        <w:tc>
          <w:tcPr>
            <w:tcW w:w="1418" w:type="dxa"/>
            <w:vAlign w:val="bottom"/>
          </w:tcPr>
          <w:p w14:paraId="4AD6157B"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2014</w:t>
            </w:r>
          </w:p>
        </w:tc>
        <w:tc>
          <w:tcPr>
            <w:tcW w:w="1605" w:type="dxa"/>
          </w:tcPr>
          <w:p w14:paraId="1202F5E4"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r w:rsidR="00B06CAE" w:rsidRPr="00403C55" w14:paraId="541EB58C"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0CE2150C"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584E2CAC" w14:textId="020B4FC8"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500</w:t>
            </w:r>
          </w:p>
        </w:tc>
        <w:tc>
          <w:tcPr>
            <w:tcW w:w="1391" w:type="dxa"/>
            <w:vAlign w:val="bottom"/>
          </w:tcPr>
          <w:p w14:paraId="4A14AEFB" w14:textId="258BDF89"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4</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561" w:type="dxa"/>
            <w:vAlign w:val="bottom"/>
          </w:tcPr>
          <w:p w14:paraId="1689ADA0" w14:textId="67A24C06"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3AD68FD1" w14:textId="6193F544"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(passage)</w:t>
            </w:r>
          </w:p>
        </w:tc>
        <w:tc>
          <w:tcPr>
            <w:tcW w:w="1418" w:type="dxa"/>
            <w:vAlign w:val="bottom"/>
          </w:tcPr>
          <w:p w14:paraId="545823B6"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2014</w:t>
            </w:r>
          </w:p>
        </w:tc>
        <w:tc>
          <w:tcPr>
            <w:tcW w:w="1605" w:type="dxa"/>
          </w:tcPr>
          <w:p w14:paraId="545ECE57"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r>
      <w:tr w:rsidR="00B06CAE" w:rsidRPr="00403C55" w14:paraId="7DAE30E7"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tcPr>
          <w:p w14:paraId="3927A2D0"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409DCF11"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0</w:t>
            </w:r>
          </w:p>
        </w:tc>
        <w:tc>
          <w:tcPr>
            <w:tcW w:w="1391" w:type="dxa"/>
            <w:vAlign w:val="bottom"/>
          </w:tcPr>
          <w:p w14:paraId="011DA049"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50</w:t>
            </w:r>
          </w:p>
        </w:tc>
        <w:tc>
          <w:tcPr>
            <w:tcW w:w="1561" w:type="dxa"/>
            <w:vAlign w:val="bottom"/>
          </w:tcPr>
          <w:p w14:paraId="689AD394" w14:textId="055E5EC3"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16B3C46A" w14:textId="3755198A"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0982C7D0"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2014</w:t>
            </w:r>
          </w:p>
        </w:tc>
        <w:tc>
          <w:tcPr>
            <w:tcW w:w="1605" w:type="dxa"/>
          </w:tcPr>
          <w:p w14:paraId="79383DF7"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r w:rsidR="00B06CAE" w:rsidRPr="00403C55" w14:paraId="497B4EE3"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1E96F7A5" w14:textId="590F57E6"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Lituanie</w:t>
            </w:r>
          </w:p>
        </w:tc>
        <w:tc>
          <w:tcPr>
            <w:tcW w:w="7436" w:type="dxa"/>
            <w:gridSpan w:val="5"/>
          </w:tcPr>
          <w:p w14:paraId="20A733CF" w14:textId="2E89A2F9"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sz w:val="20"/>
                <w:szCs w:val="20"/>
                <w:lang w:val="fr-FR"/>
              </w:rPr>
              <w:t>Pas d’information fournie</w:t>
            </w:r>
          </w:p>
        </w:tc>
      </w:tr>
      <w:tr w:rsidR="00B06CAE" w:rsidRPr="00403C55" w14:paraId="785D6B12"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1A8E2745" w14:textId="6F18B8BE"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Pays-Bas</w:t>
            </w:r>
          </w:p>
        </w:tc>
        <w:tc>
          <w:tcPr>
            <w:tcW w:w="1461" w:type="dxa"/>
            <w:vAlign w:val="bottom"/>
          </w:tcPr>
          <w:p w14:paraId="5A853C82" w14:textId="07006A4D"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391" w:type="dxa"/>
            <w:vAlign w:val="bottom"/>
          </w:tcPr>
          <w:p w14:paraId="446F3B24"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11000</w:t>
            </w:r>
          </w:p>
        </w:tc>
        <w:tc>
          <w:tcPr>
            <w:tcW w:w="1561" w:type="dxa"/>
            <w:vAlign w:val="bottom"/>
          </w:tcPr>
          <w:p w14:paraId="7A3CADD7" w14:textId="5FFE969D"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04E6022D" w14:textId="1D8E8ECC"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06EE2F93" w14:textId="59E06274" w:rsidR="005D7986" w:rsidRPr="00403C55" w:rsidRDefault="008C4973" w:rsidP="00F82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2005/06</w:t>
            </w:r>
            <w:r w:rsidR="00F82903">
              <w:rPr>
                <w:rFonts w:ascii="Times New Roman" w:hAnsi="Times New Roman" w:cs="Times New Roman"/>
                <w:color w:val="000000"/>
                <w:sz w:val="20"/>
                <w:szCs w:val="20"/>
                <w:lang w:val="fr-FR"/>
              </w:rPr>
              <w:t xml:space="preserve"> à </w:t>
            </w:r>
            <w:r w:rsidRPr="00403C55">
              <w:rPr>
                <w:rFonts w:ascii="Times New Roman" w:hAnsi="Times New Roman" w:cs="Times New Roman"/>
                <w:color w:val="000000"/>
                <w:sz w:val="20"/>
                <w:szCs w:val="20"/>
                <w:lang w:val="fr-FR"/>
              </w:rPr>
              <w:t xml:space="preserve">2009/10 </w:t>
            </w:r>
            <w:r w:rsidR="00F82903">
              <w:rPr>
                <w:rFonts w:ascii="Times New Roman" w:hAnsi="Times New Roman" w:cs="Times New Roman"/>
                <w:color w:val="000000"/>
                <w:sz w:val="20"/>
                <w:szCs w:val="20"/>
                <w:lang w:val="fr-FR"/>
              </w:rPr>
              <w:t>moy.</w:t>
            </w:r>
          </w:p>
        </w:tc>
        <w:tc>
          <w:tcPr>
            <w:tcW w:w="1605" w:type="dxa"/>
            <w:vAlign w:val="bottom"/>
          </w:tcPr>
          <w:p w14:paraId="7AA3C8DB" w14:textId="63D8299E" w:rsidR="005D7986" w:rsidRPr="00403C55"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(1975); 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10605CC4"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32E198F0"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13B4EB5C"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91" w:type="dxa"/>
            <w:vAlign w:val="bottom"/>
          </w:tcPr>
          <w:p w14:paraId="1EB5D66E"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11000</w:t>
            </w:r>
          </w:p>
        </w:tc>
        <w:tc>
          <w:tcPr>
            <w:tcW w:w="1561" w:type="dxa"/>
            <w:vAlign w:val="bottom"/>
          </w:tcPr>
          <w:p w14:paraId="40F001AB" w14:textId="7E41E3D9"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527CD071" w14:textId="5F011572"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1955584B"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2008/2009</w:t>
            </w:r>
          </w:p>
        </w:tc>
        <w:tc>
          <w:tcPr>
            <w:tcW w:w="1605" w:type="dxa"/>
            <w:vAlign w:val="bottom"/>
          </w:tcPr>
          <w:p w14:paraId="7A28F588" w14:textId="79FCBCCE" w:rsidR="005D7986" w:rsidRPr="00403C55"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(1975); 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1F72B1A2"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tcPr>
          <w:p w14:paraId="5BD39681"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5F41C1C1"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1391" w:type="dxa"/>
            <w:vAlign w:val="bottom"/>
          </w:tcPr>
          <w:p w14:paraId="78B302B8" w14:textId="35FAB9C2"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9</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600</w:t>
            </w:r>
          </w:p>
        </w:tc>
        <w:tc>
          <w:tcPr>
            <w:tcW w:w="1561" w:type="dxa"/>
            <w:vAlign w:val="bottom"/>
          </w:tcPr>
          <w:p w14:paraId="067C457B" w14:textId="75B10072"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6882443E" w14:textId="00E7030D"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6880E014"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2009/2010</w:t>
            </w:r>
          </w:p>
        </w:tc>
        <w:tc>
          <w:tcPr>
            <w:tcW w:w="1605" w:type="dxa"/>
            <w:vAlign w:val="bottom"/>
          </w:tcPr>
          <w:p w14:paraId="33214C23" w14:textId="1F037401" w:rsidR="005D7986" w:rsidRPr="00403C55"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(1975); 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3EC2DF5B"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0E15624E"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656904A1"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91" w:type="dxa"/>
            <w:vAlign w:val="bottom"/>
          </w:tcPr>
          <w:p w14:paraId="08E37A78" w14:textId="6EB51145"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7</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100</w:t>
            </w:r>
          </w:p>
        </w:tc>
        <w:tc>
          <w:tcPr>
            <w:tcW w:w="1561" w:type="dxa"/>
            <w:vAlign w:val="bottom"/>
          </w:tcPr>
          <w:p w14:paraId="19DE093D" w14:textId="1886E307"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7615331D" w14:textId="2E4AC9A5"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2656C417"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2010/2011</w:t>
            </w:r>
          </w:p>
        </w:tc>
        <w:tc>
          <w:tcPr>
            <w:tcW w:w="1605" w:type="dxa"/>
            <w:vAlign w:val="bottom"/>
          </w:tcPr>
          <w:p w14:paraId="69AD7733" w14:textId="4A7066E1" w:rsidR="005D7986" w:rsidRPr="00403C55"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(1975); 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48499041"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tcPr>
          <w:p w14:paraId="54FF7B40"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6828343E"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1391" w:type="dxa"/>
            <w:vAlign w:val="bottom"/>
          </w:tcPr>
          <w:p w14:paraId="6969213D" w14:textId="336471C3"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7</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500</w:t>
            </w:r>
          </w:p>
        </w:tc>
        <w:tc>
          <w:tcPr>
            <w:tcW w:w="1561" w:type="dxa"/>
            <w:vAlign w:val="bottom"/>
          </w:tcPr>
          <w:p w14:paraId="012CFE86" w14:textId="0F981B29"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362D1A98" w14:textId="6FE65093"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7B6210BC"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2011/2012</w:t>
            </w:r>
          </w:p>
        </w:tc>
        <w:tc>
          <w:tcPr>
            <w:tcW w:w="1605" w:type="dxa"/>
            <w:vAlign w:val="bottom"/>
          </w:tcPr>
          <w:p w14:paraId="7C28E797" w14:textId="6CBCFB74" w:rsidR="005D7986" w:rsidRPr="00403C55"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(1975); 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48E0DE77"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492FE5F4"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4D95A166"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391" w:type="dxa"/>
            <w:vAlign w:val="bottom"/>
          </w:tcPr>
          <w:p w14:paraId="005DA525" w14:textId="2F6D1CAF"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561" w:type="dxa"/>
            <w:vAlign w:val="bottom"/>
          </w:tcPr>
          <w:p w14:paraId="23951CD0" w14:textId="3A881833"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2A7F1D06" w14:textId="52C80656"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69893FA7"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2012/2013</w:t>
            </w:r>
          </w:p>
        </w:tc>
        <w:tc>
          <w:tcPr>
            <w:tcW w:w="1605" w:type="dxa"/>
            <w:vAlign w:val="bottom"/>
          </w:tcPr>
          <w:p w14:paraId="515BC6A7" w14:textId="1DB3E484" w:rsidR="005D7986" w:rsidRPr="00403C55"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5</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(1975); 20</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 (1995)</w:t>
            </w:r>
          </w:p>
        </w:tc>
      </w:tr>
      <w:tr w:rsidR="00B06CAE" w:rsidRPr="00403C55" w14:paraId="578CAD56"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75C36759" w14:textId="6D597A9F"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Pologne</w:t>
            </w:r>
          </w:p>
        </w:tc>
        <w:tc>
          <w:tcPr>
            <w:tcW w:w="1461" w:type="dxa"/>
            <w:vAlign w:val="bottom"/>
          </w:tcPr>
          <w:p w14:paraId="6460C5A7" w14:textId="70B756DD"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200</w:t>
            </w:r>
          </w:p>
        </w:tc>
        <w:tc>
          <w:tcPr>
            <w:tcW w:w="1391" w:type="dxa"/>
            <w:vAlign w:val="bottom"/>
          </w:tcPr>
          <w:p w14:paraId="6F8B8F7A" w14:textId="07F22D0F"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561" w:type="dxa"/>
            <w:vAlign w:val="bottom"/>
          </w:tcPr>
          <w:p w14:paraId="580C262B" w14:textId="5F37467A"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65211A5B" w14:textId="607C5B50"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(passage/printemps)</w:t>
            </w:r>
          </w:p>
        </w:tc>
        <w:tc>
          <w:tcPr>
            <w:tcW w:w="1418" w:type="dxa"/>
            <w:vAlign w:val="bottom"/>
          </w:tcPr>
          <w:p w14:paraId="41FD13FD"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2010</w:t>
            </w:r>
          </w:p>
        </w:tc>
        <w:tc>
          <w:tcPr>
            <w:tcW w:w="1605" w:type="dxa"/>
            <w:vAlign w:val="bottom"/>
          </w:tcPr>
          <w:p w14:paraId="24F49F36" w14:textId="1C7D560B" w:rsidR="005D7986" w:rsidRPr="00403C55" w:rsidRDefault="008C4973" w:rsidP="003F50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e 400 (1975-79) ; 600-1300 (début 1980)</w:t>
            </w:r>
          </w:p>
        </w:tc>
      </w:tr>
      <w:tr w:rsidR="00B06CAE" w:rsidRPr="00403C55" w14:paraId="205E5315"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4AE2AA76" w14:textId="77777777" w:rsidR="005D7986" w:rsidRPr="00403C55" w:rsidRDefault="005D7986" w:rsidP="00A01A49">
            <w:pPr>
              <w:rPr>
                <w:rFonts w:ascii="Times New Roman" w:hAnsi="Times New Roman" w:cs="Times New Roman"/>
                <w:b w:val="0"/>
                <w:sz w:val="20"/>
                <w:szCs w:val="20"/>
                <w:lang w:val="fr-FR"/>
              </w:rPr>
            </w:pPr>
          </w:p>
        </w:tc>
        <w:tc>
          <w:tcPr>
            <w:tcW w:w="1461" w:type="dxa"/>
            <w:vAlign w:val="bottom"/>
          </w:tcPr>
          <w:p w14:paraId="74B2521F"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100</w:t>
            </w:r>
          </w:p>
        </w:tc>
        <w:tc>
          <w:tcPr>
            <w:tcW w:w="1391" w:type="dxa"/>
            <w:vAlign w:val="bottom"/>
          </w:tcPr>
          <w:p w14:paraId="7805669F"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w:t>
            </w:r>
          </w:p>
        </w:tc>
        <w:tc>
          <w:tcPr>
            <w:tcW w:w="1561" w:type="dxa"/>
            <w:vAlign w:val="bottom"/>
          </w:tcPr>
          <w:p w14:paraId="023EC93E" w14:textId="252943D3"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3DBAFD28" w14:textId="31AF6C15"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498EB2C3"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2011-2014</w:t>
            </w:r>
          </w:p>
        </w:tc>
        <w:tc>
          <w:tcPr>
            <w:tcW w:w="1605" w:type="dxa"/>
            <w:vAlign w:val="bottom"/>
          </w:tcPr>
          <w:p w14:paraId="026CBB69" w14:textId="77777777" w:rsidR="005D7986" w:rsidRPr="00403C55"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12-80 (1988-2005)</w:t>
            </w:r>
          </w:p>
        </w:tc>
      </w:tr>
      <w:tr w:rsidR="00B06CAE" w:rsidRPr="00403C55" w14:paraId="0181A0FA" w14:textId="77777777" w:rsidTr="00A01A49">
        <w:tc>
          <w:tcPr>
            <w:cnfStyle w:val="001000000000" w:firstRow="0" w:lastRow="0" w:firstColumn="1" w:lastColumn="0" w:oddVBand="0" w:evenVBand="0" w:oddHBand="0" w:evenHBand="0" w:firstRowFirstColumn="0" w:firstRowLastColumn="0" w:lastRowFirstColumn="0" w:lastRowLastColumn="0"/>
            <w:tcW w:w="1624" w:type="dxa"/>
          </w:tcPr>
          <w:p w14:paraId="5DA61F5A" w14:textId="64ED8E0E"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Suède</w:t>
            </w:r>
          </w:p>
        </w:tc>
        <w:tc>
          <w:tcPr>
            <w:tcW w:w="1461" w:type="dxa"/>
            <w:vAlign w:val="bottom"/>
          </w:tcPr>
          <w:p w14:paraId="490D9E8E" w14:textId="448C41E3"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1</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500</w:t>
            </w:r>
          </w:p>
        </w:tc>
        <w:tc>
          <w:tcPr>
            <w:tcW w:w="1391" w:type="dxa"/>
            <w:vAlign w:val="bottom"/>
          </w:tcPr>
          <w:p w14:paraId="2A8885C7" w14:textId="53C886FE"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3</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561" w:type="dxa"/>
            <w:vAlign w:val="bottom"/>
          </w:tcPr>
          <w:p w14:paraId="5280F51D" w14:textId="3BE186E1" w:rsidR="005D7986" w:rsidRPr="00403C55" w:rsidRDefault="008C4973"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384840DD" w14:textId="626E841E" w:rsidR="005D7986" w:rsidRPr="00403C55" w:rsidRDefault="008C4973" w:rsidP="003F50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(passage)</w:t>
            </w:r>
          </w:p>
        </w:tc>
        <w:tc>
          <w:tcPr>
            <w:tcW w:w="1418" w:type="dxa"/>
            <w:vAlign w:val="bottom"/>
          </w:tcPr>
          <w:p w14:paraId="46ED2445"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2012</w:t>
            </w:r>
          </w:p>
        </w:tc>
        <w:tc>
          <w:tcPr>
            <w:tcW w:w="1605" w:type="dxa"/>
            <w:vAlign w:val="bottom"/>
          </w:tcPr>
          <w:p w14:paraId="12953792" w14:textId="77777777" w:rsidR="005D7986" w:rsidRPr="00403C55"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r>
      <w:tr w:rsidR="00B06CAE" w:rsidRPr="00403C55" w14:paraId="042C8A06"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65094E7D" w14:textId="61F606DA" w:rsidR="005D7986" w:rsidRPr="00403C55" w:rsidRDefault="008C4973" w:rsidP="003F50F9">
            <w:pPr>
              <w:rPr>
                <w:rFonts w:ascii="Times New Roman" w:hAnsi="Times New Roman" w:cs="Times New Roman"/>
                <w:b w:val="0"/>
                <w:sz w:val="20"/>
                <w:szCs w:val="20"/>
                <w:lang w:val="fr-FR"/>
              </w:rPr>
            </w:pPr>
            <w:r w:rsidRPr="00403C55">
              <w:rPr>
                <w:rFonts w:ascii="Times New Roman" w:hAnsi="Times New Roman" w:cs="Times New Roman"/>
                <w:b w:val="0"/>
                <w:sz w:val="20"/>
                <w:szCs w:val="20"/>
                <w:lang w:val="fr-FR"/>
              </w:rPr>
              <w:t>R-U</w:t>
            </w:r>
          </w:p>
        </w:tc>
        <w:tc>
          <w:tcPr>
            <w:tcW w:w="1461" w:type="dxa"/>
            <w:vAlign w:val="bottom"/>
          </w:tcPr>
          <w:p w14:paraId="3115100B" w14:textId="59607A0F"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7</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391" w:type="dxa"/>
            <w:vAlign w:val="bottom"/>
          </w:tcPr>
          <w:p w14:paraId="101533E4" w14:textId="4EEF9CD5"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7</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000</w:t>
            </w:r>
          </w:p>
        </w:tc>
        <w:tc>
          <w:tcPr>
            <w:tcW w:w="1561" w:type="dxa"/>
            <w:vAlign w:val="bottom"/>
          </w:tcPr>
          <w:p w14:paraId="187466A8" w14:textId="47AE1B3D" w:rsidR="005D7986" w:rsidRPr="00403C55" w:rsidRDefault="008C4973"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fr-FR"/>
              </w:rPr>
            </w:pPr>
            <w:r w:rsidRPr="00403C55">
              <w:rPr>
                <w:rFonts w:ascii="Times New Roman" w:hAnsi="Times New Roman" w:cs="Times New Roman"/>
                <w:color w:val="000000"/>
                <w:sz w:val="20"/>
                <w:szCs w:val="20"/>
                <w:lang w:val="fr-FR"/>
              </w:rPr>
              <w:t>Individus</w:t>
            </w:r>
          </w:p>
          <w:p w14:paraId="4492F0AE" w14:textId="29C8488C" w:rsidR="005D7986" w:rsidRPr="00403C55" w:rsidRDefault="008C4973" w:rsidP="003F50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fr-FR"/>
              </w:rPr>
            </w:pPr>
            <w:r w:rsidRPr="00403C55">
              <w:rPr>
                <w:rFonts w:ascii="Times New Roman" w:hAnsi="Times New Roman" w:cs="Times New Roman"/>
                <w:i/>
                <w:color w:val="000000"/>
                <w:sz w:val="20"/>
                <w:szCs w:val="20"/>
                <w:lang w:val="fr-FR"/>
              </w:rPr>
              <w:t>(hivernage)</w:t>
            </w:r>
          </w:p>
        </w:tc>
        <w:tc>
          <w:tcPr>
            <w:tcW w:w="1418" w:type="dxa"/>
            <w:vAlign w:val="bottom"/>
          </w:tcPr>
          <w:p w14:paraId="54281F26" w14:textId="77777777"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2005</w:t>
            </w:r>
          </w:p>
        </w:tc>
        <w:tc>
          <w:tcPr>
            <w:tcW w:w="1605" w:type="dxa"/>
            <w:vAlign w:val="bottom"/>
          </w:tcPr>
          <w:p w14:paraId="223FC9C7" w14:textId="19527053" w:rsidR="005D7986" w:rsidRPr="00403C55"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403C55">
              <w:rPr>
                <w:rFonts w:ascii="Times New Roman" w:hAnsi="Times New Roman" w:cs="Times New Roman"/>
                <w:color w:val="000000"/>
                <w:sz w:val="20"/>
                <w:szCs w:val="20"/>
                <w:lang w:val="fr-FR"/>
              </w:rPr>
              <w:t>6</w:t>
            </w:r>
            <w:r w:rsidR="00985A4E">
              <w:rPr>
                <w:rFonts w:ascii="Times New Roman" w:hAnsi="Times New Roman" w:cs="Times New Roman"/>
                <w:color w:val="000000"/>
                <w:sz w:val="20"/>
                <w:szCs w:val="20"/>
                <w:lang w:val="fr-FR"/>
              </w:rPr>
              <w:t> </w:t>
            </w:r>
            <w:r w:rsidRPr="00403C55">
              <w:rPr>
                <w:rFonts w:ascii="Times New Roman" w:hAnsi="Times New Roman" w:cs="Times New Roman"/>
                <w:color w:val="000000"/>
                <w:sz w:val="20"/>
                <w:szCs w:val="20"/>
                <w:lang w:val="fr-FR"/>
              </w:rPr>
              <w:t>239 (1984)</w:t>
            </w:r>
          </w:p>
        </w:tc>
      </w:tr>
    </w:tbl>
    <w:p w14:paraId="3BB7BA88" w14:textId="77777777" w:rsidR="005D7986" w:rsidRPr="00403C55" w:rsidRDefault="005D7986" w:rsidP="005D7986">
      <w:pPr>
        <w:spacing w:after="0" w:line="240" w:lineRule="auto"/>
        <w:jc w:val="both"/>
        <w:rPr>
          <w:rFonts w:ascii="Times New Roman" w:hAnsi="Times New Roman" w:cs="Times New Roman"/>
          <w:lang w:val="fr-FR"/>
        </w:rPr>
      </w:pPr>
    </w:p>
    <w:p w14:paraId="714D9968" w14:textId="6736AED1" w:rsidR="005D7986" w:rsidRPr="00403C55" w:rsidRDefault="008C4973" w:rsidP="005D7986">
      <w:pPr>
        <w:spacing w:after="0" w:line="240" w:lineRule="auto"/>
        <w:jc w:val="both"/>
        <w:rPr>
          <w:rFonts w:ascii="Times New Roman" w:hAnsi="Times New Roman" w:cs="Times New Roman"/>
          <w:lang w:val="fr-FR"/>
        </w:rPr>
      </w:pPr>
      <w:r w:rsidRPr="00403C55">
        <w:rPr>
          <w:rFonts w:ascii="Times New Roman" w:hAnsi="Times New Roman" w:cs="Times New Roman"/>
          <w:lang w:val="fr-FR"/>
        </w:rPr>
        <w:t>Deux pays ont indiqué que la tendance nationale à court terme était décroissante (Pays-Bas, R-U), un qu’elle était stable (Estonie), un qu’elle était fluctuante (Pologne), un qu’elle était en augmentation (Lettonie) et cinq qu’elle était inconnue (Belgique, France, Irlande, Lituanie, Suède).</w:t>
      </w:r>
      <w:r w:rsidR="005D7986" w:rsidRPr="00403C55">
        <w:rPr>
          <w:rFonts w:ascii="Times New Roman" w:hAnsi="Times New Roman" w:cs="Times New Roman"/>
          <w:lang w:val="fr-FR"/>
        </w:rPr>
        <w:t xml:space="preserve"> </w:t>
      </w:r>
      <w:r w:rsidRPr="00403C55">
        <w:rPr>
          <w:rFonts w:ascii="Times New Roman" w:hAnsi="Times New Roman" w:cs="Times New Roman"/>
          <w:lang w:val="fr-FR"/>
        </w:rPr>
        <w:t>Il a été indiqué que la tendance à long terme était pour trois pays décroissante (Estonie, Irlande, R-U), pour un pays stable (Lettonie), pour deux pays en augmentation (Pays-Bas, Pologne) et pour quatre pays inconnue (Belgique, France, Lituanie, Suède).</w:t>
      </w:r>
    </w:p>
    <w:p w14:paraId="127BCFA5" w14:textId="77777777" w:rsidR="005D7986" w:rsidRPr="00403C55" w:rsidRDefault="005D7986" w:rsidP="005D7986">
      <w:pPr>
        <w:shd w:val="clear" w:color="auto" w:fill="FFFFFF" w:themeFill="background1"/>
        <w:spacing w:after="0" w:line="240" w:lineRule="auto"/>
        <w:jc w:val="both"/>
        <w:rPr>
          <w:rFonts w:ascii="Times New Roman" w:hAnsi="Times New Roman" w:cs="Times New Roman"/>
          <w:lang w:val="fr-FR"/>
        </w:rPr>
      </w:pPr>
    </w:p>
    <w:p w14:paraId="1C3B9ABC" w14:textId="77777777" w:rsidR="005D7986" w:rsidRPr="00403C55" w:rsidRDefault="005D7986" w:rsidP="00C022CA">
      <w:pPr>
        <w:spacing w:after="0" w:line="240" w:lineRule="auto"/>
        <w:jc w:val="both"/>
        <w:rPr>
          <w:rFonts w:ascii="Times New Roman" w:hAnsi="Times New Roman" w:cs="Times New Roman"/>
          <w:lang w:val="fr-FR"/>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65"/>
      </w:tblGrid>
      <w:tr w:rsidR="00DC281D" w:rsidRPr="00403C55" w14:paraId="5567CE42" w14:textId="77777777" w:rsidTr="005D7986">
        <w:trPr>
          <w:trHeight w:val="3974"/>
        </w:trPr>
        <w:tc>
          <w:tcPr>
            <w:tcW w:w="4956" w:type="dxa"/>
          </w:tcPr>
          <w:p w14:paraId="4EFDFF09" w14:textId="208D72D8" w:rsidR="00DC281D" w:rsidRPr="00403C55" w:rsidRDefault="00DC281D" w:rsidP="00C022CA">
            <w:pPr>
              <w:jc w:val="both"/>
              <w:rPr>
                <w:rFonts w:ascii="Times New Roman" w:hAnsi="Times New Roman" w:cs="Times New Roman"/>
                <w:lang w:val="fr-FR"/>
              </w:rPr>
            </w:pPr>
            <w:r w:rsidRPr="00403C55">
              <w:rPr>
                <w:noProof/>
              </w:rPr>
              <w:lastRenderedPageBreak/>
              <w:drawing>
                <wp:inline distT="0" distB="0" distL="0" distR="0" wp14:anchorId="6D7B7CC4" wp14:editId="2F12F329">
                  <wp:extent cx="2962275" cy="2400300"/>
                  <wp:effectExtent l="0" t="0" r="952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865" w:type="dxa"/>
          </w:tcPr>
          <w:p w14:paraId="012DCEEB" w14:textId="1FBF99BA" w:rsidR="00DC281D" w:rsidRPr="00403C55" w:rsidRDefault="00DC281D" w:rsidP="00C022CA">
            <w:pPr>
              <w:jc w:val="both"/>
              <w:rPr>
                <w:rFonts w:ascii="Times New Roman" w:hAnsi="Times New Roman" w:cs="Times New Roman"/>
                <w:lang w:val="fr-FR"/>
              </w:rPr>
            </w:pPr>
            <w:r w:rsidRPr="00403C55">
              <w:rPr>
                <w:noProof/>
              </w:rPr>
              <w:drawing>
                <wp:inline distT="0" distB="0" distL="0" distR="0" wp14:anchorId="14793BE8" wp14:editId="40060BA8">
                  <wp:extent cx="2895600" cy="2390775"/>
                  <wp:effectExtent l="0" t="0" r="1905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0D78705F" w14:textId="4EF94955" w:rsidR="005D7986" w:rsidRPr="00403C55" w:rsidRDefault="00A379E2" w:rsidP="00A379E2">
      <w:pPr>
        <w:shd w:val="clear" w:color="auto" w:fill="FFFFFF" w:themeFill="background1"/>
        <w:tabs>
          <w:tab w:val="left" w:pos="1418"/>
          <w:tab w:val="left" w:pos="4962"/>
          <w:tab w:val="left" w:pos="6804"/>
        </w:tabs>
        <w:spacing w:after="0" w:line="240" w:lineRule="auto"/>
        <w:jc w:val="both"/>
        <w:rPr>
          <w:rFonts w:ascii="Times New Roman" w:hAnsi="Times New Roman" w:cs="Times New Roman"/>
          <w:lang w:val="fr-FR"/>
        </w:rPr>
      </w:pPr>
      <w:r w:rsidRPr="00403C55">
        <w:rPr>
          <w:rFonts w:ascii="Times New Roman" w:hAnsi="Times New Roman" w:cs="Times New Roman"/>
          <w:lang w:val="fr-FR"/>
        </w:rPr>
        <w:t>décroissante</w:t>
      </w:r>
      <w:r w:rsidRPr="00403C55">
        <w:rPr>
          <w:rFonts w:ascii="Times New Roman" w:hAnsi="Times New Roman" w:cs="Times New Roman"/>
          <w:lang w:val="fr-FR"/>
        </w:rPr>
        <w:tab/>
        <w:t>stable</w:t>
      </w:r>
      <w:r w:rsidRPr="00403C55">
        <w:rPr>
          <w:rFonts w:ascii="Times New Roman" w:hAnsi="Times New Roman" w:cs="Times New Roman"/>
          <w:lang w:val="fr-FR"/>
        </w:rPr>
        <w:tab/>
        <w:t>décroissante</w:t>
      </w:r>
      <w:r w:rsidRPr="00403C55">
        <w:rPr>
          <w:rFonts w:ascii="Times New Roman" w:hAnsi="Times New Roman" w:cs="Times New Roman"/>
          <w:lang w:val="fr-FR"/>
        </w:rPr>
        <w:tab/>
        <w:t>stable</w:t>
      </w:r>
    </w:p>
    <w:p w14:paraId="6FA95A47" w14:textId="22590410" w:rsidR="00A379E2" w:rsidRPr="00403C55" w:rsidRDefault="00A379E2" w:rsidP="00A379E2">
      <w:pPr>
        <w:shd w:val="clear" w:color="auto" w:fill="FFFFFF" w:themeFill="background1"/>
        <w:tabs>
          <w:tab w:val="left" w:pos="1418"/>
          <w:tab w:val="left" w:pos="4962"/>
          <w:tab w:val="left" w:pos="6804"/>
        </w:tabs>
        <w:spacing w:after="0" w:line="240" w:lineRule="auto"/>
        <w:jc w:val="both"/>
        <w:rPr>
          <w:rFonts w:ascii="Times New Roman" w:hAnsi="Times New Roman" w:cs="Times New Roman"/>
          <w:lang w:val="fr-FR"/>
        </w:rPr>
      </w:pPr>
      <w:r w:rsidRPr="00403C55">
        <w:rPr>
          <w:rFonts w:ascii="Times New Roman" w:hAnsi="Times New Roman" w:cs="Times New Roman"/>
          <w:lang w:val="fr-FR"/>
        </w:rPr>
        <w:t>fluctuante</w:t>
      </w:r>
      <w:r w:rsidRPr="00403C55">
        <w:rPr>
          <w:rFonts w:ascii="Times New Roman" w:hAnsi="Times New Roman" w:cs="Times New Roman"/>
          <w:lang w:val="fr-FR"/>
        </w:rPr>
        <w:tab/>
        <w:t>en augmentation</w:t>
      </w:r>
      <w:r w:rsidRPr="00403C55">
        <w:rPr>
          <w:rFonts w:ascii="Times New Roman" w:hAnsi="Times New Roman" w:cs="Times New Roman"/>
          <w:lang w:val="fr-FR"/>
        </w:rPr>
        <w:tab/>
      </w:r>
      <w:r w:rsidR="006166F5">
        <w:rPr>
          <w:rFonts w:ascii="Times New Roman" w:hAnsi="Times New Roman" w:cs="Times New Roman"/>
          <w:lang w:val="fr-FR"/>
        </w:rPr>
        <w:t>en augmentation</w:t>
      </w:r>
      <w:r w:rsidRPr="00403C55">
        <w:rPr>
          <w:rFonts w:ascii="Times New Roman" w:hAnsi="Times New Roman" w:cs="Times New Roman"/>
          <w:lang w:val="fr-FR"/>
        </w:rPr>
        <w:tab/>
        <w:t>inconnue</w:t>
      </w:r>
    </w:p>
    <w:p w14:paraId="4C7F1F2A" w14:textId="32F99A20" w:rsidR="00A379E2" w:rsidRPr="00403C55" w:rsidRDefault="00A379E2" w:rsidP="00A379E2">
      <w:pPr>
        <w:shd w:val="clear" w:color="auto" w:fill="FFFFFF" w:themeFill="background1"/>
        <w:tabs>
          <w:tab w:val="left" w:pos="1418"/>
          <w:tab w:val="left" w:pos="4962"/>
          <w:tab w:val="left" w:pos="6804"/>
        </w:tabs>
        <w:spacing w:after="0" w:line="240" w:lineRule="auto"/>
        <w:jc w:val="both"/>
        <w:rPr>
          <w:rFonts w:ascii="Times New Roman" w:hAnsi="Times New Roman" w:cs="Times New Roman"/>
          <w:lang w:val="fr-FR"/>
        </w:rPr>
      </w:pPr>
      <w:r w:rsidRPr="00403C55">
        <w:rPr>
          <w:rFonts w:ascii="Times New Roman" w:hAnsi="Times New Roman" w:cs="Times New Roman"/>
          <w:lang w:val="fr-FR"/>
        </w:rPr>
        <w:t>inconnue</w:t>
      </w:r>
      <w:r w:rsidRPr="00403C55">
        <w:rPr>
          <w:rFonts w:ascii="Times New Roman" w:hAnsi="Times New Roman" w:cs="Times New Roman"/>
          <w:lang w:val="fr-FR"/>
        </w:rPr>
        <w:tab/>
        <w:t>pas d’information fournie</w:t>
      </w:r>
      <w:r w:rsidRPr="00403C55">
        <w:rPr>
          <w:rFonts w:ascii="Times New Roman" w:hAnsi="Times New Roman" w:cs="Times New Roman"/>
          <w:lang w:val="fr-FR"/>
        </w:rPr>
        <w:tab/>
        <w:t>pas d’information fournie</w:t>
      </w:r>
    </w:p>
    <w:p w14:paraId="09F72DC3" w14:textId="77777777" w:rsidR="00A379E2" w:rsidRPr="00403C55" w:rsidRDefault="00A379E2" w:rsidP="005D7986">
      <w:pPr>
        <w:shd w:val="clear" w:color="auto" w:fill="FFFFFF" w:themeFill="background1"/>
        <w:spacing w:after="0" w:line="240" w:lineRule="auto"/>
        <w:jc w:val="both"/>
        <w:rPr>
          <w:rFonts w:ascii="Times New Roman" w:hAnsi="Times New Roman" w:cs="Times New Roman"/>
          <w:lang w:val="fr-FR"/>
        </w:rPr>
      </w:pPr>
    </w:p>
    <w:p w14:paraId="6AA33714" w14:textId="77777777" w:rsidR="00A379E2" w:rsidRPr="00403C55" w:rsidRDefault="00A379E2" w:rsidP="005D7986">
      <w:pPr>
        <w:shd w:val="clear" w:color="auto" w:fill="FFFFFF" w:themeFill="background1"/>
        <w:spacing w:after="0" w:line="240" w:lineRule="auto"/>
        <w:jc w:val="both"/>
        <w:rPr>
          <w:rFonts w:ascii="Times New Roman" w:hAnsi="Times New Roman" w:cs="Times New Roman"/>
          <w:lang w:val="fr-FR"/>
        </w:rPr>
      </w:pPr>
    </w:p>
    <w:p w14:paraId="767980E2" w14:textId="47A83813" w:rsidR="005F0C1F" w:rsidRPr="00403C55" w:rsidRDefault="005F0C1F" w:rsidP="005F0C1F">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4. </w:t>
      </w:r>
      <w:r w:rsidR="00040FE5" w:rsidRPr="00403C55">
        <w:rPr>
          <w:rFonts w:ascii="Times New Roman" w:hAnsi="Times New Roman" w:cs="Times New Roman"/>
          <w:i/>
          <w:lang w:val="fr-FR"/>
        </w:rPr>
        <w:t>Structures nationales de mise en œuvre</w:t>
      </w:r>
    </w:p>
    <w:p w14:paraId="2E5262CD" w14:textId="77777777" w:rsidR="005F0C1F" w:rsidRPr="00403C55" w:rsidRDefault="005F0C1F" w:rsidP="005F0C1F">
      <w:pPr>
        <w:spacing w:after="0" w:line="240" w:lineRule="auto"/>
        <w:jc w:val="both"/>
        <w:rPr>
          <w:rFonts w:ascii="Times New Roman" w:hAnsi="Times New Roman" w:cs="Times New Roman"/>
          <w:i/>
          <w:lang w:val="fr-FR"/>
        </w:rPr>
      </w:pPr>
    </w:p>
    <w:p w14:paraId="29A52053" w14:textId="55E7ED01" w:rsidR="005F0C1F" w:rsidRPr="00403C55" w:rsidRDefault="00040FE5" w:rsidP="005F0C1F">
      <w:pPr>
        <w:spacing w:after="0" w:line="240" w:lineRule="auto"/>
        <w:jc w:val="both"/>
        <w:rPr>
          <w:rFonts w:ascii="Times New Roman" w:hAnsi="Times New Roman" w:cs="Times New Roman"/>
          <w:lang w:val="fr-FR"/>
        </w:rPr>
      </w:pPr>
      <w:r w:rsidRPr="00403C55">
        <w:rPr>
          <w:rFonts w:ascii="Times New Roman" w:hAnsi="Times New Roman" w:cs="Times New Roman"/>
          <w:lang w:val="fr-FR"/>
        </w:rPr>
        <w:t>Trois pays (</w:t>
      </w:r>
      <w:r w:rsidR="00B06CAE" w:rsidRPr="00403C55">
        <w:rPr>
          <w:rFonts w:ascii="Times New Roman" w:hAnsi="Times New Roman" w:cs="Times New Roman"/>
          <w:lang w:val="fr-FR"/>
        </w:rPr>
        <w:t>l’</w:t>
      </w:r>
      <w:r w:rsidRPr="00403C55">
        <w:rPr>
          <w:rFonts w:ascii="Times New Roman" w:hAnsi="Times New Roman" w:cs="Times New Roman"/>
          <w:lang w:val="fr-FR"/>
        </w:rPr>
        <w:t>Estonie,</w:t>
      </w:r>
      <w:r w:rsidR="00B06CAE" w:rsidRPr="00403C55">
        <w:rPr>
          <w:rFonts w:ascii="Times New Roman" w:hAnsi="Times New Roman" w:cs="Times New Roman"/>
          <w:lang w:val="fr-FR"/>
        </w:rPr>
        <w:t xml:space="preserve"> l’</w:t>
      </w:r>
      <w:r w:rsidRPr="00403C55">
        <w:rPr>
          <w:rFonts w:ascii="Times New Roman" w:hAnsi="Times New Roman" w:cs="Times New Roman"/>
          <w:lang w:val="fr-FR"/>
        </w:rPr>
        <w:t xml:space="preserve">Irlande, </w:t>
      </w:r>
      <w:r w:rsidR="00B06CAE" w:rsidRPr="00403C55">
        <w:rPr>
          <w:rFonts w:ascii="Times New Roman" w:hAnsi="Times New Roman" w:cs="Times New Roman"/>
          <w:lang w:val="fr-FR"/>
        </w:rPr>
        <w:t xml:space="preserve">le </w:t>
      </w:r>
      <w:r w:rsidR="00F82903">
        <w:rPr>
          <w:rFonts w:ascii="Times New Roman" w:hAnsi="Times New Roman" w:cs="Times New Roman"/>
          <w:lang w:val="fr-FR"/>
        </w:rPr>
        <w:t>R-U) ont fait part de p</w:t>
      </w:r>
      <w:r w:rsidRPr="00403C55">
        <w:rPr>
          <w:rFonts w:ascii="Times New Roman" w:hAnsi="Times New Roman" w:cs="Times New Roman"/>
          <w:lang w:val="fr-FR"/>
        </w:rPr>
        <w:t xml:space="preserve">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établis pour le Cygne de Bewick.</w:t>
      </w:r>
      <w:r w:rsidR="005F0C1F" w:rsidRPr="00403C55">
        <w:rPr>
          <w:rFonts w:ascii="Times New Roman" w:hAnsi="Times New Roman" w:cs="Times New Roman"/>
          <w:lang w:val="fr-FR"/>
        </w:rPr>
        <w:t xml:space="preserve"> </w:t>
      </w:r>
      <w:r w:rsidRPr="00403C55">
        <w:rPr>
          <w:rFonts w:ascii="Times New Roman" w:hAnsi="Times New Roman" w:cs="Times New Roman"/>
          <w:lang w:val="fr-FR"/>
        </w:rPr>
        <w:t xml:space="preserve">Aucun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n’a établi de groupes de travail nationaux pour l’espèce à cette date.</w:t>
      </w:r>
    </w:p>
    <w:p w14:paraId="3ED5DF6D" w14:textId="77777777" w:rsidR="005F0C1F" w:rsidRPr="00403C55" w:rsidRDefault="005F0C1F" w:rsidP="005F0C1F">
      <w:pPr>
        <w:spacing w:after="0" w:line="240" w:lineRule="auto"/>
        <w:jc w:val="both"/>
        <w:rPr>
          <w:rFonts w:ascii="Times New Roman" w:hAnsi="Times New Roman" w:cs="Times New Roman"/>
          <w:i/>
          <w:lang w:val="fr-FR"/>
        </w:rPr>
      </w:pPr>
    </w:p>
    <w:tbl>
      <w:tblPr>
        <w:tblStyle w:val="TableGrid"/>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5"/>
      </w:tblGrid>
      <w:tr w:rsidR="005F0C1F" w:rsidRPr="00403C55" w14:paraId="227B10F9" w14:textId="77777777" w:rsidTr="005F0C1F">
        <w:trPr>
          <w:trHeight w:val="3823"/>
        </w:trPr>
        <w:tc>
          <w:tcPr>
            <w:tcW w:w="4536" w:type="dxa"/>
          </w:tcPr>
          <w:p w14:paraId="2DE9392F" w14:textId="730A3B7F" w:rsidR="005F0C1F" w:rsidRPr="00403C55" w:rsidRDefault="005F0C1F" w:rsidP="00035F0B">
            <w:pPr>
              <w:jc w:val="both"/>
              <w:rPr>
                <w:rFonts w:ascii="Times New Roman" w:hAnsi="Times New Roman" w:cs="Times New Roman"/>
                <w:b/>
                <w:lang w:val="fr-FR"/>
              </w:rPr>
            </w:pPr>
            <w:r w:rsidRPr="00403C55">
              <w:rPr>
                <w:b/>
                <w:noProof/>
              </w:rPr>
              <w:drawing>
                <wp:inline distT="0" distB="0" distL="0" distR="0" wp14:anchorId="6A9962E2" wp14:editId="2D467118">
                  <wp:extent cx="2733675" cy="2209800"/>
                  <wp:effectExtent l="0" t="0" r="9525"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05" w:type="dxa"/>
          </w:tcPr>
          <w:p w14:paraId="674378B8" w14:textId="490D3C62" w:rsidR="005F0C1F" w:rsidRPr="00403C55" w:rsidRDefault="005F0C1F" w:rsidP="00035F0B">
            <w:pPr>
              <w:jc w:val="both"/>
              <w:rPr>
                <w:rFonts w:ascii="Times New Roman" w:hAnsi="Times New Roman" w:cs="Times New Roman"/>
                <w:b/>
                <w:lang w:val="fr-FR"/>
              </w:rPr>
            </w:pPr>
            <w:r w:rsidRPr="00403C55">
              <w:rPr>
                <w:b/>
                <w:noProof/>
              </w:rPr>
              <w:drawing>
                <wp:inline distT="0" distB="0" distL="0" distR="0" wp14:anchorId="1BD25CDC" wp14:editId="06C6F6B1">
                  <wp:extent cx="2876550" cy="22098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0B5C3778" w14:textId="2C5413B4" w:rsidR="00A379E2" w:rsidRPr="00403C55" w:rsidRDefault="00A379E2" w:rsidP="005F0C1F">
      <w:pPr>
        <w:shd w:val="clear" w:color="auto" w:fill="DBE5F1" w:themeFill="accent1" w:themeFillTint="33"/>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Pas d’information</w:t>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t>Non</w:t>
      </w:r>
      <w:r w:rsidRPr="00403C55">
        <w:rPr>
          <w:rFonts w:ascii="Times New Roman" w:hAnsi="Times New Roman" w:cs="Times New Roman"/>
          <w:lang w:val="fr-FR"/>
        </w:rPr>
        <w:tab/>
        <w:t>Pas d’information fournie</w:t>
      </w:r>
    </w:p>
    <w:p w14:paraId="6BC8A0C7" w14:textId="77777777" w:rsidR="00A379E2" w:rsidRPr="00403C55" w:rsidRDefault="00A379E2" w:rsidP="005F0C1F">
      <w:pPr>
        <w:shd w:val="clear" w:color="auto" w:fill="DBE5F1" w:themeFill="accent1" w:themeFillTint="33"/>
        <w:spacing w:after="0" w:line="240" w:lineRule="auto"/>
        <w:jc w:val="both"/>
        <w:rPr>
          <w:rFonts w:ascii="Times New Roman" w:hAnsi="Times New Roman" w:cs="Times New Roman"/>
          <w:lang w:val="fr-FR"/>
        </w:rPr>
      </w:pPr>
    </w:p>
    <w:p w14:paraId="6646EA09" w14:textId="34C2C0CE" w:rsidR="005F0C1F" w:rsidRPr="00403C55" w:rsidRDefault="005F0C1F" w:rsidP="005F0C1F">
      <w:pPr>
        <w:shd w:val="clear" w:color="auto" w:fill="DBE5F1" w:themeFill="accent1" w:themeFillTint="33"/>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5. </w:t>
      </w:r>
      <w:r w:rsidR="00040FE5" w:rsidRPr="00403C55">
        <w:rPr>
          <w:rFonts w:ascii="Times New Roman" w:hAnsi="Times New Roman" w:cs="Times New Roman"/>
          <w:i/>
          <w:lang w:val="fr-FR"/>
        </w:rPr>
        <w:t xml:space="preserve">Mise en œuvre des activités du plan </w:t>
      </w:r>
      <w:r w:rsidR="0003562F">
        <w:rPr>
          <w:rFonts w:ascii="Times New Roman" w:hAnsi="Times New Roman" w:cs="Times New Roman"/>
          <w:i/>
          <w:lang w:val="fr-FR"/>
        </w:rPr>
        <w:t>d’action</w:t>
      </w:r>
    </w:p>
    <w:p w14:paraId="498D4358" w14:textId="77777777" w:rsidR="005F0C1F" w:rsidRPr="00403C55" w:rsidRDefault="005F0C1F" w:rsidP="005F0C1F">
      <w:pPr>
        <w:spacing w:after="0" w:line="240" w:lineRule="auto"/>
        <w:jc w:val="both"/>
        <w:rPr>
          <w:rFonts w:ascii="Times New Roman" w:hAnsi="Times New Roman" w:cs="Times New Roman"/>
          <w:i/>
          <w:lang w:val="fr-FR"/>
        </w:rPr>
      </w:pPr>
    </w:p>
    <w:p w14:paraId="4B5D6C45" w14:textId="0090E2C8" w:rsidR="005F0C1F" w:rsidRPr="00403C55" w:rsidRDefault="005F0C1F" w:rsidP="005F0C1F">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5.1. </w:t>
      </w:r>
      <w:r w:rsidR="00040FE5" w:rsidRPr="00403C55">
        <w:rPr>
          <w:rFonts w:ascii="Times New Roman" w:hAnsi="Times New Roman" w:cs="Times New Roman"/>
          <w:i/>
          <w:lang w:val="fr-FR"/>
        </w:rPr>
        <w:t xml:space="preserve">Résultat du plan </w:t>
      </w:r>
      <w:r w:rsidR="0003562F">
        <w:rPr>
          <w:rFonts w:ascii="Times New Roman" w:hAnsi="Times New Roman" w:cs="Times New Roman"/>
          <w:i/>
          <w:lang w:val="fr-FR"/>
        </w:rPr>
        <w:t>d’action</w:t>
      </w:r>
      <w:r w:rsidR="00040FE5" w:rsidRPr="00403C55">
        <w:rPr>
          <w:rFonts w:ascii="Times New Roman" w:hAnsi="Times New Roman" w:cs="Times New Roman"/>
          <w:i/>
          <w:lang w:val="fr-FR"/>
        </w:rPr>
        <w:t xml:space="preserve"> 1 – Une chaîne de sites clés, suffisant</w:t>
      </w:r>
      <w:r w:rsidR="00F82903">
        <w:rPr>
          <w:rFonts w:ascii="Times New Roman" w:hAnsi="Times New Roman" w:cs="Times New Roman"/>
          <w:i/>
          <w:lang w:val="fr-FR"/>
        </w:rPr>
        <w:t xml:space="preserve"> à</w:t>
      </w:r>
      <w:r w:rsidR="00040FE5" w:rsidRPr="00403C55">
        <w:rPr>
          <w:rFonts w:ascii="Times New Roman" w:hAnsi="Times New Roman" w:cs="Times New Roman"/>
          <w:i/>
          <w:lang w:val="fr-FR"/>
        </w:rPr>
        <w:t xml:space="preserve"> soutenir la population tout au long de son cycle annuel, est assurée le long de sa voie de migration</w:t>
      </w:r>
    </w:p>
    <w:p w14:paraId="71E4FA72" w14:textId="77777777" w:rsidR="005A5C57" w:rsidRPr="00403C55" w:rsidRDefault="005A5C57" w:rsidP="005A5C57">
      <w:pPr>
        <w:spacing w:after="0" w:line="240" w:lineRule="auto"/>
        <w:rPr>
          <w:rFonts w:ascii="Times New Roman" w:hAnsi="Times New Roman" w:cs="Times New Roman"/>
          <w:lang w:val="fr-FR"/>
        </w:rPr>
      </w:pPr>
    </w:p>
    <w:p w14:paraId="05E7941A" w14:textId="77334F72" w:rsidR="0053586F" w:rsidRPr="00403C55" w:rsidRDefault="000A5F03" w:rsidP="0053586F">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L’activité 1.1 qui prévoi</w:t>
      </w:r>
      <w:r w:rsidR="00B06CAE" w:rsidRPr="00403C55">
        <w:rPr>
          <w:rFonts w:ascii="Times New Roman" w:hAnsi="Times New Roman" w:cs="Times New Roman"/>
          <w:lang w:val="fr-FR"/>
        </w:rPr>
        <w:t>t</w:t>
      </w:r>
      <w:r w:rsidRPr="00403C55">
        <w:rPr>
          <w:rFonts w:ascii="Times New Roman" w:hAnsi="Times New Roman" w:cs="Times New Roman"/>
          <w:lang w:val="fr-FR"/>
        </w:rPr>
        <w:t xml:space="preserve"> que des mesures sont prises pour s’assurer que les sites importants pour la reproduction et la mue des oiseaux sont protégées s’applique uniquement à la Russie, qui n’a envoyé aucune réponse (</w:t>
      </w:r>
      <w:r w:rsidRPr="00403C55">
        <w:rPr>
          <w:rFonts w:ascii="Times New Roman" w:hAnsi="Times New Roman" w:cs="Times New Roman"/>
          <w:i/>
          <w:lang w:val="fr-FR"/>
        </w:rPr>
        <w:t>priorité élevée</w:t>
      </w:r>
      <w:r w:rsidRPr="00403C55">
        <w:rPr>
          <w:rFonts w:ascii="Times New Roman" w:hAnsi="Times New Roman" w:cs="Times New Roman"/>
          <w:lang w:val="fr-FR"/>
        </w:rPr>
        <w:t xml:space="preserve"> / 0 %).</w:t>
      </w:r>
      <w:r w:rsidR="00B3048F" w:rsidRPr="00403C55">
        <w:rPr>
          <w:rFonts w:ascii="Times New Roman" w:hAnsi="Times New Roman" w:cs="Times New Roman"/>
          <w:lang w:val="fr-FR"/>
        </w:rPr>
        <w:t xml:space="preserve"> </w:t>
      </w:r>
      <w:r w:rsidRPr="00403C55">
        <w:rPr>
          <w:rFonts w:ascii="Times New Roman" w:hAnsi="Times New Roman" w:cs="Times New Roman"/>
          <w:lang w:val="fr-FR"/>
        </w:rPr>
        <w:t xml:space="preserve">Trois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(Belgique, Estonie, Pays-Bas / 20 %) ont indiqué avoir complètement mis en œuvre l’activité 1.2 (maintenir dans une condition favorable les zones clés de perchage et d'alimentation sur les sites de repos et d’hivernage / p</w:t>
      </w:r>
      <w:r w:rsidRPr="00403C55">
        <w:rPr>
          <w:rFonts w:ascii="Times New Roman" w:hAnsi="Times New Roman" w:cs="Times New Roman"/>
          <w:i/>
          <w:lang w:val="fr-FR"/>
        </w:rPr>
        <w:t>riorité élevée)</w:t>
      </w:r>
      <w:r w:rsidRPr="00403C55">
        <w:rPr>
          <w:rFonts w:ascii="Times New Roman" w:hAnsi="Times New Roman" w:cs="Times New Roman"/>
          <w:lang w:val="fr-FR"/>
        </w:rPr>
        <w:t>.</w:t>
      </w:r>
      <w:r w:rsidR="0053586F" w:rsidRPr="00403C55">
        <w:rPr>
          <w:rFonts w:ascii="Times New Roman" w:hAnsi="Times New Roman" w:cs="Times New Roman"/>
          <w:lang w:val="fr-FR"/>
        </w:rPr>
        <w:t xml:space="preserve"> </w:t>
      </w:r>
      <w:r w:rsidRPr="00403C55">
        <w:rPr>
          <w:rFonts w:ascii="Times New Roman" w:hAnsi="Times New Roman" w:cs="Times New Roman"/>
          <w:lang w:val="fr-FR"/>
        </w:rPr>
        <w:t xml:space="preserve">L’activité 1.3 relative au maintien/rétablissement de la disponibilité de macrophytes aquatiques sur les sites clés de halte et d’hivernage par le biais de la gestion du niveau et de la qualité </w:t>
      </w:r>
      <w:r w:rsidRPr="00403C55">
        <w:rPr>
          <w:rFonts w:ascii="Times New Roman" w:hAnsi="Times New Roman" w:cs="Times New Roman"/>
          <w:lang w:val="fr-FR"/>
        </w:rPr>
        <w:lastRenderedPageBreak/>
        <w:t>de l’eau s’applique à l’Estonie et aux Pays-Bas, l’Estonie ayant fait part de sa mise en œuvre complète et les Pays-Bas de sa mise en œuvre partielle (50 % /</w:t>
      </w:r>
      <w:r w:rsidRPr="00403C55">
        <w:rPr>
          <w:rFonts w:ascii="Times New Roman" w:hAnsi="Times New Roman" w:cs="Times New Roman"/>
          <w:i/>
          <w:lang w:val="fr-FR"/>
        </w:rPr>
        <w:t>priorité essentielle</w:t>
      </w:r>
      <w:r w:rsidRPr="00403C55">
        <w:rPr>
          <w:rFonts w:ascii="Times New Roman" w:hAnsi="Times New Roman" w:cs="Times New Roman"/>
          <w:lang w:val="fr-FR"/>
        </w:rPr>
        <w:t>).</w:t>
      </w:r>
      <w:r w:rsidR="0053586F" w:rsidRPr="00403C55">
        <w:rPr>
          <w:rFonts w:ascii="Times New Roman" w:hAnsi="Times New Roman" w:cs="Times New Roman"/>
          <w:lang w:val="fr-FR"/>
        </w:rPr>
        <w:t xml:space="preserve"> </w:t>
      </w:r>
      <w:r w:rsidRPr="00403C55">
        <w:rPr>
          <w:rFonts w:ascii="Times New Roman" w:hAnsi="Times New Roman" w:cs="Times New Roman"/>
          <w:lang w:val="fr-FR"/>
        </w:rPr>
        <w:t xml:space="preserve">Quatre pays (Belgique, France, Lituanie, R-U / 27 %) ont fait savoir que les perturbations sur les sites clés ont été réduites et maintenues à un minimum (activité 1.4 / </w:t>
      </w:r>
      <w:r w:rsidRPr="00403C55">
        <w:rPr>
          <w:rFonts w:ascii="Times New Roman" w:hAnsi="Times New Roman" w:cs="Times New Roman"/>
          <w:i/>
          <w:lang w:val="fr-FR"/>
        </w:rPr>
        <w:t>priorité élevée</w:t>
      </w:r>
      <w:r w:rsidRPr="00403C55">
        <w:rPr>
          <w:rFonts w:ascii="Times New Roman" w:hAnsi="Times New Roman" w:cs="Times New Roman"/>
          <w:lang w:val="fr-FR"/>
        </w:rPr>
        <w:t>).</w:t>
      </w:r>
    </w:p>
    <w:p w14:paraId="11BAC954" w14:textId="76751D07" w:rsidR="00CD73F0" w:rsidRPr="00403C55" w:rsidRDefault="0053586F" w:rsidP="00CD73F0">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44"/>
      </w:tblGrid>
      <w:tr w:rsidR="0053586F" w:rsidRPr="00403C55" w14:paraId="180A0AA2" w14:textId="77777777" w:rsidTr="0053586F">
        <w:tc>
          <w:tcPr>
            <w:tcW w:w="4530" w:type="dxa"/>
          </w:tcPr>
          <w:p w14:paraId="2BC1CD6A" w14:textId="5446992E" w:rsidR="0053586F" w:rsidRPr="00403C55" w:rsidRDefault="0053586F" w:rsidP="00CD73F0">
            <w:pPr>
              <w:jc w:val="both"/>
              <w:rPr>
                <w:rFonts w:ascii="Times New Roman" w:hAnsi="Times New Roman" w:cs="Times New Roman"/>
                <w:lang w:val="fr-FR"/>
              </w:rPr>
            </w:pPr>
            <w:r w:rsidRPr="00403C55">
              <w:rPr>
                <w:noProof/>
              </w:rPr>
              <w:drawing>
                <wp:inline distT="0" distB="0" distL="0" distR="0" wp14:anchorId="336F599F" wp14:editId="2945E0C5">
                  <wp:extent cx="2790825" cy="2352675"/>
                  <wp:effectExtent l="0" t="0" r="9525"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530" w:type="dxa"/>
          </w:tcPr>
          <w:p w14:paraId="44F221DE" w14:textId="315016F6" w:rsidR="0053586F" w:rsidRPr="00403C55" w:rsidRDefault="0053586F" w:rsidP="00CD73F0">
            <w:pPr>
              <w:jc w:val="both"/>
              <w:rPr>
                <w:rFonts w:ascii="Times New Roman" w:hAnsi="Times New Roman" w:cs="Times New Roman"/>
                <w:lang w:val="fr-FR"/>
              </w:rPr>
            </w:pPr>
            <w:r w:rsidRPr="00403C55">
              <w:rPr>
                <w:noProof/>
              </w:rPr>
              <w:drawing>
                <wp:inline distT="0" distB="0" distL="0" distR="0" wp14:anchorId="688D9AFB" wp14:editId="6E46A005">
                  <wp:extent cx="2657475" cy="233362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247B62D1" w14:textId="77777777" w:rsidR="00A379E2" w:rsidRPr="00403C55" w:rsidRDefault="00A379E2" w:rsidP="00CD73F0">
      <w:pPr>
        <w:spacing w:after="0" w:line="240" w:lineRule="auto"/>
        <w:jc w:val="both"/>
        <w:rPr>
          <w:rFonts w:ascii="Times New Roman" w:hAnsi="Times New Roman" w:cs="Times New Roman"/>
          <w:lang w:val="fr-FR"/>
        </w:rPr>
      </w:pPr>
    </w:p>
    <w:p w14:paraId="11B0021F" w14:textId="413D9E06" w:rsidR="00A379E2" w:rsidRPr="00403C55" w:rsidRDefault="00A379E2" w:rsidP="00A379E2">
      <w:pPr>
        <w:tabs>
          <w:tab w:val="left" w:pos="851"/>
          <w:tab w:val="left" w:pos="2410"/>
          <w:tab w:val="left" w:pos="4536"/>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r w:rsidRPr="00403C55">
        <w:rPr>
          <w:rFonts w:ascii="Times New Roman" w:hAnsi="Times New Roman" w:cs="Times New Roman"/>
          <w:lang w:val="fr-FR"/>
        </w:rPr>
        <w:tab/>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284E0FAB" w14:textId="77777777" w:rsidR="00A379E2" w:rsidRPr="00403C55" w:rsidRDefault="00A379E2" w:rsidP="00CD73F0">
      <w:pPr>
        <w:spacing w:after="0" w:line="240" w:lineRule="auto"/>
        <w:jc w:val="both"/>
        <w:rPr>
          <w:rFonts w:ascii="Times New Roman" w:hAnsi="Times New Roman" w:cs="Times New Roman"/>
          <w:lang w:val="fr-FR"/>
        </w:rPr>
      </w:pPr>
    </w:p>
    <w:p w14:paraId="25C344EF" w14:textId="12FD1D18" w:rsidR="00C23732" w:rsidRPr="00403C55" w:rsidRDefault="000A5F03" w:rsidP="00CD73F0">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Cinq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(Belgique, France, Irlande, Pays-Bas, R-U / 33 % / </w:t>
      </w:r>
      <w:r w:rsidRPr="00403C55">
        <w:rPr>
          <w:rFonts w:ascii="Times New Roman" w:hAnsi="Times New Roman" w:cs="Times New Roman"/>
          <w:i/>
          <w:lang w:val="fr-FR"/>
        </w:rPr>
        <w:t>priorité essentielle</w:t>
      </w:r>
      <w:r w:rsidRPr="00403C55">
        <w:rPr>
          <w:rFonts w:ascii="Times New Roman" w:hAnsi="Times New Roman" w:cs="Times New Roman"/>
          <w:lang w:val="fr-FR"/>
        </w:rPr>
        <w:t>) ont fait part de la mise en œuvre complète de l’activité 1.5 relative à l’évitement ou l'atténuation des impacts négatifs des développements infrastructurels et industriels sur les sites clés.</w:t>
      </w:r>
      <w:r w:rsidR="005B167B" w:rsidRPr="00403C55">
        <w:rPr>
          <w:rFonts w:ascii="Times New Roman" w:hAnsi="Times New Roman" w:cs="Times New Roman"/>
          <w:lang w:val="fr-FR"/>
        </w:rPr>
        <w:t xml:space="preserve"> </w:t>
      </w:r>
      <w:r w:rsidRPr="00403C55">
        <w:rPr>
          <w:rFonts w:ascii="Times New Roman" w:hAnsi="Times New Roman" w:cs="Times New Roman"/>
          <w:lang w:val="fr-FR"/>
        </w:rPr>
        <w:t xml:space="preserve">Aucun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n’</w:t>
      </w:r>
      <w:r w:rsidR="00B06CAE" w:rsidRPr="00403C55">
        <w:rPr>
          <w:rFonts w:ascii="Times New Roman" w:hAnsi="Times New Roman" w:cs="Times New Roman"/>
          <w:lang w:val="fr-FR"/>
        </w:rPr>
        <w:t>a</w:t>
      </w:r>
      <w:r w:rsidRPr="00403C55">
        <w:rPr>
          <w:rFonts w:ascii="Times New Roman" w:hAnsi="Times New Roman" w:cs="Times New Roman"/>
          <w:lang w:val="fr-FR"/>
        </w:rPr>
        <w:t xml:space="preserve"> fait état de la mise en œuvre complète de l’activité 1.6 relative à la </w:t>
      </w:r>
      <w:r w:rsidR="00F82903">
        <w:rPr>
          <w:rFonts w:ascii="Times New Roman" w:hAnsi="Times New Roman" w:cs="Times New Roman"/>
          <w:lang w:val="fr-FR"/>
        </w:rPr>
        <w:t>réalisation</w:t>
      </w:r>
      <w:r w:rsidRPr="00403C55">
        <w:rPr>
          <w:rFonts w:ascii="Times New Roman" w:hAnsi="Times New Roman" w:cs="Times New Roman"/>
          <w:lang w:val="fr-FR"/>
        </w:rPr>
        <w:t xml:space="preserve"> d’études </w:t>
      </w:r>
      <w:r w:rsidR="00FB1BC7" w:rsidRPr="00403C55">
        <w:rPr>
          <w:rFonts w:ascii="Times New Roman" w:hAnsi="Times New Roman" w:cs="Times New Roman"/>
          <w:lang w:val="fr-FR"/>
        </w:rPr>
        <w:t>Avant-après/Contrôle-impact sur les sites, concernant le développement</w:t>
      </w:r>
      <w:r w:rsidRPr="00403C55">
        <w:rPr>
          <w:rFonts w:ascii="Times New Roman" w:hAnsi="Times New Roman" w:cs="Times New Roman"/>
          <w:lang w:val="fr-FR"/>
        </w:rPr>
        <w:t xml:space="preserve"> infrastructure</w:t>
      </w:r>
      <w:r w:rsidR="00FB1BC7" w:rsidRPr="00403C55">
        <w:rPr>
          <w:rFonts w:ascii="Times New Roman" w:hAnsi="Times New Roman" w:cs="Times New Roman"/>
          <w:lang w:val="fr-FR"/>
        </w:rPr>
        <w:t>l</w:t>
      </w:r>
      <w:r w:rsidRPr="00403C55">
        <w:rPr>
          <w:rFonts w:ascii="Times New Roman" w:hAnsi="Times New Roman" w:cs="Times New Roman"/>
          <w:lang w:val="fr-FR"/>
        </w:rPr>
        <w:t xml:space="preserve">, </w:t>
      </w:r>
      <w:r w:rsidR="00FB1BC7" w:rsidRPr="00403C55">
        <w:rPr>
          <w:rFonts w:ascii="Times New Roman" w:hAnsi="Times New Roman" w:cs="Times New Roman"/>
          <w:lang w:val="fr-FR"/>
        </w:rPr>
        <w:t>pour comprendre les</w:t>
      </w:r>
      <w:r w:rsidRPr="00403C55">
        <w:rPr>
          <w:rFonts w:ascii="Times New Roman" w:hAnsi="Times New Roman" w:cs="Times New Roman"/>
          <w:lang w:val="fr-FR"/>
        </w:rPr>
        <w:t xml:space="preserve"> impacts </w:t>
      </w:r>
      <w:r w:rsidR="00FB1BC7" w:rsidRPr="00403C55">
        <w:rPr>
          <w:rFonts w:ascii="Times New Roman" w:hAnsi="Times New Roman" w:cs="Times New Roman"/>
          <w:lang w:val="fr-FR"/>
        </w:rPr>
        <w:t>et évaluer l’atténuation</w:t>
      </w:r>
      <w:r w:rsidRPr="00403C55">
        <w:rPr>
          <w:rFonts w:ascii="Times New Roman" w:hAnsi="Times New Roman" w:cs="Times New Roman"/>
          <w:lang w:val="fr-FR"/>
        </w:rPr>
        <w:t xml:space="preserve"> (0</w:t>
      </w:r>
      <w:r w:rsidR="00FB1BC7" w:rsidRPr="00403C55">
        <w:rPr>
          <w:rFonts w:ascii="Times New Roman" w:hAnsi="Times New Roman" w:cs="Times New Roman"/>
          <w:lang w:val="fr-FR"/>
        </w:rPr>
        <w:t xml:space="preserve"> </w:t>
      </w:r>
      <w:r w:rsidRPr="00403C55">
        <w:rPr>
          <w:rFonts w:ascii="Times New Roman" w:hAnsi="Times New Roman" w:cs="Times New Roman"/>
          <w:lang w:val="fr-FR"/>
        </w:rPr>
        <w:t xml:space="preserve">% / </w:t>
      </w:r>
      <w:r w:rsidR="00FB1BC7" w:rsidRPr="00403C55">
        <w:rPr>
          <w:rFonts w:ascii="Times New Roman" w:hAnsi="Times New Roman" w:cs="Times New Roman"/>
          <w:i/>
          <w:lang w:val="fr-FR"/>
        </w:rPr>
        <w:t>priorité moyenne</w:t>
      </w:r>
      <w:r w:rsidRPr="00403C55">
        <w:rPr>
          <w:rFonts w:ascii="Times New Roman" w:hAnsi="Times New Roman" w:cs="Times New Roman"/>
          <w:lang w:val="fr-FR"/>
        </w:rPr>
        <w:t>).</w:t>
      </w:r>
      <w:r w:rsidR="007913E0" w:rsidRPr="00403C55">
        <w:rPr>
          <w:rFonts w:ascii="Times New Roman" w:hAnsi="Times New Roman" w:cs="Times New Roman"/>
          <w:lang w:val="fr-FR"/>
        </w:rPr>
        <w:t xml:space="preserve"> </w:t>
      </w:r>
      <w:r w:rsidR="00FB1BC7" w:rsidRPr="00403C55">
        <w:rPr>
          <w:rFonts w:ascii="Times New Roman" w:hAnsi="Times New Roman" w:cs="Times New Roman"/>
          <w:lang w:val="fr-FR"/>
        </w:rPr>
        <w:t xml:space="preserve">Un total de six </w:t>
      </w:r>
      <w:r w:rsidR="00FE6EE5">
        <w:rPr>
          <w:rFonts w:ascii="Times New Roman" w:hAnsi="Times New Roman" w:cs="Times New Roman"/>
          <w:lang w:val="fr-FR"/>
        </w:rPr>
        <w:t>États de l’aire de répartition</w:t>
      </w:r>
      <w:r w:rsidR="00FB1BC7" w:rsidRPr="00403C55">
        <w:rPr>
          <w:rFonts w:ascii="Times New Roman" w:hAnsi="Times New Roman" w:cs="Times New Roman"/>
          <w:lang w:val="fr-FR"/>
        </w:rPr>
        <w:t xml:space="preserve"> (40 % /priorité élevée) </w:t>
      </w:r>
      <w:r w:rsidR="00B06CAE" w:rsidRPr="00403C55">
        <w:rPr>
          <w:rFonts w:ascii="Times New Roman" w:hAnsi="Times New Roman" w:cs="Times New Roman"/>
          <w:lang w:val="fr-FR"/>
        </w:rPr>
        <w:t>a</w:t>
      </w:r>
      <w:r w:rsidR="00FB1BC7" w:rsidRPr="00403C55">
        <w:rPr>
          <w:rFonts w:ascii="Times New Roman" w:hAnsi="Times New Roman" w:cs="Times New Roman"/>
          <w:lang w:val="fr-FR"/>
        </w:rPr>
        <w:t xml:space="preserve"> fait savoir que les décideurs sont informés des sites les plus sensibles au développement infrastructurel, en relation avec la conservation du Cygne de Bewick (activité 1.7).</w:t>
      </w:r>
    </w:p>
    <w:p w14:paraId="4737B3C9" w14:textId="77777777" w:rsidR="006F0FA2" w:rsidRPr="00403C55" w:rsidRDefault="006F0FA2" w:rsidP="00CD73F0">
      <w:pPr>
        <w:spacing w:after="0" w:line="240" w:lineRule="auto"/>
        <w:jc w:val="both"/>
        <w:rPr>
          <w:rFonts w:ascii="Times New Roman" w:hAnsi="Times New Roman" w:cs="Times New Roman"/>
          <w:lang w:val="fr-FR"/>
        </w:rPr>
      </w:pPr>
    </w:p>
    <w:tbl>
      <w:tblPr>
        <w:tblStyle w:val="TableGrid"/>
        <w:tblW w:w="9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536"/>
      </w:tblGrid>
      <w:tr w:rsidR="0051384C" w:rsidRPr="00403C55" w14:paraId="3EE635BF" w14:textId="77777777" w:rsidTr="0051384C">
        <w:trPr>
          <w:trHeight w:val="3990"/>
        </w:trPr>
        <w:tc>
          <w:tcPr>
            <w:tcW w:w="4670" w:type="dxa"/>
          </w:tcPr>
          <w:p w14:paraId="59F2E2EE" w14:textId="558DD403" w:rsidR="005B167B" w:rsidRPr="00403C55" w:rsidRDefault="005B167B" w:rsidP="00CD73F0">
            <w:pPr>
              <w:jc w:val="both"/>
              <w:rPr>
                <w:rFonts w:ascii="Times New Roman" w:hAnsi="Times New Roman" w:cs="Times New Roman"/>
                <w:lang w:val="fr-FR"/>
              </w:rPr>
            </w:pPr>
            <w:r w:rsidRPr="00403C55">
              <w:rPr>
                <w:noProof/>
              </w:rPr>
              <w:drawing>
                <wp:inline distT="0" distB="0" distL="0" distR="0" wp14:anchorId="3D0B4BFC" wp14:editId="44246D0C">
                  <wp:extent cx="2819400" cy="2438400"/>
                  <wp:effectExtent l="0" t="0" r="19050" b="1905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520" w:type="dxa"/>
          </w:tcPr>
          <w:p w14:paraId="55F8A531" w14:textId="48F1581F" w:rsidR="005B167B" w:rsidRPr="00403C55" w:rsidRDefault="0051384C" w:rsidP="00CD73F0">
            <w:pPr>
              <w:jc w:val="both"/>
              <w:rPr>
                <w:rFonts w:ascii="Times New Roman" w:hAnsi="Times New Roman" w:cs="Times New Roman"/>
                <w:lang w:val="fr-FR"/>
              </w:rPr>
            </w:pPr>
            <w:r w:rsidRPr="00403C55">
              <w:rPr>
                <w:noProof/>
              </w:rPr>
              <w:drawing>
                <wp:inline distT="0" distB="0" distL="0" distR="0" wp14:anchorId="6DCE7633" wp14:editId="26EE8D3E">
                  <wp:extent cx="2724150" cy="2428875"/>
                  <wp:effectExtent l="0" t="0" r="1905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8FB62FA" w14:textId="3270E9A9" w:rsidR="005751CB" w:rsidRPr="00403C55" w:rsidRDefault="005751CB" w:rsidP="005751CB">
      <w:pPr>
        <w:tabs>
          <w:tab w:val="left" w:pos="567"/>
          <w:tab w:val="left" w:pos="1134"/>
          <w:tab w:val="left" w:pos="2552"/>
          <w:tab w:val="left" w:pos="4678"/>
          <w:tab w:val="left" w:pos="5245"/>
          <w:tab w:val="left" w:pos="5954"/>
          <w:tab w:val="left" w:pos="7371"/>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r w:rsidRPr="00403C55">
        <w:rPr>
          <w:rFonts w:ascii="Times New Roman" w:hAnsi="Times New Roman" w:cs="Times New Roman"/>
          <w:lang w:val="fr-FR"/>
        </w:rPr>
        <w:tab/>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7F10C1AC" w14:textId="77777777" w:rsidR="005751CB" w:rsidRPr="00403C55" w:rsidRDefault="005751CB" w:rsidP="00CD73F0">
      <w:pPr>
        <w:spacing w:after="0" w:line="240" w:lineRule="auto"/>
        <w:jc w:val="both"/>
        <w:rPr>
          <w:rFonts w:ascii="Times New Roman" w:hAnsi="Times New Roman" w:cs="Times New Roman"/>
          <w:lang w:val="fr-FR"/>
        </w:rPr>
      </w:pPr>
    </w:p>
    <w:p w14:paraId="47BF606E" w14:textId="7390DFA9" w:rsidR="005A5C57" w:rsidRPr="00403C55" w:rsidRDefault="00FB1BC7" w:rsidP="00CD73F0">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F642D5" w:rsidRPr="00403C55">
        <w:rPr>
          <w:rFonts w:ascii="Times New Roman" w:hAnsi="Times New Roman" w:cs="Times New Roman"/>
          <w:b/>
          <w:lang w:val="fr-FR"/>
        </w:rPr>
        <w:t xml:space="preserve"> </w:t>
      </w:r>
      <w:r w:rsidR="00240050" w:rsidRPr="00403C55">
        <w:rPr>
          <w:rFonts w:ascii="Times New Roman" w:hAnsi="Times New Roman" w:cs="Times New Roman"/>
          <w:b/>
          <w:lang w:val="fr-FR"/>
        </w:rPr>
        <w:t>24</w:t>
      </w:r>
      <w:r w:rsidRPr="00403C55">
        <w:rPr>
          <w:rFonts w:ascii="Times New Roman" w:hAnsi="Times New Roman" w:cs="Times New Roman"/>
          <w:b/>
          <w:lang w:val="fr-FR"/>
        </w:rPr>
        <w:t xml:space="preserve"> </w:t>
      </w:r>
      <w:r w:rsidR="00240050" w:rsidRPr="00403C55">
        <w:rPr>
          <w:rFonts w:ascii="Times New Roman" w:hAnsi="Times New Roman" w:cs="Times New Roman"/>
          <w:b/>
          <w:lang w:val="fr-FR"/>
        </w:rPr>
        <w:t>%</w:t>
      </w:r>
    </w:p>
    <w:p w14:paraId="5B98C7F4" w14:textId="77777777" w:rsidR="00F642D5" w:rsidRPr="00403C55" w:rsidRDefault="00F642D5" w:rsidP="00CD73F0">
      <w:pPr>
        <w:spacing w:after="0" w:line="240" w:lineRule="auto"/>
        <w:jc w:val="both"/>
        <w:rPr>
          <w:rFonts w:ascii="Times New Roman" w:hAnsi="Times New Roman" w:cs="Times New Roman"/>
          <w:lang w:val="fr-FR"/>
        </w:rPr>
      </w:pPr>
    </w:p>
    <w:p w14:paraId="26656F86" w14:textId="376E43AA" w:rsidR="004945C7" w:rsidRPr="00403C55" w:rsidRDefault="004945C7" w:rsidP="004945C7">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5.2. </w:t>
      </w:r>
      <w:r w:rsidR="00FB1BC7" w:rsidRPr="00403C55">
        <w:rPr>
          <w:rFonts w:ascii="Times New Roman" w:hAnsi="Times New Roman" w:cs="Times New Roman"/>
          <w:i/>
          <w:lang w:val="fr-FR"/>
        </w:rPr>
        <w:t>Résultat 2 – La mortalité causée par des tirs est réduite</w:t>
      </w:r>
    </w:p>
    <w:p w14:paraId="60883CFB" w14:textId="77777777" w:rsidR="00122EC8" w:rsidRPr="00403C55" w:rsidRDefault="00122EC8" w:rsidP="004945C7">
      <w:pPr>
        <w:spacing w:after="0" w:line="240" w:lineRule="auto"/>
        <w:jc w:val="both"/>
        <w:rPr>
          <w:rFonts w:ascii="Times New Roman" w:hAnsi="Times New Roman" w:cs="Times New Roman"/>
          <w:i/>
          <w:lang w:val="fr-FR"/>
        </w:rPr>
      </w:pPr>
    </w:p>
    <w:p w14:paraId="6598560D" w14:textId="43595716" w:rsidR="00122EC8" w:rsidRPr="00403C55" w:rsidRDefault="00FB1BC7" w:rsidP="004945C7">
      <w:pPr>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 xml:space="preserve">Plus de la moitié des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(53%) ont fait savoir que le statut </w:t>
      </w:r>
      <w:r w:rsidR="00B06CAE" w:rsidRPr="00403C55">
        <w:rPr>
          <w:rFonts w:ascii="Times New Roman" w:hAnsi="Times New Roman" w:cs="Times New Roman"/>
          <w:lang w:val="fr-FR"/>
        </w:rPr>
        <w:t>« </w:t>
      </w:r>
      <w:r w:rsidRPr="00403C55">
        <w:rPr>
          <w:rFonts w:ascii="Times New Roman" w:hAnsi="Times New Roman" w:cs="Times New Roman"/>
          <w:lang w:val="fr-FR"/>
        </w:rPr>
        <w:t>protégé</w:t>
      </w:r>
      <w:r w:rsidR="00B06CAE" w:rsidRPr="00403C55">
        <w:rPr>
          <w:rFonts w:ascii="Times New Roman" w:hAnsi="Times New Roman" w:cs="Times New Roman"/>
          <w:lang w:val="fr-FR"/>
        </w:rPr>
        <w:t> »</w:t>
      </w:r>
      <w:r w:rsidRPr="00403C55">
        <w:rPr>
          <w:rFonts w:ascii="Times New Roman" w:hAnsi="Times New Roman" w:cs="Times New Roman"/>
          <w:lang w:val="fr-FR"/>
        </w:rPr>
        <w:t xml:space="preserve"> de l’espèce est maintenu (activité 2.1 /</w:t>
      </w:r>
      <w:r w:rsidRPr="00403C55">
        <w:rPr>
          <w:rFonts w:ascii="Times New Roman" w:hAnsi="Times New Roman" w:cs="Times New Roman"/>
          <w:i/>
          <w:lang w:val="fr-FR"/>
        </w:rPr>
        <w:t>priorité essentielle</w:t>
      </w:r>
      <w:r w:rsidRPr="00403C55">
        <w:rPr>
          <w:rFonts w:ascii="Times New Roman" w:hAnsi="Times New Roman" w:cs="Times New Roman"/>
          <w:lang w:val="fr-FR"/>
        </w:rPr>
        <w:t>).</w:t>
      </w:r>
      <w:r w:rsidR="00122EC8" w:rsidRPr="00403C55">
        <w:rPr>
          <w:rFonts w:ascii="Times New Roman" w:hAnsi="Times New Roman" w:cs="Times New Roman"/>
          <w:lang w:val="fr-FR"/>
        </w:rPr>
        <w:t xml:space="preserve"> </w:t>
      </w:r>
      <w:r w:rsidRPr="00403C55">
        <w:rPr>
          <w:rFonts w:ascii="Times New Roman" w:hAnsi="Times New Roman" w:cs="Times New Roman"/>
          <w:lang w:val="fr-FR"/>
        </w:rPr>
        <w:t xml:space="preserve">Sept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(46 %) ont fait état d’une application effic</w:t>
      </w:r>
      <w:r w:rsidR="003D5F64" w:rsidRPr="00403C55">
        <w:rPr>
          <w:rFonts w:ascii="Times New Roman" w:hAnsi="Times New Roman" w:cs="Times New Roman"/>
          <w:lang w:val="fr-FR"/>
        </w:rPr>
        <w:t>iente</w:t>
      </w:r>
      <w:r w:rsidRPr="00403C55">
        <w:rPr>
          <w:rFonts w:ascii="Times New Roman" w:hAnsi="Times New Roman" w:cs="Times New Roman"/>
          <w:lang w:val="fr-FR"/>
        </w:rPr>
        <w:t xml:space="preserve"> de la législation interdisant la chasse du Cygne de Bewick (activité 2.2 / </w:t>
      </w:r>
      <w:r w:rsidRPr="00403C55">
        <w:rPr>
          <w:rFonts w:ascii="Times New Roman" w:hAnsi="Times New Roman" w:cs="Times New Roman"/>
          <w:i/>
          <w:lang w:val="fr-FR"/>
        </w:rPr>
        <w:t>priorité élevée</w:t>
      </w:r>
      <w:r w:rsidRPr="00403C55">
        <w:rPr>
          <w:rFonts w:ascii="Times New Roman" w:hAnsi="Times New Roman" w:cs="Times New Roman"/>
          <w:lang w:val="fr-FR"/>
        </w:rPr>
        <w:t>).</w:t>
      </w:r>
      <w:r w:rsidR="00122EC8" w:rsidRPr="00403C55">
        <w:rPr>
          <w:rFonts w:ascii="Times New Roman" w:hAnsi="Times New Roman" w:cs="Times New Roman"/>
          <w:lang w:val="fr-FR"/>
        </w:rPr>
        <w:t xml:space="preserve"> </w:t>
      </w:r>
    </w:p>
    <w:p w14:paraId="122B16C2" w14:textId="77777777" w:rsidR="004945C7" w:rsidRPr="00403C55" w:rsidRDefault="004945C7" w:rsidP="004945C7">
      <w:pPr>
        <w:spacing w:after="0" w:line="240" w:lineRule="auto"/>
        <w:jc w:val="both"/>
        <w:rPr>
          <w:rFonts w:ascii="Times New Roman" w:hAnsi="Times New Roman" w:cs="Times New Roman"/>
          <w:i/>
          <w:lang w:val="fr-FR"/>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26"/>
      </w:tblGrid>
      <w:tr w:rsidR="00862E31" w:rsidRPr="00403C55" w14:paraId="0C8FF49D" w14:textId="77777777" w:rsidTr="008F66CD">
        <w:trPr>
          <w:trHeight w:val="3780"/>
        </w:trPr>
        <w:tc>
          <w:tcPr>
            <w:tcW w:w="4686" w:type="dxa"/>
          </w:tcPr>
          <w:p w14:paraId="4485B412" w14:textId="4BB0DE98" w:rsidR="00862E31" w:rsidRPr="00403C55" w:rsidRDefault="00862E31" w:rsidP="004945C7">
            <w:pPr>
              <w:jc w:val="both"/>
              <w:rPr>
                <w:rFonts w:ascii="Times New Roman" w:hAnsi="Times New Roman" w:cs="Times New Roman"/>
                <w:lang w:val="fr-FR"/>
              </w:rPr>
            </w:pPr>
            <w:r w:rsidRPr="00403C55">
              <w:rPr>
                <w:noProof/>
              </w:rPr>
              <w:drawing>
                <wp:inline distT="0" distB="0" distL="0" distR="0" wp14:anchorId="5B584FE6" wp14:editId="36332744">
                  <wp:extent cx="2828925" cy="2257425"/>
                  <wp:effectExtent l="0" t="0" r="9525"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596" w:type="dxa"/>
          </w:tcPr>
          <w:p w14:paraId="5859EAC2" w14:textId="0CFDEF1E" w:rsidR="00862E31" w:rsidRPr="00403C55" w:rsidRDefault="00122EC8" w:rsidP="004945C7">
            <w:pPr>
              <w:jc w:val="both"/>
              <w:rPr>
                <w:rFonts w:ascii="Times New Roman" w:hAnsi="Times New Roman" w:cs="Times New Roman"/>
                <w:lang w:val="fr-FR"/>
              </w:rPr>
            </w:pPr>
            <w:r w:rsidRPr="00403C55">
              <w:rPr>
                <w:noProof/>
              </w:rPr>
              <w:drawing>
                <wp:inline distT="0" distB="0" distL="0" distR="0" wp14:anchorId="04CB1051" wp14:editId="53AD3E3E">
                  <wp:extent cx="2781300" cy="2247900"/>
                  <wp:effectExtent l="0" t="0" r="1905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14:paraId="3C0E0224" w14:textId="6E53960F" w:rsidR="005751CB" w:rsidRPr="00403C55" w:rsidRDefault="005751CB" w:rsidP="005751CB">
      <w:pPr>
        <w:tabs>
          <w:tab w:val="left" w:pos="1418"/>
          <w:tab w:val="left" w:pos="4678"/>
          <w:tab w:val="left" w:pos="5245"/>
          <w:tab w:val="left" w:pos="6663"/>
          <w:tab w:val="left" w:pos="7230"/>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Pas d’information</w:t>
      </w:r>
      <w:r w:rsidRPr="00403C55">
        <w:rPr>
          <w:rFonts w:ascii="Times New Roman" w:hAnsi="Times New Roman" w:cs="Times New Roman"/>
          <w:lang w:val="fr-FR"/>
        </w:rPr>
        <w:tab/>
        <w:t>Oui</w:t>
      </w:r>
      <w:r w:rsidRPr="00403C55">
        <w:rPr>
          <w:rFonts w:ascii="Times New Roman" w:hAnsi="Times New Roman" w:cs="Times New Roman"/>
          <w:lang w:val="fr-FR"/>
        </w:rPr>
        <w:tab/>
        <w:t>Partiellement</w:t>
      </w:r>
      <w:r w:rsidRPr="00403C55">
        <w:rPr>
          <w:rFonts w:ascii="Times New Roman" w:hAnsi="Times New Roman" w:cs="Times New Roman"/>
          <w:lang w:val="fr-FR"/>
        </w:rPr>
        <w:tab/>
        <w:t>Non</w:t>
      </w:r>
      <w:r w:rsidRPr="00403C55">
        <w:rPr>
          <w:rFonts w:ascii="Times New Roman" w:hAnsi="Times New Roman" w:cs="Times New Roman"/>
          <w:lang w:val="fr-FR"/>
        </w:rPr>
        <w:tab/>
        <w:t>Pas d’information</w:t>
      </w:r>
    </w:p>
    <w:p w14:paraId="0074FD31" w14:textId="77777777" w:rsidR="005751CB" w:rsidRPr="00403C55" w:rsidRDefault="005751CB" w:rsidP="008F66CD">
      <w:pPr>
        <w:spacing w:after="0" w:line="240" w:lineRule="auto"/>
        <w:jc w:val="both"/>
        <w:rPr>
          <w:rFonts w:ascii="Times New Roman" w:hAnsi="Times New Roman" w:cs="Times New Roman"/>
          <w:lang w:val="fr-FR"/>
        </w:rPr>
      </w:pPr>
    </w:p>
    <w:p w14:paraId="014FBE99" w14:textId="4125D53F" w:rsidR="008F66CD" w:rsidRPr="00403C55" w:rsidRDefault="00FB1BC7" w:rsidP="008F66CD">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Seules l’Estonie et la France (13 %) ont indiqué avoir établi un programme de sensibilisation au statut </w:t>
      </w:r>
      <w:r w:rsidR="00B06CAE" w:rsidRPr="00403C55">
        <w:rPr>
          <w:rFonts w:ascii="Times New Roman" w:hAnsi="Times New Roman" w:cs="Times New Roman"/>
          <w:lang w:val="fr-FR"/>
        </w:rPr>
        <w:t>« </w:t>
      </w:r>
      <w:r w:rsidRPr="00403C55">
        <w:rPr>
          <w:rFonts w:ascii="Times New Roman" w:hAnsi="Times New Roman" w:cs="Times New Roman"/>
          <w:lang w:val="fr-FR"/>
        </w:rPr>
        <w:t>protégé</w:t>
      </w:r>
      <w:r w:rsidR="00B06CAE" w:rsidRPr="00403C55">
        <w:rPr>
          <w:rFonts w:ascii="Times New Roman" w:hAnsi="Times New Roman" w:cs="Times New Roman"/>
          <w:lang w:val="fr-FR"/>
        </w:rPr>
        <w:t> »</w:t>
      </w:r>
      <w:r w:rsidRPr="00403C55">
        <w:rPr>
          <w:rFonts w:ascii="Times New Roman" w:hAnsi="Times New Roman" w:cs="Times New Roman"/>
          <w:lang w:val="fr-FR"/>
        </w:rPr>
        <w:t xml:space="preserve"> des cygnes (activité 2.3 /</w:t>
      </w:r>
      <w:r w:rsidRPr="00403C55">
        <w:rPr>
          <w:rFonts w:ascii="Times New Roman" w:hAnsi="Times New Roman" w:cs="Times New Roman"/>
          <w:i/>
          <w:lang w:val="fr-FR"/>
        </w:rPr>
        <w:t xml:space="preserve"> priorité élevée</w:t>
      </w:r>
      <w:r w:rsidRPr="00403C55">
        <w:rPr>
          <w:rFonts w:ascii="Times New Roman" w:hAnsi="Times New Roman" w:cs="Times New Roman"/>
          <w:lang w:val="fr-FR"/>
        </w:rPr>
        <w:t>).</w:t>
      </w:r>
      <w:r w:rsidR="008F66CD" w:rsidRPr="00403C55">
        <w:rPr>
          <w:rFonts w:ascii="Times New Roman" w:hAnsi="Times New Roman" w:cs="Times New Roman"/>
          <w:lang w:val="fr-FR"/>
        </w:rPr>
        <w:t xml:space="preserve"> </w:t>
      </w:r>
      <w:r w:rsidRPr="00403C55">
        <w:rPr>
          <w:rFonts w:ascii="Times New Roman" w:hAnsi="Times New Roman" w:cs="Times New Roman"/>
          <w:lang w:val="fr-FR"/>
        </w:rPr>
        <w:t xml:space="preserve">Seule la Suède (8 %) a rapporté qu’elle surveillait le niveau de </w:t>
      </w:r>
      <w:r w:rsidR="00F82903">
        <w:rPr>
          <w:rFonts w:ascii="Times New Roman" w:hAnsi="Times New Roman" w:cs="Times New Roman"/>
          <w:lang w:val="fr-FR"/>
        </w:rPr>
        <w:t xml:space="preserve">la chasse </w:t>
      </w:r>
      <w:r w:rsidRPr="00403C55">
        <w:rPr>
          <w:rFonts w:ascii="Times New Roman" w:hAnsi="Times New Roman" w:cs="Times New Roman"/>
          <w:lang w:val="fr-FR"/>
        </w:rPr>
        <w:t>des cygnes de Bewick.</w:t>
      </w:r>
      <w:r w:rsidR="008F66CD" w:rsidRPr="00403C55">
        <w:rPr>
          <w:rFonts w:ascii="Times New Roman" w:hAnsi="Times New Roman" w:cs="Times New Roman"/>
          <w:lang w:val="fr-FR"/>
        </w:rPr>
        <w:t xml:space="preserve"> </w:t>
      </w:r>
      <w:r w:rsidRPr="00403C55">
        <w:rPr>
          <w:rFonts w:ascii="Times New Roman" w:hAnsi="Times New Roman" w:cs="Times New Roman"/>
          <w:lang w:val="fr-FR"/>
        </w:rPr>
        <w:t xml:space="preserve">Toutefois, la Belgique, l’Irlande, la Lettonie et la Pologne ont fait savoir que l’activité n’était pas applicable (activité 2.4 </w:t>
      </w:r>
      <w:r w:rsidRPr="00403C55">
        <w:rPr>
          <w:rFonts w:ascii="Times New Roman" w:hAnsi="Times New Roman" w:cs="Times New Roman"/>
          <w:i/>
          <w:lang w:val="fr-FR"/>
        </w:rPr>
        <w:t>/priorité moyenne</w:t>
      </w:r>
      <w:r w:rsidRPr="00403C55">
        <w:rPr>
          <w:rFonts w:ascii="Times New Roman" w:hAnsi="Times New Roman" w:cs="Times New Roman"/>
          <w:lang w:val="fr-FR"/>
        </w:rPr>
        <w:t>).</w:t>
      </w:r>
      <w:r w:rsidR="008F66CD" w:rsidRPr="00403C55">
        <w:rPr>
          <w:rFonts w:ascii="Times New Roman" w:hAnsi="Times New Roman" w:cs="Times New Roman"/>
          <w:lang w:val="fr-FR"/>
        </w:rPr>
        <w:t xml:space="preserve"> </w:t>
      </w:r>
    </w:p>
    <w:p w14:paraId="6B4F924D" w14:textId="77777777" w:rsidR="008F66CD" w:rsidRPr="00403C55" w:rsidRDefault="008F66CD" w:rsidP="008F66CD">
      <w:pPr>
        <w:spacing w:after="0" w:line="240" w:lineRule="auto"/>
        <w:jc w:val="both"/>
        <w:rPr>
          <w:rFonts w:ascii="Times New Roman" w:hAnsi="Times New Roman" w:cs="Times New Roman"/>
          <w:lang w:val="fr-FR"/>
        </w:rPr>
      </w:pPr>
    </w:p>
    <w:p w14:paraId="1A14C23B" w14:textId="77777777" w:rsidR="004945C7" w:rsidRPr="00403C55" w:rsidRDefault="004945C7" w:rsidP="004945C7">
      <w:pPr>
        <w:spacing w:after="0" w:line="240" w:lineRule="auto"/>
        <w:jc w:val="both"/>
        <w:rPr>
          <w:rFonts w:ascii="Times New Roman" w:hAnsi="Times New Roman" w:cs="Times New Roman"/>
          <w:lang w:val="fr-FR"/>
        </w:rPr>
      </w:pPr>
    </w:p>
    <w:tbl>
      <w:tblPr>
        <w:tblStyle w:val="TableGrid"/>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566"/>
      </w:tblGrid>
      <w:tr w:rsidR="003A536A" w:rsidRPr="00403C55" w14:paraId="5E302ABC" w14:textId="77777777" w:rsidTr="003A536A">
        <w:trPr>
          <w:trHeight w:val="3988"/>
        </w:trPr>
        <w:tc>
          <w:tcPr>
            <w:tcW w:w="4836" w:type="dxa"/>
          </w:tcPr>
          <w:p w14:paraId="405655C2" w14:textId="766A237F" w:rsidR="003A536A" w:rsidRPr="00403C55" w:rsidRDefault="003A536A" w:rsidP="005A5C57">
            <w:pPr>
              <w:rPr>
                <w:rFonts w:ascii="Times New Roman" w:hAnsi="Times New Roman" w:cs="Times New Roman"/>
                <w:lang w:val="fr-FR"/>
              </w:rPr>
            </w:pPr>
            <w:r w:rsidRPr="00403C55">
              <w:rPr>
                <w:noProof/>
              </w:rPr>
              <w:drawing>
                <wp:inline distT="0" distB="0" distL="0" distR="0" wp14:anchorId="60E0C7A8" wp14:editId="5C94EDB2">
                  <wp:extent cx="2838450" cy="2343150"/>
                  <wp:effectExtent l="0" t="0" r="19050" b="1905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358" w:type="dxa"/>
          </w:tcPr>
          <w:p w14:paraId="4B24CF43" w14:textId="7B506D95" w:rsidR="003A536A" w:rsidRPr="00403C55" w:rsidRDefault="003A536A" w:rsidP="005A5C57">
            <w:pPr>
              <w:rPr>
                <w:rFonts w:ascii="Times New Roman" w:hAnsi="Times New Roman" w:cs="Times New Roman"/>
                <w:lang w:val="fr-FR"/>
              </w:rPr>
            </w:pPr>
            <w:r w:rsidRPr="00403C55">
              <w:rPr>
                <w:noProof/>
              </w:rPr>
              <w:drawing>
                <wp:inline distT="0" distB="0" distL="0" distR="0" wp14:anchorId="5788F559" wp14:editId="43F94947">
                  <wp:extent cx="2743200" cy="2333625"/>
                  <wp:effectExtent l="0" t="0" r="19050"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4DDE096A" w14:textId="056B536E" w:rsidR="00374B05" w:rsidRPr="00403C55" w:rsidRDefault="00374B05" w:rsidP="00374B05">
      <w:pPr>
        <w:tabs>
          <w:tab w:val="left" w:pos="567"/>
          <w:tab w:val="left" w:pos="1134"/>
          <w:tab w:val="left" w:pos="1276"/>
          <w:tab w:val="left" w:pos="2552"/>
          <w:tab w:val="left" w:pos="4678"/>
          <w:tab w:val="left" w:pos="5245"/>
          <w:tab w:val="left" w:pos="5954"/>
          <w:tab w:val="left" w:pos="7371"/>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r w:rsidRPr="00403C55">
        <w:rPr>
          <w:rFonts w:ascii="Times New Roman" w:hAnsi="Times New Roman" w:cs="Times New Roman"/>
          <w:lang w:val="fr-FR"/>
        </w:rPr>
        <w:tab/>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5A1C016C" w14:textId="77777777" w:rsidR="00374B05" w:rsidRPr="00403C55" w:rsidRDefault="00374B05" w:rsidP="003A536A">
      <w:pPr>
        <w:spacing w:after="0" w:line="240" w:lineRule="auto"/>
        <w:jc w:val="both"/>
        <w:rPr>
          <w:rFonts w:ascii="Times New Roman" w:hAnsi="Times New Roman" w:cs="Times New Roman"/>
          <w:b/>
          <w:lang w:val="fr-FR"/>
        </w:rPr>
      </w:pPr>
    </w:p>
    <w:p w14:paraId="612E92DA" w14:textId="29255E38" w:rsidR="00F642D5" w:rsidRPr="00403C55" w:rsidRDefault="00FB1BC7" w:rsidP="003A536A">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F642D5" w:rsidRPr="00403C55">
        <w:rPr>
          <w:rFonts w:ascii="Times New Roman" w:hAnsi="Times New Roman" w:cs="Times New Roman"/>
          <w:b/>
          <w:lang w:val="fr-FR"/>
        </w:rPr>
        <w:t xml:space="preserve"> </w:t>
      </w:r>
      <w:r w:rsidR="00ED4CF9" w:rsidRPr="00403C55">
        <w:rPr>
          <w:rFonts w:ascii="Times New Roman" w:hAnsi="Times New Roman" w:cs="Times New Roman"/>
          <w:b/>
          <w:lang w:val="fr-FR"/>
        </w:rPr>
        <w:t>30</w:t>
      </w:r>
      <w:r w:rsidRPr="00403C55">
        <w:rPr>
          <w:rFonts w:ascii="Times New Roman" w:hAnsi="Times New Roman" w:cs="Times New Roman"/>
          <w:b/>
          <w:lang w:val="fr-FR"/>
        </w:rPr>
        <w:t xml:space="preserve"> </w:t>
      </w:r>
      <w:r w:rsidR="00ED4CF9" w:rsidRPr="00403C55">
        <w:rPr>
          <w:rFonts w:ascii="Times New Roman" w:hAnsi="Times New Roman" w:cs="Times New Roman"/>
          <w:b/>
          <w:lang w:val="fr-FR"/>
        </w:rPr>
        <w:t>%</w:t>
      </w:r>
    </w:p>
    <w:p w14:paraId="0004C468" w14:textId="77777777" w:rsidR="004B0BB3" w:rsidRPr="00403C55" w:rsidRDefault="004B0BB3" w:rsidP="003A536A">
      <w:pPr>
        <w:spacing w:after="0" w:line="240" w:lineRule="auto"/>
        <w:jc w:val="both"/>
        <w:rPr>
          <w:rFonts w:ascii="Times New Roman" w:hAnsi="Times New Roman" w:cs="Times New Roman"/>
          <w:lang w:val="fr-FR"/>
        </w:rPr>
      </w:pPr>
    </w:p>
    <w:p w14:paraId="51EF89D8" w14:textId="1D1B8F03" w:rsidR="004B0BB3" w:rsidRPr="00403C55" w:rsidRDefault="00370795" w:rsidP="003A536A">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5.3. </w:t>
      </w:r>
      <w:r w:rsidR="00FB1BC7" w:rsidRPr="00403C55">
        <w:rPr>
          <w:rFonts w:ascii="Times New Roman" w:hAnsi="Times New Roman" w:cs="Times New Roman"/>
          <w:i/>
          <w:lang w:val="fr-FR"/>
        </w:rPr>
        <w:t>Résultat 3 – La mortalité causée par les infrastructures est réduite</w:t>
      </w:r>
    </w:p>
    <w:p w14:paraId="156BA0BE" w14:textId="77777777" w:rsidR="004B0BB3" w:rsidRPr="00403C55" w:rsidRDefault="004B0BB3" w:rsidP="003A536A">
      <w:pPr>
        <w:spacing w:after="0" w:line="240" w:lineRule="auto"/>
        <w:jc w:val="both"/>
        <w:rPr>
          <w:rFonts w:ascii="Times New Roman" w:hAnsi="Times New Roman" w:cs="Times New Roman"/>
          <w:i/>
          <w:lang w:val="fr-FR"/>
        </w:rPr>
      </w:pPr>
    </w:p>
    <w:p w14:paraId="54859EF5" w14:textId="263C802E" w:rsidR="00CE7DAF" w:rsidRPr="00403C55" w:rsidRDefault="00FB1BC7" w:rsidP="003A536A">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Lettonie et les Pays-Bas (14 %) ont indiqué que les sites et </w:t>
      </w:r>
      <w:r w:rsidR="00433B4E" w:rsidRPr="00403C55">
        <w:rPr>
          <w:rFonts w:ascii="Times New Roman" w:hAnsi="Times New Roman" w:cs="Times New Roman"/>
          <w:lang w:val="fr-FR"/>
        </w:rPr>
        <w:t>lignes</w:t>
      </w:r>
      <w:r w:rsidRPr="00403C55">
        <w:rPr>
          <w:rFonts w:ascii="Times New Roman" w:hAnsi="Times New Roman" w:cs="Times New Roman"/>
          <w:lang w:val="fr-FR"/>
        </w:rPr>
        <w:t xml:space="preserve"> de vol clés sont évitées lors du développement de nouvelles lignes à haute tension et fermes éoliennes, </w:t>
      </w:r>
      <w:r w:rsidR="00433B4E" w:rsidRPr="00403C55">
        <w:rPr>
          <w:rFonts w:ascii="Times New Roman" w:hAnsi="Times New Roman" w:cs="Times New Roman"/>
          <w:lang w:val="fr-FR"/>
        </w:rPr>
        <w:t xml:space="preserve">six autres </w:t>
      </w:r>
      <w:r w:rsidR="00FE6EE5">
        <w:rPr>
          <w:rFonts w:ascii="Times New Roman" w:hAnsi="Times New Roman" w:cs="Times New Roman"/>
          <w:lang w:val="fr-FR"/>
        </w:rPr>
        <w:t>États de l’aire de répartition</w:t>
      </w:r>
      <w:r w:rsidR="00433B4E" w:rsidRPr="00403C55">
        <w:rPr>
          <w:rFonts w:ascii="Times New Roman" w:hAnsi="Times New Roman" w:cs="Times New Roman"/>
          <w:lang w:val="fr-FR"/>
        </w:rPr>
        <w:t xml:space="preserve"> faisant état d’une mise en œuvre au moins partielle</w:t>
      </w:r>
      <w:r w:rsidRPr="00403C55">
        <w:rPr>
          <w:rFonts w:ascii="Times New Roman" w:hAnsi="Times New Roman" w:cs="Times New Roman"/>
          <w:lang w:val="fr-FR"/>
        </w:rPr>
        <w:t xml:space="preserve"> (activit</w:t>
      </w:r>
      <w:r w:rsidR="00433B4E" w:rsidRPr="00403C55">
        <w:rPr>
          <w:rFonts w:ascii="Times New Roman" w:hAnsi="Times New Roman" w:cs="Times New Roman"/>
          <w:lang w:val="fr-FR"/>
        </w:rPr>
        <w:t>é</w:t>
      </w:r>
      <w:r w:rsidRPr="00403C55">
        <w:rPr>
          <w:rFonts w:ascii="Times New Roman" w:hAnsi="Times New Roman" w:cs="Times New Roman"/>
          <w:lang w:val="fr-FR"/>
        </w:rPr>
        <w:t xml:space="preserve"> 3.1 </w:t>
      </w:r>
      <w:r w:rsidRPr="00403C55">
        <w:rPr>
          <w:rFonts w:ascii="Times New Roman" w:hAnsi="Times New Roman" w:cs="Times New Roman"/>
          <w:i/>
          <w:lang w:val="fr-FR"/>
        </w:rPr>
        <w:t>/ h</w:t>
      </w:r>
      <w:r w:rsidR="00433B4E" w:rsidRPr="00403C55">
        <w:rPr>
          <w:rFonts w:ascii="Times New Roman" w:hAnsi="Times New Roman" w:cs="Times New Roman"/>
          <w:i/>
          <w:lang w:val="fr-FR"/>
        </w:rPr>
        <w:t>aute priorité</w:t>
      </w:r>
      <w:r w:rsidRPr="00403C55">
        <w:rPr>
          <w:rFonts w:ascii="Times New Roman" w:hAnsi="Times New Roman" w:cs="Times New Roman"/>
          <w:lang w:val="fr-FR"/>
        </w:rPr>
        <w:t>).</w:t>
      </w:r>
      <w:r w:rsidR="00CE7DAF" w:rsidRPr="00403C55">
        <w:rPr>
          <w:rFonts w:ascii="Times New Roman" w:hAnsi="Times New Roman" w:cs="Times New Roman"/>
          <w:lang w:val="fr-FR"/>
        </w:rPr>
        <w:t xml:space="preserve"> </w:t>
      </w:r>
      <w:r w:rsidR="00433B4E" w:rsidRPr="00403C55">
        <w:rPr>
          <w:rFonts w:ascii="Times New Roman" w:hAnsi="Times New Roman" w:cs="Times New Roman"/>
          <w:lang w:val="fr-FR"/>
        </w:rPr>
        <w:t>La Belgique a indiqué que l’activité n’était pas applicable</w:t>
      </w:r>
      <w:r w:rsidR="00492F49" w:rsidRPr="00403C55">
        <w:rPr>
          <w:rFonts w:ascii="Times New Roman" w:hAnsi="Times New Roman" w:cs="Times New Roman"/>
          <w:lang w:val="fr-FR"/>
        </w:rPr>
        <w:t xml:space="preserve"> </w:t>
      </w:r>
      <w:r w:rsidR="00433B4E" w:rsidRPr="00403C55">
        <w:rPr>
          <w:rFonts w:ascii="Times New Roman" w:hAnsi="Times New Roman" w:cs="Times New Roman"/>
          <w:lang w:val="fr-FR"/>
        </w:rPr>
        <w:t>et a donc été exclue du nombre total d’</w:t>
      </w:r>
      <w:r w:rsidR="00FE6EE5">
        <w:rPr>
          <w:rFonts w:ascii="Times New Roman" w:hAnsi="Times New Roman" w:cs="Times New Roman"/>
          <w:lang w:val="fr-FR"/>
        </w:rPr>
        <w:t>États de l’aire de répartition</w:t>
      </w:r>
      <w:r w:rsidR="00433B4E" w:rsidRPr="00403C55">
        <w:rPr>
          <w:rFonts w:ascii="Times New Roman" w:hAnsi="Times New Roman" w:cs="Times New Roman"/>
          <w:lang w:val="fr-FR"/>
        </w:rPr>
        <w:t>.</w:t>
      </w:r>
      <w:r w:rsidR="00DF41E0" w:rsidRPr="00403C55">
        <w:rPr>
          <w:rFonts w:ascii="Times New Roman" w:hAnsi="Times New Roman" w:cs="Times New Roman"/>
          <w:lang w:val="fr-FR"/>
        </w:rPr>
        <w:t xml:space="preserve"> </w:t>
      </w:r>
      <w:r w:rsidR="00433B4E" w:rsidRPr="00403C55">
        <w:rPr>
          <w:rFonts w:ascii="Times New Roman" w:hAnsi="Times New Roman" w:cs="Times New Roman"/>
          <w:lang w:val="fr-FR"/>
        </w:rPr>
        <w:t xml:space="preserve">Deux </w:t>
      </w:r>
      <w:r w:rsidR="00FE6EE5">
        <w:rPr>
          <w:rFonts w:ascii="Times New Roman" w:hAnsi="Times New Roman" w:cs="Times New Roman"/>
          <w:lang w:val="fr-FR"/>
        </w:rPr>
        <w:t>États de l’aire de répartition</w:t>
      </w:r>
      <w:r w:rsidR="00433B4E" w:rsidRPr="00403C55">
        <w:rPr>
          <w:rFonts w:ascii="Times New Roman" w:hAnsi="Times New Roman" w:cs="Times New Roman"/>
          <w:lang w:val="fr-FR"/>
        </w:rPr>
        <w:t xml:space="preserve"> supplémentaires (France, Irlande 13 %) ont </w:t>
      </w:r>
      <w:r w:rsidR="00433B4E" w:rsidRPr="00403C55">
        <w:rPr>
          <w:rFonts w:ascii="Times New Roman" w:hAnsi="Times New Roman" w:cs="Times New Roman"/>
          <w:lang w:val="fr-FR"/>
        </w:rPr>
        <w:lastRenderedPageBreak/>
        <w:t>indiqué que les lignes à haute tension étaient enterrées ou que des marqueurs visuels avaient été installés autour des sites clés et le long des lignes de vol (activité 3.2 /</w:t>
      </w:r>
      <w:r w:rsidR="00433B4E" w:rsidRPr="00403C55">
        <w:rPr>
          <w:rFonts w:ascii="Times New Roman" w:hAnsi="Times New Roman" w:cs="Times New Roman"/>
          <w:i/>
          <w:lang w:val="fr-FR"/>
        </w:rPr>
        <w:t xml:space="preserve"> priorité élevée</w:t>
      </w:r>
      <w:r w:rsidR="00433B4E" w:rsidRPr="00403C55">
        <w:rPr>
          <w:rFonts w:ascii="Times New Roman" w:hAnsi="Times New Roman" w:cs="Times New Roman"/>
          <w:lang w:val="fr-FR"/>
        </w:rPr>
        <w:t>).</w:t>
      </w:r>
    </w:p>
    <w:p w14:paraId="7F9CDBA8" w14:textId="77777777" w:rsidR="003A536A" w:rsidRPr="00403C55" w:rsidRDefault="003A536A" w:rsidP="005A5C57">
      <w:pPr>
        <w:spacing w:after="0" w:line="240" w:lineRule="auto"/>
        <w:rPr>
          <w:rFonts w:ascii="Times New Roman" w:hAnsi="Times New Roman" w:cs="Times New Roman"/>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446"/>
      </w:tblGrid>
      <w:tr w:rsidR="00AA5FFE" w:rsidRPr="00403C55" w14:paraId="7507FD2A" w14:textId="77777777" w:rsidTr="00AA5FFE">
        <w:trPr>
          <w:trHeight w:val="3795"/>
        </w:trPr>
        <w:tc>
          <w:tcPr>
            <w:tcW w:w="4640" w:type="dxa"/>
          </w:tcPr>
          <w:p w14:paraId="3B9D9B67" w14:textId="4195C402" w:rsidR="00CE7DAF" w:rsidRPr="00403C55" w:rsidRDefault="00CE7DAF" w:rsidP="005A5C57">
            <w:pPr>
              <w:rPr>
                <w:rFonts w:ascii="Times New Roman" w:hAnsi="Times New Roman" w:cs="Times New Roman"/>
                <w:lang w:val="fr-FR"/>
              </w:rPr>
            </w:pPr>
            <w:r w:rsidRPr="00403C55">
              <w:rPr>
                <w:noProof/>
              </w:rPr>
              <w:drawing>
                <wp:inline distT="0" distB="0" distL="0" distR="0" wp14:anchorId="298D5818" wp14:editId="1B27C5CC">
                  <wp:extent cx="2809875" cy="2295525"/>
                  <wp:effectExtent l="0" t="0" r="9525"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430" w:type="dxa"/>
          </w:tcPr>
          <w:p w14:paraId="285F8F44" w14:textId="6C60854B" w:rsidR="00CE7DAF" w:rsidRPr="00403C55" w:rsidRDefault="00AA5FFE" w:rsidP="005A5C57">
            <w:pPr>
              <w:rPr>
                <w:rFonts w:ascii="Times New Roman" w:hAnsi="Times New Roman" w:cs="Times New Roman"/>
                <w:lang w:val="fr-FR"/>
              </w:rPr>
            </w:pPr>
            <w:r w:rsidRPr="00403C55">
              <w:rPr>
                <w:noProof/>
              </w:rPr>
              <w:drawing>
                <wp:inline distT="0" distB="0" distL="0" distR="0" wp14:anchorId="4DE678F2" wp14:editId="7A053D0E">
                  <wp:extent cx="2686050" cy="2295525"/>
                  <wp:effectExtent l="0" t="0" r="19050"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7BBB5E3A" w14:textId="77777777" w:rsidR="00370795" w:rsidRPr="00403C55" w:rsidRDefault="00370795" w:rsidP="00370795">
      <w:pPr>
        <w:spacing w:after="0" w:line="240" w:lineRule="auto"/>
        <w:jc w:val="both"/>
        <w:rPr>
          <w:rFonts w:ascii="Times New Roman" w:hAnsi="Times New Roman" w:cs="Times New Roman"/>
          <w:lang w:val="fr-FR"/>
        </w:rPr>
      </w:pPr>
    </w:p>
    <w:p w14:paraId="5B30D0E9" w14:textId="1F522DC1" w:rsidR="00374B05" w:rsidRPr="00403C55" w:rsidRDefault="00374B05" w:rsidP="00374B05">
      <w:pPr>
        <w:tabs>
          <w:tab w:val="left" w:pos="567"/>
          <w:tab w:val="left" w:pos="1134"/>
          <w:tab w:val="left" w:pos="2552"/>
          <w:tab w:val="left" w:pos="4678"/>
          <w:tab w:val="left" w:pos="5245"/>
          <w:tab w:val="left" w:pos="5954"/>
          <w:tab w:val="left" w:pos="7371"/>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r w:rsidRPr="00403C55">
        <w:rPr>
          <w:rFonts w:ascii="Times New Roman" w:hAnsi="Times New Roman" w:cs="Times New Roman"/>
          <w:lang w:val="fr-FR"/>
        </w:rPr>
        <w:tab/>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7ACB511C" w14:textId="77777777" w:rsidR="00374B05" w:rsidRPr="00403C55" w:rsidRDefault="00374B05" w:rsidP="00370795">
      <w:pPr>
        <w:spacing w:after="0" w:line="240" w:lineRule="auto"/>
        <w:jc w:val="both"/>
        <w:rPr>
          <w:rFonts w:ascii="Times New Roman" w:hAnsi="Times New Roman" w:cs="Times New Roman"/>
          <w:b/>
          <w:lang w:val="fr-FR"/>
        </w:rPr>
      </w:pPr>
    </w:p>
    <w:p w14:paraId="3975EABE" w14:textId="2C534061" w:rsidR="00370795" w:rsidRPr="00403C55" w:rsidRDefault="00433B4E" w:rsidP="00370795">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370795" w:rsidRPr="00403C55">
        <w:rPr>
          <w:rFonts w:ascii="Times New Roman" w:hAnsi="Times New Roman" w:cs="Times New Roman"/>
          <w:b/>
          <w:lang w:val="fr-FR"/>
        </w:rPr>
        <w:t xml:space="preserve"> 14%</w:t>
      </w:r>
    </w:p>
    <w:p w14:paraId="3B45AE9B" w14:textId="77777777" w:rsidR="00CE7DAF" w:rsidRPr="00403C55" w:rsidRDefault="00CE7DAF" w:rsidP="005A5C57">
      <w:pPr>
        <w:spacing w:after="0" w:line="240" w:lineRule="auto"/>
        <w:rPr>
          <w:rFonts w:ascii="Times New Roman" w:hAnsi="Times New Roman" w:cs="Times New Roman"/>
          <w:lang w:val="fr-FR"/>
        </w:rPr>
      </w:pPr>
    </w:p>
    <w:p w14:paraId="43D60BCD" w14:textId="23731C1E" w:rsidR="00370795" w:rsidRPr="00403C55" w:rsidRDefault="00370795" w:rsidP="005A5C57">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5.4. </w:t>
      </w:r>
      <w:r w:rsidR="00433B4E" w:rsidRPr="00403C55">
        <w:rPr>
          <w:rFonts w:ascii="Times New Roman" w:hAnsi="Times New Roman" w:cs="Times New Roman"/>
          <w:i/>
          <w:lang w:val="fr-FR"/>
        </w:rPr>
        <w:t>Résultat</w:t>
      </w:r>
      <w:r w:rsidR="00985A4E">
        <w:rPr>
          <w:rFonts w:ascii="Times New Roman" w:hAnsi="Times New Roman" w:cs="Times New Roman"/>
          <w:i/>
          <w:lang w:val="fr-FR"/>
        </w:rPr>
        <w:t xml:space="preserve"> </w:t>
      </w:r>
      <w:r w:rsidR="00433B4E" w:rsidRPr="00403C55">
        <w:rPr>
          <w:rFonts w:ascii="Times New Roman" w:hAnsi="Times New Roman" w:cs="Times New Roman"/>
          <w:i/>
          <w:lang w:val="fr-FR"/>
        </w:rPr>
        <w:t>4 – Risque de saturnisme réduit</w:t>
      </w:r>
    </w:p>
    <w:p w14:paraId="7B483790" w14:textId="77777777" w:rsidR="00CE7DAF" w:rsidRPr="00403C55" w:rsidRDefault="00CE7DAF" w:rsidP="005A5C57">
      <w:pPr>
        <w:spacing w:after="0" w:line="240" w:lineRule="auto"/>
        <w:rPr>
          <w:rFonts w:ascii="Times New Roman" w:hAnsi="Times New Roman" w:cs="Times New Roman"/>
          <w:lang w:val="fr-FR"/>
        </w:rPr>
      </w:pPr>
    </w:p>
    <w:p w14:paraId="7637F691" w14:textId="0E9F631D" w:rsidR="00002184" w:rsidRPr="00403C55" w:rsidRDefault="00433B4E" w:rsidP="001F111C">
      <w:pPr>
        <w:spacing w:after="0" w:line="240" w:lineRule="auto"/>
        <w:jc w:val="both"/>
        <w:rPr>
          <w:rFonts w:ascii="Times New Roman" w:hAnsi="Times New Roman" w:cs="Times New Roman"/>
          <w:lang w:val="fr-FR"/>
        </w:rPr>
      </w:pPr>
      <w:r w:rsidRPr="00403C55">
        <w:rPr>
          <w:rFonts w:ascii="Times New Roman" w:hAnsi="Times New Roman" w:cs="Times New Roman"/>
          <w:lang w:val="fr-FR"/>
        </w:rPr>
        <w:t>La Belgique, l’Estonie et les Pays-Bas (20 %) ont indiqué avoir mis en œuvre l’activité 4.1, des mesures ayant été prises pour supprimer complètement la grenaille de plomb dans toutes les zones d’alimentation du Cygne de Bewick, autour des sites clés, et faire appliquer la législation là où la grenaille de plomb est déjà interdite (</w:t>
      </w:r>
      <w:r w:rsidRPr="00403C55">
        <w:rPr>
          <w:rFonts w:ascii="Times New Roman" w:hAnsi="Times New Roman" w:cs="Times New Roman"/>
          <w:i/>
          <w:lang w:val="fr-FR"/>
        </w:rPr>
        <w:t>priorité moyenne</w:t>
      </w:r>
      <w:r w:rsidRPr="00403C55">
        <w:rPr>
          <w:rFonts w:ascii="Times New Roman" w:hAnsi="Times New Roman" w:cs="Times New Roman"/>
          <w:lang w:val="fr-FR"/>
        </w:rPr>
        <w:t>).</w:t>
      </w:r>
      <w:r w:rsidR="001F111C" w:rsidRPr="00403C55">
        <w:rPr>
          <w:rFonts w:ascii="Times New Roman" w:hAnsi="Times New Roman" w:cs="Times New Roman"/>
          <w:lang w:val="fr-FR"/>
        </w:rPr>
        <w:t xml:space="preserve"> </w:t>
      </w:r>
      <w:r w:rsidRPr="00403C55">
        <w:rPr>
          <w:rFonts w:ascii="Times New Roman" w:hAnsi="Times New Roman" w:cs="Times New Roman"/>
          <w:lang w:val="fr-FR"/>
        </w:rPr>
        <w:t xml:space="preserve">Cinq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supplémentaires ont fait part d’une mise en œuvre partielle.</w:t>
      </w:r>
      <w:r w:rsidR="00002184" w:rsidRPr="00403C55">
        <w:rPr>
          <w:rFonts w:ascii="Times New Roman" w:hAnsi="Times New Roman" w:cs="Times New Roman"/>
          <w:lang w:val="fr-FR"/>
        </w:rPr>
        <w:t xml:space="preserve"> </w:t>
      </w:r>
      <w:r w:rsidRPr="00403C55">
        <w:rPr>
          <w:rFonts w:ascii="Times New Roman" w:hAnsi="Times New Roman" w:cs="Times New Roman"/>
          <w:lang w:val="fr-FR"/>
        </w:rPr>
        <w:t>L’Estonie et le R-U ont également indiqué prendre des mesures visant à supprimer les plombs de pêche (activité 4.2 / 13 % /</w:t>
      </w:r>
      <w:r w:rsidRPr="00403C55">
        <w:rPr>
          <w:rFonts w:ascii="Times New Roman" w:hAnsi="Times New Roman" w:cs="Times New Roman"/>
          <w:i/>
          <w:lang w:val="fr-FR"/>
        </w:rPr>
        <w:t xml:space="preserve"> priorité moyenne</w:t>
      </w:r>
      <w:r w:rsidRPr="00403C55">
        <w:rPr>
          <w:rFonts w:ascii="Times New Roman" w:hAnsi="Times New Roman" w:cs="Times New Roman"/>
          <w:lang w:val="fr-FR"/>
        </w:rPr>
        <w:t>).</w:t>
      </w:r>
    </w:p>
    <w:p w14:paraId="3F73A81F" w14:textId="77777777" w:rsidR="001F111C" w:rsidRPr="00403C55" w:rsidRDefault="001F111C" w:rsidP="001F111C">
      <w:pPr>
        <w:spacing w:after="0" w:line="240" w:lineRule="auto"/>
        <w:jc w:val="both"/>
        <w:rPr>
          <w:rFonts w:ascii="Times New Roman" w:hAnsi="Times New Roman" w:cs="Times New Roman"/>
          <w:lang w:val="fr-FR"/>
        </w:rPr>
      </w:pP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67"/>
      </w:tblGrid>
      <w:tr w:rsidR="001F111C" w:rsidRPr="00403C55" w14:paraId="1CC87767" w14:textId="77777777" w:rsidTr="009B1A1B">
        <w:trPr>
          <w:trHeight w:val="3795"/>
        </w:trPr>
        <w:tc>
          <w:tcPr>
            <w:tcW w:w="4567" w:type="dxa"/>
          </w:tcPr>
          <w:p w14:paraId="390A2E4A" w14:textId="03A614D1" w:rsidR="001F111C" w:rsidRPr="00403C55" w:rsidRDefault="001F111C" w:rsidP="005A5C57">
            <w:pPr>
              <w:rPr>
                <w:rFonts w:ascii="Times New Roman" w:hAnsi="Times New Roman" w:cs="Times New Roman"/>
                <w:lang w:val="fr-FR"/>
              </w:rPr>
            </w:pPr>
            <w:r w:rsidRPr="00403C55">
              <w:rPr>
                <w:noProof/>
              </w:rPr>
              <w:drawing>
                <wp:inline distT="0" distB="0" distL="0" distR="0" wp14:anchorId="15793A45" wp14:editId="7DAD9E01">
                  <wp:extent cx="2724150" cy="2324100"/>
                  <wp:effectExtent l="0" t="0" r="1905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567" w:type="dxa"/>
          </w:tcPr>
          <w:p w14:paraId="569E950A" w14:textId="09738A46" w:rsidR="001F111C" w:rsidRPr="00403C55" w:rsidRDefault="00F1592C" w:rsidP="005A5C57">
            <w:pPr>
              <w:rPr>
                <w:rFonts w:ascii="Times New Roman" w:hAnsi="Times New Roman" w:cs="Times New Roman"/>
                <w:lang w:val="fr-FR"/>
              </w:rPr>
            </w:pPr>
            <w:r w:rsidRPr="00403C55">
              <w:rPr>
                <w:noProof/>
              </w:rPr>
              <w:drawing>
                <wp:inline distT="0" distB="0" distL="0" distR="0" wp14:anchorId="308C6138" wp14:editId="6A76A12A">
                  <wp:extent cx="2724150" cy="23145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1FEA3807" w14:textId="77777777" w:rsidR="00ED4CF9" w:rsidRPr="00403C55" w:rsidRDefault="00ED4CF9" w:rsidP="009B1A1B">
      <w:pPr>
        <w:spacing w:after="0" w:line="240" w:lineRule="auto"/>
        <w:jc w:val="both"/>
        <w:rPr>
          <w:rFonts w:ascii="Times New Roman" w:hAnsi="Times New Roman" w:cs="Times New Roman"/>
          <w:lang w:val="fr-FR"/>
        </w:rPr>
      </w:pPr>
    </w:p>
    <w:p w14:paraId="16C32562" w14:textId="62DDFB37" w:rsidR="00374B05" w:rsidRPr="00403C55" w:rsidRDefault="00374B05" w:rsidP="00374B05">
      <w:pPr>
        <w:tabs>
          <w:tab w:val="left" w:pos="567"/>
          <w:tab w:val="left" w:pos="1134"/>
          <w:tab w:val="left" w:pos="2552"/>
          <w:tab w:val="left" w:pos="4536"/>
          <w:tab w:val="left" w:pos="5103"/>
          <w:tab w:val="left" w:pos="5670"/>
          <w:tab w:val="left" w:pos="7088"/>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r w:rsidRPr="00403C55">
        <w:rPr>
          <w:rFonts w:ascii="Times New Roman" w:hAnsi="Times New Roman" w:cs="Times New Roman"/>
          <w:lang w:val="fr-FR"/>
        </w:rPr>
        <w:tab/>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sidRPr="00403C55">
        <w:rPr>
          <w:rFonts w:ascii="Times New Roman" w:hAnsi="Times New Roman" w:cs="Times New Roman"/>
          <w:lang w:val="fr-FR"/>
        </w:rPr>
        <w:tab/>
        <w:t>Pas d’information</w:t>
      </w:r>
    </w:p>
    <w:p w14:paraId="577DD1E7" w14:textId="77777777" w:rsidR="00374B05" w:rsidRPr="00403C55" w:rsidRDefault="00374B05" w:rsidP="009B1A1B">
      <w:pPr>
        <w:spacing w:after="0" w:line="240" w:lineRule="auto"/>
        <w:jc w:val="both"/>
        <w:rPr>
          <w:rFonts w:ascii="Times New Roman" w:hAnsi="Times New Roman" w:cs="Times New Roman"/>
          <w:lang w:val="fr-FR"/>
        </w:rPr>
      </w:pPr>
    </w:p>
    <w:p w14:paraId="4036F12A" w14:textId="7337A322" w:rsidR="009B1A1B" w:rsidRPr="00403C55" w:rsidRDefault="00433B4E" w:rsidP="009B1A1B">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9B1A1B" w:rsidRPr="00403C55">
        <w:rPr>
          <w:rFonts w:ascii="Times New Roman" w:hAnsi="Times New Roman" w:cs="Times New Roman"/>
          <w:b/>
          <w:lang w:val="fr-FR"/>
        </w:rPr>
        <w:t xml:space="preserve"> 17</w:t>
      </w:r>
      <w:r w:rsidRPr="00403C55">
        <w:rPr>
          <w:rFonts w:ascii="Times New Roman" w:hAnsi="Times New Roman" w:cs="Times New Roman"/>
          <w:b/>
          <w:lang w:val="fr-FR"/>
        </w:rPr>
        <w:t xml:space="preserve"> </w:t>
      </w:r>
      <w:r w:rsidR="009B1A1B" w:rsidRPr="00403C55">
        <w:rPr>
          <w:rFonts w:ascii="Times New Roman" w:hAnsi="Times New Roman" w:cs="Times New Roman"/>
          <w:b/>
          <w:lang w:val="fr-FR"/>
        </w:rPr>
        <w:t>%</w:t>
      </w:r>
    </w:p>
    <w:p w14:paraId="25BA9D53" w14:textId="77777777" w:rsidR="00002184" w:rsidRPr="00403C55" w:rsidRDefault="00002184" w:rsidP="005A5C57">
      <w:pPr>
        <w:spacing w:after="0" w:line="240" w:lineRule="auto"/>
        <w:rPr>
          <w:rFonts w:ascii="Times New Roman" w:hAnsi="Times New Roman" w:cs="Times New Roman"/>
          <w:lang w:val="fr-FR"/>
        </w:rPr>
      </w:pPr>
    </w:p>
    <w:p w14:paraId="0332486E" w14:textId="454E0326" w:rsidR="00002184" w:rsidRPr="00403C55" w:rsidRDefault="00002184" w:rsidP="005A5C57">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5.5. </w:t>
      </w:r>
      <w:r w:rsidR="00433B4E" w:rsidRPr="00403C55">
        <w:rPr>
          <w:rFonts w:ascii="Times New Roman" w:hAnsi="Times New Roman" w:cs="Times New Roman"/>
          <w:i/>
          <w:lang w:val="fr-FR"/>
        </w:rPr>
        <w:t>Résultat 5 – Le risque d’hécatombe causée par les marées noires est réduit</w:t>
      </w:r>
    </w:p>
    <w:p w14:paraId="3665A86A" w14:textId="77777777" w:rsidR="00002184" w:rsidRPr="00403C55" w:rsidRDefault="00002184" w:rsidP="005A5C57">
      <w:pPr>
        <w:spacing w:after="0" w:line="240" w:lineRule="auto"/>
        <w:rPr>
          <w:rFonts w:ascii="Times New Roman" w:hAnsi="Times New Roman" w:cs="Times New Roman"/>
          <w:lang w:val="fr-FR"/>
        </w:rPr>
      </w:pPr>
    </w:p>
    <w:p w14:paraId="31515C3E" w14:textId="2EB7E564" w:rsidR="003F5768" w:rsidRPr="00403C55" w:rsidRDefault="00433B4E" w:rsidP="005C126E">
      <w:pPr>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La seule activité (5.1 </w:t>
      </w:r>
      <w:r w:rsidR="00F82903">
        <w:rPr>
          <w:rFonts w:ascii="Times New Roman" w:hAnsi="Times New Roman" w:cs="Times New Roman"/>
          <w:lang w:val="fr-FR"/>
        </w:rPr>
        <w:t>L</w:t>
      </w:r>
      <w:r w:rsidRPr="00403C55">
        <w:rPr>
          <w:rFonts w:ascii="Times New Roman" w:hAnsi="Times New Roman" w:cs="Times New Roman"/>
          <w:lang w:val="fr-FR"/>
        </w:rPr>
        <w:t xml:space="preserve">es sociétés participant à l’exploitation et au transport pétrochimique le long de la voie de migration du Cygne de Bewick mettent en œuvre des plans d’urgence pour réduire la </w:t>
      </w:r>
      <w:r w:rsidRPr="00403C55">
        <w:rPr>
          <w:rFonts w:ascii="Times New Roman" w:hAnsi="Times New Roman" w:cs="Times New Roman"/>
          <w:lang w:val="fr-FR"/>
        </w:rPr>
        <w:lastRenderedPageBreak/>
        <w:t xml:space="preserve">mortalité des cygnes en cas d’accidents.) </w:t>
      </w:r>
      <w:r w:rsidR="00854CE5" w:rsidRPr="00403C55">
        <w:rPr>
          <w:rFonts w:ascii="Times New Roman" w:hAnsi="Times New Roman" w:cs="Times New Roman"/>
          <w:lang w:val="fr-FR"/>
        </w:rPr>
        <w:t>figurant sous ce résultat s’applique principalement à la Russie</w:t>
      </w:r>
      <w:r w:rsidRPr="00403C55">
        <w:rPr>
          <w:rFonts w:ascii="Times New Roman" w:hAnsi="Times New Roman" w:cs="Times New Roman"/>
          <w:lang w:val="fr-FR"/>
        </w:rPr>
        <w:t>.</w:t>
      </w:r>
      <w:r w:rsidR="00035F0B" w:rsidRPr="00403C55">
        <w:rPr>
          <w:rFonts w:ascii="Times New Roman" w:hAnsi="Times New Roman" w:cs="Times New Roman"/>
          <w:lang w:val="fr-FR"/>
        </w:rPr>
        <w:t xml:space="preserve"> </w:t>
      </w:r>
      <w:r w:rsidR="00854CE5" w:rsidRPr="00403C55">
        <w:rPr>
          <w:rFonts w:ascii="Times New Roman" w:hAnsi="Times New Roman" w:cs="Times New Roman"/>
          <w:lang w:val="fr-FR"/>
        </w:rPr>
        <w:t xml:space="preserve">Comme aucune réponse n’a été reçue de </w:t>
      </w:r>
      <w:r w:rsidR="00F82903">
        <w:rPr>
          <w:rFonts w:ascii="Times New Roman" w:hAnsi="Times New Roman" w:cs="Times New Roman"/>
          <w:lang w:val="fr-FR"/>
        </w:rPr>
        <w:t>ce pays</w:t>
      </w:r>
      <w:r w:rsidR="00854CE5" w:rsidRPr="00403C55">
        <w:rPr>
          <w:rFonts w:ascii="Times New Roman" w:hAnsi="Times New Roman" w:cs="Times New Roman"/>
          <w:lang w:val="fr-FR"/>
        </w:rPr>
        <w:t>, aucun progrès de mise en œuvre n’a pu être noté (</w:t>
      </w:r>
      <w:r w:rsidR="00854CE5" w:rsidRPr="00403C55">
        <w:rPr>
          <w:rFonts w:ascii="Times New Roman" w:hAnsi="Times New Roman" w:cs="Times New Roman"/>
          <w:i/>
          <w:lang w:val="fr-FR"/>
        </w:rPr>
        <w:t>priorité essentielle</w:t>
      </w:r>
      <w:r w:rsidR="00854CE5" w:rsidRPr="00403C55">
        <w:rPr>
          <w:rFonts w:ascii="Times New Roman" w:hAnsi="Times New Roman" w:cs="Times New Roman"/>
          <w:lang w:val="fr-FR"/>
        </w:rPr>
        <w:t>).</w:t>
      </w:r>
    </w:p>
    <w:p w14:paraId="3A83DD42" w14:textId="194C9144" w:rsidR="003F6407" w:rsidRPr="00403C55" w:rsidRDefault="00EC0BB1" w:rsidP="005C126E">
      <w:pPr>
        <w:spacing w:after="0" w:line="240" w:lineRule="auto"/>
        <w:jc w:val="both"/>
        <w:rPr>
          <w:rFonts w:ascii="Times New Roman" w:hAnsi="Times New Roman" w:cs="Times New Roman"/>
          <w:lang w:val="fr-FR"/>
        </w:rPr>
      </w:pP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p>
    <w:p w14:paraId="0E6F96EC" w14:textId="59AEF6AA" w:rsidR="005C126E" w:rsidRPr="00403C55" w:rsidRDefault="00854CE5" w:rsidP="005C126E">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5C126E" w:rsidRPr="00403C55">
        <w:rPr>
          <w:rFonts w:ascii="Times New Roman" w:hAnsi="Times New Roman" w:cs="Times New Roman"/>
          <w:b/>
          <w:lang w:val="fr-FR"/>
        </w:rPr>
        <w:t xml:space="preserve"> </w:t>
      </w:r>
      <w:r w:rsidR="00035F0B" w:rsidRPr="00403C55">
        <w:rPr>
          <w:rFonts w:ascii="Times New Roman" w:hAnsi="Times New Roman" w:cs="Times New Roman"/>
          <w:b/>
          <w:lang w:val="fr-FR"/>
        </w:rPr>
        <w:t>0</w:t>
      </w:r>
      <w:r w:rsidRPr="00403C55">
        <w:rPr>
          <w:rFonts w:ascii="Times New Roman" w:hAnsi="Times New Roman" w:cs="Times New Roman"/>
          <w:b/>
          <w:lang w:val="fr-FR"/>
        </w:rPr>
        <w:t xml:space="preserve"> </w:t>
      </w:r>
      <w:r w:rsidR="00035F0B" w:rsidRPr="00403C55">
        <w:rPr>
          <w:rFonts w:ascii="Times New Roman" w:hAnsi="Times New Roman" w:cs="Times New Roman"/>
          <w:b/>
          <w:lang w:val="fr-FR"/>
        </w:rPr>
        <w:t>%</w:t>
      </w:r>
    </w:p>
    <w:p w14:paraId="0D584584" w14:textId="77777777" w:rsidR="005C126E" w:rsidRPr="00403C55" w:rsidRDefault="005C126E" w:rsidP="00EC0BB1">
      <w:pPr>
        <w:spacing w:after="0" w:line="240" w:lineRule="auto"/>
        <w:rPr>
          <w:rFonts w:ascii="Times New Roman" w:hAnsi="Times New Roman" w:cs="Times New Roman"/>
          <w:lang w:val="fr-FR"/>
        </w:rPr>
      </w:pPr>
    </w:p>
    <w:p w14:paraId="634C4D6A" w14:textId="49B7FCBC" w:rsidR="003F6407" w:rsidRPr="00403C55" w:rsidRDefault="003F6407" w:rsidP="00EC0BB1">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5.6. </w:t>
      </w:r>
      <w:r w:rsidR="00854CE5" w:rsidRPr="00403C55">
        <w:rPr>
          <w:rFonts w:ascii="Times New Roman" w:hAnsi="Times New Roman" w:cs="Times New Roman"/>
          <w:i/>
          <w:lang w:val="fr-FR"/>
        </w:rPr>
        <w:t>Résultat 6 – Les changements en termes de taille, de tendance, de distribution et de paramètres démographiques sont détectés</w:t>
      </w:r>
    </w:p>
    <w:p w14:paraId="7ABA8064" w14:textId="77777777" w:rsidR="003F6407" w:rsidRPr="00403C55" w:rsidRDefault="003F6407" w:rsidP="00EC0BB1">
      <w:pPr>
        <w:spacing w:after="0" w:line="240" w:lineRule="auto"/>
        <w:rPr>
          <w:rFonts w:ascii="Times New Roman" w:hAnsi="Times New Roman" w:cs="Times New Roman"/>
          <w:i/>
          <w:lang w:val="fr-FR"/>
        </w:rPr>
      </w:pPr>
    </w:p>
    <w:tbl>
      <w:tblPr>
        <w:tblStyle w:val="TableGrid"/>
        <w:tblW w:w="0" w:type="auto"/>
        <w:tblLook w:val="04A0" w:firstRow="1" w:lastRow="0" w:firstColumn="1" w:lastColumn="0" w:noHBand="0" w:noVBand="1"/>
      </w:tblPr>
      <w:tblGrid>
        <w:gridCol w:w="7463"/>
        <w:gridCol w:w="1597"/>
      </w:tblGrid>
      <w:tr w:rsidR="003F6407" w:rsidRPr="00DE4CF4" w14:paraId="5DBF565A" w14:textId="77777777" w:rsidTr="003F6407">
        <w:tc>
          <w:tcPr>
            <w:tcW w:w="7463" w:type="dxa"/>
            <w:shd w:val="clear" w:color="auto" w:fill="DBE5F1" w:themeFill="accent1" w:themeFillTint="33"/>
          </w:tcPr>
          <w:p w14:paraId="46EE660A" w14:textId="4AEDD3EC" w:rsidR="003F6407" w:rsidRPr="00403C55" w:rsidRDefault="00854CE5" w:rsidP="003F50F9">
            <w:pPr>
              <w:rPr>
                <w:rFonts w:ascii="Times New Roman" w:hAnsi="Times New Roman" w:cs="Times New Roman"/>
                <w:lang w:val="fr-FR"/>
              </w:rPr>
            </w:pPr>
            <w:r w:rsidRPr="00403C55">
              <w:rPr>
                <w:rFonts w:ascii="Times New Roman" w:hAnsi="Times New Roman" w:cs="Times New Roman"/>
                <w:i/>
                <w:lang w:val="fr-FR"/>
              </w:rPr>
              <w:t>Activité</w:t>
            </w:r>
          </w:p>
        </w:tc>
        <w:tc>
          <w:tcPr>
            <w:tcW w:w="1597" w:type="dxa"/>
            <w:shd w:val="clear" w:color="auto" w:fill="DBE5F1" w:themeFill="accent1" w:themeFillTint="33"/>
          </w:tcPr>
          <w:p w14:paraId="42CD6C44" w14:textId="781F186B" w:rsidR="003F6407" w:rsidRPr="00403C55" w:rsidRDefault="00854CE5" w:rsidP="003F50F9">
            <w:pPr>
              <w:rPr>
                <w:rFonts w:ascii="Times New Roman" w:hAnsi="Times New Roman" w:cs="Times New Roman"/>
                <w:lang w:val="fr-FR"/>
              </w:rPr>
            </w:pPr>
            <w:r w:rsidRPr="00403C55">
              <w:rPr>
                <w:rFonts w:ascii="Times New Roman" w:hAnsi="Times New Roman" w:cs="Times New Roman"/>
                <w:i/>
                <w:lang w:val="fr-FR"/>
              </w:rPr>
              <w:t xml:space="preserve">Taux de mise en œuvre </w:t>
            </w:r>
          </w:p>
        </w:tc>
      </w:tr>
      <w:tr w:rsidR="003F6407" w:rsidRPr="00403C55" w14:paraId="7A7D4F18" w14:textId="77777777" w:rsidTr="003F6407">
        <w:tc>
          <w:tcPr>
            <w:tcW w:w="7463" w:type="dxa"/>
          </w:tcPr>
          <w:p w14:paraId="3F2ED1AA" w14:textId="2F6C57E8" w:rsidR="003F6407" w:rsidRPr="00403C55" w:rsidRDefault="003F6407" w:rsidP="003F6407">
            <w:pPr>
              <w:rPr>
                <w:rFonts w:ascii="Times New Roman" w:hAnsi="Times New Roman" w:cs="Times New Roman"/>
                <w:lang w:val="fr-FR"/>
              </w:rPr>
            </w:pPr>
            <w:r w:rsidRPr="00403C55">
              <w:rPr>
                <w:rFonts w:ascii="Times New Roman" w:hAnsi="Times New Roman" w:cs="Times New Roman"/>
                <w:lang w:val="fr-FR"/>
              </w:rPr>
              <w:t xml:space="preserve">6.1. </w:t>
            </w:r>
            <w:r w:rsidR="00854CE5" w:rsidRPr="00403C55">
              <w:rPr>
                <w:rFonts w:ascii="Times New Roman" w:hAnsi="Times New Roman" w:cs="Times New Roman"/>
                <w:lang w:val="fr-FR"/>
              </w:rPr>
              <w:t xml:space="preserve">La surveillance des changements </w:t>
            </w:r>
            <w:r w:rsidR="00F82903">
              <w:rPr>
                <w:rFonts w:ascii="Times New Roman" w:hAnsi="Times New Roman" w:cs="Times New Roman"/>
                <w:lang w:val="fr-FR"/>
              </w:rPr>
              <w:t>intervenus dans la</w:t>
            </w:r>
            <w:r w:rsidR="00854CE5" w:rsidRPr="00403C55">
              <w:rPr>
                <w:rFonts w:ascii="Times New Roman" w:hAnsi="Times New Roman" w:cs="Times New Roman"/>
                <w:lang w:val="fr-FR"/>
              </w:rPr>
              <w:t xml:space="preserve"> taille </w:t>
            </w:r>
            <w:r w:rsidR="00F82903">
              <w:rPr>
                <w:rFonts w:ascii="Times New Roman" w:hAnsi="Times New Roman" w:cs="Times New Roman"/>
                <w:lang w:val="fr-FR"/>
              </w:rPr>
              <w:t xml:space="preserve">de la population </w:t>
            </w:r>
            <w:r w:rsidR="00854CE5" w:rsidRPr="00403C55">
              <w:rPr>
                <w:rFonts w:ascii="Times New Roman" w:hAnsi="Times New Roman" w:cs="Times New Roman"/>
                <w:lang w:val="fr-FR"/>
              </w:rPr>
              <w:t>est maintenue et les résultats sont rapportés.</w:t>
            </w:r>
          </w:p>
          <w:p w14:paraId="106098E2" w14:textId="7EFFBC34" w:rsidR="00CB076D" w:rsidRPr="00403C55" w:rsidRDefault="00854CE5" w:rsidP="003F50F9">
            <w:pPr>
              <w:rPr>
                <w:rFonts w:ascii="Times New Roman" w:hAnsi="Times New Roman" w:cs="Times New Roman"/>
                <w:lang w:val="fr-FR"/>
              </w:rPr>
            </w:pPr>
            <w:r w:rsidRPr="00403C55">
              <w:rPr>
                <w:rFonts w:ascii="Times New Roman" w:hAnsi="Times New Roman" w:cs="Times New Roman"/>
                <w:lang w:val="fr-FR"/>
              </w:rPr>
              <w:t xml:space="preserve">(s’applique aux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d’hivernage :</w:t>
            </w:r>
            <w:r w:rsidR="00CB076D" w:rsidRPr="00403C55">
              <w:rPr>
                <w:rFonts w:ascii="Times New Roman" w:hAnsi="Times New Roman" w:cs="Times New Roman"/>
                <w:lang w:val="fr-FR"/>
              </w:rPr>
              <w:t xml:space="preserve"> </w:t>
            </w:r>
            <w:r w:rsidRPr="00403C55">
              <w:rPr>
                <w:rFonts w:ascii="Times New Roman" w:hAnsi="Times New Roman" w:cs="Times New Roman"/>
                <w:lang w:val="fr-FR"/>
              </w:rPr>
              <w:t>Pays-Bas, Belgique, France, R-U, Irlande, Danemark, Allemagne, Pologne, Grèce) (</w:t>
            </w:r>
            <w:r w:rsidRPr="00403C55">
              <w:rPr>
                <w:rFonts w:ascii="Times New Roman" w:hAnsi="Times New Roman" w:cs="Times New Roman"/>
                <w:i/>
                <w:lang w:val="fr-FR"/>
              </w:rPr>
              <w:t>priorité essentielle</w:t>
            </w:r>
            <w:r w:rsidRPr="00403C55">
              <w:rPr>
                <w:rFonts w:ascii="Times New Roman" w:hAnsi="Times New Roman" w:cs="Times New Roman"/>
                <w:lang w:val="fr-FR"/>
              </w:rPr>
              <w:t>)</w:t>
            </w:r>
          </w:p>
        </w:tc>
        <w:tc>
          <w:tcPr>
            <w:tcW w:w="1597" w:type="dxa"/>
          </w:tcPr>
          <w:p w14:paraId="64D5D5F0" w14:textId="0C55C9A0" w:rsidR="003F6407" w:rsidRPr="00403C55" w:rsidRDefault="00CB076D" w:rsidP="003F6407">
            <w:pPr>
              <w:jc w:val="center"/>
              <w:rPr>
                <w:rFonts w:ascii="Times New Roman" w:hAnsi="Times New Roman" w:cs="Times New Roman"/>
                <w:lang w:val="fr-FR"/>
              </w:rPr>
            </w:pPr>
            <w:r w:rsidRPr="00403C55">
              <w:rPr>
                <w:rFonts w:ascii="Times New Roman" w:hAnsi="Times New Roman" w:cs="Times New Roman"/>
                <w:lang w:val="fr-FR"/>
              </w:rPr>
              <w:t>44</w:t>
            </w:r>
            <w:r w:rsidR="00854CE5"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3F6407" w:rsidRPr="00403C55" w14:paraId="1928FC27" w14:textId="77777777" w:rsidTr="003F6407">
        <w:tc>
          <w:tcPr>
            <w:tcW w:w="7463" w:type="dxa"/>
          </w:tcPr>
          <w:p w14:paraId="6D70DEBE" w14:textId="4F0F1435" w:rsidR="003F6407" w:rsidRPr="00403C55" w:rsidRDefault="003F6407" w:rsidP="003F6407">
            <w:pPr>
              <w:rPr>
                <w:rFonts w:ascii="Times New Roman" w:hAnsi="Times New Roman" w:cs="Times New Roman"/>
                <w:lang w:val="fr-FR"/>
              </w:rPr>
            </w:pPr>
            <w:r w:rsidRPr="00403C55">
              <w:rPr>
                <w:rFonts w:ascii="Times New Roman" w:hAnsi="Times New Roman" w:cs="Times New Roman"/>
                <w:lang w:val="fr-FR"/>
              </w:rPr>
              <w:t xml:space="preserve">6.2. </w:t>
            </w:r>
            <w:r w:rsidR="00854CE5" w:rsidRPr="00403C55">
              <w:rPr>
                <w:rFonts w:ascii="Times New Roman" w:hAnsi="Times New Roman" w:cs="Times New Roman"/>
                <w:lang w:val="fr-FR"/>
              </w:rPr>
              <w:t>La surveillance démographique coordonnée au niveau international (observations de baguage</w:t>
            </w:r>
            <w:r w:rsidR="0026234B" w:rsidRPr="00403C55">
              <w:rPr>
                <w:rFonts w:ascii="Times New Roman" w:hAnsi="Times New Roman" w:cs="Times New Roman"/>
                <w:lang w:val="fr-FR"/>
              </w:rPr>
              <w:t xml:space="preserve"> et structure d’âge) est poursuivie et analysée.</w:t>
            </w:r>
            <w:r w:rsidRPr="00403C55">
              <w:rPr>
                <w:rFonts w:ascii="Times New Roman" w:hAnsi="Times New Roman" w:cs="Times New Roman"/>
                <w:lang w:val="fr-FR"/>
              </w:rPr>
              <w:t xml:space="preserve"> </w:t>
            </w:r>
            <w:r w:rsidR="0026234B" w:rsidRPr="00403C55">
              <w:rPr>
                <w:rFonts w:ascii="Times New Roman" w:hAnsi="Times New Roman" w:cs="Times New Roman"/>
                <w:lang w:val="fr-FR"/>
              </w:rPr>
              <w:t xml:space="preserve">(s’applique aux </w:t>
            </w:r>
            <w:r w:rsidR="00FE6EE5">
              <w:rPr>
                <w:rFonts w:ascii="Times New Roman" w:hAnsi="Times New Roman" w:cs="Times New Roman"/>
                <w:lang w:val="fr-FR"/>
              </w:rPr>
              <w:t>États de l’aire de répartition</w:t>
            </w:r>
            <w:r w:rsidR="0026234B" w:rsidRPr="00403C55">
              <w:rPr>
                <w:rFonts w:ascii="Times New Roman" w:hAnsi="Times New Roman" w:cs="Times New Roman"/>
                <w:lang w:val="fr-FR"/>
              </w:rPr>
              <w:t xml:space="preserve"> d’hivernage :</w:t>
            </w:r>
            <w:r w:rsidRPr="00403C55">
              <w:rPr>
                <w:rFonts w:ascii="Times New Roman" w:hAnsi="Times New Roman" w:cs="Times New Roman"/>
                <w:lang w:val="fr-FR"/>
              </w:rPr>
              <w:t xml:space="preserve"> </w:t>
            </w:r>
            <w:r w:rsidR="0026234B" w:rsidRPr="00403C55">
              <w:rPr>
                <w:rFonts w:ascii="Times New Roman" w:hAnsi="Times New Roman" w:cs="Times New Roman"/>
                <w:lang w:val="fr-FR"/>
              </w:rPr>
              <w:t xml:space="preserve">Pays-Bas, Belgique, France, R-U, Irlande, Danemark, Allemagne, Pologne, Grèce) </w:t>
            </w:r>
          </w:p>
          <w:p w14:paraId="3450560A" w14:textId="760A6D25" w:rsidR="00D45179" w:rsidRPr="00403C55" w:rsidRDefault="0026234B" w:rsidP="003F50F9">
            <w:pPr>
              <w:rPr>
                <w:rFonts w:ascii="Times New Roman" w:hAnsi="Times New Roman" w:cs="Times New Roman"/>
                <w:i/>
                <w:lang w:val="fr-FR"/>
              </w:rPr>
            </w:pPr>
            <w:r w:rsidRPr="00403C55">
              <w:rPr>
                <w:rFonts w:ascii="Times New Roman" w:hAnsi="Times New Roman" w:cs="Times New Roman"/>
                <w:i/>
                <w:lang w:val="fr-FR"/>
              </w:rPr>
              <w:t>(priorité essentielle):</w:t>
            </w:r>
          </w:p>
        </w:tc>
        <w:tc>
          <w:tcPr>
            <w:tcW w:w="1597" w:type="dxa"/>
          </w:tcPr>
          <w:p w14:paraId="09017D1A" w14:textId="5224AA95" w:rsidR="003F6407" w:rsidRPr="00403C55" w:rsidRDefault="00CB076D" w:rsidP="003F6407">
            <w:pPr>
              <w:jc w:val="center"/>
              <w:rPr>
                <w:rFonts w:ascii="Times New Roman" w:hAnsi="Times New Roman" w:cs="Times New Roman"/>
                <w:lang w:val="fr-FR"/>
              </w:rPr>
            </w:pPr>
            <w:r w:rsidRPr="00403C55">
              <w:rPr>
                <w:rFonts w:ascii="Times New Roman" w:hAnsi="Times New Roman" w:cs="Times New Roman"/>
                <w:lang w:val="fr-FR"/>
              </w:rPr>
              <w:t>33</w:t>
            </w:r>
            <w:r w:rsidR="00854CE5"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3F6407" w:rsidRPr="00403C55" w14:paraId="050A859A" w14:textId="77777777" w:rsidTr="003F6407">
        <w:tc>
          <w:tcPr>
            <w:tcW w:w="7463" w:type="dxa"/>
          </w:tcPr>
          <w:p w14:paraId="545E365D" w14:textId="32A35347" w:rsidR="003F6407" w:rsidRPr="00403C55" w:rsidRDefault="003F6407" w:rsidP="003F50F9">
            <w:pPr>
              <w:rPr>
                <w:rFonts w:ascii="Times New Roman" w:hAnsi="Times New Roman" w:cs="Times New Roman"/>
                <w:lang w:val="fr-FR"/>
              </w:rPr>
            </w:pPr>
            <w:r w:rsidRPr="00403C55">
              <w:rPr>
                <w:rFonts w:ascii="Times New Roman" w:hAnsi="Times New Roman" w:cs="Times New Roman"/>
                <w:lang w:val="fr-FR"/>
              </w:rPr>
              <w:t xml:space="preserve">6.3. </w:t>
            </w:r>
            <w:r w:rsidR="00492F49" w:rsidRPr="00403C55">
              <w:rPr>
                <w:rFonts w:ascii="Times New Roman" w:hAnsi="Times New Roman" w:cs="Times New Roman"/>
                <w:lang w:val="fr-FR"/>
              </w:rPr>
              <w:t>Un p</w:t>
            </w:r>
            <w:r w:rsidR="0026234B" w:rsidRPr="00403C55">
              <w:rPr>
                <w:rFonts w:ascii="Times New Roman" w:hAnsi="Times New Roman" w:cs="Times New Roman"/>
                <w:lang w:val="fr-FR"/>
              </w:rPr>
              <w:t>rogramme de surveillance de la distribution de reproduction, des succès de reproduction et des changements d’habitats est mis en œuvre.</w:t>
            </w:r>
            <w:r w:rsidRPr="00403C55">
              <w:rPr>
                <w:rFonts w:ascii="Times New Roman" w:hAnsi="Times New Roman" w:cs="Times New Roman"/>
                <w:lang w:val="fr-FR"/>
              </w:rPr>
              <w:t xml:space="preserve"> </w:t>
            </w:r>
            <w:r w:rsidR="0026234B" w:rsidRPr="00403C55">
              <w:rPr>
                <w:rFonts w:ascii="Times New Roman" w:hAnsi="Times New Roman" w:cs="Times New Roman"/>
                <w:lang w:val="fr-FR"/>
              </w:rPr>
              <w:t>Russie (</w:t>
            </w:r>
            <w:r w:rsidR="0026234B" w:rsidRPr="00403C55">
              <w:rPr>
                <w:rFonts w:ascii="Times New Roman" w:hAnsi="Times New Roman" w:cs="Times New Roman"/>
                <w:i/>
                <w:lang w:val="fr-FR"/>
              </w:rPr>
              <w:t>priorité élevée</w:t>
            </w:r>
            <w:r w:rsidR="0026234B" w:rsidRPr="00403C55">
              <w:rPr>
                <w:rFonts w:ascii="Times New Roman" w:hAnsi="Times New Roman" w:cs="Times New Roman"/>
                <w:lang w:val="fr-FR"/>
              </w:rPr>
              <w:t>)</w:t>
            </w:r>
          </w:p>
        </w:tc>
        <w:tc>
          <w:tcPr>
            <w:tcW w:w="1597" w:type="dxa"/>
          </w:tcPr>
          <w:p w14:paraId="3D587197" w14:textId="63B0FD74" w:rsidR="003F6407" w:rsidRPr="00403C55" w:rsidRDefault="003F6407" w:rsidP="003F6407">
            <w:pPr>
              <w:jc w:val="center"/>
              <w:rPr>
                <w:rFonts w:ascii="Times New Roman" w:hAnsi="Times New Roman" w:cs="Times New Roman"/>
                <w:lang w:val="fr-FR"/>
              </w:rPr>
            </w:pPr>
            <w:r w:rsidRPr="00403C55">
              <w:rPr>
                <w:rFonts w:ascii="Times New Roman" w:hAnsi="Times New Roman" w:cs="Times New Roman"/>
                <w:lang w:val="fr-FR"/>
              </w:rPr>
              <w:t>0</w:t>
            </w:r>
            <w:r w:rsidR="00854CE5"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3F6407" w:rsidRPr="00403C55" w14:paraId="7CC22C79" w14:textId="77777777" w:rsidTr="003F6407">
        <w:tc>
          <w:tcPr>
            <w:tcW w:w="7463" w:type="dxa"/>
          </w:tcPr>
          <w:p w14:paraId="7FB40CF4" w14:textId="69558778" w:rsidR="003F6407" w:rsidRPr="00403C55" w:rsidRDefault="003F6407" w:rsidP="00F82903">
            <w:pPr>
              <w:rPr>
                <w:rFonts w:ascii="Times New Roman" w:hAnsi="Times New Roman" w:cs="Times New Roman"/>
                <w:lang w:val="fr-FR"/>
              </w:rPr>
            </w:pPr>
            <w:r w:rsidRPr="00403C55">
              <w:rPr>
                <w:rFonts w:ascii="Times New Roman" w:hAnsi="Times New Roman" w:cs="Times New Roman"/>
                <w:lang w:val="fr-FR"/>
              </w:rPr>
              <w:t xml:space="preserve">6.4. </w:t>
            </w:r>
            <w:r w:rsidR="0026234B" w:rsidRPr="00403C55">
              <w:rPr>
                <w:rFonts w:ascii="Times New Roman" w:hAnsi="Times New Roman" w:cs="Times New Roman"/>
                <w:lang w:val="fr-FR"/>
              </w:rPr>
              <w:t xml:space="preserve">Développement et mise en œuvre de programmes de surveillance des effectifs, de l’utilisation des sites et du calendrier d’utilisation, sur les sites clés de mue et de </w:t>
            </w:r>
            <w:r w:rsidR="00F82903">
              <w:rPr>
                <w:rFonts w:ascii="Times New Roman" w:hAnsi="Times New Roman" w:cs="Times New Roman"/>
                <w:lang w:val="fr-FR"/>
              </w:rPr>
              <w:t>halte</w:t>
            </w:r>
            <w:r w:rsidR="0026234B" w:rsidRPr="00403C55">
              <w:rPr>
                <w:rFonts w:ascii="Times New Roman" w:hAnsi="Times New Roman" w:cs="Times New Roman"/>
                <w:lang w:val="fr-FR"/>
              </w:rPr>
              <w:t xml:space="preserve"> (y compris les sites pré-migration).</w:t>
            </w:r>
            <w:r w:rsidR="00D45179" w:rsidRPr="00403C55">
              <w:rPr>
                <w:rFonts w:ascii="Times New Roman" w:hAnsi="Times New Roman" w:cs="Times New Roman"/>
                <w:lang w:val="fr-FR"/>
              </w:rPr>
              <w:t xml:space="preserve"> </w:t>
            </w:r>
            <w:r w:rsidR="0026234B" w:rsidRPr="00403C55">
              <w:rPr>
                <w:rFonts w:ascii="Times New Roman" w:hAnsi="Times New Roman" w:cs="Times New Roman"/>
                <w:i/>
                <w:lang w:val="fr-FR"/>
              </w:rPr>
              <w:t>(Le R-U a indiqué que cette activité n’est pas applicable) (priorité élevée)</w:t>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r w:rsidRPr="00403C55">
              <w:rPr>
                <w:rFonts w:ascii="Times New Roman" w:hAnsi="Times New Roman" w:cs="Times New Roman"/>
                <w:lang w:val="fr-FR"/>
              </w:rPr>
              <w:tab/>
            </w:r>
          </w:p>
        </w:tc>
        <w:tc>
          <w:tcPr>
            <w:tcW w:w="1597" w:type="dxa"/>
          </w:tcPr>
          <w:p w14:paraId="3961ECB2" w14:textId="17F8377D" w:rsidR="003F6407" w:rsidRPr="00403C55" w:rsidRDefault="00F1592C" w:rsidP="00F1592C">
            <w:pPr>
              <w:jc w:val="center"/>
              <w:rPr>
                <w:rFonts w:ascii="Times New Roman" w:hAnsi="Times New Roman" w:cs="Times New Roman"/>
                <w:lang w:val="fr-FR"/>
              </w:rPr>
            </w:pPr>
            <w:r w:rsidRPr="00403C55">
              <w:rPr>
                <w:rFonts w:ascii="Times New Roman" w:hAnsi="Times New Roman" w:cs="Times New Roman"/>
                <w:lang w:val="fr-FR"/>
              </w:rPr>
              <w:t>21</w:t>
            </w:r>
            <w:r w:rsidR="00854CE5"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5166E12D" w14:textId="77777777" w:rsidR="003F6407" w:rsidRPr="00403C55" w:rsidRDefault="003F6407" w:rsidP="00EC0BB1">
      <w:pPr>
        <w:spacing w:after="0" w:line="240" w:lineRule="auto"/>
        <w:rPr>
          <w:rFonts w:ascii="Times New Roman" w:hAnsi="Times New Roman" w:cs="Times New Roman"/>
          <w:lang w:val="fr-FR"/>
        </w:rPr>
      </w:pPr>
    </w:p>
    <w:p w14:paraId="7F9BFE29" w14:textId="3E97A910" w:rsidR="005C126E" w:rsidRPr="00403C55" w:rsidRDefault="0026234B" w:rsidP="005C126E">
      <w:pPr>
        <w:spacing w:after="0" w:line="240" w:lineRule="auto"/>
        <w:jc w:val="both"/>
        <w:rPr>
          <w:rFonts w:ascii="Times New Roman" w:hAnsi="Times New Roman" w:cs="Times New Roman"/>
          <w:b/>
          <w:lang w:val="fr-FR"/>
        </w:rPr>
      </w:pPr>
      <w:r w:rsidRPr="00403C55">
        <w:rPr>
          <w:rFonts w:ascii="Times New Roman" w:hAnsi="Times New Roman" w:cs="Times New Roman"/>
          <w:b/>
          <w:lang w:val="fr-FR"/>
        </w:rPr>
        <w:t>Taux de mise en œuvre moyen :</w:t>
      </w:r>
      <w:r w:rsidR="005C126E" w:rsidRPr="00403C55">
        <w:rPr>
          <w:rFonts w:ascii="Times New Roman" w:hAnsi="Times New Roman" w:cs="Times New Roman"/>
          <w:b/>
          <w:lang w:val="fr-FR"/>
        </w:rPr>
        <w:t xml:space="preserve"> </w:t>
      </w:r>
      <w:r w:rsidR="00F1592C" w:rsidRPr="00403C55">
        <w:rPr>
          <w:rFonts w:ascii="Times New Roman" w:hAnsi="Times New Roman" w:cs="Times New Roman"/>
          <w:b/>
          <w:lang w:val="fr-FR"/>
        </w:rPr>
        <w:t>25</w:t>
      </w:r>
      <w:r w:rsidRPr="00403C55">
        <w:rPr>
          <w:rFonts w:ascii="Times New Roman" w:hAnsi="Times New Roman" w:cs="Times New Roman"/>
          <w:b/>
          <w:lang w:val="fr-FR"/>
        </w:rPr>
        <w:t xml:space="preserve"> </w:t>
      </w:r>
      <w:r w:rsidR="00F1592C" w:rsidRPr="00403C55">
        <w:rPr>
          <w:rFonts w:ascii="Times New Roman" w:hAnsi="Times New Roman" w:cs="Times New Roman"/>
          <w:b/>
          <w:lang w:val="fr-FR"/>
        </w:rPr>
        <w:t>%</w:t>
      </w:r>
    </w:p>
    <w:p w14:paraId="2353148F" w14:textId="77777777" w:rsidR="005C126E" w:rsidRPr="00403C55" w:rsidRDefault="005C126E" w:rsidP="005C126E">
      <w:pPr>
        <w:spacing w:after="0" w:line="240" w:lineRule="auto"/>
        <w:jc w:val="both"/>
        <w:rPr>
          <w:rFonts w:ascii="Times New Roman" w:hAnsi="Times New Roman" w:cs="Times New Roman"/>
          <w:lang w:val="fr-FR"/>
        </w:rPr>
      </w:pPr>
    </w:p>
    <w:p w14:paraId="094D4B66" w14:textId="64EE42D7" w:rsidR="005C126E" w:rsidRPr="00403C55" w:rsidRDefault="005C126E" w:rsidP="005C126E">
      <w:pPr>
        <w:spacing w:after="0" w:line="240" w:lineRule="auto"/>
        <w:jc w:val="both"/>
        <w:rPr>
          <w:rFonts w:ascii="Times New Roman" w:hAnsi="Times New Roman" w:cs="Times New Roman"/>
          <w:i/>
          <w:lang w:val="fr-FR"/>
        </w:rPr>
      </w:pPr>
      <w:r w:rsidRPr="00403C55">
        <w:rPr>
          <w:rFonts w:ascii="Times New Roman" w:hAnsi="Times New Roman" w:cs="Times New Roman"/>
          <w:i/>
          <w:lang w:val="fr-FR"/>
        </w:rPr>
        <w:t xml:space="preserve">5.7. </w:t>
      </w:r>
      <w:r w:rsidR="0026234B" w:rsidRPr="00403C55">
        <w:rPr>
          <w:rFonts w:ascii="Times New Roman" w:hAnsi="Times New Roman" w:cs="Times New Roman"/>
          <w:i/>
          <w:lang w:val="fr-FR"/>
        </w:rPr>
        <w:t>Résultat 7 – Échanges avec d’autres populations et influence sur la tendance de la population du nord-ouest de l’Europe mieux compris</w:t>
      </w:r>
    </w:p>
    <w:p w14:paraId="7876C622" w14:textId="77777777" w:rsidR="005C126E" w:rsidRPr="00403C55" w:rsidRDefault="005C126E" w:rsidP="00EC0BB1">
      <w:pPr>
        <w:spacing w:after="0" w:line="240" w:lineRule="auto"/>
        <w:rPr>
          <w:rFonts w:ascii="Times New Roman" w:hAnsi="Times New Roman" w:cs="Times New Roman"/>
          <w:lang w:val="fr-FR"/>
        </w:rPr>
      </w:pPr>
    </w:p>
    <w:p w14:paraId="4BC2BEF1" w14:textId="12CA6795" w:rsidR="005C126E" w:rsidRPr="00403C55" w:rsidRDefault="0026234B" w:rsidP="00EC0BB1">
      <w:pPr>
        <w:spacing w:after="0" w:line="240" w:lineRule="auto"/>
        <w:rPr>
          <w:rFonts w:ascii="Times New Roman" w:hAnsi="Times New Roman" w:cs="Times New Roman"/>
          <w:lang w:val="fr-FR"/>
        </w:rPr>
      </w:pPr>
      <w:r w:rsidRPr="00403C55">
        <w:rPr>
          <w:rFonts w:ascii="Times New Roman" w:hAnsi="Times New Roman" w:cs="Times New Roman"/>
          <w:lang w:val="fr-FR"/>
        </w:rPr>
        <w:t>Seul le R-U a indiqué avoir mis en œuvre l’activité 7.1 relative à la poursuite/l’initiation d’études telles que le suivi à distance de la migration des cygnes, en vue de décrire les échanges entre populations (7 % /</w:t>
      </w:r>
      <w:r w:rsidRPr="00403C55">
        <w:rPr>
          <w:rFonts w:ascii="Times New Roman" w:hAnsi="Times New Roman" w:cs="Times New Roman"/>
          <w:i/>
          <w:lang w:val="fr-FR"/>
        </w:rPr>
        <w:t xml:space="preserve"> faible priorité</w:t>
      </w:r>
      <w:r w:rsidRPr="00403C55">
        <w:rPr>
          <w:rFonts w:ascii="Times New Roman" w:hAnsi="Times New Roman" w:cs="Times New Roman"/>
          <w:lang w:val="fr-FR"/>
        </w:rPr>
        <w:t>).</w:t>
      </w:r>
    </w:p>
    <w:p w14:paraId="3A95D7EE" w14:textId="77777777" w:rsidR="005C126E" w:rsidRPr="00403C55" w:rsidRDefault="005C126E" w:rsidP="00EC0BB1">
      <w:pPr>
        <w:spacing w:after="0" w:line="240" w:lineRule="auto"/>
        <w:rPr>
          <w:rFonts w:ascii="Times New Roman" w:hAnsi="Times New Roman" w:cs="Times New Roman"/>
          <w:lang w:val="fr-FR"/>
        </w:rPr>
      </w:pPr>
    </w:p>
    <w:p w14:paraId="2189969C" w14:textId="35588DE4" w:rsidR="005C126E" w:rsidRPr="00403C55" w:rsidRDefault="0026234B" w:rsidP="00EC0BB1">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5C126E" w:rsidRPr="00403C55">
        <w:rPr>
          <w:rFonts w:ascii="Times New Roman" w:hAnsi="Times New Roman" w:cs="Times New Roman"/>
          <w:b/>
          <w:lang w:val="fr-FR"/>
        </w:rPr>
        <w:t xml:space="preserve"> </w:t>
      </w:r>
      <w:r w:rsidR="00B36776" w:rsidRPr="00403C55">
        <w:rPr>
          <w:rFonts w:ascii="Times New Roman" w:hAnsi="Times New Roman" w:cs="Times New Roman"/>
          <w:b/>
          <w:lang w:val="fr-FR"/>
        </w:rPr>
        <w:t>7</w:t>
      </w:r>
      <w:r w:rsidRPr="00403C55">
        <w:rPr>
          <w:rFonts w:ascii="Times New Roman" w:hAnsi="Times New Roman" w:cs="Times New Roman"/>
          <w:b/>
          <w:lang w:val="fr-FR"/>
        </w:rPr>
        <w:t xml:space="preserve"> </w:t>
      </w:r>
      <w:r w:rsidR="00B36776" w:rsidRPr="00403C55">
        <w:rPr>
          <w:rFonts w:ascii="Times New Roman" w:hAnsi="Times New Roman" w:cs="Times New Roman"/>
          <w:b/>
          <w:lang w:val="fr-FR"/>
        </w:rPr>
        <w:t>%</w:t>
      </w:r>
    </w:p>
    <w:p w14:paraId="3663ADA6" w14:textId="77777777" w:rsidR="005C126E" w:rsidRPr="00403C55" w:rsidRDefault="005C126E" w:rsidP="00EC0BB1">
      <w:pPr>
        <w:spacing w:after="0" w:line="240" w:lineRule="auto"/>
        <w:rPr>
          <w:rFonts w:ascii="Times New Roman" w:hAnsi="Times New Roman" w:cs="Times New Roman"/>
          <w:b/>
          <w:lang w:val="fr-FR"/>
        </w:rPr>
      </w:pPr>
    </w:p>
    <w:p w14:paraId="6C342895" w14:textId="69A6AF7C" w:rsidR="005C126E" w:rsidRPr="00403C55" w:rsidRDefault="005C126E" w:rsidP="00EC0BB1">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5.8. </w:t>
      </w:r>
      <w:r w:rsidR="0026234B" w:rsidRPr="00403C55">
        <w:rPr>
          <w:rFonts w:ascii="Times New Roman" w:hAnsi="Times New Roman" w:cs="Times New Roman"/>
          <w:i/>
          <w:lang w:val="fr-FR"/>
        </w:rPr>
        <w:t xml:space="preserve">Résultat 8 </w:t>
      </w:r>
      <w:r w:rsidR="00440771" w:rsidRPr="00403C55">
        <w:rPr>
          <w:rFonts w:ascii="Times New Roman" w:hAnsi="Times New Roman" w:cs="Times New Roman"/>
          <w:i/>
          <w:lang w:val="fr-FR"/>
        </w:rPr>
        <w:t>–</w:t>
      </w:r>
      <w:r w:rsidR="0026234B" w:rsidRPr="00403C55">
        <w:rPr>
          <w:rFonts w:ascii="Times New Roman" w:hAnsi="Times New Roman" w:cs="Times New Roman"/>
          <w:i/>
          <w:lang w:val="fr-FR"/>
        </w:rPr>
        <w:t xml:space="preserve"> </w:t>
      </w:r>
      <w:r w:rsidR="00440771" w:rsidRPr="00403C55">
        <w:rPr>
          <w:rFonts w:ascii="Times New Roman" w:hAnsi="Times New Roman" w:cs="Times New Roman"/>
          <w:i/>
          <w:lang w:val="fr-FR"/>
        </w:rPr>
        <w:t>Les c</w:t>
      </w:r>
      <w:r w:rsidR="0026234B" w:rsidRPr="00403C55">
        <w:rPr>
          <w:rFonts w:ascii="Times New Roman" w:hAnsi="Times New Roman" w:cs="Times New Roman"/>
          <w:i/>
          <w:lang w:val="fr-FR"/>
        </w:rPr>
        <w:t>hange</w:t>
      </w:r>
      <w:r w:rsidR="00440771" w:rsidRPr="00403C55">
        <w:rPr>
          <w:rFonts w:ascii="Times New Roman" w:hAnsi="Times New Roman" w:cs="Times New Roman"/>
          <w:i/>
          <w:lang w:val="fr-FR"/>
        </w:rPr>
        <w:t>ment</w:t>
      </w:r>
      <w:r w:rsidR="0026234B" w:rsidRPr="00403C55">
        <w:rPr>
          <w:rFonts w:ascii="Times New Roman" w:hAnsi="Times New Roman" w:cs="Times New Roman"/>
          <w:i/>
          <w:lang w:val="fr-FR"/>
        </w:rPr>
        <w:t xml:space="preserve">s </w:t>
      </w:r>
      <w:r w:rsidR="00440771" w:rsidRPr="00403C55">
        <w:rPr>
          <w:rFonts w:ascii="Times New Roman" w:hAnsi="Times New Roman" w:cs="Times New Roman"/>
          <w:i/>
          <w:lang w:val="fr-FR"/>
        </w:rPr>
        <w:t>d’importance</w:t>
      </w:r>
      <w:r w:rsidR="0026234B" w:rsidRPr="00403C55">
        <w:rPr>
          <w:rFonts w:ascii="Times New Roman" w:hAnsi="Times New Roman" w:cs="Times New Roman"/>
          <w:i/>
          <w:lang w:val="fr-FR"/>
        </w:rPr>
        <w:t xml:space="preserve"> relative </w:t>
      </w:r>
      <w:r w:rsidR="00440771" w:rsidRPr="00403C55">
        <w:rPr>
          <w:rFonts w:ascii="Times New Roman" w:hAnsi="Times New Roman" w:cs="Times New Roman"/>
          <w:i/>
          <w:lang w:val="fr-FR"/>
        </w:rPr>
        <w:t>des facteurs de mortalité induits par l’homme sont mieux compris</w:t>
      </w:r>
      <w:r w:rsidR="0026234B" w:rsidRPr="00403C55">
        <w:rPr>
          <w:rFonts w:ascii="Times New Roman" w:hAnsi="Times New Roman" w:cs="Times New Roman"/>
          <w:i/>
          <w:lang w:val="fr-FR"/>
        </w:rPr>
        <w:t xml:space="preserve">, </w:t>
      </w:r>
      <w:r w:rsidR="00440771" w:rsidRPr="00403C55">
        <w:rPr>
          <w:rFonts w:ascii="Times New Roman" w:hAnsi="Times New Roman" w:cs="Times New Roman"/>
          <w:i/>
          <w:lang w:val="fr-FR"/>
        </w:rPr>
        <w:t>et les menaces émergentes sont détectées</w:t>
      </w:r>
      <w:r w:rsidR="00D45179" w:rsidRPr="00403C55">
        <w:rPr>
          <w:rFonts w:ascii="Times New Roman" w:hAnsi="Times New Roman" w:cs="Times New Roman"/>
          <w:i/>
          <w:lang w:val="fr-FR"/>
        </w:rPr>
        <w:t xml:space="preserve"> </w:t>
      </w:r>
    </w:p>
    <w:p w14:paraId="0BC7DCA0" w14:textId="4AAF4E1E" w:rsidR="00EC0BB1" w:rsidRPr="00403C55" w:rsidRDefault="00EC0BB1" w:rsidP="00EC0BB1">
      <w:pPr>
        <w:spacing w:after="0" w:line="240" w:lineRule="auto"/>
        <w:rPr>
          <w:rFonts w:ascii="Times New Roman" w:hAnsi="Times New Roman" w:cs="Times New Roman"/>
          <w:i/>
          <w:lang w:val="fr-FR"/>
        </w:rPr>
      </w:pPr>
    </w:p>
    <w:p w14:paraId="60A0ABF9" w14:textId="4FD6CF48" w:rsidR="005C126E" w:rsidRPr="00403C55" w:rsidRDefault="00440771" w:rsidP="00EC0BB1">
      <w:pPr>
        <w:spacing w:after="0" w:line="240" w:lineRule="auto"/>
        <w:rPr>
          <w:rFonts w:ascii="Times New Roman" w:hAnsi="Times New Roman" w:cs="Times New Roman"/>
          <w:lang w:val="fr-FR"/>
        </w:rPr>
      </w:pPr>
      <w:r w:rsidRPr="00403C55">
        <w:rPr>
          <w:rFonts w:ascii="Times New Roman" w:hAnsi="Times New Roman" w:cs="Times New Roman"/>
          <w:lang w:val="fr-FR"/>
        </w:rPr>
        <w:t xml:space="preserve">Seuls les Pays-Bas ont indiqué avoir mis en place des mesures pour améliorer la surveillance des oiseaux morts (activité 1.8 / 7% / </w:t>
      </w:r>
      <w:r w:rsidRPr="00403C55">
        <w:rPr>
          <w:rFonts w:ascii="Times New Roman" w:hAnsi="Times New Roman" w:cs="Times New Roman"/>
          <w:i/>
          <w:lang w:val="fr-FR"/>
        </w:rPr>
        <w:t>priorité élevée</w:t>
      </w:r>
      <w:r w:rsidRPr="00403C55">
        <w:rPr>
          <w:rFonts w:ascii="Times New Roman" w:hAnsi="Times New Roman" w:cs="Times New Roman"/>
          <w:lang w:val="fr-FR"/>
        </w:rPr>
        <w:t>), bien que la Belgique, la France et le R-U aient indiqué une mise en œuvre partielle.</w:t>
      </w:r>
      <w:r w:rsidR="00B36776" w:rsidRPr="00403C55">
        <w:rPr>
          <w:rFonts w:ascii="Times New Roman" w:hAnsi="Times New Roman" w:cs="Times New Roman"/>
          <w:lang w:val="fr-FR"/>
        </w:rPr>
        <w:t xml:space="preserve"> </w:t>
      </w:r>
      <w:r w:rsidRPr="00403C55">
        <w:rPr>
          <w:rFonts w:ascii="Times New Roman" w:hAnsi="Times New Roman" w:cs="Times New Roman"/>
          <w:lang w:val="fr-FR"/>
        </w:rPr>
        <w:t>Aucun pays n’a fait part de la mise en œuvre de l’activité 8.2 relative à la prise de mesures pour développer une base de données internationale des oiseaux morts, enregistrant la cause de la mort des cygnes de Bewick (0 % /</w:t>
      </w:r>
      <w:r w:rsidRPr="00403C55">
        <w:rPr>
          <w:rFonts w:ascii="Times New Roman" w:hAnsi="Times New Roman" w:cs="Times New Roman"/>
          <w:i/>
          <w:lang w:val="fr-FR"/>
        </w:rPr>
        <w:t xml:space="preserve"> priorité moyenne</w:t>
      </w:r>
      <w:r w:rsidRPr="00403C55">
        <w:rPr>
          <w:rFonts w:ascii="Times New Roman" w:hAnsi="Times New Roman" w:cs="Times New Roman"/>
          <w:lang w:val="fr-FR"/>
        </w:rPr>
        <w:t>).</w:t>
      </w:r>
    </w:p>
    <w:p w14:paraId="495D0C52" w14:textId="77777777" w:rsidR="005C126E" w:rsidRDefault="005C126E" w:rsidP="00EC0BB1">
      <w:pPr>
        <w:spacing w:after="0" w:line="240" w:lineRule="auto"/>
        <w:rPr>
          <w:rFonts w:ascii="Times New Roman" w:hAnsi="Times New Roman" w:cs="Times New Roman"/>
          <w:lang w:val="fr-FR"/>
        </w:rPr>
      </w:pPr>
    </w:p>
    <w:p w14:paraId="6F07F48B" w14:textId="77777777" w:rsidR="0047016D" w:rsidRDefault="0047016D" w:rsidP="00EC0BB1">
      <w:pPr>
        <w:spacing w:after="0" w:line="240" w:lineRule="auto"/>
        <w:rPr>
          <w:rFonts w:ascii="Times New Roman" w:hAnsi="Times New Roman" w:cs="Times New Roman"/>
          <w:lang w:val="fr-FR"/>
        </w:rPr>
      </w:pPr>
    </w:p>
    <w:p w14:paraId="1F3D758E" w14:textId="77777777" w:rsidR="0047016D" w:rsidRDefault="0047016D" w:rsidP="00EC0BB1">
      <w:pPr>
        <w:spacing w:after="0" w:line="240" w:lineRule="auto"/>
        <w:rPr>
          <w:rFonts w:ascii="Times New Roman" w:hAnsi="Times New Roman" w:cs="Times New Roman"/>
          <w:lang w:val="fr-FR"/>
        </w:rPr>
      </w:pPr>
    </w:p>
    <w:p w14:paraId="13D38DBF" w14:textId="77777777" w:rsidR="0047016D" w:rsidRDefault="0047016D" w:rsidP="00EC0BB1">
      <w:pPr>
        <w:spacing w:after="0" w:line="240" w:lineRule="auto"/>
        <w:rPr>
          <w:rFonts w:ascii="Times New Roman" w:hAnsi="Times New Roman" w:cs="Times New Roman"/>
          <w:lang w:val="fr-FR"/>
        </w:rPr>
      </w:pPr>
    </w:p>
    <w:p w14:paraId="35F1A4F7" w14:textId="77777777" w:rsidR="0047016D" w:rsidRDefault="0047016D" w:rsidP="00EC0BB1">
      <w:pPr>
        <w:spacing w:after="0" w:line="240" w:lineRule="auto"/>
        <w:rPr>
          <w:rFonts w:ascii="Times New Roman" w:hAnsi="Times New Roman" w:cs="Times New Roman"/>
          <w:lang w:val="fr-FR"/>
        </w:rPr>
      </w:pPr>
    </w:p>
    <w:p w14:paraId="125263A3" w14:textId="77777777" w:rsidR="0047016D" w:rsidRDefault="0047016D" w:rsidP="00EC0BB1">
      <w:pPr>
        <w:spacing w:after="0" w:line="240" w:lineRule="auto"/>
        <w:rPr>
          <w:rFonts w:ascii="Times New Roman" w:hAnsi="Times New Roman" w:cs="Times New Roman"/>
          <w:lang w:val="fr-FR"/>
        </w:rPr>
      </w:pPr>
    </w:p>
    <w:p w14:paraId="7DC517C3" w14:textId="77777777" w:rsidR="0047016D" w:rsidRPr="00403C55" w:rsidRDefault="0047016D" w:rsidP="00EC0BB1">
      <w:pPr>
        <w:spacing w:after="0" w:line="240" w:lineRule="auto"/>
        <w:rPr>
          <w:rFonts w:ascii="Times New Roman" w:hAnsi="Times New Roman" w:cs="Times New Roman"/>
          <w:lang w:val="fr-FR"/>
        </w:rPr>
      </w:pPr>
    </w:p>
    <w:p w14:paraId="6D8E5EBA" w14:textId="2E98EDBD" w:rsidR="005C126E" w:rsidRPr="00403C55" w:rsidRDefault="00440771" w:rsidP="00EC0BB1">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5C126E" w:rsidRPr="00403C55">
        <w:rPr>
          <w:rFonts w:ascii="Times New Roman" w:hAnsi="Times New Roman" w:cs="Times New Roman"/>
          <w:b/>
          <w:lang w:val="fr-FR"/>
        </w:rPr>
        <w:t xml:space="preserve"> </w:t>
      </w:r>
      <w:r w:rsidR="00B36776" w:rsidRPr="00403C55">
        <w:rPr>
          <w:rFonts w:ascii="Times New Roman" w:hAnsi="Times New Roman" w:cs="Times New Roman"/>
          <w:b/>
          <w:lang w:val="fr-FR"/>
        </w:rPr>
        <w:t>4</w:t>
      </w:r>
      <w:r w:rsidRPr="00403C55">
        <w:rPr>
          <w:rFonts w:ascii="Times New Roman" w:hAnsi="Times New Roman" w:cs="Times New Roman"/>
          <w:b/>
          <w:lang w:val="fr-FR"/>
        </w:rPr>
        <w:t xml:space="preserve"> </w:t>
      </w:r>
      <w:r w:rsidR="00B36776" w:rsidRPr="00403C55">
        <w:rPr>
          <w:rFonts w:ascii="Times New Roman" w:hAnsi="Times New Roman" w:cs="Times New Roman"/>
          <w:b/>
          <w:lang w:val="fr-FR"/>
        </w:rPr>
        <w:t>%</w:t>
      </w:r>
    </w:p>
    <w:p w14:paraId="09D50361" w14:textId="77777777" w:rsidR="005C126E" w:rsidRPr="00403C55" w:rsidRDefault="005C126E" w:rsidP="00EC0BB1">
      <w:pPr>
        <w:spacing w:after="0" w:line="240" w:lineRule="auto"/>
        <w:rPr>
          <w:rFonts w:ascii="Times New Roman" w:hAnsi="Times New Roman" w:cs="Times New Roman"/>
          <w:lang w:val="fr-FR"/>
        </w:rPr>
      </w:pPr>
    </w:p>
    <w:p w14:paraId="3748E6B4" w14:textId="633B2D1B" w:rsidR="005C126E" w:rsidRPr="00403C55" w:rsidRDefault="005C126E" w:rsidP="00EC0BB1">
      <w:pPr>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5.9. </w:t>
      </w:r>
      <w:r w:rsidR="00440771" w:rsidRPr="00403C55">
        <w:rPr>
          <w:rFonts w:ascii="Times New Roman" w:hAnsi="Times New Roman" w:cs="Times New Roman"/>
          <w:i/>
          <w:lang w:val="fr-FR"/>
        </w:rPr>
        <w:t>Résultat 9 – L’influence des sites individuels sur le développement de la population est mieux comprise</w:t>
      </w:r>
    </w:p>
    <w:p w14:paraId="0FEDD5F4" w14:textId="77777777" w:rsidR="005C126E" w:rsidRPr="00403C55" w:rsidRDefault="005C126E" w:rsidP="00EC0BB1">
      <w:pPr>
        <w:spacing w:after="0" w:line="240" w:lineRule="auto"/>
        <w:rPr>
          <w:rFonts w:ascii="Times New Roman" w:hAnsi="Times New Roman" w:cs="Times New Roman"/>
          <w:i/>
          <w:lang w:val="fr-FR"/>
        </w:rPr>
      </w:pPr>
    </w:p>
    <w:tbl>
      <w:tblPr>
        <w:tblStyle w:val="TableGrid"/>
        <w:tblW w:w="0" w:type="auto"/>
        <w:tblLook w:val="04A0" w:firstRow="1" w:lastRow="0" w:firstColumn="1" w:lastColumn="0" w:noHBand="0" w:noVBand="1"/>
      </w:tblPr>
      <w:tblGrid>
        <w:gridCol w:w="7463"/>
        <w:gridCol w:w="1597"/>
      </w:tblGrid>
      <w:tr w:rsidR="005C126E" w:rsidRPr="00DE4CF4" w14:paraId="57ED3B84" w14:textId="77777777" w:rsidTr="00035F0B">
        <w:tc>
          <w:tcPr>
            <w:tcW w:w="7463" w:type="dxa"/>
            <w:shd w:val="clear" w:color="auto" w:fill="DBE5F1" w:themeFill="accent1" w:themeFillTint="33"/>
          </w:tcPr>
          <w:p w14:paraId="317B291D" w14:textId="200FEB4E" w:rsidR="005C126E" w:rsidRPr="00403C55" w:rsidRDefault="00440771" w:rsidP="003F50F9">
            <w:pPr>
              <w:rPr>
                <w:rFonts w:ascii="Times New Roman" w:hAnsi="Times New Roman" w:cs="Times New Roman"/>
                <w:lang w:val="fr-FR"/>
              </w:rPr>
            </w:pPr>
            <w:r w:rsidRPr="00403C55">
              <w:rPr>
                <w:rFonts w:ascii="Times New Roman" w:hAnsi="Times New Roman" w:cs="Times New Roman"/>
                <w:i/>
                <w:lang w:val="fr-FR"/>
              </w:rPr>
              <w:t>Activité</w:t>
            </w:r>
          </w:p>
        </w:tc>
        <w:tc>
          <w:tcPr>
            <w:tcW w:w="1597" w:type="dxa"/>
            <w:shd w:val="clear" w:color="auto" w:fill="DBE5F1" w:themeFill="accent1" w:themeFillTint="33"/>
          </w:tcPr>
          <w:p w14:paraId="5CE4FDE6" w14:textId="565ED8B6" w:rsidR="005C126E" w:rsidRPr="00403C55" w:rsidRDefault="00440771" w:rsidP="003F50F9">
            <w:pPr>
              <w:rPr>
                <w:rFonts w:ascii="Times New Roman" w:hAnsi="Times New Roman" w:cs="Times New Roman"/>
                <w:lang w:val="fr-FR"/>
              </w:rPr>
            </w:pPr>
            <w:r w:rsidRPr="00403C55">
              <w:rPr>
                <w:rFonts w:ascii="Times New Roman" w:hAnsi="Times New Roman" w:cs="Times New Roman"/>
                <w:i/>
                <w:lang w:val="fr-FR"/>
              </w:rPr>
              <w:t xml:space="preserve">Taux de mise </w:t>
            </w:r>
            <w:r w:rsidRPr="00403C55">
              <w:rPr>
                <w:rFonts w:ascii="Times New Roman" w:hAnsi="Times New Roman" w:cs="Times New Roman"/>
                <w:i/>
                <w:lang w:val="fr-FR"/>
              </w:rPr>
              <w:lastRenderedPageBreak/>
              <w:t xml:space="preserve">en œuvre </w:t>
            </w:r>
          </w:p>
        </w:tc>
      </w:tr>
      <w:tr w:rsidR="005C126E" w:rsidRPr="00403C55" w14:paraId="360C3CB1" w14:textId="77777777" w:rsidTr="00035F0B">
        <w:tc>
          <w:tcPr>
            <w:tcW w:w="7463" w:type="dxa"/>
          </w:tcPr>
          <w:p w14:paraId="03AF2B8A" w14:textId="6960BD8F" w:rsidR="005C126E" w:rsidRPr="00403C55" w:rsidRDefault="00BE6F32" w:rsidP="003F50F9">
            <w:pPr>
              <w:rPr>
                <w:rFonts w:ascii="Times New Roman" w:hAnsi="Times New Roman" w:cs="Times New Roman"/>
                <w:lang w:val="fr-FR"/>
              </w:rPr>
            </w:pPr>
            <w:r w:rsidRPr="00403C55">
              <w:rPr>
                <w:rFonts w:ascii="Times New Roman" w:hAnsi="Times New Roman" w:cs="Times New Roman"/>
                <w:lang w:val="fr-FR"/>
              </w:rPr>
              <w:lastRenderedPageBreak/>
              <w:t xml:space="preserve">9.1. </w:t>
            </w:r>
            <w:r w:rsidR="00440771" w:rsidRPr="00403C55">
              <w:rPr>
                <w:rFonts w:ascii="Times New Roman" w:hAnsi="Times New Roman" w:cs="Times New Roman"/>
                <w:lang w:val="fr-FR"/>
              </w:rPr>
              <w:t>Des mesures ont été prises pour déterminer le roulement et la capacité d’hébergement des sites critiques.</w:t>
            </w:r>
            <w:r w:rsidRPr="00403C55">
              <w:rPr>
                <w:rFonts w:ascii="Times New Roman" w:hAnsi="Times New Roman" w:cs="Times New Roman"/>
                <w:lang w:val="fr-FR"/>
              </w:rPr>
              <w:t xml:space="preserve"> </w:t>
            </w:r>
            <w:r w:rsidR="00440771" w:rsidRPr="00403C55">
              <w:rPr>
                <w:rFonts w:ascii="Times New Roman" w:hAnsi="Times New Roman" w:cs="Times New Roman"/>
                <w:i/>
                <w:lang w:val="fr-FR"/>
              </w:rPr>
              <w:t>(La Lettonie a indiqué que cette activité n’est pas applicable) (priorité élevée)</w:t>
            </w:r>
          </w:p>
        </w:tc>
        <w:tc>
          <w:tcPr>
            <w:tcW w:w="1597" w:type="dxa"/>
          </w:tcPr>
          <w:p w14:paraId="7225FA9D" w14:textId="585D846E" w:rsidR="005C126E" w:rsidRPr="00403C55" w:rsidRDefault="00BE6F32" w:rsidP="00035F0B">
            <w:pPr>
              <w:jc w:val="center"/>
              <w:rPr>
                <w:rFonts w:ascii="Times New Roman" w:hAnsi="Times New Roman" w:cs="Times New Roman"/>
                <w:lang w:val="fr-FR"/>
              </w:rPr>
            </w:pPr>
            <w:r w:rsidRPr="00403C55">
              <w:rPr>
                <w:rFonts w:ascii="Times New Roman" w:hAnsi="Times New Roman" w:cs="Times New Roman"/>
                <w:lang w:val="fr-FR"/>
              </w:rPr>
              <w:t>14</w:t>
            </w:r>
            <w:r w:rsidR="0001284E"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5C126E" w:rsidRPr="00403C55" w14:paraId="67631851" w14:textId="77777777" w:rsidTr="00035F0B">
        <w:tc>
          <w:tcPr>
            <w:tcW w:w="7463" w:type="dxa"/>
          </w:tcPr>
          <w:p w14:paraId="0E811C42" w14:textId="3A144BCE" w:rsidR="005C126E" w:rsidRPr="00403C55" w:rsidRDefault="00BE6F32" w:rsidP="003F50F9">
            <w:pPr>
              <w:rPr>
                <w:rFonts w:ascii="Times New Roman" w:hAnsi="Times New Roman" w:cs="Times New Roman"/>
                <w:lang w:val="fr-FR"/>
              </w:rPr>
            </w:pPr>
            <w:r w:rsidRPr="00403C55">
              <w:rPr>
                <w:rFonts w:ascii="Times New Roman" w:hAnsi="Times New Roman" w:cs="Times New Roman"/>
                <w:lang w:val="fr-FR"/>
              </w:rPr>
              <w:t xml:space="preserve">9.2. </w:t>
            </w:r>
            <w:r w:rsidR="00440771" w:rsidRPr="00403C55">
              <w:rPr>
                <w:rFonts w:ascii="Times New Roman" w:hAnsi="Times New Roman" w:cs="Times New Roman"/>
                <w:lang w:val="fr-FR"/>
              </w:rPr>
              <w:t>Des études sont entreprises sur les ressources alimentaires sur les sites clés au fil du temps.</w:t>
            </w:r>
            <w:r w:rsidRPr="00403C55">
              <w:rPr>
                <w:rFonts w:ascii="Times New Roman" w:hAnsi="Times New Roman" w:cs="Times New Roman"/>
                <w:lang w:val="fr-FR"/>
              </w:rPr>
              <w:t xml:space="preserve"> </w:t>
            </w:r>
            <w:r w:rsidR="0001284E" w:rsidRPr="00403C55">
              <w:rPr>
                <w:rFonts w:ascii="Times New Roman" w:hAnsi="Times New Roman" w:cs="Times New Roman"/>
                <w:i/>
                <w:lang w:val="fr-FR"/>
              </w:rPr>
              <w:t>(La Lettonie a indiqué que cette activité n’est pas applicable) (priorité moyenne)</w:t>
            </w:r>
          </w:p>
        </w:tc>
        <w:tc>
          <w:tcPr>
            <w:tcW w:w="1597" w:type="dxa"/>
          </w:tcPr>
          <w:p w14:paraId="0A25CE2C" w14:textId="16AE45D5" w:rsidR="005C126E" w:rsidRPr="00403C55" w:rsidRDefault="00BE6F32" w:rsidP="00035F0B">
            <w:pPr>
              <w:jc w:val="center"/>
              <w:rPr>
                <w:rFonts w:ascii="Times New Roman" w:hAnsi="Times New Roman" w:cs="Times New Roman"/>
                <w:lang w:val="fr-FR"/>
              </w:rPr>
            </w:pPr>
            <w:r w:rsidRPr="00403C55">
              <w:rPr>
                <w:rFonts w:ascii="Times New Roman" w:hAnsi="Times New Roman" w:cs="Times New Roman"/>
                <w:lang w:val="fr-FR"/>
              </w:rPr>
              <w:t>7</w:t>
            </w:r>
            <w:r w:rsidR="0001284E"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5C126E" w:rsidRPr="00403C55" w14:paraId="5724DA2B" w14:textId="77777777" w:rsidTr="00035F0B">
        <w:tc>
          <w:tcPr>
            <w:tcW w:w="7463" w:type="dxa"/>
          </w:tcPr>
          <w:p w14:paraId="5FA8CD51" w14:textId="5859B188" w:rsidR="005C126E" w:rsidRPr="00403C55" w:rsidRDefault="00BE6F32" w:rsidP="00F82903">
            <w:pPr>
              <w:rPr>
                <w:rFonts w:ascii="Times New Roman" w:hAnsi="Times New Roman" w:cs="Times New Roman"/>
                <w:lang w:val="fr-FR"/>
              </w:rPr>
            </w:pPr>
            <w:r w:rsidRPr="00403C55">
              <w:rPr>
                <w:rFonts w:ascii="Times New Roman" w:hAnsi="Times New Roman" w:cs="Times New Roman"/>
                <w:lang w:val="fr-FR"/>
              </w:rPr>
              <w:t xml:space="preserve">9.3. </w:t>
            </w:r>
            <w:r w:rsidR="0001284E" w:rsidRPr="00403C55">
              <w:rPr>
                <w:rFonts w:ascii="Times New Roman" w:hAnsi="Times New Roman" w:cs="Times New Roman"/>
                <w:lang w:val="fr-FR"/>
              </w:rPr>
              <w:t xml:space="preserve">Des mesures sont en place pour surveiller </w:t>
            </w:r>
            <w:r w:rsidR="00F82903">
              <w:rPr>
                <w:rFonts w:ascii="Times New Roman" w:hAnsi="Times New Roman" w:cs="Times New Roman"/>
                <w:lang w:val="fr-FR"/>
              </w:rPr>
              <w:t xml:space="preserve">de façon standardisée </w:t>
            </w:r>
            <w:r w:rsidR="0001284E" w:rsidRPr="00403C55">
              <w:rPr>
                <w:rFonts w:ascii="Times New Roman" w:hAnsi="Times New Roman" w:cs="Times New Roman"/>
                <w:lang w:val="fr-FR"/>
              </w:rPr>
              <w:t>les changements d’habitat sur les sites de reproduction, en relation avec des études sur la reproduction.</w:t>
            </w:r>
            <w:r w:rsidRPr="00403C55">
              <w:rPr>
                <w:rFonts w:ascii="Times New Roman" w:hAnsi="Times New Roman" w:cs="Times New Roman"/>
                <w:lang w:val="fr-FR"/>
              </w:rPr>
              <w:t xml:space="preserve"> </w:t>
            </w:r>
            <w:r w:rsidR="0001284E" w:rsidRPr="00403C55">
              <w:rPr>
                <w:rFonts w:ascii="Times New Roman" w:hAnsi="Times New Roman" w:cs="Times New Roman"/>
                <w:lang w:val="fr-FR"/>
              </w:rPr>
              <w:t>Russie (</w:t>
            </w:r>
            <w:r w:rsidR="0001284E" w:rsidRPr="00403C55">
              <w:rPr>
                <w:rFonts w:ascii="Times New Roman" w:hAnsi="Times New Roman" w:cs="Times New Roman"/>
                <w:i/>
                <w:lang w:val="fr-FR"/>
              </w:rPr>
              <w:t>priorité moyenne</w:t>
            </w:r>
            <w:r w:rsidR="0001284E" w:rsidRPr="00403C55">
              <w:rPr>
                <w:rFonts w:ascii="Times New Roman" w:hAnsi="Times New Roman" w:cs="Times New Roman"/>
                <w:lang w:val="fr-FR"/>
              </w:rPr>
              <w:t>)</w:t>
            </w:r>
          </w:p>
        </w:tc>
        <w:tc>
          <w:tcPr>
            <w:tcW w:w="1597" w:type="dxa"/>
          </w:tcPr>
          <w:p w14:paraId="69D979DC" w14:textId="36B9B600" w:rsidR="005C126E" w:rsidRPr="00403C55" w:rsidRDefault="00BE6F32" w:rsidP="00035F0B">
            <w:pPr>
              <w:jc w:val="center"/>
              <w:rPr>
                <w:rFonts w:ascii="Times New Roman" w:hAnsi="Times New Roman" w:cs="Times New Roman"/>
                <w:lang w:val="fr-FR"/>
              </w:rPr>
            </w:pPr>
            <w:r w:rsidRPr="00403C55">
              <w:rPr>
                <w:rFonts w:ascii="Times New Roman" w:hAnsi="Times New Roman" w:cs="Times New Roman"/>
                <w:lang w:val="fr-FR"/>
              </w:rPr>
              <w:t>0</w:t>
            </w:r>
            <w:r w:rsidR="0001284E" w:rsidRPr="00403C55">
              <w:rPr>
                <w:rFonts w:ascii="Times New Roman" w:hAnsi="Times New Roman" w:cs="Times New Roman"/>
                <w:lang w:val="fr-FR"/>
              </w:rPr>
              <w:t xml:space="preserve"> </w:t>
            </w:r>
            <w:r w:rsidRPr="00403C55">
              <w:rPr>
                <w:rFonts w:ascii="Times New Roman" w:hAnsi="Times New Roman" w:cs="Times New Roman"/>
                <w:lang w:val="fr-FR"/>
              </w:rPr>
              <w:t>%</w:t>
            </w:r>
          </w:p>
        </w:tc>
      </w:tr>
      <w:tr w:rsidR="005C126E" w:rsidRPr="00403C55" w14:paraId="121B99EE" w14:textId="77777777" w:rsidTr="00035F0B">
        <w:tc>
          <w:tcPr>
            <w:tcW w:w="7463" w:type="dxa"/>
          </w:tcPr>
          <w:p w14:paraId="3BD27704" w14:textId="0D3A91FA" w:rsidR="005C126E" w:rsidRPr="00403C55" w:rsidRDefault="00BE6F32" w:rsidP="003F50F9">
            <w:pPr>
              <w:rPr>
                <w:rFonts w:ascii="Times New Roman" w:hAnsi="Times New Roman" w:cs="Times New Roman"/>
                <w:i/>
                <w:lang w:val="fr-FR"/>
              </w:rPr>
            </w:pPr>
            <w:r w:rsidRPr="00403C55">
              <w:rPr>
                <w:rFonts w:ascii="Times New Roman" w:hAnsi="Times New Roman" w:cs="Times New Roman"/>
                <w:lang w:val="fr-FR"/>
              </w:rPr>
              <w:t xml:space="preserve">9.4. </w:t>
            </w:r>
            <w:r w:rsidR="0001284E" w:rsidRPr="00403C55">
              <w:rPr>
                <w:rFonts w:ascii="Times New Roman" w:hAnsi="Times New Roman" w:cs="Times New Roman"/>
                <w:lang w:val="fr-FR"/>
              </w:rPr>
              <w:t>Des mesures sont en cours de développement pour déterminer les sources de nutriments requises pour la production d’œufs.</w:t>
            </w:r>
            <w:r w:rsidRPr="00403C55">
              <w:rPr>
                <w:rFonts w:ascii="Times New Roman" w:hAnsi="Times New Roman" w:cs="Times New Roman"/>
                <w:lang w:val="fr-FR"/>
              </w:rPr>
              <w:t xml:space="preserve"> </w:t>
            </w:r>
            <w:r w:rsidR="0001284E" w:rsidRPr="00403C55">
              <w:rPr>
                <w:rFonts w:ascii="Times New Roman" w:hAnsi="Times New Roman" w:cs="Times New Roman"/>
                <w:i/>
                <w:lang w:val="fr-FR"/>
              </w:rPr>
              <w:t>(L’Irlande, la Lettonie et le R-U ont indiqué que cette activité n’est pas applicable) (priorité moyenne)</w:t>
            </w:r>
          </w:p>
        </w:tc>
        <w:tc>
          <w:tcPr>
            <w:tcW w:w="1597" w:type="dxa"/>
          </w:tcPr>
          <w:p w14:paraId="142CB4AA" w14:textId="0D87EBA1" w:rsidR="005C126E" w:rsidRPr="00403C55" w:rsidRDefault="00323B53" w:rsidP="00BE6F32">
            <w:pPr>
              <w:jc w:val="center"/>
              <w:rPr>
                <w:rFonts w:ascii="Times New Roman" w:hAnsi="Times New Roman" w:cs="Times New Roman"/>
                <w:lang w:val="fr-FR"/>
              </w:rPr>
            </w:pPr>
            <w:r w:rsidRPr="00403C55">
              <w:rPr>
                <w:rFonts w:ascii="Times New Roman" w:hAnsi="Times New Roman" w:cs="Times New Roman"/>
                <w:lang w:val="fr-FR"/>
              </w:rPr>
              <w:t>0</w:t>
            </w:r>
            <w:r w:rsidR="0001284E" w:rsidRPr="00403C55">
              <w:rPr>
                <w:rFonts w:ascii="Times New Roman" w:hAnsi="Times New Roman" w:cs="Times New Roman"/>
                <w:lang w:val="fr-FR"/>
              </w:rPr>
              <w:t xml:space="preserve"> </w:t>
            </w:r>
            <w:r w:rsidRPr="00403C55">
              <w:rPr>
                <w:rFonts w:ascii="Times New Roman" w:hAnsi="Times New Roman" w:cs="Times New Roman"/>
                <w:lang w:val="fr-FR"/>
              </w:rPr>
              <w:t>%</w:t>
            </w:r>
          </w:p>
        </w:tc>
      </w:tr>
    </w:tbl>
    <w:p w14:paraId="55AEE45A" w14:textId="77777777" w:rsidR="005C126E" w:rsidRPr="00403C55" w:rsidRDefault="005C126E" w:rsidP="00EC0BB1">
      <w:pPr>
        <w:spacing w:after="0" w:line="240" w:lineRule="auto"/>
        <w:rPr>
          <w:rFonts w:ascii="Times New Roman" w:hAnsi="Times New Roman" w:cs="Times New Roman"/>
          <w:lang w:val="fr-FR"/>
        </w:rPr>
      </w:pPr>
    </w:p>
    <w:p w14:paraId="3235BD2B" w14:textId="3E34692B" w:rsidR="005C126E" w:rsidRPr="00403C55" w:rsidRDefault="0001284E" w:rsidP="00EC0BB1">
      <w:pPr>
        <w:spacing w:after="0" w:line="240" w:lineRule="auto"/>
        <w:rPr>
          <w:rFonts w:ascii="Times New Roman" w:hAnsi="Times New Roman" w:cs="Times New Roman"/>
          <w:b/>
          <w:lang w:val="fr-FR"/>
        </w:rPr>
      </w:pPr>
      <w:r w:rsidRPr="00403C55">
        <w:rPr>
          <w:rFonts w:ascii="Times New Roman" w:hAnsi="Times New Roman" w:cs="Times New Roman"/>
          <w:b/>
          <w:lang w:val="fr-FR"/>
        </w:rPr>
        <w:t>Taux de mise en œuvre moyen :</w:t>
      </w:r>
      <w:r w:rsidR="00BE6F32" w:rsidRPr="00403C55">
        <w:rPr>
          <w:rFonts w:ascii="Times New Roman" w:hAnsi="Times New Roman" w:cs="Times New Roman"/>
          <w:b/>
          <w:lang w:val="fr-FR"/>
        </w:rPr>
        <w:t xml:space="preserve"> </w:t>
      </w:r>
      <w:r w:rsidR="00323B53" w:rsidRPr="00403C55">
        <w:rPr>
          <w:rFonts w:ascii="Times New Roman" w:hAnsi="Times New Roman" w:cs="Times New Roman"/>
          <w:b/>
          <w:lang w:val="fr-FR"/>
        </w:rPr>
        <w:t>5</w:t>
      </w:r>
      <w:r w:rsidRPr="00403C55">
        <w:rPr>
          <w:rFonts w:ascii="Times New Roman" w:hAnsi="Times New Roman" w:cs="Times New Roman"/>
          <w:b/>
          <w:lang w:val="fr-FR"/>
        </w:rPr>
        <w:t xml:space="preserve"> </w:t>
      </w:r>
      <w:r w:rsidR="00323B53" w:rsidRPr="00403C55">
        <w:rPr>
          <w:rFonts w:ascii="Times New Roman" w:hAnsi="Times New Roman" w:cs="Times New Roman"/>
          <w:b/>
          <w:lang w:val="fr-FR"/>
        </w:rPr>
        <w:t>%</w:t>
      </w:r>
    </w:p>
    <w:p w14:paraId="543BB70A" w14:textId="77777777" w:rsidR="008F52CD" w:rsidRPr="00403C55" w:rsidRDefault="008F52CD" w:rsidP="005A5C57">
      <w:pPr>
        <w:spacing w:after="0" w:line="240" w:lineRule="auto"/>
        <w:rPr>
          <w:rFonts w:ascii="Times New Roman" w:hAnsi="Times New Roman" w:cs="Times New Roman"/>
          <w:i/>
          <w:lang w:val="fr-FR"/>
        </w:rPr>
      </w:pPr>
    </w:p>
    <w:p w14:paraId="69638DEC" w14:textId="3B5F26A6" w:rsidR="005A5C57" w:rsidRPr="00403C55" w:rsidRDefault="008F52CD" w:rsidP="008F52CD">
      <w:pPr>
        <w:shd w:val="clear" w:color="auto" w:fill="DBE5F1" w:themeFill="accent1" w:themeFillTint="33"/>
        <w:spacing w:after="0" w:line="240" w:lineRule="auto"/>
        <w:rPr>
          <w:rFonts w:ascii="Times New Roman" w:hAnsi="Times New Roman" w:cs="Times New Roman"/>
          <w:i/>
          <w:lang w:val="fr-FR"/>
        </w:rPr>
      </w:pPr>
      <w:r w:rsidRPr="00403C55">
        <w:rPr>
          <w:rFonts w:ascii="Times New Roman" w:hAnsi="Times New Roman" w:cs="Times New Roman"/>
          <w:i/>
          <w:lang w:val="fr-FR"/>
        </w:rPr>
        <w:t xml:space="preserve">6. </w:t>
      </w:r>
      <w:r w:rsidR="0001284E" w:rsidRPr="00403C55">
        <w:rPr>
          <w:rFonts w:ascii="Times New Roman" w:hAnsi="Times New Roman" w:cs="Times New Roman"/>
          <w:i/>
          <w:lang w:val="fr-FR"/>
        </w:rPr>
        <w:t xml:space="preserve">Principales activités contribuant à la mise en œuvre du plan </w:t>
      </w:r>
      <w:r w:rsidR="0003562F">
        <w:rPr>
          <w:rFonts w:ascii="Times New Roman" w:hAnsi="Times New Roman" w:cs="Times New Roman"/>
          <w:i/>
          <w:lang w:val="fr-FR"/>
        </w:rPr>
        <w:t>d’action</w:t>
      </w:r>
      <w:r w:rsidR="0001284E" w:rsidRPr="00403C55">
        <w:rPr>
          <w:rFonts w:ascii="Times New Roman" w:hAnsi="Times New Roman" w:cs="Times New Roman"/>
          <w:i/>
          <w:lang w:val="fr-FR"/>
        </w:rPr>
        <w:t xml:space="preserve"> et l’entravant</w:t>
      </w:r>
    </w:p>
    <w:p w14:paraId="2B4880E9" w14:textId="77777777" w:rsidR="005A5C57" w:rsidRPr="00403C55" w:rsidRDefault="005A5C57" w:rsidP="005A5C57">
      <w:pPr>
        <w:spacing w:after="0" w:line="240" w:lineRule="auto"/>
        <w:rPr>
          <w:rFonts w:ascii="Times New Roman" w:hAnsi="Times New Roman" w:cs="Times New Roman"/>
          <w:i/>
          <w:lang w:val="fr-FR"/>
        </w:rPr>
      </w:pPr>
    </w:p>
    <w:p w14:paraId="17862CE2" w14:textId="77777777" w:rsidR="005A5C57" w:rsidRPr="00403C55" w:rsidRDefault="005A5C57" w:rsidP="005A5C57">
      <w:pPr>
        <w:spacing w:after="0" w:line="240" w:lineRule="auto"/>
        <w:rPr>
          <w:rFonts w:ascii="Times New Roman" w:hAnsi="Times New Roman" w:cs="Times New Roman"/>
          <w:i/>
          <w:lang w:val="fr-FR"/>
        </w:rPr>
      </w:pPr>
      <w:r w:rsidRPr="00403C55">
        <w:rPr>
          <w:noProof/>
          <w:lang w:val="en-US"/>
        </w:rPr>
        <w:drawing>
          <wp:inline distT="0" distB="0" distL="0" distR="0" wp14:anchorId="3486059C" wp14:editId="6F2DB9DE">
            <wp:extent cx="4981575" cy="30956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174A376" w14:textId="77777777" w:rsidR="005A5C57" w:rsidRPr="00403C55" w:rsidRDefault="005A5C57" w:rsidP="005A5C57">
      <w:pPr>
        <w:spacing w:after="0" w:line="240" w:lineRule="auto"/>
        <w:rPr>
          <w:rFonts w:ascii="Times New Roman" w:hAnsi="Times New Roman" w:cs="Times New Roman"/>
          <w:i/>
          <w:lang w:val="fr-FR"/>
        </w:rPr>
      </w:pPr>
    </w:p>
    <w:p w14:paraId="42AF92AD" w14:textId="77777777" w:rsidR="005A5C57" w:rsidRPr="00403C55" w:rsidRDefault="005A5C57" w:rsidP="005A5C57">
      <w:pPr>
        <w:spacing w:after="0" w:line="240" w:lineRule="auto"/>
        <w:rPr>
          <w:rFonts w:ascii="Times New Roman" w:hAnsi="Times New Roman" w:cs="Times New Roman"/>
          <w:i/>
          <w:lang w:val="fr-FR"/>
        </w:rPr>
      </w:pPr>
    </w:p>
    <w:p w14:paraId="479905F1" w14:textId="640A5FDA" w:rsidR="00082EDA" w:rsidRPr="00985A4E" w:rsidRDefault="00374B05" w:rsidP="00403C55">
      <w:pPr>
        <w:spacing w:after="0"/>
        <w:rPr>
          <w:rFonts w:ascii="Arial" w:hAnsi="Arial" w:cs="Arial"/>
          <w:sz w:val="18"/>
          <w:szCs w:val="18"/>
          <w:lang w:val="fr-FR"/>
        </w:rPr>
      </w:pPr>
      <w:r w:rsidRPr="00985A4E">
        <w:rPr>
          <w:rFonts w:ascii="Arial" w:hAnsi="Arial" w:cs="Arial"/>
          <w:sz w:val="18"/>
          <w:szCs w:val="18"/>
          <w:lang w:val="fr-FR"/>
        </w:rPr>
        <w:t>Mise en œuvre de plans de conservation/NSSAP</w:t>
      </w:r>
    </w:p>
    <w:p w14:paraId="459D96F9" w14:textId="66496D2E"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Protection adéquate sur les sites d’hivernage clés</w:t>
      </w:r>
    </w:p>
    <w:p w14:paraId="5A0754B4" w14:textId="11BAD32B"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Minimisation de la pression exercée par la chasse</w:t>
      </w:r>
    </w:p>
    <w:p w14:paraId="3D6CCB2A" w14:textId="28B79B62"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Coordination/coopération renforcée</w:t>
      </w:r>
    </w:p>
    <w:p w14:paraId="053DA38A" w14:textId="7C5BD45B"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Réalisation d’EIE</w:t>
      </w:r>
    </w:p>
    <w:p w14:paraId="34CB7532" w14:textId="20D8D40D"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Établissement de comptages coordonnés</w:t>
      </w:r>
    </w:p>
    <w:p w14:paraId="00D90671" w14:textId="2D53BBF4"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Financement assuré/accru</w:t>
      </w:r>
    </w:p>
    <w:p w14:paraId="28AA6E3C" w14:textId="4AA14228" w:rsidR="00403C55" w:rsidRPr="00985A4E" w:rsidRDefault="00403C55" w:rsidP="00403C55">
      <w:pPr>
        <w:spacing w:after="0"/>
        <w:rPr>
          <w:rFonts w:ascii="Arial" w:hAnsi="Arial" w:cs="Arial"/>
          <w:sz w:val="18"/>
          <w:szCs w:val="18"/>
          <w:lang w:val="fr-FR"/>
        </w:rPr>
      </w:pPr>
      <w:r w:rsidRPr="00985A4E">
        <w:rPr>
          <w:rFonts w:ascii="Arial" w:hAnsi="Arial" w:cs="Arial"/>
          <w:sz w:val="18"/>
          <w:szCs w:val="18"/>
          <w:lang w:val="fr-FR"/>
        </w:rPr>
        <w:t>Comblement des lacunes clés en termes de connaissances</w:t>
      </w:r>
    </w:p>
    <w:p w14:paraId="0B154914" w14:textId="47E0464E" w:rsidR="00403C55" w:rsidRPr="00403C55" w:rsidRDefault="00403C55" w:rsidP="00403C55">
      <w:pPr>
        <w:spacing w:after="0"/>
        <w:rPr>
          <w:rFonts w:ascii="Times New Roman" w:hAnsi="Times New Roman" w:cs="Times New Roman"/>
          <w:lang w:val="fr-FR"/>
        </w:rPr>
      </w:pPr>
      <w:r w:rsidRPr="00985A4E">
        <w:rPr>
          <w:rFonts w:ascii="Arial" w:hAnsi="Arial" w:cs="Arial"/>
          <w:sz w:val="18"/>
          <w:szCs w:val="18"/>
          <w:lang w:val="fr-FR"/>
        </w:rPr>
        <w:t>Adhésion à l’AEWA</w:t>
      </w:r>
    </w:p>
    <w:p w14:paraId="5485C5D7" w14:textId="77777777" w:rsidR="00082EDA" w:rsidRPr="00403C55" w:rsidRDefault="00082EDA" w:rsidP="005A5C57">
      <w:pPr>
        <w:rPr>
          <w:rFonts w:ascii="Times New Roman" w:hAnsi="Times New Roman" w:cs="Times New Roman"/>
          <w:lang w:val="fr-FR"/>
        </w:rPr>
      </w:pPr>
    </w:p>
    <w:p w14:paraId="34AE8A39" w14:textId="77777777" w:rsidR="008F52CD" w:rsidRPr="00403C55" w:rsidRDefault="005A5C57" w:rsidP="005A5C57">
      <w:pPr>
        <w:rPr>
          <w:rFonts w:ascii="Times New Roman" w:hAnsi="Times New Roman" w:cs="Times New Roman"/>
          <w:lang w:val="fr-FR"/>
        </w:rPr>
      </w:pPr>
      <w:r w:rsidRPr="00403C55">
        <w:rPr>
          <w:noProof/>
          <w:lang w:val="en-US"/>
        </w:rPr>
        <w:lastRenderedPageBreak/>
        <w:drawing>
          <wp:inline distT="0" distB="0" distL="0" distR="0" wp14:anchorId="42492CD5" wp14:editId="5B29572B">
            <wp:extent cx="4981575" cy="29432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1BC19FA" w14:textId="2E9217A5"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Manque de capacité financière</w:t>
      </w:r>
    </w:p>
    <w:p w14:paraId="0A6A642F" w14:textId="211E5726"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Perturbations humaines accrues</w:t>
      </w:r>
    </w:p>
    <w:p w14:paraId="35A1F41A" w14:textId="76417159"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Changement d’environnement</w:t>
      </w:r>
    </w:p>
    <w:p w14:paraId="0B4F24BF" w14:textId="56846216"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Utilisation de grenaille de plomb</w:t>
      </w:r>
    </w:p>
    <w:p w14:paraId="47A66BDA" w14:textId="1E31FBC9"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Manque de gestion</w:t>
      </w:r>
    </w:p>
    <w:p w14:paraId="2FB3C24E" w14:textId="73B33F8A"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Manque d’aide gouvernementale</w:t>
      </w:r>
    </w:p>
    <w:p w14:paraId="11DA030A" w14:textId="2647EA74"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Nombre décroissant de sites d’hivernage</w:t>
      </w:r>
    </w:p>
    <w:p w14:paraId="314B0692" w14:textId="2FFA2EB2" w:rsidR="00403C55" w:rsidRPr="00985A4E" w:rsidRDefault="00403C55" w:rsidP="00082EDA">
      <w:pPr>
        <w:spacing w:after="0" w:line="240" w:lineRule="auto"/>
        <w:rPr>
          <w:rFonts w:ascii="Arial" w:hAnsi="Arial" w:cs="Arial"/>
          <w:sz w:val="18"/>
          <w:szCs w:val="18"/>
          <w:lang w:val="fr-FR"/>
        </w:rPr>
      </w:pPr>
      <w:r w:rsidRPr="00985A4E">
        <w:rPr>
          <w:rFonts w:ascii="Arial" w:hAnsi="Arial" w:cs="Arial"/>
          <w:sz w:val="18"/>
          <w:szCs w:val="18"/>
          <w:lang w:val="fr-FR"/>
        </w:rPr>
        <w:t>Dominance du lobby de la chasse</w:t>
      </w:r>
    </w:p>
    <w:p w14:paraId="02148660" w14:textId="77777777" w:rsidR="00403C55" w:rsidRPr="00403C55" w:rsidRDefault="00403C55" w:rsidP="00082EDA">
      <w:pPr>
        <w:spacing w:after="0" w:line="240" w:lineRule="auto"/>
        <w:rPr>
          <w:rFonts w:ascii="Times New Roman" w:hAnsi="Times New Roman" w:cs="Times New Roman"/>
          <w:lang w:val="fr-FR"/>
        </w:rPr>
      </w:pPr>
    </w:p>
    <w:p w14:paraId="6873C253" w14:textId="77777777" w:rsidR="00403C55" w:rsidRPr="00403C55" w:rsidRDefault="00403C55" w:rsidP="00082EDA">
      <w:pPr>
        <w:spacing w:after="0" w:line="240" w:lineRule="auto"/>
        <w:rPr>
          <w:rFonts w:ascii="Times New Roman" w:hAnsi="Times New Roman" w:cs="Times New Roman"/>
          <w:lang w:val="fr-FR"/>
        </w:rPr>
      </w:pPr>
    </w:p>
    <w:p w14:paraId="355FBB03" w14:textId="31085617" w:rsidR="00082EDA" w:rsidRPr="00403C55" w:rsidRDefault="0001284E" w:rsidP="00082EDA">
      <w:pPr>
        <w:shd w:val="clear" w:color="auto" w:fill="DBE5F1" w:themeFill="accent1" w:themeFillTint="33"/>
        <w:spacing w:after="0" w:line="240" w:lineRule="auto"/>
        <w:rPr>
          <w:rFonts w:ascii="Times New Roman" w:hAnsi="Times New Roman" w:cs="Times New Roman"/>
          <w:lang w:val="fr-FR"/>
        </w:rPr>
      </w:pPr>
      <w:r w:rsidRPr="00403C55">
        <w:rPr>
          <w:rFonts w:ascii="Times New Roman" w:hAnsi="Times New Roman" w:cs="Times New Roman"/>
          <w:i/>
          <w:shd w:val="clear" w:color="auto" w:fill="DBE5F1" w:themeFill="accent1" w:themeFillTint="33"/>
          <w:lang w:val="fr-FR"/>
        </w:rPr>
        <w:t>Conclusions</w:t>
      </w:r>
    </w:p>
    <w:p w14:paraId="0241A631" w14:textId="77777777" w:rsidR="00082EDA" w:rsidRPr="00403C55" w:rsidRDefault="00082EDA" w:rsidP="00082EDA">
      <w:pPr>
        <w:shd w:val="clear" w:color="auto" w:fill="FFFFFF" w:themeFill="background1"/>
        <w:spacing w:after="0" w:line="240" w:lineRule="auto"/>
        <w:rPr>
          <w:rFonts w:ascii="Times New Roman" w:hAnsi="Times New Roman" w:cs="Times New Roman"/>
          <w:lang w:val="fr-FR"/>
        </w:rPr>
      </w:pPr>
    </w:p>
    <w:p w14:paraId="7DF2161B" w14:textId="2F43291F" w:rsidR="008123DD" w:rsidRPr="00403C55" w:rsidRDefault="0001284E" w:rsidP="00822792">
      <w:pPr>
        <w:shd w:val="clear" w:color="auto" w:fill="FFFFFF" w:themeFill="background1"/>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Bien que le Plan </w:t>
      </w:r>
      <w:r w:rsidR="0003562F">
        <w:rPr>
          <w:rFonts w:ascii="Times New Roman" w:hAnsi="Times New Roman" w:cs="Times New Roman"/>
          <w:lang w:val="fr-FR"/>
        </w:rPr>
        <w:t>d’action</w:t>
      </w:r>
      <w:r w:rsidRPr="00403C55">
        <w:rPr>
          <w:rFonts w:ascii="Times New Roman" w:hAnsi="Times New Roman" w:cs="Times New Roman"/>
          <w:lang w:val="fr-FR"/>
        </w:rPr>
        <w:t xml:space="preserve"> international par espèce </w:t>
      </w:r>
      <w:r w:rsidR="0003562F">
        <w:rPr>
          <w:rFonts w:ascii="Times New Roman" w:hAnsi="Times New Roman" w:cs="Times New Roman"/>
          <w:lang w:val="fr-FR"/>
        </w:rPr>
        <w:t>de l’AEWA</w:t>
      </w:r>
      <w:r w:rsidRPr="00403C55">
        <w:rPr>
          <w:rFonts w:ascii="Times New Roman" w:hAnsi="Times New Roman" w:cs="Times New Roman"/>
          <w:lang w:val="fr-FR"/>
        </w:rPr>
        <w:t xml:space="preserve"> pour la conservation du Cygne de Bewick (population du nord-ouest de l’Europe) ne soit en vigueur que depuis trois ans, certains progrès ont déjà été réalisés – notamment concernant la mise en œuvre des activités classé</w:t>
      </w:r>
      <w:r w:rsidR="00F82903">
        <w:rPr>
          <w:rFonts w:ascii="Times New Roman" w:hAnsi="Times New Roman" w:cs="Times New Roman"/>
          <w:lang w:val="fr-FR"/>
        </w:rPr>
        <w:t>e</w:t>
      </w:r>
      <w:r w:rsidRPr="00403C55">
        <w:rPr>
          <w:rFonts w:ascii="Times New Roman" w:hAnsi="Times New Roman" w:cs="Times New Roman"/>
          <w:lang w:val="fr-FR"/>
        </w:rPr>
        <w:t xml:space="preserve">s comme </w:t>
      </w:r>
      <w:r w:rsidR="00492F49" w:rsidRPr="00403C55">
        <w:rPr>
          <w:rFonts w:ascii="Times New Roman" w:hAnsi="Times New Roman" w:cs="Times New Roman"/>
          <w:lang w:val="fr-FR"/>
        </w:rPr>
        <w:t>ayant une</w:t>
      </w:r>
      <w:r w:rsidRPr="00403C55">
        <w:rPr>
          <w:rFonts w:ascii="Times New Roman" w:hAnsi="Times New Roman" w:cs="Times New Roman"/>
          <w:lang w:val="fr-FR"/>
        </w:rPr>
        <w:t xml:space="preserve"> priorité « essentielle » ou « élevée ».</w:t>
      </w:r>
      <w:r w:rsidR="00822792" w:rsidRPr="00403C55">
        <w:rPr>
          <w:rFonts w:ascii="Times New Roman" w:hAnsi="Times New Roman" w:cs="Times New Roman"/>
          <w:lang w:val="fr-FR"/>
        </w:rPr>
        <w:t xml:space="preserve"> </w:t>
      </w:r>
      <w:r w:rsidRPr="00403C55">
        <w:rPr>
          <w:rFonts w:ascii="Times New Roman" w:hAnsi="Times New Roman" w:cs="Times New Roman"/>
          <w:lang w:val="fr-FR"/>
        </w:rPr>
        <w:t xml:space="preserve">Comme presque tous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 xml:space="preserve"> sont également des États membres de l’UE, la mise en œuvre est certaine de bénéficier également des règlements pertinents</w:t>
      </w:r>
      <w:r w:rsidR="00F82903">
        <w:rPr>
          <w:rFonts w:ascii="Times New Roman" w:hAnsi="Times New Roman" w:cs="Times New Roman"/>
          <w:lang w:val="fr-FR"/>
        </w:rPr>
        <w:t xml:space="preserve"> de l’UE</w:t>
      </w:r>
      <w:r w:rsidRPr="00403C55">
        <w:rPr>
          <w:rFonts w:ascii="Times New Roman" w:hAnsi="Times New Roman" w:cs="Times New Roman"/>
          <w:lang w:val="fr-FR"/>
        </w:rPr>
        <w:t>.</w:t>
      </w:r>
    </w:p>
    <w:p w14:paraId="65705960" w14:textId="77777777" w:rsidR="00453F2C" w:rsidRPr="00403C55" w:rsidRDefault="00453F2C" w:rsidP="008123DD">
      <w:pPr>
        <w:shd w:val="clear" w:color="auto" w:fill="FFFFFF" w:themeFill="background1"/>
        <w:spacing w:after="0" w:line="240" w:lineRule="auto"/>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857"/>
      </w:tblGrid>
      <w:tr w:rsidR="00453F2C" w:rsidRPr="00DE4CF4" w14:paraId="31BA7E25" w14:textId="77777777" w:rsidTr="00492F49">
        <w:trPr>
          <w:trHeight w:val="1022"/>
          <w:jc w:val="center"/>
        </w:trPr>
        <w:tc>
          <w:tcPr>
            <w:tcW w:w="7857" w:type="dxa"/>
          </w:tcPr>
          <w:p w14:paraId="46B4E364" w14:textId="77777777" w:rsidR="00453F2C" w:rsidRPr="00403C55" w:rsidRDefault="00453F2C" w:rsidP="00E55909">
            <w:pPr>
              <w:jc w:val="center"/>
              <w:rPr>
                <w:rFonts w:ascii="Times New Roman" w:hAnsi="Times New Roman" w:cs="Times New Roman"/>
                <w:lang w:val="fr-FR"/>
              </w:rPr>
            </w:pPr>
          </w:p>
          <w:p w14:paraId="248443CE" w14:textId="1C57BAB6" w:rsidR="00453F2C" w:rsidRPr="00403C55" w:rsidRDefault="0001284E" w:rsidP="00E55909">
            <w:pPr>
              <w:jc w:val="center"/>
              <w:rPr>
                <w:rFonts w:ascii="Times New Roman" w:hAnsi="Times New Roman" w:cs="Times New Roman"/>
                <w:b/>
                <w:color w:val="FF0000"/>
                <w:lang w:val="fr-FR"/>
              </w:rPr>
            </w:pPr>
            <w:r w:rsidRPr="00403C55">
              <w:rPr>
                <w:rFonts w:ascii="Times New Roman" w:hAnsi="Times New Roman" w:cs="Times New Roman"/>
                <w:b/>
                <w:lang w:val="fr-FR"/>
              </w:rPr>
              <w:t>Taux général moyen de mise en œuvre pour les 9 résultats* :</w:t>
            </w:r>
            <w:r w:rsidR="00453F2C" w:rsidRPr="00403C55">
              <w:rPr>
                <w:rFonts w:ascii="Times New Roman" w:hAnsi="Times New Roman" w:cs="Times New Roman"/>
                <w:b/>
                <w:lang w:val="fr-FR"/>
              </w:rPr>
              <w:t xml:space="preserve"> </w:t>
            </w:r>
            <w:r w:rsidR="00082EDA" w:rsidRPr="00403C55">
              <w:rPr>
                <w:rFonts w:ascii="Times New Roman" w:hAnsi="Times New Roman" w:cs="Times New Roman"/>
                <w:b/>
                <w:color w:val="FF0000"/>
                <w:lang w:val="fr-FR"/>
              </w:rPr>
              <w:t>14</w:t>
            </w:r>
            <w:r w:rsidRPr="00403C55">
              <w:rPr>
                <w:rFonts w:ascii="Times New Roman" w:hAnsi="Times New Roman" w:cs="Times New Roman"/>
                <w:b/>
                <w:color w:val="FF0000"/>
                <w:lang w:val="fr-FR"/>
              </w:rPr>
              <w:t xml:space="preserve"> </w:t>
            </w:r>
            <w:r w:rsidR="00082EDA" w:rsidRPr="00403C55">
              <w:rPr>
                <w:rFonts w:ascii="Times New Roman" w:hAnsi="Times New Roman" w:cs="Times New Roman"/>
                <w:b/>
                <w:color w:val="FF0000"/>
                <w:lang w:val="fr-FR"/>
              </w:rPr>
              <w:t>%</w:t>
            </w:r>
          </w:p>
          <w:p w14:paraId="0129EC76" w14:textId="77777777" w:rsidR="00453F2C" w:rsidRPr="00403C55" w:rsidRDefault="00453F2C" w:rsidP="00E55909">
            <w:pPr>
              <w:jc w:val="center"/>
              <w:rPr>
                <w:rFonts w:ascii="Times New Roman" w:hAnsi="Times New Roman" w:cs="Times New Roman"/>
                <w:b/>
                <w:lang w:val="fr-FR"/>
              </w:rPr>
            </w:pPr>
          </w:p>
          <w:p w14:paraId="40612E4E" w14:textId="35F83656" w:rsidR="00453F2C" w:rsidRPr="00403C55" w:rsidRDefault="0001284E" w:rsidP="00E55909">
            <w:pPr>
              <w:jc w:val="center"/>
              <w:rPr>
                <w:rFonts w:ascii="Times New Roman" w:hAnsi="Times New Roman" w:cs="Times New Roman"/>
                <w:b/>
                <w:color w:val="FF0000"/>
                <w:lang w:val="fr-FR"/>
              </w:rPr>
            </w:pPr>
            <w:r w:rsidRPr="00403C55">
              <w:rPr>
                <w:rFonts w:ascii="Times New Roman" w:hAnsi="Times New Roman" w:cs="Times New Roman"/>
                <w:b/>
                <w:lang w:val="fr-FR"/>
              </w:rPr>
              <w:t>Taux moyen de mise en œuvre pour les activités ayant une priorité essentielle et élevée (18)* :</w:t>
            </w:r>
            <w:r w:rsidR="00985A4E">
              <w:rPr>
                <w:rFonts w:ascii="Times New Roman" w:hAnsi="Times New Roman" w:cs="Times New Roman"/>
                <w:b/>
                <w:lang w:val="fr-FR"/>
              </w:rPr>
              <w:t xml:space="preserve"> </w:t>
            </w:r>
            <w:r w:rsidR="00D929D9" w:rsidRPr="00403C55">
              <w:rPr>
                <w:rFonts w:ascii="Times New Roman" w:hAnsi="Times New Roman" w:cs="Times New Roman"/>
                <w:b/>
                <w:color w:val="FF0000"/>
                <w:lang w:val="fr-FR"/>
              </w:rPr>
              <w:t>24</w:t>
            </w:r>
            <w:r w:rsidRPr="00403C55">
              <w:rPr>
                <w:rFonts w:ascii="Times New Roman" w:hAnsi="Times New Roman" w:cs="Times New Roman"/>
                <w:b/>
                <w:color w:val="FF0000"/>
                <w:lang w:val="fr-FR"/>
              </w:rPr>
              <w:t xml:space="preserve"> </w:t>
            </w:r>
            <w:r w:rsidR="00D929D9" w:rsidRPr="00403C55">
              <w:rPr>
                <w:rFonts w:ascii="Times New Roman" w:hAnsi="Times New Roman" w:cs="Times New Roman"/>
                <w:b/>
                <w:color w:val="FF0000"/>
                <w:lang w:val="fr-FR"/>
              </w:rPr>
              <w:t>%</w:t>
            </w:r>
          </w:p>
          <w:p w14:paraId="6B3A2C18" w14:textId="77777777" w:rsidR="00453F2C" w:rsidRPr="00403C55" w:rsidRDefault="00453F2C" w:rsidP="00E55909">
            <w:pPr>
              <w:jc w:val="both"/>
              <w:rPr>
                <w:rFonts w:ascii="Times New Roman" w:hAnsi="Times New Roman" w:cs="Times New Roman"/>
                <w:lang w:val="fr-FR"/>
              </w:rPr>
            </w:pPr>
          </w:p>
        </w:tc>
      </w:tr>
    </w:tbl>
    <w:p w14:paraId="2221A44C" w14:textId="77777777" w:rsidR="00453F2C" w:rsidRPr="00403C55" w:rsidRDefault="00453F2C" w:rsidP="008123DD">
      <w:pPr>
        <w:shd w:val="clear" w:color="auto" w:fill="FFFFFF" w:themeFill="background1"/>
        <w:spacing w:after="0" w:line="240" w:lineRule="auto"/>
        <w:rPr>
          <w:rFonts w:ascii="Times New Roman" w:hAnsi="Times New Roman" w:cs="Times New Roman"/>
          <w:lang w:val="fr-FR"/>
        </w:rPr>
      </w:pPr>
    </w:p>
    <w:p w14:paraId="2C905921" w14:textId="2F2567D4" w:rsidR="00453F2C" w:rsidRPr="00403C55" w:rsidRDefault="0001284E" w:rsidP="00822792">
      <w:pPr>
        <w:shd w:val="clear" w:color="auto" w:fill="FFFFFF" w:themeFill="background1"/>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Malgré </w:t>
      </w:r>
      <w:r w:rsidR="003D5F64" w:rsidRPr="00403C55">
        <w:rPr>
          <w:rFonts w:ascii="Times New Roman" w:hAnsi="Times New Roman" w:cs="Times New Roman"/>
          <w:lang w:val="fr-FR"/>
        </w:rPr>
        <w:t>que</w:t>
      </w:r>
      <w:r w:rsidRPr="00403C55">
        <w:rPr>
          <w:rFonts w:ascii="Times New Roman" w:hAnsi="Times New Roman" w:cs="Times New Roman"/>
          <w:lang w:val="fr-FR"/>
        </w:rPr>
        <w:t xml:space="preserve"> ce plan </w:t>
      </w:r>
      <w:r w:rsidR="003D5F64" w:rsidRPr="00403C55">
        <w:rPr>
          <w:rFonts w:ascii="Times New Roman" w:hAnsi="Times New Roman" w:cs="Times New Roman"/>
          <w:lang w:val="fr-FR"/>
        </w:rPr>
        <w:t xml:space="preserve">soit restreint </w:t>
      </w:r>
      <w:r w:rsidRPr="00403C55">
        <w:rPr>
          <w:rFonts w:ascii="Times New Roman" w:hAnsi="Times New Roman" w:cs="Times New Roman"/>
          <w:lang w:val="fr-FR"/>
        </w:rPr>
        <w:t>aux pays du nord et de l’est de l’Europe, y compris la Russie, le manque de capacité financière a toujours été mentionné comme l’un des principaux obstacles entravant une mise en œuvre eff</w:t>
      </w:r>
      <w:r w:rsidR="003D5F64" w:rsidRPr="00403C55">
        <w:rPr>
          <w:rFonts w:ascii="Times New Roman" w:hAnsi="Times New Roman" w:cs="Times New Roman"/>
          <w:lang w:val="fr-FR"/>
        </w:rPr>
        <w:t>iciente</w:t>
      </w:r>
      <w:r w:rsidRPr="00403C55">
        <w:rPr>
          <w:rFonts w:ascii="Times New Roman" w:hAnsi="Times New Roman" w:cs="Times New Roman"/>
          <w:lang w:val="fr-FR"/>
        </w:rPr>
        <w:t xml:space="preserve"> du plan </w:t>
      </w:r>
      <w:r w:rsidR="0003562F">
        <w:rPr>
          <w:rFonts w:ascii="Times New Roman" w:hAnsi="Times New Roman" w:cs="Times New Roman"/>
          <w:lang w:val="fr-FR"/>
        </w:rPr>
        <w:t>d’action</w:t>
      </w:r>
      <w:r w:rsidRPr="00403C55">
        <w:rPr>
          <w:rFonts w:ascii="Times New Roman" w:hAnsi="Times New Roman" w:cs="Times New Roman"/>
          <w:lang w:val="fr-FR"/>
        </w:rPr>
        <w:t>.</w:t>
      </w:r>
      <w:r w:rsidR="00822792" w:rsidRPr="00403C55">
        <w:rPr>
          <w:rFonts w:ascii="Times New Roman" w:hAnsi="Times New Roman" w:cs="Times New Roman"/>
          <w:lang w:val="fr-FR"/>
        </w:rPr>
        <w:t xml:space="preserve"> </w:t>
      </w:r>
      <w:r w:rsidR="003D5F64" w:rsidRPr="00403C55">
        <w:rPr>
          <w:rFonts w:ascii="Times New Roman" w:hAnsi="Times New Roman" w:cs="Times New Roman"/>
          <w:lang w:val="fr-FR"/>
        </w:rPr>
        <w:t xml:space="preserve">En outre, les </w:t>
      </w:r>
      <w:r w:rsidR="00FE6EE5">
        <w:rPr>
          <w:rFonts w:ascii="Times New Roman" w:hAnsi="Times New Roman" w:cs="Times New Roman"/>
          <w:lang w:val="fr-FR"/>
        </w:rPr>
        <w:t>États de l’aire de répartition</w:t>
      </w:r>
      <w:r w:rsidR="003D5F64" w:rsidRPr="00403C55">
        <w:rPr>
          <w:rFonts w:ascii="Times New Roman" w:hAnsi="Times New Roman" w:cs="Times New Roman"/>
          <w:lang w:val="fr-FR"/>
        </w:rPr>
        <w:t xml:space="preserve"> ont souligné le fait que les perturbations humaines étaient un problème, qui n’est peut-être pas suffisamment pris en main dans le plan.</w:t>
      </w:r>
      <w:r w:rsidR="00822792" w:rsidRPr="00403C55">
        <w:rPr>
          <w:rFonts w:ascii="Times New Roman" w:hAnsi="Times New Roman" w:cs="Times New Roman"/>
          <w:lang w:val="fr-FR"/>
        </w:rPr>
        <w:t xml:space="preserve"> </w:t>
      </w:r>
    </w:p>
    <w:p w14:paraId="75C88200" w14:textId="77777777" w:rsidR="00822792" w:rsidRPr="00403C55" w:rsidRDefault="00822792" w:rsidP="00822792">
      <w:pPr>
        <w:shd w:val="clear" w:color="auto" w:fill="FFFFFF" w:themeFill="background1"/>
        <w:spacing w:after="0" w:line="240" w:lineRule="auto"/>
        <w:jc w:val="both"/>
        <w:rPr>
          <w:rFonts w:ascii="Times New Roman" w:hAnsi="Times New Roman" w:cs="Times New Roman"/>
          <w:lang w:val="fr-FR"/>
        </w:rPr>
      </w:pPr>
    </w:p>
    <w:p w14:paraId="28303BB4" w14:textId="5E2F8324" w:rsidR="00822792" w:rsidRPr="00403C55" w:rsidRDefault="003D5F64" w:rsidP="00822792">
      <w:pPr>
        <w:shd w:val="clear" w:color="auto" w:fill="FFFFFF" w:themeFill="background1"/>
        <w:spacing w:after="0" w:line="240" w:lineRule="auto"/>
        <w:jc w:val="both"/>
        <w:rPr>
          <w:rFonts w:ascii="Times New Roman" w:hAnsi="Times New Roman" w:cs="Times New Roman"/>
          <w:lang w:val="fr-FR"/>
        </w:rPr>
      </w:pPr>
      <w:r w:rsidRPr="00403C55">
        <w:rPr>
          <w:rFonts w:ascii="Times New Roman" w:hAnsi="Times New Roman" w:cs="Times New Roman"/>
          <w:lang w:val="fr-FR"/>
        </w:rPr>
        <w:t xml:space="preserve">Le manque de plans </w:t>
      </w:r>
      <w:r w:rsidR="0003562F">
        <w:rPr>
          <w:rFonts w:ascii="Times New Roman" w:hAnsi="Times New Roman" w:cs="Times New Roman"/>
          <w:lang w:val="fr-FR"/>
        </w:rPr>
        <w:t>d’action</w:t>
      </w:r>
      <w:r w:rsidRPr="00403C55">
        <w:rPr>
          <w:rFonts w:ascii="Times New Roman" w:hAnsi="Times New Roman" w:cs="Times New Roman"/>
          <w:lang w:val="fr-FR"/>
        </w:rPr>
        <w:t xml:space="preserve"> nationaux adoptés et de groupes de travail nationaux établis pour l’espèce, ainsi que le manque de gestion et d’aide gouvernementales mentionné</w:t>
      </w:r>
      <w:r w:rsidR="00492F49" w:rsidRPr="00403C55">
        <w:rPr>
          <w:rFonts w:ascii="Times New Roman" w:hAnsi="Times New Roman" w:cs="Times New Roman"/>
          <w:lang w:val="fr-FR"/>
        </w:rPr>
        <w:t>s,</w:t>
      </w:r>
      <w:r w:rsidRPr="00403C55">
        <w:rPr>
          <w:rFonts w:ascii="Times New Roman" w:hAnsi="Times New Roman" w:cs="Times New Roman"/>
          <w:lang w:val="fr-FR"/>
        </w:rPr>
        <w:t xml:space="preserve"> indique</w:t>
      </w:r>
      <w:r w:rsidR="00492F49" w:rsidRPr="00403C55">
        <w:rPr>
          <w:rFonts w:ascii="Times New Roman" w:hAnsi="Times New Roman" w:cs="Times New Roman"/>
          <w:lang w:val="fr-FR"/>
        </w:rPr>
        <w:t>nt</w:t>
      </w:r>
      <w:r w:rsidRPr="00403C55">
        <w:rPr>
          <w:rFonts w:ascii="Times New Roman" w:hAnsi="Times New Roman" w:cs="Times New Roman"/>
          <w:lang w:val="fr-FR"/>
        </w:rPr>
        <w:t xml:space="preserve"> que l’espèce ne constitue</w:t>
      </w:r>
      <w:r w:rsidR="00DD4850">
        <w:rPr>
          <w:rFonts w:ascii="Times New Roman" w:hAnsi="Times New Roman" w:cs="Times New Roman"/>
          <w:lang w:val="fr-FR"/>
        </w:rPr>
        <w:t>nt</w:t>
      </w:r>
      <w:r w:rsidRPr="00403C55">
        <w:rPr>
          <w:rFonts w:ascii="Times New Roman" w:hAnsi="Times New Roman" w:cs="Times New Roman"/>
          <w:lang w:val="fr-FR"/>
        </w:rPr>
        <w:t xml:space="preserve"> peut-être pas une priorité élevée pour certains pays.</w:t>
      </w:r>
      <w:r w:rsidR="00822792" w:rsidRPr="00403C55">
        <w:rPr>
          <w:rFonts w:ascii="Times New Roman" w:hAnsi="Times New Roman" w:cs="Times New Roman"/>
          <w:lang w:val="fr-FR"/>
        </w:rPr>
        <w:t xml:space="preserve"> </w:t>
      </w:r>
      <w:r w:rsidRPr="00403C55">
        <w:rPr>
          <w:rFonts w:ascii="Times New Roman" w:hAnsi="Times New Roman" w:cs="Times New Roman"/>
          <w:lang w:val="fr-FR"/>
        </w:rPr>
        <w:t xml:space="preserve">Si tel est le cas, le groupe de travail international </w:t>
      </w:r>
      <w:r w:rsidR="0003562F">
        <w:rPr>
          <w:rFonts w:ascii="Times New Roman" w:hAnsi="Times New Roman" w:cs="Times New Roman"/>
          <w:lang w:val="fr-FR"/>
        </w:rPr>
        <w:t>de l’AEWA</w:t>
      </w:r>
      <w:r w:rsidRPr="00403C55">
        <w:rPr>
          <w:rFonts w:ascii="Times New Roman" w:hAnsi="Times New Roman" w:cs="Times New Roman"/>
          <w:lang w:val="fr-FR"/>
        </w:rPr>
        <w:t xml:space="preserve"> pour le cygne de Bewick pourrait envisager des mesures pour renforcer l’aide à la mise en œuvre dans les </w:t>
      </w:r>
      <w:r w:rsidR="00FE6EE5">
        <w:rPr>
          <w:rFonts w:ascii="Times New Roman" w:hAnsi="Times New Roman" w:cs="Times New Roman"/>
          <w:lang w:val="fr-FR"/>
        </w:rPr>
        <w:t>États de l’aire de répartition</w:t>
      </w:r>
      <w:r w:rsidRPr="00403C55">
        <w:rPr>
          <w:rFonts w:ascii="Times New Roman" w:hAnsi="Times New Roman" w:cs="Times New Roman"/>
          <w:lang w:val="fr-FR"/>
        </w:rPr>
        <w:t>.</w:t>
      </w:r>
    </w:p>
    <w:p w14:paraId="7D5B6184" w14:textId="77777777" w:rsidR="006A4E7E" w:rsidRPr="00403C55" w:rsidRDefault="006A4E7E" w:rsidP="00822792">
      <w:pPr>
        <w:shd w:val="clear" w:color="auto" w:fill="FFFFFF" w:themeFill="background1"/>
        <w:spacing w:after="0" w:line="240" w:lineRule="auto"/>
        <w:jc w:val="both"/>
        <w:rPr>
          <w:rFonts w:ascii="Times New Roman" w:hAnsi="Times New Roman" w:cs="Times New Roman"/>
          <w:lang w:val="fr-FR"/>
        </w:rPr>
      </w:pPr>
    </w:p>
    <w:p w14:paraId="17AE2E58" w14:textId="71905C83" w:rsidR="00886A3C" w:rsidRDefault="003D5F64" w:rsidP="00822792">
      <w:pPr>
        <w:shd w:val="clear" w:color="auto" w:fill="FFFFFF" w:themeFill="background1"/>
        <w:spacing w:after="0" w:line="240" w:lineRule="auto"/>
        <w:jc w:val="both"/>
        <w:rPr>
          <w:rFonts w:ascii="Times New Roman" w:hAnsi="Times New Roman" w:cs="Times New Roman"/>
          <w:lang w:val="fr-FR"/>
        </w:rPr>
      </w:pPr>
      <w:r w:rsidRPr="00403C55">
        <w:rPr>
          <w:rFonts w:ascii="Times New Roman" w:hAnsi="Times New Roman" w:cs="Times New Roman"/>
          <w:lang w:val="fr-FR"/>
        </w:rPr>
        <w:lastRenderedPageBreak/>
        <w:t xml:space="preserve">Une tâche essentielle, afin d’assurer la mise en œuvre efficace à long terme du plan </w:t>
      </w:r>
      <w:r w:rsidR="0003562F">
        <w:rPr>
          <w:rFonts w:ascii="Times New Roman" w:hAnsi="Times New Roman" w:cs="Times New Roman"/>
          <w:lang w:val="fr-FR"/>
        </w:rPr>
        <w:t>d’action</w:t>
      </w:r>
      <w:r w:rsidRPr="00403C55">
        <w:rPr>
          <w:rFonts w:ascii="Times New Roman" w:hAnsi="Times New Roman" w:cs="Times New Roman"/>
          <w:lang w:val="fr-FR"/>
        </w:rPr>
        <w:t>, sera d’assurer l’engagement actif de la Russie – au niveau gouvernemental et des experts.</w:t>
      </w:r>
      <w:r w:rsidR="00985A4E">
        <w:rPr>
          <w:rFonts w:ascii="Times New Roman" w:hAnsi="Times New Roman" w:cs="Times New Roman"/>
          <w:lang w:val="fr-FR"/>
        </w:rPr>
        <w:t xml:space="preserve"> </w:t>
      </w:r>
      <w:r w:rsidRPr="00403C55">
        <w:rPr>
          <w:rFonts w:ascii="Times New Roman" w:hAnsi="Times New Roman" w:cs="Times New Roman"/>
          <w:lang w:val="fr-FR"/>
        </w:rPr>
        <w:t>Ceci devra inclure l</w:t>
      </w:r>
      <w:r w:rsidR="00F82903">
        <w:rPr>
          <w:rFonts w:ascii="Times New Roman" w:hAnsi="Times New Roman" w:cs="Times New Roman"/>
          <w:lang w:val="fr-FR"/>
        </w:rPr>
        <w:t xml:space="preserve">’encouragement de la Russie à adhérer </w:t>
      </w:r>
      <w:r w:rsidRPr="00403C55">
        <w:rPr>
          <w:rFonts w:ascii="Times New Roman" w:hAnsi="Times New Roman" w:cs="Times New Roman"/>
          <w:lang w:val="fr-FR"/>
        </w:rPr>
        <w:t>à l’AEWA.</w:t>
      </w:r>
    </w:p>
    <w:p w14:paraId="4A39FAE9" w14:textId="77777777" w:rsidR="00886A3C" w:rsidRDefault="00886A3C">
      <w:pPr>
        <w:rPr>
          <w:rFonts w:ascii="Times New Roman" w:hAnsi="Times New Roman" w:cs="Times New Roman"/>
          <w:lang w:val="fr-FR"/>
        </w:rPr>
      </w:pPr>
      <w:r>
        <w:rPr>
          <w:rFonts w:ascii="Times New Roman" w:hAnsi="Times New Roman" w:cs="Times New Roman"/>
          <w:lang w:val="fr-FR"/>
        </w:rPr>
        <w:br w:type="page"/>
      </w:r>
    </w:p>
    <w:p w14:paraId="427D61D2"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b/>
          <w:lang w:val="fr-FR"/>
        </w:rPr>
      </w:pPr>
      <w:r w:rsidRPr="00251F01">
        <w:rPr>
          <w:rFonts w:ascii="Times New Roman" w:hAnsi="Times New Roman" w:cs="Times New Roman"/>
          <w:b/>
          <w:lang w:val="fr-FR"/>
        </w:rPr>
        <w:lastRenderedPageBreak/>
        <w:t>D. Mise</w:t>
      </w:r>
      <w:r>
        <w:rPr>
          <w:rFonts w:ascii="Times New Roman" w:hAnsi="Times New Roman" w:cs="Times New Roman"/>
          <w:b/>
          <w:lang w:val="fr-FR"/>
        </w:rPr>
        <w:t xml:space="preserve"> </w:t>
      </w:r>
      <w:r w:rsidRPr="00251F01">
        <w:rPr>
          <w:rFonts w:ascii="Times New Roman" w:hAnsi="Times New Roman" w:cs="Times New Roman"/>
          <w:b/>
          <w:lang w:val="fr-FR"/>
        </w:rPr>
        <w:t>en œuvre</w:t>
      </w:r>
      <w:r>
        <w:rPr>
          <w:rFonts w:ascii="Times New Roman" w:hAnsi="Times New Roman" w:cs="Times New Roman"/>
          <w:b/>
          <w:lang w:val="fr-FR"/>
        </w:rPr>
        <w:t xml:space="preserve"> </w:t>
      </w:r>
      <w:r w:rsidRPr="00251F01">
        <w:rPr>
          <w:rFonts w:ascii="Times New Roman" w:hAnsi="Times New Roman" w:cs="Times New Roman"/>
          <w:b/>
          <w:lang w:val="fr-FR"/>
        </w:rPr>
        <w:t>de l</w:t>
      </w:r>
      <w:r>
        <w:rPr>
          <w:rFonts w:ascii="Times New Roman" w:hAnsi="Times New Roman" w:cs="Times New Roman"/>
          <w:b/>
          <w:lang w:val="fr-FR"/>
        </w:rPr>
        <w:t>’</w:t>
      </w:r>
      <w:r w:rsidRPr="00251F01">
        <w:rPr>
          <w:rFonts w:ascii="Times New Roman" w:hAnsi="Times New Roman" w:cs="Times New Roman"/>
          <w:b/>
          <w:lang w:val="fr-FR"/>
        </w:rPr>
        <w:t>ISSMP de l</w:t>
      </w:r>
      <w:r>
        <w:rPr>
          <w:rFonts w:ascii="Times New Roman" w:hAnsi="Times New Roman" w:cs="Times New Roman"/>
          <w:b/>
          <w:lang w:val="fr-FR"/>
        </w:rPr>
        <w:t>’</w:t>
      </w:r>
      <w:r w:rsidRPr="00251F01">
        <w:rPr>
          <w:rFonts w:ascii="Times New Roman" w:hAnsi="Times New Roman" w:cs="Times New Roman"/>
          <w:b/>
          <w:lang w:val="fr-FR"/>
        </w:rPr>
        <w:t>AEWA pour l</w:t>
      </w:r>
      <w:r>
        <w:rPr>
          <w:rFonts w:ascii="Times New Roman" w:hAnsi="Times New Roman" w:cs="Times New Roman"/>
          <w:b/>
          <w:lang w:val="fr-FR"/>
        </w:rPr>
        <w:t>’</w:t>
      </w:r>
      <w:r w:rsidRPr="00251F01">
        <w:rPr>
          <w:rFonts w:ascii="Times New Roman" w:hAnsi="Times New Roman" w:cs="Times New Roman"/>
          <w:b/>
          <w:lang w:val="fr-FR"/>
        </w:rPr>
        <w:t>Oie à bec court</w:t>
      </w:r>
    </w:p>
    <w:p w14:paraId="5F1E7B92" w14:textId="77777777" w:rsidR="00886A3C" w:rsidRPr="004B1407" w:rsidRDefault="00886A3C" w:rsidP="00886A3C">
      <w:pPr>
        <w:shd w:val="clear" w:color="auto" w:fill="FFFFFF" w:themeFill="background1"/>
        <w:spacing w:after="0" w:line="240" w:lineRule="auto"/>
        <w:rPr>
          <w:rFonts w:ascii="Times New Roman" w:hAnsi="Times New Roman" w:cs="Times New Roman"/>
          <w:b/>
          <w:lang w:val="fr-FR"/>
        </w:rPr>
      </w:pPr>
    </w:p>
    <w:p w14:paraId="2F77786A"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1. </w:t>
      </w:r>
      <w:r w:rsidRPr="00251F01">
        <w:rPr>
          <w:rFonts w:ascii="Times New Roman" w:hAnsi="Times New Roman" w:cs="Times New Roman"/>
          <w:i/>
          <w:lang w:val="fr-FR"/>
        </w:rPr>
        <w:t>Introduction </w:t>
      </w:r>
    </w:p>
    <w:p w14:paraId="15535553"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38FD0A53"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251F01">
        <w:rPr>
          <w:rFonts w:ascii="Times New Roman" w:hAnsi="Times New Roman" w:cs="Times New Roman"/>
          <w:lang w:val="fr-FR"/>
        </w:rPr>
        <w:t>L</w:t>
      </w:r>
      <w:r>
        <w:rPr>
          <w:rFonts w:ascii="Times New Roman" w:hAnsi="Times New Roman" w:cs="Times New Roman"/>
          <w:lang w:val="fr-FR"/>
        </w:rPr>
        <w:t>’</w:t>
      </w:r>
      <w:r w:rsidRPr="00251F01">
        <w:rPr>
          <w:rFonts w:ascii="Times New Roman" w:hAnsi="Times New Roman" w:cs="Times New Roman"/>
          <w:lang w:val="fr-FR"/>
        </w:rPr>
        <w:t>Oie à bec court (</w:t>
      </w:r>
      <w:r w:rsidRPr="00251F01">
        <w:rPr>
          <w:rFonts w:ascii="Times New Roman" w:hAnsi="Times New Roman" w:cs="Times New Roman"/>
          <w:i/>
          <w:lang w:val="fr-FR"/>
        </w:rPr>
        <w:t>Anser brachyrhynchus</w:t>
      </w:r>
      <w:r w:rsidRPr="00251F01">
        <w:rPr>
          <w:rFonts w:ascii="Times New Roman" w:hAnsi="Times New Roman" w:cs="Times New Roman"/>
          <w:lang w:val="fr-FR"/>
        </w:rPr>
        <w:t>) est classée par l</w:t>
      </w:r>
      <w:r>
        <w:rPr>
          <w:rFonts w:ascii="Times New Roman" w:hAnsi="Times New Roman" w:cs="Times New Roman"/>
          <w:lang w:val="fr-FR"/>
        </w:rPr>
        <w:t>’</w:t>
      </w:r>
      <w:r w:rsidRPr="00251F01">
        <w:rPr>
          <w:rFonts w:ascii="Times New Roman" w:hAnsi="Times New Roman" w:cs="Times New Roman"/>
          <w:lang w:val="fr-FR"/>
        </w:rPr>
        <w:t>UICN dans la catégorie « Préoccupation mineure ».</w:t>
      </w:r>
      <w:r w:rsidRPr="004B1407">
        <w:rPr>
          <w:rFonts w:ascii="Times New Roman" w:hAnsi="Times New Roman" w:cs="Times New Roman"/>
          <w:lang w:val="fr-FR"/>
        </w:rPr>
        <w:t xml:space="preserve"> </w:t>
      </w:r>
      <w:r w:rsidRPr="00251F01">
        <w:rPr>
          <w:rFonts w:ascii="Times New Roman" w:hAnsi="Times New Roman" w:cs="Times New Roman"/>
          <w:lang w:val="fr-FR"/>
        </w:rPr>
        <w:t>L</w:t>
      </w:r>
      <w:r>
        <w:rPr>
          <w:rFonts w:ascii="Times New Roman" w:hAnsi="Times New Roman" w:cs="Times New Roman"/>
          <w:lang w:val="fr-FR"/>
        </w:rPr>
        <w:t>’</w:t>
      </w:r>
      <w:r w:rsidRPr="00251F01">
        <w:rPr>
          <w:rFonts w:ascii="Times New Roman" w:hAnsi="Times New Roman" w:cs="Times New Roman"/>
          <w:lang w:val="fr-FR"/>
        </w:rPr>
        <w:t xml:space="preserve">espèce figure dans la colonne B du Tableau 1 du </w:t>
      </w:r>
      <w:r>
        <w:rPr>
          <w:rFonts w:ascii="Times New Roman" w:hAnsi="Times New Roman" w:cs="Times New Roman"/>
          <w:lang w:val="fr-FR"/>
        </w:rPr>
        <w:t>Plan</w:t>
      </w:r>
      <w:r w:rsidRPr="00251F01">
        <w:rPr>
          <w:rFonts w:ascii="Times New Roman" w:hAnsi="Times New Roman" w:cs="Times New Roman"/>
          <w:lang w:val="fr-FR"/>
        </w:rPr>
        <w:t xml:space="preserve"> d</w:t>
      </w:r>
      <w:r>
        <w:rPr>
          <w:rFonts w:ascii="Times New Roman" w:hAnsi="Times New Roman" w:cs="Times New Roman"/>
          <w:lang w:val="fr-FR"/>
        </w:rPr>
        <w:t>’</w:t>
      </w:r>
      <w:r w:rsidRPr="00251F01">
        <w:rPr>
          <w:rFonts w:ascii="Times New Roman" w:hAnsi="Times New Roman" w:cs="Times New Roman"/>
          <w:lang w:val="fr-FR"/>
        </w:rPr>
        <w:t>action de l</w:t>
      </w:r>
      <w:r>
        <w:rPr>
          <w:rFonts w:ascii="Times New Roman" w:hAnsi="Times New Roman" w:cs="Times New Roman"/>
          <w:lang w:val="fr-FR"/>
        </w:rPr>
        <w:t>’</w:t>
      </w:r>
      <w:r w:rsidRPr="00251F01">
        <w:rPr>
          <w:rFonts w:ascii="Times New Roman" w:hAnsi="Times New Roman" w:cs="Times New Roman"/>
          <w:lang w:val="fr-FR"/>
        </w:rPr>
        <w:t>AEWA.</w:t>
      </w:r>
      <w:r w:rsidRPr="004B1407">
        <w:rPr>
          <w:rFonts w:ascii="Times New Roman" w:hAnsi="Times New Roman" w:cs="Times New Roman"/>
          <w:lang w:val="fr-FR"/>
        </w:rPr>
        <w:t xml:space="preserve"> </w:t>
      </w:r>
      <w:r w:rsidRPr="0059638D">
        <w:rPr>
          <w:rFonts w:ascii="Times New Roman" w:hAnsi="Times New Roman" w:cs="Times New Roman"/>
          <w:lang w:val="fr-FR"/>
        </w:rPr>
        <w:t xml:space="preserve">Le </w:t>
      </w:r>
      <w:r>
        <w:rPr>
          <w:rFonts w:ascii="Times New Roman" w:hAnsi="Times New Roman" w:cs="Times New Roman"/>
          <w:lang w:val="fr-FR"/>
        </w:rPr>
        <w:t>Plan</w:t>
      </w:r>
      <w:r w:rsidRPr="0059638D">
        <w:rPr>
          <w:rFonts w:ascii="Times New Roman" w:hAnsi="Times New Roman" w:cs="Times New Roman"/>
          <w:lang w:val="fr-FR"/>
        </w:rPr>
        <w:t xml:space="preserve"> </w:t>
      </w:r>
      <w:r>
        <w:rPr>
          <w:rFonts w:ascii="Times New Roman" w:hAnsi="Times New Roman" w:cs="Times New Roman"/>
          <w:lang w:val="fr-FR"/>
        </w:rPr>
        <w:t>de gestion international</w:t>
      </w:r>
      <w:r w:rsidRPr="0059638D">
        <w:rPr>
          <w:rFonts w:ascii="Times New Roman" w:hAnsi="Times New Roman" w:cs="Times New Roman"/>
          <w:lang w:val="fr-FR"/>
        </w:rPr>
        <w:t xml:space="preserve"> par espèce pour la population de l</w:t>
      </w:r>
      <w:r>
        <w:rPr>
          <w:rFonts w:ascii="Times New Roman" w:hAnsi="Times New Roman" w:cs="Times New Roman"/>
          <w:lang w:val="fr-FR"/>
        </w:rPr>
        <w:t>’</w:t>
      </w:r>
      <w:r w:rsidRPr="0059638D">
        <w:rPr>
          <w:rFonts w:ascii="Times New Roman" w:hAnsi="Times New Roman" w:cs="Times New Roman"/>
          <w:lang w:val="fr-FR"/>
        </w:rPr>
        <w:t xml:space="preserve">Oie à bec court du Svalbard a été adopté en 2012, lors de </w:t>
      </w:r>
      <w:r>
        <w:rPr>
          <w:rFonts w:ascii="Times New Roman" w:hAnsi="Times New Roman" w:cs="Times New Roman"/>
          <w:lang w:val="fr-FR"/>
        </w:rPr>
        <w:t xml:space="preserve">la </w:t>
      </w:r>
      <w:r w:rsidRPr="0059638D">
        <w:rPr>
          <w:rFonts w:ascii="Times New Roman" w:hAnsi="Times New Roman" w:cs="Times New Roman"/>
          <w:lang w:val="fr-FR"/>
        </w:rPr>
        <w:t>5</w:t>
      </w:r>
      <w:r w:rsidRPr="0059638D">
        <w:rPr>
          <w:rFonts w:ascii="Times New Roman" w:hAnsi="Times New Roman" w:cs="Times New Roman"/>
          <w:vertAlign w:val="superscript"/>
          <w:lang w:val="fr-FR"/>
        </w:rPr>
        <w:t>ème</w:t>
      </w:r>
      <w:r w:rsidRPr="0059638D">
        <w:rPr>
          <w:rFonts w:ascii="Times New Roman" w:hAnsi="Times New Roman" w:cs="Times New Roman"/>
          <w:lang w:val="fr-FR"/>
        </w:rPr>
        <w:t xml:space="preserve"> session de la Réunion des Parties à l</w:t>
      </w:r>
      <w:r>
        <w:rPr>
          <w:rFonts w:ascii="Times New Roman" w:hAnsi="Times New Roman" w:cs="Times New Roman"/>
          <w:lang w:val="fr-FR"/>
        </w:rPr>
        <w:t>’</w:t>
      </w:r>
      <w:r w:rsidRPr="0059638D">
        <w:rPr>
          <w:rFonts w:ascii="Times New Roman" w:hAnsi="Times New Roman" w:cs="Times New Roman"/>
          <w:lang w:val="fr-FR"/>
        </w:rPr>
        <w:t>AEWA</w:t>
      </w:r>
      <w:r w:rsidRPr="0059638D">
        <w:rPr>
          <w:rStyle w:val="FootnoteReference"/>
          <w:rFonts w:ascii="Times New Roman" w:hAnsi="Times New Roman" w:cs="Times New Roman"/>
          <w:lang w:val="fr-FR"/>
        </w:rPr>
        <w:footnoteReference w:id="5"/>
      </w:r>
      <w:r w:rsidRPr="0059638D">
        <w:rPr>
          <w:rFonts w:ascii="Times New Roman" w:hAnsi="Times New Roman" w:cs="Times New Roman"/>
          <w:lang w:val="fr-FR"/>
        </w:rPr>
        <w:t>.</w:t>
      </w:r>
    </w:p>
    <w:p w14:paraId="5E81DC54"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tbl>
      <w:tblPr>
        <w:tblStyle w:val="TableGrid"/>
        <w:tblW w:w="8623" w:type="dxa"/>
        <w:jc w:val="center"/>
        <w:shd w:val="clear" w:color="auto" w:fill="FFFFFF" w:themeFill="background1"/>
        <w:tblLook w:val="04A0" w:firstRow="1" w:lastRow="0" w:firstColumn="1" w:lastColumn="0" w:noHBand="0" w:noVBand="1"/>
      </w:tblPr>
      <w:tblGrid>
        <w:gridCol w:w="8623"/>
      </w:tblGrid>
      <w:tr w:rsidR="00886A3C" w:rsidRPr="00DE4CF4" w14:paraId="7616EA27" w14:textId="77777777" w:rsidTr="00886A3C">
        <w:trPr>
          <w:trHeight w:val="760"/>
          <w:jc w:val="center"/>
        </w:trPr>
        <w:tc>
          <w:tcPr>
            <w:tcW w:w="86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36EE7BFA" w14:textId="77777777" w:rsidR="00886A3C" w:rsidRPr="004B1407" w:rsidRDefault="00886A3C" w:rsidP="00886A3C">
            <w:pPr>
              <w:jc w:val="both"/>
              <w:rPr>
                <w:rFonts w:ascii="Times New Roman" w:hAnsi="Times New Roman" w:cs="Times New Roman"/>
                <w:lang w:val="fr-FR"/>
              </w:rPr>
            </w:pPr>
            <w:r w:rsidRPr="0059638D">
              <w:rPr>
                <w:rFonts w:ascii="Times New Roman" w:hAnsi="Times New Roman" w:cs="Times New Roman"/>
                <w:lang w:val="fr-FR"/>
              </w:rPr>
              <w:t xml:space="preserve">Le </w:t>
            </w:r>
            <w:r w:rsidRPr="006D459E">
              <w:rPr>
                <w:rFonts w:ascii="Times New Roman" w:hAnsi="Times New Roman" w:cs="Times New Roman"/>
                <w:lang w:val="fr-FR"/>
              </w:rPr>
              <w:t xml:space="preserve">but du plan </w:t>
            </w:r>
            <w:r>
              <w:rPr>
                <w:rFonts w:ascii="Times New Roman" w:hAnsi="Times New Roman" w:cs="Times New Roman"/>
                <w:lang w:val="fr-FR"/>
              </w:rPr>
              <w:t>de gestion</w:t>
            </w:r>
            <w:r w:rsidRPr="0059638D">
              <w:rPr>
                <w:rFonts w:ascii="Times New Roman" w:hAnsi="Times New Roman" w:cs="Times New Roman"/>
                <w:lang w:val="fr-FR"/>
              </w:rPr>
              <w:t xml:space="preserve"> est de maintenir </w:t>
            </w:r>
            <w:r>
              <w:rPr>
                <w:rFonts w:ascii="Times New Roman" w:hAnsi="Times New Roman" w:cs="Times New Roman"/>
                <w:lang w:val="fr-FR"/>
              </w:rPr>
              <w:t>l’</w:t>
            </w:r>
            <w:r w:rsidRPr="0059638D">
              <w:rPr>
                <w:rFonts w:ascii="Times New Roman" w:hAnsi="Times New Roman" w:cs="Times New Roman"/>
                <w:lang w:val="fr-FR"/>
              </w:rPr>
              <w:t>état de conservation favorable de la population de l</w:t>
            </w:r>
            <w:r>
              <w:rPr>
                <w:rFonts w:ascii="Times New Roman" w:hAnsi="Times New Roman" w:cs="Times New Roman"/>
                <w:lang w:val="fr-FR"/>
              </w:rPr>
              <w:t>’</w:t>
            </w:r>
            <w:r w:rsidRPr="0059638D">
              <w:rPr>
                <w:rFonts w:ascii="Times New Roman" w:hAnsi="Times New Roman" w:cs="Times New Roman"/>
                <w:lang w:val="fr-FR"/>
              </w:rPr>
              <w:t xml:space="preserve">Oie à bec court du Svalbard </w:t>
            </w:r>
            <w:r>
              <w:rPr>
                <w:rFonts w:ascii="Times New Roman" w:hAnsi="Times New Roman" w:cs="Times New Roman"/>
                <w:lang w:val="fr-FR"/>
              </w:rPr>
              <w:t>à l’échelle</w:t>
            </w:r>
            <w:r w:rsidRPr="0059638D">
              <w:rPr>
                <w:rFonts w:ascii="Times New Roman" w:hAnsi="Times New Roman" w:cs="Times New Roman"/>
                <w:lang w:val="fr-FR"/>
              </w:rPr>
              <w:t xml:space="preserve"> de la voie de migration, tout en tenant compte des intérêts </w:t>
            </w:r>
            <w:r>
              <w:rPr>
                <w:rFonts w:ascii="Times New Roman" w:hAnsi="Times New Roman" w:cs="Times New Roman"/>
                <w:lang w:val="fr-FR"/>
              </w:rPr>
              <w:t>économiques et de ceux liés au secteur des loisirs.</w:t>
            </w:r>
          </w:p>
        </w:tc>
      </w:tr>
    </w:tbl>
    <w:p w14:paraId="6821CD2E"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p w14:paraId="73C95704" w14:textId="77777777" w:rsidR="00886A3C" w:rsidRPr="004B1407" w:rsidRDefault="00886A3C" w:rsidP="00886A3C">
      <w:pPr>
        <w:spacing w:after="0" w:line="240" w:lineRule="auto"/>
        <w:jc w:val="both"/>
        <w:rPr>
          <w:rFonts w:ascii="Times New Roman" w:hAnsi="Times New Roman" w:cs="Times New Roman"/>
          <w:lang w:val="fr-FR"/>
        </w:rPr>
      </w:pPr>
      <w:r w:rsidRPr="00117CEA">
        <w:rPr>
          <w:rFonts w:ascii="Times New Roman" w:hAnsi="Times New Roman" w:cs="Times New Roman"/>
          <w:lang w:val="fr-FR"/>
        </w:rPr>
        <w:t>Le groupe de travail international de l</w:t>
      </w:r>
      <w:r>
        <w:rPr>
          <w:rFonts w:ascii="Times New Roman" w:hAnsi="Times New Roman" w:cs="Times New Roman"/>
          <w:lang w:val="fr-FR"/>
        </w:rPr>
        <w:t>’</w:t>
      </w:r>
      <w:r w:rsidRPr="00117CEA">
        <w:rPr>
          <w:rFonts w:ascii="Times New Roman" w:hAnsi="Times New Roman" w:cs="Times New Roman"/>
          <w:lang w:val="fr-FR"/>
        </w:rPr>
        <w:t>AEWA sur l</w:t>
      </w:r>
      <w:r>
        <w:rPr>
          <w:rFonts w:ascii="Times New Roman" w:hAnsi="Times New Roman" w:cs="Times New Roman"/>
          <w:lang w:val="fr-FR"/>
        </w:rPr>
        <w:t>’</w:t>
      </w:r>
      <w:r w:rsidRPr="00117CEA">
        <w:rPr>
          <w:rFonts w:ascii="Times New Roman" w:hAnsi="Times New Roman" w:cs="Times New Roman"/>
          <w:lang w:val="fr-FR"/>
        </w:rPr>
        <w:t>Oie à bec court (PfG IWG) a été mis en place par le Secrétariat de l</w:t>
      </w:r>
      <w:r>
        <w:rPr>
          <w:rFonts w:ascii="Times New Roman" w:hAnsi="Times New Roman" w:cs="Times New Roman"/>
          <w:lang w:val="fr-FR"/>
        </w:rPr>
        <w:t>’</w:t>
      </w:r>
      <w:r w:rsidRPr="00117CEA">
        <w:rPr>
          <w:rFonts w:ascii="Times New Roman" w:hAnsi="Times New Roman" w:cs="Times New Roman"/>
          <w:lang w:val="fr-FR"/>
        </w:rPr>
        <w:t>AEWA en 2010 et s</w:t>
      </w:r>
      <w:r>
        <w:rPr>
          <w:rFonts w:ascii="Times New Roman" w:hAnsi="Times New Roman" w:cs="Times New Roman"/>
          <w:lang w:val="fr-FR"/>
        </w:rPr>
        <w:t>’</w:t>
      </w:r>
      <w:r w:rsidRPr="00117CEA">
        <w:rPr>
          <w:rFonts w:ascii="Times New Roman" w:hAnsi="Times New Roman" w:cs="Times New Roman"/>
          <w:lang w:val="fr-FR"/>
        </w:rPr>
        <w:t>est réuni depuis lors plusieurs fois (pour de plus amples informations, veuillez consulter le site Web du groupe de travail :</w:t>
      </w:r>
      <w:r w:rsidRPr="004B1407">
        <w:rPr>
          <w:rFonts w:ascii="Times New Roman" w:hAnsi="Times New Roman" w:cs="Times New Roman"/>
          <w:lang w:val="fr-FR"/>
        </w:rPr>
        <w:t xml:space="preserve"> </w:t>
      </w:r>
      <w:r w:rsidRPr="00117CEA">
        <w:rPr>
          <w:rFonts w:ascii="Times New Roman" w:hAnsi="Times New Roman" w:cs="Times New Roman"/>
          <w:lang w:val="fr-FR"/>
        </w:rPr>
        <w:t>http://pinkfootedgoose.aewa.info/).</w:t>
      </w:r>
      <w:r w:rsidRPr="004B1407">
        <w:rPr>
          <w:rFonts w:ascii="Times New Roman" w:hAnsi="Times New Roman" w:cs="Times New Roman"/>
          <w:lang w:val="fr-FR"/>
        </w:rPr>
        <w:t xml:space="preserve"> </w:t>
      </w:r>
      <w:r w:rsidRPr="00680A75">
        <w:rPr>
          <w:rFonts w:ascii="Times New Roman" w:hAnsi="Times New Roman" w:cs="Times New Roman"/>
          <w:lang w:val="fr-FR"/>
        </w:rPr>
        <w:t>L</w:t>
      </w:r>
      <w:r>
        <w:rPr>
          <w:rFonts w:ascii="Times New Roman" w:hAnsi="Times New Roman" w:cs="Times New Roman"/>
          <w:lang w:val="fr-FR"/>
        </w:rPr>
        <w:t>’</w:t>
      </w:r>
      <w:r w:rsidRPr="00680A75">
        <w:rPr>
          <w:rFonts w:ascii="Times New Roman" w:hAnsi="Times New Roman" w:cs="Times New Roman"/>
          <w:lang w:val="fr-FR"/>
        </w:rPr>
        <w:t>Université d</w:t>
      </w:r>
      <w:r>
        <w:rPr>
          <w:rFonts w:ascii="Times New Roman" w:hAnsi="Times New Roman" w:cs="Times New Roman"/>
          <w:lang w:val="fr-FR"/>
        </w:rPr>
        <w:t>’</w:t>
      </w:r>
      <w:r w:rsidRPr="00680A75">
        <w:rPr>
          <w:rFonts w:ascii="Times New Roman" w:hAnsi="Times New Roman" w:cs="Times New Roman"/>
          <w:lang w:val="fr-FR"/>
        </w:rPr>
        <w:t xml:space="preserve">Aarhus </w:t>
      </w:r>
      <w:r>
        <w:rPr>
          <w:rFonts w:ascii="Times New Roman" w:hAnsi="Times New Roman" w:cs="Times New Roman"/>
          <w:lang w:val="fr-FR"/>
        </w:rPr>
        <w:t xml:space="preserve">en </w:t>
      </w:r>
      <w:r w:rsidRPr="00680A75">
        <w:rPr>
          <w:rFonts w:ascii="Times New Roman" w:hAnsi="Times New Roman" w:cs="Times New Roman"/>
          <w:lang w:val="fr-FR"/>
        </w:rPr>
        <w:t>a</w:t>
      </w:r>
      <w:r>
        <w:rPr>
          <w:rFonts w:ascii="Times New Roman" w:hAnsi="Times New Roman" w:cs="Times New Roman"/>
          <w:lang w:val="fr-FR"/>
        </w:rPr>
        <w:t xml:space="preserve">ssure la </w:t>
      </w:r>
      <w:r w:rsidRPr="00680A75">
        <w:rPr>
          <w:rFonts w:ascii="Times New Roman" w:hAnsi="Times New Roman" w:cs="Times New Roman"/>
          <w:lang w:val="fr-FR"/>
        </w:rPr>
        <w:t>coordination</w:t>
      </w:r>
      <w:r>
        <w:rPr>
          <w:rFonts w:ascii="Times New Roman" w:hAnsi="Times New Roman" w:cs="Times New Roman"/>
          <w:lang w:val="fr-FR"/>
        </w:rPr>
        <w:t>.</w:t>
      </w:r>
    </w:p>
    <w:p w14:paraId="0E1C3795"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6B8CFDCF"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2. </w:t>
      </w:r>
      <w:r w:rsidRPr="00680A75">
        <w:rPr>
          <w:rFonts w:ascii="Times New Roman" w:hAnsi="Times New Roman" w:cs="Times New Roman"/>
          <w:i/>
          <w:lang w:val="fr-FR"/>
        </w:rPr>
        <w:t>Taux de réponse</w:t>
      </w:r>
    </w:p>
    <w:p w14:paraId="1AF1CE43"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49828EB8" w14:textId="77777777" w:rsidR="00886A3C" w:rsidRPr="004B1407" w:rsidRDefault="00886A3C" w:rsidP="00886A3C">
      <w:pPr>
        <w:spacing w:after="0" w:line="240" w:lineRule="auto"/>
        <w:jc w:val="both"/>
        <w:rPr>
          <w:rFonts w:ascii="Times New Roman" w:hAnsi="Times New Roman" w:cs="Times New Roman"/>
          <w:lang w:val="fr-FR"/>
        </w:rPr>
      </w:pPr>
      <w:r w:rsidRPr="00680A75">
        <w:rPr>
          <w:rFonts w:ascii="Times New Roman" w:hAnsi="Times New Roman" w:cs="Times New Roman"/>
          <w:lang w:val="fr-FR"/>
        </w:rPr>
        <w:t>Les quatre principaux États de l</w:t>
      </w:r>
      <w:r>
        <w:rPr>
          <w:rFonts w:ascii="Times New Roman" w:hAnsi="Times New Roman" w:cs="Times New Roman"/>
          <w:lang w:val="fr-FR"/>
        </w:rPr>
        <w:t>’</w:t>
      </w:r>
      <w:r w:rsidRPr="00680A75">
        <w:rPr>
          <w:rFonts w:ascii="Times New Roman" w:hAnsi="Times New Roman" w:cs="Times New Roman"/>
          <w:lang w:val="fr-FR"/>
        </w:rPr>
        <w:t>aire de répartition (100</w:t>
      </w:r>
      <w:r>
        <w:rPr>
          <w:rFonts w:ascii="Times New Roman" w:hAnsi="Times New Roman" w:cs="Times New Roman"/>
          <w:lang w:val="fr-FR"/>
        </w:rPr>
        <w:t> %</w:t>
      </w:r>
      <w:r w:rsidRPr="00680A75">
        <w:rPr>
          <w:rFonts w:ascii="Times New Roman" w:hAnsi="Times New Roman" w:cs="Times New Roman"/>
          <w:lang w:val="fr-FR"/>
        </w:rPr>
        <w:t xml:space="preserve">) recensés dans le </w:t>
      </w:r>
      <w:r>
        <w:rPr>
          <w:rFonts w:ascii="Times New Roman" w:hAnsi="Times New Roman" w:cs="Times New Roman"/>
          <w:lang w:val="fr-FR"/>
        </w:rPr>
        <w:t>plan</w:t>
      </w:r>
      <w:r w:rsidRPr="00680A75">
        <w:rPr>
          <w:rFonts w:ascii="Times New Roman" w:hAnsi="Times New Roman" w:cs="Times New Roman"/>
          <w:lang w:val="fr-FR"/>
        </w:rPr>
        <w:t xml:space="preserve"> </w:t>
      </w:r>
      <w:r>
        <w:rPr>
          <w:rFonts w:ascii="Times New Roman" w:hAnsi="Times New Roman" w:cs="Times New Roman"/>
          <w:lang w:val="fr-FR"/>
        </w:rPr>
        <w:t>de gestion</w:t>
      </w:r>
      <w:r w:rsidRPr="00680A75">
        <w:rPr>
          <w:rFonts w:ascii="Times New Roman" w:hAnsi="Times New Roman" w:cs="Times New Roman"/>
          <w:lang w:val="fr-FR"/>
        </w:rPr>
        <w:t xml:space="preserve"> ont répondu au questionnaire.</w:t>
      </w:r>
      <w:r w:rsidRPr="004B1407">
        <w:rPr>
          <w:rFonts w:ascii="Times New Roman" w:hAnsi="Times New Roman" w:cs="Times New Roman"/>
          <w:lang w:val="fr-FR"/>
        </w:rPr>
        <w:t xml:space="preserve"> </w:t>
      </w:r>
    </w:p>
    <w:p w14:paraId="30AA1365" w14:textId="77777777" w:rsidR="00886A3C" w:rsidRPr="004B1407" w:rsidRDefault="00886A3C" w:rsidP="00886A3C">
      <w:pPr>
        <w:spacing w:after="0" w:line="240" w:lineRule="auto"/>
        <w:jc w:val="both"/>
        <w:rPr>
          <w:rFonts w:ascii="Arial" w:hAnsi="Arial" w:cs="Arial"/>
          <w:sz w:val="20"/>
          <w:szCs w:val="20"/>
          <w:lang w:val="fr-FR"/>
        </w:rPr>
      </w:pPr>
    </w:p>
    <w:tbl>
      <w:tblPr>
        <w:tblStyle w:val="PlainTable110"/>
        <w:tblW w:w="0" w:type="auto"/>
        <w:tblLook w:val="04A0" w:firstRow="1" w:lastRow="0" w:firstColumn="1" w:lastColumn="0" w:noHBand="0" w:noVBand="1"/>
      </w:tblPr>
      <w:tblGrid>
        <w:gridCol w:w="5936"/>
        <w:gridCol w:w="2378"/>
      </w:tblGrid>
      <w:tr w:rsidR="00886A3C" w:rsidRPr="00194743" w14:paraId="654EDE3C" w14:textId="77777777" w:rsidTr="00886A3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36" w:type="dxa"/>
          </w:tcPr>
          <w:p w14:paraId="07B6C869" w14:textId="77777777" w:rsidR="00886A3C" w:rsidRPr="00194743" w:rsidRDefault="00886A3C" w:rsidP="00886A3C">
            <w:pPr>
              <w:jc w:val="both"/>
              <w:rPr>
                <w:rFonts w:ascii="Times New Roman" w:eastAsia="Calibri" w:hAnsi="Times New Roman" w:cs="Times New Roman"/>
                <w:b w:val="0"/>
                <w:i/>
              </w:rPr>
            </w:pPr>
            <w:r w:rsidRPr="00680A75">
              <w:rPr>
                <w:rFonts w:ascii="Times New Roman" w:eastAsia="Calibri" w:hAnsi="Times New Roman" w:cs="Times New Roman"/>
                <w:b w:val="0"/>
                <w:i/>
                <w:lang w:val="fr-FR"/>
              </w:rPr>
              <w:t>Réponse reçue</w:t>
            </w:r>
          </w:p>
        </w:tc>
        <w:tc>
          <w:tcPr>
            <w:tcW w:w="2378" w:type="dxa"/>
          </w:tcPr>
          <w:p w14:paraId="0A3318E6" w14:textId="77777777" w:rsidR="00886A3C" w:rsidRPr="00194743"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680A75">
              <w:rPr>
                <w:rFonts w:ascii="Times New Roman" w:eastAsia="Calibri" w:hAnsi="Times New Roman" w:cs="Times New Roman"/>
                <w:b w:val="0"/>
                <w:i/>
                <w:lang w:val="fr-FR"/>
              </w:rPr>
              <w:t>PC AEWA</w:t>
            </w:r>
          </w:p>
        </w:tc>
      </w:tr>
      <w:tr w:rsidR="00886A3C" w:rsidRPr="00194743" w14:paraId="1E99DDC8" w14:textId="77777777" w:rsidTr="00886A3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936" w:type="dxa"/>
          </w:tcPr>
          <w:p w14:paraId="1DB083DB" w14:textId="77777777" w:rsidR="00886A3C" w:rsidRPr="00194743" w:rsidRDefault="00886A3C" w:rsidP="00886A3C">
            <w:pPr>
              <w:rPr>
                <w:rFonts w:ascii="Times New Roman" w:eastAsia="Calibri" w:hAnsi="Times New Roman" w:cs="Times New Roman"/>
                <w:b w:val="0"/>
              </w:rPr>
            </w:pPr>
            <w:r w:rsidRPr="00680A75">
              <w:rPr>
                <w:rFonts w:ascii="Times New Roman" w:eastAsia="Calibri" w:hAnsi="Times New Roman" w:cs="Times New Roman"/>
                <w:b w:val="0"/>
                <w:lang w:val="fr-FR"/>
              </w:rPr>
              <w:t>Belgique</w:t>
            </w:r>
          </w:p>
        </w:tc>
        <w:tc>
          <w:tcPr>
            <w:tcW w:w="2378" w:type="dxa"/>
          </w:tcPr>
          <w:p w14:paraId="17BF3D28"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80A75">
              <w:rPr>
                <w:rFonts w:ascii="Times New Roman" w:eastAsia="Calibri" w:hAnsi="Times New Roman" w:cs="Times New Roman"/>
                <w:lang w:val="fr-FR"/>
              </w:rPr>
              <w:t>Oui</w:t>
            </w:r>
          </w:p>
        </w:tc>
      </w:tr>
      <w:tr w:rsidR="00886A3C" w:rsidRPr="00194743" w14:paraId="36F5AA24" w14:textId="77777777" w:rsidTr="00886A3C">
        <w:trPr>
          <w:trHeight w:val="263"/>
        </w:trPr>
        <w:tc>
          <w:tcPr>
            <w:cnfStyle w:val="001000000000" w:firstRow="0" w:lastRow="0" w:firstColumn="1" w:lastColumn="0" w:oddVBand="0" w:evenVBand="0" w:oddHBand="0" w:evenHBand="0" w:firstRowFirstColumn="0" w:firstRowLastColumn="0" w:lastRowFirstColumn="0" w:lastRowLastColumn="0"/>
            <w:tcW w:w="5936" w:type="dxa"/>
          </w:tcPr>
          <w:p w14:paraId="0FDE089E" w14:textId="77777777" w:rsidR="00886A3C" w:rsidRPr="00194743" w:rsidRDefault="00886A3C" w:rsidP="00886A3C">
            <w:pPr>
              <w:rPr>
                <w:rFonts w:ascii="Times New Roman" w:eastAsia="Calibri" w:hAnsi="Times New Roman" w:cs="Times New Roman"/>
                <w:b w:val="0"/>
              </w:rPr>
            </w:pPr>
            <w:r w:rsidRPr="00680A75">
              <w:rPr>
                <w:rFonts w:ascii="Times New Roman" w:eastAsia="Calibri" w:hAnsi="Times New Roman" w:cs="Times New Roman"/>
                <w:b w:val="0"/>
                <w:lang w:val="fr-FR"/>
              </w:rPr>
              <w:t>Danemark</w:t>
            </w:r>
          </w:p>
        </w:tc>
        <w:tc>
          <w:tcPr>
            <w:tcW w:w="2378" w:type="dxa"/>
          </w:tcPr>
          <w:p w14:paraId="53FD4966"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80A75">
              <w:rPr>
                <w:rFonts w:ascii="Times New Roman" w:eastAsia="Calibri" w:hAnsi="Times New Roman" w:cs="Times New Roman"/>
                <w:lang w:val="fr-FR"/>
              </w:rPr>
              <w:t>Oui</w:t>
            </w:r>
          </w:p>
        </w:tc>
      </w:tr>
      <w:tr w:rsidR="00886A3C" w:rsidRPr="00194743" w14:paraId="54D4D128" w14:textId="77777777" w:rsidTr="00886A3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936" w:type="dxa"/>
          </w:tcPr>
          <w:p w14:paraId="098D09FD" w14:textId="77777777" w:rsidR="00886A3C" w:rsidRPr="00194743" w:rsidRDefault="00886A3C" w:rsidP="00886A3C">
            <w:pPr>
              <w:rPr>
                <w:rFonts w:ascii="Times New Roman" w:eastAsia="Calibri" w:hAnsi="Times New Roman" w:cs="Times New Roman"/>
                <w:b w:val="0"/>
              </w:rPr>
            </w:pPr>
            <w:r w:rsidRPr="00680A75">
              <w:rPr>
                <w:rFonts w:ascii="Times New Roman" w:eastAsia="Calibri" w:hAnsi="Times New Roman" w:cs="Times New Roman"/>
                <w:b w:val="0"/>
                <w:lang w:val="fr-FR"/>
              </w:rPr>
              <w:t>Pays-Bas</w:t>
            </w:r>
          </w:p>
        </w:tc>
        <w:tc>
          <w:tcPr>
            <w:tcW w:w="2378" w:type="dxa"/>
          </w:tcPr>
          <w:p w14:paraId="02C4D966"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80A75">
              <w:rPr>
                <w:rFonts w:ascii="Times New Roman" w:eastAsia="Calibri" w:hAnsi="Times New Roman" w:cs="Times New Roman"/>
                <w:lang w:val="fr-FR"/>
              </w:rPr>
              <w:t>Oui</w:t>
            </w:r>
          </w:p>
        </w:tc>
      </w:tr>
      <w:tr w:rsidR="00886A3C" w:rsidRPr="00194743" w14:paraId="48147A8A" w14:textId="77777777" w:rsidTr="00886A3C">
        <w:trPr>
          <w:trHeight w:val="248"/>
        </w:trPr>
        <w:tc>
          <w:tcPr>
            <w:cnfStyle w:val="001000000000" w:firstRow="0" w:lastRow="0" w:firstColumn="1" w:lastColumn="0" w:oddVBand="0" w:evenVBand="0" w:oddHBand="0" w:evenHBand="0" w:firstRowFirstColumn="0" w:firstRowLastColumn="0" w:lastRowFirstColumn="0" w:lastRowLastColumn="0"/>
            <w:tcW w:w="5936" w:type="dxa"/>
          </w:tcPr>
          <w:p w14:paraId="0368C0BB" w14:textId="77777777" w:rsidR="00886A3C" w:rsidRPr="00194743" w:rsidRDefault="00886A3C" w:rsidP="00886A3C">
            <w:pPr>
              <w:rPr>
                <w:rFonts w:ascii="Times New Roman" w:eastAsia="Calibri" w:hAnsi="Times New Roman" w:cs="Times New Roman"/>
                <w:b w:val="0"/>
              </w:rPr>
            </w:pPr>
            <w:r w:rsidRPr="00680A75">
              <w:rPr>
                <w:rFonts w:ascii="Times New Roman" w:eastAsia="Calibri" w:hAnsi="Times New Roman" w:cs="Times New Roman"/>
                <w:b w:val="0"/>
                <w:lang w:val="fr-FR"/>
              </w:rPr>
              <w:t>Norvège</w:t>
            </w:r>
          </w:p>
        </w:tc>
        <w:tc>
          <w:tcPr>
            <w:tcW w:w="2378" w:type="dxa"/>
          </w:tcPr>
          <w:p w14:paraId="64B67E34"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80A75">
              <w:rPr>
                <w:rFonts w:ascii="Times New Roman" w:eastAsia="Calibri" w:hAnsi="Times New Roman" w:cs="Times New Roman"/>
                <w:lang w:val="fr-FR"/>
              </w:rPr>
              <w:t>Oui</w:t>
            </w:r>
          </w:p>
        </w:tc>
      </w:tr>
    </w:tbl>
    <w:p w14:paraId="54ADDE51" w14:textId="77777777" w:rsidR="00886A3C" w:rsidRDefault="00886A3C" w:rsidP="00886A3C">
      <w:pPr>
        <w:spacing w:after="0" w:line="240" w:lineRule="auto"/>
        <w:jc w:val="both"/>
        <w:rPr>
          <w:rFonts w:ascii="Times New Roman" w:hAnsi="Times New Roman" w:cs="Times New Roman"/>
          <w:lang w:val="en-US"/>
        </w:rPr>
      </w:pPr>
    </w:p>
    <w:p w14:paraId="2D36AFA1" w14:textId="77777777" w:rsidR="00886A3C" w:rsidRPr="00230425" w:rsidRDefault="00886A3C" w:rsidP="00886A3C">
      <w:pPr>
        <w:shd w:val="clear" w:color="auto" w:fill="FFFFFF" w:themeFill="background1"/>
        <w:spacing w:after="0" w:line="240" w:lineRule="auto"/>
        <w:rPr>
          <w:rFonts w:ascii="Times New Roman" w:hAnsi="Times New Roman" w:cs="Times New Roman"/>
          <w:i/>
          <w:lang w:val="en-US"/>
        </w:rPr>
      </w:pPr>
    </w:p>
    <w:p w14:paraId="25FC840A" w14:textId="77777777" w:rsidR="00886A3C" w:rsidRDefault="00886A3C" w:rsidP="00886A3C">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 xml:space="preserve">3. </w:t>
      </w:r>
      <w:r>
        <w:rPr>
          <w:rFonts w:ascii="Times New Roman" w:hAnsi="Times New Roman" w:cs="Times New Roman"/>
          <w:i/>
          <w:lang w:val="fr-FR"/>
        </w:rPr>
        <w:t>T</w:t>
      </w:r>
      <w:r w:rsidRPr="00680A75">
        <w:rPr>
          <w:rFonts w:ascii="Times New Roman" w:hAnsi="Times New Roman" w:cs="Times New Roman"/>
          <w:i/>
          <w:lang w:val="fr-FR"/>
        </w:rPr>
        <w:t xml:space="preserve">endances </w:t>
      </w:r>
      <w:r>
        <w:rPr>
          <w:rFonts w:ascii="Times New Roman" w:hAnsi="Times New Roman" w:cs="Times New Roman"/>
          <w:i/>
          <w:lang w:val="fr-FR"/>
        </w:rPr>
        <w:t xml:space="preserve">et estimations </w:t>
      </w:r>
      <w:r w:rsidRPr="00680A75">
        <w:rPr>
          <w:rFonts w:ascii="Times New Roman" w:hAnsi="Times New Roman" w:cs="Times New Roman"/>
          <w:i/>
          <w:lang w:val="fr-FR"/>
        </w:rPr>
        <w:t>de l</w:t>
      </w:r>
      <w:r>
        <w:rPr>
          <w:rFonts w:ascii="Times New Roman" w:hAnsi="Times New Roman" w:cs="Times New Roman"/>
          <w:i/>
          <w:lang w:val="fr-FR"/>
        </w:rPr>
        <w:t>’</w:t>
      </w:r>
      <w:r w:rsidRPr="00680A75">
        <w:rPr>
          <w:rFonts w:ascii="Times New Roman" w:hAnsi="Times New Roman" w:cs="Times New Roman"/>
          <w:i/>
          <w:lang w:val="fr-FR"/>
        </w:rPr>
        <w:t>espèce</w:t>
      </w:r>
    </w:p>
    <w:p w14:paraId="63623139" w14:textId="77777777" w:rsidR="00886A3C" w:rsidRDefault="00886A3C" w:rsidP="00886A3C">
      <w:pPr>
        <w:spacing w:after="0" w:line="240" w:lineRule="auto"/>
        <w:rPr>
          <w:rFonts w:ascii="Times New Roman" w:hAnsi="Times New Roman" w:cs="Times New Roman"/>
          <w:i/>
          <w:lang w:val="en-US"/>
        </w:rPr>
      </w:pPr>
    </w:p>
    <w:p w14:paraId="49073D62" w14:textId="77777777" w:rsidR="00886A3C" w:rsidRPr="004B1407" w:rsidRDefault="00886A3C" w:rsidP="00886A3C">
      <w:pPr>
        <w:spacing w:after="0" w:line="240" w:lineRule="auto"/>
        <w:jc w:val="both"/>
        <w:rPr>
          <w:rFonts w:ascii="Times New Roman" w:hAnsi="Times New Roman" w:cs="Times New Roman"/>
          <w:lang w:val="fr-FR"/>
        </w:rPr>
      </w:pPr>
      <w:r w:rsidRPr="009D5E45">
        <w:rPr>
          <w:rFonts w:ascii="Times New Roman" w:hAnsi="Times New Roman" w:cs="Times New Roman"/>
          <w:lang w:val="fr-FR"/>
        </w:rPr>
        <w:t>Les Pays-Bas et la Norvège ont indiqué que la tendance à court terme était au déclin, tandis que le Danemark indiquait une tendance à la hausse et la Belgique une tendance stable.</w:t>
      </w:r>
      <w:r w:rsidRPr="004B1407">
        <w:rPr>
          <w:rFonts w:ascii="Times New Roman" w:hAnsi="Times New Roman" w:cs="Times New Roman"/>
          <w:lang w:val="fr-FR"/>
        </w:rPr>
        <w:t xml:space="preserve"> </w:t>
      </w:r>
      <w:r w:rsidRPr="009D5E45">
        <w:rPr>
          <w:rFonts w:ascii="Times New Roman" w:hAnsi="Times New Roman" w:cs="Times New Roman"/>
          <w:lang w:val="fr-FR"/>
        </w:rPr>
        <w:t>Le Danemark et la Norvège ont fait part d</w:t>
      </w:r>
      <w:r>
        <w:rPr>
          <w:rFonts w:ascii="Times New Roman" w:hAnsi="Times New Roman" w:cs="Times New Roman"/>
          <w:lang w:val="fr-FR"/>
        </w:rPr>
        <w:t>’</w:t>
      </w:r>
      <w:r w:rsidRPr="009D5E45">
        <w:rPr>
          <w:rFonts w:ascii="Times New Roman" w:hAnsi="Times New Roman" w:cs="Times New Roman"/>
          <w:lang w:val="fr-FR"/>
        </w:rPr>
        <w:t>une tendance à long terme à la hausse, tandis que la Belgique faisait part d</w:t>
      </w:r>
      <w:r>
        <w:rPr>
          <w:rFonts w:ascii="Times New Roman" w:hAnsi="Times New Roman" w:cs="Times New Roman"/>
          <w:lang w:val="fr-FR"/>
        </w:rPr>
        <w:t>’</w:t>
      </w:r>
      <w:r w:rsidRPr="009D5E45">
        <w:rPr>
          <w:rFonts w:ascii="Times New Roman" w:hAnsi="Times New Roman" w:cs="Times New Roman"/>
          <w:lang w:val="fr-FR"/>
        </w:rPr>
        <w:t>une tendance au déclin</w:t>
      </w:r>
      <w:r>
        <w:rPr>
          <w:rFonts w:ascii="Times New Roman" w:hAnsi="Times New Roman" w:cs="Times New Roman"/>
          <w:lang w:val="fr-FR"/>
        </w:rPr>
        <w:t>,</w:t>
      </w:r>
      <w:r w:rsidRPr="009D5E45">
        <w:rPr>
          <w:rFonts w:ascii="Times New Roman" w:hAnsi="Times New Roman" w:cs="Times New Roman"/>
          <w:lang w:val="fr-FR"/>
        </w:rPr>
        <w:t xml:space="preserve"> et les Pays-Bas d</w:t>
      </w:r>
      <w:r>
        <w:rPr>
          <w:rFonts w:ascii="Times New Roman" w:hAnsi="Times New Roman" w:cs="Times New Roman"/>
          <w:lang w:val="fr-FR"/>
        </w:rPr>
        <w:t>’</w:t>
      </w:r>
      <w:r w:rsidRPr="009D5E45">
        <w:rPr>
          <w:rFonts w:ascii="Times New Roman" w:hAnsi="Times New Roman" w:cs="Times New Roman"/>
          <w:lang w:val="fr-FR"/>
        </w:rPr>
        <w:t>une tendance stable.</w:t>
      </w:r>
      <w:r w:rsidRPr="004B1407">
        <w:rPr>
          <w:rFonts w:ascii="Times New Roman" w:hAnsi="Times New Roman" w:cs="Times New Roman"/>
          <w:lang w:val="fr-FR"/>
        </w:rPr>
        <w:t xml:space="preserve"> </w:t>
      </w:r>
      <w:r w:rsidRPr="009D5E45">
        <w:rPr>
          <w:rFonts w:ascii="Times New Roman" w:hAnsi="Times New Roman" w:cs="Times New Roman"/>
          <w:lang w:val="fr-FR"/>
        </w:rPr>
        <w:t>Les estimations de populations communiquées par chaque État de l</w:t>
      </w:r>
      <w:r>
        <w:rPr>
          <w:rFonts w:ascii="Times New Roman" w:hAnsi="Times New Roman" w:cs="Times New Roman"/>
          <w:lang w:val="fr-FR"/>
        </w:rPr>
        <w:t>’</w:t>
      </w:r>
      <w:r w:rsidRPr="009D5E45">
        <w:rPr>
          <w:rFonts w:ascii="Times New Roman" w:hAnsi="Times New Roman" w:cs="Times New Roman"/>
          <w:lang w:val="fr-FR"/>
        </w:rPr>
        <w:t>aire de répartition sont indiquées dans le tableau ci-dessous.</w:t>
      </w:r>
    </w:p>
    <w:p w14:paraId="35CAC519" w14:textId="77777777" w:rsidR="00886A3C" w:rsidRPr="004B1407" w:rsidRDefault="00886A3C" w:rsidP="00886A3C">
      <w:pPr>
        <w:spacing w:after="0" w:line="240" w:lineRule="auto"/>
        <w:jc w:val="both"/>
        <w:rPr>
          <w:rFonts w:ascii="Times New Roman" w:hAnsi="Times New Roman" w:cs="Times New Roman"/>
          <w:lang w:val="fr-FR"/>
        </w:rPr>
      </w:pPr>
    </w:p>
    <w:tbl>
      <w:tblPr>
        <w:tblStyle w:val="PlainTable11"/>
        <w:tblW w:w="0" w:type="auto"/>
        <w:tblLayout w:type="fixed"/>
        <w:tblLook w:val="04A0" w:firstRow="1" w:lastRow="0" w:firstColumn="1" w:lastColumn="0" w:noHBand="0" w:noVBand="1"/>
      </w:tblPr>
      <w:tblGrid>
        <w:gridCol w:w="1498"/>
        <w:gridCol w:w="1548"/>
        <w:gridCol w:w="1624"/>
        <w:gridCol w:w="1793"/>
        <w:gridCol w:w="1194"/>
        <w:gridCol w:w="1693"/>
      </w:tblGrid>
      <w:tr w:rsidR="00886A3C" w14:paraId="2460E188" w14:textId="77777777" w:rsidTr="0088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82A85" w14:textId="77777777" w:rsidR="00886A3C" w:rsidRPr="004B1407" w:rsidRDefault="00886A3C" w:rsidP="00886A3C">
            <w:pPr>
              <w:jc w:val="both"/>
              <w:rPr>
                <w:rFonts w:ascii="Times New Roman" w:hAnsi="Times New Roman" w:cs="Times New Roman"/>
                <w:b w:val="0"/>
                <w:i/>
                <w:lang w:val="fr-FR"/>
              </w:rPr>
            </w:pPr>
            <w:r w:rsidRPr="009D5E45">
              <w:rPr>
                <w:rFonts w:ascii="Times New Roman" w:hAnsi="Times New Roman" w:cs="Times New Roman"/>
                <w:b w:val="0"/>
                <w:i/>
                <w:lang w:val="fr-FR"/>
              </w:rPr>
              <w:t>État de l</w:t>
            </w:r>
            <w:r>
              <w:rPr>
                <w:rFonts w:ascii="Times New Roman" w:hAnsi="Times New Roman" w:cs="Times New Roman"/>
                <w:b w:val="0"/>
                <w:i/>
                <w:lang w:val="fr-FR"/>
              </w:rPr>
              <w:t>’</w:t>
            </w:r>
            <w:r w:rsidRPr="009D5E45">
              <w:rPr>
                <w:rFonts w:ascii="Times New Roman" w:hAnsi="Times New Roman" w:cs="Times New Roman"/>
                <w:b w:val="0"/>
                <w:i/>
                <w:lang w:val="fr-FR"/>
              </w:rPr>
              <w:t>aire de répartition</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4135F"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D5E45">
              <w:rPr>
                <w:rFonts w:ascii="Times New Roman" w:hAnsi="Times New Roman" w:cs="Times New Roman"/>
                <w:b w:val="0"/>
                <w:i/>
                <w:lang w:val="fr-FR"/>
              </w:rPr>
              <w:t>Total estimations minimales</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8024C"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D5E45">
              <w:rPr>
                <w:rFonts w:ascii="Times New Roman" w:hAnsi="Times New Roman" w:cs="Times New Roman"/>
                <w:b w:val="0"/>
                <w:i/>
                <w:lang w:val="fr-FR"/>
              </w:rPr>
              <w:t>Total estimations maximales</w:t>
            </w:r>
            <w:r>
              <w:rPr>
                <w:rFonts w:ascii="Times New Roman" w:hAnsi="Times New Roman" w:cs="Times New Roman"/>
                <w:b w:val="0"/>
                <w:i/>
              </w:rPr>
              <w:t xml:space="preserve"> </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CEED5"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D5E45">
              <w:rPr>
                <w:rFonts w:ascii="Times New Roman" w:hAnsi="Times New Roman" w:cs="Times New Roman"/>
                <w:b w:val="0"/>
                <w:i/>
                <w:lang w:val="fr-FR"/>
              </w:rPr>
              <w:t>Unités</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533752"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D5E45">
              <w:rPr>
                <w:rFonts w:ascii="Times New Roman" w:hAnsi="Times New Roman" w:cs="Times New Roman"/>
                <w:b w:val="0"/>
                <w:i/>
                <w:lang w:val="fr-FR"/>
              </w:rPr>
              <w:t>Année</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7E2BBE"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D5E45">
              <w:rPr>
                <w:rFonts w:ascii="Times New Roman" w:hAnsi="Times New Roman" w:cs="Times New Roman"/>
                <w:b w:val="0"/>
                <w:i/>
                <w:lang w:val="fr-FR"/>
              </w:rPr>
              <w:t xml:space="preserve">valeur de référence population </w:t>
            </w:r>
          </w:p>
        </w:tc>
      </w:tr>
      <w:tr w:rsidR="00886A3C" w14:paraId="34CEA8A3"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3B8D927" w14:textId="77777777" w:rsidR="00886A3C" w:rsidRPr="007419F2" w:rsidRDefault="00886A3C" w:rsidP="00886A3C">
            <w:pPr>
              <w:rPr>
                <w:rFonts w:ascii="Times New Roman" w:hAnsi="Times New Roman" w:cs="Times New Roman"/>
                <w:b w:val="0"/>
                <w:sz w:val="20"/>
                <w:szCs w:val="20"/>
              </w:rPr>
            </w:pPr>
            <w:r w:rsidRPr="009D5E45">
              <w:rPr>
                <w:rFonts w:ascii="Times New Roman" w:hAnsi="Times New Roman" w:cs="Times New Roman"/>
                <w:b w:val="0"/>
                <w:sz w:val="20"/>
                <w:szCs w:val="20"/>
                <w:lang w:val="fr-FR"/>
              </w:rPr>
              <w:t>Belgique</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F703A"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150B7"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27</w:t>
            </w:r>
            <w:r>
              <w:rPr>
                <w:rFonts w:ascii="Times New Roman" w:hAnsi="Times New Roman" w:cs="Times New Roman"/>
                <w:sz w:val="20"/>
                <w:szCs w:val="20"/>
              </w:rPr>
              <w:t> </w:t>
            </w:r>
            <w:r w:rsidRPr="00C457FF">
              <w:rPr>
                <w:rFonts w:ascii="Times New Roman" w:hAnsi="Times New Roman" w:cs="Times New Roman"/>
                <w:sz w:val="20"/>
                <w:szCs w:val="20"/>
              </w:rPr>
              <w:t>140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248B0"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Individus</w:t>
            </w:r>
          </w:p>
          <w:p w14:paraId="16DB3100" w14:textId="77777777" w:rsidR="00886A3C" w:rsidRPr="00244036"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D5E45">
              <w:rPr>
                <w:rFonts w:ascii="Times New Roman" w:hAnsi="Times New Roman" w:cs="Times New Roman"/>
                <w:sz w:val="20"/>
                <w:szCs w:val="20"/>
                <w:lang w:val="fr-FR"/>
              </w:rPr>
              <w:t>(hivernage)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39527"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2014/15</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DF64D"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330</w:t>
            </w:r>
            <w:r>
              <w:rPr>
                <w:rFonts w:ascii="Times New Roman" w:hAnsi="Times New Roman" w:cs="Times New Roman"/>
                <w:sz w:val="20"/>
                <w:szCs w:val="20"/>
              </w:rPr>
              <w:t> </w:t>
            </w:r>
            <w:r w:rsidRPr="00C457FF">
              <w:rPr>
                <w:rFonts w:ascii="Times New Roman" w:hAnsi="Times New Roman" w:cs="Times New Roman"/>
                <w:sz w:val="20"/>
                <w:szCs w:val="20"/>
              </w:rPr>
              <w:t>00 (1994/95-2014/15)</w:t>
            </w:r>
          </w:p>
        </w:tc>
      </w:tr>
      <w:tr w:rsidR="00886A3C" w14:paraId="7762CF12" w14:textId="77777777" w:rsidTr="00886A3C">
        <w:tc>
          <w:tcPr>
            <w:cnfStyle w:val="001000000000" w:firstRow="0" w:lastRow="0" w:firstColumn="1" w:lastColumn="0" w:oddVBand="0" w:evenVBand="0" w:oddHBand="0" w:evenHBand="0" w:firstRowFirstColumn="0" w:firstRowLastColumn="0" w:lastRowFirstColumn="0" w:lastRowLastColumn="0"/>
            <w:tcW w:w="1498" w:type="dxa"/>
            <w:vMerge w:val="restart"/>
            <w:tcBorders>
              <w:left w:val="single" w:sz="4" w:space="0" w:color="BFBFBF" w:themeColor="background1" w:themeShade="BF"/>
              <w:right w:val="single" w:sz="4" w:space="0" w:color="BFBFBF" w:themeColor="background1" w:themeShade="BF"/>
            </w:tcBorders>
          </w:tcPr>
          <w:p w14:paraId="772845AF" w14:textId="77777777" w:rsidR="00886A3C" w:rsidRPr="007419F2" w:rsidRDefault="00886A3C" w:rsidP="00886A3C">
            <w:pPr>
              <w:rPr>
                <w:rFonts w:ascii="Times New Roman" w:hAnsi="Times New Roman" w:cs="Times New Roman"/>
                <w:b w:val="0"/>
                <w:sz w:val="20"/>
                <w:szCs w:val="20"/>
              </w:rPr>
            </w:pPr>
            <w:r w:rsidRPr="009D5E45">
              <w:rPr>
                <w:rFonts w:ascii="Times New Roman" w:hAnsi="Times New Roman" w:cs="Times New Roman"/>
                <w:b w:val="0"/>
                <w:sz w:val="20"/>
                <w:szCs w:val="20"/>
                <w:lang w:val="fr-FR"/>
              </w:rPr>
              <w:t>Danemark</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064DEC"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70</w:t>
            </w:r>
            <w:r>
              <w:rPr>
                <w:rFonts w:ascii="Times New Roman" w:hAnsi="Times New Roman" w:cs="Times New Roman"/>
                <w:sz w:val="20"/>
                <w:szCs w:val="20"/>
              </w:rPr>
              <w:t> </w:t>
            </w:r>
            <w:r w:rsidRPr="00C457FF">
              <w:rPr>
                <w:rFonts w:ascii="Times New Roman" w:hAnsi="Times New Roman" w:cs="Times New Roman"/>
                <w:sz w:val="20"/>
                <w:szCs w:val="20"/>
              </w:rPr>
              <w:t>000</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8409C"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80</w:t>
            </w:r>
            <w:r>
              <w:rPr>
                <w:rFonts w:ascii="Times New Roman" w:hAnsi="Times New Roman" w:cs="Times New Roman"/>
                <w:sz w:val="20"/>
                <w:szCs w:val="20"/>
              </w:rPr>
              <w:t> </w:t>
            </w:r>
            <w:r w:rsidRPr="00C457FF">
              <w:rPr>
                <w:rFonts w:ascii="Times New Roman" w:hAnsi="Times New Roman" w:cs="Times New Roman"/>
                <w:sz w:val="20"/>
                <w:szCs w:val="20"/>
              </w:rPr>
              <w:t>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36D66"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Individus</w:t>
            </w:r>
          </w:p>
          <w:p w14:paraId="0A88BBE6"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D5E45">
              <w:rPr>
                <w:rFonts w:ascii="Times New Roman" w:hAnsi="Times New Roman" w:cs="Times New Roman"/>
                <w:i/>
                <w:sz w:val="20"/>
                <w:szCs w:val="20"/>
                <w:lang w:val="fr-FR"/>
              </w:rPr>
              <w:t>(passage)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D11DD"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2013</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324AD"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30</w:t>
            </w:r>
            <w:r>
              <w:rPr>
                <w:rFonts w:ascii="Times New Roman" w:hAnsi="Times New Roman" w:cs="Times New Roman"/>
                <w:sz w:val="20"/>
                <w:szCs w:val="20"/>
              </w:rPr>
              <w:t> </w:t>
            </w:r>
            <w:r w:rsidRPr="00C457FF">
              <w:rPr>
                <w:rFonts w:ascii="Times New Roman" w:hAnsi="Times New Roman" w:cs="Times New Roman"/>
                <w:sz w:val="20"/>
                <w:szCs w:val="20"/>
              </w:rPr>
              <w:t>000 (1990)</w:t>
            </w:r>
          </w:p>
        </w:tc>
      </w:tr>
      <w:tr w:rsidR="00886A3C" w14:paraId="7DC34A78"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Merge/>
            <w:tcBorders>
              <w:left w:val="single" w:sz="4" w:space="0" w:color="BFBFBF" w:themeColor="background1" w:themeShade="BF"/>
              <w:right w:val="single" w:sz="4" w:space="0" w:color="BFBFBF" w:themeColor="background1" w:themeShade="BF"/>
            </w:tcBorders>
          </w:tcPr>
          <w:p w14:paraId="24AED7A8" w14:textId="77777777" w:rsidR="00886A3C" w:rsidRDefault="00886A3C" w:rsidP="00886A3C">
            <w:pPr>
              <w:rPr>
                <w:rFonts w:ascii="Times New Roman" w:hAnsi="Times New Roman" w:cs="Times New Roman"/>
                <w:b w:val="0"/>
                <w:sz w:val="20"/>
                <w:szCs w:val="20"/>
              </w:rPr>
            </w:pP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41415"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40</w:t>
            </w:r>
            <w:r>
              <w:rPr>
                <w:rFonts w:ascii="Times New Roman" w:hAnsi="Times New Roman" w:cs="Times New Roman"/>
                <w:sz w:val="20"/>
                <w:szCs w:val="20"/>
              </w:rPr>
              <w:t> </w:t>
            </w:r>
            <w:r w:rsidRPr="00C457FF">
              <w:rPr>
                <w:rFonts w:ascii="Times New Roman" w:hAnsi="Times New Roman" w:cs="Times New Roman"/>
                <w:sz w:val="20"/>
                <w:szCs w:val="20"/>
              </w:rPr>
              <w:t>000</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3517A"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60</w:t>
            </w:r>
            <w:r>
              <w:rPr>
                <w:rFonts w:ascii="Times New Roman" w:hAnsi="Times New Roman" w:cs="Times New Roman"/>
                <w:sz w:val="20"/>
                <w:szCs w:val="20"/>
              </w:rPr>
              <w:t> </w:t>
            </w:r>
            <w:r w:rsidRPr="00C457FF">
              <w:rPr>
                <w:rFonts w:ascii="Times New Roman" w:hAnsi="Times New Roman" w:cs="Times New Roman"/>
                <w:sz w:val="20"/>
                <w:szCs w:val="20"/>
              </w:rPr>
              <w:t>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E9AC14"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Individus</w:t>
            </w:r>
          </w:p>
          <w:p w14:paraId="7D7B77A5"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D5E45">
              <w:rPr>
                <w:rFonts w:ascii="Times New Roman" w:hAnsi="Times New Roman" w:cs="Times New Roman"/>
                <w:i/>
                <w:sz w:val="20"/>
                <w:szCs w:val="20"/>
                <w:lang w:val="fr-FR"/>
              </w:rPr>
              <w:t>(hivernage)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9E2DD"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2013</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0FDBF"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25</w:t>
            </w:r>
            <w:r>
              <w:rPr>
                <w:rFonts w:ascii="Times New Roman" w:hAnsi="Times New Roman" w:cs="Times New Roman"/>
                <w:sz w:val="20"/>
                <w:szCs w:val="20"/>
              </w:rPr>
              <w:t> </w:t>
            </w:r>
            <w:r w:rsidRPr="00C457FF">
              <w:rPr>
                <w:rFonts w:ascii="Times New Roman" w:hAnsi="Times New Roman" w:cs="Times New Roman"/>
                <w:sz w:val="20"/>
                <w:szCs w:val="20"/>
              </w:rPr>
              <w:t>000 (1990)</w:t>
            </w:r>
          </w:p>
        </w:tc>
      </w:tr>
      <w:tr w:rsidR="00886A3C" w14:paraId="398F80ED" w14:textId="77777777" w:rsidTr="00886A3C">
        <w:tc>
          <w:tcPr>
            <w:cnfStyle w:val="001000000000" w:firstRow="0" w:lastRow="0" w:firstColumn="1" w:lastColumn="0" w:oddVBand="0" w:evenVBand="0" w:oddHBand="0" w:evenHBand="0" w:firstRowFirstColumn="0" w:firstRowLastColumn="0" w:lastRowFirstColumn="0" w:lastRowLastColumn="0"/>
            <w:tcW w:w="1498" w:type="dxa"/>
            <w:tcBorders>
              <w:left w:val="single" w:sz="4" w:space="0" w:color="BFBFBF" w:themeColor="background1" w:themeShade="BF"/>
              <w:right w:val="single" w:sz="4" w:space="0" w:color="BFBFBF" w:themeColor="background1" w:themeShade="BF"/>
            </w:tcBorders>
          </w:tcPr>
          <w:p w14:paraId="480CE5BD" w14:textId="77777777" w:rsidR="00886A3C" w:rsidRDefault="00886A3C" w:rsidP="00886A3C">
            <w:pPr>
              <w:rPr>
                <w:rFonts w:ascii="Times New Roman" w:hAnsi="Times New Roman" w:cs="Times New Roman"/>
                <w:b w:val="0"/>
                <w:sz w:val="20"/>
                <w:szCs w:val="20"/>
              </w:rPr>
            </w:pPr>
            <w:r w:rsidRPr="009D5E45">
              <w:rPr>
                <w:rFonts w:ascii="Times New Roman" w:hAnsi="Times New Roman" w:cs="Times New Roman"/>
                <w:b w:val="0"/>
                <w:sz w:val="20"/>
                <w:szCs w:val="20"/>
                <w:lang w:val="fr-FR"/>
              </w:rPr>
              <w:t>Pays-Bas</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65F26"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D0655"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env. 15</w:t>
            </w:r>
            <w:r>
              <w:rPr>
                <w:rFonts w:ascii="Times New Roman" w:hAnsi="Times New Roman" w:cs="Times New Roman"/>
                <w:sz w:val="20"/>
                <w:szCs w:val="20"/>
                <w:lang w:val="fr-FR"/>
              </w:rPr>
              <w:t> </w:t>
            </w:r>
            <w:r w:rsidRPr="009D5E45">
              <w:rPr>
                <w:rFonts w:ascii="Times New Roman" w:hAnsi="Times New Roman" w:cs="Times New Roman"/>
                <w:sz w:val="20"/>
                <w:szCs w:val="20"/>
                <w:lang w:val="fr-FR"/>
              </w:rPr>
              <w:t>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88FF7"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Individus</w:t>
            </w:r>
          </w:p>
          <w:p w14:paraId="2177F390"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D5E45">
              <w:rPr>
                <w:rFonts w:ascii="Times New Roman" w:hAnsi="Times New Roman" w:cs="Times New Roman"/>
                <w:i/>
                <w:sz w:val="20"/>
                <w:szCs w:val="20"/>
                <w:lang w:val="fr-FR"/>
              </w:rPr>
              <w:t>(hivernage)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7A678"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2014/2015</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A0430"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&lt;100 (1955); 18</w:t>
            </w:r>
            <w:r>
              <w:rPr>
                <w:rFonts w:ascii="Times New Roman" w:hAnsi="Times New Roman" w:cs="Times New Roman"/>
                <w:sz w:val="20"/>
                <w:szCs w:val="20"/>
              </w:rPr>
              <w:t> </w:t>
            </w:r>
            <w:r w:rsidRPr="00C457FF">
              <w:rPr>
                <w:rFonts w:ascii="Times New Roman" w:hAnsi="Times New Roman" w:cs="Times New Roman"/>
                <w:sz w:val="20"/>
                <w:szCs w:val="20"/>
              </w:rPr>
              <w:t>800 (1971); 60</w:t>
            </w:r>
            <w:r>
              <w:rPr>
                <w:rFonts w:ascii="Times New Roman" w:hAnsi="Times New Roman" w:cs="Times New Roman"/>
                <w:sz w:val="20"/>
                <w:szCs w:val="20"/>
              </w:rPr>
              <w:t> </w:t>
            </w:r>
            <w:r w:rsidRPr="00C457FF">
              <w:rPr>
                <w:rFonts w:ascii="Times New Roman" w:hAnsi="Times New Roman" w:cs="Times New Roman"/>
                <w:sz w:val="20"/>
                <w:szCs w:val="20"/>
              </w:rPr>
              <w:t>300 (2007)</w:t>
            </w:r>
          </w:p>
        </w:tc>
      </w:tr>
      <w:tr w:rsidR="00886A3C" w14:paraId="255877A1"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Merge w:val="restart"/>
            <w:tcBorders>
              <w:left w:val="single" w:sz="4" w:space="0" w:color="BFBFBF" w:themeColor="background1" w:themeShade="BF"/>
              <w:right w:val="single" w:sz="4" w:space="0" w:color="BFBFBF" w:themeColor="background1" w:themeShade="BF"/>
            </w:tcBorders>
          </w:tcPr>
          <w:p w14:paraId="5151D59E" w14:textId="77777777" w:rsidR="00886A3C" w:rsidRDefault="00886A3C" w:rsidP="00886A3C">
            <w:pPr>
              <w:rPr>
                <w:rFonts w:ascii="Times New Roman" w:hAnsi="Times New Roman" w:cs="Times New Roman"/>
                <w:b w:val="0"/>
                <w:sz w:val="20"/>
                <w:szCs w:val="20"/>
              </w:rPr>
            </w:pPr>
            <w:r w:rsidRPr="009D5E45">
              <w:rPr>
                <w:rFonts w:ascii="Times New Roman" w:hAnsi="Times New Roman" w:cs="Times New Roman"/>
                <w:b w:val="0"/>
                <w:sz w:val="20"/>
                <w:szCs w:val="20"/>
                <w:lang w:val="fr-FR"/>
              </w:rPr>
              <w:t>Norvège</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D0037"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E1473"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76</w:t>
            </w:r>
            <w:r>
              <w:rPr>
                <w:rFonts w:ascii="Times New Roman" w:hAnsi="Times New Roman" w:cs="Times New Roman"/>
                <w:sz w:val="20"/>
                <w:szCs w:val="20"/>
              </w:rPr>
              <w:t> </w:t>
            </w:r>
            <w:r w:rsidRPr="00C457FF">
              <w:rPr>
                <w:rFonts w:ascii="Times New Roman" w:hAnsi="Times New Roman" w:cs="Times New Roman"/>
                <w:sz w:val="20"/>
                <w:szCs w:val="20"/>
              </w:rPr>
              <w:t>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34AC8"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Individus</w:t>
            </w:r>
          </w:p>
          <w:p w14:paraId="4AB8ADAD"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D5E45">
              <w:rPr>
                <w:rFonts w:ascii="Times New Roman" w:hAnsi="Times New Roman" w:cs="Times New Roman"/>
                <w:i/>
                <w:sz w:val="20"/>
                <w:szCs w:val="20"/>
                <w:lang w:val="fr-FR"/>
              </w:rPr>
              <w:t>(reproduction)</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BA994"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5638A" w14:textId="77777777" w:rsidR="00886A3C" w:rsidRPr="00C457F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86A3C" w14:paraId="0DD5BEFD" w14:textId="77777777" w:rsidTr="00886A3C">
        <w:tc>
          <w:tcPr>
            <w:cnfStyle w:val="001000000000" w:firstRow="0" w:lastRow="0" w:firstColumn="1" w:lastColumn="0" w:oddVBand="0" w:evenVBand="0" w:oddHBand="0" w:evenHBand="0" w:firstRowFirstColumn="0" w:firstRowLastColumn="0" w:lastRowFirstColumn="0" w:lastRowLastColumn="0"/>
            <w:tcW w:w="1498" w:type="dxa"/>
            <w:vMerge/>
            <w:tcBorders>
              <w:left w:val="single" w:sz="4" w:space="0" w:color="BFBFBF" w:themeColor="background1" w:themeShade="BF"/>
              <w:right w:val="single" w:sz="4" w:space="0" w:color="BFBFBF" w:themeColor="background1" w:themeShade="BF"/>
            </w:tcBorders>
          </w:tcPr>
          <w:p w14:paraId="4DF234CD" w14:textId="77777777" w:rsidR="00886A3C" w:rsidRDefault="00886A3C" w:rsidP="00886A3C">
            <w:pPr>
              <w:rPr>
                <w:rFonts w:ascii="Times New Roman" w:hAnsi="Times New Roman" w:cs="Times New Roman"/>
                <w:b w:val="0"/>
                <w:sz w:val="20"/>
                <w:szCs w:val="20"/>
              </w:rPr>
            </w:pP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08A17"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E8A98"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76</w:t>
            </w:r>
            <w:r>
              <w:rPr>
                <w:rFonts w:ascii="Times New Roman" w:hAnsi="Times New Roman" w:cs="Times New Roman"/>
                <w:sz w:val="20"/>
                <w:szCs w:val="20"/>
              </w:rPr>
              <w:t> </w:t>
            </w:r>
            <w:r w:rsidRPr="00C457FF">
              <w:rPr>
                <w:rFonts w:ascii="Times New Roman" w:hAnsi="Times New Roman" w:cs="Times New Roman"/>
                <w:sz w:val="20"/>
                <w:szCs w:val="20"/>
              </w:rPr>
              <w:t>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7B4D2"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5E45">
              <w:rPr>
                <w:rFonts w:ascii="Times New Roman" w:hAnsi="Times New Roman" w:cs="Times New Roman"/>
                <w:sz w:val="20"/>
                <w:szCs w:val="20"/>
                <w:lang w:val="fr-FR"/>
              </w:rPr>
              <w:t>Individus</w:t>
            </w:r>
          </w:p>
          <w:p w14:paraId="3CA0C0B2"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D5E45">
              <w:rPr>
                <w:rFonts w:ascii="Times New Roman" w:hAnsi="Times New Roman" w:cs="Times New Roman"/>
                <w:i/>
                <w:sz w:val="20"/>
                <w:szCs w:val="20"/>
                <w:lang w:val="fr-FR"/>
              </w:rPr>
              <w:t>(passage)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2F6C"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13C5E" w14:textId="77777777" w:rsidR="00886A3C" w:rsidRPr="00C457F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C0CA568" w14:textId="77777777" w:rsidR="00886A3C" w:rsidRDefault="00886A3C" w:rsidP="00886A3C">
      <w:pPr>
        <w:spacing w:after="0" w:line="240" w:lineRule="auto"/>
        <w:jc w:val="both"/>
        <w:rPr>
          <w:rFonts w:ascii="Times New Roman" w:hAnsi="Times New Roman" w:cs="Times New Roman"/>
          <w:lang w:val="en-US"/>
        </w:rPr>
      </w:pPr>
    </w:p>
    <w:p w14:paraId="6C327B24" w14:textId="77777777" w:rsidR="00886A3C" w:rsidRDefault="00886A3C" w:rsidP="00886A3C">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2"/>
      </w:tblGrid>
      <w:tr w:rsidR="00886A3C" w14:paraId="75393E7B" w14:textId="77777777" w:rsidTr="00886A3C">
        <w:tc>
          <w:tcPr>
            <w:tcW w:w="4675" w:type="dxa"/>
          </w:tcPr>
          <w:p w14:paraId="67AB17A6" w14:textId="77777777" w:rsidR="00886A3C" w:rsidRDefault="00886A3C" w:rsidP="00886A3C">
            <w:pPr>
              <w:jc w:val="both"/>
              <w:rPr>
                <w:rFonts w:ascii="Times New Roman" w:hAnsi="Times New Roman" w:cs="Times New Roman"/>
              </w:rPr>
            </w:pPr>
            <w:r>
              <w:rPr>
                <w:noProof/>
              </w:rPr>
              <w:drawing>
                <wp:inline distT="0" distB="0" distL="0" distR="0" wp14:anchorId="1DF28045" wp14:editId="7B2FA79C">
                  <wp:extent cx="2638425" cy="2190750"/>
                  <wp:effectExtent l="0" t="0" r="9525" b="1905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675" w:type="dxa"/>
          </w:tcPr>
          <w:p w14:paraId="29B73A03" w14:textId="77777777" w:rsidR="00886A3C" w:rsidRDefault="00886A3C" w:rsidP="00886A3C">
            <w:pPr>
              <w:jc w:val="both"/>
              <w:rPr>
                <w:rFonts w:ascii="Times New Roman" w:hAnsi="Times New Roman" w:cs="Times New Roman"/>
              </w:rPr>
            </w:pPr>
            <w:r>
              <w:rPr>
                <w:noProof/>
              </w:rPr>
              <w:drawing>
                <wp:inline distT="0" distB="0" distL="0" distR="0" wp14:anchorId="6E3E15FD" wp14:editId="5EDE70BC">
                  <wp:extent cx="2714625" cy="2200275"/>
                  <wp:effectExtent l="0" t="0" r="9525" b="952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301EFA22" w14:textId="77777777" w:rsidR="00886A3C" w:rsidRDefault="00886A3C" w:rsidP="00886A3C">
      <w:pPr>
        <w:spacing w:after="0" w:line="240" w:lineRule="auto"/>
        <w:jc w:val="both"/>
        <w:rPr>
          <w:rFonts w:ascii="Times New Roman" w:hAnsi="Times New Roman" w:cs="Times New Roman"/>
          <w:lang w:val="en-US"/>
        </w:rPr>
      </w:pPr>
    </w:p>
    <w:p w14:paraId="2F6EB129" w14:textId="77777777" w:rsidR="00886A3C" w:rsidRPr="00045B7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 xml:space="preserve"> </w:t>
      </w:r>
      <w:r w:rsidRPr="00045B77">
        <w:rPr>
          <w:rFonts w:ascii="Times New Roman" w:hAnsi="Times New Roman" w:cs="Times New Roman"/>
          <w:lang w:val="fr-FR"/>
        </w:rPr>
        <w:t>décroissante</w:t>
      </w:r>
      <w:r>
        <w:rPr>
          <w:rFonts w:ascii="Times New Roman" w:hAnsi="Times New Roman" w:cs="Times New Roman"/>
          <w:lang w:val="fr-FR"/>
        </w:rPr>
        <w:t xml:space="preserve"> </w:t>
      </w:r>
      <w:r w:rsidRPr="00045B77">
        <w:rPr>
          <w:rFonts w:ascii="Times New Roman" w:hAnsi="Times New Roman" w:cs="Times New Roman"/>
          <w:lang w:val="fr-FR"/>
        </w:rPr>
        <w:t>stable</w:t>
      </w:r>
      <w:r>
        <w:rPr>
          <w:rFonts w:ascii="Times New Roman" w:hAnsi="Times New Roman" w:cs="Times New Roman"/>
          <w:lang w:val="fr-FR"/>
        </w:rPr>
        <w:t xml:space="preserve"> </w:t>
      </w:r>
      <w:r w:rsidRPr="00045B77">
        <w:rPr>
          <w:rFonts w:ascii="Times New Roman" w:hAnsi="Times New Roman" w:cs="Times New Roman"/>
          <w:lang w:val="fr-FR"/>
        </w:rPr>
        <w:t xml:space="preserve">en augmentation </w:t>
      </w:r>
      <w:r w:rsidRPr="00045B77">
        <w:rPr>
          <w:rFonts w:ascii="Times New Roman" w:hAnsi="Times New Roman" w:cs="Times New Roman"/>
          <w:lang w:val="fr-FR"/>
        </w:rPr>
        <w:tab/>
      </w:r>
      <w:r w:rsidRPr="00045B77">
        <w:rPr>
          <w:rFonts w:ascii="Times New Roman" w:hAnsi="Times New Roman" w:cs="Times New Roman"/>
          <w:lang w:val="fr-FR"/>
        </w:rPr>
        <w:tab/>
        <w:t>décroissante</w:t>
      </w:r>
      <w:r>
        <w:rPr>
          <w:rFonts w:ascii="Times New Roman" w:hAnsi="Times New Roman" w:cs="Times New Roman"/>
          <w:lang w:val="fr-FR"/>
        </w:rPr>
        <w:t xml:space="preserve"> </w:t>
      </w:r>
      <w:r w:rsidRPr="00045B77">
        <w:rPr>
          <w:rFonts w:ascii="Times New Roman" w:hAnsi="Times New Roman" w:cs="Times New Roman"/>
          <w:lang w:val="fr-FR"/>
        </w:rPr>
        <w:t>stable</w:t>
      </w:r>
      <w:r>
        <w:rPr>
          <w:rFonts w:ascii="Times New Roman" w:hAnsi="Times New Roman" w:cs="Times New Roman"/>
          <w:lang w:val="fr-FR"/>
        </w:rPr>
        <w:t xml:space="preserve"> </w:t>
      </w:r>
      <w:r w:rsidRPr="00045B77">
        <w:rPr>
          <w:rFonts w:ascii="Times New Roman" w:hAnsi="Times New Roman" w:cs="Times New Roman"/>
          <w:lang w:val="fr-FR"/>
        </w:rPr>
        <w:t xml:space="preserve">en augmentation </w:t>
      </w:r>
    </w:p>
    <w:p w14:paraId="448F3E52" w14:textId="77777777" w:rsidR="00886A3C" w:rsidRPr="004B1407" w:rsidRDefault="00886A3C" w:rsidP="00886A3C">
      <w:pPr>
        <w:spacing w:after="0" w:line="240" w:lineRule="auto"/>
        <w:rPr>
          <w:rFonts w:ascii="Times New Roman" w:hAnsi="Times New Roman" w:cs="Times New Roman"/>
          <w:lang w:val="fr-FR"/>
        </w:rPr>
      </w:pPr>
    </w:p>
    <w:p w14:paraId="4656B41E"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4. </w:t>
      </w:r>
      <w:r w:rsidRPr="009D5E45">
        <w:rPr>
          <w:rFonts w:ascii="Times New Roman" w:hAnsi="Times New Roman" w:cs="Times New Roman"/>
          <w:i/>
          <w:lang w:val="fr-FR"/>
        </w:rPr>
        <w:t xml:space="preserve">Structures nationales de mise en œuvre </w:t>
      </w:r>
    </w:p>
    <w:p w14:paraId="0748C50F" w14:textId="77777777" w:rsidR="00886A3C" w:rsidRPr="004B1407" w:rsidRDefault="00886A3C" w:rsidP="00886A3C">
      <w:pPr>
        <w:spacing w:after="0" w:line="240" w:lineRule="auto"/>
        <w:rPr>
          <w:rFonts w:ascii="Times New Roman" w:hAnsi="Times New Roman" w:cs="Times New Roman"/>
          <w:i/>
          <w:lang w:val="fr-FR"/>
        </w:rPr>
      </w:pPr>
    </w:p>
    <w:p w14:paraId="0DBC81FB" w14:textId="77777777" w:rsidR="00886A3C" w:rsidRPr="004B1407" w:rsidRDefault="00886A3C" w:rsidP="00886A3C">
      <w:pPr>
        <w:spacing w:after="0" w:line="240" w:lineRule="auto"/>
        <w:jc w:val="both"/>
        <w:rPr>
          <w:rFonts w:ascii="Times New Roman" w:hAnsi="Times New Roman" w:cs="Times New Roman"/>
          <w:lang w:val="fr-FR"/>
        </w:rPr>
      </w:pPr>
      <w:r w:rsidRPr="005B6659">
        <w:rPr>
          <w:rFonts w:ascii="Times New Roman" w:hAnsi="Times New Roman" w:cs="Times New Roman"/>
          <w:lang w:val="fr-FR"/>
        </w:rPr>
        <w:t>Aucun des États de l</w:t>
      </w:r>
      <w:r>
        <w:rPr>
          <w:rFonts w:ascii="Times New Roman" w:hAnsi="Times New Roman" w:cs="Times New Roman"/>
          <w:lang w:val="fr-FR"/>
        </w:rPr>
        <w:t>’</w:t>
      </w:r>
      <w:r w:rsidRPr="005B6659">
        <w:rPr>
          <w:rFonts w:ascii="Times New Roman" w:hAnsi="Times New Roman" w:cs="Times New Roman"/>
          <w:lang w:val="fr-FR"/>
        </w:rPr>
        <w:t>aire de répartition n</w:t>
      </w:r>
      <w:r>
        <w:rPr>
          <w:rFonts w:ascii="Times New Roman" w:hAnsi="Times New Roman" w:cs="Times New Roman"/>
          <w:lang w:val="fr-FR"/>
        </w:rPr>
        <w:t>’</w:t>
      </w:r>
      <w:r w:rsidRPr="005B6659">
        <w:rPr>
          <w:rFonts w:ascii="Times New Roman" w:hAnsi="Times New Roman" w:cs="Times New Roman"/>
          <w:lang w:val="fr-FR"/>
        </w:rPr>
        <w:t>a indiqué avoir adopté un plan d</w:t>
      </w:r>
      <w:r>
        <w:rPr>
          <w:rFonts w:ascii="Times New Roman" w:hAnsi="Times New Roman" w:cs="Times New Roman"/>
          <w:lang w:val="fr-FR"/>
        </w:rPr>
        <w:t>’</w:t>
      </w:r>
      <w:r w:rsidRPr="005B6659">
        <w:rPr>
          <w:rFonts w:ascii="Times New Roman" w:hAnsi="Times New Roman" w:cs="Times New Roman"/>
          <w:lang w:val="fr-FR"/>
        </w:rPr>
        <w:t>action national pour l</w:t>
      </w:r>
      <w:r>
        <w:rPr>
          <w:rFonts w:ascii="Times New Roman" w:hAnsi="Times New Roman" w:cs="Times New Roman"/>
          <w:lang w:val="fr-FR"/>
        </w:rPr>
        <w:t>’</w:t>
      </w:r>
      <w:r w:rsidRPr="005B6659">
        <w:rPr>
          <w:rFonts w:ascii="Times New Roman" w:hAnsi="Times New Roman" w:cs="Times New Roman"/>
          <w:lang w:val="fr-FR"/>
        </w:rPr>
        <w:t>espèce.</w:t>
      </w:r>
      <w:r w:rsidRPr="004B1407">
        <w:rPr>
          <w:rFonts w:ascii="Times New Roman" w:hAnsi="Times New Roman" w:cs="Times New Roman"/>
          <w:lang w:val="fr-FR"/>
        </w:rPr>
        <w:t xml:space="preserve"> </w:t>
      </w:r>
      <w:r w:rsidRPr="005B6659">
        <w:rPr>
          <w:rFonts w:ascii="Times New Roman" w:hAnsi="Times New Roman" w:cs="Times New Roman"/>
          <w:lang w:val="fr-FR"/>
        </w:rPr>
        <w:t>Toutefois, tous les pays ont indiqué que l</w:t>
      </w:r>
      <w:r>
        <w:rPr>
          <w:rFonts w:ascii="Times New Roman" w:hAnsi="Times New Roman" w:cs="Times New Roman"/>
          <w:lang w:val="fr-FR"/>
        </w:rPr>
        <w:t>’</w:t>
      </w:r>
      <w:r w:rsidRPr="005B6659">
        <w:rPr>
          <w:rFonts w:ascii="Times New Roman" w:hAnsi="Times New Roman" w:cs="Times New Roman"/>
          <w:lang w:val="fr-FR"/>
        </w:rPr>
        <w:t>Oie à bec court est couverte de manière appropriée par d</w:t>
      </w:r>
      <w:r>
        <w:rPr>
          <w:rFonts w:ascii="Times New Roman" w:hAnsi="Times New Roman" w:cs="Times New Roman"/>
          <w:lang w:val="fr-FR"/>
        </w:rPr>
        <w:t>’</w:t>
      </w:r>
      <w:r w:rsidRPr="005B6659">
        <w:rPr>
          <w:rFonts w:ascii="Times New Roman" w:hAnsi="Times New Roman" w:cs="Times New Roman"/>
          <w:lang w:val="fr-FR"/>
        </w:rPr>
        <w:t>autres programmes nationaux et de l</w:t>
      </w:r>
      <w:r>
        <w:rPr>
          <w:rFonts w:ascii="Times New Roman" w:hAnsi="Times New Roman" w:cs="Times New Roman"/>
          <w:lang w:val="fr-FR"/>
        </w:rPr>
        <w:t>’</w:t>
      </w:r>
      <w:r w:rsidRPr="005B6659">
        <w:rPr>
          <w:rFonts w:ascii="Times New Roman" w:hAnsi="Times New Roman" w:cs="Times New Roman"/>
          <w:lang w:val="fr-FR"/>
        </w:rPr>
        <w:t xml:space="preserve">UE, tels que les programmes </w:t>
      </w:r>
      <w:r>
        <w:rPr>
          <w:rFonts w:ascii="Times New Roman" w:hAnsi="Times New Roman" w:cs="Times New Roman"/>
          <w:lang w:val="fr-FR"/>
        </w:rPr>
        <w:t xml:space="preserve">régionaux </w:t>
      </w:r>
      <w:r w:rsidRPr="005B6659">
        <w:rPr>
          <w:rFonts w:ascii="Times New Roman" w:hAnsi="Times New Roman" w:cs="Times New Roman"/>
          <w:lang w:val="fr-FR"/>
        </w:rPr>
        <w:t>de gestion mis en œuvre en Norvège.</w:t>
      </w:r>
      <w:r w:rsidRPr="004B1407">
        <w:rPr>
          <w:rFonts w:ascii="Times New Roman" w:hAnsi="Times New Roman" w:cs="Times New Roman"/>
          <w:lang w:val="fr-FR"/>
        </w:rPr>
        <w:t xml:space="preserve"> (100 %) </w:t>
      </w:r>
    </w:p>
    <w:p w14:paraId="13D33023" w14:textId="77777777" w:rsidR="00886A3C" w:rsidRPr="004B1407" w:rsidRDefault="00886A3C" w:rsidP="00886A3C">
      <w:pPr>
        <w:spacing w:after="0" w:line="240" w:lineRule="auto"/>
        <w:jc w:val="both"/>
        <w:rPr>
          <w:rFonts w:ascii="Times New Roman" w:hAnsi="Times New Roman" w:cs="Times New Roman"/>
          <w:lang w:val="fr-FR"/>
        </w:rPr>
      </w:pPr>
    </w:p>
    <w:p w14:paraId="27EA59CD" w14:textId="77777777" w:rsidR="00886A3C" w:rsidRPr="008B3BD1" w:rsidRDefault="00886A3C" w:rsidP="00886A3C">
      <w:pPr>
        <w:spacing w:after="0" w:line="240" w:lineRule="auto"/>
        <w:jc w:val="both"/>
        <w:rPr>
          <w:rFonts w:ascii="Times New Roman" w:hAnsi="Times New Roman" w:cs="Times New Roman"/>
          <w:lang w:val="en-US"/>
        </w:rPr>
      </w:pPr>
      <w:r w:rsidRPr="005B6659">
        <w:rPr>
          <w:rFonts w:ascii="Times New Roman" w:hAnsi="Times New Roman" w:cs="Times New Roman"/>
          <w:lang w:val="fr-FR"/>
        </w:rPr>
        <w:t>Des plans d</w:t>
      </w:r>
      <w:r>
        <w:rPr>
          <w:rFonts w:ascii="Times New Roman" w:hAnsi="Times New Roman" w:cs="Times New Roman"/>
          <w:lang w:val="fr-FR"/>
        </w:rPr>
        <w:t>’</w:t>
      </w:r>
      <w:r w:rsidRPr="005B6659">
        <w:rPr>
          <w:rFonts w:ascii="Times New Roman" w:hAnsi="Times New Roman" w:cs="Times New Roman"/>
          <w:lang w:val="fr-FR"/>
        </w:rPr>
        <w:t>action nationaux supplémentaires n</w:t>
      </w:r>
      <w:r>
        <w:rPr>
          <w:rFonts w:ascii="Times New Roman" w:hAnsi="Times New Roman" w:cs="Times New Roman"/>
          <w:lang w:val="fr-FR"/>
        </w:rPr>
        <w:t>’</w:t>
      </w:r>
      <w:r w:rsidRPr="005B6659">
        <w:rPr>
          <w:rFonts w:ascii="Times New Roman" w:hAnsi="Times New Roman" w:cs="Times New Roman"/>
          <w:lang w:val="fr-FR"/>
        </w:rPr>
        <w:t>ont donc pas été jugés nécessaires.</w:t>
      </w:r>
      <w:r w:rsidRPr="004B1407">
        <w:rPr>
          <w:rFonts w:ascii="Times New Roman" w:hAnsi="Times New Roman" w:cs="Times New Roman"/>
          <w:lang w:val="fr-FR"/>
        </w:rPr>
        <w:t xml:space="preserve"> </w:t>
      </w:r>
      <w:r w:rsidRPr="005B6659">
        <w:rPr>
          <w:rFonts w:ascii="Times New Roman" w:hAnsi="Times New Roman" w:cs="Times New Roman"/>
          <w:lang w:val="fr-FR"/>
        </w:rPr>
        <w:t>La Belgique et la Norvège ont communiqué qu</w:t>
      </w:r>
      <w:r>
        <w:rPr>
          <w:rFonts w:ascii="Times New Roman" w:hAnsi="Times New Roman" w:cs="Times New Roman"/>
          <w:lang w:val="fr-FR"/>
        </w:rPr>
        <w:t>’</w:t>
      </w:r>
      <w:r w:rsidRPr="005B6659">
        <w:rPr>
          <w:rFonts w:ascii="Times New Roman" w:hAnsi="Times New Roman" w:cs="Times New Roman"/>
          <w:lang w:val="fr-FR"/>
        </w:rPr>
        <w:t>elles avaient mis en place des groupes de travail nationaux pour l</w:t>
      </w:r>
      <w:r>
        <w:rPr>
          <w:rFonts w:ascii="Times New Roman" w:hAnsi="Times New Roman" w:cs="Times New Roman"/>
          <w:lang w:val="fr-FR"/>
        </w:rPr>
        <w:t>’</w:t>
      </w:r>
      <w:r w:rsidRPr="005B6659">
        <w:rPr>
          <w:rFonts w:ascii="Times New Roman" w:hAnsi="Times New Roman" w:cs="Times New Roman"/>
          <w:lang w:val="fr-FR"/>
        </w:rPr>
        <w:t>espèce.</w:t>
      </w:r>
      <w:r w:rsidRPr="004B1407">
        <w:rPr>
          <w:rFonts w:ascii="Times New Roman" w:hAnsi="Times New Roman" w:cs="Times New Roman"/>
          <w:lang w:val="fr-FR"/>
        </w:rPr>
        <w:t xml:space="preserve"> </w:t>
      </w:r>
      <w:r>
        <w:rPr>
          <w:rFonts w:ascii="Times New Roman" w:hAnsi="Times New Roman" w:cs="Times New Roman"/>
          <w:lang w:val="en-US"/>
        </w:rPr>
        <w:t>(50 %)</w:t>
      </w:r>
    </w:p>
    <w:p w14:paraId="6483D1F5" w14:textId="77777777" w:rsidR="00886A3C" w:rsidRDefault="00886A3C" w:rsidP="00886A3C">
      <w:pPr>
        <w:spacing w:after="0" w:line="240" w:lineRule="auto"/>
        <w:rPr>
          <w:rFonts w:ascii="Arial" w:hAnsi="Arial" w:cs="Arial"/>
          <w:i/>
          <w:sz w:val="20"/>
          <w:szCs w:val="20"/>
          <w:lang w:val="en-US"/>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656"/>
      </w:tblGrid>
      <w:tr w:rsidR="00886A3C" w14:paraId="1471F661" w14:textId="77777777" w:rsidTr="00886A3C">
        <w:trPr>
          <w:trHeight w:val="3503"/>
        </w:trPr>
        <w:tc>
          <w:tcPr>
            <w:tcW w:w="4520" w:type="dxa"/>
            <w:hideMark/>
          </w:tcPr>
          <w:p w14:paraId="301A7E98" w14:textId="77777777" w:rsidR="00886A3C" w:rsidRPr="009459F3" w:rsidRDefault="00886A3C" w:rsidP="00886A3C">
            <w:pPr>
              <w:rPr>
                <w:rFonts w:ascii="Arial" w:hAnsi="Arial" w:cs="Arial"/>
                <w:sz w:val="20"/>
                <w:szCs w:val="20"/>
              </w:rPr>
            </w:pPr>
            <w:r>
              <w:rPr>
                <w:noProof/>
              </w:rPr>
              <w:drawing>
                <wp:inline distT="0" distB="0" distL="0" distR="0" wp14:anchorId="1697D6CF" wp14:editId="5A187600">
                  <wp:extent cx="2686050" cy="2171700"/>
                  <wp:effectExtent l="0" t="0" r="19050" b="1905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656" w:type="dxa"/>
            <w:hideMark/>
          </w:tcPr>
          <w:p w14:paraId="037757DA" w14:textId="77777777" w:rsidR="00886A3C" w:rsidRDefault="00886A3C" w:rsidP="00886A3C">
            <w:pPr>
              <w:rPr>
                <w:rFonts w:ascii="Arial" w:hAnsi="Arial" w:cs="Arial"/>
                <w:i/>
                <w:sz w:val="20"/>
                <w:szCs w:val="20"/>
              </w:rPr>
            </w:pPr>
            <w:r>
              <w:rPr>
                <w:noProof/>
              </w:rPr>
              <w:drawing>
                <wp:inline distT="0" distB="0" distL="0" distR="0" wp14:anchorId="7773BDAE" wp14:editId="2E40BAB1">
                  <wp:extent cx="2809875" cy="2162175"/>
                  <wp:effectExtent l="0" t="0" r="9525" b="952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730592D8" w14:textId="77777777" w:rsidR="00886A3C" w:rsidRPr="004B1407" w:rsidRDefault="00886A3C" w:rsidP="00886A3C">
      <w:pPr>
        <w:spacing w:after="0" w:line="240" w:lineRule="auto"/>
        <w:ind w:left="709" w:firstLine="709"/>
        <w:rPr>
          <w:rFonts w:ascii="Arial" w:hAnsi="Arial" w:cs="Arial"/>
          <w:i/>
          <w:sz w:val="20"/>
          <w:szCs w:val="20"/>
          <w:lang w:val="fr-FR"/>
        </w:rPr>
      </w:pP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r>
    </w:p>
    <w:p w14:paraId="37DF5DBB" w14:textId="77777777" w:rsidR="00886A3C" w:rsidRPr="004B1407" w:rsidRDefault="00886A3C" w:rsidP="00886A3C">
      <w:pPr>
        <w:spacing w:after="0" w:line="240" w:lineRule="auto"/>
        <w:rPr>
          <w:rFonts w:ascii="Arial" w:hAnsi="Arial" w:cs="Arial"/>
          <w:i/>
          <w:sz w:val="20"/>
          <w:szCs w:val="20"/>
          <w:lang w:val="fr-FR"/>
        </w:rPr>
      </w:pPr>
    </w:p>
    <w:p w14:paraId="0F1BB31E"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5. </w:t>
      </w:r>
      <w:r w:rsidRPr="005B6659">
        <w:rPr>
          <w:rFonts w:ascii="Times New Roman" w:hAnsi="Times New Roman" w:cs="Times New Roman"/>
          <w:i/>
          <w:lang w:val="fr-FR"/>
        </w:rPr>
        <w:t>Mise</w:t>
      </w:r>
      <w:r>
        <w:rPr>
          <w:rFonts w:ascii="Times New Roman" w:hAnsi="Times New Roman" w:cs="Times New Roman"/>
          <w:i/>
          <w:lang w:val="fr-FR"/>
        </w:rPr>
        <w:t xml:space="preserve"> </w:t>
      </w:r>
      <w:r w:rsidRPr="005B6659">
        <w:rPr>
          <w:rFonts w:ascii="Times New Roman" w:hAnsi="Times New Roman" w:cs="Times New Roman"/>
          <w:i/>
          <w:lang w:val="fr-FR"/>
        </w:rPr>
        <w:t xml:space="preserve">en œuvre des activités du </w:t>
      </w:r>
      <w:r>
        <w:rPr>
          <w:rFonts w:ascii="Times New Roman" w:hAnsi="Times New Roman" w:cs="Times New Roman"/>
          <w:i/>
          <w:lang w:val="fr-FR"/>
        </w:rPr>
        <w:t>p</w:t>
      </w:r>
      <w:r w:rsidRPr="005B6659">
        <w:rPr>
          <w:rFonts w:ascii="Times New Roman" w:hAnsi="Times New Roman" w:cs="Times New Roman"/>
          <w:i/>
          <w:lang w:val="fr-FR"/>
        </w:rPr>
        <w:t>lan d</w:t>
      </w:r>
      <w:r>
        <w:rPr>
          <w:rFonts w:ascii="Times New Roman" w:hAnsi="Times New Roman" w:cs="Times New Roman"/>
          <w:i/>
          <w:lang w:val="fr-FR"/>
        </w:rPr>
        <w:t>’</w:t>
      </w:r>
      <w:r w:rsidRPr="005B6659">
        <w:rPr>
          <w:rFonts w:ascii="Times New Roman" w:hAnsi="Times New Roman" w:cs="Times New Roman"/>
          <w:i/>
          <w:lang w:val="fr-FR"/>
        </w:rPr>
        <w:t>action</w:t>
      </w:r>
    </w:p>
    <w:p w14:paraId="34B333C1" w14:textId="77777777" w:rsidR="00886A3C" w:rsidRPr="004B1407" w:rsidRDefault="00886A3C" w:rsidP="00886A3C">
      <w:pPr>
        <w:spacing w:after="0" w:line="240" w:lineRule="auto"/>
        <w:rPr>
          <w:rFonts w:ascii="Times New Roman" w:hAnsi="Times New Roman" w:cs="Times New Roman"/>
          <w:i/>
          <w:lang w:val="fr-FR"/>
        </w:rPr>
      </w:pPr>
    </w:p>
    <w:p w14:paraId="59D5533F" w14:textId="77777777" w:rsidR="00886A3C" w:rsidRPr="004B1407" w:rsidRDefault="00886A3C" w:rsidP="00886A3C">
      <w:pPr>
        <w:spacing w:after="0" w:line="240" w:lineRule="auto"/>
        <w:rPr>
          <w:rFonts w:ascii="Times New Roman" w:hAnsi="Times New Roman" w:cs="Times New Roman"/>
          <w:i/>
          <w:lang w:val="fr-FR"/>
        </w:rPr>
      </w:pPr>
      <w:r w:rsidRPr="00090CEB">
        <w:rPr>
          <w:rFonts w:ascii="Times New Roman" w:hAnsi="Times New Roman" w:cs="Times New Roman"/>
          <w:i/>
          <w:lang w:val="fr-FR"/>
        </w:rPr>
        <w:t>5.1. Objectif 1 – Maint</w:t>
      </w:r>
      <w:r>
        <w:rPr>
          <w:rFonts w:ascii="Times New Roman" w:hAnsi="Times New Roman" w:cs="Times New Roman"/>
          <w:i/>
          <w:lang w:val="fr-FR"/>
        </w:rPr>
        <w:t>ien à un niveau stable et durable de la population de l’Oie à bec court ainsi que de son aire de répartition</w:t>
      </w:r>
    </w:p>
    <w:p w14:paraId="67E77372" w14:textId="77777777" w:rsidR="00886A3C" w:rsidRPr="004B1407" w:rsidRDefault="00886A3C" w:rsidP="00886A3C">
      <w:pPr>
        <w:spacing w:after="0" w:line="240" w:lineRule="auto"/>
        <w:rPr>
          <w:rFonts w:ascii="Times New Roman" w:hAnsi="Times New Roman" w:cs="Times New Roman"/>
          <w:i/>
          <w:lang w:val="fr-FR"/>
        </w:rPr>
      </w:pPr>
    </w:p>
    <w:tbl>
      <w:tblPr>
        <w:tblStyle w:val="TableGrid"/>
        <w:tblW w:w="0" w:type="auto"/>
        <w:tblLook w:val="04A0" w:firstRow="1" w:lastRow="0" w:firstColumn="1" w:lastColumn="0" w:noHBand="0" w:noVBand="1"/>
      </w:tblPr>
      <w:tblGrid>
        <w:gridCol w:w="7208"/>
        <w:gridCol w:w="1807"/>
      </w:tblGrid>
      <w:tr w:rsidR="00886A3C" w:rsidRPr="00DE4CF4" w14:paraId="6EB4F8E5" w14:textId="77777777" w:rsidTr="00886A3C">
        <w:trPr>
          <w:trHeight w:val="480"/>
        </w:trPr>
        <w:tc>
          <w:tcPr>
            <w:tcW w:w="72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44DB45" w14:textId="77777777" w:rsidR="00886A3C" w:rsidRDefault="00886A3C" w:rsidP="00886A3C">
            <w:pPr>
              <w:jc w:val="both"/>
              <w:rPr>
                <w:rFonts w:ascii="Times New Roman" w:hAnsi="Times New Roman" w:cs="Times New Roman"/>
                <w:i/>
              </w:rPr>
            </w:pPr>
            <w:r w:rsidRPr="00090CEB">
              <w:rPr>
                <w:rFonts w:ascii="Times New Roman" w:hAnsi="Times New Roman" w:cs="Times New Roman"/>
                <w:i/>
                <w:lang w:val="fr-FR"/>
              </w:rPr>
              <w:t>Activité</w:t>
            </w:r>
          </w:p>
        </w:tc>
        <w:tc>
          <w:tcPr>
            <w:tcW w:w="18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9CAD66" w14:textId="77777777" w:rsidR="00886A3C" w:rsidRPr="004B1407" w:rsidRDefault="00886A3C" w:rsidP="00886A3C">
            <w:pPr>
              <w:jc w:val="both"/>
              <w:rPr>
                <w:rFonts w:ascii="Times New Roman" w:hAnsi="Times New Roman" w:cs="Times New Roman"/>
                <w:i/>
                <w:lang w:val="fr-FR"/>
              </w:rPr>
            </w:pPr>
            <w:r w:rsidRPr="00090CEB">
              <w:rPr>
                <w:rFonts w:ascii="Times New Roman" w:hAnsi="Times New Roman" w:cs="Times New Roman"/>
                <w:i/>
                <w:lang w:val="fr-FR"/>
              </w:rPr>
              <w:t xml:space="preserve">Taux de mise en œuvre </w:t>
            </w:r>
          </w:p>
        </w:tc>
      </w:tr>
      <w:tr w:rsidR="00886A3C" w14:paraId="3A5946B4" w14:textId="77777777" w:rsidTr="00886A3C">
        <w:trPr>
          <w:trHeight w:val="495"/>
        </w:trPr>
        <w:tc>
          <w:tcPr>
            <w:tcW w:w="7208" w:type="dxa"/>
            <w:tcBorders>
              <w:top w:val="single" w:sz="4" w:space="0" w:color="auto"/>
              <w:left w:val="single" w:sz="4" w:space="0" w:color="auto"/>
              <w:bottom w:val="single" w:sz="4" w:space="0" w:color="auto"/>
              <w:right w:val="single" w:sz="4" w:space="0" w:color="auto"/>
            </w:tcBorders>
          </w:tcPr>
          <w:p w14:paraId="2FBD570A" w14:textId="77777777" w:rsidR="00886A3C" w:rsidRPr="004B1407" w:rsidRDefault="00886A3C" w:rsidP="00886A3C">
            <w:pPr>
              <w:rPr>
                <w:rFonts w:ascii="Times New Roman" w:hAnsi="Times New Roman" w:cs="Times New Roman"/>
                <w:lang w:val="fr-FR"/>
              </w:rPr>
            </w:pPr>
            <w:r w:rsidRPr="00090CEB">
              <w:rPr>
                <w:rFonts w:ascii="Times New Roman" w:hAnsi="Times New Roman" w:cs="Times New Roman"/>
                <w:lang w:val="fr-FR"/>
              </w:rPr>
              <w:t>1.1 La gestion</w:t>
            </w:r>
            <w:r>
              <w:rPr>
                <w:rFonts w:ascii="Times New Roman" w:hAnsi="Times New Roman" w:cs="Times New Roman"/>
                <w:lang w:val="fr-FR"/>
              </w:rPr>
              <w:t xml:space="preserve"> </w:t>
            </w:r>
            <w:r w:rsidRPr="00090CEB">
              <w:rPr>
                <w:rFonts w:ascii="Times New Roman" w:hAnsi="Times New Roman" w:cs="Times New Roman"/>
                <w:lang w:val="fr-FR"/>
              </w:rPr>
              <w:t>d</w:t>
            </w:r>
            <w:r>
              <w:rPr>
                <w:rFonts w:ascii="Times New Roman" w:hAnsi="Times New Roman" w:cs="Times New Roman"/>
                <w:lang w:val="fr-FR"/>
              </w:rPr>
              <w:t>’</w:t>
            </w:r>
            <w:r w:rsidRPr="00090CEB">
              <w:rPr>
                <w:rFonts w:ascii="Times New Roman" w:hAnsi="Times New Roman" w:cs="Times New Roman"/>
                <w:lang w:val="fr-FR"/>
              </w:rPr>
              <w:t xml:space="preserve">ensemble </w:t>
            </w:r>
            <w:r>
              <w:rPr>
                <w:rFonts w:ascii="Times New Roman" w:hAnsi="Times New Roman" w:cs="Times New Roman"/>
                <w:lang w:val="fr-FR"/>
              </w:rPr>
              <w:t xml:space="preserve">efficace </w:t>
            </w:r>
            <w:r w:rsidRPr="00090CEB">
              <w:rPr>
                <w:rFonts w:ascii="Times New Roman" w:hAnsi="Times New Roman" w:cs="Times New Roman"/>
                <w:lang w:val="fr-FR"/>
              </w:rPr>
              <w:t xml:space="preserve">de la population </w:t>
            </w:r>
            <w:r>
              <w:rPr>
                <w:rFonts w:ascii="Times New Roman" w:hAnsi="Times New Roman" w:cs="Times New Roman"/>
                <w:lang w:val="fr-FR"/>
              </w:rPr>
              <w:t>parvient</w:t>
            </w:r>
            <w:r w:rsidRPr="00090CEB">
              <w:rPr>
                <w:rFonts w:ascii="Times New Roman" w:hAnsi="Times New Roman" w:cs="Times New Roman"/>
                <w:lang w:val="fr-FR"/>
              </w:rPr>
              <w:t xml:space="preserve"> tout le long de la voie de migration </w:t>
            </w:r>
            <w:r>
              <w:rPr>
                <w:rFonts w:ascii="Times New Roman" w:hAnsi="Times New Roman" w:cs="Times New Roman"/>
                <w:lang w:val="fr-FR"/>
              </w:rPr>
              <w:t>à</w:t>
            </w:r>
            <w:r w:rsidRPr="00090CEB">
              <w:rPr>
                <w:rFonts w:ascii="Times New Roman" w:hAnsi="Times New Roman" w:cs="Times New Roman"/>
                <w:lang w:val="fr-FR"/>
              </w:rPr>
              <w:t xml:space="preserve"> maintenir une population durable et stable selon l</w:t>
            </w:r>
            <w:r>
              <w:rPr>
                <w:rFonts w:ascii="Times New Roman" w:hAnsi="Times New Roman" w:cs="Times New Roman"/>
                <w:lang w:val="fr-FR"/>
              </w:rPr>
              <w:t>’</w:t>
            </w:r>
            <w:r w:rsidRPr="00090CEB">
              <w:rPr>
                <w:rFonts w:ascii="Times New Roman" w:hAnsi="Times New Roman" w:cs="Times New Roman"/>
                <w:lang w:val="fr-FR"/>
              </w:rPr>
              <w:t>objectif de population convenu.</w:t>
            </w:r>
          </w:p>
        </w:tc>
        <w:tc>
          <w:tcPr>
            <w:tcW w:w="1807" w:type="dxa"/>
            <w:tcBorders>
              <w:top w:val="single" w:sz="4" w:space="0" w:color="auto"/>
              <w:left w:val="single" w:sz="4" w:space="0" w:color="auto"/>
              <w:bottom w:val="single" w:sz="4" w:space="0" w:color="auto"/>
              <w:right w:val="single" w:sz="4" w:space="0" w:color="auto"/>
            </w:tcBorders>
          </w:tcPr>
          <w:p w14:paraId="0DC0D934"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14:paraId="34265A2B" w14:textId="77777777" w:rsidTr="00886A3C">
        <w:trPr>
          <w:trHeight w:val="480"/>
        </w:trPr>
        <w:tc>
          <w:tcPr>
            <w:tcW w:w="7208" w:type="dxa"/>
            <w:tcBorders>
              <w:top w:val="single" w:sz="4" w:space="0" w:color="auto"/>
              <w:left w:val="single" w:sz="4" w:space="0" w:color="auto"/>
              <w:bottom w:val="single" w:sz="4" w:space="0" w:color="auto"/>
              <w:right w:val="single" w:sz="4" w:space="0" w:color="auto"/>
            </w:tcBorders>
          </w:tcPr>
          <w:p w14:paraId="0DFA44AE" w14:textId="77777777" w:rsidR="00886A3C" w:rsidRPr="004B1407" w:rsidRDefault="00886A3C" w:rsidP="00886A3C">
            <w:pPr>
              <w:rPr>
                <w:rFonts w:ascii="Times New Roman" w:hAnsi="Times New Roman" w:cs="Times New Roman"/>
                <w:lang w:val="fr-FR"/>
              </w:rPr>
            </w:pPr>
            <w:r w:rsidRPr="0005729D">
              <w:rPr>
                <w:rFonts w:ascii="Times New Roman" w:hAnsi="Times New Roman" w:cs="Times New Roman"/>
                <w:lang w:val="fr-FR"/>
              </w:rPr>
              <w:lastRenderedPageBreak/>
              <w:t>1.2 Assurer que la stratégie de gestion adaptative de prélèvements actuelle fournit une orientation claire (par ex. un quota maximal de prélèvement) pour parvenir à l</w:t>
            </w:r>
            <w:r>
              <w:rPr>
                <w:rFonts w:ascii="Times New Roman" w:hAnsi="Times New Roman" w:cs="Times New Roman"/>
                <w:lang w:val="fr-FR"/>
              </w:rPr>
              <w:t>’</w:t>
            </w:r>
            <w:r w:rsidRPr="0005729D">
              <w:rPr>
                <w:rFonts w:ascii="Times New Roman" w:hAnsi="Times New Roman" w:cs="Times New Roman"/>
                <w:lang w:val="fr-FR"/>
              </w:rPr>
              <w:t>objectif de population convenu.</w:t>
            </w:r>
          </w:p>
        </w:tc>
        <w:tc>
          <w:tcPr>
            <w:tcW w:w="1807" w:type="dxa"/>
            <w:tcBorders>
              <w:top w:val="single" w:sz="4" w:space="0" w:color="auto"/>
              <w:left w:val="single" w:sz="4" w:space="0" w:color="auto"/>
              <w:bottom w:val="single" w:sz="4" w:space="0" w:color="auto"/>
              <w:right w:val="single" w:sz="4" w:space="0" w:color="auto"/>
            </w:tcBorders>
          </w:tcPr>
          <w:p w14:paraId="55298028" w14:textId="77777777" w:rsidR="00886A3C" w:rsidRDefault="00886A3C" w:rsidP="00886A3C">
            <w:pPr>
              <w:jc w:val="center"/>
              <w:rPr>
                <w:rFonts w:ascii="Times New Roman" w:hAnsi="Times New Roman" w:cs="Times New Roman"/>
              </w:rPr>
            </w:pPr>
            <w:r>
              <w:rPr>
                <w:rFonts w:ascii="Times New Roman" w:hAnsi="Times New Roman" w:cs="Times New Roman"/>
              </w:rPr>
              <w:t>75 %</w:t>
            </w:r>
          </w:p>
        </w:tc>
      </w:tr>
      <w:tr w:rsidR="00886A3C" w14:paraId="696BB252" w14:textId="77777777" w:rsidTr="00886A3C">
        <w:trPr>
          <w:trHeight w:val="332"/>
        </w:trPr>
        <w:tc>
          <w:tcPr>
            <w:tcW w:w="7208" w:type="dxa"/>
            <w:tcBorders>
              <w:top w:val="single" w:sz="4" w:space="0" w:color="auto"/>
              <w:left w:val="single" w:sz="4" w:space="0" w:color="auto"/>
              <w:bottom w:val="single" w:sz="4" w:space="0" w:color="auto"/>
              <w:right w:val="single" w:sz="4" w:space="0" w:color="auto"/>
            </w:tcBorders>
          </w:tcPr>
          <w:p w14:paraId="3E5E0315" w14:textId="77777777" w:rsidR="00886A3C" w:rsidRPr="004B1407" w:rsidRDefault="00886A3C" w:rsidP="00886A3C">
            <w:pPr>
              <w:rPr>
                <w:rFonts w:ascii="Times New Roman" w:hAnsi="Times New Roman" w:cs="Times New Roman"/>
                <w:lang w:val="fr-FR"/>
              </w:rPr>
            </w:pPr>
            <w:r w:rsidRPr="0005729D">
              <w:rPr>
                <w:rFonts w:ascii="Times New Roman" w:hAnsi="Times New Roman" w:cs="Times New Roman"/>
                <w:lang w:val="fr-FR"/>
              </w:rPr>
              <w:t xml:space="preserve">1.3 </w:t>
            </w:r>
            <w:r>
              <w:rPr>
                <w:rFonts w:ascii="Times New Roman" w:hAnsi="Times New Roman" w:cs="Times New Roman"/>
                <w:lang w:val="fr-FR"/>
              </w:rPr>
              <w:t xml:space="preserve">Réduire </w:t>
            </w:r>
            <w:r w:rsidRPr="0005729D">
              <w:rPr>
                <w:rFonts w:ascii="Times New Roman" w:hAnsi="Times New Roman" w:cs="Times New Roman"/>
                <w:lang w:val="fr-FR"/>
              </w:rPr>
              <w:t>l</w:t>
            </w:r>
            <w:r>
              <w:rPr>
                <w:rFonts w:ascii="Times New Roman" w:hAnsi="Times New Roman" w:cs="Times New Roman"/>
                <w:lang w:val="fr-FR"/>
              </w:rPr>
              <w:t>’</w:t>
            </w:r>
            <w:r w:rsidRPr="0005729D">
              <w:rPr>
                <w:rFonts w:ascii="Times New Roman" w:hAnsi="Times New Roman" w:cs="Times New Roman"/>
                <w:lang w:val="fr-FR"/>
              </w:rPr>
              <w:t>influence des activités humaines sur le schéma d</w:t>
            </w:r>
            <w:r>
              <w:rPr>
                <w:rFonts w:ascii="Times New Roman" w:hAnsi="Times New Roman" w:cs="Times New Roman"/>
                <w:lang w:val="fr-FR"/>
              </w:rPr>
              <w:t>’</w:t>
            </w:r>
            <w:r w:rsidRPr="0005729D">
              <w:rPr>
                <w:rFonts w:ascii="Times New Roman" w:hAnsi="Times New Roman" w:cs="Times New Roman"/>
                <w:lang w:val="fr-FR"/>
              </w:rPr>
              <w:t>ensemble naturel de migration, le comportement et la répartition saisonnière de l</w:t>
            </w:r>
            <w:r>
              <w:rPr>
                <w:rFonts w:ascii="Times New Roman" w:hAnsi="Times New Roman" w:cs="Times New Roman"/>
                <w:lang w:val="fr-FR"/>
              </w:rPr>
              <w:t>’</w:t>
            </w:r>
            <w:r w:rsidRPr="0005729D">
              <w:rPr>
                <w:rFonts w:ascii="Times New Roman" w:hAnsi="Times New Roman" w:cs="Times New Roman"/>
                <w:lang w:val="fr-FR"/>
              </w:rPr>
              <w:t>Oie à bec court.</w:t>
            </w:r>
            <w:r w:rsidRPr="004B1407">
              <w:rPr>
                <w:rFonts w:ascii="Times New Roman" w:hAnsi="Times New Roman" w:cs="Times New Roman"/>
                <w:lang w:val="fr-FR"/>
              </w:rPr>
              <w:t xml:space="preserve"> </w:t>
            </w:r>
          </w:p>
        </w:tc>
        <w:tc>
          <w:tcPr>
            <w:tcW w:w="1807" w:type="dxa"/>
            <w:tcBorders>
              <w:top w:val="single" w:sz="4" w:space="0" w:color="auto"/>
              <w:left w:val="single" w:sz="4" w:space="0" w:color="auto"/>
              <w:bottom w:val="single" w:sz="4" w:space="0" w:color="auto"/>
              <w:right w:val="single" w:sz="4" w:space="0" w:color="auto"/>
            </w:tcBorders>
          </w:tcPr>
          <w:p w14:paraId="37A8FFD7" w14:textId="77777777" w:rsidR="00886A3C" w:rsidRDefault="00886A3C" w:rsidP="00886A3C">
            <w:pPr>
              <w:jc w:val="center"/>
              <w:rPr>
                <w:rFonts w:ascii="Times New Roman" w:hAnsi="Times New Roman" w:cs="Times New Roman"/>
              </w:rPr>
            </w:pPr>
            <w:r>
              <w:rPr>
                <w:rFonts w:ascii="Times New Roman" w:hAnsi="Times New Roman" w:cs="Times New Roman"/>
              </w:rPr>
              <w:t>25 %</w:t>
            </w:r>
          </w:p>
        </w:tc>
      </w:tr>
      <w:tr w:rsidR="00886A3C" w14:paraId="12ABDD3C" w14:textId="77777777" w:rsidTr="00886A3C">
        <w:trPr>
          <w:trHeight w:val="422"/>
        </w:trPr>
        <w:tc>
          <w:tcPr>
            <w:tcW w:w="7208" w:type="dxa"/>
            <w:tcBorders>
              <w:top w:val="single" w:sz="4" w:space="0" w:color="auto"/>
              <w:left w:val="single" w:sz="4" w:space="0" w:color="auto"/>
              <w:bottom w:val="single" w:sz="4" w:space="0" w:color="auto"/>
              <w:right w:val="single" w:sz="4" w:space="0" w:color="auto"/>
            </w:tcBorders>
          </w:tcPr>
          <w:p w14:paraId="63A4DE1C" w14:textId="77777777" w:rsidR="00886A3C" w:rsidRPr="004B1407" w:rsidRDefault="00886A3C" w:rsidP="00886A3C">
            <w:pPr>
              <w:rPr>
                <w:rFonts w:ascii="Times New Roman" w:hAnsi="Times New Roman" w:cs="Times New Roman"/>
                <w:lang w:val="fr-FR"/>
              </w:rPr>
            </w:pPr>
            <w:r w:rsidRPr="0005729D">
              <w:rPr>
                <w:rFonts w:ascii="Times New Roman" w:hAnsi="Times New Roman" w:cs="Times New Roman"/>
                <w:lang w:val="fr-FR"/>
              </w:rPr>
              <w:t>1.4</w:t>
            </w:r>
            <w:r>
              <w:rPr>
                <w:rFonts w:ascii="Times New Roman" w:hAnsi="Times New Roman" w:cs="Times New Roman"/>
                <w:lang w:val="fr-FR"/>
              </w:rPr>
              <w:t> </w:t>
            </w:r>
            <w:r w:rsidRPr="0005729D">
              <w:rPr>
                <w:rFonts w:ascii="Times New Roman" w:hAnsi="Times New Roman" w:cs="Times New Roman"/>
                <w:lang w:val="fr-FR"/>
              </w:rPr>
              <w:t>Les sites clés de l</w:t>
            </w:r>
            <w:r>
              <w:rPr>
                <w:rFonts w:ascii="Times New Roman" w:hAnsi="Times New Roman" w:cs="Times New Roman"/>
                <w:lang w:val="fr-FR"/>
              </w:rPr>
              <w:t>’</w:t>
            </w:r>
            <w:r w:rsidRPr="0005729D">
              <w:rPr>
                <w:rFonts w:ascii="Times New Roman" w:hAnsi="Times New Roman" w:cs="Times New Roman"/>
                <w:lang w:val="fr-FR"/>
              </w:rPr>
              <w:t>Oie à bec court bénéficient de statuts appropriés d</w:t>
            </w:r>
            <w:r>
              <w:rPr>
                <w:rFonts w:ascii="Times New Roman" w:hAnsi="Times New Roman" w:cs="Times New Roman"/>
                <w:lang w:val="fr-FR"/>
              </w:rPr>
              <w:t>’</w:t>
            </w:r>
            <w:r w:rsidRPr="0005729D">
              <w:rPr>
                <w:rFonts w:ascii="Times New Roman" w:hAnsi="Times New Roman" w:cs="Times New Roman"/>
                <w:lang w:val="fr-FR"/>
              </w:rPr>
              <w:t>aire protégées aux niveaux national et international.</w:t>
            </w:r>
          </w:p>
        </w:tc>
        <w:tc>
          <w:tcPr>
            <w:tcW w:w="1807" w:type="dxa"/>
            <w:tcBorders>
              <w:top w:val="single" w:sz="4" w:space="0" w:color="auto"/>
              <w:left w:val="single" w:sz="4" w:space="0" w:color="auto"/>
              <w:bottom w:val="single" w:sz="4" w:space="0" w:color="auto"/>
              <w:right w:val="single" w:sz="4" w:space="0" w:color="auto"/>
            </w:tcBorders>
          </w:tcPr>
          <w:p w14:paraId="46E9CEB5" w14:textId="77777777" w:rsidR="00886A3C" w:rsidRDefault="00886A3C" w:rsidP="00886A3C">
            <w:pPr>
              <w:jc w:val="center"/>
              <w:rPr>
                <w:rFonts w:ascii="Times New Roman" w:hAnsi="Times New Roman" w:cs="Times New Roman"/>
              </w:rPr>
            </w:pPr>
            <w:r>
              <w:rPr>
                <w:rFonts w:ascii="Times New Roman" w:hAnsi="Times New Roman" w:cs="Times New Roman"/>
              </w:rPr>
              <w:t>75 %</w:t>
            </w:r>
          </w:p>
        </w:tc>
      </w:tr>
      <w:tr w:rsidR="00886A3C" w14:paraId="00400E7A" w14:textId="77777777" w:rsidTr="00886A3C">
        <w:trPr>
          <w:trHeight w:val="422"/>
        </w:trPr>
        <w:tc>
          <w:tcPr>
            <w:tcW w:w="7208" w:type="dxa"/>
            <w:tcBorders>
              <w:top w:val="single" w:sz="4" w:space="0" w:color="auto"/>
              <w:left w:val="single" w:sz="4" w:space="0" w:color="auto"/>
              <w:bottom w:val="single" w:sz="4" w:space="0" w:color="auto"/>
              <w:right w:val="single" w:sz="4" w:space="0" w:color="auto"/>
            </w:tcBorders>
          </w:tcPr>
          <w:p w14:paraId="6652F45A" w14:textId="77777777" w:rsidR="00886A3C" w:rsidRPr="004B1407" w:rsidRDefault="00886A3C" w:rsidP="00886A3C">
            <w:pPr>
              <w:rPr>
                <w:rFonts w:ascii="Times New Roman" w:hAnsi="Times New Roman" w:cs="Times New Roman"/>
                <w:lang w:val="fr-FR"/>
              </w:rPr>
            </w:pPr>
            <w:r w:rsidRPr="0005729D">
              <w:rPr>
                <w:rFonts w:ascii="Times New Roman" w:hAnsi="Times New Roman" w:cs="Times New Roman"/>
                <w:lang w:val="fr-FR"/>
              </w:rPr>
              <w:t>1.5 Les sites clés de l</w:t>
            </w:r>
            <w:r>
              <w:rPr>
                <w:rFonts w:ascii="Times New Roman" w:hAnsi="Times New Roman" w:cs="Times New Roman"/>
                <w:lang w:val="fr-FR"/>
              </w:rPr>
              <w:t>’</w:t>
            </w:r>
            <w:r w:rsidRPr="0005729D">
              <w:rPr>
                <w:rFonts w:ascii="Times New Roman" w:hAnsi="Times New Roman" w:cs="Times New Roman"/>
                <w:lang w:val="fr-FR"/>
              </w:rPr>
              <w:t xml:space="preserve">Oie à bec court ont des plans </w:t>
            </w:r>
            <w:r w:rsidRPr="006D459E">
              <w:rPr>
                <w:rFonts w:ascii="Times New Roman" w:hAnsi="Times New Roman" w:cs="Times New Roman"/>
                <w:lang w:val="fr-FR"/>
              </w:rPr>
              <w:t>de gestion qui</w:t>
            </w:r>
            <w:r w:rsidRPr="0005729D">
              <w:rPr>
                <w:rFonts w:ascii="Times New Roman" w:hAnsi="Times New Roman" w:cs="Times New Roman"/>
                <w:lang w:val="fr-FR"/>
              </w:rPr>
              <w:t xml:space="preserve"> prennent en main leurs exigences de conservation.</w:t>
            </w:r>
          </w:p>
        </w:tc>
        <w:tc>
          <w:tcPr>
            <w:tcW w:w="1807" w:type="dxa"/>
            <w:tcBorders>
              <w:top w:val="single" w:sz="4" w:space="0" w:color="auto"/>
              <w:left w:val="single" w:sz="4" w:space="0" w:color="auto"/>
              <w:bottom w:val="single" w:sz="4" w:space="0" w:color="auto"/>
              <w:right w:val="single" w:sz="4" w:space="0" w:color="auto"/>
            </w:tcBorders>
          </w:tcPr>
          <w:p w14:paraId="17750B52" w14:textId="77777777" w:rsidR="00886A3C" w:rsidRDefault="00886A3C" w:rsidP="00886A3C">
            <w:pPr>
              <w:jc w:val="center"/>
              <w:rPr>
                <w:rFonts w:ascii="Times New Roman" w:hAnsi="Times New Roman" w:cs="Times New Roman"/>
              </w:rPr>
            </w:pPr>
            <w:r>
              <w:rPr>
                <w:rFonts w:ascii="Times New Roman" w:hAnsi="Times New Roman" w:cs="Times New Roman"/>
              </w:rPr>
              <w:t>75 %</w:t>
            </w:r>
          </w:p>
        </w:tc>
      </w:tr>
      <w:tr w:rsidR="00886A3C" w14:paraId="11FE7897" w14:textId="77777777" w:rsidTr="00886A3C">
        <w:trPr>
          <w:trHeight w:val="422"/>
        </w:trPr>
        <w:tc>
          <w:tcPr>
            <w:tcW w:w="7208" w:type="dxa"/>
            <w:tcBorders>
              <w:top w:val="single" w:sz="4" w:space="0" w:color="auto"/>
              <w:left w:val="single" w:sz="4" w:space="0" w:color="auto"/>
              <w:bottom w:val="single" w:sz="4" w:space="0" w:color="auto"/>
              <w:right w:val="single" w:sz="4" w:space="0" w:color="auto"/>
            </w:tcBorders>
          </w:tcPr>
          <w:p w14:paraId="34780EF3" w14:textId="793AE3D1" w:rsidR="00886A3C" w:rsidRPr="004B1407" w:rsidRDefault="00886A3C" w:rsidP="00886A3C">
            <w:pPr>
              <w:rPr>
                <w:rFonts w:ascii="Times New Roman" w:hAnsi="Times New Roman" w:cs="Times New Roman"/>
                <w:lang w:val="fr-FR"/>
              </w:rPr>
            </w:pPr>
            <w:r w:rsidRPr="0005729D">
              <w:rPr>
                <w:rFonts w:ascii="Times New Roman" w:hAnsi="Times New Roman" w:cs="Times New Roman"/>
                <w:lang w:val="fr-FR"/>
              </w:rPr>
              <w:t>1.6 Aucun site clé, utilisé historiquement par les oies à bec court dans votre pays n</w:t>
            </w:r>
            <w:r>
              <w:rPr>
                <w:rFonts w:ascii="Times New Roman" w:hAnsi="Times New Roman" w:cs="Times New Roman"/>
                <w:lang w:val="fr-FR"/>
              </w:rPr>
              <w:t>’</w:t>
            </w:r>
            <w:r w:rsidRPr="0005729D">
              <w:rPr>
                <w:rFonts w:ascii="Times New Roman" w:hAnsi="Times New Roman" w:cs="Times New Roman"/>
                <w:lang w:val="fr-FR"/>
              </w:rPr>
              <w:t xml:space="preserve">a été perdu </w:t>
            </w:r>
            <w:r>
              <w:rPr>
                <w:rFonts w:ascii="Times New Roman" w:hAnsi="Times New Roman" w:cs="Times New Roman"/>
                <w:lang w:val="fr-FR"/>
              </w:rPr>
              <w:t>du fait de</w:t>
            </w:r>
            <w:r w:rsidRPr="0005729D">
              <w:rPr>
                <w:rFonts w:ascii="Times New Roman" w:hAnsi="Times New Roman" w:cs="Times New Roman"/>
                <w:lang w:val="fr-FR"/>
              </w:rPr>
              <w:t xml:space="preserve"> développements agricoles, indust</w:t>
            </w:r>
            <w:r w:rsidR="00B34832">
              <w:rPr>
                <w:rFonts w:ascii="Times New Roman" w:hAnsi="Times New Roman" w:cs="Times New Roman"/>
                <w:lang w:val="fr-FR"/>
              </w:rPr>
              <w:t>riels, urbains, écologiqu</w:t>
            </w:r>
            <w:r w:rsidRPr="0005729D">
              <w:rPr>
                <w:rFonts w:ascii="Times New Roman" w:hAnsi="Times New Roman" w:cs="Times New Roman"/>
                <w:lang w:val="fr-FR"/>
              </w:rPr>
              <w:t>es ou autres développements fonciers.</w:t>
            </w:r>
          </w:p>
        </w:tc>
        <w:tc>
          <w:tcPr>
            <w:tcW w:w="1807" w:type="dxa"/>
            <w:tcBorders>
              <w:top w:val="single" w:sz="4" w:space="0" w:color="auto"/>
              <w:left w:val="single" w:sz="4" w:space="0" w:color="auto"/>
              <w:bottom w:val="single" w:sz="4" w:space="0" w:color="auto"/>
              <w:right w:val="single" w:sz="4" w:space="0" w:color="auto"/>
            </w:tcBorders>
          </w:tcPr>
          <w:p w14:paraId="7CE255B2" w14:textId="77777777" w:rsidR="00886A3C" w:rsidRDefault="00886A3C" w:rsidP="00886A3C">
            <w:pPr>
              <w:jc w:val="center"/>
              <w:rPr>
                <w:rFonts w:ascii="Times New Roman" w:hAnsi="Times New Roman" w:cs="Times New Roman"/>
              </w:rPr>
            </w:pPr>
            <w:r>
              <w:rPr>
                <w:rFonts w:ascii="Times New Roman" w:hAnsi="Times New Roman" w:cs="Times New Roman"/>
              </w:rPr>
              <w:t>75 %</w:t>
            </w:r>
          </w:p>
        </w:tc>
      </w:tr>
      <w:tr w:rsidR="00886A3C" w14:paraId="2A92E13E" w14:textId="77777777" w:rsidTr="00886A3C">
        <w:trPr>
          <w:trHeight w:val="422"/>
        </w:trPr>
        <w:tc>
          <w:tcPr>
            <w:tcW w:w="7208" w:type="dxa"/>
            <w:tcBorders>
              <w:top w:val="single" w:sz="4" w:space="0" w:color="auto"/>
              <w:left w:val="single" w:sz="4" w:space="0" w:color="auto"/>
              <w:bottom w:val="single" w:sz="4" w:space="0" w:color="auto"/>
              <w:right w:val="single" w:sz="4" w:space="0" w:color="auto"/>
            </w:tcBorders>
          </w:tcPr>
          <w:p w14:paraId="6A64F41F" w14:textId="77777777" w:rsidR="00886A3C" w:rsidRPr="004B1407" w:rsidRDefault="00886A3C" w:rsidP="00886A3C">
            <w:pPr>
              <w:rPr>
                <w:rFonts w:ascii="Times New Roman" w:hAnsi="Times New Roman" w:cs="Times New Roman"/>
                <w:lang w:val="fr-FR"/>
              </w:rPr>
            </w:pPr>
            <w:r w:rsidRPr="0005729D">
              <w:rPr>
                <w:rFonts w:ascii="Times New Roman" w:hAnsi="Times New Roman" w:cs="Times New Roman"/>
                <w:lang w:val="fr-FR"/>
              </w:rPr>
              <w:t>1.7 Aucune politique d</w:t>
            </w:r>
            <w:r>
              <w:rPr>
                <w:rFonts w:ascii="Times New Roman" w:hAnsi="Times New Roman" w:cs="Times New Roman"/>
                <w:lang w:val="fr-FR"/>
              </w:rPr>
              <w:t>’</w:t>
            </w:r>
            <w:r w:rsidRPr="0005729D">
              <w:rPr>
                <w:rFonts w:ascii="Times New Roman" w:hAnsi="Times New Roman" w:cs="Times New Roman"/>
                <w:lang w:val="fr-FR"/>
              </w:rPr>
              <w:t>aménagement des sols</w:t>
            </w:r>
            <w:r>
              <w:rPr>
                <w:rFonts w:ascii="Times New Roman" w:hAnsi="Times New Roman" w:cs="Times New Roman"/>
                <w:lang w:val="fr-FR"/>
              </w:rPr>
              <w:t xml:space="preserve"> </w:t>
            </w:r>
            <w:r w:rsidRPr="0005729D">
              <w:rPr>
                <w:rFonts w:ascii="Times New Roman" w:hAnsi="Times New Roman" w:cs="Times New Roman"/>
                <w:lang w:val="fr-FR"/>
              </w:rPr>
              <w:t>ou agricole / aucune pratique ayant un impact défavorable / influe sur les exigences écologiques des oies à bec court.</w:t>
            </w:r>
          </w:p>
        </w:tc>
        <w:tc>
          <w:tcPr>
            <w:tcW w:w="1807" w:type="dxa"/>
            <w:tcBorders>
              <w:top w:val="single" w:sz="4" w:space="0" w:color="auto"/>
              <w:left w:val="single" w:sz="4" w:space="0" w:color="auto"/>
              <w:bottom w:val="single" w:sz="4" w:space="0" w:color="auto"/>
              <w:right w:val="single" w:sz="4" w:space="0" w:color="auto"/>
            </w:tcBorders>
          </w:tcPr>
          <w:p w14:paraId="3DF63D1A"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14:paraId="1AAA59F8" w14:textId="77777777" w:rsidTr="00886A3C">
        <w:trPr>
          <w:trHeight w:val="422"/>
        </w:trPr>
        <w:tc>
          <w:tcPr>
            <w:tcW w:w="7208" w:type="dxa"/>
            <w:tcBorders>
              <w:top w:val="single" w:sz="4" w:space="0" w:color="auto"/>
              <w:left w:val="single" w:sz="4" w:space="0" w:color="auto"/>
              <w:bottom w:val="single" w:sz="4" w:space="0" w:color="auto"/>
              <w:right w:val="single" w:sz="4" w:space="0" w:color="auto"/>
            </w:tcBorders>
          </w:tcPr>
          <w:p w14:paraId="5FD7D659" w14:textId="77777777" w:rsidR="00886A3C" w:rsidRPr="004B1407" w:rsidRDefault="00886A3C" w:rsidP="00886A3C">
            <w:pPr>
              <w:rPr>
                <w:rFonts w:ascii="Times New Roman" w:hAnsi="Times New Roman" w:cs="Times New Roman"/>
                <w:lang w:val="fr-FR"/>
              </w:rPr>
            </w:pPr>
            <w:r w:rsidRPr="007A0A8A">
              <w:rPr>
                <w:rFonts w:ascii="Times New Roman" w:hAnsi="Times New Roman" w:cs="Times New Roman"/>
                <w:lang w:val="fr-FR"/>
              </w:rPr>
              <w:t>1.8 Des mesures ont été prises pour restaurer ou réhabiliter les habitats de repos ou d</w:t>
            </w:r>
            <w:r>
              <w:rPr>
                <w:rFonts w:ascii="Times New Roman" w:hAnsi="Times New Roman" w:cs="Times New Roman"/>
                <w:lang w:val="fr-FR"/>
              </w:rPr>
              <w:t>’</w:t>
            </w:r>
            <w:r w:rsidRPr="007A0A8A">
              <w:rPr>
                <w:rFonts w:ascii="Times New Roman" w:hAnsi="Times New Roman" w:cs="Times New Roman"/>
                <w:lang w:val="fr-FR"/>
              </w:rPr>
              <w:t>alimentation de l</w:t>
            </w:r>
            <w:r>
              <w:rPr>
                <w:rFonts w:ascii="Times New Roman" w:hAnsi="Times New Roman" w:cs="Times New Roman"/>
                <w:lang w:val="fr-FR"/>
              </w:rPr>
              <w:t>’</w:t>
            </w:r>
            <w:r w:rsidRPr="007A0A8A">
              <w:rPr>
                <w:rFonts w:ascii="Times New Roman" w:hAnsi="Times New Roman" w:cs="Times New Roman"/>
                <w:lang w:val="fr-FR"/>
              </w:rPr>
              <w:t>Oie à bec court.</w:t>
            </w:r>
          </w:p>
        </w:tc>
        <w:tc>
          <w:tcPr>
            <w:tcW w:w="1807" w:type="dxa"/>
            <w:tcBorders>
              <w:top w:val="single" w:sz="4" w:space="0" w:color="auto"/>
              <w:left w:val="single" w:sz="4" w:space="0" w:color="auto"/>
              <w:bottom w:val="single" w:sz="4" w:space="0" w:color="auto"/>
              <w:right w:val="single" w:sz="4" w:space="0" w:color="auto"/>
            </w:tcBorders>
          </w:tcPr>
          <w:p w14:paraId="7646F177" w14:textId="77777777" w:rsidR="00886A3C" w:rsidRDefault="00886A3C" w:rsidP="00886A3C">
            <w:pPr>
              <w:jc w:val="center"/>
              <w:rPr>
                <w:rFonts w:ascii="Times New Roman" w:hAnsi="Times New Roman" w:cs="Times New Roman"/>
              </w:rPr>
            </w:pPr>
            <w:r>
              <w:rPr>
                <w:rFonts w:ascii="Times New Roman" w:hAnsi="Times New Roman" w:cs="Times New Roman"/>
              </w:rPr>
              <w:t>33 %</w:t>
            </w:r>
          </w:p>
        </w:tc>
      </w:tr>
      <w:tr w:rsidR="00886A3C" w14:paraId="35C24CA3" w14:textId="77777777" w:rsidTr="00886A3C">
        <w:trPr>
          <w:trHeight w:val="593"/>
        </w:trPr>
        <w:tc>
          <w:tcPr>
            <w:tcW w:w="7208" w:type="dxa"/>
            <w:tcBorders>
              <w:top w:val="single" w:sz="4" w:space="0" w:color="auto"/>
              <w:left w:val="single" w:sz="4" w:space="0" w:color="auto"/>
              <w:bottom w:val="single" w:sz="4" w:space="0" w:color="auto"/>
              <w:right w:val="single" w:sz="4" w:space="0" w:color="auto"/>
            </w:tcBorders>
          </w:tcPr>
          <w:p w14:paraId="144A3CC3" w14:textId="77777777" w:rsidR="00886A3C" w:rsidRPr="004B1407" w:rsidRDefault="00886A3C" w:rsidP="00886A3C">
            <w:pPr>
              <w:rPr>
                <w:rFonts w:ascii="Times New Roman" w:hAnsi="Times New Roman" w:cs="Times New Roman"/>
                <w:lang w:val="fr-FR"/>
              </w:rPr>
            </w:pPr>
            <w:r w:rsidRPr="007A0A8A">
              <w:rPr>
                <w:rFonts w:ascii="Times New Roman" w:hAnsi="Times New Roman" w:cs="Times New Roman"/>
                <w:lang w:val="fr-FR"/>
              </w:rPr>
              <w:t>1.9 Des actions de gestion ont-elles été entreprises pour éviter la reproduction des oies à bec court sur le continent norvégien ?</w:t>
            </w:r>
          </w:p>
        </w:tc>
        <w:tc>
          <w:tcPr>
            <w:tcW w:w="1807" w:type="dxa"/>
            <w:tcBorders>
              <w:top w:val="single" w:sz="4" w:space="0" w:color="auto"/>
              <w:left w:val="single" w:sz="4" w:space="0" w:color="auto"/>
              <w:bottom w:val="single" w:sz="4" w:space="0" w:color="auto"/>
              <w:right w:val="single" w:sz="4" w:space="0" w:color="auto"/>
            </w:tcBorders>
          </w:tcPr>
          <w:p w14:paraId="7F09CB1E"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14:paraId="7905F355" w14:textId="77777777" w:rsidTr="00886A3C">
        <w:trPr>
          <w:trHeight w:val="422"/>
        </w:trPr>
        <w:tc>
          <w:tcPr>
            <w:tcW w:w="7208" w:type="dxa"/>
            <w:tcBorders>
              <w:top w:val="single" w:sz="4" w:space="0" w:color="auto"/>
              <w:left w:val="single" w:sz="4" w:space="0" w:color="auto"/>
              <w:bottom w:val="single" w:sz="4" w:space="0" w:color="auto"/>
              <w:right w:val="single" w:sz="4" w:space="0" w:color="auto"/>
            </w:tcBorders>
          </w:tcPr>
          <w:p w14:paraId="7A02E41A" w14:textId="77777777" w:rsidR="00886A3C" w:rsidRPr="004B1407" w:rsidRDefault="00886A3C" w:rsidP="00886A3C">
            <w:pPr>
              <w:rPr>
                <w:rFonts w:ascii="Times New Roman" w:hAnsi="Times New Roman" w:cs="Times New Roman"/>
                <w:lang w:val="fr-FR"/>
              </w:rPr>
            </w:pPr>
            <w:r w:rsidRPr="007A0A8A">
              <w:rPr>
                <w:rFonts w:ascii="Times New Roman" w:hAnsi="Times New Roman" w:cs="Times New Roman"/>
                <w:lang w:val="fr-FR"/>
              </w:rPr>
              <w:t>1.10 Des ressources humaines et financières suffisantes ont été allouées pour la surveillance, la communication des niveaux de prélèvement et la poursuite de la mise en œuvre</w:t>
            </w:r>
            <w:r>
              <w:rPr>
                <w:rFonts w:ascii="Times New Roman" w:hAnsi="Times New Roman" w:cs="Times New Roman"/>
                <w:lang w:val="fr-FR"/>
              </w:rPr>
              <w:t xml:space="preserve"> </w:t>
            </w:r>
            <w:r w:rsidRPr="007A0A8A">
              <w:rPr>
                <w:rFonts w:ascii="Times New Roman" w:hAnsi="Times New Roman" w:cs="Times New Roman"/>
                <w:lang w:val="fr-FR"/>
              </w:rPr>
              <w:t>de la stratégie de gestion adaptative de prélèvements.</w:t>
            </w:r>
          </w:p>
        </w:tc>
        <w:tc>
          <w:tcPr>
            <w:tcW w:w="1807" w:type="dxa"/>
            <w:tcBorders>
              <w:top w:val="single" w:sz="4" w:space="0" w:color="auto"/>
              <w:left w:val="single" w:sz="4" w:space="0" w:color="auto"/>
              <w:bottom w:val="single" w:sz="4" w:space="0" w:color="auto"/>
              <w:right w:val="single" w:sz="4" w:space="0" w:color="auto"/>
            </w:tcBorders>
          </w:tcPr>
          <w:p w14:paraId="5BF59FF2"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bl>
    <w:p w14:paraId="7454FDB6" w14:textId="77777777" w:rsidR="00886A3C" w:rsidRDefault="00886A3C" w:rsidP="00886A3C">
      <w:pPr>
        <w:spacing w:after="0" w:line="240" w:lineRule="auto"/>
        <w:rPr>
          <w:rFonts w:ascii="Times New Roman" w:hAnsi="Times New Roman" w:cs="Times New Roman"/>
          <w:i/>
          <w:lang w:val="en-US"/>
        </w:rPr>
      </w:pPr>
    </w:p>
    <w:p w14:paraId="7B961671" w14:textId="77777777" w:rsidR="00886A3C" w:rsidRPr="004B1407" w:rsidRDefault="00886A3C" w:rsidP="00886A3C">
      <w:pPr>
        <w:spacing w:after="0" w:line="240" w:lineRule="auto"/>
        <w:rPr>
          <w:rFonts w:ascii="Times New Roman" w:hAnsi="Times New Roman" w:cs="Times New Roman"/>
          <w:b/>
          <w:lang w:val="fr-FR"/>
        </w:rPr>
      </w:pPr>
      <w:r w:rsidRPr="007A0A8A">
        <w:rPr>
          <w:rFonts w:ascii="Times New Roman" w:hAnsi="Times New Roman" w:cs="Times New Roman"/>
          <w:b/>
          <w:lang w:val="fr-FR"/>
        </w:rPr>
        <w:t>Taux moyen de mise en œuvre :</w:t>
      </w:r>
      <w:r w:rsidRPr="004B1407">
        <w:rPr>
          <w:rFonts w:ascii="Times New Roman" w:hAnsi="Times New Roman" w:cs="Times New Roman"/>
          <w:b/>
          <w:lang w:val="fr-FR"/>
        </w:rPr>
        <w:t xml:space="preserve"> 56 %</w:t>
      </w:r>
    </w:p>
    <w:p w14:paraId="47E7D979" w14:textId="77777777" w:rsidR="00886A3C" w:rsidRPr="004B1407" w:rsidRDefault="00886A3C" w:rsidP="00886A3C">
      <w:pPr>
        <w:spacing w:after="0" w:line="240" w:lineRule="auto"/>
        <w:rPr>
          <w:rFonts w:ascii="Times New Roman" w:hAnsi="Times New Roman" w:cs="Times New Roman"/>
          <w:lang w:val="fr-FR"/>
        </w:rPr>
      </w:pPr>
    </w:p>
    <w:p w14:paraId="248ECA81" w14:textId="77777777" w:rsidR="00886A3C" w:rsidRPr="004B1407" w:rsidRDefault="00886A3C" w:rsidP="00886A3C">
      <w:pPr>
        <w:spacing w:after="0" w:line="240" w:lineRule="auto"/>
        <w:rPr>
          <w:rFonts w:ascii="Times New Roman" w:hAnsi="Times New Roman" w:cs="Times New Roman"/>
          <w:i/>
          <w:lang w:val="fr-FR"/>
        </w:rPr>
      </w:pPr>
      <w:r w:rsidRPr="007A0A8A">
        <w:rPr>
          <w:rFonts w:ascii="Times New Roman" w:hAnsi="Times New Roman" w:cs="Times New Roman"/>
          <w:i/>
          <w:lang w:val="fr-FR"/>
        </w:rPr>
        <w:t>5.2. Objectif 2 – Maintenir les conflits agricoles à un niveau acceptable</w:t>
      </w:r>
    </w:p>
    <w:p w14:paraId="14FB7EA6" w14:textId="77777777" w:rsidR="00886A3C" w:rsidRPr="004B1407" w:rsidRDefault="00886A3C" w:rsidP="00886A3C">
      <w:pPr>
        <w:spacing w:after="0" w:line="240" w:lineRule="auto"/>
        <w:rPr>
          <w:rFonts w:ascii="Times New Roman" w:hAnsi="Times New Roman" w:cs="Times New Roman"/>
          <w:i/>
          <w:lang w:val="fr-FR"/>
        </w:rPr>
      </w:pPr>
    </w:p>
    <w:p w14:paraId="0F365A3C" w14:textId="77777777" w:rsidR="00886A3C" w:rsidRPr="004B1407" w:rsidRDefault="00886A3C" w:rsidP="00886A3C">
      <w:pPr>
        <w:spacing w:after="0" w:line="240" w:lineRule="auto"/>
        <w:jc w:val="both"/>
        <w:rPr>
          <w:rFonts w:ascii="Times New Roman" w:hAnsi="Times New Roman" w:cs="Times New Roman"/>
          <w:lang w:val="fr-FR"/>
        </w:rPr>
      </w:pPr>
      <w:r w:rsidRPr="00D25381">
        <w:rPr>
          <w:rFonts w:ascii="Times New Roman" w:hAnsi="Times New Roman" w:cs="Times New Roman"/>
          <w:lang w:val="fr-FR"/>
        </w:rPr>
        <w:t>L’</w:t>
      </w:r>
      <w:r>
        <w:rPr>
          <w:rFonts w:ascii="Times New Roman" w:hAnsi="Times New Roman" w:cs="Times New Roman"/>
          <w:b/>
          <w:lang w:val="fr-FR"/>
        </w:rPr>
        <w:t>action</w:t>
      </w:r>
      <w:r w:rsidRPr="00114BDD">
        <w:rPr>
          <w:rFonts w:ascii="Times New Roman" w:hAnsi="Times New Roman" w:cs="Times New Roman"/>
          <w:b/>
          <w:lang w:val="fr-FR"/>
        </w:rPr>
        <w:t xml:space="preserve"> 2.1</w:t>
      </w:r>
      <w:r w:rsidRPr="00FE4207">
        <w:rPr>
          <w:rFonts w:ascii="Times New Roman" w:hAnsi="Times New Roman" w:cs="Times New Roman"/>
          <w:lang w:val="fr-FR"/>
        </w:rPr>
        <w:t>,</w:t>
      </w:r>
      <w:r w:rsidRPr="00114BDD">
        <w:rPr>
          <w:rFonts w:ascii="Times New Roman" w:hAnsi="Times New Roman" w:cs="Times New Roman"/>
          <w:lang w:val="fr-FR"/>
        </w:rPr>
        <w:t xml:space="preserve"> concernant le maintien à un niveau acceptable des conflit agricoles se rapportant </w:t>
      </w:r>
      <w:r>
        <w:rPr>
          <w:rFonts w:ascii="Times New Roman" w:hAnsi="Times New Roman" w:cs="Times New Roman"/>
          <w:lang w:val="fr-FR"/>
        </w:rPr>
        <w:t>aux</w:t>
      </w:r>
      <w:r w:rsidRPr="00114BDD">
        <w:rPr>
          <w:rFonts w:ascii="Times New Roman" w:hAnsi="Times New Roman" w:cs="Times New Roman"/>
          <w:lang w:val="fr-FR"/>
        </w:rPr>
        <w:t xml:space="preserve"> oies à bec court (par ex. les dommages aux cultures)</w:t>
      </w:r>
      <w:r>
        <w:rPr>
          <w:rFonts w:ascii="Times New Roman" w:hAnsi="Times New Roman" w:cs="Times New Roman"/>
          <w:lang w:val="fr-FR"/>
        </w:rPr>
        <w:t>,</w:t>
      </w:r>
      <w:r w:rsidRPr="00114BDD">
        <w:rPr>
          <w:rFonts w:ascii="Times New Roman" w:hAnsi="Times New Roman" w:cs="Times New Roman"/>
          <w:lang w:val="fr-FR"/>
        </w:rPr>
        <w:t xml:space="preserve"> a été rapportée par la Belgique et </w:t>
      </w:r>
      <w:r>
        <w:rPr>
          <w:rFonts w:ascii="Times New Roman" w:hAnsi="Times New Roman" w:cs="Times New Roman"/>
          <w:lang w:val="fr-FR"/>
        </w:rPr>
        <w:t xml:space="preserve">les </w:t>
      </w:r>
      <w:r w:rsidRPr="00114BDD">
        <w:rPr>
          <w:rFonts w:ascii="Times New Roman" w:hAnsi="Times New Roman" w:cs="Times New Roman"/>
          <w:lang w:val="fr-FR"/>
        </w:rPr>
        <w:t>Pays-Bas comme étant réalisée</w:t>
      </w:r>
      <w:r>
        <w:rPr>
          <w:rFonts w:ascii="Times New Roman" w:hAnsi="Times New Roman" w:cs="Times New Roman"/>
          <w:lang w:val="fr-FR"/>
        </w:rPr>
        <w:t>,</w:t>
      </w:r>
      <w:r w:rsidRPr="00114BDD">
        <w:rPr>
          <w:rFonts w:ascii="Times New Roman" w:hAnsi="Times New Roman" w:cs="Times New Roman"/>
          <w:lang w:val="fr-FR"/>
        </w:rPr>
        <w:t xml:space="preserve"> et par le Danemark et la Norvège comme étant partiellement réalisée.</w:t>
      </w:r>
      <w:r w:rsidRPr="004B1407">
        <w:rPr>
          <w:rFonts w:ascii="Times New Roman" w:hAnsi="Times New Roman" w:cs="Times New Roman"/>
          <w:lang w:val="fr-FR"/>
        </w:rPr>
        <w:t xml:space="preserve"> </w:t>
      </w:r>
      <w:r w:rsidRPr="00114BDD">
        <w:rPr>
          <w:rFonts w:ascii="Times New Roman" w:hAnsi="Times New Roman" w:cs="Times New Roman"/>
          <w:lang w:val="fr-FR"/>
        </w:rPr>
        <w:t>La Norvège indique en outre qu</w:t>
      </w:r>
      <w:r>
        <w:rPr>
          <w:rFonts w:ascii="Times New Roman" w:hAnsi="Times New Roman" w:cs="Times New Roman"/>
          <w:lang w:val="fr-FR"/>
        </w:rPr>
        <w:t xml:space="preserve">’il est difficile de définir ce qu’est un </w:t>
      </w:r>
      <w:r w:rsidRPr="00114BDD">
        <w:rPr>
          <w:rFonts w:ascii="Times New Roman" w:hAnsi="Times New Roman" w:cs="Times New Roman"/>
          <w:lang w:val="fr-FR"/>
        </w:rPr>
        <w:t>« niveau acceptable ».</w:t>
      </w:r>
      <w:r w:rsidRPr="004B1407">
        <w:rPr>
          <w:rFonts w:ascii="Times New Roman" w:hAnsi="Times New Roman" w:cs="Times New Roman"/>
          <w:lang w:val="fr-FR"/>
        </w:rPr>
        <w:t xml:space="preserve"> </w:t>
      </w:r>
      <w:r w:rsidRPr="00B63578">
        <w:rPr>
          <w:rFonts w:ascii="Times New Roman" w:hAnsi="Times New Roman" w:cs="Times New Roman"/>
          <w:lang w:val="fr-FR"/>
        </w:rPr>
        <w:t>L</w:t>
      </w:r>
      <w:r>
        <w:rPr>
          <w:rFonts w:ascii="Times New Roman" w:hAnsi="Times New Roman" w:cs="Times New Roman"/>
          <w:lang w:val="fr-FR"/>
        </w:rPr>
        <w:t>a mesure</w:t>
      </w:r>
      <w:r w:rsidRPr="00B63578">
        <w:rPr>
          <w:rFonts w:ascii="Times New Roman" w:hAnsi="Times New Roman" w:cs="Times New Roman"/>
          <w:lang w:val="fr-FR"/>
        </w:rPr>
        <w:t xml:space="preserve"> de</w:t>
      </w:r>
      <w:r>
        <w:rPr>
          <w:rFonts w:ascii="Times New Roman" w:hAnsi="Times New Roman" w:cs="Times New Roman"/>
          <w:lang w:val="fr-FR"/>
        </w:rPr>
        <w:t>s</w:t>
      </w:r>
      <w:r w:rsidRPr="00B63578">
        <w:rPr>
          <w:rFonts w:ascii="Times New Roman" w:hAnsi="Times New Roman" w:cs="Times New Roman"/>
          <w:lang w:val="fr-FR"/>
        </w:rPr>
        <w:t xml:space="preserve"> dommages causés par les oies, et en conséquence le conflit, varie considérablement selon les années.</w:t>
      </w:r>
      <w:r w:rsidRPr="004B1407">
        <w:rPr>
          <w:rFonts w:ascii="Times New Roman" w:hAnsi="Times New Roman" w:cs="Times New Roman"/>
          <w:lang w:val="fr-FR"/>
        </w:rPr>
        <w:t xml:space="preserve"> </w:t>
      </w:r>
      <w:r w:rsidRPr="00B63578">
        <w:rPr>
          <w:rFonts w:ascii="Times New Roman" w:hAnsi="Times New Roman" w:cs="Times New Roman"/>
          <w:lang w:val="fr-FR"/>
        </w:rPr>
        <w:t>Le programme de subvention a permis de réduire les conflits.</w:t>
      </w:r>
      <w:r w:rsidRPr="004B1407">
        <w:rPr>
          <w:rFonts w:ascii="Times New Roman" w:hAnsi="Times New Roman" w:cs="Times New Roman"/>
          <w:lang w:val="fr-FR"/>
        </w:rPr>
        <w:t xml:space="preserve"> (50 %)</w:t>
      </w:r>
    </w:p>
    <w:p w14:paraId="33305E8E" w14:textId="77777777" w:rsidR="00886A3C" w:rsidRPr="004B1407" w:rsidRDefault="00886A3C" w:rsidP="00886A3C">
      <w:pPr>
        <w:spacing w:after="0" w:line="240" w:lineRule="auto"/>
        <w:jc w:val="both"/>
        <w:rPr>
          <w:rFonts w:ascii="Times New Roman" w:hAnsi="Times New Roman" w:cs="Times New Roman"/>
          <w:i/>
          <w:lang w:val="fr-FR"/>
        </w:rPr>
      </w:pPr>
    </w:p>
    <w:p w14:paraId="61A82E3F" w14:textId="77777777" w:rsidR="00886A3C" w:rsidRPr="004B1407" w:rsidRDefault="00886A3C" w:rsidP="00886A3C">
      <w:pPr>
        <w:spacing w:after="0" w:line="240" w:lineRule="auto"/>
        <w:jc w:val="both"/>
        <w:rPr>
          <w:rFonts w:ascii="Times New Roman" w:hAnsi="Times New Roman" w:cs="Times New Roman"/>
          <w:lang w:val="fr-FR"/>
        </w:rPr>
      </w:pPr>
      <w:r w:rsidRPr="00D25381">
        <w:rPr>
          <w:rFonts w:ascii="Times New Roman" w:hAnsi="Times New Roman" w:cs="Times New Roman"/>
          <w:lang w:val="fr-FR"/>
        </w:rPr>
        <w:t>L’</w:t>
      </w:r>
      <w:r>
        <w:rPr>
          <w:rFonts w:ascii="Times New Roman" w:hAnsi="Times New Roman" w:cs="Times New Roman"/>
          <w:b/>
          <w:lang w:val="fr-FR"/>
        </w:rPr>
        <w:t>action</w:t>
      </w:r>
      <w:r w:rsidRPr="00B63578">
        <w:rPr>
          <w:rFonts w:ascii="Times New Roman" w:hAnsi="Times New Roman" w:cs="Times New Roman"/>
          <w:b/>
          <w:lang w:val="fr-FR"/>
        </w:rPr>
        <w:t xml:space="preserve"> 2.2</w:t>
      </w:r>
      <w:r w:rsidRPr="00B63578">
        <w:rPr>
          <w:rFonts w:ascii="Times New Roman" w:hAnsi="Times New Roman" w:cs="Times New Roman"/>
          <w:lang w:val="fr-FR"/>
        </w:rPr>
        <w:t xml:space="preserve"> prévoit la mise en œuvre d</w:t>
      </w:r>
      <w:r>
        <w:rPr>
          <w:rFonts w:ascii="Times New Roman" w:hAnsi="Times New Roman" w:cs="Times New Roman"/>
          <w:lang w:val="fr-FR"/>
        </w:rPr>
        <w:t>’</w:t>
      </w:r>
      <w:r w:rsidRPr="00B63578">
        <w:rPr>
          <w:rFonts w:ascii="Times New Roman" w:hAnsi="Times New Roman" w:cs="Times New Roman"/>
          <w:lang w:val="fr-FR"/>
        </w:rPr>
        <w:t>actions de gestion nationales ou régionales en vue d</w:t>
      </w:r>
      <w:r>
        <w:rPr>
          <w:rFonts w:ascii="Times New Roman" w:hAnsi="Times New Roman" w:cs="Times New Roman"/>
          <w:lang w:val="fr-FR"/>
        </w:rPr>
        <w:t>’</w:t>
      </w:r>
      <w:r w:rsidRPr="00B63578">
        <w:rPr>
          <w:rFonts w:ascii="Times New Roman" w:hAnsi="Times New Roman" w:cs="Times New Roman"/>
          <w:lang w:val="fr-FR"/>
        </w:rPr>
        <w:t>une gestion efficace des conflits agricoles liés aux oies à bec court.</w:t>
      </w:r>
      <w:r w:rsidRPr="004B1407">
        <w:rPr>
          <w:rFonts w:ascii="Times New Roman" w:hAnsi="Times New Roman" w:cs="Times New Roman"/>
          <w:lang w:val="fr-FR"/>
        </w:rPr>
        <w:t xml:space="preserve"> </w:t>
      </w:r>
      <w:r w:rsidRPr="00B63578">
        <w:rPr>
          <w:rFonts w:ascii="Times New Roman" w:hAnsi="Times New Roman" w:cs="Times New Roman"/>
          <w:lang w:val="fr-FR"/>
        </w:rPr>
        <w:t>Tous les États de l</w:t>
      </w:r>
      <w:r>
        <w:rPr>
          <w:rFonts w:ascii="Times New Roman" w:hAnsi="Times New Roman" w:cs="Times New Roman"/>
          <w:lang w:val="fr-FR"/>
        </w:rPr>
        <w:t>’</w:t>
      </w:r>
      <w:r w:rsidRPr="00B63578">
        <w:rPr>
          <w:rFonts w:ascii="Times New Roman" w:hAnsi="Times New Roman" w:cs="Times New Roman"/>
          <w:lang w:val="fr-FR"/>
        </w:rPr>
        <w:t>aire de répartition ont indiqué la mise en œuvre</w:t>
      </w:r>
      <w:r>
        <w:rPr>
          <w:rFonts w:ascii="Times New Roman" w:hAnsi="Times New Roman" w:cs="Times New Roman"/>
          <w:lang w:val="fr-FR"/>
        </w:rPr>
        <w:t xml:space="preserve"> </w:t>
      </w:r>
      <w:r w:rsidRPr="00B63578">
        <w:rPr>
          <w:rFonts w:ascii="Times New Roman" w:hAnsi="Times New Roman" w:cs="Times New Roman"/>
          <w:lang w:val="fr-FR"/>
        </w:rPr>
        <w:t>de diverses mesures de gestion en vue de gérer les conflits avec les agriculteurs.</w:t>
      </w:r>
      <w:r w:rsidRPr="004B1407">
        <w:rPr>
          <w:rFonts w:ascii="Times New Roman" w:hAnsi="Times New Roman" w:cs="Times New Roman"/>
          <w:lang w:val="fr-FR"/>
        </w:rPr>
        <w:t xml:space="preserve"> (100 %)</w:t>
      </w:r>
    </w:p>
    <w:p w14:paraId="0C031DBA" w14:textId="77777777" w:rsidR="00886A3C" w:rsidRPr="004B1407" w:rsidRDefault="00886A3C" w:rsidP="00886A3C">
      <w:pPr>
        <w:spacing w:after="0" w:line="240" w:lineRule="auto"/>
        <w:jc w:val="both"/>
        <w:rPr>
          <w:rFonts w:ascii="Times New Roman" w:hAnsi="Times New Roman" w:cs="Times New Roman"/>
          <w:lang w:val="fr-FR"/>
        </w:rPr>
      </w:pPr>
    </w:p>
    <w:p w14:paraId="6E981F31" w14:textId="77777777" w:rsidR="00886A3C" w:rsidRPr="004B1407" w:rsidRDefault="00886A3C" w:rsidP="00886A3C">
      <w:pPr>
        <w:spacing w:after="0" w:line="240" w:lineRule="auto"/>
        <w:jc w:val="both"/>
        <w:rPr>
          <w:rFonts w:ascii="Times New Roman" w:hAnsi="Times New Roman" w:cs="Times New Roman"/>
          <w:lang w:val="fr-FR"/>
        </w:rPr>
      </w:pPr>
      <w:r w:rsidRPr="00D25381">
        <w:rPr>
          <w:rFonts w:ascii="Times New Roman" w:hAnsi="Times New Roman" w:cs="Times New Roman"/>
          <w:lang w:val="fr-FR"/>
        </w:rPr>
        <w:t>L’</w:t>
      </w:r>
      <w:r>
        <w:rPr>
          <w:rFonts w:ascii="Times New Roman" w:hAnsi="Times New Roman" w:cs="Times New Roman"/>
          <w:b/>
          <w:lang w:val="fr-FR"/>
        </w:rPr>
        <w:t>action</w:t>
      </w:r>
      <w:r w:rsidRPr="0063651F">
        <w:rPr>
          <w:rFonts w:ascii="Times New Roman" w:hAnsi="Times New Roman" w:cs="Times New Roman"/>
          <w:b/>
          <w:lang w:val="fr-FR"/>
        </w:rPr>
        <w:t xml:space="preserve"> 2.3</w:t>
      </w:r>
      <w:r w:rsidRPr="0063651F">
        <w:rPr>
          <w:rFonts w:ascii="Times New Roman" w:hAnsi="Times New Roman" w:cs="Times New Roman"/>
          <w:lang w:val="fr-FR"/>
        </w:rPr>
        <w:t xml:space="preserve"> prévoit la mise en œuvre</w:t>
      </w:r>
      <w:r>
        <w:rPr>
          <w:rFonts w:ascii="Times New Roman" w:hAnsi="Times New Roman" w:cs="Times New Roman"/>
          <w:lang w:val="fr-FR"/>
        </w:rPr>
        <w:t xml:space="preserve"> </w:t>
      </w:r>
      <w:r w:rsidRPr="0063651F">
        <w:rPr>
          <w:rFonts w:ascii="Times New Roman" w:hAnsi="Times New Roman" w:cs="Times New Roman"/>
          <w:lang w:val="fr-FR"/>
        </w:rPr>
        <w:t>de mesures de surveillance afin de déterminer le niveau des confits agricoles avec les oies à bec court, que ce soit au niveau national ou régional (par ex. au moyen des recueils des données des compensations financières etc.).</w:t>
      </w:r>
      <w:r w:rsidRPr="004B1407">
        <w:rPr>
          <w:rFonts w:ascii="Times New Roman" w:hAnsi="Times New Roman" w:cs="Times New Roman"/>
          <w:lang w:val="fr-FR"/>
        </w:rPr>
        <w:t xml:space="preserve"> </w:t>
      </w:r>
      <w:r w:rsidRPr="0063651F">
        <w:rPr>
          <w:rFonts w:ascii="Times New Roman" w:hAnsi="Times New Roman" w:cs="Times New Roman"/>
          <w:lang w:val="fr-FR"/>
        </w:rPr>
        <w:t>La Belgique et les Pays-Bas ont indiqué qu</w:t>
      </w:r>
      <w:r>
        <w:rPr>
          <w:rFonts w:ascii="Times New Roman" w:hAnsi="Times New Roman" w:cs="Times New Roman"/>
          <w:lang w:val="fr-FR"/>
        </w:rPr>
        <w:t>’</w:t>
      </w:r>
      <w:r w:rsidRPr="0063651F">
        <w:rPr>
          <w:rFonts w:ascii="Times New Roman" w:hAnsi="Times New Roman" w:cs="Times New Roman"/>
          <w:lang w:val="fr-FR"/>
        </w:rPr>
        <w:t>ils avaient en place ce système de surveillance, tandis que le Danemark et la Norvège faisaient part d</w:t>
      </w:r>
      <w:r>
        <w:rPr>
          <w:rFonts w:ascii="Times New Roman" w:hAnsi="Times New Roman" w:cs="Times New Roman"/>
          <w:lang w:val="fr-FR"/>
        </w:rPr>
        <w:t>’</w:t>
      </w:r>
      <w:r w:rsidRPr="0063651F">
        <w:rPr>
          <w:rFonts w:ascii="Times New Roman" w:hAnsi="Times New Roman" w:cs="Times New Roman"/>
          <w:lang w:val="fr-FR"/>
        </w:rPr>
        <w:t>une mise en œuvre partielle de cette action.</w:t>
      </w:r>
      <w:r w:rsidRPr="004B1407">
        <w:rPr>
          <w:rFonts w:ascii="Times New Roman" w:hAnsi="Times New Roman" w:cs="Times New Roman"/>
          <w:lang w:val="fr-FR"/>
        </w:rPr>
        <w:t xml:space="preserve"> (50 %)</w:t>
      </w:r>
    </w:p>
    <w:p w14:paraId="5CF18499" w14:textId="77777777" w:rsidR="00886A3C" w:rsidRPr="004B1407" w:rsidRDefault="00886A3C" w:rsidP="00886A3C">
      <w:pPr>
        <w:spacing w:after="0" w:line="240" w:lineRule="auto"/>
        <w:jc w:val="both"/>
        <w:rPr>
          <w:rFonts w:ascii="Times New Roman" w:hAnsi="Times New Roman" w:cs="Times New Roman"/>
          <w:b/>
          <w:lang w:val="fr-FR"/>
        </w:rPr>
      </w:pPr>
    </w:p>
    <w:p w14:paraId="3878CDB4" w14:textId="77777777" w:rsidR="00886A3C" w:rsidRPr="004B1407" w:rsidRDefault="00886A3C" w:rsidP="00886A3C">
      <w:pPr>
        <w:spacing w:after="0" w:line="240" w:lineRule="auto"/>
        <w:jc w:val="both"/>
        <w:rPr>
          <w:rFonts w:ascii="Times New Roman" w:hAnsi="Times New Roman" w:cs="Times New Roman"/>
          <w:b/>
          <w:lang w:val="fr-FR"/>
        </w:rPr>
      </w:pPr>
      <w:r w:rsidRPr="0063651F">
        <w:rPr>
          <w:rFonts w:ascii="Times New Roman" w:hAnsi="Times New Roman" w:cs="Times New Roman"/>
          <w:b/>
          <w:lang w:val="fr-FR"/>
        </w:rPr>
        <w:t>Taux moyen de mise en œuvre :</w:t>
      </w:r>
      <w:r w:rsidRPr="004B1407">
        <w:rPr>
          <w:rFonts w:ascii="Times New Roman" w:hAnsi="Times New Roman" w:cs="Times New Roman"/>
          <w:b/>
          <w:lang w:val="fr-FR"/>
        </w:rPr>
        <w:t xml:space="preserve"> 67 %</w:t>
      </w:r>
    </w:p>
    <w:p w14:paraId="0D78505B" w14:textId="77777777" w:rsidR="00886A3C" w:rsidRPr="004B1407" w:rsidRDefault="00886A3C" w:rsidP="00886A3C">
      <w:pPr>
        <w:spacing w:after="0" w:line="240" w:lineRule="auto"/>
        <w:jc w:val="both"/>
        <w:rPr>
          <w:rFonts w:ascii="Times New Roman" w:hAnsi="Times New Roman" w:cs="Times New Roman"/>
          <w:lang w:val="fr-FR"/>
        </w:rPr>
      </w:pPr>
    </w:p>
    <w:p w14:paraId="5BAF5DFE" w14:textId="77777777" w:rsidR="00886A3C" w:rsidRPr="004B1407" w:rsidRDefault="00886A3C" w:rsidP="00886A3C">
      <w:pPr>
        <w:spacing w:after="0" w:line="240" w:lineRule="auto"/>
        <w:rPr>
          <w:rFonts w:ascii="Times New Roman" w:hAnsi="Times New Roman" w:cs="Times New Roman"/>
          <w:i/>
          <w:lang w:val="fr-FR"/>
        </w:rPr>
      </w:pPr>
      <w:r w:rsidRPr="0063651F">
        <w:rPr>
          <w:rFonts w:ascii="Times New Roman" w:hAnsi="Times New Roman" w:cs="Times New Roman"/>
          <w:i/>
          <w:lang w:val="fr-FR"/>
        </w:rPr>
        <w:t>5.3. Objectif 3 – Éviter l</w:t>
      </w:r>
      <w:r>
        <w:rPr>
          <w:rFonts w:ascii="Times New Roman" w:hAnsi="Times New Roman" w:cs="Times New Roman"/>
          <w:i/>
          <w:lang w:val="fr-FR"/>
        </w:rPr>
        <w:t>’</w:t>
      </w:r>
      <w:r w:rsidRPr="0063651F">
        <w:rPr>
          <w:rFonts w:ascii="Times New Roman" w:hAnsi="Times New Roman" w:cs="Times New Roman"/>
          <w:i/>
          <w:lang w:val="fr-FR"/>
        </w:rPr>
        <w:t>augmentation de la dégradation de la végétation de la toundra dans l</w:t>
      </w:r>
      <w:r>
        <w:rPr>
          <w:rFonts w:ascii="Times New Roman" w:hAnsi="Times New Roman" w:cs="Times New Roman"/>
          <w:i/>
          <w:lang w:val="fr-FR"/>
        </w:rPr>
        <w:t>’</w:t>
      </w:r>
      <w:r w:rsidRPr="0063651F">
        <w:rPr>
          <w:rFonts w:ascii="Times New Roman" w:hAnsi="Times New Roman" w:cs="Times New Roman"/>
          <w:i/>
          <w:lang w:val="fr-FR"/>
        </w:rPr>
        <w:t>aire de reproduction</w:t>
      </w:r>
    </w:p>
    <w:p w14:paraId="71B5B62F" w14:textId="77777777" w:rsidR="00886A3C" w:rsidRPr="004B1407" w:rsidRDefault="00886A3C" w:rsidP="00886A3C">
      <w:pPr>
        <w:spacing w:after="0" w:line="240" w:lineRule="auto"/>
        <w:rPr>
          <w:rFonts w:ascii="Times New Roman" w:hAnsi="Times New Roman" w:cs="Times New Roman"/>
          <w:i/>
          <w:lang w:val="fr-FR"/>
        </w:rPr>
      </w:pPr>
    </w:p>
    <w:p w14:paraId="631B0BE7" w14:textId="77777777" w:rsidR="00886A3C" w:rsidRPr="004B1407" w:rsidRDefault="00886A3C" w:rsidP="00886A3C">
      <w:pPr>
        <w:spacing w:after="0" w:line="240" w:lineRule="auto"/>
        <w:jc w:val="both"/>
        <w:rPr>
          <w:rFonts w:ascii="Times New Roman" w:hAnsi="Times New Roman" w:cs="Times New Roman"/>
          <w:lang w:val="fr-FR"/>
        </w:rPr>
      </w:pPr>
      <w:r w:rsidRPr="0063651F">
        <w:rPr>
          <w:rFonts w:ascii="Times New Roman" w:hAnsi="Times New Roman" w:cs="Times New Roman"/>
          <w:lang w:val="fr-FR"/>
        </w:rPr>
        <w:t>Les actions se rapportant à cet objectif ne concerne que la Norvège, qui a fait part d</w:t>
      </w:r>
      <w:r>
        <w:rPr>
          <w:rFonts w:ascii="Times New Roman" w:hAnsi="Times New Roman" w:cs="Times New Roman"/>
          <w:lang w:val="fr-FR"/>
        </w:rPr>
        <w:t>’</w:t>
      </w:r>
      <w:r w:rsidRPr="0063651F">
        <w:rPr>
          <w:rFonts w:ascii="Times New Roman" w:hAnsi="Times New Roman" w:cs="Times New Roman"/>
          <w:lang w:val="fr-FR"/>
        </w:rPr>
        <w:t>une mise en œuvre partielle de toutes les activités.</w:t>
      </w:r>
      <w:r w:rsidRPr="004B1407">
        <w:rPr>
          <w:rFonts w:ascii="Times New Roman" w:hAnsi="Times New Roman" w:cs="Times New Roman"/>
          <w:lang w:val="fr-FR"/>
        </w:rPr>
        <w:t xml:space="preserve"> </w:t>
      </w:r>
    </w:p>
    <w:p w14:paraId="1FA48D3D" w14:textId="77777777" w:rsidR="00886A3C" w:rsidRPr="004B1407" w:rsidRDefault="00886A3C" w:rsidP="00886A3C">
      <w:pPr>
        <w:spacing w:after="0" w:line="240" w:lineRule="auto"/>
        <w:jc w:val="both"/>
        <w:rPr>
          <w:rFonts w:ascii="Times New Roman" w:hAnsi="Times New Roman" w:cs="Times New Roman"/>
          <w:lang w:val="fr-FR"/>
        </w:rPr>
      </w:pPr>
    </w:p>
    <w:p w14:paraId="06CB1B5B" w14:textId="77777777" w:rsidR="00886A3C" w:rsidRPr="004B1407" w:rsidRDefault="00886A3C" w:rsidP="00886A3C">
      <w:pPr>
        <w:spacing w:after="0" w:line="240" w:lineRule="auto"/>
        <w:jc w:val="both"/>
        <w:rPr>
          <w:rFonts w:ascii="Times New Roman" w:hAnsi="Times New Roman" w:cs="Times New Roman"/>
          <w:lang w:val="fr-FR"/>
        </w:rPr>
      </w:pPr>
      <w:r w:rsidRPr="00D25381">
        <w:rPr>
          <w:rFonts w:ascii="Times New Roman" w:hAnsi="Times New Roman" w:cs="Times New Roman"/>
          <w:lang w:val="fr-FR"/>
        </w:rPr>
        <w:lastRenderedPageBreak/>
        <w:t>L’</w:t>
      </w:r>
      <w:r>
        <w:rPr>
          <w:rFonts w:ascii="Times New Roman" w:hAnsi="Times New Roman" w:cs="Times New Roman"/>
          <w:b/>
          <w:lang w:val="fr-FR"/>
        </w:rPr>
        <w:t>action</w:t>
      </w:r>
      <w:r w:rsidRPr="0063651F">
        <w:rPr>
          <w:rFonts w:ascii="Times New Roman" w:hAnsi="Times New Roman" w:cs="Times New Roman"/>
          <w:b/>
          <w:lang w:val="fr-FR"/>
        </w:rPr>
        <w:t xml:space="preserve"> 3.1</w:t>
      </w:r>
      <w:r w:rsidRPr="0063651F">
        <w:rPr>
          <w:rFonts w:ascii="Times New Roman" w:hAnsi="Times New Roman" w:cs="Times New Roman"/>
          <w:lang w:val="fr-FR"/>
        </w:rPr>
        <w:t xml:space="preserve"> concerne le rassemblement de connaissances suffisantes sur l</w:t>
      </w:r>
      <w:r>
        <w:rPr>
          <w:rFonts w:ascii="Times New Roman" w:hAnsi="Times New Roman" w:cs="Times New Roman"/>
          <w:lang w:val="fr-FR"/>
        </w:rPr>
        <w:t>’</w:t>
      </w:r>
      <w:r w:rsidRPr="0063651F">
        <w:rPr>
          <w:rFonts w:ascii="Times New Roman" w:hAnsi="Times New Roman" w:cs="Times New Roman"/>
          <w:lang w:val="fr-FR"/>
        </w:rPr>
        <w:t>ampleur et l</w:t>
      </w:r>
      <w:r>
        <w:rPr>
          <w:rFonts w:ascii="Times New Roman" w:hAnsi="Times New Roman" w:cs="Times New Roman"/>
          <w:lang w:val="fr-FR"/>
        </w:rPr>
        <w:t>’</w:t>
      </w:r>
      <w:r w:rsidRPr="0063651F">
        <w:rPr>
          <w:rFonts w:ascii="Times New Roman" w:hAnsi="Times New Roman" w:cs="Times New Roman"/>
          <w:lang w:val="fr-FR"/>
        </w:rPr>
        <w:t>impact de la dégradation de la toundra arctique causée par les oies à bec court.</w:t>
      </w:r>
      <w:r w:rsidRPr="004B1407">
        <w:rPr>
          <w:rFonts w:ascii="Times New Roman" w:hAnsi="Times New Roman" w:cs="Times New Roman"/>
          <w:lang w:val="fr-FR"/>
        </w:rPr>
        <w:t xml:space="preserve"> </w:t>
      </w:r>
      <w:r w:rsidRPr="00CB579F">
        <w:rPr>
          <w:rFonts w:ascii="Times New Roman" w:hAnsi="Times New Roman" w:cs="Times New Roman"/>
          <w:lang w:val="fr-FR"/>
        </w:rPr>
        <w:t>La Norvège a précisé qu</w:t>
      </w:r>
      <w:r>
        <w:rPr>
          <w:rFonts w:ascii="Times New Roman" w:hAnsi="Times New Roman" w:cs="Times New Roman"/>
          <w:lang w:val="fr-FR"/>
        </w:rPr>
        <w:t>’</w:t>
      </w:r>
      <w:r w:rsidRPr="00CB579F">
        <w:rPr>
          <w:rFonts w:ascii="Times New Roman" w:hAnsi="Times New Roman" w:cs="Times New Roman"/>
          <w:lang w:val="fr-FR"/>
        </w:rPr>
        <w:t>un programme de surveillance a été mis en place dans la partie occidentale de Spitsberg, mais que les informations sur l</w:t>
      </w:r>
      <w:r>
        <w:rPr>
          <w:rFonts w:ascii="Times New Roman" w:hAnsi="Times New Roman" w:cs="Times New Roman"/>
          <w:lang w:val="fr-FR"/>
        </w:rPr>
        <w:t>’</w:t>
      </w:r>
      <w:r w:rsidRPr="00CB579F">
        <w:rPr>
          <w:rFonts w:ascii="Times New Roman" w:hAnsi="Times New Roman" w:cs="Times New Roman"/>
          <w:lang w:val="fr-FR"/>
        </w:rPr>
        <w:t xml:space="preserve">est et le </w:t>
      </w:r>
      <w:r>
        <w:rPr>
          <w:rFonts w:ascii="Times New Roman" w:hAnsi="Times New Roman" w:cs="Times New Roman"/>
          <w:lang w:val="fr-FR"/>
        </w:rPr>
        <w:t>nord</w:t>
      </w:r>
      <w:r w:rsidRPr="00CB579F">
        <w:rPr>
          <w:rFonts w:ascii="Times New Roman" w:hAnsi="Times New Roman" w:cs="Times New Roman"/>
          <w:lang w:val="fr-FR"/>
        </w:rPr>
        <w:t xml:space="preserve"> du Svalbard font actuellement défaut.</w:t>
      </w:r>
    </w:p>
    <w:p w14:paraId="38E51C65" w14:textId="77777777" w:rsidR="00886A3C" w:rsidRPr="004B1407" w:rsidRDefault="00886A3C" w:rsidP="00886A3C">
      <w:pPr>
        <w:spacing w:after="0" w:line="240" w:lineRule="auto"/>
        <w:jc w:val="both"/>
        <w:rPr>
          <w:rFonts w:ascii="Times New Roman" w:hAnsi="Times New Roman" w:cs="Times New Roman"/>
          <w:lang w:val="fr-FR"/>
        </w:rPr>
      </w:pPr>
    </w:p>
    <w:p w14:paraId="487F1A38" w14:textId="77777777" w:rsidR="00886A3C" w:rsidRPr="004B1407" w:rsidRDefault="00886A3C" w:rsidP="00886A3C">
      <w:pPr>
        <w:spacing w:after="0" w:line="240" w:lineRule="auto"/>
        <w:jc w:val="both"/>
        <w:rPr>
          <w:rFonts w:ascii="Times New Roman" w:hAnsi="Times New Roman" w:cs="Times New Roman"/>
          <w:lang w:val="fr-FR"/>
        </w:rPr>
      </w:pPr>
      <w:r w:rsidRPr="00180F0A">
        <w:rPr>
          <w:rFonts w:ascii="Times New Roman" w:hAnsi="Times New Roman" w:cs="Times New Roman"/>
          <w:lang w:val="fr-FR"/>
        </w:rPr>
        <w:t>Concernant l</w:t>
      </w:r>
      <w:r>
        <w:rPr>
          <w:rFonts w:ascii="Times New Roman" w:hAnsi="Times New Roman" w:cs="Times New Roman"/>
          <w:lang w:val="fr-FR"/>
        </w:rPr>
        <w:t>’</w:t>
      </w:r>
      <w:r>
        <w:rPr>
          <w:rFonts w:ascii="Times New Roman" w:hAnsi="Times New Roman" w:cs="Times New Roman"/>
          <w:b/>
          <w:lang w:val="fr-FR"/>
        </w:rPr>
        <w:t>a</w:t>
      </w:r>
      <w:r w:rsidRPr="00180F0A">
        <w:rPr>
          <w:rFonts w:ascii="Times New Roman" w:hAnsi="Times New Roman" w:cs="Times New Roman"/>
          <w:b/>
          <w:lang w:val="fr-FR"/>
        </w:rPr>
        <w:t xml:space="preserve">ction 3.2, </w:t>
      </w:r>
      <w:r w:rsidRPr="00180F0A">
        <w:rPr>
          <w:rFonts w:ascii="Times New Roman" w:hAnsi="Times New Roman" w:cs="Times New Roman"/>
          <w:lang w:val="fr-FR"/>
        </w:rPr>
        <w:t>la</w:t>
      </w:r>
      <w:r w:rsidRPr="00180F0A">
        <w:rPr>
          <w:rFonts w:ascii="Times New Roman" w:hAnsi="Times New Roman" w:cs="Times New Roman"/>
          <w:b/>
          <w:lang w:val="fr-FR"/>
        </w:rPr>
        <w:t xml:space="preserve"> </w:t>
      </w:r>
      <w:r w:rsidRPr="00180F0A">
        <w:rPr>
          <w:rFonts w:ascii="Times New Roman" w:hAnsi="Times New Roman" w:cs="Times New Roman"/>
          <w:lang w:val="fr-FR"/>
        </w:rPr>
        <w:t>Norvège a fait savoir que le niveau de dégradation de la toundra arctique était partiellement à un niveau acceptable.</w:t>
      </w:r>
      <w:r w:rsidRPr="004B1407">
        <w:rPr>
          <w:rFonts w:ascii="Times New Roman" w:hAnsi="Times New Roman" w:cs="Times New Roman"/>
          <w:lang w:val="fr-FR"/>
        </w:rPr>
        <w:t xml:space="preserve"> </w:t>
      </w:r>
      <w:r w:rsidRPr="001466CD">
        <w:rPr>
          <w:rFonts w:ascii="Times New Roman" w:hAnsi="Times New Roman" w:cs="Times New Roman"/>
          <w:lang w:val="fr-FR"/>
        </w:rPr>
        <w:t>La Norvège a également indiqué que dans les colonies de reproduction de l</w:t>
      </w:r>
      <w:r>
        <w:rPr>
          <w:rFonts w:ascii="Times New Roman" w:hAnsi="Times New Roman" w:cs="Times New Roman"/>
          <w:lang w:val="fr-FR"/>
        </w:rPr>
        <w:t>’</w:t>
      </w:r>
      <w:r w:rsidRPr="001466CD">
        <w:rPr>
          <w:rFonts w:ascii="Times New Roman" w:hAnsi="Times New Roman" w:cs="Times New Roman"/>
          <w:lang w:val="fr-FR"/>
        </w:rPr>
        <w:t xml:space="preserve">ouest de Spitsberg les conséquences </w:t>
      </w:r>
      <w:r w:rsidRPr="00517DE5">
        <w:rPr>
          <w:rFonts w:ascii="Times New Roman" w:hAnsi="Times New Roman" w:cs="Times New Roman"/>
          <w:lang w:val="fr-FR"/>
        </w:rPr>
        <w:t>du picorage des terres</w:t>
      </w:r>
      <w:r w:rsidRPr="001466CD">
        <w:rPr>
          <w:rFonts w:ascii="Times New Roman" w:hAnsi="Times New Roman" w:cs="Times New Roman"/>
          <w:lang w:val="fr-FR"/>
        </w:rPr>
        <w:t xml:space="preserve"> sont en augmentation, toutefois sur les sites de halte de printemps, la tendance varie apparemment en fonction des conditions annuelles (une couverture neigeuse retardée peut protéger la toundra d</w:t>
      </w:r>
      <w:r>
        <w:rPr>
          <w:rFonts w:ascii="Times New Roman" w:hAnsi="Times New Roman" w:cs="Times New Roman"/>
          <w:lang w:val="fr-FR"/>
        </w:rPr>
        <w:t>e picorages</w:t>
      </w:r>
      <w:r w:rsidRPr="001466CD">
        <w:rPr>
          <w:rFonts w:ascii="Times New Roman" w:hAnsi="Times New Roman" w:cs="Times New Roman"/>
          <w:lang w:val="fr-FR"/>
        </w:rPr>
        <w:t xml:space="preserve"> précoces).</w:t>
      </w:r>
      <w:r w:rsidRPr="004B1407">
        <w:rPr>
          <w:rFonts w:ascii="Times New Roman" w:hAnsi="Times New Roman" w:cs="Times New Roman"/>
          <w:lang w:val="fr-FR"/>
        </w:rPr>
        <w:t xml:space="preserve"> </w:t>
      </w:r>
      <w:r w:rsidRPr="001466CD">
        <w:rPr>
          <w:rFonts w:ascii="Times New Roman" w:hAnsi="Times New Roman" w:cs="Times New Roman"/>
          <w:lang w:val="fr-FR"/>
        </w:rPr>
        <w:t>Les informations provenant de l</w:t>
      </w:r>
      <w:r>
        <w:rPr>
          <w:rFonts w:ascii="Times New Roman" w:hAnsi="Times New Roman" w:cs="Times New Roman"/>
          <w:lang w:val="fr-FR"/>
        </w:rPr>
        <w:t>’</w:t>
      </w:r>
      <w:r w:rsidRPr="001466CD">
        <w:rPr>
          <w:rFonts w:ascii="Times New Roman" w:hAnsi="Times New Roman" w:cs="Times New Roman"/>
          <w:lang w:val="fr-FR"/>
        </w:rPr>
        <w:t>est et du centre du Svalbard font actuellement défaut.</w:t>
      </w:r>
    </w:p>
    <w:p w14:paraId="4F1DB3C7" w14:textId="77777777" w:rsidR="00886A3C" w:rsidRPr="004B1407" w:rsidRDefault="00886A3C" w:rsidP="00886A3C">
      <w:pPr>
        <w:spacing w:after="0" w:line="240" w:lineRule="auto"/>
        <w:jc w:val="both"/>
        <w:rPr>
          <w:rFonts w:ascii="Times New Roman" w:hAnsi="Times New Roman" w:cs="Times New Roman"/>
          <w:lang w:val="fr-FR"/>
        </w:rPr>
      </w:pPr>
    </w:p>
    <w:p w14:paraId="4186C68A" w14:textId="77777777" w:rsidR="00886A3C" w:rsidRPr="004B1407" w:rsidRDefault="00886A3C" w:rsidP="00886A3C">
      <w:pPr>
        <w:spacing w:after="0" w:line="240" w:lineRule="auto"/>
        <w:jc w:val="both"/>
        <w:rPr>
          <w:rFonts w:ascii="Times New Roman" w:hAnsi="Times New Roman" w:cs="Times New Roman"/>
          <w:lang w:val="fr-FR"/>
        </w:rPr>
      </w:pPr>
      <w:r w:rsidRPr="001466CD">
        <w:rPr>
          <w:rFonts w:ascii="Times New Roman" w:hAnsi="Times New Roman" w:cs="Times New Roman"/>
          <w:lang w:val="fr-FR"/>
        </w:rPr>
        <w:t>Pour l</w:t>
      </w:r>
      <w:r>
        <w:rPr>
          <w:rFonts w:ascii="Times New Roman" w:hAnsi="Times New Roman" w:cs="Times New Roman"/>
          <w:lang w:val="fr-FR"/>
        </w:rPr>
        <w:t>’</w:t>
      </w:r>
      <w:r>
        <w:rPr>
          <w:rFonts w:ascii="Times New Roman" w:hAnsi="Times New Roman" w:cs="Times New Roman"/>
          <w:b/>
          <w:lang w:val="fr-FR"/>
        </w:rPr>
        <w:t>a</w:t>
      </w:r>
      <w:r w:rsidRPr="001466CD">
        <w:rPr>
          <w:rFonts w:ascii="Times New Roman" w:hAnsi="Times New Roman" w:cs="Times New Roman"/>
          <w:b/>
          <w:lang w:val="fr-FR"/>
        </w:rPr>
        <w:t>ction 3.3</w:t>
      </w:r>
      <w:r w:rsidRPr="001466CD">
        <w:rPr>
          <w:rFonts w:ascii="Times New Roman" w:hAnsi="Times New Roman" w:cs="Times New Roman"/>
          <w:lang w:val="fr-FR"/>
        </w:rPr>
        <w:t>, la Norvège a indiqué que des ressources humaines et financières suffisantes avaient été allouées pour surveiller l</w:t>
      </w:r>
      <w:r>
        <w:rPr>
          <w:rFonts w:ascii="Times New Roman" w:hAnsi="Times New Roman" w:cs="Times New Roman"/>
          <w:lang w:val="fr-FR"/>
        </w:rPr>
        <w:t>’</w:t>
      </w:r>
      <w:r w:rsidRPr="001466CD">
        <w:rPr>
          <w:rFonts w:ascii="Times New Roman" w:hAnsi="Times New Roman" w:cs="Times New Roman"/>
          <w:lang w:val="fr-FR"/>
        </w:rPr>
        <w:t>ampleur et l</w:t>
      </w:r>
      <w:r>
        <w:rPr>
          <w:rFonts w:ascii="Times New Roman" w:hAnsi="Times New Roman" w:cs="Times New Roman"/>
          <w:lang w:val="fr-FR"/>
        </w:rPr>
        <w:t>’</w:t>
      </w:r>
      <w:r w:rsidRPr="001466CD">
        <w:rPr>
          <w:rFonts w:ascii="Times New Roman" w:hAnsi="Times New Roman" w:cs="Times New Roman"/>
          <w:lang w:val="fr-FR"/>
        </w:rPr>
        <w:t>impact de dégradation de la toundra arctique par les oies à bec court, mais non pour la mise en œuvre</w:t>
      </w:r>
      <w:r>
        <w:rPr>
          <w:rFonts w:ascii="Times New Roman" w:hAnsi="Times New Roman" w:cs="Times New Roman"/>
          <w:lang w:val="fr-FR"/>
        </w:rPr>
        <w:t xml:space="preserve"> </w:t>
      </w:r>
      <w:r w:rsidRPr="001466CD">
        <w:rPr>
          <w:rFonts w:ascii="Times New Roman" w:hAnsi="Times New Roman" w:cs="Times New Roman"/>
          <w:lang w:val="fr-FR"/>
        </w:rPr>
        <w:t>d</w:t>
      </w:r>
      <w:r>
        <w:rPr>
          <w:rFonts w:ascii="Times New Roman" w:hAnsi="Times New Roman" w:cs="Times New Roman"/>
          <w:lang w:val="fr-FR"/>
        </w:rPr>
        <w:t>’</w:t>
      </w:r>
      <w:r w:rsidRPr="001466CD">
        <w:rPr>
          <w:rFonts w:ascii="Times New Roman" w:hAnsi="Times New Roman" w:cs="Times New Roman"/>
          <w:lang w:val="fr-FR"/>
        </w:rPr>
        <w:t>actions préventives ou réparatrices.</w:t>
      </w:r>
      <w:r w:rsidRPr="004B1407">
        <w:rPr>
          <w:rFonts w:ascii="Times New Roman" w:hAnsi="Times New Roman" w:cs="Times New Roman"/>
          <w:lang w:val="fr-FR"/>
        </w:rPr>
        <w:t xml:space="preserve"> </w:t>
      </w:r>
      <w:r w:rsidRPr="009A1425">
        <w:rPr>
          <w:rFonts w:ascii="Times New Roman" w:hAnsi="Times New Roman" w:cs="Times New Roman"/>
          <w:lang w:val="fr-FR"/>
        </w:rPr>
        <w:t>Jusqu</w:t>
      </w:r>
      <w:r>
        <w:rPr>
          <w:rFonts w:ascii="Times New Roman" w:hAnsi="Times New Roman" w:cs="Times New Roman"/>
          <w:lang w:val="fr-FR"/>
        </w:rPr>
        <w:t>’</w:t>
      </w:r>
      <w:r w:rsidRPr="009A1425">
        <w:rPr>
          <w:rFonts w:ascii="Times New Roman" w:hAnsi="Times New Roman" w:cs="Times New Roman"/>
          <w:lang w:val="fr-FR"/>
        </w:rPr>
        <w:t>à présent, les fonds destinés à la surveillance ont été réunis par le Fonds de la protection de l</w:t>
      </w:r>
      <w:r>
        <w:rPr>
          <w:rFonts w:ascii="Times New Roman" w:hAnsi="Times New Roman" w:cs="Times New Roman"/>
          <w:lang w:val="fr-FR"/>
        </w:rPr>
        <w:t>’</w:t>
      </w:r>
      <w:r w:rsidRPr="009A1425">
        <w:rPr>
          <w:rFonts w:ascii="Times New Roman" w:hAnsi="Times New Roman" w:cs="Times New Roman"/>
          <w:lang w:val="fr-FR"/>
        </w:rPr>
        <w:t>environnement du Svalbard, l</w:t>
      </w:r>
      <w:r>
        <w:rPr>
          <w:rFonts w:ascii="Times New Roman" w:hAnsi="Times New Roman" w:cs="Times New Roman"/>
          <w:lang w:val="fr-FR"/>
        </w:rPr>
        <w:t>’</w:t>
      </w:r>
      <w:r w:rsidRPr="009A1425">
        <w:rPr>
          <w:rFonts w:ascii="Times New Roman" w:hAnsi="Times New Roman" w:cs="Times New Roman"/>
          <w:lang w:val="fr-FR"/>
        </w:rPr>
        <w:t>Université d</w:t>
      </w:r>
      <w:r>
        <w:rPr>
          <w:rFonts w:ascii="Times New Roman" w:hAnsi="Times New Roman" w:cs="Times New Roman"/>
          <w:lang w:val="fr-FR"/>
        </w:rPr>
        <w:t>’</w:t>
      </w:r>
      <w:r w:rsidRPr="009A1425">
        <w:rPr>
          <w:rFonts w:ascii="Times New Roman" w:hAnsi="Times New Roman" w:cs="Times New Roman"/>
          <w:lang w:val="fr-FR"/>
        </w:rPr>
        <w:t>Aarhus et le Centre Fram à Tromsø (« </w:t>
      </w:r>
      <w:r w:rsidRPr="00B05BC4">
        <w:rPr>
          <w:rFonts w:ascii="Times New Roman" w:hAnsi="Times New Roman" w:cs="Times New Roman"/>
          <w:i/>
          <w:lang w:val="fr-FR"/>
        </w:rPr>
        <w:t>The Terrestrial Flagship</w:t>
      </w:r>
      <w:r w:rsidRPr="009A1425">
        <w:rPr>
          <w:rFonts w:ascii="Times New Roman" w:hAnsi="Times New Roman" w:cs="Times New Roman"/>
          <w:lang w:val="fr-FR"/>
        </w:rPr>
        <w:t xml:space="preserve"> »).</w:t>
      </w:r>
      <w:r w:rsidRPr="004B1407">
        <w:rPr>
          <w:rFonts w:ascii="Times New Roman" w:hAnsi="Times New Roman" w:cs="Times New Roman"/>
          <w:lang w:val="fr-FR"/>
        </w:rPr>
        <w:t xml:space="preserve"> </w:t>
      </w:r>
      <w:r w:rsidRPr="009A1425">
        <w:rPr>
          <w:rFonts w:ascii="Times New Roman" w:hAnsi="Times New Roman" w:cs="Times New Roman"/>
          <w:lang w:val="fr-FR"/>
        </w:rPr>
        <w:t xml:space="preserve">Un financement a été réuni sur une base annuelle, et le financement futur dépendra des </w:t>
      </w:r>
      <w:r w:rsidRPr="00517DE5">
        <w:rPr>
          <w:rFonts w:ascii="Times New Roman" w:hAnsi="Times New Roman" w:cs="Times New Roman"/>
          <w:lang w:val="fr-FR"/>
        </w:rPr>
        <w:t>nouvelles demandes faites par les chercheurs</w:t>
      </w:r>
      <w:r w:rsidRPr="009A1425">
        <w:rPr>
          <w:rFonts w:ascii="Times New Roman" w:hAnsi="Times New Roman" w:cs="Times New Roman"/>
          <w:lang w:val="fr-FR"/>
        </w:rPr>
        <w:t xml:space="preserve"> et de fonds issus de sources diverses.</w:t>
      </w:r>
      <w:r w:rsidRPr="004B1407">
        <w:rPr>
          <w:rFonts w:ascii="Times New Roman" w:hAnsi="Times New Roman" w:cs="Times New Roman"/>
          <w:lang w:val="fr-FR"/>
        </w:rPr>
        <w:t xml:space="preserve"> </w:t>
      </w:r>
      <w:r w:rsidRPr="009A1425">
        <w:rPr>
          <w:rFonts w:ascii="Times New Roman" w:hAnsi="Times New Roman" w:cs="Times New Roman"/>
          <w:lang w:val="fr-FR"/>
        </w:rPr>
        <w:t>En général, la concurrence est vive en matière de financement de recherche et ces activités n</w:t>
      </w:r>
      <w:r>
        <w:rPr>
          <w:rFonts w:ascii="Times New Roman" w:hAnsi="Times New Roman" w:cs="Times New Roman"/>
          <w:lang w:val="fr-FR"/>
        </w:rPr>
        <w:t>’</w:t>
      </w:r>
      <w:r w:rsidRPr="009A1425">
        <w:rPr>
          <w:rFonts w:ascii="Times New Roman" w:hAnsi="Times New Roman" w:cs="Times New Roman"/>
          <w:lang w:val="fr-FR"/>
        </w:rPr>
        <w:t>ont pas été classées comme étant prioritaires par les institutions de gestion responsables du Svalbard.</w:t>
      </w:r>
    </w:p>
    <w:p w14:paraId="6A7B6F87" w14:textId="77777777" w:rsidR="00886A3C" w:rsidRPr="004B1407" w:rsidRDefault="00886A3C" w:rsidP="00886A3C">
      <w:pPr>
        <w:spacing w:after="0" w:line="240" w:lineRule="auto"/>
        <w:jc w:val="both"/>
        <w:rPr>
          <w:rFonts w:ascii="Times New Roman" w:hAnsi="Times New Roman" w:cs="Times New Roman"/>
          <w:lang w:val="fr-FR"/>
        </w:rPr>
      </w:pPr>
    </w:p>
    <w:p w14:paraId="1C726E41" w14:textId="77777777" w:rsidR="00886A3C" w:rsidRPr="004B1407" w:rsidRDefault="00886A3C" w:rsidP="00886A3C">
      <w:pPr>
        <w:spacing w:after="0" w:line="240" w:lineRule="auto"/>
        <w:rPr>
          <w:rFonts w:ascii="Times New Roman" w:hAnsi="Times New Roman" w:cs="Times New Roman"/>
          <w:b/>
          <w:lang w:val="fr-FR"/>
        </w:rPr>
      </w:pPr>
      <w:r w:rsidRPr="009A1425">
        <w:rPr>
          <w:rFonts w:ascii="Times New Roman" w:hAnsi="Times New Roman" w:cs="Times New Roman"/>
          <w:b/>
          <w:lang w:val="fr-FR"/>
        </w:rPr>
        <w:t>Taux moyen de mise en œuvre :</w:t>
      </w:r>
      <w:r w:rsidRPr="004B1407">
        <w:rPr>
          <w:rFonts w:ascii="Times New Roman" w:hAnsi="Times New Roman" w:cs="Times New Roman"/>
          <w:b/>
          <w:lang w:val="fr-FR"/>
        </w:rPr>
        <w:t xml:space="preserve"> 0 %</w:t>
      </w:r>
    </w:p>
    <w:p w14:paraId="6CFC6FC7" w14:textId="77777777" w:rsidR="00886A3C" w:rsidRPr="004B140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ab/>
      </w:r>
    </w:p>
    <w:p w14:paraId="2B592007" w14:textId="77777777" w:rsidR="00886A3C" w:rsidRPr="004B1407" w:rsidRDefault="00886A3C" w:rsidP="00886A3C">
      <w:pPr>
        <w:spacing w:after="0" w:line="240" w:lineRule="auto"/>
        <w:rPr>
          <w:rFonts w:ascii="Times New Roman" w:hAnsi="Times New Roman" w:cs="Times New Roman"/>
          <w:i/>
          <w:lang w:val="fr-FR"/>
        </w:rPr>
      </w:pPr>
      <w:r w:rsidRPr="009A1425">
        <w:rPr>
          <w:rFonts w:ascii="Times New Roman" w:hAnsi="Times New Roman" w:cs="Times New Roman"/>
          <w:i/>
          <w:lang w:val="fr-FR"/>
        </w:rPr>
        <w:t xml:space="preserve">5.4. Objectif 4 – permettre des activités </w:t>
      </w:r>
      <w:r>
        <w:rPr>
          <w:rFonts w:ascii="Times New Roman" w:hAnsi="Times New Roman" w:cs="Times New Roman"/>
          <w:i/>
          <w:lang w:val="fr-FR"/>
        </w:rPr>
        <w:t>de loisir</w:t>
      </w:r>
      <w:r w:rsidRPr="009A1425">
        <w:rPr>
          <w:rFonts w:ascii="Times New Roman" w:hAnsi="Times New Roman" w:cs="Times New Roman"/>
          <w:i/>
          <w:lang w:val="fr-FR"/>
        </w:rPr>
        <w:t xml:space="preserve"> qui ne mettent pas en péril la population de l</w:t>
      </w:r>
      <w:r>
        <w:rPr>
          <w:rFonts w:ascii="Times New Roman" w:hAnsi="Times New Roman" w:cs="Times New Roman"/>
          <w:i/>
          <w:lang w:val="fr-FR"/>
        </w:rPr>
        <w:t>’</w:t>
      </w:r>
      <w:r w:rsidRPr="009A1425">
        <w:rPr>
          <w:rFonts w:ascii="Times New Roman" w:hAnsi="Times New Roman" w:cs="Times New Roman"/>
          <w:i/>
          <w:lang w:val="fr-FR"/>
        </w:rPr>
        <w:t>espèce</w:t>
      </w:r>
    </w:p>
    <w:p w14:paraId="152E7467" w14:textId="77777777" w:rsidR="00886A3C" w:rsidRPr="004B1407" w:rsidRDefault="00886A3C" w:rsidP="00886A3C">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7231"/>
        <w:gridCol w:w="1829"/>
      </w:tblGrid>
      <w:tr w:rsidR="00886A3C" w:rsidRPr="00DE4CF4" w14:paraId="5C4D3AD9" w14:textId="77777777" w:rsidTr="00886A3C">
        <w:trPr>
          <w:trHeight w:val="481"/>
        </w:trPr>
        <w:tc>
          <w:tcPr>
            <w:tcW w:w="74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344E50" w14:textId="77777777" w:rsidR="00886A3C" w:rsidRDefault="00886A3C" w:rsidP="00886A3C">
            <w:pPr>
              <w:jc w:val="both"/>
              <w:rPr>
                <w:rFonts w:ascii="Times New Roman" w:hAnsi="Times New Roman" w:cs="Times New Roman"/>
                <w:i/>
              </w:rPr>
            </w:pPr>
            <w:r w:rsidRPr="009A1425">
              <w:rPr>
                <w:rFonts w:ascii="Times New Roman" w:hAnsi="Times New Roman" w:cs="Times New Roman"/>
                <w:i/>
                <w:lang w:val="fr-FR"/>
              </w:rPr>
              <w:t>Activité</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AD2410" w14:textId="77777777" w:rsidR="00886A3C" w:rsidRPr="004B1407" w:rsidRDefault="00886A3C" w:rsidP="00886A3C">
            <w:pPr>
              <w:jc w:val="both"/>
              <w:rPr>
                <w:rFonts w:ascii="Times New Roman" w:hAnsi="Times New Roman" w:cs="Times New Roman"/>
                <w:i/>
                <w:lang w:val="fr-FR"/>
              </w:rPr>
            </w:pPr>
            <w:r w:rsidRPr="009A1425">
              <w:rPr>
                <w:rFonts w:ascii="Times New Roman" w:hAnsi="Times New Roman" w:cs="Times New Roman"/>
                <w:i/>
                <w:lang w:val="fr-FR"/>
              </w:rPr>
              <w:t xml:space="preserve">Taux de mise en œuvre </w:t>
            </w:r>
          </w:p>
        </w:tc>
      </w:tr>
      <w:tr w:rsidR="00886A3C" w14:paraId="1003A2C0" w14:textId="77777777" w:rsidTr="00886A3C">
        <w:trPr>
          <w:trHeight w:val="496"/>
        </w:trPr>
        <w:tc>
          <w:tcPr>
            <w:tcW w:w="7424" w:type="dxa"/>
            <w:tcBorders>
              <w:top w:val="single" w:sz="4" w:space="0" w:color="auto"/>
              <w:left w:val="single" w:sz="4" w:space="0" w:color="auto"/>
              <w:bottom w:val="single" w:sz="4" w:space="0" w:color="auto"/>
              <w:right w:val="single" w:sz="4" w:space="0" w:color="auto"/>
            </w:tcBorders>
          </w:tcPr>
          <w:p w14:paraId="19D78A26" w14:textId="77777777" w:rsidR="00886A3C" w:rsidRPr="00B74503" w:rsidRDefault="00886A3C" w:rsidP="00886A3C">
            <w:pPr>
              <w:rPr>
                <w:rFonts w:ascii="Times New Roman" w:hAnsi="Times New Roman" w:cs="Times New Roman"/>
              </w:rPr>
            </w:pPr>
            <w:r w:rsidRPr="00522C51">
              <w:rPr>
                <w:rFonts w:ascii="Times New Roman" w:hAnsi="Times New Roman" w:cs="Times New Roman"/>
                <w:lang w:val="fr-FR"/>
              </w:rPr>
              <w:t xml:space="preserve">4.1 Le niveau de prélèvement des </w:t>
            </w:r>
            <w:r>
              <w:rPr>
                <w:rFonts w:ascii="Times New Roman" w:hAnsi="Times New Roman" w:cs="Times New Roman"/>
                <w:lang w:val="fr-FR"/>
              </w:rPr>
              <w:t>o</w:t>
            </w:r>
            <w:r w:rsidRPr="00522C51">
              <w:rPr>
                <w:rFonts w:ascii="Times New Roman" w:hAnsi="Times New Roman" w:cs="Times New Roman"/>
                <w:lang w:val="fr-FR"/>
              </w:rPr>
              <w:t>ies à bec court est suffisant pour atteindre le quota de prélèvement exigé, afin de maintenir la population en conformité avec l</w:t>
            </w:r>
            <w:r>
              <w:rPr>
                <w:rFonts w:ascii="Times New Roman" w:hAnsi="Times New Roman" w:cs="Times New Roman"/>
                <w:lang w:val="fr-FR"/>
              </w:rPr>
              <w:t>’</w:t>
            </w:r>
            <w:r w:rsidRPr="00522C51">
              <w:rPr>
                <w:rFonts w:ascii="Times New Roman" w:hAnsi="Times New Roman" w:cs="Times New Roman"/>
                <w:lang w:val="fr-FR"/>
              </w:rPr>
              <w:t>objectif convenu.</w:t>
            </w:r>
            <w:r>
              <w:rPr>
                <w:rFonts w:ascii="Times New Roman" w:hAnsi="Times New Roman" w:cs="Times New Roman"/>
                <w:lang w:val="fr-FR"/>
              </w:rPr>
              <w:t xml:space="preserve"> </w:t>
            </w:r>
            <w:r w:rsidRPr="00522C51">
              <w:rPr>
                <w:rFonts w:ascii="Times New Roman" w:hAnsi="Times New Roman" w:cs="Times New Roman"/>
                <w:lang w:val="fr-FR"/>
              </w:rPr>
              <w:t>(Danemark, Norvège)</w:t>
            </w:r>
          </w:p>
        </w:tc>
        <w:tc>
          <w:tcPr>
            <w:tcW w:w="1861" w:type="dxa"/>
            <w:tcBorders>
              <w:top w:val="single" w:sz="4" w:space="0" w:color="auto"/>
              <w:left w:val="single" w:sz="4" w:space="0" w:color="auto"/>
              <w:bottom w:val="single" w:sz="4" w:space="0" w:color="auto"/>
              <w:right w:val="single" w:sz="4" w:space="0" w:color="auto"/>
            </w:tcBorders>
          </w:tcPr>
          <w:p w14:paraId="7CDB9C2F" w14:textId="77777777" w:rsidR="00886A3C" w:rsidRPr="007B0A81" w:rsidRDefault="00886A3C" w:rsidP="00886A3C">
            <w:pPr>
              <w:jc w:val="center"/>
              <w:rPr>
                <w:rFonts w:ascii="Times New Roman" w:hAnsi="Times New Roman" w:cs="Times New Roman"/>
                <w:vertAlign w:val="superscript"/>
              </w:rPr>
            </w:pPr>
            <w:r>
              <w:rPr>
                <w:rFonts w:ascii="Times New Roman" w:hAnsi="Times New Roman" w:cs="Times New Roman"/>
              </w:rPr>
              <w:t>100 %*</w:t>
            </w:r>
          </w:p>
        </w:tc>
      </w:tr>
      <w:tr w:rsidR="00886A3C" w14:paraId="578CDA52" w14:textId="77777777" w:rsidTr="00886A3C">
        <w:trPr>
          <w:trHeight w:val="481"/>
        </w:trPr>
        <w:tc>
          <w:tcPr>
            <w:tcW w:w="7424" w:type="dxa"/>
            <w:tcBorders>
              <w:top w:val="single" w:sz="4" w:space="0" w:color="auto"/>
              <w:left w:val="single" w:sz="4" w:space="0" w:color="auto"/>
              <w:bottom w:val="single" w:sz="4" w:space="0" w:color="auto"/>
              <w:right w:val="single" w:sz="4" w:space="0" w:color="auto"/>
            </w:tcBorders>
          </w:tcPr>
          <w:p w14:paraId="768753F9" w14:textId="77777777" w:rsidR="00886A3C" w:rsidRDefault="00886A3C" w:rsidP="00886A3C">
            <w:pPr>
              <w:rPr>
                <w:rFonts w:ascii="Times New Roman" w:hAnsi="Times New Roman" w:cs="Times New Roman"/>
              </w:rPr>
            </w:pPr>
            <w:r w:rsidRPr="00522C51">
              <w:rPr>
                <w:rFonts w:ascii="Times New Roman" w:hAnsi="Times New Roman" w:cs="Times New Roman"/>
                <w:lang w:val="fr-FR"/>
              </w:rPr>
              <w:t>4.2 La chasse des oies à bec court est durable.</w:t>
            </w:r>
            <w:r w:rsidRPr="004B1407">
              <w:rPr>
                <w:rFonts w:ascii="Times New Roman" w:hAnsi="Times New Roman" w:cs="Times New Roman"/>
                <w:lang w:val="fr-FR"/>
              </w:rPr>
              <w:t xml:space="preserve"> </w:t>
            </w:r>
            <w:r w:rsidRPr="00522C51">
              <w:rPr>
                <w:rFonts w:ascii="Times New Roman" w:hAnsi="Times New Roman" w:cs="Times New Roman"/>
                <w:lang w:val="fr-FR"/>
              </w:rPr>
              <w:t>(Danemark, Norvège)</w:t>
            </w:r>
          </w:p>
        </w:tc>
        <w:tc>
          <w:tcPr>
            <w:tcW w:w="1861" w:type="dxa"/>
            <w:tcBorders>
              <w:top w:val="single" w:sz="4" w:space="0" w:color="auto"/>
              <w:left w:val="single" w:sz="4" w:space="0" w:color="auto"/>
              <w:bottom w:val="single" w:sz="4" w:space="0" w:color="auto"/>
              <w:right w:val="single" w:sz="4" w:space="0" w:color="auto"/>
            </w:tcBorders>
          </w:tcPr>
          <w:p w14:paraId="40AD6873"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14:paraId="192D36C4" w14:textId="77777777" w:rsidTr="00886A3C">
        <w:trPr>
          <w:trHeight w:val="332"/>
        </w:trPr>
        <w:tc>
          <w:tcPr>
            <w:tcW w:w="7424" w:type="dxa"/>
            <w:tcBorders>
              <w:top w:val="single" w:sz="4" w:space="0" w:color="auto"/>
              <w:left w:val="single" w:sz="4" w:space="0" w:color="auto"/>
              <w:bottom w:val="single" w:sz="4" w:space="0" w:color="auto"/>
              <w:right w:val="single" w:sz="4" w:space="0" w:color="auto"/>
            </w:tcBorders>
          </w:tcPr>
          <w:p w14:paraId="51A04DC3" w14:textId="77777777" w:rsidR="00886A3C" w:rsidRDefault="00886A3C" w:rsidP="00886A3C">
            <w:pPr>
              <w:rPr>
                <w:rFonts w:ascii="Times New Roman" w:hAnsi="Times New Roman" w:cs="Times New Roman"/>
              </w:rPr>
            </w:pPr>
            <w:r w:rsidRPr="00522C51">
              <w:rPr>
                <w:rFonts w:ascii="Times New Roman" w:hAnsi="Times New Roman" w:cs="Times New Roman"/>
                <w:lang w:val="fr-FR"/>
              </w:rPr>
              <w:t>4.3 Un plan d</w:t>
            </w:r>
            <w:r>
              <w:rPr>
                <w:rFonts w:ascii="Times New Roman" w:hAnsi="Times New Roman" w:cs="Times New Roman"/>
                <w:lang w:val="fr-FR"/>
              </w:rPr>
              <w:t>’</w:t>
            </w:r>
            <w:r w:rsidRPr="00522C51">
              <w:rPr>
                <w:rFonts w:ascii="Times New Roman" w:hAnsi="Times New Roman" w:cs="Times New Roman"/>
                <w:lang w:val="fr-FR"/>
              </w:rPr>
              <w:t>intervention de « Clôture d</w:t>
            </w:r>
            <w:r>
              <w:rPr>
                <w:rFonts w:ascii="Times New Roman" w:hAnsi="Times New Roman" w:cs="Times New Roman"/>
                <w:lang w:val="fr-FR"/>
              </w:rPr>
              <w:t>’</w:t>
            </w:r>
            <w:r w:rsidRPr="00522C51">
              <w:rPr>
                <w:rFonts w:ascii="Times New Roman" w:hAnsi="Times New Roman" w:cs="Times New Roman"/>
                <w:lang w:val="fr-FR"/>
              </w:rPr>
              <w:t>urgence de la saison de la chasse » a été adopté et diffusé auprès des organisations concernées.</w:t>
            </w:r>
            <w:r w:rsidRPr="004B1407">
              <w:rPr>
                <w:rFonts w:ascii="Times New Roman" w:hAnsi="Times New Roman" w:cs="Times New Roman"/>
                <w:lang w:val="fr-FR"/>
              </w:rPr>
              <w:t xml:space="preserve"> </w:t>
            </w:r>
            <w:r w:rsidRPr="00522C51">
              <w:rPr>
                <w:rFonts w:ascii="Times New Roman" w:hAnsi="Times New Roman" w:cs="Times New Roman"/>
                <w:lang w:val="fr-FR"/>
              </w:rPr>
              <w:t>(Danemark, Norvège)</w:t>
            </w:r>
          </w:p>
        </w:tc>
        <w:tc>
          <w:tcPr>
            <w:tcW w:w="1861" w:type="dxa"/>
            <w:tcBorders>
              <w:top w:val="single" w:sz="4" w:space="0" w:color="auto"/>
              <w:left w:val="single" w:sz="4" w:space="0" w:color="auto"/>
              <w:bottom w:val="single" w:sz="4" w:space="0" w:color="auto"/>
              <w:right w:val="single" w:sz="4" w:space="0" w:color="auto"/>
            </w:tcBorders>
          </w:tcPr>
          <w:p w14:paraId="0DD400BE"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14:paraId="102A0608" w14:textId="77777777" w:rsidTr="00886A3C">
        <w:trPr>
          <w:trHeight w:val="423"/>
        </w:trPr>
        <w:tc>
          <w:tcPr>
            <w:tcW w:w="7424" w:type="dxa"/>
            <w:tcBorders>
              <w:top w:val="single" w:sz="4" w:space="0" w:color="auto"/>
              <w:left w:val="single" w:sz="4" w:space="0" w:color="auto"/>
              <w:bottom w:val="single" w:sz="4" w:space="0" w:color="auto"/>
              <w:right w:val="single" w:sz="4" w:space="0" w:color="auto"/>
            </w:tcBorders>
          </w:tcPr>
          <w:p w14:paraId="769ACA74" w14:textId="77777777" w:rsidR="00886A3C" w:rsidRDefault="00886A3C" w:rsidP="00886A3C">
            <w:pPr>
              <w:rPr>
                <w:rFonts w:ascii="Times New Roman" w:hAnsi="Times New Roman" w:cs="Times New Roman"/>
              </w:rPr>
            </w:pPr>
            <w:r w:rsidRPr="004A2F00">
              <w:rPr>
                <w:rFonts w:ascii="Times New Roman" w:hAnsi="Times New Roman" w:cs="Times New Roman"/>
                <w:lang w:val="fr-FR"/>
              </w:rPr>
              <w:t>4.4 Des campagnes nationales ou régionales / programmes de formation/ activités de gestion sont réalisées pour promouvoir les pratiques d</w:t>
            </w:r>
            <w:r>
              <w:rPr>
                <w:rFonts w:ascii="Times New Roman" w:hAnsi="Times New Roman" w:cs="Times New Roman"/>
                <w:lang w:val="fr-FR"/>
              </w:rPr>
              <w:t>’</w:t>
            </w:r>
            <w:r w:rsidRPr="004A2F00">
              <w:rPr>
                <w:rFonts w:ascii="Times New Roman" w:hAnsi="Times New Roman" w:cs="Times New Roman"/>
                <w:lang w:val="fr-FR"/>
              </w:rPr>
              <w:t xml:space="preserve">utilisation rationnelle de la chasse, des informations sur </w:t>
            </w:r>
            <w:r>
              <w:rPr>
                <w:rFonts w:ascii="Times New Roman" w:hAnsi="Times New Roman" w:cs="Times New Roman"/>
                <w:lang w:val="fr-FR"/>
              </w:rPr>
              <w:t>la façon de faire baisser</w:t>
            </w:r>
            <w:r w:rsidRPr="004A2F00">
              <w:rPr>
                <w:rFonts w:ascii="Times New Roman" w:hAnsi="Times New Roman" w:cs="Times New Roman"/>
                <w:lang w:val="fr-FR"/>
              </w:rPr>
              <w:t xml:space="preserve"> les taux de</w:t>
            </w:r>
            <w:r>
              <w:rPr>
                <w:rFonts w:ascii="Times New Roman" w:hAnsi="Times New Roman" w:cs="Times New Roman"/>
                <w:lang w:val="fr-FR"/>
              </w:rPr>
              <w:t xml:space="preserve"> </w:t>
            </w:r>
            <w:r w:rsidRPr="004A2F00">
              <w:rPr>
                <w:rFonts w:ascii="Times New Roman" w:hAnsi="Times New Roman" w:cs="Times New Roman"/>
                <w:lang w:val="fr-FR"/>
              </w:rPr>
              <w:t>de mutilation etc. (Danemark, Norvège)</w:t>
            </w:r>
          </w:p>
        </w:tc>
        <w:tc>
          <w:tcPr>
            <w:tcW w:w="1861" w:type="dxa"/>
            <w:tcBorders>
              <w:top w:val="single" w:sz="4" w:space="0" w:color="auto"/>
              <w:left w:val="single" w:sz="4" w:space="0" w:color="auto"/>
              <w:bottom w:val="single" w:sz="4" w:space="0" w:color="auto"/>
              <w:right w:val="single" w:sz="4" w:space="0" w:color="auto"/>
            </w:tcBorders>
          </w:tcPr>
          <w:p w14:paraId="2B55A865"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14:paraId="5897D64F" w14:textId="77777777" w:rsidTr="00886A3C">
        <w:trPr>
          <w:trHeight w:val="423"/>
        </w:trPr>
        <w:tc>
          <w:tcPr>
            <w:tcW w:w="7424" w:type="dxa"/>
            <w:tcBorders>
              <w:top w:val="single" w:sz="4" w:space="0" w:color="auto"/>
              <w:left w:val="single" w:sz="4" w:space="0" w:color="auto"/>
              <w:bottom w:val="single" w:sz="4" w:space="0" w:color="auto"/>
              <w:right w:val="single" w:sz="4" w:space="0" w:color="auto"/>
            </w:tcBorders>
          </w:tcPr>
          <w:p w14:paraId="3736247E" w14:textId="77777777" w:rsidR="00886A3C" w:rsidRPr="004B1407" w:rsidRDefault="00886A3C" w:rsidP="00886A3C">
            <w:pPr>
              <w:rPr>
                <w:rFonts w:ascii="Times New Roman" w:hAnsi="Times New Roman" w:cs="Times New Roman"/>
                <w:lang w:val="fr-FR"/>
              </w:rPr>
            </w:pPr>
            <w:r w:rsidRPr="004A2F00">
              <w:rPr>
                <w:rFonts w:ascii="Times New Roman" w:hAnsi="Times New Roman" w:cs="Times New Roman"/>
                <w:lang w:val="fr-FR"/>
              </w:rPr>
              <w:t>4.5 La tendance actuelle pour le « taux de mutilation » considéré acceptable.</w:t>
            </w:r>
          </w:p>
        </w:tc>
        <w:tc>
          <w:tcPr>
            <w:tcW w:w="1861" w:type="dxa"/>
            <w:tcBorders>
              <w:top w:val="single" w:sz="4" w:space="0" w:color="auto"/>
              <w:left w:val="single" w:sz="4" w:space="0" w:color="auto"/>
              <w:bottom w:val="single" w:sz="4" w:space="0" w:color="auto"/>
              <w:right w:val="single" w:sz="4" w:space="0" w:color="auto"/>
            </w:tcBorders>
          </w:tcPr>
          <w:p w14:paraId="3322C978"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14:paraId="3BE2FC9E" w14:textId="77777777" w:rsidTr="00886A3C">
        <w:trPr>
          <w:trHeight w:val="423"/>
        </w:trPr>
        <w:tc>
          <w:tcPr>
            <w:tcW w:w="7424" w:type="dxa"/>
            <w:tcBorders>
              <w:top w:val="single" w:sz="4" w:space="0" w:color="auto"/>
              <w:left w:val="single" w:sz="4" w:space="0" w:color="auto"/>
              <w:bottom w:val="single" w:sz="4" w:space="0" w:color="auto"/>
              <w:right w:val="single" w:sz="4" w:space="0" w:color="auto"/>
            </w:tcBorders>
          </w:tcPr>
          <w:p w14:paraId="54058D1C" w14:textId="77777777" w:rsidR="00886A3C" w:rsidRPr="004B1407" w:rsidRDefault="00886A3C" w:rsidP="00886A3C">
            <w:pPr>
              <w:rPr>
                <w:rFonts w:ascii="Times New Roman" w:hAnsi="Times New Roman" w:cs="Times New Roman"/>
                <w:lang w:val="fr-FR"/>
              </w:rPr>
            </w:pPr>
            <w:r w:rsidRPr="004A2F00">
              <w:rPr>
                <w:rFonts w:ascii="Times New Roman" w:hAnsi="Times New Roman" w:cs="Times New Roman"/>
                <w:lang w:val="fr-FR"/>
              </w:rPr>
              <w:t>4.6. Actions de gestion mis</w:t>
            </w:r>
            <w:r>
              <w:rPr>
                <w:rFonts w:ascii="Times New Roman" w:hAnsi="Times New Roman" w:cs="Times New Roman"/>
                <w:lang w:val="fr-FR"/>
              </w:rPr>
              <w:t>es</w:t>
            </w:r>
            <w:r w:rsidRPr="004A2F00">
              <w:rPr>
                <w:rFonts w:ascii="Times New Roman" w:hAnsi="Times New Roman" w:cs="Times New Roman"/>
                <w:lang w:val="fr-FR"/>
              </w:rPr>
              <w:t xml:space="preserve"> en œuvre au niveau national </w:t>
            </w:r>
            <w:r>
              <w:rPr>
                <w:rFonts w:ascii="Times New Roman" w:hAnsi="Times New Roman" w:cs="Times New Roman"/>
                <w:lang w:val="fr-FR"/>
              </w:rPr>
              <w:t xml:space="preserve">ou </w:t>
            </w:r>
            <w:r w:rsidRPr="004A2F00">
              <w:rPr>
                <w:rFonts w:ascii="Times New Roman" w:hAnsi="Times New Roman" w:cs="Times New Roman"/>
                <w:lang w:val="fr-FR"/>
              </w:rPr>
              <w:t xml:space="preserve">régional afin de promouvoir des activités récréatives </w:t>
            </w:r>
            <w:r>
              <w:rPr>
                <w:rFonts w:ascii="Times New Roman" w:hAnsi="Times New Roman" w:cs="Times New Roman"/>
                <w:lang w:val="fr-FR"/>
              </w:rPr>
              <w:t>liées aux oies à</w:t>
            </w:r>
            <w:r w:rsidRPr="004A2F00">
              <w:rPr>
                <w:rFonts w:ascii="Times New Roman" w:hAnsi="Times New Roman" w:cs="Times New Roman"/>
                <w:lang w:val="fr-FR"/>
              </w:rPr>
              <w:t xml:space="preserve"> bec court</w:t>
            </w:r>
            <w:r>
              <w:rPr>
                <w:rFonts w:ascii="Times New Roman" w:hAnsi="Times New Roman" w:cs="Times New Roman"/>
                <w:lang w:val="fr-FR"/>
              </w:rPr>
              <w:t xml:space="preserve"> au profit des </w:t>
            </w:r>
            <w:r w:rsidRPr="004A2F00">
              <w:rPr>
                <w:rFonts w:ascii="Times New Roman" w:hAnsi="Times New Roman" w:cs="Times New Roman"/>
                <w:lang w:val="fr-FR"/>
              </w:rPr>
              <w:t>communautés locales, par ex. le tourisme axé sur la vie sauvage.</w:t>
            </w:r>
          </w:p>
        </w:tc>
        <w:tc>
          <w:tcPr>
            <w:tcW w:w="1861" w:type="dxa"/>
            <w:tcBorders>
              <w:top w:val="single" w:sz="4" w:space="0" w:color="auto"/>
              <w:left w:val="single" w:sz="4" w:space="0" w:color="auto"/>
              <w:bottom w:val="single" w:sz="4" w:space="0" w:color="auto"/>
              <w:right w:val="single" w:sz="4" w:space="0" w:color="auto"/>
            </w:tcBorders>
          </w:tcPr>
          <w:p w14:paraId="74034109" w14:textId="77777777" w:rsidR="00886A3C" w:rsidRDefault="00886A3C" w:rsidP="00886A3C">
            <w:pPr>
              <w:jc w:val="center"/>
              <w:rPr>
                <w:rFonts w:ascii="Times New Roman" w:hAnsi="Times New Roman" w:cs="Times New Roman"/>
              </w:rPr>
            </w:pPr>
            <w:r>
              <w:rPr>
                <w:rFonts w:ascii="Times New Roman" w:hAnsi="Times New Roman" w:cs="Times New Roman"/>
              </w:rPr>
              <w:t>25 %</w:t>
            </w:r>
          </w:p>
        </w:tc>
      </w:tr>
      <w:tr w:rsidR="00886A3C" w14:paraId="209DAE7C" w14:textId="77777777" w:rsidTr="00886A3C">
        <w:trPr>
          <w:trHeight w:val="423"/>
        </w:trPr>
        <w:tc>
          <w:tcPr>
            <w:tcW w:w="7424" w:type="dxa"/>
            <w:tcBorders>
              <w:top w:val="single" w:sz="4" w:space="0" w:color="auto"/>
              <w:left w:val="single" w:sz="4" w:space="0" w:color="auto"/>
              <w:bottom w:val="single" w:sz="4" w:space="0" w:color="auto"/>
              <w:right w:val="single" w:sz="4" w:space="0" w:color="auto"/>
            </w:tcBorders>
          </w:tcPr>
          <w:p w14:paraId="0E02071A" w14:textId="77777777" w:rsidR="00886A3C" w:rsidRPr="004B1407" w:rsidRDefault="00886A3C" w:rsidP="00886A3C">
            <w:pPr>
              <w:rPr>
                <w:rFonts w:ascii="Times New Roman" w:hAnsi="Times New Roman" w:cs="Times New Roman"/>
                <w:lang w:val="fr-FR"/>
              </w:rPr>
            </w:pPr>
            <w:r w:rsidRPr="004A2F00">
              <w:rPr>
                <w:rFonts w:ascii="Times New Roman" w:hAnsi="Times New Roman" w:cs="Times New Roman"/>
                <w:lang w:val="fr-FR"/>
              </w:rPr>
              <w:t>4.7 Des ressources humaines et financières suffisantes ont été allouées a) aux programmes de formation/ campagne de sensibilisation au sein des chasseurs afin de promouvoir « l</w:t>
            </w:r>
            <w:r>
              <w:rPr>
                <w:rFonts w:ascii="Times New Roman" w:hAnsi="Times New Roman" w:cs="Times New Roman"/>
                <w:lang w:val="fr-FR"/>
              </w:rPr>
              <w:t>’</w:t>
            </w:r>
            <w:r w:rsidRPr="004A2F00">
              <w:rPr>
                <w:rFonts w:ascii="Times New Roman" w:hAnsi="Times New Roman" w:cs="Times New Roman"/>
                <w:lang w:val="fr-FR"/>
              </w:rPr>
              <w:t>utilisation rationnelle » des pratiques de chasse ? b) à la surveillance et à la publication des « taux de mutilation » ? c) au développement de nouvelles utilisation récréatives ou d</w:t>
            </w:r>
            <w:r>
              <w:rPr>
                <w:rFonts w:ascii="Times New Roman" w:hAnsi="Times New Roman" w:cs="Times New Roman"/>
                <w:lang w:val="fr-FR"/>
              </w:rPr>
              <w:t>’</w:t>
            </w:r>
            <w:r w:rsidRPr="004A2F00">
              <w:rPr>
                <w:rFonts w:ascii="Times New Roman" w:hAnsi="Times New Roman" w:cs="Times New Roman"/>
                <w:lang w:val="fr-FR"/>
              </w:rPr>
              <w:t>utilisation de remplacement qui profitent aux communautés locales tout en aidant à réduire les conflits oies-agriculture ?</w:t>
            </w:r>
          </w:p>
        </w:tc>
        <w:tc>
          <w:tcPr>
            <w:tcW w:w="1861" w:type="dxa"/>
            <w:tcBorders>
              <w:top w:val="single" w:sz="4" w:space="0" w:color="auto"/>
              <w:left w:val="single" w:sz="4" w:space="0" w:color="auto"/>
              <w:bottom w:val="single" w:sz="4" w:space="0" w:color="auto"/>
              <w:right w:val="single" w:sz="4" w:space="0" w:color="auto"/>
            </w:tcBorders>
          </w:tcPr>
          <w:p w14:paraId="7ED731C7"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bl>
    <w:p w14:paraId="5C3B8304" w14:textId="77777777" w:rsidR="00886A3C" w:rsidRPr="004B1407" w:rsidRDefault="00886A3C" w:rsidP="00886A3C">
      <w:pPr>
        <w:spacing w:after="0" w:line="240" w:lineRule="auto"/>
        <w:rPr>
          <w:rFonts w:ascii="Times New Roman" w:hAnsi="Times New Roman" w:cs="Times New Roman"/>
          <w:i/>
          <w:lang w:val="fr-FR"/>
        </w:rPr>
      </w:pPr>
      <w:r w:rsidRPr="001801A6">
        <w:rPr>
          <w:rFonts w:ascii="Times New Roman" w:hAnsi="Times New Roman" w:cs="Times New Roman"/>
          <w:lang w:val="fr-FR"/>
        </w:rPr>
        <w:t>*</w:t>
      </w:r>
      <w:r w:rsidRPr="001801A6">
        <w:rPr>
          <w:rFonts w:ascii="Times New Roman" w:hAnsi="Times New Roman" w:cs="Times New Roman"/>
          <w:i/>
          <w:lang w:val="fr-FR"/>
        </w:rPr>
        <w:t>après la soumission des</w:t>
      </w:r>
      <w:r w:rsidRPr="001801A6">
        <w:rPr>
          <w:rFonts w:ascii="Times New Roman" w:hAnsi="Times New Roman" w:cs="Times New Roman"/>
          <w:lang w:val="fr-FR"/>
        </w:rPr>
        <w:t xml:space="preserve"> </w:t>
      </w:r>
      <w:r w:rsidRPr="001801A6">
        <w:rPr>
          <w:rFonts w:ascii="Times New Roman" w:hAnsi="Times New Roman" w:cs="Times New Roman"/>
          <w:i/>
          <w:lang w:val="fr-FR"/>
        </w:rPr>
        <w:t>questionnaires pour la présente étude, le niveau de population convenu a été atteint.</w:t>
      </w:r>
      <w:r w:rsidRPr="004B1407">
        <w:rPr>
          <w:rFonts w:ascii="Times New Roman" w:hAnsi="Times New Roman" w:cs="Times New Roman"/>
          <w:i/>
          <w:lang w:val="fr-FR"/>
        </w:rPr>
        <w:t xml:space="preserve"> </w:t>
      </w:r>
    </w:p>
    <w:p w14:paraId="721E2497" w14:textId="77777777" w:rsidR="00886A3C" w:rsidRPr="004B1407" w:rsidRDefault="00886A3C" w:rsidP="00886A3C">
      <w:pPr>
        <w:spacing w:after="0" w:line="240" w:lineRule="auto"/>
        <w:rPr>
          <w:rFonts w:ascii="Times New Roman" w:hAnsi="Times New Roman" w:cs="Times New Roman"/>
          <w:i/>
          <w:lang w:val="fr-FR"/>
        </w:rPr>
      </w:pPr>
    </w:p>
    <w:p w14:paraId="096EA387" w14:textId="77777777" w:rsidR="00886A3C" w:rsidRDefault="00886A3C" w:rsidP="00886A3C">
      <w:pPr>
        <w:spacing w:after="0" w:line="240" w:lineRule="auto"/>
        <w:rPr>
          <w:rFonts w:ascii="Times New Roman" w:hAnsi="Times New Roman" w:cs="Times New Roman"/>
          <w:b/>
          <w:lang w:val="fr-FR"/>
        </w:rPr>
      </w:pPr>
      <w:r w:rsidRPr="001801A6">
        <w:rPr>
          <w:rFonts w:ascii="Times New Roman" w:hAnsi="Times New Roman" w:cs="Times New Roman"/>
          <w:b/>
          <w:lang w:val="fr-FR"/>
        </w:rPr>
        <w:t>Taux moyen de mise en œuvre :</w:t>
      </w:r>
      <w:r w:rsidRPr="004B1407">
        <w:rPr>
          <w:rFonts w:ascii="Times New Roman" w:hAnsi="Times New Roman" w:cs="Times New Roman"/>
          <w:b/>
          <w:lang w:val="fr-FR"/>
        </w:rPr>
        <w:t xml:space="preserve"> 39 %</w:t>
      </w:r>
    </w:p>
    <w:p w14:paraId="0D2D92D9" w14:textId="77777777" w:rsidR="0047016D" w:rsidRDefault="0047016D" w:rsidP="00886A3C">
      <w:pPr>
        <w:spacing w:after="0" w:line="240" w:lineRule="auto"/>
        <w:rPr>
          <w:rFonts w:ascii="Times New Roman" w:hAnsi="Times New Roman" w:cs="Times New Roman"/>
          <w:b/>
          <w:lang w:val="fr-FR"/>
        </w:rPr>
      </w:pPr>
    </w:p>
    <w:p w14:paraId="28673DD0" w14:textId="77777777" w:rsidR="0047016D" w:rsidRPr="004B1407" w:rsidRDefault="0047016D" w:rsidP="00886A3C">
      <w:pPr>
        <w:spacing w:after="0" w:line="240" w:lineRule="auto"/>
        <w:rPr>
          <w:rFonts w:ascii="Times New Roman" w:hAnsi="Times New Roman" w:cs="Times New Roman"/>
          <w:i/>
          <w:lang w:val="fr-FR"/>
        </w:rPr>
      </w:pPr>
    </w:p>
    <w:p w14:paraId="5CAC9756"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6. </w:t>
      </w:r>
      <w:r w:rsidRPr="001801A6">
        <w:rPr>
          <w:rFonts w:ascii="Times New Roman" w:hAnsi="Times New Roman" w:cs="Times New Roman"/>
          <w:i/>
          <w:lang w:val="fr-FR"/>
        </w:rPr>
        <w:t xml:space="preserve">Principales actions favorisant la mise en œuvre </w:t>
      </w:r>
      <w:r>
        <w:rPr>
          <w:rFonts w:ascii="Times New Roman" w:hAnsi="Times New Roman" w:cs="Times New Roman"/>
          <w:i/>
          <w:lang w:val="fr-FR"/>
        </w:rPr>
        <w:t>ou principaux obstacles l’entravant</w:t>
      </w:r>
    </w:p>
    <w:p w14:paraId="64369CCD" w14:textId="77777777" w:rsidR="00886A3C" w:rsidRPr="004B1407" w:rsidRDefault="00886A3C" w:rsidP="00886A3C">
      <w:pPr>
        <w:spacing w:after="0" w:line="240" w:lineRule="auto"/>
        <w:rPr>
          <w:rFonts w:ascii="Times New Roman" w:hAnsi="Times New Roman" w:cs="Times New Roman"/>
          <w:lang w:val="fr-FR"/>
        </w:rPr>
      </w:pPr>
    </w:p>
    <w:p w14:paraId="1E2A4728" w14:textId="77777777" w:rsidR="00886A3C" w:rsidRDefault="00886A3C" w:rsidP="00886A3C">
      <w:pPr>
        <w:spacing w:after="0" w:line="240" w:lineRule="auto"/>
        <w:jc w:val="both"/>
        <w:rPr>
          <w:rFonts w:ascii="Times New Roman" w:hAnsi="Times New Roman" w:cs="Times New Roman"/>
          <w:lang w:val="en-US"/>
        </w:rPr>
      </w:pPr>
      <w:r w:rsidRPr="001801A6">
        <w:rPr>
          <w:rFonts w:ascii="Times New Roman" w:hAnsi="Times New Roman" w:cs="Times New Roman"/>
          <w:lang w:val="fr-FR"/>
        </w:rPr>
        <w:lastRenderedPageBreak/>
        <w:t>Il</w:t>
      </w:r>
      <w:r>
        <w:rPr>
          <w:rFonts w:ascii="Times New Roman" w:hAnsi="Times New Roman" w:cs="Times New Roman"/>
          <w:lang w:val="fr-FR"/>
        </w:rPr>
        <w:t xml:space="preserve"> </w:t>
      </w:r>
      <w:r w:rsidRPr="001801A6">
        <w:rPr>
          <w:rFonts w:ascii="Times New Roman" w:hAnsi="Times New Roman" w:cs="Times New Roman"/>
          <w:lang w:val="fr-FR"/>
        </w:rPr>
        <w:t>a été également demandé aux États de l</w:t>
      </w:r>
      <w:r>
        <w:rPr>
          <w:rFonts w:ascii="Times New Roman" w:hAnsi="Times New Roman" w:cs="Times New Roman"/>
          <w:lang w:val="fr-FR"/>
        </w:rPr>
        <w:t>’</w:t>
      </w:r>
      <w:r w:rsidRPr="001801A6">
        <w:rPr>
          <w:rFonts w:ascii="Times New Roman" w:hAnsi="Times New Roman" w:cs="Times New Roman"/>
          <w:lang w:val="fr-FR"/>
        </w:rPr>
        <w:t xml:space="preserve">aire de répartition de nommer trois actions principales </w:t>
      </w:r>
      <w:r>
        <w:rPr>
          <w:rFonts w:ascii="Times New Roman" w:hAnsi="Times New Roman" w:cs="Times New Roman"/>
          <w:lang w:val="fr-FR"/>
        </w:rPr>
        <w:t xml:space="preserve">favorisant </w:t>
      </w:r>
      <w:r w:rsidRPr="001801A6">
        <w:rPr>
          <w:rFonts w:ascii="Times New Roman" w:hAnsi="Times New Roman" w:cs="Times New Roman"/>
          <w:lang w:val="fr-FR"/>
        </w:rPr>
        <w:t xml:space="preserve">la mise en œuvre </w:t>
      </w:r>
      <w:r>
        <w:rPr>
          <w:rFonts w:ascii="Times New Roman" w:hAnsi="Times New Roman" w:cs="Times New Roman"/>
          <w:lang w:val="fr-FR"/>
        </w:rPr>
        <w:t>efficace du plan de gestion, ainsi que celles l’</w:t>
      </w:r>
      <w:r w:rsidRPr="001801A6">
        <w:rPr>
          <w:rFonts w:ascii="Times New Roman" w:hAnsi="Times New Roman" w:cs="Times New Roman"/>
          <w:lang w:val="fr-FR"/>
        </w:rPr>
        <w:t>entravant.</w:t>
      </w:r>
      <w:r w:rsidRPr="004B1407">
        <w:rPr>
          <w:rFonts w:ascii="Times New Roman" w:hAnsi="Times New Roman" w:cs="Times New Roman"/>
          <w:lang w:val="fr-FR"/>
        </w:rPr>
        <w:t xml:space="preserve"> </w:t>
      </w:r>
      <w:r w:rsidRPr="001801A6">
        <w:rPr>
          <w:rFonts w:ascii="Times New Roman" w:hAnsi="Times New Roman" w:cs="Times New Roman"/>
          <w:lang w:val="fr-FR"/>
        </w:rPr>
        <w:t>Elles sont résumées dans le tableau ci-dessous.</w:t>
      </w:r>
    </w:p>
    <w:p w14:paraId="56F88579" w14:textId="77777777" w:rsidR="00886A3C" w:rsidRDefault="00886A3C" w:rsidP="00886A3C">
      <w:pPr>
        <w:spacing w:after="0" w:line="240" w:lineRule="auto"/>
        <w:rPr>
          <w:rFonts w:ascii="Times New Roman" w:hAnsi="Times New Roman" w:cs="Times New Roman"/>
          <w:lang w:val="en-US"/>
        </w:rPr>
      </w:pPr>
    </w:p>
    <w:p w14:paraId="172558CA"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0446E328" wp14:editId="2E853A9E">
            <wp:extent cx="5581650" cy="3114675"/>
            <wp:effectExtent l="0" t="0" r="19050" b="9525"/>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ECBEB18" w14:textId="77777777" w:rsidR="00886A3C" w:rsidRDefault="00886A3C" w:rsidP="00886A3C">
      <w:pPr>
        <w:spacing w:after="0" w:line="240" w:lineRule="auto"/>
        <w:rPr>
          <w:rFonts w:ascii="Arial" w:hAnsi="Arial" w:cs="Arial"/>
          <w:sz w:val="20"/>
          <w:szCs w:val="20"/>
          <w:lang w:val="en-US"/>
        </w:rPr>
      </w:pPr>
    </w:p>
    <w:p w14:paraId="4006A38D"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Coordination/coopération fructueuse</w:t>
      </w:r>
    </w:p>
    <w:p w14:paraId="59BD3C07"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Mise en place d’initiatives locales</w:t>
      </w:r>
    </w:p>
    <w:p w14:paraId="4BB4B049"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Programmes de compensation</w:t>
      </w:r>
    </w:p>
    <w:p w14:paraId="6DDBAEE4" w14:textId="77777777" w:rsidR="00886A3C" w:rsidRDefault="00886A3C" w:rsidP="00886A3C">
      <w:pPr>
        <w:pStyle w:val="ListParagraph"/>
        <w:rPr>
          <w:rFonts w:ascii="Arial" w:hAnsi="Arial" w:cs="Arial"/>
          <w:sz w:val="18"/>
          <w:szCs w:val="18"/>
          <w:lang w:val="fr-FR"/>
        </w:rPr>
      </w:pPr>
      <w:r w:rsidRPr="00CC678D">
        <w:rPr>
          <w:rFonts w:ascii="Arial" w:hAnsi="Arial" w:cs="Arial"/>
          <w:sz w:val="18"/>
          <w:szCs w:val="18"/>
          <w:lang w:val="fr-FR"/>
        </w:rPr>
        <w:t>Financement assuré/a</w:t>
      </w:r>
      <w:r>
        <w:rPr>
          <w:rFonts w:ascii="Arial" w:hAnsi="Arial" w:cs="Arial"/>
          <w:sz w:val="18"/>
          <w:szCs w:val="18"/>
          <w:lang w:val="fr-FR"/>
        </w:rPr>
        <w:t>ugmenté</w:t>
      </w:r>
    </w:p>
    <w:p w14:paraId="1FD160E2" w14:textId="77777777" w:rsidR="00886A3C" w:rsidRPr="00CC678D" w:rsidRDefault="00886A3C" w:rsidP="00886A3C">
      <w:pPr>
        <w:pStyle w:val="ListParagraph"/>
        <w:rPr>
          <w:rFonts w:ascii="Arial" w:hAnsi="Arial" w:cs="Arial"/>
          <w:sz w:val="18"/>
          <w:szCs w:val="18"/>
          <w:lang w:val="fr-FR"/>
        </w:rPr>
      </w:pPr>
      <w:r>
        <w:rPr>
          <w:rFonts w:ascii="Arial" w:hAnsi="Arial" w:cs="Arial"/>
          <w:sz w:val="18"/>
          <w:szCs w:val="18"/>
          <w:lang w:val="fr-FR"/>
        </w:rPr>
        <w:t>Sensibilisation du public accrue</w:t>
      </w:r>
    </w:p>
    <w:p w14:paraId="3E7E81E9"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Comblement des lacunes clés au niveau des connaissances</w:t>
      </w:r>
    </w:p>
    <w:p w14:paraId="164AB03F"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Protection appropriée des sites clés d’hivernage</w:t>
      </w:r>
    </w:p>
    <w:p w14:paraId="4A582A3E"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Activités de restauration</w:t>
      </w:r>
    </w:p>
    <w:p w14:paraId="33595FB2"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Mise en place d’une équipe nationale de surveillance</w:t>
      </w:r>
    </w:p>
    <w:p w14:paraId="06B8FAF9" w14:textId="77777777" w:rsidR="00886A3C" w:rsidRDefault="00886A3C" w:rsidP="00886A3C">
      <w:pPr>
        <w:pStyle w:val="ListParagraph"/>
        <w:rPr>
          <w:rFonts w:ascii="Arial" w:hAnsi="Arial" w:cs="Arial"/>
          <w:sz w:val="18"/>
          <w:szCs w:val="18"/>
          <w:lang w:val="fr-FR"/>
        </w:rPr>
      </w:pPr>
      <w:r w:rsidRPr="00CC678D">
        <w:rPr>
          <w:rFonts w:ascii="Arial" w:hAnsi="Arial" w:cs="Arial"/>
          <w:sz w:val="18"/>
          <w:szCs w:val="18"/>
          <w:lang w:val="fr-FR"/>
        </w:rPr>
        <w:t>Réduction de la pression de la chasse</w:t>
      </w:r>
    </w:p>
    <w:p w14:paraId="0180C4A1" w14:textId="77777777" w:rsidR="00886A3C" w:rsidRPr="00CC678D" w:rsidRDefault="00886A3C" w:rsidP="00886A3C">
      <w:pPr>
        <w:pStyle w:val="ListParagraph"/>
        <w:rPr>
          <w:rFonts w:ascii="Arial" w:hAnsi="Arial" w:cs="Arial"/>
          <w:sz w:val="18"/>
          <w:szCs w:val="18"/>
          <w:lang w:val="fr-FR"/>
        </w:rPr>
      </w:pPr>
      <w:r w:rsidRPr="00CC678D">
        <w:rPr>
          <w:rFonts w:ascii="Arial" w:hAnsi="Arial" w:cs="Arial"/>
          <w:sz w:val="18"/>
          <w:szCs w:val="18"/>
          <w:lang w:val="fr-FR"/>
        </w:rPr>
        <w:t>Mise en place d’un programme de gestion</w:t>
      </w:r>
    </w:p>
    <w:p w14:paraId="4404015F"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48268502" wp14:editId="08C96DC1">
            <wp:extent cx="4572000" cy="2771775"/>
            <wp:effectExtent l="0" t="0" r="19050" b="9525"/>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8B56BC8" w14:textId="77777777" w:rsidR="00886A3C" w:rsidRDefault="00886A3C" w:rsidP="00886A3C">
      <w:pPr>
        <w:spacing w:after="0" w:line="240" w:lineRule="auto"/>
        <w:rPr>
          <w:rFonts w:ascii="Arial" w:hAnsi="Arial" w:cs="Arial"/>
          <w:sz w:val="20"/>
          <w:szCs w:val="20"/>
          <w:lang w:val="en-US"/>
        </w:rPr>
      </w:pPr>
    </w:p>
    <w:p w14:paraId="12F4CDE5" w14:textId="77777777" w:rsidR="00886A3C" w:rsidRDefault="00886A3C" w:rsidP="00886A3C">
      <w:pPr>
        <w:spacing w:after="0" w:line="240" w:lineRule="auto"/>
        <w:rPr>
          <w:rFonts w:ascii="Arial" w:hAnsi="Arial" w:cs="Arial"/>
          <w:sz w:val="20"/>
          <w:szCs w:val="20"/>
          <w:lang w:val="en-US"/>
        </w:rPr>
      </w:pPr>
    </w:p>
    <w:p w14:paraId="548B95CB" w14:textId="77777777" w:rsidR="00886A3C" w:rsidRPr="00CC678D" w:rsidRDefault="00886A3C" w:rsidP="004C07B7">
      <w:pPr>
        <w:pStyle w:val="ListParagraph"/>
        <w:rPr>
          <w:rFonts w:ascii="Arial" w:hAnsi="Arial" w:cs="Arial"/>
          <w:sz w:val="18"/>
          <w:szCs w:val="18"/>
          <w:lang w:val="fr-FR"/>
        </w:rPr>
      </w:pPr>
      <w:r w:rsidRPr="00CC678D">
        <w:rPr>
          <w:rFonts w:ascii="Arial" w:hAnsi="Arial" w:cs="Arial"/>
          <w:sz w:val="18"/>
          <w:szCs w:val="18"/>
          <w:lang w:val="fr-FR"/>
        </w:rPr>
        <w:t>Manque de réglementations sur la chasse</w:t>
      </w:r>
    </w:p>
    <w:p w14:paraId="09FE7127" w14:textId="77777777" w:rsidR="00886A3C" w:rsidRPr="00CC678D" w:rsidRDefault="00886A3C" w:rsidP="004C07B7">
      <w:pPr>
        <w:pStyle w:val="ListParagraph"/>
        <w:rPr>
          <w:rFonts w:ascii="Arial" w:hAnsi="Arial" w:cs="Arial"/>
          <w:sz w:val="18"/>
          <w:szCs w:val="18"/>
          <w:lang w:val="fr-FR"/>
        </w:rPr>
      </w:pPr>
      <w:r w:rsidRPr="00CC678D">
        <w:rPr>
          <w:rFonts w:ascii="Arial" w:hAnsi="Arial" w:cs="Arial"/>
          <w:sz w:val="18"/>
          <w:szCs w:val="18"/>
          <w:lang w:val="fr-FR"/>
        </w:rPr>
        <w:t>Connaissances scientifiques mises en question</w:t>
      </w:r>
    </w:p>
    <w:p w14:paraId="0147A7EF" w14:textId="283C67BC" w:rsidR="00886A3C" w:rsidRDefault="004C07B7" w:rsidP="004C07B7">
      <w:pPr>
        <w:pStyle w:val="ListParagraph"/>
        <w:spacing w:after="0"/>
        <w:ind w:left="0"/>
        <w:rPr>
          <w:rFonts w:ascii="Arial" w:hAnsi="Arial" w:cs="Arial"/>
          <w:sz w:val="18"/>
          <w:szCs w:val="18"/>
          <w:lang w:val="fr-FR"/>
        </w:rPr>
      </w:pPr>
      <w:r>
        <w:rPr>
          <w:rFonts w:ascii="Arial" w:hAnsi="Arial" w:cs="Arial"/>
          <w:sz w:val="18"/>
          <w:szCs w:val="18"/>
          <w:lang w:val="fr-FR"/>
        </w:rPr>
        <w:lastRenderedPageBreak/>
        <w:tab/>
      </w:r>
      <w:r w:rsidR="00886A3C" w:rsidRPr="00CC678D">
        <w:rPr>
          <w:rFonts w:ascii="Arial" w:hAnsi="Arial" w:cs="Arial"/>
          <w:sz w:val="18"/>
          <w:szCs w:val="18"/>
          <w:lang w:val="fr-FR"/>
        </w:rPr>
        <w:t>Diminution des sites d’hivernage</w:t>
      </w:r>
    </w:p>
    <w:p w14:paraId="3502293B" w14:textId="77777777" w:rsidR="00886A3C" w:rsidRDefault="00886A3C" w:rsidP="004C07B7">
      <w:pPr>
        <w:spacing w:after="0"/>
        <w:ind w:firstLine="709"/>
        <w:rPr>
          <w:rFonts w:ascii="Arial" w:hAnsi="Arial" w:cs="Arial"/>
          <w:sz w:val="18"/>
          <w:szCs w:val="18"/>
          <w:lang w:val="fr-FR"/>
        </w:rPr>
      </w:pPr>
      <w:r w:rsidRPr="00CC678D">
        <w:rPr>
          <w:rFonts w:ascii="Arial" w:hAnsi="Arial" w:cs="Arial"/>
          <w:sz w:val="18"/>
          <w:szCs w:val="18"/>
          <w:lang w:val="fr-FR"/>
        </w:rPr>
        <w:t>Différences culturelles</w:t>
      </w:r>
    </w:p>
    <w:p w14:paraId="215DA44B" w14:textId="77777777" w:rsidR="004C07B7" w:rsidRDefault="004C07B7" w:rsidP="00886A3C">
      <w:pPr>
        <w:spacing w:line="240" w:lineRule="auto"/>
        <w:ind w:firstLine="709"/>
        <w:rPr>
          <w:rFonts w:ascii="Times New Roman" w:hAnsi="Times New Roman" w:cs="Times New Roman"/>
          <w:lang w:val="fr-FR"/>
        </w:rPr>
      </w:pPr>
    </w:p>
    <w:p w14:paraId="23372BD5"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7. </w:t>
      </w:r>
      <w:r w:rsidRPr="001801A6">
        <w:rPr>
          <w:rFonts w:ascii="Times New Roman" w:hAnsi="Times New Roman" w:cs="Times New Roman"/>
          <w:i/>
          <w:lang w:val="fr-FR"/>
        </w:rPr>
        <w:t>Conclusions </w:t>
      </w:r>
    </w:p>
    <w:p w14:paraId="16994101" w14:textId="77777777" w:rsidR="00886A3C" w:rsidRPr="004B1407" w:rsidRDefault="00886A3C" w:rsidP="00886A3C">
      <w:pPr>
        <w:spacing w:after="0" w:line="240" w:lineRule="auto"/>
        <w:rPr>
          <w:rFonts w:ascii="Times New Roman" w:hAnsi="Times New Roman" w:cs="Times New Roman"/>
          <w:i/>
          <w:lang w:val="fr-FR"/>
        </w:rPr>
      </w:pPr>
    </w:p>
    <w:p w14:paraId="105F86CD" w14:textId="77777777" w:rsidR="00886A3C" w:rsidRPr="004B1407" w:rsidRDefault="00886A3C" w:rsidP="00886A3C">
      <w:pPr>
        <w:spacing w:after="0" w:line="240" w:lineRule="auto"/>
        <w:jc w:val="both"/>
        <w:rPr>
          <w:rFonts w:ascii="Times New Roman" w:hAnsi="Times New Roman" w:cs="Times New Roman"/>
          <w:lang w:val="fr-FR"/>
        </w:rPr>
      </w:pPr>
      <w:r w:rsidRPr="001801A6">
        <w:rPr>
          <w:rFonts w:ascii="Times New Roman" w:hAnsi="Times New Roman" w:cs="Times New Roman"/>
          <w:lang w:val="fr-FR"/>
        </w:rPr>
        <w:t>Trois ans après l</w:t>
      </w:r>
      <w:r>
        <w:rPr>
          <w:rFonts w:ascii="Times New Roman" w:hAnsi="Times New Roman" w:cs="Times New Roman"/>
          <w:lang w:val="fr-FR"/>
        </w:rPr>
        <w:t>’</w:t>
      </w:r>
      <w:r w:rsidRPr="001801A6">
        <w:rPr>
          <w:rFonts w:ascii="Times New Roman" w:hAnsi="Times New Roman" w:cs="Times New Roman"/>
          <w:lang w:val="fr-FR"/>
        </w:rPr>
        <w:t xml:space="preserve">adoption du tout premier </w:t>
      </w:r>
      <w:r>
        <w:rPr>
          <w:rFonts w:ascii="Times New Roman" w:hAnsi="Times New Roman" w:cs="Times New Roman"/>
          <w:lang w:val="fr-FR"/>
        </w:rPr>
        <w:t>Plan</w:t>
      </w:r>
      <w:r w:rsidRPr="001801A6">
        <w:rPr>
          <w:rFonts w:ascii="Times New Roman" w:hAnsi="Times New Roman" w:cs="Times New Roman"/>
          <w:lang w:val="fr-FR"/>
        </w:rPr>
        <w:t xml:space="preserve"> </w:t>
      </w:r>
      <w:r>
        <w:rPr>
          <w:rFonts w:ascii="Times New Roman" w:hAnsi="Times New Roman" w:cs="Times New Roman"/>
          <w:lang w:val="fr-FR"/>
        </w:rPr>
        <w:t>de gestion international</w:t>
      </w:r>
      <w:r w:rsidRPr="001801A6">
        <w:rPr>
          <w:rFonts w:ascii="Times New Roman" w:hAnsi="Times New Roman" w:cs="Times New Roman"/>
          <w:lang w:val="fr-FR"/>
        </w:rPr>
        <w:t xml:space="preserve"> par espèce de l</w:t>
      </w:r>
      <w:r>
        <w:rPr>
          <w:rFonts w:ascii="Times New Roman" w:hAnsi="Times New Roman" w:cs="Times New Roman"/>
          <w:lang w:val="fr-FR"/>
        </w:rPr>
        <w:t>’</w:t>
      </w:r>
      <w:r w:rsidRPr="001801A6">
        <w:rPr>
          <w:rFonts w:ascii="Times New Roman" w:hAnsi="Times New Roman" w:cs="Times New Roman"/>
          <w:lang w:val="fr-FR"/>
        </w:rPr>
        <w:t>AEWA pour l</w:t>
      </w:r>
      <w:r>
        <w:rPr>
          <w:rFonts w:ascii="Times New Roman" w:hAnsi="Times New Roman" w:cs="Times New Roman"/>
          <w:lang w:val="fr-FR"/>
        </w:rPr>
        <w:t>’</w:t>
      </w:r>
      <w:r w:rsidRPr="001801A6">
        <w:rPr>
          <w:rFonts w:ascii="Times New Roman" w:hAnsi="Times New Roman" w:cs="Times New Roman"/>
          <w:lang w:val="fr-FR"/>
        </w:rPr>
        <w:t>Oie à bec court, on note des progrès très satisfaisants.</w:t>
      </w:r>
      <w:r w:rsidRPr="004B1407">
        <w:rPr>
          <w:rFonts w:ascii="Times New Roman" w:hAnsi="Times New Roman" w:cs="Times New Roman"/>
          <w:lang w:val="fr-FR"/>
        </w:rPr>
        <w:t xml:space="preserve"> </w:t>
      </w:r>
      <w:r w:rsidRPr="001801A6">
        <w:rPr>
          <w:rFonts w:ascii="Times New Roman" w:hAnsi="Times New Roman" w:cs="Times New Roman"/>
          <w:lang w:val="fr-FR"/>
        </w:rPr>
        <w:t>La tâche principale de développer une stratégie de gestion adaptative de prélèvements convenue a été réalisée et cette stratégie est à présent mise en œuvre.</w:t>
      </w:r>
      <w:r w:rsidRPr="004B1407">
        <w:rPr>
          <w:rFonts w:ascii="Times New Roman" w:hAnsi="Times New Roman" w:cs="Times New Roman"/>
          <w:lang w:val="fr-FR"/>
        </w:rPr>
        <w:t xml:space="preserve"> </w:t>
      </w:r>
      <w:r w:rsidRPr="001801A6">
        <w:rPr>
          <w:rFonts w:ascii="Times New Roman" w:hAnsi="Times New Roman" w:cs="Times New Roman"/>
          <w:lang w:val="fr-FR"/>
        </w:rPr>
        <w:t>Du fait de la nature du système de gestion adaptative des prélèvements - qui requiert une surveillance annuelle étroite de la population et des adaptations régulières des quotas de chasse et des autres mesures mises en œuvre – la participation et l</w:t>
      </w:r>
      <w:r>
        <w:rPr>
          <w:rFonts w:ascii="Times New Roman" w:hAnsi="Times New Roman" w:cs="Times New Roman"/>
          <w:lang w:val="fr-FR"/>
        </w:rPr>
        <w:t>’</w:t>
      </w:r>
      <w:r w:rsidRPr="001801A6">
        <w:rPr>
          <w:rFonts w:ascii="Times New Roman" w:hAnsi="Times New Roman" w:cs="Times New Roman"/>
          <w:lang w:val="fr-FR"/>
        </w:rPr>
        <w:t>engagement de toutes les parties prenantes semble être élevés, point qui est à son tour crucial pour une mise en œuvre réussie.</w:t>
      </w:r>
    </w:p>
    <w:p w14:paraId="3BC32C3B"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708"/>
      </w:tblGrid>
      <w:tr w:rsidR="00886A3C" w:rsidRPr="00DE4CF4" w14:paraId="594806D2" w14:textId="77777777" w:rsidTr="00886A3C">
        <w:trPr>
          <w:trHeight w:val="846"/>
          <w:jc w:val="center"/>
        </w:trPr>
        <w:tc>
          <w:tcPr>
            <w:tcW w:w="77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84B165" w14:textId="77777777" w:rsidR="00886A3C" w:rsidRPr="004B1407" w:rsidRDefault="00886A3C" w:rsidP="00886A3C">
            <w:pPr>
              <w:jc w:val="center"/>
              <w:rPr>
                <w:rFonts w:ascii="Times New Roman" w:hAnsi="Times New Roman" w:cs="Times New Roman"/>
                <w:lang w:val="fr-FR"/>
              </w:rPr>
            </w:pPr>
          </w:p>
          <w:p w14:paraId="029640FE" w14:textId="77777777" w:rsidR="00886A3C" w:rsidRPr="004B1407" w:rsidRDefault="00886A3C" w:rsidP="00886A3C">
            <w:pPr>
              <w:jc w:val="center"/>
              <w:rPr>
                <w:rFonts w:ascii="Times New Roman" w:hAnsi="Times New Roman" w:cs="Times New Roman"/>
                <w:b/>
                <w:color w:val="FF0000"/>
                <w:lang w:val="fr-FR"/>
              </w:rPr>
            </w:pPr>
            <w:r w:rsidRPr="001801A6">
              <w:rPr>
                <w:rFonts w:ascii="Times New Roman" w:hAnsi="Times New Roman" w:cs="Times New Roman"/>
                <w:b/>
                <w:lang w:val="fr-FR"/>
              </w:rPr>
              <w:t>Taux d</w:t>
            </w:r>
            <w:r>
              <w:rPr>
                <w:rFonts w:ascii="Times New Roman" w:hAnsi="Times New Roman" w:cs="Times New Roman"/>
                <w:b/>
                <w:lang w:val="fr-FR"/>
              </w:rPr>
              <w:t>’</w:t>
            </w:r>
            <w:r w:rsidRPr="001801A6">
              <w:rPr>
                <w:rFonts w:ascii="Times New Roman" w:hAnsi="Times New Roman" w:cs="Times New Roman"/>
                <w:b/>
                <w:lang w:val="fr-FR"/>
              </w:rPr>
              <w:t>ensemble moyen de mise en œuvre pour 23 activités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45 %</w:t>
            </w:r>
          </w:p>
        </w:tc>
      </w:tr>
    </w:tbl>
    <w:p w14:paraId="3B3A891F" w14:textId="77777777" w:rsidR="00886A3C" w:rsidRPr="004B1407" w:rsidRDefault="00886A3C" w:rsidP="00886A3C">
      <w:pPr>
        <w:spacing w:after="0" w:line="240" w:lineRule="auto"/>
        <w:jc w:val="both"/>
        <w:rPr>
          <w:rFonts w:ascii="Times New Roman" w:hAnsi="Times New Roman" w:cs="Times New Roman"/>
          <w:lang w:val="fr-FR"/>
        </w:rPr>
      </w:pPr>
    </w:p>
    <w:p w14:paraId="4FAB4B25" w14:textId="77777777" w:rsidR="00886A3C" w:rsidRPr="004B1407" w:rsidRDefault="00886A3C" w:rsidP="00886A3C">
      <w:pPr>
        <w:spacing w:after="0" w:line="240" w:lineRule="auto"/>
        <w:jc w:val="both"/>
        <w:rPr>
          <w:rFonts w:ascii="Times New Roman" w:hAnsi="Times New Roman" w:cs="Times New Roman"/>
          <w:lang w:val="fr-FR"/>
        </w:rPr>
      </w:pPr>
      <w:r w:rsidRPr="004E4F19">
        <w:rPr>
          <w:rFonts w:ascii="Times New Roman" w:hAnsi="Times New Roman" w:cs="Times New Roman"/>
          <w:lang w:val="fr-FR"/>
        </w:rPr>
        <w:t>Bien que le processus de gestion adaptative des prélèvements n</w:t>
      </w:r>
      <w:r>
        <w:rPr>
          <w:rFonts w:ascii="Times New Roman" w:hAnsi="Times New Roman" w:cs="Times New Roman"/>
          <w:lang w:val="fr-FR"/>
        </w:rPr>
        <w:t>’</w:t>
      </w:r>
      <w:r w:rsidRPr="004E4F19">
        <w:rPr>
          <w:rFonts w:ascii="Times New Roman" w:hAnsi="Times New Roman" w:cs="Times New Roman"/>
          <w:lang w:val="fr-FR"/>
        </w:rPr>
        <w:t>en soit qu</w:t>
      </w:r>
      <w:r>
        <w:rPr>
          <w:rFonts w:ascii="Times New Roman" w:hAnsi="Times New Roman" w:cs="Times New Roman"/>
          <w:lang w:val="fr-FR"/>
        </w:rPr>
        <w:t>’</w:t>
      </w:r>
      <w:r w:rsidRPr="004E4F19">
        <w:rPr>
          <w:rFonts w:ascii="Times New Roman" w:hAnsi="Times New Roman" w:cs="Times New Roman"/>
          <w:lang w:val="fr-FR"/>
        </w:rPr>
        <w:t>à ses début et que les conflits demeurent</w:t>
      </w:r>
      <w:r>
        <w:rPr>
          <w:rFonts w:ascii="Times New Roman" w:hAnsi="Times New Roman" w:cs="Times New Roman"/>
          <w:lang w:val="fr-FR"/>
        </w:rPr>
        <w:t xml:space="preserve"> </w:t>
      </w:r>
      <w:r w:rsidRPr="004E4F19">
        <w:rPr>
          <w:rFonts w:ascii="Times New Roman" w:hAnsi="Times New Roman" w:cs="Times New Roman"/>
          <w:lang w:val="fr-FR"/>
        </w:rPr>
        <w:t>concernant la taille importante de la population (s</w:t>
      </w:r>
      <w:r>
        <w:rPr>
          <w:rFonts w:ascii="Times New Roman" w:hAnsi="Times New Roman" w:cs="Times New Roman"/>
          <w:lang w:val="fr-FR"/>
        </w:rPr>
        <w:t>’</w:t>
      </w:r>
      <w:r w:rsidRPr="004E4F19">
        <w:rPr>
          <w:rFonts w:ascii="Times New Roman" w:hAnsi="Times New Roman" w:cs="Times New Roman"/>
          <w:lang w:val="fr-FR"/>
        </w:rPr>
        <w:t>agissant de l</w:t>
      </w:r>
      <w:r>
        <w:rPr>
          <w:rFonts w:ascii="Times New Roman" w:hAnsi="Times New Roman" w:cs="Times New Roman"/>
          <w:lang w:val="fr-FR"/>
        </w:rPr>
        <w:t>’</w:t>
      </w:r>
      <w:r w:rsidRPr="004E4F19">
        <w:rPr>
          <w:rFonts w:ascii="Times New Roman" w:hAnsi="Times New Roman" w:cs="Times New Roman"/>
          <w:lang w:val="fr-FR"/>
        </w:rPr>
        <w:t>agriculture, des habitats arctiques</w:t>
      </w:r>
      <w:r>
        <w:rPr>
          <w:rFonts w:ascii="Times New Roman" w:hAnsi="Times New Roman" w:cs="Times New Roman"/>
          <w:lang w:val="fr-FR"/>
        </w:rPr>
        <w:t>,</w:t>
      </w:r>
      <w:r w:rsidRPr="004E4F19">
        <w:rPr>
          <w:rFonts w:ascii="Times New Roman" w:hAnsi="Times New Roman" w:cs="Times New Roman"/>
          <w:lang w:val="fr-FR"/>
        </w:rPr>
        <w:t xml:space="preserve"> etc.), l</w:t>
      </w:r>
      <w:r>
        <w:rPr>
          <w:rFonts w:ascii="Times New Roman" w:hAnsi="Times New Roman" w:cs="Times New Roman"/>
          <w:lang w:val="fr-FR"/>
        </w:rPr>
        <w:t>’</w:t>
      </w:r>
      <w:r w:rsidRPr="004E4F19">
        <w:rPr>
          <w:rFonts w:ascii="Times New Roman" w:hAnsi="Times New Roman" w:cs="Times New Roman"/>
          <w:lang w:val="fr-FR"/>
        </w:rPr>
        <w:t xml:space="preserve">objectif </w:t>
      </w:r>
      <w:r w:rsidRPr="006D459E">
        <w:rPr>
          <w:rFonts w:ascii="Times New Roman" w:hAnsi="Times New Roman" w:cs="Times New Roman"/>
          <w:lang w:val="fr-FR"/>
        </w:rPr>
        <w:t>du plan d</w:t>
      </w:r>
      <w:r>
        <w:rPr>
          <w:rFonts w:ascii="Times New Roman" w:hAnsi="Times New Roman" w:cs="Times New Roman"/>
          <w:lang w:val="fr-FR"/>
        </w:rPr>
        <w:t xml:space="preserve">e gestion </w:t>
      </w:r>
      <w:r w:rsidRPr="004E4F19">
        <w:rPr>
          <w:rFonts w:ascii="Times New Roman" w:hAnsi="Times New Roman" w:cs="Times New Roman"/>
          <w:lang w:val="fr-FR"/>
        </w:rPr>
        <w:t>de maintenir l</w:t>
      </w:r>
      <w:r>
        <w:rPr>
          <w:rFonts w:ascii="Times New Roman" w:hAnsi="Times New Roman" w:cs="Times New Roman"/>
          <w:lang w:val="fr-FR"/>
        </w:rPr>
        <w:t>’</w:t>
      </w:r>
      <w:r w:rsidRPr="004E4F19">
        <w:rPr>
          <w:rFonts w:ascii="Times New Roman" w:hAnsi="Times New Roman" w:cs="Times New Roman"/>
          <w:lang w:val="fr-FR"/>
        </w:rPr>
        <w:t>état de conservation favorable de la population de l</w:t>
      </w:r>
      <w:r>
        <w:rPr>
          <w:rFonts w:ascii="Times New Roman" w:hAnsi="Times New Roman" w:cs="Times New Roman"/>
          <w:lang w:val="fr-FR"/>
        </w:rPr>
        <w:t>’</w:t>
      </w:r>
      <w:r w:rsidRPr="004E4F19">
        <w:rPr>
          <w:rFonts w:ascii="Times New Roman" w:hAnsi="Times New Roman" w:cs="Times New Roman"/>
          <w:lang w:val="fr-FR"/>
        </w:rPr>
        <w:t>Oie à bec court du Svalbard au niveau de la voie de migration</w:t>
      </w:r>
      <w:r>
        <w:rPr>
          <w:rFonts w:ascii="Times New Roman" w:hAnsi="Times New Roman" w:cs="Times New Roman"/>
          <w:lang w:val="fr-FR"/>
        </w:rPr>
        <w:t xml:space="preserve">, </w:t>
      </w:r>
      <w:r w:rsidRPr="004E4F19">
        <w:rPr>
          <w:rFonts w:ascii="Times New Roman" w:hAnsi="Times New Roman" w:cs="Times New Roman"/>
          <w:lang w:val="fr-FR"/>
        </w:rPr>
        <w:t xml:space="preserve">tout en tenant compte au moins des intérêts </w:t>
      </w:r>
      <w:r>
        <w:rPr>
          <w:rFonts w:ascii="Times New Roman" w:hAnsi="Times New Roman" w:cs="Times New Roman"/>
          <w:lang w:val="fr-FR"/>
        </w:rPr>
        <w:t>du secteur des loisirs,</w:t>
      </w:r>
      <w:r w:rsidRPr="004E4F19">
        <w:rPr>
          <w:rFonts w:ascii="Times New Roman" w:hAnsi="Times New Roman" w:cs="Times New Roman"/>
          <w:lang w:val="fr-FR"/>
        </w:rPr>
        <w:t xml:space="preserve"> a été respecté.</w:t>
      </w:r>
      <w:r w:rsidRPr="004B1407">
        <w:rPr>
          <w:rFonts w:ascii="Times New Roman" w:hAnsi="Times New Roman" w:cs="Times New Roman"/>
          <w:lang w:val="fr-FR"/>
        </w:rPr>
        <w:t xml:space="preserve"> </w:t>
      </w:r>
    </w:p>
    <w:p w14:paraId="796E9EF5" w14:textId="77777777" w:rsidR="00886A3C" w:rsidRPr="004B1407" w:rsidRDefault="00886A3C" w:rsidP="00886A3C">
      <w:pPr>
        <w:rPr>
          <w:lang w:val="fr-FR"/>
        </w:rPr>
      </w:pPr>
    </w:p>
    <w:p w14:paraId="23D51903"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p w14:paraId="412D533E" w14:textId="77777777" w:rsidR="00886A3C" w:rsidRPr="004B1407" w:rsidRDefault="00886A3C" w:rsidP="00886A3C">
      <w:pPr>
        <w:rPr>
          <w:rFonts w:ascii="Times New Roman" w:hAnsi="Times New Roman" w:cs="Times New Roman"/>
          <w:lang w:val="fr-FR"/>
        </w:rPr>
      </w:pPr>
      <w:r w:rsidRPr="004B1407">
        <w:rPr>
          <w:rFonts w:ascii="Times New Roman" w:hAnsi="Times New Roman" w:cs="Times New Roman"/>
          <w:lang w:val="fr-FR"/>
        </w:rPr>
        <w:br w:type="page"/>
      </w:r>
    </w:p>
    <w:p w14:paraId="02DF527C"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b/>
          <w:lang w:val="fr-FR"/>
        </w:rPr>
      </w:pPr>
      <w:r w:rsidRPr="004E4F19">
        <w:rPr>
          <w:rFonts w:ascii="Times New Roman" w:hAnsi="Times New Roman" w:cs="Times New Roman"/>
          <w:b/>
          <w:lang w:val="fr-FR"/>
        </w:rPr>
        <w:lastRenderedPageBreak/>
        <w:t>E. Mise en œuvre de l</w:t>
      </w:r>
      <w:r>
        <w:rPr>
          <w:rFonts w:ascii="Times New Roman" w:hAnsi="Times New Roman" w:cs="Times New Roman"/>
          <w:b/>
          <w:lang w:val="fr-FR"/>
        </w:rPr>
        <w:t>’</w:t>
      </w:r>
      <w:r w:rsidRPr="004E4F19">
        <w:rPr>
          <w:rFonts w:ascii="Times New Roman" w:hAnsi="Times New Roman" w:cs="Times New Roman"/>
          <w:b/>
          <w:lang w:val="fr-FR"/>
        </w:rPr>
        <w:t>ISSAP de l</w:t>
      </w:r>
      <w:r>
        <w:rPr>
          <w:rFonts w:ascii="Times New Roman" w:hAnsi="Times New Roman" w:cs="Times New Roman"/>
          <w:b/>
          <w:lang w:val="fr-FR"/>
        </w:rPr>
        <w:t>’</w:t>
      </w:r>
      <w:r w:rsidRPr="004E4F19">
        <w:rPr>
          <w:rFonts w:ascii="Times New Roman" w:hAnsi="Times New Roman" w:cs="Times New Roman"/>
          <w:b/>
          <w:lang w:val="fr-FR"/>
        </w:rPr>
        <w:t>AEWA pour l</w:t>
      </w:r>
      <w:r>
        <w:rPr>
          <w:rFonts w:ascii="Times New Roman" w:hAnsi="Times New Roman" w:cs="Times New Roman"/>
          <w:b/>
          <w:lang w:val="fr-FR"/>
        </w:rPr>
        <w:t>’</w:t>
      </w:r>
      <w:r w:rsidRPr="004E4F19">
        <w:rPr>
          <w:rFonts w:ascii="Times New Roman" w:hAnsi="Times New Roman" w:cs="Times New Roman"/>
          <w:b/>
          <w:lang w:val="fr-FR"/>
        </w:rPr>
        <w:t>Oie rieuse du Groenland</w:t>
      </w:r>
    </w:p>
    <w:p w14:paraId="4C6C142C" w14:textId="77777777" w:rsidR="00886A3C" w:rsidRPr="004B1407" w:rsidRDefault="00886A3C" w:rsidP="00886A3C">
      <w:pPr>
        <w:shd w:val="clear" w:color="auto" w:fill="FFFFFF" w:themeFill="background1"/>
        <w:spacing w:after="0" w:line="240" w:lineRule="auto"/>
        <w:rPr>
          <w:rFonts w:ascii="Times New Roman" w:hAnsi="Times New Roman" w:cs="Times New Roman"/>
          <w:b/>
          <w:lang w:val="fr-FR"/>
        </w:rPr>
      </w:pPr>
    </w:p>
    <w:p w14:paraId="694EAD82"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1. </w:t>
      </w:r>
      <w:r w:rsidRPr="004E4F19">
        <w:rPr>
          <w:rFonts w:ascii="Times New Roman" w:hAnsi="Times New Roman" w:cs="Times New Roman"/>
          <w:i/>
          <w:lang w:val="fr-FR"/>
        </w:rPr>
        <w:t>Introduction </w:t>
      </w:r>
    </w:p>
    <w:p w14:paraId="0A6336B0"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1B35A4FA"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4E4F19">
        <w:rPr>
          <w:rFonts w:ascii="Times New Roman" w:hAnsi="Times New Roman" w:cs="Times New Roman"/>
          <w:lang w:val="fr-FR"/>
        </w:rPr>
        <w:t>L</w:t>
      </w:r>
      <w:r>
        <w:rPr>
          <w:rFonts w:ascii="Times New Roman" w:hAnsi="Times New Roman" w:cs="Times New Roman"/>
          <w:lang w:val="fr-FR"/>
        </w:rPr>
        <w:t>’</w:t>
      </w:r>
      <w:r w:rsidRPr="004E4F19">
        <w:rPr>
          <w:rFonts w:ascii="Times New Roman" w:hAnsi="Times New Roman" w:cs="Times New Roman"/>
          <w:lang w:val="fr-FR"/>
        </w:rPr>
        <w:t xml:space="preserve">Oie rieuse du Groenland </w:t>
      </w:r>
      <w:r w:rsidRPr="004E4F19">
        <w:rPr>
          <w:rFonts w:ascii="Times New Roman" w:hAnsi="Times New Roman" w:cs="Times New Roman"/>
          <w:i/>
          <w:lang w:val="fr-FR"/>
        </w:rPr>
        <w:t>(Anser albifrons flavirostris)</w:t>
      </w:r>
      <w:r w:rsidRPr="004E4F19">
        <w:rPr>
          <w:rFonts w:ascii="Times New Roman" w:hAnsi="Times New Roman" w:cs="Times New Roman"/>
          <w:lang w:val="fr-FR"/>
        </w:rPr>
        <w:t xml:space="preserve"> est une sous-espèce de l</w:t>
      </w:r>
      <w:r>
        <w:rPr>
          <w:rFonts w:ascii="Times New Roman" w:hAnsi="Times New Roman" w:cs="Times New Roman"/>
          <w:lang w:val="fr-FR"/>
        </w:rPr>
        <w:t>’</w:t>
      </w:r>
      <w:r w:rsidRPr="004E4F19">
        <w:rPr>
          <w:rFonts w:ascii="Times New Roman" w:hAnsi="Times New Roman" w:cs="Times New Roman"/>
          <w:lang w:val="fr-FR"/>
        </w:rPr>
        <w:t xml:space="preserve">Oie rieuse </w:t>
      </w:r>
      <w:r w:rsidRPr="004E4F19">
        <w:rPr>
          <w:rFonts w:ascii="Times New Roman" w:hAnsi="Times New Roman" w:cs="Times New Roman"/>
          <w:i/>
          <w:lang w:val="fr-FR"/>
        </w:rPr>
        <w:t>(Anser albifrons</w:t>
      </w:r>
      <w:r w:rsidRPr="004E4F19">
        <w:rPr>
          <w:rFonts w:ascii="Times New Roman" w:hAnsi="Times New Roman" w:cs="Times New Roman"/>
          <w:lang w:val="fr-FR"/>
        </w:rPr>
        <w:t>) classée dans la catégorie « Préoccupation mineure » par l</w:t>
      </w:r>
      <w:r>
        <w:rPr>
          <w:rFonts w:ascii="Times New Roman" w:hAnsi="Times New Roman" w:cs="Times New Roman"/>
          <w:lang w:val="fr-FR"/>
        </w:rPr>
        <w:t>’</w:t>
      </w:r>
      <w:r w:rsidRPr="004E4F19">
        <w:rPr>
          <w:rFonts w:ascii="Times New Roman" w:hAnsi="Times New Roman" w:cs="Times New Roman"/>
          <w:lang w:val="fr-FR"/>
        </w:rPr>
        <w:t>UICN.</w:t>
      </w:r>
      <w:r w:rsidRPr="004B1407">
        <w:rPr>
          <w:rFonts w:ascii="Times New Roman" w:hAnsi="Times New Roman" w:cs="Times New Roman"/>
          <w:lang w:val="fr-FR"/>
        </w:rPr>
        <w:t xml:space="preserve"> </w:t>
      </w:r>
      <w:r w:rsidRPr="004E4F19">
        <w:rPr>
          <w:rFonts w:ascii="Times New Roman" w:hAnsi="Times New Roman" w:cs="Times New Roman"/>
          <w:lang w:val="fr-FR"/>
        </w:rPr>
        <w:t>Bien qu</w:t>
      </w:r>
      <w:r>
        <w:rPr>
          <w:rFonts w:ascii="Times New Roman" w:hAnsi="Times New Roman" w:cs="Times New Roman"/>
          <w:lang w:val="fr-FR"/>
        </w:rPr>
        <w:t>’</w:t>
      </w:r>
      <w:r w:rsidRPr="004E4F19">
        <w:rPr>
          <w:rFonts w:ascii="Times New Roman" w:hAnsi="Times New Roman" w:cs="Times New Roman"/>
          <w:lang w:val="fr-FR"/>
        </w:rPr>
        <w:t>il n</w:t>
      </w:r>
      <w:r>
        <w:rPr>
          <w:rFonts w:ascii="Times New Roman" w:hAnsi="Times New Roman" w:cs="Times New Roman"/>
          <w:lang w:val="fr-FR"/>
        </w:rPr>
        <w:t>’</w:t>
      </w:r>
      <w:r w:rsidRPr="004E4F19">
        <w:rPr>
          <w:rFonts w:ascii="Times New Roman" w:hAnsi="Times New Roman" w:cs="Times New Roman"/>
          <w:lang w:val="fr-FR"/>
        </w:rPr>
        <w:t>existe pas officiellement de catégorisation séparée pour la sous-espèce, celle-ci serait reconnue comme « En danger » selon les critères de la Liste rouge mondiale de l</w:t>
      </w:r>
      <w:r>
        <w:rPr>
          <w:rFonts w:ascii="Times New Roman" w:hAnsi="Times New Roman" w:cs="Times New Roman"/>
          <w:lang w:val="fr-FR"/>
        </w:rPr>
        <w:t>’</w:t>
      </w:r>
      <w:r w:rsidRPr="004E4F19">
        <w:rPr>
          <w:rFonts w:ascii="Times New Roman" w:hAnsi="Times New Roman" w:cs="Times New Roman"/>
          <w:lang w:val="fr-FR"/>
        </w:rPr>
        <w:t>UICN.</w:t>
      </w:r>
      <w:r w:rsidRPr="004B1407">
        <w:rPr>
          <w:rFonts w:ascii="Times New Roman" w:hAnsi="Times New Roman" w:cs="Times New Roman"/>
          <w:lang w:val="fr-FR"/>
        </w:rPr>
        <w:t xml:space="preserve"> </w:t>
      </w:r>
      <w:r w:rsidRPr="004E4F19">
        <w:rPr>
          <w:rFonts w:ascii="Times New Roman" w:hAnsi="Times New Roman" w:cs="Times New Roman"/>
          <w:lang w:val="fr-FR"/>
        </w:rPr>
        <w:t xml:space="preserve">Le </w:t>
      </w:r>
      <w:r>
        <w:rPr>
          <w:rFonts w:ascii="Times New Roman" w:hAnsi="Times New Roman" w:cs="Times New Roman"/>
          <w:lang w:val="fr-FR"/>
        </w:rPr>
        <w:t>plan</w:t>
      </w:r>
      <w:r w:rsidRPr="004E4F19">
        <w:rPr>
          <w:rFonts w:ascii="Times New Roman" w:hAnsi="Times New Roman" w:cs="Times New Roman"/>
          <w:lang w:val="fr-FR"/>
        </w:rPr>
        <w:t xml:space="preserve"> </w:t>
      </w:r>
      <w:r>
        <w:rPr>
          <w:rFonts w:ascii="Times New Roman" w:hAnsi="Times New Roman" w:cs="Times New Roman"/>
          <w:lang w:val="fr-FR"/>
        </w:rPr>
        <w:t>d’action international</w:t>
      </w:r>
      <w:r w:rsidRPr="004E4F19">
        <w:rPr>
          <w:rFonts w:ascii="Times New Roman" w:hAnsi="Times New Roman" w:cs="Times New Roman"/>
          <w:lang w:val="fr-FR"/>
        </w:rPr>
        <w:t xml:space="preserve"> par espèce de l</w:t>
      </w:r>
      <w:r>
        <w:rPr>
          <w:rFonts w:ascii="Times New Roman" w:hAnsi="Times New Roman" w:cs="Times New Roman"/>
          <w:lang w:val="fr-FR"/>
        </w:rPr>
        <w:t>’</w:t>
      </w:r>
      <w:r w:rsidRPr="004E4F19">
        <w:rPr>
          <w:rFonts w:ascii="Times New Roman" w:hAnsi="Times New Roman" w:cs="Times New Roman"/>
          <w:lang w:val="fr-FR"/>
        </w:rPr>
        <w:t>AEWA pour la population de l</w:t>
      </w:r>
      <w:r>
        <w:rPr>
          <w:rFonts w:ascii="Times New Roman" w:hAnsi="Times New Roman" w:cs="Times New Roman"/>
          <w:lang w:val="fr-FR"/>
        </w:rPr>
        <w:t>’</w:t>
      </w:r>
      <w:r w:rsidRPr="004E4F19">
        <w:rPr>
          <w:rFonts w:ascii="Times New Roman" w:hAnsi="Times New Roman" w:cs="Times New Roman"/>
          <w:lang w:val="fr-FR"/>
        </w:rPr>
        <w:t xml:space="preserve">Oie rieuse du Groenland a été adopté en 2012, lors de </w:t>
      </w:r>
      <w:r>
        <w:rPr>
          <w:rFonts w:ascii="Times New Roman" w:hAnsi="Times New Roman" w:cs="Times New Roman"/>
          <w:lang w:val="fr-FR"/>
        </w:rPr>
        <w:t xml:space="preserve">la </w:t>
      </w:r>
      <w:r w:rsidRPr="004E4F19">
        <w:rPr>
          <w:rFonts w:ascii="Times New Roman" w:hAnsi="Times New Roman" w:cs="Times New Roman"/>
          <w:lang w:val="fr-FR"/>
        </w:rPr>
        <w:t>5</w:t>
      </w:r>
      <w:r w:rsidRPr="004E4F19">
        <w:rPr>
          <w:rFonts w:ascii="Times New Roman" w:hAnsi="Times New Roman" w:cs="Times New Roman"/>
          <w:vertAlign w:val="superscript"/>
          <w:lang w:val="fr-FR"/>
        </w:rPr>
        <w:t>ème</w:t>
      </w:r>
      <w:r>
        <w:rPr>
          <w:rFonts w:ascii="Times New Roman" w:hAnsi="Times New Roman" w:cs="Times New Roman"/>
          <w:lang w:val="fr-FR"/>
        </w:rPr>
        <w:t xml:space="preserve"> </w:t>
      </w:r>
      <w:r w:rsidRPr="004E4F19">
        <w:rPr>
          <w:rFonts w:ascii="Times New Roman" w:hAnsi="Times New Roman" w:cs="Times New Roman"/>
          <w:lang w:val="fr-FR"/>
        </w:rPr>
        <w:t>session de la Réunion des Parties à l</w:t>
      </w:r>
      <w:r>
        <w:rPr>
          <w:rFonts w:ascii="Times New Roman" w:hAnsi="Times New Roman" w:cs="Times New Roman"/>
          <w:lang w:val="fr-FR"/>
        </w:rPr>
        <w:t>’</w:t>
      </w:r>
      <w:r w:rsidRPr="004E4F19">
        <w:rPr>
          <w:rFonts w:ascii="Times New Roman" w:hAnsi="Times New Roman" w:cs="Times New Roman"/>
          <w:lang w:val="fr-FR"/>
        </w:rPr>
        <w:t>AEWA</w:t>
      </w:r>
      <w:r w:rsidRPr="004E4F19">
        <w:rPr>
          <w:rStyle w:val="FootnoteReference"/>
          <w:rFonts w:ascii="Times New Roman" w:hAnsi="Times New Roman" w:cs="Times New Roman"/>
          <w:lang w:val="fr-FR"/>
        </w:rPr>
        <w:footnoteReference w:id="6"/>
      </w:r>
      <w:r w:rsidRPr="004E4F19">
        <w:rPr>
          <w:rFonts w:ascii="Times New Roman" w:hAnsi="Times New Roman" w:cs="Times New Roman"/>
          <w:lang w:val="fr-FR"/>
        </w:rPr>
        <w:t>.</w:t>
      </w:r>
    </w:p>
    <w:p w14:paraId="7406D6A5"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886A3C" w:rsidRPr="00DE4CF4" w14:paraId="5FB68116" w14:textId="77777777" w:rsidTr="00886A3C">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45657140" w14:textId="77777777" w:rsidR="00886A3C" w:rsidRPr="004B1407" w:rsidRDefault="00886A3C" w:rsidP="00886A3C">
            <w:pPr>
              <w:shd w:val="clear" w:color="auto" w:fill="FFFFFF" w:themeFill="background1"/>
              <w:jc w:val="both"/>
              <w:rPr>
                <w:rFonts w:ascii="Times New Roman" w:hAnsi="Times New Roman" w:cs="Times New Roman"/>
                <w:lang w:val="fr-FR"/>
              </w:rPr>
            </w:pPr>
            <w:r w:rsidRPr="00DD285B">
              <w:rPr>
                <w:rFonts w:ascii="Times New Roman" w:hAnsi="Times New Roman" w:cs="Times New Roman"/>
                <w:lang w:val="fr-FR"/>
              </w:rPr>
              <w:t>L</w:t>
            </w:r>
            <w:r>
              <w:rPr>
                <w:rFonts w:ascii="Times New Roman" w:hAnsi="Times New Roman" w:cs="Times New Roman"/>
                <w:lang w:val="fr-FR"/>
              </w:rPr>
              <w:t>’</w:t>
            </w:r>
            <w:r w:rsidRPr="00DD285B">
              <w:rPr>
                <w:rFonts w:ascii="Times New Roman" w:hAnsi="Times New Roman" w:cs="Times New Roman"/>
                <w:lang w:val="fr-FR"/>
              </w:rPr>
              <w:t xml:space="preserve">objectif à long terme du </w:t>
            </w:r>
            <w:r>
              <w:rPr>
                <w:rFonts w:ascii="Times New Roman" w:hAnsi="Times New Roman" w:cs="Times New Roman"/>
                <w:lang w:val="fr-FR"/>
              </w:rPr>
              <w:t>p</w:t>
            </w:r>
            <w:r w:rsidRPr="00DD285B">
              <w:rPr>
                <w:rFonts w:ascii="Times New Roman" w:hAnsi="Times New Roman" w:cs="Times New Roman"/>
                <w:lang w:val="fr-FR"/>
              </w:rPr>
              <w:t>lan d</w:t>
            </w:r>
            <w:r>
              <w:rPr>
                <w:rFonts w:ascii="Times New Roman" w:hAnsi="Times New Roman" w:cs="Times New Roman"/>
                <w:lang w:val="fr-FR"/>
              </w:rPr>
              <w:t>’</w:t>
            </w:r>
            <w:r w:rsidRPr="00DD285B">
              <w:rPr>
                <w:rFonts w:ascii="Times New Roman" w:hAnsi="Times New Roman" w:cs="Times New Roman"/>
                <w:lang w:val="fr-FR"/>
              </w:rPr>
              <w:t>action est de mettre en place puis de maintenir un état de conservation favorable de la population internationale de l</w:t>
            </w:r>
            <w:r>
              <w:rPr>
                <w:rFonts w:ascii="Times New Roman" w:hAnsi="Times New Roman" w:cs="Times New Roman"/>
                <w:lang w:val="fr-FR"/>
              </w:rPr>
              <w:t>’</w:t>
            </w:r>
            <w:r w:rsidRPr="00DD285B">
              <w:rPr>
                <w:rFonts w:ascii="Times New Roman" w:hAnsi="Times New Roman" w:cs="Times New Roman"/>
                <w:lang w:val="fr-FR"/>
              </w:rPr>
              <w:t>Oie rieuse du Groenland dans</w:t>
            </w:r>
            <w:r>
              <w:rPr>
                <w:rFonts w:ascii="Times New Roman" w:hAnsi="Times New Roman" w:cs="Times New Roman"/>
                <w:lang w:val="fr-FR"/>
              </w:rPr>
              <w:t xml:space="preserve"> </w:t>
            </w:r>
            <w:r w:rsidRPr="00DD285B">
              <w:rPr>
                <w:rFonts w:ascii="Times New Roman" w:hAnsi="Times New Roman" w:cs="Times New Roman"/>
                <w:lang w:val="fr-FR"/>
              </w:rPr>
              <w:t>l</w:t>
            </w:r>
            <w:r>
              <w:rPr>
                <w:rFonts w:ascii="Times New Roman" w:hAnsi="Times New Roman" w:cs="Times New Roman"/>
                <w:lang w:val="fr-FR"/>
              </w:rPr>
              <w:t>’</w:t>
            </w:r>
            <w:r w:rsidRPr="00DD285B">
              <w:rPr>
                <w:rFonts w:ascii="Times New Roman" w:hAnsi="Times New Roman" w:cs="Times New Roman"/>
                <w:lang w:val="fr-FR"/>
              </w:rPr>
              <w:t>ensemble de son aire de répartition mondiale.</w:t>
            </w:r>
            <w:r w:rsidRPr="004B1407">
              <w:rPr>
                <w:rFonts w:ascii="Times New Roman" w:hAnsi="Times New Roman" w:cs="Times New Roman"/>
                <w:lang w:val="fr-FR"/>
              </w:rPr>
              <w:t xml:space="preserve"> </w:t>
            </w:r>
            <w:r w:rsidRPr="00A42935">
              <w:rPr>
                <w:rFonts w:ascii="Times New Roman" w:hAnsi="Times New Roman" w:cs="Times New Roman"/>
                <w:lang w:val="fr-FR"/>
              </w:rPr>
              <w:t>À court terme (d</w:t>
            </w:r>
            <w:r>
              <w:rPr>
                <w:rFonts w:ascii="Times New Roman" w:hAnsi="Times New Roman" w:cs="Times New Roman"/>
                <w:lang w:val="fr-FR"/>
              </w:rPr>
              <w:t>’</w:t>
            </w:r>
            <w:r w:rsidRPr="00A42935">
              <w:rPr>
                <w:rFonts w:ascii="Times New Roman" w:hAnsi="Times New Roman" w:cs="Times New Roman"/>
                <w:lang w:val="fr-FR"/>
              </w:rPr>
              <w:t>ici 2015), l</w:t>
            </w:r>
            <w:r>
              <w:rPr>
                <w:rFonts w:ascii="Times New Roman" w:hAnsi="Times New Roman" w:cs="Times New Roman"/>
                <w:lang w:val="fr-FR"/>
              </w:rPr>
              <w:t>’</w:t>
            </w:r>
            <w:r w:rsidRPr="00A42935">
              <w:rPr>
                <w:rFonts w:ascii="Times New Roman" w:hAnsi="Times New Roman" w:cs="Times New Roman"/>
                <w:lang w:val="fr-FR"/>
              </w:rPr>
              <w:t>objectif est d</w:t>
            </w:r>
            <w:r>
              <w:rPr>
                <w:rFonts w:ascii="Times New Roman" w:hAnsi="Times New Roman" w:cs="Times New Roman"/>
                <w:lang w:val="fr-FR"/>
              </w:rPr>
              <w:t>’</w:t>
            </w:r>
            <w:r w:rsidRPr="00A42935">
              <w:rPr>
                <w:rFonts w:ascii="Times New Roman" w:hAnsi="Times New Roman" w:cs="Times New Roman"/>
                <w:lang w:val="fr-FR"/>
              </w:rPr>
              <w:t>identifier les causes de la faible productivité actuelle qui conduit à un rapide déclin de la population.</w:t>
            </w:r>
          </w:p>
        </w:tc>
      </w:tr>
    </w:tbl>
    <w:p w14:paraId="778304DA"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p w14:paraId="785E138E"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6C7611">
        <w:rPr>
          <w:rFonts w:ascii="Times New Roman" w:hAnsi="Times New Roman" w:cs="Times New Roman"/>
          <w:lang w:val="fr-FR"/>
        </w:rPr>
        <w:t xml:space="preserve">La coordination internationale du </w:t>
      </w:r>
      <w:r>
        <w:rPr>
          <w:rFonts w:ascii="Times New Roman" w:hAnsi="Times New Roman" w:cs="Times New Roman"/>
          <w:lang w:val="fr-FR"/>
        </w:rPr>
        <w:t>plan</w:t>
      </w:r>
      <w:r w:rsidRPr="006C7611">
        <w:rPr>
          <w:rFonts w:ascii="Times New Roman" w:hAnsi="Times New Roman" w:cs="Times New Roman"/>
          <w:lang w:val="fr-FR"/>
        </w:rPr>
        <w:t xml:space="preserve"> d</w:t>
      </w:r>
      <w:r>
        <w:rPr>
          <w:rFonts w:ascii="Times New Roman" w:hAnsi="Times New Roman" w:cs="Times New Roman"/>
          <w:lang w:val="fr-FR"/>
        </w:rPr>
        <w:t>’</w:t>
      </w:r>
      <w:r w:rsidRPr="006C7611">
        <w:rPr>
          <w:rFonts w:ascii="Times New Roman" w:hAnsi="Times New Roman" w:cs="Times New Roman"/>
          <w:lang w:val="fr-FR"/>
        </w:rPr>
        <w:t>action pour l</w:t>
      </w:r>
      <w:r>
        <w:rPr>
          <w:rFonts w:ascii="Times New Roman" w:hAnsi="Times New Roman" w:cs="Times New Roman"/>
          <w:lang w:val="fr-FR"/>
        </w:rPr>
        <w:t>’</w:t>
      </w:r>
      <w:r w:rsidRPr="006C7611">
        <w:rPr>
          <w:rFonts w:ascii="Times New Roman" w:hAnsi="Times New Roman" w:cs="Times New Roman"/>
          <w:lang w:val="fr-FR"/>
        </w:rPr>
        <w:t>Oie rieuse du Groenland n</w:t>
      </w:r>
      <w:r>
        <w:rPr>
          <w:rFonts w:ascii="Times New Roman" w:hAnsi="Times New Roman" w:cs="Times New Roman"/>
          <w:lang w:val="fr-FR"/>
        </w:rPr>
        <w:t>’</w:t>
      </w:r>
      <w:r w:rsidRPr="006C7611">
        <w:rPr>
          <w:rFonts w:ascii="Times New Roman" w:hAnsi="Times New Roman" w:cs="Times New Roman"/>
          <w:lang w:val="fr-FR"/>
        </w:rPr>
        <w:t xml:space="preserve">a pas été classée prioritaire pour </w:t>
      </w:r>
      <w:r>
        <w:rPr>
          <w:rFonts w:ascii="Times New Roman" w:hAnsi="Times New Roman" w:cs="Times New Roman"/>
          <w:lang w:val="fr-FR"/>
        </w:rPr>
        <w:t>bénéficier d’</w:t>
      </w:r>
      <w:r w:rsidRPr="006C7611">
        <w:rPr>
          <w:rFonts w:ascii="Times New Roman" w:hAnsi="Times New Roman" w:cs="Times New Roman"/>
          <w:lang w:val="fr-FR"/>
        </w:rPr>
        <w:t>un groupe de travail intergouvernemental de l</w:t>
      </w:r>
      <w:r>
        <w:rPr>
          <w:rFonts w:ascii="Times New Roman" w:hAnsi="Times New Roman" w:cs="Times New Roman"/>
          <w:lang w:val="fr-FR"/>
        </w:rPr>
        <w:t>’</w:t>
      </w:r>
      <w:r w:rsidRPr="006C7611">
        <w:rPr>
          <w:rFonts w:ascii="Times New Roman" w:hAnsi="Times New Roman" w:cs="Times New Roman"/>
          <w:lang w:val="fr-FR"/>
        </w:rPr>
        <w:t>AEWA à part entière sur l</w:t>
      </w:r>
      <w:r>
        <w:rPr>
          <w:rFonts w:ascii="Times New Roman" w:hAnsi="Times New Roman" w:cs="Times New Roman"/>
          <w:lang w:val="fr-FR"/>
        </w:rPr>
        <w:t>’</w:t>
      </w:r>
      <w:r w:rsidRPr="006C7611">
        <w:rPr>
          <w:rFonts w:ascii="Times New Roman" w:hAnsi="Times New Roman" w:cs="Times New Roman"/>
          <w:lang w:val="fr-FR"/>
        </w:rPr>
        <w:t>espèce.</w:t>
      </w:r>
      <w:r w:rsidRPr="004B1407">
        <w:rPr>
          <w:rFonts w:ascii="Times New Roman" w:hAnsi="Times New Roman" w:cs="Times New Roman"/>
          <w:lang w:val="fr-FR"/>
        </w:rPr>
        <w:t xml:space="preserve"> </w:t>
      </w:r>
      <w:r w:rsidRPr="006C7611">
        <w:rPr>
          <w:rFonts w:ascii="Times New Roman" w:hAnsi="Times New Roman" w:cs="Times New Roman"/>
          <w:lang w:val="fr-FR"/>
        </w:rPr>
        <w:t xml:space="preserve">À la place, il a été décidé </w:t>
      </w:r>
      <w:r>
        <w:rPr>
          <w:rFonts w:ascii="Times New Roman" w:hAnsi="Times New Roman" w:cs="Times New Roman"/>
          <w:lang w:val="fr-FR"/>
        </w:rPr>
        <w:t>d’établir</w:t>
      </w:r>
      <w:r w:rsidRPr="006C7611">
        <w:rPr>
          <w:rFonts w:ascii="Times New Roman" w:hAnsi="Times New Roman" w:cs="Times New Roman"/>
          <w:lang w:val="fr-FR"/>
        </w:rPr>
        <w:t xml:space="preserve"> à cet effet un groupe d</w:t>
      </w:r>
      <w:r>
        <w:rPr>
          <w:rFonts w:ascii="Times New Roman" w:hAnsi="Times New Roman" w:cs="Times New Roman"/>
          <w:lang w:val="fr-FR"/>
        </w:rPr>
        <w:t>’</w:t>
      </w:r>
      <w:r w:rsidRPr="006C7611">
        <w:rPr>
          <w:rFonts w:ascii="Times New Roman" w:hAnsi="Times New Roman" w:cs="Times New Roman"/>
          <w:lang w:val="fr-FR"/>
        </w:rPr>
        <w:t>experts internationaux de l</w:t>
      </w:r>
      <w:r>
        <w:rPr>
          <w:rFonts w:ascii="Times New Roman" w:hAnsi="Times New Roman" w:cs="Times New Roman"/>
          <w:lang w:val="fr-FR"/>
        </w:rPr>
        <w:t>’</w:t>
      </w:r>
      <w:r w:rsidRPr="006C7611">
        <w:rPr>
          <w:rFonts w:ascii="Times New Roman" w:hAnsi="Times New Roman" w:cs="Times New Roman"/>
          <w:lang w:val="fr-FR"/>
        </w:rPr>
        <w:t>AEWA sur la base du réseau d</w:t>
      </w:r>
      <w:r>
        <w:rPr>
          <w:rFonts w:ascii="Times New Roman" w:hAnsi="Times New Roman" w:cs="Times New Roman"/>
          <w:lang w:val="fr-FR"/>
        </w:rPr>
        <w:t>’</w:t>
      </w:r>
      <w:r w:rsidRPr="006C7611">
        <w:rPr>
          <w:rFonts w:ascii="Times New Roman" w:hAnsi="Times New Roman" w:cs="Times New Roman"/>
          <w:lang w:val="fr-FR"/>
        </w:rPr>
        <w:t>experts déjà existant pour l</w:t>
      </w:r>
      <w:r>
        <w:rPr>
          <w:rFonts w:ascii="Times New Roman" w:hAnsi="Times New Roman" w:cs="Times New Roman"/>
          <w:lang w:val="fr-FR"/>
        </w:rPr>
        <w:t>’</w:t>
      </w:r>
      <w:r w:rsidRPr="006C7611">
        <w:rPr>
          <w:rFonts w:ascii="Times New Roman" w:hAnsi="Times New Roman" w:cs="Times New Roman"/>
          <w:lang w:val="fr-FR"/>
        </w:rPr>
        <w:t>espèce.</w:t>
      </w:r>
      <w:r w:rsidRPr="004B1407">
        <w:rPr>
          <w:rFonts w:ascii="Times New Roman" w:hAnsi="Times New Roman" w:cs="Times New Roman"/>
          <w:lang w:val="fr-FR"/>
        </w:rPr>
        <w:t xml:space="preserve"> </w:t>
      </w:r>
      <w:r w:rsidRPr="006C7611">
        <w:rPr>
          <w:rFonts w:ascii="Times New Roman" w:hAnsi="Times New Roman" w:cs="Times New Roman"/>
          <w:lang w:val="fr-FR"/>
        </w:rPr>
        <w:t>En dépit des tentatives du Secrétariat de mettre sur pied ce groupe et d</w:t>
      </w:r>
      <w:r>
        <w:rPr>
          <w:rFonts w:ascii="Times New Roman" w:hAnsi="Times New Roman" w:cs="Times New Roman"/>
          <w:lang w:val="fr-FR"/>
        </w:rPr>
        <w:t>’</w:t>
      </w:r>
      <w:r w:rsidRPr="006C7611">
        <w:rPr>
          <w:rFonts w:ascii="Times New Roman" w:hAnsi="Times New Roman" w:cs="Times New Roman"/>
          <w:lang w:val="fr-FR"/>
        </w:rPr>
        <w:t>assurer sa coordination, aucun des États de l</w:t>
      </w:r>
      <w:r>
        <w:rPr>
          <w:rFonts w:ascii="Times New Roman" w:hAnsi="Times New Roman" w:cs="Times New Roman"/>
          <w:lang w:val="fr-FR"/>
        </w:rPr>
        <w:t>’</w:t>
      </w:r>
      <w:r w:rsidRPr="006C7611">
        <w:rPr>
          <w:rFonts w:ascii="Times New Roman" w:hAnsi="Times New Roman" w:cs="Times New Roman"/>
          <w:lang w:val="fr-FR"/>
        </w:rPr>
        <w:t>aire de répartition ou des organisations concernées n</w:t>
      </w:r>
      <w:r>
        <w:rPr>
          <w:rFonts w:ascii="Times New Roman" w:hAnsi="Times New Roman" w:cs="Times New Roman"/>
          <w:lang w:val="fr-FR"/>
        </w:rPr>
        <w:t>’</w:t>
      </w:r>
      <w:r w:rsidRPr="006C7611">
        <w:rPr>
          <w:rFonts w:ascii="Times New Roman" w:hAnsi="Times New Roman" w:cs="Times New Roman"/>
          <w:lang w:val="fr-FR"/>
        </w:rPr>
        <w:t>ont jusqu</w:t>
      </w:r>
      <w:r>
        <w:rPr>
          <w:rFonts w:ascii="Times New Roman" w:hAnsi="Times New Roman" w:cs="Times New Roman"/>
          <w:lang w:val="fr-FR"/>
        </w:rPr>
        <w:t>’</w:t>
      </w:r>
      <w:r w:rsidRPr="006C7611">
        <w:rPr>
          <w:rFonts w:ascii="Times New Roman" w:hAnsi="Times New Roman" w:cs="Times New Roman"/>
          <w:lang w:val="fr-FR"/>
        </w:rPr>
        <w:t>à présent accepté d</w:t>
      </w:r>
      <w:r>
        <w:rPr>
          <w:rFonts w:ascii="Times New Roman" w:hAnsi="Times New Roman" w:cs="Times New Roman"/>
          <w:lang w:val="fr-FR"/>
        </w:rPr>
        <w:t>’</w:t>
      </w:r>
      <w:r w:rsidRPr="006C7611">
        <w:rPr>
          <w:rFonts w:ascii="Times New Roman" w:hAnsi="Times New Roman" w:cs="Times New Roman"/>
          <w:lang w:val="fr-FR"/>
        </w:rPr>
        <w:t>en prendre la tête.</w:t>
      </w:r>
      <w:r w:rsidRPr="004B1407">
        <w:rPr>
          <w:rFonts w:ascii="Times New Roman" w:hAnsi="Times New Roman" w:cs="Times New Roman"/>
          <w:lang w:val="fr-FR"/>
        </w:rPr>
        <w:t xml:space="preserve"> </w:t>
      </w:r>
    </w:p>
    <w:p w14:paraId="4C21323C"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3091072F"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2. </w:t>
      </w:r>
      <w:r w:rsidRPr="006C7611">
        <w:rPr>
          <w:rFonts w:ascii="Times New Roman" w:hAnsi="Times New Roman" w:cs="Times New Roman"/>
          <w:i/>
          <w:lang w:val="fr-FR"/>
        </w:rPr>
        <w:t>Taux de réponse</w:t>
      </w:r>
    </w:p>
    <w:p w14:paraId="46CD5251"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4DDBC8C3" w14:textId="77777777" w:rsidR="00886A3C" w:rsidRPr="004B1407" w:rsidRDefault="00886A3C" w:rsidP="00886A3C">
      <w:pPr>
        <w:spacing w:after="0" w:line="240" w:lineRule="auto"/>
        <w:jc w:val="both"/>
        <w:rPr>
          <w:rFonts w:ascii="Times New Roman" w:hAnsi="Times New Roman" w:cs="Times New Roman"/>
          <w:lang w:val="fr-FR"/>
        </w:rPr>
      </w:pPr>
      <w:r w:rsidRPr="006C7611">
        <w:rPr>
          <w:rFonts w:ascii="Times New Roman" w:hAnsi="Times New Roman" w:cs="Times New Roman"/>
          <w:lang w:val="fr-FR"/>
        </w:rPr>
        <w:t>Trois des quatre principaux États de l</w:t>
      </w:r>
      <w:r>
        <w:rPr>
          <w:rFonts w:ascii="Times New Roman" w:hAnsi="Times New Roman" w:cs="Times New Roman"/>
          <w:lang w:val="fr-FR"/>
        </w:rPr>
        <w:t>’</w:t>
      </w:r>
      <w:r w:rsidRPr="006C7611">
        <w:rPr>
          <w:rFonts w:ascii="Times New Roman" w:hAnsi="Times New Roman" w:cs="Times New Roman"/>
          <w:lang w:val="fr-FR"/>
        </w:rPr>
        <w:t>aire de répartition (75</w:t>
      </w:r>
      <w:r>
        <w:rPr>
          <w:rFonts w:ascii="Times New Roman" w:hAnsi="Times New Roman" w:cs="Times New Roman"/>
          <w:lang w:val="fr-FR"/>
        </w:rPr>
        <w:t> %</w:t>
      </w:r>
      <w:r w:rsidRPr="006C7611">
        <w:rPr>
          <w:rFonts w:ascii="Times New Roman" w:hAnsi="Times New Roman" w:cs="Times New Roman"/>
          <w:lang w:val="fr-FR"/>
        </w:rPr>
        <w:t xml:space="preserve">) </w:t>
      </w:r>
      <w:r>
        <w:rPr>
          <w:rFonts w:ascii="Times New Roman" w:hAnsi="Times New Roman" w:cs="Times New Roman"/>
          <w:lang w:val="fr-FR"/>
        </w:rPr>
        <w:t>recensés dans le plan d’action</w:t>
      </w:r>
      <w:r w:rsidRPr="006C7611">
        <w:rPr>
          <w:rFonts w:ascii="Times New Roman" w:hAnsi="Times New Roman" w:cs="Times New Roman"/>
          <w:lang w:val="fr-FR"/>
        </w:rPr>
        <w:t xml:space="preserve"> ont répondu au questionnaire.</w:t>
      </w:r>
      <w:r w:rsidRPr="004B1407">
        <w:rPr>
          <w:rFonts w:ascii="Times New Roman" w:hAnsi="Times New Roman" w:cs="Times New Roman"/>
          <w:lang w:val="fr-FR"/>
        </w:rPr>
        <w:t xml:space="preserve"> </w:t>
      </w:r>
    </w:p>
    <w:p w14:paraId="03B1CACB" w14:textId="77777777" w:rsidR="00886A3C" w:rsidRPr="004B1407" w:rsidRDefault="00886A3C" w:rsidP="00886A3C">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2434"/>
        <w:gridCol w:w="1493"/>
        <w:gridCol w:w="3383"/>
        <w:gridCol w:w="1750"/>
      </w:tblGrid>
      <w:tr w:rsidR="00886A3C" w14:paraId="2C23C0FA" w14:textId="77777777" w:rsidTr="00886A3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D7B14" w14:textId="77777777" w:rsidR="00886A3C" w:rsidRPr="00915C33" w:rsidRDefault="00886A3C" w:rsidP="00886A3C">
            <w:pPr>
              <w:jc w:val="both"/>
              <w:rPr>
                <w:rFonts w:ascii="Times New Roman" w:hAnsi="Times New Roman" w:cs="Times New Roman"/>
                <w:b w:val="0"/>
                <w:i/>
              </w:rPr>
            </w:pPr>
            <w:r w:rsidRPr="006C7611">
              <w:rPr>
                <w:rFonts w:ascii="Times New Roman" w:hAnsi="Times New Roman" w:cs="Times New Roman"/>
                <w:b w:val="0"/>
                <w:i/>
                <w:lang w:val="fr-FR"/>
              </w:rPr>
              <w:t>Réponse reçue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783FC" w14:textId="77777777" w:rsidR="00886A3C" w:rsidRPr="003F50F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6C7611">
              <w:rPr>
                <w:rFonts w:ascii="Times New Roman" w:hAnsi="Times New Roman" w:cs="Times New Roman"/>
                <w:b w:val="0"/>
                <w:i/>
                <w:lang w:val="fr-FR"/>
              </w:rPr>
              <w:t>PC AEWA</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F2C99" w14:textId="77777777" w:rsidR="00886A3C" w:rsidRPr="004B140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sidRPr="006C7611">
              <w:rPr>
                <w:rFonts w:ascii="Times New Roman" w:hAnsi="Times New Roman" w:cs="Times New Roman"/>
                <w:b w:val="0"/>
                <w:i/>
                <w:lang w:val="fr-FR"/>
              </w:rPr>
              <w:t>Pas de réponse reçue à la date butoir</w:t>
            </w:r>
            <w:r w:rsidRPr="004B1407">
              <w:rPr>
                <w:rFonts w:ascii="Times New Roman" w:hAnsi="Times New Roman" w:cs="Times New Roman"/>
                <w:b w:val="0"/>
                <w:i/>
                <w:lang w:val="fr-FR"/>
              </w:rPr>
              <w:t xml:space="preserve"> </w:t>
            </w: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E9916" w14:textId="77777777" w:rsidR="00886A3C" w:rsidRPr="003F50F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C7611">
              <w:rPr>
                <w:rFonts w:ascii="Times New Roman" w:hAnsi="Times New Roman" w:cs="Times New Roman"/>
                <w:b w:val="0"/>
                <w:i/>
                <w:lang w:val="fr-FR"/>
              </w:rPr>
              <w:t>PC AEWA</w:t>
            </w:r>
          </w:p>
        </w:tc>
      </w:tr>
      <w:tr w:rsidR="00886A3C" w:rsidRPr="00915C33" w14:paraId="2872306B" w14:textId="77777777" w:rsidTr="00886A3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F0471" w14:textId="77777777" w:rsidR="00886A3C" w:rsidRPr="002E1450" w:rsidRDefault="00886A3C" w:rsidP="00886A3C">
            <w:pPr>
              <w:jc w:val="both"/>
              <w:rPr>
                <w:rFonts w:ascii="Times New Roman" w:hAnsi="Times New Roman" w:cs="Times New Roman"/>
                <w:b w:val="0"/>
              </w:rPr>
            </w:pPr>
            <w:r w:rsidRPr="006C7611">
              <w:rPr>
                <w:rFonts w:ascii="Times New Roman" w:hAnsi="Times New Roman" w:cs="Times New Roman"/>
                <w:b w:val="0"/>
                <w:lang w:val="fr-FR"/>
              </w:rPr>
              <w:t>Islande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A6A26" w14:textId="77777777" w:rsidR="00886A3C" w:rsidRPr="002E145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611">
              <w:rPr>
                <w:rFonts w:ascii="Times New Roman" w:hAnsi="Times New Roman" w:cs="Times New Roman"/>
                <w:lang w:val="fr-FR"/>
              </w:rPr>
              <w:t>Oui</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D6FA77" w14:textId="77777777" w:rsidR="00886A3C" w:rsidRPr="002E145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611">
              <w:rPr>
                <w:rFonts w:ascii="Times New Roman" w:hAnsi="Times New Roman" w:cs="Times New Roman"/>
                <w:lang w:val="fr-FR"/>
              </w:rPr>
              <w:t>Groenland</w:t>
            </w: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365B8" w14:textId="77777777" w:rsidR="00886A3C" w:rsidRPr="002E145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611">
              <w:rPr>
                <w:rFonts w:ascii="Times New Roman" w:hAnsi="Times New Roman" w:cs="Times New Roman"/>
                <w:lang w:val="fr-FR"/>
              </w:rPr>
              <w:t>Non</w:t>
            </w:r>
          </w:p>
        </w:tc>
      </w:tr>
      <w:tr w:rsidR="00886A3C" w:rsidRPr="00915C33" w14:paraId="6C9D4AA0" w14:textId="77777777" w:rsidTr="00886A3C">
        <w:trPr>
          <w:trHeight w:val="259"/>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833EA" w14:textId="77777777" w:rsidR="00886A3C" w:rsidRPr="002E1450" w:rsidRDefault="00886A3C" w:rsidP="00886A3C">
            <w:pPr>
              <w:jc w:val="both"/>
              <w:rPr>
                <w:rFonts w:ascii="Times New Roman" w:hAnsi="Times New Roman" w:cs="Times New Roman"/>
                <w:b w:val="0"/>
              </w:rPr>
            </w:pPr>
            <w:r w:rsidRPr="006C7611">
              <w:rPr>
                <w:rFonts w:ascii="Times New Roman" w:hAnsi="Times New Roman" w:cs="Times New Roman"/>
                <w:b w:val="0"/>
                <w:lang w:val="fr-FR"/>
              </w:rPr>
              <w:t>Irlande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C76F2" w14:textId="77777777" w:rsidR="00886A3C" w:rsidRPr="002E1450"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7611">
              <w:rPr>
                <w:rFonts w:ascii="Times New Roman" w:hAnsi="Times New Roman" w:cs="Times New Roman"/>
                <w:lang w:val="fr-FR"/>
              </w:rPr>
              <w:t>Oui</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BDAB6" w14:textId="77777777" w:rsidR="00886A3C" w:rsidRPr="002E1450"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245D0" w14:textId="77777777" w:rsidR="00886A3C" w:rsidRPr="002E1450"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6A3C" w:rsidRPr="00915C33" w14:paraId="49F7D06D" w14:textId="77777777" w:rsidTr="00886A3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44C4F3" w14:textId="77777777" w:rsidR="00886A3C" w:rsidRPr="002E1450" w:rsidRDefault="00886A3C" w:rsidP="00886A3C">
            <w:pPr>
              <w:jc w:val="both"/>
              <w:rPr>
                <w:rFonts w:ascii="Times New Roman" w:hAnsi="Times New Roman" w:cs="Times New Roman"/>
                <w:b w:val="0"/>
              </w:rPr>
            </w:pPr>
            <w:r w:rsidRPr="006C7611">
              <w:rPr>
                <w:rFonts w:ascii="Times New Roman" w:hAnsi="Times New Roman" w:cs="Times New Roman"/>
                <w:b w:val="0"/>
                <w:lang w:val="fr-FR"/>
              </w:rPr>
              <w:t>R-U</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47C9E" w14:textId="77777777" w:rsidR="00886A3C" w:rsidRPr="002E145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611">
              <w:rPr>
                <w:rFonts w:ascii="Times New Roman" w:hAnsi="Times New Roman" w:cs="Times New Roman"/>
                <w:lang w:val="fr-FR"/>
              </w:rPr>
              <w:t>Oui</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D60CF" w14:textId="77777777" w:rsidR="00886A3C" w:rsidRPr="002E145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7D3DF" w14:textId="77777777" w:rsidR="00886A3C" w:rsidRPr="002E145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303CB33" w14:textId="77777777" w:rsidR="00886A3C" w:rsidRPr="00230425" w:rsidRDefault="00886A3C" w:rsidP="00886A3C">
      <w:pPr>
        <w:shd w:val="clear" w:color="auto" w:fill="FFFFFF" w:themeFill="background1"/>
        <w:spacing w:after="0" w:line="240" w:lineRule="auto"/>
        <w:rPr>
          <w:rFonts w:ascii="Times New Roman" w:hAnsi="Times New Roman" w:cs="Times New Roman"/>
          <w:i/>
          <w:lang w:val="en-US"/>
        </w:rPr>
      </w:pPr>
    </w:p>
    <w:p w14:paraId="0397490F" w14:textId="77777777" w:rsidR="00886A3C" w:rsidRPr="002165B0" w:rsidRDefault="00886A3C" w:rsidP="00886A3C">
      <w:pPr>
        <w:shd w:val="clear" w:color="auto" w:fill="DBE5F1" w:themeFill="accent1" w:themeFillTint="33"/>
        <w:spacing w:after="0" w:line="240" w:lineRule="auto"/>
        <w:rPr>
          <w:rFonts w:ascii="Times New Roman" w:hAnsi="Times New Roman" w:cs="Times New Roman"/>
          <w:i/>
          <w:lang w:val="fr-FR"/>
        </w:rPr>
      </w:pPr>
      <w:r w:rsidRPr="002165B0">
        <w:rPr>
          <w:rFonts w:ascii="Times New Roman" w:hAnsi="Times New Roman" w:cs="Times New Roman"/>
          <w:i/>
          <w:lang w:val="fr-FR"/>
        </w:rPr>
        <w:t xml:space="preserve">3. </w:t>
      </w:r>
      <w:r w:rsidRPr="006C7611">
        <w:rPr>
          <w:rFonts w:ascii="Times New Roman" w:hAnsi="Times New Roman" w:cs="Times New Roman"/>
          <w:i/>
          <w:lang w:val="fr-FR"/>
        </w:rPr>
        <w:t>Tendances et estimations de l</w:t>
      </w:r>
      <w:r>
        <w:rPr>
          <w:rFonts w:ascii="Times New Roman" w:hAnsi="Times New Roman" w:cs="Times New Roman"/>
          <w:i/>
          <w:lang w:val="fr-FR"/>
        </w:rPr>
        <w:t>’</w:t>
      </w:r>
      <w:r w:rsidRPr="006C7611">
        <w:rPr>
          <w:rFonts w:ascii="Times New Roman" w:hAnsi="Times New Roman" w:cs="Times New Roman"/>
          <w:i/>
          <w:lang w:val="fr-FR"/>
        </w:rPr>
        <w:t>espèce</w:t>
      </w:r>
    </w:p>
    <w:p w14:paraId="5DDA7CA5" w14:textId="77777777" w:rsidR="00886A3C" w:rsidRPr="002165B0" w:rsidRDefault="00886A3C" w:rsidP="00886A3C">
      <w:pPr>
        <w:spacing w:after="0" w:line="240" w:lineRule="auto"/>
        <w:rPr>
          <w:rFonts w:ascii="Times New Roman" w:hAnsi="Times New Roman" w:cs="Times New Roman"/>
          <w:i/>
          <w:lang w:val="fr-FR"/>
        </w:rPr>
      </w:pPr>
    </w:p>
    <w:p w14:paraId="21ECA8A0" w14:textId="72087067" w:rsidR="00886A3C" w:rsidRPr="004B1407" w:rsidRDefault="00B34254" w:rsidP="00886A3C">
      <w:pPr>
        <w:spacing w:after="0" w:line="240" w:lineRule="auto"/>
        <w:jc w:val="both"/>
        <w:rPr>
          <w:rFonts w:ascii="Times New Roman" w:hAnsi="Times New Roman" w:cs="Times New Roman"/>
          <w:lang w:val="fr-FR"/>
        </w:rPr>
      </w:pPr>
      <w:r>
        <w:rPr>
          <w:rFonts w:ascii="Times New Roman" w:hAnsi="Times New Roman" w:cs="Times New Roman"/>
          <w:lang w:val="fr-FR"/>
        </w:rPr>
        <w:t>[Aucune donnée fournie</w:t>
      </w:r>
      <w:r w:rsidR="00886A3C" w:rsidRPr="006C7611">
        <w:rPr>
          <w:rFonts w:ascii="Times New Roman" w:hAnsi="Times New Roman" w:cs="Times New Roman"/>
          <w:lang w:val="fr-FR"/>
        </w:rPr>
        <w:t>]</w:t>
      </w:r>
    </w:p>
    <w:p w14:paraId="0F0DBE12" w14:textId="77777777" w:rsidR="00886A3C" w:rsidRPr="004B1407" w:rsidRDefault="00886A3C" w:rsidP="00886A3C">
      <w:pPr>
        <w:spacing w:after="0" w:line="240" w:lineRule="auto"/>
        <w:jc w:val="both"/>
        <w:rPr>
          <w:rFonts w:ascii="Times New Roman" w:hAnsi="Times New Roman" w:cs="Times New Roman"/>
          <w:lang w:val="fr-FR"/>
        </w:rPr>
      </w:pPr>
    </w:p>
    <w:p w14:paraId="47D16CC4" w14:textId="77777777" w:rsidR="00886A3C" w:rsidRDefault="00886A3C" w:rsidP="00886A3C">
      <w:pPr>
        <w:spacing w:after="0" w:line="240" w:lineRule="auto"/>
        <w:jc w:val="both"/>
        <w:rPr>
          <w:rFonts w:ascii="Times New Roman" w:hAnsi="Times New Roman" w:cs="Times New Roman"/>
          <w:lang w:val="en-US"/>
        </w:rPr>
      </w:pPr>
    </w:p>
    <w:p w14:paraId="48467D49" w14:textId="77777777" w:rsidR="00886A3C" w:rsidRDefault="00886A3C" w:rsidP="00886A3C">
      <w:pPr>
        <w:spacing w:after="0" w:line="240" w:lineRule="auto"/>
        <w:jc w:val="both"/>
        <w:rPr>
          <w:rFonts w:ascii="Times New Roman" w:hAnsi="Times New Roman" w:cs="Times New Roman"/>
          <w:lang w:val="en-US"/>
        </w:rPr>
      </w:pPr>
    </w:p>
    <w:p w14:paraId="78F523E5" w14:textId="77777777" w:rsidR="00886A3C" w:rsidRDefault="00886A3C" w:rsidP="00886A3C">
      <w:pPr>
        <w:spacing w:after="0" w:line="240" w:lineRule="auto"/>
        <w:rPr>
          <w:rFonts w:ascii="Times New Roman" w:hAnsi="Times New Roman" w:cs="Times New Roman"/>
          <w:i/>
          <w:lang w:val="en-US"/>
        </w:rPr>
      </w:pPr>
    </w:p>
    <w:p w14:paraId="6F6EF74F"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4. </w:t>
      </w:r>
      <w:r w:rsidRPr="00946C7B">
        <w:rPr>
          <w:rFonts w:ascii="Times New Roman" w:hAnsi="Times New Roman" w:cs="Times New Roman"/>
          <w:i/>
          <w:lang w:val="fr-FR"/>
        </w:rPr>
        <w:t xml:space="preserve">Structures nationales de mise en œuvre </w:t>
      </w:r>
    </w:p>
    <w:p w14:paraId="0F1290DB" w14:textId="77777777" w:rsidR="00886A3C" w:rsidRPr="004B1407" w:rsidRDefault="00886A3C" w:rsidP="00886A3C">
      <w:pPr>
        <w:spacing w:after="0" w:line="240" w:lineRule="auto"/>
        <w:rPr>
          <w:rFonts w:ascii="Times New Roman" w:hAnsi="Times New Roman" w:cs="Times New Roman"/>
          <w:i/>
          <w:lang w:val="fr-FR"/>
        </w:rPr>
      </w:pPr>
    </w:p>
    <w:p w14:paraId="564BDE79" w14:textId="77777777" w:rsidR="00886A3C" w:rsidRPr="004B1407" w:rsidRDefault="00886A3C" w:rsidP="00886A3C">
      <w:pPr>
        <w:spacing w:after="0" w:line="240" w:lineRule="auto"/>
        <w:jc w:val="both"/>
        <w:rPr>
          <w:rFonts w:ascii="Times New Roman" w:hAnsi="Times New Roman" w:cs="Times New Roman"/>
          <w:lang w:val="fr-FR"/>
        </w:rPr>
      </w:pPr>
      <w:r w:rsidRPr="00946C7B">
        <w:rPr>
          <w:rFonts w:ascii="Times New Roman" w:hAnsi="Times New Roman" w:cs="Times New Roman"/>
          <w:lang w:val="fr-FR"/>
        </w:rPr>
        <w:t>Aucun des États de l</w:t>
      </w:r>
      <w:r>
        <w:rPr>
          <w:rFonts w:ascii="Times New Roman" w:hAnsi="Times New Roman" w:cs="Times New Roman"/>
          <w:lang w:val="fr-FR"/>
        </w:rPr>
        <w:t>’</w:t>
      </w:r>
      <w:r w:rsidRPr="00946C7B">
        <w:rPr>
          <w:rFonts w:ascii="Times New Roman" w:hAnsi="Times New Roman" w:cs="Times New Roman"/>
          <w:lang w:val="fr-FR"/>
        </w:rPr>
        <w:t>aire de répartition n</w:t>
      </w:r>
      <w:r>
        <w:rPr>
          <w:rFonts w:ascii="Times New Roman" w:hAnsi="Times New Roman" w:cs="Times New Roman"/>
          <w:lang w:val="fr-FR"/>
        </w:rPr>
        <w:t>’</w:t>
      </w:r>
      <w:r w:rsidRPr="00946C7B">
        <w:rPr>
          <w:rFonts w:ascii="Times New Roman" w:hAnsi="Times New Roman" w:cs="Times New Roman"/>
          <w:lang w:val="fr-FR"/>
        </w:rPr>
        <w:t>a indiqué avoir adopté un plan d</w:t>
      </w:r>
      <w:r>
        <w:rPr>
          <w:rFonts w:ascii="Times New Roman" w:hAnsi="Times New Roman" w:cs="Times New Roman"/>
          <w:lang w:val="fr-FR"/>
        </w:rPr>
        <w:t>’</w:t>
      </w:r>
      <w:r w:rsidRPr="00946C7B">
        <w:rPr>
          <w:rFonts w:ascii="Times New Roman" w:hAnsi="Times New Roman" w:cs="Times New Roman"/>
          <w:lang w:val="fr-FR"/>
        </w:rPr>
        <w:t>action national pour l</w:t>
      </w:r>
      <w:r>
        <w:rPr>
          <w:rFonts w:ascii="Times New Roman" w:hAnsi="Times New Roman" w:cs="Times New Roman"/>
          <w:lang w:val="fr-FR"/>
        </w:rPr>
        <w:t>’</w:t>
      </w:r>
      <w:r w:rsidRPr="00946C7B">
        <w:rPr>
          <w:rFonts w:ascii="Times New Roman" w:hAnsi="Times New Roman" w:cs="Times New Roman"/>
          <w:lang w:val="fr-FR"/>
        </w:rPr>
        <w:t>espèce.</w:t>
      </w:r>
      <w:r w:rsidRPr="004B1407">
        <w:rPr>
          <w:rFonts w:ascii="Times New Roman" w:hAnsi="Times New Roman" w:cs="Times New Roman"/>
          <w:lang w:val="fr-FR"/>
        </w:rPr>
        <w:t xml:space="preserve"> </w:t>
      </w:r>
      <w:r w:rsidRPr="00946C7B">
        <w:rPr>
          <w:rFonts w:ascii="Times New Roman" w:hAnsi="Times New Roman" w:cs="Times New Roman"/>
          <w:lang w:val="fr-FR"/>
        </w:rPr>
        <w:t>Seule l</w:t>
      </w:r>
      <w:r>
        <w:rPr>
          <w:rFonts w:ascii="Times New Roman" w:hAnsi="Times New Roman" w:cs="Times New Roman"/>
          <w:lang w:val="fr-FR"/>
        </w:rPr>
        <w:t>’</w:t>
      </w:r>
      <w:r w:rsidRPr="00946C7B">
        <w:rPr>
          <w:rFonts w:ascii="Times New Roman" w:hAnsi="Times New Roman" w:cs="Times New Roman"/>
          <w:lang w:val="fr-FR"/>
        </w:rPr>
        <w:t xml:space="preserve">Irlande a communiqué </w:t>
      </w:r>
      <w:r>
        <w:rPr>
          <w:rFonts w:ascii="Times New Roman" w:hAnsi="Times New Roman" w:cs="Times New Roman"/>
          <w:lang w:val="fr-FR"/>
        </w:rPr>
        <w:t>avoir</w:t>
      </w:r>
      <w:r w:rsidRPr="00946C7B">
        <w:rPr>
          <w:rFonts w:ascii="Times New Roman" w:hAnsi="Times New Roman" w:cs="Times New Roman"/>
          <w:lang w:val="fr-FR"/>
        </w:rPr>
        <w:t xml:space="preserve"> un groupe de travail national </w:t>
      </w:r>
      <w:r>
        <w:rPr>
          <w:rFonts w:ascii="Times New Roman" w:hAnsi="Times New Roman" w:cs="Times New Roman"/>
          <w:lang w:val="fr-FR"/>
        </w:rPr>
        <w:t>en place</w:t>
      </w:r>
      <w:r w:rsidRPr="00946C7B">
        <w:rPr>
          <w:rFonts w:ascii="Times New Roman" w:hAnsi="Times New Roman" w:cs="Times New Roman"/>
          <w:lang w:val="fr-FR"/>
        </w:rPr>
        <w:t>.</w:t>
      </w:r>
    </w:p>
    <w:p w14:paraId="37A2BBA6" w14:textId="77777777" w:rsidR="00886A3C" w:rsidRPr="004B1407" w:rsidRDefault="00886A3C" w:rsidP="00886A3C">
      <w:pPr>
        <w:spacing w:after="0" w:line="240" w:lineRule="auto"/>
        <w:rPr>
          <w:rFonts w:ascii="Arial" w:hAnsi="Arial" w:cs="Arial"/>
          <w:i/>
          <w:sz w:val="20"/>
          <w:szCs w:val="20"/>
          <w:lang w:val="fr-FR"/>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67"/>
      </w:tblGrid>
      <w:tr w:rsidR="00886A3C" w14:paraId="57BDDAB0" w14:textId="77777777" w:rsidTr="00886A3C">
        <w:trPr>
          <w:trHeight w:val="3503"/>
        </w:trPr>
        <w:tc>
          <w:tcPr>
            <w:tcW w:w="4709" w:type="dxa"/>
            <w:hideMark/>
          </w:tcPr>
          <w:p w14:paraId="79059429" w14:textId="77777777" w:rsidR="00886A3C" w:rsidRPr="009459F3" w:rsidRDefault="00886A3C" w:rsidP="00886A3C">
            <w:pPr>
              <w:rPr>
                <w:rFonts w:ascii="Arial" w:hAnsi="Arial" w:cs="Arial"/>
                <w:sz w:val="20"/>
                <w:szCs w:val="20"/>
              </w:rPr>
            </w:pPr>
            <w:r>
              <w:rPr>
                <w:noProof/>
              </w:rPr>
              <w:lastRenderedPageBreak/>
              <w:drawing>
                <wp:inline distT="0" distB="0" distL="0" distR="0" wp14:anchorId="3284384A" wp14:editId="15704B0C">
                  <wp:extent cx="2809875" cy="2114550"/>
                  <wp:effectExtent l="0" t="0" r="9525" b="19050"/>
                  <wp:docPr id="272" name="Chart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467" w:type="dxa"/>
            <w:hideMark/>
          </w:tcPr>
          <w:p w14:paraId="6611E653" w14:textId="77777777" w:rsidR="00886A3C" w:rsidRDefault="00886A3C" w:rsidP="00886A3C">
            <w:pPr>
              <w:rPr>
                <w:rFonts w:ascii="Arial" w:hAnsi="Arial" w:cs="Arial"/>
                <w:i/>
                <w:sz w:val="20"/>
                <w:szCs w:val="20"/>
              </w:rPr>
            </w:pPr>
            <w:r>
              <w:rPr>
                <w:noProof/>
              </w:rPr>
              <w:drawing>
                <wp:inline distT="0" distB="0" distL="0" distR="0" wp14:anchorId="0FFBCEDF" wp14:editId="4A3C0DBD">
                  <wp:extent cx="2609850" cy="2114550"/>
                  <wp:effectExtent l="0" t="0" r="19050" b="19050"/>
                  <wp:docPr id="273" name="Chart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297B784B" w14:textId="77777777" w:rsidR="00886A3C" w:rsidRDefault="00886A3C" w:rsidP="00886A3C">
      <w:pPr>
        <w:spacing w:after="0" w:line="240" w:lineRule="auto"/>
        <w:rPr>
          <w:rFonts w:ascii="Arial" w:hAnsi="Arial" w:cs="Arial"/>
          <w:sz w:val="20"/>
          <w:szCs w:val="20"/>
          <w:lang w:val="fr-FR"/>
        </w:rPr>
      </w:pPr>
      <w:r w:rsidRPr="00403C55">
        <w:rPr>
          <w:rFonts w:ascii="Arial" w:hAnsi="Arial" w:cs="Arial"/>
          <w:sz w:val="20"/>
          <w:szCs w:val="20"/>
          <w:lang w:val="fr-FR"/>
        </w:rPr>
        <w:tab/>
        <w:t>Non</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information fournie</w:t>
      </w:r>
      <w:r>
        <w:rPr>
          <w:rFonts w:ascii="Arial" w:hAnsi="Arial" w:cs="Arial"/>
          <w:sz w:val="20"/>
          <w:szCs w:val="20"/>
          <w:lang w:val="fr-FR"/>
        </w:rPr>
        <w:tab/>
      </w:r>
      <w:r>
        <w:rPr>
          <w:rFonts w:ascii="Arial" w:hAnsi="Arial" w:cs="Arial"/>
          <w:sz w:val="20"/>
          <w:szCs w:val="20"/>
          <w:lang w:val="fr-FR"/>
        </w:rPr>
        <w:tab/>
      </w: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information fournie</w:t>
      </w:r>
    </w:p>
    <w:p w14:paraId="00C28D5F" w14:textId="77777777" w:rsidR="00886A3C" w:rsidRPr="004B1407" w:rsidRDefault="00886A3C" w:rsidP="00886A3C">
      <w:pPr>
        <w:spacing w:after="0" w:line="240" w:lineRule="auto"/>
        <w:rPr>
          <w:rFonts w:ascii="Arial" w:hAnsi="Arial" w:cs="Arial"/>
          <w:i/>
          <w:sz w:val="20"/>
          <w:szCs w:val="20"/>
          <w:lang w:val="fr-FR"/>
        </w:rPr>
      </w:pPr>
    </w:p>
    <w:p w14:paraId="42B62ADC"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5. </w:t>
      </w:r>
      <w:r w:rsidRPr="00946C7B">
        <w:rPr>
          <w:rFonts w:ascii="Times New Roman" w:hAnsi="Times New Roman" w:cs="Times New Roman"/>
          <w:i/>
          <w:lang w:val="fr-FR"/>
        </w:rPr>
        <w:t>Mise</w:t>
      </w:r>
      <w:r>
        <w:rPr>
          <w:rFonts w:ascii="Times New Roman" w:hAnsi="Times New Roman" w:cs="Times New Roman"/>
          <w:i/>
          <w:lang w:val="fr-FR"/>
        </w:rPr>
        <w:t xml:space="preserve"> </w:t>
      </w:r>
      <w:r w:rsidRPr="00946C7B">
        <w:rPr>
          <w:rFonts w:ascii="Times New Roman" w:hAnsi="Times New Roman" w:cs="Times New Roman"/>
          <w:i/>
          <w:lang w:val="fr-FR"/>
        </w:rPr>
        <w:t xml:space="preserve">en œuvre des activités du </w:t>
      </w:r>
      <w:r>
        <w:rPr>
          <w:rFonts w:ascii="Times New Roman" w:hAnsi="Times New Roman" w:cs="Times New Roman"/>
          <w:i/>
          <w:lang w:val="fr-FR"/>
        </w:rPr>
        <w:t>plan</w:t>
      </w:r>
      <w:r w:rsidRPr="00946C7B">
        <w:rPr>
          <w:rFonts w:ascii="Times New Roman" w:hAnsi="Times New Roman" w:cs="Times New Roman"/>
          <w:i/>
          <w:lang w:val="fr-FR"/>
        </w:rPr>
        <w:t xml:space="preserve"> d</w:t>
      </w:r>
      <w:r>
        <w:rPr>
          <w:rFonts w:ascii="Times New Roman" w:hAnsi="Times New Roman" w:cs="Times New Roman"/>
          <w:i/>
          <w:lang w:val="fr-FR"/>
        </w:rPr>
        <w:t>’</w:t>
      </w:r>
      <w:r w:rsidRPr="00946C7B">
        <w:rPr>
          <w:rFonts w:ascii="Times New Roman" w:hAnsi="Times New Roman" w:cs="Times New Roman"/>
          <w:i/>
          <w:lang w:val="fr-FR"/>
        </w:rPr>
        <w:t>action</w:t>
      </w:r>
    </w:p>
    <w:p w14:paraId="61972059" w14:textId="77777777" w:rsidR="00886A3C" w:rsidRPr="004B1407" w:rsidRDefault="00886A3C" w:rsidP="00886A3C">
      <w:pPr>
        <w:spacing w:after="0" w:line="240" w:lineRule="auto"/>
        <w:rPr>
          <w:rFonts w:ascii="Times New Roman" w:hAnsi="Times New Roman" w:cs="Times New Roman"/>
          <w:i/>
          <w:lang w:val="fr-FR"/>
        </w:rPr>
      </w:pPr>
    </w:p>
    <w:p w14:paraId="7DC0E73F" w14:textId="77777777" w:rsidR="00886A3C" w:rsidRPr="004B1407" w:rsidRDefault="00886A3C" w:rsidP="00886A3C">
      <w:pPr>
        <w:spacing w:after="0" w:line="240" w:lineRule="auto"/>
        <w:rPr>
          <w:rFonts w:ascii="Times New Roman" w:hAnsi="Times New Roman" w:cs="Times New Roman"/>
          <w:i/>
          <w:lang w:val="fr-FR"/>
        </w:rPr>
      </w:pPr>
      <w:r w:rsidRPr="00946C7B">
        <w:rPr>
          <w:rFonts w:ascii="Times New Roman" w:hAnsi="Times New Roman" w:cs="Times New Roman"/>
          <w:i/>
          <w:lang w:val="fr-FR"/>
        </w:rPr>
        <w:t xml:space="preserve">5.1. Résultat 1 – compréhension des </w:t>
      </w:r>
      <w:r w:rsidRPr="00A343E3">
        <w:rPr>
          <w:rFonts w:ascii="Times New Roman" w:hAnsi="Times New Roman" w:cs="Times New Roman"/>
          <w:i/>
          <w:lang w:val="fr-FR"/>
        </w:rPr>
        <w:t>moteurs actuels du déclin accru de population</w:t>
      </w:r>
    </w:p>
    <w:p w14:paraId="6C7451D2" w14:textId="77777777" w:rsidR="00886A3C" w:rsidRPr="004B1407" w:rsidRDefault="00886A3C" w:rsidP="00886A3C">
      <w:pPr>
        <w:spacing w:after="0" w:line="240" w:lineRule="auto"/>
        <w:rPr>
          <w:rFonts w:ascii="Times New Roman" w:hAnsi="Times New Roman" w:cs="Times New Roman"/>
          <w:i/>
          <w:lang w:val="fr-FR"/>
        </w:rPr>
      </w:pPr>
    </w:p>
    <w:p w14:paraId="4573E1E5" w14:textId="77777777" w:rsidR="00886A3C" w:rsidRPr="004B1407" w:rsidRDefault="00886A3C" w:rsidP="00886A3C">
      <w:pPr>
        <w:spacing w:after="0" w:line="240" w:lineRule="auto"/>
        <w:jc w:val="both"/>
        <w:rPr>
          <w:rFonts w:ascii="Times New Roman" w:hAnsi="Times New Roman" w:cs="Times New Roman"/>
          <w:lang w:val="fr-FR"/>
        </w:rPr>
      </w:pPr>
      <w:r w:rsidRPr="000B46F0">
        <w:rPr>
          <w:rFonts w:ascii="Times New Roman" w:hAnsi="Times New Roman" w:cs="Times New Roman"/>
          <w:lang w:val="fr-FR"/>
        </w:rPr>
        <w:t>L’</w:t>
      </w:r>
      <w:r w:rsidRPr="000B46F0">
        <w:rPr>
          <w:rFonts w:ascii="Times New Roman" w:hAnsi="Times New Roman" w:cs="Times New Roman"/>
          <w:b/>
          <w:lang w:val="fr-FR"/>
        </w:rPr>
        <w:t>action 1.1</w:t>
      </w:r>
      <w:r w:rsidRPr="00FE4207">
        <w:rPr>
          <w:rFonts w:ascii="Times New Roman" w:hAnsi="Times New Roman" w:cs="Times New Roman"/>
          <w:lang w:val="fr-FR"/>
        </w:rPr>
        <w:t xml:space="preserve">, </w:t>
      </w:r>
      <w:r w:rsidRPr="000B46F0">
        <w:rPr>
          <w:rFonts w:ascii="Times New Roman" w:hAnsi="Times New Roman" w:cs="Times New Roman"/>
          <w:lang w:val="fr-FR"/>
        </w:rPr>
        <w:t>concernant l</w:t>
      </w:r>
      <w:r>
        <w:rPr>
          <w:rFonts w:ascii="Times New Roman" w:hAnsi="Times New Roman" w:cs="Times New Roman"/>
          <w:lang w:val="fr-FR"/>
        </w:rPr>
        <w:t>’examen et</w:t>
      </w:r>
      <w:r w:rsidRPr="000B46F0">
        <w:rPr>
          <w:rFonts w:ascii="Times New Roman" w:hAnsi="Times New Roman" w:cs="Times New Roman"/>
          <w:lang w:val="fr-FR"/>
        </w:rPr>
        <w:t xml:space="preserve"> l’évaluation </w:t>
      </w:r>
      <w:r>
        <w:rPr>
          <w:rFonts w:ascii="Times New Roman" w:hAnsi="Times New Roman" w:cs="Times New Roman"/>
          <w:lang w:val="fr-FR"/>
        </w:rPr>
        <w:t>des</w:t>
      </w:r>
      <w:r w:rsidRPr="000B46F0">
        <w:rPr>
          <w:rFonts w:ascii="Times New Roman" w:hAnsi="Times New Roman" w:cs="Times New Roman"/>
          <w:lang w:val="fr-FR"/>
        </w:rPr>
        <w:t xml:space="preserve"> facteurs ayant une incidence défavorable (0</w:t>
      </w:r>
      <w:r>
        <w:rPr>
          <w:rFonts w:ascii="Times New Roman" w:hAnsi="Times New Roman" w:cs="Times New Roman"/>
          <w:lang w:val="fr-FR"/>
        </w:rPr>
        <w:t xml:space="preserve"> %</w:t>
      </w:r>
      <w:r w:rsidRPr="000B46F0">
        <w:rPr>
          <w:rFonts w:ascii="Times New Roman" w:hAnsi="Times New Roman" w:cs="Times New Roman"/>
          <w:lang w:val="fr-FR"/>
        </w:rPr>
        <w:t>), ainsi que l’</w:t>
      </w:r>
      <w:r w:rsidRPr="000B46F0">
        <w:rPr>
          <w:rFonts w:ascii="Times New Roman" w:hAnsi="Times New Roman" w:cs="Times New Roman"/>
          <w:b/>
          <w:lang w:val="fr-FR"/>
        </w:rPr>
        <w:t>action 1.2</w:t>
      </w:r>
      <w:r w:rsidRPr="00FE4207">
        <w:rPr>
          <w:rFonts w:ascii="Times New Roman" w:hAnsi="Times New Roman" w:cs="Times New Roman"/>
          <w:lang w:val="fr-FR"/>
        </w:rPr>
        <w:t>,</w:t>
      </w:r>
      <w:r w:rsidRPr="000B46F0">
        <w:rPr>
          <w:rFonts w:ascii="Times New Roman" w:hAnsi="Times New Roman" w:cs="Times New Roman"/>
          <w:lang w:val="fr-FR"/>
        </w:rPr>
        <w:t xml:space="preserve"> visant</w:t>
      </w:r>
      <w:r>
        <w:rPr>
          <w:rFonts w:ascii="Times New Roman" w:hAnsi="Times New Roman" w:cs="Times New Roman"/>
          <w:lang w:val="fr-FR"/>
        </w:rPr>
        <w:t xml:space="preserve"> à </w:t>
      </w:r>
      <w:r w:rsidRPr="000B46F0">
        <w:rPr>
          <w:rFonts w:ascii="Times New Roman" w:hAnsi="Times New Roman" w:cs="Times New Roman"/>
          <w:lang w:val="fr-FR"/>
        </w:rPr>
        <w:t>la poursuite de la surveillance régulière de la distribution et de la relative abondance des espèces d’</w:t>
      </w:r>
      <w:r>
        <w:rPr>
          <w:rFonts w:ascii="Times New Roman" w:hAnsi="Times New Roman" w:cs="Times New Roman"/>
          <w:lang w:val="fr-FR"/>
        </w:rPr>
        <w:t>oies</w:t>
      </w:r>
      <w:r w:rsidRPr="000B46F0">
        <w:rPr>
          <w:rFonts w:ascii="Times New Roman" w:hAnsi="Times New Roman" w:cs="Times New Roman"/>
          <w:lang w:val="fr-FR"/>
        </w:rPr>
        <w:t xml:space="preserve"> à l’Ouest du Groenland (0</w:t>
      </w:r>
      <w:r>
        <w:rPr>
          <w:rFonts w:ascii="Times New Roman" w:hAnsi="Times New Roman" w:cs="Times New Roman"/>
          <w:lang w:val="fr-FR"/>
        </w:rPr>
        <w:t> %</w:t>
      </w:r>
      <w:r w:rsidRPr="000B46F0">
        <w:rPr>
          <w:rFonts w:ascii="Times New Roman" w:hAnsi="Times New Roman" w:cs="Times New Roman"/>
          <w:lang w:val="fr-FR"/>
        </w:rPr>
        <w:t xml:space="preserve">), </w:t>
      </w:r>
      <w:r>
        <w:rPr>
          <w:rFonts w:ascii="Times New Roman" w:hAnsi="Times New Roman" w:cs="Times New Roman"/>
          <w:lang w:val="fr-FR"/>
        </w:rPr>
        <w:t>ont été</w:t>
      </w:r>
      <w:r w:rsidRPr="000B46F0">
        <w:rPr>
          <w:rFonts w:ascii="Times New Roman" w:hAnsi="Times New Roman" w:cs="Times New Roman"/>
          <w:lang w:val="fr-FR"/>
        </w:rPr>
        <w:t xml:space="preserve"> classées respectivement comme critiques et « autres ».</w:t>
      </w:r>
      <w:r w:rsidRPr="004B1407">
        <w:rPr>
          <w:rFonts w:ascii="Times New Roman" w:hAnsi="Times New Roman" w:cs="Times New Roman"/>
          <w:lang w:val="fr-FR"/>
        </w:rPr>
        <w:t xml:space="preserve"> </w:t>
      </w:r>
      <w:r w:rsidRPr="000B46F0">
        <w:rPr>
          <w:rFonts w:ascii="Times New Roman" w:hAnsi="Times New Roman" w:cs="Times New Roman"/>
          <w:lang w:val="fr-FR"/>
        </w:rPr>
        <w:t>Bien que le Groenland ait été désigné comme l’État de l’aire de répartition prépondérant, la mise en œuvre devait se faire en coopération avec les États de l’aire de répartition.</w:t>
      </w:r>
      <w:r w:rsidRPr="004B1407">
        <w:rPr>
          <w:rFonts w:ascii="Times New Roman" w:hAnsi="Times New Roman" w:cs="Times New Roman"/>
          <w:lang w:val="fr-FR"/>
        </w:rPr>
        <w:t xml:space="preserve"> </w:t>
      </w:r>
      <w:r w:rsidRPr="000B46F0">
        <w:rPr>
          <w:rFonts w:ascii="Times New Roman" w:hAnsi="Times New Roman" w:cs="Times New Roman"/>
          <w:lang w:val="fr-FR"/>
        </w:rPr>
        <w:t>L’Islande, l’Irlande et le Royaume</w:t>
      </w:r>
      <w:r w:rsidRPr="005402DB">
        <w:rPr>
          <w:rFonts w:ascii="Times New Roman" w:hAnsi="Times New Roman" w:cs="Times New Roman"/>
          <w:lang w:val="fr-FR"/>
        </w:rPr>
        <w:t>-Uni ont tous indiqué une mise en œuvre partielle.</w:t>
      </w:r>
      <w:r w:rsidRPr="004B1407">
        <w:rPr>
          <w:rFonts w:ascii="Times New Roman" w:hAnsi="Times New Roman" w:cs="Times New Roman"/>
          <w:lang w:val="fr-FR"/>
        </w:rPr>
        <w:t xml:space="preserve"> </w:t>
      </w:r>
    </w:p>
    <w:p w14:paraId="09ADEABB" w14:textId="77777777" w:rsidR="00886A3C" w:rsidRPr="004B1407" w:rsidRDefault="00886A3C" w:rsidP="00886A3C">
      <w:pPr>
        <w:spacing w:after="0" w:line="240" w:lineRule="auto"/>
        <w:rPr>
          <w:rFonts w:ascii="Times New Roman" w:hAnsi="Times New Roman" w:cs="Times New Roman"/>
          <w:i/>
          <w:lang w:val="fr-FR"/>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565"/>
      </w:tblGrid>
      <w:tr w:rsidR="00886A3C" w14:paraId="792C4B21" w14:textId="77777777" w:rsidTr="00886A3C">
        <w:trPr>
          <w:trHeight w:val="3553"/>
        </w:trPr>
        <w:tc>
          <w:tcPr>
            <w:tcW w:w="4829" w:type="dxa"/>
          </w:tcPr>
          <w:p w14:paraId="7012C7EB" w14:textId="77777777" w:rsidR="00886A3C" w:rsidRDefault="00886A3C" w:rsidP="00886A3C">
            <w:pPr>
              <w:rPr>
                <w:rFonts w:ascii="Times New Roman" w:hAnsi="Times New Roman" w:cs="Times New Roman"/>
              </w:rPr>
            </w:pPr>
            <w:r>
              <w:rPr>
                <w:noProof/>
              </w:rPr>
              <w:drawing>
                <wp:inline distT="0" distB="0" distL="0" distR="0" wp14:anchorId="7CE7E57F" wp14:editId="675C312B">
                  <wp:extent cx="2886075" cy="2133600"/>
                  <wp:effectExtent l="0" t="0" r="9525" b="19050"/>
                  <wp:docPr id="274" name="Chart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565" w:type="dxa"/>
          </w:tcPr>
          <w:p w14:paraId="1B8C8739" w14:textId="77777777" w:rsidR="00886A3C" w:rsidRDefault="00886A3C" w:rsidP="00886A3C">
            <w:pPr>
              <w:rPr>
                <w:rFonts w:ascii="Times New Roman" w:hAnsi="Times New Roman" w:cs="Times New Roman"/>
              </w:rPr>
            </w:pPr>
            <w:r>
              <w:rPr>
                <w:noProof/>
              </w:rPr>
              <w:drawing>
                <wp:inline distT="0" distB="0" distL="0" distR="0" wp14:anchorId="56D73E86" wp14:editId="1A8676D8">
                  <wp:extent cx="2733675" cy="2124075"/>
                  <wp:effectExtent l="0" t="0" r="9525" b="9525"/>
                  <wp:docPr id="275" name="Chart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334B1E62" w14:textId="77777777" w:rsidR="00886A3C" w:rsidRPr="000B46F0" w:rsidRDefault="00886A3C" w:rsidP="00886A3C">
      <w:pPr>
        <w:spacing w:after="0" w:line="240" w:lineRule="auto"/>
        <w:rPr>
          <w:rFonts w:ascii="Times New Roman" w:hAnsi="Times New Roman" w:cs="Times New Roman"/>
          <w:lang w:val="fr-FR"/>
        </w:rPr>
      </w:pPr>
      <w:r w:rsidRPr="000B46F0">
        <w:rPr>
          <w:rFonts w:ascii="Times New Roman" w:hAnsi="Times New Roman" w:cs="Times New Roman"/>
          <w:lang w:val="fr-FR"/>
        </w:rPr>
        <w:t>Oui</w:t>
      </w:r>
      <w:r>
        <w:rPr>
          <w:rFonts w:ascii="Times New Roman" w:hAnsi="Times New Roman" w:cs="Times New Roman"/>
          <w:lang w:val="fr-FR"/>
        </w:rPr>
        <w:t xml:space="preserve"> </w:t>
      </w:r>
      <w:r w:rsidRPr="000B46F0">
        <w:rPr>
          <w:rFonts w:ascii="Times New Roman" w:hAnsi="Times New Roman" w:cs="Times New Roman"/>
          <w:lang w:val="fr-FR"/>
        </w:rPr>
        <w:t>Non</w:t>
      </w:r>
      <w:r>
        <w:rPr>
          <w:rFonts w:ascii="Times New Roman" w:hAnsi="Times New Roman" w:cs="Times New Roman"/>
          <w:lang w:val="fr-FR"/>
        </w:rPr>
        <w:t xml:space="preserve"> </w:t>
      </w:r>
      <w:r w:rsidRPr="000B46F0">
        <w:rPr>
          <w:rFonts w:ascii="Times New Roman" w:hAnsi="Times New Roman" w:cs="Times New Roman"/>
          <w:lang w:val="fr-FR"/>
        </w:rPr>
        <w:t>Partiellement</w:t>
      </w:r>
      <w:r>
        <w:rPr>
          <w:rFonts w:ascii="Times New Roman" w:hAnsi="Times New Roman" w:cs="Times New Roman"/>
          <w:lang w:val="fr-FR"/>
        </w:rPr>
        <w:t xml:space="preserve"> </w:t>
      </w:r>
      <w:r w:rsidRPr="000B46F0">
        <w:rPr>
          <w:rFonts w:ascii="Times New Roman" w:hAnsi="Times New Roman" w:cs="Times New Roman"/>
          <w:lang w:val="fr-FR"/>
        </w:rPr>
        <w:t>Pas d’information</w:t>
      </w:r>
      <w:r>
        <w:rPr>
          <w:rFonts w:ascii="Times New Roman" w:hAnsi="Times New Roman" w:cs="Times New Roman"/>
          <w:lang w:val="fr-FR"/>
        </w:rPr>
        <w:tab/>
      </w:r>
      <w:r>
        <w:rPr>
          <w:rFonts w:ascii="Times New Roman" w:hAnsi="Times New Roman" w:cs="Times New Roman"/>
          <w:lang w:val="fr-FR"/>
        </w:rPr>
        <w:tab/>
      </w:r>
      <w:r w:rsidRPr="000B46F0">
        <w:rPr>
          <w:rFonts w:ascii="Times New Roman" w:hAnsi="Times New Roman" w:cs="Times New Roman"/>
          <w:lang w:val="fr-FR"/>
        </w:rPr>
        <w:t>Oui</w:t>
      </w:r>
      <w:r>
        <w:rPr>
          <w:rFonts w:ascii="Times New Roman" w:hAnsi="Times New Roman" w:cs="Times New Roman"/>
          <w:lang w:val="fr-FR"/>
        </w:rPr>
        <w:t xml:space="preserve"> </w:t>
      </w:r>
      <w:r w:rsidRPr="000B46F0">
        <w:rPr>
          <w:rFonts w:ascii="Times New Roman" w:hAnsi="Times New Roman" w:cs="Times New Roman"/>
          <w:lang w:val="fr-FR"/>
        </w:rPr>
        <w:t>Non</w:t>
      </w:r>
      <w:r>
        <w:rPr>
          <w:rFonts w:ascii="Times New Roman" w:hAnsi="Times New Roman" w:cs="Times New Roman"/>
          <w:lang w:val="fr-FR"/>
        </w:rPr>
        <w:t xml:space="preserve"> </w:t>
      </w:r>
      <w:r w:rsidRPr="000B46F0">
        <w:rPr>
          <w:rFonts w:ascii="Times New Roman" w:hAnsi="Times New Roman" w:cs="Times New Roman"/>
          <w:lang w:val="fr-FR"/>
        </w:rPr>
        <w:t>Partiellement</w:t>
      </w:r>
      <w:r>
        <w:rPr>
          <w:rFonts w:ascii="Times New Roman" w:hAnsi="Times New Roman" w:cs="Times New Roman"/>
          <w:lang w:val="fr-FR"/>
        </w:rPr>
        <w:t xml:space="preserve"> </w:t>
      </w:r>
      <w:r w:rsidRPr="000B46F0">
        <w:rPr>
          <w:rFonts w:ascii="Times New Roman" w:hAnsi="Times New Roman" w:cs="Times New Roman"/>
          <w:lang w:val="fr-FR"/>
        </w:rPr>
        <w:t>Pas d’</w:t>
      </w:r>
      <w:r>
        <w:rPr>
          <w:rFonts w:ascii="Times New Roman" w:hAnsi="Times New Roman" w:cs="Times New Roman"/>
          <w:lang w:val="fr-FR"/>
        </w:rPr>
        <w:t>information</w:t>
      </w:r>
    </w:p>
    <w:p w14:paraId="63D976EE" w14:textId="77777777" w:rsidR="00886A3C" w:rsidRDefault="00886A3C" w:rsidP="00886A3C">
      <w:pPr>
        <w:spacing w:after="0" w:line="240" w:lineRule="auto"/>
        <w:rPr>
          <w:rFonts w:ascii="Times New Roman" w:hAnsi="Times New Roman" w:cs="Times New Roman"/>
          <w:b/>
          <w:lang w:val="fr-FR"/>
        </w:rPr>
      </w:pPr>
    </w:p>
    <w:p w14:paraId="28B486CB" w14:textId="77777777" w:rsidR="00886A3C" w:rsidRDefault="00886A3C" w:rsidP="00886A3C">
      <w:pPr>
        <w:spacing w:after="0" w:line="240" w:lineRule="auto"/>
        <w:rPr>
          <w:rFonts w:ascii="Times New Roman" w:hAnsi="Times New Roman" w:cs="Times New Roman"/>
          <w:b/>
          <w:lang w:val="fr-FR"/>
        </w:rPr>
      </w:pPr>
    </w:p>
    <w:p w14:paraId="30A3D6AA" w14:textId="77777777" w:rsidR="00886A3C" w:rsidRPr="004B1407" w:rsidRDefault="00886A3C" w:rsidP="00886A3C">
      <w:pPr>
        <w:spacing w:after="0" w:line="240" w:lineRule="auto"/>
        <w:rPr>
          <w:rFonts w:ascii="Times New Roman" w:hAnsi="Times New Roman" w:cs="Times New Roman"/>
          <w:b/>
          <w:lang w:val="fr-FR"/>
        </w:rPr>
      </w:pPr>
      <w:r w:rsidRPr="005402DB">
        <w:rPr>
          <w:rFonts w:ascii="Times New Roman" w:hAnsi="Times New Roman" w:cs="Times New Roman"/>
          <w:b/>
          <w:lang w:val="fr-FR"/>
        </w:rPr>
        <w:t>Taux moyen de mise en œuvre :</w:t>
      </w:r>
      <w:r w:rsidRPr="004B1407">
        <w:rPr>
          <w:rFonts w:ascii="Times New Roman" w:hAnsi="Times New Roman" w:cs="Times New Roman"/>
          <w:b/>
          <w:lang w:val="fr-FR"/>
        </w:rPr>
        <w:t xml:space="preserve"> 0 %</w:t>
      </w:r>
    </w:p>
    <w:p w14:paraId="186F0516" w14:textId="77777777" w:rsidR="00886A3C" w:rsidRPr="004B1407" w:rsidRDefault="00886A3C" w:rsidP="00886A3C">
      <w:pPr>
        <w:spacing w:after="0" w:line="240" w:lineRule="auto"/>
        <w:rPr>
          <w:rFonts w:ascii="Times New Roman" w:hAnsi="Times New Roman" w:cs="Times New Roman"/>
          <w:lang w:val="fr-FR"/>
        </w:rPr>
      </w:pPr>
    </w:p>
    <w:p w14:paraId="7622E1D9" w14:textId="77777777" w:rsidR="00886A3C" w:rsidRPr="004B1407" w:rsidRDefault="00886A3C" w:rsidP="00886A3C">
      <w:pPr>
        <w:spacing w:after="0" w:line="240" w:lineRule="auto"/>
        <w:rPr>
          <w:rFonts w:ascii="Times New Roman" w:hAnsi="Times New Roman" w:cs="Times New Roman"/>
          <w:lang w:val="fr-FR"/>
        </w:rPr>
      </w:pPr>
    </w:p>
    <w:p w14:paraId="333F3F43" w14:textId="77777777" w:rsidR="00886A3C" w:rsidRPr="004B1407" w:rsidRDefault="00886A3C" w:rsidP="00886A3C">
      <w:pPr>
        <w:spacing w:after="0" w:line="240" w:lineRule="auto"/>
        <w:rPr>
          <w:rFonts w:ascii="Times New Roman" w:hAnsi="Times New Roman" w:cs="Times New Roman"/>
          <w:i/>
          <w:lang w:val="fr-FR"/>
        </w:rPr>
      </w:pPr>
      <w:r w:rsidRPr="005402DB">
        <w:rPr>
          <w:rFonts w:ascii="Times New Roman" w:hAnsi="Times New Roman" w:cs="Times New Roman"/>
          <w:i/>
          <w:lang w:val="fr-FR"/>
        </w:rPr>
        <w:t>5.2. Résultat 2 – Productivité annuelle maximisée</w:t>
      </w:r>
    </w:p>
    <w:p w14:paraId="1C6AC9E1" w14:textId="77777777" w:rsidR="00886A3C" w:rsidRPr="004B1407" w:rsidRDefault="00886A3C" w:rsidP="00886A3C">
      <w:pPr>
        <w:spacing w:after="0" w:line="240" w:lineRule="auto"/>
        <w:rPr>
          <w:rFonts w:ascii="Times New Roman" w:hAnsi="Times New Roman" w:cs="Times New Roman"/>
          <w:i/>
          <w:lang w:val="fr-FR"/>
        </w:rPr>
      </w:pPr>
    </w:p>
    <w:p w14:paraId="47CF7CBA"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5402DB">
        <w:rPr>
          <w:rFonts w:ascii="Times New Roman" w:hAnsi="Times New Roman" w:cs="Times New Roman"/>
          <w:b/>
          <w:lang w:val="fr-FR"/>
        </w:rPr>
        <w:t xml:space="preserve"> 2.1</w:t>
      </w:r>
      <w:r w:rsidRPr="00FE4207">
        <w:rPr>
          <w:rFonts w:ascii="Times New Roman" w:hAnsi="Times New Roman" w:cs="Times New Roman"/>
          <w:lang w:val="fr-FR"/>
        </w:rPr>
        <w:t>,</w:t>
      </w:r>
      <w:r w:rsidRPr="005402DB">
        <w:rPr>
          <w:rFonts w:ascii="Times New Roman" w:hAnsi="Times New Roman" w:cs="Times New Roman"/>
          <w:lang w:val="fr-FR"/>
        </w:rPr>
        <w:t xml:space="preserve"> concernant la tentative de limiter et d</w:t>
      </w:r>
      <w:r>
        <w:rPr>
          <w:rFonts w:ascii="Times New Roman" w:hAnsi="Times New Roman" w:cs="Times New Roman"/>
          <w:lang w:val="fr-FR"/>
        </w:rPr>
        <w:t>’</w:t>
      </w:r>
      <w:r w:rsidRPr="005402DB">
        <w:rPr>
          <w:rFonts w:ascii="Times New Roman" w:hAnsi="Times New Roman" w:cs="Times New Roman"/>
          <w:lang w:val="fr-FR"/>
        </w:rPr>
        <w:t>éviter les perturbations avant la migration sur les aires de haltes de printemps</w:t>
      </w:r>
      <w:r>
        <w:rPr>
          <w:rFonts w:ascii="Times New Roman" w:hAnsi="Times New Roman" w:cs="Times New Roman"/>
          <w:lang w:val="fr-FR"/>
        </w:rPr>
        <w:t xml:space="preserve"> </w:t>
      </w:r>
      <w:r w:rsidRPr="005402DB">
        <w:rPr>
          <w:rFonts w:ascii="Times New Roman" w:hAnsi="Times New Roman" w:cs="Times New Roman"/>
          <w:lang w:val="fr-FR"/>
        </w:rPr>
        <w:t>afin d</w:t>
      </w:r>
      <w:r>
        <w:rPr>
          <w:rFonts w:ascii="Times New Roman" w:hAnsi="Times New Roman" w:cs="Times New Roman"/>
          <w:lang w:val="fr-FR"/>
        </w:rPr>
        <w:t>’</w:t>
      </w:r>
      <w:r w:rsidRPr="005402DB">
        <w:rPr>
          <w:rFonts w:ascii="Times New Roman" w:hAnsi="Times New Roman" w:cs="Times New Roman"/>
          <w:lang w:val="fr-FR"/>
        </w:rPr>
        <w:t>optimiser les conditions des oies potentiellement reproductrices</w:t>
      </w:r>
      <w:r>
        <w:rPr>
          <w:rFonts w:ascii="Times New Roman" w:hAnsi="Times New Roman" w:cs="Times New Roman"/>
          <w:lang w:val="fr-FR"/>
        </w:rPr>
        <w:t>,</w:t>
      </w:r>
      <w:r w:rsidRPr="005402DB">
        <w:rPr>
          <w:rFonts w:ascii="Times New Roman" w:hAnsi="Times New Roman" w:cs="Times New Roman"/>
          <w:lang w:val="fr-FR"/>
        </w:rPr>
        <w:t xml:space="preserve"> a été </w:t>
      </w:r>
      <w:r>
        <w:rPr>
          <w:rFonts w:ascii="Times New Roman" w:hAnsi="Times New Roman" w:cs="Times New Roman"/>
          <w:lang w:val="fr-FR"/>
        </w:rPr>
        <w:t>désignée</w:t>
      </w:r>
      <w:r w:rsidRPr="005402DB">
        <w:rPr>
          <w:rFonts w:ascii="Times New Roman" w:hAnsi="Times New Roman" w:cs="Times New Roman"/>
          <w:lang w:val="fr-FR"/>
        </w:rPr>
        <w:t xml:space="preserve"> comme étant une priorité </w:t>
      </w:r>
      <w:r>
        <w:rPr>
          <w:rFonts w:ascii="Times New Roman" w:hAnsi="Times New Roman" w:cs="Times New Roman"/>
          <w:lang w:val="fr-FR"/>
        </w:rPr>
        <w:t>critique</w:t>
      </w:r>
      <w:r w:rsidRPr="005402DB">
        <w:rPr>
          <w:rFonts w:ascii="Times New Roman" w:hAnsi="Times New Roman" w:cs="Times New Roman"/>
          <w:lang w:val="fr-FR"/>
        </w:rPr>
        <w:t xml:space="preserve"> et </w:t>
      </w:r>
      <w:r>
        <w:rPr>
          <w:rFonts w:ascii="Times New Roman" w:hAnsi="Times New Roman" w:cs="Times New Roman"/>
          <w:lang w:val="fr-FR"/>
        </w:rPr>
        <w:t>s’appliquait</w:t>
      </w:r>
      <w:r w:rsidRPr="005402DB">
        <w:rPr>
          <w:rFonts w:ascii="Times New Roman" w:hAnsi="Times New Roman" w:cs="Times New Roman"/>
          <w:lang w:val="fr-FR"/>
        </w:rPr>
        <w:t xml:space="preserve"> à tous les États de l</w:t>
      </w:r>
      <w:r>
        <w:rPr>
          <w:rFonts w:ascii="Times New Roman" w:hAnsi="Times New Roman" w:cs="Times New Roman"/>
          <w:lang w:val="fr-FR"/>
        </w:rPr>
        <w:t>’</w:t>
      </w:r>
      <w:r w:rsidRPr="005402DB">
        <w:rPr>
          <w:rFonts w:ascii="Times New Roman" w:hAnsi="Times New Roman" w:cs="Times New Roman"/>
          <w:lang w:val="fr-FR"/>
        </w:rPr>
        <w:t>aire de répartition.</w:t>
      </w:r>
      <w:r w:rsidRPr="004B1407">
        <w:rPr>
          <w:rFonts w:ascii="Times New Roman" w:hAnsi="Times New Roman" w:cs="Times New Roman"/>
          <w:lang w:val="fr-FR"/>
        </w:rPr>
        <w:t xml:space="preserve"> </w:t>
      </w:r>
      <w:r w:rsidRPr="005402DB">
        <w:rPr>
          <w:rFonts w:ascii="Times New Roman" w:hAnsi="Times New Roman" w:cs="Times New Roman"/>
          <w:lang w:val="fr-FR"/>
        </w:rPr>
        <w:t>Seul le Royaume-Uni a fait part d</w:t>
      </w:r>
      <w:r>
        <w:rPr>
          <w:rFonts w:ascii="Times New Roman" w:hAnsi="Times New Roman" w:cs="Times New Roman"/>
          <w:lang w:val="fr-FR"/>
        </w:rPr>
        <w:t>’</w:t>
      </w:r>
      <w:r w:rsidRPr="005402DB">
        <w:rPr>
          <w:rFonts w:ascii="Times New Roman" w:hAnsi="Times New Roman" w:cs="Times New Roman"/>
          <w:lang w:val="fr-FR"/>
        </w:rPr>
        <w:t>une mise en œuvre partielle de l</w:t>
      </w:r>
      <w:r>
        <w:rPr>
          <w:rFonts w:ascii="Times New Roman" w:hAnsi="Times New Roman" w:cs="Times New Roman"/>
          <w:lang w:val="fr-FR"/>
        </w:rPr>
        <w:t>’</w:t>
      </w:r>
      <w:r w:rsidRPr="005402DB">
        <w:rPr>
          <w:rFonts w:ascii="Times New Roman" w:hAnsi="Times New Roman" w:cs="Times New Roman"/>
          <w:lang w:val="fr-FR"/>
        </w:rPr>
        <w:t>action.</w:t>
      </w:r>
      <w:r w:rsidRPr="004B1407">
        <w:rPr>
          <w:rFonts w:ascii="Times New Roman" w:hAnsi="Times New Roman" w:cs="Times New Roman"/>
          <w:lang w:val="fr-FR"/>
        </w:rPr>
        <w:t xml:space="preserve"> (0 %)</w:t>
      </w:r>
    </w:p>
    <w:p w14:paraId="7DF0CA0D" w14:textId="77777777" w:rsidR="00886A3C" w:rsidRPr="004B1407" w:rsidRDefault="00886A3C" w:rsidP="00886A3C">
      <w:pPr>
        <w:spacing w:after="0" w:line="240" w:lineRule="auto"/>
        <w:jc w:val="both"/>
        <w:rPr>
          <w:rFonts w:ascii="Times New Roman" w:hAnsi="Times New Roman" w:cs="Times New Roman"/>
          <w:lang w:val="fr-FR"/>
        </w:rPr>
      </w:pPr>
    </w:p>
    <w:p w14:paraId="198456CD"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lastRenderedPageBreak/>
        <w:t>L’</w:t>
      </w:r>
      <w:r>
        <w:rPr>
          <w:rFonts w:ascii="Times New Roman" w:hAnsi="Times New Roman" w:cs="Times New Roman"/>
          <w:b/>
          <w:lang w:val="fr-FR"/>
        </w:rPr>
        <w:t>action</w:t>
      </w:r>
      <w:r w:rsidRPr="005402DB">
        <w:rPr>
          <w:rFonts w:ascii="Times New Roman" w:hAnsi="Times New Roman" w:cs="Times New Roman"/>
          <w:b/>
          <w:lang w:val="fr-FR"/>
        </w:rPr>
        <w:t xml:space="preserve"> 2.2</w:t>
      </w:r>
      <w:r w:rsidRPr="00FE4207">
        <w:rPr>
          <w:rFonts w:ascii="Times New Roman" w:hAnsi="Times New Roman" w:cs="Times New Roman"/>
          <w:lang w:val="fr-FR"/>
        </w:rPr>
        <w:t>,</w:t>
      </w:r>
      <w:r w:rsidRPr="005402DB">
        <w:rPr>
          <w:rFonts w:ascii="Times New Roman" w:hAnsi="Times New Roman" w:cs="Times New Roman"/>
          <w:lang w:val="fr-FR"/>
        </w:rPr>
        <w:t xml:space="preserve"> sur l</w:t>
      </w:r>
      <w:r>
        <w:rPr>
          <w:rFonts w:ascii="Times New Roman" w:hAnsi="Times New Roman" w:cs="Times New Roman"/>
          <w:lang w:val="fr-FR"/>
        </w:rPr>
        <w:t>’</w:t>
      </w:r>
      <w:r w:rsidRPr="005402DB">
        <w:rPr>
          <w:rFonts w:ascii="Times New Roman" w:hAnsi="Times New Roman" w:cs="Times New Roman"/>
          <w:lang w:val="fr-FR"/>
        </w:rPr>
        <w:t>identification et la protection des sites critiques utilisés lors de la période de halte et de pré-reproduction</w:t>
      </w:r>
      <w:r>
        <w:rPr>
          <w:rFonts w:ascii="Times New Roman" w:hAnsi="Times New Roman" w:cs="Times New Roman"/>
          <w:lang w:val="fr-FR"/>
        </w:rPr>
        <w:t>,</w:t>
      </w:r>
      <w:r w:rsidRPr="005402DB">
        <w:rPr>
          <w:rFonts w:ascii="Times New Roman" w:hAnsi="Times New Roman" w:cs="Times New Roman"/>
          <w:lang w:val="fr-FR"/>
        </w:rPr>
        <w:t xml:space="preserve"> a également été classée comme </w:t>
      </w:r>
      <w:r>
        <w:rPr>
          <w:rFonts w:ascii="Times New Roman" w:hAnsi="Times New Roman" w:cs="Times New Roman"/>
          <w:lang w:val="fr-FR"/>
        </w:rPr>
        <w:t>critique</w:t>
      </w:r>
      <w:r w:rsidRPr="005402DB">
        <w:rPr>
          <w:rFonts w:ascii="Times New Roman" w:hAnsi="Times New Roman" w:cs="Times New Roman"/>
          <w:lang w:val="fr-FR"/>
        </w:rPr>
        <w:t xml:space="preserve"> et </w:t>
      </w:r>
      <w:r>
        <w:rPr>
          <w:rFonts w:ascii="Times New Roman" w:hAnsi="Times New Roman" w:cs="Times New Roman"/>
          <w:lang w:val="fr-FR"/>
        </w:rPr>
        <w:t>s’appliquait</w:t>
      </w:r>
      <w:r w:rsidRPr="005402DB">
        <w:rPr>
          <w:rFonts w:ascii="Times New Roman" w:hAnsi="Times New Roman" w:cs="Times New Roman"/>
          <w:lang w:val="fr-FR"/>
        </w:rPr>
        <w:t xml:space="preserve"> à l</w:t>
      </w:r>
      <w:r>
        <w:rPr>
          <w:rFonts w:ascii="Times New Roman" w:hAnsi="Times New Roman" w:cs="Times New Roman"/>
          <w:lang w:val="fr-FR"/>
        </w:rPr>
        <w:t>’</w:t>
      </w:r>
      <w:r w:rsidRPr="005402DB">
        <w:rPr>
          <w:rFonts w:ascii="Times New Roman" w:hAnsi="Times New Roman" w:cs="Times New Roman"/>
          <w:lang w:val="fr-FR"/>
        </w:rPr>
        <w:t>Islande et au Groenland</w:t>
      </w:r>
      <w:r>
        <w:rPr>
          <w:rFonts w:ascii="Times New Roman" w:hAnsi="Times New Roman" w:cs="Times New Roman"/>
          <w:lang w:val="fr-FR"/>
        </w:rPr>
        <w:t>. S</w:t>
      </w:r>
      <w:r w:rsidRPr="005402DB">
        <w:rPr>
          <w:rFonts w:ascii="Times New Roman" w:hAnsi="Times New Roman" w:cs="Times New Roman"/>
          <w:lang w:val="fr-FR"/>
        </w:rPr>
        <w:t>eule l</w:t>
      </w:r>
      <w:r>
        <w:rPr>
          <w:rFonts w:ascii="Times New Roman" w:hAnsi="Times New Roman" w:cs="Times New Roman"/>
          <w:lang w:val="fr-FR"/>
        </w:rPr>
        <w:t>’</w:t>
      </w:r>
      <w:r w:rsidRPr="005402DB">
        <w:rPr>
          <w:rFonts w:ascii="Times New Roman" w:hAnsi="Times New Roman" w:cs="Times New Roman"/>
          <w:lang w:val="fr-FR"/>
        </w:rPr>
        <w:t xml:space="preserve">Islande a fait part de </w:t>
      </w:r>
      <w:r>
        <w:rPr>
          <w:rFonts w:ascii="Times New Roman" w:hAnsi="Times New Roman" w:cs="Times New Roman"/>
          <w:lang w:val="fr-FR"/>
        </w:rPr>
        <w:t>sa</w:t>
      </w:r>
      <w:r w:rsidRPr="005402DB">
        <w:rPr>
          <w:rFonts w:ascii="Times New Roman" w:hAnsi="Times New Roman" w:cs="Times New Roman"/>
          <w:lang w:val="fr-FR"/>
        </w:rPr>
        <w:t xml:space="preserve"> mise en œuvre.</w:t>
      </w:r>
      <w:r w:rsidRPr="004B1407">
        <w:rPr>
          <w:rFonts w:ascii="Times New Roman" w:hAnsi="Times New Roman" w:cs="Times New Roman"/>
          <w:lang w:val="fr-FR"/>
        </w:rPr>
        <w:t xml:space="preserve"> (50 %)</w:t>
      </w:r>
    </w:p>
    <w:p w14:paraId="0502B68A" w14:textId="77777777" w:rsidR="00886A3C" w:rsidRPr="004B1407" w:rsidRDefault="00886A3C" w:rsidP="00886A3C">
      <w:pPr>
        <w:spacing w:after="0" w:line="240" w:lineRule="auto"/>
        <w:jc w:val="both"/>
        <w:rPr>
          <w:rFonts w:ascii="Times New Roman" w:hAnsi="Times New Roman" w:cs="Times New Roman"/>
          <w:lang w:val="fr-FR"/>
        </w:rPr>
      </w:pPr>
    </w:p>
    <w:p w14:paraId="54218B39" w14:textId="77777777" w:rsidR="00886A3C" w:rsidRDefault="00886A3C" w:rsidP="00886A3C">
      <w:pPr>
        <w:spacing w:after="0" w:line="240" w:lineRule="auto"/>
        <w:jc w:val="both"/>
        <w:rPr>
          <w:rFonts w:ascii="Times New Roman" w:hAnsi="Times New Roman" w:cs="Times New Roman"/>
          <w:lang w:val="en-US"/>
        </w:rPr>
      </w:pPr>
      <w:r w:rsidRPr="00A343E3">
        <w:rPr>
          <w:rFonts w:ascii="Times New Roman" w:hAnsi="Times New Roman" w:cs="Times New Roman"/>
          <w:lang w:val="fr-FR"/>
        </w:rPr>
        <w:t>L’</w:t>
      </w:r>
      <w:r>
        <w:rPr>
          <w:rFonts w:ascii="Times New Roman" w:hAnsi="Times New Roman" w:cs="Times New Roman"/>
          <w:b/>
          <w:lang w:val="fr-FR"/>
        </w:rPr>
        <w:t>action</w:t>
      </w:r>
      <w:r w:rsidRPr="001A7979">
        <w:rPr>
          <w:rFonts w:ascii="Times New Roman" w:hAnsi="Times New Roman" w:cs="Times New Roman"/>
          <w:b/>
          <w:lang w:val="fr-FR"/>
        </w:rPr>
        <w:t xml:space="preserve"> 2.3</w:t>
      </w:r>
      <w:r w:rsidRPr="00FE4207">
        <w:rPr>
          <w:rFonts w:ascii="Times New Roman" w:hAnsi="Times New Roman" w:cs="Times New Roman"/>
          <w:lang w:val="fr-FR"/>
        </w:rPr>
        <w:t xml:space="preserve">, </w:t>
      </w:r>
      <w:r w:rsidRPr="001A7979">
        <w:rPr>
          <w:rFonts w:ascii="Times New Roman" w:hAnsi="Times New Roman" w:cs="Times New Roman"/>
          <w:lang w:val="fr-FR"/>
        </w:rPr>
        <w:t>se rapportant à la gestion des sites utilisés pendant l</w:t>
      </w:r>
      <w:r>
        <w:rPr>
          <w:rFonts w:ascii="Times New Roman" w:hAnsi="Times New Roman" w:cs="Times New Roman"/>
          <w:lang w:val="fr-FR"/>
        </w:rPr>
        <w:t>a</w:t>
      </w:r>
      <w:r w:rsidRPr="001A7979">
        <w:rPr>
          <w:rFonts w:ascii="Times New Roman" w:hAnsi="Times New Roman" w:cs="Times New Roman"/>
          <w:lang w:val="fr-FR"/>
        </w:rPr>
        <w:t xml:space="preserve"> période de pré-reproduction afin d</w:t>
      </w:r>
      <w:r>
        <w:rPr>
          <w:rFonts w:ascii="Times New Roman" w:hAnsi="Times New Roman" w:cs="Times New Roman"/>
          <w:lang w:val="fr-FR"/>
        </w:rPr>
        <w:t>’</w:t>
      </w:r>
      <w:r w:rsidRPr="001A7979">
        <w:rPr>
          <w:rFonts w:ascii="Times New Roman" w:hAnsi="Times New Roman" w:cs="Times New Roman"/>
          <w:lang w:val="fr-FR"/>
        </w:rPr>
        <w:t>optimiser la qualité et la quantité de la nourriture pour les oies potentiellement reproductrices</w:t>
      </w:r>
      <w:r>
        <w:rPr>
          <w:rFonts w:ascii="Times New Roman" w:hAnsi="Times New Roman" w:cs="Times New Roman"/>
          <w:lang w:val="fr-FR"/>
        </w:rPr>
        <w:t>,</w:t>
      </w:r>
      <w:r w:rsidRPr="001A7979">
        <w:rPr>
          <w:rFonts w:ascii="Times New Roman" w:hAnsi="Times New Roman" w:cs="Times New Roman"/>
          <w:lang w:val="fr-FR"/>
        </w:rPr>
        <w:t xml:space="preserve"> a </w:t>
      </w:r>
      <w:r>
        <w:rPr>
          <w:rFonts w:ascii="Times New Roman" w:hAnsi="Times New Roman" w:cs="Times New Roman"/>
          <w:lang w:val="fr-FR"/>
        </w:rPr>
        <w:t>elle aussi</w:t>
      </w:r>
      <w:r w:rsidRPr="001A7979">
        <w:rPr>
          <w:rFonts w:ascii="Times New Roman" w:hAnsi="Times New Roman" w:cs="Times New Roman"/>
          <w:lang w:val="fr-FR"/>
        </w:rPr>
        <w:t xml:space="preserve"> été classée comme étant </w:t>
      </w:r>
      <w:r>
        <w:rPr>
          <w:rFonts w:ascii="Times New Roman" w:hAnsi="Times New Roman" w:cs="Times New Roman"/>
          <w:lang w:val="fr-FR"/>
        </w:rPr>
        <w:t>critique</w:t>
      </w:r>
      <w:r w:rsidRPr="001A7979">
        <w:rPr>
          <w:rFonts w:ascii="Times New Roman" w:hAnsi="Times New Roman" w:cs="Times New Roman"/>
          <w:lang w:val="fr-FR"/>
        </w:rPr>
        <w:t xml:space="preserve"> et </w:t>
      </w:r>
      <w:r>
        <w:rPr>
          <w:rFonts w:ascii="Times New Roman" w:hAnsi="Times New Roman" w:cs="Times New Roman"/>
          <w:lang w:val="fr-FR"/>
        </w:rPr>
        <w:t xml:space="preserve">s’appliquait </w:t>
      </w:r>
      <w:r w:rsidRPr="001A7979">
        <w:rPr>
          <w:rFonts w:ascii="Times New Roman" w:hAnsi="Times New Roman" w:cs="Times New Roman"/>
          <w:lang w:val="fr-FR"/>
        </w:rPr>
        <w:t>à l</w:t>
      </w:r>
      <w:r>
        <w:rPr>
          <w:rFonts w:ascii="Times New Roman" w:hAnsi="Times New Roman" w:cs="Times New Roman"/>
          <w:lang w:val="fr-FR"/>
        </w:rPr>
        <w:t>’</w:t>
      </w:r>
      <w:r w:rsidRPr="001A7979">
        <w:rPr>
          <w:rFonts w:ascii="Times New Roman" w:hAnsi="Times New Roman" w:cs="Times New Roman"/>
          <w:lang w:val="fr-FR"/>
        </w:rPr>
        <w:t>Islande et au Groenland.</w:t>
      </w:r>
      <w:r w:rsidRPr="004B1407">
        <w:rPr>
          <w:rFonts w:ascii="Times New Roman" w:hAnsi="Times New Roman" w:cs="Times New Roman"/>
          <w:lang w:val="fr-FR"/>
        </w:rPr>
        <w:t xml:space="preserve"> </w:t>
      </w:r>
      <w:r w:rsidRPr="001A7979">
        <w:rPr>
          <w:rFonts w:ascii="Times New Roman" w:hAnsi="Times New Roman" w:cs="Times New Roman"/>
          <w:lang w:val="fr-FR"/>
        </w:rPr>
        <w:t>Aucun État de l</w:t>
      </w:r>
      <w:r>
        <w:rPr>
          <w:rFonts w:ascii="Times New Roman" w:hAnsi="Times New Roman" w:cs="Times New Roman"/>
          <w:lang w:val="fr-FR"/>
        </w:rPr>
        <w:t>’</w:t>
      </w:r>
      <w:r w:rsidRPr="001A7979">
        <w:rPr>
          <w:rFonts w:ascii="Times New Roman" w:hAnsi="Times New Roman" w:cs="Times New Roman"/>
          <w:lang w:val="fr-FR"/>
        </w:rPr>
        <w:t>aire de répartition n</w:t>
      </w:r>
      <w:r>
        <w:rPr>
          <w:rFonts w:ascii="Times New Roman" w:hAnsi="Times New Roman" w:cs="Times New Roman"/>
          <w:lang w:val="fr-FR"/>
        </w:rPr>
        <w:t>’</w:t>
      </w:r>
      <w:r w:rsidRPr="001A7979">
        <w:rPr>
          <w:rFonts w:ascii="Times New Roman" w:hAnsi="Times New Roman" w:cs="Times New Roman"/>
          <w:lang w:val="fr-FR"/>
        </w:rPr>
        <w:t xml:space="preserve">a fait part de </w:t>
      </w:r>
      <w:r>
        <w:rPr>
          <w:rFonts w:ascii="Times New Roman" w:hAnsi="Times New Roman" w:cs="Times New Roman"/>
          <w:lang w:val="fr-FR"/>
        </w:rPr>
        <w:t>s</w:t>
      </w:r>
      <w:r w:rsidRPr="001A7979">
        <w:rPr>
          <w:rFonts w:ascii="Times New Roman" w:hAnsi="Times New Roman" w:cs="Times New Roman"/>
          <w:lang w:val="fr-FR"/>
        </w:rPr>
        <w:t>a mise en œuvre.</w:t>
      </w:r>
      <w:r w:rsidRPr="004B1407">
        <w:rPr>
          <w:rFonts w:ascii="Times New Roman" w:hAnsi="Times New Roman" w:cs="Times New Roman"/>
          <w:lang w:val="fr-FR"/>
        </w:rPr>
        <w:t xml:space="preserve"> </w:t>
      </w:r>
      <w:r>
        <w:rPr>
          <w:rFonts w:ascii="Times New Roman" w:hAnsi="Times New Roman" w:cs="Times New Roman"/>
          <w:lang w:val="en-US"/>
        </w:rPr>
        <w:t>(0 %)</w:t>
      </w:r>
    </w:p>
    <w:p w14:paraId="25E6E14D" w14:textId="77777777" w:rsidR="00886A3C" w:rsidRDefault="00886A3C" w:rsidP="00886A3C">
      <w:pPr>
        <w:spacing w:after="0" w:line="240" w:lineRule="auto"/>
        <w:jc w:val="both"/>
        <w:rPr>
          <w:rFonts w:ascii="Times New Roman" w:hAnsi="Times New Roman" w:cs="Times New Roman"/>
          <w:lang w:val="en-US"/>
        </w:rPr>
      </w:pPr>
    </w:p>
    <w:p w14:paraId="255E076A" w14:textId="77777777" w:rsidR="00886A3C" w:rsidRPr="00054315" w:rsidRDefault="00886A3C" w:rsidP="00886A3C">
      <w:pPr>
        <w:spacing w:after="0" w:line="240" w:lineRule="auto"/>
        <w:jc w:val="both"/>
        <w:rPr>
          <w:rFonts w:ascii="Times New Roman" w:hAnsi="Times New Roman" w:cs="Times New Roman"/>
          <w:b/>
          <w:lang w:val="en-US"/>
        </w:rPr>
      </w:pPr>
      <w:r w:rsidRPr="001A7979">
        <w:rPr>
          <w:rFonts w:ascii="Times New Roman" w:hAnsi="Times New Roman" w:cs="Times New Roman"/>
          <w:b/>
          <w:lang w:val="fr-FR"/>
        </w:rPr>
        <w:t>Taux moyen de mise en œuvre :</w:t>
      </w:r>
      <w:r w:rsidRPr="00054315">
        <w:rPr>
          <w:rFonts w:ascii="Times New Roman" w:hAnsi="Times New Roman" w:cs="Times New Roman"/>
          <w:b/>
          <w:lang w:val="en-US"/>
        </w:rPr>
        <w:t xml:space="preserve"> </w:t>
      </w:r>
      <w:r>
        <w:rPr>
          <w:rFonts w:ascii="Times New Roman" w:hAnsi="Times New Roman" w:cs="Times New Roman"/>
          <w:b/>
          <w:lang w:val="en-US"/>
        </w:rPr>
        <w:t>17 %</w:t>
      </w:r>
    </w:p>
    <w:p w14:paraId="234F2914" w14:textId="77777777" w:rsidR="00886A3C" w:rsidRDefault="00886A3C" w:rsidP="00886A3C">
      <w:pPr>
        <w:spacing w:after="0" w:line="240" w:lineRule="auto"/>
        <w:jc w:val="both"/>
        <w:rPr>
          <w:rFonts w:ascii="Times New Roman" w:hAnsi="Times New Roman" w:cs="Times New Roman"/>
          <w:lang w:val="en-US"/>
        </w:rPr>
      </w:pPr>
    </w:p>
    <w:p w14:paraId="2EE7A741" w14:textId="77777777" w:rsidR="00886A3C" w:rsidRDefault="00886A3C" w:rsidP="00886A3C">
      <w:pPr>
        <w:spacing w:after="0" w:line="240" w:lineRule="auto"/>
        <w:rPr>
          <w:rFonts w:ascii="Times New Roman" w:hAnsi="Times New Roman" w:cs="Times New Roman"/>
          <w:i/>
          <w:lang w:val="en-US"/>
        </w:rPr>
      </w:pPr>
      <w:r w:rsidRPr="001A7979">
        <w:rPr>
          <w:rFonts w:ascii="Times New Roman" w:hAnsi="Times New Roman" w:cs="Times New Roman"/>
          <w:i/>
          <w:lang w:val="fr-FR"/>
        </w:rPr>
        <w:t>5.3. Résultat 3 – Mortalité minimisée</w:t>
      </w:r>
    </w:p>
    <w:p w14:paraId="08082AEE" w14:textId="77777777" w:rsidR="00886A3C" w:rsidRPr="007F483C" w:rsidRDefault="00886A3C" w:rsidP="00886A3C">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138"/>
        <w:gridCol w:w="1367"/>
        <w:gridCol w:w="1555"/>
      </w:tblGrid>
      <w:tr w:rsidR="00886A3C" w:rsidRPr="00DE4CF4" w14:paraId="49071189"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63966C" w14:textId="77777777" w:rsidR="00886A3C" w:rsidRDefault="00886A3C" w:rsidP="00886A3C">
            <w:pPr>
              <w:jc w:val="both"/>
              <w:rPr>
                <w:rFonts w:ascii="Times New Roman" w:hAnsi="Times New Roman" w:cs="Times New Roman"/>
                <w:i/>
              </w:rPr>
            </w:pPr>
            <w:r w:rsidRPr="001A7979">
              <w:rPr>
                <w:rFonts w:ascii="Times New Roman" w:hAnsi="Times New Roman" w:cs="Times New Roman"/>
                <w:i/>
                <w:lang w:val="fr-FR"/>
              </w:rPr>
              <w:t>Activité</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8E7C48" w14:textId="77777777" w:rsidR="00886A3C" w:rsidRDefault="00886A3C" w:rsidP="00886A3C">
            <w:pPr>
              <w:jc w:val="both"/>
              <w:rPr>
                <w:rFonts w:ascii="Times New Roman" w:hAnsi="Times New Roman" w:cs="Times New Roman"/>
                <w:i/>
              </w:rPr>
            </w:pPr>
            <w:r>
              <w:rPr>
                <w:rFonts w:ascii="Times New Roman" w:hAnsi="Times New Roman" w:cs="Times New Roman"/>
                <w:i/>
                <w:lang w:val="fr-FR"/>
              </w:rPr>
              <w:t>P</w:t>
            </w:r>
            <w:r w:rsidRPr="001A7979">
              <w:rPr>
                <w:rFonts w:ascii="Times New Roman" w:hAnsi="Times New Roman" w:cs="Times New Roman"/>
                <w:i/>
                <w:lang w:val="fr-FR"/>
              </w:rPr>
              <w:t>riorité</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42C833" w14:textId="77777777" w:rsidR="00886A3C" w:rsidRPr="004B1407" w:rsidRDefault="00886A3C" w:rsidP="00886A3C">
            <w:pPr>
              <w:jc w:val="both"/>
              <w:rPr>
                <w:rFonts w:ascii="Times New Roman" w:hAnsi="Times New Roman" w:cs="Times New Roman"/>
                <w:i/>
                <w:lang w:val="fr-FR"/>
              </w:rPr>
            </w:pPr>
            <w:r w:rsidRPr="001A7979">
              <w:rPr>
                <w:rFonts w:ascii="Times New Roman" w:hAnsi="Times New Roman" w:cs="Times New Roman"/>
                <w:i/>
                <w:lang w:val="fr-FR"/>
              </w:rPr>
              <w:t xml:space="preserve">Taux de mise en œuvre </w:t>
            </w:r>
          </w:p>
        </w:tc>
      </w:tr>
      <w:tr w:rsidR="00886A3C" w:rsidRPr="00BA6B6C" w14:paraId="37B092DC" w14:textId="77777777" w:rsidTr="00886A3C">
        <w:trPr>
          <w:trHeight w:val="495"/>
        </w:trPr>
        <w:tc>
          <w:tcPr>
            <w:tcW w:w="6369" w:type="dxa"/>
            <w:tcBorders>
              <w:top w:val="single" w:sz="4" w:space="0" w:color="auto"/>
              <w:left w:val="single" w:sz="4" w:space="0" w:color="auto"/>
              <w:bottom w:val="single" w:sz="4" w:space="0" w:color="auto"/>
              <w:right w:val="single" w:sz="4" w:space="0" w:color="auto"/>
            </w:tcBorders>
          </w:tcPr>
          <w:p w14:paraId="2F3899C6" w14:textId="77777777" w:rsidR="00886A3C" w:rsidRPr="004B1407" w:rsidRDefault="00886A3C" w:rsidP="00886A3C">
            <w:pPr>
              <w:rPr>
                <w:rFonts w:ascii="Times New Roman" w:hAnsi="Times New Roman" w:cs="Times New Roman"/>
                <w:lang w:val="fr-FR"/>
              </w:rPr>
            </w:pPr>
            <w:r w:rsidRPr="001A7979">
              <w:rPr>
                <w:rFonts w:ascii="Times New Roman" w:hAnsi="Times New Roman" w:cs="Times New Roman"/>
                <w:lang w:val="fr-FR"/>
              </w:rPr>
              <w:t xml:space="preserve">3.1. Introduire ou maintenir la protection </w:t>
            </w:r>
            <w:r>
              <w:rPr>
                <w:rFonts w:ascii="Times New Roman" w:hAnsi="Times New Roman" w:cs="Times New Roman"/>
                <w:lang w:val="fr-FR"/>
              </w:rPr>
              <w:t xml:space="preserve">par rapport à </w:t>
            </w:r>
            <w:r w:rsidRPr="001A7979">
              <w:rPr>
                <w:rFonts w:ascii="Times New Roman" w:hAnsi="Times New Roman" w:cs="Times New Roman"/>
                <w:lang w:val="fr-FR"/>
              </w:rPr>
              <w:t>la chasse tout au long de l</w:t>
            </w:r>
            <w:r>
              <w:rPr>
                <w:rFonts w:ascii="Times New Roman" w:hAnsi="Times New Roman" w:cs="Times New Roman"/>
                <w:lang w:val="fr-FR"/>
              </w:rPr>
              <w:t>’</w:t>
            </w:r>
            <w:r w:rsidRPr="001A7979">
              <w:rPr>
                <w:rFonts w:ascii="Times New Roman" w:hAnsi="Times New Roman" w:cs="Times New Roman"/>
                <w:lang w:val="fr-FR"/>
              </w:rPr>
              <w:t xml:space="preserve">année tant que la population </w:t>
            </w:r>
            <w:r>
              <w:rPr>
                <w:rFonts w:ascii="Times New Roman" w:hAnsi="Times New Roman" w:cs="Times New Roman"/>
                <w:lang w:val="fr-FR"/>
              </w:rPr>
              <w:t>est dans l’état</w:t>
            </w:r>
            <w:r w:rsidRPr="001A7979">
              <w:rPr>
                <w:rFonts w:ascii="Times New Roman" w:hAnsi="Times New Roman" w:cs="Times New Roman"/>
                <w:lang w:val="fr-FR"/>
              </w:rPr>
              <w:t xml:space="preserve"> défavorable actuel.</w:t>
            </w:r>
          </w:p>
        </w:tc>
        <w:tc>
          <w:tcPr>
            <w:tcW w:w="1384" w:type="dxa"/>
            <w:tcBorders>
              <w:top w:val="single" w:sz="4" w:space="0" w:color="auto"/>
              <w:left w:val="single" w:sz="4" w:space="0" w:color="auto"/>
              <w:bottom w:val="single" w:sz="4" w:space="0" w:color="auto"/>
              <w:right w:val="single" w:sz="4" w:space="0" w:color="auto"/>
            </w:tcBorders>
          </w:tcPr>
          <w:p w14:paraId="29701513" w14:textId="77777777" w:rsidR="00886A3C" w:rsidRDefault="00886A3C" w:rsidP="00886A3C">
            <w:pPr>
              <w:jc w:val="center"/>
              <w:rPr>
                <w:rFonts w:ascii="Times New Roman" w:hAnsi="Times New Roman" w:cs="Times New Roman"/>
              </w:rPr>
            </w:pPr>
            <w:r>
              <w:rPr>
                <w:rFonts w:ascii="Times New Roman" w:hAnsi="Times New Roman" w:cs="Times New Roman"/>
                <w:lang w:val="fr-FR"/>
              </w:rPr>
              <w:t>Critique</w:t>
            </w:r>
          </w:p>
        </w:tc>
        <w:tc>
          <w:tcPr>
            <w:tcW w:w="1597" w:type="dxa"/>
            <w:tcBorders>
              <w:top w:val="single" w:sz="4" w:space="0" w:color="auto"/>
              <w:left w:val="single" w:sz="4" w:space="0" w:color="auto"/>
              <w:bottom w:val="single" w:sz="4" w:space="0" w:color="auto"/>
              <w:right w:val="single" w:sz="4" w:space="0" w:color="auto"/>
            </w:tcBorders>
          </w:tcPr>
          <w:p w14:paraId="4BE55311" w14:textId="77777777" w:rsidR="00886A3C" w:rsidRDefault="00886A3C" w:rsidP="00886A3C">
            <w:pPr>
              <w:jc w:val="center"/>
              <w:rPr>
                <w:rFonts w:ascii="Times New Roman" w:hAnsi="Times New Roman" w:cs="Times New Roman"/>
              </w:rPr>
            </w:pPr>
            <w:r>
              <w:rPr>
                <w:rFonts w:ascii="Times New Roman" w:hAnsi="Times New Roman" w:cs="Times New Roman"/>
              </w:rPr>
              <w:t>25 %</w:t>
            </w:r>
          </w:p>
        </w:tc>
      </w:tr>
      <w:tr w:rsidR="00886A3C" w:rsidRPr="00BA6B6C" w14:paraId="27B5A9BF"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0BFEDA0B" w14:textId="77777777" w:rsidR="00886A3C" w:rsidRPr="004B1407" w:rsidRDefault="00886A3C" w:rsidP="00886A3C">
            <w:pPr>
              <w:rPr>
                <w:rFonts w:ascii="Times New Roman" w:hAnsi="Times New Roman" w:cs="Times New Roman"/>
                <w:i/>
                <w:lang w:val="fr-FR"/>
              </w:rPr>
            </w:pPr>
            <w:r w:rsidRPr="001A7979">
              <w:rPr>
                <w:rFonts w:ascii="Times New Roman" w:hAnsi="Times New Roman" w:cs="Times New Roman"/>
                <w:lang w:val="fr-FR"/>
              </w:rPr>
              <w:t>3.2. Œuvrer par l</w:t>
            </w:r>
            <w:r>
              <w:rPr>
                <w:rFonts w:ascii="Times New Roman" w:hAnsi="Times New Roman" w:cs="Times New Roman"/>
                <w:lang w:val="fr-FR"/>
              </w:rPr>
              <w:t>’</w:t>
            </w:r>
            <w:r w:rsidRPr="001A7979">
              <w:rPr>
                <w:rFonts w:ascii="Times New Roman" w:hAnsi="Times New Roman" w:cs="Times New Roman"/>
                <w:lang w:val="fr-FR"/>
              </w:rPr>
              <w:t>entremise des organisations de chasseurs concerné</w:t>
            </w:r>
            <w:r>
              <w:rPr>
                <w:rFonts w:ascii="Times New Roman" w:hAnsi="Times New Roman" w:cs="Times New Roman"/>
                <w:lang w:val="fr-FR"/>
              </w:rPr>
              <w:t>e</w:t>
            </w:r>
            <w:r w:rsidRPr="001A7979">
              <w:rPr>
                <w:rFonts w:ascii="Times New Roman" w:hAnsi="Times New Roman" w:cs="Times New Roman"/>
                <w:lang w:val="fr-FR"/>
              </w:rPr>
              <w:t>s à promouvoir la connaissance de</w:t>
            </w:r>
            <w:r>
              <w:rPr>
                <w:rFonts w:ascii="Times New Roman" w:hAnsi="Times New Roman" w:cs="Times New Roman"/>
                <w:lang w:val="fr-FR"/>
              </w:rPr>
              <w:t>s</w:t>
            </w:r>
            <w:r w:rsidRPr="001A7979">
              <w:rPr>
                <w:rFonts w:ascii="Times New Roman" w:hAnsi="Times New Roman" w:cs="Times New Roman"/>
                <w:lang w:val="fr-FR"/>
              </w:rPr>
              <w:t xml:space="preserve"> réglementations de chasse pertinentes.</w:t>
            </w:r>
          </w:p>
        </w:tc>
        <w:tc>
          <w:tcPr>
            <w:tcW w:w="1384" w:type="dxa"/>
            <w:tcBorders>
              <w:top w:val="single" w:sz="4" w:space="0" w:color="auto"/>
              <w:left w:val="single" w:sz="4" w:space="0" w:color="auto"/>
              <w:bottom w:val="single" w:sz="4" w:space="0" w:color="auto"/>
              <w:right w:val="single" w:sz="4" w:space="0" w:color="auto"/>
            </w:tcBorders>
          </w:tcPr>
          <w:p w14:paraId="4AFF7C7C" w14:textId="77777777" w:rsidR="00886A3C" w:rsidRDefault="00886A3C" w:rsidP="00886A3C">
            <w:pPr>
              <w:jc w:val="center"/>
              <w:rPr>
                <w:rFonts w:ascii="Times New Roman" w:hAnsi="Times New Roman" w:cs="Times New Roman"/>
              </w:rPr>
            </w:pPr>
            <w:r>
              <w:rPr>
                <w:rFonts w:ascii="Times New Roman" w:hAnsi="Times New Roman" w:cs="Times New Roman"/>
                <w:lang w:val="fr-FR"/>
              </w:rPr>
              <w:t>Critique</w:t>
            </w:r>
          </w:p>
        </w:tc>
        <w:tc>
          <w:tcPr>
            <w:tcW w:w="1597" w:type="dxa"/>
            <w:tcBorders>
              <w:top w:val="single" w:sz="4" w:space="0" w:color="auto"/>
              <w:left w:val="single" w:sz="4" w:space="0" w:color="auto"/>
              <w:bottom w:val="single" w:sz="4" w:space="0" w:color="auto"/>
              <w:right w:val="single" w:sz="4" w:space="0" w:color="auto"/>
            </w:tcBorders>
          </w:tcPr>
          <w:p w14:paraId="46578C7E"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rsidRPr="00BA6B6C" w14:paraId="59C3B80B"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7F3DD468" w14:textId="77777777" w:rsidR="00886A3C" w:rsidRPr="004B1407" w:rsidRDefault="00886A3C" w:rsidP="00886A3C">
            <w:pPr>
              <w:rPr>
                <w:rFonts w:ascii="Times New Roman" w:hAnsi="Times New Roman" w:cs="Times New Roman"/>
                <w:lang w:val="fr-FR"/>
              </w:rPr>
            </w:pPr>
            <w:r w:rsidRPr="0052071D">
              <w:rPr>
                <w:rFonts w:ascii="Times New Roman" w:hAnsi="Times New Roman" w:cs="Times New Roman"/>
                <w:lang w:val="fr-FR"/>
              </w:rPr>
              <w:t>3.3. Quantifier l</w:t>
            </w:r>
            <w:r>
              <w:rPr>
                <w:rFonts w:ascii="Times New Roman" w:hAnsi="Times New Roman" w:cs="Times New Roman"/>
                <w:lang w:val="fr-FR"/>
              </w:rPr>
              <w:t>’</w:t>
            </w:r>
            <w:r w:rsidRPr="0052071D">
              <w:rPr>
                <w:rFonts w:ascii="Times New Roman" w:hAnsi="Times New Roman" w:cs="Times New Roman"/>
                <w:lang w:val="fr-FR"/>
              </w:rPr>
              <w:t>échelle de la chasse illégale en réalisant des radiographies des oiseaux capturés lorsqu</w:t>
            </w:r>
            <w:r>
              <w:rPr>
                <w:rFonts w:ascii="Times New Roman" w:hAnsi="Times New Roman" w:cs="Times New Roman"/>
                <w:lang w:val="fr-FR"/>
              </w:rPr>
              <w:t>’</w:t>
            </w:r>
            <w:r w:rsidRPr="0052071D">
              <w:rPr>
                <w:rFonts w:ascii="Times New Roman" w:hAnsi="Times New Roman" w:cs="Times New Roman"/>
                <w:lang w:val="fr-FR"/>
              </w:rPr>
              <w:t>on en a la possibilité.</w:t>
            </w:r>
          </w:p>
        </w:tc>
        <w:tc>
          <w:tcPr>
            <w:tcW w:w="1384" w:type="dxa"/>
            <w:tcBorders>
              <w:top w:val="single" w:sz="4" w:space="0" w:color="auto"/>
              <w:left w:val="single" w:sz="4" w:space="0" w:color="auto"/>
              <w:bottom w:val="single" w:sz="4" w:space="0" w:color="auto"/>
              <w:right w:val="single" w:sz="4" w:space="0" w:color="auto"/>
            </w:tcBorders>
          </w:tcPr>
          <w:p w14:paraId="020A99B0" w14:textId="77777777" w:rsidR="00886A3C" w:rsidRDefault="00886A3C" w:rsidP="00886A3C">
            <w:pPr>
              <w:jc w:val="center"/>
              <w:rPr>
                <w:rFonts w:ascii="Times New Roman" w:hAnsi="Times New Roman" w:cs="Times New Roman"/>
              </w:rPr>
            </w:pPr>
            <w:r w:rsidRPr="0052071D">
              <w:rPr>
                <w:rFonts w:ascii="Times New Roman" w:hAnsi="Times New Roman" w:cs="Times New Roman"/>
                <w:lang w:val="fr-FR"/>
              </w:rPr>
              <w:t>Moyenne</w:t>
            </w:r>
          </w:p>
        </w:tc>
        <w:tc>
          <w:tcPr>
            <w:tcW w:w="1597" w:type="dxa"/>
            <w:tcBorders>
              <w:top w:val="single" w:sz="4" w:space="0" w:color="auto"/>
              <w:left w:val="single" w:sz="4" w:space="0" w:color="auto"/>
              <w:bottom w:val="single" w:sz="4" w:space="0" w:color="auto"/>
              <w:right w:val="single" w:sz="4" w:space="0" w:color="auto"/>
            </w:tcBorders>
          </w:tcPr>
          <w:p w14:paraId="6BB6AACF"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BA6B6C" w14:paraId="1FC89299"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44785DAE" w14:textId="77777777" w:rsidR="00886A3C" w:rsidRPr="004B1407" w:rsidRDefault="00886A3C" w:rsidP="00886A3C">
            <w:pPr>
              <w:rPr>
                <w:rFonts w:ascii="Times New Roman" w:hAnsi="Times New Roman" w:cs="Times New Roman"/>
                <w:lang w:val="fr-FR"/>
              </w:rPr>
            </w:pPr>
            <w:r w:rsidRPr="0052071D">
              <w:rPr>
                <w:rFonts w:ascii="Times New Roman" w:hAnsi="Times New Roman" w:cs="Times New Roman"/>
                <w:lang w:val="fr-FR"/>
              </w:rPr>
              <w:t>3.4. Appliquer la législation sur la chasse, par ex. en particulier celle contre l</w:t>
            </w:r>
            <w:r>
              <w:rPr>
                <w:rFonts w:ascii="Times New Roman" w:hAnsi="Times New Roman" w:cs="Times New Roman"/>
                <w:lang w:val="fr-FR"/>
              </w:rPr>
              <w:t xml:space="preserve">a chasse </w:t>
            </w:r>
            <w:r w:rsidRPr="0052071D">
              <w:rPr>
                <w:rFonts w:ascii="Times New Roman" w:hAnsi="Times New Roman" w:cs="Times New Roman"/>
                <w:lang w:val="fr-FR"/>
              </w:rPr>
              <w:t>illéga</w:t>
            </w:r>
            <w:r>
              <w:rPr>
                <w:rFonts w:ascii="Times New Roman" w:hAnsi="Times New Roman" w:cs="Times New Roman"/>
                <w:lang w:val="fr-FR"/>
              </w:rPr>
              <w:t>le</w:t>
            </w:r>
            <w:r w:rsidRPr="0052071D">
              <w:rPr>
                <w:rFonts w:ascii="Times New Roman" w:hAnsi="Times New Roman" w:cs="Times New Roman"/>
                <w:lang w:val="fr-FR"/>
              </w:rPr>
              <w:t xml:space="preserve"> du printemps.</w:t>
            </w:r>
          </w:p>
        </w:tc>
        <w:tc>
          <w:tcPr>
            <w:tcW w:w="1384" w:type="dxa"/>
            <w:tcBorders>
              <w:top w:val="single" w:sz="4" w:space="0" w:color="auto"/>
              <w:left w:val="single" w:sz="4" w:space="0" w:color="auto"/>
              <w:bottom w:val="single" w:sz="4" w:space="0" w:color="auto"/>
              <w:right w:val="single" w:sz="4" w:space="0" w:color="auto"/>
            </w:tcBorders>
          </w:tcPr>
          <w:p w14:paraId="58AEB453" w14:textId="77777777" w:rsidR="00886A3C" w:rsidRDefault="00886A3C" w:rsidP="00886A3C">
            <w:pPr>
              <w:jc w:val="center"/>
              <w:rPr>
                <w:rFonts w:ascii="Times New Roman" w:hAnsi="Times New Roman" w:cs="Times New Roman"/>
              </w:rPr>
            </w:pPr>
            <w:r>
              <w:rPr>
                <w:rFonts w:ascii="Times New Roman" w:hAnsi="Times New Roman" w:cs="Times New Roman"/>
                <w:lang w:val="fr-FR"/>
              </w:rPr>
              <w:t>Critique</w:t>
            </w:r>
          </w:p>
        </w:tc>
        <w:tc>
          <w:tcPr>
            <w:tcW w:w="1597" w:type="dxa"/>
            <w:tcBorders>
              <w:top w:val="single" w:sz="4" w:space="0" w:color="auto"/>
              <w:left w:val="single" w:sz="4" w:space="0" w:color="auto"/>
              <w:bottom w:val="single" w:sz="4" w:space="0" w:color="auto"/>
              <w:right w:val="single" w:sz="4" w:space="0" w:color="auto"/>
            </w:tcBorders>
          </w:tcPr>
          <w:p w14:paraId="4148C55F"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rsidRPr="00054315" w14:paraId="2AB11BF7"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6CACBD30" w14:textId="77777777" w:rsidR="00886A3C" w:rsidRPr="004B1407" w:rsidRDefault="00886A3C" w:rsidP="00886A3C">
            <w:pPr>
              <w:rPr>
                <w:rFonts w:ascii="Times New Roman" w:hAnsi="Times New Roman" w:cs="Times New Roman"/>
                <w:lang w:val="fr-FR"/>
              </w:rPr>
            </w:pPr>
            <w:r w:rsidRPr="0052071D">
              <w:rPr>
                <w:rFonts w:ascii="Times New Roman" w:hAnsi="Times New Roman" w:cs="Times New Roman"/>
                <w:lang w:val="fr-FR"/>
              </w:rPr>
              <w:t>3.5. S</w:t>
            </w:r>
            <w:r>
              <w:rPr>
                <w:rFonts w:ascii="Times New Roman" w:hAnsi="Times New Roman" w:cs="Times New Roman"/>
                <w:lang w:val="fr-FR"/>
              </w:rPr>
              <w:t>’a</w:t>
            </w:r>
            <w:r w:rsidRPr="0052071D">
              <w:rPr>
                <w:rFonts w:ascii="Times New Roman" w:hAnsi="Times New Roman" w:cs="Times New Roman"/>
                <w:lang w:val="fr-FR"/>
              </w:rPr>
              <w:t>ssurer que tous les projets de développement de ferme</w:t>
            </w:r>
            <w:r>
              <w:rPr>
                <w:rFonts w:ascii="Times New Roman" w:hAnsi="Times New Roman" w:cs="Times New Roman"/>
                <w:lang w:val="fr-FR"/>
              </w:rPr>
              <w:t>s</w:t>
            </w:r>
            <w:r w:rsidRPr="0052071D">
              <w:rPr>
                <w:rFonts w:ascii="Times New Roman" w:hAnsi="Times New Roman" w:cs="Times New Roman"/>
                <w:lang w:val="fr-FR"/>
              </w:rPr>
              <w:t xml:space="preserve"> éolienne</w:t>
            </w:r>
            <w:r>
              <w:rPr>
                <w:rFonts w:ascii="Times New Roman" w:hAnsi="Times New Roman" w:cs="Times New Roman"/>
                <w:lang w:val="fr-FR"/>
              </w:rPr>
              <w:t>s</w:t>
            </w:r>
            <w:r w:rsidRPr="0052071D">
              <w:rPr>
                <w:rFonts w:ascii="Times New Roman" w:hAnsi="Times New Roman" w:cs="Times New Roman"/>
                <w:lang w:val="fr-FR"/>
              </w:rPr>
              <w:t xml:space="preserve"> et d</w:t>
            </w:r>
            <w:r>
              <w:rPr>
                <w:rFonts w:ascii="Times New Roman" w:hAnsi="Times New Roman" w:cs="Times New Roman"/>
                <w:lang w:val="fr-FR"/>
              </w:rPr>
              <w:t>’</w:t>
            </w:r>
            <w:r w:rsidRPr="0052071D">
              <w:rPr>
                <w:rFonts w:ascii="Times New Roman" w:hAnsi="Times New Roman" w:cs="Times New Roman"/>
                <w:lang w:val="fr-FR"/>
              </w:rPr>
              <w:t>infrastructures semblables sont soumis à des EIE.</w:t>
            </w:r>
          </w:p>
        </w:tc>
        <w:tc>
          <w:tcPr>
            <w:tcW w:w="1384" w:type="dxa"/>
            <w:tcBorders>
              <w:top w:val="single" w:sz="4" w:space="0" w:color="auto"/>
              <w:left w:val="single" w:sz="4" w:space="0" w:color="auto"/>
              <w:bottom w:val="single" w:sz="4" w:space="0" w:color="auto"/>
              <w:right w:val="single" w:sz="4" w:space="0" w:color="auto"/>
            </w:tcBorders>
          </w:tcPr>
          <w:p w14:paraId="39E2D0D3" w14:textId="77777777" w:rsidR="00886A3C" w:rsidRDefault="00886A3C" w:rsidP="00886A3C">
            <w:pPr>
              <w:jc w:val="center"/>
              <w:rPr>
                <w:rFonts w:ascii="Times New Roman" w:hAnsi="Times New Roman" w:cs="Times New Roman"/>
              </w:rPr>
            </w:pPr>
            <w:r>
              <w:rPr>
                <w:rFonts w:ascii="Times New Roman" w:hAnsi="Times New Roman" w:cs="Times New Roman"/>
                <w:lang w:val="fr-FR"/>
              </w:rPr>
              <w:t>É</w:t>
            </w:r>
            <w:r w:rsidRPr="0052071D">
              <w:rPr>
                <w:rFonts w:ascii="Times New Roman" w:hAnsi="Times New Roman" w:cs="Times New Roman"/>
                <w:lang w:val="fr-FR"/>
              </w:rPr>
              <w:t>levée</w:t>
            </w:r>
          </w:p>
        </w:tc>
        <w:tc>
          <w:tcPr>
            <w:tcW w:w="1597" w:type="dxa"/>
            <w:tcBorders>
              <w:top w:val="single" w:sz="4" w:space="0" w:color="auto"/>
              <w:left w:val="single" w:sz="4" w:space="0" w:color="auto"/>
              <w:bottom w:val="single" w:sz="4" w:space="0" w:color="auto"/>
              <w:right w:val="single" w:sz="4" w:space="0" w:color="auto"/>
            </w:tcBorders>
          </w:tcPr>
          <w:p w14:paraId="4D720831" w14:textId="77777777" w:rsidR="00886A3C" w:rsidRDefault="00886A3C" w:rsidP="00886A3C">
            <w:pPr>
              <w:jc w:val="center"/>
              <w:rPr>
                <w:rFonts w:ascii="Times New Roman" w:hAnsi="Times New Roman" w:cs="Times New Roman"/>
              </w:rPr>
            </w:pPr>
            <w:r>
              <w:rPr>
                <w:rFonts w:ascii="Times New Roman" w:hAnsi="Times New Roman" w:cs="Times New Roman"/>
              </w:rPr>
              <w:t>75 %</w:t>
            </w:r>
          </w:p>
        </w:tc>
      </w:tr>
    </w:tbl>
    <w:p w14:paraId="678A963D" w14:textId="77777777" w:rsidR="00886A3C" w:rsidRDefault="00886A3C" w:rsidP="00886A3C">
      <w:pPr>
        <w:spacing w:after="0" w:line="240" w:lineRule="auto"/>
        <w:jc w:val="both"/>
        <w:rPr>
          <w:rFonts w:ascii="Times New Roman" w:hAnsi="Times New Roman" w:cs="Times New Roman"/>
          <w:lang w:val="en-US"/>
        </w:rPr>
      </w:pPr>
    </w:p>
    <w:p w14:paraId="4AB29540" w14:textId="77777777" w:rsidR="00886A3C" w:rsidRPr="004B1407" w:rsidRDefault="00886A3C" w:rsidP="00886A3C">
      <w:pPr>
        <w:spacing w:after="0" w:line="240" w:lineRule="auto"/>
        <w:rPr>
          <w:rFonts w:ascii="Times New Roman" w:hAnsi="Times New Roman" w:cs="Times New Roman"/>
          <w:b/>
          <w:lang w:val="fr-FR"/>
        </w:rPr>
      </w:pPr>
      <w:r w:rsidRPr="0052071D">
        <w:rPr>
          <w:rFonts w:ascii="Times New Roman" w:hAnsi="Times New Roman" w:cs="Times New Roman"/>
          <w:b/>
          <w:lang w:val="fr-FR"/>
        </w:rPr>
        <w:t>Taux moyen de mise en œuvre :</w:t>
      </w:r>
      <w:r w:rsidRPr="004B1407">
        <w:rPr>
          <w:rFonts w:ascii="Times New Roman" w:hAnsi="Times New Roman" w:cs="Times New Roman"/>
          <w:b/>
          <w:lang w:val="fr-FR"/>
        </w:rPr>
        <w:t xml:space="preserve"> 40 %</w:t>
      </w:r>
    </w:p>
    <w:p w14:paraId="40149217" w14:textId="77777777" w:rsidR="00886A3C" w:rsidRPr="004B140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ab/>
      </w:r>
    </w:p>
    <w:p w14:paraId="70354E06" w14:textId="77777777" w:rsidR="00886A3C" w:rsidRPr="004B1407" w:rsidRDefault="00886A3C" w:rsidP="00886A3C">
      <w:pPr>
        <w:spacing w:after="0" w:line="240" w:lineRule="auto"/>
        <w:rPr>
          <w:rFonts w:ascii="Times New Roman" w:hAnsi="Times New Roman" w:cs="Times New Roman"/>
          <w:i/>
          <w:lang w:val="fr-FR"/>
        </w:rPr>
      </w:pPr>
      <w:r w:rsidRPr="0052071D">
        <w:rPr>
          <w:rFonts w:ascii="Times New Roman" w:hAnsi="Times New Roman" w:cs="Times New Roman"/>
          <w:i/>
          <w:lang w:val="fr-FR"/>
        </w:rPr>
        <w:t>5.3. Résultat 3 – Mortalité minimisée</w:t>
      </w:r>
    </w:p>
    <w:p w14:paraId="47FF3BEF" w14:textId="77777777" w:rsidR="00886A3C" w:rsidRPr="004B1407" w:rsidRDefault="00886A3C" w:rsidP="00886A3C">
      <w:pPr>
        <w:spacing w:after="0" w:line="240" w:lineRule="auto"/>
        <w:rPr>
          <w:rFonts w:ascii="Times New Roman" w:hAnsi="Times New Roman" w:cs="Times New Roman"/>
          <w:i/>
          <w:lang w:val="fr-FR"/>
        </w:rPr>
      </w:pPr>
      <w:r w:rsidRPr="0052071D">
        <w:rPr>
          <w:rFonts w:ascii="Times New Roman" w:hAnsi="Times New Roman" w:cs="Times New Roman"/>
          <w:i/>
          <w:lang w:val="fr-FR"/>
        </w:rPr>
        <w:t xml:space="preserve">5.4. Résultat 4 – </w:t>
      </w:r>
      <w:r>
        <w:rPr>
          <w:rFonts w:ascii="Times New Roman" w:hAnsi="Times New Roman" w:cs="Times New Roman"/>
          <w:i/>
          <w:lang w:val="fr-FR"/>
        </w:rPr>
        <w:t xml:space="preserve">Étendue </w:t>
      </w:r>
      <w:r w:rsidRPr="0052071D">
        <w:rPr>
          <w:rFonts w:ascii="Times New Roman" w:hAnsi="Times New Roman" w:cs="Times New Roman"/>
          <w:i/>
          <w:lang w:val="fr-FR"/>
        </w:rPr>
        <w:t>de l</w:t>
      </w:r>
      <w:r>
        <w:rPr>
          <w:rFonts w:ascii="Times New Roman" w:hAnsi="Times New Roman" w:cs="Times New Roman"/>
          <w:i/>
          <w:lang w:val="fr-FR"/>
        </w:rPr>
        <w:t>’</w:t>
      </w:r>
      <w:r w:rsidRPr="0052071D">
        <w:rPr>
          <w:rFonts w:ascii="Times New Roman" w:hAnsi="Times New Roman" w:cs="Times New Roman"/>
          <w:i/>
          <w:lang w:val="fr-FR"/>
        </w:rPr>
        <w:t>aire de répartition maintenue</w:t>
      </w:r>
    </w:p>
    <w:p w14:paraId="25AB0E20" w14:textId="77777777" w:rsidR="00886A3C" w:rsidRPr="004B1407" w:rsidRDefault="00886A3C" w:rsidP="00886A3C">
      <w:pPr>
        <w:spacing w:after="0" w:line="240" w:lineRule="auto"/>
        <w:jc w:val="both"/>
        <w:rPr>
          <w:rFonts w:ascii="Times New Roman" w:hAnsi="Times New Roman" w:cs="Times New Roman"/>
          <w:i/>
          <w:lang w:val="fr-FR"/>
        </w:rPr>
      </w:pPr>
    </w:p>
    <w:p w14:paraId="2E49B459" w14:textId="77777777" w:rsidR="00886A3C" w:rsidRPr="004B1407" w:rsidRDefault="00886A3C" w:rsidP="00886A3C">
      <w:pPr>
        <w:spacing w:after="0" w:line="240" w:lineRule="auto"/>
        <w:jc w:val="both"/>
        <w:rPr>
          <w:rFonts w:ascii="Times New Roman" w:hAnsi="Times New Roman" w:cs="Times New Roman"/>
          <w:lang w:val="fr-FR"/>
        </w:rPr>
      </w:pPr>
      <w:r w:rsidRPr="0052071D">
        <w:rPr>
          <w:rFonts w:ascii="Times New Roman" w:hAnsi="Times New Roman" w:cs="Times New Roman"/>
          <w:lang w:val="fr-FR"/>
        </w:rPr>
        <w:t xml:space="preserve">Ce résultat prévoit uniquement une activité (4.1) destinée à chercher à passer des accords avec les gestionnaires fonciers sur les sites clés ainsi </w:t>
      </w:r>
      <w:r w:rsidRPr="005F7628">
        <w:rPr>
          <w:rFonts w:ascii="Times New Roman" w:hAnsi="Times New Roman" w:cs="Times New Roman"/>
          <w:lang w:val="fr-FR"/>
        </w:rPr>
        <w:t>qu</w:t>
      </w:r>
      <w:r>
        <w:rPr>
          <w:rFonts w:ascii="Times New Roman" w:hAnsi="Times New Roman" w:cs="Times New Roman"/>
          <w:lang w:val="fr-FR"/>
        </w:rPr>
        <w:t>e sur l</w:t>
      </w:r>
      <w:r w:rsidRPr="005F7628">
        <w:rPr>
          <w:rFonts w:ascii="Times New Roman" w:hAnsi="Times New Roman" w:cs="Times New Roman"/>
          <w:lang w:val="fr-FR"/>
        </w:rPr>
        <w:t>es</w:t>
      </w:r>
      <w:r>
        <w:rPr>
          <w:rFonts w:ascii="Times New Roman" w:hAnsi="Times New Roman" w:cs="Times New Roman"/>
          <w:lang w:val="fr-FR"/>
        </w:rPr>
        <w:t xml:space="preserve"> </w:t>
      </w:r>
      <w:r w:rsidRPr="005F7628">
        <w:rPr>
          <w:rFonts w:ascii="Times New Roman" w:hAnsi="Times New Roman" w:cs="Times New Roman"/>
          <w:lang w:val="fr-FR"/>
        </w:rPr>
        <w:t>endroits abritant de plus petites volées</w:t>
      </w:r>
      <w:r w:rsidRPr="0052071D">
        <w:rPr>
          <w:rFonts w:ascii="Times New Roman" w:hAnsi="Times New Roman" w:cs="Times New Roman"/>
          <w:lang w:val="fr-FR"/>
        </w:rPr>
        <w:t xml:space="preserve"> importants pour maintenir l</w:t>
      </w:r>
      <w:r>
        <w:rPr>
          <w:rFonts w:ascii="Times New Roman" w:hAnsi="Times New Roman" w:cs="Times New Roman"/>
          <w:lang w:val="fr-FR"/>
        </w:rPr>
        <w:t>’</w:t>
      </w:r>
      <w:r w:rsidRPr="0052071D">
        <w:rPr>
          <w:rFonts w:ascii="Times New Roman" w:hAnsi="Times New Roman" w:cs="Times New Roman"/>
          <w:lang w:val="fr-FR"/>
        </w:rPr>
        <w:t>aire de répartition, par exemple en utilisant des mesures agro</w:t>
      </w:r>
      <w:r>
        <w:rPr>
          <w:rFonts w:ascii="Times New Roman" w:hAnsi="Times New Roman" w:cs="Times New Roman"/>
          <w:lang w:val="fr-FR"/>
        </w:rPr>
        <w:t>-</w:t>
      </w:r>
      <w:r w:rsidRPr="0052071D">
        <w:rPr>
          <w:rFonts w:ascii="Times New Roman" w:hAnsi="Times New Roman" w:cs="Times New Roman"/>
          <w:lang w:val="fr-FR"/>
        </w:rPr>
        <w:t>environnementales pour garantir et optimiser la qualité des aires d</w:t>
      </w:r>
      <w:r>
        <w:rPr>
          <w:rFonts w:ascii="Times New Roman" w:hAnsi="Times New Roman" w:cs="Times New Roman"/>
          <w:lang w:val="fr-FR"/>
        </w:rPr>
        <w:t>’</w:t>
      </w:r>
      <w:r w:rsidRPr="0052071D">
        <w:rPr>
          <w:rFonts w:ascii="Times New Roman" w:hAnsi="Times New Roman" w:cs="Times New Roman"/>
          <w:lang w:val="fr-FR"/>
        </w:rPr>
        <w:t>alimentation agricole.</w:t>
      </w:r>
      <w:r w:rsidRPr="004B1407">
        <w:rPr>
          <w:rFonts w:ascii="Times New Roman" w:hAnsi="Times New Roman" w:cs="Times New Roman"/>
          <w:lang w:val="fr-FR"/>
        </w:rPr>
        <w:t xml:space="preserve"> </w:t>
      </w:r>
      <w:r w:rsidRPr="00964FD6">
        <w:rPr>
          <w:rFonts w:ascii="Times New Roman" w:hAnsi="Times New Roman" w:cs="Times New Roman"/>
          <w:lang w:val="fr-FR"/>
        </w:rPr>
        <w:t>L</w:t>
      </w:r>
      <w:r>
        <w:rPr>
          <w:rFonts w:ascii="Times New Roman" w:hAnsi="Times New Roman" w:cs="Times New Roman"/>
          <w:lang w:val="fr-FR"/>
        </w:rPr>
        <w:t>’</w:t>
      </w:r>
      <w:r w:rsidRPr="00964FD6">
        <w:rPr>
          <w:rFonts w:ascii="Times New Roman" w:hAnsi="Times New Roman" w:cs="Times New Roman"/>
          <w:lang w:val="fr-FR"/>
        </w:rPr>
        <w:t>action a été marquée comme « autres » au niveau de la priorité et appliquée à l</w:t>
      </w:r>
      <w:r>
        <w:rPr>
          <w:rFonts w:ascii="Times New Roman" w:hAnsi="Times New Roman" w:cs="Times New Roman"/>
          <w:lang w:val="fr-FR"/>
        </w:rPr>
        <w:t>’</w:t>
      </w:r>
      <w:r w:rsidRPr="00964FD6">
        <w:rPr>
          <w:rFonts w:ascii="Times New Roman" w:hAnsi="Times New Roman" w:cs="Times New Roman"/>
          <w:lang w:val="fr-FR"/>
        </w:rPr>
        <w:t>Islande, l</w:t>
      </w:r>
      <w:r>
        <w:rPr>
          <w:rFonts w:ascii="Times New Roman" w:hAnsi="Times New Roman" w:cs="Times New Roman"/>
          <w:lang w:val="fr-FR"/>
        </w:rPr>
        <w:t>’</w:t>
      </w:r>
      <w:r w:rsidRPr="00964FD6">
        <w:rPr>
          <w:rFonts w:ascii="Times New Roman" w:hAnsi="Times New Roman" w:cs="Times New Roman"/>
          <w:lang w:val="fr-FR"/>
        </w:rPr>
        <w:t>Irlande et le Royaume-Uni.</w:t>
      </w:r>
      <w:r w:rsidRPr="004B1407">
        <w:rPr>
          <w:rFonts w:ascii="Times New Roman" w:hAnsi="Times New Roman" w:cs="Times New Roman"/>
          <w:lang w:val="fr-FR"/>
        </w:rPr>
        <w:t xml:space="preserve"> </w:t>
      </w:r>
      <w:r w:rsidRPr="00964FD6">
        <w:rPr>
          <w:rFonts w:ascii="Times New Roman" w:hAnsi="Times New Roman" w:cs="Times New Roman"/>
          <w:lang w:val="fr-FR"/>
        </w:rPr>
        <w:t>Bien que l</w:t>
      </w:r>
      <w:r>
        <w:rPr>
          <w:rFonts w:ascii="Times New Roman" w:hAnsi="Times New Roman" w:cs="Times New Roman"/>
          <w:lang w:val="fr-FR"/>
        </w:rPr>
        <w:t>’</w:t>
      </w:r>
      <w:r w:rsidRPr="00964FD6">
        <w:rPr>
          <w:rFonts w:ascii="Times New Roman" w:hAnsi="Times New Roman" w:cs="Times New Roman"/>
          <w:lang w:val="fr-FR"/>
        </w:rPr>
        <w:t>Irlande indique que la mise en œuvre est en cours, aucun État de l</w:t>
      </w:r>
      <w:r>
        <w:rPr>
          <w:rFonts w:ascii="Times New Roman" w:hAnsi="Times New Roman" w:cs="Times New Roman"/>
          <w:lang w:val="fr-FR"/>
        </w:rPr>
        <w:t>’</w:t>
      </w:r>
      <w:r w:rsidRPr="00964FD6">
        <w:rPr>
          <w:rFonts w:ascii="Times New Roman" w:hAnsi="Times New Roman" w:cs="Times New Roman"/>
          <w:lang w:val="fr-FR"/>
        </w:rPr>
        <w:t>aire de répartition n</w:t>
      </w:r>
      <w:r>
        <w:rPr>
          <w:rFonts w:ascii="Times New Roman" w:hAnsi="Times New Roman" w:cs="Times New Roman"/>
          <w:lang w:val="fr-FR"/>
        </w:rPr>
        <w:t>’</w:t>
      </w:r>
      <w:r w:rsidRPr="00964FD6">
        <w:rPr>
          <w:rFonts w:ascii="Times New Roman" w:hAnsi="Times New Roman" w:cs="Times New Roman"/>
          <w:lang w:val="fr-FR"/>
        </w:rPr>
        <w:t>a fait part de la mise en œuvre intégrale de cette action.</w:t>
      </w:r>
      <w:r w:rsidRPr="004B1407">
        <w:rPr>
          <w:rFonts w:ascii="Times New Roman" w:hAnsi="Times New Roman" w:cs="Times New Roman"/>
          <w:lang w:val="fr-FR"/>
        </w:rPr>
        <w:t xml:space="preserve"> (0 %)</w:t>
      </w:r>
    </w:p>
    <w:p w14:paraId="5C988230" w14:textId="77777777" w:rsidR="00886A3C" w:rsidRDefault="00886A3C" w:rsidP="00886A3C">
      <w:pPr>
        <w:spacing w:after="0" w:line="240" w:lineRule="auto"/>
        <w:jc w:val="both"/>
        <w:rPr>
          <w:rFonts w:ascii="Times New Roman" w:hAnsi="Times New Roman" w:cs="Times New Roman"/>
          <w:lang w:val="fr-FR"/>
        </w:rPr>
      </w:pPr>
    </w:p>
    <w:p w14:paraId="531BFAE7" w14:textId="77777777" w:rsidR="004C07B7" w:rsidRPr="004B1407" w:rsidRDefault="004C07B7" w:rsidP="00886A3C">
      <w:pPr>
        <w:spacing w:after="0" w:line="240" w:lineRule="auto"/>
        <w:jc w:val="both"/>
        <w:rPr>
          <w:rFonts w:ascii="Times New Roman" w:hAnsi="Times New Roman" w:cs="Times New Roman"/>
          <w:lang w:val="fr-FR"/>
        </w:rPr>
      </w:pPr>
    </w:p>
    <w:p w14:paraId="61C74CB1" w14:textId="77777777" w:rsidR="00886A3C" w:rsidRPr="004B1407" w:rsidRDefault="00886A3C" w:rsidP="00886A3C">
      <w:pPr>
        <w:spacing w:after="0" w:line="240" w:lineRule="auto"/>
        <w:rPr>
          <w:rFonts w:ascii="Times New Roman" w:hAnsi="Times New Roman" w:cs="Times New Roman"/>
          <w:b/>
          <w:lang w:val="fr-FR"/>
        </w:rPr>
      </w:pPr>
      <w:r w:rsidRPr="00007EF8">
        <w:rPr>
          <w:rFonts w:ascii="Times New Roman" w:hAnsi="Times New Roman" w:cs="Times New Roman"/>
          <w:b/>
          <w:lang w:val="fr-FR"/>
        </w:rPr>
        <w:t>Taux moyen de mise en œuvre :</w:t>
      </w:r>
      <w:r w:rsidRPr="004B1407">
        <w:rPr>
          <w:rFonts w:ascii="Times New Roman" w:hAnsi="Times New Roman" w:cs="Times New Roman"/>
          <w:b/>
          <w:lang w:val="fr-FR"/>
        </w:rPr>
        <w:t xml:space="preserve"> 0 %</w:t>
      </w:r>
    </w:p>
    <w:p w14:paraId="35D619AA" w14:textId="77777777" w:rsidR="00886A3C" w:rsidRPr="004B1407" w:rsidRDefault="00886A3C" w:rsidP="00886A3C">
      <w:pPr>
        <w:spacing w:after="0" w:line="240" w:lineRule="auto"/>
        <w:jc w:val="both"/>
        <w:rPr>
          <w:rFonts w:ascii="Times New Roman" w:hAnsi="Times New Roman" w:cs="Times New Roman"/>
          <w:lang w:val="fr-FR"/>
        </w:rPr>
      </w:pPr>
    </w:p>
    <w:p w14:paraId="71A34FCB" w14:textId="77777777" w:rsidR="00886A3C" w:rsidRPr="004B1407" w:rsidRDefault="00886A3C" w:rsidP="00886A3C">
      <w:pPr>
        <w:spacing w:after="0" w:line="240" w:lineRule="auto"/>
        <w:rPr>
          <w:rFonts w:ascii="Times New Roman" w:hAnsi="Times New Roman" w:cs="Times New Roman"/>
          <w:i/>
          <w:lang w:val="fr-FR"/>
        </w:rPr>
      </w:pPr>
      <w:r w:rsidRPr="00007EF8">
        <w:rPr>
          <w:rFonts w:ascii="Times New Roman" w:hAnsi="Times New Roman" w:cs="Times New Roman"/>
          <w:i/>
          <w:lang w:val="fr-FR"/>
        </w:rPr>
        <w:t>5.5. Résultat 5 – Recueil annuel des données nécessaires à la gestion de la conservation de la population et des sites clés</w:t>
      </w:r>
    </w:p>
    <w:p w14:paraId="21391210" w14:textId="77777777" w:rsidR="00886A3C" w:rsidRPr="004B1407" w:rsidRDefault="00886A3C" w:rsidP="00886A3C">
      <w:pPr>
        <w:spacing w:after="0" w:line="240" w:lineRule="auto"/>
        <w:rPr>
          <w:rFonts w:ascii="Times New Roman" w:hAnsi="Times New Roman" w:cs="Times New Roman"/>
          <w:i/>
          <w:lang w:val="fr-FR"/>
        </w:rPr>
      </w:pPr>
    </w:p>
    <w:p w14:paraId="2576B845" w14:textId="77777777" w:rsidR="00886A3C" w:rsidRPr="004B1407" w:rsidRDefault="00886A3C" w:rsidP="00886A3C">
      <w:pPr>
        <w:spacing w:after="0" w:line="240" w:lineRule="auto"/>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007EF8">
        <w:rPr>
          <w:rFonts w:ascii="Times New Roman" w:hAnsi="Times New Roman" w:cs="Times New Roman"/>
          <w:b/>
          <w:lang w:val="fr-FR"/>
        </w:rPr>
        <w:t xml:space="preserve"> 5.1</w:t>
      </w:r>
      <w:r w:rsidRPr="00FE4207">
        <w:rPr>
          <w:rFonts w:ascii="Times New Roman" w:hAnsi="Times New Roman" w:cs="Times New Roman"/>
          <w:lang w:val="fr-FR"/>
        </w:rPr>
        <w:t>,</w:t>
      </w:r>
      <w:r w:rsidRPr="00007EF8">
        <w:rPr>
          <w:rFonts w:ascii="Times New Roman" w:hAnsi="Times New Roman" w:cs="Times New Roman"/>
          <w:lang w:val="fr-FR"/>
        </w:rPr>
        <w:t xml:space="preserve"> destinée à soutenir l</w:t>
      </w:r>
      <w:r>
        <w:rPr>
          <w:rFonts w:ascii="Times New Roman" w:hAnsi="Times New Roman" w:cs="Times New Roman"/>
          <w:lang w:val="fr-FR"/>
        </w:rPr>
        <w:t>’entretien</w:t>
      </w:r>
      <w:r w:rsidRPr="00007EF8">
        <w:rPr>
          <w:rFonts w:ascii="Times New Roman" w:hAnsi="Times New Roman" w:cs="Times New Roman"/>
          <w:lang w:val="fr-FR"/>
        </w:rPr>
        <w:t xml:space="preserve"> d</w:t>
      </w:r>
      <w:r>
        <w:rPr>
          <w:rFonts w:ascii="Times New Roman" w:hAnsi="Times New Roman" w:cs="Times New Roman"/>
          <w:lang w:val="fr-FR"/>
        </w:rPr>
        <w:t>’</w:t>
      </w:r>
      <w:r w:rsidRPr="00007EF8">
        <w:rPr>
          <w:rFonts w:ascii="Times New Roman" w:hAnsi="Times New Roman" w:cs="Times New Roman"/>
          <w:lang w:val="fr-FR"/>
        </w:rPr>
        <w:t>un modèle international de la population pour l</w:t>
      </w:r>
      <w:r>
        <w:rPr>
          <w:rFonts w:ascii="Times New Roman" w:hAnsi="Times New Roman" w:cs="Times New Roman"/>
          <w:lang w:val="fr-FR"/>
        </w:rPr>
        <w:t>’</w:t>
      </w:r>
      <w:r w:rsidRPr="00007EF8">
        <w:rPr>
          <w:rFonts w:ascii="Times New Roman" w:hAnsi="Times New Roman" w:cs="Times New Roman"/>
          <w:lang w:val="fr-FR"/>
        </w:rPr>
        <w:t>espèce</w:t>
      </w:r>
      <w:r>
        <w:rPr>
          <w:rFonts w:ascii="Times New Roman" w:hAnsi="Times New Roman" w:cs="Times New Roman"/>
          <w:lang w:val="fr-FR"/>
        </w:rPr>
        <w:t>,</w:t>
      </w:r>
      <w:r w:rsidRPr="00007EF8">
        <w:rPr>
          <w:rFonts w:ascii="Times New Roman" w:hAnsi="Times New Roman" w:cs="Times New Roman"/>
          <w:lang w:val="fr-FR"/>
        </w:rPr>
        <w:t xml:space="preserve"> a été classée comme étant essentielle et l</w:t>
      </w:r>
      <w:r>
        <w:rPr>
          <w:rFonts w:ascii="Times New Roman" w:hAnsi="Times New Roman" w:cs="Times New Roman"/>
          <w:lang w:val="fr-FR"/>
        </w:rPr>
        <w:t>’</w:t>
      </w:r>
      <w:r w:rsidRPr="00007EF8">
        <w:rPr>
          <w:rFonts w:ascii="Times New Roman" w:hAnsi="Times New Roman" w:cs="Times New Roman"/>
          <w:lang w:val="fr-FR"/>
        </w:rPr>
        <w:t>Islande, l</w:t>
      </w:r>
      <w:r>
        <w:rPr>
          <w:rFonts w:ascii="Times New Roman" w:hAnsi="Times New Roman" w:cs="Times New Roman"/>
          <w:lang w:val="fr-FR"/>
        </w:rPr>
        <w:t>’</w:t>
      </w:r>
      <w:r w:rsidRPr="00007EF8">
        <w:rPr>
          <w:rFonts w:ascii="Times New Roman" w:hAnsi="Times New Roman" w:cs="Times New Roman"/>
          <w:lang w:val="fr-FR"/>
        </w:rPr>
        <w:t>Irlande, et le Royaume-Uni ont fait part de sa mise en œuvre.</w:t>
      </w:r>
      <w:r w:rsidRPr="004B1407">
        <w:rPr>
          <w:rFonts w:ascii="Times New Roman" w:hAnsi="Times New Roman" w:cs="Times New Roman"/>
          <w:lang w:val="fr-FR"/>
        </w:rPr>
        <w:t xml:space="preserve"> (75 %)</w:t>
      </w:r>
    </w:p>
    <w:p w14:paraId="5687FB58" w14:textId="77777777" w:rsidR="00886A3C" w:rsidRPr="004B1407" w:rsidRDefault="00886A3C" w:rsidP="00886A3C">
      <w:pPr>
        <w:spacing w:after="0" w:line="240" w:lineRule="auto"/>
        <w:rPr>
          <w:rFonts w:ascii="Times New Roman" w:hAnsi="Times New Roman" w:cs="Times New Roman"/>
          <w:lang w:val="fr-FR"/>
        </w:rPr>
      </w:pPr>
    </w:p>
    <w:p w14:paraId="39C2355D" w14:textId="77777777" w:rsidR="00886A3C" w:rsidRDefault="00886A3C" w:rsidP="00886A3C">
      <w:pPr>
        <w:spacing w:after="0" w:line="240" w:lineRule="auto"/>
        <w:rPr>
          <w:rFonts w:ascii="Times New Roman" w:hAnsi="Times New Roman" w:cs="Times New Roman"/>
          <w:lang w:val="en-US"/>
        </w:rPr>
      </w:pPr>
      <w:r w:rsidRPr="00A343E3">
        <w:rPr>
          <w:rFonts w:ascii="Times New Roman" w:hAnsi="Times New Roman" w:cs="Times New Roman"/>
          <w:lang w:val="fr-FR"/>
        </w:rPr>
        <w:t>L’</w:t>
      </w:r>
      <w:r>
        <w:rPr>
          <w:rFonts w:ascii="Times New Roman" w:hAnsi="Times New Roman" w:cs="Times New Roman"/>
          <w:b/>
          <w:lang w:val="fr-FR"/>
        </w:rPr>
        <w:t>action</w:t>
      </w:r>
      <w:r w:rsidRPr="0084593F">
        <w:rPr>
          <w:rFonts w:ascii="Times New Roman" w:hAnsi="Times New Roman" w:cs="Times New Roman"/>
          <w:b/>
          <w:lang w:val="fr-FR"/>
        </w:rPr>
        <w:t xml:space="preserve"> 5.2</w:t>
      </w:r>
      <w:r w:rsidRPr="008D46EE">
        <w:rPr>
          <w:rFonts w:ascii="Times New Roman" w:hAnsi="Times New Roman" w:cs="Times New Roman"/>
          <w:lang w:val="fr-FR"/>
        </w:rPr>
        <w:t>,</w:t>
      </w:r>
      <w:r w:rsidRPr="0084593F">
        <w:rPr>
          <w:rFonts w:ascii="Times New Roman" w:hAnsi="Times New Roman" w:cs="Times New Roman"/>
          <w:b/>
          <w:lang w:val="fr-FR"/>
        </w:rPr>
        <w:t xml:space="preserve"> </w:t>
      </w:r>
      <w:r w:rsidRPr="0084593F">
        <w:rPr>
          <w:rFonts w:ascii="Times New Roman" w:hAnsi="Times New Roman" w:cs="Times New Roman"/>
          <w:lang w:val="fr-FR"/>
        </w:rPr>
        <w:t>concernant la surveillance des</w:t>
      </w:r>
      <w:r w:rsidRPr="0084593F">
        <w:rPr>
          <w:rFonts w:ascii="Times New Roman" w:hAnsi="Times New Roman" w:cs="Times New Roman"/>
          <w:b/>
          <w:lang w:val="fr-FR"/>
        </w:rPr>
        <w:t xml:space="preserve"> </w:t>
      </w:r>
      <w:r w:rsidRPr="0084593F">
        <w:rPr>
          <w:rFonts w:ascii="Times New Roman" w:hAnsi="Times New Roman" w:cs="Times New Roman"/>
          <w:lang w:val="fr-FR"/>
        </w:rPr>
        <w:t>taux de survie et de productivité en soutenant le baguage, les rapports sur le baguage, les études sur les oiseaux marqués individuellement de façon continue</w:t>
      </w:r>
      <w:r>
        <w:rPr>
          <w:rFonts w:ascii="Times New Roman" w:hAnsi="Times New Roman" w:cs="Times New Roman"/>
          <w:lang w:val="fr-FR"/>
        </w:rPr>
        <w:t>,</w:t>
      </w:r>
      <w:r w:rsidRPr="0084593F">
        <w:rPr>
          <w:rFonts w:ascii="Times New Roman" w:hAnsi="Times New Roman" w:cs="Times New Roman"/>
          <w:lang w:val="fr-FR"/>
        </w:rPr>
        <w:t xml:space="preserve"> et </w:t>
      </w:r>
      <w:r w:rsidRPr="0084593F">
        <w:rPr>
          <w:rFonts w:ascii="Times New Roman" w:hAnsi="Times New Roman" w:cs="Times New Roman"/>
          <w:lang w:val="fr-FR"/>
        </w:rPr>
        <w:lastRenderedPageBreak/>
        <w:t>l</w:t>
      </w:r>
      <w:r>
        <w:rPr>
          <w:rFonts w:ascii="Times New Roman" w:hAnsi="Times New Roman" w:cs="Times New Roman"/>
          <w:lang w:val="fr-FR"/>
        </w:rPr>
        <w:t>’</w:t>
      </w:r>
      <w:r w:rsidRPr="0084593F">
        <w:rPr>
          <w:rFonts w:ascii="Times New Roman" w:hAnsi="Times New Roman" w:cs="Times New Roman"/>
          <w:lang w:val="fr-FR"/>
        </w:rPr>
        <w:t>entretien des bases de données nécessaires</w:t>
      </w:r>
      <w:r>
        <w:rPr>
          <w:rFonts w:ascii="Times New Roman" w:hAnsi="Times New Roman" w:cs="Times New Roman"/>
          <w:lang w:val="fr-FR"/>
        </w:rPr>
        <w:t>,</w:t>
      </w:r>
      <w:r w:rsidRPr="0084593F">
        <w:rPr>
          <w:rFonts w:ascii="Times New Roman" w:hAnsi="Times New Roman" w:cs="Times New Roman"/>
          <w:lang w:val="fr-FR"/>
        </w:rPr>
        <w:t xml:space="preserve"> a été classée comme étant cruciale</w:t>
      </w:r>
      <w:r>
        <w:rPr>
          <w:rFonts w:ascii="Times New Roman" w:hAnsi="Times New Roman" w:cs="Times New Roman"/>
          <w:lang w:val="fr-FR"/>
        </w:rPr>
        <w:t>. L’</w:t>
      </w:r>
      <w:r w:rsidRPr="0084593F">
        <w:rPr>
          <w:rFonts w:ascii="Times New Roman" w:hAnsi="Times New Roman" w:cs="Times New Roman"/>
          <w:lang w:val="fr-FR"/>
        </w:rPr>
        <w:t>Islande, l</w:t>
      </w:r>
      <w:r>
        <w:rPr>
          <w:rFonts w:ascii="Times New Roman" w:hAnsi="Times New Roman" w:cs="Times New Roman"/>
          <w:lang w:val="fr-FR"/>
        </w:rPr>
        <w:t>’</w:t>
      </w:r>
      <w:r w:rsidRPr="0084593F">
        <w:rPr>
          <w:rFonts w:ascii="Times New Roman" w:hAnsi="Times New Roman" w:cs="Times New Roman"/>
          <w:lang w:val="fr-FR"/>
        </w:rPr>
        <w:t>Irlande, et le Royaume-Uni ont fait part de sa mise en œuvre.</w:t>
      </w:r>
      <w:r w:rsidRPr="004B1407">
        <w:rPr>
          <w:rFonts w:ascii="Times New Roman" w:hAnsi="Times New Roman" w:cs="Times New Roman"/>
          <w:lang w:val="fr-FR"/>
        </w:rPr>
        <w:t xml:space="preserve"> </w:t>
      </w:r>
      <w:r>
        <w:rPr>
          <w:rFonts w:ascii="Times New Roman" w:hAnsi="Times New Roman" w:cs="Times New Roman"/>
          <w:lang w:val="en-US"/>
        </w:rPr>
        <w:t>(75 %)</w:t>
      </w:r>
    </w:p>
    <w:p w14:paraId="6A85F4D1" w14:textId="77777777" w:rsidR="00886A3C" w:rsidRDefault="00886A3C" w:rsidP="00886A3C">
      <w:pPr>
        <w:spacing w:after="0" w:line="240" w:lineRule="auto"/>
        <w:rPr>
          <w:rFonts w:ascii="Times New Roman" w:hAnsi="Times New Roman" w:cs="Times New Roman"/>
          <w:lang w:val="en-US"/>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663"/>
      </w:tblGrid>
      <w:tr w:rsidR="00886A3C" w14:paraId="253945B9" w14:textId="77777777" w:rsidTr="00886A3C">
        <w:trPr>
          <w:trHeight w:val="3614"/>
        </w:trPr>
        <w:tc>
          <w:tcPr>
            <w:tcW w:w="4746" w:type="dxa"/>
          </w:tcPr>
          <w:p w14:paraId="300DF36F" w14:textId="77777777" w:rsidR="00886A3C" w:rsidRDefault="00886A3C" w:rsidP="00886A3C">
            <w:pPr>
              <w:rPr>
                <w:rFonts w:ascii="Times New Roman" w:hAnsi="Times New Roman" w:cs="Times New Roman"/>
              </w:rPr>
            </w:pPr>
            <w:r>
              <w:rPr>
                <w:noProof/>
              </w:rPr>
              <w:drawing>
                <wp:inline distT="0" distB="0" distL="0" distR="0" wp14:anchorId="3389FFFB" wp14:editId="502E0CE9">
                  <wp:extent cx="2838450" cy="2228850"/>
                  <wp:effectExtent l="0" t="0" r="19050" b="19050"/>
                  <wp:docPr id="276" name="Chart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663" w:type="dxa"/>
          </w:tcPr>
          <w:p w14:paraId="2240A651" w14:textId="77777777" w:rsidR="00886A3C" w:rsidRDefault="00886A3C" w:rsidP="00886A3C">
            <w:pPr>
              <w:rPr>
                <w:rFonts w:ascii="Times New Roman" w:hAnsi="Times New Roman" w:cs="Times New Roman"/>
              </w:rPr>
            </w:pPr>
            <w:r>
              <w:rPr>
                <w:noProof/>
              </w:rPr>
              <w:drawing>
                <wp:inline distT="0" distB="0" distL="0" distR="0" wp14:anchorId="11B2207D" wp14:editId="799506B7">
                  <wp:extent cx="2762250" cy="2228850"/>
                  <wp:effectExtent l="0" t="0" r="19050" b="19050"/>
                  <wp:docPr id="277" name="Chart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21348AF3" w14:textId="77777777" w:rsidR="00886A3C" w:rsidRPr="004B140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 xml:space="preserve"> </w:t>
      </w:r>
    </w:p>
    <w:p w14:paraId="77C33D5A" w14:textId="77777777" w:rsidR="00886A3C" w:rsidRDefault="00886A3C" w:rsidP="00886A3C">
      <w:pPr>
        <w:spacing w:after="0" w:line="240" w:lineRule="auto"/>
        <w:ind w:firstLine="709"/>
        <w:rPr>
          <w:rFonts w:ascii="Arial" w:hAnsi="Arial" w:cs="Arial"/>
          <w:sz w:val="20"/>
          <w:szCs w:val="20"/>
          <w:lang w:val="fr-FR"/>
        </w:rPr>
      </w:pPr>
      <w:r w:rsidRPr="00403C55">
        <w:rPr>
          <w:rFonts w:ascii="Arial" w:hAnsi="Arial" w:cs="Arial"/>
          <w:sz w:val="20"/>
          <w:szCs w:val="20"/>
          <w:lang w:val="fr-FR"/>
        </w:rPr>
        <w:t>Oui</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information fournie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403C55">
        <w:rPr>
          <w:rFonts w:ascii="Arial" w:hAnsi="Arial" w:cs="Arial"/>
          <w:sz w:val="20"/>
          <w:szCs w:val="20"/>
          <w:lang w:val="fr-FR"/>
        </w:rPr>
        <w:t>Oui</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information fournie</w:t>
      </w:r>
    </w:p>
    <w:p w14:paraId="1815A4ED" w14:textId="77777777" w:rsidR="00886A3C" w:rsidRPr="004B1407" w:rsidRDefault="00886A3C" w:rsidP="00886A3C">
      <w:pPr>
        <w:spacing w:after="0" w:line="240" w:lineRule="auto"/>
        <w:rPr>
          <w:rFonts w:ascii="Times New Roman" w:hAnsi="Times New Roman" w:cs="Times New Roman"/>
          <w:lang w:val="fr-FR"/>
        </w:rPr>
      </w:pPr>
    </w:p>
    <w:p w14:paraId="1164DC10" w14:textId="77777777" w:rsidR="00886A3C" w:rsidRPr="004B1407" w:rsidRDefault="00886A3C" w:rsidP="00886A3C">
      <w:pPr>
        <w:spacing w:after="0" w:line="240" w:lineRule="auto"/>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84593F">
        <w:rPr>
          <w:rFonts w:ascii="Times New Roman" w:hAnsi="Times New Roman" w:cs="Times New Roman"/>
          <w:b/>
          <w:lang w:val="fr-FR"/>
        </w:rPr>
        <w:t xml:space="preserve"> 5.3</w:t>
      </w:r>
      <w:r w:rsidRPr="008D46EE">
        <w:rPr>
          <w:rFonts w:ascii="Times New Roman" w:hAnsi="Times New Roman" w:cs="Times New Roman"/>
          <w:lang w:val="fr-FR"/>
        </w:rPr>
        <w:t>,</w:t>
      </w:r>
      <w:r w:rsidRPr="0084593F">
        <w:rPr>
          <w:rFonts w:ascii="Times New Roman" w:hAnsi="Times New Roman" w:cs="Times New Roman"/>
          <w:b/>
          <w:lang w:val="fr-FR"/>
        </w:rPr>
        <w:t xml:space="preserve"> </w:t>
      </w:r>
      <w:r w:rsidRPr="0084593F">
        <w:rPr>
          <w:rFonts w:ascii="Times New Roman" w:hAnsi="Times New Roman" w:cs="Times New Roman"/>
          <w:lang w:val="fr-FR"/>
        </w:rPr>
        <w:t>visant</w:t>
      </w:r>
      <w:r w:rsidRPr="0084593F">
        <w:rPr>
          <w:rFonts w:ascii="Times New Roman" w:hAnsi="Times New Roman" w:cs="Times New Roman"/>
          <w:b/>
          <w:lang w:val="fr-FR"/>
        </w:rPr>
        <w:t xml:space="preserve"> </w:t>
      </w:r>
      <w:r w:rsidRPr="0084593F">
        <w:rPr>
          <w:rFonts w:ascii="Times New Roman" w:hAnsi="Times New Roman" w:cs="Times New Roman"/>
          <w:lang w:val="fr-FR"/>
        </w:rPr>
        <w:t>à maintenir un recensement international deux fois par an de tous les lieux connus d</w:t>
      </w:r>
      <w:r>
        <w:rPr>
          <w:rFonts w:ascii="Times New Roman" w:hAnsi="Times New Roman" w:cs="Times New Roman"/>
          <w:lang w:val="fr-FR"/>
        </w:rPr>
        <w:t>’</w:t>
      </w:r>
      <w:r w:rsidRPr="0084593F">
        <w:rPr>
          <w:rFonts w:ascii="Times New Roman" w:hAnsi="Times New Roman" w:cs="Times New Roman"/>
          <w:lang w:val="fr-FR"/>
        </w:rPr>
        <w:t>hivernage a été désignée comme étant cr</w:t>
      </w:r>
      <w:r>
        <w:rPr>
          <w:rFonts w:ascii="Times New Roman" w:hAnsi="Times New Roman" w:cs="Times New Roman"/>
          <w:lang w:val="fr-FR"/>
        </w:rPr>
        <w:t>itique et est appliquée à tous les États de l’aire de répartition pour l’hivernage</w:t>
      </w:r>
      <w:r w:rsidRPr="0084593F">
        <w:rPr>
          <w:rFonts w:ascii="Times New Roman" w:hAnsi="Times New Roman" w:cs="Times New Roman"/>
          <w:lang w:val="fr-FR"/>
        </w:rPr>
        <w:t>.</w:t>
      </w:r>
      <w:r w:rsidRPr="004B1407">
        <w:rPr>
          <w:rFonts w:ascii="Times New Roman" w:hAnsi="Times New Roman" w:cs="Times New Roman"/>
          <w:lang w:val="fr-FR"/>
        </w:rPr>
        <w:t xml:space="preserve"> </w:t>
      </w:r>
      <w:r w:rsidRPr="0084593F">
        <w:rPr>
          <w:rFonts w:ascii="Times New Roman" w:hAnsi="Times New Roman" w:cs="Times New Roman"/>
          <w:lang w:val="fr-FR"/>
        </w:rPr>
        <w:t>l</w:t>
      </w:r>
      <w:r>
        <w:rPr>
          <w:rFonts w:ascii="Times New Roman" w:hAnsi="Times New Roman" w:cs="Times New Roman"/>
          <w:lang w:val="fr-FR"/>
        </w:rPr>
        <w:t>’</w:t>
      </w:r>
      <w:r w:rsidRPr="0084593F">
        <w:rPr>
          <w:rFonts w:ascii="Times New Roman" w:hAnsi="Times New Roman" w:cs="Times New Roman"/>
          <w:lang w:val="fr-FR"/>
        </w:rPr>
        <w:t>Irlande et le Royaume-Uni ont fait part de sa mise en œuvre.</w:t>
      </w:r>
      <w:r w:rsidRPr="004B1407">
        <w:rPr>
          <w:rFonts w:ascii="Times New Roman" w:hAnsi="Times New Roman" w:cs="Times New Roman"/>
          <w:lang w:val="fr-FR"/>
        </w:rPr>
        <w:t xml:space="preserve"> </w:t>
      </w:r>
      <w:r w:rsidRPr="001F5E0A">
        <w:rPr>
          <w:rFonts w:ascii="Times New Roman" w:hAnsi="Times New Roman" w:cs="Times New Roman"/>
          <w:lang w:val="fr-FR"/>
        </w:rPr>
        <w:t>(67</w:t>
      </w:r>
      <w:r>
        <w:rPr>
          <w:rFonts w:ascii="Times New Roman" w:hAnsi="Times New Roman" w:cs="Times New Roman"/>
          <w:lang w:val="fr-FR"/>
        </w:rPr>
        <w:t> %</w:t>
      </w:r>
      <w:r w:rsidRPr="001F5E0A">
        <w:rPr>
          <w:rFonts w:ascii="Times New Roman" w:hAnsi="Times New Roman" w:cs="Times New Roman"/>
          <w:lang w:val="fr-FR"/>
        </w:rPr>
        <w:t xml:space="preserve">) </w:t>
      </w:r>
      <w:r w:rsidRPr="00C15EEA">
        <w:rPr>
          <w:rFonts w:ascii="Times New Roman" w:hAnsi="Times New Roman" w:cs="Times New Roman"/>
          <w:lang w:val="fr-FR"/>
        </w:rPr>
        <w:t>L’</w:t>
      </w:r>
      <w:r>
        <w:rPr>
          <w:rFonts w:ascii="Times New Roman" w:hAnsi="Times New Roman" w:cs="Times New Roman"/>
          <w:b/>
          <w:lang w:val="fr-FR"/>
        </w:rPr>
        <w:t>action</w:t>
      </w:r>
      <w:r w:rsidRPr="001F5E0A">
        <w:rPr>
          <w:rFonts w:ascii="Times New Roman" w:hAnsi="Times New Roman" w:cs="Times New Roman"/>
          <w:b/>
          <w:lang w:val="fr-FR"/>
        </w:rPr>
        <w:t xml:space="preserve"> 5.4</w:t>
      </w:r>
      <w:r w:rsidRPr="008D46EE">
        <w:rPr>
          <w:rFonts w:ascii="Times New Roman" w:hAnsi="Times New Roman" w:cs="Times New Roman"/>
          <w:lang w:val="fr-FR"/>
        </w:rPr>
        <w:t>,</w:t>
      </w:r>
      <w:r>
        <w:rPr>
          <w:rFonts w:ascii="Times New Roman" w:hAnsi="Times New Roman" w:cs="Times New Roman"/>
          <w:lang w:val="fr-FR"/>
        </w:rPr>
        <w:t xml:space="preserve"> se </w:t>
      </w:r>
      <w:r w:rsidRPr="001F5E0A">
        <w:rPr>
          <w:rFonts w:ascii="Times New Roman" w:hAnsi="Times New Roman" w:cs="Times New Roman"/>
          <w:lang w:val="fr-FR"/>
        </w:rPr>
        <w:t>rapportant à la réalisation d</w:t>
      </w:r>
      <w:r>
        <w:rPr>
          <w:rFonts w:ascii="Times New Roman" w:hAnsi="Times New Roman" w:cs="Times New Roman"/>
          <w:lang w:val="fr-FR"/>
        </w:rPr>
        <w:t>’</w:t>
      </w:r>
      <w:r w:rsidRPr="001F5E0A">
        <w:rPr>
          <w:rFonts w:ascii="Times New Roman" w:hAnsi="Times New Roman" w:cs="Times New Roman"/>
          <w:lang w:val="fr-FR"/>
        </w:rPr>
        <w:t>enquête</w:t>
      </w:r>
      <w:r>
        <w:rPr>
          <w:rFonts w:ascii="Times New Roman" w:hAnsi="Times New Roman" w:cs="Times New Roman"/>
          <w:lang w:val="fr-FR"/>
        </w:rPr>
        <w:t>s</w:t>
      </w:r>
      <w:r w:rsidRPr="001F5E0A">
        <w:rPr>
          <w:rFonts w:ascii="Times New Roman" w:hAnsi="Times New Roman" w:cs="Times New Roman"/>
          <w:lang w:val="fr-FR"/>
        </w:rPr>
        <w:t xml:space="preserve"> sur les aires de haltes et de reproduction afin d</w:t>
      </w:r>
      <w:r>
        <w:rPr>
          <w:rFonts w:ascii="Times New Roman" w:hAnsi="Times New Roman" w:cs="Times New Roman"/>
          <w:lang w:val="fr-FR"/>
        </w:rPr>
        <w:t>’</w:t>
      </w:r>
      <w:r w:rsidRPr="001F5E0A">
        <w:rPr>
          <w:rFonts w:ascii="Times New Roman" w:hAnsi="Times New Roman" w:cs="Times New Roman"/>
          <w:lang w:val="fr-FR"/>
        </w:rPr>
        <w:t xml:space="preserve">identifier </w:t>
      </w:r>
      <w:r>
        <w:rPr>
          <w:rFonts w:ascii="Times New Roman" w:hAnsi="Times New Roman" w:cs="Times New Roman"/>
          <w:lang w:val="fr-FR"/>
        </w:rPr>
        <w:t>d</w:t>
      </w:r>
      <w:r w:rsidRPr="001F5E0A">
        <w:rPr>
          <w:rFonts w:ascii="Times New Roman" w:hAnsi="Times New Roman" w:cs="Times New Roman"/>
          <w:lang w:val="fr-FR"/>
        </w:rPr>
        <w:t>avantage de sites clés</w:t>
      </w:r>
      <w:r>
        <w:rPr>
          <w:rFonts w:ascii="Times New Roman" w:hAnsi="Times New Roman" w:cs="Times New Roman"/>
          <w:lang w:val="fr-FR"/>
        </w:rPr>
        <w:t>,</w:t>
      </w:r>
      <w:r w:rsidRPr="001F5E0A">
        <w:rPr>
          <w:rFonts w:ascii="Times New Roman" w:hAnsi="Times New Roman" w:cs="Times New Roman"/>
          <w:lang w:val="fr-FR"/>
        </w:rPr>
        <w:t xml:space="preserve"> a été désignée comme étant d</w:t>
      </w:r>
      <w:r>
        <w:rPr>
          <w:rFonts w:ascii="Times New Roman" w:hAnsi="Times New Roman" w:cs="Times New Roman"/>
          <w:lang w:val="fr-FR"/>
        </w:rPr>
        <w:t>’</w:t>
      </w:r>
      <w:r w:rsidRPr="001F5E0A">
        <w:rPr>
          <w:rFonts w:ascii="Times New Roman" w:hAnsi="Times New Roman" w:cs="Times New Roman"/>
          <w:lang w:val="fr-FR"/>
        </w:rPr>
        <w:t>une priorité cr</w:t>
      </w:r>
      <w:r>
        <w:rPr>
          <w:rFonts w:ascii="Times New Roman" w:hAnsi="Times New Roman" w:cs="Times New Roman"/>
          <w:lang w:val="fr-FR"/>
        </w:rPr>
        <w:t>itique</w:t>
      </w:r>
      <w:r w:rsidRPr="001F5E0A">
        <w:rPr>
          <w:rFonts w:ascii="Times New Roman" w:hAnsi="Times New Roman" w:cs="Times New Roman"/>
          <w:lang w:val="fr-FR"/>
        </w:rPr>
        <w:t xml:space="preserve"> et appliquée à l</w:t>
      </w:r>
      <w:r>
        <w:rPr>
          <w:rFonts w:ascii="Times New Roman" w:hAnsi="Times New Roman" w:cs="Times New Roman"/>
          <w:lang w:val="fr-FR"/>
        </w:rPr>
        <w:t>’</w:t>
      </w:r>
      <w:r w:rsidRPr="001F5E0A">
        <w:rPr>
          <w:rFonts w:ascii="Times New Roman" w:hAnsi="Times New Roman" w:cs="Times New Roman"/>
          <w:lang w:val="fr-FR"/>
        </w:rPr>
        <w:t>Islande et au Groenland. Seule l</w:t>
      </w:r>
      <w:r>
        <w:rPr>
          <w:rFonts w:ascii="Times New Roman" w:hAnsi="Times New Roman" w:cs="Times New Roman"/>
          <w:lang w:val="fr-FR"/>
        </w:rPr>
        <w:t>’</w:t>
      </w:r>
      <w:r w:rsidRPr="001F5E0A">
        <w:rPr>
          <w:rFonts w:ascii="Times New Roman" w:hAnsi="Times New Roman" w:cs="Times New Roman"/>
          <w:lang w:val="fr-FR"/>
        </w:rPr>
        <w:t>Islande a fait part de sa mise en œuvre.</w:t>
      </w:r>
      <w:r w:rsidRPr="004B1407">
        <w:rPr>
          <w:rFonts w:ascii="Times New Roman" w:hAnsi="Times New Roman" w:cs="Times New Roman"/>
          <w:lang w:val="fr-FR"/>
        </w:rPr>
        <w:t xml:space="preserve"> (50 %)</w:t>
      </w:r>
    </w:p>
    <w:p w14:paraId="655AFB9F" w14:textId="77777777" w:rsidR="00886A3C" w:rsidRPr="004B1407" w:rsidRDefault="00886A3C" w:rsidP="00886A3C">
      <w:pPr>
        <w:spacing w:after="0" w:line="240" w:lineRule="auto"/>
        <w:jc w:val="both"/>
        <w:rPr>
          <w:rFonts w:ascii="Times New Roman" w:hAnsi="Times New Roman" w:cs="Times New Roman"/>
          <w:lang w:val="fr-FR"/>
        </w:rPr>
      </w:pPr>
    </w:p>
    <w:p w14:paraId="6E73EA3C" w14:textId="77777777" w:rsidR="00886A3C" w:rsidRDefault="00886A3C" w:rsidP="00886A3C">
      <w:pPr>
        <w:spacing w:after="0" w:line="240" w:lineRule="auto"/>
        <w:jc w:val="both"/>
        <w:rPr>
          <w:rFonts w:ascii="Times New Roman" w:hAnsi="Times New Roman" w:cs="Times New Roman"/>
          <w:lang w:val="en-US"/>
        </w:rPr>
      </w:pPr>
      <w:r w:rsidRPr="00A343E3">
        <w:rPr>
          <w:rFonts w:ascii="Times New Roman" w:hAnsi="Times New Roman" w:cs="Times New Roman"/>
          <w:lang w:val="fr-FR"/>
        </w:rPr>
        <w:t xml:space="preserve">Les </w:t>
      </w:r>
      <w:r>
        <w:rPr>
          <w:rFonts w:ascii="Times New Roman" w:hAnsi="Times New Roman" w:cs="Times New Roman"/>
          <w:b/>
          <w:lang w:val="fr-FR"/>
        </w:rPr>
        <w:t>a</w:t>
      </w:r>
      <w:r w:rsidRPr="001F5E0A">
        <w:rPr>
          <w:rFonts w:ascii="Times New Roman" w:hAnsi="Times New Roman" w:cs="Times New Roman"/>
          <w:b/>
          <w:lang w:val="fr-FR"/>
        </w:rPr>
        <w:t>ctions 5.5</w:t>
      </w:r>
      <w:r w:rsidRPr="001F5E0A">
        <w:rPr>
          <w:rFonts w:ascii="Times New Roman" w:hAnsi="Times New Roman" w:cs="Times New Roman"/>
          <w:lang w:val="fr-FR"/>
        </w:rPr>
        <w:t xml:space="preserve"> et </w:t>
      </w:r>
      <w:r w:rsidRPr="001F5E0A">
        <w:rPr>
          <w:rFonts w:ascii="Times New Roman" w:hAnsi="Times New Roman" w:cs="Times New Roman"/>
          <w:b/>
          <w:lang w:val="fr-FR"/>
        </w:rPr>
        <w:t>5.6</w:t>
      </w:r>
      <w:r w:rsidRPr="001F5E0A">
        <w:rPr>
          <w:rFonts w:ascii="Times New Roman" w:hAnsi="Times New Roman" w:cs="Times New Roman"/>
          <w:lang w:val="fr-FR"/>
        </w:rPr>
        <w:t xml:space="preserve"> s</w:t>
      </w:r>
      <w:r>
        <w:rPr>
          <w:rFonts w:ascii="Times New Roman" w:hAnsi="Times New Roman" w:cs="Times New Roman"/>
          <w:lang w:val="fr-FR"/>
        </w:rPr>
        <w:t>’</w:t>
      </w:r>
      <w:r w:rsidRPr="001F5E0A">
        <w:rPr>
          <w:rFonts w:ascii="Times New Roman" w:hAnsi="Times New Roman" w:cs="Times New Roman"/>
          <w:lang w:val="fr-FR"/>
        </w:rPr>
        <w:t>appliquaient à tous les États de l</w:t>
      </w:r>
      <w:r>
        <w:rPr>
          <w:rFonts w:ascii="Times New Roman" w:hAnsi="Times New Roman" w:cs="Times New Roman"/>
          <w:lang w:val="fr-FR"/>
        </w:rPr>
        <w:t>’</w:t>
      </w:r>
      <w:r w:rsidRPr="001F5E0A">
        <w:rPr>
          <w:rFonts w:ascii="Times New Roman" w:hAnsi="Times New Roman" w:cs="Times New Roman"/>
          <w:lang w:val="fr-FR"/>
        </w:rPr>
        <w:t xml:space="preserve">aire de répartition et </w:t>
      </w:r>
      <w:r>
        <w:rPr>
          <w:rFonts w:ascii="Times New Roman" w:hAnsi="Times New Roman" w:cs="Times New Roman"/>
          <w:lang w:val="fr-FR"/>
        </w:rPr>
        <w:t>ont été</w:t>
      </w:r>
      <w:r w:rsidRPr="001F5E0A">
        <w:rPr>
          <w:rFonts w:ascii="Times New Roman" w:hAnsi="Times New Roman" w:cs="Times New Roman"/>
          <w:lang w:val="fr-FR"/>
        </w:rPr>
        <w:t xml:space="preserve"> désignées comme « autres ».</w:t>
      </w:r>
      <w:r w:rsidRPr="004B1407">
        <w:rPr>
          <w:rFonts w:ascii="Times New Roman" w:hAnsi="Times New Roman" w:cs="Times New Roman"/>
          <w:lang w:val="fr-FR"/>
        </w:rPr>
        <w:t xml:space="preserve"> </w:t>
      </w:r>
      <w:r>
        <w:rPr>
          <w:rFonts w:ascii="Times New Roman" w:hAnsi="Times New Roman" w:cs="Times New Roman"/>
          <w:lang w:val="fr-FR"/>
        </w:rPr>
        <w:t>L’</w:t>
      </w:r>
      <w:r w:rsidRPr="00E1684C">
        <w:rPr>
          <w:rFonts w:ascii="Times New Roman" w:hAnsi="Times New Roman" w:cs="Times New Roman"/>
          <w:lang w:val="fr-FR"/>
        </w:rPr>
        <w:t>Islande, l</w:t>
      </w:r>
      <w:r>
        <w:rPr>
          <w:rFonts w:ascii="Times New Roman" w:hAnsi="Times New Roman" w:cs="Times New Roman"/>
          <w:lang w:val="fr-FR"/>
        </w:rPr>
        <w:t>’</w:t>
      </w:r>
      <w:r w:rsidRPr="00E1684C">
        <w:rPr>
          <w:rFonts w:ascii="Times New Roman" w:hAnsi="Times New Roman" w:cs="Times New Roman"/>
          <w:lang w:val="fr-FR"/>
        </w:rPr>
        <w:t>Irlande, et le Royaume-Uni ont tous fait part de l</w:t>
      </w:r>
      <w:r>
        <w:rPr>
          <w:rFonts w:ascii="Times New Roman" w:hAnsi="Times New Roman" w:cs="Times New Roman"/>
          <w:lang w:val="fr-FR"/>
        </w:rPr>
        <w:t>’</w:t>
      </w:r>
      <w:r w:rsidRPr="00E1684C">
        <w:rPr>
          <w:rFonts w:ascii="Times New Roman" w:hAnsi="Times New Roman" w:cs="Times New Roman"/>
          <w:lang w:val="fr-FR"/>
        </w:rPr>
        <w:t>entretien et de la poursuite du développement des inventaires nationaux des sites.</w:t>
      </w:r>
      <w:r w:rsidRPr="004B1407">
        <w:rPr>
          <w:rFonts w:ascii="Times New Roman" w:hAnsi="Times New Roman" w:cs="Times New Roman"/>
          <w:lang w:val="fr-FR"/>
        </w:rPr>
        <w:t xml:space="preserve"> (75 %). </w:t>
      </w:r>
      <w:r>
        <w:rPr>
          <w:rFonts w:ascii="Times New Roman" w:hAnsi="Times New Roman" w:cs="Times New Roman"/>
          <w:lang w:val="fr-FR"/>
        </w:rPr>
        <w:t>L’</w:t>
      </w:r>
      <w:r w:rsidRPr="00F0585E">
        <w:rPr>
          <w:rFonts w:ascii="Times New Roman" w:hAnsi="Times New Roman" w:cs="Times New Roman"/>
          <w:lang w:val="fr-FR"/>
        </w:rPr>
        <w:t>Islande, l</w:t>
      </w:r>
      <w:r>
        <w:rPr>
          <w:rFonts w:ascii="Times New Roman" w:hAnsi="Times New Roman" w:cs="Times New Roman"/>
          <w:lang w:val="fr-FR"/>
        </w:rPr>
        <w:t>’</w:t>
      </w:r>
      <w:r w:rsidRPr="00F0585E">
        <w:rPr>
          <w:rFonts w:ascii="Times New Roman" w:hAnsi="Times New Roman" w:cs="Times New Roman"/>
          <w:lang w:val="fr-FR"/>
        </w:rPr>
        <w:t>Irlande, et le Royaume-Uni ont tous indiqué une mise en œuvre partielle de l</w:t>
      </w:r>
      <w:r>
        <w:rPr>
          <w:rFonts w:ascii="Times New Roman" w:hAnsi="Times New Roman" w:cs="Times New Roman"/>
          <w:lang w:val="fr-FR"/>
        </w:rPr>
        <w:t>’</w:t>
      </w:r>
      <w:r w:rsidRPr="00F0585E">
        <w:rPr>
          <w:rFonts w:ascii="Times New Roman" w:hAnsi="Times New Roman" w:cs="Times New Roman"/>
          <w:lang w:val="fr-FR"/>
        </w:rPr>
        <w:t>action visant à entreprendre des recherches pour évaluer les niveaux de maladie et les impacts des polluants (y compris la grenaille de plomb).</w:t>
      </w:r>
      <w:r w:rsidRPr="004B1407">
        <w:rPr>
          <w:rFonts w:ascii="Times New Roman" w:hAnsi="Times New Roman" w:cs="Times New Roman"/>
          <w:lang w:val="fr-FR"/>
        </w:rPr>
        <w:t xml:space="preserve"> </w:t>
      </w:r>
      <w:r>
        <w:rPr>
          <w:rFonts w:ascii="Times New Roman" w:hAnsi="Times New Roman" w:cs="Times New Roman"/>
          <w:lang w:val="en-US"/>
        </w:rPr>
        <w:t>(0 %)</w:t>
      </w:r>
    </w:p>
    <w:p w14:paraId="6FEDFA14" w14:textId="77777777" w:rsidR="00886A3C" w:rsidRDefault="00886A3C" w:rsidP="00886A3C">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886A3C" w14:paraId="71495B73" w14:textId="77777777" w:rsidTr="00886A3C">
        <w:tc>
          <w:tcPr>
            <w:tcW w:w="4646" w:type="dxa"/>
          </w:tcPr>
          <w:p w14:paraId="179FBBE4" w14:textId="77777777" w:rsidR="00886A3C" w:rsidRDefault="00886A3C" w:rsidP="00886A3C">
            <w:pPr>
              <w:rPr>
                <w:rFonts w:ascii="Times New Roman" w:hAnsi="Times New Roman" w:cs="Times New Roman"/>
              </w:rPr>
            </w:pPr>
            <w:r>
              <w:rPr>
                <w:noProof/>
              </w:rPr>
              <w:drawing>
                <wp:inline distT="0" distB="0" distL="0" distR="0" wp14:anchorId="652F9A3B" wp14:editId="6E3CBE18">
                  <wp:extent cx="2714625" cy="2181225"/>
                  <wp:effectExtent l="0" t="0" r="9525" b="9525"/>
                  <wp:docPr id="278" name="Chart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c>
          <w:tcPr>
            <w:tcW w:w="4640" w:type="dxa"/>
          </w:tcPr>
          <w:p w14:paraId="65F7DF96" w14:textId="77777777" w:rsidR="00886A3C" w:rsidRDefault="00886A3C" w:rsidP="00886A3C">
            <w:pPr>
              <w:rPr>
                <w:rFonts w:ascii="Times New Roman" w:hAnsi="Times New Roman" w:cs="Times New Roman"/>
              </w:rPr>
            </w:pPr>
            <w:r>
              <w:rPr>
                <w:noProof/>
              </w:rPr>
              <w:drawing>
                <wp:inline distT="0" distB="0" distL="0" distR="0" wp14:anchorId="2B5597CE" wp14:editId="0DAD81B2">
                  <wp:extent cx="2705100" cy="2171700"/>
                  <wp:effectExtent l="0" t="0" r="19050" b="19050"/>
                  <wp:docPr id="279" name="Chart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r>
    </w:tbl>
    <w:p w14:paraId="26464271" w14:textId="77777777" w:rsidR="00886A3C" w:rsidRDefault="00886A3C" w:rsidP="00886A3C">
      <w:pPr>
        <w:spacing w:after="0" w:line="240" w:lineRule="auto"/>
        <w:ind w:left="709" w:firstLine="709"/>
        <w:rPr>
          <w:rFonts w:ascii="Times New Roman" w:hAnsi="Times New Roman" w:cs="Times New Roman"/>
          <w:i/>
          <w:lang w:val="en-US"/>
        </w:rPr>
      </w:pPr>
      <w:r w:rsidRPr="00403C55">
        <w:rPr>
          <w:rFonts w:ascii="Arial" w:hAnsi="Arial" w:cs="Arial"/>
          <w:sz w:val="20"/>
          <w:szCs w:val="20"/>
          <w:lang w:val="fr-FR"/>
        </w:rPr>
        <w:t>Oui</w:t>
      </w:r>
      <w:r w:rsidRPr="00403C55">
        <w:rPr>
          <w:rFonts w:ascii="Arial" w:hAnsi="Arial" w:cs="Arial"/>
          <w:sz w:val="20"/>
          <w:szCs w:val="20"/>
          <w:lang w:val="fr-FR"/>
        </w:rPr>
        <w:tab/>
        <w:t>Non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69"/>
      </w:tblGrid>
      <w:tr w:rsidR="00886A3C" w14:paraId="074C7D48" w14:textId="77777777" w:rsidTr="00886A3C">
        <w:trPr>
          <w:trHeight w:val="3672"/>
        </w:trPr>
        <w:tc>
          <w:tcPr>
            <w:tcW w:w="4558" w:type="dxa"/>
          </w:tcPr>
          <w:p w14:paraId="706F9FAC" w14:textId="77777777" w:rsidR="00886A3C" w:rsidRDefault="00886A3C" w:rsidP="00886A3C">
            <w:pPr>
              <w:rPr>
                <w:rFonts w:ascii="Times New Roman" w:hAnsi="Times New Roman" w:cs="Times New Roman"/>
              </w:rPr>
            </w:pPr>
            <w:r>
              <w:rPr>
                <w:noProof/>
              </w:rPr>
              <w:lastRenderedPageBreak/>
              <w:drawing>
                <wp:inline distT="0" distB="0" distL="0" distR="0" wp14:anchorId="5455448F" wp14:editId="6633F2F2">
                  <wp:extent cx="2733675" cy="2228850"/>
                  <wp:effectExtent l="0" t="0" r="9525" b="19050"/>
                  <wp:docPr id="280" name="Chart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c>
          <w:tcPr>
            <w:tcW w:w="4769" w:type="dxa"/>
          </w:tcPr>
          <w:p w14:paraId="054D7349" w14:textId="77777777" w:rsidR="00886A3C" w:rsidRDefault="00886A3C" w:rsidP="00886A3C">
            <w:pPr>
              <w:rPr>
                <w:rFonts w:ascii="Times New Roman" w:hAnsi="Times New Roman" w:cs="Times New Roman"/>
              </w:rPr>
            </w:pPr>
            <w:r>
              <w:rPr>
                <w:noProof/>
              </w:rPr>
              <w:drawing>
                <wp:inline distT="0" distB="0" distL="0" distR="0" wp14:anchorId="71FC1550" wp14:editId="6ECA9160">
                  <wp:extent cx="2867025" cy="2228850"/>
                  <wp:effectExtent l="0" t="0" r="9525" b="19050"/>
                  <wp:docPr id="281" name="Chart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r>
    </w:tbl>
    <w:p w14:paraId="1C6EEAC1" w14:textId="77777777" w:rsidR="00886A3C" w:rsidRDefault="00886A3C" w:rsidP="00886A3C">
      <w:pPr>
        <w:spacing w:after="0" w:line="240" w:lineRule="auto"/>
        <w:ind w:firstLine="709"/>
        <w:rPr>
          <w:rFonts w:ascii="Times New Roman" w:hAnsi="Times New Roman" w:cs="Times New Roman"/>
          <w:b/>
          <w:lang w:val="fr-FR"/>
        </w:rPr>
      </w:pPr>
      <w:r w:rsidRPr="00403C55">
        <w:rPr>
          <w:rFonts w:ascii="Arial" w:hAnsi="Arial" w:cs="Arial"/>
          <w:sz w:val="20"/>
          <w:szCs w:val="20"/>
          <w:lang w:val="fr-FR"/>
        </w:rPr>
        <w:t>Oui</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information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Partiellement</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 xml:space="preserve">information </w:t>
      </w:r>
    </w:p>
    <w:p w14:paraId="6630BF69" w14:textId="77777777" w:rsidR="00886A3C" w:rsidRDefault="00886A3C" w:rsidP="00886A3C">
      <w:pPr>
        <w:spacing w:after="0" w:line="240" w:lineRule="auto"/>
        <w:rPr>
          <w:rFonts w:ascii="Times New Roman" w:hAnsi="Times New Roman" w:cs="Times New Roman"/>
          <w:b/>
          <w:lang w:val="fr-FR"/>
        </w:rPr>
      </w:pPr>
    </w:p>
    <w:p w14:paraId="772BFC0D" w14:textId="77777777" w:rsidR="00886A3C" w:rsidRPr="004B1407" w:rsidRDefault="00886A3C" w:rsidP="00886A3C">
      <w:pPr>
        <w:spacing w:after="0" w:line="240" w:lineRule="auto"/>
        <w:rPr>
          <w:rFonts w:ascii="Times New Roman" w:hAnsi="Times New Roman" w:cs="Times New Roman"/>
          <w:b/>
          <w:lang w:val="fr-FR"/>
        </w:rPr>
      </w:pPr>
      <w:r w:rsidRPr="00F0585E">
        <w:rPr>
          <w:rFonts w:ascii="Times New Roman" w:hAnsi="Times New Roman" w:cs="Times New Roman"/>
          <w:b/>
          <w:lang w:val="fr-FR"/>
        </w:rPr>
        <w:t>Taux moyen de mise en œuvre :</w:t>
      </w:r>
      <w:r w:rsidRPr="004B1407">
        <w:rPr>
          <w:rFonts w:ascii="Times New Roman" w:hAnsi="Times New Roman" w:cs="Times New Roman"/>
          <w:b/>
          <w:lang w:val="fr-FR"/>
        </w:rPr>
        <w:t xml:space="preserve"> 57 %</w:t>
      </w:r>
    </w:p>
    <w:p w14:paraId="6D7187EA" w14:textId="77777777" w:rsidR="00886A3C" w:rsidRPr="004B1407" w:rsidRDefault="00886A3C" w:rsidP="00886A3C">
      <w:pPr>
        <w:spacing w:after="0" w:line="240" w:lineRule="auto"/>
        <w:rPr>
          <w:rFonts w:ascii="Times New Roman" w:hAnsi="Times New Roman" w:cs="Times New Roman"/>
          <w:lang w:val="fr-FR"/>
        </w:rPr>
      </w:pPr>
    </w:p>
    <w:p w14:paraId="37780C54" w14:textId="77777777" w:rsidR="00886A3C" w:rsidRPr="004B1407" w:rsidRDefault="00886A3C" w:rsidP="00886A3C">
      <w:pPr>
        <w:spacing w:after="0" w:line="240" w:lineRule="auto"/>
        <w:rPr>
          <w:rFonts w:ascii="Times New Roman" w:hAnsi="Times New Roman" w:cs="Times New Roman"/>
          <w:i/>
          <w:lang w:val="fr-FR"/>
        </w:rPr>
      </w:pPr>
      <w:r w:rsidRPr="00F0585E">
        <w:rPr>
          <w:rFonts w:ascii="Times New Roman" w:hAnsi="Times New Roman" w:cs="Times New Roman"/>
          <w:i/>
          <w:lang w:val="fr-FR"/>
        </w:rPr>
        <w:t>5.6. Résultat 6 – État de conservation favorable des sites importants établi et maintenu</w:t>
      </w:r>
    </w:p>
    <w:p w14:paraId="137DB0C9" w14:textId="77777777" w:rsidR="00886A3C" w:rsidRPr="004B1407" w:rsidRDefault="00886A3C" w:rsidP="00886A3C">
      <w:pPr>
        <w:spacing w:after="0" w:line="240" w:lineRule="auto"/>
        <w:rPr>
          <w:rFonts w:ascii="Times New Roman" w:hAnsi="Times New Roman" w:cs="Times New Roman"/>
          <w:lang w:val="fr-FR"/>
        </w:rPr>
      </w:pPr>
    </w:p>
    <w:p w14:paraId="57F3C052"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C21275">
        <w:rPr>
          <w:rFonts w:ascii="Times New Roman" w:hAnsi="Times New Roman" w:cs="Times New Roman"/>
          <w:b/>
          <w:lang w:val="fr-FR"/>
        </w:rPr>
        <w:t xml:space="preserve"> 6.1</w:t>
      </w:r>
      <w:r w:rsidRPr="00785603">
        <w:rPr>
          <w:rFonts w:ascii="Times New Roman" w:hAnsi="Times New Roman" w:cs="Times New Roman"/>
          <w:lang w:val="fr-FR"/>
        </w:rPr>
        <w:t>,</w:t>
      </w:r>
      <w:r w:rsidRPr="00C21275">
        <w:rPr>
          <w:rFonts w:ascii="Times New Roman" w:hAnsi="Times New Roman" w:cs="Times New Roman"/>
          <w:lang w:val="fr-FR"/>
        </w:rPr>
        <w:t xml:space="preserve"> concernant la désignation de tou</w:t>
      </w:r>
      <w:r>
        <w:rPr>
          <w:rFonts w:ascii="Times New Roman" w:hAnsi="Times New Roman" w:cs="Times New Roman"/>
          <w:lang w:val="fr-FR"/>
        </w:rPr>
        <w:t>te</w:t>
      </w:r>
      <w:r w:rsidRPr="00C21275">
        <w:rPr>
          <w:rFonts w:ascii="Times New Roman" w:hAnsi="Times New Roman" w:cs="Times New Roman"/>
          <w:lang w:val="fr-FR"/>
        </w:rPr>
        <w:t>s les zones humides d</w:t>
      </w:r>
      <w:r>
        <w:rPr>
          <w:rFonts w:ascii="Times New Roman" w:hAnsi="Times New Roman" w:cs="Times New Roman"/>
          <w:lang w:val="fr-FR"/>
        </w:rPr>
        <w:t>’</w:t>
      </w:r>
      <w:r w:rsidRPr="00C21275">
        <w:rPr>
          <w:rFonts w:ascii="Times New Roman" w:hAnsi="Times New Roman" w:cs="Times New Roman"/>
          <w:lang w:val="fr-FR"/>
        </w:rPr>
        <w:t>importance internationale pour l</w:t>
      </w:r>
      <w:r>
        <w:rPr>
          <w:rFonts w:ascii="Times New Roman" w:hAnsi="Times New Roman" w:cs="Times New Roman"/>
          <w:lang w:val="fr-FR"/>
        </w:rPr>
        <w:t>’</w:t>
      </w:r>
      <w:r w:rsidRPr="00C21275">
        <w:rPr>
          <w:rFonts w:ascii="Times New Roman" w:hAnsi="Times New Roman" w:cs="Times New Roman"/>
          <w:lang w:val="fr-FR"/>
        </w:rPr>
        <w:t xml:space="preserve">Oie rieuse du Groenland au titre de la Convention de Ramsar ou de </w:t>
      </w:r>
      <w:r>
        <w:rPr>
          <w:rFonts w:ascii="Times New Roman" w:hAnsi="Times New Roman" w:cs="Times New Roman"/>
          <w:lang w:val="fr-FR"/>
        </w:rPr>
        <w:t xml:space="preserve">la </w:t>
      </w:r>
      <w:r w:rsidRPr="00C21275">
        <w:rPr>
          <w:rFonts w:ascii="Times New Roman" w:hAnsi="Times New Roman" w:cs="Times New Roman"/>
          <w:lang w:val="fr-FR"/>
        </w:rPr>
        <w:t>directive Oiseaux de l</w:t>
      </w:r>
      <w:r>
        <w:rPr>
          <w:rFonts w:ascii="Times New Roman" w:hAnsi="Times New Roman" w:cs="Times New Roman"/>
          <w:lang w:val="fr-FR"/>
        </w:rPr>
        <w:t>’</w:t>
      </w:r>
      <w:r w:rsidRPr="00C21275">
        <w:rPr>
          <w:rFonts w:ascii="Times New Roman" w:hAnsi="Times New Roman" w:cs="Times New Roman"/>
          <w:lang w:val="fr-FR"/>
        </w:rPr>
        <w:t>UE</w:t>
      </w:r>
      <w:r>
        <w:rPr>
          <w:rFonts w:ascii="Times New Roman" w:hAnsi="Times New Roman" w:cs="Times New Roman"/>
          <w:lang w:val="fr-FR"/>
        </w:rPr>
        <w:t>,</w:t>
      </w:r>
      <w:r w:rsidRPr="00C21275">
        <w:rPr>
          <w:rFonts w:ascii="Times New Roman" w:hAnsi="Times New Roman" w:cs="Times New Roman"/>
          <w:lang w:val="fr-FR"/>
        </w:rPr>
        <w:t xml:space="preserve"> a été désignée comme étant d</w:t>
      </w:r>
      <w:r>
        <w:rPr>
          <w:rFonts w:ascii="Times New Roman" w:hAnsi="Times New Roman" w:cs="Times New Roman"/>
          <w:lang w:val="fr-FR"/>
        </w:rPr>
        <w:t>’</w:t>
      </w:r>
      <w:r w:rsidRPr="00C21275">
        <w:rPr>
          <w:rFonts w:ascii="Times New Roman" w:hAnsi="Times New Roman" w:cs="Times New Roman"/>
          <w:lang w:val="fr-FR"/>
        </w:rPr>
        <w:t>une priorité moyenne.</w:t>
      </w:r>
      <w:r w:rsidRPr="004B1407">
        <w:rPr>
          <w:rFonts w:ascii="Times New Roman" w:hAnsi="Times New Roman" w:cs="Times New Roman"/>
          <w:lang w:val="fr-FR"/>
        </w:rPr>
        <w:t xml:space="preserve"> </w:t>
      </w:r>
      <w:r w:rsidRPr="00C21275">
        <w:rPr>
          <w:rFonts w:ascii="Times New Roman" w:hAnsi="Times New Roman" w:cs="Times New Roman"/>
          <w:lang w:val="fr-FR"/>
        </w:rPr>
        <w:t>l</w:t>
      </w:r>
      <w:r>
        <w:rPr>
          <w:rFonts w:ascii="Times New Roman" w:hAnsi="Times New Roman" w:cs="Times New Roman"/>
          <w:lang w:val="fr-FR"/>
        </w:rPr>
        <w:t>’</w:t>
      </w:r>
      <w:r w:rsidRPr="00C21275">
        <w:rPr>
          <w:rFonts w:ascii="Times New Roman" w:hAnsi="Times New Roman" w:cs="Times New Roman"/>
          <w:lang w:val="fr-FR"/>
        </w:rPr>
        <w:t>Islande a fait part de la mise en œuvre</w:t>
      </w:r>
      <w:r>
        <w:rPr>
          <w:rFonts w:ascii="Times New Roman" w:hAnsi="Times New Roman" w:cs="Times New Roman"/>
          <w:lang w:val="fr-FR"/>
        </w:rPr>
        <w:t xml:space="preserve"> </w:t>
      </w:r>
      <w:r w:rsidRPr="00C21275">
        <w:rPr>
          <w:rFonts w:ascii="Times New Roman" w:hAnsi="Times New Roman" w:cs="Times New Roman"/>
          <w:lang w:val="fr-FR"/>
        </w:rPr>
        <w:t>de cette action.</w:t>
      </w:r>
      <w:r w:rsidRPr="004B1407">
        <w:rPr>
          <w:rFonts w:ascii="Times New Roman" w:hAnsi="Times New Roman" w:cs="Times New Roman"/>
          <w:lang w:val="fr-FR"/>
        </w:rPr>
        <w:t xml:space="preserve"> (25 %)</w:t>
      </w:r>
    </w:p>
    <w:p w14:paraId="3D25F78F" w14:textId="77777777" w:rsidR="00886A3C" w:rsidRPr="004B1407" w:rsidRDefault="00886A3C" w:rsidP="00886A3C">
      <w:pPr>
        <w:spacing w:after="0" w:line="240" w:lineRule="auto"/>
        <w:jc w:val="both"/>
        <w:rPr>
          <w:rFonts w:ascii="Times New Roman" w:hAnsi="Times New Roman" w:cs="Times New Roman"/>
          <w:lang w:val="fr-FR"/>
        </w:rPr>
      </w:pPr>
    </w:p>
    <w:p w14:paraId="749706C2"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C21275">
        <w:rPr>
          <w:rFonts w:ascii="Times New Roman" w:hAnsi="Times New Roman" w:cs="Times New Roman"/>
          <w:b/>
          <w:lang w:val="fr-FR"/>
        </w:rPr>
        <w:t xml:space="preserve"> 6.2</w:t>
      </w:r>
      <w:r w:rsidRPr="00785603">
        <w:rPr>
          <w:rFonts w:ascii="Times New Roman" w:hAnsi="Times New Roman" w:cs="Times New Roman"/>
          <w:lang w:val="fr-FR"/>
        </w:rPr>
        <w:t>,</w:t>
      </w:r>
      <w:r w:rsidRPr="00C21275">
        <w:rPr>
          <w:rFonts w:ascii="Times New Roman" w:hAnsi="Times New Roman" w:cs="Times New Roman"/>
          <w:lang w:val="fr-FR"/>
        </w:rPr>
        <w:t xml:space="preserve"> </w:t>
      </w:r>
      <w:r>
        <w:rPr>
          <w:rFonts w:ascii="Times New Roman" w:hAnsi="Times New Roman" w:cs="Times New Roman"/>
          <w:lang w:val="fr-FR"/>
        </w:rPr>
        <w:t>concernant</w:t>
      </w:r>
      <w:r w:rsidRPr="00C21275">
        <w:rPr>
          <w:rFonts w:ascii="Times New Roman" w:hAnsi="Times New Roman" w:cs="Times New Roman"/>
          <w:lang w:val="fr-FR"/>
        </w:rPr>
        <w:t xml:space="preserve"> le fait d</w:t>
      </w:r>
      <w:r>
        <w:rPr>
          <w:rFonts w:ascii="Times New Roman" w:hAnsi="Times New Roman" w:cs="Times New Roman"/>
          <w:lang w:val="fr-FR"/>
        </w:rPr>
        <w:t>’</w:t>
      </w:r>
      <w:r w:rsidRPr="00C21275">
        <w:rPr>
          <w:rFonts w:ascii="Times New Roman" w:hAnsi="Times New Roman" w:cs="Times New Roman"/>
          <w:lang w:val="fr-FR"/>
        </w:rPr>
        <w:t>informer les gouvernements et les groupes d</w:t>
      </w:r>
      <w:r>
        <w:rPr>
          <w:rFonts w:ascii="Times New Roman" w:hAnsi="Times New Roman" w:cs="Times New Roman"/>
          <w:lang w:val="fr-FR"/>
        </w:rPr>
        <w:t>’</w:t>
      </w:r>
      <w:r w:rsidRPr="00C21275">
        <w:rPr>
          <w:rFonts w:ascii="Times New Roman" w:hAnsi="Times New Roman" w:cs="Times New Roman"/>
          <w:lang w:val="fr-FR"/>
        </w:rPr>
        <w:t>utilisateurs sur l</w:t>
      </w:r>
      <w:r>
        <w:rPr>
          <w:rFonts w:ascii="Times New Roman" w:hAnsi="Times New Roman" w:cs="Times New Roman"/>
          <w:lang w:val="fr-FR"/>
        </w:rPr>
        <w:t>’</w:t>
      </w:r>
      <w:r w:rsidRPr="00C21275">
        <w:rPr>
          <w:rFonts w:ascii="Times New Roman" w:hAnsi="Times New Roman" w:cs="Times New Roman"/>
          <w:lang w:val="fr-FR"/>
        </w:rPr>
        <w:t>importance et l</w:t>
      </w:r>
      <w:r>
        <w:rPr>
          <w:rFonts w:ascii="Times New Roman" w:hAnsi="Times New Roman" w:cs="Times New Roman"/>
          <w:lang w:val="fr-FR"/>
        </w:rPr>
        <w:t>’</w:t>
      </w:r>
      <w:r w:rsidRPr="00C21275">
        <w:rPr>
          <w:rFonts w:ascii="Times New Roman" w:hAnsi="Times New Roman" w:cs="Times New Roman"/>
          <w:lang w:val="fr-FR"/>
        </w:rPr>
        <w:t>emplacement des sites désignés</w:t>
      </w:r>
      <w:r>
        <w:rPr>
          <w:rFonts w:ascii="Times New Roman" w:hAnsi="Times New Roman" w:cs="Times New Roman"/>
          <w:lang w:val="fr-FR"/>
        </w:rPr>
        <w:t>,</w:t>
      </w:r>
      <w:r w:rsidRPr="00C21275">
        <w:rPr>
          <w:rFonts w:ascii="Times New Roman" w:hAnsi="Times New Roman" w:cs="Times New Roman"/>
          <w:lang w:val="fr-FR"/>
        </w:rPr>
        <w:t xml:space="preserve"> a été qualifiée comme étant d</w:t>
      </w:r>
      <w:r>
        <w:rPr>
          <w:rFonts w:ascii="Times New Roman" w:hAnsi="Times New Roman" w:cs="Times New Roman"/>
          <w:lang w:val="fr-FR"/>
        </w:rPr>
        <w:t>’</w:t>
      </w:r>
      <w:r w:rsidRPr="00C21275">
        <w:rPr>
          <w:rFonts w:ascii="Times New Roman" w:hAnsi="Times New Roman" w:cs="Times New Roman"/>
          <w:lang w:val="fr-FR"/>
        </w:rPr>
        <w:t>une priorité moyenne</w:t>
      </w:r>
      <w:r>
        <w:rPr>
          <w:rFonts w:ascii="Times New Roman" w:hAnsi="Times New Roman" w:cs="Times New Roman"/>
          <w:lang w:val="fr-FR"/>
        </w:rPr>
        <w:t>,</w:t>
      </w:r>
      <w:r w:rsidRPr="00C21275">
        <w:rPr>
          <w:rFonts w:ascii="Times New Roman" w:hAnsi="Times New Roman" w:cs="Times New Roman"/>
          <w:lang w:val="fr-FR"/>
        </w:rPr>
        <w:t xml:space="preserve"> et l</w:t>
      </w:r>
      <w:r>
        <w:rPr>
          <w:rFonts w:ascii="Times New Roman" w:hAnsi="Times New Roman" w:cs="Times New Roman"/>
          <w:lang w:val="fr-FR"/>
        </w:rPr>
        <w:t>’</w:t>
      </w:r>
      <w:r w:rsidRPr="00C21275">
        <w:rPr>
          <w:rFonts w:ascii="Times New Roman" w:hAnsi="Times New Roman" w:cs="Times New Roman"/>
          <w:lang w:val="fr-FR"/>
        </w:rPr>
        <w:t>Islande, l</w:t>
      </w:r>
      <w:r>
        <w:rPr>
          <w:rFonts w:ascii="Times New Roman" w:hAnsi="Times New Roman" w:cs="Times New Roman"/>
          <w:lang w:val="fr-FR"/>
        </w:rPr>
        <w:t>’</w:t>
      </w:r>
      <w:r w:rsidRPr="00C21275">
        <w:rPr>
          <w:rFonts w:ascii="Times New Roman" w:hAnsi="Times New Roman" w:cs="Times New Roman"/>
          <w:lang w:val="fr-FR"/>
        </w:rPr>
        <w:t>Irlande, et le Royaume-Uni ont fait part de sa mise en œuvre.</w:t>
      </w:r>
      <w:r w:rsidRPr="004B1407">
        <w:rPr>
          <w:rFonts w:ascii="Times New Roman" w:hAnsi="Times New Roman" w:cs="Times New Roman"/>
          <w:lang w:val="fr-FR"/>
        </w:rPr>
        <w:t xml:space="preserve"> (75 %)</w:t>
      </w:r>
    </w:p>
    <w:p w14:paraId="60EB2A33" w14:textId="77777777" w:rsidR="00886A3C" w:rsidRPr="004B1407" w:rsidRDefault="00886A3C" w:rsidP="00886A3C">
      <w:pPr>
        <w:spacing w:after="0" w:line="240" w:lineRule="auto"/>
        <w:jc w:val="both"/>
        <w:rPr>
          <w:rFonts w:ascii="Times New Roman" w:hAnsi="Times New Roman" w:cs="Times New Roman"/>
          <w:lang w:val="fr-FR"/>
        </w:rPr>
      </w:pPr>
    </w:p>
    <w:p w14:paraId="38BECBC2"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C21275">
        <w:rPr>
          <w:rFonts w:ascii="Times New Roman" w:hAnsi="Times New Roman" w:cs="Times New Roman"/>
          <w:b/>
          <w:lang w:val="fr-FR"/>
        </w:rPr>
        <w:t xml:space="preserve"> 6.3</w:t>
      </w:r>
      <w:r w:rsidRPr="00785603">
        <w:rPr>
          <w:rFonts w:ascii="Times New Roman" w:hAnsi="Times New Roman" w:cs="Times New Roman"/>
          <w:lang w:val="fr-FR"/>
        </w:rPr>
        <w:t>,</w:t>
      </w:r>
      <w:r>
        <w:rPr>
          <w:rFonts w:ascii="Times New Roman" w:hAnsi="Times New Roman" w:cs="Times New Roman"/>
          <w:b/>
          <w:lang w:val="fr-FR"/>
        </w:rPr>
        <w:t xml:space="preserve"> </w:t>
      </w:r>
      <w:r w:rsidRPr="00C21275">
        <w:rPr>
          <w:rFonts w:ascii="Times New Roman" w:hAnsi="Times New Roman" w:cs="Times New Roman"/>
          <w:lang w:val="fr-FR"/>
        </w:rPr>
        <w:t>destinée à assurer que les politiques de développement (par ex. le tourisme) évitent les zones</w:t>
      </w:r>
      <w:r>
        <w:rPr>
          <w:rFonts w:ascii="Times New Roman" w:hAnsi="Times New Roman" w:cs="Times New Roman"/>
          <w:lang w:val="fr-FR"/>
        </w:rPr>
        <w:t xml:space="preserve"> </w:t>
      </w:r>
      <w:r w:rsidRPr="00C21275">
        <w:rPr>
          <w:rFonts w:ascii="Times New Roman" w:hAnsi="Times New Roman" w:cs="Times New Roman"/>
          <w:lang w:val="fr-FR"/>
        </w:rPr>
        <w:t>dans lesquelles les oies rieuses du Groenland sont sensibles aux perturbations ou bien les périodes pendant lesquelles elles sont sensibles, a été classée comme ayant une priorité élevée et appliquée au Groenland.</w:t>
      </w:r>
      <w:r w:rsidRPr="004B1407">
        <w:rPr>
          <w:rFonts w:ascii="Times New Roman" w:hAnsi="Times New Roman" w:cs="Times New Roman"/>
          <w:lang w:val="fr-FR"/>
        </w:rPr>
        <w:t xml:space="preserve"> (0 %)</w:t>
      </w:r>
    </w:p>
    <w:p w14:paraId="0A9B942B" w14:textId="77777777" w:rsidR="00886A3C" w:rsidRPr="004B1407" w:rsidRDefault="00886A3C" w:rsidP="00886A3C">
      <w:pPr>
        <w:spacing w:after="0" w:line="240" w:lineRule="auto"/>
        <w:jc w:val="both"/>
        <w:rPr>
          <w:rFonts w:ascii="Times New Roman" w:hAnsi="Times New Roman" w:cs="Times New Roman"/>
          <w:lang w:val="fr-FR"/>
        </w:rPr>
      </w:pPr>
    </w:p>
    <w:p w14:paraId="0D8FDC10" w14:textId="77777777" w:rsidR="00886A3C" w:rsidRPr="004B1407" w:rsidRDefault="00886A3C" w:rsidP="00886A3C">
      <w:pPr>
        <w:spacing w:after="0" w:line="240" w:lineRule="auto"/>
        <w:rPr>
          <w:rFonts w:ascii="Times New Roman" w:hAnsi="Times New Roman" w:cs="Times New Roman"/>
          <w:b/>
          <w:lang w:val="fr-FR"/>
        </w:rPr>
      </w:pPr>
      <w:r w:rsidRPr="00C21275">
        <w:rPr>
          <w:rFonts w:ascii="Times New Roman" w:hAnsi="Times New Roman" w:cs="Times New Roman"/>
          <w:b/>
          <w:lang w:val="fr-FR"/>
        </w:rPr>
        <w:t>Taux moyen de mise en œuvre :</w:t>
      </w:r>
      <w:r w:rsidRPr="004B1407">
        <w:rPr>
          <w:rFonts w:ascii="Times New Roman" w:hAnsi="Times New Roman" w:cs="Times New Roman"/>
          <w:b/>
          <w:lang w:val="fr-FR"/>
        </w:rPr>
        <w:t xml:space="preserve"> 33 %</w:t>
      </w:r>
    </w:p>
    <w:p w14:paraId="62FA0C41" w14:textId="77777777" w:rsidR="00886A3C" w:rsidRPr="004B1407" w:rsidRDefault="00886A3C" w:rsidP="00886A3C">
      <w:pPr>
        <w:spacing w:after="0" w:line="240" w:lineRule="auto"/>
        <w:jc w:val="both"/>
        <w:rPr>
          <w:rFonts w:ascii="Times New Roman" w:hAnsi="Times New Roman" w:cs="Times New Roman"/>
          <w:lang w:val="fr-FR"/>
        </w:rPr>
      </w:pPr>
    </w:p>
    <w:p w14:paraId="2DB50D87" w14:textId="77777777" w:rsidR="00886A3C" w:rsidRPr="004B1407" w:rsidRDefault="00886A3C" w:rsidP="00886A3C">
      <w:pPr>
        <w:spacing w:after="0" w:line="240" w:lineRule="auto"/>
        <w:rPr>
          <w:rFonts w:ascii="Times New Roman" w:hAnsi="Times New Roman" w:cs="Times New Roman"/>
          <w:i/>
          <w:lang w:val="fr-FR"/>
        </w:rPr>
      </w:pPr>
      <w:r w:rsidRPr="00C21275">
        <w:rPr>
          <w:rFonts w:ascii="Times New Roman" w:hAnsi="Times New Roman" w:cs="Times New Roman"/>
          <w:i/>
          <w:lang w:val="fr-FR"/>
        </w:rPr>
        <w:t>5.7. Résultat 7 – Éviter les conflits avec les gestionnaires fonciers</w:t>
      </w:r>
    </w:p>
    <w:p w14:paraId="15D4CDCF" w14:textId="77777777" w:rsidR="00886A3C" w:rsidRPr="004B1407" w:rsidRDefault="00886A3C" w:rsidP="00886A3C">
      <w:pPr>
        <w:spacing w:after="0" w:line="240" w:lineRule="auto"/>
        <w:jc w:val="both"/>
        <w:rPr>
          <w:rFonts w:ascii="Times New Roman" w:hAnsi="Times New Roman" w:cs="Times New Roman"/>
          <w:lang w:val="fr-FR"/>
        </w:rPr>
      </w:pPr>
    </w:p>
    <w:p w14:paraId="1FE848E8"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C51633">
        <w:rPr>
          <w:rFonts w:ascii="Times New Roman" w:hAnsi="Times New Roman" w:cs="Times New Roman"/>
          <w:b/>
          <w:lang w:val="fr-FR"/>
        </w:rPr>
        <w:t xml:space="preserve"> 7.1</w:t>
      </w:r>
      <w:r w:rsidRPr="00785603">
        <w:rPr>
          <w:rFonts w:ascii="Times New Roman" w:hAnsi="Times New Roman" w:cs="Times New Roman"/>
          <w:lang w:val="fr-FR"/>
        </w:rPr>
        <w:t xml:space="preserve">, </w:t>
      </w:r>
      <w:r w:rsidRPr="00C51633">
        <w:rPr>
          <w:rFonts w:ascii="Times New Roman" w:hAnsi="Times New Roman" w:cs="Times New Roman"/>
          <w:lang w:val="fr-FR"/>
        </w:rPr>
        <w:t>concernant la création de zones refuges sans perturbations dans des aires d</w:t>
      </w:r>
      <w:r>
        <w:rPr>
          <w:rFonts w:ascii="Times New Roman" w:hAnsi="Times New Roman" w:cs="Times New Roman"/>
          <w:lang w:val="fr-FR"/>
        </w:rPr>
        <w:t>’</w:t>
      </w:r>
      <w:r w:rsidRPr="00C51633">
        <w:rPr>
          <w:rFonts w:ascii="Times New Roman" w:hAnsi="Times New Roman" w:cs="Times New Roman"/>
          <w:lang w:val="fr-FR"/>
        </w:rPr>
        <w:t>importance internationale a été désignée comme ayant une priorité élevée</w:t>
      </w:r>
      <w:r>
        <w:rPr>
          <w:rFonts w:ascii="Times New Roman" w:hAnsi="Times New Roman" w:cs="Times New Roman"/>
          <w:lang w:val="fr-FR"/>
        </w:rPr>
        <w:t>,</w:t>
      </w:r>
      <w:r w:rsidRPr="00C51633">
        <w:rPr>
          <w:rFonts w:ascii="Times New Roman" w:hAnsi="Times New Roman" w:cs="Times New Roman"/>
          <w:lang w:val="fr-FR"/>
        </w:rPr>
        <w:t xml:space="preserve"> et l</w:t>
      </w:r>
      <w:r>
        <w:rPr>
          <w:rFonts w:ascii="Times New Roman" w:hAnsi="Times New Roman" w:cs="Times New Roman"/>
          <w:lang w:val="fr-FR"/>
        </w:rPr>
        <w:t>’</w:t>
      </w:r>
      <w:r w:rsidRPr="00C51633">
        <w:rPr>
          <w:rFonts w:ascii="Times New Roman" w:hAnsi="Times New Roman" w:cs="Times New Roman"/>
          <w:lang w:val="fr-FR"/>
        </w:rPr>
        <w:t xml:space="preserve">Irlande et le Royaume-Uni ont fait part de </w:t>
      </w:r>
      <w:r>
        <w:rPr>
          <w:rFonts w:ascii="Times New Roman" w:hAnsi="Times New Roman" w:cs="Times New Roman"/>
          <w:lang w:val="fr-FR"/>
        </w:rPr>
        <w:t>s</w:t>
      </w:r>
      <w:r w:rsidRPr="00C51633">
        <w:rPr>
          <w:rFonts w:ascii="Times New Roman" w:hAnsi="Times New Roman" w:cs="Times New Roman"/>
          <w:lang w:val="fr-FR"/>
        </w:rPr>
        <w:t>a mise en œuvre.</w:t>
      </w:r>
      <w:r w:rsidRPr="004B1407">
        <w:rPr>
          <w:rFonts w:ascii="Times New Roman" w:hAnsi="Times New Roman" w:cs="Times New Roman"/>
          <w:lang w:val="fr-FR"/>
        </w:rPr>
        <w:t xml:space="preserve"> (50 %) </w:t>
      </w:r>
    </w:p>
    <w:p w14:paraId="2D41A36E" w14:textId="77777777" w:rsidR="00886A3C" w:rsidRDefault="00886A3C" w:rsidP="00886A3C">
      <w:pPr>
        <w:spacing w:after="0" w:line="240" w:lineRule="auto"/>
        <w:jc w:val="both"/>
        <w:rPr>
          <w:rFonts w:ascii="Times New Roman" w:hAnsi="Times New Roman" w:cs="Times New Roman"/>
          <w:lang w:val="en-US"/>
        </w:rPr>
      </w:pPr>
      <w:r w:rsidRPr="00A343E3">
        <w:rPr>
          <w:rFonts w:ascii="Times New Roman" w:hAnsi="Times New Roman" w:cs="Times New Roman"/>
          <w:lang w:val="fr-FR"/>
        </w:rPr>
        <w:t>L’</w:t>
      </w:r>
      <w:r>
        <w:rPr>
          <w:rFonts w:ascii="Times New Roman" w:hAnsi="Times New Roman" w:cs="Times New Roman"/>
          <w:b/>
          <w:lang w:val="fr-FR"/>
        </w:rPr>
        <w:t>action</w:t>
      </w:r>
      <w:r w:rsidRPr="00C51633">
        <w:rPr>
          <w:rFonts w:ascii="Times New Roman" w:hAnsi="Times New Roman" w:cs="Times New Roman"/>
          <w:b/>
          <w:lang w:val="fr-FR"/>
        </w:rPr>
        <w:t xml:space="preserve"> 7.2</w:t>
      </w:r>
      <w:r w:rsidRPr="00785603">
        <w:rPr>
          <w:rFonts w:ascii="Times New Roman" w:hAnsi="Times New Roman" w:cs="Times New Roman"/>
          <w:lang w:val="fr-FR"/>
        </w:rPr>
        <w:t>,</w:t>
      </w:r>
      <w:r w:rsidRPr="00C51633">
        <w:rPr>
          <w:rFonts w:ascii="Times New Roman" w:hAnsi="Times New Roman" w:cs="Times New Roman"/>
          <w:lang w:val="fr-FR"/>
        </w:rPr>
        <w:t xml:space="preserve"> destinée à assurer que les stratégies visant à eff</w:t>
      </w:r>
      <w:r>
        <w:rPr>
          <w:rFonts w:ascii="Times New Roman" w:hAnsi="Times New Roman" w:cs="Times New Roman"/>
          <w:lang w:val="fr-FR"/>
        </w:rPr>
        <w:t>aroucher</w:t>
      </w:r>
      <w:r w:rsidRPr="00C51633">
        <w:rPr>
          <w:rFonts w:ascii="Times New Roman" w:hAnsi="Times New Roman" w:cs="Times New Roman"/>
          <w:lang w:val="fr-FR"/>
        </w:rPr>
        <w:t xml:space="preserve"> les oiseaux pour les éloigner des terres agricoles incluent toujours des refuges sans perturbation</w:t>
      </w:r>
      <w:r>
        <w:rPr>
          <w:rFonts w:ascii="Times New Roman" w:hAnsi="Times New Roman" w:cs="Times New Roman"/>
          <w:lang w:val="fr-FR"/>
        </w:rPr>
        <w:t>,</w:t>
      </w:r>
      <w:r w:rsidRPr="00C51633">
        <w:rPr>
          <w:rFonts w:ascii="Times New Roman" w:hAnsi="Times New Roman" w:cs="Times New Roman"/>
          <w:lang w:val="fr-FR"/>
        </w:rPr>
        <w:t xml:space="preserve"> a été désignée comme ayant une priorité élevée et appliquée à l</w:t>
      </w:r>
      <w:r>
        <w:rPr>
          <w:rFonts w:ascii="Times New Roman" w:hAnsi="Times New Roman" w:cs="Times New Roman"/>
          <w:lang w:val="fr-FR"/>
        </w:rPr>
        <w:t>’</w:t>
      </w:r>
      <w:r w:rsidRPr="00C51633">
        <w:rPr>
          <w:rFonts w:ascii="Times New Roman" w:hAnsi="Times New Roman" w:cs="Times New Roman"/>
          <w:lang w:val="fr-FR"/>
        </w:rPr>
        <w:t xml:space="preserve">Islande, </w:t>
      </w:r>
      <w:r>
        <w:rPr>
          <w:rFonts w:ascii="Times New Roman" w:hAnsi="Times New Roman" w:cs="Times New Roman"/>
          <w:lang w:val="fr-FR"/>
        </w:rPr>
        <w:t xml:space="preserve">à </w:t>
      </w:r>
      <w:r w:rsidRPr="00C51633">
        <w:rPr>
          <w:rFonts w:ascii="Times New Roman" w:hAnsi="Times New Roman" w:cs="Times New Roman"/>
          <w:lang w:val="fr-FR"/>
        </w:rPr>
        <w:t>l</w:t>
      </w:r>
      <w:r>
        <w:rPr>
          <w:rFonts w:ascii="Times New Roman" w:hAnsi="Times New Roman" w:cs="Times New Roman"/>
          <w:lang w:val="fr-FR"/>
        </w:rPr>
        <w:t>’</w:t>
      </w:r>
      <w:r w:rsidRPr="00C51633">
        <w:rPr>
          <w:rFonts w:ascii="Times New Roman" w:hAnsi="Times New Roman" w:cs="Times New Roman"/>
          <w:lang w:val="fr-FR"/>
        </w:rPr>
        <w:t xml:space="preserve">Irlande et </w:t>
      </w:r>
      <w:r>
        <w:rPr>
          <w:rFonts w:ascii="Times New Roman" w:hAnsi="Times New Roman" w:cs="Times New Roman"/>
          <w:lang w:val="fr-FR"/>
        </w:rPr>
        <w:t xml:space="preserve">au </w:t>
      </w:r>
      <w:r w:rsidRPr="00C51633">
        <w:rPr>
          <w:rFonts w:ascii="Times New Roman" w:hAnsi="Times New Roman" w:cs="Times New Roman"/>
          <w:lang w:val="fr-FR"/>
        </w:rPr>
        <w:t>Royaume-Uni.</w:t>
      </w:r>
      <w:r w:rsidRPr="004B1407">
        <w:rPr>
          <w:rFonts w:ascii="Times New Roman" w:hAnsi="Times New Roman" w:cs="Times New Roman"/>
          <w:lang w:val="fr-FR"/>
        </w:rPr>
        <w:t xml:space="preserve"> </w:t>
      </w:r>
      <w:r w:rsidRPr="00C51633">
        <w:rPr>
          <w:rFonts w:ascii="Times New Roman" w:hAnsi="Times New Roman" w:cs="Times New Roman"/>
          <w:lang w:val="fr-FR"/>
        </w:rPr>
        <w:t>Le Royaume-Uni a fait part de la mise en œuvre</w:t>
      </w:r>
      <w:r>
        <w:rPr>
          <w:rFonts w:ascii="Times New Roman" w:hAnsi="Times New Roman" w:cs="Times New Roman"/>
          <w:lang w:val="fr-FR"/>
        </w:rPr>
        <w:t xml:space="preserve"> </w:t>
      </w:r>
      <w:r w:rsidRPr="00C51633">
        <w:rPr>
          <w:rFonts w:ascii="Times New Roman" w:hAnsi="Times New Roman" w:cs="Times New Roman"/>
          <w:lang w:val="fr-FR"/>
        </w:rPr>
        <w:t>de cette action.</w:t>
      </w:r>
      <w:r w:rsidRPr="004B1407">
        <w:rPr>
          <w:rFonts w:ascii="Times New Roman" w:hAnsi="Times New Roman" w:cs="Times New Roman"/>
          <w:lang w:val="fr-FR"/>
        </w:rPr>
        <w:t xml:space="preserve"> </w:t>
      </w:r>
      <w:r>
        <w:rPr>
          <w:rFonts w:ascii="Times New Roman" w:hAnsi="Times New Roman" w:cs="Times New Roman"/>
          <w:lang w:val="en-US"/>
        </w:rPr>
        <w:t>(33 %)</w:t>
      </w:r>
    </w:p>
    <w:p w14:paraId="4A2780D0" w14:textId="77777777" w:rsidR="00886A3C" w:rsidRDefault="00886A3C" w:rsidP="00886A3C">
      <w:pPr>
        <w:spacing w:after="0" w:line="240" w:lineRule="auto"/>
        <w:jc w:val="both"/>
        <w:rPr>
          <w:rFonts w:ascii="Times New Roman" w:hAnsi="Times New Roman" w:cs="Times New Roman"/>
          <w:lang w:val="en-US"/>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897"/>
      </w:tblGrid>
      <w:tr w:rsidR="00886A3C" w14:paraId="48380329" w14:textId="77777777" w:rsidTr="00886A3C">
        <w:trPr>
          <w:trHeight w:val="3645"/>
        </w:trPr>
        <w:tc>
          <w:tcPr>
            <w:tcW w:w="4522" w:type="dxa"/>
          </w:tcPr>
          <w:p w14:paraId="68857AD6" w14:textId="77777777" w:rsidR="00886A3C" w:rsidRDefault="00886A3C" w:rsidP="00886A3C">
            <w:pPr>
              <w:jc w:val="both"/>
              <w:rPr>
                <w:rFonts w:ascii="Times New Roman" w:hAnsi="Times New Roman" w:cs="Times New Roman"/>
              </w:rPr>
            </w:pPr>
            <w:r>
              <w:rPr>
                <w:noProof/>
              </w:rPr>
              <w:lastRenderedPageBreak/>
              <w:drawing>
                <wp:inline distT="0" distB="0" distL="0" distR="0" wp14:anchorId="6C37FEB1" wp14:editId="3B32BF04">
                  <wp:extent cx="2619375" cy="2209800"/>
                  <wp:effectExtent l="0" t="0" r="9525" b="19050"/>
                  <wp:docPr id="282" name="Chart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c>
          <w:tcPr>
            <w:tcW w:w="4897" w:type="dxa"/>
          </w:tcPr>
          <w:p w14:paraId="63C64453" w14:textId="77777777" w:rsidR="00886A3C" w:rsidRDefault="00886A3C" w:rsidP="00886A3C">
            <w:pPr>
              <w:jc w:val="both"/>
              <w:rPr>
                <w:rFonts w:ascii="Times New Roman" w:hAnsi="Times New Roman" w:cs="Times New Roman"/>
              </w:rPr>
            </w:pPr>
            <w:r>
              <w:rPr>
                <w:noProof/>
              </w:rPr>
              <w:drawing>
                <wp:inline distT="0" distB="0" distL="0" distR="0" wp14:anchorId="24D6D9E4" wp14:editId="6171C6B5">
                  <wp:extent cx="2828925" cy="2171700"/>
                  <wp:effectExtent l="0" t="0" r="9525" b="19050"/>
                  <wp:docPr id="283" name="Chart 2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bl>
    <w:p w14:paraId="27DE2206" w14:textId="77777777" w:rsidR="00886A3C" w:rsidRDefault="00886A3C" w:rsidP="00886A3C">
      <w:pPr>
        <w:spacing w:after="0" w:line="240" w:lineRule="auto"/>
        <w:jc w:val="both"/>
        <w:rPr>
          <w:rFonts w:ascii="Arial" w:hAnsi="Arial" w:cs="Arial"/>
          <w:sz w:val="20"/>
          <w:szCs w:val="20"/>
          <w:lang w:val="fr-FR"/>
        </w:rPr>
      </w:pPr>
      <w:r w:rsidRPr="00403C55">
        <w:rPr>
          <w:rFonts w:ascii="Arial" w:hAnsi="Arial" w:cs="Arial"/>
          <w:sz w:val="20"/>
          <w:szCs w:val="20"/>
          <w:lang w:val="fr-FR"/>
        </w:rPr>
        <w:t>Oui</w:t>
      </w:r>
      <w:r w:rsidRPr="00403C55">
        <w:rPr>
          <w:rFonts w:ascii="Arial" w:hAnsi="Arial" w:cs="Arial"/>
          <w:sz w:val="20"/>
          <w:szCs w:val="20"/>
          <w:lang w:val="fr-FR"/>
        </w:rPr>
        <w:tab/>
        <w:t>Non</w:t>
      </w:r>
      <w:r w:rsidRPr="00403C55">
        <w:rPr>
          <w:rFonts w:ascii="Arial" w:hAnsi="Arial" w:cs="Arial"/>
          <w:sz w:val="20"/>
          <w:szCs w:val="20"/>
          <w:lang w:val="fr-FR"/>
        </w:rPr>
        <w:tab/>
        <w:t>Pas d</w:t>
      </w:r>
      <w:r>
        <w:rPr>
          <w:rFonts w:ascii="Arial" w:hAnsi="Arial" w:cs="Arial"/>
          <w:sz w:val="20"/>
          <w:szCs w:val="20"/>
          <w:lang w:val="fr-FR"/>
        </w:rPr>
        <w:t>’</w:t>
      </w:r>
      <w:r w:rsidRPr="00403C55">
        <w:rPr>
          <w:rFonts w:ascii="Arial" w:hAnsi="Arial" w:cs="Arial"/>
          <w:sz w:val="20"/>
          <w:szCs w:val="20"/>
          <w:lang w:val="fr-FR"/>
        </w:rPr>
        <w:t>information fournie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403C55">
        <w:rPr>
          <w:rFonts w:ascii="Arial" w:hAnsi="Arial" w:cs="Arial"/>
          <w:sz w:val="20"/>
          <w:szCs w:val="20"/>
          <w:lang w:val="fr-FR"/>
        </w:rPr>
        <w:t>Oui</w:t>
      </w:r>
      <w:r w:rsidRPr="00403C55">
        <w:rPr>
          <w:rFonts w:ascii="Arial" w:hAnsi="Arial" w:cs="Arial"/>
          <w:sz w:val="20"/>
          <w:szCs w:val="20"/>
          <w:lang w:val="fr-FR"/>
        </w:rPr>
        <w:tab/>
        <w:t>Non</w:t>
      </w:r>
    </w:p>
    <w:p w14:paraId="0FCC09C3" w14:textId="77777777" w:rsidR="00886A3C" w:rsidRPr="004B1407" w:rsidRDefault="00886A3C" w:rsidP="00886A3C">
      <w:pPr>
        <w:spacing w:after="0" w:line="240" w:lineRule="auto"/>
        <w:jc w:val="both"/>
        <w:rPr>
          <w:rFonts w:ascii="Times New Roman" w:hAnsi="Times New Roman" w:cs="Times New Roman"/>
          <w:lang w:val="fr-FR"/>
        </w:rPr>
      </w:pPr>
      <w:r w:rsidRPr="00403C55">
        <w:rPr>
          <w:rFonts w:ascii="Arial" w:hAnsi="Arial" w:cs="Arial"/>
          <w:sz w:val="20"/>
          <w:szCs w:val="20"/>
          <w:lang w:val="fr-FR"/>
        </w:rPr>
        <w:tab/>
      </w:r>
    </w:p>
    <w:p w14:paraId="219F3F8E" w14:textId="77777777" w:rsidR="00886A3C" w:rsidRDefault="00886A3C" w:rsidP="00886A3C">
      <w:pPr>
        <w:spacing w:after="0" w:line="240" w:lineRule="auto"/>
        <w:jc w:val="both"/>
        <w:rPr>
          <w:rFonts w:ascii="Times New Roman" w:hAnsi="Times New Roman" w:cs="Times New Roman"/>
          <w:lang w:val="en-US"/>
        </w:rPr>
      </w:pPr>
      <w:r w:rsidRPr="00A343E3">
        <w:rPr>
          <w:rFonts w:ascii="Times New Roman" w:hAnsi="Times New Roman" w:cs="Times New Roman"/>
          <w:lang w:val="fr-FR"/>
        </w:rPr>
        <w:t>L’</w:t>
      </w:r>
      <w:r>
        <w:rPr>
          <w:rFonts w:ascii="Times New Roman" w:hAnsi="Times New Roman" w:cs="Times New Roman"/>
          <w:b/>
          <w:lang w:val="fr-FR"/>
        </w:rPr>
        <w:t>action</w:t>
      </w:r>
      <w:r w:rsidRPr="001F65B2">
        <w:rPr>
          <w:rFonts w:ascii="Times New Roman" w:hAnsi="Times New Roman" w:cs="Times New Roman"/>
          <w:b/>
          <w:lang w:val="fr-FR"/>
        </w:rPr>
        <w:t xml:space="preserve"> 7.3</w:t>
      </w:r>
      <w:r w:rsidRPr="00D41F77">
        <w:rPr>
          <w:rFonts w:ascii="Times New Roman" w:hAnsi="Times New Roman" w:cs="Times New Roman"/>
          <w:lang w:val="fr-FR"/>
        </w:rPr>
        <w:t xml:space="preserve">, </w:t>
      </w:r>
      <w:r w:rsidRPr="001F65B2">
        <w:rPr>
          <w:rFonts w:ascii="Times New Roman" w:hAnsi="Times New Roman" w:cs="Times New Roman"/>
          <w:lang w:val="fr-FR"/>
        </w:rPr>
        <w:t>concernant l</w:t>
      </w:r>
      <w:r>
        <w:rPr>
          <w:rFonts w:ascii="Times New Roman" w:hAnsi="Times New Roman" w:cs="Times New Roman"/>
          <w:lang w:val="fr-FR"/>
        </w:rPr>
        <w:t>a</w:t>
      </w:r>
      <w:r w:rsidRPr="001F65B2">
        <w:rPr>
          <w:rFonts w:ascii="Times New Roman" w:hAnsi="Times New Roman" w:cs="Times New Roman"/>
          <w:lang w:val="fr-FR"/>
        </w:rPr>
        <w:t xml:space="preserve"> production et la diffusion de documents d</w:t>
      </w:r>
      <w:r>
        <w:rPr>
          <w:rFonts w:ascii="Times New Roman" w:hAnsi="Times New Roman" w:cs="Times New Roman"/>
          <w:lang w:val="fr-FR"/>
        </w:rPr>
        <w:t>’</w:t>
      </w:r>
      <w:r w:rsidRPr="001F65B2">
        <w:rPr>
          <w:rFonts w:ascii="Times New Roman" w:hAnsi="Times New Roman" w:cs="Times New Roman"/>
          <w:lang w:val="fr-FR"/>
        </w:rPr>
        <w:t>orientation sur les dommages aux cultures</w:t>
      </w:r>
      <w:r>
        <w:rPr>
          <w:rFonts w:ascii="Times New Roman" w:hAnsi="Times New Roman" w:cs="Times New Roman"/>
          <w:lang w:val="fr-FR"/>
        </w:rPr>
        <w:t>,</w:t>
      </w:r>
      <w:r w:rsidRPr="001F65B2">
        <w:rPr>
          <w:rFonts w:ascii="Times New Roman" w:hAnsi="Times New Roman" w:cs="Times New Roman"/>
          <w:lang w:val="fr-FR"/>
        </w:rPr>
        <w:t xml:space="preserve"> a été classée comme ayant une priorité moyenne et appliquée elle aussi à l</w:t>
      </w:r>
      <w:r>
        <w:rPr>
          <w:rFonts w:ascii="Times New Roman" w:hAnsi="Times New Roman" w:cs="Times New Roman"/>
          <w:lang w:val="fr-FR"/>
        </w:rPr>
        <w:t>’</w:t>
      </w:r>
      <w:r w:rsidRPr="001F65B2">
        <w:rPr>
          <w:rFonts w:ascii="Times New Roman" w:hAnsi="Times New Roman" w:cs="Times New Roman"/>
          <w:lang w:val="fr-FR"/>
        </w:rPr>
        <w:t xml:space="preserve">Islande, </w:t>
      </w:r>
      <w:r>
        <w:rPr>
          <w:rFonts w:ascii="Times New Roman" w:hAnsi="Times New Roman" w:cs="Times New Roman"/>
          <w:lang w:val="fr-FR"/>
        </w:rPr>
        <w:t xml:space="preserve">à </w:t>
      </w:r>
      <w:r w:rsidRPr="001F65B2">
        <w:rPr>
          <w:rFonts w:ascii="Times New Roman" w:hAnsi="Times New Roman" w:cs="Times New Roman"/>
          <w:lang w:val="fr-FR"/>
        </w:rPr>
        <w:t>l</w:t>
      </w:r>
      <w:r>
        <w:rPr>
          <w:rFonts w:ascii="Times New Roman" w:hAnsi="Times New Roman" w:cs="Times New Roman"/>
          <w:lang w:val="fr-FR"/>
        </w:rPr>
        <w:t>’</w:t>
      </w:r>
      <w:r w:rsidRPr="001F65B2">
        <w:rPr>
          <w:rFonts w:ascii="Times New Roman" w:hAnsi="Times New Roman" w:cs="Times New Roman"/>
          <w:lang w:val="fr-FR"/>
        </w:rPr>
        <w:t>Irlande et au Royaume-Uni.</w:t>
      </w:r>
      <w:r w:rsidRPr="004B1407">
        <w:rPr>
          <w:rFonts w:ascii="Times New Roman" w:hAnsi="Times New Roman" w:cs="Times New Roman"/>
          <w:lang w:val="fr-FR"/>
        </w:rPr>
        <w:t xml:space="preserve"> </w:t>
      </w:r>
      <w:r w:rsidRPr="001F65B2">
        <w:rPr>
          <w:rFonts w:ascii="Times New Roman" w:hAnsi="Times New Roman" w:cs="Times New Roman"/>
          <w:lang w:val="fr-FR"/>
        </w:rPr>
        <w:t xml:space="preserve">Le Royaume-Uni a fait part de </w:t>
      </w:r>
      <w:r>
        <w:rPr>
          <w:rFonts w:ascii="Times New Roman" w:hAnsi="Times New Roman" w:cs="Times New Roman"/>
          <w:lang w:val="fr-FR"/>
        </w:rPr>
        <w:t>s</w:t>
      </w:r>
      <w:r w:rsidRPr="001F65B2">
        <w:rPr>
          <w:rFonts w:ascii="Times New Roman" w:hAnsi="Times New Roman" w:cs="Times New Roman"/>
          <w:lang w:val="fr-FR"/>
        </w:rPr>
        <w:t>a mise en œuvre.</w:t>
      </w:r>
      <w:r w:rsidRPr="004B1407">
        <w:rPr>
          <w:rFonts w:ascii="Times New Roman" w:hAnsi="Times New Roman" w:cs="Times New Roman"/>
          <w:lang w:val="fr-FR"/>
        </w:rPr>
        <w:t xml:space="preserve"> </w:t>
      </w:r>
      <w:r w:rsidRPr="001F65B2">
        <w:rPr>
          <w:rFonts w:ascii="Times New Roman" w:hAnsi="Times New Roman" w:cs="Times New Roman"/>
          <w:lang w:val="fr-FR"/>
        </w:rPr>
        <w:t>(33</w:t>
      </w:r>
      <w:r>
        <w:rPr>
          <w:rFonts w:ascii="Times New Roman" w:hAnsi="Times New Roman" w:cs="Times New Roman"/>
          <w:lang w:val="fr-FR"/>
        </w:rPr>
        <w:t> %</w:t>
      </w:r>
      <w:r w:rsidRPr="001F65B2">
        <w:rPr>
          <w:rFonts w:ascii="Times New Roman" w:hAnsi="Times New Roman" w:cs="Times New Roman"/>
          <w:lang w:val="fr-FR"/>
        </w:rPr>
        <w:t xml:space="preserve">) </w:t>
      </w:r>
      <w:r w:rsidRPr="00A343E3">
        <w:rPr>
          <w:rFonts w:ascii="Times New Roman" w:hAnsi="Times New Roman" w:cs="Times New Roman"/>
          <w:lang w:val="fr-FR"/>
        </w:rPr>
        <w:t>L’</w:t>
      </w:r>
      <w:r>
        <w:rPr>
          <w:rFonts w:ascii="Times New Roman" w:hAnsi="Times New Roman" w:cs="Times New Roman"/>
          <w:b/>
          <w:lang w:val="fr-FR"/>
        </w:rPr>
        <w:t>action</w:t>
      </w:r>
      <w:r w:rsidRPr="001F65B2">
        <w:rPr>
          <w:rFonts w:ascii="Times New Roman" w:hAnsi="Times New Roman" w:cs="Times New Roman"/>
          <w:b/>
          <w:lang w:val="fr-FR"/>
        </w:rPr>
        <w:t xml:space="preserve"> 7.4</w:t>
      </w:r>
      <w:r w:rsidRPr="00D41F77">
        <w:rPr>
          <w:rFonts w:ascii="Times New Roman" w:hAnsi="Times New Roman" w:cs="Times New Roman"/>
          <w:lang w:val="fr-FR"/>
        </w:rPr>
        <w:t>,</w:t>
      </w:r>
      <w:r w:rsidRPr="001F65B2">
        <w:rPr>
          <w:rFonts w:ascii="Times New Roman" w:hAnsi="Times New Roman" w:cs="Times New Roman"/>
          <w:lang w:val="fr-FR"/>
        </w:rPr>
        <w:t xml:space="preserve"> portant sur le travail en collaboration avec les communautés agricoles locales pour entretenir ou mettre en place des stratégies de gestion pour réduire les problèmes de dommages aux cultures</w:t>
      </w:r>
      <w:r>
        <w:rPr>
          <w:rFonts w:ascii="Times New Roman" w:hAnsi="Times New Roman" w:cs="Times New Roman"/>
          <w:lang w:val="fr-FR"/>
        </w:rPr>
        <w:t>,</w:t>
      </w:r>
      <w:r w:rsidRPr="001F65B2">
        <w:rPr>
          <w:rFonts w:ascii="Times New Roman" w:hAnsi="Times New Roman" w:cs="Times New Roman"/>
          <w:lang w:val="fr-FR"/>
        </w:rPr>
        <w:t xml:space="preserve"> a été classé</w:t>
      </w:r>
      <w:r>
        <w:rPr>
          <w:rFonts w:ascii="Times New Roman" w:hAnsi="Times New Roman" w:cs="Times New Roman"/>
          <w:lang w:val="fr-FR"/>
        </w:rPr>
        <w:t>e</w:t>
      </w:r>
      <w:r w:rsidRPr="001F65B2">
        <w:rPr>
          <w:rFonts w:ascii="Times New Roman" w:hAnsi="Times New Roman" w:cs="Times New Roman"/>
          <w:lang w:val="fr-FR"/>
        </w:rPr>
        <w:t xml:space="preserve"> dans la catégorie « autres » et appliquée aussi uniquement à l</w:t>
      </w:r>
      <w:r>
        <w:rPr>
          <w:rFonts w:ascii="Times New Roman" w:hAnsi="Times New Roman" w:cs="Times New Roman"/>
          <w:lang w:val="fr-FR"/>
        </w:rPr>
        <w:t>’</w:t>
      </w:r>
      <w:r w:rsidRPr="001F65B2">
        <w:rPr>
          <w:rFonts w:ascii="Times New Roman" w:hAnsi="Times New Roman" w:cs="Times New Roman"/>
          <w:lang w:val="fr-FR"/>
        </w:rPr>
        <w:t>Islande, à l</w:t>
      </w:r>
      <w:r>
        <w:rPr>
          <w:rFonts w:ascii="Times New Roman" w:hAnsi="Times New Roman" w:cs="Times New Roman"/>
          <w:lang w:val="fr-FR"/>
        </w:rPr>
        <w:t>’</w:t>
      </w:r>
      <w:r w:rsidRPr="001F65B2">
        <w:rPr>
          <w:rFonts w:ascii="Times New Roman" w:hAnsi="Times New Roman" w:cs="Times New Roman"/>
          <w:lang w:val="fr-FR"/>
        </w:rPr>
        <w:t>Irlande et au Royaume-Uni.</w:t>
      </w:r>
      <w:r w:rsidRPr="004B1407">
        <w:rPr>
          <w:rFonts w:ascii="Times New Roman" w:hAnsi="Times New Roman" w:cs="Times New Roman"/>
          <w:lang w:val="fr-FR"/>
        </w:rPr>
        <w:t xml:space="preserve"> </w:t>
      </w:r>
      <w:r w:rsidRPr="001F65B2">
        <w:rPr>
          <w:rFonts w:ascii="Times New Roman" w:hAnsi="Times New Roman" w:cs="Times New Roman"/>
          <w:lang w:val="fr-FR"/>
        </w:rPr>
        <w:t>Aucun des États de l</w:t>
      </w:r>
      <w:r>
        <w:rPr>
          <w:rFonts w:ascii="Times New Roman" w:hAnsi="Times New Roman" w:cs="Times New Roman"/>
          <w:lang w:val="fr-FR"/>
        </w:rPr>
        <w:t>’</w:t>
      </w:r>
      <w:r w:rsidRPr="001F65B2">
        <w:rPr>
          <w:rFonts w:ascii="Times New Roman" w:hAnsi="Times New Roman" w:cs="Times New Roman"/>
          <w:lang w:val="fr-FR"/>
        </w:rPr>
        <w:t>aire de répartition n</w:t>
      </w:r>
      <w:r>
        <w:rPr>
          <w:rFonts w:ascii="Times New Roman" w:hAnsi="Times New Roman" w:cs="Times New Roman"/>
          <w:lang w:val="fr-FR"/>
        </w:rPr>
        <w:t>’</w:t>
      </w:r>
      <w:r w:rsidRPr="001F65B2">
        <w:rPr>
          <w:rFonts w:ascii="Times New Roman" w:hAnsi="Times New Roman" w:cs="Times New Roman"/>
          <w:lang w:val="fr-FR"/>
        </w:rPr>
        <w:t>a indiqué la mise en œuvre intégrale de cette activité.</w:t>
      </w:r>
      <w:r w:rsidRPr="004B1407">
        <w:rPr>
          <w:rFonts w:ascii="Times New Roman" w:hAnsi="Times New Roman" w:cs="Times New Roman"/>
          <w:lang w:val="fr-FR"/>
        </w:rPr>
        <w:t xml:space="preserve"> </w:t>
      </w:r>
      <w:r>
        <w:rPr>
          <w:rFonts w:ascii="Times New Roman" w:hAnsi="Times New Roman" w:cs="Times New Roman"/>
          <w:lang w:val="en-US"/>
        </w:rPr>
        <w:t>(0 %)</w:t>
      </w:r>
    </w:p>
    <w:p w14:paraId="7555E986" w14:textId="77777777" w:rsidR="00886A3C" w:rsidRDefault="00886A3C" w:rsidP="00886A3C">
      <w:pPr>
        <w:spacing w:after="0" w:line="240" w:lineRule="auto"/>
        <w:jc w:val="both"/>
        <w:rPr>
          <w:rFonts w:ascii="Times New Roman" w:hAnsi="Times New Roman" w:cs="Times New Roman"/>
          <w:lang w:val="en-US"/>
        </w:rPr>
      </w:pP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2"/>
      </w:tblGrid>
      <w:tr w:rsidR="00886A3C" w14:paraId="7625E0E1" w14:textId="77777777" w:rsidTr="00886A3C">
        <w:trPr>
          <w:trHeight w:val="3464"/>
        </w:trPr>
        <w:tc>
          <w:tcPr>
            <w:tcW w:w="4712" w:type="dxa"/>
          </w:tcPr>
          <w:p w14:paraId="7BECA9B2" w14:textId="77777777" w:rsidR="00886A3C" w:rsidRDefault="00886A3C" w:rsidP="00886A3C">
            <w:pPr>
              <w:jc w:val="both"/>
              <w:rPr>
                <w:rFonts w:ascii="Times New Roman" w:hAnsi="Times New Roman" w:cs="Times New Roman"/>
              </w:rPr>
            </w:pPr>
            <w:r>
              <w:rPr>
                <w:noProof/>
              </w:rPr>
              <w:drawing>
                <wp:inline distT="0" distB="0" distL="0" distR="0" wp14:anchorId="64E10783" wp14:editId="27EA0CCD">
                  <wp:extent cx="2695575" cy="2152650"/>
                  <wp:effectExtent l="0" t="0" r="9525" b="19050"/>
                  <wp:docPr id="284" name="Chart 2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c>
          <w:tcPr>
            <w:tcW w:w="4712" w:type="dxa"/>
          </w:tcPr>
          <w:p w14:paraId="413700C8" w14:textId="77777777" w:rsidR="00886A3C" w:rsidRDefault="00886A3C" w:rsidP="00886A3C">
            <w:pPr>
              <w:jc w:val="both"/>
              <w:rPr>
                <w:rFonts w:ascii="Times New Roman" w:hAnsi="Times New Roman" w:cs="Times New Roman"/>
              </w:rPr>
            </w:pPr>
            <w:r>
              <w:rPr>
                <w:noProof/>
              </w:rPr>
              <w:drawing>
                <wp:inline distT="0" distB="0" distL="0" distR="0" wp14:anchorId="58F9D0A4" wp14:editId="02C5F7F4">
                  <wp:extent cx="2724150" cy="2152650"/>
                  <wp:effectExtent l="0" t="0" r="19050" b="19050"/>
                  <wp:docPr id="285" name="Chart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bl>
    <w:p w14:paraId="26310AFB" w14:textId="77777777" w:rsidR="00886A3C" w:rsidRPr="004B1407" w:rsidRDefault="00886A3C" w:rsidP="00886A3C">
      <w:pPr>
        <w:spacing w:after="0" w:line="240" w:lineRule="auto"/>
        <w:ind w:left="709" w:firstLine="709"/>
        <w:jc w:val="both"/>
        <w:rPr>
          <w:rFonts w:ascii="Times New Roman" w:hAnsi="Times New Roman" w:cs="Times New Roman"/>
          <w:lang w:val="fr-FR"/>
        </w:rPr>
      </w:pPr>
      <w:r w:rsidRPr="00403C55">
        <w:rPr>
          <w:rFonts w:ascii="Arial" w:hAnsi="Arial" w:cs="Arial"/>
          <w:sz w:val="20"/>
          <w:szCs w:val="20"/>
          <w:lang w:val="fr-FR"/>
        </w:rPr>
        <w:t>Oui</w:t>
      </w:r>
      <w:r w:rsidRPr="00403C55">
        <w:rPr>
          <w:rFonts w:ascii="Arial" w:hAnsi="Arial" w:cs="Arial"/>
          <w:sz w:val="20"/>
          <w:szCs w:val="20"/>
          <w:lang w:val="fr-FR"/>
        </w:rPr>
        <w:tab/>
        <w:t>Non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403C55">
        <w:rPr>
          <w:rFonts w:ascii="Arial" w:hAnsi="Arial" w:cs="Arial"/>
          <w:sz w:val="20"/>
          <w:szCs w:val="20"/>
          <w:lang w:val="fr-FR"/>
        </w:rPr>
        <w:t>Non</w:t>
      </w:r>
      <w:r w:rsidRPr="00403C55">
        <w:rPr>
          <w:rFonts w:ascii="Arial" w:hAnsi="Arial" w:cs="Arial"/>
          <w:sz w:val="20"/>
          <w:szCs w:val="20"/>
          <w:lang w:val="fr-FR"/>
        </w:rPr>
        <w:tab/>
        <w:t>Pa</w:t>
      </w:r>
      <w:r>
        <w:rPr>
          <w:rFonts w:ascii="Arial" w:hAnsi="Arial" w:cs="Arial"/>
          <w:sz w:val="20"/>
          <w:szCs w:val="20"/>
          <w:lang w:val="fr-FR"/>
        </w:rPr>
        <w:t>rtiellement</w:t>
      </w:r>
      <w:r w:rsidRPr="00403C55">
        <w:rPr>
          <w:rFonts w:ascii="Arial" w:hAnsi="Arial" w:cs="Arial"/>
          <w:sz w:val="20"/>
          <w:szCs w:val="20"/>
          <w:lang w:val="fr-FR"/>
        </w:rPr>
        <w:tab/>
      </w:r>
    </w:p>
    <w:p w14:paraId="427F00BF" w14:textId="77777777" w:rsidR="00886A3C" w:rsidRDefault="00886A3C" w:rsidP="00886A3C">
      <w:pPr>
        <w:spacing w:after="0" w:line="240" w:lineRule="auto"/>
        <w:rPr>
          <w:rFonts w:ascii="Times New Roman" w:hAnsi="Times New Roman" w:cs="Times New Roman"/>
          <w:b/>
          <w:lang w:val="fr-FR"/>
        </w:rPr>
      </w:pPr>
    </w:p>
    <w:p w14:paraId="1D4C76C1" w14:textId="77777777" w:rsidR="00886A3C" w:rsidRPr="004B1407" w:rsidRDefault="00886A3C" w:rsidP="00886A3C">
      <w:pPr>
        <w:spacing w:after="0" w:line="240" w:lineRule="auto"/>
        <w:rPr>
          <w:rFonts w:ascii="Times New Roman" w:hAnsi="Times New Roman" w:cs="Times New Roman"/>
          <w:b/>
          <w:lang w:val="fr-FR"/>
        </w:rPr>
      </w:pPr>
      <w:r w:rsidRPr="001F65B2">
        <w:rPr>
          <w:rFonts w:ascii="Times New Roman" w:hAnsi="Times New Roman" w:cs="Times New Roman"/>
          <w:b/>
          <w:lang w:val="fr-FR"/>
        </w:rPr>
        <w:t>Taux moyen de mise en œuvre :</w:t>
      </w:r>
      <w:r w:rsidRPr="004B1407">
        <w:rPr>
          <w:rFonts w:ascii="Times New Roman" w:hAnsi="Times New Roman" w:cs="Times New Roman"/>
          <w:b/>
          <w:lang w:val="fr-FR"/>
        </w:rPr>
        <w:t xml:space="preserve"> 29 %</w:t>
      </w:r>
    </w:p>
    <w:p w14:paraId="19749C03" w14:textId="77777777" w:rsidR="00886A3C" w:rsidRPr="004B1407" w:rsidRDefault="00886A3C" w:rsidP="00886A3C">
      <w:pPr>
        <w:spacing w:after="0" w:line="240" w:lineRule="auto"/>
        <w:rPr>
          <w:rFonts w:ascii="Times New Roman" w:hAnsi="Times New Roman" w:cs="Times New Roman"/>
          <w:b/>
          <w:lang w:val="fr-FR"/>
        </w:rPr>
      </w:pPr>
    </w:p>
    <w:p w14:paraId="2991E706" w14:textId="77777777" w:rsidR="00886A3C" w:rsidRPr="004B1407" w:rsidRDefault="00886A3C" w:rsidP="00886A3C">
      <w:pPr>
        <w:spacing w:after="0" w:line="240" w:lineRule="auto"/>
        <w:jc w:val="both"/>
        <w:rPr>
          <w:rFonts w:ascii="Times New Roman" w:hAnsi="Times New Roman" w:cs="Times New Roman"/>
          <w:lang w:val="fr-FR"/>
        </w:rPr>
      </w:pPr>
      <w:r w:rsidRPr="001F65B2">
        <w:rPr>
          <w:rFonts w:ascii="Times New Roman" w:hAnsi="Times New Roman" w:cs="Times New Roman"/>
          <w:lang w:val="fr-FR"/>
        </w:rPr>
        <w:t>Toutes les actions correspondant à ce résultat ont été désignées comme « autres » au niveau du classement de</w:t>
      </w:r>
      <w:r>
        <w:rPr>
          <w:rFonts w:ascii="Times New Roman" w:hAnsi="Times New Roman" w:cs="Times New Roman"/>
          <w:lang w:val="fr-FR"/>
        </w:rPr>
        <w:t>s</w:t>
      </w:r>
      <w:r w:rsidRPr="001F65B2">
        <w:rPr>
          <w:rFonts w:ascii="Times New Roman" w:hAnsi="Times New Roman" w:cs="Times New Roman"/>
          <w:lang w:val="fr-FR"/>
        </w:rPr>
        <w:t xml:space="preserve"> priorité</w:t>
      </w:r>
      <w:r>
        <w:rPr>
          <w:rFonts w:ascii="Times New Roman" w:hAnsi="Times New Roman" w:cs="Times New Roman"/>
          <w:lang w:val="fr-FR"/>
        </w:rPr>
        <w:t>s</w:t>
      </w:r>
      <w:r w:rsidRPr="001F65B2">
        <w:rPr>
          <w:rFonts w:ascii="Times New Roman" w:hAnsi="Times New Roman" w:cs="Times New Roman"/>
          <w:lang w:val="fr-FR"/>
        </w:rPr>
        <w:t xml:space="preserve"> et appliquées à tous les États de l</w:t>
      </w:r>
      <w:r>
        <w:rPr>
          <w:rFonts w:ascii="Times New Roman" w:hAnsi="Times New Roman" w:cs="Times New Roman"/>
          <w:lang w:val="fr-FR"/>
        </w:rPr>
        <w:t>’</w:t>
      </w:r>
      <w:r w:rsidRPr="001F65B2">
        <w:rPr>
          <w:rFonts w:ascii="Times New Roman" w:hAnsi="Times New Roman" w:cs="Times New Roman"/>
          <w:lang w:val="fr-FR"/>
        </w:rPr>
        <w:t>aire de répartition.</w:t>
      </w:r>
      <w:r w:rsidRPr="004B1407">
        <w:rPr>
          <w:rFonts w:ascii="Times New Roman" w:hAnsi="Times New Roman" w:cs="Times New Roman"/>
          <w:lang w:val="fr-FR"/>
        </w:rPr>
        <w:t xml:space="preserve"> </w:t>
      </w:r>
    </w:p>
    <w:p w14:paraId="5D58930A" w14:textId="77777777" w:rsidR="00886A3C" w:rsidRPr="004B1407" w:rsidRDefault="00886A3C" w:rsidP="00886A3C">
      <w:pPr>
        <w:spacing w:after="0" w:line="240" w:lineRule="auto"/>
        <w:jc w:val="both"/>
        <w:rPr>
          <w:rFonts w:ascii="Times New Roman" w:hAnsi="Times New Roman" w:cs="Times New Roman"/>
          <w:lang w:val="fr-FR"/>
        </w:rPr>
      </w:pPr>
    </w:p>
    <w:p w14:paraId="2A0DD9E0"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action</w:t>
      </w:r>
      <w:r w:rsidRPr="001F65B2">
        <w:rPr>
          <w:rFonts w:ascii="Times New Roman" w:hAnsi="Times New Roman" w:cs="Times New Roman"/>
          <w:b/>
          <w:lang w:val="fr-FR"/>
        </w:rPr>
        <w:t xml:space="preserve"> 8.1</w:t>
      </w:r>
      <w:r w:rsidRPr="00CE4482">
        <w:rPr>
          <w:rFonts w:ascii="Times New Roman" w:hAnsi="Times New Roman" w:cs="Times New Roman"/>
          <w:lang w:val="fr-FR"/>
        </w:rPr>
        <w:t>,</w:t>
      </w:r>
      <w:r w:rsidRPr="001F65B2">
        <w:rPr>
          <w:rFonts w:ascii="Times New Roman" w:hAnsi="Times New Roman" w:cs="Times New Roman"/>
          <w:lang w:val="fr-FR"/>
        </w:rPr>
        <w:t xml:space="preserve"> visant à informer le public, les agriculteurs et les chasseurs sur le </w:t>
      </w:r>
      <w:r>
        <w:rPr>
          <w:rFonts w:ascii="Times New Roman" w:hAnsi="Times New Roman" w:cs="Times New Roman"/>
          <w:lang w:val="fr-FR"/>
        </w:rPr>
        <w:t>plan</w:t>
      </w:r>
      <w:r w:rsidRPr="001F65B2">
        <w:rPr>
          <w:rFonts w:ascii="Times New Roman" w:hAnsi="Times New Roman" w:cs="Times New Roman"/>
          <w:lang w:val="fr-FR"/>
        </w:rPr>
        <w:t xml:space="preserve"> d</w:t>
      </w:r>
      <w:r>
        <w:rPr>
          <w:rFonts w:ascii="Times New Roman" w:hAnsi="Times New Roman" w:cs="Times New Roman"/>
          <w:lang w:val="fr-FR"/>
        </w:rPr>
        <w:t>’</w:t>
      </w:r>
      <w:r w:rsidRPr="001F65B2">
        <w:rPr>
          <w:rFonts w:ascii="Times New Roman" w:hAnsi="Times New Roman" w:cs="Times New Roman"/>
          <w:lang w:val="fr-FR"/>
        </w:rPr>
        <w:t>action international pour l</w:t>
      </w:r>
      <w:r>
        <w:rPr>
          <w:rFonts w:ascii="Times New Roman" w:hAnsi="Times New Roman" w:cs="Times New Roman"/>
          <w:lang w:val="fr-FR"/>
        </w:rPr>
        <w:t>’</w:t>
      </w:r>
      <w:r w:rsidRPr="001F65B2">
        <w:rPr>
          <w:rFonts w:ascii="Times New Roman" w:hAnsi="Times New Roman" w:cs="Times New Roman"/>
          <w:lang w:val="fr-FR"/>
        </w:rPr>
        <w:t>Oie rieuse du Groenland</w:t>
      </w:r>
      <w:r>
        <w:rPr>
          <w:rFonts w:ascii="Times New Roman" w:hAnsi="Times New Roman" w:cs="Times New Roman"/>
          <w:lang w:val="fr-FR"/>
        </w:rPr>
        <w:t>,</w:t>
      </w:r>
      <w:r w:rsidRPr="001F65B2">
        <w:rPr>
          <w:rFonts w:ascii="Times New Roman" w:hAnsi="Times New Roman" w:cs="Times New Roman"/>
          <w:lang w:val="fr-FR"/>
        </w:rPr>
        <w:t xml:space="preserve"> a été rapportée comme ayant été mise en œuvre uniquement par l</w:t>
      </w:r>
      <w:r>
        <w:rPr>
          <w:rFonts w:ascii="Times New Roman" w:hAnsi="Times New Roman" w:cs="Times New Roman"/>
          <w:lang w:val="fr-FR"/>
        </w:rPr>
        <w:t>’</w:t>
      </w:r>
      <w:r w:rsidRPr="001F65B2">
        <w:rPr>
          <w:rFonts w:ascii="Times New Roman" w:hAnsi="Times New Roman" w:cs="Times New Roman"/>
          <w:lang w:val="fr-FR"/>
        </w:rPr>
        <w:t>Irlande.</w:t>
      </w:r>
      <w:r w:rsidRPr="004B1407">
        <w:rPr>
          <w:rFonts w:ascii="Times New Roman" w:hAnsi="Times New Roman" w:cs="Times New Roman"/>
          <w:lang w:val="fr-FR"/>
        </w:rPr>
        <w:t xml:space="preserve"> </w:t>
      </w:r>
      <w:r w:rsidRPr="00762EC4">
        <w:rPr>
          <w:rFonts w:ascii="Times New Roman" w:hAnsi="Times New Roman" w:cs="Times New Roman"/>
          <w:lang w:val="fr-FR"/>
        </w:rPr>
        <w:t>(25</w:t>
      </w:r>
      <w:r>
        <w:rPr>
          <w:rFonts w:ascii="Times New Roman" w:hAnsi="Times New Roman" w:cs="Times New Roman"/>
          <w:lang w:val="fr-FR"/>
        </w:rPr>
        <w:t> %</w:t>
      </w:r>
      <w:r w:rsidRPr="00762EC4">
        <w:rPr>
          <w:rFonts w:ascii="Times New Roman" w:hAnsi="Times New Roman" w:cs="Times New Roman"/>
          <w:lang w:val="fr-FR"/>
        </w:rPr>
        <w:t xml:space="preserve">) </w:t>
      </w:r>
      <w:r w:rsidRPr="000B46F0">
        <w:rPr>
          <w:rFonts w:ascii="Times New Roman" w:hAnsi="Times New Roman" w:cs="Times New Roman"/>
          <w:lang w:val="fr-FR"/>
        </w:rPr>
        <w:t>L’</w:t>
      </w:r>
      <w:r>
        <w:rPr>
          <w:rFonts w:ascii="Times New Roman" w:hAnsi="Times New Roman" w:cs="Times New Roman"/>
          <w:b/>
          <w:lang w:val="fr-FR"/>
        </w:rPr>
        <w:t>action</w:t>
      </w:r>
      <w:r w:rsidRPr="00762EC4">
        <w:rPr>
          <w:rFonts w:ascii="Times New Roman" w:hAnsi="Times New Roman" w:cs="Times New Roman"/>
          <w:b/>
          <w:lang w:val="fr-FR"/>
        </w:rPr>
        <w:t xml:space="preserve"> 8.2</w:t>
      </w:r>
      <w:r w:rsidRPr="00CE4482">
        <w:rPr>
          <w:rFonts w:ascii="Times New Roman" w:hAnsi="Times New Roman" w:cs="Times New Roman"/>
          <w:lang w:val="fr-FR"/>
        </w:rPr>
        <w:t xml:space="preserve">, </w:t>
      </w:r>
      <w:r w:rsidRPr="00762EC4">
        <w:rPr>
          <w:rFonts w:ascii="Times New Roman" w:hAnsi="Times New Roman" w:cs="Times New Roman"/>
          <w:lang w:val="fr-FR"/>
        </w:rPr>
        <w:t>sur la diffusion des connaissances sur les sites importants et leurs besoins en matière de gestion au sein du gouvernement et des organes consultatifs concernés sur l</w:t>
      </w:r>
      <w:r>
        <w:rPr>
          <w:rFonts w:ascii="Times New Roman" w:hAnsi="Times New Roman" w:cs="Times New Roman"/>
          <w:lang w:val="fr-FR"/>
        </w:rPr>
        <w:t>’</w:t>
      </w:r>
      <w:r w:rsidRPr="00762EC4">
        <w:rPr>
          <w:rFonts w:ascii="Times New Roman" w:hAnsi="Times New Roman" w:cs="Times New Roman"/>
          <w:lang w:val="fr-FR"/>
        </w:rPr>
        <w:t>utilisation des sols</w:t>
      </w:r>
      <w:r>
        <w:rPr>
          <w:rFonts w:ascii="Times New Roman" w:hAnsi="Times New Roman" w:cs="Times New Roman"/>
          <w:lang w:val="fr-FR"/>
        </w:rPr>
        <w:t>,</w:t>
      </w:r>
      <w:r w:rsidRPr="00762EC4">
        <w:rPr>
          <w:rFonts w:ascii="Times New Roman" w:hAnsi="Times New Roman" w:cs="Times New Roman"/>
          <w:lang w:val="fr-FR"/>
        </w:rPr>
        <w:t xml:space="preserve"> a été signalée comme ayant été mise en œuvre par l</w:t>
      </w:r>
      <w:r>
        <w:rPr>
          <w:rFonts w:ascii="Times New Roman" w:hAnsi="Times New Roman" w:cs="Times New Roman"/>
          <w:lang w:val="fr-FR"/>
        </w:rPr>
        <w:t>’</w:t>
      </w:r>
      <w:r w:rsidRPr="00762EC4">
        <w:rPr>
          <w:rFonts w:ascii="Times New Roman" w:hAnsi="Times New Roman" w:cs="Times New Roman"/>
          <w:lang w:val="fr-FR"/>
        </w:rPr>
        <w:t xml:space="preserve">Islande et </w:t>
      </w:r>
      <w:r>
        <w:rPr>
          <w:rFonts w:ascii="Times New Roman" w:hAnsi="Times New Roman" w:cs="Times New Roman"/>
          <w:lang w:val="fr-FR"/>
        </w:rPr>
        <w:t xml:space="preserve">le </w:t>
      </w:r>
      <w:r w:rsidRPr="00762EC4">
        <w:rPr>
          <w:rFonts w:ascii="Times New Roman" w:hAnsi="Times New Roman" w:cs="Times New Roman"/>
          <w:lang w:val="fr-FR"/>
        </w:rPr>
        <w:t>Royaume-Uni.</w:t>
      </w:r>
      <w:r w:rsidRPr="004B1407">
        <w:rPr>
          <w:rFonts w:ascii="Times New Roman" w:hAnsi="Times New Roman" w:cs="Times New Roman"/>
          <w:lang w:val="fr-FR"/>
        </w:rPr>
        <w:t xml:space="preserve"> (50 %)</w:t>
      </w:r>
    </w:p>
    <w:p w14:paraId="003F39D1" w14:textId="77777777" w:rsidR="00886A3C" w:rsidRPr="004B1407" w:rsidRDefault="00886A3C" w:rsidP="00886A3C">
      <w:pPr>
        <w:spacing w:after="0" w:line="240" w:lineRule="auto"/>
        <w:jc w:val="both"/>
        <w:rPr>
          <w:rFonts w:ascii="Times New Roman" w:hAnsi="Times New Roman" w:cs="Times New Roman"/>
          <w:lang w:val="fr-FR"/>
        </w:rPr>
      </w:pPr>
      <w:r w:rsidRPr="00A343E3">
        <w:rPr>
          <w:rFonts w:ascii="Times New Roman" w:hAnsi="Times New Roman" w:cs="Times New Roman"/>
          <w:lang w:val="fr-FR"/>
        </w:rPr>
        <w:t>L’</w:t>
      </w:r>
      <w:r>
        <w:rPr>
          <w:rFonts w:ascii="Times New Roman" w:hAnsi="Times New Roman" w:cs="Times New Roman"/>
          <w:b/>
          <w:lang w:val="fr-FR"/>
        </w:rPr>
        <w:t>a</w:t>
      </w:r>
      <w:r w:rsidRPr="00762EC4">
        <w:rPr>
          <w:rFonts w:ascii="Times New Roman" w:hAnsi="Times New Roman" w:cs="Times New Roman"/>
          <w:b/>
          <w:lang w:val="fr-FR"/>
        </w:rPr>
        <w:t>ction.</w:t>
      </w:r>
      <w:r w:rsidRPr="004B1407">
        <w:rPr>
          <w:rFonts w:ascii="Times New Roman" w:hAnsi="Times New Roman" w:cs="Times New Roman"/>
          <w:b/>
          <w:lang w:val="fr-FR"/>
        </w:rPr>
        <w:t xml:space="preserve"> </w:t>
      </w:r>
      <w:r w:rsidRPr="00762EC4">
        <w:rPr>
          <w:rFonts w:ascii="Times New Roman" w:hAnsi="Times New Roman" w:cs="Times New Roman"/>
          <w:b/>
          <w:lang w:val="fr-FR"/>
        </w:rPr>
        <w:t>8.3</w:t>
      </w:r>
      <w:r w:rsidRPr="00CE4482">
        <w:rPr>
          <w:rFonts w:ascii="Times New Roman" w:hAnsi="Times New Roman" w:cs="Times New Roman"/>
          <w:lang w:val="fr-FR"/>
        </w:rPr>
        <w:t xml:space="preserve">, </w:t>
      </w:r>
      <w:r w:rsidRPr="00762EC4">
        <w:rPr>
          <w:rFonts w:ascii="Times New Roman" w:hAnsi="Times New Roman" w:cs="Times New Roman"/>
          <w:lang w:val="fr-FR"/>
        </w:rPr>
        <w:t>concernant l</w:t>
      </w:r>
      <w:r>
        <w:rPr>
          <w:rFonts w:ascii="Times New Roman" w:hAnsi="Times New Roman" w:cs="Times New Roman"/>
          <w:lang w:val="fr-FR"/>
        </w:rPr>
        <w:t>’</w:t>
      </w:r>
      <w:r w:rsidRPr="00762EC4">
        <w:rPr>
          <w:rFonts w:ascii="Times New Roman" w:hAnsi="Times New Roman" w:cs="Times New Roman"/>
          <w:lang w:val="fr-FR"/>
        </w:rPr>
        <w:t>examen des besoins des oies rieuses du Groenland lors de l</w:t>
      </w:r>
      <w:r>
        <w:rPr>
          <w:rFonts w:ascii="Times New Roman" w:hAnsi="Times New Roman" w:cs="Times New Roman"/>
          <w:lang w:val="fr-FR"/>
        </w:rPr>
        <w:t>’</w:t>
      </w:r>
      <w:r w:rsidRPr="00762EC4">
        <w:rPr>
          <w:rFonts w:ascii="Times New Roman" w:hAnsi="Times New Roman" w:cs="Times New Roman"/>
          <w:lang w:val="fr-FR"/>
        </w:rPr>
        <w:t>élaboration de politiques d</w:t>
      </w:r>
      <w:r>
        <w:rPr>
          <w:rFonts w:ascii="Times New Roman" w:hAnsi="Times New Roman" w:cs="Times New Roman"/>
          <w:lang w:val="fr-FR"/>
        </w:rPr>
        <w:t>’</w:t>
      </w:r>
      <w:r w:rsidRPr="00762EC4">
        <w:rPr>
          <w:rFonts w:ascii="Times New Roman" w:hAnsi="Times New Roman" w:cs="Times New Roman"/>
          <w:lang w:val="fr-FR"/>
        </w:rPr>
        <w:t>utilisation des sols en dehors des aires protégées</w:t>
      </w:r>
      <w:r>
        <w:rPr>
          <w:rFonts w:ascii="Times New Roman" w:hAnsi="Times New Roman" w:cs="Times New Roman"/>
          <w:lang w:val="fr-FR"/>
        </w:rPr>
        <w:t>,</w:t>
      </w:r>
      <w:r w:rsidRPr="00762EC4">
        <w:rPr>
          <w:rFonts w:ascii="Times New Roman" w:hAnsi="Times New Roman" w:cs="Times New Roman"/>
          <w:lang w:val="fr-FR"/>
        </w:rPr>
        <w:t xml:space="preserve"> a été rapportée comme ayant été mise en œuvre par l</w:t>
      </w:r>
      <w:r>
        <w:rPr>
          <w:rFonts w:ascii="Times New Roman" w:hAnsi="Times New Roman" w:cs="Times New Roman"/>
          <w:lang w:val="fr-FR"/>
        </w:rPr>
        <w:t>’</w:t>
      </w:r>
      <w:r w:rsidRPr="00762EC4">
        <w:rPr>
          <w:rFonts w:ascii="Times New Roman" w:hAnsi="Times New Roman" w:cs="Times New Roman"/>
          <w:lang w:val="fr-FR"/>
        </w:rPr>
        <w:t>Irlande et le Royaume-Uni.</w:t>
      </w:r>
      <w:r w:rsidRPr="004B1407">
        <w:rPr>
          <w:rFonts w:ascii="Times New Roman" w:hAnsi="Times New Roman" w:cs="Times New Roman"/>
          <w:lang w:val="fr-FR"/>
        </w:rPr>
        <w:t xml:space="preserve"> </w:t>
      </w:r>
      <w:r w:rsidRPr="00762EC4">
        <w:rPr>
          <w:rFonts w:ascii="Times New Roman" w:hAnsi="Times New Roman" w:cs="Times New Roman"/>
          <w:lang w:val="fr-FR"/>
        </w:rPr>
        <w:t>(50</w:t>
      </w:r>
      <w:r>
        <w:rPr>
          <w:rFonts w:ascii="Times New Roman" w:hAnsi="Times New Roman" w:cs="Times New Roman"/>
          <w:lang w:val="fr-FR"/>
        </w:rPr>
        <w:t> %</w:t>
      </w:r>
      <w:r w:rsidRPr="00762EC4">
        <w:rPr>
          <w:rFonts w:ascii="Times New Roman" w:hAnsi="Times New Roman" w:cs="Times New Roman"/>
          <w:lang w:val="fr-FR"/>
        </w:rPr>
        <w:t>)</w:t>
      </w:r>
      <w:r>
        <w:rPr>
          <w:rFonts w:ascii="Times New Roman" w:hAnsi="Times New Roman" w:cs="Times New Roman"/>
          <w:lang w:val="fr-FR"/>
        </w:rPr>
        <w:t>.</w:t>
      </w:r>
      <w:r w:rsidRPr="00762EC4">
        <w:rPr>
          <w:rFonts w:ascii="Times New Roman" w:hAnsi="Times New Roman" w:cs="Times New Roman"/>
          <w:lang w:val="fr-FR"/>
        </w:rPr>
        <w:t xml:space="preserve"> </w:t>
      </w:r>
      <w:r w:rsidRPr="000B46F0">
        <w:rPr>
          <w:rFonts w:ascii="Times New Roman" w:hAnsi="Times New Roman" w:cs="Times New Roman"/>
          <w:lang w:val="fr-FR"/>
        </w:rPr>
        <w:t>L’</w:t>
      </w:r>
      <w:r>
        <w:rPr>
          <w:rFonts w:ascii="Times New Roman" w:hAnsi="Times New Roman" w:cs="Times New Roman"/>
          <w:b/>
          <w:lang w:val="fr-FR"/>
        </w:rPr>
        <w:t>action</w:t>
      </w:r>
      <w:r w:rsidRPr="00762EC4">
        <w:rPr>
          <w:rFonts w:ascii="Times New Roman" w:hAnsi="Times New Roman" w:cs="Times New Roman"/>
          <w:b/>
          <w:lang w:val="fr-FR"/>
        </w:rPr>
        <w:t xml:space="preserve"> 8.4</w:t>
      </w:r>
      <w:r w:rsidRPr="00CE4482">
        <w:rPr>
          <w:rFonts w:ascii="Times New Roman" w:hAnsi="Times New Roman" w:cs="Times New Roman"/>
          <w:lang w:val="fr-FR"/>
        </w:rPr>
        <w:t xml:space="preserve">, </w:t>
      </w:r>
      <w:r w:rsidRPr="00762EC4">
        <w:rPr>
          <w:rFonts w:ascii="Times New Roman" w:hAnsi="Times New Roman" w:cs="Times New Roman"/>
          <w:lang w:val="fr-FR"/>
        </w:rPr>
        <w:t>visant l</w:t>
      </w:r>
      <w:r>
        <w:rPr>
          <w:rFonts w:ascii="Times New Roman" w:hAnsi="Times New Roman" w:cs="Times New Roman"/>
          <w:lang w:val="fr-FR"/>
        </w:rPr>
        <w:t>’</w:t>
      </w:r>
      <w:r w:rsidRPr="00762EC4">
        <w:rPr>
          <w:rFonts w:ascii="Times New Roman" w:hAnsi="Times New Roman" w:cs="Times New Roman"/>
          <w:lang w:val="fr-FR"/>
        </w:rPr>
        <w:t xml:space="preserve">encouragement et la promotion des programmes éducatifs et de sensibilisation du public au sein des communautés vivant dans des </w:t>
      </w:r>
      <w:r w:rsidRPr="00762EC4">
        <w:rPr>
          <w:rFonts w:ascii="Times New Roman" w:hAnsi="Times New Roman" w:cs="Times New Roman"/>
          <w:lang w:val="fr-FR"/>
        </w:rPr>
        <w:lastRenderedPageBreak/>
        <w:t>zones comprenant des concentrations importantes d</w:t>
      </w:r>
      <w:r>
        <w:rPr>
          <w:rFonts w:ascii="Times New Roman" w:hAnsi="Times New Roman" w:cs="Times New Roman"/>
          <w:lang w:val="fr-FR"/>
        </w:rPr>
        <w:t>’</w:t>
      </w:r>
      <w:r w:rsidRPr="00762EC4">
        <w:rPr>
          <w:rFonts w:ascii="Times New Roman" w:hAnsi="Times New Roman" w:cs="Times New Roman"/>
          <w:lang w:val="fr-FR"/>
        </w:rPr>
        <w:t>oies</w:t>
      </w:r>
      <w:r>
        <w:rPr>
          <w:rFonts w:ascii="Times New Roman" w:hAnsi="Times New Roman" w:cs="Times New Roman"/>
          <w:lang w:val="fr-FR"/>
        </w:rPr>
        <w:t>,</w:t>
      </w:r>
      <w:r w:rsidRPr="00762EC4">
        <w:rPr>
          <w:rFonts w:ascii="Times New Roman" w:hAnsi="Times New Roman" w:cs="Times New Roman"/>
          <w:lang w:val="fr-FR"/>
        </w:rPr>
        <w:t xml:space="preserve"> a été signalée comme ayant été mise en œuvre par le Royaume-Uni.</w:t>
      </w:r>
      <w:r w:rsidRPr="004B1407">
        <w:rPr>
          <w:rFonts w:ascii="Times New Roman" w:hAnsi="Times New Roman" w:cs="Times New Roman"/>
          <w:lang w:val="fr-FR"/>
        </w:rPr>
        <w:t xml:space="preserve"> (25 %)</w:t>
      </w:r>
    </w:p>
    <w:p w14:paraId="1499BAB4" w14:textId="77777777" w:rsidR="00886A3C" w:rsidRPr="004B1407" w:rsidRDefault="00886A3C" w:rsidP="00886A3C">
      <w:pPr>
        <w:spacing w:after="0" w:line="240" w:lineRule="auto"/>
        <w:jc w:val="both"/>
        <w:rPr>
          <w:rFonts w:ascii="Times New Roman" w:hAnsi="Times New Roman" w:cs="Times New Roman"/>
          <w:lang w:val="fr-FR"/>
        </w:rPr>
      </w:pPr>
    </w:p>
    <w:p w14:paraId="689C5292" w14:textId="77777777" w:rsidR="00886A3C" w:rsidRPr="004B1407" w:rsidRDefault="00886A3C" w:rsidP="00886A3C">
      <w:pPr>
        <w:spacing w:after="0" w:line="240" w:lineRule="auto"/>
        <w:jc w:val="both"/>
        <w:rPr>
          <w:rFonts w:ascii="Times New Roman" w:hAnsi="Times New Roman" w:cs="Times New Roman"/>
          <w:b/>
          <w:lang w:val="fr-FR"/>
        </w:rPr>
      </w:pPr>
      <w:r w:rsidRPr="00762EC4">
        <w:rPr>
          <w:rFonts w:ascii="Times New Roman" w:hAnsi="Times New Roman" w:cs="Times New Roman"/>
          <w:b/>
          <w:lang w:val="fr-FR"/>
        </w:rPr>
        <w:t>Taux moyen de mise en œuvre :</w:t>
      </w:r>
      <w:r w:rsidRPr="004B1407">
        <w:rPr>
          <w:rFonts w:ascii="Times New Roman" w:hAnsi="Times New Roman" w:cs="Times New Roman"/>
          <w:b/>
          <w:lang w:val="fr-FR"/>
        </w:rPr>
        <w:t xml:space="preserve"> 38 %</w:t>
      </w:r>
    </w:p>
    <w:p w14:paraId="5018A8AD" w14:textId="77777777" w:rsidR="00886A3C" w:rsidRPr="004B1407" w:rsidRDefault="00886A3C" w:rsidP="00886A3C">
      <w:pPr>
        <w:spacing w:after="0" w:line="240" w:lineRule="auto"/>
        <w:jc w:val="both"/>
        <w:rPr>
          <w:rFonts w:ascii="Times New Roman" w:hAnsi="Times New Roman" w:cs="Times New Roman"/>
          <w:lang w:val="fr-FR"/>
        </w:rPr>
      </w:pPr>
    </w:p>
    <w:p w14:paraId="5D0BC7A4" w14:textId="77777777" w:rsidR="00886A3C" w:rsidRPr="004B1407" w:rsidRDefault="00886A3C" w:rsidP="00886A3C">
      <w:pPr>
        <w:spacing w:after="0" w:line="240" w:lineRule="auto"/>
        <w:rPr>
          <w:rFonts w:ascii="Times New Roman" w:hAnsi="Times New Roman" w:cs="Times New Roman"/>
          <w:i/>
          <w:lang w:val="fr-FR"/>
        </w:rPr>
      </w:pPr>
      <w:r w:rsidRPr="00E7673F">
        <w:rPr>
          <w:rFonts w:ascii="Times New Roman" w:hAnsi="Times New Roman" w:cs="Times New Roman"/>
          <w:i/>
          <w:lang w:val="fr-FR"/>
        </w:rPr>
        <w:t>5.9. Résultat 9 – Coopération</w:t>
      </w:r>
      <w:r>
        <w:rPr>
          <w:rFonts w:ascii="Times New Roman" w:hAnsi="Times New Roman" w:cs="Times New Roman"/>
          <w:i/>
          <w:lang w:val="fr-FR"/>
        </w:rPr>
        <w:t xml:space="preserve"> </w:t>
      </w:r>
      <w:r w:rsidRPr="00E7673F">
        <w:rPr>
          <w:rFonts w:ascii="Times New Roman" w:hAnsi="Times New Roman" w:cs="Times New Roman"/>
          <w:i/>
          <w:lang w:val="fr-FR"/>
        </w:rPr>
        <w:t>et liaison internationales efficaces au profit de la population de l</w:t>
      </w:r>
      <w:r>
        <w:rPr>
          <w:rFonts w:ascii="Times New Roman" w:hAnsi="Times New Roman" w:cs="Times New Roman"/>
          <w:i/>
          <w:lang w:val="fr-FR"/>
        </w:rPr>
        <w:t>’</w:t>
      </w:r>
      <w:r w:rsidRPr="00E7673F">
        <w:rPr>
          <w:rFonts w:ascii="Times New Roman" w:hAnsi="Times New Roman" w:cs="Times New Roman"/>
          <w:i/>
          <w:lang w:val="fr-FR"/>
        </w:rPr>
        <w:t>espèce</w:t>
      </w:r>
    </w:p>
    <w:p w14:paraId="27F6D3C5"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134"/>
        <w:gridCol w:w="1371"/>
        <w:gridCol w:w="1555"/>
      </w:tblGrid>
      <w:tr w:rsidR="00886A3C" w:rsidRPr="00DE4CF4" w14:paraId="4326FCBD"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26E357" w14:textId="77777777" w:rsidR="00886A3C" w:rsidRDefault="00886A3C" w:rsidP="00886A3C">
            <w:pPr>
              <w:jc w:val="both"/>
              <w:rPr>
                <w:rFonts w:ascii="Times New Roman" w:hAnsi="Times New Roman" w:cs="Times New Roman"/>
                <w:i/>
              </w:rPr>
            </w:pPr>
            <w:r w:rsidRPr="00E7673F">
              <w:rPr>
                <w:rFonts w:ascii="Times New Roman" w:hAnsi="Times New Roman" w:cs="Times New Roman"/>
                <w:i/>
                <w:lang w:val="fr-FR"/>
              </w:rPr>
              <w:t>Activité</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EC51FA" w14:textId="77777777" w:rsidR="00886A3C" w:rsidRDefault="00886A3C" w:rsidP="00886A3C">
            <w:pPr>
              <w:jc w:val="both"/>
              <w:rPr>
                <w:rFonts w:ascii="Times New Roman" w:hAnsi="Times New Roman" w:cs="Times New Roman"/>
                <w:i/>
              </w:rPr>
            </w:pPr>
            <w:r>
              <w:rPr>
                <w:rFonts w:ascii="Times New Roman" w:hAnsi="Times New Roman" w:cs="Times New Roman"/>
                <w:i/>
                <w:lang w:val="fr-FR"/>
              </w:rPr>
              <w:t>P</w:t>
            </w:r>
            <w:r w:rsidRPr="00E7673F">
              <w:rPr>
                <w:rFonts w:ascii="Times New Roman" w:hAnsi="Times New Roman" w:cs="Times New Roman"/>
                <w:i/>
                <w:lang w:val="fr-FR"/>
              </w:rPr>
              <w:t>riorité</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11C7B4" w14:textId="77777777" w:rsidR="00886A3C" w:rsidRPr="004B1407" w:rsidRDefault="00886A3C" w:rsidP="00886A3C">
            <w:pPr>
              <w:jc w:val="both"/>
              <w:rPr>
                <w:rFonts w:ascii="Times New Roman" w:hAnsi="Times New Roman" w:cs="Times New Roman"/>
                <w:i/>
                <w:lang w:val="fr-FR"/>
              </w:rPr>
            </w:pPr>
            <w:r w:rsidRPr="00E7673F">
              <w:rPr>
                <w:rFonts w:ascii="Times New Roman" w:hAnsi="Times New Roman" w:cs="Times New Roman"/>
                <w:i/>
                <w:lang w:val="fr-FR"/>
              </w:rPr>
              <w:t xml:space="preserve">Taux de mise en œuvre </w:t>
            </w:r>
          </w:p>
        </w:tc>
      </w:tr>
      <w:tr w:rsidR="00886A3C" w14:paraId="0A75ABEE" w14:textId="77777777" w:rsidTr="00886A3C">
        <w:trPr>
          <w:trHeight w:val="495"/>
        </w:trPr>
        <w:tc>
          <w:tcPr>
            <w:tcW w:w="6369" w:type="dxa"/>
            <w:tcBorders>
              <w:top w:val="single" w:sz="4" w:space="0" w:color="auto"/>
              <w:left w:val="single" w:sz="4" w:space="0" w:color="auto"/>
              <w:bottom w:val="single" w:sz="4" w:space="0" w:color="auto"/>
              <w:right w:val="single" w:sz="4" w:space="0" w:color="auto"/>
            </w:tcBorders>
          </w:tcPr>
          <w:p w14:paraId="49BAA8EA" w14:textId="77777777" w:rsidR="00886A3C" w:rsidRPr="004B1407" w:rsidRDefault="00886A3C" w:rsidP="00886A3C">
            <w:pPr>
              <w:rPr>
                <w:rFonts w:ascii="Times New Roman" w:hAnsi="Times New Roman" w:cs="Times New Roman"/>
                <w:lang w:val="fr-FR"/>
              </w:rPr>
            </w:pPr>
            <w:r w:rsidRPr="00E7673F">
              <w:rPr>
                <w:rFonts w:ascii="Times New Roman" w:hAnsi="Times New Roman" w:cs="Times New Roman"/>
                <w:lang w:val="fr-FR"/>
              </w:rPr>
              <w:t>9.1. Soutien de la mise en œuvre, du développement et de l</w:t>
            </w:r>
            <w:r>
              <w:rPr>
                <w:rFonts w:ascii="Times New Roman" w:hAnsi="Times New Roman" w:cs="Times New Roman"/>
                <w:lang w:val="fr-FR"/>
              </w:rPr>
              <w:t>’</w:t>
            </w:r>
            <w:r w:rsidRPr="00E7673F">
              <w:rPr>
                <w:rFonts w:ascii="Times New Roman" w:hAnsi="Times New Roman" w:cs="Times New Roman"/>
                <w:lang w:val="fr-FR"/>
              </w:rPr>
              <w:t>examen d</w:t>
            </w:r>
            <w:r>
              <w:rPr>
                <w:rFonts w:ascii="Times New Roman" w:hAnsi="Times New Roman" w:cs="Times New Roman"/>
                <w:lang w:val="fr-FR"/>
              </w:rPr>
              <w:t>u plan d’action</w:t>
            </w:r>
            <w:r w:rsidRPr="00E7673F">
              <w:rPr>
                <w:rFonts w:ascii="Times New Roman" w:hAnsi="Times New Roman" w:cs="Times New Roman"/>
                <w:lang w:val="fr-FR"/>
              </w:rPr>
              <w:t>.</w:t>
            </w:r>
          </w:p>
        </w:tc>
        <w:tc>
          <w:tcPr>
            <w:tcW w:w="1384" w:type="dxa"/>
            <w:tcBorders>
              <w:top w:val="single" w:sz="4" w:space="0" w:color="auto"/>
              <w:left w:val="single" w:sz="4" w:space="0" w:color="auto"/>
              <w:bottom w:val="single" w:sz="4" w:space="0" w:color="auto"/>
              <w:right w:val="single" w:sz="4" w:space="0" w:color="auto"/>
            </w:tcBorders>
          </w:tcPr>
          <w:p w14:paraId="18EEF313" w14:textId="77777777" w:rsidR="00886A3C" w:rsidRDefault="00886A3C" w:rsidP="00886A3C">
            <w:pPr>
              <w:jc w:val="center"/>
              <w:rPr>
                <w:rFonts w:ascii="Times New Roman" w:hAnsi="Times New Roman" w:cs="Times New Roman"/>
              </w:rPr>
            </w:pPr>
            <w:r w:rsidRPr="00E7673F">
              <w:rPr>
                <w:rFonts w:ascii="Times New Roman" w:hAnsi="Times New Roman" w:cs="Times New Roman"/>
                <w:lang w:val="fr-FR"/>
              </w:rPr>
              <w:t>Autres</w:t>
            </w:r>
          </w:p>
        </w:tc>
        <w:tc>
          <w:tcPr>
            <w:tcW w:w="1597" w:type="dxa"/>
            <w:tcBorders>
              <w:top w:val="single" w:sz="4" w:space="0" w:color="auto"/>
              <w:left w:val="single" w:sz="4" w:space="0" w:color="auto"/>
              <w:bottom w:val="single" w:sz="4" w:space="0" w:color="auto"/>
              <w:right w:val="single" w:sz="4" w:space="0" w:color="auto"/>
            </w:tcBorders>
          </w:tcPr>
          <w:p w14:paraId="21EFE01E" w14:textId="77777777" w:rsidR="00886A3C" w:rsidRDefault="00886A3C" w:rsidP="00886A3C">
            <w:pPr>
              <w:jc w:val="center"/>
              <w:rPr>
                <w:rFonts w:ascii="Times New Roman" w:hAnsi="Times New Roman" w:cs="Times New Roman"/>
              </w:rPr>
            </w:pPr>
            <w:r>
              <w:rPr>
                <w:rFonts w:ascii="Times New Roman" w:hAnsi="Times New Roman" w:cs="Times New Roman"/>
              </w:rPr>
              <w:t>25 %</w:t>
            </w:r>
          </w:p>
        </w:tc>
      </w:tr>
      <w:tr w:rsidR="00886A3C" w14:paraId="48744FE6"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5F517272" w14:textId="77777777" w:rsidR="00886A3C" w:rsidRPr="004B1407" w:rsidRDefault="00886A3C" w:rsidP="00886A3C">
            <w:pPr>
              <w:rPr>
                <w:rFonts w:ascii="Times New Roman" w:hAnsi="Times New Roman" w:cs="Times New Roman"/>
                <w:lang w:val="fr-FR"/>
              </w:rPr>
            </w:pPr>
            <w:r w:rsidRPr="00E7673F">
              <w:rPr>
                <w:rFonts w:ascii="Times New Roman" w:hAnsi="Times New Roman" w:cs="Times New Roman"/>
                <w:lang w:val="fr-FR"/>
              </w:rPr>
              <w:t>9.2. Partage des connaissances pertinentes pour les objectifs du plan d</w:t>
            </w:r>
            <w:r>
              <w:rPr>
                <w:rFonts w:ascii="Times New Roman" w:hAnsi="Times New Roman" w:cs="Times New Roman"/>
                <w:lang w:val="fr-FR"/>
              </w:rPr>
              <w:t>’</w:t>
            </w:r>
            <w:r w:rsidRPr="00E7673F">
              <w:rPr>
                <w:rFonts w:ascii="Times New Roman" w:hAnsi="Times New Roman" w:cs="Times New Roman"/>
                <w:lang w:val="fr-FR"/>
              </w:rPr>
              <w:t>action entre les États de l</w:t>
            </w:r>
            <w:r>
              <w:rPr>
                <w:rFonts w:ascii="Times New Roman" w:hAnsi="Times New Roman" w:cs="Times New Roman"/>
                <w:lang w:val="fr-FR"/>
              </w:rPr>
              <w:t>’</w:t>
            </w:r>
            <w:r w:rsidRPr="00E7673F">
              <w:rPr>
                <w:rFonts w:ascii="Times New Roman" w:hAnsi="Times New Roman" w:cs="Times New Roman"/>
                <w:lang w:val="fr-FR"/>
              </w:rPr>
              <w:t>aire de répartition.</w:t>
            </w:r>
          </w:p>
        </w:tc>
        <w:tc>
          <w:tcPr>
            <w:tcW w:w="1384" w:type="dxa"/>
            <w:tcBorders>
              <w:top w:val="single" w:sz="4" w:space="0" w:color="auto"/>
              <w:left w:val="single" w:sz="4" w:space="0" w:color="auto"/>
              <w:bottom w:val="single" w:sz="4" w:space="0" w:color="auto"/>
              <w:right w:val="single" w:sz="4" w:space="0" w:color="auto"/>
            </w:tcBorders>
          </w:tcPr>
          <w:p w14:paraId="52A066F7" w14:textId="77777777" w:rsidR="00886A3C" w:rsidRDefault="00886A3C" w:rsidP="00886A3C">
            <w:pPr>
              <w:jc w:val="center"/>
              <w:rPr>
                <w:rFonts w:ascii="Times New Roman" w:hAnsi="Times New Roman" w:cs="Times New Roman"/>
              </w:rPr>
            </w:pPr>
            <w:r w:rsidRPr="00E7673F">
              <w:rPr>
                <w:rFonts w:ascii="Times New Roman" w:hAnsi="Times New Roman" w:cs="Times New Roman"/>
                <w:lang w:val="fr-FR"/>
              </w:rPr>
              <w:t>Autres</w:t>
            </w:r>
          </w:p>
        </w:tc>
        <w:tc>
          <w:tcPr>
            <w:tcW w:w="1597" w:type="dxa"/>
            <w:tcBorders>
              <w:top w:val="single" w:sz="4" w:space="0" w:color="auto"/>
              <w:left w:val="single" w:sz="4" w:space="0" w:color="auto"/>
              <w:bottom w:val="single" w:sz="4" w:space="0" w:color="auto"/>
              <w:right w:val="single" w:sz="4" w:space="0" w:color="auto"/>
            </w:tcBorders>
          </w:tcPr>
          <w:p w14:paraId="6E9AEC9E"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14:paraId="2C9AEBDC"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312A16FA" w14:textId="77777777" w:rsidR="00886A3C" w:rsidRPr="004B1407" w:rsidRDefault="00886A3C" w:rsidP="00886A3C">
            <w:pPr>
              <w:rPr>
                <w:rFonts w:ascii="Times New Roman" w:hAnsi="Times New Roman" w:cs="Times New Roman"/>
                <w:lang w:val="fr-FR"/>
              </w:rPr>
            </w:pPr>
            <w:r w:rsidRPr="00E7673F">
              <w:rPr>
                <w:rFonts w:ascii="Times New Roman" w:hAnsi="Times New Roman" w:cs="Times New Roman"/>
                <w:lang w:val="fr-FR"/>
              </w:rPr>
              <w:t>9.3. Encouragement des initiatives officielles et informelles de jumelage.</w:t>
            </w:r>
          </w:p>
        </w:tc>
        <w:tc>
          <w:tcPr>
            <w:tcW w:w="1384" w:type="dxa"/>
            <w:tcBorders>
              <w:top w:val="single" w:sz="4" w:space="0" w:color="auto"/>
              <w:left w:val="single" w:sz="4" w:space="0" w:color="auto"/>
              <w:bottom w:val="single" w:sz="4" w:space="0" w:color="auto"/>
              <w:right w:val="single" w:sz="4" w:space="0" w:color="auto"/>
            </w:tcBorders>
          </w:tcPr>
          <w:p w14:paraId="36C0484B" w14:textId="77777777" w:rsidR="00886A3C" w:rsidRDefault="00886A3C" w:rsidP="00886A3C">
            <w:pPr>
              <w:jc w:val="center"/>
              <w:rPr>
                <w:rFonts w:ascii="Times New Roman" w:hAnsi="Times New Roman" w:cs="Times New Roman"/>
              </w:rPr>
            </w:pPr>
            <w:r w:rsidRPr="00E7673F">
              <w:rPr>
                <w:rFonts w:ascii="Times New Roman" w:hAnsi="Times New Roman" w:cs="Times New Roman"/>
                <w:lang w:val="fr-FR"/>
              </w:rPr>
              <w:t>Autres</w:t>
            </w:r>
          </w:p>
        </w:tc>
        <w:tc>
          <w:tcPr>
            <w:tcW w:w="1597" w:type="dxa"/>
            <w:tcBorders>
              <w:top w:val="single" w:sz="4" w:space="0" w:color="auto"/>
              <w:left w:val="single" w:sz="4" w:space="0" w:color="auto"/>
              <w:bottom w:val="single" w:sz="4" w:space="0" w:color="auto"/>
              <w:right w:val="single" w:sz="4" w:space="0" w:color="auto"/>
            </w:tcBorders>
          </w:tcPr>
          <w:p w14:paraId="09A22610"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14:paraId="706D399F"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4E572BAA" w14:textId="77777777" w:rsidR="00886A3C" w:rsidRPr="004B1407" w:rsidRDefault="00886A3C" w:rsidP="00886A3C">
            <w:pPr>
              <w:rPr>
                <w:rFonts w:ascii="Times New Roman" w:hAnsi="Times New Roman" w:cs="Times New Roman"/>
                <w:lang w:val="fr-FR"/>
              </w:rPr>
            </w:pPr>
            <w:r w:rsidRPr="00E7673F">
              <w:rPr>
                <w:rFonts w:ascii="Times New Roman" w:hAnsi="Times New Roman" w:cs="Times New Roman"/>
                <w:lang w:val="fr-FR"/>
              </w:rPr>
              <w:t>9.4 Collaboration au niveau des travaux de recherche internationaux (y compris la surveillance des populations).</w:t>
            </w:r>
          </w:p>
        </w:tc>
        <w:tc>
          <w:tcPr>
            <w:tcW w:w="1384" w:type="dxa"/>
            <w:tcBorders>
              <w:top w:val="single" w:sz="4" w:space="0" w:color="auto"/>
              <w:left w:val="single" w:sz="4" w:space="0" w:color="auto"/>
              <w:bottom w:val="single" w:sz="4" w:space="0" w:color="auto"/>
              <w:right w:val="single" w:sz="4" w:space="0" w:color="auto"/>
            </w:tcBorders>
          </w:tcPr>
          <w:p w14:paraId="0133034F" w14:textId="77777777" w:rsidR="00886A3C" w:rsidRDefault="00886A3C" w:rsidP="00886A3C">
            <w:pPr>
              <w:jc w:val="center"/>
              <w:rPr>
                <w:rFonts w:ascii="Times New Roman" w:hAnsi="Times New Roman" w:cs="Times New Roman"/>
              </w:rPr>
            </w:pPr>
            <w:r w:rsidRPr="00E7673F">
              <w:rPr>
                <w:rFonts w:ascii="Times New Roman" w:hAnsi="Times New Roman" w:cs="Times New Roman"/>
                <w:lang w:val="fr-FR"/>
              </w:rPr>
              <w:t>Critique</w:t>
            </w:r>
          </w:p>
        </w:tc>
        <w:tc>
          <w:tcPr>
            <w:tcW w:w="1597" w:type="dxa"/>
            <w:tcBorders>
              <w:top w:val="single" w:sz="4" w:space="0" w:color="auto"/>
              <w:left w:val="single" w:sz="4" w:space="0" w:color="auto"/>
              <w:bottom w:val="single" w:sz="4" w:space="0" w:color="auto"/>
              <w:right w:val="single" w:sz="4" w:space="0" w:color="auto"/>
            </w:tcBorders>
          </w:tcPr>
          <w:p w14:paraId="1D12AC6B" w14:textId="77777777" w:rsidR="00886A3C" w:rsidRDefault="00886A3C" w:rsidP="00886A3C">
            <w:pPr>
              <w:jc w:val="center"/>
              <w:rPr>
                <w:rFonts w:ascii="Times New Roman" w:hAnsi="Times New Roman" w:cs="Times New Roman"/>
              </w:rPr>
            </w:pPr>
            <w:r>
              <w:rPr>
                <w:rFonts w:ascii="Times New Roman" w:hAnsi="Times New Roman" w:cs="Times New Roman"/>
              </w:rPr>
              <w:t>75 %</w:t>
            </w:r>
          </w:p>
        </w:tc>
      </w:tr>
      <w:tr w:rsidR="00886A3C" w14:paraId="3B252198"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2948694F" w14:textId="77777777" w:rsidR="00886A3C" w:rsidRPr="004B1407" w:rsidRDefault="00886A3C" w:rsidP="00886A3C">
            <w:pPr>
              <w:rPr>
                <w:rFonts w:ascii="Times New Roman" w:hAnsi="Times New Roman" w:cs="Times New Roman"/>
                <w:lang w:val="fr-FR"/>
              </w:rPr>
            </w:pPr>
            <w:r w:rsidRPr="00E7673F">
              <w:rPr>
                <w:rFonts w:ascii="Times New Roman" w:hAnsi="Times New Roman" w:cs="Times New Roman"/>
                <w:lang w:val="fr-FR"/>
              </w:rPr>
              <w:t>9.5. Formation du personnel sur les sites clés.</w:t>
            </w:r>
          </w:p>
        </w:tc>
        <w:tc>
          <w:tcPr>
            <w:tcW w:w="1384" w:type="dxa"/>
            <w:tcBorders>
              <w:top w:val="single" w:sz="4" w:space="0" w:color="auto"/>
              <w:left w:val="single" w:sz="4" w:space="0" w:color="auto"/>
              <w:bottom w:val="single" w:sz="4" w:space="0" w:color="auto"/>
              <w:right w:val="single" w:sz="4" w:space="0" w:color="auto"/>
            </w:tcBorders>
          </w:tcPr>
          <w:p w14:paraId="59FCC427" w14:textId="77777777" w:rsidR="00886A3C" w:rsidRDefault="00886A3C" w:rsidP="00886A3C">
            <w:pPr>
              <w:jc w:val="center"/>
              <w:rPr>
                <w:rFonts w:ascii="Times New Roman" w:hAnsi="Times New Roman" w:cs="Times New Roman"/>
              </w:rPr>
            </w:pPr>
            <w:r w:rsidRPr="00E7673F">
              <w:rPr>
                <w:rFonts w:ascii="Times New Roman" w:hAnsi="Times New Roman" w:cs="Times New Roman"/>
                <w:lang w:val="fr-FR"/>
              </w:rPr>
              <w:t>Autres</w:t>
            </w:r>
          </w:p>
        </w:tc>
        <w:tc>
          <w:tcPr>
            <w:tcW w:w="1597" w:type="dxa"/>
            <w:tcBorders>
              <w:top w:val="single" w:sz="4" w:space="0" w:color="auto"/>
              <w:left w:val="single" w:sz="4" w:space="0" w:color="auto"/>
              <w:bottom w:val="single" w:sz="4" w:space="0" w:color="auto"/>
              <w:right w:val="single" w:sz="4" w:space="0" w:color="auto"/>
            </w:tcBorders>
          </w:tcPr>
          <w:p w14:paraId="50FDFECF"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14:paraId="40E7DEE3"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1A868842" w14:textId="77777777" w:rsidR="00886A3C" w:rsidRPr="004B1407" w:rsidRDefault="00886A3C" w:rsidP="00886A3C">
            <w:pPr>
              <w:rPr>
                <w:rFonts w:ascii="Times New Roman" w:hAnsi="Times New Roman" w:cs="Times New Roman"/>
                <w:lang w:val="fr-FR"/>
              </w:rPr>
            </w:pPr>
            <w:r w:rsidRPr="00E7673F">
              <w:rPr>
                <w:rFonts w:ascii="Times New Roman" w:hAnsi="Times New Roman" w:cs="Times New Roman"/>
                <w:lang w:val="fr-FR"/>
              </w:rPr>
              <w:t>9.6. Participation aux examens d</w:t>
            </w:r>
            <w:r>
              <w:rPr>
                <w:rFonts w:ascii="Times New Roman" w:hAnsi="Times New Roman" w:cs="Times New Roman"/>
                <w:lang w:val="fr-FR"/>
              </w:rPr>
              <w:t>’</w:t>
            </w:r>
            <w:r w:rsidRPr="00E7673F">
              <w:rPr>
                <w:rFonts w:ascii="Times New Roman" w:hAnsi="Times New Roman" w:cs="Times New Roman"/>
                <w:lang w:val="fr-FR"/>
              </w:rPr>
              <w:t>urgence du plan d</w:t>
            </w:r>
            <w:r>
              <w:rPr>
                <w:rFonts w:ascii="Times New Roman" w:hAnsi="Times New Roman" w:cs="Times New Roman"/>
                <w:lang w:val="fr-FR"/>
              </w:rPr>
              <w:t>’</w:t>
            </w:r>
            <w:r w:rsidRPr="00E7673F">
              <w:rPr>
                <w:rFonts w:ascii="Times New Roman" w:hAnsi="Times New Roman" w:cs="Times New Roman"/>
                <w:lang w:val="fr-FR"/>
              </w:rPr>
              <w:t>action</w:t>
            </w:r>
            <w:r>
              <w:rPr>
                <w:rFonts w:ascii="Times New Roman" w:hAnsi="Times New Roman" w:cs="Times New Roman"/>
                <w:lang w:val="fr-FR"/>
              </w:rPr>
              <w:t> si nécessaire</w:t>
            </w:r>
            <w:r w:rsidRPr="00E7673F">
              <w:rPr>
                <w:rFonts w:ascii="Times New Roman" w:hAnsi="Times New Roman" w:cs="Times New Roman"/>
                <w:lang w:val="fr-FR"/>
              </w:rPr>
              <w:t>.</w:t>
            </w:r>
          </w:p>
        </w:tc>
        <w:tc>
          <w:tcPr>
            <w:tcW w:w="1384" w:type="dxa"/>
            <w:tcBorders>
              <w:top w:val="single" w:sz="4" w:space="0" w:color="auto"/>
              <w:left w:val="single" w:sz="4" w:space="0" w:color="auto"/>
              <w:bottom w:val="single" w:sz="4" w:space="0" w:color="auto"/>
              <w:right w:val="single" w:sz="4" w:space="0" w:color="auto"/>
            </w:tcBorders>
          </w:tcPr>
          <w:p w14:paraId="3625FCC1" w14:textId="77777777" w:rsidR="00886A3C" w:rsidRDefault="00886A3C" w:rsidP="00886A3C">
            <w:pPr>
              <w:jc w:val="center"/>
              <w:rPr>
                <w:rFonts w:ascii="Times New Roman" w:hAnsi="Times New Roman" w:cs="Times New Roman"/>
              </w:rPr>
            </w:pPr>
            <w:r w:rsidRPr="00F27D81">
              <w:rPr>
                <w:rFonts w:ascii="Times New Roman" w:hAnsi="Times New Roman" w:cs="Times New Roman"/>
                <w:lang w:val="fr-FR"/>
              </w:rPr>
              <w:t>Si nécessaire</w:t>
            </w:r>
          </w:p>
        </w:tc>
        <w:tc>
          <w:tcPr>
            <w:tcW w:w="1597" w:type="dxa"/>
            <w:tcBorders>
              <w:top w:val="single" w:sz="4" w:space="0" w:color="auto"/>
              <w:left w:val="single" w:sz="4" w:space="0" w:color="auto"/>
              <w:bottom w:val="single" w:sz="4" w:space="0" w:color="auto"/>
              <w:right w:val="single" w:sz="4" w:space="0" w:color="auto"/>
            </w:tcBorders>
          </w:tcPr>
          <w:p w14:paraId="6A5E5B77" w14:textId="77777777" w:rsidR="00886A3C" w:rsidRDefault="00886A3C" w:rsidP="00886A3C">
            <w:pPr>
              <w:jc w:val="center"/>
              <w:rPr>
                <w:rFonts w:ascii="Times New Roman" w:hAnsi="Times New Roman" w:cs="Times New Roman"/>
              </w:rPr>
            </w:pPr>
            <w:r w:rsidRPr="00F27D81">
              <w:rPr>
                <w:rFonts w:ascii="Times New Roman" w:hAnsi="Times New Roman" w:cs="Times New Roman"/>
                <w:lang w:val="fr-FR"/>
              </w:rPr>
              <w:t>s.o.</w:t>
            </w:r>
          </w:p>
        </w:tc>
      </w:tr>
    </w:tbl>
    <w:p w14:paraId="1A5E9192" w14:textId="77777777" w:rsidR="00886A3C" w:rsidRDefault="00886A3C" w:rsidP="00886A3C">
      <w:pPr>
        <w:spacing w:after="0" w:line="240" w:lineRule="auto"/>
        <w:rPr>
          <w:rFonts w:ascii="Times New Roman" w:hAnsi="Times New Roman" w:cs="Times New Roman"/>
          <w:lang w:val="en-US"/>
        </w:rPr>
      </w:pPr>
    </w:p>
    <w:p w14:paraId="39033F1E" w14:textId="77777777" w:rsidR="00886A3C" w:rsidRPr="004B1407" w:rsidRDefault="00886A3C" w:rsidP="00886A3C">
      <w:pPr>
        <w:spacing w:after="0" w:line="240" w:lineRule="auto"/>
        <w:rPr>
          <w:rFonts w:ascii="Times New Roman" w:hAnsi="Times New Roman" w:cs="Times New Roman"/>
          <w:i/>
          <w:lang w:val="fr-FR"/>
        </w:rPr>
      </w:pPr>
      <w:r w:rsidRPr="00F27D81">
        <w:rPr>
          <w:rFonts w:ascii="Times New Roman" w:hAnsi="Times New Roman" w:cs="Times New Roman"/>
          <w:b/>
          <w:lang w:val="fr-FR"/>
        </w:rPr>
        <w:t>Taux moyen de mise en œuvre :</w:t>
      </w:r>
      <w:r w:rsidRPr="004B1407">
        <w:rPr>
          <w:rFonts w:ascii="Times New Roman" w:hAnsi="Times New Roman" w:cs="Times New Roman"/>
          <w:b/>
          <w:lang w:val="fr-FR"/>
        </w:rPr>
        <w:tab/>
        <w:t xml:space="preserve"> </w:t>
      </w:r>
      <w:r w:rsidRPr="00F27D81">
        <w:rPr>
          <w:rFonts w:ascii="Times New Roman" w:hAnsi="Times New Roman" w:cs="Times New Roman"/>
          <w:b/>
          <w:lang w:val="fr-FR"/>
        </w:rPr>
        <w:t>30</w:t>
      </w:r>
      <w:r>
        <w:rPr>
          <w:rFonts w:ascii="Times New Roman" w:hAnsi="Times New Roman" w:cs="Times New Roman"/>
          <w:b/>
          <w:lang w:val="fr-FR"/>
        </w:rPr>
        <w:t> %</w:t>
      </w:r>
      <w:r w:rsidRPr="00F27D81">
        <w:rPr>
          <w:rFonts w:ascii="Times New Roman" w:hAnsi="Times New Roman" w:cs="Times New Roman"/>
          <w:b/>
          <w:lang w:val="fr-FR"/>
        </w:rPr>
        <w:t xml:space="preserve"> </w:t>
      </w:r>
      <w:r w:rsidRPr="00F27D81">
        <w:rPr>
          <w:rFonts w:ascii="Times New Roman" w:hAnsi="Times New Roman" w:cs="Times New Roman"/>
          <w:i/>
          <w:lang w:val="fr-FR"/>
        </w:rPr>
        <w:t>(à l</w:t>
      </w:r>
      <w:r>
        <w:rPr>
          <w:rFonts w:ascii="Times New Roman" w:hAnsi="Times New Roman" w:cs="Times New Roman"/>
          <w:i/>
          <w:lang w:val="fr-FR"/>
        </w:rPr>
        <w:t>’</w:t>
      </w:r>
      <w:r w:rsidRPr="00F27D81">
        <w:rPr>
          <w:rFonts w:ascii="Times New Roman" w:hAnsi="Times New Roman" w:cs="Times New Roman"/>
          <w:i/>
          <w:lang w:val="fr-FR"/>
        </w:rPr>
        <w:t>exclusion d</w:t>
      </w:r>
      <w:r>
        <w:rPr>
          <w:rFonts w:ascii="Times New Roman" w:hAnsi="Times New Roman" w:cs="Times New Roman"/>
          <w:i/>
          <w:lang w:val="fr-FR"/>
        </w:rPr>
        <w:t>e</w:t>
      </w:r>
      <w:r w:rsidRPr="00F27D81">
        <w:rPr>
          <w:rFonts w:ascii="Times New Roman" w:hAnsi="Times New Roman" w:cs="Times New Roman"/>
          <w:i/>
          <w:lang w:val="fr-FR"/>
        </w:rPr>
        <w:t xml:space="preserve"> 9.6. pas encore applicable)</w:t>
      </w:r>
    </w:p>
    <w:p w14:paraId="4C993AC3" w14:textId="77777777" w:rsidR="00886A3C" w:rsidRPr="004B1407" w:rsidRDefault="00886A3C" w:rsidP="00886A3C">
      <w:pPr>
        <w:spacing w:after="0" w:line="240" w:lineRule="auto"/>
        <w:rPr>
          <w:rFonts w:ascii="Times New Roman" w:hAnsi="Times New Roman" w:cs="Times New Roman"/>
          <w:lang w:val="fr-FR"/>
        </w:rPr>
      </w:pPr>
    </w:p>
    <w:p w14:paraId="2D703504"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6. </w:t>
      </w:r>
      <w:r w:rsidRPr="00F27D81">
        <w:rPr>
          <w:rFonts w:ascii="Times New Roman" w:hAnsi="Times New Roman" w:cs="Times New Roman"/>
          <w:i/>
          <w:lang w:val="fr-FR"/>
        </w:rPr>
        <w:t xml:space="preserve">Principales actions favorisant la mise en œuvre et principaux obstacles </w:t>
      </w:r>
      <w:r>
        <w:rPr>
          <w:rFonts w:ascii="Times New Roman" w:hAnsi="Times New Roman" w:cs="Times New Roman"/>
          <w:i/>
          <w:lang w:val="fr-FR"/>
        </w:rPr>
        <w:t>l’entravant</w:t>
      </w:r>
    </w:p>
    <w:p w14:paraId="44AE9CB1" w14:textId="77777777" w:rsidR="00886A3C" w:rsidRPr="004B1407" w:rsidRDefault="00886A3C" w:rsidP="00886A3C">
      <w:pPr>
        <w:spacing w:after="0" w:line="240" w:lineRule="auto"/>
        <w:rPr>
          <w:rFonts w:ascii="Times New Roman" w:hAnsi="Times New Roman" w:cs="Times New Roman"/>
          <w:lang w:val="fr-FR"/>
        </w:rPr>
      </w:pPr>
    </w:p>
    <w:p w14:paraId="79BDFBA7" w14:textId="77777777" w:rsidR="00886A3C" w:rsidRDefault="00886A3C" w:rsidP="00886A3C">
      <w:pPr>
        <w:spacing w:after="0" w:line="240" w:lineRule="auto"/>
        <w:jc w:val="both"/>
        <w:rPr>
          <w:rFonts w:ascii="Times New Roman" w:hAnsi="Times New Roman" w:cs="Times New Roman"/>
          <w:lang w:val="en-US"/>
        </w:rPr>
      </w:pPr>
      <w:r w:rsidRPr="00F27D81">
        <w:rPr>
          <w:rFonts w:ascii="Times New Roman" w:hAnsi="Times New Roman" w:cs="Times New Roman"/>
          <w:lang w:val="fr-FR"/>
        </w:rPr>
        <w:t>Il</w:t>
      </w:r>
      <w:r>
        <w:rPr>
          <w:rFonts w:ascii="Times New Roman" w:hAnsi="Times New Roman" w:cs="Times New Roman"/>
          <w:lang w:val="fr-FR"/>
        </w:rPr>
        <w:t xml:space="preserve"> </w:t>
      </w:r>
      <w:r w:rsidRPr="00F27D81">
        <w:rPr>
          <w:rFonts w:ascii="Times New Roman" w:hAnsi="Times New Roman" w:cs="Times New Roman"/>
          <w:lang w:val="fr-FR"/>
        </w:rPr>
        <w:t>a été également demandé aux États de l</w:t>
      </w:r>
      <w:r>
        <w:rPr>
          <w:rFonts w:ascii="Times New Roman" w:hAnsi="Times New Roman" w:cs="Times New Roman"/>
          <w:lang w:val="fr-FR"/>
        </w:rPr>
        <w:t>’</w:t>
      </w:r>
      <w:r w:rsidRPr="00F27D81">
        <w:rPr>
          <w:rFonts w:ascii="Times New Roman" w:hAnsi="Times New Roman" w:cs="Times New Roman"/>
          <w:lang w:val="fr-FR"/>
        </w:rPr>
        <w:t>aire de répartition de nommer trois actions principales aussi bien favorisant qu</w:t>
      </w:r>
      <w:r>
        <w:rPr>
          <w:rFonts w:ascii="Times New Roman" w:hAnsi="Times New Roman" w:cs="Times New Roman"/>
          <w:lang w:val="fr-FR"/>
        </w:rPr>
        <w:t>’</w:t>
      </w:r>
      <w:r w:rsidRPr="00F27D81">
        <w:rPr>
          <w:rFonts w:ascii="Times New Roman" w:hAnsi="Times New Roman" w:cs="Times New Roman"/>
          <w:lang w:val="fr-FR"/>
        </w:rPr>
        <w:t xml:space="preserve">entravant la mise en œuvre </w:t>
      </w:r>
      <w:r>
        <w:rPr>
          <w:rFonts w:ascii="Times New Roman" w:hAnsi="Times New Roman" w:cs="Times New Roman"/>
          <w:lang w:val="fr-FR"/>
        </w:rPr>
        <w:t>efficace du plan d’action</w:t>
      </w:r>
      <w:r w:rsidRPr="00F27D81">
        <w:rPr>
          <w:rFonts w:ascii="Times New Roman" w:hAnsi="Times New Roman" w:cs="Times New Roman"/>
          <w:lang w:val="fr-FR"/>
        </w:rPr>
        <w:t>.</w:t>
      </w:r>
      <w:r w:rsidRPr="004B1407">
        <w:rPr>
          <w:rFonts w:ascii="Times New Roman" w:hAnsi="Times New Roman" w:cs="Times New Roman"/>
          <w:lang w:val="fr-FR"/>
        </w:rPr>
        <w:t xml:space="preserve"> </w:t>
      </w:r>
      <w:r w:rsidRPr="00F27D81">
        <w:rPr>
          <w:rFonts w:ascii="Times New Roman" w:hAnsi="Times New Roman" w:cs="Times New Roman"/>
          <w:lang w:val="fr-FR"/>
        </w:rPr>
        <w:t>Elles sont résumées dans le tableau ci-dessous.</w:t>
      </w:r>
    </w:p>
    <w:p w14:paraId="086C2F35" w14:textId="77777777" w:rsidR="00886A3C" w:rsidRDefault="00886A3C" w:rsidP="00886A3C">
      <w:pPr>
        <w:spacing w:after="0" w:line="240" w:lineRule="auto"/>
        <w:rPr>
          <w:rFonts w:ascii="Times New Roman" w:hAnsi="Times New Roman" w:cs="Times New Roman"/>
          <w:lang w:val="en-US"/>
        </w:rPr>
      </w:pPr>
    </w:p>
    <w:p w14:paraId="395BA958"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7FC5ECFB" wp14:editId="672152DE">
            <wp:extent cx="5267325" cy="2924175"/>
            <wp:effectExtent l="0" t="0" r="9525" b="9525"/>
            <wp:docPr id="286" name="Chart 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0C7C6B71"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Mise en œuvre</w:t>
      </w:r>
      <w:r>
        <w:rPr>
          <w:rFonts w:ascii="Arial" w:hAnsi="Arial" w:cs="Arial"/>
          <w:sz w:val="18"/>
          <w:szCs w:val="18"/>
          <w:lang w:val="fr-FR"/>
        </w:rPr>
        <w:t xml:space="preserve"> </w:t>
      </w:r>
      <w:r w:rsidRPr="00C7184B">
        <w:rPr>
          <w:rFonts w:ascii="Arial" w:hAnsi="Arial" w:cs="Arial"/>
          <w:sz w:val="18"/>
          <w:szCs w:val="18"/>
          <w:lang w:val="fr-FR"/>
        </w:rPr>
        <w:t>de programmes de conservation/SSAP nationaux</w:t>
      </w:r>
    </w:p>
    <w:p w14:paraId="1C3272B1"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Comblement des lacunes clés au niveau des connaissances</w:t>
      </w:r>
    </w:p>
    <w:p w14:paraId="5666C352"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Intensification de la sensibilisation du public</w:t>
      </w:r>
    </w:p>
    <w:p w14:paraId="3F600485"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Programme de surveillance</w:t>
      </w:r>
    </w:p>
    <w:p w14:paraId="619A3316"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Identification des sites clés</w:t>
      </w:r>
    </w:p>
    <w:p w14:paraId="73A6CBD9"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Actions des ONG</w:t>
      </w:r>
    </w:p>
    <w:p w14:paraId="60E74382"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Réussite de la coordination/coopération</w:t>
      </w:r>
    </w:p>
    <w:p w14:paraId="2315BFD9" w14:textId="77777777" w:rsidR="00886A3C" w:rsidRPr="00C7184B" w:rsidRDefault="00886A3C" w:rsidP="00886A3C">
      <w:pPr>
        <w:spacing w:after="0" w:line="240" w:lineRule="auto"/>
        <w:rPr>
          <w:rFonts w:ascii="Arial" w:hAnsi="Arial" w:cs="Arial"/>
          <w:sz w:val="18"/>
          <w:szCs w:val="18"/>
          <w:lang w:val="fr-FR"/>
        </w:rPr>
      </w:pPr>
      <w:r w:rsidRPr="00C7184B">
        <w:rPr>
          <w:rFonts w:ascii="Arial" w:hAnsi="Arial" w:cs="Arial"/>
          <w:sz w:val="18"/>
          <w:szCs w:val="18"/>
          <w:lang w:val="fr-FR"/>
        </w:rPr>
        <w:t>Actions internationales</w:t>
      </w:r>
    </w:p>
    <w:p w14:paraId="146DB7B5" w14:textId="77777777" w:rsidR="00886A3C" w:rsidRDefault="00886A3C" w:rsidP="00886A3C">
      <w:pPr>
        <w:spacing w:after="0" w:line="240" w:lineRule="auto"/>
        <w:rPr>
          <w:rFonts w:ascii="Arial" w:hAnsi="Arial" w:cs="Arial"/>
          <w:sz w:val="20"/>
          <w:szCs w:val="20"/>
          <w:lang w:val="en-US"/>
        </w:rPr>
      </w:pPr>
      <w:r>
        <w:rPr>
          <w:noProof/>
          <w:lang w:val="en-US"/>
        </w:rPr>
        <w:lastRenderedPageBreak/>
        <w:drawing>
          <wp:inline distT="0" distB="0" distL="0" distR="0" wp14:anchorId="0474FEF8" wp14:editId="17662E49">
            <wp:extent cx="4752975" cy="2771775"/>
            <wp:effectExtent l="0" t="0" r="9525" b="9525"/>
            <wp:docPr id="287" name="Chart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02D665B" w14:textId="77777777" w:rsidR="00886A3C" w:rsidRPr="00C7184B" w:rsidRDefault="00886A3C" w:rsidP="00886A3C">
      <w:pPr>
        <w:spacing w:after="0" w:line="240" w:lineRule="auto"/>
        <w:rPr>
          <w:rFonts w:ascii="Arial" w:hAnsi="Arial" w:cs="Arial"/>
          <w:color w:val="000000" w:themeColor="text1"/>
          <w:sz w:val="18"/>
          <w:szCs w:val="18"/>
          <w:lang w:val="fr-FR"/>
        </w:rPr>
      </w:pPr>
      <w:r w:rsidRPr="00C7184B">
        <w:rPr>
          <w:rFonts w:ascii="Arial" w:hAnsi="Arial" w:cs="Arial"/>
          <w:color w:val="000000" w:themeColor="text1"/>
          <w:sz w:val="18"/>
          <w:szCs w:val="18"/>
          <w:lang w:val="fr-FR"/>
        </w:rPr>
        <w:t>Recherches insuffisantes</w:t>
      </w:r>
    </w:p>
    <w:p w14:paraId="78BC9576" w14:textId="77777777" w:rsidR="00886A3C" w:rsidRPr="00C7184B" w:rsidRDefault="00886A3C" w:rsidP="00886A3C">
      <w:pPr>
        <w:spacing w:after="0" w:line="240" w:lineRule="auto"/>
        <w:rPr>
          <w:rFonts w:ascii="Arial" w:hAnsi="Arial" w:cs="Arial"/>
          <w:color w:val="000000" w:themeColor="text1"/>
          <w:sz w:val="18"/>
          <w:szCs w:val="18"/>
          <w:lang w:val="fr-FR"/>
        </w:rPr>
      </w:pPr>
      <w:r w:rsidRPr="00C7184B">
        <w:rPr>
          <w:rFonts w:ascii="Arial" w:hAnsi="Arial" w:cs="Arial"/>
          <w:color w:val="000000" w:themeColor="text1"/>
          <w:sz w:val="18"/>
          <w:szCs w:val="18"/>
          <w:lang w:val="fr-FR"/>
        </w:rPr>
        <w:t xml:space="preserve">Manque de gestion </w:t>
      </w:r>
    </w:p>
    <w:p w14:paraId="75BEB8FD" w14:textId="77777777" w:rsidR="00886A3C" w:rsidRPr="00C7184B" w:rsidRDefault="00886A3C" w:rsidP="00886A3C">
      <w:pPr>
        <w:spacing w:after="0" w:line="240" w:lineRule="auto"/>
        <w:rPr>
          <w:rFonts w:ascii="Arial" w:hAnsi="Arial" w:cs="Arial"/>
          <w:color w:val="000000" w:themeColor="text1"/>
          <w:sz w:val="18"/>
          <w:szCs w:val="18"/>
          <w:lang w:val="fr-FR"/>
        </w:rPr>
      </w:pPr>
      <w:r w:rsidRPr="00C7184B">
        <w:rPr>
          <w:rFonts w:ascii="Arial" w:hAnsi="Arial" w:cs="Arial"/>
          <w:color w:val="000000" w:themeColor="text1"/>
          <w:sz w:val="18"/>
          <w:szCs w:val="18"/>
          <w:lang w:val="fr-FR"/>
        </w:rPr>
        <w:t>Manque de temps</w:t>
      </w:r>
    </w:p>
    <w:p w14:paraId="30CBBC1F" w14:textId="77777777" w:rsidR="00886A3C" w:rsidRPr="00C7184B" w:rsidRDefault="00886A3C" w:rsidP="00886A3C">
      <w:pPr>
        <w:spacing w:after="0" w:line="240" w:lineRule="auto"/>
        <w:rPr>
          <w:rFonts w:ascii="Arial" w:hAnsi="Arial" w:cs="Arial"/>
          <w:color w:val="000000" w:themeColor="text1"/>
          <w:sz w:val="18"/>
          <w:szCs w:val="18"/>
          <w:lang w:val="fr-FR"/>
        </w:rPr>
      </w:pPr>
      <w:r w:rsidRPr="00C7184B">
        <w:rPr>
          <w:rFonts w:ascii="Arial" w:hAnsi="Arial" w:cs="Arial"/>
          <w:color w:val="000000" w:themeColor="text1"/>
          <w:sz w:val="18"/>
          <w:szCs w:val="18"/>
          <w:lang w:val="fr-FR"/>
        </w:rPr>
        <w:t>Déclin de l’intérêt politique</w:t>
      </w:r>
    </w:p>
    <w:p w14:paraId="12FCAEA2" w14:textId="77777777" w:rsidR="00886A3C" w:rsidRPr="00C7184B" w:rsidRDefault="00886A3C" w:rsidP="00886A3C">
      <w:pPr>
        <w:spacing w:after="0" w:line="240" w:lineRule="auto"/>
        <w:rPr>
          <w:rFonts w:ascii="Arial" w:hAnsi="Arial" w:cs="Arial"/>
          <w:color w:val="000000" w:themeColor="text1"/>
          <w:sz w:val="18"/>
          <w:szCs w:val="18"/>
          <w:lang w:val="fr-FR"/>
        </w:rPr>
      </w:pPr>
      <w:r w:rsidRPr="00C7184B">
        <w:rPr>
          <w:rFonts w:ascii="Arial" w:hAnsi="Arial" w:cs="Arial"/>
          <w:color w:val="000000" w:themeColor="text1"/>
          <w:sz w:val="18"/>
          <w:szCs w:val="18"/>
          <w:lang w:val="fr-FR"/>
        </w:rPr>
        <w:t>Manque de capacité financière</w:t>
      </w:r>
    </w:p>
    <w:p w14:paraId="02C42744" w14:textId="77777777" w:rsidR="00886A3C" w:rsidRPr="004B1407" w:rsidRDefault="00886A3C" w:rsidP="00886A3C">
      <w:pPr>
        <w:spacing w:after="0" w:line="240" w:lineRule="auto"/>
        <w:rPr>
          <w:rFonts w:ascii="Arial" w:hAnsi="Arial" w:cs="Arial"/>
          <w:sz w:val="20"/>
          <w:szCs w:val="20"/>
          <w:lang w:val="fr-FR"/>
        </w:rPr>
      </w:pPr>
    </w:p>
    <w:p w14:paraId="3A2307D6"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7. </w:t>
      </w:r>
      <w:r w:rsidRPr="00F27D81">
        <w:rPr>
          <w:rFonts w:ascii="Times New Roman" w:hAnsi="Times New Roman" w:cs="Times New Roman"/>
          <w:i/>
          <w:lang w:val="fr-FR"/>
        </w:rPr>
        <w:t>Conclusions </w:t>
      </w:r>
    </w:p>
    <w:p w14:paraId="6CF0760E" w14:textId="77777777" w:rsidR="00886A3C" w:rsidRPr="004B1407" w:rsidRDefault="00886A3C" w:rsidP="00886A3C">
      <w:pPr>
        <w:spacing w:after="0" w:line="240" w:lineRule="auto"/>
        <w:rPr>
          <w:rFonts w:ascii="Times New Roman" w:hAnsi="Times New Roman" w:cs="Times New Roman"/>
          <w:i/>
          <w:lang w:val="fr-FR"/>
        </w:rPr>
      </w:pPr>
    </w:p>
    <w:p w14:paraId="5FEDFBB5" w14:textId="77777777" w:rsidR="00886A3C" w:rsidRPr="004B1407" w:rsidRDefault="00886A3C" w:rsidP="00886A3C">
      <w:pPr>
        <w:spacing w:after="0" w:line="240" w:lineRule="auto"/>
        <w:jc w:val="both"/>
        <w:rPr>
          <w:rFonts w:ascii="Times New Roman" w:hAnsi="Times New Roman" w:cs="Times New Roman"/>
          <w:lang w:val="fr-FR"/>
        </w:rPr>
      </w:pPr>
      <w:r w:rsidRPr="00F27D81">
        <w:rPr>
          <w:rFonts w:ascii="Times New Roman" w:hAnsi="Times New Roman" w:cs="Times New Roman"/>
          <w:lang w:val="fr-FR"/>
        </w:rPr>
        <w:t>Trois ans après l</w:t>
      </w:r>
      <w:r>
        <w:rPr>
          <w:rFonts w:ascii="Times New Roman" w:hAnsi="Times New Roman" w:cs="Times New Roman"/>
          <w:lang w:val="fr-FR"/>
        </w:rPr>
        <w:t>’</w:t>
      </w:r>
      <w:r w:rsidRPr="00F27D81">
        <w:rPr>
          <w:rFonts w:ascii="Times New Roman" w:hAnsi="Times New Roman" w:cs="Times New Roman"/>
          <w:lang w:val="fr-FR"/>
        </w:rPr>
        <w:t xml:space="preserve">adoption en 2012 du </w:t>
      </w:r>
      <w:r>
        <w:rPr>
          <w:rFonts w:ascii="Times New Roman" w:hAnsi="Times New Roman" w:cs="Times New Roman"/>
          <w:lang w:val="fr-FR"/>
        </w:rPr>
        <w:t>plan</w:t>
      </w:r>
      <w:r w:rsidRPr="00F27D81">
        <w:rPr>
          <w:rFonts w:ascii="Times New Roman" w:hAnsi="Times New Roman" w:cs="Times New Roman"/>
          <w:lang w:val="fr-FR"/>
        </w:rPr>
        <w:t xml:space="preserve"> d</w:t>
      </w:r>
      <w:r>
        <w:rPr>
          <w:rFonts w:ascii="Times New Roman" w:hAnsi="Times New Roman" w:cs="Times New Roman"/>
          <w:lang w:val="fr-FR"/>
        </w:rPr>
        <w:t>’</w:t>
      </w:r>
      <w:r w:rsidRPr="00F27D81">
        <w:rPr>
          <w:rFonts w:ascii="Times New Roman" w:hAnsi="Times New Roman" w:cs="Times New Roman"/>
          <w:lang w:val="fr-FR"/>
        </w:rPr>
        <w:t>action international par espèce révisé de l</w:t>
      </w:r>
      <w:r>
        <w:rPr>
          <w:rFonts w:ascii="Times New Roman" w:hAnsi="Times New Roman" w:cs="Times New Roman"/>
          <w:lang w:val="fr-FR"/>
        </w:rPr>
        <w:t>’</w:t>
      </w:r>
      <w:r w:rsidRPr="00F27D81">
        <w:rPr>
          <w:rFonts w:ascii="Times New Roman" w:hAnsi="Times New Roman" w:cs="Times New Roman"/>
          <w:lang w:val="fr-FR"/>
        </w:rPr>
        <w:t>AEWA pour la conservation de l</w:t>
      </w:r>
      <w:r>
        <w:rPr>
          <w:rFonts w:ascii="Times New Roman" w:hAnsi="Times New Roman" w:cs="Times New Roman"/>
          <w:lang w:val="fr-FR"/>
        </w:rPr>
        <w:t>’</w:t>
      </w:r>
      <w:r w:rsidRPr="00F27D81">
        <w:rPr>
          <w:rFonts w:ascii="Times New Roman" w:hAnsi="Times New Roman" w:cs="Times New Roman"/>
          <w:lang w:val="fr-FR"/>
        </w:rPr>
        <w:t>Oie rieuse du Groenland, les pays ont fait part de solides progrès concernant la mise en œuvre</w:t>
      </w:r>
      <w:r>
        <w:rPr>
          <w:rFonts w:ascii="Times New Roman" w:hAnsi="Times New Roman" w:cs="Times New Roman"/>
          <w:lang w:val="fr-FR"/>
        </w:rPr>
        <w:t xml:space="preserve"> </w:t>
      </w:r>
      <w:r w:rsidRPr="00F27D81">
        <w:rPr>
          <w:rFonts w:ascii="Times New Roman" w:hAnsi="Times New Roman" w:cs="Times New Roman"/>
          <w:lang w:val="fr-FR"/>
        </w:rPr>
        <w:t xml:space="preserve">des activités du </w:t>
      </w:r>
      <w:r>
        <w:rPr>
          <w:rFonts w:ascii="Times New Roman" w:hAnsi="Times New Roman" w:cs="Times New Roman"/>
          <w:lang w:val="fr-FR"/>
        </w:rPr>
        <w:t>plan</w:t>
      </w:r>
      <w:r w:rsidRPr="00F27D81">
        <w:rPr>
          <w:rFonts w:ascii="Times New Roman" w:hAnsi="Times New Roman" w:cs="Times New Roman"/>
          <w:lang w:val="fr-FR"/>
        </w:rPr>
        <w:t xml:space="preserve"> d</w:t>
      </w:r>
      <w:r>
        <w:rPr>
          <w:rFonts w:ascii="Times New Roman" w:hAnsi="Times New Roman" w:cs="Times New Roman"/>
          <w:lang w:val="fr-FR"/>
        </w:rPr>
        <w:t>’</w:t>
      </w:r>
      <w:r w:rsidRPr="00F27D81">
        <w:rPr>
          <w:rFonts w:ascii="Times New Roman" w:hAnsi="Times New Roman" w:cs="Times New Roman"/>
          <w:lang w:val="fr-FR"/>
        </w:rPr>
        <w:t>action - tout particulièrement en ce qui concerne les activités identifiées comme étant critiques et liées à la surveillance de l</w:t>
      </w:r>
      <w:r>
        <w:rPr>
          <w:rFonts w:ascii="Times New Roman" w:hAnsi="Times New Roman" w:cs="Times New Roman"/>
          <w:lang w:val="fr-FR"/>
        </w:rPr>
        <w:t>’</w:t>
      </w:r>
      <w:r w:rsidRPr="00F27D81">
        <w:rPr>
          <w:rFonts w:ascii="Times New Roman" w:hAnsi="Times New Roman" w:cs="Times New Roman"/>
          <w:lang w:val="fr-FR"/>
        </w:rPr>
        <w:t>espèce.</w:t>
      </w:r>
      <w:r w:rsidRPr="004B1407">
        <w:rPr>
          <w:rFonts w:ascii="Times New Roman" w:hAnsi="Times New Roman" w:cs="Times New Roman"/>
          <w:lang w:val="fr-FR"/>
        </w:rPr>
        <w:t xml:space="preserve"> </w:t>
      </w:r>
    </w:p>
    <w:p w14:paraId="47DE3C13"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723"/>
      </w:tblGrid>
      <w:tr w:rsidR="00886A3C" w:rsidRPr="00DE4CF4" w14:paraId="096356BC" w14:textId="77777777" w:rsidTr="00886A3C">
        <w:trPr>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B37F44" w14:textId="77777777" w:rsidR="00886A3C" w:rsidRPr="004B1407" w:rsidRDefault="00886A3C" w:rsidP="00886A3C">
            <w:pPr>
              <w:jc w:val="center"/>
              <w:rPr>
                <w:rFonts w:ascii="Times New Roman" w:hAnsi="Times New Roman" w:cs="Times New Roman"/>
                <w:lang w:val="fr-FR"/>
              </w:rPr>
            </w:pPr>
          </w:p>
          <w:p w14:paraId="08262FCB" w14:textId="77777777" w:rsidR="00886A3C" w:rsidRPr="004B1407" w:rsidRDefault="00886A3C" w:rsidP="00886A3C">
            <w:pPr>
              <w:jc w:val="center"/>
              <w:rPr>
                <w:rFonts w:ascii="Times New Roman" w:hAnsi="Times New Roman" w:cs="Times New Roman"/>
                <w:b/>
                <w:color w:val="FF0000"/>
                <w:lang w:val="fr-FR"/>
              </w:rPr>
            </w:pPr>
            <w:r w:rsidRPr="00F27D81">
              <w:rPr>
                <w:rFonts w:ascii="Times New Roman" w:hAnsi="Times New Roman" w:cs="Times New Roman"/>
                <w:b/>
                <w:lang w:val="fr-FR"/>
              </w:rPr>
              <w:t>Taux d</w:t>
            </w:r>
            <w:r>
              <w:rPr>
                <w:rFonts w:ascii="Times New Roman" w:hAnsi="Times New Roman" w:cs="Times New Roman"/>
                <w:b/>
                <w:lang w:val="fr-FR"/>
              </w:rPr>
              <w:t>’</w:t>
            </w:r>
            <w:r w:rsidRPr="00F27D81">
              <w:rPr>
                <w:rFonts w:ascii="Times New Roman" w:hAnsi="Times New Roman" w:cs="Times New Roman"/>
                <w:b/>
                <w:lang w:val="fr-FR"/>
              </w:rPr>
              <w:t>ensemble moyen de mise en œuvre pour 9 résultats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27 %</w:t>
            </w:r>
          </w:p>
          <w:p w14:paraId="3C043B4A" w14:textId="77777777" w:rsidR="00886A3C" w:rsidRPr="004B1407" w:rsidRDefault="00886A3C" w:rsidP="00886A3C">
            <w:pPr>
              <w:jc w:val="center"/>
              <w:rPr>
                <w:rFonts w:ascii="Times New Roman" w:hAnsi="Times New Roman" w:cs="Times New Roman"/>
                <w:sz w:val="20"/>
                <w:szCs w:val="20"/>
                <w:lang w:val="fr-FR"/>
              </w:rPr>
            </w:pPr>
            <w:r w:rsidRPr="00152A42">
              <w:rPr>
                <w:rFonts w:ascii="Times New Roman" w:hAnsi="Times New Roman" w:cs="Times New Roman"/>
                <w:b/>
                <w:lang w:val="fr-FR"/>
              </w:rPr>
              <w:t xml:space="preserve"> Taux moyen </w:t>
            </w:r>
            <w:r>
              <w:rPr>
                <w:rFonts w:ascii="Times New Roman" w:hAnsi="Times New Roman" w:cs="Times New Roman"/>
                <w:b/>
                <w:lang w:val="fr-FR"/>
              </w:rPr>
              <w:t xml:space="preserve">de </w:t>
            </w:r>
            <w:r w:rsidRPr="00152A42">
              <w:rPr>
                <w:rFonts w:ascii="Times New Roman" w:hAnsi="Times New Roman" w:cs="Times New Roman"/>
                <w:b/>
                <w:lang w:val="fr-FR"/>
              </w:rPr>
              <w:t xml:space="preserve">mise en œuvre des activités à priorité </w:t>
            </w:r>
            <w:r>
              <w:rPr>
                <w:rFonts w:ascii="Times New Roman" w:hAnsi="Times New Roman" w:cs="Times New Roman"/>
                <w:b/>
                <w:lang w:val="fr-FR"/>
              </w:rPr>
              <w:t xml:space="preserve">critique et </w:t>
            </w:r>
            <w:r w:rsidRPr="00152A42">
              <w:rPr>
                <w:rFonts w:ascii="Times New Roman" w:hAnsi="Times New Roman" w:cs="Times New Roman"/>
                <w:b/>
                <w:lang w:val="fr-FR"/>
              </w:rPr>
              <w:t>élevée (15)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45 %</w:t>
            </w:r>
            <w:r w:rsidRPr="004B1407">
              <w:rPr>
                <w:rFonts w:ascii="Times New Roman" w:hAnsi="Times New Roman" w:cs="Times New Roman"/>
                <w:b/>
                <w:lang w:val="fr-FR"/>
              </w:rPr>
              <w:t xml:space="preserve"> </w:t>
            </w:r>
          </w:p>
        </w:tc>
      </w:tr>
    </w:tbl>
    <w:p w14:paraId="43031D66" w14:textId="77777777" w:rsidR="00886A3C" w:rsidRPr="004B1407" w:rsidRDefault="00886A3C" w:rsidP="00886A3C">
      <w:pPr>
        <w:spacing w:after="0" w:line="240" w:lineRule="auto"/>
        <w:jc w:val="both"/>
        <w:rPr>
          <w:rFonts w:ascii="Times New Roman" w:hAnsi="Times New Roman" w:cs="Times New Roman"/>
          <w:lang w:val="fr-FR"/>
        </w:rPr>
      </w:pPr>
    </w:p>
    <w:p w14:paraId="698BA73F" w14:textId="77777777" w:rsidR="00886A3C" w:rsidRPr="004B1407" w:rsidRDefault="00886A3C" w:rsidP="00886A3C">
      <w:pPr>
        <w:spacing w:after="0" w:line="240" w:lineRule="auto"/>
        <w:jc w:val="both"/>
        <w:rPr>
          <w:rFonts w:ascii="Times New Roman" w:hAnsi="Times New Roman" w:cs="Times New Roman"/>
          <w:lang w:val="fr-FR"/>
        </w:rPr>
      </w:pPr>
      <w:r w:rsidRPr="00152A42">
        <w:rPr>
          <w:rFonts w:ascii="Times New Roman" w:hAnsi="Times New Roman" w:cs="Times New Roman"/>
          <w:lang w:val="fr-FR"/>
        </w:rPr>
        <w:t>Il existe manifestement un réseau bien en place d</w:t>
      </w:r>
      <w:r>
        <w:rPr>
          <w:rFonts w:ascii="Times New Roman" w:hAnsi="Times New Roman" w:cs="Times New Roman"/>
          <w:lang w:val="fr-FR"/>
        </w:rPr>
        <w:t xml:space="preserve">’experts </w:t>
      </w:r>
      <w:r w:rsidRPr="00152A42">
        <w:rPr>
          <w:rFonts w:ascii="Times New Roman" w:hAnsi="Times New Roman" w:cs="Times New Roman"/>
          <w:lang w:val="fr-FR"/>
        </w:rPr>
        <w:t xml:space="preserve">gouvernementaux non-gouvernementaux </w:t>
      </w:r>
      <w:r>
        <w:rPr>
          <w:rFonts w:ascii="Times New Roman" w:hAnsi="Times New Roman" w:cs="Times New Roman"/>
          <w:lang w:val="fr-FR"/>
        </w:rPr>
        <w:t>sur l’</w:t>
      </w:r>
      <w:r w:rsidRPr="00152A42">
        <w:rPr>
          <w:rFonts w:ascii="Times New Roman" w:hAnsi="Times New Roman" w:cs="Times New Roman"/>
          <w:lang w:val="fr-FR"/>
        </w:rPr>
        <w:t>espèce travaillant à la mise en œuvre du plan d</w:t>
      </w:r>
      <w:r>
        <w:rPr>
          <w:rFonts w:ascii="Times New Roman" w:hAnsi="Times New Roman" w:cs="Times New Roman"/>
          <w:lang w:val="fr-FR"/>
        </w:rPr>
        <w:t>’</w:t>
      </w:r>
      <w:r w:rsidRPr="00152A42">
        <w:rPr>
          <w:rFonts w:ascii="Times New Roman" w:hAnsi="Times New Roman" w:cs="Times New Roman"/>
          <w:lang w:val="fr-FR"/>
        </w:rPr>
        <w:t>action.</w:t>
      </w:r>
      <w:r w:rsidRPr="004B1407">
        <w:rPr>
          <w:rFonts w:ascii="Times New Roman" w:hAnsi="Times New Roman" w:cs="Times New Roman"/>
          <w:lang w:val="fr-FR"/>
        </w:rPr>
        <w:t xml:space="preserve"> </w:t>
      </w:r>
      <w:r w:rsidRPr="00260A3B">
        <w:rPr>
          <w:rFonts w:ascii="Times New Roman" w:hAnsi="Times New Roman" w:cs="Times New Roman"/>
          <w:lang w:val="fr-FR"/>
        </w:rPr>
        <w:t xml:space="preserve">La mise en place du </w:t>
      </w:r>
      <w:r>
        <w:rPr>
          <w:rFonts w:ascii="Times New Roman" w:hAnsi="Times New Roman" w:cs="Times New Roman"/>
          <w:lang w:val="fr-FR"/>
        </w:rPr>
        <w:t>g</w:t>
      </w:r>
      <w:r w:rsidRPr="00260A3B">
        <w:rPr>
          <w:rFonts w:ascii="Times New Roman" w:hAnsi="Times New Roman" w:cs="Times New Roman"/>
          <w:lang w:val="fr-FR"/>
        </w:rPr>
        <w:t>roupe d</w:t>
      </w:r>
      <w:r>
        <w:rPr>
          <w:rFonts w:ascii="Times New Roman" w:hAnsi="Times New Roman" w:cs="Times New Roman"/>
          <w:lang w:val="fr-FR"/>
        </w:rPr>
        <w:t>’</w:t>
      </w:r>
      <w:r w:rsidRPr="00260A3B">
        <w:rPr>
          <w:rFonts w:ascii="Times New Roman" w:hAnsi="Times New Roman" w:cs="Times New Roman"/>
          <w:lang w:val="fr-FR"/>
        </w:rPr>
        <w:t>experts sur l</w:t>
      </w:r>
      <w:r>
        <w:rPr>
          <w:rFonts w:ascii="Times New Roman" w:hAnsi="Times New Roman" w:cs="Times New Roman"/>
          <w:lang w:val="fr-FR"/>
        </w:rPr>
        <w:t>’</w:t>
      </w:r>
      <w:r w:rsidRPr="00260A3B">
        <w:rPr>
          <w:rFonts w:ascii="Times New Roman" w:hAnsi="Times New Roman" w:cs="Times New Roman"/>
          <w:lang w:val="fr-FR"/>
        </w:rPr>
        <w:t>espèce pourrait, par exemple, stimuler l</w:t>
      </w:r>
      <w:r>
        <w:rPr>
          <w:rFonts w:ascii="Times New Roman" w:hAnsi="Times New Roman" w:cs="Times New Roman"/>
          <w:lang w:val="fr-FR"/>
        </w:rPr>
        <w:t>’</w:t>
      </w:r>
      <w:r w:rsidRPr="00260A3B">
        <w:rPr>
          <w:rFonts w:ascii="Times New Roman" w:hAnsi="Times New Roman" w:cs="Times New Roman"/>
          <w:lang w:val="fr-FR"/>
        </w:rPr>
        <w:t>élan du processus de mise en œuvre, y compris l</w:t>
      </w:r>
      <w:r>
        <w:rPr>
          <w:rFonts w:ascii="Times New Roman" w:hAnsi="Times New Roman" w:cs="Times New Roman"/>
          <w:lang w:val="fr-FR"/>
        </w:rPr>
        <w:t>’</w:t>
      </w:r>
      <w:r w:rsidRPr="00260A3B">
        <w:rPr>
          <w:rFonts w:ascii="Times New Roman" w:hAnsi="Times New Roman" w:cs="Times New Roman"/>
          <w:lang w:val="fr-FR"/>
        </w:rPr>
        <w:t>engagement des experts et des fonctionnaires gouvernementaux venus d</w:t>
      </w:r>
      <w:r>
        <w:rPr>
          <w:rFonts w:ascii="Times New Roman" w:hAnsi="Times New Roman" w:cs="Times New Roman"/>
          <w:lang w:val="fr-FR"/>
        </w:rPr>
        <w:t>’</w:t>
      </w:r>
      <w:r w:rsidRPr="00260A3B">
        <w:rPr>
          <w:rFonts w:ascii="Times New Roman" w:hAnsi="Times New Roman" w:cs="Times New Roman"/>
          <w:lang w:val="fr-FR"/>
        </w:rPr>
        <w:t>autres secteurs, n</w:t>
      </w:r>
      <w:r>
        <w:rPr>
          <w:rFonts w:ascii="Times New Roman" w:hAnsi="Times New Roman" w:cs="Times New Roman"/>
          <w:lang w:val="fr-FR"/>
        </w:rPr>
        <w:t>’</w:t>
      </w:r>
      <w:r w:rsidRPr="00260A3B">
        <w:rPr>
          <w:rFonts w:ascii="Times New Roman" w:hAnsi="Times New Roman" w:cs="Times New Roman"/>
          <w:lang w:val="fr-FR"/>
        </w:rPr>
        <w:t>étant probablement pas dans le réseau.</w:t>
      </w:r>
      <w:r w:rsidRPr="004B1407">
        <w:rPr>
          <w:rFonts w:ascii="Times New Roman" w:hAnsi="Times New Roman" w:cs="Times New Roman"/>
          <w:lang w:val="fr-FR"/>
        </w:rPr>
        <w:t xml:space="preserve"> </w:t>
      </w:r>
    </w:p>
    <w:p w14:paraId="2D9C09E2" w14:textId="77777777" w:rsidR="00886A3C" w:rsidRPr="004B1407" w:rsidRDefault="00886A3C" w:rsidP="00886A3C">
      <w:pPr>
        <w:rPr>
          <w:rFonts w:ascii="Times New Roman" w:hAnsi="Times New Roman" w:cs="Times New Roman"/>
          <w:lang w:val="fr-FR"/>
        </w:rPr>
      </w:pPr>
      <w:r w:rsidRPr="004B1407">
        <w:rPr>
          <w:rFonts w:ascii="Times New Roman" w:hAnsi="Times New Roman" w:cs="Times New Roman"/>
          <w:lang w:val="fr-FR"/>
        </w:rPr>
        <w:br w:type="page"/>
      </w:r>
    </w:p>
    <w:p w14:paraId="5633EF74"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b/>
          <w:lang w:val="fr-FR"/>
        </w:rPr>
      </w:pPr>
      <w:r w:rsidRPr="00260A3B">
        <w:rPr>
          <w:rFonts w:ascii="Times New Roman" w:hAnsi="Times New Roman" w:cs="Times New Roman"/>
          <w:b/>
          <w:lang w:val="fr-FR"/>
        </w:rPr>
        <w:lastRenderedPageBreak/>
        <w:t>F. Mise en œuvre</w:t>
      </w:r>
      <w:r>
        <w:rPr>
          <w:rFonts w:ascii="Times New Roman" w:hAnsi="Times New Roman" w:cs="Times New Roman"/>
          <w:b/>
          <w:lang w:val="fr-FR"/>
        </w:rPr>
        <w:t xml:space="preserve"> </w:t>
      </w:r>
      <w:r w:rsidRPr="00260A3B">
        <w:rPr>
          <w:rFonts w:ascii="Times New Roman" w:hAnsi="Times New Roman" w:cs="Times New Roman"/>
          <w:b/>
          <w:lang w:val="fr-FR"/>
        </w:rPr>
        <w:t>de l</w:t>
      </w:r>
      <w:r>
        <w:rPr>
          <w:rFonts w:ascii="Times New Roman" w:hAnsi="Times New Roman" w:cs="Times New Roman"/>
          <w:b/>
          <w:lang w:val="fr-FR"/>
        </w:rPr>
        <w:t>’</w:t>
      </w:r>
      <w:r w:rsidRPr="00260A3B">
        <w:rPr>
          <w:rFonts w:ascii="Times New Roman" w:hAnsi="Times New Roman" w:cs="Times New Roman"/>
          <w:b/>
          <w:lang w:val="fr-FR"/>
        </w:rPr>
        <w:t>ISSAP de l</w:t>
      </w:r>
      <w:r>
        <w:rPr>
          <w:rFonts w:ascii="Times New Roman" w:hAnsi="Times New Roman" w:cs="Times New Roman"/>
          <w:b/>
          <w:lang w:val="fr-FR"/>
        </w:rPr>
        <w:t>’</w:t>
      </w:r>
      <w:r w:rsidRPr="00260A3B">
        <w:rPr>
          <w:rFonts w:ascii="Times New Roman" w:hAnsi="Times New Roman" w:cs="Times New Roman"/>
          <w:b/>
          <w:lang w:val="fr-FR"/>
        </w:rPr>
        <w:t>AEWA pour l</w:t>
      </w:r>
      <w:r>
        <w:rPr>
          <w:rFonts w:ascii="Times New Roman" w:hAnsi="Times New Roman" w:cs="Times New Roman"/>
          <w:b/>
          <w:lang w:val="fr-FR"/>
        </w:rPr>
        <w:t>’</w:t>
      </w:r>
      <w:r w:rsidRPr="00260A3B">
        <w:rPr>
          <w:rFonts w:ascii="Times New Roman" w:hAnsi="Times New Roman" w:cs="Times New Roman"/>
          <w:b/>
          <w:lang w:val="fr-FR"/>
        </w:rPr>
        <w:t>Oie naine</w:t>
      </w:r>
    </w:p>
    <w:p w14:paraId="21761281" w14:textId="77777777" w:rsidR="00886A3C" w:rsidRPr="004B1407" w:rsidRDefault="00886A3C" w:rsidP="00886A3C">
      <w:pPr>
        <w:shd w:val="clear" w:color="auto" w:fill="FFFFFF" w:themeFill="background1"/>
        <w:spacing w:after="0" w:line="240" w:lineRule="auto"/>
        <w:rPr>
          <w:rFonts w:ascii="Times New Roman" w:hAnsi="Times New Roman" w:cs="Times New Roman"/>
          <w:b/>
          <w:lang w:val="fr-FR"/>
        </w:rPr>
      </w:pPr>
    </w:p>
    <w:p w14:paraId="49B09EC7"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1. </w:t>
      </w:r>
      <w:r w:rsidRPr="00260A3B">
        <w:rPr>
          <w:rFonts w:ascii="Times New Roman" w:hAnsi="Times New Roman" w:cs="Times New Roman"/>
          <w:i/>
          <w:lang w:val="fr-FR"/>
        </w:rPr>
        <w:t>Introduction</w:t>
      </w:r>
    </w:p>
    <w:p w14:paraId="17C80FD0"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71135808"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E40321">
        <w:rPr>
          <w:rFonts w:ascii="Times New Roman" w:hAnsi="Times New Roman" w:cs="Times New Roman"/>
          <w:lang w:val="fr-FR"/>
        </w:rPr>
        <w:t>l</w:t>
      </w:r>
      <w:r>
        <w:rPr>
          <w:rFonts w:ascii="Times New Roman" w:hAnsi="Times New Roman" w:cs="Times New Roman"/>
          <w:lang w:val="fr-FR"/>
        </w:rPr>
        <w:t>’</w:t>
      </w:r>
      <w:r w:rsidRPr="00E40321">
        <w:rPr>
          <w:rFonts w:ascii="Times New Roman" w:hAnsi="Times New Roman" w:cs="Times New Roman"/>
          <w:lang w:val="fr-FR"/>
        </w:rPr>
        <w:t>Oie naine est menacée au niveau mondial et classée dans la catégorie « Vulnérable » de l</w:t>
      </w:r>
      <w:r>
        <w:rPr>
          <w:rFonts w:ascii="Times New Roman" w:hAnsi="Times New Roman" w:cs="Times New Roman"/>
          <w:lang w:val="fr-FR"/>
        </w:rPr>
        <w:t>’</w:t>
      </w:r>
      <w:r w:rsidRPr="00E40321">
        <w:rPr>
          <w:rFonts w:ascii="Times New Roman" w:hAnsi="Times New Roman" w:cs="Times New Roman"/>
          <w:lang w:val="fr-FR"/>
        </w:rPr>
        <w:t xml:space="preserve">UICN et comme étant </w:t>
      </w:r>
      <w:r>
        <w:rPr>
          <w:rFonts w:ascii="Times New Roman" w:hAnsi="Times New Roman" w:cs="Times New Roman"/>
          <w:lang w:val="fr-FR"/>
        </w:rPr>
        <w:t>« </w:t>
      </w:r>
      <w:r w:rsidRPr="00E40321">
        <w:rPr>
          <w:rFonts w:ascii="Times New Roman" w:hAnsi="Times New Roman" w:cs="Times New Roman"/>
          <w:lang w:val="fr-FR"/>
        </w:rPr>
        <w:t>En danger critique d</w:t>
      </w:r>
      <w:r>
        <w:rPr>
          <w:rFonts w:ascii="Times New Roman" w:hAnsi="Times New Roman" w:cs="Times New Roman"/>
          <w:lang w:val="fr-FR"/>
        </w:rPr>
        <w:t>’</w:t>
      </w:r>
      <w:r w:rsidRPr="00E40321">
        <w:rPr>
          <w:rFonts w:ascii="Times New Roman" w:hAnsi="Times New Roman" w:cs="Times New Roman"/>
          <w:lang w:val="fr-FR"/>
        </w:rPr>
        <w:t>extinction</w:t>
      </w:r>
      <w:r>
        <w:rPr>
          <w:rFonts w:ascii="Times New Roman" w:hAnsi="Times New Roman" w:cs="Times New Roman"/>
          <w:lang w:val="fr-FR"/>
        </w:rPr>
        <w:t> »</w:t>
      </w:r>
      <w:r w:rsidRPr="00E40321">
        <w:rPr>
          <w:rFonts w:ascii="Times New Roman" w:hAnsi="Times New Roman" w:cs="Times New Roman"/>
          <w:lang w:val="fr-FR"/>
        </w:rPr>
        <w:t xml:space="preserve"> dans l</w:t>
      </w:r>
      <w:r>
        <w:rPr>
          <w:rFonts w:ascii="Times New Roman" w:hAnsi="Times New Roman" w:cs="Times New Roman"/>
          <w:lang w:val="fr-FR"/>
        </w:rPr>
        <w:t>’</w:t>
      </w:r>
      <w:r w:rsidRPr="00E40321">
        <w:rPr>
          <w:rFonts w:ascii="Times New Roman" w:hAnsi="Times New Roman" w:cs="Times New Roman"/>
          <w:lang w:val="fr-FR"/>
        </w:rPr>
        <w:t>Union européenne selon l</w:t>
      </w:r>
      <w:r>
        <w:rPr>
          <w:rFonts w:ascii="Times New Roman" w:hAnsi="Times New Roman" w:cs="Times New Roman"/>
          <w:lang w:val="fr-FR"/>
        </w:rPr>
        <w:t>’</w:t>
      </w:r>
      <w:r w:rsidRPr="00E40321">
        <w:rPr>
          <w:rFonts w:ascii="Times New Roman" w:hAnsi="Times New Roman" w:cs="Times New Roman"/>
          <w:lang w:val="fr-FR"/>
        </w:rPr>
        <w:t>évaluation de la Liste rouge européenne de 2015.</w:t>
      </w:r>
      <w:r w:rsidRPr="004B1407">
        <w:rPr>
          <w:rFonts w:ascii="Times New Roman" w:hAnsi="Times New Roman" w:cs="Times New Roman"/>
          <w:lang w:val="fr-FR"/>
        </w:rPr>
        <w:t xml:space="preserve"> </w:t>
      </w:r>
      <w:r w:rsidRPr="00E40321">
        <w:rPr>
          <w:rFonts w:ascii="Times New Roman" w:hAnsi="Times New Roman" w:cs="Times New Roman"/>
          <w:lang w:val="fr-FR"/>
        </w:rPr>
        <w:t>L</w:t>
      </w:r>
      <w:r>
        <w:rPr>
          <w:rFonts w:ascii="Times New Roman" w:hAnsi="Times New Roman" w:cs="Times New Roman"/>
          <w:lang w:val="fr-FR"/>
        </w:rPr>
        <w:t>’</w:t>
      </w:r>
      <w:r w:rsidRPr="00E40321">
        <w:rPr>
          <w:rFonts w:ascii="Times New Roman" w:hAnsi="Times New Roman" w:cs="Times New Roman"/>
          <w:lang w:val="fr-FR"/>
        </w:rPr>
        <w:t xml:space="preserve">espèce figure dans la colonne A du </w:t>
      </w:r>
      <w:r>
        <w:rPr>
          <w:rFonts w:ascii="Times New Roman" w:hAnsi="Times New Roman" w:cs="Times New Roman"/>
          <w:lang w:val="fr-FR"/>
        </w:rPr>
        <w:t>T</w:t>
      </w:r>
      <w:r w:rsidRPr="00E40321">
        <w:rPr>
          <w:rFonts w:ascii="Times New Roman" w:hAnsi="Times New Roman" w:cs="Times New Roman"/>
          <w:lang w:val="fr-FR"/>
        </w:rPr>
        <w:t xml:space="preserve">ableau 1 du </w:t>
      </w:r>
      <w:r>
        <w:rPr>
          <w:rFonts w:ascii="Times New Roman" w:hAnsi="Times New Roman" w:cs="Times New Roman"/>
          <w:lang w:val="fr-FR"/>
        </w:rPr>
        <w:t>plan</w:t>
      </w:r>
      <w:r w:rsidRPr="00E40321">
        <w:rPr>
          <w:rFonts w:ascii="Times New Roman" w:hAnsi="Times New Roman" w:cs="Times New Roman"/>
          <w:lang w:val="fr-FR"/>
        </w:rPr>
        <w:t xml:space="preserve"> d</w:t>
      </w:r>
      <w:r>
        <w:rPr>
          <w:rFonts w:ascii="Times New Roman" w:hAnsi="Times New Roman" w:cs="Times New Roman"/>
          <w:lang w:val="fr-FR"/>
        </w:rPr>
        <w:t>’</w:t>
      </w:r>
      <w:r w:rsidRPr="00E40321">
        <w:rPr>
          <w:rFonts w:ascii="Times New Roman" w:hAnsi="Times New Roman" w:cs="Times New Roman"/>
          <w:lang w:val="fr-FR"/>
        </w:rPr>
        <w:t>action de l</w:t>
      </w:r>
      <w:r>
        <w:rPr>
          <w:rFonts w:ascii="Times New Roman" w:hAnsi="Times New Roman" w:cs="Times New Roman"/>
          <w:lang w:val="fr-FR"/>
        </w:rPr>
        <w:t>’</w:t>
      </w:r>
      <w:r w:rsidRPr="00E40321">
        <w:rPr>
          <w:rFonts w:ascii="Times New Roman" w:hAnsi="Times New Roman" w:cs="Times New Roman"/>
          <w:lang w:val="fr-FR"/>
        </w:rPr>
        <w:t>AEWA.</w:t>
      </w:r>
      <w:r w:rsidRPr="004B1407">
        <w:rPr>
          <w:rFonts w:ascii="Times New Roman" w:hAnsi="Times New Roman" w:cs="Times New Roman"/>
          <w:lang w:val="fr-FR"/>
        </w:rPr>
        <w:t xml:space="preserve"> </w:t>
      </w:r>
      <w:r w:rsidRPr="00E40321">
        <w:rPr>
          <w:rFonts w:ascii="Times New Roman" w:hAnsi="Times New Roman" w:cs="Times New Roman"/>
          <w:lang w:val="fr-FR"/>
        </w:rPr>
        <w:t xml:space="preserve">Le </w:t>
      </w:r>
      <w:r>
        <w:rPr>
          <w:rFonts w:ascii="Times New Roman" w:hAnsi="Times New Roman" w:cs="Times New Roman"/>
          <w:lang w:val="fr-FR"/>
        </w:rPr>
        <w:t>plan</w:t>
      </w:r>
      <w:r w:rsidRPr="00E40321">
        <w:rPr>
          <w:rFonts w:ascii="Times New Roman" w:hAnsi="Times New Roman" w:cs="Times New Roman"/>
          <w:lang w:val="fr-FR"/>
        </w:rPr>
        <w:t xml:space="preserve"> d</w:t>
      </w:r>
      <w:r>
        <w:rPr>
          <w:rFonts w:ascii="Times New Roman" w:hAnsi="Times New Roman" w:cs="Times New Roman"/>
          <w:lang w:val="fr-FR"/>
        </w:rPr>
        <w:t>’</w:t>
      </w:r>
      <w:r w:rsidRPr="00E40321">
        <w:rPr>
          <w:rFonts w:ascii="Times New Roman" w:hAnsi="Times New Roman" w:cs="Times New Roman"/>
          <w:lang w:val="fr-FR"/>
        </w:rPr>
        <w:t>action international par espèce de l</w:t>
      </w:r>
      <w:r>
        <w:rPr>
          <w:rFonts w:ascii="Times New Roman" w:hAnsi="Times New Roman" w:cs="Times New Roman"/>
          <w:lang w:val="fr-FR"/>
        </w:rPr>
        <w:t>’</w:t>
      </w:r>
      <w:r w:rsidRPr="00E40321">
        <w:rPr>
          <w:rFonts w:ascii="Times New Roman" w:hAnsi="Times New Roman" w:cs="Times New Roman"/>
          <w:lang w:val="fr-FR"/>
        </w:rPr>
        <w:t>AEWA pour la conservation de l</w:t>
      </w:r>
      <w:r>
        <w:rPr>
          <w:rFonts w:ascii="Times New Roman" w:hAnsi="Times New Roman" w:cs="Times New Roman"/>
          <w:lang w:val="fr-FR"/>
        </w:rPr>
        <w:t>’</w:t>
      </w:r>
      <w:r w:rsidRPr="00E40321">
        <w:rPr>
          <w:rFonts w:ascii="Times New Roman" w:hAnsi="Times New Roman" w:cs="Times New Roman"/>
          <w:lang w:val="fr-FR"/>
        </w:rPr>
        <w:t>Oie naine (populations de l</w:t>
      </w:r>
      <w:r>
        <w:rPr>
          <w:rFonts w:ascii="Times New Roman" w:hAnsi="Times New Roman" w:cs="Times New Roman"/>
          <w:lang w:val="fr-FR"/>
        </w:rPr>
        <w:t>’o</w:t>
      </w:r>
      <w:r w:rsidRPr="00E40321">
        <w:rPr>
          <w:rFonts w:ascii="Times New Roman" w:hAnsi="Times New Roman" w:cs="Times New Roman"/>
          <w:lang w:val="fr-FR"/>
        </w:rPr>
        <w:t xml:space="preserve">uest du Paléarctique) a été adopté en 2008, lors de </w:t>
      </w:r>
      <w:r>
        <w:rPr>
          <w:rFonts w:ascii="Times New Roman" w:hAnsi="Times New Roman" w:cs="Times New Roman"/>
          <w:lang w:val="fr-FR"/>
        </w:rPr>
        <w:t xml:space="preserve">la </w:t>
      </w:r>
      <w:r w:rsidRPr="00E40321">
        <w:rPr>
          <w:rFonts w:ascii="Times New Roman" w:hAnsi="Times New Roman" w:cs="Times New Roman"/>
          <w:lang w:val="fr-FR"/>
        </w:rPr>
        <w:t>4</w:t>
      </w:r>
      <w:r w:rsidRPr="00E40321">
        <w:rPr>
          <w:rFonts w:ascii="Times New Roman" w:hAnsi="Times New Roman" w:cs="Times New Roman"/>
          <w:vertAlign w:val="superscript"/>
          <w:lang w:val="fr-FR"/>
        </w:rPr>
        <w:t>ème</w:t>
      </w:r>
      <w:r w:rsidRPr="00E40321">
        <w:rPr>
          <w:rFonts w:ascii="Times New Roman" w:hAnsi="Times New Roman" w:cs="Times New Roman"/>
          <w:lang w:val="fr-FR"/>
        </w:rPr>
        <w:t xml:space="preserve"> Réunion des Parties à l</w:t>
      </w:r>
      <w:r>
        <w:rPr>
          <w:rFonts w:ascii="Times New Roman" w:hAnsi="Times New Roman" w:cs="Times New Roman"/>
          <w:lang w:val="fr-FR"/>
        </w:rPr>
        <w:t>’</w:t>
      </w:r>
      <w:r w:rsidRPr="00E40321">
        <w:rPr>
          <w:rFonts w:ascii="Times New Roman" w:hAnsi="Times New Roman" w:cs="Times New Roman"/>
          <w:lang w:val="fr-FR"/>
        </w:rPr>
        <w:t>AEWA</w:t>
      </w:r>
      <w:r w:rsidRPr="00E40321">
        <w:rPr>
          <w:rStyle w:val="FootnoteReference"/>
          <w:rFonts w:ascii="Times New Roman" w:hAnsi="Times New Roman" w:cs="Times New Roman"/>
          <w:lang w:val="fr-FR"/>
        </w:rPr>
        <w:footnoteReference w:id="7"/>
      </w:r>
      <w:r w:rsidRPr="00E40321">
        <w:rPr>
          <w:rFonts w:ascii="Times New Roman" w:hAnsi="Times New Roman" w:cs="Times New Roman"/>
          <w:lang w:val="fr-FR"/>
        </w:rPr>
        <w:t>.</w:t>
      </w:r>
    </w:p>
    <w:p w14:paraId="0E2510F6"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tbl>
      <w:tblPr>
        <w:tblStyle w:val="TableGrid"/>
        <w:tblW w:w="8623" w:type="dxa"/>
        <w:jc w:val="center"/>
        <w:shd w:val="clear" w:color="auto" w:fill="FFFFFF" w:themeFill="background1"/>
        <w:tblLook w:val="04A0" w:firstRow="1" w:lastRow="0" w:firstColumn="1" w:lastColumn="0" w:noHBand="0" w:noVBand="1"/>
      </w:tblPr>
      <w:tblGrid>
        <w:gridCol w:w="8623"/>
      </w:tblGrid>
      <w:tr w:rsidR="00886A3C" w:rsidRPr="00DE4CF4" w14:paraId="41C275C2" w14:textId="77777777" w:rsidTr="00886A3C">
        <w:trPr>
          <w:trHeight w:val="760"/>
          <w:jc w:val="center"/>
        </w:trPr>
        <w:tc>
          <w:tcPr>
            <w:tcW w:w="86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3F087021" w14:textId="77777777" w:rsidR="00886A3C" w:rsidRPr="004B1407" w:rsidRDefault="00886A3C" w:rsidP="00886A3C">
            <w:pPr>
              <w:jc w:val="both"/>
              <w:rPr>
                <w:rFonts w:ascii="Times New Roman" w:hAnsi="Times New Roman" w:cs="Times New Roman"/>
                <w:lang w:val="fr-FR"/>
              </w:rPr>
            </w:pPr>
            <w:r w:rsidRPr="00E40321">
              <w:rPr>
                <w:rFonts w:ascii="Times New Roman" w:hAnsi="Times New Roman" w:cs="Times New Roman"/>
                <w:lang w:val="fr-FR"/>
              </w:rPr>
              <w:t>Ce plan d</w:t>
            </w:r>
            <w:r>
              <w:rPr>
                <w:rFonts w:ascii="Times New Roman" w:hAnsi="Times New Roman" w:cs="Times New Roman"/>
                <w:lang w:val="fr-FR"/>
              </w:rPr>
              <w:t>’</w:t>
            </w:r>
            <w:r w:rsidRPr="00E40321">
              <w:rPr>
                <w:rFonts w:ascii="Times New Roman" w:hAnsi="Times New Roman" w:cs="Times New Roman"/>
                <w:lang w:val="fr-FR"/>
              </w:rPr>
              <w:t>action a pour objectif de restaurer l</w:t>
            </w:r>
            <w:r>
              <w:rPr>
                <w:rFonts w:ascii="Times New Roman" w:hAnsi="Times New Roman" w:cs="Times New Roman"/>
                <w:lang w:val="fr-FR"/>
              </w:rPr>
              <w:t>’</w:t>
            </w:r>
            <w:r w:rsidRPr="00E40321">
              <w:rPr>
                <w:rFonts w:ascii="Times New Roman" w:hAnsi="Times New Roman" w:cs="Times New Roman"/>
                <w:lang w:val="fr-FR"/>
              </w:rPr>
              <w:t>Oie naine dans un l</w:t>
            </w:r>
            <w:r>
              <w:rPr>
                <w:rFonts w:ascii="Times New Roman" w:hAnsi="Times New Roman" w:cs="Times New Roman"/>
                <w:lang w:val="fr-FR"/>
              </w:rPr>
              <w:t>’</w:t>
            </w:r>
            <w:r w:rsidRPr="00E40321">
              <w:rPr>
                <w:rFonts w:ascii="Times New Roman" w:hAnsi="Times New Roman" w:cs="Times New Roman"/>
                <w:lang w:val="fr-FR"/>
              </w:rPr>
              <w:t>état de conservation favorable au sein de la zone de l</w:t>
            </w:r>
            <w:r>
              <w:rPr>
                <w:rFonts w:ascii="Times New Roman" w:hAnsi="Times New Roman" w:cs="Times New Roman"/>
                <w:lang w:val="fr-FR"/>
              </w:rPr>
              <w:t>’</w:t>
            </w:r>
            <w:r w:rsidRPr="00E40321">
              <w:rPr>
                <w:rFonts w:ascii="Times New Roman" w:hAnsi="Times New Roman" w:cs="Times New Roman"/>
                <w:lang w:val="fr-FR"/>
              </w:rPr>
              <w:t>Accord de l</w:t>
            </w:r>
            <w:r>
              <w:rPr>
                <w:rFonts w:ascii="Times New Roman" w:hAnsi="Times New Roman" w:cs="Times New Roman"/>
                <w:lang w:val="fr-FR"/>
              </w:rPr>
              <w:t>’</w:t>
            </w:r>
            <w:r w:rsidRPr="00E40321">
              <w:rPr>
                <w:rFonts w:ascii="Times New Roman" w:hAnsi="Times New Roman" w:cs="Times New Roman"/>
                <w:lang w:val="fr-FR"/>
              </w:rPr>
              <w:t xml:space="preserve">AEWA, </w:t>
            </w:r>
            <w:r>
              <w:rPr>
                <w:rFonts w:ascii="Times New Roman" w:hAnsi="Times New Roman" w:cs="Times New Roman"/>
                <w:lang w:val="fr-FR"/>
              </w:rPr>
              <w:t>signifiant</w:t>
            </w:r>
            <w:r w:rsidRPr="00E40321">
              <w:rPr>
                <w:rFonts w:ascii="Times New Roman" w:hAnsi="Times New Roman" w:cs="Times New Roman"/>
                <w:lang w:val="fr-FR"/>
              </w:rPr>
              <w:t xml:space="preserve"> que les populations sauvages au sein de la zone de l</w:t>
            </w:r>
            <w:r>
              <w:rPr>
                <w:rFonts w:ascii="Times New Roman" w:hAnsi="Times New Roman" w:cs="Times New Roman"/>
                <w:lang w:val="fr-FR"/>
              </w:rPr>
              <w:t>’</w:t>
            </w:r>
            <w:r w:rsidRPr="00E40321">
              <w:rPr>
                <w:rFonts w:ascii="Times New Roman" w:hAnsi="Times New Roman" w:cs="Times New Roman"/>
                <w:lang w:val="fr-FR"/>
              </w:rPr>
              <w:t xml:space="preserve">Accord </w:t>
            </w:r>
            <w:r>
              <w:rPr>
                <w:rFonts w:ascii="Times New Roman" w:hAnsi="Times New Roman" w:cs="Times New Roman"/>
                <w:lang w:val="fr-FR"/>
              </w:rPr>
              <w:t xml:space="preserve">ne </w:t>
            </w:r>
            <w:r w:rsidRPr="00E40321">
              <w:rPr>
                <w:rFonts w:ascii="Times New Roman" w:hAnsi="Times New Roman" w:cs="Times New Roman"/>
                <w:lang w:val="fr-FR"/>
              </w:rPr>
              <w:t>devraient</w:t>
            </w:r>
            <w:r>
              <w:rPr>
                <w:rFonts w:ascii="Times New Roman" w:hAnsi="Times New Roman" w:cs="Times New Roman"/>
                <w:lang w:val="fr-FR"/>
              </w:rPr>
              <w:t xml:space="preserve"> pas</w:t>
            </w:r>
            <w:r w:rsidRPr="00E40321">
              <w:rPr>
                <w:rFonts w:ascii="Times New Roman" w:hAnsi="Times New Roman" w:cs="Times New Roman"/>
                <w:lang w:val="fr-FR"/>
              </w:rPr>
              <w:t xml:space="preserve"> être classées comme étant menacées selon la liste rouge de l</w:t>
            </w:r>
            <w:r>
              <w:rPr>
                <w:rFonts w:ascii="Times New Roman" w:hAnsi="Times New Roman" w:cs="Times New Roman"/>
                <w:lang w:val="fr-FR"/>
              </w:rPr>
              <w:t>’</w:t>
            </w:r>
            <w:r w:rsidRPr="00E40321">
              <w:rPr>
                <w:rFonts w:ascii="Times New Roman" w:hAnsi="Times New Roman" w:cs="Times New Roman"/>
                <w:lang w:val="fr-FR"/>
              </w:rPr>
              <w:t xml:space="preserve">UICN, </w:t>
            </w:r>
            <w:r>
              <w:rPr>
                <w:rFonts w:ascii="Times New Roman" w:hAnsi="Times New Roman" w:cs="Times New Roman"/>
                <w:lang w:val="fr-FR"/>
              </w:rPr>
              <w:t>et qu’aucune</w:t>
            </w:r>
            <w:r w:rsidRPr="00E40321">
              <w:rPr>
                <w:rFonts w:ascii="Times New Roman" w:hAnsi="Times New Roman" w:cs="Times New Roman"/>
                <w:lang w:val="fr-FR"/>
              </w:rPr>
              <w:t xml:space="preserve"> population</w:t>
            </w:r>
            <w:r>
              <w:rPr>
                <w:rFonts w:ascii="Times New Roman" w:hAnsi="Times New Roman" w:cs="Times New Roman"/>
                <w:lang w:val="fr-FR"/>
              </w:rPr>
              <w:t xml:space="preserve"> n’est </w:t>
            </w:r>
            <w:r w:rsidRPr="00E40321">
              <w:rPr>
                <w:rFonts w:ascii="Times New Roman" w:hAnsi="Times New Roman" w:cs="Times New Roman"/>
                <w:lang w:val="fr-FR"/>
              </w:rPr>
              <w:t>en déclin, avec la population principale occidentale dépassant les 25</w:t>
            </w:r>
            <w:r>
              <w:rPr>
                <w:rFonts w:ascii="Times New Roman" w:hAnsi="Times New Roman" w:cs="Times New Roman"/>
                <w:lang w:val="fr-FR"/>
              </w:rPr>
              <w:t> </w:t>
            </w:r>
            <w:r w:rsidRPr="00E40321">
              <w:rPr>
                <w:rFonts w:ascii="Times New Roman" w:hAnsi="Times New Roman" w:cs="Times New Roman"/>
                <w:lang w:val="fr-FR"/>
              </w:rPr>
              <w:t>000 individus et la population de Fennoscandie dépassant les 1</w:t>
            </w:r>
            <w:r>
              <w:rPr>
                <w:rFonts w:ascii="Times New Roman" w:hAnsi="Times New Roman" w:cs="Times New Roman"/>
                <w:lang w:val="fr-FR"/>
              </w:rPr>
              <w:t> </w:t>
            </w:r>
            <w:r w:rsidRPr="00E40321">
              <w:rPr>
                <w:rFonts w:ascii="Times New Roman" w:hAnsi="Times New Roman" w:cs="Times New Roman"/>
                <w:lang w:val="fr-FR"/>
              </w:rPr>
              <w:t>000 individus.</w:t>
            </w:r>
          </w:p>
        </w:tc>
      </w:tr>
    </w:tbl>
    <w:p w14:paraId="5C2C7029"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p w14:paraId="2FD7C92F" w14:textId="77777777" w:rsidR="00886A3C" w:rsidRPr="004B1407" w:rsidRDefault="00886A3C" w:rsidP="00886A3C">
      <w:pPr>
        <w:spacing w:after="0" w:line="240" w:lineRule="auto"/>
        <w:jc w:val="both"/>
        <w:rPr>
          <w:rFonts w:ascii="Times New Roman" w:hAnsi="Times New Roman" w:cs="Times New Roman"/>
          <w:lang w:val="fr-FR"/>
        </w:rPr>
      </w:pPr>
      <w:r w:rsidRPr="00C34197">
        <w:rPr>
          <w:rFonts w:ascii="Times New Roman" w:hAnsi="Times New Roman" w:cs="Times New Roman"/>
          <w:lang w:val="fr-FR"/>
        </w:rPr>
        <w:t>Le groupe de travail international de l</w:t>
      </w:r>
      <w:r>
        <w:rPr>
          <w:rFonts w:ascii="Times New Roman" w:hAnsi="Times New Roman" w:cs="Times New Roman"/>
          <w:lang w:val="fr-FR"/>
        </w:rPr>
        <w:t>’</w:t>
      </w:r>
      <w:r w:rsidRPr="00C34197">
        <w:rPr>
          <w:rFonts w:ascii="Times New Roman" w:hAnsi="Times New Roman" w:cs="Times New Roman"/>
          <w:lang w:val="fr-FR"/>
        </w:rPr>
        <w:t>AEWA sur l</w:t>
      </w:r>
      <w:r>
        <w:rPr>
          <w:rFonts w:ascii="Times New Roman" w:hAnsi="Times New Roman" w:cs="Times New Roman"/>
          <w:lang w:val="fr-FR"/>
        </w:rPr>
        <w:t>’</w:t>
      </w:r>
      <w:r w:rsidRPr="00C34197">
        <w:rPr>
          <w:rFonts w:ascii="Times New Roman" w:hAnsi="Times New Roman" w:cs="Times New Roman"/>
          <w:lang w:val="fr-FR"/>
        </w:rPr>
        <w:t>Oie naine (LWfG IWG) a</w:t>
      </w:r>
      <w:r>
        <w:rPr>
          <w:rFonts w:ascii="Times New Roman" w:hAnsi="Times New Roman" w:cs="Times New Roman"/>
          <w:lang w:val="fr-FR"/>
        </w:rPr>
        <w:t xml:space="preserve"> </w:t>
      </w:r>
      <w:r w:rsidRPr="00C34197">
        <w:rPr>
          <w:rFonts w:ascii="Times New Roman" w:hAnsi="Times New Roman" w:cs="Times New Roman"/>
          <w:lang w:val="fr-FR"/>
        </w:rPr>
        <w:t>été mis en place en 2009 par le Secrétariat de l</w:t>
      </w:r>
      <w:r>
        <w:rPr>
          <w:rFonts w:ascii="Times New Roman" w:hAnsi="Times New Roman" w:cs="Times New Roman"/>
          <w:lang w:val="fr-FR"/>
        </w:rPr>
        <w:t>’</w:t>
      </w:r>
      <w:r w:rsidRPr="00C34197">
        <w:rPr>
          <w:rFonts w:ascii="Times New Roman" w:hAnsi="Times New Roman" w:cs="Times New Roman"/>
          <w:lang w:val="fr-FR"/>
        </w:rPr>
        <w:t>AEWA, et a eu deux réunions en face à face en novembre 2010 (Helsinki, Finlande) et en novembre 2012 (lac Kerkini, Grèce).</w:t>
      </w:r>
      <w:r w:rsidRPr="004B1407">
        <w:rPr>
          <w:rFonts w:ascii="Times New Roman" w:hAnsi="Times New Roman" w:cs="Times New Roman"/>
          <w:lang w:val="fr-FR"/>
        </w:rPr>
        <w:t xml:space="preserve"> </w:t>
      </w:r>
      <w:r w:rsidRPr="00C34197">
        <w:rPr>
          <w:rFonts w:ascii="Times New Roman" w:hAnsi="Times New Roman" w:cs="Times New Roman"/>
          <w:lang w:val="fr-FR"/>
        </w:rPr>
        <w:t>La fonction de coordinateur du groupe de travail, qui est financée par l</w:t>
      </w:r>
      <w:r>
        <w:rPr>
          <w:rFonts w:ascii="Times New Roman" w:hAnsi="Times New Roman" w:cs="Times New Roman"/>
          <w:lang w:val="fr-FR"/>
        </w:rPr>
        <w:t>’</w:t>
      </w:r>
      <w:r w:rsidRPr="00C34197">
        <w:rPr>
          <w:rFonts w:ascii="Times New Roman" w:hAnsi="Times New Roman" w:cs="Times New Roman"/>
          <w:lang w:val="fr-FR"/>
        </w:rPr>
        <w:t>Agence norvégienne pour l</w:t>
      </w:r>
      <w:r>
        <w:rPr>
          <w:rFonts w:ascii="Times New Roman" w:hAnsi="Times New Roman" w:cs="Times New Roman"/>
          <w:lang w:val="fr-FR"/>
        </w:rPr>
        <w:t>’</w:t>
      </w:r>
      <w:r w:rsidRPr="00C34197">
        <w:rPr>
          <w:rFonts w:ascii="Times New Roman" w:hAnsi="Times New Roman" w:cs="Times New Roman"/>
          <w:lang w:val="fr-FR"/>
        </w:rPr>
        <w:t>environnement, est actuellement basée au Secrétariat de l</w:t>
      </w:r>
      <w:r>
        <w:rPr>
          <w:rFonts w:ascii="Times New Roman" w:hAnsi="Times New Roman" w:cs="Times New Roman"/>
          <w:lang w:val="fr-FR"/>
        </w:rPr>
        <w:t>’</w:t>
      </w:r>
      <w:r w:rsidRPr="00C34197">
        <w:rPr>
          <w:rFonts w:ascii="Times New Roman" w:hAnsi="Times New Roman" w:cs="Times New Roman"/>
          <w:lang w:val="fr-FR"/>
        </w:rPr>
        <w:t>AEWA.</w:t>
      </w:r>
    </w:p>
    <w:p w14:paraId="044DE652"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3B898DE3"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2. </w:t>
      </w:r>
      <w:r w:rsidRPr="00C34197">
        <w:rPr>
          <w:rFonts w:ascii="Times New Roman" w:hAnsi="Times New Roman" w:cs="Times New Roman"/>
          <w:i/>
          <w:lang w:val="fr-FR"/>
        </w:rPr>
        <w:t>Taux de réponse</w:t>
      </w:r>
    </w:p>
    <w:p w14:paraId="27151CDA"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7000936F" w14:textId="77777777" w:rsidR="00886A3C" w:rsidRPr="004B1407" w:rsidRDefault="00886A3C" w:rsidP="00886A3C">
      <w:pPr>
        <w:spacing w:after="0" w:line="240" w:lineRule="auto"/>
        <w:jc w:val="both"/>
        <w:rPr>
          <w:rFonts w:ascii="Times New Roman" w:hAnsi="Times New Roman" w:cs="Times New Roman"/>
          <w:lang w:val="fr-FR"/>
        </w:rPr>
      </w:pPr>
      <w:r w:rsidRPr="00C34197">
        <w:rPr>
          <w:rFonts w:ascii="Times New Roman" w:hAnsi="Times New Roman" w:cs="Times New Roman"/>
          <w:lang w:val="fr-FR"/>
        </w:rPr>
        <w:t>Au total, 15 des 22 principaux États de l</w:t>
      </w:r>
      <w:r>
        <w:rPr>
          <w:rFonts w:ascii="Times New Roman" w:hAnsi="Times New Roman" w:cs="Times New Roman"/>
          <w:lang w:val="fr-FR"/>
        </w:rPr>
        <w:t>’</w:t>
      </w:r>
      <w:r w:rsidRPr="00C34197">
        <w:rPr>
          <w:rFonts w:ascii="Times New Roman" w:hAnsi="Times New Roman" w:cs="Times New Roman"/>
          <w:lang w:val="fr-FR"/>
        </w:rPr>
        <w:t>aire de répartition (68</w:t>
      </w:r>
      <w:r>
        <w:rPr>
          <w:rFonts w:ascii="Times New Roman" w:hAnsi="Times New Roman" w:cs="Times New Roman"/>
          <w:lang w:val="fr-FR"/>
        </w:rPr>
        <w:t xml:space="preserve"> %</w:t>
      </w:r>
      <w:r w:rsidRPr="00C34197">
        <w:rPr>
          <w:rFonts w:ascii="Times New Roman" w:hAnsi="Times New Roman" w:cs="Times New Roman"/>
          <w:lang w:val="fr-FR"/>
        </w:rPr>
        <w:t xml:space="preserve">) identifiés dans le </w:t>
      </w:r>
      <w:r>
        <w:rPr>
          <w:rFonts w:ascii="Times New Roman" w:hAnsi="Times New Roman" w:cs="Times New Roman"/>
          <w:lang w:val="fr-FR"/>
        </w:rPr>
        <w:t>plan</w:t>
      </w:r>
      <w:r w:rsidRPr="00C34197">
        <w:rPr>
          <w:rFonts w:ascii="Times New Roman" w:hAnsi="Times New Roman" w:cs="Times New Roman"/>
          <w:lang w:val="fr-FR"/>
        </w:rPr>
        <w:t xml:space="preserve"> d</w:t>
      </w:r>
      <w:r>
        <w:rPr>
          <w:rFonts w:ascii="Times New Roman" w:hAnsi="Times New Roman" w:cs="Times New Roman"/>
          <w:lang w:val="fr-FR"/>
        </w:rPr>
        <w:t>’</w:t>
      </w:r>
      <w:r w:rsidRPr="00C34197">
        <w:rPr>
          <w:rFonts w:ascii="Times New Roman" w:hAnsi="Times New Roman" w:cs="Times New Roman"/>
          <w:lang w:val="fr-FR"/>
        </w:rPr>
        <w:t>action ont répondu au questionnaire.</w:t>
      </w:r>
      <w:r w:rsidRPr="004B1407">
        <w:rPr>
          <w:rFonts w:ascii="Times New Roman" w:hAnsi="Times New Roman" w:cs="Times New Roman"/>
          <w:lang w:val="fr-FR"/>
        </w:rPr>
        <w:t xml:space="preserve"> </w:t>
      </w:r>
      <w:r w:rsidRPr="00C34197">
        <w:rPr>
          <w:rFonts w:ascii="Times New Roman" w:hAnsi="Times New Roman" w:cs="Times New Roman"/>
          <w:lang w:val="fr-FR"/>
        </w:rPr>
        <w:t>Sur les six pays n</w:t>
      </w:r>
      <w:r>
        <w:rPr>
          <w:rFonts w:ascii="Times New Roman" w:hAnsi="Times New Roman" w:cs="Times New Roman"/>
          <w:lang w:val="fr-FR"/>
        </w:rPr>
        <w:t>’</w:t>
      </w:r>
      <w:r w:rsidRPr="00C34197">
        <w:rPr>
          <w:rFonts w:ascii="Times New Roman" w:hAnsi="Times New Roman" w:cs="Times New Roman"/>
          <w:lang w:val="fr-FR"/>
        </w:rPr>
        <w:t>ayant présenté aucune information, l</w:t>
      </w:r>
      <w:r>
        <w:rPr>
          <w:rFonts w:ascii="Times New Roman" w:hAnsi="Times New Roman" w:cs="Times New Roman"/>
          <w:lang w:val="fr-FR"/>
        </w:rPr>
        <w:t>’</w:t>
      </w:r>
      <w:r w:rsidRPr="00C34197">
        <w:rPr>
          <w:rFonts w:ascii="Times New Roman" w:hAnsi="Times New Roman" w:cs="Times New Roman"/>
          <w:lang w:val="fr-FR"/>
        </w:rPr>
        <w:t xml:space="preserve">Azerbaïdjan, </w:t>
      </w:r>
      <w:r>
        <w:rPr>
          <w:rFonts w:ascii="Times New Roman" w:hAnsi="Times New Roman" w:cs="Times New Roman"/>
          <w:lang w:val="fr-FR"/>
        </w:rPr>
        <w:t>l’</w:t>
      </w:r>
      <w:r w:rsidRPr="00C34197">
        <w:rPr>
          <w:rFonts w:ascii="Times New Roman" w:hAnsi="Times New Roman" w:cs="Times New Roman"/>
          <w:lang w:val="fr-FR"/>
        </w:rPr>
        <w:t>Ira</w:t>
      </w:r>
      <w:r>
        <w:rPr>
          <w:rFonts w:ascii="Times New Roman" w:hAnsi="Times New Roman" w:cs="Times New Roman"/>
          <w:lang w:val="fr-FR"/>
        </w:rPr>
        <w:t>q</w:t>
      </w:r>
      <w:r w:rsidRPr="00C34197">
        <w:rPr>
          <w:rFonts w:ascii="Times New Roman" w:hAnsi="Times New Roman" w:cs="Times New Roman"/>
          <w:lang w:val="fr-FR"/>
        </w:rPr>
        <w:t xml:space="preserve"> et la Lituanie sont tout particulièrement considérés comme étant d</w:t>
      </w:r>
      <w:r>
        <w:rPr>
          <w:rFonts w:ascii="Times New Roman" w:hAnsi="Times New Roman" w:cs="Times New Roman"/>
          <w:lang w:val="fr-FR"/>
        </w:rPr>
        <w:t>’</w:t>
      </w:r>
      <w:r w:rsidRPr="00C34197">
        <w:rPr>
          <w:rFonts w:ascii="Times New Roman" w:hAnsi="Times New Roman" w:cs="Times New Roman"/>
          <w:lang w:val="fr-FR"/>
        </w:rPr>
        <w:t>une importance cruciale pour l</w:t>
      </w:r>
      <w:r>
        <w:rPr>
          <w:rFonts w:ascii="Times New Roman" w:hAnsi="Times New Roman" w:cs="Times New Roman"/>
          <w:lang w:val="fr-FR"/>
        </w:rPr>
        <w:t>’</w:t>
      </w:r>
      <w:r w:rsidRPr="00C34197">
        <w:rPr>
          <w:rFonts w:ascii="Times New Roman" w:hAnsi="Times New Roman" w:cs="Times New Roman"/>
          <w:lang w:val="fr-FR"/>
        </w:rPr>
        <w:t>espèce.</w:t>
      </w:r>
      <w:r w:rsidRPr="004B1407">
        <w:rPr>
          <w:rFonts w:ascii="Times New Roman" w:hAnsi="Times New Roman" w:cs="Times New Roman"/>
          <w:lang w:val="fr-FR"/>
        </w:rPr>
        <w:t xml:space="preserve"> </w:t>
      </w:r>
      <w:r w:rsidRPr="00C34197">
        <w:rPr>
          <w:rFonts w:ascii="Times New Roman" w:hAnsi="Times New Roman" w:cs="Times New Roman"/>
          <w:lang w:val="fr-FR"/>
        </w:rPr>
        <w:t>Les pays qui n</w:t>
      </w:r>
      <w:r>
        <w:rPr>
          <w:rFonts w:ascii="Times New Roman" w:hAnsi="Times New Roman" w:cs="Times New Roman"/>
          <w:lang w:val="fr-FR"/>
        </w:rPr>
        <w:t>’</w:t>
      </w:r>
      <w:r w:rsidRPr="00C34197">
        <w:rPr>
          <w:rFonts w:ascii="Times New Roman" w:hAnsi="Times New Roman" w:cs="Times New Roman"/>
          <w:lang w:val="fr-FR"/>
        </w:rPr>
        <w:t xml:space="preserve">ont pas soumis de rapports sont pris en </w:t>
      </w:r>
      <w:r w:rsidRPr="00C7184B">
        <w:rPr>
          <w:rFonts w:ascii="Times New Roman" w:hAnsi="Times New Roman" w:cs="Times New Roman"/>
          <w:lang w:val="fr-FR"/>
        </w:rPr>
        <w:t xml:space="preserve">compte dans certains </w:t>
      </w:r>
      <w:r>
        <w:rPr>
          <w:rFonts w:ascii="Times New Roman" w:hAnsi="Times New Roman" w:cs="Times New Roman"/>
          <w:lang w:val="fr-FR"/>
        </w:rPr>
        <w:t>volets</w:t>
      </w:r>
      <w:r w:rsidRPr="00C34197">
        <w:rPr>
          <w:rFonts w:ascii="Times New Roman" w:hAnsi="Times New Roman" w:cs="Times New Roman"/>
          <w:lang w:val="fr-FR"/>
        </w:rPr>
        <w:t xml:space="preserve"> du résumé de la mise en œuvre présenté ci-dessous et sont identifiés comme </w:t>
      </w:r>
      <w:r>
        <w:rPr>
          <w:rFonts w:ascii="Times New Roman" w:hAnsi="Times New Roman" w:cs="Times New Roman"/>
          <w:lang w:val="fr-FR"/>
        </w:rPr>
        <w:t>n’</w:t>
      </w:r>
      <w:r w:rsidRPr="00C34197">
        <w:rPr>
          <w:rFonts w:ascii="Times New Roman" w:hAnsi="Times New Roman" w:cs="Times New Roman"/>
          <w:lang w:val="fr-FR"/>
        </w:rPr>
        <w:t>ayant fourni « </w:t>
      </w:r>
      <w:r>
        <w:rPr>
          <w:rFonts w:ascii="Times New Roman" w:hAnsi="Times New Roman" w:cs="Times New Roman"/>
          <w:lang w:val="fr-FR"/>
        </w:rPr>
        <w:t>a</w:t>
      </w:r>
      <w:r w:rsidRPr="00C34197">
        <w:rPr>
          <w:rFonts w:ascii="Times New Roman" w:hAnsi="Times New Roman" w:cs="Times New Roman"/>
          <w:lang w:val="fr-FR"/>
        </w:rPr>
        <w:t>ucune information ».</w:t>
      </w:r>
      <w:r w:rsidRPr="004B1407">
        <w:rPr>
          <w:rFonts w:ascii="Times New Roman" w:hAnsi="Times New Roman" w:cs="Times New Roman"/>
          <w:lang w:val="fr-FR"/>
        </w:rPr>
        <w:t xml:space="preserve"> </w:t>
      </w:r>
    </w:p>
    <w:p w14:paraId="61250B06" w14:textId="77777777" w:rsidR="00886A3C" w:rsidRPr="004B1407" w:rsidRDefault="00886A3C" w:rsidP="00886A3C">
      <w:pPr>
        <w:spacing w:after="0" w:line="240" w:lineRule="auto"/>
        <w:jc w:val="both"/>
        <w:rPr>
          <w:rFonts w:ascii="Arial" w:hAnsi="Arial" w:cs="Arial"/>
          <w:sz w:val="20"/>
          <w:szCs w:val="20"/>
          <w:lang w:val="fr-FR"/>
        </w:rPr>
      </w:pPr>
    </w:p>
    <w:tbl>
      <w:tblPr>
        <w:tblStyle w:val="PlainTable110"/>
        <w:tblW w:w="0" w:type="auto"/>
        <w:tblLook w:val="04A0" w:firstRow="1" w:lastRow="0" w:firstColumn="1" w:lastColumn="0" w:noHBand="0" w:noVBand="1"/>
      </w:tblPr>
      <w:tblGrid>
        <w:gridCol w:w="3044"/>
        <w:gridCol w:w="1235"/>
        <w:gridCol w:w="3466"/>
        <w:gridCol w:w="1315"/>
      </w:tblGrid>
      <w:tr w:rsidR="00886A3C" w:rsidRPr="00194743" w14:paraId="6F04FC7B" w14:textId="77777777" w:rsidTr="0088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524CF34" w14:textId="77777777" w:rsidR="00886A3C" w:rsidRPr="00194743" w:rsidRDefault="00886A3C" w:rsidP="00886A3C">
            <w:pPr>
              <w:jc w:val="both"/>
              <w:rPr>
                <w:rFonts w:ascii="Times New Roman" w:eastAsia="Calibri" w:hAnsi="Times New Roman" w:cs="Times New Roman"/>
                <w:b w:val="0"/>
                <w:i/>
              </w:rPr>
            </w:pPr>
            <w:r w:rsidRPr="00C34197">
              <w:rPr>
                <w:rFonts w:ascii="Times New Roman" w:eastAsia="Calibri" w:hAnsi="Times New Roman" w:cs="Times New Roman"/>
                <w:b w:val="0"/>
                <w:i/>
                <w:lang w:val="fr-FR"/>
              </w:rPr>
              <w:t>Réponse reçue</w:t>
            </w:r>
          </w:p>
        </w:tc>
        <w:tc>
          <w:tcPr>
            <w:tcW w:w="1260" w:type="dxa"/>
          </w:tcPr>
          <w:p w14:paraId="502DD88E" w14:textId="77777777" w:rsidR="00886A3C" w:rsidRPr="00194743"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C34197">
              <w:rPr>
                <w:rFonts w:ascii="Times New Roman" w:eastAsia="Calibri" w:hAnsi="Times New Roman" w:cs="Times New Roman"/>
                <w:b w:val="0"/>
                <w:i/>
                <w:lang w:val="fr-FR"/>
              </w:rPr>
              <w:t xml:space="preserve">PC AEWA </w:t>
            </w:r>
          </w:p>
        </w:tc>
        <w:tc>
          <w:tcPr>
            <w:tcW w:w="3600" w:type="dxa"/>
          </w:tcPr>
          <w:p w14:paraId="09D99130" w14:textId="77777777" w:rsidR="00886A3C" w:rsidRPr="004B140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lang w:val="fr-FR"/>
              </w:rPr>
            </w:pPr>
            <w:r w:rsidRPr="00C34197">
              <w:rPr>
                <w:rFonts w:ascii="Times New Roman" w:eastAsia="Calibri" w:hAnsi="Times New Roman" w:cs="Times New Roman"/>
                <w:b w:val="0"/>
                <w:i/>
                <w:lang w:val="fr-FR"/>
              </w:rPr>
              <w:t>Pas de réponse reçue à la date butoir</w:t>
            </w:r>
          </w:p>
        </w:tc>
        <w:tc>
          <w:tcPr>
            <w:tcW w:w="1345" w:type="dxa"/>
          </w:tcPr>
          <w:p w14:paraId="7AA38A7E" w14:textId="77777777" w:rsidR="00886A3C" w:rsidRPr="00194743"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C34197">
              <w:rPr>
                <w:rFonts w:ascii="Times New Roman" w:eastAsia="Calibri" w:hAnsi="Times New Roman" w:cs="Times New Roman"/>
                <w:b w:val="0"/>
                <w:i/>
                <w:lang w:val="fr-FR"/>
              </w:rPr>
              <w:t xml:space="preserve">PC AEWA </w:t>
            </w:r>
          </w:p>
        </w:tc>
      </w:tr>
      <w:tr w:rsidR="00886A3C" w:rsidRPr="00194743" w14:paraId="43D9001E"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D56EC80" w14:textId="77777777" w:rsidR="00886A3C" w:rsidRPr="00194743" w:rsidRDefault="00886A3C" w:rsidP="00886A3C">
            <w:pPr>
              <w:rPr>
                <w:rFonts w:ascii="Times New Roman" w:eastAsia="Calibri" w:hAnsi="Times New Roman" w:cs="Times New Roman"/>
                <w:b w:val="0"/>
                <w:sz w:val="20"/>
                <w:szCs w:val="20"/>
              </w:rPr>
            </w:pPr>
            <w:r w:rsidRPr="00C34197">
              <w:rPr>
                <w:rFonts w:ascii="Times New Roman" w:eastAsia="Calibri" w:hAnsi="Times New Roman" w:cs="Times New Roman"/>
                <w:b w:val="0"/>
                <w:sz w:val="20"/>
                <w:szCs w:val="20"/>
                <w:lang w:val="fr-FR"/>
              </w:rPr>
              <w:t>Bulgarie</w:t>
            </w:r>
          </w:p>
        </w:tc>
        <w:tc>
          <w:tcPr>
            <w:tcW w:w="1260" w:type="dxa"/>
          </w:tcPr>
          <w:p w14:paraId="7ABBC10A"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Oui</w:t>
            </w:r>
          </w:p>
        </w:tc>
        <w:tc>
          <w:tcPr>
            <w:tcW w:w="3600" w:type="dxa"/>
          </w:tcPr>
          <w:p w14:paraId="0FE994F9"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Azerbaïdjan</w:t>
            </w:r>
          </w:p>
        </w:tc>
        <w:tc>
          <w:tcPr>
            <w:tcW w:w="1345" w:type="dxa"/>
          </w:tcPr>
          <w:p w14:paraId="0F04BD25"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Non</w:t>
            </w:r>
          </w:p>
        </w:tc>
      </w:tr>
      <w:tr w:rsidR="00886A3C" w:rsidRPr="00194743" w14:paraId="1D3BB3E3"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76E66A45" w14:textId="77777777" w:rsidR="00886A3C" w:rsidRPr="00194743" w:rsidRDefault="00886A3C" w:rsidP="00886A3C">
            <w:pPr>
              <w:rPr>
                <w:rFonts w:ascii="Times New Roman" w:eastAsia="Calibri" w:hAnsi="Times New Roman" w:cs="Times New Roman"/>
                <w:b w:val="0"/>
                <w:sz w:val="20"/>
                <w:szCs w:val="20"/>
              </w:rPr>
            </w:pPr>
            <w:r w:rsidRPr="00C34197">
              <w:rPr>
                <w:rFonts w:ascii="Times New Roman" w:eastAsia="Calibri" w:hAnsi="Times New Roman" w:cs="Times New Roman"/>
                <w:b w:val="0"/>
                <w:sz w:val="20"/>
                <w:szCs w:val="20"/>
                <w:lang w:val="fr-FR"/>
              </w:rPr>
              <w:t>Estonie</w:t>
            </w:r>
          </w:p>
        </w:tc>
        <w:tc>
          <w:tcPr>
            <w:tcW w:w="1260" w:type="dxa"/>
          </w:tcPr>
          <w:p w14:paraId="0087BE13"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Oui</w:t>
            </w:r>
          </w:p>
        </w:tc>
        <w:tc>
          <w:tcPr>
            <w:tcW w:w="3600" w:type="dxa"/>
          </w:tcPr>
          <w:p w14:paraId="72938CAE"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869BE">
              <w:rPr>
                <w:rFonts w:ascii="Times New Roman" w:eastAsia="Calibri" w:hAnsi="Times New Roman" w:cs="Times New Roman"/>
                <w:sz w:val="20"/>
                <w:szCs w:val="20"/>
                <w:lang w:val="fr-FR"/>
              </w:rPr>
              <w:t xml:space="preserve">Iraq </w:t>
            </w:r>
          </w:p>
        </w:tc>
        <w:tc>
          <w:tcPr>
            <w:tcW w:w="1345" w:type="dxa"/>
          </w:tcPr>
          <w:p w14:paraId="2188EEBE"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Non</w:t>
            </w:r>
          </w:p>
        </w:tc>
      </w:tr>
      <w:tr w:rsidR="00886A3C" w:rsidRPr="00194743" w14:paraId="489407E0"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70BC2C" w14:textId="77777777" w:rsidR="00886A3C" w:rsidRPr="00194743" w:rsidRDefault="00886A3C" w:rsidP="00886A3C">
            <w:pPr>
              <w:rPr>
                <w:rFonts w:ascii="Times New Roman" w:eastAsia="Calibri" w:hAnsi="Times New Roman" w:cs="Times New Roman"/>
                <w:b w:val="0"/>
                <w:sz w:val="20"/>
                <w:szCs w:val="20"/>
              </w:rPr>
            </w:pPr>
            <w:r w:rsidRPr="00C34197">
              <w:rPr>
                <w:rFonts w:ascii="Times New Roman" w:eastAsia="Calibri" w:hAnsi="Times New Roman" w:cs="Times New Roman"/>
                <w:b w:val="0"/>
                <w:sz w:val="20"/>
                <w:szCs w:val="20"/>
                <w:lang w:val="fr-FR"/>
              </w:rPr>
              <w:t>Finlande</w:t>
            </w:r>
          </w:p>
        </w:tc>
        <w:tc>
          <w:tcPr>
            <w:tcW w:w="1260" w:type="dxa"/>
          </w:tcPr>
          <w:p w14:paraId="7DEF9A01"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Oui</w:t>
            </w:r>
          </w:p>
        </w:tc>
        <w:tc>
          <w:tcPr>
            <w:tcW w:w="3600" w:type="dxa"/>
          </w:tcPr>
          <w:p w14:paraId="6BF41724"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Lituanie</w:t>
            </w:r>
          </w:p>
        </w:tc>
        <w:tc>
          <w:tcPr>
            <w:tcW w:w="1345" w:type="dxa"/>
          </w:tcPr>
          <w:p w14:paraId="0E28A6CF"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Oui</w:t>
            </w:r>
          </w:p>
        </w:tc>
      </w:tr>
      <w:tr w:rsidR="00886A3C" w:rsidRPr="00194743" w14:paraId="2E8DC78F"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71FEEA73" w14:textId="77777777" w:rsidR="00886A3C" w:rsidRPr="00194743" w:rsidRDefault="00886A3C" w:rsidP="00886A3C">
            <w:pPr>
              <w:rPr>
                <w:rFonts w:ascii="Times New Roman" w:eastAsia="Calibri" w:hAnsi="Times New Roman" w:cs="Times New Roman"/>
                <w:b w:val="0"/>
                <w:sz w:val="20"/>
                <w:szCs w:val="20"/>
              </w:rPr>
            </w:pPr>
            <w:r w:rsidRPr="00C34197">
              <w:rPr>
                <w:rFonts w:ascii="Times New Roman" w:eastAsia="Calibri" w:hAnsi="Times New Roman" w:cs="Times New Roman"/>
                <w:b w:val="0"/>
                <w:sz w:val="20"/>
                <w:szCs w:val="20"/>
                <w:lang w:val="fr-FR"/>
              </w:rPr>
              <w:t>Grèce</w:t>
            </w:r>
          </w:p>
        </w:tc>
        <w:tc>
          <w:tcPr>
            <w:tcW w:w="1260" w:type="dxa"/>
          </w:tcPr>
          <w:p w14:paraId="5B7521F5"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Non</w:t>
            </w:r>
          </w:p>
        </w:tc>
        <w:tc>
          <w:tcPr>
            <w:tcW w:w="3600" w:type="dxa"/>
          </w:tcPr>
          <w:p w14:paraId="37A4884D"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Pologne</w:t>
            </w:r>
          </w:p>
        </w:tc>
        <w:tc>
          <w:tcPr>
            <w:tcW w:w="1345" w:type="dxa"/>
          </w:tcPr>
          <w:p w14:paraId="3E0DB2B6"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Non</w:t>
            </w:r>
          </w:p>
        </w:tc>
      </w:tr>
      <w:tr w:rsidR="00886A3C" w:rsidRPr="00194743" w14:paraId="03AD7BD2"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2D91D1" w14:textId="77777777" w:rsidR="00886A3C" w:rsidRPr="00194743" w:rsidRDefault="00886A3C" w:rsidP="00886A3C">
            <w:pPr>
              <w:rPr>
                <w:rFonts w:ascii="Times New Roman" w:eastAsia="Calibri" w:hAnsi="Times New Roman" w:cs="Times New Roman"/>
                <w:b w:val="0"/>
                <w:sz w:val="20"/>
                <w:szCs w:val="20"/>
              </w:rPr>
            </w:pPr>
            <w:r w:rsidRPr="00C34197">
              <w:rPr>
                <w:rFonts w:ascii="Times New Roman" w:eastAsia="Calibri" w:hAnsi="Times New Roman" w:cs="Times New Roman"/>
                <w:b w:val="0"/>
                <w:sz w:val="20"/>
                <w:szCs w:val="20"/>
                <w:lang w:val="fr-FR"/>
              </w:rPr>
              <w:t>Hongrie</w:t>
            </w:r>
          </w:p>
        </w:tc>
        <w:tc>
          <w:tcPr>
            <w:tcW w:w="1260" w:type="dxa"/>
          </w:tcPr>
          <w:p w14:paraId="3F3FC2BC"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34197">
              <w:rPr>
                <w:rFonts w:ascii="Times New Roman" w:eastAsia="Calibri" w:hAnsi="Times New Roman" w:cs="Times New Roman"/>
                <w:sz w:val="20"/>
                <w:szCs w:val="20"/>
                <w:lang w:val="fr-FR"/>
              </w:rPr>
              <w:t>Oui</w:t>
            </w:r>
          </w:p>
        </w:tc>
        <w:tc>
          <w:tcPr>
            <w:tcW w:w="3600" w:type="dxa"/>
          </w:tcPr>
          <w:p w14:paraId="0C1E8EE6"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République arabe syrienne</w:t>
            </w:r>
          </w:p>
        </w:tc>
        <w:tc>
          <w:tcPr>
            <w:tcW w:w="1345" w:type="dxa"/>
          </w:tcPr>
          <w:p w14:paraId="0B5CD6EA"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r>
      <w:tr w:rsidR="00886A3C" w:rsidRPr="00194743" w14:paraId="318B8F21"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3173CC3B"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Iran, République islamique d</w:t>
            </w:r>
            <w:r>
              <w:rPr>
                <w:rFonts w:ascii="Times New Roman" w:eastAsia="Calibri" w:hAnsi="Times New Roman" w:cs="Times New Roman"/>
                <w:b w:val="0"/>
                <w:sz w:val="20"/>
                <w:szCs w:val="20"/>
                <w:lang w:val="fr-FR"/>
              </w:rPr>
              <w:t>’</w:t>
            </w:r>
          </w:p>
        </w:tc>
        <w:tc>
          <w:tcPr>
            <w:tcW w:w="1260" w:type="dxa"/>
          </w:tcPr>
          <w:p w14:paraId="426EBBF7"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Non</w:t>
            </w:r>
          </w:p>
        </w:tc>
        <w:tc>
          <w:tcPr>
            <w:tcW w:w="3600" w:type="dxa"/>
          </w:tcPr>
          <w:p w14:paraId="2D2DC5FA"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Turquie</w:t>
            </w:r>
          </w:p>
        </w:tc>
        <w:tc>
          <w:tcPr>
            <w:tcW w:w="1345" w:type="dxa"/>
          </w:tcPr>
          <w:p w14:paraId="5010DA17"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Non</w:t>
            </w:r>
          </w:p>
        </w:tc>
      </w:tr>
      <w:tr w:rsidR="00886A3C" w:rsidRPr="00194743" w14:paraId="0E6F9227"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FEB89C"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Kazakhstan</w:t>
            </w:r>
            <w:r w:rsidRPr="00194743">
              <w:rPr>
                <w:rFonts w:ascii="Times New Roman" w:eastAsia="Calibri" w:hAnsi="Times New Roman" w:cs="Times New Roman"/>
                <w:b w:val="0"/>
                <w:sz w:val="20"/>
                <w:szCs w:val="20"/>
              </w:rPr>
              <w:t xml:space="preserve"> </w:t>
            </w:r>
          </w:p>
        </w:tc>
        <w:tc>
          <w:tcPr>
            <w:tcW w:w="1260" w:type="dxa"/>
          </w:tcPr>
          <w:p w14:paraId="33FD076C"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Non</w:t>
            </w:r>
          </w:p>
        </w:tc>
        <w:tc>
          <w:tcPr>
            <w:tcW w:w="3600" w:type="dxa"/>
          </w:tcPr>
          <w:p w14:paraId="0D129068"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Allemagne*</w:t>
            </w:r>
          </w:p>
        </w:tc>
        <w:tc>
          <w:tcPr>
            <w:tcW w:w="1345" w:type="dxa"/>
          </w:tcPr>
          <w:p w14:paraId="1C3A94EA"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r>
      <w:tr w:rsidR="00886A3C" w:rsidRPr="00194743" w14:paraId="5EA816BB"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69469E09"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Pays-Bas</w:t>
            </w:r>
          </w:p>
        </w:tc>
        <w:tc>
          <w:tcPr>
            <w:tcW w:w="1260" w:type="dxa"/>
          </w:tcPr>
          <w:p w14:paraId="55299E21"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c>
          <w:tcPr>
            <w:tcW w:w="3600" w:type="dxa"/>
          </w:tcPr>
          <w:p w14:paraId="38A4302E"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0DD92689"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03B63D62"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17CF047"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Norvège</w:t>
            </w:r>
          </w:p>
        </w:tc>
        <w:tc>
          <w:tcPr>
            <w:tcW w:w="1260" w:type="dxa"/>
          </w:tcPr>
          <w:p w14:paraId="611AC6A8"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c>
          <w:tcPr>
            <w:tcW w:w="3600" w:type="dxa"/>
          </w:tcPr>
          <w:p w14:paraId="5B440667"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5BB6826C"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13A2D0DE"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015D8B68"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Roumanie</w:t>
            </w:r>
          </w:p>
        </w:tc>
        <w:tc>
          <w:tcPr>
            <w:tcW w:w="1260" w:type="dxa"/>
          </w:tcPr>
          <w:p w14:paraId="7CB9CE19"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c>
          <w:tcPr>
            <w:tcW w:w="3600" w:type="dxa"/>
          </w:tcPr>
          <w:p w14:paraId="7F24938F"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393DD1B5"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7BFB44ED"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38C65"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Fédération de Russie</w:t>
            </w:r>
            <w:r w:rsidRPr="00194743">
              <w:rPr>
                <w:rFonts w:ascii="Times New Roman" w:eastAsia="Calibri" w:hAnsi="Times New Roman" w:cs="Times New Roman"/>
                <w:b w:val="0"/>
                <w:sz w:val="20"/>
                <w:szCs w:val="20"/>
              </w:rPr>
              <w:t xml:space="preserve"> </w:t>
            </w:r>
          </w:p>
        </w:tc>
        <w:tc>
          <w:tcPr>
            <w:tcW w:w="1260" w:type="dxa"/>
          </w:tcPr>
          <w:p w14:paraId="1C9DDDEE"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Non</w:t>
            </w:r>
          </w:p>
        </w:tc>
        <w:tc>
          <w:tcPr>
            <w:tcW w:w="3600" w:type="dxa"/>
          </w:tcPr>
          <w:p w14:paraId="6F57A1C4"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0FE5BFC9"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6C180032"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7190402A"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Suède</w:t>
            </w:r>
          </w:p>
        </w:tc>
        <w:tc>
          <w:tcPr>
            <w:tcW w:w="1260" w:type="dxa"/>
          </w:tcPr>
          <w:p w14:paraId="45FA8611"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c>
          <w:tcPr>
            <w:tcW w:w="3600" w:type="dxa"/>
          </w:tcPr>
          <w:p w14:paraId="36F608ED"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17C14245"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7B837F01"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FCC61AB"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Turkménistan</w:t>
            </w:r>
          </w:p>
        </w:tc>
        <w:tc>
          <w:tcPr>
            <w:tcW w:w="1260" w:type="dxa"/>
          </w:tcPr>
          <w:p w14:paraId="0ECBBF5B"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Non</w:t>
            </w:r>
          </w:p>
        </w:tc>
        <w:tc>
          <w:tcPr>
            <w:tcW w:w="3600" w:type="dxa"/>
          </w:tcPr>
          <w:p w14:paraId="3978BEA1"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683605A5"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6609054E" w14:textId="77777777" w:rsidTr="00886A3C">
        <w:tc>
          <w:tcPr>
            <w:cnfStyle w:val="001000000000" w:firstRow="0" w:lastRow="0" w:firstColumn="1" w:lastColumn="0" w:oddVBand="0" w:evenVBand="0" w:oddHBand="0" w:evenHBand="0" w:firstRowFirstColumn="0" w:firstRowLastColumn="0" w:lastRowFirstColumn="0" w:lastRowLastColumn="0"/>
            <w:tcW w:w="3145" w:type="dxa"/>
          </w:tcPr>
          <w:p w14:paraId="7EAC310F"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Ukraine</w:t>
            </w:r>
            <w:r w:rsidRPr="00194743">
              <w:rPr>
                <w:rFonts w:ascii="Times New Roman" w:eastAsia="Calibri" w:hAnsi="Times New Roman" w:cs="Times New Roman"/>
                <w:b w:val="0"/>
                <w:sz w:val="20"/>
                <w:szCs w:val="20"/>
              </w:rPr>
              <w:t xml:space="preserve"> </w:t>
            </w:r>
          </w:p>
        </w:tc>
        <w:tc>
          <w:tcPr>
            <w:tcW w:w="1260" w:type="dxa"/>
          </w:tcPr>
          <w:p w14:paraId="2EE31BA3"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c>
          <w:tcPr>
            <w:tcW w:w="3600" w:type="dxa"/>
          </w:tcPr>
          <w:p w14:paraId="59A81A8C"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210F6100" w14:textId="77777777" w:rsidR="00886A3C" w:rsidRPr="00194743"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886A3C" w:rsidRPr="00194743" w14:paraId="73A74E3C"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1D660B" w14:textId="77777777" w:rsidR="00886A3C" w:rsidRPr="00194743" w:rsidRDefault="00886A3C" w:rsidP="00886A3C">
            <w:pPr>
              <w:rPr>
                <w:rFonts w:ascii="Times New Roman" w:eastAsia="Calibri" w:hAnsi="Times New Roman" w:cs="Times New Roman"/>
                <w:b w:val="0"/>
                <w:sz w:val="20"/>
                <w:szCs w:val="20"/>
              </w:rPr>
            </w:pPr>
            <w:r w:rsidRPr="007E7B41">
              <w:rPr>
                <w:rFonts w:ascii="Times New Roman" w:eastAsia="Calibri" w:hAnsi="Times New Roman" w:cs="Times New Roman"/>
                <w:b w:val="0"/>
                <w:sz w:val="20"/>
                <w:szCs w:val="20"/>
                <w:lang w:val="fr-FR"/>
              </w:rPr>
              <w:t>Ouzbékistan</w:t>
            </w:r>
          </w:p>
        </w:tc>
        <w:tc>
          <w:tcPr>
            <w:tcW w:w="1260" w:type="dxa"/>
          </w:tcPr>
          <w:p w14:paraId="19E06C45"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E7B41">
              <w:rPr>
                <w:rFonts w:ascii="Times New Roman" w:eastAsia="Calibri" w:hAnsi="Times New Roman" w:cs="Times New Roman"/>
                <w:sz w:val="20"/>
                <w:szCs w:val="20"/>
                <w:lang w:val="fr-FR"/>
              </w:rPr>
              <w:t>Oui</w:t>
            </w:r>
          </w:p>
        </w:tc>
        <w:tc>
          <w:tcPr>
            <w:tcW w:w="3600" w:type="dxa"/>
          </w:tcPr>
          <w:p w14:paraId="51A6565B"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754BAFE1" w14:textId="77777777" w:rsidR="00886A3C" w:rsidRPr="00194743"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bl>
    <w:p w14:paraId="74714B9B" w14:textId="77777777" w:rsidR="00886A3C" w:rsidRPr="004B1407" w:rsidRDefault="00886A3C" w:rsidP="00886A3C">
      <w:pPr>
        <w:spacing w:after="0" w:line="240" w:lineRule="auto"/>
        <w:jc w:val="both"/>
        <w:rPr>
          <w:rFonts w:ascii="Times New Roman" w:hAnsi="Times New Roman" w:cs="Times New Roman"/>
          <w:i/>
          <w:sz w:val="20"/>
          <w:szCs w:val="20"/>
          <w:lang w:val="fr-FR"/>
        </w:rPr>
      </w:pPr>
      <w:r w:rsidRPr="007E7B41">
        <w:rPr>
          <w:rFonts w:ascii="Arial" w:hAnsi="Arial" w:cs="Arial"/>
          <w:sz w:val="20"/>
          <w:szCs w:val="20"/>
          <w:lang w:val="fr-FR"/>
        </w:rPr>
        <w:t>*</w:t>
      </w:r>
      <w:r w:rsidRPr="007E7B41">
        <w:rPr>
          <w:rFonts w:ascii="Times New Roman" w:hAnsi="Times New Roman" w:cs="Times New Roman"/>
          <w:i/>
          <w:sz w:val="20"/>
          <w:szCs w:val="20"/>
          <w:lang w:val="fr-FR"/>
        </w:rPr>
        <w:t>Les informations soumises par l</w:t>
      </w:r>
      <w:r>
        <w:rPr>
          <w:rFonts w:ascii="Times New Roman" w:hAnsi="Times New Roman" w:cs="Times New Roman"/>
          <w:i/>
          <w:sz w:val="20"/>
          <w:szCs w:val="20"/>
          <w:lang w:val="fr-FR"/>
        </w:rPr>
        <w:t>’</w:t>
      </w:r>
      <w:r w:rsidRPr="007E7B41">
        <w:rPr>
          <w:rFonts w:ascii="Times New Roman" w:hAnsi="Times New Roman" w:cs="Times New Roman"/>
          <w:i/>
          <w:sz w:val="20"/>
          <w:szCs w:val="20"/>
          <w:lang w:val="fr-FR"/>
        </w:rPr>
        <w:t>Allemagne n</w:t>
      </w:r>
      <w:r>
        <w:rPr>
          <w:rFonts w:ascii="Times New Roman" w:hAnsi="Times New Roman" w:cs="Times New Roman"/>
          <w:i/>
          <w:sz w:val="20"/>
          <w:szCs w:val="20"/>
          <w:lang w:val="fr-FR"/>
        </w:rPr>
        <w:t>’</w:t>
      </w:r>
      <w:r w:rsidRPr="007E7B41">
        <w:rPr>
          <w:rFonts w:ascii="Times New Roman" w:hAnsi="Times New Roman" w:cs="Times New Roman"/>
          <w:i/>
          <w:sz w:val="20"/>
          <w:szCs w:val="20"/>
          <w:lang w:val="fr-FR"/>
        </w:rPr>
        <w:t>ont pas été fournies dans le bon format et de ce fait n</w:t>
      </w:r>
      <w:r>
        <w:rPr>
          <w:rFonts w:ascii="Times New Roman" w:hAnsi="Times New Roman" w:cs="Times New Roman"/>
          <w:i/>
          <w:sz w:val="20"/>
          <w:szCs w:val="20"/>
          <w:lang w:val="fr-FR"/>
        </w:rPr>
        <w:t>’</w:t>
      </w:r>
      <w:r w:rsidRPr="007E7B41">
        <w:rPr>
          <w:rFonts w:ascii="Times New Roman" w:hAnsi="Times New Roman" w:cs="Times New Roman"/>
          <w:i/>
          <w:sz w:val="20"/>
          <w:szCs w:val="20"/>
          <w:lang w:val="fr-FR"/>
        </w:rPr>
        <w:t>ont pas pu être incluses dans l</w:t>
      </w:r>
      <w:r>
        <w:rPr>
          <w:rFonts w:ascii="Times New Roman" w:hAnsi="Times New Roman" w:cs="Times New Roman"/>
          <w:i/>
          <w:sz w:val="20"/>
          <w:szCs w:val="20"/>
          <w:lang w:val="fr-FR"/>
        </w:rPr>
        <w:t>’</w:t>
      </w:r>
      <w:r w:rsidRPr="007E7B41">
        <w:rPr>
          <w:rFonts w:ascii="Times New Roman" w:hAnsi="Times New Roman" w:cs="Times New Roman"/>
          <w:i/>
          <w:sz w:val="20"/>
          <w:szCs w:val="20"/>
          <w:lang w:val="fr-FR"/>
        </w:rPr>
        <w:t>étude.</w:t>
      </w:r>
    </w:p>
    <w:p w14:paraId="396E643B" w14:textId="77777777" w:rsidR="00886A3C" w:rsidRPr="004B1407" w:rsidRDefault="00886A3C" w:rsidP="00886A3C">
      <w:pPr>
        <w:spacing w:after="0" w:line="240" w:lineRule="auto"/>
        <w:jc w:val="both"/>
        <w:rPr>
          <w:rFonts w:ascii="Times New Roman" w:hAnsi="Times New Roman" w:cs="Times New Roman"/>
          <w:lang w:val="fr-FR"/>
        </w:rPr>
      </w:pPr>
    </w:p>
    <w:p w14:paraId="5B080D10"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4CC76D14"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lastRenderedPageBreak/>
        <w:t xml:space="preserve">3. </w:t>
      </w:r>
      <w:r w:rsidRPr="007E7B41">
        <w:rPr>
          <w:rFonts w:ascii="Times New Roman" w:hAnsi="Times New Roman" w:cs="Times New Roman"/>
          <w:i/>
          <w:lang w:val="fr-FR"/>
        </w:rPr>
        <w:t>Tendances et estimations de l</w:t>
      </w:r>
      <w:r>
        <w:rPr>
          <w:rFonts w:ascii="Times New Roman" w:hAnsi="Times New Roman" w:cs="Times New Roman"/>
          <w:i/>
          <w:lang w:val="fr-FR"/>
        </w:rPr>
        <w:t>’</w:t>
      </w:r>
      <w:r w:rsidRPr="007E7B41">
        <w:rPr>
          <w:rFonts w:ascii="Times New Roman" w:hAnsi="Times New Roman" w:cs="Times New Roman"/>
          <w:i/>
          <w:lang w:val="fr-FR"/>
        </w:rPr>
        <w:t>espèce</w:t>
      </w:r>
    </w:p>
    <w:p w14:paraId="19B07C26" w14:textId="77777777" w:rsidR="00886A3C" w:rsidRPr="004B1407" w:rsidRDefault="00886A3C" w:rsidP="00886A3C">
      <w:pPr>
        <w:spacing w:after="0" w:line="240" w:lineRule="auto"/>
        <w:rPr>
          <w:rFonts w:ascii="Times New Roman" w:hAnsi="Times New Roman" w:cs="Times New Roman"/>
          <w:i/>
          <w:lang w:val="fr-FR"/>
        </w:rPr>
      </w:pPr>
    </w:p>
    <w:p w14:paraId="22977627" w14:textId="77777777" w:rsidR="00886A3C" w:rsidRPr="004B1407" w:rsidRDefault="00886A3C" w:rsidP="00886A3C">
      <w:pPr>
        <w:spacing w:after="0" w:line="240" w:lineRule="auto"/>
        <w:jc w:val="both"/>
        <w:rPr>
          <w:rFonts w:ascii="Times New Roman" w:hAnsi="Times New Roman" w:cs="Times New Roman"/>
          <w:lang w:val="fr-FR"/>
        </w:rPr>
      </w:pPr>
      <w:r w:rsidRPr="00EA77DE">
        <w:rPr>
          <w:rFonts w:ascii="Times New Roman" w:hAnsi="Times New Roman" w:cs="Times New Roman"/>
          <w:lang w:val="fr-FR"/>
        </w:rPr>
        <w:t>Aucun pays ne fait part d</w:t>
      </w:r>
      <w:r>
        <w:rPr>
          <w:rFonts w:ascii="Times New Roman" w:hAnsi="Times New Roman" w:cs="Times New Roman"/>
          <w:lang w:val="fr-FR"/>
        </w:rPr>
        <w:t>’</w:t>
      </w:r>
      <w:r w:rsidRPr="00EA77DE">
        <w:rPr>
          <w:rFonts w:ascii="Times New Roman" w:hAnsi="Times New Roman" w:cs="Times New Roman"/>
          <w:lang w:val="fr-FR"/>
        </w:rPr>
        <w:t>une tendance au déclin à court terme</w:t>
      </w:r>
      <w:r>
        <w:rPr>
          <w:rFonts w:ascii="Times New Roman" w:hAnsi="Times New Roman" w:cs="Times New Roman"/>
          <w:lang w:val="fr-FR"/>
        </w:rPr>
        <w:t>,</w:t>
      </w:r>
      <w:r w:rsidRPr="00EA77DE">
        <w:rPr>
          <w:rFonts w:ascii="Times New Roman" w:hAnsi="Times New Roman" w:cs="Times New Roman"/>
          <w:lang w:val="fr-FR"/>
        </w:rPr>
        <w:t xml:space="preserve"> 50</w:t>
      </w:r>
      <w:r>
        <w:rPr>
          <w:rFonts w:ascii="Times New Roman" w:hAnsi="Times New Roman" w:cs="Times New Roman"/>
          <w:lang w:val="fr-FR"/>
        </w:rPr>
        <w:t xml:space="preserve"> %</w:t>
      </w:r>
      <w:r w:rsidRPr="00EA77DE">
        <w:rPr>
          <w:rFonts w:ascii="Times New Roman" w:hAnsi="Times New Roman" w:cs="Times New Roman"/>
          <w:lang w:val="fr-FR"/>
        </w:rPr>
        <w:t xml:space="preserve"> des pays </w:t>
      </w:r>
      <w:r>
        <w:rPr>
          <w:rFonts w:ascii="Times New Roman" w:hAnsi="Times New Roman" w:cs="Times New Roman"/>
          <w:lang w:val="fr-FR"/>
        </w:rPr>
        <w:t xml:space="preserve">ayant fourni une réponse </w:t>
      </w:r>
      <w:r w:rsidRPr="00EA77DE">
        <w:rPr>
          <w:rFonts w:ascii="Times New Roman" w:hAnsi="Times New Roman" w:cs="Times New Roman"/>
          <w:lang w:val="fr-FR"/>
        </w:rPr>
        <w:t>indiquant que la tendance à court terme est soit stable soit en augmentation.</w:t>
      </w:r>
      <w:r w:rsidRPr="004B1407">
        <w:rPr>
          <w:rFonts w:ascii="Times New Roman" w:hAnsi="Times New Roman" w:cs="Times New Roman"/>
          <w:lang w:val="fr-FR"/>
        </w:rPr>
        <w:t xml:space="preserve"> </w:t>
      </w:r>
      <w:r w:rsidRPr="00EA77DE">
        <w:rPr>
          <w:rFonts w:ascii="Times New Roman" w:hAnsi="Times New Roman" w:cs="Times New Roman"/>
          <w:lang w:val="fr-FR"/>
        </w:rPr>
        <w:t>Dans le cas de la petite population de Fennoscandie, qui est très étroitement surveillée, la stabilisation et la (légère) augmentation des effectifs depuis 2009 sont bien documentés.</w:t>
      </w:r>
      <w:r w:rsidRPr="004B1407">
        <w:rPr>
          <w:rFonts w:ascii="Times New Roman" w:hAnsi="Times New Roman" w:cs="Times New Roman"/>
          <w:lang w:val="fr-FR"/>
        </w:rPr>
        <w:t xml:space="preserve"> </w:t>
      </w:r>
      <w:r w:rsidRPr="00EA77DE">
        <w:rPr>
          <w:rFonts w:ascii="Times New Roman" w:hAnsi="Times New Roman" w:cs="Times New Roman"/>
          <w:lang w:val="fr-FR"/>
        </w:rPr>
        <w:t>Toutefois, il manque encore une solide estimation d</w:t>
      </w:r>
      <w:r>
        <w:rPr>
          <w:rFonts w:ascii="Times New Roman" w:hAnsi="Times New Roman" w:cs="Times New Roman"/>
          <w:lang w:val="fr-FR"/>
        </w:rPr>
        <w:t>’</w:t>
      </w:r>
      <w:r w:rsidRPr="00EA77DE">
        <w:rPr>
          <w:rFonts w:ascii="Times New Roman" w:hAnsi="Times New Roman" w:cs="Times New Roman"/>
          <w:lang w:val="fr-FR"/>
        </w:rPr>
        <w:t>ensemble de la population occidentale principale et son état actuel demeure incertain.</w:t>
      </w:r>
      <w:r w:rsidRPr="004B1407">
        <w:rPr>
          <w:rFonts w:ascii="Times New Roman" w:hAnsi="Times New Roman" w:cs="Times New Roman"/>
          <w:lang w:val="fr-FR"/>
        </w:rPr>
        <w:t xml:space="preserve"> </w:t>
      </w:r>
      <w:r w:rsidRPr="00EA77DE">
        <w:rPr>
          <w:rFonts w:ascii="Times New Roman" w:hAnsi="Times New Roman" w:cs="Times New Roman"/>
          <w:lang w:val="fr-FR"/>
        </w:rPr>
        <w:t>La tendance à long terme de l</w:t>
      </w:r>
      <w:r>
        <w:rPr>
          <w:rFonts w:ascii="Times New Roman" w:hAnsi="Times New Roman" w:cs="Times New Roman"/>
          <w:lang w:val="fr-FR"/>
        </w:rPr>
        <w:t>’</w:t>
      </w:r>
      <w:r w:rsidRPr="00EA77DE">
        <w:rPr>
          <w:rFonts w:ascii="Times New Roman" w:hAnsi="Times New Roman" w:cs="Times New Roman"/>
          <w:lang w:val="fr-FR"/>
        </w:rPr>
        <w:t>espèce présente toujours une image différente, avec seulement six pays faisant part de populations stables ou en augmentation.</w:t>
      </w:r>
      <w:r w:rsidRPr="004B1407">
        <w:rPr>
          <w:rFonts w:ascii="Times New Roman" w:hAnsi="Times New Roman" w:cs="Times New Roman"/>
          <w:lang w:val="fr-FR"/>
        </w:rPr>
        <w:t xml:space="preserve"> </w:t>
      </w:r>
      <w:r w:rsidRPr="00EA77DE">
        <w:rPr>
          <w:rFonts w:ascii="Times New Roman" w:hAnsi="Times New Roman" w:cs="Times New Roman"/>
          <w:lang w:val="fr-FR"/>
        </w:rPr>
        <w:t>Les estimations de populations communiquées par chaque État de l</w:t>
      </w:r>
      <w:r>
        <w:rPr>
          <w:rFonts w:ascii="Times New Roman" w:hAnsi="Times New Roman" w:cs="Times New Roman"/>
          <w:lang w:val="fr-FR"/>
        </w:rPr>
        <w:t>’</w:t>
      </w:r>
      <w:r w:rsidRPr="00EA77DE">
        <w:rPr>
          <w:rFonts w:ascii="Times New Roman" w:hAnsi="Times New Roman" w:cs="Times New Roman"/>
          <w:lang w:val="fr-FR"/>
        </w:rPr>
        <w:t>aire de répartition sont indiquées dans le tableau ci-dessous.</w:t>
      </w:r>
      <w:r w:rsidRPr="004B1407">
        <w:rPr>
          <w:rFonts w:ascii="Times New Roman" w:hAnsi="Times New Roman" w:cs="Times New Roman"/>
          <w:lang w:val="fr-FR"/>
        </w:rPr>
        <w:t xml:space="preserve"> </w:t>
      </w:r>
    </w:p>
    <w:p w14:paraId="279C806C"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386"/>
        <w:gridCol w:w="687"/>
      </w:tblGrid>
      <w:tr w:rsidR="00886A3C" w14:paraId="43A7B194" w14:textId="77777777" w:rsidTr="00886A3C">
        <w:trPr>
          <w:trHeight w:val="3008"/>
        </w:trPr>
        <w:tc>
          <w:tcPr>
            <w:tcW w:w="3652" w:type="dxa"/>
          </w:tcPr>
          <w:p w14:paraId="39F7894D" w14:textId="77777777" w:rsidR="00886A3C" w:rsidRPr="00B80DDF" w:rsidRDefault="00886A3C" w:rsidP="00886A3C">
            <w:pPr>
              <w:rPr>
                <w:rFonts w:ascii="Times New Roman" w:hAnsi="Times New Roman" w:cs="Times New Roman"/>
                <w:i/>
                <w:sz w:val="20"/>
                <w:szCs w:val="20"/>
              </w:rPr>
            </w:pPr>
            <w:r>
              <w:rPr>
                <w:noProof/>
              </w:rPr>
              <w:drawing>
                <wp:inline distT="0" distB="0" distL="0" distR="0" wp14:anchorId="460A7738" wp14:editId="1A8C6AE0">
                  <wp:extent cx="2638425" cy="2276475"/>
                  <wp:effectExtent l="0" t="0" r="9525" b="952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c>
          <w:tcPr>
            <w:tcW w:w="3172" w:type="dxa"/>
          </w:tcPr>
          <w:p w14:paraId="685B0F2F" w14:textId="77777777" w:rsidR="00886A3C" w:rsidRDefault="00886A3C" w:rsidP="00886A3C">
            <w:pPr>
              <w:rPr>
                <w:rFonts w:ascii="Arial" w:hAnsi="Arial" w:cs="Arial"/>
                <w:sz w:val="20"/>
                <w:szCs w:val="20"/>
              </w:rPr>
            </w:pPr>
            <w:r>
              <w:rPr>
                <w:noProof/>
              </w:rPr>
              <w:drawing>
                <wp:inline distT="0" distB="0" distL="0" distR="0" wp14:anchorId="17ECCA73" wp14:editId="721F64A8">
                  <wp:extent cx="2638425" cy="2266950"/>
                  <wp:effectExtent l="0" t="0" r="9525" b="1905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c>
          <w:tcPr>
            <w:tcW w:w="2635" w:type="dxa"/>
            <w:hideMark/>
          </w:tcPr>
          <w:p w14:paraId="08627178" w14:textId="77777777" w:rsidR="00886A3C" w:rsidRDefault="00886A3C" w:rsidP="00886A3C">
            <w:pPr>
              <w:rPr>
                <w:rFonts w:ascii="Arial" w:hAnsi="Arial" w:cs="Arial"/>
                <w:sz w:val="20"/>
                <w:szCs w:val="20"/>
              </w:rPr>
            </w:pPr>
          </w:p>
        </w:tc>
      </w:tr>
    </w:tbl>
    <w:p w14:paraId="13546252" w14:textId="77777777" w:rsidR="00886A3C" w:rsidRDefault="00886A3C" w:rsidP="00886A3C">
      <w:pPr>
        <w:spacing w:after="0" w:line="240" w:lineRule="auto"/>
        <w:jc w:val="both"/>
        <w:rPr>
          <w:rFonts w:ascii="Times New Roman" w:hAnsi="Times New Roman" w:cs="Times New Roman"/>
          <w:lang w:val="en-US"/>
        </w:rPr>
      </w:pPr>
    </w:p>
    <w:p w14:paraId="274C9851" w14:textId="77777777" w:rsidR="00886A3C" w:rsidRPr="00403C55" w:rsidRDefault="00886A3C" w:rsidP="00886A3C">
      <w:pPr>
        <w:shd w:val="clear" w:color="auto" w:fill="FFFFFF" w:themeFill="background1"/>
        <w:tabs>
          <w:tab w:val="left" w:pos="1418"/>
          <w:tab w:val="left" w:pos="4962"/>
          <w:tab w:val="left" w:pos="6804"/>
        </w:tabs>
        <w:spacing w:after="0" w:line="240" w:lineRule="auto"/>
        <w:jc w:val="both"/>
        <w:rPr>
          <w:rFonts w:ascii="Times New Roman" w:hAnsi="Times New Roman" w:cs="Times New Roman"/>
          <w:lang w:val="fr-FR"/>
        </w:rPr>
      </w:pPr>
      <w:r>
        <w:rPr>
          <w:rFonts w:ascii="Times New Roman" w:hAnsi="Times New Roman" w:cs="Times New Roman"/>
          <w:lang w:val="fr-FR"/>
        </w:rPr>
        <w:t>stable</w:t>
      </w:r>
      <w:r w:rsidRPr="00403C55">
        <w:rPr>
          <w:rFonts w:ascii="Times New Roman" w:hAnsi="Times New Roman" w:cs="Times New Roman"/>
          <w:lang w:val="fr-FR"/>
        </w:rPr>
        <w:tab/>
        <w:t>en augmentation</w:t>
      </w:r>
      <w:r w:rsidRPr="00403C55">
        <w:rPr>
          <w:rFonts w:ascii="Times New Roman" w:hAnsi="Times New Roman" w:cs="Times New Roman"/>
          <w:lang w:val="fr-FR"/>
        </w:rPr>
        <w:tab/>
        <w:t>décroissante</w:t>
      </w:r>
      <w:r w:rsidRPr="00403C55">
        <w:rPr>
          <w:rFonts w:ascii="Times New Roman" w:hAnsi="Times New Roman" w:cs="Times New Roman"/>
          <w:lang w:val="fr-FR"/>
        </w:rPr>
        <w:tab/>
        <w:t>stable</w:t>
      </w:r>
    </w:p>
    <w:p w14:paraId="407C1B91" w14:textId="77777777" w:rsidR="00886A3C" w:rsidRPr="00403C55" w:rsidRDefault="00886A3C" w:rsidP="00886A3C">
      <w:pPr>
        <w:shd w:val="clear" w:color="auto" w:fill="FFFFFF" w:themeFill="background1"/>
        <w:tabs>
          <w:tab w:val="left" w:pos="1418"/>
          <w:tab w:val="left" w:pos="4962"/>
          <w:tab w:val="left" w:pos="6804"/>
        </w:tabs>
        <w:spacing w:after="0" w:line="240" w:lineRule="auto"/>
        <w:jc w:val="both"/>
        <w:rPr>
          <w:rFonts w:ascii="Times New Roman" w:hAnsi="Times New Roman" w:cs="Times New Roman"/>
          <w:lang w:val="fr-FR"/>
        </w:rPr>
      </w:pPr>
      <w:r w:rsidRPr="00403C55">
        <w:rPr>
          <w:rFonts w:ascii="Times New Roman" w:hAnsi="Times New Roman" w:cs="Times New Roman"/>
          <w:lang w:val="fr-FR"/>
        </w:rPr>
        <w:t>fluctuante</w:t>
      </w:r>
      <w:r w:rsidRPr="00403C55">
        <w:rPr>
          <w:rFonts w:ascii="Times New Roman" w:hAnsi="Times New Roman" w:cs="Times New Roman"/>
          <w:lang w:val="fr-FR"/>
        </w:rPr>
        <w:tab/>
      </w:r>
      <w:r>
        <w:rPr>
          <w:rFonts w:ascii="Times New Roman" w:hAnsi="Times New Roman" w:cs="Times New Roman"/>
          <w:lang w:val="fr-FR"/>
        </w:rPr>
        <w:t>inconnue</w:t>
      </w:r>
      <w:r w:rsidRPr="00403C55">
        <w:rPr>
          <w:rFonts w:ascii="Times New Roman" w:hAnsi="Times New Roman" w:cs="Times New Roman"/>
          <w:lang w:val="fr-FR"/>
        </w:rPr>
        <w:tab/>
      </w:r>
      <w:r>
        <w:rPr>
          <w:rFonts w:ascii="Times New Roman" w:hAnsi="Times New Roman" w:cs="Times New Roman"/>
          <w:lang w:val="fr-FR"/>
        </w:rPr>
        <w:t>en augmentation</w:t>
      </w:r>
      <w:r w:rsidRPr="00403C55">
        <w:rPr>
          <w:rFonts w:ascii="Times New Roman" w:hAnsi="Times New Roman" w:cs="Times New Roman"/>
          <w:lang w:val="fr-FR"/>
        </w:rPr>
        <w:tab/>
      </w:r>
      <w:r>
        <w:rPr>
          <w:rFonts w:ascii="Times New Roman" w:hAnsi="Times New Roman" w:cs="Times New Roman"/>
          <w:lang w:val="fr-FR"/>
        </w:rPr>
        <w:t>fluctuante</w:t>
      </w:r>
    </w:p>
    <w:p w14:paraId="743A4FBB" w14:textId="77777777" w:rsidR="00886A3C" w:rsidRPr="00403C55" w:rsidRDefault="00886A3C" w:rsidP="00886A3C">
      <w:pPr>
        <w:shd w:val="clear" w:color="auto" w:fill="FFFFFF" w:themeFill="background1"/>
        <w:tabs>
          <w:tab w:val="left" w:pos="1418"/>
          <w:tab w:val="left" w:pos="4962"/>
          <w:tab w:val="left" w:pos="6804"/>
        </w:tabs>
        <w:spacing w:after="0" w:line="240" w:lineRule="auto"/>
        <w:jc w:val="both"/>
        <w:rPr>
          <w:rFonts w:ascii="Times New Roman" w:hAnsi="Times New Roman" w:cs="Times New Roman"/>
          <w:lang w:val="fr-FR"/>
        </w:rPr>
      </w:pPr>
      <w:r w:rsidRPr="00403C55">
        <w:rPr>
          <w:rFonts w:ascii="Times New Roman" w:hAnsi="Times New Roman" w:cs="Times New Roman"/>
          <w:lang w:val="fr-FR"/>
        </w:rPr>
        <w:t>pas d</w:t>
      </w:r>
      <w:r>
        <w:rPr>
          <w:rFonts w:ascii="Times New Roman" w:hAnsi="Times New Roman" w:cs="Times New Roman"/>
          <w:lang w:val="fr-FR"/>
        </w:rPr>
        <w:t>’</w:t>
      </w:r>
      <w:r w:rsidRPr="00403C55">
        <w:rPr>
          <w:rFonts w:ascii="Times New Roman" w:hAnsi="Times New Roman" w:cs="Times New Roman"/>
          <w:lang w:val="fr-FR"/>
        </w:rPr>
        <w:t>information</w:t>
      </w:r>
      <w:r w:rsidRPr="00403C55">
        <w:rPr>
          <w:rFonts w:ascii="Times New Roman" w:hAnsi="Times New Roman" w:cs="Times New Roman"/>
          <w:lang w:val="fr-FR"/>
        </w:rPr>
        <w:tab/>
      </w:r>
      <w:r>
        <w:rPr>
          <w:rFonts w:ascii="Times New Roman" w:hAnsi="Times New Roman" w:cs="Times New Roman"/>
          <w:lang w:val="fr-FR"/>
        </w:rPr>
        <w:t xml:space="preserve">inconnue </w:t>
      </w:r>
      <w:r>
        <w:rPr>
          <w:rFonts w:ascii="Times New Roman" w:hAnsi="Times New Roman" w:cs="Times New Roman"/>
          <w:lang w:val="fr-FR"/>
        </w:rPr>
        <w:tab/>
      </w:r>
      <w:r w:rsidRPr="00403C55">
        <w:rPr>
          <w:rFonts w:ascii="Times New Roman" w:hAnsi="Times New Roman" w:cs="Times New Roman"/>
          <w:lang w:val="fr-FR"/>
        </w:rPr>
        <w:t>pas d</w:t>
      </w:r>
      <w:r>
        <w:rPr>
          <w:rFonts w:ascii="Times New Roman" w:hAnsi="Times New Roman" w:cs="Times New Roman"/>
          <w:lang w:val="fr-FR"/>
        </w:rPr>
        <w:t>’</w:t>
      </w:r>
      <w:r w:rsidRPr="00403C55">
        <w:rPr>
          <w:rFonts w:ascii="Times New Roman" w:hAnsi="Times New Roman" w:cs="Times New Roman"/>
          <w:lang w:val="fr-FR"/>
        </w:rPr>
        <w:t>information</w:t>
      </w:r>
    </w:p>
    <w:p w14:paraId="7C11B2C3" w14:textId="77777777" w:rsidR="00886A3C" w:rsidRDefault="00886A3C" w:rsidP="00886A3C">
      <w:pPr>
        <w:spacing w:after="0" w:line="240" w:lineRule="auto"/>
        <w:jc w:val="both"/>
        <w:rPr>
          <w:rFonts w:ascii="Times New Roman" w:hAnsi="Times New Roman" w:cs="Times New Roman"/>
          <w:lang w:val="en-US"/>
        </w:rPr>
      </w:pPr>
    </w:p>
    <w:p w14:paraId="4E03F087" w14:textId="77777777" w:rsidR="00886A3C" w:rsidRDefault="00886A3C" w:rsidP="00886A3C">
      <w:pPr>
        <w:spacing w:after="0" w:line="240" w:lineRule="auto"/>
        <w:jc w:val="both"/>
        <w:rPr>
          <w:rFonts w:ascii="Times New Roman" w:hAnsi="Times New Roman" w:cs="Times New Roman"/>
          <w:lang w:val="en-US"/>
        </w:rPr>
      </w:pPr>
    </w:p>
    <w:p w14:paraId="082F5778" w14:textId="77777777" w:rsidR="00886A3C" w:rsidRDefault="00886A3C" w:rsidP="00886A3C">
      <w:pPr>
        <w:spacing w:after="0" w:line="240" w:lineRule="auto"/>
        <w:jc w:val="both"/>
        <w:rPr>
          <w:rFonts w:ascii="Times New Roman" w:hAnsi="Times New Roman" w:cs="Times New Roman"/>
          <w:lang w:val="en-US"/>
        </w:rPr>
      </w:pPr>
    </w:p>
    <w:p w14:paraId="1B3B43B4" w14:textId="77777777" w:rsidR="00886A3C" w:rsidRDefault="00886A3C" w:rsidP="00886A3C">
      <w:pPr>
        <w:spacing w:after="0" w:line="240" w:lineRule="auto"/>
        <w:jc w:val="both"/>
        <w:rPr>
          <w:rFonts w:ascii="Times New Roman" w:hAnsi="Times New Roman" w:cs="Times New Roman"/>
          <w:lang w:val="en-US"/>
        </w:rPr>
      </w:pPr>
    </w:p>
    <w:tbl>
      <w:tblPr>
        <w:tblStyle w:val="PlainTable11"/>
        <w:tblW w:w="0" w:type="auto"/>
        <w:tblLook w:val="04A0" w:firstRow="1" w:lastRow="0" w:firstColumn="1" w:lastColumn="0" w:noHBand="0" w:noVBand="1"/>
      </w:tblPr>
      <w:tblGrid>
        <w:gridCol w:w="1470"/>
        <w:gridCol w:w="1484"/>
        <w:gridCol w:w="1545"/>
        <w:gridCol w:w="1717"/>
        <w:gridCol w:w="1179"/>
        <w:gridCol w:w="1665"/>
      </w:tblGrid>
      <w:tr w:rsidR="00886A3C" w:rsidRPr="00DE4CF4" w14:paraId="5209FE75" w14:textId="77777777" w:rsidTr="0088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11134" w14:textId="77777777" w:rsidR="00886A3C" w:rsidRPr="004B1407" w:rsidRDefault="00886A3C" w:rsidP="00886A3C">
            <w:pPr>
              <w:jc w:val="both"/>
              <w:rPr>
                <w:rFonts w:ascii="Times New Roman" w:hAnsi="Times New Roman" w:cs="Times New Roman"/>
                <w:b w:val="0"/>
                <w:i/>
                <w:lang w:val="fr-FR"/>
              </w:rPr>
            </w:pPr>
            <w:r w:rsidRPr="00EA77DE">
              <w:rPr>
                <w:rFonts w:ascii="Times New Roman" w:hAnsi="Times New Roman" w:cs="Times New Roman"/>
                <w:b w:val="0"/>
                <w:i/>
                <w:lang w:val="fr-FR"/>
              </w:rPr>
              <w:t>État de l</w:t>
            </w:r>
            <w:r>
              <w:rPr>
                <w:rFonts w:ascii="Times New Roman" w:hAnsi="Times New Roman" w:cs="Times New Roman"/>
                <w:b w:val="0"/>
                <w:i/>
                <w:lang w:val="fr-FR"/>
              </w:rPr>
              <w:t>’</w:t>
            </w:r>
            <w:r w:rsidRPr="00EA77DE">
              <w:rPr>
                <w:rFonts w:ascii="Times New Roman" w:hAnsi="Times New Roman" w:cs="Times New Roman"/>
                <w:b w:val="0"/>
                <w:i/>
                <w:lang w:val="fr-FR"/>
              </w:rPr>
              <w:t>aire de répartition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DD64C"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A77DE">
              <w:rPr>
                <w:rFonts w:ascii="Times New Roman" w:hAnsi="Times New Roman" w:cs="Times New Roman"/>
                <w:b w:val="0"/>
                <w:i/>
                <w:lang w:val="fr-FR"/>
              </w:rPr>
              <w:t>Total des estimations minimales</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31CB7"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A77DE">
              <w:rPr>
                <w:rFonts w:ascii="Times New Roman" w:hAnsi="Times New Roman" w:cs="Times New Roman"/>
                <w:b w:val="0"/>
                <w:i/>
                <w:lang w:val="fr-FR"/>
              </w:rPr>
              <w:t>Total estimations maximales</w:t>
            </w:r>
            <w:r>
              <w:rPr>
                <w:rFonts w:ascii="Times New Roman" w:hAnsi="Times New Roman" w:cs="Times New Roman"/>
                <w:b w:val="0"/>
                <w:i/>
              </w:rPr>
              <w:t xml:space="preserve"> </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1831A"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A77DE">
              <w:rPr>
                <w:rFonts w:ascii="Times New Roman" w:hAnsi="Times New Roman" w:cs="Times New Roman"/>
                <w:b w:val="0"/>
                <w:i/>
                <w:lang w:val="fr-FR"/>
              </w:rPr>
              <w:t>Unités</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F6890"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A77DE">
              <w:rPr>
                <w:rFonts w:ascii="Times New Roman" w:hAnsi="Times New Roman" w:cs="Times New Roman"/>
                <w:b w:val="0"/>
                <w:i/>
                <w:lang w:val="fr-FR"/>
              </w:rPr>
              <w:t>Année</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B60B5" w14:textId="77777777" w:rsidR="00886A3C" w:rsidRPr="004B140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Pr>
                <w:rFonts w:ascii="Times New Roman" w:hAnsi="Times New Roman" w:cs="Times New Roman"/>
                <w:b w:val="0"/>
                <w:i/>
                <w:lang w:val="fr-FR"/>
              </w:rPr>
              <w:t>V</w:t>
            </w:r>
            <w:r w:rsidRPr="00EA77DE">
              <w:rPr>
                <w:rFonts w:ascii="Times New Roman" w:hAnsi="Times New Roman" w:cs="Times New Roman"/>
                <w:b w:val="0"/>
                <w:i/>
                <w:lang w:val="fr-FR"/>
              </w:rPr>
              <w:t xml:space="preserve">aleur de référence de la population </w:t>
            </w:r>
          </w:p>
        </w:tc>
      </w:tr>
      <w:tr w:rsidR="00886A3C" w14:paraId="3982D1C1"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473AE43" w14:textId="77777777" w:rsidR="00886A3C" w:rsidRPr="007419F2"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Bulgarie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11F6D"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F5F54"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90557"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2E1E9CC5"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0F3F3"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BAEEE"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886A3C" w14:paraId="36134776" w14:textId="77777777" w:rsidTr="00886A3C">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B5A52A" w14:textId="77777777" w:rsidR="00886A3C" w:rsidRPr="007419F2"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Estonie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E241C"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29</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C1692"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AB50E"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4E90C801"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5BA30"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48587"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10 000 (1964)</w:t>
            </w:r>
          </w:p>
        </w:tc>
      </w:tr>
      <w:tr w:rsidR="00886A3C" w14:paraId="7474F582"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CA95548" w14:textId="77777777" w:rsidR="00886A3C" w:rsidRPr="007419F2"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Finlande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975B6" w14:textId="77777777" w:rsidR="00886A3C" w:rsidRPr="0099444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596B0" w14:textId="77777777" w:rsidR="00886A3C" w:rsidRPr="0099444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5</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2DA64" w14:textId="77777777" w:rsidR="00886A3C" w:rsidRPr="0099444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Couples</w:t>
            </w:r>
          </w:p>
          <w:p w14:paraId="7B912337" w14:textId="77777777" w:rsidR="00886A3C" w:rsidRPr="0099444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(reproduction)</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0DC9C" w14:textId="77777777" w:rsidR="00886A3C" w:rsidRPr="0099444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2009</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C083D" w14:textId="77777777" w:rsidR="00886A3C" w:rsidRPr="0099444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w:t>
            </w:r>
          </w:p>
        </w:tc>
      </w:tr>
      <w:tr w:rsidR="00886A3C" w14:paraId="71D1FABA"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45FB64E7" w14:textId="77777777" w:rsidR="00886A3C" w:rsidRPr="00194743" w:rsidRDefault="00886A3C" w:rsidP="00886A3C">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AC251" w14:textId="77777777" w:rsidR="00886A3C" w:rsidRPr="0099444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D7372" w14:textId="77777777" w:rsidR="00886A3C" w:rsidRPr="0099444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58</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2A3F8" w14:textId="77777777" w:rsidR="00886A3C" w:rsidRPr="0099444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68794CD7" w14:textId="77777777" w:rsidR="00886A3C" w:rsidRPr="0099444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5B597" w14:textId="77777777" w:rsidR="00886A3C" w:rsidRPr="0099444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42164" w14:textId="77777777" w:rsidR="00886A3C" w:rsidRPr="0099444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w:t>
            </w:r>
          </w:p>
        </w:tc>
      </w:tr>
      <w:tr w:rsidR="00886A3C" w14:paraId="3F1FEB89"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F8CA616"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Grèce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C5ED9" w14:textId="77777777" w:rsidR="00886A3C" w:rsidRPr="00306DC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53</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5FA843" w14:textId="77777777" w:rsidR="00886A3C" w:rsidRPr="00306DC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53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6EEE1"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22C6EDBB" w14:textId="77777777" w:rsidR="00886A3C" w:rsidRPr="00306DC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AD70E" w14:textId="77777777" w:rsidR="00886A3C" w:rsidRPr="00306DC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90FCD" w14:textId="77777777" w:rsidR="00886A3C" w:rsidRPr="00306DC0"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40 (1974)</w:t>
            </w:r>
          </w:p>
        </w:tc>
      </w:tr>
      <w:tr w:rsidR="00886A3C" w14:paraId="0B8740C8"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469BCC3A"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Hongrie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F6954D"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A88B5"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82</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B6A83"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6961E680"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49E34"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2008-2014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62BB2"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Pop</w:t>
            </w:r>
            <w:r>
              <w:rPr>
                <w:rFonts w:ascii="Times New Roman" w:hAnsi="Times New Roman" w:cs="Times New Roman"/>
                <w:sz w:val="20"/>
                <w:szCs w:val="20"/>
                <w:lang w:val="fr-FR"/>
              </w:rPr>
              <w:t>ulation</w:t>
            </w:r>
            <w:r w:rsidRPr="00EA77DE">
              <w:rPr>
                <w:rFonts w:ascii="Times New Roman" w:hAnsi="Times New Roman" w:cs="Times New Roman"/>
                <w:sz w:val="20"/>
                <w:szCs w:val="20"/>
                <w:lang w:val="fr-FR"/>
              </w:rPr>
              <w:t xml:space="preserve"> fennoscandienne env.</w:t>
            </w:r>
            <w:r w:rsidRPr="00BC6509">
              <w:rPr>
                <w:rFonts w:ascii="Times New Roman" w:hAnsi="Times New Roman" w:cs="Times New Roman"/>
                <w:sz w:val="20"/>
                <w:szCs w:val="20"/>
              </w:rPr>
              <w:t xml:space="preserve"> </w:t>
            </w:r>
            <w:r w:rsidRPr="00EA77DE">
              <w:rPr>
                <w:rFonts w:ascii="Times New Roman" w:hAnsi="Times New Roman" w:cs="Times New Roman"/>
                <w:sz w:val="20"/>
                <w:szCs w:val="20"/>
                <w:lang w:val="fr-FR"/>
              </w:rPr>
              <w:t>80</w:t>
            </w:r>
          </w:p>
        </w:tc>
      </w:tr>
      <w:tr w:rsidR="00886A3C" w:rsidRPr="00DE4CF4" w14:paraId="02A0D0D6"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5ECCE875" w14:textId="77777777" w:rsidR="00886A3C" w:rsidRPr="00194743" w:rsidRDefault="00886A3C" w:rsidP="00886A3C">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ECC5B"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F2C8ED"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40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30E54"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79198B5F"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4BA10"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2008-2014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2F013" w14:textId="77777777" w:rsidR="00886A3C" w:rsidRPr="004B1407"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EA77DE">
              <w:rPr>
                <w:rFonts w:ascii="Times New Roman" w:hAnsi="Times New Roman" w:cs="Times New Roman"/>
                <w:sz w:val="20"/>
                <w:szCs w:val="20"/>
                <w:lang w:val="fr-FR"/>
              </w:rPr>
              <w:t>Essentiellement pop. principale occidentale</w:t>
            </w:r>
            <w:r w:rsidRPr="004B1407">
              <w:rPr>
                <w:rFonts w:ascii="Times New Roman" w:hAnsi="Times New Roman" w:cs="Times New Roman"/>
                <w:sz w:val="20"/>
                <w:szCs w:val="20"/>
                <w:lang w:val="fr-FR"/>
              </w:rPr>
              <w:t xml:space="preserve"> </w:t>
            </w:r>
            <w:r w:rsidRPr="00EA77DE">
              <w:rPr>
                <w:rFonts w:ascii="Times New Roman" w:hAnsi="Times New Roman" w:cs="Times New Roman"/>
                <w:sz w:val="20"/>
                <w:szCs w:val="20"/>
                <w:lang w:val="fr-FR"/>
              </w:rPr>
              <w:t>8-13</w:t>
            </w:r>
            <w:r>
              <w:rPr>
                <w:rFonts w:ascii="Times New Roman" w:hAnsi="Times New Roman" w:cs="Times New Roman"/>
                <w:sz w:val="20"/>
                <w:szCs w:val="20"/>
                <w:lang w:val="fr-FR"/>
              </w:rPr>
              <w:t> </w:t>
            </w:r>
            <w:r w:rsidRPr="00EA77DE">
              <w:rPr>
                <w:rFonts w:ascii="Times New Roman" w:hAnsi="Times New Roman" w:cs="Times New Roman"/>
                <w:sz w:val="20"/>
                <w:szCs w:val="20"/>
                <w:lang w:val="fr-FR"/>
              </w:rPr>
              <w:t>000 ind.</w:t>
            </w:r>
          </w:p>
        </w:tc>
      </w:tr>
      <w:tr w:rsidR="00886A3C" w14:paraId="69FC1605"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6E78639A"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Iran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1FE31"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2750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14FED"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424CB"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sz w:val="20"/>
                <w:szCs w:val="20"/>
                <w:lang w:val="fr-FR"/>
              </w:rPr>
              <w:t>Individus</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45696"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AA656"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Inconnue</w:t>
            </w:r>
          </w:p>
        </w:tc>
      </w:tr>
      <w:tr w:rsidR="00886A3C" w14:paraId="092F8345"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6E5A36C"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lastRenderedPageBreak/>
              <w:t>Kazakhstan</w:t>
            </w:r>
            <w:r w:rsidRPr="00194743">
              <w:rPr>
                <w:rFonts w:ascii="Times New Roman" w:eastAsia="Calibri" w:hAnsi="Times New Roman" w:cs="Times New Roman"/>
                <w:b w:val="0"/>
                <w:sz w:val="20"/>
                <w:szCs w:val="20"/>
              </w:rPr>
              <w:t xml:space="preserve"> </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B2566"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96989D"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color w:val="000000"/>
                <w:sz w:val="20"/>
                <w:szCs w:val="20"/>
              </w:rPr>
              <w:t>19</w:t>
            </w:r>
            <w:r>
              <w:rPr>
                <w:rFonts w:ascii="Times New Roman" w:hAnsi="Times New Roman" w:cs="Times New Roman"/>
                <w:color w:val="000000"/>
                <w:sz w:val="20"/>
                <w:szCs w:val="20"/>
              </w:rPr>
              <w:t> </w:t>
            </w:r>
            <w:r w:rsidRPr="00BC6509">
              <w:rPr>
                <w:rFonts w:ascii="Times New Roman" w:hAnsi="Times New Roman" w:cs="Times New Roman"/>
                <w:color w:val="000000"/>
                <w:sz w:val="20"/>
                <w:szCs w:val="20"/>
              </w:rPr>
              <w:t>963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69A1B7"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A77DE">
              <w:rPr>
                <w:rFonts w:ascii="Times New Roman" w:hAnsi="Times New Roman" w:cs="Times New Roman"/>
                <w:color w:val="000000"/>
                <w:sz w:val="20"/>
                <w:szCs w:val="20"/>
                <w:lang w:val="fr-FR"/>
              </w:rPr>
              <w:t>Individus</w:t>
            </w:r>
          </w:p>
          <w:p w14:paraId="3B6DCBC9"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color w:val="000000"/>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2FC3D8"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color w:val="000000"/>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92FE8"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886A3C" w14:paraId="51934305"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ECB9314" w14:textId="77777777" w:rsidR="00886A3C" w:rsidRPr="005E26C4"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Pays-Bas</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65C20"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92D30" w14:textId="77777777" w:rsidR="00886A3C" w:rsidRPr="005E26C4"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Env. 10 oiseaux d</w:t>
            </w:r>
            <w:r>
              <w:rPr>
                <w:rFonts w:ascii="Times New Roman" w:hAnsi="Times New Roman" w:cs="Times New Roman"/>
                <w:sz w:val="20"/>
                <w:szCs w:val="20"/>
                <w:lang w:val="fr-FR"/>
              </w:rPr>
              <w:t>’</w:t>
            </w:r>
            <w:r w:rsidRPr="00EA77DE">
              <w:rPr>
                <w:rFonts w:ascii="Times New Roman" w:hAnsi="Times New Roman" w:cs="Times New Roman"/>
                <w:sz w:val="20"/>
                <w:szCs w:val="20"/>
                <w:lang w:val="fr-FR"/>
              </w:rPr>
              <w:t>origine sauvage</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7640E" w14:textId="77777777" w:rsidR="00886A3C" w:rsidRPr="004B1407"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EA77DE">
              <w:rPr>
                <w:rFonts w:ascii="Times New Roman" w:hAnsi="Times New Roman" w:cs="Times New Roman"/>
                <w:sz w:val="20"/>
                <w:szCs w:val="20"/>
                <w:lang w:val="fr-FR"/>
              </w:rPr>
              <w:t>Individus</w:t>
            </w:r>
          </w:p>
          <w:p w14:paraId="007629DB" w14:textId="77777777" w:rsidR="00886A3C" w:rsidRPr="004B1407"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fr-FR"/>
              </w:rPr>
            </w:pPr>
            <w:r w:rsidRPr="00EA77DE">
              <w:rPr>
                <w:rFonts w:ascii="Times New Roman" w:hAnsi="Times New Roman" w:cs="Times New Roman"/>
                <w:i/>
                <w:sz w:val="20"/>
                <w:szCs w:val="20"/>
                <w:lang w:val="fr-FR"/>
              </w:rPr>
              <w:t>(la reproduction a été communiquée)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075F3"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2005-2009</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9B861"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s.o.</w:t>
            </w:r>
          </w:p>
        </w:tc>
      </w:tr>
      <w:tr w:rsidR="00886A3C" w14:paraId="4CF69F7F"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97EF24E" w14:textId="77777777" w:rsidR="00886A3C" w:rsidRPr="005E26C4" w:rsidRDefault="00886A3C" w:rsidP="00886A3C">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26BDC"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46</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0A25F"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67</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21359"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3E9CE1F9"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5E07B"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2012/2013 - 2014/2015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18C0D"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&gt;20 (1989/1990, 120-127 (2003/2004)</w:t>
            </w:r>
          </w:p>
        </w:tc>
      </w:tr>
      <w:tr w:rsidR="00886A3C" w14:paraId="67D21357"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2C519DA2"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Norvège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9292A"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D1DE1"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25</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0109C"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Couples</w:t>
            </w:r>
          </w:p>
          <w:p w14:paraId="2B0A22A4"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sz w:val="20"/>
                <w:szCs w:val="20"/>
                <w:lang w:val="fr-FR"/>
              </w:rPr>
              <w:t>(reproduction)</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FABB2"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A9565"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886A3C" w14:paraId="0B715DB7" w14:textId="77777777" w:rsidTr="00886A3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13CCDAC"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Roumanie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AE387"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773AE"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DC40D"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6E66DCE5"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5238A"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16A21" w14:textId="77777777" w:rsidR="00886A3C" w:rsidRPr="00BC6509"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31-50 (1990-2000)</w:t>
            </w:r>
          </w:p>
        </w:tc>
      </w:tr>
      <w:tr w:rsidR="00886A3C" w14:paraId="2199E3E5" w14:textId="77777777" w:rsidTr="00886A3C">
        <w:trPr>
          <w:trHeight w:val="287"/>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724F446" w14:textId="77777777" w:rsidR="00886A3C" w:rsidRPr="00194743" w:rsidRDefault="00886A3C" w:rsidP="00886A3C">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BBDD25"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FCBBA"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77F02"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59301A6F"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302B2"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B2F7F" w14:textId="77777777" w:rsidR="00886A3C" w:rsidRPr="00BC650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31-50 (1990-2</w:t>
            </w:r>
            <w:r>
              <w:rPr>
                <w:rFonts w:ascii="Times New Roman" w:hAnsi="Times New Roman" w:cs="Times New Roman"/>
                <w:sz w:val="20"/>
                <w:szCs w:val="20"/>
              </w:rPr>
              <w:t> </w:t>
            </w:r>
            <w:r w:rsidRPr="00BC6509">
              <w:rPr>
                <w:rFonts w:ascii="Times New Roman" w:hAnsi="Times New Roman" w:cs="Times New Roman"/>
                <w:sz w:val="20"/>
                <w:szCs w:val="20"/>
              </w:rPr>
              <w:t>000)</w:t>
            </w:r>
          </w:p>
        </w:tc>
      </w:tr>
      <w:tr w:rsidR="00886A3C" w14:paraId="380A6BF3"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27C889FB"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Russie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22817" w14:textId="77777777" w:rsidR="00886A3C" w:rsidRPr="0054512D" w:rsidRDefault="00886A3C" w:rsidP="00886A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w:t>
            </w:r>
            <w:r>
              <w:rPr>
                <w:rFonts w:ascii="Times New Roman" w:hAnsi="Times New Roman" w:cs="Times New Roman"/>
                <w:sz w:val="20"/>
                <w:szCs w:val="20"/>
              </w:rPr>
              <w:t> </w:t>
            </w:r>
            <w:r w:rsidRPr="0054512D">
              <w:rPr>
                <w:rFonts w:ascii="Times New Roman" w:hAnsi="Times New Roman" w:cs="Times New Roman"/>
                <w:sz w:val="20"/>
                <w:szCs w:val="20"/>
              </w:rPr>
              <w:t>000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8E640" w14:textId="77777777" w:rsidR="00886A3C" w:rsidRPr="0054512D" w:rsidRDefault="00886A3C" w:rsidP="00886A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30</w:t>
            </w:r>
            <w:r>
              <w:rPr>
                <w:rFonts w:ascii="Times New Roman" w:hAnsi="Times New Roman" w:cs="Times New Roman"/>
                <w:sz w:val="20"/>
                <w:szCs w:val="20"/>
              </w:rPr>
              <w:t> </w:t>
            </w:r>
            <w:r w:rsidRPr="0054512D">
              <w:rPr>
                <w:rFonts w:ascii="Times New Roman" w:hAnsi="Times New Roman" w:cs="Times New Roman"/>
                <w:sz w:val="20"/>
                <w:szCs w:val="20"/>
              </w:rPr>
              <w:t>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614AC" w14:textId="77777777" w:rsidR="00886A3C" w:rsidRDefault="00886A3C" w:rsidP="00886A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09A3C1DC" w14:textId="77777777" w:rsidR="00886A3C" w:rsidRPr="0054512D" w:rsidRDefault="00886A3C" w:rsidP="00886A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(reproduction)</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0D150" w14:textId="77777777" w:rsidR="00886A3C" w:rsidRPr="0054512D" w:rsidRDefault="00886A3C" w:rsidP="00886A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AD356" w14:textId="77777777" w:rsidR="00886A3C" w:rsidRPr="0054512D" w:rsidRDefault="00886A3C" w:rsidP="00886A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6</w:t>
            </w:r>
            <w:r>
              <w:rPr>
                <w:rFonts w:ascii="Times New Roman" w:hAnsi="Times New Roman" w:cs="Times New Roman"/>
                <w:sz w:val="20"/>
                <w:szCs w:val="20"/>
              </w:rPr>
              <w:t> </w:t>
            </w:r>
            <w:r w:rsidRPr="0054512D">
              <w:rPr>
                <w:rFonts w:ascii="Times New Roman" w:hAnsi="Times New Roman" w:cs="Times New Roman"/>
                <w:sz w:val="20"/>
                <w:szCs w:val="20"/>
              </w:rPr>
              <w:t>000 (2004)</w:t>
            </w:r>
          </w:p>
        </w:tc>
      </w:tr>
      <w:tr w:rsidR="00886A3C" w14:paraId="3851D48E"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2DC1DBA" w14:textId="77777777" w:rsidR="00886A3C" w:rsidRDefault="00886A3C" w:rsidP="00886A3C">
            <w:pPr>
              <w:rPr>
                <w:rFonts w:ascii="Times New Roman" w:eastAsia="Calibri" w:hAnsi="Times New Roman" w:cs="Times New Roman"/>
                <w:b w:val="0"/>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D10E2" w14:textId="77777777" w:rsidR="00886A3C" w:rsidRPr="0054512D"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35</w:t>
            </w:r>
            <w:r>
              <w:rPr>
                <w:rFonts w:ascii="Times New Roman" w:hAnsi="Times New Roman" w:cs="Times New Roman"/>
                <w:sz w:val="20"/>
                <w:szCs w:val="20"/>
              </w:rPr>
              <w:t> </w:t>
            </w:r>
            <w:r w:rsidRPr="0054512D">
              <w:rPr>
                <w:rFonts w:ascii="Times New Roman" w:hAnsi="Times New Roman" w:cs="Times New Roman"/>
                <w:sz w:val="20"/>
                <w:szCs w:val="20"/>
              </w:rPr>
              <w:t>000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D7D4D" w14:textId="77777777" w:rsidR="00886A3C" w:rsidRPr="0054512D"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40</w:t>
            </w:r>
            <w:r>
              <w:rPr>
                <w:rFonts w:ascii="Times New Roman" w:hAnsi="Times New Roman" w:cs="Times New Roman"/>
                <w:sz w:val="20"/>
                <w:szCs w:val="20"/>
              </w:rPr>
              <w:t> </w:t>
            </w:r>
            <w:r w:rsidRPr="0054512D">
              <w:rPr>
                <w:rFonts w:ascii="Times New Roman" w:hAnsi="Times New Roman" w:cs="Times New Roman"/>
                <w:sz w:val="20"/>
                <w:szCs w:val="20"/>
              </w:rPr>
              <w:t>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CE397" w14:textId="77777777" w:rsidR="00886A3C"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7123F1EB" w14:textId="77777777" w:rsidR="00886A3C" w:rsidRPr="0054512D"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4AAF4" w14:textId="77777777" w:rsidR="00886A3C" w:rsidRPr="0054512D"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EF961" w14:textId="77777777" w:rsidR="00886A3C" w:rsidRPr="0054512D" w:rsidRDefault="00886A3C" w:rsidP="00886A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25</w:t>
            </w:r>
            <w:r>
              <w:rPr>
                <w:rFonts w:ascii="Times New Roman" w:hAnsi="Times New Roman" w:cs="Times New Roman"/>
                <w:sz w:val="20"/>
                <w:szCs w:val="20"/>
              </w:rPr>
              <w:t> </w:t>
            </w:r>
            <w:r w:rsidRPr="0054512D">
              <w:rPr>
                <w:rFonts w:ascii="Times New Roman" w:hAnsi="Times New Roman" w:cs="Times New Roman"/>
                <w:sz w:val="20"/>
                <w:szCs w:val="20"/>
              </w:rPr>
              <w:t>000 (2004)</w:t>
            </w:r>
          </w:p>
        </w:tc>
      </w:tr>
      <w:tr w:rsidR="00886A3C" w14:paraId="79BA5880"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36542F04" w14:textId="77777777" w:rsidR="00886A3C" w:rsidRDefault="00886A3C" w:rsidP="00886A3C">
            <w:pPr>
              <w:rPr>
                <w:rFonts w:ascii="Times New Roman" w:eastAsia="Calibri" w:hAnsi="Times New Roman" w:cs="Times New Roman"/>
                <w:b w:val="0"/>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C87B7"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4</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F5A76"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220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E38AF"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42A166EB"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61AF0"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2010/2011</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453A9"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s.o.</w:t>
            </w:r>
          </w:p>
        </w:tc>
      </w:tr>
      <w:tr w:rsidR="00886A3C" w14:paraId="70528BC5"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CE22C18"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Suède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C28FD4" w14:textId="77777777" w:rsidR="00886A3C" w:rsidRPr="00D46728"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51</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47C47" w14:textId="77777777" w:rsidR="00886A3C" w:rsidRPr="00D46728"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66</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0757A"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71D7A04F" w14:textId="77777777" w:rsidR="00886A3C" w:rsidRPr="00D46728"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sz w:val="20"/>
                <w:szCs w:val="20"/>
                <w:lang w:val="fr-FR"/>
              </w:rPr>
              <w:t>(reproduction)</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DF27A" w14:textId="77777777" w:rsidR="00886A3C" w:rsidRPr="00D46728"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C3539" w14:textId="77777777" w:rsidR="00886A3C" w:rsidRPr="00D46728"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s.o.</w:t>
            </w:r>
          </w:p>
        </w:tc>
      </w:tr>
      <w:tr w:rsidR="00886A3C" w14:paraId="08B3B755"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29C8EA05"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Turkménistan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6998F"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4</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DD153"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63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436D8"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59C8C034"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26C87"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2012,</w:t>
            </w:r>
            <w:r>
              <w:rPr>
                <w:rFonts w:ascii="Times New Roman" w:hAnsi="Times New Roman" w:cs="Times New Roman"/>
                <w:sz w:val="20"/>
                <w:szCs w:val="20"/>
              </w:rPr>
              <w:t xml:space="preserve"> </w:t>
            </w:r>
            <w:r w:rsidRPr="0054512D">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8A1E27" w14:textId="77777777" w:rsidR="00886A3C" w:rsidRPr="0054512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 xml:space="preserve">590 (1976) </w:t>
            </w:r>
          </w:p>
        </w:tc>
      </w:tr>
      <w:tr w:rsidR="00886A3C" w14:paraId="49570D58"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18CE06A"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Ukraine</w:t>
            </w:r>
            <w:r w:rsidRPr="00194743">
              <w:rPr>
                <w:rFonts w:ascii="Times New Roman" w:eastAsia="Calibri" w:hAnsi="Times New Roman" w:cs="Times New Roman"/>
                <w:b w:val="0"/>
                <w:sz w:val="20"/>
                <w:szCs w:val="20"/>
              </w:rPr>
              <w:t xml:space="preserve"> </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A269D"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8224A"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100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482EC7"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60373D1E"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309AE7"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379DD" w14:textId="77777777" w:rsidR="00886A3C" w:rsidRPr="005E26C4"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86A3C" w14:paraId="21F2EE15"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2BA7BEB0" w14:textId="77777777" w:rsidR="00886A3C" w:rsidRPr="00194743" w:rsidRDefault="00886A3C" w:rsidP="00886A3C">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B37FC"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F946B"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1</w:t>
            </w:r>
            <w:r>
              <w:rPr>
                <w:rFonts w:ascii="Times New Roman" w:hAnsi="Times New Roman" w:cs="Times New Roman"/>
                <w:sz w:val="20"/>
                <w:szCs w:val="20"/>
              </w:rPr>
              <w:t> </w:t>
            </w:r>
            <w:r w:rsidRPr="005E26C4">
              <w:rPr>
                <w:rFonts w:ascii="Times New Roman" w:hAnsi="Times New Roman" w:cs="Times New Roman"/>
                <w:sz w:val="20"/>
                <w:szCs w:val="20"/>
              </w:rPr>
              <w:t>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D867E"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007D5D67"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4F2C9"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2F5F7" w14:textId="77777777" w:rsidR="00886A3C" w:rsidRPr="005E26C4"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0-1</w:t>
            </w:r>
            <w:r>
              <w:rPr>
                <w:rFonts w:ascii="Times New Roman" w:hAnsi="Times New Roman" w:cs="Times New Roman"/>
                <w:sz w:val="20"/>
                <w:szCs w:val="20"/>
              </w:rPr>
              <w:t> </w:t>
            </w:r>
            <w:r w:rsidRPr="005E26C4">
              <w:rPr>
                <w:rFonts w:ascii="Times New Roman" w:hAnsi="Times New Roman" w:cs="Times New Roman"/>
                <w:sz w:val="20"/>
                <w:szCs w:val="20"/>
              </w:rPr>
              <w:t>000 (2010)</w:t>
            </w:r>
          </w:p>
        </w:tc>
      </w:tr>
      <w:tr w:rsidR="00886A3C" w14:paraId="1C5F9E0F" w14:textId="77777777" w:rsidTr="00886A3C">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FA45E16" w14:textId="77777777" w:rsidR="00886A3C" w:rsidRDefault="00886A3C" w:rsidP="00886A3C">
            <w:pPr>
              <w:rPr>
                <w:rFonts w:ascii="Times New Roman" w:hAnsi="Times New Roman" w:cs="Times New Roman"/>
                <w:b w:val="0"/>
                <w:sz w:val="20"/>
                <w:szCs w:val="20"/>
              </w:rPr>
            </w:pPr>
            <w:r w:rsidRPr="00EA77DE">
              <w:rPr>
                <w:rFonts w:ascii="Times New Roman" w:eastAsia="Calibri" w:hAnsi="Times New Roman" w:cs="Times New Roman"/>
                <w:b w:val="0"/>
                <w:sz w:val="20"/>
                <w:szCs w:val="20"/>
                <w:lang w:val="fr-FR"/>
              </w:rPr>
              <w:t>Ouzbékistan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A769D" w14:textId="77777777" w:rsidR="00886A3C" w:rsidRPr="00AD18D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50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5525C" w14:textId="77777777" w:rsidR="00886A3C" w:rsidRPr="00AD18D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9</w:t>
            </w:r>
            <w:r>
              <w:rPr>
                <w:rFonts w:ascii="Times New Roman" w:hAnsi="Times New Roman" w:cs="Times New Roman"/>
                <w:sz w:val="20"/>
                <w:szCs w:val="20"/>
              </w:rPr>
              <w:t> </w:t>
            </w:r>
            <w:r w:rsidRPr="00AD18DF">
              <w:rPr>
                <w:rFonts w:ascii="Times New Roman" w:hAnsi="Times New Roman" w:cs="Times New Roman"/>
                <w:sz w:val="20"/>
                <w:szCs w:val="20"/>
              </w:rPr>
              <w:t>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5476C"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7461D652" w14:textId="77777777" w:rsidR="00886A3C" w:rsidRPr="00AD18D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7EAB1" w14:textId="77777777" w:rsidR="00886A3C" w:rsidRPr="00AD18D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2005-2011</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37F82" w14:textId="77777777" w:rsidR="00886A3C" w:rsidRPr="00AD18D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1</w:t>
            </w:r>
            <w:r>
              <w:rPr>
                <w:rFonts w:ascii="Times New Roman" w:hAnsi="Times New Roman" w:cs="Times New Roman"/>
                <w:sz w:val="20"/>
                <w:szCs w:val="20"/>
              </w:rPr>
              <w:t> </w:t>
            </w:r>
            <w:r w:rsidRPr="00AD18DF">
              <w:rPr>
                <w:rFonts w:ascii="Times New Roman" w:hAnsi="Times New Roman" w:cs="Times New Roman"/>
                <w:sz w:val="20"/>
                <w:szCs w:val="20"/>
              </w:rPr>
              <w:t>000 (2011)</w:t>
            </w:r>
          </w:p>
        </w:tc>
      </w:tr>
      <w:tr w:rsidR="00886A3C" w14:paraId="64AD7E5A"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B3F546F" w14:textId="77777777" w:rsidR="00886A3C" w:rsidRPr="00194743" w:rsidRDefault="00886A3C" w:rsidP="00886A3C">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6D587" w14:textId="77777777" w:rsidR="00886A3C" w:rsidRPr="00AD18D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30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A8685" w14:textId="77777777" w:rsidR="00886A3C" w:rsidRPr="00AD18D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300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7540F"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77DE">
              <w:rPr>
                <w:rFonts w:ascii="Times New Roman" w:hAnsi="Times New Roman" w:cs="Times New Roman"/>
                <w:sz w:val="20"/>
                <w:szCs w:val="20"/>
                <w:lang w:val="fr-FR"/>
              </w:rPr>
              <w:t>Individus</w:t>
            </w:r>
          </w:p>
          <w:p w14:paraId="1A40C90D" w14:textId="77777777" w:rsidR="00886A3C" w:rsidRPr="00AD18D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A77DE">
              <w:rPr>
                <w:rFonts w:ascii="Times New Roman" w:hAnsi="Times New Roman" w:cs="Times New Roman"/>
                <w:i/>
                <w:sz w:val="20"/>
                <w:szCs w:val="20"/>
                <w:lang w:val="fr-FR"/>
              </w:rPr>
              <w:t>(hivernage)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DA61A" w14:textId="77777777" w:rsidR="00886A3C" w:rsidRPr="00AD18D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2005-2014</w:t>
            </w:r>
          </w:p>
        </w:tc>
        <w:tc>
          <w:tcPr>
            <w:tcW w:w="168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38A1DFF" w14:textId="77777777" w:rsidR="00886A3C" w:rsidRPr="00AD18D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100 (2012)</w:t>
            </w:r>
          </w:p>
        </w:tc>
      </w:tr>
    </w:tbl>
    <w:p w14:paraId="6ED51DCE" w14:textId="77777777" w:rsidR="00886A3C" w:rsidRDefault="00886A3C" w:rsidP="00886A3C">
      <w:pPr>
        <w:spacing w:after="0" w:line="240" w:lineRule="auto"/>
        <w:jc w:val="both"/>
        <w:rPr>
          <w:rFonts w:ascii="Times New Roman" w:hAnsi="Times New Roman" w:cs="Times New Roman"/>
          <w:lang w:val="en-US"/>
        </w:rPr>
      </w:pPr>
    </w:p>
    <w:p w14:paraId="00E5633F" w14:textId="77777777" w:rsidR="00886A3C" w:rsidRDefault="00886A3C" w:rsidP="00886A3C">
      <w:pPr>
        <w:spacing w:after="0" w:line="240" w:lineRule="auto"/>
        <w:rPr>
          <w:rFonts w:ascii="Times New Roman" w:hAnsi="Times New Roman" w:cs="Times New Roman"/>
          <w:i/>
          <w:lang w:val="en-US"/>
        </w:rPr>
      </w:pPr>
    </w:p>
    <w:p w14:paraId="7B1D21A7"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4. </w:t>
      </w:r>
      <w:r w:rsidRPr="00EA77DE">
        <w:rPr>
          <w:rFonts w:ascii="Times New Roman" w:hAnsi="Times New Roman" w:cs="Times New Roman"/>
          <w:i/>
          <w:lang w:val="fr-FR"/>
        </w:rPr>
        <w:t xml:space="preserve">Structures nationales de mise en œuvre </w:t>
      </w:r>
    </w:p>
    <w:p w14:paraId="27A10599" w14:textId="77777777" w:rsidR="00886A3C" w:rsidRPr="004B1407" w:rsidRDefault="00886A3C" w:rsidP="00886A3C">
      <w:pPr>
        <w:spacing w:after="0" w:line="240" w:lineRule="auto"/>
        <w:rPr>
          <w:rFonts w:ascii="Times New Roman" w:hAnsi="Times New Roman" w:cs="Times New Roman"/>
          <w:i/>
          <w:lang w:val="fr-FR"/>
        </w:rPr>
      </w:pPr>
    </w:p>
    <w:p w14:paraId="67607C3F" w14:textId="77777777" w:rsidR="00886A3C" w:rsidRPr="004B1407" w:rsidRDefault="00886A3C" w:rsidP="00886A3C">
      <w:pPr>
        <w:spacing w:after="0" w:line="240" w:lineRule="auto"/>
        <w:jc w:val="both"/>
        <w:rPr>
          <w:rFonts w:ascii="Times New Roman" w:hAnsi="Times New Roman" w:cs="Times New Roman"/>
          <w:lang w:val="fr-FR"/>
        </w:rPr>
      </w:pPr>
      <w:r w:rsidRPr="00EA77DE">
        <w:rPr>
          <w:rFonts w:ascii="Times New Roman" w:hAnsi="Times New Roman" w:cs="Times New Roman"/>
          <w:lang w:val="fr-FR"/>
        </w:rPr>
        <w:t>Huit États de l</w:t>
      </w:r>
      <w:r>
        <w:rPr>
          <w:rFonts w:ascii="Times New Roman" w:hAnsi="Times New Roman" w:cs="Times New Roman"/>
          <w:lang w:val="fr-FR"/>
        </w:rPr>
        <w:t>’</w:t>
      </w:r>
      <w:r w:rsidRPr="00EA77DE">
        <w:rPr>
          <w:rFonts w:ascii="Times New Roman" w:hAnsi="Times New Roman" w:cs="Times New Roman"/>
          <w:lang w:val="fr-FR"/>
        </w:rPr>
        <w:t>aire de répartition ont indiqué qu</w:t>
      </w:r>
      <w:r>
        <w:rPr>
          <w:rFonts w:ascii="Times New Roman" w:hAnsi="Times New Roman" w:cs="Times New Roman"/>
          <w:lang w:val="fr-FR"/>
        </w:rPr>
        <w:t>’</w:t>
      </w:r>
      <w:r w:rsidRPr="00EA77DE">
        <w:rPr>
          <w:rFonts w:ascii="Times New Roman" w:hAnsi="Times New Roman" w:cs="Times New Roman"/>
          <w:lang w:val="fr-FR"/>
        </w:rPr>
        <w:t>ils avaient adopté des plans d</w:t>
      </w:r>
      <w:r>
        <w:rPr>
          <w:rFonts w:ascii="Times New Roman" w:hAnsi="Times New Roman" w:cs="Times New Roman"/>
          <w:lang w:val="fr-FR"/>
        </w:rPr>
        <w:t>’</w:t>
      </w:r>
      <w:r w:rsidRPr="00EA77DE">
        <w:rPr>
          <w:rFonts w:ascii="Times New Roman" w:hAnsi="Times New Roman" w:cs="Times New Roman"/>
          <w:lang w:val="fr-FR"/>
        </w:rPr>
        <w:t>action nationaux</w:t>
      </w:r>
      <w:r>
        <w:rPr>
          <w:rFonts w:ascii="Times New Roman" w:hAnsi="Times New Roman" w:cs="Times New Roman"/>
          <w:lang w:val="fr-FR"/>
        </w:rPr>
        <w:t>,</w:t>
      </w:r>
      <w:r w:rsidRPr="00EA77DE">
        <w:rPr>
          <w:rFonts w:ascii="Times New Roman" w:hAnsi="Times New Roman" w:cs="Times New Roman"/>
          <w:lang w:val="fr-FR"/>
        </w:rPr>
        <w:t xml:space="preserve"> tandis que deux États de l</w:t>
      </w:r>
      <w:r>
        <w:rPr>
          <w:rFonts w:ascii="Times New Roman" w:hAnsi="Times New Roman" w:cs="Times New Roman"/>
          <w:lang w:val="fr-FR"/>
        </w:rPr>
        <w:t>’</w:t>
      </w:r>
      <w:r w:rsidRPr="00EA77DE">
        <w:rPr>
          <w:rFonts w:ascii="Times New Roman" w:hAnsi="Times New Roman" w:cs="Times New Roman"/>
          <w:lang w:val="fr-FR"/>
        </w:rPr>
        <w:t xml:space="preserve">aire de répartition sont en train de </w:t>
      </w:r>
      <w:r>
        <w:rPr>
          <w:rFonts w:ascii="Times New Roman" w:hAnsi="Times New Roman" w:cs="Times New Roman"/>
          <w:lang w:val="fr-FR"/>
        </w:rPr>
        <w:t xml:space="preserve">les </w:t>
      </w:r>
      <w:r w:rsidRPr="00EA77DE">
        <w:rPr>
          <w:rFonts w:ascii="Times New Roman" w:hAnsi="Times New Roman" w:cs="Times New Roman"/>
          <w:lang w:val="fr-FR"/>
        </w:rPr>
        <w:t>rédiger ou d</w:t>
      </w:r>
      <w:r>
        <w:rPr>
          <w:rFonts w:ascii="Times New Roman" w:hAnsi="Times New Roman" w:cs="Times New Roman"/>
          <w:lang w:val="fr-FR"/>
        </w:rPr>
        <w:t xml:space="preserve">e les </w:t>
      </w:r>
      <w:r w:rsidRPr="00EA77DE">
        <w:rPr>
          <w:rFonts w:ascii="Times New Roman" w:hAnsi="Times New Roman" w:cs="Times New Roman"/>
          <w:lang w:val="fr-FR"/>
        </w:rPr>
        <w:t>adopter.</w:t>
      </w:r>
      <w:r w:rsidRPr="004B1407">
        <w:rPr>
          <w:rFonts w:ascii="Times New Roman" w:hAnsi="Times New Roman" w:cs="Times New Roman"/>
          <w:lang w:val="fr-FR"/>
        </w:rPr>
        <w:t xml:space="preserve"> </w:t>
      </w:r>
      <w:r w:rsidRPr="00EA77DE">
        <w:rPr>
          <w:rFonts w:ascii="Times New Roman" w:hAnsi="Times New Roman" w:cs="Times New Roman"/>
          <w:lang w:val="fr-FR"/>
        </w:rPr>
        <w:t>Des progrès satisfaisants ont été réalisés dans l</w:t>
      </w:r>
      <w:r>
        <w:rPr>
          <w:rFonts w:ascii="Times New Roman" w:hAnsi="Times New Roman" w:cs="Times New Roman"/>
          <w:lang w:val="fr-FR"/>
        </w:rPr>
        <w:t>’établissement</w:t>
      </w:r>
      <w:r w:rsidRPr="00EA77DE">
        <w:rPr>
          <w:rFonts w:ascii="Times New Roman" w:hAnsi="Times New Roman" w:cs="Times New Roman"/>
          <w:lang w:val="fr-FR"/>
        </w:rPr>
        <w:t xml:space="preserve"> de groupes de travail nationaux, avec presque la moitié des États de l</w:t>
      </w:r>
      <w:r>
        <w:rPr>
          <w:rFonts w:ascii="Times New Roman" w:hAnsi="Times New Roman" w:cs="Times New Roman"/>
          <w:lang w:val="fr-FR"/>
        </w:rPr>
        <w:t>’</w:t>
      </w:r>
      <w:r w:rsidRPr="00EA77DE">
        <w:rPr>
          <w:rFonts w:ascii="Times New Roman" w:hAnsi="Times New Roman" w:cs="Times New Roman"/>
          <w:lang w:val="fr-FR"/>
        </w:rPr>
        <w:t xml:space="preserve">aire de répartition indiquant que ces groupes de travail nationaux sur </w:t>
      </w:r>
      <w:r>
        <w:rPr>
          <w:rFonts w:ascii="Times New Roman" w:hAnsi="Times New Roman" w:cs="Times New Roman"/>
          <w:lang w:val="fr-FR"/>
        </w:rPr>
        <w:t xml:space="preserve">l’Oie naine </w:t>
      </w:r>
      <w:r w:rsidRPr="00EA77DE">
        <w:rPr>
          <w:rFonts w:ascii="Times New Roman" w:hAnsi="Times New Roman" w:cs="Times New Roman"/>
          <w:lang w:val="fr-FR"/>
        </w:rPr>
        <w:t>sont en place.</w:t>
      </w:r>
      <w:r w:rsidRPr="004B1407">
        <w:rPr>
          <w:rFonts w:ascii="Times New Roman" w:hAnsi="Times New Roman" w:cs="Times New Roman"/>
          <w:lang w:val="fr-FR"/>
        </w:rPr>
        <w:t xml:space="preserve"> </w:t>
      </w:r>
    </w:p>
    <w:p w14:paraId="7B8B6988" w14:textId="77777777" w:rsidR="00886A3C" w:rsidRPr="004B1407" w:rsidRDefault="00886A3C" w:rsidP="00886A3C">
      <w:pPr>
        <w:spacing w:after="0" w:line="240" w:lineRule="auto"/>
        <w:rPr>
          <w:rFonts w:ascii="Arial" w:hAnsi="Arial" w:cs="Arial"/>
          <w:i/>
          <w:sz w:val="20"/>
          <w:szCs w:val="20"/>
          <w:lang w:val="fr-FR"/>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67"/>
      </w:tblGrid>
      <w:tr w:rsidR="00886A3C" w14:paraId="0ACAC000" w14:textId="77777777" w:rsidTr="00886A3C">
        <w:trPr>
          <w:trHeight w:val="3503"/>
        </w:trPr>
        <w:tc>
          <w:tcPr>
            <w:tcW w:w="4709" w:type="dxa"/>
            <w:hideMark/>
          </w:tcPr>
          <w:p w14:paraId="2E5C6EC8" w14:textId="77777777" w:rsidR="00886A3C" w:rsidRPr="009459F3" w:rsidRDefault="00886A3C" w:rsidP="00886A3C">
            <w:pPr>
              <w:rPr>
                <w:rFonts w:ascii="Arial" w:hAnsi="Arial" w:cs="Arial"/>
                <w:sz w:val="20"/>
                <w:szCs w:val="20"/>
              </w:rPr>
            </w:pPr>
            <w:r>
              <w:rPr>
                <w:noProof/>
              </w:rPr>
              <w:drawing>
                <wp:inline distT="0" distB="0" distL="0" distR="0" wp14:anchorId="39657ACA" wp14:editId="052477AB">
                  <wp:extent cx="2724150" cy="2133600"/>
                  <wp:effectExtent l="0" t="0" r="19050" b="1905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c>
          <w:tcPr>
            <w:tcW w:w="4467" w:type="dxa"/>
            <w:hideMark/>
          </w:tcPr>
          <w:p w14:paraId="2B12C98C" w14:textId="77777777" w:rsidR="00886A3C" w:rsidRDefault="00886A3C" w:rsidP="00886A3C">
            <w:pPr>
              <w:rPr>
                <w:rFonts w:ascii="Arial" w:hAnsi="Arial" w:cs="Arial"/>
                <w:i/>
                <w:sz w:val="20"/>
                <w:szCs w:val="20"/>
              </w:rPr>
            </w:pPr>
            <w:r>
              <w:rPr>
                <w:noProof/>
              </w:rPr>
              <w:drawing>
                <wp:inline distT="0" distB="0" distL="0" distR="0" wp14:anchorId="630F9E41" wp14:editId="69371A39">
                  <wp:extent cx="2533650" cy="2133600"/>
                  <wp:effectExtent l="0" t="0" r="19050" b="1905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r>
    </w:tbl>
    <w:p w14:paraId="1F34860F" w14:textId="77777777" w:rsidR="00886A3C" w:rsidRPr="00403C55" w:rsidRDefault="00886A3C" w:rsidP="00886A3C">
      <w:pPr>
        <w:tabs>
          <w:tab w:val="left" w:pos="851"/>
          <w:tab w:val="left" w:pos="2410"/>
          <w:tab w:val="left" w:pos="4536"/>
        </w:tabs>
        <w:spacing w:after="0" w:line="240" w:lineRule="auto"/>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Pr>
          <w:rFonts w:ascii="Times New Roman" w:hAnsi="Times New Roman" w:cs="Times New Roman"/>
          <w:lang w:val="fr-FR"/>
        </w:rPr>
        <w:t xml:space="preserve"> En progrès </w:t>
      </w:r>
      <w:r w:rsidRPr="00403C55">
        <w:rPr>
          <w:rFonts w:ascii="Times New Roman" w:hAnsi="Times New Roman" w:cs="Times New Roman"/>
          <w:lang w:val="fr-FR"/>
        </w:rPr>
        <w:tab/>
      </w:r>
      <w:r>
        <w:rPr>
          <w:rFonts w:ascii="Times New Roman" w:hAnsi="Times New Roman" w:cs="Times New Roman"/>
          <w:lang w:val="fr-FR"/>
        </w:rPr>
        <w:t> </w:t>
      </w:r>
      <w:r w:rsidRPr="00403C55">
        <w:rPr>
          <w:rFonts w:ascii="Times New Roman" w:hAnsi="Times New Roman" w:cs="Times New Roman"/>
          <w:lang w:val="fr-FR"/>
        </w:rPr>
        <w:t>Pas d</w:t>
      </w:r>
      <w:r>
        <w:rPr>
          <w:rFonts w:ascii="Times New Roman" w:hAnsi="Times New Roman" w:cs="Times New Roman"/>
          <w:lang w:val="fr-FR"/>
        </w:rPr>
        <w:t>’</w:t>
      </w:r>
      <w:r w:rsidRPr="00403C55">
        <w:rPr>
          <w:rFonts w:ascii="Times New Roman" w:hAnsi="Times New Roman" w:cs="Times New Roman"/>
          <w:lang w:val="fr-FR"/>
        </w:rPr>
        <w:t>information</w:t>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r>
      <w:r>
        <w:rPr>
          <w:rFonts w:ascii="Times New Roman" w:hAnsi="Times New Roman" w:cs="Times New Roman"/>
          <w:lang w:val="fr-FR"/>
        </w:rPr>
        <w:t>P</w:t>
      </w:r>
      <w:r w:rsidRPr="00403C55">
        <w:rPr>
          <w:rFonts w:ascii="Times New Roman" w:hAnsi="Times New Roman" w:cs="Times New Roman"/>
          <w:lang w:val="fr-FR"/>
        </w:rPr>
        <w:t>as d</w:t>
      </w:r>
      <w:r>
        <w:rPr>
          <w:rFonts w:ascii="Times New Roman" w:hAnsi="Times New Roman" w:cs="Times New Roman"/>
          <w:lang w:val="fr-FR"/>
        </w:rPr>
        <w:t>’</w:t>
      </w:r>
      <w:r w:rsidRPr="00403C55">
        <w:rPr>
          <w:rFonts w:ascii="Times New Roman" w:hAnsi="Times New Roman" w:cs="Times New Roman"/>
          <w:lang w:val="fr-FR"/>
        </w:rPr>
        <w:t>information</w:t>
      </w:r>
    </w:p>
    <w:p w14:paraId="3D07C0EB" w14:textId="77777777" w:rsidR="00886A3C" w:rsidRPr="004B1407" w:rsidRDefault="00886A3C" w:rsidP="00886A3C">
      <w:pPr>
        <w:spacing w:after="0" w:line="240" w:lineRule="auto"/>
        <w:rPr>
          <w:rFonts w:ascii="Arial" w:hAnsi="Arial" w:cs="Arial"/>
          <w:i/>
          <w:sz w:val="20"/>
          <w:szCs w:val="20"/>
          <w:lang w:val="fr-FR"/>
        </w:rPr>
      </w:pPr>
    </w:p>
    <w:p w14:paraId="6D80DE8B" w14:textId="77777777" w:rsidR="00886A3C" w:rsidRPr="004B1407" w:rsidRDefault="00886A3C" w:rsidP="00886A3C">
      <w:pPr>
        <w:spacing w:after="0" w:line="240" w:lineRule="auto"/>
        <w:rPr>
          <w:rFonts w:ascii="Arial" w:hAnsi="Arial" w:cs="Arial"/>
          <w:i/>
          <w:sz w:val="20"/>
          <w:szCs w:val="20"/>
          <w:lang w:val="fr-FR"/>
        </w:rPr>
      </w:pPr>
    </w:p>
    <w:p w14:paraId="03E67F46" w14:textId="77777777" w:rsidR="00886A3C" w:rsidRDefault="00886A3C" w:rsidP="00886A3C">
      <w:pPr>
        <w:spacing w:after="0" w:line="240" w:lineRule="auto"/>
        <w:rPr>
          <w:rFonts w:ascii="Arial" w:hAnsi="Arial" w:cs="Arial"/>
          <w:i/>
          <w:sz w:val="20"/>
          <w:szCs w:val="20"/>
          <w:lang w:val="fr-FR"/>
        </w:rPr>
      </w:pPr>
    </w:p>
    <w:p w14:paraId="737550CC" w14:textId="77777777" w:rsidR="004C07B7" w:rsidRPr="004B1407" w:rsidRDefault="004C07B7" w:rsidP="00886A3C">
      <w:pPr>
        <w:spacing w:after="0" w:line="240" w:lineRule="auto"/>
        <w:rPr>
          <w:rFonts w:ascii="Arial" w:hAnsi="Arial" w:cs="Arial"/>
          <w:i/>
          <w:sz w:val="20"/>
          <w:szCs w:val="20"/>
          <w:lang w:val="fr-FR"/>
        </w:rPr>
      </w:pPr>
    </w:p>
    <w:p w14:paraId="3CAD4ED0"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5. </w:t>
      </w:r>
      <w:r w:rsidRPr="00EA77DE">
        <w:rPr>
          <w:rFonts w:ascii="Times New Roman" w:hAnsi="Times New Roman" w:cs="Times New Roman"/>
          <w:i/>
          <w:lang w:val="fr-FR"/>
        </w:rPr>
        <w:t>Mise</w:t>
      </w:r>
      <w:r>
        <w:rPr>
          <w:rFonts w:ascii="Times New Roman" w:hAnsi="Times New Roman" w:cs="Times New Roman"/>
          <w:i/>
          <w:lang w:val="fr-FR"/>
        </w:rPr>
        <w:t xml:space="preserve"> </w:t>
      </w:r>
      <w:r w:rsidRPr="00EA77DE">
        <w:rPr>
          <w:rFonts w:ascii="Times New Roman" w:hAnsi="Times New Roman" w:cs="Times New Roman"/>
          <w:i/>
          <w:lang w:val="fr-FR"/>
        </w:rPr>
        <w:t xml:space="preserve">en œuvre des activités du </w:t>
      </w:r>
      <w:r>
        <w:rPr>
          <w:rFonts w:ascii="Times New Roman" w:hAnsi="Times New Roman" w:cs="Times New Roman"/>
          <w:i/>
          <w:lang w:val="fr-FR"/>
        </w:rPr>
        <w:t>plan</w:t>
      </w:r>
      <w:r w:rsidRPr="00EA77DE">
        <w:rPr>
          <w:rFonts w:ascii="Times New Roman" w:hAnsi="Times New Roman" w:cs="Times New Roman"/>
          <w:i/>
          <w:lang w:val="fr-FR"/>
        </w:rPr>
        <w:t xml:space="preserve"> d</w:t>
      </w:r>
      <w:r>
        <w:rPr>
          <w:rFonts w:ascii="Times New Roman" w:hAnsi="Times New Roman" w:cs="Times New Roman"/>
          <w:i/>
          <w:lang w:val="fr-FR"/>
        </w:rPr>
        <w:t>’</w:t>
      </w:r>
      <w:r w:rsidRPr="00EA77DE">
        <w:rPr>
          <w:rFonts w:ascii="Times New Roman" w:hAnsi="Times New Roman" w:cs="Times New Roman"/>
          <w:i/>
          <w:lang w:val="fr-FR"/>
        </w:rPr>
        <w:t>action</w:t>
      </w:r>
    </w:p>
    <w:p w14:paraId="5FB545BF" w14:textId="77777777" w:rsidR="00886A3C" w:rsidRPr="004B1407" w:rsidRDefault="00886A3C" w:rsidP="00886A3C">
      <w:pPr>
        <w:spacing w:after="0" w:line="240" w:lineRule="auto"/>
        <w:rPr>
          <w:rFonts w:ascii="Times New Roman" w:hAnsi="Times New Roman" w:cs="Times New Roman"/>
          <w:i/>
          <w:lang w:val="fr-FR"/>
        </w:rPr>
      </w:pPr>
    </w:p>
    <w:p w14:paraId="48419577" w14:textId="77777777" w:rsidR="00886A3C" w:rsidRPr="004B1407" w:rsidRDefault="00886A3C" w:rsidP="00886A3C">
      <w:pPr>
        <w:spacing w:after="0" w:line="240" w:lineRule="auto"/>
        <w:rPr>
          <w:rFonts w:ascii="Times New Roman" w:hAnsi="Times New Roman" w:cs="Times New Roman"/>
          <w:i/>
          <w:lang w:val="fr-FR"/>
        </w:rPr>
      </w:pPr>
      <w:r w:rsidRPr="00EA77DE">
        <w:rPr>
          <w:rFonts w:ascii="Times New Roman" w:hAnsi="Times New Roman" w:cs="Times New Roman"/>
          <w:i/>
          <w:lang w:val="fr-FR"/>
        </w:rPr>
        <w:t>5.1. Résultat 1 – Les taux de mortalité sont réduits</w:t>
      </w:r>
    </w:p>
    <w:p w14:paraId="170FD159" w14:textId="77777777" w:rsidR="00886A3C" w:rsidRPr="004B1407" w:rsidRDefault="00886A3C" w:rsidP="00886A3C">
      <w:pPr>
        <w:spacing w:after="0" w:line="240" w:lineRule="auto"/>
        <w:rPr>
          <w:rFonts w:ascii="Times New Roman" w:hAnsi="Times New Roman" w:cs="Times New Roman"/>
          <w:i/>
          <w:lang w:val="fr-FR"/>
        </w:rPr>
      </w:pPr>
    </w:p>
    <w:p w14:paraId="54DEF203" w14:textId="77777777" w:rsidR="00886A3C" w:rsidRPr="004B1407" w:rsidRDefault="00886A3C" w:rsidP="00886A3C">
      <w:pPr>
        <w:spacing w:after="0" w:line="240" w:lineRule="auto"/>
        <w:rPr>
          <w:rFonts w:ascii="Times New Roman" w:hAnsi="Times New Roman" w:cs="Times New Roman"/>
          <w:b/>
          <w:lang w:val="fr-FR"/>
        </w:rPr>
      </w:pPr>
      <w:r w:rsidRPr="00EA77DE">
        <w:rPr>
          <w:rFonts w:ascii="Times New Roman" w:hAnsi="Times New Roman" w:cs="Times New Roman"/>
          <w:lang w:val="fr-FR"/>
        </w:rPr>
        <w:t>La mise en œuvre</w:t>
      </w:r>
      <w:r>
        <w:rPr>
          <w:rFonts w:ascii="Times New Roman" w:hAnsi="Times New Roman" w:cs="Times New Roman"/>
          <w:lang w:val="fr-FR"/>
        </w:rPr>
        <w:t xml:space="preserve"> </w:t>
      </w:r>
      <w:r w:rsidRPr="00EA77DE">
        <w:rPr>
          <w:rFonts w:ascii="Times New Roman" w:hAnsi="Times New Roman" w:cs="Times New Roman"/>
          <w:lang w:val="fr-FR"/>
        </w:rPr>
        <w:t xml:space="preserve">de ce résultat a été classée comme étant </w:t>
      </w:r>
      <w:r w:rsidRPr="00EA77DE">
        <w:rPr>
          <w:rFonts w:ascii="Times New Roman" w:hAnsi="Times New Roman" w:cs="Times New Roman"/>
          <w:b/>
          <w:lang w:val="fr-FR"/>
        </w:rPr>
        <w:t>essentielle.</w:t>
      </w:r>
    </w:p>
    <w:p w14:paraId="07F73D27" w14:textId="77777777" w:rsidR="00886A3C" w:rsidRPr="004B1407" w:rsidRDefault="00886A3C" w:rsidP="00886A3C">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6884"/>
        <w:gridCol w:w="1726"/>
      </w:tblGrid>
      <w:tr w:rsidR="00886A3C" w:rsidRPr="00DE4CF4" w14:paraId="20D33F15"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F1AF66" w14:textId="77777777" w:rsidR="00886A3C" w:rsidRDefault="00886A3C" w:rsidP="00886A3C">
            <w:pPr>
              <w:jc w:val="both"/>
              <w:rPr>
                <w:rFonts w:ascii="Times New Roman" w:hAnsi="Times New Roman" w:cs="Times New Roman"/>
                <w:i/>
              </w:rPr>
            </w:pPr>
            <w:r w:rsidRPr="00EA77DE">
              <w:rPr>
                <w:rFonts w:ascii="Times New Roman" w:hAnsi="Times New Roman" w:cs="Times New Roman"/>
                <w:i/>
                <w:lang w:val="fr-FR"/>
              </w:rPr>
              <w:t>Activité</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E2B8AA" w14:textId="77777777" w:rsidR="00886A3C" w:rsidRPr="004B1407" w:rsidRDefault="00886A3C" w:rsidP="00886A3C">
            <w:pPr>
              <w:jc w:val="both"/>
              <w:rPr>
                <w:rFonts w:ascii="Times New Roman" w:hAnsi="Times New Roman" w:cs="Times New Roman"/>
                <w:i/>
                <w:lang w:val="fr-FR"/>
              </w:rPr>
            </w:pPr>
            <w:r w:rsidRPr="00EA77DE">
              <w:rPr>
                <w:rFonts w:ascii="Times New Roman" w:hAnsi="Times New Roman" w:cs="Times New Roman"/>
                <w:i/>
                <w:lang w:val="fr-FR"/>
              </w:rPr>
              <w:t xml:space="preserve">Taux de mise en œuvre </w:t>
            </w:r>
          </w:p>
        </w:tc>
      </w:tr>
      <w:tr w:rsidR="00886A3C" w:rsidRPr="00A726BC" w14:paraId="573F7C32" w14:textId="77777777" w:rsidTr="00886A3C">
        <w:trPr>
          <w:trHeight w:val="494"/>
        </w:trPr>
        <w:tc>
          <w:tcPr>
            <w:tcW w:w="6884" w:type="dxa"/>
            <w:tcBorders>
              <w:top w:val="single" w:sz="4" w:space="0" w:color="auto"/>
              <w:left w:val="single" w:sz="4" w:space="0" w:color="auto"/>
              <w:bottom w:val="single" w:sz="4" w:space="0" w:color="auto"/>
              <w:right w:val="single" w:sz="4" w:space="0" w:color="auto"/>
            </w:tcBorders>
          </w:tcPr>
          <w:p w14:paraId="6327BCB4" w14:textId="77777777" w:rsidR="00886A3C" w:rsidRPr="004B1407" w:rsidRDefault="00886A3C" w:rsidP="00886A3C">
            <w:pPr>
              <w:pStyle w:val="ListParagraph"/>
              <w:numPr>
                <w:ilvl w:val="1"/>
                <w:numId w:val="30"/>
              </w:numPr>
              <w:rPr>
                <w:rFonts w:ascii="Times New Roman" w:hAnsi="Times New Roman" w:cs="Times New Roman"/>
                <w:lang w:val="fr-FR"/>
              </w:rPr>
            </w:pPr>
            <w:r w:rsidRPr="00EB73C8">
              <w:rPr>
                <w:rFonts w:ascii="Times New Roman" w:hAnsi="Times New Roman" w:cs="Times New Roman"/>
                <w:lang w:val="fr-FR"/>
              </w:rPr>
              <w:t xml:space="preserve">La législation sur la chasse fournit, en principe, une protection adéquate </w:t>
            </w:r>
            <w:r>
              <w:rPr>
                <w:rFonts w:ascii="Times New Roman" w:hAnsi="Times New Roman" w:cs="Times New Roman"/>
                <w:lang w:val="fr-FR"/>
              </w:rPr>
              <w:t>aux</w:t>
            </w:r>
            <w:r w:rsidRPr="00EB73C8">
              <w:rPr>
                <w:rFonts w:ascii="Times New Roman" w:hAnsi="Times New Roman" w:cs="Times New Roman"/>
                <w:lang w:val="fr-FR"/>
              </w:rPr>
              <w:t xml:space="preserve"> oies naines.</w:t>
            </w:r>
          </w:p>
        </w:tc>
        <w:tc>
          <w:tcPr>
            <w:tcW w:w="1726" w:type="dxa"/>
            <w:tcBorders>
              <w:top w:val="single" w:sz="4" w:space="0" w:color="auto"/>
              <w:left w:val="single" w:sz="4" w:space="0" w:color="auto"/>
              <w:bottom w:val="single" w:sz="4" w:space="0" w:color="auto"/>
              <w:right w:val="single" w:sz="4" w:space="0" w:color="auto"/>
            </w:tcBorders>
          </w:tcPr>
          <w:p w14:paraId="067F2873" w14:textId="77777777" w:rsidR="00886A3C" w:rsidRDefault="00886A3C" w:rsidP="00886A3C">
            <w:pPr>
              <w:jc w:val="center"/>
              <w:rPr>
                <w:rFonts w:ascii="Times New Roman" w:hAnsi="Times New Roman" w:cs="Times New Roman"/>
              </w:rPr>
            </w:pPr>
            <w:r>
              <w:rPr>
                <w:rFonts w:ascii="Times New Roman" w:hAnsi="Times New Roman" w:cs="Times New Roman"/>
              </w:rPr>
              <w:t>59 %</w:t>
            </w:r>
          </w:p>
        </w:tc>
      </w:tr>
      <w:tr w:rsidR="00886A3C" w:rsidRPr="00A726BC" w14:paraId="4FD50540"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tcPr>
          <w:p w14:paraId="398C81C0" w14:textId="77777777" w:rsidR="00886A3C" w:rsidRPr="004B1407" w:rsidRDefault="00886A3C" w:rsidP="00886A3C">
            <w:pPr>
              <w:pStyle w:val="ListParagraph"/>
              <w:numPr>
                <w:ilvl w:val="1"/>
                <w:numId w:val="30"/>
              </w:numPr>
              <w:rPr>
                <w:rFonts w:ascii="Times New Roman" w:hAnsi="Times New Roman" w:cs="Times New Roman"/>
                <w:lang w:val="fr-FR"/>
              </w:rPr>
            </w:pPr>
            <w:r w:rsidRPr="00EB73C8">
              <w:rPr>
                <w:rFonts w:ascii="Times New Roman" w:hAnsi="Times New Roman" w:cs="Times New Roman"/>
                <w:lang w:val="fr-FR"/>
              </w:rPr>
              <w:t>Des ressources humaines et financières suffisantes sont allouées pour la mise en vigueur de la législation sur la chasse et des ressources sont déployées pour contrôler efficacement la chasse.</w:t>
            </w:r>
            <w:r w:rsidRPr="004B1407">
              <w:rPr>
                <w:rFonts w:ascii="Times New Roman" w:hAnsi="Times New Roman" w:cs="Times New Roman"/>
                <w:lang w:val="fr-FR"/>
              </w:rPr>
              <w:t xml:space="preserve"> </w:t>
            </w:r>
          </w:p>
        </w:tc>
        <w:tc>
          <w:tcPr>
            <w:tcW w:w="1726" w:type="dxa"/>
            <w:tcBorders>
              <w:top w:val="single" w:sz="4" w:space="0" w:color="auto"/>
              <w:left w:val="single" w:sz="4" w:space="0" w:color="auto"/>
              <w:bottom w:val="single" w:sz="4" w:space="0" w:color="auto"/>
              <w:right w:val="single" w:sz="4" w:space="0" w:color="auto"/>
            </w:tcBorders>
          </w:tcPr>
          <w:p w14:paraId="5E5A78B1" w14:textId="77777777" w:rsidR="00886A3C" w:rsidRDefault="00886A3C" w:rsidP="00886A3C">
            <w:pPr>
              <w:jc w:val="center"/>
              <w:rPr>
                <w:rFonts w:ascii="Times New Roman" w:hAnsi="Times New Roman" w:cs="Times New Roman"/>
              </w:rPr>
            </w:pPr>
            <w:r>
              <w:rPr>
                <w:rFonts w:ascii="Times New Roman" w:hAnsi="Times New Roman" w:cs="Times New Roman"/>
              </w:rPr>
              <w:t>23 %</w:t>
            </w:r>
          </w:p>
        </w:tc>
      </w:tr>
      <w:tr w:rsidR="00886A3C" w:rsidRPr="00A726BC" w14:paraId="3E0907CA" w14:textId="77777777" w:rsidTr="00886A3C">
        <w:trPr>
          <w:trHeight w:val="331"/>
        </w:trPr>
        <w:tc>
          <w:tcPr>
            <w:tcW w:w="6884" w:type="dxa"/>
            <w:tcBorders>
              <w:top w:val="single" w:sz="4" w:space="0" w:color="auto"/>
              <w:left w:val="single" w:sz="4" w:space="0" w:color="auto"/>
              <w:bottom w:val="single" w:sz="4" w:space="0" w:color="auto"/>
              <w:right w:val="single" w:sz="4" w:space="0" w:color="auto"/>
            </w:tcBorders>
          </w:tcPr>
          <w:p w14:paraId="3A37581E" w14:textId="77777777" w:rsidR="00886A3C" w:rsidRPr="004B1407" w:rsidRDefault="00886A3C" w:rsidP="00886A3C">
            <w:pPr>
              <w:pStyle w:val="ListParagraph"/>
              <w:numPr>
                <w:ilvl w:val="1"/>
                <w:numId w:val="30"/>
              </w:numPr>
              <w:rPr>
                <w:rFonts w:ascii="Times New Roman" w:hAnsi="Times New Roman" w:cs="Times New Roman"/>
                <w:lang w:val="fr-FR"/>
              </w:rPr>
            </w:pPr>
            <w:r w:rsidRPr="00B869BE">
              <w:rPr>
                <w:rFonts w:ascii="Times New Roman" w:hAnsi="Times New Roman" w:cs="Times New Roman"/>
                <w:lang w:val="fr-FR"/>
              </w:rPr>
              <w:t>Des ressources humaines et financières suffisantes ont été allouées</w:t>
            </w:r>
            <w:r>
              <w:rPr>
                <w:rFonts w:ascii="Times New Roman" w:hAnsi="Times New Roman" w:cs="Times New Roman"/>
                <w:lang w:val="fr-FR"/>
              </w:rPr>
              <w:t xml:space="preserve"> </w:t>
            </w:r>
            <w:r w:rsidRPr="00B869BE">
              <w:rPr>
                <w:rFonts w:ascii="Times New Roman" w:hAnsi="Times New Roman" w:cs="Times New Roman"/>
                <w:lang w:val="fr-FR"/>
              </w:rPr>
              <w:t>pour identifier la voie de migration et les sites de transit traditionnels, et pour rendre cette voie sans danger pour les oies.</w:t>
            </w:r>
          </w:p>
        </w:tc>
        <w:tc>
          <w:tcPr>
            <w:tcW w:w="1726" w:type="dxa"/>
            <w:tcBorders>
              <w:top w:val="single" w:sz="4" w:space="0" w:color="auto"/>
              <w:left w:val="single" w:sz="4" w:space="0" w:color="auto"/>
              <w:bottom w:val="single" w:sz="4" w:space="0" w:color="auto"/>
              <w:right w:val="single" w:sz="4" w:space="0" w:color="auto"/>
            </w:tcBorders>
          </w:tcPr>
          <w:p w14:paraId="783C5801" w14:textId="77777777" w:rsidR="00886A3C" w:rsidRDefault="00886A3C" w:rsidP="00886A3C">
            <w:pPr>
              <w:jc w:val="center"/>
              <w:rPr>
                <w:rFonts w:ascii="Times New Roman" w:hAnsi="Times New Roman" w:cs="Times New Roman"/>
              </w:rPr>
            </w:pPr>
            <w:r>
              <w:rPr>
                <w:rFonts w:ascii="Times New Roman" w:hAnsi="Times New Roman" w:cs="Times New Roman"/>
              </w:rPr>
              <w:t>45 %</w:t>
            </w:r>
          </w:p>
        </w:tc>
      </w:tr>
      <w:tr w:rsidR="00886A3C" w:rsidRPr="00967D03" w14:paraId="4804E9EC"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7B7C99BC" w14:textId="77777777" w:rsidR="00886A3C" w:rsidRPr="004B1407" w:rsidRDefault="00886A3C" w:rsidP="00886A3C">
            <w:pPr>
              <w:pStyle w:val="ListParagraph"/>
              <w:numPr>
                <w:ilvl w:val="1"/>
                <w:numId w:val="30"/>
              </w:numPr>
              <w:rPr>
                <w:rFonts w:ascii="Times New Roman" w:hAnsi="Times New Roman" w:cs="Times New Roman"/>
                <w:lang w:val="fr-FR"/>
              </w:rPr>
            </w:pPr>
            <w:r w:rsidRPr="00B869BE">
              <w:rPr>
                <w:rFonts w:ascii="Times New Roman" w:hAnsi="Times New Roman" w:cs="Times New Roman"/>
                <w:lang w:val="fr-FR"/>
              </w:rPr>
              <w:t>La chasse des oies a été interdite sur tous les sites clés pour l’Oie naine au cours des périodes pendant lesquelles elles sont généralement présentes.</w:t>
            </w:r>
          </w:p>
          <w:p w14:paraId="7622BAD4" w14:textId="77777777" w:rsidR="00886A3C" w:rsidRPr="004B1407" w:rsidRDefault="00886A3C" w:rsidP="00886A3C">
            <w:pPr>
              <w:rPr>
                <w:rFonts w:ascii="Times New Roman" w:hAnsi="Times New Roman" w:cs="Times New Roman"/>
                <w:lang w:val="fr-FR"/>
              </w:rPr>
            </w:pPr>
            <w:r w:rsidRPr="00EB73C8">
              <w:rPr>
                <w:rFonts w:ascii="Times New Roman" w:hAnsi="Times New Roman" w:cs="Times New Roman"/>
                <w:i/>
                <w:lang w:val="fr-FR"/>
              </w:rPr>
              <w:t>Indiquée comme étant non applicable par la Suède.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2D6648D5" w14:textId="77777777" w:rsidR="00886A3C" w:rsidRDefault="00886A3C" w:rsidP="00886A3C">
            <w:pPr>
              <w:jc w:val="center"/>
              <w:rPr>
                <w:rFonts w:ascii="Times New Roman" w:hAnsi="Times New Roman" w:cs="Times New Roman"/>
              </w:rPr>
            </w:pPr>
            <w:r>
              <w:rPr>
                <w:rFonts w:ascii="Times New Roman" w:hAnsi="Times New Roman" w:cs="Times New Roman"/>
              </w:rPr>
              <w:t>33 %</w:t>
            </w:r>
          </w:p>
        </w:tc>
      </w:tr>
      <w:tr w:rsidR="00886A3C" w:rsidRPr="00967D03" w14:paraId="47295D0D"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7F8ED4B4" w14:textId="77777777" w:rsidR="00886A3C" w:rsidRPr="004B1407" w:rsidRDefault="00886A3C" w:rsidP="00886A3C">
            <w:pPr>
              <w:pStyle w:val="ListParagraph"/>
              <w:numPr>
                <w:ilvl w:val="1"/>
                <w:numId w:val="30"/>
              </w:numPr>
              <w:rPr>
                <w:rFonts w:ascii="Times New Roman" w:hAnsi="Times New Roman" w:cs="Times New Roman"/>
                <w:lang w:val="fr-FR"/>
              </w:rPr>
            </w:pPr>
            <w:r w:rsidRPr="00B869BE">
              <w:rPr>
                <w:rFonts w:ascii="Times New Roman" w:hAnsi="Times New Roman" w:cs="Times New Roman"/>
                <w:lang w:val="fr-FR"/>
              </w:rPr>
              <w:t xml:space="preserve">Des zones adéquates d’interdiction de chasse (couvrant à la fois les sites de repos et d’alimentation) ont été mises en place sur tous les </w:t>
            </w:r>
            <w:r>
              <w:rPr>
                <w:rFonts w:ascii="Times New Roman" w:hAnsi="Times New Roman" w:cs="Times New Roman"/>
                <w:lang w:val="fr-FR"/>
              </w:rPr>
              <w:t>ZICO</w:t>
            </w:r>
            <w:r w:rsidRPr="00B869BE">
              <w:rPr>
                <w:rFonts w:ascii="Times New Roman" w:hAnsi="Times New Roman" w:cs="Times New Roman"/>
                <w:lang w:val="fr-FR"/>
              </w:rPr>
              <w:t>, SPA et sites Ramsar où se trouve l’Oie naine.</w:t>
            </w:r>
          </w:p>
          <w:p w14:paraId="2582F2A8" w14:textId="77777777" w:rsidR="00886A3C" w:rsidRPr="004B1407" w:rsidRDefault="00886A3C" w:rsidP="00886A3C">
            <w:pPr>
              <w:rPr>
                <w:rFonts w:ascii="Times New Roman" w:hAnsi="Times New Roman" w:cs="Times New Roman"/>
                <w:lang w:val="fr-FR"/>
              </w:rPr>
            </w:pPr>
            <w:r w:rsidRPr="00A171B6">
              <w:rPr>
                <w:rFonts w:ascii="Times New Roman" w:hAnsi="Times New Roman" w:cs="Times New Roman"/>
                <w:i/>
                <w:lang w:val="fr-FR"/>
              </w:rPr>
              <w:t>Indiquée comme étant non applicable par la Suède.</w:t>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2BA3D4D9" w14:textId="77777777" w:rsidR="00886A3C" w:rsidRDefault="00886A3C" w:rsidP="00886A3C">
            <w:pPr>
              <w:jc w:val="center"/>
              <w:rPr>
                <w:rFonts w:ascii="Times New Roman" w:hAnsi="Times New Roman" w:cs="Times New Roman"/>
              </w:rPr>
            </w:pPr>
            <w:r>
              <w:rPr>
                <w:rFonts w:ascii="Times New Roman" w:hAnsi="Times New Roman" w:cs="Times New Roman"/>
              </w:rPr>
              <w:t>29 %</w:t>
            </w:r>
          </w:p>
        </w:tc>
      </w:tr>
      <w:tr w:rsidR="00886A3C" w:rsidRPr="00A726BC" w14:paraId="7B7B09C0"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18E39BDC" w14:textId="77777777" w:rsidR="00886A3C" w:rsidRPr="004B1407" w:rsidRDefault="00886A3C" w:rsidP="00886A3C">
            <w:pPr>
              <w:pStyle w:val="ListParagraph"/>
              <w:numPr>
                <w:ilvl w:val="1"/>
                <w:numId w:val="30"/>
              </w:numPr>
              <w:rPr>
                <w:rFonts w:ascii="Times New Roman" w:hAnsi="Times New Roman" w:cs="Times New Roman"/>
                <w:lang w:val="fr-FR"/>
              </w:rPr>
            </w:pPr>
            <w:r w:rsidRPr="00B869BE">
              <w:rPr>
                <w:rFonts w:ascii="Times New Roman" w:hAnsi="Times New Roman" w:cs="Times New Roman"/>
                <w:lang w:val="fr-FR"/>
              </w:rPr>
              <w:t>Des cultures d’appât ont été plantées pour entraîner les oies naines loin de zones où l’on sait que la pression de la chasse est élevée.</w:t>
            </w:r>
          </w:p>
        </w:tc>
        <w:tc>
          <w:tcPr>
            <w:tcW w:w="1726" w:type="dxa"/>
            <w:tcBorders>
              <w:top w:val="single" w:sz="4" w:space="0" w:color="auto"/>
              <w:left w:val="single" w:sz="4" w:space="0" w:color="auto"/>
              <w:bottom w:val="single" w:sz="4" w:space="0" w:color="auto"/>
              <w:right w:val="single" w:sz="4" w:space="0" w:color="auto"/>
            </w:tcBorders>
          </w:tcPr>
          <w:p w14:paraId="6EDEFC1E"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A726BC" w14:paraId="719A6937"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3A31F885" w14:textId="77777777" w:rsidR="00886A3C" w:rsidRPr="00B869BE" w:rsidRDefault="00886A3C" w:rsidP="00886A3C">
            <w:pPr>
              <w:pStyle w:val="ListParagraph"/>
              <w:numPr>
                <w:ilvl w:val="1"/>
                <w:numId w:val="30"/>
              </w:numPr>
              <w:rPr>
                <w:rFonts w:ascii="Times New Roman" w:hAnsi="Times New Roman" w:cs="Times New Roman"/>
              </w:rPr>
            </w:pPr>
            <w:r w:rsidRPr="00B869BE">
              <w:rPr>
                <w:rFonts w:ascii="Times New Roman" w:hAnsi="Times New Roman" w:cs="Times New Roman"/>
                <w:lang w:val="fr-FR"/>
              </w:rPr>
              <w:t xml:space="preserve"> Des efforts ont été faits pour</w:t>
            </w:r>
            <w:r>
              <w:rPr>
                <w:rFonts w:ascii="Times New Roman" w:hAnsi="Times New Roman" w:cs="Times New Roman"/>
                <w:lang w:val="fr-FR"/>
              </w:rPr>
              <w:t xml:space="preserve"> </w:t>
            </w:r>
            <w:r w:rsidRPr="00B869BE">
              <w:rPr>
                <w:rFonts w:ascii="Times New Roman" w:hAnsi="Times New Roman" w:cs="Times New Roman"/>
                <w:lang w:val="fr-FR"/>
              </w:rPr>
              <w:t xml:space="preserve">rediriger la chasse des </w:t>
            </w:r>
            <w:r w:rsidRPr="00173898">
              <w:rPr>
                <w:rFonts w:ascii="Times New Roman" w:hAnsi="Times New Roman" w:cs="Times New Roman"/>
                <w:lang w:val="fr-FR"/>
              </w:rPr>
              <w:t>adultes vers les juvéniles</w:t>
            </w:r>
            <w:r w:rsidRPr="00B869BE">
              <w:rPr>
                <w:rFonts w:ascii="Times New Roman" w:hAnsi="Times New Roman" w:cs="Times New Roman"/>
                <w:lang w:val="fr-FR"/>
              </w:rPr>
              <w:t xml:space="preserve"> là où les oies rieuses et les oies naines sont présentes au même endroit.</w:t>
            </w:r>
            <w:r w:rsidRPr="004B1407">
              <w:rPr>
                <w:rFonts w:ascii="Times New Roman" w:hAnsi="Times New Roman" w:cs="Times New Roman"/>
                <w:lang w:val="fr-FR"/>
              </w:rPr>
              <w:t xml:space="preserve"> </w:t>
            </w:r>
            <w:r w:rsidRPr="00B869BE">
              <w:rPr>
                <w:rFonts w:ascii="Times New Roman" w:hAnsi="Times New Roman" w:cs="Times New Roman"/>
                <w:lang w:val="fr-FR"/>
              </w:rPr>
              <w:t>(Kazakhstan et Russie)</w:t>
            </w:r>
          </w:p>
        </w:tc>
        <w:tc>
          <w:tcPr>
            <w:tcW w:w="1726" w:type="dxa"/>
            <w:tcBorders>
              <w:top w:val="single" w:sz="4" w:space="0" w:color="auto"/>
              <w:left w:val="single" w:sz="4" w:space="0" w:color="auto"/>
              <w:bottom w:val="single" w:sz="4" w:space="0" w:color="auto"/>
              <w:right w:val="single" w:sz="4" w:space="0" w:color="auto"/>
            </w:tcBorders>
          </w:tcPr>
          <w:p w14:paraId="2A17E434"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A726BC" w14:paraId="57F2B526"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4BC36A60" w14:textId="77777777" w:rsidR="00886A3C" w:rsidRPr="004B1407" w:rsidRDefault="00886A3C" w:rsidP="00886A3C">
            <w:pPr>
              <w:pStyle w:val="ListParagraph"/>
              <w:numPr>
                <w:ilvl w:val="1"/>
                <w:numId w:val="30"/>
              </w:numPr>
              <w:rPr>
                <w:rFonts w:ascii="Times New Roman" w:hAnsi="Times New Roman" w:cs="Times New Roman"/>
                <w:lang w:val="fr-FR"/>
              </w:rPr>
            </w:pPr>
            <w:r w:rsidRPr="00B869BE">
              <w:rPr>
                <w:rFonts w:ascii="Times New Roman" w:hAnsi="Times New Roman" w:cs="Times New Roman"/>
                <w:lang w:val="fr-FR"/>
              </w:rPr>
              <w:t xml:space="preserve"> Des formations obligatoires pour la chasse des oies, telles que décrites dans la Charte de la chasse de la Convention de Berne (novembre 2007), ont été mises en œuvre</w:t>
            </w:r>
            <w:r>
              <w:rPr>
                <w:rFonts w:ascii="Times New Roman" w:hAnsi="Times New Roman" w:cs="Times New Roman"/>
                <w:lang w:val="fr-FR"/>
              </w:rPr>
              <w:t xml:space="preserve"> </w:t>
            </w:r>
            <w:r w:rsidRPr="00B869BE">
              <w:rPr>
                <w:rFonts w:ascii="Times New Roman" w:hAnsi="Times New Roman" w:cs="Times New Roman"/>
                <w:lang w:val="fr-FR"/>
              </w:rPr>
              <w:t>pour les chasseurs, tout particulièrement dans les pays est européens.</w:t>
            </w:r>
            <w:r w:rsidRPr="004B1407">
              <w:rPr>
                <w:rFonts w:ascii="Times New Roman" w:hAnsi="Times New Roman" w:cs="Times New Roman"/>
                <w:lang w:val="fr-FR"/>
              </w:rPr>
              <w:t xml:space="preserve"> </w:t>
            </w:r>
            <w:r w:rsidRPr="00B869BE">
              <w:rPr>
                <w:rFonts w:ascii="Times New Roman" w:hAnsi="Times New Roman" w:cs="Times New Roman"/>
                <w:lang w:val="fr-FR"/>
              </w:rPr>
              <w:t>(signataires de la Convention de Berne, Commission européenne)</w:t>
            </w:r>
            <w:r>
              <w:rPr>
                <w:rFonts w:ascii="Times New Roman" w:hAnsi="Times New Roman" w:cs="Times New Roman"/>
                <w:lang w:val="fr-FR"/>
              </w:rPr>
              <w:t xml:space="preserve">. </w:t>
            </w:r>
            <w:r w:rsidRPr="00B869BE">
              <w:rPr>
                <w:rFonts w:ascii="Times New Roman" w:hAnsi="Times New Roman" w:cs="Times New Roman"/>
                <w:i/>
                <w:lang w:val="fr-FR"/>
              </w:rPr>
              <w:t>Indiquée comme n’étant</w:t>
            </w:r>
            <w:r w:rsidRPr="00B869BE">
              <w:rPr>
                <w:rFonts w:ascii="Times New Roman" w:hAnsi="Times New Roman" w:cs="Times New Roman"/>
                <w:lang w:val="fr-FR"/>
              </w:rPr>
              <w:t xml:space="preserve"> </w:t>
            </w:r>
            <w:r w:rsidRPr="00B869BE">
              <w:rPr>
                <w:rFonts w:ascii="Times New Roman" w:hAnsi="Times New Roman" w:cs="Times New Roman"/>
                <w:i/>
                <w:lang w:val="fr-FR"/>
              </w:rPr>
              <w:t>pas applicable par quatre États de l’aire de répartition</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22D4C768" w14:textId="77777777" w:rsidR="00886A3C" w:rsidRDefault="00886A3C" w:rsidP="00886A3C">
            <w:pPr>
              <w:jc w:val="center"/>
              <w:rPr>
                <w:rFonts w:ascii="Times New Roman" w:hAnsi="Times New Roman" w:cs="Times New Roman"/>
              </w:rPr>
            </w:pPr>
            <w:r>
              <w:rPr>
                <w:rFonts w:ascii="Times New Roman" w:hAnsi="Times New Roman" w:cs="Times New Roman"/>
              </w:rPr>
              <w:t>28 %</w:t>
            </w:r>
          </w:p>
        </w:tc>
      </w:tr>
      <w:tr w:rsidR="00886A3C" w:rsidRPr="00A726BC" w14:paraId="040139E8" w14:textId="77777777" w:rsidTr="00886A3C">
        <w:trPr>
          <w:trHeight w:val="592"/>
        </w:trPr>
        <w:tc>
          <w:tcPr>
            <w:tcW w:w="6884" w:type="dxa"/>
            <w:tcBorders>
              <w:top w:val="single" w:sz="4" w:space="0" w:color="auto"/>
              <w:left w:val="single" w:sz="4" w:space="0" w:color="auto"/>
              <w:bottom w:val="single" w:sz="4" w:space="0" w:color="auto"/>
              <w:right w:val="single" w:sz="4" w:space="0" w:color="auto"/>
            </w:tcBorders>
          </w:tcPr>
          <w:p w14:paraId="151C60E1" w14:textId="77777777" w:rsidR="00886A3C" w:rsidRPr="004B1407" w:rsidRDefault="00886A3C" w:rsidP="00886A3C">
            <w:pPr>
              <w:pStyle w:val="ListParagraph"/>
              <w:numPr>
                <w:ilvl w:val="1"/>
                <w:numId w:val="30"/>
              </w:numPr>
              <w:rPr>
                <w:rFonts w:ascii="Times New Roman" w:hAnsi="Times New Roman" w:cs="Times New Roman"/>
                <w:lang w:val="fr-FR"/>
              </w:rPr>
            </w:pPr>
            <w:r w:rsidRPr="00B869BE">
              <w:rPr>
                <w:rFonts w:ascii="Times New Roman" w:hAnsi="Times New Roman" w:cs="Times New Roman"/>
                <w:lang w:val="fr-FR"/>
              </w:rPr>
              <w:t xml:space="preserve"> Une campagne d’information a été menée afin d’engager les organisations de chasse locales et européennes</w:t>
            </w:r>
            <w:r>
              <w:rPr>
                <w:rFonts w:ascii="Times New Roman" w:hAnsi="Times New Roman" w:cs="Times New Roman"/>
                <w:lang w:val="fr-FR"/>
              </w:rPr>
              <w:t>,</w:t>
            </w:r>
            <w:r w:rsidRPr="00B869BE">
              <w:rPr>
                <w:rFonts w:ascii="Times New Roman" w:hAnsi="Times New Roman" w:cs="Times New Roman"/>
                <w:lang w:val="fr-FR"/>
              </w:rPr>
              <w:t xml:space="preserve"> et les ONG s’occupant de la conservation</w:t>
            </w:r>
            <w:r w:rsidRPr="004B1407">
              <w:rPr>
                <w:rFonts w:ascii="Times New Roman" w:hAnsi="Times New Roman" w:cs="Times New Roman"/>
                <w:lang w:val="fr-FR"/>
              </w:rPr>
              <w:t xml:space="preserve"> </w:t>
            </w:r>
            <w:r w:rsidRPr="00B869BE">
              <w:rPr>
                <w:rFonts w:ascii="Times New Roman" w:hAnsi="Times New Roman" w:cs="Times New Roman"/>
                <w:lang w:val="fr-FR"/>
              </w:rPr>
              <w:t xml:space="preserve">(la question s’applique à la Norvège et aux États membres de l’UE). </w:t>
            </w:r>
            <w:r w:rsidRPr="00B869BE">
              <w:rPr>
                <w:rFonts w:ascii="Times New Roman" w:hAnsi="Times New Roman" w:cs="Times New Roman"/>
                <w:i/>
                <w:lang w:val="fr-FR"/>
              </w:rPr>
              <w:t>Indiquée comme n’étant</w:t>
            </w:r>
            <w:r w:rsidRPr="00B869BE">
              <w:rPr>
                <w:rFonts w:ascii="Times New Roman" w:hAnsi="Times New Roman" w:cs="Times New Roman"/>
                <w:lang w:val="fr-FR"/>
              </w:rPr>
              <w:t xml:space="preserve"> </w:t>
            </w:r>
            <w:r w:rsidRPr="00B869BE">
              <w:rPr>
                <w:rFonts w:ascii="Times New Roman" w:hAnsi="Times New Roman" w:cs="Times New Roman"/>
                <w:i/>
                <w:lang w:val="fr-FR"/>
              </w:rPr>
              <w:t>pas applicable par six États de l’aire de répartition</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7CBD44B1" w14:textId="77777777" w:rsidR="00886A3C" w:rsidRDefault="00886A3C" w:rsidP="00886A3C">
            <w:pPr>
              <w:jc w:val="center"/>
              <w:rPr>
                <w:rFonts w:ascii="Times New Roman" w:hAnsi="Times New Roman" w:cs="Times New Roman"/>
              </w:rPr>
            </w:pPr>
            <w:r>
              <w:rPr>
                <w:rFonts w:ascii="Times New Roman" w:hAnsi="Times New Roman" w:cs="Times New Roman"/>
              </w:rPr>
              <w:t>25 %</w:t>
            </w:r>
          </w:p>
        </w:tc>
      </w:tr>
    </w:tbl>
    <w:p w14:paraId="3E1739A5" w14:textId="77777777" w:rsidR="00886A3C" w:rsidRPr="00C600C2" w:rsidRDefault="00886A3C" w:rsidP="00886A3C">
      <w:pPr>
        <w:spacing w:after="0" w:line="240" w:lineRule="auto"/>
        <w:rPr>
          <w:rFonts w:ascii="Times New Roman" w:hAnsi="Times New Roman" w:cs="Times New Roman"/>
          <w:lang w:val="en-US"/>
        </w:rPr>
      </w:pPr>
    </w:p>
    <w:p w14:paraId="1C0B49E8" w14:textId="77777777" w:rsidR="00886A3C" w:rsidRPr="004B1407" w:rsidRDefault="00886A3C" w:rsidP="00886A3C">
      <w:pPr>
        <w:spacing w:after="0" w:line="240" w:lineRule="auto"/>
        <w:rPr>
          <w:rFonts w:ascii="Times New Roman" w:hAnsi="Times New Roman" w:cs="Times New Roman"/>
          <w:b/>
          <w:lang w:val="fr-FR"/>
        </w:rPr>
      </w:pPr>
      <w:r w:rsidRPr="00B020DE">
        <w:rPr>
          <w:rFonts w:ascii="Times New Roman" w:hAnsi="Times New Roman" w:cs="Times New Roman"/>
          <w:b/>
          <w:lang w:val="fr-FR"/>
        </w:rPr>
        <w:t>Taux moyen de mise en œuvre :</w:t>
      </w:r>
      <w:r w:rsidRPr="004B1407">
        <w:rPr>
          <w:rFonts w:ascii="Times New Roman" w:hAnsi="Times New Roman" w:cs="Times New Roman"/>
          <w:b/>
          <w:lang w:val="fr-FR"/>
        </w:rPr>
        <w:t xml:space="preserve"> 27 %</w:t>
      </w:r>
    </w:p>
    <w:p w14:paraId="781F1063" w14:textId="77777777" w:rsidR="00886A3C" w:rsidRPr="004B1407" w:rsidRDefault="00886A3C" w:rsidP="00886A3C">
      <w:pPr>
        <w:spacing w:after="0" w:line="240" w:lineRule="auto"/>
        <w:rPr>
          <w:rFonts w:ascii="Times New Roman" w:hAnsi="Times New Roman" w:cs="Times New Roman"/>
          <w:lang w:val="fr-FR"/>
        </w:rPr>
      </w:pPr>
    </w:p>
    <w:p w14:paraId="5AC48E44" w14:textId="77777777" w:rsidR="00886A3C" w:rsidRPr="004B1407" w:rsidRDefault="00886A3C" w:rsidP="00886A3C">
      <w:pPr>
        <w:spacing w:after="0" w:line="240" w:lineRule="auto"/>
        <w:rPr>
          <w:rFonts w:ascii="Times New Roman" w:hAnsi="Times New Roman" w:cs="Times New Roman"/>
          <w:i/>
          <w:lang w:val="fr-FR"/>
        </w:rPr>
      </w:pPr>
      <w:r w:rsidRPr="00B020DE">
        <w:rPr>
          <w:rFonts w:ascii="Times New Roman" w:hAnsi="Times New Roman" w:cs="Times New Roman"/>
          <w:i/>
          <w:lang w:val="fr-FR"/>
        </w:rPr>
        <w:t>5.2. Résultat 2 – La poursuite de la perte et de la dégradation des habitats est évitée</w:t>
      </w:r>
    </w:p>
    <w:p w14:paraId="41929A8C" w14:textId="77777777" w:rsidR="00886A3C" w:rsidRPr="004B1407" w:rsidRDefault="00886A3C" w:rsidP="00886A3C">
      <w:pPr>
        <w:spacing w:after="0" w:line="240" w:lineRule="auto"/>
        <w:rPr>
          <w:rFonts w:ascii="Times New Roman" w:hAnsi="Times New Roman" w:cs="Times New Roman"/>
          <w:lang w:val="fr-FR"/>
        </w:rPr>
      </w:pPr>
    </w:p>
    <w:p w14:paraId="303FD084" w14:textId="77777777" w:rsidR="00886A3C" w:rsidRPr="004B1407" w:rsidRDefault="00886A3C" w:rsidP="00886A3C">
      <w:pPr>
        <w:spacing w:after="0" w:line="240" w:lineRule="auto"/>
        <w:rPr>
          <w:rFonts w:ascii="Times New Roman" w:hAnsi="Times New Roman" w:cs="Times New Roman"/>
          <w:b/>
          <w:lang w:val="fr-FR"/>
        </w:rPr>
      </w:pPr>
      <w:r w:rsidRPr="00B020DE">
        <w:rPr>
          <w:rFonts w:ascii="Times New Roman" w:hAnsi="Times New Roman" w:cs="Times New Roman"/>
          <w:lang w:val="fr-FR"/>
        </w:rPr>
        <w:t>La mise en œuvre</w:t>
      </w:r>
      <w:r>
        <w:rPr>
          <w:rFonts w:ascii="Times New Roman" w:hAnsi="Times New Roman" w:cs="Times New Roman"/>
          <w:lang w:val="fr-FR"/>
        </w:rPr>
        <w:t xml:space="preserve"> </w:t>
      </w:r>
      <w:r w:rsidRPr="00B020DE">
        <w:rPr>
          <w:rFonts w:ascii="Times New Roman" w:hAnsi="Times New Roman" w:cs="Times New Roman"/>
          <w:lang w:val="fr-FR"/>
        </w:rPr>
        <w:t xml:space="preserve">de ce résultat a été classée comme étant </w:t>
      </w:r>
      <w:r w:rsidRPr="00B020DE">
        <w:rPr>
          <w:rFonts w:ascii="Times New Roman" w:hAnsi="Times New Roman" w:cs="Times New Roman"/>
          <w:b/>
          <w:lang w:val="fr-FR"/>
        </w:rPr>
        <w:t>élevée</w:t>
      </w:r>
      <w:r w:rsidRPr="00B020DE">
        <w:rPr>
          <w:rFonts w:ascii="Times New Roman" w:hAnsi="Times New Roman" w:cs="Times New Roman"/>
          <w:lang w:val="fr-FR"/>
        </w:rPr>
        <w:t>.</w:t>
      </w:r>
    </w:p>
    <w:p w14:paraId="1B2F21C3" w14:textId="77777777" w:rsidR="00886A3C" w:rsidRPr="004B1407" w:rsidRDefault="00886A3C" w:rsidP="00886A3C">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6884"/>
        <w:gridCol w:w="1726"/>
      </w:tblGrid>
      <w:tr w:rsidR="00886A3C" w:rsidRPr="00DE4CF4" w14:paraId="0985C140"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2EE617" w14:textId="77777777" w:rsidR="00886A3C" w:rsidRDefault="00886A3C" w:rsidP="00886A3C">
            <w:pPr>
              <w:jc w:val="both"/>
              <w:rPr>
                <w:rFonts w:ascii="Times New Roman" w:hAnsi="Times New Roman" w:cs="Times New Roman"/>
                <w:i/>
              </w:rPr>
            </w:pPr>
            <w:r w:rsidRPr="00B020DE">
              <w:rPr>
                <w:rFonts w:ascii="Times New Roman" w:hAnsi="Times New Roman" w:cs="Times New Roman"/>
                <w:i/>
                <w:lang w:val="fr-FR"/>
              </w:rPr>
              <w:t>Activité</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3DFFA8" w14:textId="77777777" w:rsidR="00886A3C" w:rsidRPr="004B1407" w:rsidRDefault="00886A3C" w:rsidP="00886A3C">
            <w:pPr>
              <w:jc w:val="both"/>
              <w:rPr>
                <w:rFonts w:ascii="Times New Roman" w:hAnsi="Times New Roman" w:cs="Times New Roman"/>
                <w:i/>
                <w:lang w:val="fr-FR"/>
              </w:rPr>
            </w:pPr>
            <w:r w:rsidRPr="00B020DE">
              <w:rPr>
                <w:rFonts w:ascii="Times New Roman" w:hAnsi="Times New Roman" w:cs="Times New Roman"/>
                <w:i/>
                <w:lang w:val="fr-FR"/>
              </w:rPr>
              <w:t xml:space="preserve">Taux de mise en œuvre </w:t>
            </w:r>
          </w:p>
        </w:tc>
      </w:tr>
      <w:tr w:rsidR="00886A3C" w:rsidRPr="00A726BC" w14:paraId="5C94EE42" w14:textId="77777777" w:rsidTr="00886A3C">
        <w:trPr>
          <w:trHeight w:val="494"/>
        </w:trPr>
        <w:tc>
          <w:tcPr>
            <w:tcW w:w="6884" w:type="dxa"/>
            <w:tcBorders>
              <w:top w:val="single" w:sz="4" w:space="0" w:color="auto"/>
              <w:left w:val="single" w:sz="4" w:space="0" w:color="auto"/>
              <w:bottom w:val="single" w:sz="4" w:space="0" w:color="auto"/>
              <w:right w:val="single" w:sz="4" w:space="0" w:color="auto"/>
            </w:tcBorders>
          </w:tcPr>
          <w:p w14:paraId="6B537968" w14:textId="77777777" w:rsidR="00886A3C" w:rsidRPr="004B1407" w:rsidRDefault="00886A3C" w:rsidP="00886A3C">
            <w:pPr>
              <w:rPr>
                <w:rFonts w:ascii="Times New Roman" w:hAnsi="Times New Roman" w:cs="Times New Roman"/>
                <w:lang w:val="fr-FR"/>
              </w:rPr>
            </w:pPr>
            <w:r w:rsidRPr="00B020DE">
              <w:rPr>
                <w:rFonts w:ascii="Times New Roman" w:hAnsi="Times New Roman" w:cs="Times New Roman"/>
                <w:lang w:val="fr-FR"/>
              </w:rPr>
              <w:t>2.1</w:t>
            </w:r>
            <w:r>
              <w:rPr>
                <w:rFonts w:ascii="Times New Roman" w:hAnsi="Times New Roman" w:cs="Times New Roman"/>
                <w:lang w:val="fr-FR"/>
              </w:rPr>
              <w:t>.</w:t>
            </w:r>
            <w:r w:rsidRPr="00B020DE">
              <w:rPr>
                <w:rFonts w:ascii="Times New Roman" w:hAnsi="Times New Roman" w:cs="Times New Roman"/>
                <w:lang w:val="fr-FR"/>
              </w:rPr>
              <w:t xml:space="preserve"> Tous les sites clés de l</w:t>
            </w:r>
            <w:r>
              <w:rPr>
                <w:rFonts w:ascii="Times New Roman" w:hAnsi="Times New Roman" w:cs="Times New Roman"/>
                <w:lang w:val="fr-FR"/>
              </w:rPr>
              <w:t>’</w:t>
            </w:r>
            <w:r w:rsidRPr="00B020DE">
              <w:rPr>
                <w:rFonts w:ascii="Times New Roman" w:hAnsi="Times New Roman" w:cs="Times New Roman"/>
                <w:lang w:val="fr-FR"/>
              </w:rPr>
              <w:t>Oie naine bénéficient de statuts appropriés d</w:t>
            </w:r>
            <w:r>
              <w:rPr>
                <w:rFonts w:ascii="Times New Roman" w:hAnsi="Times New Roman" w:cs="Times New Roman"/>
                <w:lang w:val="fr-FR"/>
              </w:rPr>
              <w:t>’</w:t>
            </w:r>
            <w:r w:rsidRPr="00B020DE">
              <w:rPr>
                <w:rFonts w:ascii="Times New Roman" w:hAnsi="Times New Roman" w:cs="Times New Roman"/>
                <w:lang w:val="fr-FR"/>
              </w:rPr>
              <w:t>aire protégées aux niveaux national et international.</w:t>
            </w:r>
          </w:p>
        </w:tc>
        <w:tc>
          <w:tcPr>
            <w:tcW w:w="1726" w:type="dxa"/>
            <w:tcBorders>
              <w:top w:val="single" w:sz="4" w:space="0" w:color="auto"/>
              <w:left w:val="single" w:sz="4" w:space="0" w:color="auto"/>
              <w:bottom w:val="single" w:sz="4" w:space="0" w:color="auto"/>
              <w:right w:val="single" w:sz="4" w:space="0" w:color="auto"/>
            </w:tcBorders>
          </w:tcPr>
          <w:p w14:paraId="7C657DB8" w14:textId="77777777" w:rsidR="00886A3C" w:rsidRDefault="00886A3C" w:rsidP="00886A3C">
            <w:pPr>
              <w:jc w:val="center"/>
              <w:rPr>
                <w:rFonts w:ascii="Times New Roman" w:hAnsi="Times New Roman" w:cs="Times New Roman"/>
              </w:rPr>
            </w:pPr>
            <w:r>
              <w:rPr>
                <w:rFonts w:ascii="Times New Roman" w:hAnsi="Times New Roman" w:cs="Times New Roman"/>
              </w:rPr>
              <w:t>32 %</w:t>
            </w:r>
          </w:p>
        </w:tc>
      </w:tr>
      <w:tr w:rsidR="00886A3C" w:rsidRPr="00A726BC" w14:paraId="67504C6A"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tcPr>
          <w:p w14:paraId="588541E7" w14:textId="77777777" w:rsidR="00886A3C" w:rsidRPr="004B1407" w:rsidRDefault="00886A3C" w:rsidP="00886A3C">
            <w:pPr>
              <w:rPr>
                <w:rFonts w:ascii="Times New Roman" w:hAnsi="Times New Roman" w:cs="Times New Roman"/>
                <w:lang w:val="fr-FR"/>
              </w:rPr>
            </w:pPr>
            <w:r w:rsidRPr="00BF462A">
              <w:rPr>
                <w:rFonts w:ascii="Times New Roman" w:hAnsi="Times New Roman" w:cs="Times New Roman"/>
                <w:lang w:val="fr-FR"/>
              </w:rPr>
              <w:t>2.2. Tous les sites clés de l</w:t>
            </w:r>
            <w:r>
              <w:rPr>
                <w:rFonts w:ascii="Times New Roman" w:hAnsi="Times New Roman" w:cs="Times New Roman"/>
                <w:lang w:val="fr-FR"/>
              </w:rPr>
              <w:t>’</w:t>
            </w:r>
            <w:r w:rsidRPr="00BF462A">
              <w:rPr>
                <w:rFonts w:ascii="Times New Roman" w:hAnsi="Times New Roman" w:cs="Times New Roman"/>
                <w:lang w:val="fr-FR"/>
              </w:rPr>
              <w:t xml:space="preserve">Oie naine ont </w:t>
            </w:r>
            <w:r w:rsidRPr="006D459E">
              <w:rPr>
                <w:rFonts w:ascii="Times New Roman" w:hAnsi="Times New Roman" w:cs="Times New Roman"/>
                <w:lang w:val="fr-FR"/>
              </w:rPr>
              <w:t>des plans de gestion qui</w:t>
            </w:r>
            <w:r w:rsidRPr="00BF462A">
              <w:rPr>
                <w:rFonts w:ascii="Times New Roman" w:hAnsi="Times New Roman" w:cs="Times New Roman"/>
                <w:lang w:val="fr-FR"/>
              </w:rPr>
              <w:t xml:space="preserve"> prennent en main les exigences de conservation de l</w:t>
            </w:r>
            <w:r>
              <w:rPr>
                <w:rFonts w:ascii="Times New Roman" w:hAnsi="Times New Roman" w:cs="Times New Roman"/>
                <w:lang w:val="fr-FR"/>
              </w:rPr>
              <w:t>’</w:t>
            </w:r>
            <w:r w:rsidRPr="00BF462A">
              <w:rPr>
                <w:rFonts w:ascii="Times New Roman" w:hAnsi="Times New Roman" w:cs="Times New Roman"/>
                <w:lang w:val="fr-FR"/>
              </w:rPr>
              <w:t>espèce.</w:t>
            </w:r>
          </w:p>
        </w:tc>
        <w:tc>
          <w:tcPr>
            <w:tcW w:w="1726" w:type="dxa"/>
            <w:tcBorders>
              <w:top w:val="single" w:sz="4" w:space="0" w:color="auto"/>
              <w:left w:val="single" w:sz="4" w:space="0" w:color="auto"/>
              <w:bottom w:val="single" w:sz="4" w:space="0" w:color="auto"/>
              <w:right w:val="single" w:sz="4" w:space="0" w:color="auto"/>
            </w:tcBorders>
          </w:tcPr>
          <w:p w14:paraId="0B3E124A" w14:textId="77777777" w:rsidR="00886A3C" w:rsidRDefault="00886A3C" w:rsidP="00886A3C">
            <w:pPr>
              <w:jc w:val="center"/>
              <w:rPr>
                <w:rFonts w:ascii="Times New Roman" w:hAnsi="Times New Roman" w:cs="Times New Roman"/>
              </w:rPr>
            </w:pPr>
            <w:r>
              <w:rPr>
                <w:rFonts w:ascii="Times New Roman" w:hAnsi="Times New Roman" w:cs="Times New Roman"/>
              </w:rPr>
              <w:t>9 %</w:t>
            </w:r>
          </w:p>
        </w:tc>
      </w:tr>
      <w:tr w:rsidR="00886A3C" w:rsidRPr="00A726BC" w14:paraId="16E18BE8" w14:textId="77777777" w:rsidTr="00886A3C">
        <w:trPr>
          <w:trHeight w:val="331"/>
        </w:trPr>
        <w:tc>
          <w:tcPr>
            <w:tcW w:w="6884" w:type="dxa"/>
            <w:tcBorders>
              <w:top w:val="single" w:sz="4" w:space="0" w:color="auto"/>
              <w:left w:val="single" w:sz="4" w:space="0" w:color="auto"/>
              <w:bottom w:val="single" w:sz="4" w:space="0" w:color="auto"/>
              <w:right w:val="single" w:sz="4" w:space="0" w:color="auto"/>
            </w:tcBorders>
          </w:tcPr>
          <w:p w14:paraId="0E906CCE" w14:textId="77777777" w:rsidR="00886A3C" w:rsidRPr="004B1407" w:rsidRDefault="00886A3C" w:rsidP="00886A3C">
            <w:pPr>
              <w:rPr>
                <w:rFonts w:ascii="Times New Roman" w:hAnsi="Times New Roman" w:cs="Times New Roman"/>
                <w:lang w:val="fr-FR"/>
              </w:rPr>
            </w:pPr>
            <w:r w:rsidRPr="00BF462A">
              <w:rPr>
                <w:rFonts w:ascii="Times New Roman" w:hAnsi="Times New Roman" w:cs="Times New Roman"/>
                <w:lang w:val="fr-FR"/>
              </w:rPr>
              <w:lastRenderedPageBreak/>
              <w:t>2.3. La qualité des habitats dans l</w:t>
            </w:r>
            <w:r>
              <w:rPr>
                <w:rFonts w:ascii="Times New Roman" w:hAnsi="Times New Roman" w:cs="Times New Roman"/>
                <w:lang w:val="fr-FR"/>
              </w:rPr>
              <w:t>’</w:t>
            </w:r>
            <w:r w:rsidRPr="00BF462A">
              <w:rPr>
                <w:rFonts w:ascii="Times New Roman" w:hAnsi="Times New Roman" w:cs="Times New Roman"/>
                <w:lang w:val="fr-FR"/>
              </w:rPr>
              <w:t>aire de reproduction est surveillée afin de garantir que les pressions anthropogéniques – y compris les impacts potentiels du changement climatique – sont identifiées le plus tôt possible</w:t>
            </w:r>
            <w:r w:rsidRPr="004B1407">
              <w:rPr>
                <w:rFonts w:ascii="Times New Roman" w:hAnsi="Times New Roman" w:cs="Times New Roman"/>
                <w:lang w:val="fr-FR"/>
              </w:rPr>
              <w:t xml:space="preserve"> </w:t>
            </w:r>
            <w:r w:rsidRPr="00BF462A">
              <w:rPr>
                <w:rFonts w:ascii="Times New Roman" w:hAnsi="Times New Roman" w:cs="Times New Roman"/>
                <w:lang w:val="fr-FR"/>
              </w:rPr>
              <w:t>(Finlande, Norvège, Russie et Suède)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55AADCB2"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967D03" w14:paraId="346A74DC"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65C104B1" w14:textId="77777777" w:rsidR="00886A3C" w:rsidRPr="004B1407" w:rsidRDefault="00886A3C" w:rsidP="00886A3C">
            <w:pPr>
              <w:rPr>
                <w:rFonts w:ascii="Times New Roman" w:hAnsi="Times New Roman" w:cs="Times New Roman"/>
                <w:lang w:val="fr-FR"/>
              </w:rPr>
            </w:pPr>
            <w:r w:rsidRPr="00BF462A">
              <w:rPr>
                <w:rFonts w:ascii="Times New Roman" w:hAnsi="Times New Roman" w:cs="Times New Roman"/>
                <w:lang w:val="fr-FR"/>
              </w:rPr>
              <w:t>2.4 Des mesures sont prises pour restaurer ou réhabiliter les habitats de repos ou d</w:t>
            </w:r>
            <w:r>
              <w:rPr>
                <w:rFonts w:ascii="Times New Roman" w:hAnsi="Times New Roman" w:cs="Times New Roman"/>
                <w:lang w:val="fr-FR"/>
              </w:rPr>
              <w:t>’</w:t>
            </w:r>
            <w:r w:rsidRPr="00BF462A">
              <w:rPr>
                <w:rFonts w:ascii="Times New Roman" w:hAnsi="Times New Roman" w:cs="Times New Roman"/>
                <w:lang w:val="fr-FR"/>
              </w:rPr>
              <w:t>alimentation de l</w:t>
            </w:r>
            <w:r>
              <w:rPr>
                <w:rFonts w:ascii="Times New Roman" w:hAnsi="Times New Roman" w:cs="Times New Roman"/>
                <w:lang w:val="fr-FR"/>
              </w:rPr>
              <w:t>’</w:t>
            </w:r>
            <w:r w:rsidRPr="00BF462A">
              <w:rPr>
                <w:rFonts w:ascii="Times New Roman" w:hAnsi="Times New Roman" w:cs="Times New Roman"/>
                <w:lang w:val="fr-FR"/>
              </w:rPr>
              <w:t>Oie naine.</w:t>
            </w:r>
            <w:r w:rsidRPr="004B1407">
              <w:rPr>
                <w:rFonts w:ascii="Times New Roman" w:hAnsi="Times New Roman" w:cs="Times New Roman"/>
                <w:i/>
                <w:lang w:val="fr-FR"/>
              </w:rPr>
              <w:t xml:space="preserve"> </w:t>
            </w:r>
            <w:r w:rsidRPr="00BF462A">
              <w:rPr>
                <w:rFonts w:ascii="Times New Roman" w:hAnsi="Times New Roman" w:cs="Times New Roman"/>
                <w:i/>
                <w:lang w:val="fr-FR"/>
              </w:rPr>
              <w:t>(Deux États de l</w:t>
            </w:r>
            <w:r>
              <w:rPr>
                <w:rFonts w:ascii="Times New Roman" w:hAnsi="Times New Roman" w:cs="Times New Roman"/>
                <w:i/>
                <w:lang w:val="fr-FR"/>
              </w:rPr>
              <w:t>’</w:t>
            </w:r>
            <w:r w:rsidRPr="00BF462A">
              <w:rPr>
                <w:rFonts w:ascii="Times New Roman" w:hAnsi="Times New Roman" w:cs="Times New Roman"/>
                <w:i/>
                <w:lang w:val="fr-FR"/>
              </w:rPr>
              <w:t>aire de répartition ont indiqué que cette activité n</w:t>
            </w:r>
            <w:r>
              <w:rPr>
                <w:rFonts w:ascii="Times New Roman" w:hAnsi="Times New Roman" w:cs="Times New Roman"/>
                <w:i/>
                <w:lang w:val="fr-FR"/>
              </w:rPr>
              <w:t>’</w:t>
            </w:r>
            <w:r w:rsidRPr="00BF462A">
              <w:rPr>
                <w:rFonts w:ascii="Times New Roman" w:hAnsi="Times New Roman" w:cs="Times New Roman"/>
                <w:i/>
                <w:lang w:val="fr-FR"/>
              </w:rPr>
              <w:t>était pas applicable)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38DDEA18" w14:textId="77777777" w:rsidR="00886A3C" w:rsidRDefault="00886A3C" w:rsidP="00886A3C">
            <w:pPr>
              <w:jc w:val="center"/>
              <w:rPr>
                <w:rFonts w:ascii="Times New Roman" w:hAnsi="Times New Roman" w:cs="Times New Roman"/>
              </w:rPr>
            </w:pPr>
            <w:r>
              <w:rPr>
                <w:rFonts w:ascii="Times New Roman" w:hAnsi="Times New Roman" w:cs="Times New Roman"/>
              </w:rPr>
              <w:t>25 %</w:t>
            </w:r>
          </w:p>
        </w:tc>
      </w:tr>
    </w:tbl>
    <w:p w14:paraId="7311E31A" w14:textId="77777777" w:rsidR="00886A3C" w:rsidRPr="00BC42AA" w:rsidRDefault="00886A3C" w:rsidP="00886A3C">
      <w:pPr>
        <w:spacing w:after="0" w:line="240" w:lineRule="auto"/>
        <w:rPr>
          <w:rFonts w:ascii="Times New Roman" w:hAnsi="Times New Roman" w:cs="Times New Roman"/>
          <w:lang w:val="en-US"/>
        </w:rPr>
      </w:pPr>
    </w:p>
    <w:p w14:paraId="10424BB8" w14:textId="77777777" w:rsidR="00886A3C" w:rsidRPr="004B1407" w:rsidRDefault="00886A3C" w:rsidP="00886A3C">
      <w:pPr>
        <w:spacing w:after="0" w:line="240" w:lineRule="auto"/>
        <w:jc w:val="both"/>
        <w:rPr>
          <w:rFonts w:ascii="Times New Roman" w:hAnsi="Times New Roman" w:cs="Times New Roman"/>
          <w:b/>
          <w:lang w:val="fr-FR"/>
        </w:rPr>
      </w:pPr>
      <w:r w:rsidRPr="00BF462A">
        <w:rPr>
          <w:rFonts w:ascii="Times New Roman" w:hAnsi="Times New Roman" w:cs="Times New Roman"/>
          <w:b/>
          <w:lang w:val="fr-FR"/>
        </w:rPr>
        <w:t>Taux moyen de mise en œuvre :</w:t>
      </w:r>
      <w:r w:rsidRPr="004B1407">
        <w:rPr>
          <w:rFonts w:ascii="Times New Roman" w:hAnsi="Times New Roman" w:cs="Times New Roman"/>
          <w:b/>
          <w:lang w:val="fr-FR"/>
        </w:rPr>
        <w:t xml:space="preserve"> 17 %</w:t>
      </w:r>
    </w:p>
    <w:p w14:paraId="5A5F7B47" w14:textId="77777777" w:rsidR="00886A3C" w:rsidRPr="004B1407" w:rsidRDefault="00886A3C" w:rsidP="00886A3C">
      <w:pPr>
        <w:spacing w:after="0" w:line="240" w:lineRule="auto"/>
        <w:jc w:val="both"/>
        <w:rPr>
          <w:rFonts w:ascii="Times New Roman" w:hAnsi="Times New Roman" w:cs="Times New Roman"/>
          <w:lang w:val="fr-FR"/>
        </w:rPr>
      </w:pPr>
    </w:p>
    <w:p w14:paraId="1C093DCB" w14:textId="77777777" w:rsidR="00886A3C" w:rsidRPr="004B1407" w:rsidRDefault="00886A3C" w:rsidP="00886A3C">
      <w:pPr>
        <w:spacing w:after="0" w:line="240" w:lineRule="auto"/>
        <w:rPr>
          <w:rFonts w:ascii="Times New Roman" w:hAnsi="Times New Roman" w:cs="Times New Roman"/>
          <w:i/>
          <w:lang w:val="fr-FR"/>
        </w:rPr>
      </w:pPr>
      <w:r w:rsidRPr="00BF462A">
        <w:rPr>
          <w:rFonts w:ascii="Times New Roman" w:hAnsi="Times New Roman" w:cs="Times New Roman"/>
          <w:i/>
          <w:lang w:val="fr-FR"/>
        </w:rPr>
        <w:t>5.3. Résultat 3 – La réussite de la reproduction est maximisée</w:t>
      </w:r>
    </w:p>
    <w:p w14:paraId="299456E9" w14:textId="77777777" w:rsidR="00886A3C" w:rsidRPr="004B1407" w:rsidRDefault="00886A3C" w:rsidP="00886A3C">
      <w:pPr>
        <w:spacing w:after="0" w:line="240" w:lineRule="auto"/>
        <w:rPr>
          <w:rFonts w:ascii="Times New Roman" w:hAnsi="Times New Roman" w:cs="Times New Roman"/>
          <w:i/>
          <w:lang w:val="fr-FR"/>
        </w:rPr>
      </w:pPr>
    </w:p>
    <w:p w14:paraId="3AD6EB08" w14:textId="77777777" w:rsidR="00886A3C" w:rsidRPr="004B1407" w:rsidRDefault="00886A3C" w:rsidP="00886A3C">
      <w:pPr>
        <w:spacing w:after="0" w:line="240" w:lineRule="auto"/>
        <w:rPr>
          <w:rFonts w:ascii="Times New Roman" w:hAnsi="Times New Roman" w:cs="Times New Roman"/>
          <w:b/>
          <w:lang w:val="fr-FR"/>
        </w:rPr>
      </w:pPr>
      <w:r w:rsidRPr="00A5570F">
        <w:rPr>
          <w:rFonts w:ascii="Times New Roman" w:hAnsi="Times New Roman" w:cs="Times New Roman"/>
          <w:lang w:val="fr-FR"/>
        </w:rPr>
        <w:t>La mise en œuvre</w:t>
      </w:r>
      <w:r>
        <w:rPr>
          <w:rFonts w:ascii="Times New Roman" w:hAnsi="Times New Roman" w:cs="Times New Roman"/>
          <w:lang w:val="fr-FR"/>
        </w:rPr>
        <w:t xml:space="preserve"> </w:t>
      </w:r>
      <w:r w:rsidRPr="00A5570F">
        <w:rPr>
          <w:rFonts w:ascii="Times New Roman" w:hAnsi="Times New Roman" w:cs="Times New Roman"/>
          <w:lang w:val="fr-FR"/>
        </w:rPr>
        <w:t xml:space="preserve">de ce résultat a été classée comme étant </w:t>
      </w:r>
      <w:r w:rsidRPr="00A5570F">
        <w:rPr>
          <w:rFonts w:ascii="Times New Roman" w:hAnsi="Times New Roman" w:cs="Times New Roman"/>
          <w:b/>
          <w:lang w:val="fr-FR"/>
        </w:rPr>
        <w:t>moyenne</w:t>
      </w:r>
      <w:r w:rsidRPr="00A5570F">
        <w:rPr>
          <w:rFonts w:ascii="Times New Roman" w:hAnsi="Times New Roman" w:cs="Times New Roman"/>
          <w:lang w:val="fr-FR"/>
        </w:rPr>
        <w:t>.</w:t>
      </w:r>
    </w:p>
    <w:p w14:paraId="62036932"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884"/>
        <w:gridCol w:w="1726"/>
      </w:tblGrid>
      <w:tr w:rsidR="00886A3C" w:rsidRPr="00DE4CF4" w14:paraId="3EB5E770"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E79475" w14:textId="77777777" w:rsidR="00886A3C" w:rsidRDefault="00886A3C" w:rsidP="00886A3C">
            <w:pPr>
              <w:jc w:val="both"/>
              <w:rPr>
                <w:rFonts w:ascii="Times New Roman" w:hAnsi="Times New Roman" w:cs="Times New Roman"/>
                <w:i/>
              </w:rPr>
            </w:pPr>
            <w:r w:rsidRPr="00A5570F">
              <w:rPr>
                <w:rFonts w:ascii="Times New Roman" w:hAnsi="Times New Roman" w:cs="Times New Roman"/>
                <w:i/>
                <w:lang w:val="fr-FR"/>
              </w:rPr>
              <w:t>Activité</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37188E" w14:textId="77777777" w:rsidR="00886A3C" w:rsidRPr="004B1407" w:rsidRDefault="00886A3C" w:rsidP="00886A3C">
            <w:pPr>
              <w:jc w:val="both"/>
              <w:rPr>
                <w:rFonts w:ascii="Times New Roman" w:hAnsi="Times New Roman" w:cs="Times New Roman"/>
                <w:i/>
                <w:lang w:val="fr-FR"/>
              </w:rPr>
            </w:pPr>
            <w:r w:rsidRPr="00A5570F">
              <w:rPr>
                <w:rFonts w:ascii="Times New Roman" w:hAnsi="Times New Roman" w:cs="Times New Roman"/>
                <w:i/>
                <w:lang w:val="fr-FR"/>
              </w:rPr>
              <w:t xml:space="preserve">Taux de mise en œuvre </w:t>
            </w:r>
          </w:p>
        </w:tc>
      </w:tr>
      <w:tr w:rsidR="00886A3C" w:rsidRPr="00A726BC" w14:paraId="5B2D38A5" w14:textId="77777777" w:rsidTr="00886A3C">
        <w:trPr>
          <w:trHeight w:val="494"/>
        </w:trPr>
        <w:tc>
          <w:tcPr>
            <w:tcW w:w="6884" w:type="dxa"/>
            <w:tcBorders>
              <w:top w:val="single" w:sz="4" w:space="0" w:color="auto"/>
              <w:left w:val="single" w:sz="4" w:space="0" w:color="auto"/>
              <w:bottom w:val="single" w:sz="4" w:space="0" w:color="auto"/>
              <w:right w:val="single" w:sz="4" w:space="0" w:color="auto"/>
            </w:tcBorders>
          </w:tcPr>
          <w:p w14:paraId="637C8415" w14:textId="77777777" w:rsidR="00886A3C" w:rsidRPr="004B1407" w:rsidRDefault="00886A3C" w:rsidP="00886A3C">
            <w:pPr>
              <w:rPr>
                <w:rFonts w:ascii="Times New Roman" w:hAnsi="Times New Roman" w:cs="Times New Roman"/>
                <w:lang w:val="fr-FR"/>
              </w:rPr>
            </w:pPr>
            <w:r w:rsidRPr="00A5570F">
              <w:rPr>
                <w:rFonts w:ascii="Times New Roman" w:hAnsi="Times New Roman" w:cs="Times New Roman"/>
                <w:lang w:val="fr-FR"/>
              </w:rPr>
              <w:t>3.1. Des mesures sont prises pour éviter le développement d</w:t>
            </w:r>
            <w:r>
              <w:rPr>
                <w:rFonts w:ascii="Times New Roman" w:hAnsi="Times New Roman" w:cs="Times New Roman"/>
                <w:lang w:val="fr-FR"/>
              </w:rPr>
              <w:t>’</w:t>
            </w:r>
            <w:r w:rsidRPr="00A5570F">
              <w:rPr>
                <w:rFonts w:ascii="Times New Roman" w:hAnsi="Times New Roman" w:cs="Times New Roman"/>
                <w:lang w:val="fr-FR"/>
              </w:rPr>
              <w:t>infrastructures et autres sources de perturbations humaines.</w:t>
            </w:r>
            <w:r w:rsidRPr="004B1407">
              <w:rPr>
                <w:rFonts w:ascii="Times New Roman" w:hAnsi="Times New Roman" w:cs="Times New Roman"/>
                <w:lang w:val="fr-FR"/>
              </w:rPr>
              <w:t xml:space="preserve"> </w:t>
            </w:r>
            <w:r w:rsidRPr="00A5570F">
              <w:rPr>
                <w:rFonts w:ascii="Times New Roman" w:hAnsi="Times New Roman" w:cs="Times New Roman"/>
                <w:lang w:val="fr-FR"/>
              </w:rPr>
              <w:t xml:space="preserve">(Finlande, Norvège, Russie, Suède) </w:t>
            </w:r>
            <w:r w:rsidRPr="00A5570F">
              <w:rPr>
                <w:rFonts w:ascii="Times New Roman" w:hAnsi="Times New Roman" w:cs="Times New Roman"/>
                <w:i/>
                <w:lang w:val="fr-FR"/>
              </w:rPr>
              <w:t>(indiquée par la Russie comme n</w:t>
            </w:r>
            <w:r>
              <w:rPr>
                <w:rFonts w:ascii="Times New Roman" w:hAnsi="Times New Roman" w:cs="Times New Roman"/>
                <w:i/>
                <w:lang w:val="fr-FR"/>
              </w:rPr>
              <w:t>’</w:t>
            </w:r>
            <w:r w:rsidRPr="00A5570F">
              <w:rPr>
                <w:rFonts w:ascii="Times New Roman" w:hAnsi="Times New Roman" w:cs="Times New Roman"/>
                <w:i/>
                <w:lang w:val="fr-FR"/>
              </w:rPr>
              <w:t>étant pas applicable)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3AE41603"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A726BC" w14:paraId="460730D9"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tcPr>
          <w:p w14:paraId="70E2FDB0" w14:textId="77777777" w:rsidR="00886A3C" w:rsidRPr="004B1407" w:rsidRDefault="00886A3C" w:rsidP="00886A3C">
            <w:pPr>
              <w:rPr>
                <w:rFonts w:ascii="Times New Roman" w:hAnsi="Times New Roman" w:cs="Times New Roman"/>
                <w:lang w:val="fr-FR"/>
              </w:rPr>
            </w:pPr>
            <w:r w:rsidRPr="00A5570F">
              <w:rPr>
                <w:rFonts w:ascii="Times New Roman" w:hAnsi="Times New Roman" w:cs="Times New Roman"/>
                <w:lang w:val="fr-FR"/>
              </w:rPr>
              <w:t>3.2. Des mesures sont prises pour éviter le surpâturage et le piétinement des nids là où le problème est connu.</w:t>
            </w:r>
            <w:r w:rsidRPr="004B1407">
              <w:rPr>
                <w:rFonts w:ascii="Times New Roman" w:hAnsi="Times New Roman" w:cs="Times New Roman"/>
                <w:lang w:val="fr-FR"/>
              </w:rPr>
              <w:t xml:space="preserve"> </w:t>
            </w:r>
            <w:r w:rsidRPr="00A5570F">
              <w:rPr>
                <w:rFonts w:ascii="Times New Roman" w:hAnsi="Times New Roman" w:cs="Times New Roman"/>
                <w:lang w:val="fr-FR"/>
              </w:rPr>
              <w:t>(Finlande, Norvège, Russie, Suède) (</w:t>
            </w:r>
            <w:r w:rsidRPr="00A5570F">
              <w:rPr>
                <w:rFonts w:ascii="Times New Roman" w:hAnsi="Times New Roman" w:cs="Times New Roman"/>
                <w:i/>
                <w:lang w:val="fr-FR"/>
              </w:rPr>
              <w:t>indiquée par la Russie et la Suède comme n</w:t>
            </w:r>
            <w:r>
              <w:rPr>
                <w:rFonts w:ascii="Times New Roman" w:hAnsi="Times New Roman" w:cs="Times New Roman"/>
                <w:i/>
                <w:lang w:val="fr-FR"/>
              </w:rPr>
              <w:t>’</w:t>
            </w:r>
            <w:r w:rsidRPr="00A5570F">
              <w:rPr>
                <w:rFonts w:ascii="Times New Roman" w:hAnsi="Times New Roman" w:cs="Times New Roman"/>
                <w:i/>
                <w:lang w:val="fr-FR"/>
              </w:rPr>
              <w:t>étant pas applicable</w:t>
            </w:r>
            <w:r w:rsidRPr="00A5570F">
              <w:rPr>
                <w:rFonts w:ascii="Times New Roman" w:hAnsi="Times New Roman" w:cs="Times New Roman"/>
                <w:lang w:val="fr-FR"/>
              </w:rPr>
              <w:t>)</w:t>
            </w:r>
          </w:p>
        </w:tc>
        <w:tc>
          <w:tcPr>
            <w:tcW w:w="1726" w:type="dxa"/>
            <w:tcBorders>
              <w:top w:val="single" w:sz="4" w:space="0" w:color="auto"/>
              <w:left w:val="single" w:sz="4" w:space="0" w:color="auto"/>
              <w:bottom w:val="single" w:sz="4" w:space="0" w:color="auto"/>
              <w:right w:val="single" w:sz="4" w:space="0" w:color="auto"/>
            </w:tcBorders>
          </w:tcPr>
          <w:p w14:paraId="4F2B2A6B"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rsidRPr="00A726BC" w14:paraId="294BE401" w14:textId="77777777" w:rsidTr="00886A3C">
        <w:trPr>
          <w:trHeight w:val="331"/>
        </w:trPr>
        <w:tc>
          <w:tcPr>
            <w:tcW w:w="6884" w:type="dxa"/>
            <w:tcBorders>
              <w:top w:val="single" w:sz="4" w:space="0" w:color="auto"/>
              <w:left w:val="single" w:sz="4" w:space="0" w:color="auto"/>
              <w:bottom w:val="single" w:sz="4" w:space="0" w:color="auto"/>
              <w:right w:val="single" w:sz="4" w:space="0" w:color="auto"/>
            </w:tcBorders>
          </w:tcPr>
          <w:p w14:paraId="1CE9D6D7" w14:textId="77777777" w:rsidR="00886A3C" w:rsidRPr="004B1407" w:rsidRDefault="00886A3C" w:rsidP="00886A3C">
            <w:pPr>
              <w:rPr>
                <w:rFonts w:ascii="Times New Roman" w:hAnsi="Times New Roman" w:cs="Times New Roman"/>
                <w:lang w:val="fr-FR"/>
              </w:rPr>
            </w:pPr>
            <w:r w:rsidRPr="00A5570F">
              <w:rPr>
                <w:rFonts w:ascii="Times New Roman" w:hAnsi="Times New Roman" w:cs="Times New Roman"/>
                <w:lang w:val="fr-FR"/>
              </w:rPr>
              <w:t>3.3. Si c</w:t>
            </w:r>
            <w:r>
              <w:rPr>
                <w:rFonts w:ascii="Times New Roman" w:hAnsi="Times New Roman" w:cs="Times New Roman"/>
                <w:lang w:val="fr-FR"/>
              </w:rPr>
              <w:t>’</w:t>
            </w:r>
            <w:r w:rsidRPr="00A5570F">
              <w:rPr>
                <w:rFonts w:ascii="Times New Roman" w:hAnsi="Times New Roman" w:cs="Times New Roman"/>
                <w:lang w:val="fr-FR"/>
              </w:rPr>
              <w:t>est faisable, des mesures sont prises pour réduire la prédation, là où celle-ci se révèle un facteur restrictif important.</w:t>
            </w:r>
            <w:r w:rsidRPr="004B1407">
              <w:rPr>
                <w:rFonts w:ascii="Times New Roman" w:hAnsi="Times New Roman" w:cs="Times New Roman"/>
                <w:lang w:val="fr-FR"/>
              </w:rPr>
              <w:t xml:space="preserve"> </w:t>
            </w:r>
            <w:r w:rsidRPr="00A5570F">
              <w:rPr>
                <w:rFonts w:ascii="Times New Roman" w:hAnsi="Times New Roman" w:cs="Times New Roman"/>
                <w:lang w:val="fr-FR"/>
              </w:rPr>
              <w:t>(Finlande, Norvège, Russie, Suède) (</w:t>
            </w:r>
            <w:r w:rsidRPr="00C46519">
              <w:rPr>
                <w:rFonts w:ascii="Times New Roman" w:hAnsi="Times New Roman" w:cs="Times New Roman"/>
                <w:i/>
                <w:lang w:val="fr-FR"/>
              </w:rPr>
              <w:t>indiquée par la Russie comme n’étant pas applicable</w:t>
            </w:r>
            <w:r w:rsidRPr="00A5570F">
              <w:rPr>
                <w:rFonts w:ascii="Times New Roman" w:hAnsi="Times New Roman" w:cs="Times New Roman"/>
                <w:lang w:val="fr-FR"/>
              </w:rPr>
              <w:t>)</w:t>
            </w:r>
          </w:p>
        </w:tc>
        <w:tc>
          <w:tcPr>
            <w:tcW w:w="1726" w:type="dxa"/>
            <w:tcBorders>
              <w:top w:val="single" w:sz="4" w:space="0" w:color="auto"/>
              <w:left w:val="single" w:sz="4" w:space="0" w:color="auto"/>
              <w:bottom w:val="single" w:sz="4" w:space="0" w:color="auto"/>
              <w:right w:val="single" w:sz="4" w:space="0" w:color="auto"/>
            </w:tcBorders>
          </w:tcPr>
          <w:p w14:paraId="51E3C00F" w14:textId="77777777" w:rsidR="00886A3C" w:rsidRDefault="00886A3C" w:rsidP="00886A3C">
            <w:pPr>
              <w:jc w:val="center"/>
              <w:rPr>
                <w:rFonts w:ascii="Times New Roman" w:hAnsi="Times New Roman" w:cs="Times New Roman"/>
              </w:rPr>
            </w:pPr>
            <w:r>
              <w:rPr>
                <w:rFonts w:ascii="Times New Roman" w:hAnsi="Times New Roman" w:cs="Times New Roman"/>
              </w:rPr>
              <w:t>67 %</w:t>
            </w:r>
          </w:p>
        </w:tc>
      </w:tr>
      <w:tr w:rsidR="00886A3C" w:rsidRPr="00967D03" w14:paraId="4E09170A"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5F76CB0F" w14:textId="77777777" w:rsidR="00886A3C" w:rsidRDefault="00886A3C" w:rsidP="00886A3C">
            <w:pPr>
              <w:rPr>
                <w:rFonts w:ascii="Times New Roman" w:hAnsi="Times New Roman" w:cs="Times New Roman"/>
              </w:rPr>
            </w:pPr>
            <w:r w:rsidRPr="00A5570F">
              <w:rPr>
                <w:rFonts w:ascii="Times New Roman" w:hAnsi="Times New Roman" w:cs="Times New Roman"/>
                <w:lang w:val="fr-FR"/>
              </w:rPr>
              <w:t>3.4. Des</w:t>
            </w:r>
            <w:r>
              <w:rPr>
                <w:rFonts w:ascii="Times New Roman" w:hAnsi="Times New Roman" w:cs="Times New Roman"/>
                <w:lang w:val="fr-FR"/>
              </w:rPr>
              <w:t xml:space="preserve"> </w:t>
            </w:r>
            <w:r w:rsidRPr="00A5570F">
              <w:rPr>
                <w:rFonts w:ascii="Times New Roman" w:hAnsi="Times New Roman" w:cs="Times New Roman"/>
                <w:lang w:val="fr-FR"/>
              </w:rPr>
              <w:t>mesures sont prises pour éliminer la c</w:t>
            </w:r>
            <w:r>
              <w:rPr>
                <w:rFonts w:ascii="Times New Roman" w:hAnsi="Times New Roman" w:cs="Times New Roman"/>
                <w:lang w:val="fr-FR"/>
              </w:rPr>
              <w:t>h</w:t>
            </w:r>
            <w:r w:rsidRPr="00A5570F">
              <w:rPr>
                <w:rFonts w:ascii="Times New Roman" w:hAnsi="Times New Roman" w:cs="Times New Roman"/>
                <w:lang w:val="fr-FR"/>
              </w:rPr>
              <w:t>asse des oiseaux d</w:t>
            </w:r>
            <w:r>
              <w:rPr>
                <w:rFonts w:ascii="Times New Roman" w:hAnsi="Times New Roman" w:cs="Times New Roman"/>
                <w:lang w:val="fr-FR"/>
              </w:rPr>
              <w:t>’</w:t>
            </w:r>
            <w:r w:rsidRPr="00A5570F">
              <w:rPr>
                <w:rFonts w:ascii="Times New Roman" w:hAnsi="Times New Roman" w:cs="Times New Roman"/>
                <w:lang w:val="fr-FR"/>
              </w:rPr>
              <w:t>eau sur les sites de reproduction et dans toutes les aires de haltes proches de ces sites.</w:t>
            </w:r>
            <w:r w:rsidRPr="004B1407">
              <w:rPr>
                <w:rFonts w:ascii="Times New Roman" w:hAnsi="Times New Roman" w:cs="Times New Roman"/>
                <w:lang w:val="fr-FR"/>
              </w:rPr>
              <w:t xml:space="preserve"> </w:t>
            </w:r>
            <w:r w:rsidRPr="00A5570F">
              <w:rPr>
                <w:rFonts w:ascii="Times New Roman" w:hAnsi="Times New Roman" w:cs="Times New Roman"/>
                <w:lang w:val="fr-FR"/>
              </w:rPr>
              <w:t>(Finlande, Norvège, Russie et Suède)</w:t>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6B58F057"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bl>
    <w:p w14:paraId="4DC5C7F4" w14:textId="77777777" w:rsidR="00886A3C" w:rsidRDefault="00886A3C" w:rsidP="00886A3C">
      <w:pPr>
        <w:spacing w:after="0" w:line="240" w:lineRule="auto"/>
        <w:jc w:val="both"/>
        <w:rPr>
          <w:rFonts w:ascii="Times New Roman" w:hAnsi="Times New Roman" w:cs="Times New Roman"/>
          <w:lang w:val="en-US"/>
        </w:rPr>
      </w:pPr>
    </w:p>
    <w:p w14:paraId="3794B601" w14:textId="77777777" w:rsidR="00886A3C" w:rsidRPr="004B1407" w:rsidRDefault="00886A3C" w:rsidP="00886A3C">
      <w:pPr>
        <w:spacing w:after="0" w:line="240" w:lineRule="auto"/>
        <w:rPr>
          <w:rFonts w:ascii="Times New Roman" w:hAnsi="Times New Roman" w:cs="Times New Roman"/>
          <w:b/>
          <w:lang w:val="fr-FR"/>
        </w:rPr>
      </w:pPr>
      <w:r w:rsidRPr="00A5570F">
        <w:rPr>
          <w:rFonts w:ascii="Times New Roman" w:hAnsi="Times New Roman" w:cs="Times New Roman"/>
          <w:b/>
          <w:lang w:val="fr-FR"/>
        </w:rPr>
        <w:t>Taux moyen de mise en œuvre :</w:t>
      </w:r>
      <w:r w:rsidRPr="004B1407">
        <w:rPr>
          <w:rFonts w:ascii="Times New Roman" w:hAnsi="Times New Roman" w:cs="Times New Roman"/>
          <w:b/>
          <w:lang w:val="fr-FR"/>
        </w:rPr>
        <w:tab/>
        <w:t>79 %</w:t>
      </w:r>
    </w:p>
    <w:p w14:paraId="5F172073" w14:textId="77777777" w:rsidR="00886A3C" w:rsidRPr="004B140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ab/>
      </w:r>
    </w:p>
    <w:p w14:paraId="1544BEB0" w14:textId="77777777" w:rsidR="00886A3C" w:rsidRPr="004B1407" w:rsidRDefault="00886A3C" w:rsidP="00886A3C">
      <w:pPr>
        <w:spacing w:after="0" w:line="240" w:lineRule="auto"/>
        <w:rPr>
          <w:rFonts w:ascii="Times New Roman" w:hAnsi="Times New Roman" w:cs="Times New Roman"/>
          <w:i/>
          <w:lang w:val="fr-FR"/>
        </w:rPr>
      </w:pPr>
      <w:r w:rsidRPr="00AF6307">
        <w:rPr>
          <w:rFonts w:ascii="Times New Roman" w:hAnsi="Times New Roman" w:cs="Times New Roman"/>
          <w:i/>
          <w:lang w:val="fr-FR"/>
        </w:rPr>
        <w:t>5.4. Résultat 4 – Aucune introgression d</w:t>
      </w:r>
      <w:r>
        <w:rPr>
          <w:rFonts w:ascii="Times New Roman" w:hAnsi="Times New Roman" w:cs="Times New Roman"/>
          <w:i/>
          <w:lang w:val="fr-FR"/>
        </w:rPr>
        <w:t>’</w:t>
      </w:r>
      <w:r w:rsidRPr="00AF6307">
        <w:rPr>
          <w:rFonts w:ascii="Times New Roman" w:hAnsi="Times New Roman" w:cs="Times New Roman"/>
          <w:i/>
          <w:lang w:val="fr-FR"/>
        </w:rPr>
        <w:t>ADN provenant d</w:t>
      </w:r>
      <w:r>
        <w:rPr>
          <w:rFonts w:ascii="Times New Roman" w:hAnsi="Times New Roman" w:cs="Times New Roman"/>
          <w:i/>
          <w:lang w:val="fr-FR"/>
        </w:rPr>
        <w:t>’</w:t>
      </w:r>
      <w:r w:rsidRPr="00AF6307">
        <w:rPr>
          <w:rFonts w:ascii="Times New Roman" w:hAnsi="Times New Roman" w:cs="Times New Roman"/>
          <w:i/>
          <w:lang w:val="fr-FR"/>
        </w:rPr>
        <w:t>autres espèces d</w:t>
      </w:r>
      <w:r>
        <w:rPr>
          <w:rFonts w:ascii="Times New Roman" w:hAnsi="Times New Roman" w:cs="Times New Roman"/>
          <w:i/>
          <w:lang w:val="fr-FR"/>
        </w:rPr>
        <w:t>’</w:t>
      </w:r>
      <w:r w:rsidRPr="00AF6307">
        <w:rPr>
          <w:rFonts w:ascii="Times New Roman" w:hAnsi="Times New Roman" w:cs="Times New Roman"/>
          <w:i/>
          <w:lang w:val="fr-FR"/>
        </w:rPr>
        <w:t>oie dans la population sauvage n</w:t>
      </w:r>
      <w:r>
        <w:rPr>
          <w:rFonts w:ascii="Times New Roman" w:hAnsi="Times New Roman" w:cs="Times New Roman"/>
          <w:i/>
          <w:lang w:val="fr-FR"/>
        </w:rPr>
        <w:t>’</w:t>
      </w:r>
      <w:r w:rsidRPr="00AF6307">
        <w:rPr>
          <w:rFonts w:ascii="Times New Roman" w:hAnsi="Times New Roman" w:cs="Times New Roman"/>
          <w:i/>
          <w:lang w:val="fr-FR"/>
        </w:rPr>
        <w:t>a lieu en résultat d</w:t>
      </w:r>
      <w:r>
        <w:rPr>
          <w:rFonts w:ascii="Times New Roman" w:hAnsi="Times New Roman" w:cs="Times New Roman"/>
          <w:i/>
          <w:lang w:val="fr-FR"/>
        </w:rPr>
        <w:t>’</w:t>
      </w:r>
      <w:r w:rsidRPr="00AF6307">
        <w:rPr>
          <w:rFonts w:ascii="Times New Roman" w:hAnsi="Times New Roman" w:cs="Times New Roman"/>
          <w:i/>
          <w:lang w:val="fr-FR"/>
        </w:rPr>
        <w:t>autres introductions et l</w:t>
      </w:r>
      <w:r>
        <w:rPr>
          <w:rFonts w:ascii="Times New Roman" w:hAnsi="Times New Roman" w:cs="Times New Roman"/>
          <w:i/>
          <w:lang w:val="fr-FR"/>
        </w:rPr>
        <w:t>’</w:t>
      </w:r>
      <w:r w:rsidRPr="00AF6307">
        <w:rPr>
          <w:rFonts w:ascii="Times New Roman" w:hAnsi="Times New Roman" w:cs="Times New Roman"/>
          <w:i/>
          <w:lang w:val="fr-FR"/>
        </w:rPr>
        <w:t>introgression d</w:t>
      </w:r>
      <w:r>
        <w:rPr>
          <w:rFonts w:ascii="Times New Roman" w:hAnsi="Times New Roman" w:cs="Times New Roman"/>
          <w:i/>
          <w:lang w:val="fr-FR"/>
        </w:rPr>
        <w:t>’</w:t>
      </w:r>
      <w:r w:rsidRPr="00AF6307">
        <w:rPr>
          <w:rFonts w:ascii="Times New Roman" w:hAnsi="Times New Roman" w:cs="Times New Roman"/>
          <w:i/>
          <w:lang w:val="fr-FR"/>
        </w:rPr>
        <w:t>ADN d</w:t>
      </w:r>
      <w:r>
        <w:rPr>
          <w:rFonts w:ascii="Times New Roman" w:hAnsi="Times New Roman" w:cs="Times New Roman"/>
          <w:i/>
          <w:lang w:val="fr-FR"/>
        </w:rPr>
        <w:t>’</w:t>
      </w:r>
      <w:r w:rsidRPr="00AF6307">
        <w:rPr>
          <w:rFonts w:ascii="Times New Roman" w:hAnsi="Times New Roman" w:cs="Times New Roman"/>
          <w:i/>
          <w:lang w:val="fr-FR"/>
        </w:rPr>
        <w:t>autres oiseaux déjà introduits provenant de programmes de reproduction en captivité est minimisée</w:t>
      </w:r>
    </w:p>
    <w:p w14:paraId="0954106D" w14:textId="77777777" w:rsidR="00886A3C" w:rsidRPr="004B1407" w:rsidRDefault="00886A3C" w:rsidP="00886A3C">
      <w:pPr>
        <w:spacing w:after="0" w:line="240" w:lineRule="auto"/>
        <w:rPr>
          <w:rFonts w:ascii="Times New Roman" w:hAnsi="Times New Roman" w:cs="Times New Roman"/>
          <w:lang w:val="fr-FR"/>
        </w:rPr>
      </w:pPr>
    </w:p>
    <w:p w14:paraId="7906D8B2" w14:textId="77777777" w:rsidR="00886A3C" w:rsidRPr="004B1407" w:rsidRDefault="00886A3C" w:rsidP="00886A3C">
      <w:pPr>
        <w:spacing w:after="0" w:line="240" w:lineRule="auto"/>
        <w:rPr>
          <w:rFonts w:ascii="Times New Roman" w:hAnsi="Times New Roman" w:cs="Times New Roman"/>
          <w:b/>
          <w:lang w:val="fr-FR"/>
        </w:rPr>
      </w:pPr>
      <w:r w:rsidRPr="00AF6307">
        <w:rPr>
          <w:rFonts w:ascii="Times New Roman" w:hAnsi="Times New Roman" w:cs="Times New Roman"/>
          <w:lang w:val="fr-FR"/>
        </w:rPr>
        <w:t>La mise en œuvre</w:t>
      </w:r>
      <w:r>
        <w:rPr>
          <w:rFonts w:ascii="Times New Roman" w:hAnsi="Times New Roman" w:cs="Times New Roman"/>
          <w:lang w:val="fr-FR"/>
        </w:rPr>
        <w:t xml:space="preserve"> </w:t>
      </w:r>
      <w:r w:rsidRPr="00AF6307">
        <w:rPr>
          <w:rFonts w:ascii="Times New Roman" w:hAnsi="Times New Roman" w:cs="Times New Roman"/>
          <w:lang w:val="fr-FR"/>
        </w:rPr>
        <w:t xml:space="preserve">de ce résultat a été classée comme étant </w:t>
      </w:r>
      <w:r w:rsidRPr="00AF6307">
        <w:rPr>
          <w:rFonts w:ascii="Times New Roman" w:hAnsi="Times New Roman" w:cs="Times New Roman"/>
          <w:b/>
          <w:lang w:val="fr-FR"/>
        </w:rPr>
        <w:t>élevée</w:t>
      </w:r>
      <w:r w:rsidRPr="00AF6307">
        <w:rPr>
          <w:rFonts w:ascii="Times New Roman" w:hAnsi="Times New Roman" w:cs="Times New Roman"/>
          <w:lang w:val="fr-FR"/>
        </w:rPr>
        <w:t>.</w:t>
      </w:r>
    </w:p>
    <w:p w14:paraId="16B42039" w14:textId="77777777" w:rsidR="00886A3C" w:rsidRPr="004B1407" w:rsidRDefault="00886A3C" w:rsidP="00886A3C">
      <w:pPr>
        <w:spacing w:after="0" w:line="240" w:lineRule="auto"/>
        <w:rPr>
          <w:rFonts w:ascii="Times New Roman" w:hAnsi="Times New Roman" w:cs="Times New Roman"/>
          <w:lang w:val="fr-FR"/>
        </w:rPr>
      </w:pPr>
    </w:p>
    <w:tbl>
      <w:tblPr>
        <w:tblStyle w:val="TableGrid"/>
        <w:tblW w:w="0" w:type="auto"/>
        <w:tblLook w:val="04A0" w:firstRow="1" w:lastRow="0" w:firstColumn="1" w:lastColumn="0" w:noHBand="0" w:noVBand="1"/>
      </w:tblPr>
      <w:tblGrid>
        <w:gridCol w:w="6884"/>
        <w:gridCol w:w="1726"/>
      </w:tblGrid>
      <w:tr w:rsidR="00886A3C" w:rsidRPr="00DE4CF4" w14:paraId="71446141"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44F26B" w14:textId="77777777" w:rsidR="00886A3C" w:rsidRDefault="00886A3C" w:rsidP="00886A3C">
            <w:pPr>
              <w:jc w:val="both"/>
              <w:rPr>
                <w:rFonts w:ascii="Times New Roman" w:hAnsi="Times New Roman" w:cs="Times New Roman"/>
                <w:i/>
              </w:rPr>
            </w:pPr>
            <w:r w:rsidRPr="00AF6307">
              <w:rPr>
                <w:rFonts w:ascii="Times New Roman" w:hAnsi="Times New Roman" w:cs="Times New Roman"/>
                <w:i/>
                <w:lang w:val="fr-FR"/>
              </w:rPr>
              <w:t>Activité</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149FD4" w14:textId="77777777" w:rsidR="00886A3C" w:rsidRPr="004B1407" w:rsidRDefault="00886A3C" w:rsidP="00886A3C">
            <w:pPr>
              <w:jc w:val="both"/>
              <w:rPr>
                <w:rFonts w:ascii="Times New Roman" w:hAnsi="Times New Roman" w:cs="Times New Roman"/>
                <w:i/>
                <w:lang w:val="fr-FR"/>
              </w:rPr>
            </w:pPr>
            <w:r w:rsidRPr="00AF6307">
              <w:rPr>
                <w:rFonts w:ascii="Times New Roman" w:hAnsi="Times New Roman" w:cs="Times New Roman"/>
                <w:i/>
                <w:lang w:val="fr-FR"/>
              </w:rPr>
              <w:t xml:space="preserve">Taux de mise en œuvre </w:t>
            </w:r>
          </w:p>
        </w:tc>
      </w:tr>
      <w:tr w:rsidR="00886A3C" w:rsidRPr="00A726BC" w14:paraId="74ED6851" w14:textId="77777777" w:rsidTr="00886A3C">
        <w:trPr>
          <w:trHeight w:val="494"/>
        </w:trPr>
        <w:tc>
          <w:tcPr>
            <w:tcW w:w="6884" w:type="dxa"/>
            <w:tcBorders>
              <w:top w:val="single" w:sz="4" w:space="0" w:color="auto"/>
              <w:left w:val="single" w:sz="4" w:space="0" w:color="auto"/>
              <w:bottom w:val="single" w:sz="4" w:space="0" w:color="auto"/>
              <w:right w:val="single" w:sz="4" w:space="0" w:color="auto"/>
            </w:tcBorders>
          </w:tcPr>
          <w:p w14:paraId="6753E143" w14:textId="77777777" w:rsidR="00886A3C" w:rsidRPr="004B1407" w:rsidRDefault="00886A3C" w:rsidP="00886A3C">
            <w:pPr>
              <w:rPr>
                <w:rFonts w:ascii="Times New Roman" w:hAnsi="Times New Roman" w:cs="Times New Roman"/>
                <w:lang w:val="fr-FR"/>
              </w:rPr>
            </w:pPr>
            <w:r w:rsidRPr="00AF6307">
              <w:rPr>
                <w:rFonts w:ascii="Times New Roman" w:hAnsi="Times New Roman" w:cs="Times New Roman"/>
                <w:lang w:val="fr-FR"/>
              </w:rPr>
              <w:t xml:space="preserve">4.1. Des mesures ont été prises pour assurer que </w:t>
            </w:r>
            <w:r>
              <w:rPr>
                <w:rFonts w:ascii="Times New Roman" w:hAnsi="Times New Roman" w:cs="Times New Roman"/>
                <w:lang w:val="fr-FR"/>
              </w:rPr>
              <w:t>d</w:t>
            </w:r>
            <w:r w:rsidRPr="00AF6307">
              <w:rPr>
                <w:rFonts w:ascii="Times New Roman" w:hAnsi="Times New Roman" w:cs="Times New Roman"/>
                <w:lang w:val="fr-FR"/>
              </w:rPr>
              <w:t xml:space="preserve">es lâchers des oiseaux élevés en captivité ont seulement </w:t>
            </w:r>
            <w:r w:rsidRPr="00173898">
              <w:rPr>
                <w:rFonts w:ascii="Times New Roman" w:hAnsi="Times New Roman" w:cs="Times New Roman"/>
                <w:lang w:val="fr-FR"/>
              </w:rPr>
              <w:t>concerné des individus issus du stock d’oiseaux sauvages capturés.</w:t>
            </w:r>
            <w:r w:rsidRPr="004B1407">
              <w:rPr>
                <w:rFonts w:ascii="Times New Roman" w:hAnsi="Times New Roman" w:cs="Times New Roman"/>
                <w:lang w:val="fr-FR"/>
              </w:rPr>
              <w:tab/>
            </w:r>
            <w:r w:rsidRPr="004B1407">
              <w:rPr>
                <w:rFonts w:ascii="Times New Roman" w:hAnsi="Times New Roman" w:cs="Times New Roman"/>
                <w:lang w:val="fr-FR"/>
              </w:rPr>
              <w:tab/>
            </w:r>
          </w:p>
          <w:p w14:paraId="17F5C1DA" w14:textId="77777777" w:rsidR="00886A3C" w:rsidRPr="004B1407" w:rsidRDefault="00886A3C" w:rsidP="00886A3C">
            <w:pPr>
              <w:rPr>
                <w:rFonts w:ascii="Times New Roman" w:hAnsi="Times New Roman" w:cs="Times New Roman"/>
                <w:lang w:val="fr-FR"/>
              </w:rPr>
            </w:pPr>
            <w:r w:rsidRPr="00540AB5">
              <w:rPr>
                <w:rFonts w:ascii="Times New Roman" w:hAnsi="Times New Roman" w:cs="Times New Roman"/>
                <w:lang w:val="fr-FR"/>
              </w:rPr>
              <w:t>(la question s</w:t>
            </w:r>
            <w:r>
              <w:rPr>
                <w:rFonts w:ascii="Times New Roman" w:hAnsi="Times New Roman" w:cs="Times New Roman"/>
                <w:lang w:val="fr-FR"/>
              </w:rPr>
              <w:t>’</w:t>
            </w:r>
            <w:r w:rsidRPr="00540AB5">
              <w:rPr>
                <w:rFonts w:ascii="Times New Roman" w:hAnsi="Times New Roman" w:cs="Times New Roman"/>
                <w:lang w:val="fr-FR"/>
              </w:rPr>
              <w:t xml:space="preserve">applique à la Finlande, la Norvège et la Suède) </w:t>
            </w:r>
            <w:r w:rsidRPr="00540AB5">
              <w:rPr>
                <w:rFonts w:ascii="Times New Roman" w:hAnsi="Times New Roman" w:cs="Times New Roman"/>
                <w:i/>
                <w:lang w:val="fr-FR"/>
              </w:rPr>
              <w:t>(la Finlande a indiqué que cette activité n</w:t>
            </w:r>
            <w:r>
              <w:rPr>
                <w:rFonts w:ascii="Times New Roman" w:hAnsi="Times New Roman" w:cs="Times New Roman"/>
                <w:i/>
                <w:lang w:val="fr-FR"/>
              </w:rPr>
              <w:t>’</w:t>
            </w:r>
            <w:r w:rsidRPr="00540AB5">
              <w:rPr>
                <w:rFonts w:ascii="Times New Roman" w:hAnsi="Times New Roman" w:cs="Times New Roman"/>
                <w:i/>
                <w:lang w:val="fr-FR"/>
              </w:rPr>
              <w:t>était pas applicable).</w:t>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4A1A7AFF"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A726BC" w14:paraId="1A026915"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tcPr>
          <w:p w14:paraId="52C7E9E7" w14:textId="77777777" w:rsidR="00886A3C" w:rsidRPr="004B1407" w:rsidRDefault="00886A3C" w:rsidP="00886A3C">
            <w:pPr>
              <w:rPr>
                <w:rFonts w:ascii="Times New Roman" w:hAnsi="Times New Roman" w:cs="Times New Roman"/>
                <w:lang w:val="fr-FR"/>
              </w:rPr>
            </w:pPr>
            <w:r w:rsidRPr="00540AB5">
              <w:rPr>
                <w:rFonts w:ascii="Times New Roman" w:hAnsi="Times New Roman" w:cs="Times New Roman"/>
                <w:lang w:val="fr-FR"/>
              </w:rPr>
              <w:t>4.2. Des oies apparemment hybrides ont été retirées de</w:t>
            </w:r>
            <w:r>
              <w:rPr>
                <w:rFonts w:ascii="Times New Roman" w:hAnsi="Times New Roman" w:cs="Times New Roman"/>
                <w:lang w:val="fr-FR"/>
              </w:rPr>
              <w:t xml:space="preserve"> la</w:t>
            </w:r>
            <w:r w:rsidRPr="00540AB5">
              <w:rPr>
                <w:rFonts w:ascii="Times New Roman" w:hAnsi="Times New Roman" w:cs="Times New Roman"/>
                <w:lang w:val="fr-FR"/>
              </w:rPr>
              <w:t xml:space="preserve"> sous-population suédoise existante, en fonction des conclusions d</w:t>
            </w:r>
            <w:r>
              <w:rPr>
                <w:rFonts w:ascii="Times New Roman" w:hAnsi="Times New Roman" w:cs="Times New Roman"/>
                <w:lang w:val="fr-FR"/>
              </w:rPr>
              <w:t>’</w:t>
            </w:r>
            <w:r w:rsidRPr="00540AB5">
              <w:rPr>
                <w:rFonts w:ascii="Times New Roman" w:hAnsi="Times New Roman" w:cs="Times New Roman"/>
                <w:lang w:val="fr-FR"/>
              </w:rPr>
              <w:t>une étude de faisabilité.</w:t>
            </w:r>
          </w:p>
          <w:p w14:paraId="5A653422" w14:textId="77777777" w:rsidR="00886A3C" w:rsidRPr="004B1407" w:rsidRDefault="00886A3C" w:rsidP="00886A3C">
            <w:pPr>
              <w:rPr>
                <w:rFonts w:ascii="Times New Roman" w:hAnsi="Times New Roman" w:cs="Times New Roman"/>
                <w:lang w:val="fr-FR"/>
              </w:rPr>
            </w:pPr>
            <w:r w:rsidRPr="00540AB5">
              <w:rPr>
                <w:rFonts w:ascii="Times New Roman" w:hAnsi="Times New Roman" w:cs="Times New Roman"/>
                <w:lang w:val="fr-FR"/>
              </w:rPr>
              <w:t>(la question s</w:t>
            </w:r>
            <w:r>
              <w:rPr>
                <w:rFonts w:ascii="Times New Roman" w:hAnsi="Times New Roman" w:cs="Times New Roman"/>
                <w:lang w:val="fr-FR"/>
              </w:rPr>
              <w:t>’</w:t>
            </w:r>
            <w:r w:rsidRPr="00540AB5">
              <w:rPr>
                <w:rFonts w:ascii="Times New Roman" w:hAnsi="Times New Roman" w:cs="Times New Roman"/>
                <w:lang w:val="fr-FR"/>
              </w:rPr>
              <w:t>applique à la Suède)</w:t>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778DE7CC"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A726BC" w14:paraId="3470F796" w14:textId="77777777" w:rsidTr="00886A3C">
        <w:trPr>
          <w:trHeight w:val="331"/>
        </w:trPr>
        <w:tc>
          <w:tcPr>
            <w:tcW w:w="6884" w:type="dxa"/>
            <w:tcBorders>
              <w:top w:val="single" w:sz="4" w:space="0" w:color="auto"/>
              <w:left w:val="single" w:sz="4" w:space="0" w:color="auto"/>
              <w:bottom w:val="single" w:sz="4" w:space="0" w:color="auto"/>
              <w:right w:val="single" w:sz="4" w:space="0" w:color="auto"/>
            </w:tcBorders>
          </w:tcPr>
          <w:p w14:paraId="69861ABA" w14:textId="77777777" w:rsidR="00886A3C" w:rsidRPr="004B1407" w:rsidRDefault="00886A3C" w:rsidP="00886A3C">
            <w:pPr>
              <w:rPr>
                <w:rFonts w:ascii="Times New Roman" w:hAnsi="Times New Roman" w:cs="Times New Roman"/>
                <w:lang w:val="fr-FR"/>
              </w:rPr>
            </w:pPr>
            <w:r w:rsidRPr="00540AB5">
              <w:rPr>
                <w:rFonts w:ascii="Times New Roman" w:hAnsi="Times New Roman" w:cs="Times New Roman"/>
                <w:lang w:val="fr-FR"/>
              </w:rPr>
              <w:t>4.3. L</w:t>
            </w:r>
            <w:r>
              <w:rPr>
                <w:rFonts w:ascii="Times New Roman" w:hAnsi="Times New Roman" w:cs="Times New Roman"/>
                <w:lang w:val="fr-FR"/>
              </w:rPr>
              <w:t>’</w:t>
            </w:r>
            <w:r w:rsidRPr="00540AB5">
              <w:rPr>
                <w:rFonts w:ascii="Times New Roman" w:hAnsi="Times New Roman" w:cs="Times New Roman"/>
                <w:lang w:val="fr-FR"/>
              </w:rPr>
              <w:t>avenir à long terme de tous les programmes de reproduction en captivité a été examiné.</w:t>
            </w:r>
          </w:p>
          <w:p w14:paraId="58BC3214" w14:textId="77777777" w:rsidR="00886A3C" w:rsidRPr="004B1407" w:rsidRDefault="00886A3C" w:rsidP="00886A3C">
            <w:pPr>
              <w:rPr>
                <w:rFonts w:ascii="Times New Roman" w:hAnsi="Times New Roman" w:cs="Times New Roman"/>
                <w:lang w:val="fr-FR"/>
              </w:rPr>
            </w:pPr>
            <w:r w:rsidRPr="00540AB5">
              <w:rPr>
                <w:rFonts w:ascii="Times New Roman" w:hAnsi="Times New Roman" w:cs="Times New Roman"/>
                <w:lang w:val="fr-FR"/>
              </w:rPr>
              <w:t>(la question s</w:t>
            </w:r>
            <w:r>
              <w:rPr>
                <w:rFonts w:ascii="Times New Roman" w:hAnsi="Times New Roman" w:cs="Times New Roman"/>
                <w:lang w:val="fr-FR"/>
              </w:rPr>
              <w:t>’</w:t>
            </w:r>
            <w:r w:rsidRPr="00540AB5">
              <w:rPr>
                <w:rFonts w:ascii="Times New Roman" w:hAnsi="Times New Roman" w:cs="Times New Roman"/>
                <w:lang w:val="fr-FR"/>
              </w:rPr>
              <w:t>applique à la Finlande, la Norvège et la Suède)</w:t>
            </w:r>
            <w:r>
              <w:rPr>
                <w:rFonts w:ascii="Times New Roman" w:hAnsi="Times New Roman" w:cs="Times New Roman"/>
                <w:lang w:val="fr-FR"/>
              </w:rPr>
              <w:t>.</w:t>
            </w:r>
            <w:r w:rsidRPr="00540AB5">
              <w:rPr>
                <w:rFonts w:ascii="Times New Roman" w:hAnsi="Times New Roman" w:cs="Times New Roman"/>
                <w:lang w:val="fr-FR"/>
              </w:rPr>
              <w:t xml:space="preserve"> (</w:t>
            </w:r>
            <w:r w:rsidRPr="00C46519">
              <w:rPr>
                <w:rFonts w:ascii="Times New Roman" w:hAnsi="Times New Roman" w:cs="Times New Roman"/>
                <w:i/>
                <w:lang w:val="fr-FR"/>
              </w:rPr>
              <w:t>La Finlande a indiqué que cette activité n’était pas applicable</w:t>
            </w:r>
            <w:r w:rsidRPr="00540AB5">
              <w:rPr>
                <w:rFonts w:ascii="Times New Roman" w:hAnsi="Times New Roman" w:cs="Times New Roman"/>
                <w:lang w:val="fr-FR"/>
              </w:rPr>
              <w:t>).</w:t>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46DA014E"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bl>
    <w:p w14:paraId="6CD6FEB2" w14:textId="77777777" w:rsidR="00886A3C" w:rsidRDefault="00886A3C" w:rsidP="00886A3C">
      <w:pPr>
        <w:spacing w:after="0" w:line="240" w:lineRule="auto"/>
        <w:jc w:val="both"/>
        <w:rPr>
          <w:rFonts w:ascii="Times New Roman" w:hAnsi="Times New Roman" w:cs="Times New Roman"/>
          <w:lang w:val="en-US"/>
        </w:rPr>
      </w:pPr>
    </w:p>
    <w:p w14:paraId="0EF5DE44" w14:textId="77777777" w:rsidR="00886A3C" w:rsidRPr="004B1407" w:rsidRDefault="00886A3C" w:rsidP="00886A3C">
      <w:pPr>
        <w:spacing w:after="0" w:line="240" w:lineRule="auto"/>
        <w:rPr>
          <w:rFonts w:ascii="Times New Roman" w:hAnsi="Times New Roman" w:cs="Times New Roman"/>
          <w:b/>
          <w:lang w:val="fr-FR"/>
        </w:rPr>
      </w:pPr>
      <w:r w:rsidRPr="00540AB5">
        <w:rPr>
          <w:rFonts w:ascii="Times New Roman" w:hAnsi="Times New Roman" w:cs="Times New Roman"/>
          <w:b/>
          <w:lang w:val="fr-FR"/>
        </w:rPr>
        <w:lastRenderedPageBreak/>
        <w:t>Taux moyen de mise en œuvre :</w:t>
      </w:r>
      <w:r w:rsidRPr="004B1407">
        <w:rPr>
          <w:rFonts w:ascii="Times New Roman" w:hAnsi="Times New Roman" w:cs="Times New Roman"/>
          <w:b/>
          <w:lang w:val="fr-FR"/>
        </w:rPr>
        <w:t xml:space="preserve"> 67 %</w:t>
      </w:r>
    </w:p>
    <w:p w14:paraId="095C83E3" w14:textId="77777777" w:rsidR="00886A3C" w:rsidRPr="004B1407" w:rsidRDefault="00886A3C" w:rsidP="00886A3C">
      <w:pPr>
        <w:spacing w:after="0" w:line="240" w:lineRule="auto"/>
        <w:jc w:val="both"/>
        <w:rPr>
          <w:rFonts w:ascii="Times New Roman" w:hAnsi="Times New Roman" w:cs="Times New Roman"/>
          <w:lang w:val="fr-FR"/>
        </w:rPr>
      </w:pPr>
    </w:p>
    <w:p w14:paraId="3D3C633F" w14:textId="77777777" w:rsidR="00886A3C" w:rsidRPr="004B1407" w:rsidRDefault="00886A3C" w:rsidP="00886A3C">
      <w:pPr>
        <w:spacing w:after="0" w:line="240" w:lineRule="auto"/>
        <w:jc w:val="both"/>
        <w:rPr>
          <w:rFonts w:ascii="Times New Roman" w:hAnsi="Times New Roman" w:cs="Times New Roman"/>
          <w:i/>
          <w:lang w:val="fr-FR"/>
        </w:rPr>
      </w:pPr>
      <w:r w:rsidRPr="00540AB5">
        <w:rPr>
          <w:rFonts w:ascii="Times New Roman" w:hAnsi="Times New Roman" w:cs="Times New Roman"/>
          <w:i/>
          <w:lang w:val="fr-FR"/>
        </w:rPr>
        <w:t xml:space="preserve">5.5. Résultat 5 – Comblement des lacunes </w:t>
      </w:r>
      <w:r>
        <w:rPr>
          <w:rFonts w:ascii="Times New Roman" w:hAnsi="Times New Roman" w:cs="Times New Roman"/>
          <w:i/>
          <w:lang w:val="fr-FR"/>
        </w:rPr>
        <w:t xml:space="preserve">au niveau </w:t>
      </w:r>
      <w:r w:rsidRPr="00540AB5">
        <w:rPr>
          <w:rFonts w:ascii="Times New Roman" w:hAnsi="Times New Roman" w:cs="Times New Roman"/>
          <w:i/>
          <w:lang w:val="fr-FR"/>
        </w:rPr>
        <w:t>des connaissances clés</w:t>
      </w:r>
    </w:p>
    <w:p w14:paraId="50B8422D" w14:textId="77777777" w:rsidR="00886A3C" w:rsidRPr="004B1407" w:rsidRDefault="00886A3C" w:rsidP="00886A3C">
      <w:pPr>
        <w:spacing w:after="0" w:line="240" w:lineRule="auto"/>
        <w:rPr>
          <w:rFonts w:ascii="Times New Roman" w:hAnsi="Times New Roman" w:cs="Times New Roman"/>
          <w:i/>
          <w:lang w:val="fr-FR"/>
        </w:rPr>
      </w:pPr>
    </w:p>
    <w:p w14:paraId="47CF8D77" w14:textId="77777777" w:rsidR="00886A3C" w:rsidRPr="004B1407" w:rsidRDefault="00886A3C" w:rsidP="00886A3C">
      <w:pPr>
        <w:spacing w:after="0" w:line="240" w:lineRule="auto"/>
        <w:rPr>
          <w:rFonts w:ascii="Times New Roman" w:hAnsi="Times New Roman" w:cs="Times New Roman"/>
          <w:b/>
          <w:lang w:val="fr-FR"/>
        </w:rPr>
      </w:pPr>
      <w:r w:rsidRPr="00540AB5">
        <w:rPr>
          <w:rFonts w:ascii="Times New Roman" w:hAnsi="Times New Roman" w:cs="Times New Roman"/>
          <w:lang w:val="fr-FR"/>
        </w:rPr>
        <w:t>La mise en œuvre</w:t>
      </w:r>
      <w:r>
        <w:rPr>
          <w:rFonts w:ascii="Times New Roman" w:hAnsi="Times New Roman" w:cs="Times New Roman"/>
          <w:lang w:val="fr-FR"/>
        </w:rPr>
        <w:t xml:space="preserve"> </w:t>
      </w:r>
      <w:r w:rsidRPr="00540AB5">
        <w:rPr>
          <w:rFonts w:ascii="Times New Roman" w:hAnsi="Times New Roman" w:cs="Times New Roman"/>
          <w:lang w:val="fr-FR"/>
        </w:rPr>
        <w:t xml:space="preserve">de ce résultat a été classée comme étant </w:t>
      </w:r>
      <w:r w:rsidRPr="00540AB5">
        <w:rPr>
          <w:rFonts w:ascii="Times New Roman" w:hAnsi="Times New Roman" w:cs="Times New Roman"/>
          <w:b/>
          <w:lang w:val="fr-FR"/>
        </w:rPr>
        <w:t>essentielle</w:t>
      </w:r>
      <w:r w:rsidRPr="00540AB5">
        <w:rPr>
          <w:rFonts w:ascii="Times New Roman" w:hAnsi="Times New Roman" w:cs="Times New Roman"/>
          <w:lang w:val="fr-FR"/>
        </w:rPr>
        <w:t>.</w:t>
      </w:r>
    </w:p>
    <w:p w14:paraId="0072F543" w14:textId="77777777" w:rsidR="00886A3C" w:rsidRPr="004B1407" w:rsidRDefault="00886A3C" w:rsidP="00886A3C">
      <w:pPr>
        <w:spacing w:after="0" w:line="240" w:lineRule="auto"/>
        <w:rPr>
          <w:rFonts w:ascii="Times New Roman" w:hAnsi="Times New Roman" w:cs="Times New Roman"/>
          <w:b/>
          <w:lang w:val="fr-FR"/>
        </w:rPr>
      </w:pPr>
    </w:p>
    <w:tbl>
      <w:tblPr>
        <w:tblStyle w:val="TableGrid"/>
        <w:tblW w:w="0" w:type="auto"/>
        <w:tblLook w:val="04A0" w:firstRow="1" w:lastRow="0" w:firstColumn="1" w:lastColumn="0" w:noHBand="0" w:noVBand="1"/>
      </w:tblPr>
      <w:tblGrid>
        <w:gridCol w:w="6884"/>
        <w:gridCol w:w="1726"/>
      </w:tblGrid>
      <w:tr w:rsidR="00886A3C" w:rsidRPr="00DE4CF4" w14:paraId="0107031B"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37B573" w14:textId="77777777" w:rsidR="00886A3C" w:rsidRDefault="00886A3C" w:rsidP="00886A3C">
            <w:pPr>
              <w:jc w:val="both"/>
              <w:rPr>
                <w:rFonts w:ascii="Times New Roman" w:hAnsi="Times New Roman" w:cs="Times New Roman"/>
                <w:i/>
              </w:rPr>
            </w:pPr>
            <w:r w:rsidRPr="00540AB5">
              <w:rPr>
                <w:rFonts w:ascii="Times New Roman" w:hAnsi="Times New Roman" w:cs="Times New Roman"/>
                <w:i/>
                <w:lang w:val="fr-FR"/>
              </w:rPr>
              <w:t>Activité</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38D9C3" w14:textId="77777777" w:rsidR="00886A3C" w:rsidRPr="004B1407" w:rsidRDefault="00886A3C" w:rsidP="00886A3C">
            <w:pPr>
              <w:jc w:val="both"/>
              <w:rPr>
                <w:rFonts w:ascii="Times New Roman" w:hAnsi="Times New Roman" w:cs="Times New Roman"/>
                <w:i/>
                <w:lang w:val="fr-FR"/>
              </w:rPr>
            </w:pPr>
            <w:r w:rsidRPr="00540AB5">
              <w:rPr>
                <w:rFonts w:ascii="Times New Roman" w:hAnsi="Times New Roman" w:cs="Times New Roman"/>
                <w:i/>
                <w:lang w:val="fr-FR"/>
              </w:rPr>
              <w:t xml:space="preserve">Taux de mise en œuvre </w:t>
            </w:r>
          </w:p>
        </w:tc>
      </w:tr>
      <w:tr w:rsidR="00886A3C" w:rsidRPr="00A726BC" w14:paraId="13D467B6" w14:textId="77777777" w:rsidTr="00886A3C">
        <w:trPr>
          <w:trHeight w:val="494"/>
        </w:trPr>
        <w:tc>
          <w:tcPr>
            <w:tcW w:w="6884" w:type="dxa"/>
            <w:tcBorders>
              <w:top w:val="single" w:sz="4" w:space="0" w:color="auto"/>
              <w:left w:val="single" w:sz="4" w:space="0" w:color="auto"/>
              <w:bottom w:val="single" w:sz="4" w:space="0" w:color="auto"/>
              <w:right w:val="single" w:sz="4" w:space="0" w:color="auto"/>
            </w:tcBorders>
          </w:tcPr>
          <w:p w14:paraId="050EE08E" w14:textId="77777777" w:rsidR="00886A3C" w:rsidRPr="004B1407" w:rsidRDefault="00886A3C" w:rsidP="00886A3C">
            <w:pPr>
              <w:rPr>
                <w:rFonts w:ascii="Times New Roman" w:hAnsi="Times New Roman" w:cs="Times New Roman"/>
                <w:lang w:val="fr-FR"/>
              </w:rPr>
            </w:pPr>
            <w:r w:rsidRPr="00540AB5">
              <w:rPr>
                <w:rFonts w:ascii="Times New Roman" w:hAnsi="Times New Roman" w:cs="Times New Roman"/>
                <w:lang w:val="fr-FR"/>
              </w:rPr>
              <w:t>5.1. Déployer des efforts pour localiser les sources de supports financiers possibles pour la poursuite des recherches orientées vers la conservation.</w:t>
            </w:r>
          </w:p>
        </w:tc>
        <w:tc>
          <w:tcPr>
            <w:tcW w:w="1726" w:type="dxa"/>
            <w:tcBorders>
              <w:top w:val="single" w:sz="4" w:space="0" w:color="auto"/>
              <w:left w:val="single" w:sz="4" w:space="0" w:color="auto"/>
              <w:bottom w:val="single" w:sz="4" w:space="0" w:color="auto"/>
              <w:right w:val="single" w:sz="4" w:space="0" w:color="auto"/>
            </w:tcBorders>
          </w:tcPr>
          <w:p w14:paraId="26C94E7A" w14:textId="77777777" w:rsidR="00886A3C" w:rsidRDefault="00886A3C" w:rsidP="00886A3C">
            <w:pPr>
              <w:jc w:val="center"/>
              <w:rPr>
                <w:rFonts w:ascii="Times New Roman" w:hAnsi="Times New Roman" w:cs="Times New Roman"/>
              </w:rPr>
            </w:pPr>
            <w:r>
              <w:rPr>
                <w:rFonts w:ascii="Times New Roman" w:hAnsi="Times New Roman" w:cs="Times New Roman"/>
              </w:rPr>
              <w:t>23 %</w:t>
            </w:r>
          </w:p>
        </w:tc>
      </w:tr>
      <w:tr w:rsidR="00886A3C" w:rsidRPr="00A726BC" w14:paraId="1C2DDEFE"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tcPr>
          <w:p w14:paraId="569B6CF2" w14:textId="77777777" w:rsidR="00886A3C" w:rsidRDefault="00886A3C" w:rsidP="00886A3C">
            <w:pPr>
              <w:rPr>
                <w:rFonts w:ascii="Times New Roman" w:hAnsi="Times New Roman" w:cs="Times New Roman"/>
              </w:rPr>
            </w:pPr>
            <w:r w:rsidRPr="007203C0">
              <w:rPr>
                <w:rFonts w:ascii="Times New Roman" w:hAnsi="Times New Roman" w:cs="Times New Roman"/>
                <w:lang w:val="fr-FR"/>
              </w:rPr>
              <w:t>5.2. Utiliser le suivi satellitaire ou des études de terrain pour localiser les sites de reproduction pour la majeure partie de la population occidentale principale.</w:t>
            </w:r>
            <w:r w:rsidRPr="004B1407">
              <w:rPr>
                <w:rFonts w:ascii="Times New Roman" w:hAnsi="Times New Roman" w:cs="Times New Roman"/>
                <w:lang w:val="fr-FR"/>
              </w:rPr>
              <w:t xml:space="preserve"> </w:t>
            </w:r>
            <w:r>
              <w:rPr>
                <w:rFonts w:ascii="Times New Roman" w:hAnsi="Times New Roman" w:cs="Times New Roman"/>
                <w:lang w:val="fr-FR"/>
              </w:rPr>
              <w:t>(R</w:t>
            </w:r>
            <w:r w:rsidRPr="007203C0">
              <w:rPr>
                <w:rFonts w:ascii="Times New Roman" w:hAnsi="Times New Roman" w:cs="Times New Roman"/>
                <w:lang w:val="fr-FR"/>
              </w:rPr>
              <w:t>ussie</w:t>
            </w:r>
            <w:r>
              <w:rPr>
                <w:rFonts w:ascii="Times New Roman" w:hAnsi="Times New Roman" w:cs="Times New Roman"/>
                <w:lang w:val="fr-FR"/>
              </w:rPr>
              <w:t>)</w:t>
            </w:r>
          </w:p>
        </w:tc>
        <w:tc>
          <w:tcPr>
            <w:tcW w:w="1726" w:type="dxa"/>
            <w:tcBorders>
              <w:top w:val="single" w:sz="4" w:space="0" w:color="auto"/>
              <w:left w:val="single" w:sz="4" w:space="0" w:color="auto"/>
              <w:bottom w:val="single" w:sz="4" w:space="0" w:color="auto"/>
              <w:right w:val="single" w:sz="4" w:space="0" w:color="auto"/>
            </w:tcBorders>
          </w:tcPr>
          <w:p w14:paraId="23AF6E79"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A726BC" w14:paraId="674BB1B0" w14:textId="77777777" w:rsidTr="00886A3C">
        <w:trPr>
          <w:trHeight w:val="331"/>
        </w:trPr>
        <w:tc>
          <w:tcPr>
            <w:tcW w:w="6884" w:type="dxa"/>
            <w:tcBorders>
              <w:top w:val="single" w:sz="4" w:space="0" w:color="auto"/>
              <w:left w:val="single" w:sz="4" w:space="0" w:color="auto"/>
              <w:bottom w:val="single" w:sz="4" w:space="0" w:color="auto"/>
              <w:right w:val="single" w:sz="4" w:space="0" w:color="auto"/>
            </w:tcBorders>
          </w:tcPr>
          <w:p w14:paraId="26D0713E"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5.3. Évaluer la pression de la chasse sur les sites clés.</w:t>
            </w:r>
          </w:p>
        </w:tc>
        <w:tc>
          <w:tcPr>
            <w:tcW w:w="1726" w:type="dxa"/>
            <w:tcBorders>
              <w:top w:val="single" w:sz="4" w:space="0" w:color="auto"/>
              <w:left w:val="single" w:sz="4" w:space="0" w:color="auto"/>
              <w:bottom w:val="single" w:sz="4" w:space="0" w:color="auto"/>
              <w:right w:val="single" w:sz="4" w:space="0" w:color="auto"/>
            </w:tcBorders>
            <w:vAlign w:val="bottom"/>
          </w:tcPr>
          <w:p w14:paraId="25952F7E"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40</w:t>
            </w:r>
            <w:r>
              <w:rPr>
                <w:rFonts w:ascii="Times New Roman" w:hAnsi="Times New Roman" w:cs="Times New Roman"/>
                <w:color w:val="000000"/>
              </w:rPr>
              <w:t> %</w:t>
            </w:r>
          </w:p>
        </w:tc>
      </w:tr>
      <w:tr w:rsidR="00886A3C" w:rsidRPr="00967D03" w14:paraId="4268FE66"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5DECA0A0"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5.4. Utiliser la combinaison d</w:t>
            </w:r>
            <w:r>
              <w:rPr>
                <w:rFonts w:ascii="Times New Roman" w:hAnsi="Times New Roman" w:cs="Times New Roman"/>
                <w:lang w:val="fr-FR"/>
              </w:rPr>
              <w:t>u</w:t>
            </w:r>
            <w:r w:rsidRPr="007203C0">
              <w:rPr>
                <w:rFonts w:ascii="Times New Roman" w:hAnsi="Times New Roman" w:cs="Times New Roman"/>
                <w:lang w:val="fr-FR"/>
              </w:rPr>
              <w:t xml:space="preserve"> suivi satellitaire et d</w:t>
            </w:r>
            <w:r>
              <w:rPr>
                <w:rFonts w:ascii="Times New Roman" w:hAnsi="Times New Roman" w:cs="Times New Roman"/>
                <w:lang w:val="fr-FR"/>
              </w:rPr>
              <w:t>’</w:t>
            </w:r>
            <w:r w:rsidRPr="007203C0">
              <w:rPr>
                <w:rFonts w:ascii="Times New Roman" w:hAnsi="Times New Roman" w:cs="Times New Roman"/>
                <w:lang w:val="fr-FR"/>
              </w:rPr>
              <w:t>études de terrain pour localiser les sites clés de reproduction, de halte et d</w:t>
            </w:r>
            <w:r>
              <w:rPr>
                <w:rFonts w:ascii="Times New Roman" w:hAnsi="Times New Roman" w:cs="Times New Roman"/>
                <w:lang w:val="fr-FR"/>
              </w:rPr>
              <w:t>’</w:t>
            </w:r>
            <w:r w:rsidRPr="007203C0">
              <w:rPr>
                <w:rFonts w:ascii="Times New Roman" w:hAnsi="Times New Roman" w:cs="Times New Roman"/>
                <w:lang w:val="fr-FR"/>
              </w:rPr>
              <w:t>hivernage pour la population fennoscandienne.</w:t>
            </w:r>
            <w:r w:rsidRPr="004B1407">
              <w:rPr>
                <w:rFonts w:ascii="Times New Roman" w:hAnsi="Times New Roman" w:cs="Times New Roman"/>
                <w:lang w:val="fr-FR"/>
              </w:rPr>
              <w:t xml:space="preserve"> </w:t>
            </w:r>
            <w:r w:rsidRPr="007203C0">
              <w:rPr>
                <w:rFonts w:ascii="Times New Roman" w:hAnsi="Times New Roman" w:cs="Times New Roman"/>
                <w:lang w:val="fr-FR"/>
              </w:rPr>
              <w:t>(s</w:t>
            </w:r>
            <w:r>
              <w:rPr>
                <w:rFonts w:ascii="Times New Roman" w:hAnsi="Times New Roman" w:cs="Times New Roman"/>
                <w:lang w:val="fr-FR"/>
              </w:rPr>
              <w:t>’</w:t>
            </w:r>
            <w:r w:rsidRPr="007203C0">
              <w:rPr>
                <w:rFonts w:ascii="Times New Roman" w:hAnsi="Times New Roman" w:cs="Times New Roman"/>
                <w:lang w:val="fr-FR"/>
              </w:rPr>
              <w:t>applique aux États de l</w:t>
            </w:r>
            <w:r>
              <w:rPr>
                <w:rFonts w:ascii="Times New Roman" w:hAnsi="Times New Roman" w:cs="Times New Roman"/>
                <w:lang w:val="fr-FR"/>
              </w:rPr>
              <w:t>’</w:t>
            </w:r>
            <w:r w:rsidRPr="007203C0">
              <w:rPr>
                <w:rFonts w:ascii="Times New Roman" w:hAnsi="Times New Roman" w:cs="Times New Roman"/>
                <w:lang w:val="fr-FR"/>
              </w:rPr>
              <w:t>aire de répartition de la population fennoscandienne)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59DB0559"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31</w:t>
            </w:r>
            <w:r>
              <w:rPr>
                <w:rFonts w:ascii="Times New Roman" w:hAnsi="Times New Roman" w:cs="Times New Roman"/>
                <w:color w:val="000000"/>
              </w:rPr>
              <w:t> %</w:t>
            </w:r>
          </w:p>
        </w:tc>
      </w:tr>
      <w:tr w:rsidR="00886A3C" w:rsidRPr="00967D03" w14:paraId="386109F5"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50F46B71"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5.5. Réaliser une étude de viabilité de population (PVA) pour la population fennoscandienne sauvage restante.</w:t>
            </w:r>
            <w:r w:rsidRPr="004B1407">
              <w:rPr>
                <w:rFonts w:ascii="Times New Roman" w:hAnsi="Times New Roman" w:cs="Times New Roman"/>
                <w:lang w:val="fr-FR"/>
              </w:rPr>
              <w:t xml:space="preserve"> </w:t>
            </w:r>
            <w:r w:rsidRPr="007203C0">
              <w:rPr>
                <w:rFonts w:ascii="Times New Roman" w:hAnsi="Times New Roman" w:cs="Times New Roman"/>
                <w:lang w:val="fr-FR"/>
              </w:rPr>
              <w:t>(s</w:t>
            </w:r>
            <w:r>
              <w:rPr>
                <w:rFonts w:ascii="Times New Roman" w:hAnsi="Times New Roman" w:cs="Times New Roman"/>
                <w:lang w:val="fr-FR"/>
              </w:rPr>
              <w:t>’</w:t>
            </w:r>
            <w:r w:rsidRPr="007203C0">
              <w:rPr>
                <w:rFonts w:ascii="Times New Roman" w:hAnsi="Times New Roman" w:cs="Times New Roman"/>
                <w:lang w:val="fr-FR"/>
              </w:rPr>
              <w:t>applique aux États de l</w:t>
            </w:r>
            <w:r>
              <w:rPr>
                <w:rFonts w:ascii="Times New Roman" w:hAnsi="Times New Roman" w:cs="Times New Roman"/>
                <w:lang w:val="fr-FR"/>
              </w:rPr>
              <w:t>’</w:t>
            </w:r>
            <w:r w:rsidRPr="007203C0">
              <w:rPr>
                <w:rFonts w:ascii="Times New Roman" w:hAnsi="Times New Roman" w:cs="Times New Roman"/>
                <w:lang w:val="fr-FR"/>
              </w:rPr>
              <w:t>aire de répartition de la population fennoscandienne)</w:t>
            </w:r>
          </w:p>
        </w:tc>
        <w:tc>
          <w:tcPr>
            <w:tcW w:w="1726" w:type="dxa"/>
            <w:tcBorders>
              <w:top w:val="single" w:sz="4" w:space="0" w:color="auto"/>
              <w:left w:val="single" w:sz="4" w:space="0" w:color="auto"/>
              <w:bottom w:val="single" w:sz="4" w:space="0" w:color="auto"/>
              <w:right w:val="single" w:sz="4" w:space="0" w:color="auto"/>
            </w:tcBorders>
            <w:vAlign w:val="bottom"/>
          </w:tcPr>
          <w:p w14:paraId="4BCAA677"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 %</w:t>
            </w:r>
          </w:p>
        </w:tc>
      </w:tr>
      <w:tr w:rsidR="00886A3C" w:rsidRPr="00A726BC" w14:paraId="5AE41FE7"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7DC7D6F7"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5.6. Utiliser le suivi satellitaire ou des études de terrain pour localiser les sites de halte et d</w:t>
            </w:r>
            <w:r>
              <w:rPr>
                <w:rFonts w:ascii="Times New Roman" w:hAnsi="Times New Roman" w:cs="Times New Roman"/>
                <w:lang w:val="fr-FR"/>
              </w:rPr>
              <w:t>’</w:t>
            </w:r>
            <w:r w:rsidRPr="007203C0">
              <w:rPr>
                <w:rFonts w:ascii="Times New Roman" w:hAnsi="Times New Roman" w:cs="Times New Roman"/>
                <w:lang w:val="fr-FR"/>
              </w:rPr>
              <w:t>hivernage de la population occidentale principale.</w:t>
            </w:r>
          </w:p>
        </w:tc>
        <w:tc>
          <w:tcPr>
            <w:tcW w:w="1726" w:type="dxa"/>
            <w:tcBorders>
              <w:top w:val="single" w:sz="4" w:space="0" w:color="auto"/>
              <w:left w:val="single" w:sz="4" w:space="0" w:color="auto"/>
              <w:bottom w:val="single" w:sz="4" w:space="0" w:color="auto"/>
              <w:right w:val="single" w:sz="4" w:space="0" w:color="auto"/>
            </w:tcBorders>
            <w:vAlign w:val="bottom"/>
          </w:tcPr>
          <w:p w14:paraId="768EAF33"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27</w:t>
            </w:r>
            <w:r>
              <w:rPr>
                <w:rFonts w:ascii="Times New Roman" w:hAnsi="Times New Roman" w:cs="Times New Roman"/>
                <w:color w:val="000000"/>
              </w:rPr>
              <w:t> %</w:t>
            </w:r>
          </w:p>
        </w:tc>
      </w:tr>
      <w:tr w:rsidR="00886A3C" w:rsidRPr="00A726BC" w14:paraId="70C833A9"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7CA8BBCD"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 xml:space="preserve">5.7. </w:t>
            </w:r>
            <w:r>
              <w:rPr>
                <w:rFonts w:ascii="Times New Roman" w:hAnsi="Times New Roman" w:cs="Times New Roman"/>
                <w:lang w:val="fr-FR"/>
              </w:rPr>
              <w:t>Entreprendre des</w:t>
            </w:r>
            <w:r w:rsidRPr="007203C0">
              <w:rPr>
                <w:rFonts w:ascii="Times New Roman" w:hAnsi="Times New Roman" w:cs="Times New Roman"/>
                <w:lang w:val="fr-FR"/>
              </w:rPr>
              <w:t xml:space="preserve"> études</w:t>
            </w:r>
            <w:r>
              <w:rPr>
                <w:rFonts w:ascii="Times New Roman" w:hAnsi="Times New Roman" w:cs="Times New Roman"/>
                <w:lang w:val="fr-FR"/>
              </w:rPr>
              <w:t xml:space="preserve"> </w:t>
            </w:r>
            <w:r w:rsidRPr="007203C0">
              <w:rPr>
                <w:rFonts w:ascii="Times New Roman" w:hAnsi="Times New Roman" w:cs="Times New Roman"/>
                <w:lang w:val="fr-FR"/>
              </w:rPr>
              <w:t xml:space="preserve">de terrain </w:t>
            </w:r>
            <w:r>
              <w:rPr>
                <w:rFonts w:ascii="Times New Roman" w:hAnsi="Times New Roman" w:cs="Times New Roman"/>
                <w:lang w:val="fr-FR"/>
              </w:rPr>
              <w:t>supplémentaires</w:t>
            </w:r>
            <w:r w:rsidRPr="007203C0">
              <w:rPr>
                <w:rFonts w:ascii="Times New Roman" w:hAnsi="Times New Roman" w:cs="Times New Roman"/>
                <w:lang w:val="fr-FR"/>
              </w:rPr>
              <w:t xml:space="preserve"> </w:t>
            </w:r>
            <w:r>
              <w:rPr>
                <w:rFonts w:ascii="Times New Roman" w:hAnsi="Times New Roman" w:cs="Times New Roman"/>
                <w:lang w:val="fr-FR"/>
              </w:rPr>
              <w:t xml:space="preserve">sur les </w:t>
            </w:r>
            <w:r w:rsidRPr="007203C0">
              <w:rPr>
                <w:rFonts w:ascii="Times New Roman" w:hAnsi="Times New Roman" w:cs="Times New Roman"/>
                <w:lang w:val="fr-FR"/>
              </w:rPr>
              <w:t xml:space="preserve">habitats de reproduction et </w:t>
            </w:r>
            <w:r>
              <w:rPr>
                <w:rFonts w:ascii="Times New Roman" w:hAnsi="Times New Roman" w:cs="Times New Roman"/>
                <w:lang w:val="fr-FR"/>
              </w:rPr>
              <w:t>sites</w:t>
            </w:r>
            <w:r w:rsidRPr="007203C0">
              <w:rPr>
                <w:rFonts w:ascii="Times New Roman" w:hAnsi="Times New Roman" w:cs="Times New Roman"/>
                <w:lang w:val="fr-FR"/>
              </w:rPr>
              <w:t xml:space="preserve"> de halte appropriés</w:t>
            </w:r>
            <w:r>
              <w:rPr>
                <w:rFonts w:ascii="Times New Roman" w:hAnsi="Times New Roman" w:cs="Times New Roman"/>
                <w:lang w:val="fr-FR"/>
              </w:rPr>
              <w:t xml:space="preserve"> de la Péninsule de Kola </w:t>
            </w:r>
            <w:r w:rsidRPr="007203C0">
              <w:rPr>
                <w:rFonts w:ascii="Times New Roman" w:hAnsi="Times New Roman" w:cs="Times New Roman"/>
                <w:lang w:val="fr-FR"/>
              </w:rPr>
              <w:t>pour mettre à jour les estimations de la population fennoscandienne</w:t>
            </w:r>
            <w:r>
              <w:rPr>
                <w:rFonts w:ascii="Times New Roman" w:hAnsi="Times New Roman" w:cs="Times New Roman"/>
                <w:lang w:val="fr-FR"/>
              </w:rPr>
              <w:t>.</w:t>
            </w:r>
            <w:r w:rsidRPr="007203C0">
              <w:rPr>
                <w:rFonts w:ascii="Times New Roman" w:hAnsi="Times New Roman" w:cs="Times New Roman"/>
                <w:lang w:val="fr-FR"/>
              </w:rPr>
              <w:t xml:space="preserve"> (s</w:t>
            </w:r>
            <w:r>
              <w:rPr>
                <w:rFonts w:ascii="Times New Roman" w:hAnsi="Times New Roman" w:cs="Times New Roman"/>
                <w:lang w:val="fr-FR"/>
              </w:rPr>
              <w:t>’</w:t>
            </w:r>
            <w:r w:rsidRPr="007203C0">
              <w:rPr>
                <w:rFonts w:ascii="Times New Roman" w:hAnsi="Times New Roman" w:cs="Times New Roman"/>
                <w:lang w:val="fr-FR"/>
              </w:rPr>
              <w:t>applique aux États de l</w:t>
            </w:r>
            <w:r>
              <w:rPr>
                <w:rFonts w:ascii="Times New Roman" w:hAnsi="Times New Roman" w:cs="Times New Roman"/>
                <w:lang w:val="fr-FR"/>
              </w:rPr>
              <w:t>’</w:t>
            </w:r>
            <w:r w:rsidRPr="007203C0">
              <w:rPr>
                <w:rFonts w:ascii="Times New Roman" w:hAnsi="Times New Roman" w:cs="Times New Roman"/>
                <w:lang w:val="fr-FR"/>
              </w:rPr>
              <w:t>aire de répartition de la population fennoscandienne)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7039B456"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 %</w:t>
            </w:r>
          </w:p>
        </w:tc>
      </w:tr>
      <w:tr w:rsidR="00886A3C" w:rsidRPr="00A726BC" w14:paraId="4474450F"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4B72D44D"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5.8. Particip</w:t>
            </w:r>
            <w:r>
              <w:rPr>
                <w:rFonts w:ascii="Times New Roman" w:hAnsi="Times New Roman" w:cs="Times New Roman"/>
                <w:lang w:val="fr-FR"/>
              </w:rPr>
              <w:t>er à des</w:t>
            </w:r>
            <w:r w:rsidRPr="007203C0">
              <w:rPr>
                <w:rFonts w:ascii="Times New Roman" w:hAnsi="Times New Roman" w:cs="Times New Roman"/>
                <w:lang w:val="fr-FR"/>
              </w:rPr>
              <w:t xml:space="preserve"> comptages coordonnés des oies naines.</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0F477C32"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55</w:t>
            </w:r>
            <w:r>
              <w:rPr>
                <w:rFonts w:ascii="Times New Roman" w:hAnsi="Times New Roman" w:cs="Times New Roman"/>
                <w:color w:val="000000"/>
              </w:rPr>
              <w:t> %</w:t>
            </w:r>
          </w:p>
        </w:tc>
      </w:tr>
      <w:tr w:rsidR="00886A3C" w:rsidRPr="00A726BC" w14:paraId="414993E1" w14:textId="77777777" w:rsidTr="00886A3C">
        <w:trPr>
          <w:trHeight w:val="592"/>
        </w:trPr>
        <w:tc>
          <w:tcPr>
            <w:tcW w:w="6884" w:type="dxa"/>
            <w:tcBorders>
              <w:top w:val="single" w:sz="4" w:space="0" w:color="auto"/>
              <w:left w:val="single" w:sz="4" w:space="0" w:color="auto"/>
              <w:bottom w:val="single" w:sz="4" w:space="0" w:color="auto"/>
              <w:right w:val="single" w:sz="4" w:space="0" w:color="auto"/>
            </w:tcBorders>
          </w:tcPr>
          <w:p w14:paraId="3B8A2173"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5.9. Évaluer les schémas d</w:t>
            </w:r>
            <w:r>
              <w:rPr>
                <w:rFonts w:ascii="Times New Roman" w:hAnsi="Times New Roman" w:cs="Times New Roman"/>
                <w:lang w:val="fr-FR"/>
              </w:rPr>
              <w:t>’</w:t>
            </w:r>
            <w:r w:rsidRPr="007203C0">
              <w:rPr>
                <w:rFonts w:ascii="Times New Roman" w:hAnsi="Times New Roman" w:cs="Times New Roman"/>
                <w:lang w:val="fr-FR"/>
              </w:rPr>
              <w:t>utilisation spatiale au niveau de l</w:t>
            </w:r>
            <w:r>
              <w:rPr>
                <w:rFonts w:ascii="Times New Roman" w:hAnsi="Times New Roman" w:cs="Times New Roman"/>
                <w:lang w:val="fr-FR"/>
              </w:rPr>
              <w:t>’</w:t>
            </w:r>
            <w:r w:rsidRPr="007203C0">
              <w:rPr>
                <w:rFonts w:ascii="Times New Roman" w:hAnsi="Times New Roman" w:cs="Times New Roman"/>
                <w:lang w:val="fr-FR"/>
              </w:rPr>
              <w:t>habitat afin d</w:t>
            </w:r>
            <w:r>
              <w:rPr>
                <w:rFonts w:ascii="Times New Roman" w:hAnsi="Times New Roman" w:cs="Times New Roman"/>
                <w:lang w:val="fr-FR"/>
              </w:rPr>
              <w:t>’</w:t>
            </w:r>
            <w:r w:rsidRPr="007203C0">
              <w:rPr>
                <w:rFonts w:ascii="Times New Roman" w:hAnsi="Times New Roman" w:cs="Times New Roman"/>
                <w:lang w:val="fr-FR"/>
              </w:rPr>
              <w:t>identifier les aires où la chasse menace directement les oies naines.</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3D31F9D1"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14</w:t>
            </w:r>
            <w:r>
              <w:rPr>
                <w:rFonts w:ascii="Times New Roman" w:hAnsi="Times New Roman" w:cs="Times New Roman"/>
                <w:color w:val="000000"/>
              </w:rPr>
              <w:t> %</w:t>
            </w:r>
          </w:p>
        </w:tc>
      </w:tr>
      <w:tr w:rsidR="00886A3C" w:rsidRPr="00A726BC" w14:paraId="1C7C9C8E"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3EBAE71F"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5.10. Déployer des efforts pour affiner les connaissances génétiques et les techniques utilisées pour les évaluations génétiques.</w:t>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23415593"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 %</w:t>
            </w:r>
          </w:p>
        </w:tc>
      </w:tr>
      <w:tr w:rsidR="00886A3C" w14:paraId="6285E0F8"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738EB73E"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5.11. Développer une stratégie pour la gestion génétique de l</w:t>
            </w:r>
            <w:r>
              <w:rPr>
                <w:rFonts w:ascii="Times New Roman" w:hAnsi="Times New Roman" w:cs="Times New Roman"/>
                <w:lang w:val="fr-FR"/>
              </w:rPr>
              <w:t>’</w:t>
            </w:r>
            <w:r w:rsidRPr="007203C0">
              <w:rPr>
                <w:rFonts w:ascii="Times New Roman" w:hAnsi="Times New Roman" w:cs="Times New Roman"/>
                <w:lang w:val="fr-FR"/>
              </w:rPr>
              <w:t>espèce à la fois à l</w:t>
            </w:r>
            <w:r>
              <w:rPr>
                <w:rFonts w:ascii="Times New Roman" w:hAnsi="Times New Roman" w:cs="Times New Roman"/>
                <w:lang w:val="fr-FR"/>
              </w:rPr>
              <w:t>’</w:t>
            </w:r>
            <w:r w:rsidRPr="007203C0">
              <w:rPr>
                <w:rFonts w:ascii="Times New Roman" w:hAnsi="Times New Roman" w:cs="Times New Roman"/>
                <w:lang w:val="fr-FR"/>
              </w:rPr>
              <w:t>état sauvage et en captivité.</w:t>
            </w:r>
            <w:r w:rsidRPr="004B1407">
              <w:rPr>
                <w:rFonts w:ascii="Times New Roman" w:hAnsi="Times New Roman" w:cs="Times New Roman"/>
                <w:lang w:val="fr-FR"/>
              </w:rPr>
              <w:t xml:space="preserve"> </w:t>
            </w:r>
            <w:r w:rsidRPr="007203C0">
              <w:rPr>
                <w:rFonts w:ascii="Times New Roman" w:hAnsi="Times New Roman" w:cs="Times New Roman"/>
                <w:lang w:val="fr-FR"/>
              </w:rPr>
              <w:t>(s</w:t>
            </w:r>
            <w:r>
              <w:rPr>
                <w:rFonts w:ascii="Times New Roman" w:hAnsi="Times New Roman" w:cs="Times New Roman"/>
                <w:lang w:val="fr-FR"/>
              </w:rPr>
              <w:t>’</w:t>
            </w:r>
            <w:r w:rsidRPr="007203C0">
              <w:rPr>
                <w:rFonts w:ascii="Times New Roman" w:hAnsi="Times New Roman" w:cs="Times New Roman"/>
                <w:lang w:val="fr-FR"/>
              </w:rPr>
              <w:t>applique aux États de l</w:t>
            </w:r>
            <w:r>
              <w:rPr>
                <w:rFonts w:ascii="Times New Roman" w:hAnsi="Times New Roman" w:cs="Times New Roman"/>
                <w:lang w:val="fr-FR"/>
              </w:rPr>
              <w:t>’</w:t>
            </w:r>
            <w:r w:rsidRPr="007203C0">
              <w:rPr>
                <w:rFonts w:ascii="Times New Roman" w:hAnsi="Times New Roman" w:cs="Times New Roman"/>
                <w:lang w:val="fr-FR"/>
              </w:rPr>
              <w:t>aire de répartition de la population fennoscandienne)</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4518C68D"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9</w:t>
            </w:r>
            <w:r>
              <w:rPr>
                <w:rFonts w:ascii="Times New Roman" w:hAnsi="Times New Roman" w:cs="Times New Roman"/>
                <w:color w:val="000000"/>
              </w:rPr>
              <w:t> %</w:t>
            </w:r>
          </w:p>
        </w:tc>
      </w:tr>
      <w:tr w:rsidR="00886A3C" w:rsidRPr="00A726BC" w14:paraId="4E9228E9" w14:textId="77777777" w:rsidTr="00886A3C">
        <w:trPr>
          <w:trHeight w:val="601"/>
        </w:trPr>
        <w:tc>
          <w:tcPr>
            <w:tcW w:w="6884" w:type="dxa"/>
            <w:tcBorders>
              <w:top w:val="single" w:sz="4" w:space="0" w:color="auto"/>
              <w:left w:val="single" w:sz="4" w:space="0" w:color="auto"/>
              <w:bottom w:val="single" w:sz="4" w:space="0" w:color="auto"/>
              <w:right w:val="single" w:sz="4" w:space="0" w:color="auto"/>
            </w:tcBorders>
          </w:tcPr>
          <w:p w14:paraId="45146A74"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5.12. Évaluer l</w:t>
            </w:r>
            <w:r>
              <w:rPr>
                <w:rFonts w:ascii="Times New Roman" w:hAnsi="Times New Roman" w:cs="Times New Roman"/>
                <w:lang w:val="fr-FR"/>
              </w:rPr>
              <w:t>’</w:t>
            </w:r>
            <w:r w:rsidRPr="007203C0">
              <w:rPr>
                <w:rFonts w:ascii="Times New Roman" w:hAnsi="Times New Roman" w:cs="Times New Roman"/>
                <w:lang w:val="fr-FR"/>
              </w:rPr>
              <w:t xml:space="preserve">état actuel des sites clés pour </w:t>
            </w:r>
            <w:r>
              <w:rPr>
                <w:rFonts w:ascii="Times New Roman" w:hAnsi="Times New Roman" w:cs="Times New Roman"/>
                <w:lang w:val="fr-FR"/>
              </w:rPr>
              <w:t xml:space="preserve">les </w:t>
            </w:r>
            <w:r w:rsidRPr="007203C0">
              <w:rPr>
                <w:rFonts w:ascii="Times New Roman" w:hAnsi="Times New Roman" w:cs="Times New Roman"/>
                <w:lang w:val="fr-FR"/>
              </w:rPr>
              <w:t>oies naines en ce qui concerne les exigences écologiques de l</w:t>
            </w:r>
            <w:r>
              <w:rPr>
                <w:rFonts w:ascii="Times New Roman" w:hAnsi="Times New Roman" w:cs="Times New Roman"/>
                <w:lang w:val="fr-FR"/>
              </w:rPr>
              <w:t>’</w:t>
            </w:r>
            <w:r w:rsidRPr="007203C0">
              <w:rPr>
                <w:rFonts w:ascii="Times New Roman" w:hAnsi="Times New Roman" w:cs="Times New Roman"/>
                <w:lang w:val="fr-FR"/>
              </w:rPr>
              <w:t>espèce.</w:t>
            </w:r>
          </w:p>
          <w:p w14:paraId="3B44AE3F" w14:textId="77777777" w:rsidR="00886A3C" w:rsidRPr="004B1407" w:rsidRDefault="00886A3C" w:rsidP="00886A3C">
            <w:pPr>
              <w:rPr>
                <w:rFonts w:ascii="Times New Roman" w:hAnsi="Times New Roman" w:cs="Times New Roman"/>
                <w:lang w:val="fr-FR"/>
              </w:rPr>
            </w:pP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54DD7303"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32</w:t>
            </w:r>
            <w:r>
              <w:rPr>
                <w:rFonts w:ascii="Times New Roman" w:hAnsi="Times New Roman" w:cs="Times New Roman"/>
                <w:color w:val="000000"/>
              </w:rPr>
              <w:t> %</w:t>
            </w:r>
          </w:p>
        </w:tc>
      </w:tr>
      <w:tr w:rsidR="00886A3C" w14:paraId="2F3B4806"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58383EEC" w14:textId="77777777" w:rsidR="00886A3C" w:rsidRPr="004B1407" w:rsidRDefault="00886A3C" w:rsidP="00886A3C">
            <w:pPr>
              <w:rPr>
                <w:rFonts w:ascii="Times New Roman" w:hAnsi="Times New Roman" w:cs="Times New Roman"/>
                <w:lang w:val="fr-FR"/>
              </w:rPr>
            </w:pPr>
            <w:r w:rsidRPr="007203C0">
              <w:rPr>
                <w:rFonts w:ascii="Times New Roman" w:hAnsi="Times New Roman" w:cs="Times New Roman"/>
                <w:lang w:val="fr-FR"/>
              </w:rPr>
              <w:t>5.13. Faire des efforts pour accroître les connaissances sur la fidélité au site de reproduction pour les mâles et les femelles, et les échanges avec les autres populations.</w:t>
            </w:r>
            <w:r w:rsidRPr="004B1407">
              <w:rPr>
                <w:rFonts w:ascii="Times New Roman" w:hAnsi="Times New Roman" w:cs="Times New Roman"/>
                <w:lang w:val="fr-FR"/>
              </w:rPr>
              <w:t xml:space="preserve"> </w:t>
            </w:r>
            <w:r w:rsidRPr="007203C0">
              <w:rPr>
                <w:rFonts w:ascii="Times New Roman" w:hAnsi="Times New Roman" w:cs="Times New Roman"/>
                <w:lang w:val="fr-FR"/>
              </w:rPr>
              <w:t>(s</w:t>
            </w:r>
            <w:r>
              <w:rPr>
                <w:rFonts w:ascii="Times New Roman" w:hAnsi="Times New Roman" w:cs="Times New Roman"/>
                <w:lang w:val="fr-FR"/>
              </w:rPr>
              <w:t>’</w:t>
            </w:r>
            <w:r w:rsidRPr="007203C0">
              <w:rPr>
                <w:rFonts w:ascii="Times New Roman" w:hAnsi="Times New Roman" w:cs="Times New Roman"/>
                <w:lang w:val="fr-FR"/>
              </w:rPr>
              <w:t>applique à la Finlande, la Norvège, la Russie et la Suède)</w:t>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00D2BA22"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 %</w:t>
            </w:r>
          </w:p>
        </w:tc>
      </w:tr>
      <w:tr w:rsidR="00886A3C" w:rsidRPr="00A726BC" w14:paraId="2D6FE29E"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1046E553" w14:textId="77777777" w:rsidR="00886A3C" w:rsidRPr="004B1407" w:rsidRDefault="00886A3C" w:rsidP="00886A3C">
            <w:pPr>
              <w:rPr>
                <w:rFonts w:ascii="Times New Roman" w:hAnsi="Times New Roman" w:cs="Times New Roman"/>
                <w:lang w:val="fr-FR"/>
              </w:rPr>
            </w:pPr>
            <w:r w:rsidRPr="0018297F">
              <w:rPr>
                <w:rFonts w:ascii="Times New Roman" w:hAnsi="Times New Roman" w:cs="Times New Roman"/>
                <w:lang w:val="fr-FR"/>
              </w:rPr>
              <w:t>5.14. Réaliser des études sur la prédation par les pygargues à queue blanche.</w:t>
            </w:r>
          </w:p>
          <w:p w14:paraId="0AD869A6" w14:textId="77777777" w:rsidR="00886A3C" w:rsidRPr="004B1407" w:rsidRDefault="00886A3C" w:rsidP="00886A3C">
            <w:pPr>
              <w:rPr>
                <w:rFonts w:ascii="Times New Roman" w:hAnsi="Times New Roman" w:cs="Times New Roman"/>
                <w:lang w:val="fr-FR"/>
              </w:rPr>
            </w:pPr>
            <w:r w:rsidRPr="0018297F">
              <w:rPr>
                <w:rFonts w:ascii="Times New Roman" w:hAnsi="Times New Roman" w:cs="Times New Roman"/>
                <w:lang w:val="fr-FR"/>
              </w:rPr>
              <w:t>(s</w:t>
            </w:r>
            <w:r>
              <w:rPr>
                <w:rFonts w:ascii="Times New Roman" w:hAnsi="Times New Roman" w:cs="Times New Roman"/>
                <w:lang w:val="fr-FR"/>
              </w:rPr>
              <w:t>’</w:t>
            </w:r>
            <w:r w:rsidRPr="0018297F">
              <w:rPr>
                <w:rFonts w:ascii="Times New Roman" w:hAnsi="Times New Roman" w:cs="Times New Roman"/>
                <w:lang w:val="fr-FR"/>
              </w:rPr>
              <w:t>applique à la Finlande, la Norvège, la Russie et la Suède)</w:t>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2B59C1E3"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50</w:t>
            </w:r>
            <w:r>
              <w:rPr>
                <w:rFonts w:ascii="Times New Roman" w:hAnsi="Times New Roman" w:cs="Times New Roman"/>
                <w:color w:val="000000"/>
              </w:rPr>
              <w:t> %</w:t>
            </w:r>
          </w:p>
        </w:tc>
      </w:tr>
      <w:tr w:rsidR="00886A3C" w:rsidRPr="00A726BC" w14:paraId="1F96375C"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38558B9F" w14:textId="77777777" w:rsidR="00886A3C" w:rsidRPr="004B1407" w:rsidRDefault="00886A3C" w:rsidP="00886A3C">
            <w:pPr>
              <w:rPr>
                <w:rFonts w:ascii="Times New Roman" w:hAnsi="Times New Roman" w:cs="Times New Roman"/>
                <w:lang w:val="fr-FR"/>
              </w:rPr>
            </w:pPr>
            <w:r w:rsidRPr="0018297F">
              <w:rPr>
                <w:rFonts w:ascii="Times New Roman" w:hAnsi="Times New Roman" w:cs="Times New Roman"/>
                <w:lang w:val="fr-FR"/>
              </w:rPr>
              <w:t xml:space="preserve">5.15. </w:t>
            </w:r>
            <w:r>
              <w:rPr>
                <w:rFonts w:ascii="Times New Roman" w:hAnsi="Times New Roman" w:cs="Times New Roman"/>
                <w:lang w:val="fr-FR"/>
              </w:rPr>
              <w:t>Entreprendre des</w:t>
            </w:r>
            <w:r w:rsidRPr="0018297F">
              <w:rPr>
                <w:rFonts w:ascii="Times New Roman" w:hAnsi="Times New Roman" w:cs="Times New Roman"/>
                <w:lang w:val="fr-FR"/>
              </w:rPr>
              <w:t xml:space="preserve"> recherches sur l</w:t>
            </w:r>
            <w:r>
              <w:rPr>
                <w:rFonts w:ascii="Times New Roman" w:hAnsi="Times New Roman" w:cs="Times New Roman"/>
                <w:lang w:val="fr-FR"/>
              </w:rPr>
              <w:t>’</w:t>
            </w:r>
            <w:r w:rsidRPr="0018297F">
              <w:rPr>
                <w:rFonts w:ascii="Times New Roman" w:hAnsi="Times New Roman" w:cs="Times New Roman"/>
                <w:lang w:val="fr-FR"/>
              </w:rPr>
              <w:t xml:space="preserve">importance des cycles des petits mammifères </w:t>
            </w:r>
            <w:r>
              <w:rPr>
                <w:rFonts w:ascii="Times New Roman" w:hAnsi="Times New Roman" w:cs="Times New Roman"/>
                <w:lang w:val="fr-FR"/>
              </w:rPr>
              <w:t>pour</w:t>
            </w:r>
            <w:r w:rsidRPr="0018297F">
              <w:rPr>
                <w:rFonts w:ascii="Times New Roman" w:hAnsi="Times New Roman" w:cs="Times New Roman"/>
                <w:lang w:val="fr-FR"/>
              </w:rPr>
              <w:t xml:space="preserve"> la reproduction de l</w:t>
            </w:r>
            <w:r>
              <w:rPr>
                <w:rFonts w:ascii="Times New Roman" w:hAnsi="Times New Roman" w:cs="Times New Roman"/>
                <w:lang w:val="fr-FR"/>
              </w:rPr>
              <w:t>’</w:t>
            </w:r>
            <w:r w:rsidRPr="0018297F">
              <w:rPr>
                <w:rFonts w:ascii="Times New Roman" w:hAnsi="Times New Roman" w:cs="Times New Roman"/>
                <w:lang w:val="fr-FR"/>
              </w:rPr>
              <w:t>Oie naine.</w:t>
            </w:r>
          </w:p>
          <w:p w14:paraId="44DA2824" w14:textId="77777777" w:rsidR="00886A3C" w:rsidRPr="004B1407" w:rsidRDefault="00886A3C" w:rsidP="00886A3C">
            <w:pPr>
              <w:rPr>
                <w:rFonts w:ascii="Times New Roman" w:hAnsi="Times New Roman" w:cs="Times New Roman"/>
                <w:lang w:val="fr-FR"/>
              </w:rPr>
            </w:pPr>
            <w:r w:rsidRPr="0018297F">
              <w:rPr>
                <w:rFonts w:ascii="Times New Roman" w:hAnsi="Times New Roman" w:cs="Times New Roman"/>
                <w:lang w:val="fr-FR"/>
              </w:rPr>
              <w:t>(s</w:t>
            </w:r>
            <w:r>
              <w:rPr>
                <w:rFonts w:ascii="Times New Roman" w:hAnsi="Times New Roman" w:cs="Times New Roman"/>
                <w:lang w:val="fr-FR"/>
              </w:rPr>
              <w:t>’</w:t>
            </w:r>
            <w:r w:rsidRPr="0018297F">
              <w:rPr>
                <w:rFonts w:ascii="Times New Roman" w:hAnsi="Times New Roman" w:cs="Times New Roman"/>
                <w:lang w:val="fr-FR"/>
              </w:rPr>
              <w:t>applique à la Finlande, à la Norvège, à la Russie et à</w:t>
            </w:r>
            <w:r>
              <w:rPr>
                <w:rFonts w:ascii="Times New Roman" w:hAnsi="Times New Roman" w:cs="Times New Roman"/>
                <w:lang w:val="fr-FR"/>
              </w:rPr>
              <w:t xml:space="preserve"> </w:t>
            </w:r>
            <w:r w:rsidRPr="0018297F">
              <w:rPr>
                <w:rFonts w:ascii="Times New Roman" w:hAnsi="Times New Roman" w:cs="Times New Roman"/>
                <w:lang w:val="fr-FR"/>
              </w:rPr>
              <w:t>la Suède)</w:t>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vAlign w:val="bottom"/>
          </w:tcPr>
          <w:p w14:paraId="0042D947" w14:textId="77777777" w:rsidR="00886A3C" w:rsidRPr="00255474" w:rsidRDefault="00886A3C" w:rsidP="00886A3C">
            <w:pPr>
              <w:jc w:val="center"/>
              <w:rPr>
                <w:rFonts w:ascii="Times New Roman" w:hAnsi="Times New Roman" w:cs="Times New Roman"/>
              </w:rPr>
            </w:pPr>
            <w:r w:rsidRPr="00255474">
              <w:rPr>
                <w:rFonts w:ascii="Times New Roman" w:hAnsi="Times New Roman" w:cs="Times New Roman"/>
                <w:color w:val="000000"/>
              </w:rPr>
              <w:t>25</w:t>
            </w:r>
            <w:r>
              <w:rPr>
                <w:rFonts w:ascii="Times New Roman" w:hAnsi="Times New Roman" w:cs="Times New Roman"/>
                <w:color w:val="000000"/>
              </w:rPr>
              <w:t> %</w:t>
            </w:r>
          </w:p>
        </w:tc>
      </w:tr>
    </w:tbl>
    <w:p w14:paraId="60D69199" w14:textId="77777777" w:rsidR="00886A3C" w:rsidRDefault="00886A3C" w:rsidP="00886A3C">
      <w:pPr>
        <w:spacing w:after="0" w:line="240" w:lineRule="auto"/>
        <w:rPr>
          <w:rFonts w:ascii="Times New Roman" w:hAnsi="Times New Roman" w:cs="Times New Roman"/>
          <w:lang w:val="en-US"/>
        </w:rPr>
      </w:pPr>
    </w:p>
    <w:p w14:paraId="229C8642" w14:textId="77777777" w:rsidR="00886A3C" w:rsidRPr="004B1407" w:rsidRDefault="00886A3C" w:rsidP="00886A3C">
      <w:pPr>
        <w:spacing w:after="0" w:line="240" w:lineRule="auto"/>
        <w:rPr>
          <w:rFonts w:ascii="Times New Roman" w:hAnsi="Times New Roman" w:cs="Times New Roman"/>
          <w:i/>
          <w:lang w:val="fr-FR"/>
        </w:rPr>
      </w:pPr>
      <w:r w:rsidRPr="0011681B">
        <w:rPr>
          <w:rFonts w:ascii="Times New Roman" w:hAnsi="Times New Roman" w:cs="Times New Roman"/>
          <w:b/>
          <w:lang w:val="fr-FR"/>
        </w:rPr>
        <w:t>Taux moyen de mise en œuvre :</w:t>
      </w:r>
      <w:r w:rsidRPr="004B1407">
        <w:rPr>
          <w:rFonts w:ascii="Times New Roman" w:hAnsi="Times New Roman" w:cs="Times New Roman"/>
          <w:b/>
          <w:lang w:val="fr-FR"/>
        </w:rPr>
        <w:t xml:space="preserve"> 27 %</w:t>
      </w:r>
    </w:p>
    <w:p w14:paraId="02AA23A7" w14:textId="77777777" w:rsidR="00886A3C" w:rsidRPr="004B1407" w:rsidRDefault="00886A3C" w:rsidP="00886A3C">
      <w:pPr>
        <w:spacing w:after="0" w:line="240" w:lineRule="auto"/>
        <w:jc w:val="both"/>
        <w:rPr>
          <w:rFonts w:ascii="Times New Roman" w:hAnsi="Times New Roman" w:cs="Times New Roman"/>
          <w:i/>
          <w:lang w:val="fr-FR"/>
        </w:rPr>
      </w:pPr>
      <w:r w:rsidRPr="0011681B">
        <w:rPr>
          <w:rFonts w:ascii="Times New Roman" w:hAnsi="Times New Roman" w:cs="Times New Roman"/>
          <w:i/>
          <w:lang w:val="fr-FR"/>
        </w:rPr>
        <w:lastRenderedPageBreak/>
        <w:t>5.6. Résultat 6 – Coopération internationale maximisée</w:t>
      </w:r>
    </w:p>
    <w:p w14:paraId="542671F8" w14:textId="77777777" w:rsidR="00886A3C" w:rsidRPr="004B1407" w:rsidRDefault="00886A3C" w:rsidP="00886A3C">
      <w:pPr>
        <w:spacing w:after="0" w:line="240" w:lineRule="auto"/>
        <w:jc w:val="both"/>
        <w:rPr>
          <w:rFonts w:ascii="Times New Roman" w:hAnsi="Times New Roman" w:cs="Times New Roman"/>
          <w:i/>
          <w:lang w:val="fr-FR"/>
        </w:rPr>
      </w:pPr>
    </w:p>
    <w:p w14:paraId="61EF08B1" w14:textId="77777777" w:rsidR="00886A3C" w:rsidRPr="004B1407" w:rsidRDefault="00886A3C" w:rsidP="00886A3C">
      <w:pPr>
        <w:spacing w:after="0" w:line="240" w:lineRule="auto"/>
        <w:jc w:val="both"/>
        <w:rPr>
          <w:rFonts w:ascii="Times New Roman" w:hAnsi="Times New Roman" w:cs="Times New Roman"/>
          <w:b/>
          <w:lang w:val="fr-FR"/>
        </w:rPr>
      </w:pPr>
      <w:r w:rsidRPr="0011681B">
        <w:rPr>
          <w:rFonts w:ascii="Times New Roman" w:hAnsi="Times New Roman" w:cs="Times New Roman"/>
          <w:lang w:val="fr-FR"/>
        </w:rPr>
        <w:t>La mise en œuvre</w:t>
      </w:r>
      <w:r>
        <w:rPr>
          <w:rFonts w:ascii="Times New Roman" w:hAnsi="Times New Roman" w:cs="Times New Roman"/>
          <w:lang w:val="fr-FR"/>
        </w:rPr>
        <w:t xml:space="preserve"> </w:t>
      </w:r>
      <w:r w:rsidRPr="0011681B">
        <w:rPr>
          <w:rFonts w:ascii="Times New Roman" w:hAnsi="Times New Roman" w:cs="Times New Roman"/>
          <w:lang w:val="fr-FR"/>
        </w:rPr>
        <w:t xml:space="preserve">de ce résultat a été classée comme étant </w:t>
      </w:r>
      <w:r w:rsidRPr="00C46519">
        <w:rPr>
          <w:rFonts w:ascii="Times New Roman" w:hAnsi="Times New Roman" w:cs="Times New Roman"/>
          <w:b/>
          <w:lang w:val="fr-FR"/>
        </w:rPr>
        <w:t>essentielle</w:t>
      </w:r>
      <w:r w:rsidRPr="0011681B">
        <w:rPr>
          <w:rFonts w:ascii="Times New Roman" w:hAnsi="Times New Roman" w:cs="Times New Roman"/>
          <w:lang w:val="fr-FR"/>
        </w:rPr>
        <w:t>.</w:t>
      </w:r>
    </w:p>
    <w:p w14:paraId="2A2D57BA"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884"/>
        <w:gridCol w:w="1726"/>
      </w:tblGrid>
      <w:tr w:rsidR="00886A3C" w:rsidRPr="00DE4CF4" w14:paraId="5D18EE7A"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8B43DA" w14:textId="77777777" w:rsidR="00886A3C" w:rsidRDefault="00886A3C" w:rsidP="00886A3C">
            <w:pPr>
              <w:jc w:val="both"/>
              <w:rPr>
                <w:rFonts w:ascii="Times New Roman" w:hAnsi="Times New Roman" w:cs="Times New Roman"/>
                <w:i/>
              </w:rPr>
            </w:pPr>
            <w:r w:rsidRPr="0011681B">
              <w:rPr>
                <w:rFonts w:ascii="Times New Roman" w:hAnsi="Times New Roman" w:cs="Times New Roman"/>
                <w:i/>
                <w:lang w:val="fr-FR"/>
              </w:rPr>
              <w:t>Activité</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B6CE67" w14:textId="77777777" w:rsidR="00886A3C" w:rsidRPr="004B1407" w:rsidRDefault="00886A3C" w:rsidP="00886A3C">
            <w:pPr>
              <w:jc w:val="both"/>
              <w:rPr>
                <w:rFonts w:ascii="Times New Roman" w:hAnsi="Times New Roman" w:cs="Times New Roman"/>
                <w:i/>
                <w:lang w:val="fr-FR"/>
              </w:rPr>
            </w:pPr>
            <w:r w:rsidRPr="0011681B">
              <w:rPr>
                <w:rFonts w:ascii="Times New Roman" w:hAnsi="Times New Roman" w:cs="Times New Roman"/>
                <w:i/>
                <w:lang w:val="fr-FR"/>
              </w:rPr>
              <w:t xml:space="preserve">Taux de mise en œuvre </w:t>
            </w:r>
          </w:p>
        </w:tc>
      </w:tr>
      <w:tr w:rsidR="00886A3C" w:rsidRPr="00A726BC" w14:paraId="5A17B0CC" w14:textId="77777777" w:rsidTr="00886A3C">
        <w:trPr>
          <w:trHeight w:val="494"/>
        </w:trPr>
        <w:tc>
          <w:tcPr>
            <w:tcW w:w="6884" w:type="dxa"/>
            <w:tcBorders>
              <w:top w:val="single" w:sz="4" w:space="0" w:color="auto"/>
              <w:left w:val="single" w:sz="4" w:space="0" w:color="auto"/>
              <w:bottom w:val="single" w:sz="4" w:space="0" w:color="auto"/>
              <w:right w:val="single" w:sz="4" w:space="0" w:color="auto"/>
            </w:tcBorders>
          </w:tcPr>
          <w:p w14:paraId="2081ACD8"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6.1. Votre pays est-t-il devenu Partie contractante à l</w:t>
            </w:r>
            <w:r>
              <w:rPr>
                <w:rFonts w:ascii="Times New Roman" w:hAnsi="Times New Roman" w:cs="Times New Roman"/>
                <w:lang w:val="fr-FR"/>
              </w:rPr>
              <w:t>’</w:t>
            </w:r>
            <w:r w:rsidRPr="0011681B">
              <w:rPr>
                <w:rFonts w:ascii="Times New Roman" w:hAnsi="Times New Roman" w:cs="Times New Roman"/>
                <w:lang w:val="fr-FR"/>
              </w:rPr>
              <w:t>AEWA ?</w:t>
            </w:r>
          </w:p>
          <w:p w14:paraId="29D0A1E1"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(Azerbaïdjan, Estonie, Grèce, République islamique d</w:t>
            </w:r>
            <w:r>
              <w:rPr>
                <w:rFonts w:ascii="Times New Roman" w:hAnsi="Times New Roman" w:cs="Times New Roman"/>
                <w:lang w:val="fr-FR"/>
              </w:rPr>
              <w:t>’</w:t>
            </w:r>
            <w:r w:rsidRPr="0011681B">
              <w:rPr>
                <w:rFonts w:ascii="Times New Roman" w:hAnsi="Times New Roman" w:cs="Times New Roman"/>
                <w:lang w:val="fr-FR"/>
              </w:rPr>
              <w:t>Iran, Iraq, Kazakhstan, Fédération de Russie, Turquie, Turkménistan)</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43DEEC2F" w14:textId="77777777" w:rsidR="00886A3C" w:rsidRDefault="00886A3C" w:rsidP="00886A3C">
            <w:pPr>
              <w:jc w:val="center"/>
              <w:rPr>
                <w:rFonts w:ascii="Times New Roman" w:hAnsi="Times New Roman" w:cs="Times New Roman"/>
              </w:rPr>
            </w:pPr>
            <w:r>
              <w:rPr>
                <w:rFonts w:ascii="Times New Roman" w:hAnsi="Times New Roman" w:cs="Times New Roman"/>
              </w:rPr>
              <w:t>11 %</w:t>
            </w:r>
          </w:p>
        </w:tc>
      </w:tr>
      <w:tr w:rsidR="00886A3C" w:rsidRPr="00A726BC" w14:paraId="2ECF2DF7" w14:textId="77777777" w:rsidTr="00886A3C">
        <w:trPr>
          <w:trHeight w:val="479"/>
        </w:trPr>
        <w:tc>
          <w:tcPr>
            <w:tcW w:w="6884" w:type="dxa"/>
            <w:tcBorders>
              <w:top w:val="single" w:sz="4" w:space="0" w:color="auto"/>
              <w:left w:val="single" w:sz="4" w:space="0" w:color="auto"/>
              <w:bottom w:val="single" w:sz="4" w:space="0" w:color="auto"/>
              <w:right w:val="single" w:sz="4" w:space="0" w:color="auto"/>
            </w:tcBorders>
          </w:tcPr>
          <w:p w14:paraId="59E66743"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6.2. Votre pays est-t-il devenu Partie à la CMS ?</w:t>
            </w:r>
            <w:r w:rsidRPr="004B1407">
              <w:rPr>
                <w:rFonts w:ascii="Times New Roman" w:hAnsi="Times New Roman" w:cs="Times New Roman"/>
                <w:lang w:val="fr-FR"/>
              </w:rPr>
              <w:tab/>
            </w:r>
            <w:r w:rsidRPr="004B1407">
              <w:rPr>
                <w:rFonts w:ascii="Times New Roman" w:hAnsi="Times New Roman" w:cs="Times New Roman"/>
                <w:lang w:val="fr-FR"/>
              </w:rPr>
              <w:tab/>
            </w:r>
          </w:p>
          <w:p w14:paraId="7714576B"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(Azerbaïdjan, Iraq, Fédération de Russie, Turquie, Turkménistan)</w:t>
            </w:r>
            <w:r w:rsidRPr="004B1407">
              <w:rPr>
                <w:rFonts w:ascii="Times New Roman" w:hAnsi="Times New Roman" w:cs="Times New Roman"/>
                <w:lang w:val="fr-FR"/>
              </w:rPr>
              <w:tab/>
            </w:r>
            <w:r w:rsidRPr="004B1407">
              <w:rPr>
                <w:rFonts w:ascii="Times New Roman" w:hAnsi="Times New Roman" w:cs="Times New Roman"/>
                <w:lang w:val="fr-FR"/>
              </w:rPr>
              <w:tab/>
            </w:r>
          </w:p>
        </w:tc>
        <w:tc>
          <w:tcPr>
            <w:tcW w:w="1726" w:type="dxa"/>
            <w:tcBorders>
              <w:top w:val="single" w:sz="4" w:space="0" w:color="auto"/>
              <w:left w:val="single" w:sz="4" w:space="0" w:color="auto"/>
              <w:bottom w:val="single" w:sz="4" w:space="0" w:color="auto"/>
              <w:right w:val="single" w:sz="4" w:space="0" w:color="auto"/>
            </w:tcBorders>
          </w:tcPr>
          <w:p w14:paraId="626A9B28"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A726BC" w14:paraId="7AF4B4BA" w14:textId="77777777" w:rsidTr="00886A3C">
        <w:trPr>
          <w:trHeight w:val="331"/>
        </w:trPr>
        <w:tc>
          <w:tcPr>
            <w:tcW w:w="6884" w:type="dxa"/>
            <w:tcBorders>
              <w:top w:val="single" w:sz="4" w:space="0" w:color="auto"/>
              <w:left w:val="single" w:sz="4" w:space="0" w:color="auto"/>
              <w:bottom w:val="single" w:sz="4" w:space="0" w:color="auto"/>
              <w:right w:val="single" w:sz="4" w:space="0" w:color="auto"/>
            </w:tcBorders>
          </w:tcPr>
          <w:p w14:paraId="5D232DCD"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6.3. Votre pays est-t-il devenu Partie à la Convention de Berne ?</w:t>
            </w:r>
            <w:r w:rsidRPr="004B1407">
              <w:rPr>
                <w:rFonts w:ascii="Times New Roman" w:hAnsi="Times New Roman" w:cs="Times New Roman"/>
                <w:lang w:val="fr-FR"/>
              </w:rPr>
              <w:tab/>
            </w:r>
          </w:p>
          <w:p w14:paraId="29A0FFD8" w14:textId="77777777" w:rsidR="00886A3C" w:rsidRDefault="00886A3C" w:rsidP="00886A3C">
            <w:pPr>
              <w:rPr>
                <w:rFonts w:ascii="Times New Roman" w:hAnsi="Times New Roman" w:cs="Times New Roman"/>
              </w:rPr>
            </w:pPr>
            <w:r w:rsidRPr="0011681B">
              <w:rPr>
                <w:rFonts w:ascii="Times New Roman" w:hAnsi="Times New Roman" w:cs="Times New Roman"/>
                <w:lang w:val="fr-FR"/>
              </w:rPr>
              <w:t>(Fédération de Russie)</w:t>
            </w:r>
            <w:r>
              <w:rPr>
                <w:rFonts w:ascii="Times New Roman" w:hAnsi="Times New Roman" w:cs="Times New Roman"/>
              </w:rPr>
              <w:tab/>
            </w:r>
            <w:r>
              <w:rPr>
                <w:rFonts w:ascii="Times New Roman" w:hAnsi="Times New Roman" w:cs="Times New Roman"/>
              </w:rPr>
              <w:tab/>
            </w:r>
            <w:r w:rsidRPr="00FB3D0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2083CA4D"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967D03" w14:paraId="150D812A"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18C62BB9"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6.4. Votre pays est-t-il devenu Partie à la CDB ?</w:t>
            </w:r>
            <w:r w:rsidRPr="004B1407">
              <w:rPr>
                <w:rFonts w:ascii="Times New Roman" w:hAnsi="Times New Roman" w:cs="Times New Roman"/>
                <w:lang w:val="fr-FR"/>
              </w:rPr>
              <w:tab/>
            </w:r>
            <w:r w:rsidRPr="004B1407">
              <w:rPr>
                <w:rFonts w:ascii="Times New Roman" w:hAnsi="Times New Roman" w:cs="Times New Roman"/>
                <w:lang w:val="fr-FR"/>
              </w:rPr>
              <w:tab/>
            </w:r>
          </w:p>
          <w:p w14:paraId="05881E45" w14:textId="77777777" w:rsidR="00886A3C" w:rsidRDefault="00886A3C" w:rsidP="00886A3C">
            <w:pPr>
              <w:rPr>
                <w:rFonts w:ascii="Times New Roman" w:hAnsi="Times New Roman" w:cs="Times New Roman"/>
              </w:rPr>
            </w:pPr>
            <w:r w:rsidRPr="0011681B">
              <w:rPr>
                <w:rFonts w:ascii="Times New Roman" w:hAnsi="Times New Roman" w:cs="Times New Roman"/>
                <w:lang w:val="fr-FR"/>
              </w:rPr>
              <w:t>(Iraq)</w:t>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51FDEA2C"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967D03" w14:paraId="019F82A6" w14:textId="77777777" w:rsidTr="00886A3C">
        <w:trPr>
          <w:trHeight w:val="421"/>
        </w:trPr>
        <w:tc>
          <w:tcPr>
            <w:tcW w:w="6884" w:type="dxa"/>
            <w:tcBorders>
              <w:top w:val="single" w:sz="4" w:space="0" w:color="auto"/>
              <w:left w:val="single" w:sz="4" w:space="0" w:color="auto"/>
              <w:bottom w:val="single" w:sz="4" w:space="0" w:color="auto"/>
              <w:right w:val="single" w:sz="4" w:space="0" w:color="auto"/>
            </w:tcBorders>
          </w:tcPr>
          <w:p w14:paraId="4220E04E" w14:textId="77777777" w:rsidR="00886A3C" w:rsidRPr="004B1407" w:rsidRDefault="00886A3C" w:rsidP="00886A3C">
            <w:pPr>
              <w:rPr>
                <w:rFonts w:ascii="Times New Roman" w:hAnsi="Times New Roman" w:cs="Times New Roman"/>
                <w:lang w:val="fr-FR"/>
              </w:rPr>
            </w:pPr>
            <w:r w:rsidRPr="0011681B">
              <w:rPr>
                <w:rFonts w:ascii="Times New Roman" w:hAnsi="Times New Roman" w:cs="Times New Roman"/>
                <w:lang w:val="fr-FR"/>
              </w:rPr>
              <w:t>6.5. Votre pays est-t-il devenu Partie à la Convention de Ramsar ?</w:t>
            </w:r>
          </w:p>
          <w:p w14:paraId="0249E515" w14:textId="77777777" w:rsidR="00886A3C" w:rsidRDefault="00886A3C" w:rsidP="00886A3C">
            <w:pPr>
              <w:rPr>
                <w:rFonts w:ascii="Times New Roman" w:hAnsi="Times New Roman" w:cs="Times New Roman"/>
              </w:rPr>
            </w:pPr>
            <w:r w:rsidRPr="0011681B">
              <w:rPr>
                <w:rFonts w:ascii="Times New Roman" w:hAnsi="Times New Roman" w:cs="Times New Roman"/>
                <w:lang w:val="fr-FR"/>
              </w:rPr>
              <w:t>(Turkménistan)</w:t>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67E61AD0"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bl>
    <w:p w14:paraId="5F63BFB1" w14:textId="77777777" w:rsidR="00886A3C" w:rsidRDefault="00886A3C" w:rsidP="00886A3C">
      <w:pPr>
        <w:spacing w:after="0" w:line="240" w:lineRule="auto"/>
        <w:rPr>
          <w:rFonts w:ascii="Times New Roman" w:hAnsi="Times New Roman" w:cs="Times New Roman"/>
          <w:lang w:val="en-US"/>
        </w:rPr>
      </w:pPr>
    </w:p>
    <w:p w14:paraId="10BDDBA5" w14:textId="77777777" w:rsidR="00886A3C" w:rsidRPr="004B1407" w:rsidRDefault="00886A3C" w:rsidP="00886A3C">
      <w:pPr>
        <w:spacing w:after="0" w:line="240" w:lineRule="auto"/>
        <w:rPr>
          <w:rFonts w:ascii="Times New Roman" w:hAnsi="Times New Roman" w:cs="Times New Roman"/>
          <w:i/>
          <w:lang w:val="fr-FR"/>
        </w:rPr>
      </w:pPr>
      <w:r w:rsidRPr="0011681B">
        <w:rPr>
          <w:rFonts w:ascii="Times New Roman" w:hAnsi="Times New Roman" w:cs="Times New Roman"/>
          <w:b/>
          <w:lang w:val="fr-FR"/>
        </w:rPr>
        <w:t>Taux moyen de mise en œuvre :</w:t>
      </w:r>
      <w:r w:rsidRPr="004B1407">
        <w:rPr>
          <w:rFonts w:ascii="Times New Roman" w:hAnsi="Times New Roman" w:cs="Times New Roman"/>
          <w:b/>
          <w:lang w:val="fr-FR"/>
        </w:rPr>
        <w:t xml:space="preserve"> 42 %</w:t>
      </w:r>
    </w:p>
    <w:p w14:paraId="5EA00EEC" w14:textId="77777777" w:rsidR="00886A3C" w:rsidRPr="004B1407" w:rsidRDefault="00886A3C" w:rsidP="00886A3C">
      <w:pPr>
        <w:spacing w:after="0" w:line="240" w:lineRule="auto"/>
        <w:rPr>
          <w:rFonts w:ascii="Times New Roman" w:hAnsi="Times New Roman" w:cs="Times New Roman"/>
          <w:lang w:val="fr-FR"/>
        </w:rPr>
      </w:pPr>
    </w:p>
    <w:p w14:paraId="3D69669A"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6. </w:t>
      </w:r>
      <w:r w:rsidRPr="0011681B">
        <w:rPr>
          <w:rFonts w:ascii="Times New Roman" w:hAnsi="Times New Roman" w:cs="Times New Roman"/>
          <w:i/>
          <w:lang w:val="fr-FR"/>
        </w:rPr>
        <w:t>Principales actions favorisant la mise en œuvre et principaux obstacles empêchant cette dernière</w:t>
      </w:r>
    </w:p>
    <w:p w14:paraId="0F91E6E2" w14:textId="77777777" w:rsidR="00886A3C" w:rsidRPr="004B1407" w:rsidRDefault="00886A3C" w:rsidP="00886A3C">
      <w:pPr>
        <w:spacing w:after="0" w:line="240" w:lineRule="auto"/>
        <w:rPr>
          <w:rFonts w:ascii="Times New Roman" w:hAnsi="Times New Roman" w:cs="Times New Roman"/>
          <w:lang w:val="fr-FR"/>
        </w:rPr>
      </w:pPr>
    </w:p>
    <w:p w14:paraId="6B5323C5" w14:textId="77777777" w:rsidR="00886A3C" w:rsidRDefault="00886A3C" w:rsidP="00886A3C">
      <w:pPr>
        <w:spacing w:after="0" w:line="240" w:lineRule="auto"/>
        <w:jc w:val="both"/>
        <w:rPr>
          <w:rFonts w:ascii="Times New Roman" w:hAnsi="Times New Roman" w:cs="Times New Roman"/>
          <w:lang w:val="en-US"/>
        </w:rPr>
      </w:pPr>
      <w:r w:rsidRPr="0011681B">
        <w:rPr>
          <w:rFonts w:ascii="Times New Roman" w:hAnsi="Times New Roman" w:cs="Times New Roman"/>
          <w:lang w:val="fr-FR"/>
        </w:rPr>
        <w:t>Il a été également demandé aux États de l</w:t>
      </w:r>
      <w:r>
        <w:rPr>
          <w:rFonts w:ascii="Times New Roman" w:hAnsi="Times New Roman" w:cs="Times New Roman"/>
          <w:lang w:val="fr-FR"/>
        </w:rPr>
        <w:t>’</w:t>
      </w:r>
      <w:r w:rsidRPr="0011681B">
        <w:rPr>
          <w:rFonts w:ascii="Times New Roman" w:hAnsi="Times New Roman" w:cs="Times New Roman"/>
          <w:lang w:val="fr-FR"/>
        </w:rPr>
        <w:t>aire de répartition de nommer trois actions principales aussi bien favorisant qu</w:t>
      </w:r>
      <w:r>
        <w:rPr>
          <w:rFonts w:ascii="Times New Roman" w:hAnsi="Times New Roman" w:cs="Times New Roman"/>
          <w:lang w:val="fr-FR"/>
        </w:rPr>
        <w:t>’</w:t>
      </w:r>
      <w:r w:rsidRPr="0011681B">
        <w:rPr>
          <w:rFonts w:ascii="Times New Roman" w:hAnsi="Times New Roman" w:cs="Times New Roman"/>
          <w:lang w:val="fr-FR"/>
        </w:rPr>
        <w:t xml:space="preserve">entravant la mise en œuvre </w:t>
      </w:r>
      <w:r>
        <w:rPr>
          <w:rFonts w:ascii="Times New Roman" w:hAnsi="Times New Roman" w:cs="Times New Roman"/>
          <w:lang w:val="fr-FR"/>
        </w:rPr>
        <w:t>efficace du plan d’action</w:t>
      </w:r>
      <w:r w:rsidRPr="0011681B">
        <w:rPr>
          <w:rFonts w:ascii="Times New Roman" w:hAnsi="Times New Roman" w:cs="Times New Roman"/>
          <w:lang w:val="fr-FR"/>
        </w:rPr>
        <w:t>.</w:t>
      </w:r>
      <w:r w:rsidRPr="004B1407">
        <w:rPr>
          <w:rFonts w:ascii="Times New Roman" w:hAnsi="Times New Roman" w:cs="Times New Roman"/>
          <w:lang w:val="fr-FR"/>
        </w:rPr>
        <w:t xml:space="preserve"> </w:t>
      </w:r>
      <w:r w:rsidRPr="0011681B">
        <w:rPr>
          <w:rFonts w:ascii="Times New Roman" w:hAnsi="Times New Roman" w:cs="Times New Roman"/>
          <w:lang w:val="fr-FR"/>
        </w:rPr>
        <w:t>Elles sont résumées dans le tableau ci-dessous.</w:t>
      </w:r>
    </w:p>
    <w:p w14:paraId="6F903B31" w14:textId="77777777" w:rsidR="00886A3C" w:rsidRDefault="00886A3C" w:rsidP="00886A3C">
      <w:pPr>
        <w:spacing w:after="0" w:line="240" w:lineRule="auto"/>
        <w:rPr>
          <w:rFonts w:ascii="Times New Roman" w:hAnsi="Times New Roman" w:cs="Times New Roman"/>
          <w:lang w:val="en-US"/>
        </w:rPr>
      </w:pPr>
    </w:p>
    <w:p w14:paraId="0B3BC61C"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01F5EB28" wp14:editId="524B06F7">
            <wp:extent cx="5943600" cy="3529330"/>
            <wp:effectExtent l="0" t="0" r="19050" b="1397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0F2BC4AA" w14:textId="77777777" w:rsidR="00886A3C" w:rsidRDefault="00886A3C" w:rsidP="00886A3C">
      <w:pPr>
        <w:spacing w:after="0" w:line="240" w:lineRule="auto"/>
        <w:rPr>
          <w:rFonts w:ascii="Arial" w:hAnsi="Arial" w:cs="Arial"/>
          <w:sz w:val="20"/>
          <w:szCs w:val="20"/>
          <w:lang w:val="en-US"/>
        </w:rPr>
      </w:pPr>
    </w:p>
    <w:p w14:paraId="1D2472D8"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Coordination/coopération internationale améliorée</w:t>
      </w:r>
    </w:p>
    <w:p w14:paraId="1A568E14"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Surveillance améliorée : réseau international/équipes nationales</w:t>
      </w:r>
    </w:p>
    <w:p w14:paraId="0595654B"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Mise en œuvre</w:t>
      </w:r>
      <w:r>
        <w:rPr>
          <w:rFonts w:ascii="Arial" w:hAnsi="Arial" w:cs="Arial"/>
          <w:sz w:val="18"/>
          <w:szCs w:val="18"/>
          <w:lang w:val="fr-FR"/>
        </w:rPr>
        <w:t xml:space="preserve"> </w:t>
      </w:r>
      <w:r w:rsidRPr="009E0F95">
        <w:rPr>
          <w:rFonts w:ascii="Arial" w:hAnsi="Arial" w:cs="Arial"/>
          <w:sz w:val="18"/>
          <w:szCs w:val="18"/>
          <w:lang w:val="fr-FR"/>
        </w:rPr>
        <w:t>de programmes de conservation/NSSAP</w:t>
      </w:r>
    </w:p>
    <w:p w14:paraId="4F5BA16C"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Intensification de la sensibilisation du public</w:t>
      </w:r>
    </w:p>
    <w:p w14:paraId="094C8866"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Financement suffisant</w:t>
      </w:r>
    </w:p>
    <w:p w14:paraId="58197490"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Identification des sites clés</w:t>
      </w:r>
    </w:p>
    <w:p w14:paraId="6399AB67"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lastRenderedPageBreak/>
        <w:t>Suivis satellitaires/études</w:t>
      </w:r>
    </w:p>
    <w:p w14:paraId="19516842"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Amendement de la législation/ inclusion dans le livre rouge</w:t>
      </w:r>
    </w:p>
    <w:p w14:paraId="63197DA6"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Protection appropriée des sites clés d’hivernage</w:t>
      </w:r>
    </w:p>
    <w:p w14:paraId="63F622B1"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Comblement des lacunes au niveau des connaissances clés</w:t>
      </w:r>
    </w:p>
    <w:p w14:paraId="749DD4E3"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 xml:space="preserve">Diminution de la pression de la chasse </w:t>
      </w:r>
    </w:p>
    <w:p w14:paraId="65FCFA94" w14:textId="77777777" w:rsidR="00886A3C" w:rsidRPr="009E0F95"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Mise en place d’un programme de reproduction</w:t>
      </w:r>
    </w:p>
    <w:p w14:paraId="3525F22F" w14:textId="77777777" w:rsidR="00886A3C" w:rsidRDefault="00886A3C" w:rsidP="00886A3C">
      <w:pPr>
        <w:spacing w:after="0" w:line="240" w:lineRule="auto"/>
        <w:rPr>
          <w:rFonts w:ascii="Arial" w:hAnsi="Arial" w:cs="Arial"/>
          <w:sz w:val="18"/>
          <w:szCs w:val="18"/>
          <w:lang w:val="fr-FR"/>
        </w:rPr>
      </w:pPr>
      <w:r w:rsidRPr="009E0F95">
        <w:rPr>
          <w:rFonts w:ascii="Arial" w:hAnsi="Arial" w:cs="Arial"/>
          <w:sz w:val="18"/>
          <w:szCs w:val="18"/>
          <w:lang w:val="fr-FR"/>
        </w:rPr>
        <w:t>Réduction des populations de prédateurs</w:t>
      </w:r>
    </w:p>
    <w:p w14:paraId="0BC8B691" w14:textId="77777777" w:rsidR="00886A3C" w:rsidRPr="009E0F95" w:rsidRDefault="00886A3C" w:rsidP="00886A3C">
      <w:pPr>
        <w:spacing w:after="0" w:line="240" w:lineRule="auto"/>
        <w:rPr>
          <w:rFonts w:ascii="Arial" w:hAnsi="Arial" w:cs="Arial"/>
          <w:sz w:val="18"/>
          <w:szCs w:val="18"/>
          <w:lang w:val="fr-FR"/>
        </w:rPr>
      </w:pPr>
      <w:r>
        <w:rPr>
          <w:rFonts w:ascii="Arial" w:hAnsi="Arial" w:cs="Arial"/>
          <w:sz w:val="18"/>
          <w:szCs w:val="18"/>
          <w:lang w:val="fr-FR"/>
        </w:rPr>
        <w:t>Établissement d’autorités de gestion</w:t>
      </w:r>
    </w:p>
    <w:p w14:paraId="2E1082B6" w14:textId="77777777" w:rsidR="00886A3C" w:rsidRPr="009E0F95" w:rsidRDefault="00886A3C" w:rsidP="00886A3C">
      <w:pPr>
        <w:spacing w:after="0" w:line="240" w:lineRule="auto"/>
        <w:rPr>
          <w:rFonts w:ascii="Arial" w:hAnsi="Arial" w:cs="Arial"/>
          <w:sz w:val="20"/>
          <w:szCs w:val="20"/>
          <w:lang w:val="fr-FR"/>
        </w:rPr>
      </w:pPr>
      <w:r w:rsidRPr="009E0F95">
        <w:rPr>
          <w:rFonts w:ascii="Arial" w:hAnsi="Arial" w:cs="Arial"/>
          <w:sz w:val="18"/>
          <w:szCs w:val="18"/>
          <w:lang w:val="fr-FR"/>
        </w:rPr>
        <w:t>Gestion cohérente</w:t>
      </w:r>
    </w:p>
    <w:p w14:paraId="4A735622" w14:textId="77777777" w:rsidR="00886A3C" w:rsidRDefault="00886A3C" w:rsidP="00886A3C">
      <w:pPr>
        <w:spacing w:after="0" w:line="240" w:lineRule="auto"/>
        <w:rPr>
          <w:rFonts w:ascii="Arial" w:hAnsi="Arial" w:cs="Arial"/>
          <w:sz w:val="20"/>
          <w:szCs w:val="20"/>
          <w:lang w:val="en-US"/>
        </w:rPr>
      </w:pPr>
    </w:p>
    <w:p w14:paraId="45BC4445" w14:textId="77777777" w:rsidR="00886A3C" w:rsidRDefault="00886A3C" w:rsidP="00886A3C">
      <w:pPr>
        <w:spacing w:after="0" w:line="240" w:lineRule="auto"/>
        <w:rPr>
          <w:rFonts w:ascii="Arial" w:hAnsi="Arial" w:cs="Arial"/>
          <w:sz w:val="20"/>
          <w:szCs w:val="20"/>
          <w:lang w:val="en-US"/>
        </w:rPr>
      </w:pPr>
      <w:r>
        <w:rPr>
          <w:rFonts w:ascii="Arial" w:hAnsi="Arial" w:cs="Arial"/>
          <w:sz w:val="20"/>
          <w:szCs w:val="20"/>
          <w:lang w:val="en-US"/>
        </w:rPr>
        <w:t xml:space="preserve"> </w:t>
      </w:r>
    </w:p>
    <w:p w14:paraId="6293F6D0"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23571CBC" wp14:editId="5FF60B19">
            <wp:extent cx="5638799" cy="3795713"/>
            <wp:effectExtent l="0" t="0" r="19685" b="14605"/>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61706B0B" w14:textId="77777777" w:rsidR="00886A3C" w:rsidRDefault="00886A3C" w:rsidP="00886A3C">
      <w:pPr>
        <w:spacing w:after="0" w:line="240" w:lineRule="auto"/>
        <w:rPr>
          <w:rFonts w:ascii="Arial" w:hAnsi="Arial" w:cs="Arial"/>
          <w:sz w:val="20"/>
          <w:szCs w:val="20"/>
          <w:lang w:val="en-US"/>
        </w:rPr>
      </w:pPr>
    </w:p>
    <w:p w14:paraId="30C76AE6"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Manque de financement adéquat</w:t>
      </w:r>
    </w:p>
    <w:p w14:paraId="6D5CD497"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Manque de coopération</w:t>
      </w:r>
    </w:p>
    <w:p w14:paraId="1D54994C"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Capacité humaine et technique insuffisante</w:t>
      </w:r>
    </w:p>
    <w:p w14:paraId="5189B693"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Manque de gouvernance, de mise en application</w:t>
      </w:r>
      <w:r>
        <w:rPr>
          <w:rFonts w:ascii="Arial" w:hAnsi="Arial" w:cs="Arial"/>
          <w:sz w:val="18"/>
          <w:szCs w:val="18"/>
          <w:lang w:val="fr-FR"/>
        </w:rPr>
        <w:t xml:space="preserve">, </w:t>
      </w:r>
      <w:r w:rsidRPr="00367E22">
        <w:rPr>
          <w:rFonts w:ascii="Arial" w:hAnsi="Arial" w:cs="Arial"/>
          <w:sz w:val="18"/>
          <w:szCs w:val="18"/>
          <w:lang w:val="fr-FR"/>
        </w:rPr>
        <w:t>de gestion, etc.</w:t>
      </w:r>
    </w:p>
    <w:p w14:paraId="2B2E078F"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Lacunes au niveau des connaissances sur les sites critiques</w:t>
      </w:r>
    </w:p>
    <w:p w14:paraId="1FE4D0D8"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Changement des habitats</w:t>
      </w:r>
    </w:p>
    <w:p w14:paraId="282CA46B"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Lâchers illégaux d’oies naines captives</w:t>
      </w:r>
    </w:p>
    <w:p w14:paraId="53AC6E51"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Force du lobby de la chasse</w:t>
      </w:r>
    </w:p>
    <w:p w14:paraId="19110447"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Manque de mise en œuvre des réglementations sur la chasse</w:t>
      </w:r>
    </w:p>
    <w:p w14:paraId="3CDDCC05"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Augmentation des perturbations humaines</w:t>
      </w:r>
    </w:p>
    <w:p w14:paraId="23E8A672"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Perte d’habitats</w:t>
      </w:r>
    </w:p>
    <w:p w14:paraId="2F4639F5"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fr-FR"/>
        </w:rPr>
        <w:t>EIE inadéquats</w:t>
      </w:r>
    </w:p>
    <w:p w14:paraId="342A3DFA" w14:textId="77777777" w:rsidR="00886A3C" w:rsidRPr="00367E22" w:rsidRDefault="00886A3C" w:rsidP="00886A3C">
      <w:pPr>
        <w:spacing w:after="0" w:line="240" w:lineRule="auto"/>
        <w:rPr>
          <w:rFonts w:ascii="Arial" w:hAnsi="Arial" w:cs="Arial"/>
          <w:sz w:val="18"/>
          <w:szCs w:val="18"/>
          <w:lang w:val="fr-FR"/>
        </w:rPr>
      </w:pPr>
      <w:r w:rsidRPr="00367E22">
        <w:rPr>
          <w:rFonts w:ascii="Arial" w:hAnsi="Arial" w:cs="Arial"/>
          <w:sz w:val="18"/>
          <w:szCs w:val="18"/>
          <w:lang w:val="nl-NL"/>
        </w:rPr>
        <w:t>P</w:t>
      </w:r>
      <w:r w:rsidRPr="00367E22">
        <w:rPr>
          <w:rFonts w:ascii="Arial" w:hAnsi="Arial" w:cs="Arial"/>
          <w:sz w:val="18"/>
          <w:szCs w:val="18"/>
          <w:lang w:val="fr-FR"/>
        </w:rPr>
        <w:t>iétinement des nids</w:t>
      </w:r>
    </w:p>
    <w:p w14:paraId="53986EB8" w14:textId="77777777" w:rsidR="00886A3C" w:rsidRPr="00367E22" w:rsidRDefault="00886A3C" w:rsidP="00886A3C">
      <w:pPr>
        <w:spacing w:after="0" w:line="240" w:lineRule="auto"/>
        <w:rPr>
          <w:rFonts w:ascii="Arial" w:hAnsi="Arial" w:cs="Arial"/>
          <w:sz w:val="20"/>
          <w:szCs w:val="20"/>
          <w:lang w:val="fr-FR"/>
        </w:rPr>
      </w:pPr>
      <w:r w:rsidRPr="00367E22">
        <w:rPr>
          <w:rFonts w:ascii="Arial" w:hAnsi="Arial" w:cs="Arial"/>
          <w:sz w:val="18"/>
          <w:szCs w:val="18"/>
          <w:lang w:val="fr-FR"/>
        </w:rPr>
        <w:t>Surpâturage</w:t>
      </w:r>
    </w:p>
    <w:p w14:paraId="19DC6CF3" w14:textId="77777777" w:rsidR="00886A3C" w:rsidRPr="004B1407" w:rsidRDefault="00886A3C" w:rsidP="00886A3C">
      <w:pPr>
        <w:spacing w:after="0" w:line="240" w:lineRule="auto"/>
        <w:rPr>
          <w:rFonts w:ascii="Arial" w:hAnsi="Arial" w:cs="Arial"/>
          <w:sz w:val="20"/>
          <w:szCs w:val="20"/>
          <w:lang w:val="fr-FR"/>
        </w:rPr>
      </w:pPr>
    </w:p>
    <w:p w14:paraId="384C7387" w14:textId="77777777" w:rsidR="00886A3C" w:rsidRPr="004B1407" w:rsidRDefault="00886A3C" w:rsidP="00886A3C">
      <w:pPr>
        <w:spacing w:after="0" w:line="240" w:lineRule="auto"/>
        <w:rPr>
          <w:rFonts w:ascii="Arial" w:hAnsi="Arial" w:cs="Arial"/>
          <w:sz w:val="20"/>
          <w:szCs w:val="20"/>
          <w:lang w:val="fr-FR"/>
        </w:rPr>
      </w:pPr>
    </w:p>
    <w:p w14:paraId="67F8E64B"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7. </w:t>
      </w:r>
      <w:r w:rsidRPr="0011681B">
        <w:rPr>
          <w:rFonts w:ascii="Times New Roman" w:hAnsi="Times New Roman" w:cs="Times New Roman"/>
          <w:i/>
          <w:lang w:val="fr-FR"/>
        </w:rPr>
        <w:t>Conclusions </w:t>
      </w:r>
    </w:p>
    <w:p w14:paraId="52A7CCCC" w14:textId="77777777" w:rsidR="00886A3C" w:rsidRPr="004B1407" w:rsidRDefault="00886A3C" w:rsidP="00886A3C">
      <w:pPr>
        <w:spacing w:after="0" w:line="240" w:lineRule="auto"/>
        <w:rPr>
          <w:rFonts w:ascii="Times New Roman" w:hAnsi="Times New Roman" w:cs="Times New Roman"/>
          <w:i/>
          <w:lang w:val="fr-FR"/>
        </w:rPr>
      </w:pPr>
    </w:p>
    <w:p w14:paraId="0A688A20" w14:textId="77777777" w:rsidR="00886A3C" w:rsidRPr="004B1407" w:rsidRDefault="00886A3C" w:rsidP="00886A3C">
      <w:pPr>
        <w:spacing w:after="0" w:line="240" w:lineRule="auto"/>
        <w:jc w:val="both"/>
        <w:rPr>
          <w:rFonts w:ascii="Times New Roman" w:hAnsi="Times New Roman" w:cs="Times New Roman"/>
          <w:lang w:val="fr-FR"/>
        </w:rPr>
      </w:pPr>
      <w:r w:rsidRPr="0011681B">
        <w:rPr>
          <w:rFonts w:ascii="Times New Roman" w:hAnsi="Times New Roman" w:cs="Times New Roman"/>
          <w:lang w:val="fr-FR"/>
        </w:rPr>
        <w:t>Sept ans après l</w:t>
      </w:r>
      <w:r>
        <w:rPr>
          <w:rFonts w:ascii="Times New Roman" w:hAnsi="Times New Roman" w:cs="Times New Roman"/>
          <w:lang w:val="fr-FR"/>
        </w:rPr>
        <w:t>’</w:t>
      </w:r>
      <w:r w:rsidRPr="0011681B">
        <w:rPr>
          <w:rFonts w:ascii="Times New Roman" w:hAnsi="Times New Roman" w:cs="Times New Roman"/>
          <w:lang w:val="fr-FR"/>
        </w:rPr>
        <w:t xml:space="preserve">adoption en 2008 du </w:t>
      </w:r>
      <w:r>
        <w:rPr>
          <w:rFonts w:ascii="Times New Roman" w:hAnsi="Times New Roman" w:cs="Times New Roman"/>
          <w:lang w:val="fr-FR"/>
        </w:rPr>
        <w:t>plan</w:t>
      </w:r>
      <w:r w:rsidRPr="0011681B">
        <w:rPr>
          <w:rFonts w:ascii="Times New Roman" w:hAnsi="Times New Roman" w:cs="Times New Roman"/>
          <w:lang w:val="fr-FR"/>
        </w:rPr>
        <w:t xml:space="preserve"> d</w:t>
      </w:r>
      <w:r>
        <w:rPr>
          <w:rFonts w:ascii="Times New Roman" w:hAnsi="Times New Roman" w:cs="Times New Roman"/>
          <w:lang w:val="fr-FR"/>
        </w:rPr>
        <w:t>’</w:t>
      </w:r>
      <w:r w:rsidRPr="0011681B">
        <w:rPr>
          <w:rFonts w:ascii="Times New Roman" w:hAnsi="Times New Roman" w:cs="Times New Roman"/>
          <w:lang w:val="fr-FR"/>
        </w:rPr>
        <w:t>action international par espèce de l</w:t>
      </w:r>
      <w:r>
        <w:rPr>
          <w:rFonts w:ascii="Times New Roman" w:hAnsi="Times New Roman" w:cs="Times New Roman"/>
          <w:lang w:val="fr-FR"/>
        </w:rPr>
        <w:t>’</w:t>
      </w:r>
      <w:r w:rsidRPr="0011681B">
        <w:rPr>
          <w:rFonts w:ascii="Times New Roman" w:hAnsi="Times New Roman" w:cs="Times New Roman"/>
          <w:lang w:val="fr-FR"/>
        </w:rPr>
        <w:t>AEWA pour la conservation de l</w:t>
      </w:r>
      <w:r>
        <w:rPr>
          <w:rFonts w:ascii="Times New Roman" w:hAnsi="Times New Roman" w:cs="Times New Roman"/>
          <w:lang w:val="fr-FR"/>
        </w:rPr>
        <w:t>’</w:t>
      </w:r>
      <w:r w:rsidRPr="0011681B">
        <w:rPr>
          <w:rFonts w:ascii="Times New Roman" w:hAnsi="Times New Roman" w:cs="Times New Roman"/>
          <w:lang w:val="fr-FR"/>
        </w:rPr>
        <w:t>Oie naine, les pays ont fait part de solides progrès concernant la mise en œuvre</w:t>
      </w:r>
      <w:r>
        <w:rPr>
          <w:rFonts w:ascii="Times New Roman" w:hAnsi="Times New Roman" w:cs="Times New Roman"/>
          <w:lang w:val="fr-FR"/>
        </w:rPr>
        <w:t xml:space="preserve"> </w:t>
      </w:r>
      <w:r w:rsidRPr="0011681B">
        <w:rPr>
          <w:rFonts w:ascii="Times New Roman" w:hAnsi="Times New Roman" w:cs="Times New Roman"/>
          <w:lang w:val="fr-FR"/>
        </w:rPr>
        <w:t xml:space="preserve">des activités du </w:t>
      </w:r>
      <w:r>
        <w:rPr>
          <w:rFonts w:ascii="Times New Roman" w:hAnsi="Times New Roman" w:cs="Times New Roman"/>
          <w:lang w:val="fr-FR"/>
        </w:rPr>
        <w:t>plan</w:t>
      </w:r>
      <w:r w:rsidRPr="0011681B">
        <w:rPr>
          <w:rFonts w:ascii="Times New Roman" w:hAnsi="Times New Roman" w:cs="Times New Roman"/>
          <w:lang w:val="fr-FR"/>
        </w:rPr>
        <w:t xml:space="preserve"> d</w:t>
      </w:r>
      <w:r>
        <w:rPr>
          <w:rFonts w:ascii="Times New Roman" w:hAnsi="Times New Roman" w:cs="Times New Roman"/>
          <w:lang w:val="fr-FR"/>
        </w:rPr>
        <w:t>’</w:t>
      </w:r>
      <w:r w:rsidRPr="0011681B">
        <w:rPr>
          <w:rFonts w:ascii="Times New Roman" w:hAnsi="Times New Roman" w:cs="Times New Roman"/>
          <w:lang w:val="fr-FR"/>
        </w:rPr>
        <w:t>action.</w:t>
      </w:r>
      <w:r w:rsidRPr="004B1407">
        <w:rPr>
          <w:rFonts w:ascii="Times New Roman" w:hAnsi="Times New Roman" w:cs="Times New Roman"/>
          <w:lang w:val="fr-FR"/>
        </w:rPr>
        <w:t xml:space="preserve"> </w:t>
      </w:r>
    </w:p>
    <w:p w14:paraId="6787A332"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723"/>
      </w:tblGrid>
      <w:tr w:rsidR="00886A3C" w:rsidRPr="00DE4CF4" w14:paraId="11B7D942" w14:textId="77777777" w:rsidTr="00886A3C">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8CB07F" w14:textId="77777777" w:rsidR="00886A3C" w:rsidRPr="004B1407" w:rsidRDefault="00886A3C" w:rsidP="00886A3C">
            <w:pPr>
              <w:jc w:val="center"/>
              <w:rPr>
                <w:rFonts w:ascii="Times New Roman" w:hAnsi="Times New Roman" w:cs="Times New Roman"/>
                <w:lang w:val="fr-FR"/>
              </w:rPr>
            </w:pPr>
          </w:p>
          <w:p w14:paraId="055BD13B" w14:textId="77777777" w:rsidR="00886A3C" w:rsidRPr="004B1407" w:rsidRDefault="00886A3C" w:rsidP="00886A3C">
            <w:pPr>
              <w:jc w:val="center"/>
              <w:rPr>
                <w:rFonts w:ascii="Times New Roman" w:hAnsi="Times New Roman" w:cs="Times New Roman"/>
                <w:b/>
                <w:color w:val="FF0000"/>
                <w:lang w:val="fr-FR"/>
              </w:rPr>
            </w:pPr>
            <w:r w:rsidRPr="0011681B">
              <w:rPr>
                <w:rFonts w:ascii="Times New Roman" w:hAnsi="Times New Roman" w:cs="Times New Roman"/>
                <w:b/>
                <w:lang w:val="fr-FR"/>
              </w:rPr>
              <w:t>Taux d</w:t>
            </w:r>
            <w:r>
              <w:rPr>
                <w:rFonts w:ascii="Times New Roman" w:hAnsi="Times New Roman" w:cs="Times New Roman"/>
                <w:b/>
                <w:lang w:val="fr-FR"/>
              </w:rPr>
              <w:t>’</w:t>
            </w:r>
            <w:r w:rsidRPr="0011681B">
              <w:rPr>
                <w:rFonts w:ascii="Times New Roman" w:hAnsi="Times New Roman" w:cs="Times New Roman"/>
                <w:b/>
                <w:lang w:val="fr-FR"/>
              </w:rPr>
              <w:t>ensemble moyen de mise en œuvre pour 6 résultats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43 %</w:t>
            </w:r>
          </w:p>
          <w:p w14:paraId="2E7676C9" w14:textId="77777777" w:rsidR="00886A3C" w:rsidRPr="004B1407" w:rsidRDefault="00886A3C" w:rsidP="00886A3C">
            <w:pPr>
              <w:jc w:val="center"/>
              <w:rPr>
                <w:rFonts w:ascii="Times New Roman" w:hAnsi="Times New Roman" w:cs="Times New Roman"/>
                <w:sz w:val="20"/>
                <w:szCs w:val="20"/>
                <w:lang w:val="fr-FR"/>
              </w:rPr>
            </w:pPr>
            <w:r w:rsidRPr="0011681B">
              <w:rPr>
                <w:rFonts w:ascii="Times New Roman" w:hAnsi="Times New Roman" w:cs="Times New Roman"/>
                <w:b/>
                <w:lang w:val="fr-FR"/>
              </w:rPr>
              <w:t xml:space="preserve"> Taux moyen </w:t>
            </w:r>
            <w:r>
              <w:rPr>
                <w:rFonts w:ascii="Times New Roman" w:hAnsi="Times New Roman" w:cs="Times New Roman"/>
                <w:b/>
                <w:lang w:val="fr-FR"/>
              </w:rPr>
              <w:t xml:space="preserve">de </w:t>
            </w:r>
            <w:r w:rsidRPr="0011681B">
              <w:rPr>
                <w:rFonts w:ascii="Times New Roman" w:hAnsi="Times New Roman" w:cs="Times New Roman"/>
                <w:b/>
                <w:lang w:val="fr-FR"/>
              </w:rPr>
              <w:t xml:space="preserve">mise en œuvre </w:t>
            </w:r>
            <w:r w:rsidRPr="00692CE9">
              <w:rPr>
                <w:rFonts w:ascii="Times New Roman" w:hAnsi="Times New Roman" w:cs="Times New Roman"/>
                <w:b/>
                <w:lang w:val="fr-FR"/>
              </w:rPr>
              <w:t>des résultats à priorité</w:t>
            </w:r>
            <w:r w:rsidRPr="0011681B">
              <w:rPr>
                <w:rFonts w:ascii="Times New Roman" w:hAnsi="Times New Roman" w:cs="Times New Roman"/>
                <w:b/>
                <w:lang w:val="fr-FR"/>
              </w:rPr>
              <w:t xml:space="preserve"> </w:t>
            </w:r>
            <w:r>
              <w:rPr>
                <w:rFonts w:ascii="Times New Roman" w:hAnsi="Times New Roman" w:cs="Times New Roman"/>
                <w:b/>
                <w:lang w:val="fr-FR"/>
              </w:rPr>
              <w:t xml:space="preserve">essentielle et </w:t>
            </w:r>
            <w:r w:rsidRPr="0011681B">
              <w:rPr>
                <w:rFonts w:ascii="Times New Roman" w:hAnsi="Times New Roman" w:cs="Times New Roman"/>
                <w:b/>
                <w:lang w:val="fr-FR"/>
              </w:rPr>
              <w:t>élevée (5)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36 %</w:t>
            </w:r>
          </w:p>
        </w:tc>
      </w:tr>
    </w:tbl>
    <w:p w14:paraId="55168374" w14:textId="77777777" w:rsidR="00886A3C" w:rsidRPr="004B1407" w:rsidRDefault="00886A3C" w:rsidP="00886A3C">
      <w:pPr>
        <w:spacing w:after="0" w:line="240" w:lineRule="auto"/>
        <w:jc w:val="both"/>
        <w:rPr>
          <w:rFonts w:ascii="Times New Roman" w:hAnsi="Times New Roman" w:cs="Times New Roman"/>
          <w:lang w:val="fr-FR"/>
        </w:rPr>
      </w:pPr>
    </w:p>
    <w:p w14:paraId="5BBDE81C" w14:textId="77777777" w:rsidR="00886A3C" w:rsidRPr="004B1407" w:rsidRDefault="00886A3C" w:rsidP="00886A3C">
      <w:pPr>
        <w:spacing w:after="0" w:line="240" w:lineRule="auto"/>
        <w:jc w:val="both"/>
        <w:rPr>
          <w:rFonts w:ascii="Times New Roman" w:hAnsi="Times New Roman" w:cs="Times New Roman"/>
          <w:lang w:val="fr-FR"/>
        </w:rPr>
      </w:pPr>
      <w:r w:rsidRPr="0011681B">
        <w:rPr>
          <w:rFonts w:ascii="Times New Roman" w:hAnsi="Times New Roman" w:cs="Times New Roman"/>
          <w:lang w:val="fr-FR"/>
        </w:rPr>
        <w:t>Il conviendra de noter que lors des réunions du groupe de travail</w:t>
      </w:r>
      <w:r>
        <w:rPr>
          <w:rFonts w:ascii="Times New Roman" w:hAnsi="Times New Roman" w:cs="Times New Roman"/>
          <w:lang w:val="fr-FR"/>
        </w:rPr>
        <w:t>,</w:t>
      </w:r>
      <w:r w:rsidRPr="0011681B">
        <w:rPr>
          <w:rFonts w:ascii="Times New Roman" w:hAnsi="Times New Roman" w:cs="Times New Roman"/>
          <w:lang w:val="fr-FR"/>
        </w:rPr>
        <w:t xml:space="preserve"> en 2010 et en 2012, ainsi que dans le contexte de la préparation d</w:t>
      </w:r>
      <w:r>
        <w:rPr>
          <w:rFonts w:ascii="Times New Roman" w:hAnsi="Times New Roman" w:cs="Times New Roman"/>
          <w:lang w:val="fr-FR"/>
        </w:rPr>
        <w:t>’</w:t>
      </w:r>
      <w:r w:rsidRPr="0011681B">
        <w:rPr>
          <w:rFonts w:ascii="Times New Roman" w:hAnsi="Times New Roman" w:cs="Times New Roman"/>
          <w:lang w:val="fr-FR"/>
        </w:rPr>
        <w:t xml:space="preserve">une version révisée du </w:t>
      </w:r>
      <w:r>
        <w:rPr>
          <w:rFonts w:ascii="Times New Roman" w:hAnsi="Times New Roman" w:cs="Times New Roman"/>
          <w:lang w:val="fr-FR"/>
        </w:rPr>
        <w:t>plan</w:t>
      </w:r>
      <w:r w:rsidRPr="0011681B">
        <w:rPr>
          <w:rFonts w:ascii="Times New Roman" w:hAnsi="Times New Roman" w:cs="Times New Roman"/>
          <w:lang w:val="fr-FR"/>
        </w:rPr>
        <w:t xml:space="preserve"> d</w:t>
      </w:r>
      <w:r>
        <w:rPr>
          <w:rFonts w:ascii="Times New Roman" w:hAnsi="Times New Roman" w:cs="Times New Roman"/>
          <w:lang w:val="fr-FR"/>
        </w:rPr>
        <w:t>’</w:t>
      </w:r>
      <w:r w:rsidRPr="0011681B">
        <w:rPr>
          <w:rFonts w:ascii="Times New Roman" w:hAnsi="Times New Roman" w:cs="Times New Roman"/>
          <w:lang w:val="fr-FR"/>
        </w:rPr>
        <w:t>action de l</w:t>
      </w:r>
      <w:r>
        <w:rPr>
          <w:rFonts w:ascii="Times New Roman" w:hAnsi="Times New Roman" w:cs="Times New Roman"/>
          <w:lang w:val="fr-FR"/>
        </w:rPr>
        <w:t>’</w:t>
      </w:r>
      <w:r w:rsidRPr="0011681B">
        <w:rPr>
          <w:rFonts w:ascii="Times New Roman" w:hAnsi="Times New Roman" w:cs="Times New Roman"/>
          <w:lang w:val="fr-FR"/>
        </w:rPr>
        <w:t>AEWA pour l</w:t>
      </w:r>
      <w:r>
        <w:rPr>
          <w:rFonts w:ascii="Times New Roman" w:hAnsi="Times New Roman" w:cs="Times New Roman"/>
          <w:lang w:val="fr-FR"/>
        </w:rPr>
        <w:t>’</w:t>
      </w:r>
      <w:r w:rsidRPr="0011681B">
        <w:rPr>
          <w:rFonts w:ascii="Times New Roman" w:hAnsi="Times New Roman" w:cs="Times New Roman"/>
          <w:lang w:val="fr-FR"/>
        </w:rPr>
        <w:t xml:space="preserve">Oie </w:t>
      </w:r>
      <w:r>
        <w:rPr>
          <w:rFonts w:ascii="Times New Roman" w:hAnsi="Times New Roman" w:cs="Times New Roman"/>
          <w:lang w:val="fr-FR"/>
        </w:rPr>
        <w:t xml:space="preserve">naine </w:t>
      </w:r>
      <w:r w:rsidRPr="0011681B">
        <w:rPr>
          <w:rFonts w:ascii="Times New Roman" w:hAnsi="Times New Roman" w:cs="Times New Roman"/>
          <w:lang w:val="fr-FR"/>
        </w:rPr>
        <w:t>(2012-2015), de nombreuses actions figurant dans l</w:t>
      </w:r>
      <w:r>
        <w:rPr>
          <w:rFonts w:ascii="Times New Roman" w:hAnsi="Times New Roman" w:cs="Times New Roman"/>
          <w:lang w:val="fr-FR"/>
        </w:rPr>
        <w:t>’</w:t>
      </w:r>
      <w:r w:rsidRPr="0011681B">
        <w:rPr>
          <w:rFonts w:ascii="Times New Roman" w:hAnsi="Times New Roman" w:cs="Times New Roman"/>
          <w:lang w:val="fr-FR"/>
        </w:rPr>
        <w:t xml:space="preserve">ancien plan ont reçu une priorité moindre ou </w:t>
      </w:r>
      <w:r>
        <w:rPr>
          <w:rFonts w:ascii="Times New Roman" w:hAnsi="Times New Roman" w:cs="Times New Roman"/>
          <w:lang w:val="fr-FR"/>
        </w:rPr>
        <w:t xml:space="preserve">ont été </w:t>
      </w:r>
      <w:r w:rsidRPr="0011681B">
        <w:rPr>
          <w:rFonts w:ascii="Times New Roman" w:hAnsi="Times New Roman" w:cs="Times New Roman"/>
          <w:lang w:val="fr-FR"/>
        </w:rPr>
        <w:t xml:space="preserve">définitivement omises après </w:t>
      </w:r>
      <w:r>
        <w:rPr>
          <w:rFonts w:ascii="Times New Roman" w:hAnsi="Times New Roman" w:cs="Times New Roman"/>
          <w:lang w:val="fr-FR"/>
        </w:rPr>
        <w:t xml:space="preserve">la détermination de la faiblesse de leur </w:t>
      </w:r>
      <w:r w:rsidRPr="0011681B">
        <w:rPr>
          <w:rFonts w:ascii="Times New Roman" w:hAnsi="Times New Roman" w:cs="Times New Roman"/>
          <w:lang w:val="fr-FR"/>
        </w:rPr>
        <w:t>effet potentiel sur la conservation</w:t>
      </w:r>
      <w:r>
        <w:rPr>
          <w:rFonts w:ascii="Times New Roman" w:hAnsi="Times New Roman" w:cs="Times New Roman"/>
          <w:lang w:val="fr-FR"/>
        </w:rPr>
        <w:t>.</w:t>
      </w:r>
      <w:r w:rsidRPr="004B1407">
        <w:rPr>
          <w:rFonts w:ascii="Times New Roman" w:hAnsi="Times New Roman" w:cs="Times New Roman"/>
          <w:lang w:val="fr-FR"/>
        </w:rPr>
        <w:t xml:space="preserve"> </w:t>
      </w:r>
      <w:r w:rsidRPr="0029268C">
        <w:rPr>
          <w:rFonts w:ascii="Times New Roman" w:hAnsi="Times New Roman" w:cs="Times New Roman"/>
          <w:lang w:val="fr-FR"/>
        </w:rPr>
        <w:t>L</w:t>
      </w:r>
      <w:r>
        <w:rPr>
          <w:rFonts w:ascii="Times New Roman" w:hAnsi="Times New Roman" w:cs="Times New Roman"/>
          <w:lang w:val="fr-FR"/>
        </w:rPr>
        <w:t>’</w:t>
      </w:r>
      <w:r w:rsidRPr="0029268C">
        <w:rPr>
          <w:rFonts w:ascii="Times New Roman" w:hAnsi="Times New Roman" w:cs="Times New Roman"/>
          <w:lang w:val="fr-FR"/>
        </w:rPr>
        <w:t>exercice de révision n</w:t>
      </w:r>
      <w:r>
        <w:rPr>
          <w:rFonts w:ascii="Times New Roman" w:hAnsi="Times New Roman" w:cs="Times New Roman"/>
          <w:lang w:val="fr-FR"/>
        </w:rPr>
        <w:t>’inclut</w:t>
      </w:r>
      <w:r w:rsidRPr="0029268C">
        <w:rPr>
          <w:rFonts w:ascii="Times New Roman" w:hAnsi="Times New Roman" w:cs="Times New Roman"/>
          <w:lang w:val="fr-FR"/>
        </w:rPr>
        <w:t xml:space="preserve"> pas non plus les progrès réalisés dans le cadre du groupe de travail en ce qui concerne la mise en place d</w:t>
      </w:r>
      <w:r>
        <w:rPr>
          <w:rFonts w:ascii="Times New Roman" w:hAnsi="Times New Roman" w:cs="Times New Roman"/>
          <w:lang w:val="fr-FR"/>
        </w:rPr>
        <w:t>’</w:t>
      </w:r>
      <w:r w:rsidRPr="0029268C">
        <w:rPr>
          <w:rFonts w:ascii="Times New Roman" w:hAnsi="Times New Roman" w:cs="Times New Roman"/>
          <w:lang w:val="fr-FR"/>
        </w:rPr>
        <w:t xml:space="preserve">un réseau de sites critiques et </w:t>
      </w:r>
      <w:r>
        <w:rPr>
          <w:rFonts w:ascii="Times New Roman" w:hAnsi="Times New Roman" w:cs="Times New Roman"/>
          <w:lang w:val="fr-FR"/>
        </w:rPr>
        <w:t>d’</w:t>
      </w:r>
      <w:r w:rsidRPr="0029268C">
        <w:rPr>
          <w:rFonts w:ascii="Times New Roman" w:hAnsi="Times New Roman" w:cs="Times New Roman"/>
          <w:lang w:val="fr-FR"/>
        </w:rPr>
        <w:t>un programme de surveillance commun pour l</w:t>
      </w:r>
      <w:r>
        <w:rPr>
          <w:rFonts w:ascii="Times New Roman" w:hAnsi="Times New Roman" w:cs="Times New Roman"/>
          <w:lang w:val="fr-FR"/>
        </w:rPr>
        <w:t>’</w:t>
      </w:r>
      <w:r w:rsidRPr="0029268C">
        <w:rPr>
          <w:rFonts w:ascii="Times New Roman" w:hAnsi="Times New Roman" w:cs="Times New Roman"/>
          <w:lang w:val="fr-FR"/>
        </w:rPr>
        <w:t>espèce.</w:t>
      </w:r>
      <w:r w:rsidRPr="004B1407">
        <w:rPr>
          <w:rFonts w:ascii="Times New Roman" w:hAnsi="Times New Roman" w:cs="Times New Roman"/>
          <w:lang w:val="fr-FR"/>
        </w:rPr>
        <w:t xml:space="preserve"> </w:t>
      </w:r>
      <w:r w:rsidRPr="0029268C">
        <w:rPr>
          <w:rFonts w:ascii="Times New Roman" w:hAnsi="Times New Roman" w:cs="Times New Roman"/>
          <w:lang w:val="fr-FR"/>
        </w:rPr>
        <w:t>Le plan d</w:t>
      </w:r>
      <w:r>
        <w:rPr>
          <w:rFonts w:ascii="Times New Roman" w:hAnsi="Times New Roman" w:cs="Times New Roman"/>
          <w:lang w:val="fr-FR"/>
        </w:rPr>
        <w:t>’</w:t>
      </w:r>
      <w:r w:rsidRPr="0029268C">
        <w:rPr>
          <w:rFonts w:ascii="Times New Roman" w:hAnsi="Times New Roman" w:cs="Times New Roman"/>
          <w:lang w:val="fr-FR"/>
        </w:rPr>
        <w:t>action de 2008 est toujours extrêmement axé sur des activités à mettre en œuvre en Europe, alors que des progrès ont été aussi réalisés au cours de ces dernières années concernant la planification et la réalisation d</w:t>
      </w:r>
      <w:r>
        <w:rPr>
          <w:rFonts w:ascii="Times New Roman" w:hAnsi="Times New Roman" w:cs="Times New Roman"/>
          <w:lang w:val="fr-FR"/>
        </w:rPr>
        <w:t>’</w:t>
      </w:r>
      <w:r w:rsidRPr="0029268C">
        <w:rPr>
          <w:rFonts w:ascii="Times New Roman" w:hAnsi="Times New Roman" w:cs="Times New Roman"/>
          <w:lang w:val="fr-FR"/>
        </w:rPr>
        <w:t xml:space="preserve">activités le long des voies de migration de </w:t>
      </w:r>
      <w:r>
        <w:rPr>
          <w:rFonts w:ascii="Times New Roman" w:hAnsi="Times New Roman" w:cs="Times New Roman"/>
          <w:lang w:val="fr-FR"/>
        </w:rPr>
        <w:t xml:space="preserve">la </w:t>
      </w:r>
      <w:r w:rsidRPr="0029268C">
        <w:rPr>
          <w:rFonts w:ascii="Times New Roman" w:hAnsi="Times New Roman" w:cs="Times New Roman"/>
          <w:lang w:val="fr-FR"/>
        </w:rPr>
        <w:t>population occidentale principale.</w:t>
      </w:r>
    </w:p>
    <w:p w14:paraId="1F7E5463" w14:textId="77777777" w:rsidR="00886A3C" w:rsidRPr="004B1407" w:rsidRDefault="00886A3C" w:rsidP="00886A3C">
      <w:pPr>
        <w:spacing w:after="0" w:line="240" w:lineRule="auto"/>
        <w:jc w:val="both"/>
        <w:rPr>
          <w:rFonts w:ascii="Times New Roman" w:hAnsi="Times New Roman" w:cs="Times New Roman"/>
          <w:lang w:val="fr-FR"/>
        </w:rPr>
      </w:pPr>
    </w:p>
    <w:p w14:paraId="4C78281D" w14:textId="77777777" w:rsidR="00886A3C" w:rsidRPr="004B1407" w:rsidRDefault="00886A3C" w:rsidP="00886A3C">
      <w:pPr>
        <w:spacing w:after="0" w:line="240" w:lineRule="auto"/>
        <w:jc w:val="both"/>
        <w:rPr>
          <w:rFonts w:ascii="Times New Roman" w:hAnsi="Times New Roman" w:cs="Times New Roman"/>
          <w:lang w:val="fr-FR"/>
        </w:rPr>
      </w:pPr>
      <w:r w:rsidRPr="0029268C">
        <w:rPr>
          <w:rFonts w:ascii="Times New Roman" w:hAnsi="Times New Roman" w:cs="Times New Roman"/>
          <w:lang w:val="fr-FR"/>
        </w:rPr>
        <w:t>En dépit de ces avancées positives, de sérieuses lacunes demeurent</w:t>
      </w:r>
      <w:r>
        <w:rPr>
          <w:rFonts w:ascii="Times New Roman" w:hAnsi="Times New Roman" w:cs="Times New Roman"/>
          <w:lang w:val="fr-FR"/>
        </w:rPr>
        <w:t>.</w:t>
      </w:r>
      <w:r w:rsidRPr="004B1407">
        <w:rPr>
          <w:rFonts w:ascii="Times New Roman" w:hAnsi="Times New Roman" w:cs="Times New Roman"/>
          <w:lang w:val="fr-FR"/>
        </w:rPr>
        <w:t xml:space="preserve"> </w:t>
      </w:r>
      <w:r w:rsidRPr="0029268C">
        <w:rPr>
          <w:rFonts w:ascii="Times New Roman" w:hAnsi="Times New Roman" w:cs="Times New Roman"/>
          <w:lang w:val="fr-FR"/>
        </w:rPr>
        <w:t>L</w:t>
      </w:r>
      <w:r>
        <w:rPr>
          <w:rFonts w:ascii="Times New Roman" w:hAnsi="Times New Roman" w:cs="Times New Roman"/>
          <w:lang w:val="fr-FR"/>
        </w:rPr>
        <w:t>’</w:t>
      </w:r>
      <w:r w:rsidRPr="0029268C">
        <w:rPr>
          <w:rFonts w:ascii="Times New Roman" w:hAnsi="Times New Roman" w:cs="Times New Roman"/>
          <w:lang w:val="fr-FR"/>
        </w:rPr>
        <w:t xml:space="preserve">abattage illégal reste la </w:t>
      </w:r>
      <w:r>
        <w:rPr>
          <w:rFonts w:ascii="Times New Roman" w:hAnsi="Times New Roman" w:cs="Times New Roman"/>
          <w:lang w:val="fr-FR"/>
        </w:rPr>
        <w:t xml:space="preserve">menace la </w:t>
      </w:r>
      <w:r w:rsidRPr="0029268C">
        <w:rPr>
          <w:rFonts w:ascii="Times New Roman" w:hAnsi="Times New Roman" w:cs="Times New Roman"/>
          <w:lang w:val="fr-FR"/>
        </w:rPr>
        <w:t>plus importante pour l</w:t>
      </w:r>
      <w:r>
        <w:rPr>
          <w:rFonts w:ascii="Times New Roman" w:hAnsi="Times New Roman" w:cs="Times New Roman"/>
          <w:lang w:val="fr-FR"/>
        </w:rPr>
        <w:t>’</w:t>
      </w:r>
      <w:r w:rsidRPr="0029268C">
        <w:rPr>
          <w:rFonts w:ascii="Times New Roman" w:hAnsi="Times New Roman" w:cs="Times New Roman"/>
          <w:lang w:val="fr-FR"/>
        </w:rPr>
        <w:t>espèce et une meilleure alliance avec la communauté des chasseurs s</w:t>
      </w:r>
      <w:r>
        <w:rPr>
          <w:rFonts w:ascii="Times New Roman" w:hAnsi="Times New Roman" w:cs="Times New Roman"/>
          <w:lang w:val="fr-FR"/>
        </w:rPr>
        <w:t>’</w:t>
      </w:r>
      <w:r w:rsidRPr="0029268C">
        <w:rPr>
          <w:rFonts w:ascii="Times New Roman" w:hAnsi="Times New Roman" w:cs="Times New Roman"/>
          <w:lang w:val="fr-FR"/>
        </w:rPr>
        <w:t>impose de toute urgence.</w:t>
      </w:r>
      <w:r w:rsidRPr="004B1407">
        <w:rPr>
          <w:rFonts w:ascii="Times New Roman" w:hAnsi="Times New Roman" w:cs="Times New Roman"/>
          <w:lang w:val="fr-FR"/>
        </w:rPr>
        <w:t xml:space="preserve"> </w:t>
      </w:r>
      <w:r w:rsidRPr="0029268C">
        <w:rPr>
          <w:rFonts w:ascii="Times New Roman" w:hAnsi="Times New Roman" w:cs="Times New Roman"/>
          <w:lang w:val="fr-FR"/>
        </w:rPr>
        <w:t>En outre, les lacunes clés au niveau des connaissances</w:t>
      </w:r>
      <w:r>
        <w:rPr>
          <w:rFonts w:ascii="Times New Roman" w:hAnsi="Times New Roman" w:cs="Times New Roman"/>
          <w:lang w:val="fr-FR"/>
        </w:rPr>
        <w:t xml:space="preserve"> perdurent</w:t>
      </w:r>
      <w:r w:rsidRPr="0029268C">
        <w:rPr>
          <w:rFonts w:ascii="Times New Roman" w:hAnsi="Times New Roman" w:cs="Times New Roman"/>
          <w:lang w:val="fr-FR"/>
        </w:rPr>
        <w:t>, telles que celles concernant les sites d</w:t>
      </w:r>
      <w:r>
        <w:rPr>
          <w:rFonts w:ascii="Times New Roman" w:hAnsi="Times New Roman" w:cs="Times New Roman"/>
          <w:lang w:val="fr-FR"/>
        </w:rPr>
        <w:t>’</w:t>
      </w:r>
      <w:r w:rsidRPr="0029268C">
        <w:rPr>
          <w:rFonts w:ascii="Times New Roman" w:hAnsi="Times New Roman" w:cs="Times New Roman"/>
          <w:lang w:val="fr-FR"/>
        </w:rPr>
        <w:t xml:space="preserve">hivernage de </w:t>
      </w:r>
      <w:r>
        <w:rPr>
          <w:rFonts w:ascii="Times New Roman" w:hAnsi="Times New Roman" w:cs="Times New Roman"/>
          <w:lang w:val="fr-FR"/>
        </w:rPr>
        <w:t xml:space="preserve">la </w:t>
      </w:r>
      <w:r w:rsidRPr="0029268C">
        <w:rPr>
          <w:rFonts w:ascii="Times New Roman" w:hAnsi="Times New Roman" w:cs="Times New Roman"/>
          <w:lang w:val="fr-FR"/>
        </w:rPr>
        <w:t>population occidentale principale, empêchant une conservation efficace.</w:t>
      </w:r>
      <w:r w:rsidRPr="004B1407">
        <w:rPr>
          <w:rFonts w:ascii="Times New Roman" w:hAnsi="Times New Roman" w:cs="Times New Roman"/>
          <w:lang w:val="fr-FR"/>
        </w:rPr>
        <w:t xml:space="preserve"> </w:t>
      </w:r>
    </w:p>
    <w:p w14:paraId="38A7CBAF" w14:textId="77777777" w:rsidR="00886A3C" w:rsidRPr="004B1407" w:rsidRDefault="00886A3C" w:rsidP="00886A3C">
      <w:pPr>
        <w:spacing w:after="0" w:line="240" w:lineRule="auto"/>
        <w:jc w:val="both"/>
        <w:rPr>
          <w:rFonts w:ascii="Times New Roman" w:hAnsi="Times New Roman" w:cs="Times New Roman"/>
          <w:lang w:val="fr-FR"/>
        </w:rPr>
      </w:pPr>
      <w:r w:rsidRPr="004B1407">
        <w:rPr>
          <w:rFonts w:ascii="Times New Roman" w:hAnsi="Times New Roman" w:cs="Times New Roman"/>
          <w:lang w:val="fr-FR"/>
        </w:rPr>
        <w:br w:type="page"/>
      </w:r>
    </w:p>
    <w:p w14:paraId="183DC8AD"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b/>
          <w:lang w:val="fr-FR"/>
        </w:rPr>
      </w:pPr>
      <w:r w:rsidRPr="0029268C">
        <w:rPr>
          <w:rFonts w:ascii="Times New Roman" w:hAnsi="Times New Roman" w:cs="Times New Roman"/>
          <w:b/>
          <w:lang w:val="fr-FR"/>
        </w:rPr>
        <w:lastRenderedPageBreak/>
        <w:t>G. Mise en œuvre</w:t>
      </w:r>
      <w:r>
        <w:rPr>
          <w:rFonts w:ascii="Times New Roman" w:hAnsi="Times New Roman" w:cs="Times New Roman"/>
          <w:b/>
          <w:lang w:val="fr-FR"/>
        </w:rPr>
        <w:t xml:space="preserve"> </w:t>
      </w:r>
      <w:r w:rsidRPr="0029268C">
        <w:rPr>
          <w:rFonts w:ascii="Times New Roman" w:hAnsi="Times New Roman" w:cs="Times New Roman"/>
          <w:b/>
          <w:lang w:val="fr-FR"/>
        </w:rPr>
        <w:t>de l</w:t>
      </w:r>
      <w:r>
        <w:rPr>
          <w:rFonts w:ascii="Times New Roman" w:hAnsi="Times New Roman" w:cs="Times New Roman"/>
          <w:b/>
          <w:lang w:val="fr-FR"/>
        </w:rPr>
        <w:t>’</w:t>
      </w:r>
      <w:r w:rsidRPr="0029268C">
        <w:rPr>
          <w:rFonts w:ascii="Times New Roman" w:hAnsi="Times New Roman" w:cs="Times New Roman"/>
          <w:b/>
          <w:lang w:val="fr-FR"/>
        </w:rPr>
        <w:t>ISSAP pour la Bernache à cou roux</w:t>
      </w:r>
    </w:p>
    <w:p w14:paraId="15484EFF" w14:textId="77777777" w:rsidR="00886A3C" w:rsidRPr="004B1407" w:rsidRDefault="00886A3C" w:rsidP="00886A3C">
      <w:pPr>
        <w:shd w:val="clear" w:color="auto" w:fill="FFFFFF" w:themeFill="background1"/>
        <w:spacing w:after="0" w:line="240" w:lineRule="auto"/>
        <w:rPr>
          <w:rFonts w:ascii="Times New Roman" w:hAnsi="Times New Roman" w:cs="Times New Roman"/>
          <w:b/>
          <w:lang w:val="fr-FR"/>
        </w:rPr>
      </w:pPr>
    </w:p>
    <w:p w14:paraId="120B3E51"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1. </w:t>
      </w:r>
      <w:r w:rsidRPr="0029268C">
        <w:rPr>
          <w:rFonts w:ascii="Times New Roman" w:hAnsi="Times New Roman" w:cs="Times New Roman"/>
          <w:i/>
          <w:lang w:val="fr-FR"/>
        </w:rPr>
        <w:t>Introduction</w:t>
      </w:r>
    </w:p>
    <w:p w14:paraId="54626D4F"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5F085F44"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98016B">
        <w:rPr>
          <w:rFonts w:ascii="Times New Roman" w:hAnsi="Times New Roman" w:cs="Times New Roman"/>
          <w:lang w:val="fr-FR"/>
        </w:rPr>
        <w:t xml:space="preserve">La Bernache à cou roux </w:t>
      </w:r>
      <w:r w:rsidRPr="0098016B">
        <w:rPr>
          <w:rFonts w:ascii="Times New Roman" w:hAnsi="Times New Roman" w:cs="Times New Roman"/>
          <w:i/>
          <w:lang w:val="fr-FR"/>
        </w:rPr>
        <w:t>(Branta ruficollis)</w:t>
      </w:r>
      <w:r w:rsidRPr="0098016B">
        <w:rPr>
          <w:rFonts w:ascii="Times New Roman" w:hAnsi="Times New Roman" w:cs="Times New Roman"/>
          <w:lang w:val="fr-FR"/>
        </w:rPr>
        <w:t xml:space="preserve"> est classée dans la catégorie « En danger » de l</w:t>
      </w:r>
      <w:r>
        <w:rPr>
          <w:rFonts w:ascii="Times New Roman" w:hAnsi="Times New Roman" w:cs="Times New Roman"/>
          <w:lang w:val="fr-FR"/>
        </w:rPr>
        <w:t>’</w:t>
      </w:r>
      <w:r w:rsidRPr="0098016B">
        <w:rPr>
          <w:rFonts w:ascii="Times New Roman" w:hAnsi="Times New Roman" w:cs="Times New Roman"/>
          <w:lang w:val="fr-FR"/>
        </w:rPr>
        <w:t xml:space="preserve">UICN et figure </w:t>
      </w:r>
      <w:r>
        <w:rPr>
          <w:rFonts w:ascii="Times New Roman" w:hAnsi="Times New Roman" w:cs="Times New Roman"/>
          <w:lang w:val="fr-FR"/>
        </w:rPr>
        <w:t>dans les catégories</w:t>
      </w:r>
      <w:r w:rsidRPr="0098016B">
        <w:rPr>
          <w:rFonts w:ascii="Times New Roman" w:hAnsi="Times New Roman" w:cs="Times New Roman"/>
          <w:lang w:val="fr-FR"/>
        </w:rPr>
        <w:t xml:space="preserve"> 1a 1b 3a 3c</w:t>
      </w:r>
      <w:r>
        <w:rPr>
          <w:rFonts w:ascii="Times New Roman" w:hAnsi="Times New Roman" w:cs="Times New Roman"/>
          <w:lang w:val="fr-FR"/>
        </w:rPr>
        <w:t xml:space="preserve"> de </w:t>
      </w:r>
      <w:r w:rsidRPr="0098016B">
        <w:rPr>
          <w:rFonts w:ascii="Times New Roman" w:hAnsi="Times New Roman" w:cs="Times New Roman"/>
          <w:lang w:val="fr-FR"/>
        </w:rPr>
        <w:t xml:space="preserve">la colonne 1 du Tableau 1 du </w:t>
      </w:r>
      <w:r>
        <w:rPr>
          <w:rFonts w:ascii="Times New Roman" w:hAnsi="Times New Roman" w:cs="Times New Roman"/>
          <w:lang w:val="fr-FR"/>
        </w:rPr>
        <w:t>plan</w:t>
      </w:r>
      <w:r w:rsidRPr="0098016B">
        <w:rPr>
          <w:rFonts w:ascii="Times New Roman" w:hAnsi="Times New Roman" w:cs="Times New Roman"/>
          <w:lang w:val="fr-FR"/>
        </w:rPr>
        <w:t xml:space="preserve"> d</w:t>
      </w:r>
      <w:r>
        <w:rPr>
          <w:rFonts w:ascii="Times New Roman" w:hAnsi="Times New Roman" w:cs="Times New Roman"/>
          <w:lang w:val="fr-FR"/>
        </w:rPr>
        <w:t>’</w:t>
      </w:r>
      <w:r w:rsidRPr="0098016B">
        <w:rPr>
          <w:rFonts w:ascii="Times New Roman" w:hAnsi="Times New Roman" w:cs="Times New Roman"/>
          <w:lang w:val="fr-FR"/>
        </w:rPr>
        <w:t>action de l</w:t>
      </w:r>
      <w:r>
        <w:rPr>
          <w:rFonts w:ascii="Times New Roman" w:hAnsi="Times New Roman" w:cs="Times New Roman"/>
          <w:lang w:val="fr-FR"/>
        </w:rPr>
        <w:t>’</w:t>
      </w:r>
      <w:r w:rsidRPr="0098016B">
        <w:rPr>
          <w:rFonts w:ascii="Times New Roman" w:hAnsi="Times New Roman" w:cs="Times New Roman"/>
          <w:lang w:val="fr-FR"/>
        </w:rPr>
        <w:t>AEWA.</w:t>
      </w:r>
      <w:r w:rsidRPr="004B1407">
        <w:rPr>
          <w:rFonts w:ascii="Times New Roman" w:hAnsi="Times New Roman" w:cs="Times New Roman"/>
          <w:lang w:val="fr-FR"/>
        </w:rPr>
        <w:t xml:space="preserve"> </w:t>
      </w:r>
      <w:r w:rsidRPr="0098016B">
        <w:rPr>
          <w:rFonts w:ascii="Times New Roman" w:hAnsi="Times New Roman" w:cs="Times New Roman"/>
          <w:lang w:val="fr-FR"/>
        </w:rPr>
        <w:t xml:space="preserve">Le </w:t>
      </w:r>
      <w:r>
        <w:rPr>
          <w:rFonts w:ascii="Times New Roman" w:hAnsi="Times New Roman" w:cs="Times New Roman"/>
          <w:lang w:val="fr-FR"/>
        </w:rPr>
        <w:t>plan</w:t>
      </w:r>
      <w:r w:rsidRPr="0098016B">
        <w:rPr>
          <w:rFonts w:ascii="Times New Roman" w:hAnsi="Times New Roman" w:cs="Times New Roman"/>
          <w:lang w:val="fr-FR"/>
        </w:rPr>
        <w:t xml:space="preserve"> </w:t>
      </w:r>
      <w:r>
        <w:rPr>
          <w:rFonts w:ascii="Times New Roman" w:hAnsi="Times New Roman" w:cs="Times New Roman"/>
          <w:lang w:val="fr-FR"/>
        </w:rPr>
        <w:t>d’action international</w:t>
      </w:r>
      <w:r w:rsidRPr="0098016B">
        <w:rPr>
          <w:rFonts w:ascii="Times New Roman" w:hAnsi="Times New Roman" w:cs="Times New Roman"/>
          <w:lang w:val="fr-FR"/>
        </w:rPr>
        <w:t xml:space="preserve"> par espèce de l</w:t>
      </w:r>
      <w:r>
        <w:rPr>
          <w:rFonts w:ascii="Times New Roman" w:hAnsi="Times New Roman" w:cs="Times New Roman"/>
          <w:lang w:val="fr-FR"/>
        </w:rPr>
        <w:t>’</w:t>
      </w:r>
      <w:r w:rsidRPr="0098016B">
        <w:rPr>
          <w:rFonts w:ascii="Times New Roman" w:hAnsi="Times New Roman" w:cs="Times New Roman"/>
          <w:lang w:val="fr-FR"/>
        </w:rPr>
        <w:t xml:space="preserve">AEWA pour la conservation de la Bernache à cou roux a été adopté en 2012, lors de </w:t>
      </w:r>
      <w:r>
        <w:rPr>
          <w:rFonts w:ascii="Times New Roman" w:hAnsi="Times New Roman" w:cs="Times New Roman"/>
          <w:lang w:val="fr-FR"/>
        </w:rPr>
        <w:t xml:space="preserve">la </w:t>
      </w:r>
      <w:r w:rsidRPr="0098016B">
        <w:rPr>
          <w:rFonts w:ascii="Times New Roman" w:hAnsi="Times New Roman" w:cs="Times New Roman"/>
          <w:lang w:val="fr-FR"/>
        </w:rPr>
        <w:t>5</w:t>
      </w:r>
      <w:r w:rsidRPr="0098016B">
        <w:rPr>
          <w:rFonts w:ascii="Times New Roman" w:hAnsi="Times New Roman" w:cs="Times New Roman"/>
          <w:vertAlign w:val="superscript"/>
          <w:lang w:val="fr-FR"/>
        </w:rPr>
        <w:t>ème</w:t>
      </w:r>
      <w:r>
        <w:rPr>
          <w:rFonts w:ascii="Times New Roman" w:hAnsi="Times New Roman" w:cs="Times New Roman"/>
          <w:lang w:val="fr-FR"/>
        </w:rPr>
        <w:t xml:space="preserve"> </w:t>
      </w:r>
      <w:r w:rsidRPr="0098016B">
        <w:rPr>
          <w:rFonts w:ascii="Times New Roman" w:hAnsi="Times New Roman" w:cs="Times New Roman"/>
          <w:lang w:val="fr-FR"/>
        </w:rPr>
        <w:t>session de la Réunion des Parties à l</w:t>
      </w:r>
      <w:r>
        <w:rPr>
          <w:rFonts w:ascii="Times New Roman" w:hAnsi="Times New Roman" w:cs="Times New Roman"/>
          <w:lang w:val="fr-FR"/>
        </w:rPr>
        <w:t>’</w:t>
      </w:r>
      <w:r w:rsidRPr="0098016B">
        <w:rPr>
          <w:rFonts w:ascii="Times New Roman" w:hAnsi="Times New Roman" w:cs="Times New Roman"/>
          <w:lang w:val="fr-FR"/>
        </w:rPr>
        <w:t>AEWA</w:t>
      </w:r>
      <w:r w:rsidRPr="0098016B">
        <w:rPr>
          <w:rStyle w:val="FootnoteReference"/>
          <w:rFonts w:ascii="Times New Roman" w:hAnsi="Times New Roman" w:cs="Times New Roman"/>
          <w:lang w:val="fr-FR"/>
        </w:rPr>
        <w:footnoteReference w:id="8"/>
      </w:r>
      <w:r w:rsidRPr="0098016B">
        <w:rPr>
          <w:rFonts w:ascii="Times New Roman" w:hAnsi="Times New Roman" w:cs="Times New Roman"/>
          <w:lang w:val="fr-FR"/>
        </w:rPr>
        <w:t>.</w:t>
      </w:r>
    </w:p>
    <w:p w14:paraId="5F3B9F4C"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886A3C" w:rsidRPr="00DE4CF4" w14:paraId="7BFB5618" w14:textId="77777777" w:rsidTr="00886A3C">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0D5B2085" w14:textId="77777777" w:rsidR="00886A3C" w:rsidRPr="004B1407" w:rsidRDefault="00886A3C" w:rsidP="00886A3C">
            <w:pPr>
              <w:shd w:val="clear" w:color="auto" w:fill="FFFFFF" w:themeFill="background1"/>
              <w:jc w:val="both"/>
              <w:rPr>
                <w:rFonts w:ascii="Times New Roman" w:hAnsi="Times New Roman" w:cs="Times New Roman"/>
                <w:lang w:val="fr-FR"/>
              </w:rPr>
            </w:pPr>
            <w:r w:rsidRPr="0098016B">
              <w:rPr>
                <w:rFonts w:ascii="Times New Roman" w:hAnsi="Times New Roman" w:cs="Times New Roman"/>
                <w:lang w:val="fr-FR"/>
              </w:rPr>
              <w:t>Le plan d</w:t>
            </w:r>
            <w:r>
              <w:rPr>
                <w:rFonts w:ascii="Times New Roman" w:hAnsi="Times New Roman" w:cs="Times New Roman"/>
                <w:lang w:val="fr-FR"/>
              </w:rPr>
              <w:t>’</w:t>
            </w:r>
            <w:r w:rsidRPr="0098016B">
              <w:rPr>
                <w:rFonts w:ascii="Times New Roman" w:hAnsi="Times New Roman" w:cs="Times New Roman"/>
                <w:lang w:val="fr-FR"/>
              </w:rPr>
              <w:t xml:space="preserve">action a pour </w:t>
            </w:r>
            <w:r>
              <w:rPr>
                <w:rFonts w:ascii="Times New Roman" w:hAnsi="Times New Roman" w:cs="Times New Roman"/>
                <w:lang w:val="fr-FR"/>
              </w:rPr>
              <w:t xml:space="preserve">but </w:t>
            </w:r>
            <w:r w:rsidRPr="0098016B">
              <w:rPr>
                <w:rFonts w:ascii="Times New Roman" w:hAnsi="Times New Roman" w:cs="Times New Roman"/>
                <w:lang w:val="fr-FR"/>
              </w:rPr>
              <w:t>de rétablir la Bernache à cou roux dans un état de conservation favorable et de l</w:t>
            </w:r>
            <w:r>
              <w:rPr>
                <w:rFonts w:ascii="Times New Roman" w:hAnsi="Times New Roman" w:cs="Times New Roman"/>
                <w:lang w:val="fr-FR"/>
              </w:rPr>
              <w:t>’</w:t>
            </w:r>
            <w:r w:rsidRPr="0098016B">
              <w:rPr>
                <w:rFonts w:ascii="Times New Roman" w:hAnsi="Times New Roman" w:cs="Times New Roman"/>
                <w:lang w:val="fr-FR"/>
              </w:rPr>
              <w:t>enlever des catégories menacées de la liste rouge de l</w:t>
            </w:r>
            <w:r>
              <w:rPr>
                <w:rFonts w:ascii="Times New Roman" w:hAnsi="Times New Roman" w:cs="Times New Roman"/>
                <w:lang w:val="fr-FR"/>
              </w:rPr>
              <w:t>’</w:t>
            </w:r>
            <w:r w:rsidRPr="0098016B">
              <w:rPr>
                <w:rFonts w:ascii="Times New Roman" w:hAnsi="Times New Roman" w:cs="Times New Roman"/>
                <w:lang w:val="fr-FR"/>
              </w:rPr>
              <w:t>UICN.</w:t>
            </w:r>
            <w:r w:rsidRPr="004B1407">
              <w:rPr>
                <w:rFonts w:ascii="Times New Roman" w:hAnsi="Times New Roman" w:cs="Times New Roman"/>
                <w:lang w:val="fr-FR"/>
              </w:rPr>
              <w:t xml:space="preserve"> </w:t>
            </w:r>
            <w:r w:rsidRPr="0098016B">
              <w:rPr>
                <w:rFonts w:ascii="Times New Roman" w:hAnsi="Times New Roman" w:cs="Times New Roman"/>
                <w:lang w:val="fr-FR"/>
              </w:rPr>
              <w:t>L</w:t>
            </w:r>
            <w:r>
              <w:rPr>
                <w:rFonts w:ascii="Times New Roman" w:hAnsi="Times New Roman" w:cs="Times New Roman"/>
                <w:lang w:val="fr-FR"/>
              </w:rPr>
              <w:t>’</w:t>
            </w:r>
            <w:r w:rsidRPr="0098016B">
              <w:rPr>
                <w:rFonts w:ascii="Times New Roman" w:hAnsi="Times New Roman" w:cs="Times New Roman"/>
                <w:lang w:val="fr-FR"/>
              </w:rPr>
              <w:t xml:space="preserve">objectif est de déclasser la Bernache à cou roux, de la catégorie </w:t>
            </w:r>
            <w:r>
              <w:rPr>
                <w:rFonts w:ascii="Times New Roman" w:hAnsi="Times New Roman" w:cs="Times New Roman"/>
                <w:lang w:val="fr-FR"/>
              </w:rPr>
              <w:t>« </w:t>
            </w:r>
            <w:r w:rsidRPr="0098016B">
              <w:rPr>
                <w:rFonts w:ascii="Times New Roman" w:hAnsi="Times New Roman" w:cs="Times New Roman"/>
                <w:lang w:val="fr-FR"/>
              </w:rPr>
              <w:t>En Danger</w:t>
            </w:r>
            <w:r>
              <w:rPr>
                <w:rFonts w:ascii="Times New Roman" w:hAnsi="Times New Roman" w:cs="Times New Roman"/>
                <w:lang w:val="fr-FR"/>
              </w:rPr>
              <w:t> »</w:t>
            </w:r>
            <w:r w:rsidRPr="0098016B">
              <w:rPr>
                <w:rFonts w:ascii="Times New Roman" w:hAnsi="Times New Roman" w:cs="Times New Roman"/>
                <w:lang w:val="fr-FR"/>
              </w:rPr>
              <w:t xml:space="preserve"> à la catégorie </w:t>
            </w:r>
            <w:r>
              <w:rPr>
                <w:rFonts w:ascii="Times New Roman" w:hAnsi="Times New Roman" w:cs="Times New Roman"/>
                <w:lang w:val="fr-FR"/>
              </w:rPr>
              <w:t>« </w:t>
            </w:r>
            <w:r w:rsidRPr="0098016B">
              <w:rPr>
                <w:rFonts w:ascii="Times New Roman" w:hAnsi="Times New Roman" w:cs="Times New Roman"/>
                <w:lang w:val="fr-FR"/>
              </w:rPr>
              <w:t>Vulnérable</w:t>
            </w:r>
            <w:r>
              <w:rPr>
                <w:rFonts w:ascii="Times New Roman" w:hAnsi="Times New Roman" w:cs="Times New Roman"/>
                <w:lang w:val="fr-FR"/>
              </w:rPr>
              <w:t> »</w:t>
            </w:r>
            <w:r w:rsidRPr="0098016B">
              <w:rPr>
                <w:rFonts w:ascii="Times New Roman" w:hAnsi="Times New Roman" w:cs="Times New Roman"/>
                <w:lang w:val="fr-FR"/>
              </w:rPr>
              <w:t xml:space="preserve">, </w:t>
            </w:r>
            <w:r>
              <w:rPr>
                <w:rFonts w:ascii="Times New Roman" w:hAnsi="Times New Roman" w:cs="Times New Roman"/>
                <w:lang w:val="fr-FR"/>
              </w:rPr>
              <w:t>au cours des</w:t>
            </w:r>
            <w:r w:rsidRPr="0098016B">
              <w:rPr>
                <w:rFonts w:ascii="Times New Roman" w:hAnsi="Times New Roman" w:cs="Times New Roman"/>
                <w:lang w:val="fr-FR"/>
              </w:rPr>
              <w:t xml:space="preserve"> dix ans de la durée du plan.</w:t>
            </w:r>
          </w:p>
        </w:tc>
      </w:tr>
    </w:tbl>
    <w:p w14:paraId="7422D75E"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p w14:paraId="77AD2CB4"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98016B">
        <w:rPr>
          <w:rFonts w:ascii="Times New Roman" w:hAnsi="Times New Roman" w:cs="Times New Roman"/>
          <w:lang w:val="fr-FR"/>
        </w:rPr>
        <w:t>Le groupe de travail international inter-gouvernemental de l</w:t>
      </w:r>
      <w:r>
        <w:rPr>
          <w:rFonts w:ascii="Times New Roman" w:hAnsi="Times New Roman" w:cs="Times New Roman"/>
          <w:lang w:val="fr-FR"/>
        </w:rPr>
        <w:t>’</w:t>
      </w:r>
      <w:r w:rsidRPr="0098016B">
        <w:rPr>
          <w:rFonts w:ascii="Times New Roman" w:hAnsi="Times New Roman" w:cs="Times New Roman"/>
          <w:lang w:val="fr-FR"/>
        </w:rPr>
        <w:t>AEWA sur la Bernache à cou roux (RbG IWG) a été mis en place en 2011 par le Secrétariat de l</w:t>
      </w:r>
      <w:r>
        <w:rPr>
          <w:rFonts w:ascii="Times New Roman" w:hAnsi="Times New Roman" w:cs="Times New Roman"/>
          <w:lang w:val="fr-FR"/>
        </w:rPr>
        <w:t>’</w:t>
      </w:r>
      <w:r w:rsidRPr="0098016B">
        <w:rPr>
          <w:rFonts w:ascii="Times New Roman" w:hAnsi="Times New Roman" w:cs="Times New Roman"/>
          <w:lang w:val="fr-FR"/>
        </w:rPr>
        <w:t>AEWA. Sa première réunion en face à face a eu lieu en 2014, à Kavarna, Bulgarie.</w:t>
      </w:r>
      <w:r w:rsidRPr="004B1407">
        <w:rPr>
          <w:rFonts w:ascii="Times New Roman" w:hAnsi="Times New Roman" w:cs="Times New Roman"/>
          <w:lang w:val="fr-FR"/>
        </w:rPr>
        <w:t xml:space="preserve"> </w:t>
      </w:r>
      <w:r w:rsidRPr="0098016B">
        <w:rPr>
          <w:rFonts w:ascii="Times New Roman" w:hAnsi="Times New Roman" w:cs="Times New Roman"/>
          <w:lang w:val="fr-FR"/>
        </w:rPr>
        <w:t>La coordination de ce groupe de travail, qui est assurée par le Wildfowl &amp; Wetlands Trust (WWT), est actuellement réalisée par la Société bulgare pour la protection des oiseaux (BirdLife Bulgarie/BSPB).</w:t>
      </w:r>
      <w:r w:rsidRPr="004B1407">
        <w:rPr>
          <w:rFonts w:ascii="Times New Roman" w:hAnsi="Times New Roman" w:cs="Times New Roman"/>
          <w:lang w:val="fr-FR"/>
        </w:rPr>
        <w:t xml:space="preserve"> </w:t>
      </w:r>
    </w:p>
    <w:p w14:paraId="4998E376"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095AF944"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2. </w:t>
      </w:r>
      <w:r w:rsidRPr="0098016B">
        <w:rPr>
          <w:rFonts w:ascii="Times New Roman" w:hAnsi="Times New Roman" w:cs="Times New Roman"/>
          <w:i/>
          <w:lang w:val="fr-FR"/>
        </w:rPr>
        <w:t>Taux de réponse</w:t>
      </w:r>
    </w:p>
    <w:p w14:paraId="02195F8D"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22736064" w14:textId="77777777" w:rsidR="00886A3C" w:rsidRPr="004B1407" w:rsidRDefault="00886A3C" w:rsidP="00886A3C">
      <w:pPr>
        <w:spacing w:after="0" w:line="240" w:lineRule="auto"/>
        <w:jc w:val="both"/>
        <w:rPr>
          <w:rFonts w:ascii="Times New Roman" w:hAnsi="Times New Roman" w:cs="Times New Roman"/>
          <w:lang w:val="fr-FR"/>
        </w:rPr>
      </w:pPr>
      <w:r w:rsidRPr="0098016B">
        <w:rPr>
          <w:rFonts w:ascii="Times New Roman" w:hAnsi="Times New Roman" w:cs="Times New Roman"/>
          <w:lang w:val="fr-FR"/>
        </w:rPr>
        <w:t>Les cinq États de l</w:t>
      </w:r>
      <w:r>
        <w:rPr>
          <w:rFonts w:ascii="Times New Roman" w:hAnsi="Times New Roman" w:cs="Times New Roman"/>
          <w:lang w:val="fr-FR"/>
        </w:rPr>
        <w:t>’</w:t>
      </w:r>
      <w:r w:rsidRPr="0098016B">
        <w:rPr>
          <w:rFonts w:ascii="Times New Roman" w:hAnsi="Times New Roman" w:cs="Times New Roman"/>
          <w:lang w:val="fr-FR"/>
        </w:rPr>
        <w:t xml:space="preserve">aire de répartition </w:t>
      </w:r>
      <w:r>
        <w:rPr>
          <w:rFonts w:ascii="Times New Roman" w:hAnsi="Times New Roman" w:cs="Times New Roman"/>
          <w:lang w:val="fr-FR"/>
        </w:rPr>
        <w:t>recensés dans le plan d’action</w:t>
      </w:r>
      <w:r w:rsidRPr="0098016B">
        <w:rPr>
          <w:rFonts w:ascii="Times New Roman" w:hAnsi="Times New Roman" w:cs="Times New Roman"/>
          <w:lang w:val="fr-FR"/>
        </w:rPr>
        <w:t xml:space="preserve"> ont répondu au questionnaire</w:t>
      </w:r>
      <w:r>
        <w:rPr>
          <w:rFonts w:ascii="Times New Roman" w:hAnsi="Times New Roman" w:cs="Times New Roman"/>
          <w:lang w:val="fr-FR"/>
        </w:rPr>
        <w:t xml:space="preserve"> </w:t>
      </w:r>
      <w:r w:rsidRPr="0098016B">
        <w:rPr>
          <w:rFonts w:ascii="Times New Roman" w:hAnsi="Times New Roman" w:cs="Times New Roman"/>
          <w:lang w:val="fr-FR"/>
        </w:rPr>
        <w:t>(100</w:t>
      </w:r>
      <w:r>
        <w:rPr>
          <w:rFonts w:ascii="Times New Roman" w:hAnsi="Times New Roman" w:cs="Times New Roman"/>
          <w:lang w:val="fr-FR"/>
        </w:rPr>
        <w:t> %</w:t>
      </w:r>
      <w:r w:rsidRPr="0098016B">
        <w:rPr>
          <w:rFonts w:ascii="Times New Roman" w:hAnsi="Times New Roman" w:cs="Times New Roman"/>
          <w:lang w:val="fr-FR"/>
        </w:rPr>
        <w:t>).</w:t>
      </w:r>
      <w:r w:rsidRPr="004B1407">
        <w:rPr>
          <w:rFonts w:ascii="Times New Roman" w:hAnsi="Times New Roman" w:cs="Times New Roman"/>
          <w:lang w:val="fr-FR"/>
        </w:rPr>
        <w:t xml:space="preserve"> </w:t>
      </w:r>
    </w:p>
    <w:p w14:paraId="3F45B0B3" w14:textId="77777777" w:rsidR="00886A3C" w:rsidRPr="004B1407" w:rsidRDefault="00886A3C" w:rsidP="00886A3C">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6586"/>
        <w:gridCol w:w="2474"/>
      </w:tblGrid>
      <w:tr w:rsidR="00886A3C" w14:paraId="7FFA8025" w14:textId="77777777" w:rsidTr="00886A3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8A1BC" w14:textId="77777777" w:rsidR="00886A3C" w:rsidRPr="00915C33" w:rsidRDefault="00886A3C" w:rsidP="00886A3C">
            <w:pPr>
              <w:jc w:val="both"/>
              <w:rPr>
                <w:rFonts w:ascii="Times New Roman" w:hAnsi="Times New Roman" w:cs="Times New Roman"/>
                <w:b w:val="0"/>
                <w:i/>
              </w:rPr>
            </w:pPr>
            <w:r w:rsidRPr="0098016B">
              <w:rPr>
                <w:rFonts w:ascii="Times New Roman" w:hAnsi="Times New Roman" w:cs="Times New Roman"/>
                <w:b w:val="0"/>
                <w:i/>
                <w:lang w:val="fr-FR"/>
              </w:rPr>
              <w:t>Réponse reçue</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199EA" w14:textId="77777777" w:rsidR="00886A3C" w:rsidRPr="003F50F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8016B">
              <w:rPr>
                <w:rFonts w:ascii="Times New Roman" w:hAnsi="Times New Roman" w:cs="Times New Roman"/>
                <w:b w:val="0"/>
                <w:i/>
                <w:lang w:val="fr-FR"/>
              </w:rPr>
              <w:t xml:space="preserve">PC AEWA </w:t>
            </w:r>
          </w:p>
        </w:tc>
      </w:tr>
      <w:tr w:rsidR="00886A3C" w:rsidRPr="00915C33" w14:paraId="23054365" w14:textId="77777777" w:rsidTr="00886A3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2F8FD" w14:textId="77777777" w:rsidR="00886A3C" w:rsidRPr="00230425" w:rsidRDefault="00886A3C" w:rsidP="00886A3C">
            <w:pPr>
              <w:jc w:val="both"/>
              <w:rPr>
                <w:rFonts w:ascii="Times New Roman" w:hAnsi="Times New Roman" w:cs="Times New Roman"/>
              </w:rPr>
            </w:pPr>
            <w:r w:rsidRPr="0098016B">
              <w:rPr>
                <w:rFonts w:ascii="Times New Roman" w:hAnsi="Times New Roman" w:cs="Times New Roman"/>
                <w:b w:val="0"/>
                <w:lang w:val="fr-FR"/>
              </w:rPr>
              <w:t>Bulgarie</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6CAF8"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16B">
              <w:rPr>
                <w:rFonts w:ascii="Times New Roman" w:hAnsi="Times New Roman" w:cs="Times New Roman"/>
                <w:lang w:val="fr-FR"/>
              </w:rPr>
              <w:t>Oui</w:t>
            </w:r>
          </w:p>
        </w:tc>
      </w:tr>
      <w:tr w:rsidR="00886A3C" w:rsidRPr="00915C33" w14:paraId="047B83CC" w14:textId="77777777" w:rsidTr="00886A3C">
        <w:trPr>
          <w:trHeight w:val="259"/>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F72F1E" w14:textId="77777777" w:rsidR="00886A3C" w:rsidRPr="00230425" w:rsidRDefault="00886A3C" w:rsidP="00886A3C">
            <w:pPr>
              <w:jc w:val="both"/>
              <w:rPr>
                <w:rFonts w:ascii="Times New Roman" w:hAnsi="Times New Roman" w:cs="Times New Roman"/>
              </w:rPr>
            </w:pPr>
            <w:r w:rsidRPr="0098016B">
              <w:rPr>
                <w:rFonts w:ascii="Times New Roman" w:hAnsi="Times New Roman" w:cs="Times New Roman"/>
                <w:b w:val="0"/>
                <w:lang w:val="fr-FR"/>
              </w:rPr>
              <w:t>Kazakhstan</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758ED"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016B">
              <w:rPr>
                <w:rFonts w:ascii="Times New Roman" w:hAnsi="Times New Roman" w:cs="Times New Roman"/>
                <w:lang w:val="fr-FR"/>
              </w:rPr>
              <w:t>Non</w:t>
            </w:r>
          </w:p>
        </w:tc>
      </w:tr>
      <w:tr w:rsidR="00886A3C" w:rsidRPr="00915C33" w14:paraId="2D3F8F46" w14:textId="77777777" w:rsidTr="00886A3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7BDACA" w14:textId="77777777" w:rsidR="00886A3C" w:rsidRPr="00230425" w:rsidRDefault="00886A3C" w:rsidP="00886A3C">
            <w:pPr>
              <w:jc w:val="both"/>
              <w:rPr>
                <w:rFonts w:ascii="Times New Roman" w:hAnsi="Times New Roman" w:cs="Times New Roman"/>
              </w:rPr>
            </w:pPr>
            <w:r w:rsidRPr="0098016B">
              <w:rPr>
                <w:rFonts w:ascii="Times New Roman" w:hAnsi="Times New Roman" w:cs="Times New Roman"/>
                <w:b w:val="0"/>
                <w:lang w:val="fr-FR"/>
              </w:rPr>
              <w:t>Roumanie</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53B44"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16B">
              <w:rPr>
                <w:rFonts w:ascii="Times New Roman" w:hAnsi="Times New Roman" w:cs="Times New Roman"/>
                <w:lang w:val="fr-FR"/>
              </w:rPr>
              <w:t>Oui</w:t>
            </w:r>
          </w:p>
        </w:tc>
      </w:tr>
      <w:tr w:rsidR="00886A3C" w:rsidRPr="00915C33" w14:paraId="3D630E31" w14:textId="77777777" w:rsidTr="00886A3C">
        <w:trPr>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835A9" w14:textId="77777777" w:rsidR="00886A3C" w:rsidRPr="00230425" w:rsidRDefault="00886A3C" w:rsidP="00886A3C">
            <w:pPr>
              <w:jc w:val="both"/>
              <w:rPr>
                <w:rFonts w:ascii="Times New Roman" w:hAnsi="Times New Roman" w:cs="Times New Roman"/>
              </w:rPr>
            </w:pPr>
            <w:r w:rsidRPr="0098016B">
              <w:rPr>
                <w:rFonts w:ascii="Times New Roman" w:hAnsi="Times New Roman" w:cs="Times New Roman"/>
                <w:b w:val="0"/>
                <w:lang w:val="fr-FR"/>
              </w:rPr>
              <w:t>Russie</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F8E4E"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016B">
              <w:rPr>
                <w:rFonts w:ascii="Times New Roman" w:hAnsi="Times New Roman" w:cs="Times New Roman"/>
                <w:lang w:val="fr-FR"/>
              </w:rPr>
              <w:t>Non</w:t>
            </w:r>
          </w:p>
        </w:tc>
      </w:tr>
      <w:tr w:rsidR="00886A3C" w:rsidRPr="00915C33" w14:paraId="03CBD3D2" w14:textId="77777777" w:rsidTr="00886A3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44F0F" w14:textId="77777777" w:rsidR="00886A3C" w:rsidRPr="00230425" w:rsidRDefault="00886A3C" w:rsidP="00886A3C">
            <w:pPr>
              <w:jc w:val="both"/>
              <w:rPr>
                <w:rFonts w:ascii="Times New Roman" w:hAnsi="Times New Roman" w:cs="Times New Roman"/>
              </w:rPr>
            </w:pPr>
            <w:r w:rsidRPr="0098016B">
              <w:rPr>
                <w:rFonts w:ascii="Times New Roman" w:hAnsi="Times New Roman" w:cs="Times New Roman"/>
                <w:b w:val="0"/>
                <w:lang w:val="fr-FR"/>
              </w:rPr>
              <w:t>Ukraine</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9C373"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16B">
              <w:rPr>
                <w:rFonts w:ascii="Times New Roman" w:hAnsi="Times New Roman" w:cs="Times New Roman"/>
                <w:lang w:val="fr-FR"/>
              </w:rPr>
              <w:t>Oui</w:t>
            </w:r>
          </w:p>
        </w:tc>
      </w:tr>
    </w:tbl>
    <w:p w14:paraId="3D89C5E1" w14:textId="77777777" w:rsidR="00886A3C" w:rsidRPr="00230425" w:rsidRDefault="00886A3C" w:rsidP="00886A3C">
      <w:pPr>
        <w:shd w:val="clear" w:color="auto" w:fill="FFFFFF" w:themeFill="background1"/>
        <w:spacing w:after="0" w:line="240" w:lineRule="auto"/>
        <w:rPr>
          <w:rFonts w:ascii="Times New Roman" w:hAnsi="Times New Roman" w:cs="Times New Roman"/>
          <w:i/>
          <w:lang w:val="en-US"/>
        </w:rPr>
      </w:pPr>
    </w:p>
    <w:p w14:paraId="6979111E" w14:textId="77777777" w:rsidR="00886A3C" w:rsidRDefault="00886A3C" w:rsidP="00886A3C">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 xml:space="preserve">3. </w:t>
      </w:r>
      <w:r w:rsidRPr="0098016B">
        <w:rPr>
          <w:rFonts w:ascii="Times New Roman" w:hAnsi="Times New Roman" w:cs="Times New Roman"/>
          <w:i/>
          <w:lang w:val="fr-FR"/>
        </w:rPr>
        <w:t>Tendances et estimations de l</w:t>
      </w:r>
      <w:r>
        <w:rPr>
          <w:rFonts w:ascii="Times New Roman" w:hAnsi="Times New Roman" w:cs="Times New Roman"/>
          <w:i/>
          <w:lang w:val="fr-FR"/>
        </w:rPr>
        <w:t>’</w:t>
      </w:r>
      <w:r w:rsidRPr="0098016B">
        <w:rPr>
          <w:rFonts w:ascii="Times New Roman" w:hAnsi="Times New Roman" w:cs="Times New Roman"/>
          <w:i/>
          <w:lang w:val="fr-FR"/>
        </w:rPr>
        <w:t>espèce</w:t>
      </w:r>
    </w:p>
    <w:p w14:paraId="64929792" w14:textId="77777777" w:rsidR="00886A3C" w:rsidRDefault="00886A3C" w:rsidP="00886A3C">
      <w:pPr>
        <w:spacing w:after="0" w:line="240" w:lineRule="auto"/>
        <w:rPr>
          <w:rFonts w:ascii="Times New Roman" w:hAnsi="Times New Roman" w:cs="Times New Roman"/>
          <w:i/>
          <w:lang w:val="en-US"/>
        </w:rPr>
      </w:pPr>
    </w:p>
    <w:p w14:paraId="66CD968D" w14:textId="77777777" w:rsidR="00886A3C" w:rsidRPr="004B1407" w:rsidRDefault="00886A3C" w:rsidP="00886A3C">
      <w:pPr>
        <w:spacing w:after="0" w:line="240" w:lineRule="auto"/>
        <w:jc w:val="both"/>
        <w:rPr>
          <w:rFonts w:ascii="Times New Roman" w:hAnsi="Times New Roman" w:cs="Times New Roman"/>
          <w:lang w:val="fr-FR"/>
        </w:rPr>
      </w:pPr>
      <w:r w:rsidRPr="00E962B5">
        <w:rPr>
          <w:rFonts w:ascii="Times New Roman" w:hAnsi="Times New Roman" w:cs="Times New Roman"/>
          <w:lang w:val="fr-FR"/>
        </w:rPr>
        <w:t>Le Kazakhstan a fait part d</w:t>
      </w:r>
      <w:r>
        <w:rPr>
          <w:rFonts w:ascii="Times New Roman" w:hAnsi="Times New Roman" w:cs="Times New Roman"/>
          <w:lang w:val="fr-FR"/>
        </w:rPr>
        <w:t>’</w:t>
      </w:r>
      <w:r w:rsidRPr="00E962B5">
        <w:rPr>
          <w:rFonts w:ascii="Times New Roman" w:hAnsi="Times New Roman" w:cs="Times New Roman"/>
          <w:lang w:val="fr-FR"/>
        </w:rPr>
        <w:t>une tendance à court terme à l</w:t>
      </w:r>
      <w:r>
        <w:rPr>
          <w:rFonts w:ascii="Times New Roman" w:hAnsi="Times New Roman" w:cs="Times New Roman"/>
          <w:lang w:val="fr-FR"/>
        </w:rPr>
        <w:t>’</w:t>
      </w:r>
      <w:r w:rsidRPr="00E962B5">
        <w:rPr>
          <w:rFonts w:ascii="Times New Roman" w:hAnsi="Times New Roman" w:cs="Times New Roman"/>
          <w:lang w:val="fr-FR"/>
        </w:rPr>
        <w:t>augmentation, la Russie d</w:t>
      </w:r>
      <w:r>
        <w:rPr>
          <w:rFonts w:ascii="Times New Roman" w:hAnsi="Times New Roman" w:cs="Times New Roman"/>
          <w:lang w:val="fr-FR"/>
        </w:rPr>
        <w:t>’</w:t>
      </w:r>
      <w:r w:rsidRPr="00E962B5">
        <w:rPr>
          <w:rFonts w:ascii="Times New Roman" w:hAnsi="Times New Roman" w:cs="Times New Roman"/>
          <w:lang w:val="fr-FR"/>
        </w:rPr>
        <w:t>une tendance stable, la Bulgarie et l</w:t>
      </w:r>
      <w:r>
        <w:rPr>
          <w:rFonts w:ascii="Times New Roman" w:hAnsi="Times New Roman" w:cs="Times New Roman"/>
          <w:lang w:val="fr-FR"/>
        </w:rPr>
        <w:t>’</w:t>
      </w:r>
      <w:r w:rsidRPr="00E962B5">
        <w:rPr>
          <w:rFonts w:ascii="Times New Roman" w:hAnsi="Times New Roman" w:cs="Times New Roman"/>
          <w:lang w:val="fr-FR"/>
        </w:rPr>
        <w:t>Ukraine d</w:t>
      </w:r>
      <w:r>
        <w:rPr>
          <w:rFonts w:ascii="Times New Roman" w:hAnsi="Times New Roman" w:cs="Times New Roman"/>
          <w:lang w:val="fr-FR"/>
        </w:rPr>
        <w:t>’</w:t>
      </w:r>
      <w:r w:rsidRPr="00E962B5">
        <w:rPr>
          <w:rFonts w:ascii="Times New Roman" w:hAnsi="Times New Roman" w:cs="Times New Roman"/>
          <w:lang w:val="fr-FR"/>
        </w:rPr>
        <w:t>une tendance fluctuante</w:t>
      </w:r>
      <w:r>
        <w:rPr>
          <w:rFonts w:ascii="Times New Roman" w:hAnsi="Times New Roman" w:cs="Times New Roman"/>
          <w:lang w:val="fr-FR"/>
        </w:rPr>
        <w:t>,</w:t>
      </w:r>
      <w:r w:rsidRPr="00E962B5">
        <w:rPr>
          <w:rFonts w:ascii="Times New Roman" w:hAnsi="Times New Roman" w:cs="Times New Roman"/>
          <w:lang w:val="fr-FR"/>
        </w:rPr>
        <w:t xml:space="preserve"> et la Roumanie d</w:t>
      </w:r>
      <w:r>
        <w:rPr>
          <w:rFonts w:ascii="Times New Roman" w:hAnsi="Times New Roman" w:cs="Times New Roman"/>
          <w:lang w:val="fr-FR"/>
        </w:rPr>
        <w:t>’</w:t>
      </w:r>
      <w:r w:rsidRPr="00E962B5">
        <w:rPr>
          <w:rFonts w:ascii="Times New Roman" w:hAnsi="Times New Roman" w:cs="Times New Roman"/>
          <w:lang w:val="fr-FR"/>
        </w:rPr>
        <w:t>une tendance au déclin.</w:t>
      </w:r>
      <w:r w:rsidRPr="004B1407">
        <w:rPr>
          <w:rFonts w:ascii="Times New Roman" w:hAnsi="Times New Roman" w:cs="Times New Roman"/>
          <w:lang w:val="fr-FR"/>
        </w:rPr>
        <w:t xml:space="preserve"> </w:t>
      </w:r>
      <w:r w:rsidRPr="00E962B5">
        <w:rPr>
          <w:rFonts w:ascii="Times New Roman" w:hAnsi="Times New Roman" w:cs="Times New Roman"/>
          <w:lang w:val="fr-FR"/>
        </w:rPr>
        <w:t xml:space="preserve">Le Kazakhstan et la Russie ont tous deux fait </w:t>
      </w:r>
      <w:r>
        <w:rPr>
          <w:rFonts w:ascii="Times New Roman" w:hAnsi="Times New Roman" w:cs="Times New Roman"/>
          <w:lang w:val="fr-FR"/>
        </w:rPr>
        <w:t xml:space="preserve">part </w:t>
      </w:r>
      <w:r w:rsidRPr="00E962B5">
        <w:rPr>
          <w:rFonts w:ascii="Times New Roman" w:hAnsi="Times New Roman" w:cs="Times New Roman"/>
          <w:lang w:val="fr-FR"/>
        </w:rPr>
        <w:t>d</w:t>
      </w:r>
      <w:r>
        <w:rPr>
          <w:rFonts w:ascii="Times New Roman" w:hAnsi="Times New Roman" w:cs="Times New Roman"/>
          <w:lang w:val="fr-FR"/>
        </w:rPr>
        <w:t>’</w:t>
      </w:r>
      <w:r w:rsidRPr="00E962B5">
        <w:rPr>
          <w:rFonts w:ascii="Times New Roman" w:hAnsi="Times New Roman" w:cs="Times New Roman"/>
          <w:lang w:val="fr-FR"/>
        </w:rPr>
        <w:t>une tendance à long terme à l</w:t>
      </w:r>
      <w:r>
        <w:rPr>
          <w:rFonts w:ascii="Times New Roman" w:hAnsi="Times New Roman" w:cs="Times New Roman"/>
          <w:lang w:val="fr-FR"/>
        </w:rPr>
        <w:t>’</w:t>
      </w:r>
      <w:r w:rsidRPr="00E962B5">
        <w:rPr>
          <w:rFonts w:ascii="Times New Roman" w:hAnsi="Times New Roman" w:cs="Times New Roman"/>
          <w:lang w:val="fr-FR"/>
        </w:rPr>
        <w:t>augmentation, tandis que les trois autres États de l</w:t>
      </w:r>
      <w:r>
        <w:rPr>
          <w:rFonts w:ascii="Times New Roman" w:hAnsi="Times New Roman" w:cs="Times New Roman"/>
          <w:lang w:val="fr-FR"/>
        </w:rPr>
        <w:t>’</w:t>
      </w:r>
      <w:r w:rsidRPr="00E962B5">
        <w:rPr>
          <w:rFonts w:ascii="Times New Roman" w:hAnsi="Times New Roman" w:cs="Times New Roman"/>
          <w:lang w:val="fr-FR"/>
        </w:rPr>
        <w:t>aire de répartition indiquaient pour l</w:t>
      </w:r>
      <w:r>
        <w:rPr>
          <w:rFonts w:ascii="Times New Roman" w:hAnsi="Times New Roman" w:cs="Times New Roman"/>
          <w:lang w:val="fr-FR"/>
        </w:rPr>
        <w:t>’</w:t>
      </w:r>
      <w:r w:rsidRPr="00E962B5">
        <w:rPr>
          <w:rFonts w:ascii="Times New Roman" w:hAnsi="Times New Roman" w:cs="Times New Roman"/>
          <w:lang w:val="fr-FR"/>
        </w:rPr>
        <w:t>espèce une tendance à long terme au déclin.</w:t>
      </w:r>
      <w:r w:rsidRPr="004B1407">
        <w:rPr>
          <w:rFonts w:ascii="Times New Roman" w:hAnsi="Times New Roman" w:cs="Times New Roman"/>
          <w:lang w:val="fr-FR"/>
        </w:rPr>
        <w:t xml:space="preserve"> </w:t>
      </w:r>
      <w:r w:rsidRPr="00E962B5">
        <w:rPr>
          <w:rFonts w:ascii="Times New Roman" w:hAnsi="Times New Roman" w:cs="Times New Roman"/>
          <w:lang w:val="fr-FR"/>
        </w:rPr>
        <w:t>Les estimations de populations communiquées sont indiquées dans le tableau ci-dessous.</w:t>
      </w:r>
    </w:p>
    <w:p w14:paraId="7815893E" w14:textId="77777777" w:rsidR="00886A3C" w:rsidRPr="004B1407" w:rsidRDefault="00886A3C" w:rsidP="00886A3C">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1511"/>
        <w:gridCol w:w="1570"/>
        <w:gridCol w:w="1647"/>
        <w:gridCol w:w="1822"/>
        <w:gridCol w:w="795"/>
        <w:gridCol w:w="1715"/>
      </w:tblGrid>
      <w:tr w:rsidR="00886A3C" w:rsidRPr="00DE4CF4" w14:paraId="58B93029" w14:textId="77777777" w:rsidTr="0088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F108C" w14:textId="77777777" w:rsidR="00886A3C" w:rsidRPr="004B1407" w:rsidRDefault="00886A3C" w:rsidP="00886A3C">
            <w:pPr>
              <w:jc w:val="both"/>
              <w:rPr>
                <w:rFonts w:ascii="Times New Roman" w:hAnsi="Times New Roman" w:cs="Times New Roman"/>
                <w:b w:val="0"/>
                <w:i/>
                <w:lang w:val="fr-FR"/>
              </w:rPr>
            </w:pPr>
            <w:r w:rsidRPr="00E962B5">
              <w:rPr>
                <w:rFonts w:ascii="Times New Roman" w:hAnsi="Times New Roman" w:cs="Times New Roman"/>
                <w:b w:val="0"/>
                <w:i/>
                <w:lang w:val="fr-FR"/>
              </w:rPr>
              <w:t>État de l</w:t>
            </w:r>
            <w:r>
              <w:rPr>
                <w:rFonts w:ascii="Times New Roman" w:hAnsi="Times New Roman" w:cs="Times New Roman"/>
                <w:b w:val="0"/>
                <w:i/>
                <w:lang w:val="fr-FR"/>
              </w:rPr>
              <w:t>’</w:t>
            </w:r>
            <w:r w:rsidRPr="00E962B5">
              <w:rPr>
                <w:rFonts w:ascii="Times New Roman" w:hAnsi="Times New Roman" w:cs="Times New Roman"/>
                <w:b w:val="0"/>
                <w:i/>
                <w:lang w:val="fr-FR"/>
              </w:rPr>
              <w:t>aire de répartition</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AC2F9"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962B5">
              <w:rPr>
                <w:rFonts w:ascii="Times New Roman" w:hAnsi="Times New Roman" w:cs="Times New Roman"/>
                <w:b w:val="0"/>
                <w:i/>
                <w:lang w:val="fr-FR"/>
              </w:rPr>
              <w:t>Total des estimations minimales</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68487"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962B5">
              <w:rPr>
                <w:rFonts w:ascii="Times New Roman" w:hAnsi="Times New Roman" w:cs="Times New Roman"/>
                <w:b w:val="0"/>
                <w:i/>
                <w:lang w:val="fr-FR"/>
              </w:rPr>
              <w:t>Total estimations maximales</w:t>
            </w:r>
            <w:r>
              <w:rPr>
                <w:rFonts w:ascii="Times New Roman" w:hAnsi="Times New Roman" w:cs="Times New Roman"/>
                <w:b w:val="0"/>
                <w:i/>
              </w:rPr>
              <w:t xml:space="preserve"> </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7001D"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962B5">
              <w:rPr>
                <w:rFonts w:ascii="Times New Roman" w:hAnsi="Times New Roman" w:cs="Times New Roman"/>
                <w:b w:val="0"/>
                <w:i/>
                <w:lang w:val="fr-FR"/>
              </w:rPr>
              <w:t>Unités</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C46E8"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962B5">
              <w:rPr>
                <w:rFonts w:ascii="Times New Roman" w:hAnsi="Times New Roman" w:cs="Times New Roman"/>
                <w:b w:val="0"/>
                <w:i/>
                <w:lang w:val="fr-FR"/>
              </w:rPr>
              <w:t>Année</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8FB2F" w14:textId="77777777" w:rsidR="00886A3C" w:rsidRPr="004B140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Pr>
                <w:rFonts w:ascii="Times New Roman" w:hAnsi="Times New Roman" w:cs="Times New Roman"/>
                <w:b w:val="0"/>
                <w:i/>
                <w:lang w:val="fr-FR"/>
              </w:rPr>
              <w:t>V</w:t>
            </w:r>
            <w:r w:rsidRPr="00E962B5">
              <w:rPr>
                <w:rFonts w:ascii="Times New Roman" w:hAnsi="Times New Roman" w:cs="Times New Roman"/>
                <w:b w:val="0"/>
                <w:i/>
                <w:lang w:val="fr-FR"/>
              </w:rPr>
              <w:t xml:space="preserve">aleur de référence de la population </w:t>
            </w:r>
          </w:p>
        </w:tc>
      </w:tr>
      <w:tr w:rsidR="00886A3C" w14:paraId="0D09DB9D"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37978EC" w14:textId="77777777" w:rsidR="00886A3C" w:rsidRPr="007419F2" w:rsidRDefault="00886A3C" w:rsidP="00886A3C">
            <w:pPr>
              <w:rPr>
                <w:rFonts w:ascii="Times New Roman" w:hAnsi="Times New Roman" w:cs="Times New Roman"/>
                <w:b w:val="0"/>
                <w:sz w:val="20"/>
                <w:szCs w:val="20"/>
              </w:rPr>
            </w:pPr>
            <w:r w:rsidRPr="00E962B5">
              <w:rPr>
                <w:rFonts w:ascii="Times New Roman" w:hAnsi="Times New Roman" w:cs="Times New Roman"/>
                <w:b w:val="0"/>
                <w:sz w:val="20"/>
                <w:szCs w:val="20"/>
                <w:lang w:val="fr-FR"/>
              </w:rPr>
              <w:t>Bulgarie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620E261" w14:textId="77777777" w:rsidR="00886A3C" w:rsidRPr="00022F2B"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100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998B9D" w14:textId="77777777" w:rsidR="00886A3C" w:rsidRPr="00022F2B"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4</w:t>
            </w:r>
            <w:r>
              <w:rPr>
                <w:rFonts w:ascii="Times New Roman" w:hAnsi="Times New Roman" w:cs="Times New Roman"/>
                <w:color w:val="000000"/>
                <w:sz w:val="20"/>
                <w:szCs w:val="20"/>
              </w:rPr>
              <w:t> </w:t>
            </w:r>
            <w:r w:rsidRPr="00022F2B">
              <w:rPr>
                <w:rFonts w:ascii="Times New Roman" w:hAnsi="Times New Roman" w:cs="Times New Roman"/>
                <w:color w:val="000000"/>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B8DE0ED"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E962B5">
              <w:rPr>
                <w:rFonts w:ascii="Times New Roman" w:hAnsi="Times New Roman" w:cs="Times New Roman"/>
                <w:i/>
                <w:color w:val="000000"/>
                <w:sz w:val="20"/>
                <w:szCs w:val="20"/>
                <w:lang w:val="fr-FR"/>
              </w:rPr>
              <w:t>Individus</w:t>
            </w:r>
          </w:p>
          <w:p w14:paraId="7CFAA43C" w14:textId="77777777" w:rsidR="00886A3C" w:rsidRPr="00022F2B"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color w:val="000000"/>
                <w:sz w:val="20"/>
                <w:szCs w:val="20"/>
                <w:lang w:val="fr-FR"/>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67B7E38" w14:textId="77777777" w:rsidR="00886A3C" w:rsidRPr="00022F2B"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2010-2015</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5FDE4"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62B5">
              <w:rPr>
                <w:rFonts w:ascii="Times New Roman" w:hAnsi="Times New Roman" w:cs="Times New Roman"/>
                <w:sz w:val="20"/>
                <w:szCs w:val="20"/>
                <w:lang w:val="fr-FR"/>
              </w:rPr>
              <w:t>Pas d</w:t>
            </w:r>
            <w:r>
              <w:rPr>
                <w:rFonts w:ascii="Times New Roman" w:hAnsi="Times New Roman" w:cs="Times New Roman"/>
                <w:sz w:val="20"/>
                <w:szCs w:val="20"/>
                <w:lang w:val="fr-FR"/>
              </w:rPr>
              <w:t>’</w:t>
            </w:r>
            <w:r w:rsidRPr="00E962B5">
              <w:rPr>
                <w:rFonts w:ascii="Times New Roman" w:hAnsi="Times New Roman" w:cs="Times New Roman"/>
                <w:sz w:val="20"/>
                <w:szCs w:val="20"/>
                <w:lang w:val="fr-FR"/>
              </w:rPr>
              <w:t xml:space="preserve"> information</w:t>
            </w:r>
          </w:p>
        </w:tc>
      </w:tr>
      <w:tr w:rsidR="00886A3C" w14:paraId="67D02FB0"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right w:val="single" w:sz="4" w:space="0" w:color="BFBFBF" w:themeColor="background1" w:themeShade="BF"/>
            </w:tcBorders>
          </w:tcPr>
          <w:p w14:paraId="4E3AC9F6" w14:textId="77777777" w:rsidR="00886A3C" w:rsidRPr="007419F2"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62B77C" w14:textId="77777777" w:rsidR="00886A3C" w:rsidRPr="00022F2B"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7</w:t>
            </w:r>
            <w:r>
              <w:rPr>
                <w:rFonts w:ascii="Times New Roman" w:hAnsi="Times New Roman" w:cs="Times New Roman"/>
                <w:color w:val="000000"/>
                <w:sz w:val="20"/>
                <w:szCs w:val="20"/>
              </w:rPr>
              <w:t> </w:t>
            </w:r>
            <w:r w:rsidRPr="00022F2B">
              <w:rPr>
                <w:rFonts w:ascii="Times New Roman" w:hAnsi="Times New Roman" w:cs="Times New Roman"/>
                <w:color w:val="000000"/>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25F713" w14:textId="77777777" w:rsidR="00886A3C" w:rsidRPr="00022F2B"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54</w:t>
            </w:r>
            <w:r>
              <w:rPr>
                <w:rFonts w:ascii="Times New Roman" w:hAnsi="Times New Roman" w:cs="Times New Roman"/>
                <w:color w:val="000000"/>
                <w:sz w:val="20"/>
                <w:szCs w:val="20"/>
              </w:rPr>
              <w:t> </w:t>
            </w:r>
            <w:r w:rsidRPr="00022F2B">
              <w:rPr>
                <w:rFonts w:ascii="Times New Roman" w:hAnsi="Times New Roman" w:cs="Times New Roman"/>
                <w:color w:val="000000"/>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9846461"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E962B5">
              <w:rPr>
                <w:rFonts w:ascii="Times New Roman" w:hAnsi="Times New Roman" w:cs="Times New Roman"/>
                <w:i/>
                <w:color w:val="000000"/>
                <w:sz w:val="20"/>
                <w:szCs w:val="20"/>
                <w:lang w:val="fr-FR"/>
              </w:rPr>
              <w:t>Individus</w:t>
            </w:r>
          </w:p>
          <w:p w14:paraId="070B93DD" w14:textId="77777777" w:rsidR="00886A3C" w:rsidRPr="00022F2B"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color w:val="000000"/>
                <w:sz w:val="20"/>
                <w:szCs w:val="20"/>
                <w:lang w:val="fr-FR"/>
              </w:rPr>
              <w:t>(hivernage)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3448B8" w14:textId="77777777" w:rsidR="00886A3C" w:rsidRPr="00022F2B"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2010-2015</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6A6F8"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62B5">
              <w:rPr>
                <w:rFonts w:ascii="Times New Roman" w:hAnsi="Times New Roman" w:cs="Times New Roman"/>
                <w:sz w:val="20"/>
                <w:szCs w:val="20"/>
                <w:lang w:val="fr-FR"/>
              </w:rPr>
              <w:t>Pas d</w:t>
            </w:r>
            <w:r>
              <w:rPr>
                <w:rFonts w:ascii="Times New Roman" w:hAnsi="Times New Roman" w:cs="Times New Roman"/>
                <w:sz w:val="20"/>
                <w:szCs w:val="20"/>
                <w:lang w:val="fr-FR"/>
              </w:rPr>
              <w:t>’</w:t>
            </w:r>
            <w:r w:rsidRPr="00E962B5">
              <w:rPr>
                <w:rFonts w:ascii="Times New Roman" w:hAnsi="Times New Roman" w:cs="Times New Roman"/>
                <w:sz w:val="20"/>
                <w:szCs w:val="20"/>
                <w:lang w:val="fr-FR"/>
              </w:rPr>
              <w:t xml:space="preserve"> information</w:t>
            </w:r>
          </w:p>
        </w:tc>
      </w:tr>
      <w:tr w:rsidR="00886A3C" w14:paraId="4C2F380E"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8C26A99" w14:textId="77777777" w:rsidR="00886A3C" w:rsidRPr="007419F2" w:rsidRDefault="00886A3C" w:rsidP="00886A3C">
            <w:pPr>
              <w:rPr>
                <w:rFonts w:ascii="Times New Roman" w:hAnsi="Times New Roman" w:cs="Times New Roman"/>
                <w:b w:val="0"/>
                <w:bCs w:val="0"/>
                <w:sz w:val="20"/>
                <w:szCs w:val="20"/>
              </w:rPr>
            </w:pPr>
            <w:r w:rsidRPr="00E962B5">
              <w:rPr>
                <w:rFonts w:ascii="Times New Roman" w:hAnsi="Times New Roman" w:cs="Times New Roman"/>
                <w:b w:val="0"/>
                <w:sz w:val="20"/>
                <w:szCs w:val="20"/>
                <w:lang w:val="fr-FR"/>
              </w:rPr>
              <w:t>Kazakhstan</w:t>
            </w:r>
          </w:p>
          <w:p w14:paraId="15804C7F" w14:textId="77777777" w:rsidR="00886A3C" w:rsidRPr="007419F2"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3609A"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97 </w:t>
            </w:r>
            <w:r w:rsidRPr="00B64A6D">
              <w:rPr>
                <w:rFonts w:ascii="Times New Roman" w:hAnsi="Times New Roman" w:cs="Times New Roman"/>
                <w:sz w:val="20"/>
                <w:szCs w:val="20"/>
              </w:rPr>
              <w:t>800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DE42F"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100</w:t>
            </w:r>
            <w:r>
              <w:rPr>
                <w:rFonts w:ascii="Times New Roman" w:hAnsi="Times New Roman" w:cs="Times New Roman"/>
                <w:sz w:val="20"/>
                <w:szCs w:val="20"/>
              </w:rPr>
              <w:t> </w:t>
            </w:r>
            <w:r w:rsidRPr="00B64A6D">
              <w:rPr>
                <w:rFonts w:ascii="Times New Roman" w:hAnsi="Times New Roman" w:cs="Times New Roman"/>
                <w:sz w:val="20"/>
                <w:szCs w:val="20"/>
              </w:rPr>
              <w:t>380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47E32D"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Individus</w:t>
            </w:r>
            <w:r w:rsidRPr="00B64A6D">
              <w:rPr>
                <w:rFonts w:ascii="Times New Roman" w:hAnsi="Times New Roman" w:cs="Times New Roman"/>
                <w:i/>
                <w:sz w:val="20"/>
                <w:szCs w:val="20"/>
              </w:rPr>
              <w:t xml:space="preserve"> </w:t>
            </w:r>
          </w:p>
          <w:p w14:paraId="5EE2F1D0"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3A8CE"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FC46B"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62B5">
              <w:rPr>
                <w:rFonts w:ascii="Times New Roman" w:hAnsi="Times New Roman" w:cs="Times New Roman"/>
                <w:sz w:val="20"/>
                <w:szCs w:val="20"/>
                <w:lang w:val="fr-FR"/>
              </w:rPr>
              <w:t>Pas d</w:t>
            </w:r>
            <w:r>
              <w:rPr>
                <w:rFonts w:ascii="Times New Roman" w:hAnsi="Times New Roman" w:cs="Times New Roman"/>
                <w:sz w:val="20"/>
                <w:szCs w:val="20"/>
                <w:lang w:val="fr-FR"/>
              </w:rPr>
              <w:t>’</w:t>
            </w:r>
            <w:r w:rsidRPr="00E962B5">
              <w:rPr>
                <w:rFonts w:ascii="Times New Roman" w:hAnsi="Times New Roman" w:cs="Times New Roman"/>
                <w:sz w:val="20"/>
                <w:szCs w:val="20"/>
                <w:lang w:val="fr-FR"/>
              </w:rPr>
              <w:t xml:space="preserve"> information</w:t>
            </w:r>
          </w:p>
        </w:tc>
      </w:tr>
      <w:tr w:rsidR="00886A3C" w14:paraId="5B98D0A9"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A863C3D" w14:textId="77777777" w:rsidR="00886A3C" w:rsidRPr="007419F2" w:rsidRDefault="00886A3C" w:rsidP="00886A3C">
            <w:pPr>
              <w:rPr>
                <w:rFonts w:ascii="Times New Roman" w:hAnsi="Times New Roman" w:cs="Times New Roman"/>
                <w:b w:val="0"/>
                <w:sz w:val="20"/>
                <w:szCs w:val="20"/>
              </w:rPr>
            </w:pPr>
            <w:r w:rsidRPr="00E962B5">
              <w:rPr>
                <w:rFonts w:ascii="Times New Roman" w:hAnsi="Times New Roman" w:cs="Times New Roman"/>
                <w:b w:val="0"/>
                <w:sz w:val="20"/>
                <w:szCs w:val="20"/>
                <w:lang w:val="fr-FR"/>
              </w:rPr>
              <w:t>Roumanie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1D11F"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8</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04763"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17</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F727E"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Individus</w:t>
            </w:r>
          </w:p>
          <w:p w14:paraId="7917F0DC"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024C1"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2012</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ECB45"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62B5">
              <w:rPr>
                <w:rFonts w:ascii="Times New Roman" w:hAnsi="Times New Roman" w:cs="Times New Roman"/>
                <w:sz w:val="20"/>
                <w:szCs w:val="20"/>
                <w:lang w:val="fr-FR"/>
              </w:rPr>
              <w:t>s.o.</w:t>
            </w:r>
          </w:p>
        </w:tc>
      </w:tr>
      <w:tr w:rsidR="00886A3C" w14:paraId="63FB2AA3"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right w:val="single" w:sz="4" w:space="0" w:color="BFBFBF" w:themeColor="background1" w:themeShade="BF"/>
            </w:tcBorders>
          </w:tcPr>
          <w:p w14:paraId="1089BEE3" w14:textId="77777777" w:rsidR="00886A3C"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CB5A0"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9</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08694"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B7B23B"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Individus</w:t>
            </w:r>
          </w:p>
          <w:p w14:paraId="033D72CE"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lastRenderedPageBreak/>
              <w:t>(hivernage)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9F57E"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lastRenderedPageBreak/>
              <w:t>2012</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BC681"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4</w:t>
            </w:r>
            <w:r>
              <w:rPr>
                <w:rFonts w:ascii="Times New Roman" w:hAnsi="Times New Roman" w:cs="Times New Roman"/>
                <w:sz w:val="20"/>
                <w:szCs w:val="20"/>
              </w:rPr>
              <w:t> </w:t>
            </w:r>
            <w:r w:rsidRPr="00B64A6D">
              <w:rPr>
                <w:rFonts w:ascii="Times New Roman" w:hAnsi="Times New Roman" w:cs="Times New Roman"/>
                <w:sz w:val="20"/>
                <w:szCs w:val="20"/>
              </w:rPr>
              <w:t>300-21</w:t>
            </w:r>
            <w:r>
              <w:rPr>
                <w:rFonts w:ascii="Times New Roman" w:hAnsi="Times New Roman" w:cs="Times New Roman"/>
                <w:sz w:val="20"/>
                <w:szCs w:val="20"/>
              </w:rPr>
              <w:t> </w:t>
            </w:r>
            <w:r w:rsidRPr="00B64A6D">
              <w:rPr>
                <w:rFonts w:ascii="Times New Roman" w:hAnsi="Times New Roman" w:cs="Times New Roman"/>
                <w:sz w:val="20"/>
                <w:szCs w:val="20"/>
              </w:rPr>
              <w:t xml:space="preserve">500 </w:t>
            </w:r>
            <w:r w:rsidRPr="00B64A6D">
              <w:rPr>
                <w:rFonts w:ascii="Times New Roman" w:hAnsi="Times New Roman" w:cs="Times New Roman"/>
                <w:sz w:val="20"/>
                <w:szCs w:val="20"/>
              </w:rPr>
              <w:lastRenderedPageBreak/>
              <w:t>(1990-2000)</w:t>
            </w:r>
          </w:p>
        </w:tc>
      </w:tr>
      <w:tr w:rsidR="00886A3C" w14:paraId="2C8EF83A"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359F9F02" w14:textId="77777777" w:rsidR="00886A3C" w:rsidRPr="007419F2" w:rsidRDefault="00886A3C" w:rsidP="00886A3C">
            <w:pPr>
              <w:rPr>
                <w:rFonts w:ascii="Times New Roman" w:hAnsi="Times New Roman" w:cs="Times New Roman"/>
                <w:b w:val="0"/>
                <w:sz w:val="20"/>
                <w:szCs w:val="20"/>
              </w:rPr>
            </w:pPr>
            <w:r w:rsidRPr="00E962B5">
              <w:rPr>
                <w:rFonts w:ascii="Times New Roman" w:hAnsi="Times New Roman" w:cs="Times New Roman"/>
                <w:b w:val="0"/>
                <w:sz w:val="20"/>
                <w:szCs w:val="20"/>
                <w:lang w:val="fr-FR"/>
              </w:rPr>
              <w:lastRenderedPageBreak/>
              <w:t>Russie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3E9DD"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45</w:t>
            </w:r>
            <w:r>
              <w:rPr>
                <w:rFonts w:ascii="Times New Roman" w:hAnsi="Times New Roman" w:cs="Times New Roman"/>
                <w:sz w:val="20"/>
                <w:szCs w:val="20"/>
              </w:rPr>
              <w:t> </w:t>
            </w:r>
            <w:r w:rsidRPr="00B64A6D">
              <w:rPr>
                <w:rFonts w:ascii="Times New Roman" w:hAnsi="Times New Roman" w:cs="Times New Roman"/>
                <w:sz w:val="20"/>
                <w:szCs w:val="20"/>
              </w:rPr>
              <w:t>600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FB0D4"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50</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FA448"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Couples</w:t>
            </w:r>
          </w:p>
          <w:p w14:paraId="268E5452"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(reproduction)</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5926D"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10F21C3"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25</w:t>
            </w:r>
            <w:r>
              <w:rPr>
                <w:rFonts w:ascii="Times New Roman" w:hAnsi="Times New Roman" w:cs="Times New Roman"/>
                <w:sz w:val="20"/>
                <w:szCs w:val="20"/>
              </w:rPr>
              <w:t> </w:t>
            </w:r>
            <w:r w:rsidRPr="00B64A6D">
              <w:rPr>
                <w:rFonts w:ascii="Times New Roman" w:hAnsi="Times New Roman" w:cs="Times New Roman"/>
                <w:sz w:val="20"/>
                <w:szCs w:val="20"/>
              </w:rPr>
              <w:t>560 (1999)</w:t>
            </w:r>
          </w:p>
        </w:tc>
      </w:tr>
      <w:tr w:rsidR="00886A3C" w14:paraId="65277A22"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right w:val="single" w:sz="4" w:space="0" w:color="BFBFBF" w:themeColor="background1" w:themeShade="BF"/>
            </w:tcBorders>
          </w:tcPr>
          <w:p w14:paraId="03D5A05E" w14:textId="77777777" w:rsidR="00886A3C" w:rsidRPr="007419F2"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5DAB7"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98</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46A89"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130</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7CB43"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Individus</w:t>
            </w:r>
          </w:p>
          <w:p w14:paraId="7E8D735F"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FFFE5"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658BBC0"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88</w:t>
            </w:r>
            <w:r>
              <w:rPr>
                <w:rFonts w:ascii="Times New Roman" w:hAnsi="Times New Roman" w:cs="Times New Roman"/>
                <w:sz w:val="20"/>
                <w:szCs w:val="20"/>
              </w:rPr>
              <w:t> </w:t>
            </w:r>
            <w:r w:rsidRPr="00B64A6D">
              <w:rPr>
                <w:rFonts w:ascii="Times New Roman" w:hAnsi="Times New Roman" w:cs="Times New Roman"/>
                <w:sz w:val="20"/>
                <w:szCs w:val="20"/>
              </w:rPr>
              <w:t>000 (1996)</w:t>
            </w:r>
          </w:p>
        </w:tc>
      </w:tr>
      <w:tr w:rsidR="00886A3C" w14:paraId="4CA8CA95"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right w:val="single" w:sz="4" w:space="0" w:color="BFBFBF" w:themeColor="background1" w:themeShade="BF"/>
            </w:tcBorders>
          </w:tcPr>
          <w:p w14:paraId="36854BD6" w14:textId="77777777" w:rsidR="00886A3C" w:rsidRPr="007419F2"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B1048"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C7532"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5</w:t>
            </w:r>
            <w:r>
              <w:rPr>
                <w:rFonts w:ascii="Times New Roman" w:hAnsi="Times New Roman" w:cs="Times New Roman"/>
                <w:sz w:val="20"/>
                <w:szCs w:val="20"/>
              </w:rPr>
              <w:t> </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8CD3D"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Individus</w:t>
            </w:r>
          </w:p>
          <w:p w14:paraId="1C468157"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(hivernage)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CBAD3"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9F810C9" w14:textId="77777777" w:rsidR="00886A3C" w:rsidRPr="00B64A6D"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w:t>
            </w:r>
            <w:r>
              <w:rPr>
                <w:rFonts w:ascii="Times New Roman" w:hAnsi="Times New Roman" w:cs="Times New Roman"/>
                <w:sz w:val="20"/>
                <w:szCs w:val="20"/>
              </w:rPr>
              <w:t> </w:t>
            </w:r>
            <w:r w:rsidRPr="00B64A6D">
              <w:rPr>
                <w:rFonts w:ascii="Times New Roman" w:hAnsi="Times New Roman" w:cs="Times New Roman"/>
                <w:sz w:val="20"/>
                <w:szCs w:val="20"/>
              </w:rPr>
              <w:t>800 (2010)</w:t>
            </w:r>
          </w:p>
        </w:tc>
      </w:tr>
      <w:tr w:rsidR="00886A3C" w14:paraId="2961A26B"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708EA0" w14:textId="77777777" w:rsidR="00886A3C" w:rsidRPr="007419F2" w:rsidRDefault="00886A3C" w:rsidP="00886A3C">
            <w:pPr>
              <w:rPr>
                <w:rFonts w:ascii="Times New Roman" w:hAnsi="Times New Roman" w:cs="Times New Roman"/>
                <w:b w:val="0"/>
                <w:sz w:val="20"/>
                <w:szCs w:val="20"/>
              </w:rPr>
            </w:pPr>
            <w:r w:rsidRPr="00E962B5">
              <w:rPr>
                <w:rFonts w:ascii="Times New Roman" w:hAnsi="Times New Roman" w:cs="Times New Roman"/>
                <w:b w:val="0"/>
                <w:sz w:val="20"/>
                <w:szCs w:val="20"/>
                <w:lang w:val="fr-FR"/>
              </w:rPr>
              <w:t>Ukraine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C3118"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977</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43C90"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w:t>
            </w:r>
            <w:r>
              <w:rPr>
                <w:rFonts w:ascii="Times New Roman" w:hAnsi="Times New Roman" w:cs="Times New Roman"/>
                <w:sz w:val="20"/>
                <w:szCs w:val="20"/>
              </w:rPr>
              <w:t> </w:t>
            </w:r>
            <w:r w:rsidRPr="00B64A6D">
              <w:rPr>
                <w:rFonts w:ascii="Times New Roman" w:hAnsi="Times New Roman" w:cs="Times New Roman"/>
                <w:sz w:val="20"/>
                <w:szCs w:val="20"/>
              </w:rPr>
              <w:t>849</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43ECC"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Individus</w:t>
            </w:r>
          </w:p>
          <w:p w14:paraId="2F49F3D3"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962B5">
              <w:rPr>
                <w:rFonts w:ascii="Times New Roman" w:hAnsi="Times New Roman" w:cs="Times New Roman"/>
                <w:i/>
                <w:sz w:val="20"/>
                <w:szCs w:val="20"/>
                <w:lang w:val="fr-FR"/>
              </w:rPr>
              <w:t>(hivernage)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BA5B7"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2013</w:t>
            </w:r>
          </w:p>
        </w:tc>
        <w:tc>
          <w:tcPr>
            <w:tcW w:w="171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6B142F0" w14:textId="77777777" w:rsidR="00886A3C" w:rsidRPr="00B64A6D"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sz w:val="20"/>
                <w:szCs w:val="20"/>
              </w:rPr>
              <w:t>4</w:t>
            </w:r>
            <w:r>
              <w:rPr>
                <w:rFonts w:ascii="Times New Roman" w:hAnsi="Times New Roman" w:cs="Times New Roman"/>
                <w:sz w:val="20"/>
                <w:szCs w:val="20"/>
              </w:rPr>
              <w:t> </w:t>
            </w:r>
            <w:r w:rsidRPr="00B64A6D">
              <w:rPr>
                <w:rFonts w:ascii="Times New Roman" w:hAnsi="Times New Roman" w:cs="Times New Roman"/>
                <w:sz w:val="20"/>
                <w:szCs w:val="20"/>
              </w:rPr>
              <w:t>394 (2003)</w:t>
            </w:r>
          </w:p>
        </w:tc>
      </w:tr>
    </w:tbl>
    <w:p w14:paraId="21A0A350" w14:textId="77777777" w:rsidR="00886A3C" w:rsidRDefault="00886A3C" w:rsidP="00886A3C">
      <w:pPr>
        <w:spacing w:after="0" w:line="240" w:lineRule="auto"/>
        <w:jc w:val="both"/>
        <w:rPr>
          <w:rFonts w:ascii="Times New Roman" w:hAnsi="Times New Roman" w:cs="Times New Roman"/>
          <w:lang w:val="en-US"/>
        </w:rPr>
      </w:pPr>
    </w:p>
    <w:p w14:paraId="2AA5EFA2" w14:textId="77777777" w:rsidR="00886A3C" w:rsidRDefault="00886A3C" w:rsidP="00886A3C">
      <w:pPr>
        <w:spacing w:after="0" w:line="240" w:lineRule="auto"/>
        <w:jc w:val="both"/>
        <w:rPr>
          <w:rFonts w:ascii="Times New Roman" w:hAnsi="Times New Roman" w:cs="Times New Roman"/>
          <w:lang w:val="en-US"/>
        </w:rPr>
      </w:pP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716"/>
      </w:tblGrid>
      <w:tr w:rsidR="00886A3C" w14:paraId="7B3E6731" w14:textId="77777777" w:rsidTr="00886A3C">
        <w:trPr>
          <w:trHeight w:val="3047"/>
        </w:trPr>
        <w:tc>
          <w:tcPr>
            <w:tcW w:w="4476" w:type="dxa"/>
            <w:hideMark/>
          </w:tcPr>
          <w:p w14:paraId="3AE6DCD7" w14:textId="77777777" w:rsidR="00886A3C" w:rsidRDefault="00886A3C" w:rsidP="00886A3C">
            <w:pPr>
              <w:rPr>
                <w:rFonts w:ascii="Arial" w:hAnsi="Arial" w:cs="Arial"/>
                <w:sz w:val="20"/>
                <w:szCs w:val="20"/>
              </w:rPr>
            </w:pPr>
            <w:r>
              <w:rPr>
                <w:noProof/>
              </w:rPr>
              <w:drawing>
                <wp:inline distT="0" distB="0" distL="0" distR="0" wp14:anchorId="7D149DC3" wp14:editId="1AF54052">
                  <wp:extent cx="2686050" cy="21526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c>
          <w:tcPr>
            <w:tcW w:w="4716" w:type="dxa"/>
            <w:hideMark/>
          </w:tcPr>
          <w:p w14:paraId="45B2E66B" w14:textId="77777777" w:rsidR="00886A3C" w:rsidRDefault="00886A3C" w:rsidP="00886A3C">
            <w:pPr>
              <w:rPr>
                <w:rFonts w:ascii="Arial" w:hAnsi="Arial" w:cs="Arial"/>
                <w:sz w:val="20"/>
                <w:szCs w:val="20"/>
              </w:rPr>
            </w:pPr>
            <w:r>
              <w:rPr>
                <w:noProof/>
              </w:rPr>
              <w:drawing>
                <wp:inline distT="0" distB="0" distL="0" distR="0" wp14:anchorId="4DB154A4" wp14:editId="27090307">
                  <wp:extent cx="2847975" cy="216217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r>
    </w:tbl>
    <w:p w14:paraId="2409B837" w14:textId="77777777" w:rsidR="00886A3C" w:rsidRDefault="00886A3C" w:rsidP="00886A3C">
      <w:pPr>
        <w:tabs>
          <w:tab w:val="left" w:pos="851"/>
          <w:tab w:val="left" w:pos="2410"/>
          <w:tab w:val="left" w:pos="4536"/>
        </w:tabs>
        <w:spacing w:after="0" w:line="240" w:lineRule="auto"/>
        <w:jc w:val="both"/>
        <w:rPr>
          <w:rFonts w:ascii="Times New Roman" w:hAnsi="Times New Roman" w:cs="Times New Roman"/>
          <w:lang w:val="fr-FR"/>
        </w:rPr>
      </w:pPr>
      <w:r>
        <w:rPr>
          <w:rFonts w:ascii="Times New Roman" w:hAnsi="Times New Roman" w:cs="Times New Roman"/>
          <w:lang w:val="fr-FR"/>
        </w:rPr>
        <w:t>En augmentation Stable En déclin Fluctuante</w:t>
      </w:r>
      <w:r>
        <w:rPr>
          <w:rFonts w:ascii="Times New Roman" w:hAnsi="Times New Roman" w:cs="Times New Roman"/>
          <w:lang w:val="fr-FR"/>
        </w:rPr>
        <w:tab/>
      </w:r>
      <w:r>
        <w:rPr>
          <w:rFonts w:ascii="Times New Roman" w:hAnsi="Times New Roman" w:cs="Times New Roman"/>
          <w:lang w:val="fr-FR"/>
        </w:rPr>
        <w:tab/>
        <w:t>En augmentation En déclin </w:t>
      </w:r>
    </w:p>
    <w:p w14:paraId="23ECE1BC" w14:textId="77777777" w:rsidR="00886A3C" w:rsidRDefault="00886A3C" w:rsidP="00886A3C">
      <w:pPr>
        <w:tabs>
          <w:tab w:val="left" w:pos="851"/>
          <w:tab w:val="left" w:pos="2410"/>
          <w:tab w:val="left" w:pos="4536"/>
        </w:tabs>
        <w:spacing w:after="0" w:line="240" w:lineRule="auto"/>
        <w:jc w:val="both"/>
        <w:rPr>
          <w:rFonts w:ascii="Times New Roman" w:hAnsi="Times New Roman" w:cs="Times New Roman"/>
          <w:lang w:val="fr-FR"/>
        </w:rPr>
      </w:pPr>
    </w:p>
    <w:p w14:paraId="519CB546" w14:textId="77777777" w:rsidR="00886A3C" w:rsidRPr="004B1407" w:rsidRDefault="00886A3C" w:rsidP="00886A3C">
      <w:pPr>
        <w:tabs>
          <w:tab w:val="left" w:pos="851"/>
          <w:tab w:val="left" w:pos="2410"/>
          <w:tab w:val="left" w:pos="4536"/>
        </w:tabs>
        <w:spacing w:after="0" w:line="240" w:lineRule="auto"/>
        <w:jc w:val="both"/>
        <w:rPr>
          <w:rFonts w:ascii="Times New Roman" w:hAnsi="Times New Roman" w:cs="Times New Roman"/>
          <w:i/>
          <w:lang w:val="fr-FR"/>
        </w:rPr>
      </w:pPr>
      <w:r w:rsidRPr="004B1407">
        <w:rPr>
          <w:rFonts w:ascii="Times New Roman" w:hAnsi="Times New Roman" w:cs="Times New Roman"/>
          <w:i/>
          <w:lang w:val="fr-FR"/>
        </w:rPr>
        <w:t xml:space="preserve"> 4. </w:t>
      </w:r>
      <w:r w:rsidRPr="00E962B5">
        <w:rPr>
          <w:rFonts w:ascii="Times New Roman" w:hAnsi="Times New Roman" w:cs="Times New Roman"/>
          <w:i/>
          <w:lang w:val="fr-FR"/>
        </w:rPr>
        <w:t xml:space="preserve">Structures nationales de mise en œuvre </w:t>
      </w:r>
    </w:p>
    <w:p w14:paraId="03E31F51" w14:textId="77777777" w:rsidR="00886A3C" w:rsidRPr="004B1407" w:rsidRDefault="00886A3C" w:rsidP="00886A3C">
      <w:pPr>
        <w:spacing w:after="0" w:line="240" w:lineRule="auto"/>
        <w:rPr>
          <w:rFonts w:ascii="Times New Roman" w:hAnsi="Times New Roman" w:cs="Times New Roman"/>
          <w:i/>
          <w:lang w:val="fr-FR"/>
        </w:rPr>
      </w:pPr>
    </w:p>
    <w:p w14:paraId="3B351495" w14:textId="77777777" w:rsidR="00886A3C" w:rsidRPr="004B1407" w:rsidRDefault="00886A3C" w:rsidP="00886A3C">
      <w:pPr>
        <w:spacing w:after="0" w:line="240" w:lineRule="auto"/>
        <w:jc w:val="both"/>
        <w:rPr>
          <w:rFonts w:ascii="Times New Roman" w:hAnsi="Times New Roman" w:cs="Times New Roman"/>
          <w:lang w:val="fr-FR"/>
        </w:rPr>
      </w:pPr>
      <w:r w:rsidRPr="00E962B5">
        <w:rPr>
          <w:rFonts w:ascii="Times New Roman" w:hAnsi="Times New Roman" w:cs="Times New Roman"/>
          <w:lang w:val="fr-FR"/>
        </w:rPr>
        <w:t>Aucun des États de l</w:t>
      </w:r>
      <w:r>
        <w:rPr>
          <w:rFonts w:ascii="Times New Roman" w:hAnsi="Times New Roman" w:cs="Times New Roman"/>
          <w:lang w:val="fr-FR"/>
        </w:rPr>
        <w:t>’</w:t>
      </w:r>
      <w:r w:rsidRPr="00E962B5">
        <w:rPr>
          <w:rFonts w:ascii="Times New Roman" w:hAnsi="Times New Roman" w:cs="Times New Roman"/>
          <w:lang w:val="fr-FR"/>
        </w:rPr>
        <w:t>aire de répartition n</w:t>
      </w:r>
      <w:r>
        <w:rPr>
          <w:rFonts w:ascii="Times New Roman" w:hAnsi="Times New Roman" w:cs="Times New Roman"/>
          <w:lang w:val="fr-FR"/>
        </w:rPr>
        <w:t>’</w:t>
      </w:r>
      <w:r w:rsidRPr="00E962B5">
        <w:rPr>
          <w:rFonts w:ascii="Times New Roman" w:hAnsi="Times New Roman" w:cs="Times New Roman"/>
          <w:lang w:val="fr-FR"/>
        </w:rPr>
        <w:t>a indiqué avoir adopté un plan d</w:t>
      </w:r>
      <w:r>
        <w:rPr>
          <w:rFonts w:ascii="Times New Roman" w:hAnsi="Times New Roman" w:cs="Times New Roman"/>
          <w:lang w:val="fr-FR"/>
        </w:rPr>
        <w:t>’</w:t>
      </w:r>
      <w:r w:rsidRPr="00E962B5">
        <w:rPr>
          <w:rFonts w:ascii="Times New Roman" w:hAnsi="Times New Roman" w:cs="Times New Roman"/>
          <w:lang w:val="fr-FR"/>
        </w:rPr>
        <w:t>action national pour l</w:t>
      </w:r>
      <w:r>
        <w:rPr>
          <w:rFonts w:ascii="Times New Roman" w:hAnsi="Times New Roman" w:cs="Times New Roman"/>
          <w:lang w:val="fr-FR"/>
        </w:rPr>
        <w:t>’</w:t>
      </w:r>
      <w:r w:rsidRPr="00E962B5">
        <w:rPr>
          <w:rFonts w:ascii="Times New Roman" w:hAnsi="Times New Roman" w:cs="Times New Roman"/>
          <w:lang w:val="fr-FR"/>
        </w:rPr>
        <w:t>espèce.</w:t>
      </w:r>
      <w:r w:rsidRPr="004B1407">
        <w:rPr>
          <w:rFonts w:ascii="Times New Roman" w:hAnsi="Times New Roman" w:cs="Times New Roman"/>
          <w:lang w:val="fr-FR"/>
        </w:rPr>
        <w:t xml:space="preserve"> </w:t>
      </w:r>
      <w:r w:rsidRPr="00E962B5">
        <w:rPr>
          <w:rFonts w:ascii="Times New Roman" w:hAnsi="Times New Roman" w:cs="Times New Roman"/>
          <w:lang w:val="fr-FR"/>
        </w:rPr>
        <w:t>Toutefois, la Bulgarie, la Roumanie et l</w:t>
      </w:r>
      <w:r>
        <w:rPr>
          <w:rFonts w:ascii="Times New Roman" w:hAnsi="Times New Roman" w:cs="Times New Roman"/>
          <w:lang w:val="fr-FR"/>
        </w:rPr>
        <w:t>’</w:t>
      </w:r>
      <w:r w:rsidRPr="00E962B5">
        <w:rPr>
          <w:rFonts w:ascii="Times New Roman" w:hAnsi="Times New Roman" w:cs="Times New Roman"/>
          <w:lang w:val="fr-FR"/>
        </w:rPr>
        <w:t>Ukraine ont indiqué que les avant-projets de plans avaient été élaboré</w:t>
      </w:r>
      <w:r>
        <w:rPr>
          <w:rFonts w:ascii="Times New Roman" w:hAnsi="Times New Roman" w:cs="Times New Roman"/>
          <w:lang w:val="fr-FR"/>
        </w:rPr>
        <w:t xml:space="preserve">s </w:t>
      </w:r>
      <w:r w:rsidRPr="00E962B5">
        <w:rPr>
          <w:rFonts w:ascii="Times New Roman" w:hAnsi="Times New Roman" w:cs="Times New Roman"/>
          <w:lang w:val="fr-FR"/>
        </w:rPr>
        <w:t>mais pas encore officiellement adoptés.</w:t>
      </w:r>
      <w:r w:rsidRPr="004B1407">
        <w:rPr>
          <w:rFonts w:ascii="Times New Roman" w:hAnsi="Times New Roman" w:cs="Times New Roman"/>
          <w:lang w:val="fr-FR"/>
        </w:rPr>
        <w:t xml:space="preserve"> </w:t>
      </w:r>
      <w:r w:rsidRPr="00E962B5">
        <w:rPr>
          <w:rFonts w:ascii="Times New Roman" w:hAnsi="Times New Roman" w:cs="Times New Roman"/>
          <w:lang w:val="fr-FR"/>
        </w:rPr>
        <w:t>Bien qu</w:t>
      </w:r>
      <w:r>
        <w:rPr>
          <w:rFonts w:ascii="Times New Roman" w:hAnsi="Times New Roman" w:cs="Times New Roman"/>
          <w:lang w:val="fr-FR"/>
        </w:rPr>
        <w:t>’</w:t>
      </w:r>
      <w:r w:rsidRPr="00E962B5">
        <w:rPr>
          <w:rFonts w:ascii="Times New Roman" w:hAnsi="Times New Roman" w:cs="Times New Roman"/>
          <w:lang w:val="fr-FR"/>
        </w:rPr>
        <w:t>il existe manifestement un réseau actif d</w:t>
      </w:r>
      <w:r>
        <w:rPr>
          <w:rFonts w:ascii="Times New Roman" w:hAnsi="Times New Roman" w:cs="Times New Roman"/>
          <w:lang w:val="fr-FR"/>
        </w:rPr>
        <w:t>’</w:t>
      </w:r>
      <w:r w:rsidRPr="00E962B5">
        <w:rPr>
          <w:rFonts w:ascii="Times New Roman" w:hAnsi="Times New Roman" w:cs="Times New Roman"/>
          <w:lang w:val="fr-FR"/>
        </w:rPr>
        <w:t>experts dans toute l</w:t>
      </w:r>
      <w:r>
        <w:rPr>
          <w:rFonts w:ascii="Times New Roman" w:hAnsi="Times New Roman" w:cs="Times New Roman"/>
          <w:lang w:val="fr-FR"/>
        </w:rPr>
        <w:t>’</w:t>
      </w:r>
      <w:r w:rsidRPr="00E962B5">
        <w:rPr>
          <w:rFonts w:ascii="Times New Roman" w:hAnsi="Times New Roman" w:cs="Times New Roman"/>
          <w:lang w:val="fr-FR"/>
        </w:rPr>
        <w:t>aire de répartition</w:t>
      </w:r>
      <w:r>
        <w:rPr>
          <w:rFonts w:ascii="Times New Roman" w:hAnsi="Times New Roman" w:cs="Times New Roman"/>
          <w:lang w:val="fr-FR"/>
        </w:rPr>
        <w:t>, de même que</w:t>
      </w:r>
      <w:r w:rsidRPr="00E962B5">
        <w:rPr>
          <w:rFonts w:ascii="Times New Roman" w:hAnsi="Times New Roman" w:cs="Times New Roman"/>
          <w:lang w:val="fr-FR"/>
        </w:rPr>
        <w:t xml:space="preserve"> des groupes nationaux informels, aucun des États de l</w:t>
      </w:r>
      <w:r>
        <w:rPr>
          <w:rFonts w:ascii="Times New Roman" w:hAnsi="Times New Roman" w:cs="Times New Roman"/>
          <w:lang w:val="fr-FR"/>
        </w:rPr>
        <w:t>’</w:t>
      </w:r>
      <w:r w:rsidRPr="00E962B5">
        <w:rPr>
          <w:rFonts w:ascii="Times New Roman" w:hAnsi="Times New Roman" w:cs="Times New Roman"/>
          <w:lang w:val="fr-FR"/>
        </w:rPr>
        <w:t>aire de répartition n</w:t>
      </w:r>
      <w:r>
        <w:rPr>
          <w:rFonts w:ascii="Times New Roman" w:hAnsi="Times New Roman" w:cs="Times New Roman"/>
          <w:lang w:val="fr-FR"/>
        </w:rPr>
        <w:t>’</w:t>
      </w:r>
      <w:r w:rsidRPr="00E962B5">
        <w:rPr>
          <w:rFonts w:ascii="Times New Roman" w:hAnsi="Times New Roman" w:cs="Times New Roman"/>
          <w:lang w:val="fr-FR"/>
        </w:rPr>
        <w:t>a mis officiellement en place de groupes de travail nationaux.</w:t>
      </w:r>
      <w:r w:rsidRPr="004B1407">
        <w:rPr>
          <w:rFonts w:ascii="Times New Roman" w:hAnsi="Times New Roman" w:cs="Times New Roman"/>
          <w:lang w:val="fr-FR"/>
        </w:rPr>
        <w:t xml:space="preserve"> </w:t>
      </w:r>
      <w:r w:rsidRPr="00E962B5">
        <w:rPr>
          <w:rFonts w:ascii="Times New Roman" w:hAnsi="Times New Roman" w:cs="Times New Roman"/>
          <w:lang w:val="fr-FR"/>
        </w:rPr>
        <w:t>Le Kazakhstan a fait savoir, par exemple, que les questions de conservation de la Bernache à cou roux sont traité</w:t>
      </w:r>
      <w:r>
        <w:rPr>
          <w:rFonts w:ascii="Times New Roman" w:hAnsi="Times New Roman" w:cs="Times New Roman"/>
          <w:lang w:val="fr-FR"/>
        </w:rPr>
        <w:t>e</w:t>
      </w:r>
      <w:r w:rsidRPr="00E962B5">
        <w:rPr>
          <w:rFonts w:ascii="Times New Roman" w:hAnsi="Times New Roman" w:cs="Times New Roman"/>
          <w:lang w:val="fr-FR"/>
        </w:rPr>
        <w:t>s dans le cadre du groupe de travail national pour l</w:t>
      </w:r>
      <w:r>
        <w:rPr>
          <w:rFonts w:ascii="Times New Roman" w:hAnsi="Times New Roman" w:cs="Times New Roman"/>
          <w:lang w:val="fr-FR"/>
        </w:rPr>
        <w:t>’</w:t>
      </w:r>
      <w:r w:rsidRPr="00E962B5">
        <w:rPr>
          <w:rFonts w:ascii="Times New Roman" w:hAnsi="Times New Roman" w:cs="Times New Roman"/>
          <w:lang w:val="fr-FR"/>
        </w:rPr>
        <w:t>Oie naine.</w:t>
      </w:r>
    </w:p>
    <w:p w14:paraId="7E636DC5" w14:textId="77777777" w:rsidR="00886A3C" w:rsidRPr="004B1407" w:rsidRDefault="00886A3C" w:rsidP="00886A3C">
      <w:pPr>
        <w:spacing w:after="0" w:line="240" w:lineRule="auto"/>
        <w:rPr>
          <w:rFonts w:ascii="Arial" w:hAnsi="Arial" w:cs="Arial"/>
          <w:i/>
          <w:sz w:val="20"/>
          <w:szCs w:val="20"/>
          <w:lang w:val="fr-FR"/>
        </w:rPr>
      </w:pPr>
    </w:p>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461"/>
      </w:tblGrid>
      <w:tr w:rsidR="00886A3C" w14:paraId="55E469D4" w14:textId="77777777" w:rsidTr="00886A3C">
        <w:trPr>
          <w:trHeight w:val="3337"/>
        </w:trPr>
        <w:tc>
          <w:tcPr>
            <w:tcW w:w="4476" w:type="dxa"/>
            <w:hideMark/>
          </w:tcPr>
          <w:p w14:paraId="47771002" w14:textId="77777777" w:rsidR="00886A3C" w:rsidRPr="009459F3" w:rsidRDefault="00886A3C" w:rsidP="00886A3C">
            <w:pPr>
              <w:rPr>
                <w:rFonts w:ascii="Arial" w:hAnsi="Arial" w:cs="Arial"/>
                <w:sz w:val="20"/>
                <w:szCs w:val="20"/>
              </w:rPr>
            </w:pPr>
            <w:r>
              <w:rPr>
                <w:noProof/>
              </w:rPr>
              <w:drawing>
                <wp:inline distT="0" distB="0" distL="0" distR="0" wp14:anchorId="1FC5E927" wp14:editId="068E4D32">
                  <wp:extent cx="2800350" cy="211455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c>
          <w:tcPr>
            <w:tcW w:w="4202" w:type="dxa"/>
            <w:hideMark/>
          </w:tcPr>
          <w:p w14:paraId="3DADF6DE" w14:textId="77777777" w:rsidR="00886A3C" w:rsidRDefault="00886A3C" w:rsidP="00886A3C">
            <w:pPr>
              <w:rPr>
                <w:rFonts w:ascii="Arial" w:hAnsi="Arial" w:cs="Arial"/>
                <w:i/>
                <w:sz w:val="20"/>
                <w:szCs w:val="20"/>
              </w:rPr>
            </w:pPr>
            <w:r>
              <w:rPr>
                <w:noProof/>
              </w:rPr>
              <w:drawing>
                <wp:inline distT="0" distB="0" distL="0" distR="0" wp14:anchorId="1C342A58" wp14:editId="184927C5">
                  <wp:extent cx="2714625" cy="21240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r>
    </w:tbl>
    <w:p w14:paraId="36BCD949" w14:textId="77777777" w:rsidR="00886A3C" w:rsidRDefault="00886A3C" w:rsidP="00886A3C">
      <w:pPr>
        <w:spacing w:after="0" w:line="240" w:lineRule="auto"/>
        <w:rPr>
          <w:rFonts w:ascii="Arial" w:hAnsi="Arial" w:cs="Arial"/>
          <w:i/>
          <w:sz w:val="20"/>
          <w:szCs w:val="20"/>
        </w:rPr>
      </w:pPr>
    </w:p>
    <w:p w14:paraId="05E8953F" w14:textId="77777777" w:rsidR="00886A3C" w:rsidRDefault="00886A3C" w:rsidP="00886A3C">
      <w:pPr>
        <w:spacing w:after="0" w:line="240" w:lineRule="auto"/>
        <w:rPr>
          <w:rFonts w:ascii="Arial" w:hAnsi="Arial" w:cs="Arial"/>
          <w:i/>
          <w:sz w:val="20"/>
          <w:szCs w:val="20"/>
        </w:rPr>
      </w:pPr>
    </w:p>
    <w:p w14:paraId="46B24F8D" w14:textId="77777777" w:rsidR="00886A3C" w:rsidRPr="00F27868" w:rsidRDefault="00886A3C" w:rsidP="00886A3C">
      <w:pPr>
        <w:spacing w:after="0" w:line="240" w:lineRule="auto"/>
        <w:ind w:left="709" w:firstLine="709"/>
        <w:rPr>
          <w:rFonts w:ascii="Arial" w:hAnsi="Arial" w:cs="Arial"/>
          <w:sz w:val="20"/>
          <w:szCs w:val="20"/>
          <w:lang w:val="fr-FR"/>
        </w:rPr>
      </w:pPr>
      <w:r w:rsidRPr="00F27868">
        <w:rPr>
          <w:rFonts w:ascii="Arial" w:hAnsi="Arial" w:cs="Arial"/>
          <w:sz w:val="20"/>
          <w:szCs w:val="20"/>
          <w:lang w:val="fr-FR"/>
        </w:rPr>
        <w:t>Non</w:t>
      </w:r>
      <w:r>
        <w:rPr>
          <w:rFonts w:ascii="Arial" w:hAnsi="Arial" w:cs="Arial"/>
          <w:sz w:val="20"/>
          <w:szCs w:val="20"/>
          <w:lang w:val="fr-FR"/>
        </w:rPr>
        <w:t xml:space="preserve"> </w:t>
      </w:r>
      <w:r w:rsidRPr="00F27868">
        <w:rPr>
          <w:rFonts w:ascii="Arial" w:hAnsi="Arial" w:cs="Arial"/>
          <w:sz w:val="20"/>
          <w:szCs w:val="20"/>
          <w:lang w:val="fr-FR"/>
        </w:rPr>
        <w:t>En cours</w:t>
      </w:r>
      <w:r w:rsidRPr="00F27868">
        <w:rPr>
          <w:rFonts w:ascii="Arial" w:hAnsi="Arial" w:cs="Arial"/>
          <w:sz w:val="20"/>
          <w:szCs w:val="20"/>
          <w:lang w:val="fr-FR"/>
        </w:rPr>
        <w:tab/>
      </w:r>
      <w:r w:rsidRPr="00F27868">
        <w:rPr>
          <w:rFonts w:ascii="Arial" w:hAnsi="Arial" w:cs="Arial"/>
          <w:sz w:val="20"/>
          <w:szCs w:val="20"/>
          <w:lang w:val="fr-FR"/>
        </w:rPr>
        <w:tab/>
      </w:r>
      <w:r w:rsidRPr="00F27868">
        <w:rPr>
          <w:rFonts w:ascii="Arial" w:hAnsi="Arial" w:cs="Arial"/>
          <w:sz w:val="20"/>
          <w:szCs w:val="20"/>
          <w:lang w:val="fr-FR"/>
        </w:rPr>
        <w:tab/>
      </w:r>
      <w:r w:rsidRPr="00F27868">
        <w:rPr>
          <w:rFonts w:ascii="Arial" w:hAnsi="Arial" w:cs="Arial"/>
          <w:sz w:val="20"/>
          <w:szCs w:val="20"/>
          <w:lang w:val="fr-FR"/>
        </w:rPr>
        <w:tab/>
      </w:r>
      <w:r w:rsidRPr="00F27868">
        <w:rPr>
          <w:rFonts w:ascii="Arial" w:hAnsi="Arial" w:cs="Arial"/>
          <w:sz w:val="20"/>
          <w:szCs w:val="20"/>
          <w:lang w:val="fr-FR"/>
        </w:rPr>
        <w:tab/>
        <w:t>Non</w:t>
      </w:r>
      <w:r>
        <w:rPr>
          <w:rFonts w:ascii="Arial" w:hAnsi="Arial" w:cs="Arial"/>
          <w:sz w:val="20"/>
          <w:szCs w:val="20"/>
          <w:lang w:val="fr-FR"/>
        </w:rPr>
        <w:t xml:space="preserve"> </w:t>
      </w:r>
      <w:r w:rsidRPr="00F27868">
        <w:rPr>
          <w:rFonts w:ascii="Arial" w:hAnsi="Arial" w:cs="Arial"/>
          <w:sz w:val="20"/>
          <w:szCs w:val="20"/>
          <w:lang w:val="fr-FR"/>
        </w:rPr>
        <w:t xml:space="preserve">Groupe informel </w:t>
      </w:r>
    </w:p>
    <w:p w14:paraId="41A2C0DE" w14:textId="77777777" w:rsidR="00886A3C" w:rsidRPr="004B1407" w:rsidRDefault="00886A3C" w:rsidP="00886A3C">
      <w:pPr>
        <w:spacing w:after="0" w:line="240" w:lineRule="auto"/>
        <w:rPr>
          <w:rFonts w:ascii="Arial" w:hAnsi="Arial" w:cs="Arial"/>
          <w:i/>
          <w:sz w:val="20"/>
          <w:szCs w:val="20"/>
          <w:lang w:val="fr-FR"/>
        </w:rPr>
      </w:pPr>
    </w:p>
    <w:p w14:paraId="1BCDED07" w14:textId="77777777" w:rsidR="00886A3C" w:rsidRPr="004B1407" w:rsidRDefault="00886A3C" w:rsidP="00886A3C">
      <w:pPr>
        <w:spacing w:after="0" w:line="240" w:lineRule="auto"/>
        <w:rPr>
          <w:rFonts w:ascii="Arial" w:hAnsi="Arial" w:cs="Arial"/>
          <w:i/>
          <w:sz w:val="20"/>
          <w:szCs w:val="20"/>
          <w:lang w:val="fr-FR"/>
        </w:rPr>
      </w:pPr>
    </w:p>
    <w:p w14:paraId="460AD9FE" w14:textId="77777777" w:rsidR="00886A3C" w:rsidRPr="004B1407" w:rsidRDefault="00886A3C" w:rsidP="00886A3C">
      <w:pPr>
        <w:spacing w:after="0" w:line="240" w:lineRule="auto"/>
        <w:rPr>
          <w:rFonts w:ascii="Arial" w:hAnsi="Arial" w:cs="Arial"/>
          <w:i/>
          <w:sz w:val="20"/>
          <w:szCs w:val="20"/>
          <w:lang w:val="fr-FR"/>
        </w:rPr>
      </w:pPr>
    </w:p>
    <w:p w14:paraId="2959C4CF" w14:textId="77777777" w:rsidR="00886A3C" w:rsidRPr="004B1407" w:rsidRDefault="00886A3C" w:rsidP="00886A3C">
      <w:pPr>
        <w:spacing w:after="0" w:line="240" w:lineRule="auto"/>
        <w:rPr>
          <w:rFonts w:ascii="Arial" w:hAnsi="Arial" w:cs="Arial"/>
          <w:i/>
          <w:sz w:val="20"/>
          <w:szCs w:val="20"/>
          <w:lang w:val="fr-FR"/>
        </w:rPr>
      </w:pPr>
    </w:p>
    <w:p w14:paraId="765B4B82"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lastRenderedPageBreak/>
        <w:t xml:space="preserve">5. </w:t>
      </w:r>
      <w:r w:rsidRPr="00E962B5">
        <w:rPr>
          <w:rFonts w:ascii="Times New Roman" w:hAnsi="Times New Roman" w:cs="Times New Roman"/>
          <w:i/>
          <w:lang w:val="fr-FR"/>
        </w:rPr>
        <w:t>Mise</w:t>
      </w:r>
      <w:r>
        <w:rPr>
          <w:rFonts w:ascii="Times New Roman" w:hAnsi="Times New Roman" w:cs="Times New Roman"/>
          <w:i/>
          <w:lang w:val="fr-FR"/>
        </w:rPr>
        <w:t xml:space="preserve"> </w:t>
      </w:r>
      <w:r w:rsidRPr="00E962B5">
        <w:rPr>
          <w:rFonts w:ascii="Times New Roman" w:hAnsi="Times New Roman" w:cs="Times New Roman"/>
          <w:i/>
          <w:lang w:val="fr-FR"/>
        </w:rPr>
        <w:t xml:space="preserve">en œuvre des activités du </w:t>
      </w:r>
      <w:r>
        <w:rPr>
          <w:rFonts w:ascii="Times New Roman" w:hAnsi="Times New Roman" w:cs="Times New Roman"/>
          <w:i/>
          <w:lang w:val="fr-FR"/>
        </w:rPr>
        <w:t>plan</w:t>
      </w:r>
      <w:r w:rsidRPr="00E962B5">
        <w:rPr>
          <w:rFonts w:ascii="Times New Roman" w:hAnsi="Times New Roman" w:cs="Times New Roman"/>
          <w:i/>
          <w:lang w:val="fr-FR"/>
        </w:rPr>
        <w:t xml:space="preserve"> d</w:t>
      </w:r>
      <w:r>
        <w:rPr>
          <w:rFonts w:ascii="Times New Roman" w:hAnsi="Times New Roman" w:cs="Times New Roman"/>
          <w:i/>
          <w:lang w:val="fr-FR"/>
        </w:rPr>
        <w:t>’</w:t>
      </w:r>
      <w:r w:rsidRPr="00E962B5">
        <w:rPr>
          <w:rFonts w:ascii="Times New Roman" w:hAnsi="Times New Roman" w:cs="Times New Roman"/>
          <w:i/>
          <w:lang w:val="fr-FR"/>
        </w:rPr>
        <w:t>action</w:t>
      </w:r>
    </w:p>
    <w:p w14:paraId="276CC094" w14:textId="77777777" w:rsidR="00886A3C" w:rsidRPr="004B1407" w:rsidRDefault="00886A3C" w:rsidP="00886A3C">
      <w:pPr>
        <w:spacing w:after="0" w:line="240" w:lineRule="auto"/>
        <w:rPr>
          <w:rFonts w:ascii="Times New Roman" w:hAnsi="Times New Roman" w:cs="Times New Roman"/>
          <w:i/>
          <w:lang w:val="fr-FR"/>
        </w:rPr>
      </w:pPr>
    </w:p>
    <w:p w14:paraId="1224AC09" w14:textId="77777777" w:rsidR="00886A3C" w:rsidRPr="004B1407" w:rsidRDefault="00886A3C" w:rsidP="00886A3C">
      <w:pPr>
        <w:spacing w:after="0" w:line="240" w:lineRule="auto"/>
        <w:rPr>
          <w:rFonts w:ascii="Times New Roman" w:hAnsi="Times New Roman" w:cs="Times New Roman"/>
          <w:i/>
          <w:lang w:val="fr-FR"/>
        </w:rPr>
      </w:pPr>
      <w:r w:rsidRPr="00D4462A">
        <w:rPr>
          <w:rFonts w:ascii="Times New Roman" w:hAnsi="Times New Roman" w:cs="Times New Roman"/>
          <w:i/>
          <w:lang w:val="fr-FR"/>
        </w:rPr>
        <w:t>5.1. Résultat 1 – Suffisamment de possibilités d</w:t>
      </w:r>
      <w:r>
        <w:rPr>
          <w:rFonts w:ascii="Times New Roman" w:hAnsi="Times New Roman" w:cs="Times New Roman"/>
          <w:i/>
          <w:lang w:val="fr-FR"/>
        </w:rPr>
        <w:t>’</w:t>
      </w:r>
      <w:r w:rsidRPr="00D4462A">
        <w:rPr>
          <w:rFonts w:ascii="Times New Roman" w:hAnsi="Times New Roman" w:cs="Times New Roman"/>
          <w:i/>
          <w:lang w:val="fr-FR"/>
        </w:rPr>
        <w:t>alimentation disponibles dans les aires de halte et d</w:t>
      </w:r>
      <w:r>
        <w:rPr>
          <w:rFonts w:ascii="Times New Roman" w:hAnsi="Times New Roman" w:cs="Times New Roman"/>
          <w:i/>
          <w:lang w:val="fr-FR"/>
        </w:rPr>
        <w:t>’</w:t>
      </w:r>
      <w:r w:rsidRPr="00D4462A">
        <w:rPr>
          <w:rFonts w:ascii="Times New Roman" w:hAnsi="Times New Roman" w:cs="Times New Roman"/>
          <w:i/>
          <w:lang w:val="fr-FR"/>
        </w:rPr>
        <w:t>hivernage</w:t>
      </w:r>
    </w:p>
    <w:p w14:paraId="23E88693"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136"/>
        <w:gridCol w:w="1367"/>
        <w:gridCol w:w="1557"/>
      </w:tblGrid>
      <w:tr w:rsidR="00886A3C" w:rsidRPr="00DE4CF4" w14:paraId="1F586602"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7F7CD0" w14:textId="77777777" w:rsidR="00886A3C" w:rsidRDefault="00886A3C" w:rsidP="00886A3C">
            <w:pPr>
              <w:jc w:val="both"/>
              <w:rPr>
                <w:rFonts w:ascii="Times New Roman" w:hAnsi="Times New Roman" w:cs="Times New Roman"/>
                <w:i/>
              </w:rPr>
            </w:pPr>
            <w:r w:rsidRPr="00D4462A">
              <w:rPr>
                <w:rFonts w:ascii="Times New Roman" w:hAnsi="Times New Roman" w:cs="Times New Roman"/>
                <w:i/>
                <w:lang w:val="fr-FR"/>
              </w:rPr>
              <w:t>Activité</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E3EF02" w14:textId="77777777" w:rsidR="00886A3C" w:rsidRDefault="00886A3C" w:rsidP="00886A3C">
            <w:pPr>
              <w:jc w:val="both"/>
              <w:rPr>
                <w:rFonts w:ascii="Times New Roman" w:hAnsi="Times New Roman" w:cs="Times New Roman"/>
                <w:i/>
              </w:rPr>
            </w:pPr>
            <w:r w:rsidRPr="00D4462A">
              <w:rPr>
                <w:rFonts w:ascii="Times New Roman" w:hAnsi="Times New Roman" w:cs="Times New Roman"/>
                <w:i/>
                <w:lang w:val="fr-FR"/>
              </w:rPr>
              <w:t>Priorité</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550972" w14:textId="77777777" w:rsidR="00886A3C" w:rsidRPr="004B1407" w:rsidRDefault="00886A3C" w:rsidP="00886A3C">
            <w:pPr>
              <w:jc w:val="both"/>
              <w:rPr>
                <w:rFonts w:ascii="Times New Roman" w:hAnsi="Times New Roman" w:cs="Times New Roman"/>
                <w:i/>
                <w:lang w:val="fr-FR"/>
              </w:rPr>
            </w:pPr>
            <w:r w:rsidRPr="00D4462A">
              <w:rPr>
                <w:rFonts w:ascii="Times New Roman" w:hAnsi="Times New Roman" w:cs="Times New Roman"/>
                <w:i/>
                <w:lang w:val="fr-FR"/>
              </w:rPr>
              <w:t xml:space="preserve">Taux de mise en œuvre </w:t>
            </w:r>
          </w:p>
        </w:tc>
      </w:tr>
      <w:tr w:rsidR="00886A3C" w:rsidRPr="00BA6B6C" w14:paraId="29780BFB" w14:textId="77777777" w:rsidTr="00886A3C">
        <w:trPr>
          <w:trHeight w:val="495"/>
        </w:trPr>
        <w:tc>
          <w:tcPr>
            <w:tcW w:w="6369" w:type="dxa"/>
            <w:tcBorders>
              <w:top w:val="single" w:sz="4" w:space="0" w:color="auto"/>
              <w:left w:val="single" w:sz="4" w:space="0" w:color="auto"/>
              <w:bottom w:val="single" w:sz="4" w:space="0" w:color="auto"/>
              <w:right w:val="single" w:sz="4" w:space="0" w:color="auto"/>
            </w:tcBorders>
          </w:tcPr>
          <w:p w14:paraId="1D4E1D7D"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lang w:val="fr-FR"/>
              </w:rPr>
              <w:t>1.1. Des mesures ont été prises pour modéliser les exigences en matière d</w:t>
            </w:r>
            <w:r>
              <w:rPr>
                <w:rFonts w:ascii="Times New Roman" w:hAnsi="Times New Roman" w:cs="Times New Roman"/>
                <w:lang w:val="fr-FR"/>
              </w:rPr>
              <w:t>’</w:t>
            </w:r>
            <w:r w:rsidRPr="00D4462A">
              <w:rPr>
                <w:rFonts w:ascii="Times New Roman" w:hAnsi="Times New Roman" w:cs="Times New Roman"/>
                <w:lang w:val="fr-FR"/>
              </w:rPr>
              <w:t>habitat pour l</w:t>
            </w:r>
            <w:r>
              <w:rPr>
                <w:rFonts w:ascii="Times New Roman" w:hAnsi="Times New Roman" w:cs="Times New Roman"/>
                <w:lang w:val="fr-FR"/>
              </w:rPr>
              <w:t>’</w:t>
            </w:r>
            <w:r w:rsidRPr="00D4462A">
              <w:rPr>
                <w:rFonts w:ascii="Times New Roman" w:hAnsi="Times New Roman" w:cs="Times New Roman"/>
                <w:lang w:val="fr-FR"/>
              </w:rPr>
              <w:t>alimentation, basées sur le choix de différentes cultures et habitats, l</w:t>
            </w:r>
            <w:r>
              <w:rPr>
                <w:rFonts w:ascii="Times New Roman" w:hAnsi="Times New Roman" w:cs="Times New Roman"/>
                <w:lang w:val="fr-FR"/>
              </w:rPr>
              <w:t>’</w:t>
            </w:r>
            <w:r w:rsidRPr="00D4462A">
              <w:rPr>
                <w:rFonts w:ascii="Times New Roman" w:hAnsi="Times New Roman" w:cs="Times New Roman"/>
                <w:lang w:val="fr-FR"/>
              </w:rPr>
              <w:t>intensité de l</w:t>
            </w:r>
            <w:r>
              <w:rPr>
                <w:rFonts w:ascii="Times New Roman" w:hAnsi="Times New Roman" w:cs="Times New Roman"/>
                <w:lang w:val="fr-FR"/>
              </w:rPr>
              <w:t>’</w:t>
            </w:r>
            <w:r w:rsidRPr="00D4462A">
              <w:rPr>
                <w:rFonts w:ascii="Times New Roman" w:hAnsi="Times New Roman" w:cs="Times New Roman"/>
                <w:lang w:val="fr-FR"/>
              </w:rPr>
              <w:t>utilisation et de la localisation des aires d</w:t>
            </w:r>
            <w:r>
              <w:rPr>
                <w:rFonts w:ascii="Times New Roman" w:hAnsi="Times New Roman" w:cs="Times New Roman"/>
                <w:lang w:val="fr-FR"/>
              </w:rPr>
              <w:t>’</w:t>
            </w:r>
            <w:r w:rsidRPr="00D4462A">
              <w:rPr>
                <w:rFonts w:ascii="Times New Roman" w:hAnsi="Times New Roman" w:cs="Times New Roman"/>
                <w:lang w:val="fr-FR"/>
              </w:rPr>
              <w:t>alimentation en relation avec les lieux de repos.</w:t>
            </w:r>
          </w:p>
        </w:tc>
        <w:tc>
          <w:tcPr>
            <w:tcW w:w="1384" w:type="dxa"/>
            <w:tcBorders>
              <w:top w:val="single" w:sz="4" w:space="0" w:color="auto"/>
              <w:left w:val="single" w:sz="4" w:space="0" w:color="auto"/>
              <w:bottom w:val="single" w:sz="4" w:space="0" w:color="auto"/>
              <w:right w:val="single" w:sz="4" w:space="0" w:color="auto"/>
            </w:tcBorders>
          </w:tcPr>
          <w:p w14:paraId="58CE182E" w14:textId="77777777" w:rsidR="00886A3C" w:rsidRDefault="00886A3C" w:rsidP="00886A3C">
            <w:pPr>
              <w:jc w:val="center"/>
              <w:rPr>
                <w:rFonts w:ascii="Times New Roman" w:hAnsi="Times New Roman" w:cs="Times New Roman"/>
              </w:rPr>
            </w:pPr>
            <w:r>
              <w:rPr>
                <w:rFonts w:ascii="Times New Roman" w:hAnsi="Times New Roman" w:cs="Times New Roman"/>
                <w:lang w:val="fr-FR"/>
              </w:rPr>
              <w:t>É</w:t>
            </w:r>
            <w:r w:rsidRPr="00D4462A">
              <w:rPr>
                <w:rFonts w:ascii="Times New Roman" w:hAnsi="Times New Roman" w:cs="Times New Roman"/>
                <w:lang w:val="fr-FR"/>
              </w:rPr>
              <w:t>levée</w:t>
            </w:r>
          </w:p>
        </w:tc>
        <w:tc>
          <w:tcPr>
            <w:tcW w:w="1597" w:type="dxa"/>
            <w:tcBorders>
              <w:top w:val="single" w:sz="4" w:space="0" w:color="auto"/>
              <w:left w:val="single" w:sz="4" w:space="0" w:color="auto"/>
              <w:bottom w:val="single" w:sz="4" w:space="0" w:color="auto"/>
              <w:right w:val="single" w:sz="4" w:space="0" w:color="auto"/>
            </w:tcBorders>
          </w:tcPr>
          <w:p w14:paraId="75827965" w14:textId="77777777" w:rsidR="00886A3C" w:rsidRDefault="00886A3C" w:rsidP="00886A3C">
            <w:pPr>
              <w:jc w:val="center"/>
              <w:rPr>
                <w:rFonts w:ascii="Times New Roman" w:hAnsi="Times New Roman" w:cs="Times New Roman"/>
              </w:rPr>
            </w:pPr>
            <w:r>
              <w:rPr>
                <w:rFonts w:ascii="Times New Roman" w:hAnsi="Times New Roman" w:cs="Times New Roman"/>
              </w:rPr>
              <w:t>60 %</w:t>
            </w:r>
          </w:p>
        </w:tc>
      </w:tr>
      <w:tr w:rsidR="00886A3C" w:rsidRPr="00BA6B6C" w14:paraId="3AC585AB"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7D70726C"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lang w:val="fr-FR"/>
              </w:rPr>
              <w:t>1.2. Des mesures ont été prises pour déterminer la nature et l</w:t>
            </w:r>
            <w:r>
              <w:rPr>
                <w:rFonts w:ascii="Times New Roman" w:hAnsi="Times New Roman" w:cs="Times New Roman"/>
                <w:lang w:val="fr-FR"/>
              </w:rPr>
              <w:t>’</w:t>
            </w:r>
            <w:r w:rsidRPr="00D4462A">
              <w:rPr>
                <w:rFonts w:ascii="Times New Roman" w:hAnsi="Times New Roman" w:cs="Times New Roman"/>
                <w:lang w:val="fr-FR"/>
              </w:rPr>
              <w:t>ampleur du conflit potentiel avec l</w:t>
            </w:r>
            <w:r>
              <w:rPr>
                <w:rFonts w:ascii="Times New Roman" w:hAnsi="Times New Roman" w:cs="Times New Roman"/>
                <w:lang w:val="fr-FR"/>
              </w:rPr>
              <w:t>’</w:t>
            </w:r>
            <w:r w:rsidRPr="00D4462A">
              <w:rPr>
                <w:rFonts w:ascii="Times New Roman" w:hAnsi="Times New Roman" w:cs="Times New Roman"/>
                <w:lang w:val="fr-FR"/>
              </w:rPr>
              <w:t>agriculture, en évaluant les dommages aux cultures et les changements agricoles prévus à court et à moyen termes.</w:t>
            </w:r>
          </w:p>
          <w:p w14:paraId="5DE29C0F" w14:textId="77777777" w:rsidR="00886A3C" w:rsidRPr="004B1407" w:rsidRDefault="00886A3C" w:rsidP="00886A3C">
            <w:pPr>
              <w:rPr>
                <w:rFonts w:ascii="Times New Roman" w:hAnsi="Times New Roman" w:cs="Times New Roman"/>
                <w:i/>
                <w:lang w:val="fr-FR"/>
              </w:rPr>
            </w:pPr>
            <w:r w:rsidRPr="00D4462A">
              <w:rPr>
                <w:rFonts w:ascii="Times New Roman" w:hAnsi="Times New Roman" w:cs="Times New Roman"/>
                <w:i/>
                <w:lang w:val="fr-FR"/>
              </w:rPr>
              <w:t>(indiquée comme n</w:t>
            </w:r>
            <w:r>
              <w:rPr>
                <w:rFonts w:ascii="Times New Roman" w:hAnsi="Times New Roman" w:cs="Times New Roman"/>
                <w:i/>
                <w:lang w:val="fr-FR"/>
              </w:rPr>
              <w:t>’</w:t>
            </w:r>
            <w:r w:rsidRPr="00D4462A">
              <w:rPr>
                <w:rFonts w:ascii="Times New Roman" w:hAnsi="Times New Roman" w:cs="Times New Roman"/>
                <w:i/>
                <w:lang w:val="fr-FR"/>
              </w:rPr>
              <w:t>étant pas applicable par le Kazakhstan et la Russie)</w:t>
            </w:r>
          </w:p>
        </w:tc>
        <w:tc>
          <w:tcPr>
            <w:tcW w:w="1384" w:type="dxa"/>
            <w:tcBorders>
              <w:top w:val="single" w:sz="4" w:space="0" w:color="auto"/>
              <w:left w:val="single" w:sz="4" w:space="0" w:color="auto"/>
              <w:bottom w:val="single" w:sz="4" w:space="0" w:color="auto"/>
              <w:right w:val="single" w:sz="4" w:space="0" w:color="auto"/>
            </w:tcBorders>
          </w:tcPr>
          <w:p w14:paraId="5989CAFB" w14:textId="77777777" w:rsidR="00886A3C" w:rsidRDefault="00886A3C" w:rsidP="00886A3C">
            <w:pPr>
              <w:jc w:val="center"/>
              <w:rPr>
                <w:rFonts w:ascii="Times New Roman" w:hAnsi="Times New Roman" w:cs="Times New Roman"/>
              </w:rPr>
            </w:pPr>
            <w:r w:rsidRPr="00D4462A">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163CEFBB"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BA6B6C" w14:paraId="7DC688A1"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46A5B575"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lang w:val="fr-FR"/>
              </w:rPr>
              <w:t xml:space="preserve">1.3. Un programme agro-environnemental a été mis en place, encourageant une agriculture tenant compte de la </w:t>
            </w:r>
            <w:r w:rsidRPr="00E962B5">
              <w:rPr>
                <w:rFonts w:ascii="Times New Roman" w:hAnsi="Times New Roman" w:cs="Times New Roman"/>
                <w:lang w:val="fr-FR"/>
              </w:rPr>
              <w:t>Bernache à cou roux</w:t>
            </w:r>
            <w:r w:rsidRPr="00D4462A">
              <w:rPr>
                <w:rFonts w:ascii="Times New Roman" w:hAnsi="Times New Roman" w:cs="Times New Roman"/>
                <w:lang w:val="fr-FR"/>
              </w:rPr>
              <w:t xml:space="preserve"> par le biais de mesures </w:t>
            </w:r>
            <w:r>
              <w:rPr>
                <w:rFonts w:ascii="Times New Roman" w:hAnsi="Times New Roman" w:cs="Times New Roman"/>
                <w:lang w:val="fr-FR"/>
              </w:rPr>
              <w:t>incitant à l’adoption</w:t>
            </w:r>
            <w:r w:rsidRPr="00D4462A">
              <w:rPr>
                <w:rFonts w:ascii="Times New Roman" w:hAnsi="Times New Roman" w:cs="Times New Roman"/>
                <w:lang w:val="fr-FR"/>
              </w:rPr>
              <w:t xml:space="preserve"> de pratiques appropriées.</w:t>
            </w:r>
          </w:p>
          <w:p w14:paraId="5E2F1627"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i/>
                <w:lang w:val="fr-FR"/>
              </w:rPr>
              <w:t>(indiquée comme n</w:t>
            </w:r>
            <w:r>
              <w:rPr>
                <w:rFonts w:ascii="Times New Roman" w:hAnsi="Times New Roman" w:cs="Times New Roman"/>
                <w:i/>
                <w:lang w:val="fr-FR"/>
              </w:rPr>
              <w:t>’</w:t>
            </w:r>
            <w:r w:rsidRPr="00D4462A">
              <w:rPr>
                <w:rFonts w:ascii="Times New Roman" w:hAnsi="Times New Roman" w:cs="Times New Roman"/>
                <w:i/>
                <w:lang w:val="fr-FR"/>
              </w:rPr>
              <w:t>étant pas applicable par le Kazakhstan et la Russie)</w:t>
            </w:r>
          </w:p>
        </w:tc>
        <w:tc>
          <w:tcPr>
            <w:tcW w:w="1384" w:type="dxa"/>
            <w:tcBorders>
              <w:top w:val="single" w:sz="4" w:space="0" w:color="auto"/>
              <w:left w:val="single" w:sz="4" w:space="0" w:color="auto"/>
              <w:bottom w:val="single" w:sz="4" w:space="0" w:color="auto"/>
              <w:right w:val="single" w:sz="4" w:space="0" w:color="auto"/>
            </w:tcBorders>
          </w:tcPr>
          <w:p w14:paraId="4F71CF67" w14:textId="77777777" w:rsidR="00886A3C" w:rsidRDefault="00886A3C" w:rsidP="00886A3C">
            <w:pPr>
              <w:jc w:val="center"/>
              <w:rPr>
                <w:rFonts w:ascii="Times New Roman" w:hAnsi="Times New Roman" w:cs="Times New Roman"/>
              </w:rPr>
            </w:pPr>
            <w:r w:rsidRPr="00D4462A">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5C2E7836"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BA6B6C" w14:paraId="2488928E"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44748099"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lang w:val="fr-FR"/>
              </w:rPr>
              <w:t>1.4. Des mesures ont été prises pour organiser des réunion</w:t>
            </w:r>
            <w:r>
              <w:rPr>
                <w:rFonts w:ascii="Times New Roman" w:hAnsi="Times New Roman" w:cs="Times New Roman"/>
                <w:lang w:val="fr-FR"/>
              </w:rPr>
              <w:t>s</w:t>
            </w:r>
            <w:r w:rsidRPr="00D4462A">
              <w:rPr>
                <w:rFonts w:ascii="Times New Roman" w:hAnsi="Times New Roman" w:cs="Times New Roman"/>
                <w:lang w:val="fr-FR"/>
              </w:rPr>
              <w:t xml:space="preserve"> de sensibilisation et des ateliers de formation destinés à assurer que les agriculteurs appliquent des pratiques agricoles appropriées pour les </w:t>
            </w:r>
            <w:r>
              <w:rPr>
                <w:rFonts w:ascii="Times New Roman" w:hAnsi="Times New Roman" w:cs="Times New Roman"/>
                <w:lang w:val="fr-FR"/>
              </w:rPr>
              <w:t>b</w:t>
            </w:r>
            <w:r w:rsidRPr="00E962B5">
              <w:rPr>
                <w:rFonts w:ascii="Times New Roman" w:hAnsi="Times New Roman" w:cs="Times New Roman"/>
                <w:lang w:val="fr-FR"/>
              </w:rPr>
              <w:t>ernache</w:t>
            </w:r>
            <w:r>
              <w:rPr>
                <w:rFonts w:ascii="Times New Roman" w:hAnsi="Times New Roman" w:cs="Times New Roman"/>
                <w:lang w:val="fr-FR"/>
              </w:rPr>
              <w:t>s</w:t>
            </w:r>
            <w:r w:rsidRPr="00E962B5">
              <w:rPr>
                <w:rFonts w:ascii="Times New Roman" w:hAnsi="Times New Roman" w:cs="Times New Roman"/>
                <w:lang w:val="fr-FR"/>
              </w:rPr>
              <w:t xml:space="preserve"> à cou roux</w:t>
            </w:r>
            <w:r w:rsidRPr="00D4462A">
              <w:rPr>
                <w:rFonts w:ascii="Times New Roman" w:hAnsi="Times New Roman" w:cs="Times New Roman"/>
                <w:lang w:val="fr-FR"/>
              </w:rPr>
              <w:t>, ainsi que pour améliorer l</w:t>
            </w:r>
            <w:r>
              <w:rPr>
                <w:rFonts w:ascii="Times New Roman" w:hAnsi="Times New Roman" w:cs="Times New Roman"/>
                <w:lang w:val="fr-FR"/>
              </w:rPr>
              <w:t>’</w:t>
            </w:r>
            <w:r w:rsidRPr="00D4462A">
              <w:rPr>
                <w:rFonts w:ascii="Times New Roman" w:hAnsi="Times New Roman" w:cs="Times New Roman"/>
                <w:lang w:val="fr-FR"/>
              </w:rPr>
              <w:t>accès aux subventions.</w:t>
            </w:r>
          </w:p>
          <w:p w14:paraId="44764E04"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i/>
                <w:lang w:val="fr-FR"/>
              </w:rPr>
              <w:t>(indiquée comme n</w:t>
            </w:r>
            <w:r>
              <w:rPr>
                <w:rFonts w:ascii="Times New Roman" w:hAnsi="Times New Roman" w:cs="Times New Roman"/>
                <w:i/>
                <w:lang w:val="fr-FR"/>
              </w:rPr>
              <w:t>’</w:t>
            </w:r>
            <w:r w:rsidRPr="00D4462A">
              <w:rPr>
                <w:rFonts w:ascii="Times New Roman" w:hAnsi="Times New Roman" w:cs="Times New Roman"/>
                <w:i/>
                <w:lang w:val="fr-FR"/>
              </w:rPr>
              <w:t>étant pas applicable par le Kazakhstan et la Russie)</w:t>
            </w:r>
          </w:p>
        </w:tc>
        <w:tc>
          <w:tcPr>
            <w:tcW w:w="1384" w:type="dxa"/>
            <w:tcBorders>
              <w:top w:val="single" w:sz="4" w:space="0" w:color="auto"/>
              <w:left w:val="single" w:sz="4" w:space="0" w:color="auto"/>
              <w:bottom w:val="single" w:sz="4" w:space="0" w:color="auto"/>
              <w:right w:val="single" w:sz="4" w:space="0" w:color="auto"/>
            </w:tcBorders>
          </w:tcPr>
          <w:p w14:paraId="099BC087" w14:textId="77777777" w:rsidR="00886A3C" w:rsidRDefault="00886A3C" w:rsidP="00886A3C">
            <w:pPr>
              <w:jc w:val="center"/>
              <w:rPr>
                <w:rFonts w:ascii="Times New Roman" w:hAnsi="Times New Roman" w:cs="Times New Roman"/>
              </w:rPr>
            </w:pPr>
            <w:r w:rsidRPr="00D4462A">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3735C30D" w14:textId="77777777" w:rsidR="00886A3C" w:rsidRDefault="00886A3C" w:rsidP="00886A3C">
            <w:pPr>
              <w:jc w:val="center"/>
              <w:rPr>
                <w:rFonts w:ascii="Times New Roman" w:hAnsi="Times New Roman" w:cs="Times New Roman"/>
              </w:rPr>
            </w:pPr>
            <w:r>
              <w:rPr>
                <w:rFonts w:ascii="Times New Roman" w:hAnsi="Times New Roman" w:cs="Times New Roman"/>
              </w:rPr>
              <w:t>67 %</w:t>
            </w:r>
          </w:p>
        </w:tc>
      </w:tr>
      <w:tr w:rsidR="00886A3C" w:rsidRPr="00BA6B6C" w14:paraId="112EAD81"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266B1A58"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lang w:val="fr-FR"/>
              </w:rPr>
              <w:t xml:space="preserve">1.5. Des mesures ont été prises pour </w:t>
            </w:r>
            <w:r>
              <w:rPr>
                <w:rFonts w:ascii="Times New Roman" w:hAnsi="Times New Roman" w:cs="Times New Roman"/>
                <w:lang w:val="fr-FR"/>
              </w:rPr>
              <w:t>arriver</w:t>
            </w:r>
            <w:r w:rsidRPr="00D4462A">
              <w:rPr>
                <w:rFonts w:ascii="Times New Roman" w:hAnsi="Times New Roman" w:cs="Times New Roman"/>
                <w:lang w:val="fr-FR"/>
              </w:rPr>
              <w:t xml:space="preserve"> directement </w:t>
            </w:r>
            <w:r>
              <w:rPr>
                <w:rFonts w:ascii="Times New Roman" w:hAnsi="Times New Roman" w:cs="Times New Roman"/>
                <w:lang w:val="fr-FR"/>
              </w:rPr>
              <w:t xml:space="preserve">à </w:t>
            </w:r>
            <w:r w:rsidRPr="00D4462A">
              <w:rPr>
                <w:rFonts w:ascii="Times New Roman" w:hAnsi="Times New Roman" w:cs="Times New Roman"/>
                <w:lang w:val="fr-FR"/>
              </w:rPr>
              <w:t>e créer des zones de remplacement d</w:t>
            </w:r>
            <w:r>
              <w:rPr>
                <w:rFonts w:ascii="Times New Roman" w:hAnsi="Times New Roman" w:cs="Times New Roman"/>
                <w:lang w:val="fr-FR"/>
              </w:rPr>
              <w:t>’</w:t>
            </w:r>
            <w:r w:rsidRPr="00D4462A">
              <w:rPr>
                <w:rFonts w:ascii="Times New Roman" w:hAnsi="Times New Roman" w:cs="Times New Roman"/>
                <w:lang w:val="fr-FR"/>
              </w:rPr>
              <w:t xml:space="preserve">alimentation pour les </w:t>
            </w:r>
            <w:r>
              <w:rPr>
                <w:rFonts w:ascii="Times New Roman" w:hAnsi="Times New Roman" w:cs="Times New Roman"/>
                <w:lang w:val="fr-FR"/>
              </w:rPr>
              <w:t>b</w:t>
            </w:r>
            <w:r w:rsidRPr="00E962B5">
              <w:rPr>
                <w:rFonts w:ascii="Times New Roman" w:hAnsi="Times New Roman" w:cs="Times New Roman"/>
                <w:lang w:val="fr-FR"/>
              </w:rPr>
              <w:t>ernache</w:t>
            </w:r>
            <w:r>
              <w:rPr>
                <w:rFonts w:ascii="Times New Roman" w:hAnsi="Times New Roman" w:cs="Times New Roman"/>
                <w:lang w:val="fr-FR"/>
              </w:rPr>
              <w:t>s</w:t>
            </w:r>
            <w:r w:rsidRPr="00E962B5">
              <w:rPr>
                <w:rFonts w:ascii="Times New Roman" w:hAnsi="Times New Roman" w:cs="Times New Roman"/>
                <w:lang w:val="fr-FR"/>
              </w:rPr>
              <w:t xml:space="preserve"> à cou roux</w:t>
            </w:r>
            <w:r>
              <w:rPr>
                <w:rFonts w:ascii="Times New Roman" w:hAnsi="Times New Roman" w:cs="Times New Roman"/>
                <w:lang w:val="fr-FR"/>
              </w:rPr>
              <w:t>, par le biais</w:t>
            </w:r>
            <w:r w:rsidRPr="00D4462A">
              <w:rPr>
                <w:rFonts w:ascii="Times New Roman" w:hAnsi="Times New Roman" w:cs="Times New Roman"/>
                <w:lang w:val="fr-FR"/>
              </w:rPr>
              <w:t xml:space="preserve"> d</w:t>
            </w:r>
            <w:r>
              <w:rPr>
                <w:rFonts w:ascii="Times New Roman" w:hAnsi="Times New Roman" w:cs="Times New Roman"/>
                <w:lang w:val="fr-FR"/>
              </w:rPr>
              <w:t>’</w:t>
            </w:r>
            <w:r w:rsidRPr="00D4462A">
              <w:rPr>
                <w:rFonts w:ascii="Times New Roman" w:hAnsi="Times New Roman" w:cs="Times New Roman"/>
                <w:lang w:val="fr-FR"/>
              </w:rPr>
              <w:t>achat ou de location à long terme.</w:t>
            </w:r>
          </w:p>
          <w:p w14:paraId="75DE63C1" w14:textId="77777777" w:rsidR="00886A3C" w:rsidRPr="004B1407" w:rsidRDefault="00886A3C" w:rsidP="00886A3C">
            <w:pPr>
              <w:rPr>
                <w:rFonts w:ascii="Times New Roman" w:hAnsi="Times New Roman" w:cs="Times New Roman"/>
                <w:lang w:val="fr-FR"/>
              </w:rPr>
            </w:pPr>
            <w:r w:rsidRPr="00D4462A">
              <w:rPr>
                <w:rFonts w:ascii="Times New Roman" w:hAnsi="Times New Roman" w:cs="Times New Roman"/>
                <w:i/>
                <w:lang w:val="fr-FR"/>
              </w:rPr>
              <w:t>(indiquée comme n</w:t>
            </w:r>
            <w:r>
              <w:rPr>
                <w:rFonts w:ascii="Times New Roman" w:hAnsi="Times New Roman" w:cs="Times New Roman"/>
                <w:i/>
                <w:lang w:val="fr-FR"/>
              </w:rPr>
              <w:t>’</w:t>
            </w:r>
            <w:r w:rsidRPr="00D4462A">
              <w:rPr>
                <w:rFonts w:ascii="Times New Roman" w:hAnsi="Times New Roman" w:cs="Times New Roman"/>
                <w:i/>
                <w:lang w:val="fr-FR"/>
              </w:rPr>
              <w:t>étant pas applicable par le Kazakhstan et la Russie)</w:t>
            </w:r>
          </w:p>
        </w:tc>
        <w:tc>
          <w:tcPr>
            <w:tcW w:w="1384" w:type="dxa"/>
            <w:tcBorders>
              <w:top w:val="single" w:sz="4" w:space="0" w:color="auto"/>
              <w:left w:val="single" w:sz="4" w:space="0" w:color="auto"/>
              <w:bottom w:val="single" w:sz="4" w:space="0" w:color="auto"/>
              <w:right w:val="single" w:sz="4" w:space="0" w:color="auto"/>
            </w:tcBorders>
          </w:tcPr>
          <w:p w14:paraId="6FA5CF62" w14:textId="77777777" w:rsidR="00886A3C" w:rsidRDefault="00886A3C" w:rsidP="00886A3C">
            <w:pPr>
              <w:jc w:val="center"/>
              <w:rPr>
                <w:rFonts w:ascii="Times New Roman" w:hAnsi="Times New Roman" w:cs="Times New Roman"/>
              </w:rPr>
            </w:pPr>
            <w:r w:rsidRPr="00D4462A">
              <w:rPr>
                <w:rFonts w:ascii="Times New Roman" w:hAnsi="Times New Roman" w:cs="Times New Roman"/>
                <w:lang w:val="fr-FR"/>
              </w:rPr>
              <w:t>Moyenne</w:t>
            </w:r>
          </w:p>
        </w:tc>
        <w:tc>
          <w:tcPr>
            <w:tcW w:w="1597" w:type="dxa"/>
            <w:tcBorders>
              <w:top w:val="single" w:sz="4" w:space="0" w:color="auto"/>
              <w:left w:val="single" w:sz="4" w:space="0" w:color="auto"/>
              <w:bottom w:val="single" w:sz="4" w:space="0" w:color="auto"/>
              <w:right w:val="single" w:sz="4" w:space="0" w:color="auto"/>
            </w:tcBorders>
          </w:tcPr>
          <w:p w14:paraId="4711CE93" w14:textId="77777777" w:rsidR="00886A3C" w:rsidRDefault="00886A3C" w:rsidP="00886A3C">
            <w:pPr>
              <w:jc w:val="center"/>
              <w:rPr>
                <w:rFonts w:ascii="Times New Roman" w:hAnsi="Times New Roman" w:cs="Times New Roman"/>
              </w:rPr>
            </w:pPr>
            <w:r>
              <w:rPr>
                <w:rFonts w:ascii="Times New Roman" w:hAnsi="Times New Roman" w:cs="Times New Roman"/>
              </w:rPr>
              <w:t>67 %</w:t>
            </w:r>
          </w:p>
        </w:tc>
      </w:tr>
    </w:tbl>
    <w:p w14:paraId="46C2E802" w14:textId="77777777" w:rsidR="00886A3C" w:rsidRDefault="00886A3C" w:rsidP="00886A3C">
      <w:pPr>
        <w:spacing w:after="0" w:line="240" w:lineRule="auto"/>
        <w:jc w:val="both"/>
        <w:rPr>
          <w:rFonts w:ascii="Times New Roman" w:hAnsi="Times New Roman" w:cs="Times New Roman"/>
          <w:lang w:val="en-US"/>
        </w:rPr>
      </w:pPr>
    </w:p>
    <w:p w14:paraId="3E4B6CC5" w14:textId="77777777" w:rsidR="00886A3C" w:rsidRPr="004B1407" w:rsidRDefault="00886A3C" w:rsidP="00886A3C">
      <w:pPr>
        <w:spacing w:after="0" w:line="240" w:lineRule="auto"/>
        <w:rPr>
          <w:rFonts w:ascii="Times New Roman" w:hAnsi="Times New Roman" w:cs="Times New Roman"/>
          <w:b/>
          <w:lang w:val="fr-FR"/>
        </w:rPr>
      </w:pPr>
      <w:r w:rsidRPr="00D4462A">
        <w:rPr>
          <w:rFonts w:ascii="Times New Roman" w:hAnsi="Times New Roman" w:cs="Times New Roman"/>
          <w:b/>
          <w:lang w:val="fr-FR"/>
        </w:rPr>
        <w:t>Taux moyen de mise en œuvre :</w:t>
      </w:r>
      <w:r w:rsidRPr="004B1407">
        <w:rPr>
          <w:rFonts w:ascii="Times New Roman" w:hAnsi="Times New Roman" w:cs="Times New Roman"/>
          <w:b/>
          <w:lang w:val="fr-FR"/>
        </w:rPr>
        <w:t xml:space="preserve"> 79 %</w:t>
      </w:r>
    </w:p>
    <w:p w14:paraId="6E988573" w14:textId="77777777" w:rsidR="00886A3C" w:rsidRPr="004B140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ab/>
      </w:r>
    </w:p>
    <w:p w14:paraId="6C447C58" w14:textId="77777777" w:rsidR="00886A3C" w:rsidRPr="004B1407" w:rsidRDefault="00886A3C" w:rsidP="00886A3C">
      <w:pPr>
        <w:spacing w:after="0" w:line="240" w:lineRule="auto"/>
        <w:jc w:val="both"/>
        <w:rPr>
          <w:rFonts w:ascii="Times New Roman" w:hAnsi="Times New Roman" w:cs="Times New Roman"/>
          <w:i/>
          <w:lang w:val="fr-FR"/>
        </w:rPr>
      </w:pPr>
      <w:r w:rsidRPr="00D4462A">
        <w:rPr>
          <w:rFonts w:ascii="Times New Roman" w:hAnsi="Times New Roman" w:cs="Times New Roman"/>
          <w:i/>
          <w:lang w:val="fr-FR"/>
        </w:rPr>
        <w:t>5.2. Résultat 2 – L</w:t>
      </w:r>
      <w:r>
        <w:rPr>
          <w:rFonts w:ascii="Times New Roman" w:hAnsi="Times New Roman" w:cs="Times New Roman"/>
          <w:i/>
          <w:lang w:val="fr-FR"/>
        </w:rPr>
        <w:t>’</w:t>
      </w:r>
      <w:r w:rsidRPr="00D4462A">
        <w:rPr>
          <w:rFonts w:ascii="Times New Roman" w:hAnsi="Times New Roman" w:cs="Times New Roman"/>
          <w:i/>
          <w:lang w:val="fr-FR"/>
        </w:rPr>
        <w:t>impact du développement est minimisé dans les aires d</w:t>
      </w:r>
      <w:r>
        <w:rPr>
          <w:rFonts w:ascii="Times New Roman" w:hAnsi="Times New Roman" w:cs="Times New Roman"/>
          <w:i/>
          <w:lang w:val="fr-FR"/>
        </w:rPr>
        <w:t>’</w:t>
      </w:r>
      <w:r w:rsidRPr="00D4462A">
        <w:rPr>
          <w:rFonts w:ascii="Times New Roman" w:hAnsi="Times New Roman" w:cs="Times New Roman"/>
          <w:i/>
          <w:lang w:val="fr-FR"/>
        </w:rPr>
        <w:t>hivernage et de halte au moyen d</w:t>
      </w:r>
      <w:r>
        <w:rPr>
          <w:rFonts w:ascii="Times New Roman" w:hAnsi="Times New Roman" w:cs="Times New Roman"/>
          <w:i/>
          <w:lang w:val="fr-FR"/>
        </w:rPr>
        <w:t>’</w:t>
      </w:r>
      <w:r w:rsidRPr="00D4462A">
        <w:rPr>
          <w:rFonts w:ascii="Times New Roman" w:hAnsi="Times New Roman" w:cs="Times New Roman"/>
          <w:i/>
          <w:lang w:val="fr-FR"/>
        </w:rPr>
        <w:t>une planification stratégique</w:t>
      </w:r>
    </w:p>
    <w:p w14:paraId="1A6327A5" w14:textId="77777777" w:rsidR="00886A3C" w:rsidRPr="004B1407" w:rsidRDefault="00886A3C" w:rsidP="00886A3C">
      <w:pPr>
        <w:spacing w:after="0" w:line="240" w:lineRule="auto"/>
        <w:rPr>
          <w:rFonts w:ascii="Times New Roman" w:hAnsi="Times New Roman" w:cs="Times New Roman"/>
          <w:lang w:val="fr-FR"/>
        </w:rPr>
      </w:pPr>
    </w:p>
    <w:p w14:paraId="68F4992A" w14:textId="77777777" w:rsidR="00886A3C" w:rsidRPr="004B1407" w:rsidRDefault="00886A3C" w:rsidP="00886A3C">
      <w:pPr>
        <w:spacing w:after="0" w:line="240" w:lineRule="auto"/>
        <w:jc w:val="both"/>
        <w:rPr>
          <w:rFonts w:ascii="Times New Roman" w:hAnsi="Times New Roman" w:cs="Times New Roman"/>
          <w:lang w:val="fr-FR"/>
        </w:rPr>
      </w:pPr>
      <w:r w:rsidRPr="000B46F0">
        <w:rPr>
          <w:rFonts w:ascii="Times New Roman" w:hAnsi="Times New Roman" w:cs="Times New Roman"/>
          <w:lang w:val="fr-FR"/>
        </w:rPr>
        <w:t>L’</w:t>
      </w:r>
      <w:r>
        <w:rPr>
          <w:rFonts w:ascii="Times New Roman" w:hAnsi="Times New Roman" w:cs="Times New Roman"/>
          <w:b/>
          <w:lang w:val="fr-FR"/>
        </w:rPr>
        <w:t>action</w:t>
      </w:r>
      <w:r w:rsidRPr="00621FA7">
        <w:rPr>
          <w:rFonts w:ascii="Times New Roman" w:hAnsi="Times New Roman" w:cs="Times New Roman"/>
          <w:b/>
          <w:lang w:val="fr-FR"/>
        </w:rPr>
        <w:t xml:space="preserve"> 2.1</w:t>
      </w:r>
      <w:r w:rsidRPr="00F27868">
        <w:rPr>
          <w:rFonts w:ascii="Times New Roman" w:hAnsi="Times New Roman" w:cs="Times New Roman"/>
          <w:lang w:val="fr-FR"/>
        </w:rPr>
        <w:t xml:space="preserve">, </w:t>
      </w:r>
      <w:r w:rsidRPr="00621FA7">
        <w:rPr>
          <w:rFonts w:ascii="Times New Roman" w:hAnsi="Times New Roman" w:cs="Times New Roman"/>
          <w:lang w:val="fr-FR"/>
        </w:rPr>
        <w:t>concernant la modélisation de l</w:t>
      </w:r>
      <w:r>
        <w:rPr>
          <w:rFonts w:ascii="Times New Roman" w:hAnsi="Times New Roman" w:cs="Times New Roman"/>
          <w:lang w:val="fr-FR"/>
        </w:rPr>
        <w:t>’</w:t>
      </w:r>
      <w:r w:rsidRPr="00621FA7">
        <w:rPr>
          <w:rFonts w:ascii="Times New Roman" w:hAnsi="Times New Roman" w:cs="Times New Roman"/>
          <w:lang w:val="fr-FR"/>
        </w:rPr>
        <w:t>impact potentiel de</w:t>
      </w:r>
      <w:r>
        <w:rPr>
          <w:rFonts w:ascii="Times New Roman" w:hAnsi="Times New Roman" w:cs="Times New Roman"/>
          <w:lang w:val="fr-FR"/>
        </w:rPr>
        <w:t>s projets de</w:t>
      </w:r>
      <w:r w:rsidRPr="00621FA7">
        <w:rPr>
          <w:rFonts w:ascii="Times New Roman" w:hAnsi="Times New Roman" w:cs="Times New Roman"/>
          <w:lang w:val="fr-FR"/>
        </w:rPr>
        <w:t xml:space="preserve"> fermes éoliennes sur les bernaches à cou roux</w:t>
      </w:r>
      <w:r>
        <w:rPr>
          <w:rFonts w:ascii="Times New Roman" w:hAnsi="Times New Roman" w:cs="Times New Roman"/>
          <w:lang w:val="fr-FR"/>
        </w:rPr>
        <w:t>,</w:t>
      </w:r>
      <w:r w:rsidRPr="00621FA7">
        <w:rPr>
          <w:rFonts w:ascii="Times New Roman" w:hAnsi="Times New Roman" w:cs="Times New Roman"/>
          <w:lang w:val="fr-FR"/>
        </w:rPr>
        <w:t xml:space="preserve"> résultant des collisions et de la perte d</w:t>
      </w:r>
      <w:r>
        <w:rPr>
          <w:rFonts w:ascii="Times New Roman" w:hAnsi="Times New Roman" w:cs="Times New Roman"/>
          <w:lang w:val="fr-FR"/>
        </w:rPr>
        <w:t>’</w:t>
      </w:r>
      <w:r w:rsidRPr="00621FA7">
        <w:rPr>
          <w:rFonts w:ascii="Times New Roman" w:hAnsi="Times New Roman" w:cs="Times New Roman"/>
          <w:lang w:val="fr-FR"/>
        </w:rPr>
        <w:t>aires d</w:t>
      </w:r>
      <w:r>
        <w:rPr>
          <w:rFonts w:ascii="Times New Roman" w:hAnsi="Times New Roman" w:cs="Times New Roman"/>
          <w:lang w:val="fr-FR"/>
        </w:rPr>
        <w:t>’</w:t>
      </w:r>
      <w:r w:rsidRPr="00621FA7">
        <w:rPr>
          <w:rFonts w:ascii="Times New Roman" w:hAnsi="Times New Roman" w:cs="Times New Roman"/>
          <w:lang w:val="fr-FR"/>
        </w:rPr>
        <w:t>alimentation</w:t>
      </w:r>
      <w:r>
        <w:rPr>
          <w:rFonts w:ascii="Times New Roman" w:hAnsi="Times New Roman" w:cs="Times New Roman"/>
          <w:lang w:val="fr-FR"/>
        </w:rPr>
        <w:t>,</w:t>
      </w:r>
      <w:r w:rsidRPr="00621FA7">
        <w:rPr>
          <w:rFonts w:ascii="Times New Roman" w:hAnsi="Times New Roman" w:cs="Times New Roman"/>
          <w:lang w:val="fr-FR"/>
        </w:rPr>
        <w:t xml:space="preserve"> a été classée comme ayant une priorité élevée</w:t>
      </w:r>
      <w:r>
        <w:rPr>
          <w:rFonts w:ascii="Times New Roman" w:hAnsi="Times New Roman" w:cs="Times New Roman"/>
          <w:lang w:val="fr-FR"/>
        </w:rPr>
        <w:t>,</w:t>
      </w:r>
      <w:r w:rsidRPr="00621FA7">
        <w:rPr>
          <w:rFonts w:ascii="Times New Roman" w:hAnsi="Times New Roman" w:cs="Times New Roman"/>
          <w:lang w:val="fr-FR"/>
        </w:rPr>
        <w:t xml:space="preserve"> et la Bulgarie et l</w:t>
      </w:r>
      <w:r>
        <w:rPr>
          <w:rFonts w:ascii="Times New Roman" w:hAnsi="Times New Roman" w:cs="Times New Roman"/>
          <w:lang w:val="fr-FR"/>
        </w:rPr>
        <w:t>’</w:t>
      </w:r>
      <w:r w:rsidRPr="00621FA7">
        <w:rPr>
          <w:rFonts w:ascii="Times New Roman" w:hAnsi="Times New Roman" w:cs="Times New Roman"/>
          <w:lang w:val="fr-FR"/>
        </w:rPr>
        <w:t>Ukraine ont fait part de sa mise en œuvre.</w:t>
      </w:r>
      <w:r w:rsidRPr="004B1407">
        <w:rPr>
          <w:rFonts w:ascii="Times New Roman" w:hAnsi="Times New Roman" w:cs="Times New Roman"/>
          <w:lang w:val="fr-FR"/>
        </w:rPr>
        <w:t xml:space="preserve"> </w:t>
      </w:r>
      <w:r w:rsidRPr="00621FA7">
        <w:rPr>
          <w:rFonts w:ascii="Times New Roman" w:hAnsi="Times New Roman" w:cs="Times New Roman"/>
          <w:lang w:val="fr-FR"/>
        </w:rPr>
        <w:t>Le Kazakhstan et la Russie ont indiqué que cette action n</w:t>
      </w:r>
      <w:r>
        <w:rPr>
          <w:rFonts w:ascii="Times New Roman" w:hAnsi="Times New Roman" w:cs="Times New Roman"/>
          <w:lang w:val="fr-FR"/>
        </w:rPr>
        <w:t>’</w:t>
      </w:r>
      <w:r w:rsidRPr="00621FA7">
        <w:rPr>
          <w:rFonts w:ascii="Times New Roman" w:hAnsi="Times New Roman" w:cs="Times New Roman"/>
          <w:lang w:val="fr-FR"/>
        </w:rPr>
        <w:t>était pas applicable étant donné qu</w:t>
      </w:r>
      <w:r>
        <w:rPr>
          <w:rFonts w:ascii="Times New Roman" w:hAnsi="Times New Roman" w:cs="Times New Roman"/>
          <w:lang w:val="fr-FR"/>
        </w:rPr>
        <w:t>’</w:t>
      </w:r>
      <w:r w:rsidRPr="00621FA7">
        <w:rPr>
          <w:rFonts w:ascii="Times New Roman" w:hAnsi="Times New Roman" w:cs="Times New Roman"/>
          <w:lang w:val="fr-FR"/>
        </w:rPr>
        <w:t>aucune ferme éolienne n</w:t>
      </w:r>
      <w:r>
        <w:rPr>
          <w:rFonts w:ascii="Times New Roman" w:hAnsi="Times New Roman" w:cs="Times New Roman"/>
          <w:lang w:val="fr-FR"/>
        </w:rPr>
        <w:t>’</w:t>
      </w:r>
      <w:r w:rsidRPr="00621FA7">
        <w:rPr>
          <w:rFonts w:ascii="Times New Roman" w:hAnsi="Times New Roman" w:cs="Times New Roman"/>
          <w:lang w:val="fr-FR"/>
        </w:rPr>
        <w:t>est actuellement prévue dans le voisinage des sites de la Bernache à cou roux.</w:t>
      </w:r>
      <w:r w:rsidRPr="004B1407">
        <w:rPr>
          <w:rFonts w:ascii="Times New Roman" w:hAnsi="Times New Roman" w:cs="Times New Roman"/>
          <w:lang w:val="fr-FR"/>
        </w:rPr>
        <w:t xml:space="preserve"> (67 %).</w:t>
      </w:r>
    </w:p>
    <w:p w14:paraId="0AA4D141" w14:textId="77777777" w:rsidR="00886A3C" w:rsidRPr="004B1407" w:rsidRDefault="00886A3C" w:rsidP="00886A3C">
      <w:pPr>
        <w:spacing w:after="0" w:line="240" w:lineRule="auto"/>
        <w:jc w:val="both"/>
        <w:rPr>
          <w:rFonts w:ascii="Times New Roman" w:hAnsi="Times New Roman" w:cs="Times New Roman"/>
          <w:lang w:val="fr-FR"/>
        </w:rPr>
      </w:pPr>
    </w:p>
    <w:p w14:paraId="6FFC5ACA" w14:textId="77777777" w:rsidR="00886A3C" w:rsidRPr="004B1407" w:rsidRDefault="00886A3C" w:rsidP="00886A3C">
      <w:pPr>
        <w:spacing w:after="0" w:line="240" w:lineRule="auto"/>
        <w:jc w:val="both"/>
        <w:rPr>
          <w:rFonts w:ascii="Times New Roman" w:hAnsi="Times New Roman" w:cs="Times New Roman"/>
          <w:lang w:val="fr-FR"/>
        </w:rPr>
      </w:pPr>
      <w:r w:rsidRPr="000B46F0">
        <w:rPr>
          <w:rFonts w:ascii="Times New Roman" w:hAnsi="Times New Roman" w:cs="Times New Roman"/>
          <w:lang w:val="fr-FR"/>
        </w:rPr>
        <w:t>L’</w:t>
      </w:r>
      <w:r>
        <w:rPr>
          <w:rFonts w:ascii="Times New Roman" w:hAnsi="Times New Roman" w:cs="Times New Roman"/>
          <w:b/>
          <w:lang w:val="fr-FR"/>
        </w:rPr>
        <w:t>action</w:t>
      </w:r>
      <w:r w:rsidRPr="00C95A5A">
        <w:rPr>
          <w:rFonts w:ascii="Times New Roman" w:hAnsi="Times New Roman" w:cs="Times New Roman"/>
          <w:b/>
          <w:lang w:val="fr-FR"/>
        </w:rPr>
        <w:t xml:space="preserve"> 2.2</w:t>
      </w:r>
      <w:r w:rsidRPr="00F27868">
        <w:rPr>
          <w:rFonts w:ascii="Times New Roman" w:hAnsi="Times New Roman" w:cs="Times New Roman"/>
          <w:lang w:val="fr-FR"/>
        </w:rPr>
        <w:t>,</w:t>
      </w:r>
      <w:r w:rsidRPr="00C95A5A">
        <w:rPr>
          <w:rFonts w:ascii="Times New Roman" w:hAnsi="Times New Roman" w:cs="Times New Roman"/>
          <w:lang w:val="fr-FR"/>
        </w:rPr>
        <w:t xml:space="preserve"> concernant la réalisation d</w:t>
      </w:r>
      <w:r>
        <w:rPr>
          <w:rFonts w:ascii="Times New Roman" w:hAnsi="Times New Roman" w:cs="Times New Roman"/>
          <w:lang w:val="fr-FR"/>
        </w:rPr>
        <w:t>’</w:t>
      </w:r>
      <w:r w:rsidRPr="00C95A5A">
        <w:rPr>
          <w:rFonts w:ascii="Times New Roman" w:hAnsi="Times New Roman" w:cs="Times New Roman"/>
          <w:lang w:val="fr-FR"/>
        </w:rPr>
        <w:t>une carte de sensibilité pour les bernaches à cou, afin de fournir un cadre spatial approprié pour la planification de l</w:t>
      </w:r>
      <w:r>
        <w:rPr>
          <w:rFonts w:ascii="Times New Roman" w:hAnsi="Times New Roman" w:cs="Times New Roman"/>
          <w:lang w:val="fr-FR"/>
        </w:rPr>
        <w:t>’</w:t>
      </w:r>
      <w:r w:rsidRPr="00C95A5A">
        <w:rPr>
          <w:rFonts w:ascii="Times New Roman" w:hAnsi="Times New Roman" w:cs="Times New Roman"/>
          <w:lang w:val="fr-FR"/>
        </w:rPr>
        <w:t>utilisation des sols (y compris la distribution d</w:t>
      </w:r>
      <w:r>
        <w:rPr>
          <w:rFonts w:ascii="Times New Roman" w:hAnsi="Times New Roman" w:cs="Times New Roman"/>
          <w:lang w:val="fr-FR"/>
        </w:rPr>
        <w:t>’</w:t>
      </w:r>
      <w:r w:rsidRPr="00C95A5A">
        <w:rPr>
          <w:rFonts w:ascii="Times New Roman" w:hAnsi="Times New Roman" w:cs="Times New Roman"/>
          <w:lang w:val="fr-FR"/>
        </w:rPr>
        <w:t>une version SIG aux concepteurs et aux autorités)</w:t>
      </w:r>
      <w:r>
        <w:rPr>
          <w:rFonts w:ascii="Times New Roman" w:hAnsi="Times New Roman" w:cs="Times New Roman"/>
          <w:lang w:val="fr-FR"/>
        </w:rPr>
        <w:t>,</w:t>
      </w:r>
      <w:r w:rsidRPr="00C95A5A">
        <w:rPr>
          <w:rFonts w:ascii="Times New Roman" w:hAnsi="Times New Roman" w:cs="Times New Roman"/>
          <w:lang w:val="fr-FR"/>
        </w:rPr>
        <w:t xml:space="preserve"> a également été classée comme ayant une priorité élevée et seule la Bulgarie a fait part de sa mise en œuvre.</w:t>
      </w:r>
      <w:r w:rsidRPr="004B1407">
        <w:rPr>
          <w:rFonts w:ascii="Times New Roman" w:hAnsi="Times New Roman" w:cs="Times New Roman"/>
          <w:lang w:val="fr-FR"/>
        </w:rPr>
        <w:t xml:space="preserve"> </w:t>
      </w:r>
      <w:r w:rsidRPr="00C95A5A">
        <w:rPr>
          <w:rFonts w:ascii="Times New Roman" w:hAnsi="Times New Roman" w:cs="Times New Roman"/>
          <w:lang w:val="fr-FR"/>
        </w:rPr>
        <w:t>La Russie a indiqué que cette action n</w:t>
      </w:r>
      <w:r>
        <w:rPr>
          <w:rFonts w:ascii="Times New Roman" w:hAnsi="Times New Roman" w:cs="Times New Roman"/>
          <w:lang w:val="fr-FR"/>
        </w:rPr>
        <w:t>’</w:t>
      </w:r>
      <w:r w:rsidRPr="00C95A5A">
        <w:rPr>
          <w:rFonts w:ascii="Times New Roman" w:hAnsi="Times New Roman" w:cs="Times New Roman"/>
          <w:lang w:val="fr-FR"/>
        </w:rPr>
        <w:t>était pas applicable.</w:t>
      </w:r>
      <w:r w:rsidRPr="004B1407">
        <w:rPr>
          <w:rFonts w:ascii="Times New Roman" w:hAnsi="Times New Roman" w:cs="Times New Roman"/>
          <w:lang w:val="fr-FR"/>
        </w:rPr>
        <w:t xml:space="preserve"> </w:t>
      </w:r>
      <w:r w:rsidRPr="00C95A5A">
        <w:rPr>
          <w:rFonts w:ascii="Times New Roman" w:hAnsi="Times New Roman" w:cs="Times New Roman"/>
          <w:lang w:val="fr-FR"/>
        </w:rPr>
        <w:t>Le Kazakhstan a aussi indiqué que bien qu</w:t>
      </w:r>
      <w:r>
        <w:rPr>
          <w:rFonts w:ascii="Times New Roman" w:hAnsi="Times New Roman" w:cs="Times New Roman"/>
          <w:lang w:val="fr-FR"/>
        </w:rPr>
        <w:t>’</w:t>
      </w:r>
      <w:r w:rsidRPr="00C95A5A">
        <w:rPr>
          <w:rFonts w:ascii="Times New Roman" w:hAnsi="Times New Roman" w:cs="Times New Roman"/>
          <w:lang w:val="fr-FR"/>
        </w:rPr>
        <w:t>une carte de sensibilité n</w:t>
      </w:r>
      <w:r>
        <w:rPr>
          <w:rFonts w:ascii="Times New Roman" w:hAnsi="Times New Roman" w:cs="Times New Roman"/>
          <w:lang w:val="fr-FR"/>
        </w:rPr>
        <w:t>’</w:t>
      </w:r>
      <w:r w:rsidRPr="00C95A5A">
        <w:rPr>
          <w:rFonts w:ascii="Times New Roman" w:hAnsi="Times New Roman" w:cs="Times New Roman"/>
          <w:lang w:val="fr-FR"/>
        </w:rPr>
        <w:t xml:space="preserve">ait pas été encore élaborée, une carte des </w:t>
      </w:r>
      <w:r>
        <w:rPr>
          <w:rFonts w:ascii="Times New Roman" w:hAnsi="Times New Roman" w:cs="Times New Roman"/>
          <w:lang w:val="fr-FR"/>
        </w:rPr>
        <w:t>ZICO,</w:t>
      </w:r>
      <w:r w:rsidRPr="00C95A5A">
        <w:rPr>
          <w:rFonts w:ascii="Times New Roman" w:hAnsi="Times New Roman" w:cs="Times New Roman"/>
          <w:lang w:val="fr-FR"/>
        </w:rPr>
        <w:t xml:space="preserve"> incluant tous les sites de halte clés de la Bernache à cou roux dans le nord et le nord-ouest du Kazakhstan</w:t>
      </w:r>
      <w:r>
        <w:rPr>
          <w:rFonts w:ascii="Times New Roman" w:hAnsi="Times New Roman" w:cs="Times New Roman"/>
          <w:lang w:val="fr-FR"/>
        </w:rPr>
        <w:t>,</w:t>
      </w:r>
      <w:r w:rsidRPr="00C95A5A">
        <w:rPr>
          <w:rFonts w:ascii="Times New Roman" w:hAnsi="Times New Roman" w:cs="Times New Roman"/>
          <w:lang w:val="fr-FR"/>
        </w:rPr>
        <w:t xml:space="preserve"> a été élaboré</w:t>
      </w:r>
      <w:r>
        <w:rPr>
          <w:rFonts w:ascii="Times New Roman" w:hAnsi="Times New Roman" w:cs="Times New Roman"/>
          <w:lang w:val="fr-FR"/>
        </w:rPr>
        <w:t>e</w:t>
      </w:r>
      <w:r w:rsidRPr="00C95A5A">
        <w:rPr>
          <w:rFonts w:ascii="Times New Roman" w:hAnsi="Times New Roman" w:cs="Times New Roman"/>
          <w:lang w:val="fr-FR"/>
        </w:rPr>
        <w:t xml:space="preserve"> et distribu</w:t>
      </w:r>
      <w:r>
        <w:rPr>
          <w:rFonts w:ascii="Times New Roman" w:hAnsi="Times New Roman" w:cs="Times New Roman"/>
          <w:lang w:val="fr-FR"/>
        </w:rPr>
        <w:t>ée aux</w:t>
      </w:r>
      <w:r w:rsidRPr="00C95A5A">
        <w:rPr>
          <w:rFonts w:ascii="Times New Roman" w:hAnsi="Times New Roman" w:cs="Times New Roman"/>
          <w:lang w:val="fr-FR"/>
        </w:rPr>
        <w:t xml:space="preserve"> propriétaires/utilisateurs fonciers.</w:t>
      </w:r>
      <w:r>
        <w:rPr>
          <w:rFonts w:ascii="Times New Roman" w:hAnsi="Times New Roman" w:cs="Times New Roman"/>
          <w:lang w:val="fr-FR"/>
        </w:rPr>
        <w:t xml:space="preserve"> </w:t>
      </w:r>
      <w:r w:rsidRPr="004B1407">
        <w:rPr>
          <w:rFonts w:ascii="Times New Roman" w:hAnsi="Times New Roman" w:cs="Times New Roman"/>
          <w:lang w:val="fr-FR"/>
        </w:rPr>
        <w:t>(25 %).</w:t>
      </w:r>
    </w:p>
    <w:p w14:paraId="468034E5" w14:textId="77777777" w:rsidR="00886A3C" w:rsidRDefault="00886A3C" w:rsidP="00886A3C">
      <w:pPr>
        <w:spacing w:after="0" w:line="240" w:lineRule="auto"/>
        <w:jc w:val="both"/>
        <w:rPr>
          <w:rFonts w:ascii="Times New Roman" w:hAnsi="Times New Roman" w:cs="Times New Roman"/>
          <w:lang w:val="en-US"/>
        </w:rPr>
      </w:pPr>
      <w:r w:rsidRPr="000B46F0">
        <w:rPr>
          <w:rFonts w:ascii="Times New Roman" w:hAnsi="Times New Roman" w:cs="Times New Roman"/>
          <w:lang w:val="fr-FR"/>
        </w:rPr>
        <w:lastRenderedPageBreak/>
        <w:t>L’</w:t>
      </w:r>
      <w:r>
        <w:rPr>
          <w:rFonts w:ascii="Times New Roman" w:hAnsi="Times New Roman" w:cs="Times New Roman"/>
          <w:b/>
          <w:lang w:val="fr-FR"/>
        </w:rPr>
        <w:t>action</w:t>
      </w:r>
      <w:r w:rsidRPr="00C95A5A">
        <w:rPr>
          <w:rFonts w:ascii="Times New Roman" w:hAnsi="Times New Roman" w:cs="Times New Roman"/>
          <w:b/>
          <w:lang w:val="fr-FR"/>
        </w:rPr>
        <w:t xml:space="preserve"> 2.3</w:t>
      </w:r>
      <w:r w:rsidRPr="00C95A5A">
        <w:rPr>
          <w:rFonts w:ascii="Times New Roman" w:hAnsi="Times New Roman" w:cs="Times New Roman"/>
          <w:lang w:val="fr-FR"/>
        </w:rPr>
        <w:t>, concernant la production d</w:t>
      </w:r>
      <w:r>
        <w:rPr>
          <w:rFonts w:ascii="Times New Roman" w:hAnsi="Times New Roman" w:cs="Times New Roman"/>
          <w:lang w:val="fr-FR"/>
        </w:rPr>
        <w:t>’</w:t>
      </w:r>
      <w:r w:rsidRPr="00C95A5A">
        <w:rPr>
          <w:rFonts w:ascii="Times New Roman" w:hAnsi="Times New Roman" w:cs="Times New Roman"/>
          <w:lang w:val="fr-FR"/>
        </w:rPr>
        <w:t>une évaluation environnementale stratégique pour des projets de développement le long du littoral de la mer Noire</w:t>
      </w:r>
      <w:r>
        <w:rPr>
          <w:rFonts w:ascii="Times New Roman" w:hAnsi="Times New Roman" w:cs="Times New Roman"/>
          <w:lang w:val="fr-FR"/>
        </w:rPr>
        <w:t>,</w:t>
      </w:r>
      <w:r w:rsidRPr="00C95A5A">
        <w:rPr>
          <w:rFonts w:ascii="Times New Roman" w:hAnsi="Times New Roman" w:cs="Times New Roman"/>
          <w:lang w:val="fr-FR"/>
        </w:rPr>
        <w:t xml:space="preserve"> afin de guider la planification stratégique dans la région, a été qualifiée comme ayant une priorité élevée et appliquée à la Russie, l</w:t>
      </w:r>
      <w:r>
        <w:rPr>
          <w:rFonts w:ascii="Times New Roman" w:hAnsi="Times New Roman" w:cs="Times New Roman"/>
          <w:lang w:val="fr-FR"/>
        </w:rPr>
        <w:t>’</w:t>
      </w:r>
      <w:r w:rsidRPr="00C95A5A">
        <w:rPr>
          <w:rFonts w:ascii="Times New Roman" w:hAnsi="Times New Roman" w:cs="Times New Roman"/>
          <w:lang w:val="fr-FR"/>
        </w:rPr>
        <w:t>Ukraine, la Roumanie et la Bulgarie. Seules la Bulgarie et l</w:t>
      </w:r>
      <w:r>
        <w:rPr>
          <w:rFonts w:ascii="Times New Roman" w:hAnsi="Times New Roman" w:cs="Times New Roman"/>
          <w:lang w:val="fr-FR"/>
        </w:rPr>
        <w:t>’</w:t>
      </w:r>
      <w:r w:rsidRPr="00C95A5A">
        <w:rPr>
          <w:rFonts w:ascii="Times New Roman" w:hAnsi="Times New Roman" w:cs="Times New Roman"/>
          <w:lang w:val="fr-FR"/>
        </w:rPr>
        <w:t>Ukraine ont fait part d</w:t>
      </w:r>
      <w:r>
        <w:rPr>
          <w:rFonts w:ascii="Times New Roman" w:hAnsi="Times New Roman" w:cs="Times New Roman"/>
          <w:lang w:val="fr-FR"/>
        </w:rPr>
        <w:t>’</w:t>
      </w:r>
      <w:r w:rsidRPr="00C95A5A">
        <w:rPr>
          <w:rFonts w:ascii="Times New Roman" w:hAnsi="Times New Roman" w:cs="Times New Roman"/>
          <w:lang w:val="fr-FR"/>
        </w:rPr>
        <w:t>une mise en œuvre partielle.</w:t>
      </w:r>
      <w:r w:rsidRPr="004B1407">
        <w:rPr>
          <w:rFonts w:ascii="Times New Roman" w:hAnsi="Times New Roman" w:cs="Times New Roman"/>
          <w:lang w:val="fr-FR"/>
        </w:rPr>
        <w:t xml:space="preserve"> </w:t>
      </w:r>
      <w:r w:rsidRPr="00B62782">
        <w:rPr>
          <w:rFonts w:ascii="Times New Roman" w:hAnsi="Times New Roman" w:cs="Times New Roman"/>
          <w:lang w:val="fr-FR"/>
        </w:rPr>
        <w:t>(0</w:t>
      </w:r>
      <w:r>
        <w:rPr>
          <w:rFonts w:ascii="Times New Roman" w:hAnsi="Times New Roman" w:cs="Times New Roman"/>
          <w:lang w:val="fr-FR"/>
        </w:rPr>
        <w:t> %</w:t>
      </w:r>
      <w:r w:rsidRPr="00B62782">
        <w:rPr>
          <w:rFonts w:ascii="Times New Roman" w:hAnsi="Times New Roman" w:cs="Times New Roman"/>
          <w:lang w:val="fr-FR"/>
        </w:rPr>
        <w:t xml:space="preserve">) </w:t>
      </w:r>
      <w:r w:rsidRPr="000B46F0">
        <w:rPr>
          <w:rFonts w:ascii="Times New Roman" w:hAnsi="Times New Roman" w:cs="Times New Roman"/>
          <w:lang w:val="fr-FR"/>
        </w:rPr>
        <w:t>L’</w:t>
      </w:r>
      <w:r>
        <w:rPr>
          <w:rFonts w:ascii="Times New Roman" w:hAnsi="Times New Roman" w:cs="Times New Roman"/>
          <w:b/>
          <w:lang w:val="fr-FR"/>
        </w:rPr>
        <w:t>action</w:t>
      </w:r>
      <w:r w:rsidRPr="00B62782">
        <w:rPr>
          <w:rFonts w:ascii="Times New Roman" w:hAnsi="Times New Roman" w:cs="Times New Roman"/>
          <w:b/>
          <w:lang w:val="fr-FR"/>
        </w:rPr>
        <w:t xml:space="preserve"> 2.4</w:t>
      </w:r>
      <w:r w:rsidRPr="00224A63">
        <w:rPr>
          <w:rFonts w:ascii="Times New Roman" w:hAnsi="Times New Roman" w:cs="Times New Roman"/>
          <w:lang w:val="fr-FR"/>
        </w:rPr>
        <w:t>,</w:t>
      </w:r>
      <w:r w:rsidRPr="00B62782">
        <w:rPr>
          <w:rFonts w:ascii="Times New Roman" w:hAnsi="Times New Roman" w:cs="Times New Roman"/>
          <w:lang w:val="fr-FR"/>
        </w:rPr>
        <w:t xml:space="preserve"> concernant la réalisation d</w:t>
      </w:r>
      <w:r>
        <w:rPr>
          <w:rFonts w:ascii="Times New Roman" w:hAnsi="Times New Roman" w:cs="Times New Roman"/>
          <w:lang w:val="fr-FR"/>
        </w:rPr>
        <w:t>’</w:t>
      </w:r>
      <w:r w:rsidRPr="00B62782">
        <w:rPr>
          <w:rFonts w:ascii="Times New Roman" w:hAnsi="Times New Roman" w:cs="Times New Roman"/>
          <w:lang w:val="fr-FR"/>
        </w:rPr>
        <w:t>études d</w:t>
      </w:r>
      <w:r>
        <w:rPr>
          <w:rFonts w:ascii="Times New Roman" w:hAnsi="Times New Roman" w:cs="Times New Roman"/>
          <w:lang w:val="fr-FR"/>
        </w:rPr>
        <w:t>’</w:t>
      </w:r>
      <w:r w:rsidRPr="00B62782">
        <w:rPr>
          <w:rFonts w:ascii="Times New Roman" w:hAnsi="Times New Roman" w:cs="Times New Roman"/>
          <w:lang w:val="fr-FR"/>
        </w:rPr>
        <w:t xml:space="preserve">impact environnemental pour des projets de développement individuels et dans le contexte </w:t>
      </w:r>
      <w:r>
        <w:rPr>
          <w:rFonts w:ascii="Times New Roman" w:hAnsi="Times New Roman" w:cs="Times New Roman"/>
          <w:lang w:val="fr-FR"/>
        </w:rPr>
        <w:t xml:space="preserve">de </w:t>
      </w:r>
      <w:r w:rsidRPr="00B62782">
        <w:rPr>
          <w:rFonts w:ascii="Times New Roman" w:hAnsi="Times New Roman" w:cs="Times New Roman"/>
          <w:lang w:val="fr-FR"/>
        </w:rPr>
        <w:t>l</w:t>
      </w:r>
      <w:r>
        <w:rPr>
          <w:rFonts w:ascii="Times New Roman" w:hAnsi="Times New Roman" w:cs="Times New Roman"/>
          <w:lang w:val="fr-FR"/>
        </w:rPr>
        <w:t>’</w:t>
      </w:r>
      <w:r w:rsidRPr="00B62782">
        <w:rPr>
          <w:rFonts w:ascii="Times New Roman" w:hAnsi="Times New Roman" w:cs="Times New Roman"/>
          <w:lang w:val="fr-FR"/>
        </w:rPr>
        <w:t>aménagement stratégique du territoire au niveau régional, a été classée comme étant une autre priorité élevée.</w:t>
      </w:r>
      <w:r w:rsidRPr="004B1407">
        <w:rPr>
          <w:rFonts w:ascii="Times New Roman" w:hAnsi="Times New Roman" w:cs="Times New Roman"/>
          <w:lang w:val="fr-FR"/>
        </w:rPr>
        <w:t xml:space="preserve"> </w:t>
      </w:r>
      <w:r w:rsidRPr="00B62782">
        <w:rPr>
          <w:rFonts w:ascii="Times New Roman" w:hAnsi="Times New Roman" w:cs="Times New Roman"/>
          <w:lang w:val="fr-FR"/>
        </w:rPr>
        <w:t>La Roumanie et l</w:t>
      </w:r>
      <w:r>
        <w:rPr>
          <w:rFonts w:ascii="Times New Roman" w:hAnsi="Times New Roman" w:cs="Times New Roman"/>
          <w:lang w:val="fr-FR"/>
        </w:rPr>
        <w:t>’</w:t>
      </w:r>
      <w:r w:rsidRPr="00B62782">
        <w:rPr>
          <w:rFonts w:ascii="Times New Roman" w:hAnsi="Times New Roman" w:cs="Times New Roman"/>
          <w:lang w:val="fr-FR"/>
        </w:rPr>
        <w:t>Ukraine ont fait part de la mise en œuvre de cette action</w:t>
      </w:r>
      <w:r>
        <w:rPr>
          <w:rFonts w:ascii="Times New Roman" w:hAnsi="Times New Roman" w:cs="Times New Roman"/>
          <w:lang w:val="fr-FR"/>
        </w:rPr>
        <w:t>,</w:t>
      </w:r>
      <w:r w:rsidRPr="00B62782">
        <w:rPr>
          <w:rFonts w:ascii="Times New Roman" w:hAnsi="Times New Roman" w:cs="Times New Roman"/>
          <w:lang w:val="fr-FR"/>
        </w:rPr>
        <w:t xml:space="preserve"> et la Bulgarie a fait part </w:t>
      </w:r>
      <w:r>
        <w:rPr>
          <w:rFonts w:ascii="Times New Roman" w:hAnsi="Times New Roman" w:cs="Times New Roman"/>
          <w:lang w:val="fr-FR"/>
        </w:rPr>
        <w:t>de sa</w:t>
      </w:r>
      <w:r w:rsidRPr="00B62782">
        <w:rPr>
          <w:rFonts w:ascii="Times New Roman" w:hAnsi="Times New Roman" w:cs="Times New Roman"/>
          <w:lang w:val="fr-FR"/>
        </w:rPr>
        <w:t xml:space="preserve"> mise en œuvre partielle.</w:t>
      </w:r>
      <w:r w:rsidRPr="004B1407">
        <w:rPr>
          <w:rFonts w:ascii="Times New Roman" w:hAnsi="Times New Roman" w:cs="Times New Roman"/>
          <w:lang w:val="fr-FR"/>
        </w:rPr>
        <w:t xml:space="preserve"> </w:t>
      </w:r>
      <w:r>
        <w:rPr>
          <w:rFonts w:ascii="Times New Roman" w:hAnsi="Times New Roman" w:cs="Times New Roman"/>
          <w:lang w:val="en-US"/>
        </w:rPr>
        <w:t>(40 %)</w:t>
      </w:r>
    </w:p>
    <w:p w14:paraId="3F7A00DF" w14:textId="77777777" w:rsidR="00886A3C" w:rsidRDefault="00886A3C" w:rsidP="00886A3C">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624"/>
      </w:tblGrid>
      <w:tr w:rsidR="00886A3C" w:rsidRPr="008A2E30" w14:paraId="438E906F" w14:textId="77777777" w:rsidTr="00886A3C">
        <w:tc>
          <w:tcPr>
            <w:tcW w:w="4746" w:type="dxa"/>
          </w:tcPr>
          <w:p w14:paraId="46803005" w14:textId="77777777" w:rsidR="00886A3C" w:rsidRDefault="00886A3C" w:rsidP="00886A3C">
            <w:pPr>
              <w:jc w:val="both"/>
              <w:rPr>
                <w:rFonts w:ascii="Times New Roman" w:hAnsi="Times New Roman" w:cs="Times New Roman"/>
              </w:rPr>
            </w:pPr>
            <w:r>
              <w:rPr>
                <w:noProof/>
              </w:rPr>
              <w:drawing>
                <wp:inline distT="0" distB="0" distL="0" distR="0" wp14:anchorId="49877414" wp14:editId="6C7CEFFD">
                  <wp:extent cx="2686050" cy="223837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tc>
        <w:tc>
          <w:tcPr>
            <w:tcW w:w="4604" w:type="dxa"/>
          </w:tcPr>
          <w:p w14:paraId="3EBF14D2" w14:textId="77777777" w:rsidR="00886A3C" w:rsidRDefault="00886A3C" w:rsidP="00886A3C">
            <w:pPr>
              <w:jc w:val="both"/>
              <w:rPr>
                <w:rFonts w:ascii="Times New Roman" w:hAnsi="Times New Roman" w:cs="Times New Roman"/>
              </w:rPr>
            </w:pPr>
            <w:r>
              <w:rPr>
                <w:noProof/>
              </w:rPr>
              <w:drawing>
                <wp:inline distT="0" distB="0" distL="0" distR="0" wp14:anchorId="100FBD1E" wp14:editId="46D6D348">
                  <wp:extent cx="2809875" cy="22574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r>
    </w:tbl>
    <w:p w14:paraId="4F47CB7D" w14:textId="77777777" w:rsidR="00886A3C" w:rsidRDefault="00886A3C" w:rsidP="00886A3C">
      <w:pPr>
        <w:spacing w:after="0" w:line="240" w:lineRule="auto"/>
        <w:jc w:val="both"/>
        <w:rPr>
          <w:rFonts w:ascii="Times New Roman" w:hAnsi="Times New Roman" w:cs="Times New Roman"/>
          <w:lang w:val="en-US"/>
        </w:rPr>
      </w:pPr>
    </w:p>
    <w:p w14:paraId="10565A19" w14:textId="77777777" w:rsidR="00886A3C" w:rsidRDefault="00886A3C" w:rsidP="00886A3C">
      <w:pPr>
        <w:spacing w:after="0" w:line="240" w:lineRule="auto"/>
        <w:ind w:left="709" w:firstLine="709"/>
        <w:jc w:val="both"/>
        <w:rPr>
          <w:rFonts w:ascii="Times New Roman" w:hAnsi="Times New Roman" w:cs="Times New Roman"/>
          <w:lang w:val="en-US"/>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Oui</w:t>
      </w:r>
      <w:r w:rsidRPr="00403C55">
        <w:rPr>
          <w:rFonts w:ascii="Times New Roman" w:hAnsi="Times New Roman" w:cs="Times New Roman"/>
          <w:lang w:val="fr-FR"/>
        </w:rPr>
        <w:tab/>
        <w:t>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623"/>
      </w:tblGrid>
      <w:tr w:rsidR="00886A3C" w:rsidRPr="008A2E30" w14:paraId="0BAF50AB" w14:textId="77777777" w:rsidTr="00886A3C">
        <w:tc>
          <w:tcPr>
            <w:tcW w:w="4716" w:type="dxa"/>
          </w:tcPr>
          <w:p w14:paraId="5BCB22D5" w14:textId="77777777" w:rsidR="00886A3C" w:rsidRDefault="00886A3C" w:rsidP="00886A3C">
            <w:pPr>
              <w:jc w:val="both"/>
              <w:rPr>
                <w:rFonts w:ascii="Times New Roman" w:hAnsi="Times New Roman" w:cs="Times New Roman"/>
              </w:rPr>
            </w:pPr>
            <w:r>
              <w:rPr>
                <w:noProof/>
              </w:rPr>
              <w:drawing>
                <wp:inline distT="0" distB="0" distL="0" distR="0" wp14:anchorId="3A745184" wp14:editId="1B67FF0F">
                  <wp:extent cx="2752725" cy="2238375"/>
                  <wp:effectExtent l="0" t="0" r="952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c>
          <w:tcPr>
            <w:tcW w:w="4634" w:type="dxa"/>
          </w:tcPr>
          <w:p w14:paraId="1B043699" w14:textId="77777777" w:rsidR="00886A3C" w:rsidRDefault="00886A3C" w:rsidP="00886A3C">
            <w:pPr>
              <w:jc w:val="both"/>
              <w:rPr>
                <w:rFonts w:ascii="Times New Roman" w:hAnsi="Times New Roman" w:cs="Times New Roman"/>
              </w:rPr>
            </w:pPr>
            <w:r>
              <w:rPr>
                <w:noProof/>
              </w:rPr>
              <w:drawing>
                <wp:inline distT="0" distB="0" distL="0" distR="0" wp14:anchorId="7FB0AE93" wp14:editId="38262C39">
                  <wp:extent cx="2867025" cy="2219325"/>
                  <wp:effectExtent l="0" t="0" r="952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r>
    </w:tbl>
    <w:p w14:paraId="5FB675BA" w14:textId="77777777" w:rsidR="00886A3C" w:rsidRDefault="00886A3C" w:rsidP="00886A3C">
      <w:pPr>
        <w:spacing w:after="0" w:line="240" w:lineRule="auto"/>
        <w:jc w:val="both"/>
        <w:rPr>
          <w:rFonts w:ascii="Times New Roman" w:hAnsi="Times New Roman" w:cs="Times New Roman"/>
          <w:lang w:val="en-US"/>
        </w:rPr>
      </w:pPr>
    </w:p>
    <w:p w14:paraId="75CF56F4" w14:textId="77777777" w:rsidR="00886A3C" w:rsidRDefault="00886A3C" w:rsidP="00886A3C">
      <w:pPr>
        <w:spacing w:after="0" w:line="240" w:lineRule="auto"/>
        <w:ind w:firstLine="709"/>
        <w:jc w:val="both"/>
        <w:rPr>
          <w:rFonts w:ascii="Times New Roman" w:hAnsi="Times New Roman" w:cs="Times New Roman"/>
          <w:b/>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p>
    <w:p w14:paraId="2E47CE8B" w14:textId="77777777" w:rsidR="00886A3C" w:rsidRDefault="00886A3C" w:rsidP="00886A3C">
      <w:pPr>
        <w:spacing w:after="0" w:line="240" w:lineRule="auto"/>
        <w:jc w:val="both"/>
        <w:rPr>
          <w:rFonts w:ascii="Times New Roman" w:hAnsi="Times New Roman" w:cs="Times New Roman"/>
          <w:b/>
          <w:lang w:val="fr-FR"/>
        </w:rPr>
      </w:pPr>
    </w:p>
    <w:p w14:paraId="13CB86BC" w14:textId="77777777" w:rsidR="00886A3C" w:rsidRDefault="00886A3C" w:rsidP="00886A3C">
      <w:pPr>
        <w:spacing w:after="0" w:line="240" w:lineRule="auto"/>
        <w:jc w:val="both"/>
        <w:rPr>
          <w:rFonts w:ascii="Times New Roman" w:hAnsi="Times New Roman" w:cs="Times New Roman"/>
          <w:lang w:val="en-US"/>
        </w:rPr>
      </w:pPr>
      <w:r w:rsidRPr="000B46F0">
        <w:rPr>
          <w:rFonts w:ascii="Times New Roman" w:hAnsi="Times New Roman" w:cs="Times New Roman"/>
          <w:lang w:val="fr-FR"/>
        </w:rPr>
        <w:t>L’</w:t>
      </w:r>
      <w:r>
        <w:rPr>
          <w:rFonts w:ascii="Times New Roman" w:hAnsi="Times New Roman" w:cs="Times New Roman"/>
          <w:b/>
          <w:lang w:val="fr-FR"/>
        </w:rPr>
        <w:t>action</w:t>
      </w:r>
      <w:r w:rsidRPr="00B62782">
        <w:rPr>
          <w:rFonts w:ascii="Times New Roman" w:hAnsi="Times New Roman" w:cs="Times New Roman"/>
          <w:b/>
          <w:lang w:val="fr-FR"/>
        </w:rPr>
        <w:t xml:space="preserve"> 2.5</w:t>
      </w:r>
      <w:r w:rsidRPr="00246253">
        <w:rPr>
          <w:rFonts w:ascii="Times New Roman" w:hAnsi="Times New Roman" w:cs="Times New Roman"/>
          <w:lang w:val="fr-FR"/>
        </w:rPr>
        <w:t xml:space="preserve">, </w:t>
      </w:r>
      <w:r w:rsidRPr="00B62782">
        <w:rPr>
          <w:rFonts w:ascii="Times New Roman" w:hAnsi="Times New Roman" w:cs="Times New Roman"/>
          <w:lang w:val="fr-FR"/>
        </w:rPr>
        <w:t>sur le développement d</w:t>
      </w:r>
      <w:r>
        <w:rPr>
          <w:rFonts w:ascii="Times New Roman" w:hAnsi="Times New Roman" w:cs="Times New Roman"/>
          <w:lang w:val="fr-FR"/>
        </w:rPr>
        <w:t>’</w:t>
      </w:r>
      <w:r w:rsidRPr="00B62782">
        <w:rPr>
          <w:rFonts w:ascii="Times New Roman" w:hAnsi="Times New Roman" w:cs="Times New Roman"/>
          <w:lang w:val="fr-FR"/>
        </w:rPr>
        <w:t>une guidance destinée aux autorités et aux concepteurs sur les dangers courus par la Bernache à cou roux</w:t>
      </w:r>
      <w:r>
        <w:rPr>
          <w:rFonts w:ascii="Times New Roman" w:hAnsi="Times New Roman" w:cs="Times New Roman"/>
          <w:lang w:val="fr-FR"/>
        </w:rPr>
        <w:t>,</w:t>
      </w:r>
      <w:r w:rsidRPr="00B62782">
        <w:rPr>
          <w:rFonts w:ascii="Times New Roman" w:hAnsi="Times New Roman" w:cs="Times New Roman"/>
          <w:lang w:val="fr-FR"/>
        </w:rPr>
        <w:t xml:space="preserve"> ainsi que l</w:t>
      </w:r>
      <w:r>
        <w:rPr>
          <w:rFonts w:ascii="Times New Roman" w:hAnsi="Times New Roman" w:cs="Times New Roman"/>
          <w:lang w:val="fr-FR"/>
        </w:rPr>
        <w:t>’</w:t>
      </w:r>
      <w:r>
        <w:rPr>
          <w:rFonts w:ascii="Times New Roman" w:hAnsi="Times New Roman" w:cs="Times New Roman"/>
          <w:b/>
          <w:lang w:val="fr-FR"/>
        </w:rPr>
        <w:t>a</w:t>
      </w:r>
      <w:r w:rsidRPr="00B62782">
        <w:rPr>
          <w:rFonts w:ascii="Times New Roman" w:hAnsi="Times New Roman" w:cs="Times New Roman"/>
          <w:b/>
          <w:lang w:val="fr-FR"/>
        </w:rPr>
        <w:t>ction 2.6</w:t>
      </w:r>
      <w:r w:rsidRPr="00246253">
        <w:rPr>
          <w:rFonts w:ascii="Times New Roman" w:hAnsi="Times New Roman" w:cs="Times New Roman"/>
          <w:lang w:val="fr-FR"/>
        </w:rPr>
        <w:t xml:space="preserve">, </w:t>
      </w:r>
      <w:r w:rsidRPr="00B62782">
        <w:rPr>
          <w:rFonts w:ascii="Times New Roman" w:hAnsi="Times New Roman" w:cs="Times New Roman"/>
          <w:lang w:val="fr-FR"/>
        </w:rPr>
        <w:t>sur la documentation et la diffusion des études de cas des meilleures pratiques pour les études d</w:t>
      </w:r>
      <w:r>
        <w:rPr>
          <w:rFonts w:ascii="Times New Roman" w:hAnsi="Times New Roman" w:cs="Times New Roman"/>
          <w:lang w:val="fr-FR"/>
        </w:rPr>
        <w:t>’</w:t>
      </w:r>
      <w:r w:rsidRPr="00B62782">
        <w:rPr>
          <w:rFonts w:ascii="Times New Roman" w:hAnsi="Times New Roman" w:cs="Times New Roman"/>
          <w:lang w:val="fr-FR"/>
        </w:rPr>
        <w:t>impact environnemental</w:t>
      </w:r>
      <w:r>
        <w:rPr>
          <w:rFonts w:ascii="Times New Roman" w:hAnsi="Times New Roman" w:cs="Times New Roman"/>
          <w:lang w:val="fr-FR"/>
        </w:rPr>
        <w:t xml:space="preserve"> (EIE)</w:t>
      </w:r>
      <w:r w:rsidRPr="00B62782">
        <w:rPr>
          <w:rFonts w:ascii="Times New Roman" w:hAnsi="Times New Roman" w:cs="Times New Roman"/>
          <w:lang w:val="fr-FR"/>
        </w:rPr>
        <w:t xml:space="preserve"> et les mesures d</w:t>
      </w:r>
      <w:r>
        <w:rPr>
          <w:rFonts w:ascii="Times New Roman" w:hAnsi="Times New Roman" w:cs="Times New Roman"/>
          <w:lang w:val="fr-FR"/>
        </w:rPr>
        <w:t>’</w:t>
      </w:r>
      <w:r w:rsidRPr="00B62782">
        <w:rPr>
          <w:rFonts w:ascii="Times New Roman" w:hAnsi="Times New Roman" w:cs="Times New Roman"/>
          <w:lang w:val="fr-FR"/>
        </w:rPr>
        <w:t>atténuation</w:t>
      </w:r>
      <w:r>
        <w:rPr>
          <w:rFonts w:ascii="Times New Roman" w:hAnsi="Times New Roman" w:cs="Times New Roman"/>
          <w:lang w:val="fr-FR"/>
        </w:rPr>
        <w:t>,</w:t>
      </w:r>
      <w:r w:rsidRPr="00B62782">
        <w:rPr>
          <w:rFonts w:ascii="Times New Roman" w:hAnsi="Times New Roman" w:cs="Times New Roman"/>
          <w:lang w:val="fr-FR"/>
        </w:rPr>
        <w:t xml:space="preserve"> ont été classées comme ayant une priorité moyenne.</w:t>
      </w:r>
      <w:r w:rsidRPr="004B1407">
        <w:rPr>
          <w:rFonts w:ascii="Times New Roman" w:hAnsi="Times New Roman" w:cs="Times New Roman"/>
          <w:lang w:val="fr-FR"/>
        </w:rPr>
        <w:t xml:space="preserve"> </w:t>
      </w:r>
      <w:r w:rsidRPr="00B62782">
        <w:rPr>
          <w:rFonts w:ascii="Times New Roman" w:hAnsi="Times New Roman" w:cs="Times New Roman"/>
          <w:lang w:val="fr-FR"/>
        </w:rPr>
        <w:t>La</w:t>
      </w:r>
      <w:r>
        <w:rPr>
          <w:rFonts w:ascii="Times New Roman" w:hAnsi="Times New Roman" w:cs="Times New Roman"/>
          <w:lang w:val="fr-FR"/>
        </w:rPr>
        <w:t xml:space="preserve"> </w:t>
      </w:r>
      <w:r w:rsidRPr="00B62782">
        <w:rPr>
          <w:rFonts w:ascii="Times New Roman" w:hAnsi="Times New Roman" w:cs="Times New Roman"/>
          <w:lang w:val="fr-FR"/>
        </w:rPr>
        <w:t>Bulgarie et la Russie ont fait part de la mise en œuvre de l</w:t>
      </w:r>
      <w:r>
        <w:rPr>
          <w:rFonts w:ascii="Times New Roman" w:hAnsi="Times New Roman" w:cs="Times New Roman"/>
          <w:lang w:val="fr-FR"/>
        </w:rPr>
        <w:t>’</w:t>
      </w:r>
      <w:r w:rsidRPr="00B62782">
        <w:rPr>
          <w:rFonts w:ascii="Times New Roman" w:hAnsi="Times New Roman" w:cs="Times New Roman"/>
          <w:lang w:val="fr-FR"/>
        </w:rPr>
        <w:t>action 2.5 et l</w:t>
      </w:r>
      <w:r>
        <w:rPr>
          <w:rFonts w:ascii="Times New Roman" w:hAnsi="Times New Roman" w:cs="Times New Roman"/>
          <w:lang w:val="fr-FR"/>
        </w:rPr>
        <w:t>’</w:t>
      </w:r>
      <w:r w:rsidRPr="00B62782">
        <w:rPr>
          <w:rFonts w:ascii="Times New Roman" w:hAnsi="Times New Roman" w:cs="Times New Roman"/>
          <w:lang w:val="fr-FR"/>
        </w:rPr>
        <w:t>Ukraine d</w:t>
      </w:r>
      <w:r>
        <w:rPr>
          <w:rFonts w:ascii="Times New Roman" w:hAnsi="Times New Roman" w:cs="Times New Roman"/>
          <w:lang w:val="fr-FR"/>
        </w:rPr>
        <w:t>’</w:t>
      </w:r>
      <w:r w:rsidRPr="00B62782">
        <w:rPr>
          <w:rFonts w:ascii="Times New Roman" w:hAnsi="Times New Roman" w:cs="Times New Roman"/>
          <w:lang w:val="fr-FR"/>
        </w:rPr>
        <w:t>une mise en œuvre partielle.</w:t>
      </w:r>
      <w:r w:rsidRPr="004B1407">
        <w:rPr>
          <w:rFonts w:ascii="Times New Roman" w:hAnsi="Times New Roman" w:cs="Times New Roman"/>
          <w:lang w:val="fr-FR"/>
        </w:rPr>
        <w:t xml:space="preserve"> </w:t>
      </w:r>
      <w:r w:rsidRPr="00B62782">
        <w:rPr>
          <w:rFonts w:ascii="Times New Roman" w:hAnsi="Times New Roman" w:cs="Times New Roman"/>
          <w:lang w:val="fr-FR"/>
        </w:rPr>
        <w:t>(40</w:t>
      </w:r>
      <w:r>
        <w:rPr>
          <w:rFonts w:ascii="Times New Roman" w:hAnsi="Times New Roman" w:cs="Times New Roman"/>
          <w:lang w:val="fr-FR"/>
        </w:rPr>
        <w:t> %</w:t>
      </w:r>
      <w:r w:rsidRPr="00B62782">
        <w:rPr>
          <w:rFonts w:ascii="Times New Roman" w:hAnsi="Times New Roman" w:cs="Times New Roman"/>
          <w:lang w:val="fr-FR"/>
        </w:rPr>
        <w:t>) La</w:t>
      </w:r>
      <w:r>
        <w:rPr>
          <w:rFonts w:ascii="Times New Roman" w:hAnsi="Times New Roman" w:cs="Times New Roman"/>
          <w:lang w:val="fr-FR"/>
        </w:rPr>
        <w:t xml:space="preserve"> </w:t>
      </w:r>
      <w:r w:rsidRPr="00B62782">
        <w:rPr>
          <w:rFonts w:ascii="Times New Roman" w:hAnsi="Times New Roman" w:cs="Times New Roman"/>
          <w:lang w:val="fr-FR"/>
        </w:rPr>
        <w:t>Bulgarie et la Russie ont</w:t>
      </w:r>
      <w:r>
        <w:rPr>
          <w:rFonts w:ascii="Times New Roman" w:hAnsi="Times New Roman" w:cs="Times New Roman"/>
          <w:lang w:val="fr-FR"/>
        </w:rPr>
        <w:t xml:space="preserve"> </w:t>
      </w:r>
      <w:r w:rsidRPr="00B62782">
        <w:rPr>
          <w:rFonts w:ascii="Times New Roman" w:hAnsi="Times New Roman" w:cs="Times New Roman"/>
          <w:lang w:val="fr-FR"/>
        </w:rPr>
        <w:t>toutes deux fait part de la mise en œuvre de l</w:t>
      </w:r>
      <w:r>
        <w:rPr>
          <w:rFonts w:ascii="Times New Roman" w:hAnsi="Times New Roman" w:cs="Times New Roman"/>
          <w:lang w:val="fr-FR"/>
        </w:rPr>
        <w:t>’</w:t>
      </w:r>
      <w:r w:rsidRPr="00B62782">
        <w:rPr>
          <w:rFonts w:ascii="Times New Roman" w:hAnsi="Times New Roman" w:cs="Times New Roman"/>
          <w:lang w:val="fr-FR"/>
        </w:rPr>
        <w:t>action 2.6.</w:t>
      </w:r>
      <w:r w:rsidRPr="004B1407">
        <w:rPr>
          <w:rFonts w:ascii="Times New Roman" w:hAnsi="Times New Roman" w:cs="Times New Roman"/>
          <w:lang w:val="fr-FR"/>
        </w:rPr>
        <w:t xml:space="preserve"> </w:t>
      </w:r>
      <w:r>
        <w:rPr>
          <w:rFonts w:ascii="Times New Roman" w:hAnsi="Times New Roman" w:cs="Times New Roman"/>
          <w:lang w:val="en-US"/>
        </w:rPr>
        <w:t>(40 %)</w:t>
      </w:r>
    </w:p>
    <w:p w14:paraId="01FCA4C8" w14:textId="77777777" w:rsidR="00886A3C" w:rsidRDefault="00886A3C" w:rsidP="00886A3C">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685"/>
      </w:tblGrid>
      <w:tr w:rsidR="00886A3C" w14:paraId="4594F5B8" w14:textId="77777777" w:rsidTr="00886A3C">
        <w:tc>
          <w:tcPr>
            <w:tcW w:w="4630" w:type="dxa"/>
          </w:tcPr>
          <w:p w14:paraId="544A2EE6" w14:textId="77777777" w:rsidR="00886A3C" w:rsidRDefault="00886A3C" w:rsidP="00886A3C">
            <w:pPr>
              <w:jc w:val="both"/>
              <w:rPr>
                <w:rFonts w:ascii="Times New Roman" w:hAnsi="Times New Roman" w:cs="Times New Roman"/>
              </w:rPr>
            </w:pPr>
            <w:r>
              <w:rPr>
                <w:noProof/>
              </w:rPr>
              <w:lastRenderedPageBreak/>
              <w:drawing>
                <wp:inline distT="0" distB="0" distL="0" distR="0" wp14:anchorId="2B7B530F" wp14:editId="352E43D0">
                  <wp:extent cx="2638425" cy="2219325"/>
                  <wp:effectExtent l="0" t="0" r="9525" b="9525"/>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c>
          <w:tcPr>
            <w:tcW w:w="4656" w:type="dxa"/>
          </w:tcPr>
          <w:p w14:paraId="3CF607C5" w14:textId="77777777" w:rsidR="00886A3C" w:rsidRDefault="00886A3C" w:rsidP="00886A3C">
            <w:pPr>
              <w:jc w:val="both"/>
              <w:rPr>
                <w:rFonts w:ascii="Times New Roman" w:hAnsi="Times New Roman" w:cs="Times New Roman"/>
              </w:rPr>
            </w:pPr>
            <w:r>
              <w:rPr>
                <w:noProof/>
              </w:rPr>
              <w:drawing>
                <wp:inline distT="0" distB="0" distL="0" distR="0" wp14:anchorId="4AEC427A" wp14:editId="64BF19D6">
                  <wp:extent cx="2819400" cy="2219325"/>
                  <wp:effectExtent l="0" t="0" r="19050" b="9525"/>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tc>
      </w:tr>
    </w:tbl>
    <w:p w14:paraId="7EA375EC" w14:textId="77777777" w:rsidR="00886A3C" w:rsidRPr="004B1407" w:rsidRDefault="00886A3C" w:rsidP="00886A3C">
      <w:pPr>
        <w:spacing w:after="0" w:line="240" w:lineRule="auto"/>
        <w:ind w:firstLine="709"/>
        <w:jc w:val="both"/>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p>
    <w:p w14:paraId="5FEFD605" w14:textId="77777777" w:rsidR="00886A3C" w:rsidRDefault="00886A3C" w:rsidP="00886A3C">
      <w:pPr>
        <w:spacing w:after="0" w:line="240" w:lineRule="auto"/>
        <w:jc w:val="both"/>
        <w:rPr>
          <w:rFonts w:ascii="Times New Roman" w:hAnsi="Times New Roman" w:cs="Times New Roman"/>
          <w:b/>
          <w:lang w:val="fr-FR"/>
        </w:rPr>
      </w:pPr>
    </w:p>
    <w:p w14:paraId="0EF25E41" w14:textId="77777777" w:rsidR="00886A3C" w:rsidRDefault="00886A3C" w:rsidP="00886A3C">
      <w:pPr>
        <w:spacing w:after="0" w:line="240" w:lineRule="auto"/>
        <w:jc w:val="both"/>
        <w:rPr>
          <w:rFonts w:ascii="Times New Roman" w:hAnsi="Times New Roman" w:cs="Times New Roman"/>
          <w:lang w:val="en-US"/>
        </w:rPr>
      </w:pPr>
      <w:r w:rsidRPr="000B46F0">
        <w:rPr>
          <w:rFonts w:ascii="Times New Roman" w:hAnsi="Times New Roman" w:cs="Times New Roman"/>
          <w:lang w:val="fr-FR"/>
        </w:rPr>
        <w:t>L’</w:t>
      </w:r>
      <w:r>
        <w:rPr>
          <w:rFonts w:ascii="Times New Roman" w:hAnsi="Times New Roman" w:cs="Times New Roman"/>
          <w:b/>
          <w:lang w:val="fr-FR"/>
        </w:rPr>
        <w:t>a</w:t>
      </w:r>
      <w:r w:rsidRPr="008E5FDA">
        <w:rPr>
          <w:rFonts w:ascii="Times New Roman" w:hAnsi="Times New Roman" w:cs="Times New Roman"/>
          <w:b/>
          <w:lang w:val="fr-FR"/>
        </w:rPr>
        <w:t>ction 2.7</w:t>
      </w:r>
      <w:r w:rsidRPr="008E5FDA">
        <w:rPr>
          <w:rFonts w:ascii="Times New Roman" w:hAnsi="Times New Roman" w:cs="Times New Roman"/>
          <w:lang w:val="fr-FR"/>
        </w:rPr>
        <w:t>, se rapportant à la désignation en tant que sites protégés des sites clés (repos, proche hinterland et aires d</w:t>
      </w:r>
      <w:r>
        <w:rPr>
          <w:rFonts w:ascii="Times New Roman" w:hAnsi="Times New Roman" w:cs="Times New Roman"/>
          <w:lang w:val="fr-FR"/>
        </w:rPr>
        <w:t>’</w:t>
      </w:r>
      <w:r w:rsidRPr="008E5FDA">
        <w:rPr>
          <w:rFonts w:ascii="Times New Roman" w:hAnsi="Times New Roman" w:cs="Times New Roman"/>
          <w:lang w:val="fr-FR"/>
        </w:rPr>
        <w:t>alimentation clés semi-naturelles) afin d</w:t>
      </w:r>
      <w:r>
        <w:rPr>
          <w:rFonts w:ascii="Times New Roman" w:hAnsi="Times New Roman" w:cs="Times New Roman"/>
          <w:lang w:val="fr-FR"/>
        </w:rPr>
        <w:t>’</w:t>
      </w:r>
      <w:r w:rsidRPr="008E5FDA">
        <w:rPr>
          <w:rFonts w:ascii="Times New Roman" w:hAnsi="Times New Roman" w:cs="Times New Roman"/>
          <w:lang w:val="fr-FR"/>
        </w:rPr>
        <w:t>éviter des projets de développement dans les limites de leurs frontières et de renforcer la sensibilisation parmi les concepteurs à l</w:t>
      </w:r>
      <w:r>
        <w:rPr>
          <w:rFonts w:ascii="Times New Roman" w:hAnsi="Times New Roman" w:cs="Times New Roman"/>
          <w:lang w:val="fr-FR"/>
        </w:rPr>
        <w:t>’</w:t>
      </w:r>
      <w:r w:rsidRPr="008E5FDA">
        <w:rPr>
          <w:rFonts w:ascii="Times New Roman" w:hAnsi="Times New Roman" w:cs="Times New Roman"/>
          <w:lang w:val="fr-FR"/>
        </w:rPr>
        <w:t>importance des sites protégés, a été classée comme ayant une priorité élevée.</w:t>
      </w:r>
      <w:r w:rsidRPr="004B1407">
        <w:rPr>
          <w:rFonts w:ascii="Times New Roman" w:hAnsi="Times New Roman" w:cs="Times New Roman"/>
          <w:lang w:val="fr-FR"/>
        </w:rPr>
        <w:t xml:space="preserve"> </w:t>
      </w:r>
      <w:r w:rsidRPr="008E5FDA">
        <w:rPr>
          <w:rFonts w:ascii="Times New Roman" w:hAnsi="Times New Roman" w:cs="Times New Roman"/>
          <w:lang w:val="fr-FR"/>
        </w:rPr>
        <w:t>La Bulgarie, le Kazakhstan et la Roumanie ont fait part de la mise en œuvre de cette action, et l</w:t>
      </w:r>
      <w:r>
        <w:rPr>
          <w:rFonts w:ascii="Times New Roman" w:hAnsi="Times New Roman" w:cs="Times New Roman"/>
          <w:lang w:val="fr-FR"/>
        </w:rPr>
        <w:t>’</w:t>
      </w:r>
      <w:r w:rsidRPr="008E5FDA">
        <w:rPr>
          <w:rFonts w:ascii="Times New Roman" w:hAnsi="Times New Roman" w:cs="Times New Roman"/>
          <w:lang w:val="fr-FR"/>
        </w:rPr>
        <w:t xml:space="preserve">Ukraine a fait part </w:t>
      </w:r>
      <w:r>
        <w:rPr>
          <w:rFonts w:ascii="Times New Roman" w:hAnsi="Times New Roman" w:cs="Times New Roman"/>
          <w:lang w:val="fr-FR"/>
        </w:rPr>
        <w:t>de sa</w:t>
      </w:r>
      <w:r w:rsidRPr="008E5FDA">
        <w:rPr>
          <w:rFonts w:ascii="Times New Roman" w:hAnsi="Times New Roman" w:cs="Times New Roman"/>
          <w:lang w:val="fr-FR"/>
        </w:rPr>
        <w:t xml:space="preserve"> mise en œuvre partielle.</w:t>
      </w:r>
      <w:r w:rsidRPr="004B1407">
        <w:rPr>
          <w:rFonts w:ascii="Times New Roman" w:hAnsi="Times New Roman" w:cs="Times New Roman"/>
          <w:lang w:val="fr-FR"/>
        </w:rPr>
        <w:t xml:space="preserve"> </w:t>
      </w:r>
      <w:r>
        <w:rPr>
          <w:rFonts w:ascii="Times New Roman" w:hAnsi="Times New Roman" w:cs="Times New Roman"/>
          <w:lang w:val="en-US"/>
        </w:rPr>
        <w:t>(60 %)</w:t>
      </w:r>
    </w:p>
    <w:p w14:paraId="03168E54" w14:textId="77777777" w:rsidR="00886A3C" w:rsidRDefault="00886A3C" w:rsidP="00886A3C">
      <w:pPr>
        <w:spacing w:after="0" w:line="240" w:lineRule="auto"/>
        <w:jc w:val="both"/>
        <w:rPr>
          <w:rFonts w:ascii="Times New Roman" w:hAnsi="Times New Roman" w:cs="Times New Roman"/>
          <w:lang w:val="en-US"/>
        </w:rPr>
      </w:pPr>
    </w:p>
    <w:p w14:paraId="135ECE29" w14:textId="77777777" w:rsidR="00886A3C" w:rsidRDefault="00886A3C" w:rsidP="00886A3C">
      <w:pPr>
        <w:spacing w:after="0" w:line="240" w:lineRule="auto"/>
        <w:jc w:val="both"/>
        <w:rPr>
          <w:rFonts w:ascii="Times New Roman" w:hAnsi="Times New Roman" w:cs="Times New Roman"/>
          <w:lang w:val="en-US"/>
        </w:rPr>
      </w:pPr>
      <w:r>
        <w:rPr>
          <w:noProof/>
          <w:lang w:val="en-US"/>
        </w:rPr>
        <w:drawing>
          <wp:inline distT="0" distB="0" distL="0" distR="0" wp14:anchorId="124F0694" wp14:editId="7CBC1B74">
            <wp:extent cx="2409825" cy="2162175"/>
            <wp:effectExtent l="0" t="0" r="9525" b="9525"/>
            <wp:docPr id="260" name="Chart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3717C3BA" w14:textId="77777777" w:rsidR="00886A3C" w:rsidRDefault="00886A3C" w:rsidP="00886A3C">
      <w:pPr>
        <w:spacing w:after="0" w:line="240" w:lineRule="auto"/>
        <w:rPr>
          <w:rFonts w:ascii="Times New Roman" w:hAnsi="Times New Roman" w:cs="Times New Roman"/>
          <w:b/>
          <w:lang w:val="en-US"/>
        </w:rPr>
      </w:pPr>
    </w:p>
    <w:p w14:paraId="25BC9655" w14:textId="77777777" w:rsidR="00886A3C" w:rsidRPr="004B1407" w:rsidRDefault="00886A3C" w:rsidP="00886A3C">
      <w:pPr>
        <w:spacing w:after="0" w:line="240" w:lineRule="auto"/>
        <w:ind w:firstLine="709"/>
        <w:rPr>
          <w:rFonts w:ascii="Times New Roman" w:hAnsi="Times New Roman" w:cs="Times New Roman"/>
          <w:b/>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p>
    <w:p w14:paraId="4EDFF399" w14:textId="77777777" w:rsidR="00886A3C" w:rsidRDefault="00886A3C" w:rsidP="00886A3C">
      <w:pPr>
        <w:spacing w:after="0" w:line="240" w:lineRule="auto"/>
        <w:rPr>
          <w:rFonts w:ascii="Times New Roman" w:hAnsi="Times New Roman" w:cs="Times New Roman"/>
          <w:b/>
          <w:lang w:val="fr-FR"/>
        </w:rPr>
      </w:pPr>
    </w:p>
    <w:p w14:paraId="009121AF" w14:textId="77777777" w:rsidR="00886A3C" w:rsidRPr="004B1407" w:rsidRDefault="00886A3C" w:rsidP="00886A3C">
      <w:pPr>
        <w:spacing w:after="0" w:line="240" w:lineRule="auto"/>
        <w:rPr>
          <w:rFonts w:ascii="Times New Roman" w:hAnsi="Times New Roman" w:cs="Times New Roman"/>
          <w:b/>
          <w:lang w:val="fr-FR"/>
        </w:rPr>
      </w:pPr>
      <w:r w:rsidRPr="008E5FDA">
        <w:rPr>
          <w:rFonts w:ascii="Times New Roman" w:hAnsi="Times New Roman" w:cs="Times New Roman"/>
          <w:b/>
          <w:lang w:val="fr-FR"/>
        </w:rPr>
        <w:t>Taux moyen de mise en œuvre :</w:t>
      </w:r>
      <w:r w:rsidRPr="004B1407">
        <w:rPr>
          <w:rFonts w:ascii="Times New Roman" w:hAnsi="Times New Roman" w:cs="Times New Roman"/>
          <w:b/>
          <w:lang w:val="fr-FR"/>
        </w:rPr>
        <w:t xml:space="preserve"> 39 %</w:t>
      </w:r>
    </w:p>
    <w:p w14:paraId="5AC5D5AB" w14:textId="77777777" w:rsidR="00886A3C" w:rsidRPr="004B1407" w:rsidRDefault="00886A3C" w:rsidP="00886A3C">
      <w:pPr>
        <w:spacing w:after="0" w:line="240" w:lineRule="auto"/>
        <w:rPr>
          <w:rFonts w:ascii="Arial" w:hAnsi="Arial" w:cs="Arial"/>
          <w:sz w:val="20"/>
          <w:szCs w:val="20"/>
          <w:lang w:val="fr-FR"/>
        </w:rPr>
      </w:pPr>
    </w:p>
    <w:p w14:paraId="72A2E992" w14:textId="77777777" w:rsidR="00886A3C" w:rsidRPr="004B1407" w:rsidRDefault="00886A3C" w:rsidP="00886A3C">
      <w:pPr>
        <w:spacing w:after="0" w:line="240" w:lineRule="auto"/>
        <w:rPr>
          <w:rFonts w:ascii="Times New Roman" w:hAnsi="Times New Roman" w:cs="Times New Roman"/>
          <w:i/>
          <w:lang w:val="fr-FR"/>
        </w:rPr>
      </w:pPr>
      <w:r w:rsidRPr="008E5FDA">
        <w:rPr>
          <w:rFonts w:ascii="Times New Roman" w:hAnsi="Times New Roman" w:cs="Times New Roman"/>
          <w:i/>
          <w:lang w:val="fr-FR"/>
        </w:rPr>
        <w:t xml:space="preserve">5.3. Résultat 3 </w:t>
      </w:r>
      <w:r>
        <w:rPr>
          <w:rFonts w:ascii="Times New Roman" w:hAnsi="Times New Roman" w:cs="Times New Roman"/>
          <w:i/>
          <w:lang w:val="fr-FR"/>
        </w:rPr>
        <w:t xml:space="preserve">– Réduction des </w:t>
      </w:r>
      <w:r w:rsidRPr="008E5FDA">
        <w:rPr>
          <w:rFonts w:ascii="Times New Roman" w:hAnsi="Times New Roman" w:cs="Times New Roman"/>
          <w:i/>
          <w:lang w:val="fr-FR"/>
        </w:rPr>
        <w:t>projets de développement préjudiciables dans les</w:t>
      </w:r>
      <w:r>
        <w:rPr>
          <w:rFonts w:ascii="Times New Roman" w:hAnsi="Times New Roman" w:cs="Times New Roman"/>
          <w:i/>
          <w:lang w:val="fr-FR"/>
        </w:rPr>
        <w:t xml:space="preserve"> </w:t>
      </w:r>
      <w:r w:rsidRPr="008E5FDA">
        <w:rPr>
          <w:rFonts w:ascii="Times New Roman" w:hAnsi="Times New Roman" w:cs="Times New Roman"/>
          <w:i/>
          <w:lang w:val="fr-FR"/>
        </w:rPr>
        <w:t xml:space="preserve">sites de reproduction </w:t>
      </w:r>
    </w:p>
    <w:p w14:paraId="6EE77348" w14:textId="77777777" w:rsidR="00886A3C" w:rsidRPr="004B1407" w:rsidRDefault="00886A3C" w:rsidP="00886A3C">
      <w:pPr>
        <w:spacing w:after="0" w:line="240" w:lineRule="auto"/>
        <w:rPr>
          <w:rFonts w:ascii="Times New Roman" w:hAnsi="Times New Roman" w:cs="Times New Roman"/>
          <w:lang w:val="fr-FR"/>
        </w:rPr>
      </w:pPr>
    </w:p>
    <w:p w14:paraId="403E8B11" w14:textId="77777777" w:rsidR="00886A3C" w:rsidRPr="004B1407" w:rsidRDefault="00886A3C" w:rsidP="00886A3C">
      <w:pPr>
        <w:spacing w:after="0" w:line="240" w:lineRule="auto"/>
        <w:jc w:val="both"/>
        <w:rPr>
          <w:rFonts w:ascii="Times New Roman" w:hAnsi="Times New Roman" w:cs="Times New Roman"/>
          <w:lang w:val="fr-FR"/>
        </w:rPr>
      </w:pPr>
      <w:r w:rsidRPr="008E5FDA">
        <w:rPr>
          <w:rFonts w:ascii="Times New Roman" w:hAnsi="Times New Roman" w:cs="Times New Roman"/>
          <w:lang w:val="fr-FR"/>
        </w:rPr>
        <w:t>Toutes les actions dans le cadre de ce résultat s</w:t>
      </w:r>
      <w:r>
        <w:rPr>
          <w:rFonts w:ascii="Times New Roman" w:hAnsi="Times New Roman" w:cs="Times New Roman"/>
          <w:lang w:val="fr-FR"/>
        </w:rPr>
        <w:t>’</w:t>
      </w:r>
      <w:r w:rsidRPr="008E5FDA">
        <w:rPr>
          <w:rFonts w:ascii="Times New Roman" w:hAnsi="Times New Roman" w:cs="Times New Roman"/>
          <w:lang w:val="fr-FR"/>
        </w:rPr>
        <w:t>appliquaient uniquement à la Russie.</w:t>
      </w:r>
      <w:r w:rsidRPr="004B1407">
        <w:rPr>
          <w:rFonts w:ascii="Times New Roman" w:hAnsi="Times New Roman" w:cs="Times New Roman"/>
          <w:lang w:val="fr-FR"/>
        </w:rPr>
        <w:t xml:space="preserve"> </w:t>
      </w:r>
      <w:r w:rsidRPr="002C202A">
        <w:rPr>
          <w:rFonts w:ascii="Times New Roman" w:hAnsi="Times New Roman" w:cs="Times New Roman"/>
          <w:lang w:val="fr-FR"/>
        </w:rPr>
        <w:t>L</w:t>
      </w:r>
      <w:r>
        <w:rPr>
          <w:rFonts w:ascii="Times New Roman" w:hAnsi="Times New Roman" w:cs="Times New Roman"/>
          <w:lang w:val="fr-FR"/>
        </w:rPr>
        <w:t>’</w:t>
      </w:r>
      <w:r w:rsidRPr="002C202A">
        <w:rPr>
          <w:rFonts w:ascii="Times New Roman" w:hAnsi="Times New Roman" w:cs="Times New Roman"/>
          <w:b/>
          <w:lang w:val="fr-FR"/>
        </w:rPr>
        <w:t>action 3.1</w:t>
      </w:r>
      <w:r w:rsidRPr="00246253">
        <w:rPr>
          <w:rFonts w:ascii="Times New Roman" w:hAnsi="Times New Roman" w:cs="Times New Roman"/>
          <w:lang w:val="fr-FR"/>
        </w:rPr>
        <w:t>,</w:t>
      </w:r>
      <w:r w:rsidRPr="002C202A">
        <w:rPr>
          <w:rFonts w:ascii="Times New Roman" w:hAnsi="Times New Roman" w:cs="Times New Roman"/>
          <w:lang w:val="fr-FR"/>
        </w:rPr>
        <w:t xml:space="preserve"> sur la conduite d</w:t>
      </w:r>
      <w:r>
        <w:rPr>
          <w:rFonts w:ascii="Times New Roman" w:hAnsi="Times New Roman" w:cs="Times New Roman"/>
          <w:lang w:val="fr-FR"/>
        </w:rPr>
        <w:t>’</w:t>
      </w:r>
      <w:r w:rsidRPr="002C202A">
        <w:rPr>
          <w:rFonts w:ascii="Times New Roman" w:hAnsi="Times New Roman" w:cs="Times New Roman"/>
          <w:lang w:val="fr-FR"/>
        </w:rPr>
        <w:t>une évaluation environnementale stratégique des développements destinés à l</w:t>
      </w:r>
      <w:r>
        <w:rPr>
          <w:rFonts w:ascii="Times New Roman" w:hAnsi="Times New Roman" w:cs="Times New Roman"/>
          <w:lang w:val="fr-FR"/>
        </w:rPr>
        <w:t>’</w:t>
      </w:r>
      <w:r w:rsidRPr="002C202A">
        <w:rPr>
          <w:rFonts w:ascii="Times New Roman" w:hAnsi="Times New Roman" w:cs="Times New Roman"/>
          <w:lang w:val="fr-FR"/>
        </w:rPr>
        <w:t>exploration de gisements de pétrole et de gaz dans les aires de reproduction et de mue</w:t>
      </w:r>
      <w:r>
        <w:rPr>
          <w:rFonts w:ascii="Times New Roman" w:hAnsi="Times New Roman" w:cs="Times New Roman"/>
          <w:lang w:val="fr-FR"/>
        </w:rPr>
        <w:t>,</w:t>
      </w:r>
      <w:r w:rsidRPr="002C202A">
        <w:rPr>
          <w:rFonts w:ascii="Times New Roman" w:hAnsi="Times New Roman" w:cs="Times New Roman"/>
          <w:lang w:val="fr-FR"/>
        </w:rPr>
        <w:t xml:space="preserve"> afin d</w:t>
      </w:r>
      <w:r>
        <w:rPr>
          <w:rFonts w:ascii="Times New Roman" w:hAnsi="Times New Roman" w:cs="Times New Roman"/>
          <w:lang w:val="fr-FR"/>
        </w:rPr>
        <w:t>’</w:t>
      </w:r>
      <w:r w:rsidRPr="002C202A">
        <w:rPr>
          <w:rFonts w:ascii="Times New Roman" w:hAnsi="Times New Roman" w:cs="Times New Roman"/>
          <w:lang w:val="fr-FR"/>
        </w:rPr>
        <w:t>identifier les aires présentant des conflits potentiels avec les bernaches à cou roux</w:t>
      </w:r>
      <w:r>
        <w:rPr>
          <w:rFonts w:ascii="Times New Roman" w:hAnsi="Times New Roman" w:cs="Times New Roman"/>
          <w:lang w:val="fr-FR"/>
        </w:rPr>
        <w:t>, a</w:t>
      </w:r>
      <w:r w:rsidRPr="002C202A">
        <w:rPr>
          <w:rFonts w:ascii="Times New Roman" w:hAnsi="Times New Roman" w:cs="Times New Roman"/>
          <w:lang w:val="fr-FR"/>
        </w:rPr>
        <w:t>insi que l</w:t>
      </w:r>
      <w:r>
        <w:rPr>
          <w:rFonts w:ascii="Times New Roman" w:hAnsi="Times New Roman" w:cs="Times New Roman"/>
          <w:lang w:val="fr-FR"/>
        </w:rPr>
        <w:t>’</w:t>
      </w:r>
      <w:r w:rsidRPr="002C202A">
        <w:rPr>
          <w:rFonts w:ascii="Times New Roman" w:hAnsi="Times New Roman" w:cs="Times New Roman"/>
          <w:b/>
          <w:lang w:val="fr-FR"/>
        </w:rPr>
        <w:t>action 3.2</w:t>
      </w:r>
      <w:r>
        <w:rPr>
          <w:rFonts w:ascii="Times New Roman" w:hAnsi="Times New Roman" w:cs="Times New Roman"/>
          <w:b/>
          <w:lang w:val="fr-FR"/>
        </w:rPr>
        <w:t>,</w:t>
      </w:r>
      <w:r w:rsidRPr="002C202A">
        <w:rPr>
          <w:rFonts w:ascii="Times New Roman" w:hAnsi="Times New Roman" w:cs="Times New Roman"/>
          <w:lang w:val="fr-FR"/>
        </w:rPr>
        <w:t xml:space="preserve"> visant des mesures destiné</w:t>
      </w:r>
      <w:r>
        <w:rPr>
          <w:rFonts w:ascii="Times New Roman" w:hAnsi="Times New Roman" w:cs="Times New Roman"/>
          <w:lang w:val="fr-FR"/>
        </w:rPr>
        <w:t>e</w:t>
      </w:r>
      <w:r w:rsidRPr="002C202A">
        <w:rPr>
          <w:rFonts w:ascii="Times New Roman" w:hAnsi="Times New Roman" w:cs="Times New Roman"/>
          <w:lang w:val="fr-FR"/>
        </w:rPr>
        <w:t>s à fournir des orientations aux autorités et aux concepteurs pour atténuer les menaces liées aux projets de développement, ont toutes deux été classées comme ayant une priorité élevée.</w:t>
      </w:r>
      <w:r w:rsidRPr="004B1407">
        <w:rPr>
          <w:rFonts w:ascii="Times New Roman" w:hAnsi="Times New Roman" w:cs="Times New Roman"/>
          <w:lang w:val="fr-FR"/>
        </w:rPr>
        <w:t xml:space="preserve"> </w:t>
      </w:r>
      <w:r w:rsidRPr="001C5DC2">
        <w:rPr>
          <w:rFonts w:ascii="Times New Roman" w:hAnsi="Times New Roman" w:cs="Times New Roman"/>
          <w:lang w:val="fr-FR"/>
        </w:rPr>
        <w:t>L</w:t>
      </w:r>
      <w:r>
        <w:rPr>
          <w:rFonts w:ascii="Times New Roman" w:hAnsi="Times New Roman" w:cs="Times New Roman"/>
          <w:lang w:val="fr-FR"/>
        </w:rPr>
        <w:t>’</w:t>
      </w:r>
      <w:r w:rsidRPr="001C5DC2">
        <w:rPr>
          <w:rFonts w:ascii="Times New Roman" w:hAnsi="Times New Roman" w:cs="Times New Roman"/>
          <w:b/>
          <w:lang w:val="fr-FR"/>
        </w:rPr>
        <w:t>action 3.3</w:t>
      </w:r>
      <w:r w:rsidRPr="00246253">
        <w:rPr>
          <w:rFonts w:ascii="Times New Roman" w:hAnsi="Times New Roman" w:cs="Times New Roman"/>
          <w:lang w:val="fr-FR"/>
        </w:rPr>
        <w:t>,</w:t>
      </w:r>
      <w:r w:rsidRPr="001C5DC2">
        <w:rPr>
          <w:rFonts w:ascii="Times New Roman" w:hAnsi="Times New Roman" w:cs="Times New Roman"/>
          <w:b/>
          <w:lang w:val="fr-FR"/>
        </w:rPr>
        <w:t xml:space="preserve"> </w:t>
      </w:r>
      <w:r w:rsidRPr="001C5DC2">
        <w:rPr>
          <w:rFonts w:ascii="Times New Roman" w:hAnsi="Times New Roman" w:cs="Times New Roman"/>
          <w:lang w:val="fr-FR"/>
        </w:rPr>
        <w:t>concernant la réalisation d</w:t>
      </w:r>
      <w:r>
        <w:rPr>
          <w:rFonts w:ascii="Times New Roman" w:hAnsi="Times New Roman" w:cs="Times New Roman"/>
          <w:lang w:val="fr-FR"/>
        </w:rPr>
        <w:t>’</w:t>
      </w:r>
      <w:r w:rsidRPr="001C5DC2">
        <w:rPr>
          <w:rFonts w:ascii="Times New Roman" w:hAnsi="Times New Roman" w:cs="Times New Roman"/>
          <w:lang w:val="fr-FR"/>
        </w:rPr>
        <w:t>études destinées à identifier les moteurs de l</w:t>
      </w:r>
      <w:r>
        <w:rPr>
          <w:rFonts w:ascii="Times New Roman" w:hAnsi="Times New Roman" w:cs="Times New Roman"/>
          <w:lang w:val="fr-FR"/>
        </w:rPr>
        <w:t>’</w:t>
      </w:r>
      <w:r w:rsidRPr="001C5DC2">
        <w:rPr>
          <w:rFonts w:ascii="Times New Roman" w:hAnsi="Times New Roman" w:cs="Times New Roman"/>
          <w:lang w:val="fr-FR"/>
        </w:rPr>
        <w:t>expansion récente de l</w:t>
      </w:r>
      <w:r>
        <w:rPr>
          <w:rFonts w:ascii="Times New Roman" w:hAnsi="Times New Roman" w:cs="Times New Roman"/>
          <w:lang w:val="fr-FR"/>
        </w:rPr>
        <w:t>’</w:t>
      </w:r>
      <w:r w:rsidRPr="001C5DC2">
        <w:rPr>
          <w:rFonts w:ascii="Times New Roman" w:hAnsi="Times New Roman" w:cs="Times New Roman"/>
          <w:lang w:val="fr-FR"/>
        </w:rPr>
        <w:t>aire de reproduction de la Bernache à cou roux</w:t>
      </w:r>
      <w:r>
        <w:rPr>
          <w:rFonts w:ascii="Times New Roman" w:hAnsi="Times New Roman" w:cs="Times New Roman"/>
          <w:lang w:val="fr-FR"/>
        </w:rPr>
        <w:t xml:space="preserve">, a été </w:t>
      </w:r>
      <w:r w:rsidRPr="001C5DC2">
        <w:rPr>
          <w:rFonts w:ascii="Times New Roman" w:hAnsi="Times New Roman" w:cs="Times New Roman"/>
          <w:lang w:val="fr-FR"/>
        </w:rPr>
        <w:t>classée comme ayant une faible priorité.</w:t>
      </w:r>
      <w:r w:rsidRPr="004B1407">
        <w:rPr>
          <w:rFonts w:ascii="Times New Roman" w:hAnsi="Times New Roman" w:cs="Times New Roman"/>
          <w:lang w:val="fr-FR"/>
        </w:rPr>
        <w:t xml:space="preserve"> </w:t>
      </w:r>
      <w:r w:rsidRPr="001C5DC2">
        <w:rPr>
          <w:rFonts w:ascii="Times New Roman" w:hAnsi="Times New Roman" w:cs="Times New Roman"/>
          <w:lang w:val="fr-FR"/>
        </w:rPr>
        <w:t>La Russie a fait part de la mise en œuvre des trois actions.</w:t>
      </w:r>
    </w:p>
    <w:p w14:paraId="3A69D308" w14:textId="77777777" w:rsidR="00886A3C" w:rsidRPr="004B1407" w:rsidRDefault="00886A3C" w:rsidP="00886A3C">
      <w:pPr>
        <w:spacing w:after="0" w:line="240" w:lineRule="auto"/>
        <w:jc w:val="both"/>
        <w:rPr>
          <w:rFonts w:ascii="Times New Roman" w:hAnsi="Times New Roman" w:cs="Times New Roman"/>
          <w:lang w:val="fr-FR"/>
        </w:rPr>
      </w:pPr>
      <w:r w:rsidRPr="004B1407">
        <w:rPr>
          <w:rFonts w:ascii="Times New Roman" w:hAnsi="Times New Roman" w:cs="Times New Roman"/>
          <w:lang w:val="fr-FR"/>
        </w:rPr>
        <w:t xml:space="preserve"> </w:t>
      </w:r>
    </w:p>
    <w:p w14:paraId="08D1BB2B" w14:textId="77777777" w:rsidR="00886A3C" w:rsidRPr="004B1407" w:rsidRDefault="00886A3C" w:rsidP="00886A3C">
      <w:pPr>
        <w:spacing w:after="0" w:line="240" w:lineRule="auto"/>
        <w:jc w:val="both"/>
        <w:rPr>
          <w:rFonts w:ascii="Times New Roman" w:hAnsi="Times New Roman" w:cs="Times New Roman"/>
          <w:lang w:val="fr-FR"/>
        </w:rPr>
      </w:pPr>
      <w:r w:rsidRPr="001C5DC2">
        <w:rPr>
          <w:rFonts w:ascii="Times New Roman" w:hAnsi="Times New Roman" w:cs="Times New Roman"/>
          <w:b/>
          <w:lang w:val="fr-FR"/>
        </w:rPr>
        <w:t>Taux moyen de mise en œuvre :</w:t>
      </w:r>
      <w:r w:rsidRPr="004B1407">
        <w:rPr>
          <w:rFonts w:ascii="Times New Roman" w:hAnsi="Times New Roman" w:cs="Times New Roman"/>
          <w:b/>
          <w:lang w:val="fr-FR"/>
        </w:rPr>
        <w:t xml:space="preserve"> 100 %</w:t>
      </w:r>
    </w:p>
    <w:p w14:paraId="71060B41" w14:textId="77777777" w:rsidR="00886A3C" w:rsidRPr="004B1407" w:rsidRDefault="00886A3C" w:rsidP="00886A3C">
      <w:pPr>
        <w:spacing w:after="0" w:line="240" w:lineRule="auto"/>
        <w:jc w:val="both"/>
        <w:rPr>
          <w:rFonts w:ascii="Times New Roman" w:hAnsi="Times New Roman" w:cs="Times New Roman"/>
          <w:lang w:val="fr-FR"/>
        </w:rPr>
      </w:pPr>
    </w:p>
    <w:p w14:paraId="0FEAA405" w14:textId="77777777" w:rsidR="00886A3C" w:rsidRPr="004B1407" w:rsidRDefault="00886A3C" w:rsidP="00886A3C">
      <w:pPr>
        <w:spacing w:after="0" w:line="240" w:lineRule="auto"/>
        <w:jc w:val="both"/>
        <w:rPr>
          <w:rFonts w:ascii="Times New Roman" w:hAnsi="Times New Roman" w:cs="Times New Roman"/>
          <w:i/>
          <w:lang w:val="fr-FR"/>
        </w:rPr>
      </w:pPr>
      <w:r w:rsidRPr="001C5DC2">
        <w:rPr>
          <w:rFonts w:ascii="Times New Roman" w:hAnsi="Times New Roman" w:cs="Times New Roman"/>
          <w:i/>
          <w:lang w:val="fr-FR"/>
        </w:rPr>
        <w:t>5.4. Résultat 4 – Risque d</w:t>
      </w:r>
      <w:r>
        <w:rPr>
          <w:rFonts w:ascii="Times New Roman" w:hAnsi="Times New Roman" w:cs="Times New Roman"/>
          <w:i/>
          <w:lang w:val="fr-FR"/>
        </w:rPr>
        <w:t>’</w:t>
      </w:r>
      <w:r w:rsidRPr="001C5DC2">
        <w:rPr>
          <w:rFonts w:ascii="Times New Roman" w:hAnsi="Times New Roman" w:cs="Times New Roman"/>
          <w:i/>
          <w:lang w:val="fr-FR"/>
        </w:rPr>
        <w:t>empoisonnement par des rodenticides considérablement réduit</w:t>
      </w:r>
    </w:p>
    <w:p w14:paraId="37A2FA68" w14:textId="77777777" w:rsidR="00886A3C" w:rsidRPr="004B1407" w:rsidRDefault="00886A3C" w:rsidP="00886A3C">
      <w:pPr>
        <w:spacing w:after="0" w:line="240" w:lineRule="auto"/>
        <w:jc w:val="both"/>
        <w:rPr>
          <w:rFonts w:ascii="Times New Roman" w:hAnsi="Times New Roman" w:cs="Times New Roman"/>
          <w:i/>
          <w:lang w:val="fr-FR"/>
        </w:rPr>
      </w:pPr>
    </w:p>
    <w:p w14:paraId="026D302B" w14:textId="77777777" w:rsidR="00886A3C" w:rsidRDefault="00886A3C" w:rsidP="00886A3C">
      <w:pPr>
        <w:spacing w:after="0" w:line="240" w:lineRule="auto"/>
        <w:jc w:val="both"/>
        <w:rPr>
          <w:rFonts w:ascii="Times New Roman" w:hAnsi="Times New Roman" w:cs="Times New Roman"/>
          <w:lang w:val="en-US"/>
        </w:rPr>
      </w:pPr>
      <w:r w:rsidRPr="001C5DC2">
        <w:rPr>
          <w:rFonts w:ascii="Times New Roman" w:hAnsi="Times New Roman" w:cs="Times New Roman"/>
          <w:lang w:val="fr-FR"/>
        </w:rPr>
        <w:t>Le Kazakhstan et la Russie ont indiqué que l</w:t>
      </w:r>
      <w:r>
        <w:rPr>
          <w:rFonts w:ascii="Times New Roman" w:hAnsi="Times New Roman" w:cs="Times New Roman"/>
          <w:lang w:val="fr-FR"/>
        </w:rPr>
        <w:t>’</w:t>
      </w:r>
      <w:r w:rsidRPr="001C5DC2">
        <w:rPr>
          <w:rFonts w:ascii="Times New Roman" w:hAnsi="Times New Roman" w:cs="Times New Roman"/>
          <w:lang w:val="fr-FR"/>
        </w:rPr>
        <w:t>utilisation de rodenticides n</w:t>
      </w:r>
      <w:r>
        <w:rPr>
          <w:rFonts w:ascii="Times New Roman" w:hAnsi="Times New Roman" w:cs="Times New Roman"/>
          <w:lang w:val="fr-FR"/>
        </w:rPr>
        <w:t>’</w:t>
      </w:r>
      <w:r w:rsidRPr="001C5DC2">
        <w:rPr>
          <w:rFonts w:ascii="Times New Roman" w:hAnsi="Times New Roman" w:cs="Times New Roman"/>
          <w:lang w:val="fr-FR"/>
        </w:rPr>
        <w:t>était pas un problème et que ces activités ne les concernaient donc pas.</w:t>
      </w:r>
      <w:r w:rsidRPr="004B1407">
        <w:rPr>
          <w:rFonts w:ascii="Times New Roman" w:hAnsi="Times New Roman" w:cs="Times New Roman"/>
          <w:lang w:val="fr-FR"/>
        </w:rPr>
        <w:t xml:space="preserve"> </w:t>
      </w:r>
      <w:r w:rsidRPr="001C5DC2">
        <w:rPr>
          <w:rFonts w:ascii="Times New Roman" w:hAnsi="Times New Roman" w:cs="Times New Roman"/>
          <w:lang w:val="fr-FR"/>
        </w:rPr>
        <w:t>L</w:t>
      </w:r>
      <w:r>
        <w:rPr>
          <w:rFonts w:ascii="Times New Roman" w:hAnsi="Times New Roman" w:cs="Times New Roman"/>
          <w:b/>
          <w:lang w:val="fr-FR"/>
        </w:rPr>
        <w:t>’</w:t>
      </w:r>
      <w:r w:rsidRPr="001C5DC2">
        <w:rPr>
          <w:rFonts w:ascii="Times New Roman" w:hAnsi="Times New Roman" w:cs="Times New Roman"/>
          <w:b/>
          <w:lang w:val="fr-FR"/>
        </w:rPr>
        <w:t>action 4.1</w:t>
      </w:r>
      <w:r w:rsidRPr="001C5DC2">
        <w:rPr>
          <w:rFonts w:ascii="Times New Roman" w:hAnsi="Times New Roman" w:cs="Times New Roman"/>
          <w:lang w:val="fr-FR"/>
        </w:rPr>
        <w:t>, sur</w:t>
      </w:r>
      <w:r w:rsidRPr="001C5DC2">
        <w:rPr>
          <w:rFonts w:ascii="Times New Roman" w:hAnsi="Times New Roman" w:cs="Times New Roman"/>
          <w:b/>
          <w:lang w:val="fr-FR"/>
        </w:rPr>
        <w:t xml:space="preserve"> </w:t>
      </w:r>
      <w:r w:rsidRPr="001C5DC2">
        <w:rPr>
          <w:rFonts w:ascii="Times New Roman" w:hAnsi="Times New Roman" w:cs="Times New Roman"/>
          <w:lang w:val="fr-FR"/>
        </w:rPr>
        <w:t>l</w:t>
      </w:r>
      <w:r>
        <w:rPr>
          <w:rFonts w:ascii="Times New Roman" w:hAnsi="Times New Roman" w:cs="Times New Roman"/>
          <w:lang w:val="fr-FR"/>
        </w:rPr>
        <w:t>’</w:t>
      </w:r>
      <w:r w:rsidRPr="001C5DC2">
        <w:rPr>
          <w:rFonts w:ascii="Times New Roman" w:hAnsi="Times New Roman" w:cs="Times New Roman"/>
          <w:lang w:val="fr-FR"/>
        </w:rPr>
        <w:t>alignement dans les États de l</w:t>
      </w:r>
      <w:r>
        <w:rPr>
          <w:rFonts w:ascii="Times New Roman" w:hAnsi="Times New Roman" w:cs="Times New Roman"/>
          <w:lang w:val="fr-FR"/>
        </w:rPr>
        <w:t>’</w:t>
      </w:r>
      <w:r w:rsidRPr="001C5DC2">
        <w:rPr>
          <w:rFonts w:ascii="Times New Roman" w:hAnsi="Times New Roman" w:cs="Times New Roman"/>
          <w:lang w:val="fr-FR"/>
        </w:rPr>
        <w:t>aire de répartition de la législation sur l</w:t>
      </w:r>
      <w:r>
        <w:rPr>
          <w:rFonts w:ascii="Times New Roman" w:hAnsi="Times New Roman" w:cs="Times New Roman"/>
          <w:lang w:val="fr-FR"/>
        </w:rPr>
        <w:t>’</w:t>
      </w:r>
      <w:r w:rsidRPr="001C5DC2">
        <w:rPr>
          <w:rFonts w:ascii="Times New Roman" w:hAnsi="Times New Roman" w:cs="Times New Roman"/>
          <w:lang w:val="fr-FR"/>
        </w:rPr>
        <w:t>interdiction des pesticides et le fait de s</w:t>
      </w:r>
      <w:r>
        <w:rPr>
          <w:rFonts w:ascii="Times New Roman" w:hAnsi="Times New Roman" w:cs="Times New Roman"/>
          <w:lang w:val="fr-FR"/>
        </w:rPr>
        <w:t>’</w:t>
      </w:r>
      <w:r w:rsidRPr="001C5DC2">
        <w:rPr>
          <w:rFonts w:ascii="Times New Roman" w:hAnsi="Times New Roman" w:cs="Times New Roman"/>
          <w:lang w:val="fr-FR"/>
        </w:rPr>
        <w:t xml:space="preserve">assurer que cette législation est appliquée, </w:t>
      </w:r>
      <w:r>
        <w:rPr>
          <w:rFonts w:ascii="Times New Roman" w:hAnsi="Times New Roman" w:cs="Times New Roman"/>
          <w:lang w:val="fr-FR"/>
        </w:rPr>
        <w:t>a été</w:t>
      </w:r>
      <w:r w:rsidRPr="001C5DC2">
        <w:rPr>
          <w:rFonts w:ascii="Times New Roman" w:hAnsi="Times New Roman" w:cs="Times New Roman"/>
          <w:lang w:val="fr-FR"/>
        </w:rPr>
        <w:t xml:space="preserve"> classée comme ayant une priorité élevée et les trois États de l</w:t>
      </w:r>
      <w:r>
        <w:rPr>
          <w:rFonts w:ascii="Times New Roman" w:hAnsi="Times New Roman" w:cs="Times New Roman"/>
          <w:lang w:val="fr-FR"/>
        </w:rPr>
        <w:t>’</w:t>
      </w:r>
      <w:r w:rsidRPr="001C5DC2">
        <w:rPr>
          <w:rFonts w:ascii="Times New Roman" w:hAnsi="Times New Roman" w:cs="Times New Roman"/>
          <w:lang w:val="fr-FR"/>
        </w:rPr>
        <w:t xml:space="preserve">aire de répartition restants </w:t>
      </w:r>
      <w:r>
        <w:rPr>
          <w:rFonts w:ascii="Times New Roman" w:hAnsi="Times New Roman" w:cs="Times New Roman"/>
          <w:lang w:val="fr-FR"/>
        </w:rPr>
        <w:t xml:space="preserve">ont </w:t>
      </w:r>
      <w:r w:rsidRPr="001C5DC2">
        <w:rPr>
          <w:rFonts w:ascii="Times New Roman" w:hAnsi="Times New Roman" w:cs="Times New Roman"/>
          <w:lang w:val="fr-FR"/>
        </w:rPr>
        <w:t>fait part de sa mise en œuvre.</w:t>
      </w:r>
      <w:r w:rsidRPr="004B1407">
        <w:rPr>
          <w:rFonts w:ascii="Times New Roman" w:hAnsi="Times New Roman" w:cs="Times New Roman"/>
          <w:lang w:val="fr-FR"/>
        </w:rPr>
        <w:t xml:space="preserve"> </w:t>
      </w:r>
      <w:r w:rsidRPr="001C5DC2">
        <w:rPr>
          <w:rFonts w:ascii="Times New Roman" w:hAnsi="Times New Roman" w:cs="Times New Roman"/>
          <w:lang w:val="fr-FR"/>
        </w:rPr>
        <w:t>En outre, l</w:t>
      </w:r>
      <w:r>
        <w:rPr>
          <w:rFonts w:ascii="Times New Roman" w:hAnsi="Times New Roman" w:cs="Times New Roman"/>
          <w:lang w:val="fr-FR"/>
        </w:rPr>
        <w:t>’</w:t>
      </w:r>
      <w:r w:rsidRPr="001C5DC2">
        <w:rPr>
          <w:rFonts w:ascii="Times New Roman" w:hAnsi="Times New Roman" w:cs="Times New Roman"/>
          <w:lang w:val="fr-FR"/>
        </w:rPr>
        <w:t>Ukraine a fait part d</w:t>
      </w:r>
      <w:r>
        <w:rPr>
          <w:rFonts w:ascii="Times New Roman" w:hAnsi="Times New Roman" w:cs="Times New Roman"/>
          <w:lang w:val="fr-FR"/>
        </w:rPr>
        <w:t>’</w:t>
      </w:r>
      <w:r w:rsidRPr="001C5DC2">
        <w:rPr>
          <w:rFonts w:ascii="Times New Roman" w:hAnsi="Times New Roman" w:cs="Times New Roman"/>
          <w:lang w:val="fr-FR"/>
        </w:rPr>
        <w:t>une campagne de grande ampleur auprès du public</w:t>
      </w:r>
      <w:r>
        <w:rPr>
          <w:rFonts w:ascii="Times New Roman" w:hAnsi="Times New Roman" w:cs="Times New Roman"/>
          <w:lang w:val="fr-FR"/>
        </w:rPr>
        <w:t xml:space="preserve"> </w:t>
      </w:r>
      <w:r w:rsidRPr="001C5DC2">
        <w:rPr>
          <w:rFonts w:ascii="Times New Roman" w:hAnsi="Times New Roman" w:cs="Times New Roman"/>
          <w:lang w:val="fr-FR"/>
        </w:rPr>
        <w:t>lancée par des ONG pour mettre fin à l</w:t>
      </w:r>
      <w:r>
        <w:rPr>
          <w:rFonts w:ascii="Times New Roman" w:hAnsi="Times New Roman" w:cs="Times New Roman"/>
          <w:lang w:val="fr-FR"/>
        </w:rPr>
        <w:t>’</w:t>
      </w:r>
      <w:r w:rsidRPr="001C5DC2">
        <w:rPr>
          <w:rFonts w:ascii="Times New Roman" w:hAnsi="Times New Roman" w:cs="Times New Roman"/>
          <w:lang w:val="fr-FR"/>
        </w:rPr>
        <w:t>utilisation du phosphure de de zinc en tant que pesticide.</w:t>
      </w:r>
      <w:r w:rsidRPr="004B1407">
        <w:rPr>
          <w:rFonts w:ascii="Times New Roman" w:hAnsi="Times New Roman" w:cs="Times New Roman"/>
          <w:lang w:val="fr-FR"/>
        </w:rPr>
        <w:t xml:space="preserve"> </w:t>
      </w:r>
      <w:r w:rsidRPr="001C5DC2">
        <w:rPr>
          <w:rFonts w:ascii="Times New Roman" w:hAnsi="Times New Roman" w:cs="Times New Roman"/>
          <w:lang w:val="fr-FR"/>
        </w:rPr>
        <w:t>L</w:t>
      </w:r>
      <w:r>
        <w:rPr>
          <w:rFonts w:ascii="Times New Roman" w:hAnsi="Times New Roman" w:cs="Times New Roman"/>
          <w:lang w:val="fr-FR"/>
        </w:rPr>
        <w:t>’</w:t>
      </w:r>
      <w:r w:rsidRPr="001C5DC2">
        <w:rPr>
          <w:rFonts w:ascii="Times New Roman" w:hAnsi="Times New Roman" w:cs="Times New Roman"/>
          <w:lang w:val="fr-FR"/>
        </w:rPr>
        <w:t>enregistrement d</w:t>
      </w:r>
      <w:r>
        <w:rPr>
          <w:rFonts w:ascii="Times New Roman" w:hAnsi="Times New Roman" w:cs="Times New Roman"/>
          <w:lang w:val="fr-FR"/>
        </w:rPr>
        <w:t>’</w:t>
      </w:r>
      <w:r w:rsidRPr="001C5DC2">
        <w:rPr>
          <w:rFonts w:ascii="Times New Roman" w:hAnsi="Times New Roman" w:cs="Times New Roman"/>
          <w:lang w:val="fr-FR"/>
        </w:rPr>
        <w:t>État du phosphure de zinc a été annulé en 2013 sur ordre du ministère de l</w:t>
      </w:r>
      <w:r>
        <w:rPr>
          <w:rFonts w:ascii="Times New Roman" w:hAnsi="Times New Roman" w:cs="Times New Roman"/>
          <w:lang w:val="fr-FR"/>
        </w:rPr>
        <w:t>’</w:t>
      </w:r>
      <w:r w:rsidRPr="001C5DC2">
        <w:rPr>
          <w:rFonts w:ascii="Times New Roman" w:hAnsi="Times New Roman" w:cs="Times New Roman"/>
          <w:lang w:val="fr-FR"/>
        </w:rPr>
        <w:t>Écologie et des ressources naturelles de l</w:t>
      </w:r>
      <w:r>
        <w:rPr>
          <w:rFonts w:ascii="Times New Roman" w:hAnsi="Times New Roman" w:cs="Times New Roman"/>
          <w:lang w:val="fr-FR"/>
        </w:rPr>
        <w:t>’</w:t>
      </w:r>
      <w:r w:rsidRPr="001C5DC2">
        <w:rPr>
          <w:rFonts w:ascii="Times New Roman" w:hAnsi="Times New Roman" w:cs="Times New Roman"/>
          <w:lang w:val="fr-FR"/>
        </w:rPr>
        <w:t>Ukraine. La Bulgarie a indiqué que les législation</w:t>
      </w:r>
      <w:r>
        <w:rPr>
          <w:rFonts w:ascii="Times New Roman" w:hAnsi="Times New Roman" w:cs="Times New Roman"/>
          <w:lang w:val="fr-FR"/>
        </w:rPr>
        <w:t>s</w:t>
      </w:r>
      <w:r w:rsidRPr="001C5DC2">
        <w:rPr>
          <w:rFonts w:ascii="Times New Roman" w:hAnsi="Times New Roman" w:cs="Times New Roman"/>
          <w:lang w:val="fr-FR"/>
        </w:rPr>
        <w:t xml:space="preserve"> de la CE garantissent l</w:t>
      </w:r>
      <w:r>
        <w:rPr>
          <w:rFonts w:ascii="Times New Roman" w:hAnsi="Times New Roman" w:cs="Times New Roman"/>
          <w:lang w:val="fr-FR"/>
        </w:rPr>
        <w:t>’</w:t>
      </w:r>
      <w:r w:rsidRPr="001C5DC2">
        <w:rPr>
          <w:rFonts w:ascii="Times New Roman" w:hAnsi="Times New Roman" w:cs="Times New Roman"/>
          <w:lang w:val="fr-FR"/>
        </w:rPr>
        <w:t>interdiction des rodenticides posant problème.</w:t>
      </w:r>
      <w:r w:rsidRPr="004B1407">
        <w:rPr>
          <w:rFonts w:ascii="Times New Roman" w:hAnsi="Times New Roman" w:cs="Times New Roman"/>
          <w:lang w:val="fr-FR"/>
        </w:rPr>
        <w:t xml:space="preserve"> </w:t>
      </w:r>
      <w:r w:rsidRPr="0021668A">
        <w:rPr>
          <w:rFonts w:ascii="Times New Roman" w:hAnsi="Times New Roman" w:cs="Times New Roman"/>
          <w:lang w:val="fr-FR"/>
        </w:rPr>
        <w:t>Toutefois quelques failles dans l</w:t>
      </w:r>
      <w:r>
        <w:rPr>
          <w:rFonts w:ascii="Times New Roman" w:hAnsi="Times New Roman" w:cs="Times New Roman"/>
          <w:lang w:val="fr-FR"/>
        </w:rPr>
        <w:t>’</w:t>
      </w:r>
      <w:r w:rsidRPr="0021668A">
        <w:rPr>
          <w:rFonts w:ascii="Times New Roman" w:hAnsi="Times New Roman" w:cs="Times New Roman"/>
          <w:lang w:val="fr-FR"/>
        </w:rPr>
        <w:t>application des produits chimiques agricoles peuvent toujours mettre les bernaches à cou roux en danger.</w:t>
      </w:r>
      <w:r w:rsidRPr="004B1407">
        <w:rPr>
          <w:rFonts w:ascii="Times New Roman" w:hAnsi="Times New Roman" w:cs="Times New Roman"/>
          <w:lang w:val="fr-FR"/>
        </w:rPr>
        <w:t xml:space="preserve"> </w:t>
      </w:r>
      <w:r>
        <w:rPr>
          <w:rFonts w:ascii="Times New Roman" w:hAnsi="Times New Roman" w:cs="Times New Roman"/>
          <w:lang w:val="en-US"/>
        </w:rPr>
        <w:t>(100 %)</w:t>
      </w:r>
    </w:p>
    <w:p w14:paraId="31DD8091" w14:textId="77777777" w:rsidR="00886A3C" w:rsidRPr="00776E9D" w:rsidRDefault="00886A3C" w:rsidP="00886A3C">
      <w:pPr>
        <w:spacing w:after="0" w:line="240" w:lineRule="auto"/>
        <w:jc w:val="both"/>
        <w:rPr>
          <w:rFonts w:ascii="Times New Roman" w:hAnsi="Times New Roman" w:cs="Times New Roman"/>
          <w:lang w:val="en-US"/>
        </w:rPr>
      </w:pPr>
    </w:p>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710"/>
      </w:tblGrid>
      <w:tr w:rsidR="00886A3C" w14:paraId="775C4DD3" w14:textId="77777777" w:rsidTr="00886A3C">
        <w:trPr>
          <w:trHeight w:val="3357"/>
        </w:trPr>
        <w:tc>
          <w:tcPr>
            <w:tcW w:w="4663" w:type="dxa"/>
          </w:tcPr>
          <w:p w14:paraId="199A1532" w14:textId="77777777" w:rsidR="00886A3C" w:rsidRDefault="00886A3C" w:rsidP="00886A3C">
            <w:pPr>
              <w:jc w:val="both"/>
              <w:rPr>
                <w:rFonts w:ascii="Times New Roman" w:hAnsi="Times New Roman" w:cs="Times New Roman"/>
              </w:rPr>
            </w:pPr>
            <w:r>
              <w:rPr>
                <w:noProof/>
              </w:rPr>
              <w:drawing>
                <wp:inline distT="0" distB="0" distL="0" distR="0" wp14:anchorId="57761A1D" wp14:editId="68D4B6CE">
                  <wp:extent cx="2600325" cy="2009775"/>
                  <wp:effectExtent l="0" t="0" r="9525" b="9525"/>
                  <wp:docPr id="261" name="Chart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tc>
        <w:tc>
          <w:tcPr>
            <w:tcW w:w="4710" w:type="dxa"/>
          </w:tcPr>
          <w:p w14:paraId="472BD377" w14:textId="77777777" w:rsidR="00886A3C" w:rsidRDefault="00886A3C" w:rsidP="00886A3C">
            <w:pPr>
              <w:jc w:val="both"/>
              <w:rPr>
                <w:rFonts w:ascii="Times New Roman" w:hAnsi="Times New Roman" w:cs="Times New Roman"/>
              </w:rPr>
            </w:pPr>
            <w:r>
              <w:rPr>
                <w:noProof/>
              </w:rPr>
              <w:drawing>
                <wp:inline distT="0" distB="0" distL="0" distR="0" wp14:anchorId="4375E8BC" wp14:editId="1D6E3D5B">
                  <wp:extent cx="2419350" cy="1981200"/>
                  <wp:effectExtent l="0" t="0" r="19050" b="1905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tc>
      </w:tr>
    </w:tbl>
    <w:p w14:paraId="2B229070" w14:textId="77777777" w:rsidR="00886A3C" w:rsidRDefault="00886A3C" w:rsidP="00886A3C">
      <w:pPr>
        <w:spacing w:after="0" w:line="240" w:lineRule="auto"/>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t>Oui</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Oui</w:t>
      </w:r>
      <w:r w:rsidRPr="00403C55">
        <w:rPr>
          <w:rFonts w:ascii="Times New Roman" w:hAnsi="Times New Roman" w:cs="Times New Roman"/>
          <w:lang w:val="fr-FR"/>
        </w:rPr>
        <w:tab/>
        <w:t>Non</w:t>
      </w:r>
    </w:p>
    <w:p w14:paraId="680BEB08" w14:textId="77777777" w:rsidR="00886A3C" w:rsidRDefault="00886A3C" w:rsidP="00886A3C">
      <w:pPr>
        <w:spacing w:after="0" w:line="240" w:lineRule="auto"/>
        <w:jc w:val="both"/>
        <w:rPr>
          <w:rFonts w:ascii="Times New Roman" w:hAnsi="Times New Roman" w:cs="Times New Roman"/>
          <w:lang w:val="fr-FR"/>
        </w:rPr>
      </w:pPr>
    </w:p>
    <w:p w14:paraId="2C4483A6" w14:textId="77777777" w:rsidR="00886A3C" w:rsidRPr="004B1407" w:rsidRDefault="00886A3C" w:rsidP="00886A3C">
      <w:pPr>
        <w:spacing w:after="0" w:line="240" w:lineRule="auto"/>
        <w:jc w:val="both"/>
        <w:rPr>
          <w:rFonts w:ascii="Times New Roman" w:hAnsi="Times New Roman" w:cs="Times New Roman"/>
          <w:lang w:val="fr-FR"/>
        </w:rPr>
      </w:pPr>
      <w:r w:rsidRPr="0021668A">
        <w:rPr>
          <w:rFonts w:ascii="Times New Roman" w:hAnsi="Times New Roman" w:cs="Times New Roman"/>
          <w:lang w:val="fr-FR"/>
        </w:rPr>
        <w:t>L</w:t>
      </w:r>
      <w:r>
        <w:rPr>
          <w:rFonts w:ascii="Times New Roman" w:hAnsi="Times New Roman" w:cs="Times New Roman"/>
          <w:lang w:val="fr-FR"/>
        </w:rPr>
        <w:t>’</w:t>
      </w:r>
      <w:r w:rsidRPr="0021668A">
        <w:rPr>
          <w:rFonts w:ascii="Times New Roman" w:hAnsi="Times New Roman" w:cs="Times New Roman"/>
          <w:b/>
          <w:lang w:val="fr-FR"/>
        </w:rPr>
        <w:t>action 4.2</w:t>
      </w:r>
      <w:r w:rsidRPr="009275C8">
        <w:rPr>
          <w:rFonts w:ascii="Times New Roman" w:hAnsi="Times New Roman" w:cs="Times New Roman"/>
          <w:lang w:val="fr-FR"/>
        </w:rPr>
        <w:t>,</w:t>
      </w:r>
      <w:r w:rsidRPr="0021668A">
        <w:rPr>
          <w:rFonts w:ascii="Times New Roman" w:hAnsi="Times New Roman" w:cs="Times New Roman"/>
          <w:b/>
          <w:lang w:val="fr-FR"/>
        </w:rPr>
        <w:t xml:space="preserve"> </w:t>
      </w:r>
      <w:r w:rsidRPr="0021668A">
        <w:rPr>
          <w:rFonts w:ascii="Times New Roman" w:hAnsi="Times New Roman" w:cs="Times New Roman"/>
          <w:lang w:val="fr-FR"/>
        </w:rPr>
        <w:t>sur le</w:t>
      </w:r>
      <w:r w:rsidRPr="0021668A">
        <w:rPr>
          <w:rFonts w:ascii="Times New Roman" w:hAnsi="Times New Roman" w:cs="Times New Roman"/>
          <w:b/>
          <w:lang w:val="fr-FR"/>
        </w:rPr>
        <w:t xml:space="preserve"> </w:t>
      </w:r>
      <w:r w:rsidRPr="0021668A">
        <w:rPr>
          <w:rFonts w:ascii="Times New Roman" w:hAnsi="Times New Roman" w:cs="Times New Roman"/>
          <w:lang w:val="fr-FR"/>
        </w:rPr>
        <w:t>développement et la diffusion de lignes directrices destinées aux agriculteurs sur l</w:t>
      </w:r>
      <w:r>
        <w:rPr>
          <w:rFonts w:ascii="Times New Roman" w:hAnsi="Times New Roman" w:cs="Times New Roman"/>
          <w:lang w:val="fr-FR"/>
        </w:rPr>
        <w:t>’</w:t>
      </w:r>
      <w:r w:rsidRPr="0021668A">
        <w:rPr>
          <w:rFonts w:ascii="Times New Roman" w:hAnsi="Times New Roman" w:cs="Times New Roman"/>
          <w:lang w:val="fr-FR"/>
        </w:rPr>
        <w:t>utilisation appropriée des substances toxiques et les dangers pour les bernaches à cou roux</w:t>
      </w:r>
      <w:r>
        <w:rPr>
          <w:rFonts w:ascii="Times New Roman" w:hAnsi="Times New Roman" w:cs="Times New Roman"/>
          <w:lang w:val="fr-FR"/>
        </w:rPr>
        <w:t>,</w:t>
      </w:r>
      <w:r w:rsidRPr="0021668A">
        <w:rPr>
          <w:rFonts w:ascii="Times New Roman" w:hAnsi="Times New Roman" w:cs="Times New Roman"/>
          <w:lang w:val="fr-FR"/>
        </w:rPr>
        <w:t xml:space="preserve"> était classée comme ayant une priorité moyenne. La Bulgarie et la Roumanie ont fait part de sa mise en œuvre.</w:t>
      </w:r>
      <w:r w:rsidRPr="004B1407">
        <w:rPr>
          <w:rFonts w:ascii="Times New Roman" w:hAnsi="Times New Roman" w:cs="Times New Roman"/>
          <w:lang w:val="fr-FR"/>
        </w:rPr>
        <w:t xml:space="preserve"> (67 %)</w:t>
      </w:r>
    </w:p>
    <w:p w14:paraId="5B7B46CD" w14:textId="77777777" w:rsidR="00886A3C" w:rsidRPr="004B1407" w:rsidRDefault="00886A3C" w:rsidP="00886A3C">
      <w:pPr>
        <w:spacing w:after="0" w:line="240" w:lineRule="auto"/>
        <w:jc w:val="both"/>
        <w:rPr>
          <w:rFonts w:ascii="Times New Roman" w:hAnsi="Times New Roman" w:cs="Times New Roman"/>
          <w:lang w:val="fr-FR"/>
        </w:rPr>
      </w:pPr>
    </w:p>
    <w:p w14:paraId="23581BF6" w14:textId="77777777" w:rsidR="00886A3C" w:rsidRPr="004B1407" w:rsidRDefault="00886A3C" w:rsidP="00886A3C">
      <w:pPr>
        <w:spacing w:after="0" w:line="240" w:lineRule="auto"/>
        <w:jc w:val="both"/>
        <w:rPr>
          <w:rFonts w:ascii="Times New Roman" w:hAnsi="Times New Roman" w:cs="Times New Roman"/>
          <w:lang w:val="fr-FR"/>
        </w:rPr>
      </w:pPr>
      <w:r w:rsidRPr="0021668A">
        <w:rPr>
          <w:rFonts w:ascii="Times New Roman" w:hAnsi="Times New Roman" w:cs="Times New Roman"/>
          <w:b/>
          <w:lang w:val="fr-FR"/>
        </w:rPr>
        <w:t>Taux moyen de mise en œuvre :</w:t>
      </w:r>
      <w:r w:rsidRPr="004B1407">
        <w:rPr>
          <w:rFonts w:ascii="Times New Roman" w:hAnsi="Times New Roman" w:cs="Times New Roman"/>
          <w:b/>
          <w:lang w:val="fr-FR"/>
        </w:rPr>
        <w:t xml:space="preserve"> 84 %</w:t>
      </w:r>
    </w:p>
    <w:p w14:paraId="06357F04" w14:textId="77777777" w:rsidR="00886A3C" w:rsidRPr="004B1407" w:rsidRDefault="00886A3C" w:rsidP="00886A3C">
      <w:pPr>
        <w:spacing w:after="0" w:line="240" w:lineRule="auto"/>
        <w:jc w:val="both"/>
        <w:rPr>
          <w:rFonts w:ascii="Times New Roman" w:hAnsi="Times New Roman" w:cs="Times New Roman"/>
          <w:lang w:val="fr-FR"/>
        </w:rPr>
      </w:pPr>
      <w:r w:rsidRPr="004B1407">
        <w:rPr>
          <w:rFonts w:ascii="Times New Roman" w:hAnsi="Times New Roman" w:cs="Times New Roman"/>
          <w:lang w:val="fr-FR"/>
        </w:rPr>
        <w:t xml:space="preserve"> </w:t>
      </w:r>
    </w:p>
    <w:p w14:paraId="4D567D57" w14:textId="77777777" w:rsidR="00886A3C" w:rsidRPr="004B1407" w:rsidRDefault="00886A3C" w:rsidP="00886A3C">
      <w:pPr>
        <w:spacing w:after="0" w:line="240" w:lineRule="auto"/>
        <w:rPr>
          <w:rFonts w:ascii="Times New Roman" w:hAnsi="Times New Roman" w:cs="Times New Roman"/>
          <w:i/>
          <w:lang w:val="fr-FR"/>
        </w:rPr>
      </w:pPr>
      <w:r w:rsidRPr="0021668A">
        <w:rPr>
          <w:rFonts w:ascii="Times New Roman" w:hAnsi="Times New Roman" w:cs="Times New Roman"/>
          <w:i/>
          <w:lang w:val="fr-FR"/>
        </w:rPr>
        <w:t>5.5. Résultat 5 – Mortalité directe et indirecte liée à la chasse considérablement réduite</w:t>
      </w:r>
    </w:p>
    <w:p w14:paraId="0A1357FD"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142"/>
        <w:gridCol w:w="1361"/>
        <w:gridCol w:w="1557"/>
      </w:tblGrid>
      <w:tr w:rsidR="00886A3C" w:rsidRPr="00DE4CF4" w14:paraId="11D92499"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232F2C" w14:textId="77777777" w:rsidR="00886A3C" w:rsidRDefault="00886A3C" w:rsidP="00886A3C">
            <w:pPr>
              <w:jc w:val="both"/>
              <w:rPr>
                <w:rFonts w:ascii="Times New Roman" w:hAnsi="Times New Roman" w:cs="Times New Roman"/>
                <w:i/>
              </w:rPr>
            </w:pPr>
            <w:r w:rsidRPr="0021668A">
              <w:rPr>
                <w:rFonts w:ascii="Times New Roman" w:hAnsi="Times New Roman" w:cs="Times New Roman"/>
                <w:i/>
                <w:lang w:val="fr-FR"/>
              </w:rPr>
              <w:t>Activité</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D56F8C" w14:textId="77777777" w:rsidR="00886A3C" w:rsidRDefault="00886A3C" w:rsidP="00886A3C">
            <w:pPr>
              <w:jc w:val="both"/>
              <w:rPr>
                <w:rFonts w:ascii="Times New Roman" w:hAnsi="Times New Roman" w:cs="Times New Roman"/>
                <w:i/>
              </w:rPr>
            </w:pPr>
            <w:r w:rsidRPr="0021668A">
              <w:rPr>
                <w:rFonts w:ascii="Times New Roman" w:hAnsi="Times New Roman" w:cs="Times New Roman"/>
                <w:i/>
                <w:lang w:val="fr-FR"/>
              </w:rPr>
              <w:t>Priorité</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25090D" w14:textId="77777777" w:rsidR="00886A3C" w:rsidRPr="004B1407" w:rsidRDefault="00886A3C" w:rsidP="00886A3C">
            <w:pPr>
              <w:jc w:val="both"/>
              <w:rPr>
                <w:rFonts w:ascii="Times New Roman" w:hAnsi="Times New Roman" w:cs="Times New Roman"/>
                <w:i/>
                <w:lang w:val="fr-FR"/>
              </w:rPr>
            </w:pPr>
            <w:r w:rsidRPr="0021668A">
              <w:rPr>
                <w:rFonts w:ascii="Times New Roman" w:hAnsi="Times New Roman" w:cs="Times New Roman"/>
                <w:i/>
                <w:lang w:val="fr-FR"/>
              </w:rPr>
              <w:t xml:space="preserve">Taux de mise en œuvre </w:t>
            </w:r>
          </w:p>
        </w:tc>
      </w:tr>
      <w:tr w:rsidR="00886A3C" w:rsidRPr="00C5493C" w14:paraId="197E9544" w14:textId="77777777" w:rsidTr="00886A3C">
        <w:trPr>
          <w:trHeight w:val="495"/>
        </w:trPr>
        <w:tc>
          <w:tcPr>
            <w:tcW w:w="6369" w:type="dxa"/>
            <w:tcBorders>
              <w:top w:val="single" w:sz="4" w:space="0" w:color="auto"/>
              <w:left w:val="single" w:sz="4" w:space="0" w:color="auto"/>
              <w:bottom w:val="single" w:sz="4" w:space="0" w:color="auto"/>
              <w:right w:val="single" w:sz="4" w:space="0" w:color="auto"/>
            </w:tcBorders>
          </w:tcPr>
          <w:p w14:paraId="525DB236" w14:textId="77777777" w:rsidR="00886A3C" w:rsidRPr="004B1407" w:rsidRDefault="00886A3C" w:rsidP="00886A3C">
            <w:pPr>
              <w:rPr>
                <w:rFonts w:ascii="Times New Roman" w:hAnsi="Times New Roman" w:cs="Times New Roman"/>
                <w:lang w:val="fr-FR"/>
              </w:rPr>
            </w:pPr>
            <w:r w:rsidRPr="0021668A">
              <w:rPr>
                <w:rFonts w:ascii="Times New Roman" w:hAnsi="Times New Roman" w:cs="Times New Roman"/>
                <w:lang w:val="fr-FR"/>
              </w:rPr>
              <w:t>5.1. Aligner les saisons de chasse du gibier à plume de tous les pays le long de la voie de migration, en évitant les longues saisons de chasse et la chasse au printemps.</w:t>
            </w:r>
          </w:p>
        </w:tc>
        <w:tc>
          <w:tcPr>
            <w:tcW w:w="1384" w:type="dxa"/>
            <w:tcBorders>
              <w:top w:val="single" w:sz="4" w:space="0" w:color="auto"/>
              <w:left w:val="single" w:sz="4" w:space="0" w:color="auto"/>
              <w:bottom w:val="single" w:sz="4" w:space="0" w:color="auto"/>
              <w:right w:val="single" w:sz="4" w:space="0" w:color="auto"/>
            </w:tcBorders>
          </w:tcPr>
          <w:p w14:paraId="6F8A9708" w14:textId="77777777" w:rsidR="00886A3C" w:rsidRDefault="00886A3C" w:rsidP="00886A3C">
            <w:pPr>
              <w:jc w:val="center"/>
              <w:rPr>
                <w:rFonts w:ascii="Times New Roman" w:hAnsi="Times New Roman" w:cs="Times New Roman"/>
              </w:rPr>
            </w:pPr>
            <w:r w:rsidRPr="0021668A">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32D110CF" w14:textId="77777777" w:rsidR="00886A3C" w:rsidRDefault="00886A3C" w:rsidP="00886A3C">
            <w:pPr>
              <w:jc w:val="center"/>
              <w:rPr>
                <w:rFonts w:ascii="Times New Roman" w:hAnsi="Times New Roman" w:cs="Times New Roman"/>
              </w:rPr>
            </w:pPr>
            <w:r>
              <w:rPr>
                <w:rFonts w:ascii="Times New Roman" w:hAnsi="Times New Roman" w:cs="Times New Roman"/>
              </w:rPr>
              <w:t>80 %</w:t>
            </w:r>
          </w:p>
        </w:tc>
      </w:tr>
      <w:tr w:rsidR="00886A3C" w:rsidRPr="00C5493C" w14:paraId="574CD4ED"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283110CB" w14:textId="77777777" w:rsidR="00886A3C" w:rsidRPr="004B1407" w:rsidRDefault="00886A3C" w:rsidP="00886A3C">
            <w:pPr>
              <w:rPr>
                <w:rFonts w:ascii="Times New Roman" w:hAnsi="Times New Roman" w:cs="Times New Roman"/>
                <w:lang w:val="fr-FR"/>
              </w:rPr>
            </w:pPr>
            <w:r w:rsidRPr="0021668A">
              <w:rPr>
                <w:rFonts w:ascii="Times New Roman" w:hAnsi="Times New Roman" w:cs="Times New Roman"/>
                <w:lang w:val="fr-FR"/>
              </w:rPr>
              <w:t xml:space="preserve">5.2. Améliorer la législation nationale sur la chasse et garantir une capacité suffisante pour son application, </w:t>
            </w:r>
            <w:r>
              <w:rPr>
                <w:rFonts w:ascii="Times New Roman" w:hAnsi="Times New Roman" w:cs="Times New Roman"/>
                <w:lang w:val="fr-FR"/>
              </w:rPr>
              <w:t>en</w:t>
            </w:r>
            <w:r w:rsidRPr="0021668A">
              <w:rPr>
                <w:rFonts w:ascii="Times New Roman" w:hAnsi="Times New Roman" w:cs="Times New Roman"/>
                <w:lang w:val="fr-FR"/>
              </w:rPr>
              <w:t xml:space="preserve"> particuli</w:t>
            </w:r>
            <w:r>
              <w:rPr>
                <w:rFonts w:ascii="Times New Roman" w:hAnsi="Times New Roman" w:cs="Times New Roman"/>
                <w:lang w:val="fr-FR"/>
              </w:rPr>
              <w:t>er</w:t>
            </w:r>
            <w:r w:rsidRPr="0021668A">
              <w:rPr>
                <w:rFonts w:ascii="Times New Roman" w:hAnsi="Times New Roman" w:cs="Times New Roman"/>
                <w:lang w:val="fr-FR"/>
              </w:rPr>
              <w:t xml:space="preserve"> </w:t>
            </w:r>
            <w:r>
              <w:rPr>
                <w:rFonts w:ascii="Times New Roman" w:hAnsi="Times New Roman" w:cs="Times New Roman"/>
                <w:lang w:val="fr-FR"/>
              </w:rPr>
              <w:t xml:space="preserve">grâce à </w:t>
            </w:r>
            <w:r w:rsidRPr="0021668A">
              <w:rPr>
                <w:rFonts w:ascii="Times New Roman" w:hAnsi="Times New Roman" w:cs="Times New Roman"/>
                <w:lang w:val="fr-FR"/>
              </w:rPr>
              <w:t>de</w:t>
            </w:r>
            <w:r>
              <w:rPr>
                <w:rFonts w:ascii="Times New Roman" w:hAnsi="Times New Roman" w:cs="Times New Roman"/>
                <w:lang w:val="fr-FR"/>
              </w:rPr>
              <w:t>s</w:t>
            </w:r>
            <w:r w:rsidRPr="0021668A">
              <w:rPr>
                <w:rFonts w:ascii="Times New Roman" w:hAnsi="Times New Roman" w:cs="Times New Roman"/>
                <w:lang w:val="fr-FR"/>
              </w:rPr>
              <w:t xml:space="preserve"> patrouilles sur les sites clés.</w:t>
            </w:r>
          </w:p>
        </w:tc>
        <w:tc>
          <w:tcPr>
            <w:tcW w:w="1384" w:type="dxa"/>
            <w:tcBorders>
              <w:top w:val="single" w:sz="4" w:space="0" w:color="auto"/>
              <w:left w:val="single" w:sz="4" w:space="0" w:color="auto"/>
              <w:bottom w:val="single" w:sz="4" w:space="0" w:color="auto"/>
              <w:right w:val="single" w:sz="4" w:space="0" w:color="auto"/>
            </w:tcBorders>
          </w:tcPr>
          <w:p w14:paraId="7D5E1355" w14:textId="77777777" w:rsidR="00886A3C" w:rsidRDefault="00886A3C" w:rsidP="00886A3C">
            <w:pPr>
              <w:jc w:val="center"/>
              <w:rPr>
                <w:rFonts w:ascii="Times New Roman" w:hAnsi="Times New Roman" w:cs="Times New Roman"/>
              </w:rPr>
            </w:pPr>
            <w:r w:rsidRPr="0021668A">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1D18B10C"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rsidRPr="00C5493C" w14:paraId="2E0C7F43"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39917173" w14:textId="77777777" w:rsidR="00886A3C" w:rsidRPr="004B1407" w:rsidRDefault="00886A3C" w:rsidP="00886A3C">
            <w:pPr>
              <w:rPr>
                <w:rFonts w:ascii="Times New Roman" w:hAnsi="Times New Roman" w:cs="Times New Roman"/>
                <w:lang w:val="fr-FR"/>
              </w:rPr>
            </w:pPr>
            <w:r w:rsidRPr="0021668A">
              <w:rPr>
                <w:rFonts w:ascii="Times New Roman" w:hAnsi="Times New Roman" w:cs="Times New Roman"/>
                <w:lang w:val="fr-FR"/>
              </w:rPr>
              <w:t>5.3. Renforcer la sensibilisation des chasseurs à la conservation de Bernache à cou roux, y compris les touristes chasseurs venant de pays situés en dehors des États de l</w:t>
            </w:r>
            <w:r>
              <w:rPr>
                <w:rFonts w:ascii="Times New Roman" w:hAnsi="Times New Roman" w:cs="Times New Roman"/>
                <w:lang w:val="fr-FR"/>
              </w:rPr>
              <w:t>’</w:t>
            </w:r>
            <w:r w:rsidRPr="0021668A">
              <w:rPr>
                <w:rFonts w:ascii="Times New Roman" w:hAnsi="Times New Roman" w:cs="Times New Roman"/>
                <w:lang w:val="fr-FR"/>
              </w:rPr>
              <w:t>aire de répartition.</w:t>
            </w:r>
          </w:p>
        </w:tc>
        <w:tc>
          <w:tcPr>
            <w:tcW w:w="1384" w:type="dxa"/>
            <w:tcBorders>
              <w:top w:val="single" w:sz="4" w:space="0" w:color="auto"/>
              <w:left w:val="single" w:sz="4" w:space="0" w:color="auto"/>
              <w:bottom w:val="single" w:sz="4" w:space="0" w:color="auto"/>
              <w:right w:val="single" w:sz="4" w:space="0" w:color="auto"/>
            </w:tcBorders>
          </w:tcPr>
          <w:p w14:paraId="1BBA0B17" w14:textId="77777777" w:rsidR="00886A3C" w:rsidRDefault="00886A3C" w:rsidP="00886A3C">
            <w:pPr>
              <w:jc w:val="center"/>
              <w:rPr>
                <w:rFonts w:ascii="Times New Roman" w:hAnsi="Times New Roman" w:cs="Times New Roman"/>
              </w:rPr>
            </w:pPr>
            <w:r w:rsidRPr="0021668A">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4B4841AE"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BF0325" w14:paraId="09C3192E"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307AF905" w14:textId="77777777" w:rsidR="00886A3C" w:rsidRPr="004B1407" w:rsidRDefault="00886A3C" w:rsidP="00886A3C">
            <w:pPr>
              <w:rPr>
                <w:rFonts w:ascii="Times New Roman" w:hAnsi="Times New Roman" w:cs="Times New Roman"/>
                <w:lang w:val="fr-FR"/>
              </w:rPr>
            </w:pPr>
            <w:r w:rsidRPr="00710738">
              <w:rPr>
                <w:rFonts w:ascii="Times New Roman" w:hAnsi="Times New Roman" w:cs="Times New Roman"/>
                <w:lang w:val="fr-FR"/>
              </w:rPr>
              <w:t>5.4. Créer des zones refuges d</w:t>
            </w:r>
            <w:r>
              <w:rPr>
                <w:rFonts w:ascii="Times New Roman" w:hAnsi="Times New Roman" w:cs="Times New Roman"/>
                <w:lang w:val="fr-FR"/>
              </w:rPr>
              <w:t>’</w:t>
            </w:r>
            <w:r w:rsidRPr="00710738">
              <w:rPr>
                <w:rFonts w:ascii="Times New Roman" w:hAnsi="Times New Roman" w:cs="Times New Roman"/>
                <w:lang w:val="fr-FR"/>
              </w:rPr>
              <w:t>interdiction de chasse sur les sites clés de repos et dans les aires d</w:t>
            </w:r>
            <w:r>
              <w:rPr>
                <w:rFonts w:ascii="Times New Roman" w:hAnsi="Times New Roman" w:cs="Times New Roman"/>
                <w:lang w:val="fr-FR"/>
              </w:rPr>
              <w:t>’</w:t>
            </w:r>
            <w:r w:rsidRPr="00710738">
              <w:rPr>
                <w:rFonts w:ascii="Times New Roman" w:hAnsi="Times New Roman" w:cs="Times New Roman"/>
                <w:lang w:val="fr-FR"/>
              </w:rPr>
              <w:t>alimentation*.</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384" w:type="dxa"/>
            <w:tcBorders>
              <w:top w:val="single" w:sz="4" w:space="0" w:color="auto"/>
              <w:left w:val="single" w:sz="4" w:space="0" w:color="auto"/>
              <w:bottom w:val="single" w:sz="4" w:space="0" w:color="auto"/>
              <w:right w:val="single" w:sz="4" w:space="0" w:color="auto"/>
            </w:tcBorders>
          </w:tcPr>
          <w:p w14:paraId="78AFF9D2" w14:textId="77777777" w:rsidR="00886A3C" w:rsidRDefault="00886A3C" w:rsidP="00886A3C">
            <w:pPr>
              <w:jc w:val="center"/>
              <w:rPr>
                <w:rFonts w:ascii="Times New Roman" w:hAnsi="Times New Roman" w:cs="Times New Roman"/>
              </w:rPr>
            </w:pPr>
            <w:r w:rsidRPr="00710738">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120FF8A9"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BF0325" w14:paraId="55AC4BB6"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1CA9AC84" w14:textId="77777777" w:rsidR="00886A3C" w:rsidRPr="004B1407" w:rsidRDefault="00886A3C" w:rsidP="00886A3C">
            <w:pPr>
              <w:rPr>
                <w:rFonts w:ascii="Times New Roman" w:hAnsi="Times New Roman" w:cs="Times New Roman"/>
                <w:lang w:val="fr-FR"/>
              </w:rPr>
            </w:pPr>
            <w:r w:rsidRPr="00710738">
              <w:rPr>
                <w:rFonts w:ascii="Times New Roman" w:hAnsi="Times New Roman" w:cs="Times New Roman"/>
                <w:lang w:val="fr-FR"/>
              </w:rPr>
              <w:t>5.5. Assurer la surveillance pour déterminer les niveaux de chasse.</w:t>
            </w:r>
          </w:p>
        </w:tc>
        <w:tc>
          <w:tcPr>
            <w:tcW w:w="1384" w:type="dxa"/>
            <w:tcBorders>
              <w:top w:val="single" w:sz="4" w:space="0" w:color="auto"/>
              <w:left w:val="single" w:sz="4" w:space="0" w:color="auto"/>
              <w:bottom w:val="single" w:sz="4" w:space="0" w:color="auto"/>
              <w:right w:val="single" w:sz="4" w:space="0" w:color="auto"/>
            </w:tcBorders>
          </w:tcPr>
          <w:p w14:paraId="344BFD46" w14:textId="77777777" w:rsidR="00886A3C" w:rsidRDefault="00886A3C" w:rsidP="00886A3C">
            <w:pPr>
              <w:jc w:val="center"/>
              <w:rPr>
                <w:rFonts w:ascii="Times New Roman" w:hAnsi="Times New Roman" w:cs="Times New Roman"/>
              </w:rPr>
            </w:pPr>
            <w:r w:rsidRPr="00710738">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62403E8B" w14:textId="77777777" w:rsidR="00886A3C" w:rsidRDefault="00886A3C" w:rsidP="00886A3C">
            <w:pPr>
              <w:jc w:val="center"/>
              <w:rPr>
                <w:rFonts w:ascii="Times New Roman" w:hAnsi="Times New Roman" w:cs="Times New Roman"/>
              </w:rPr>
            </w:pPr>
            <w:r>
              <w:rPr>
                <w:rFonts w:ascii="Times New Roman" w:hAnsi="Times New Roman" w:cs="Times New Roman"/>
              </w:rPr>
              <w:t>20 %</w:t>
            </w:r>
          </w:p>
        </w:tc>
      </w:tr>
      <w:tr w:rsidR="00886A3C" w:rsidRPr="00C5493C" w14:paraId="34C01E09"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4DE17090" w14:textId="77777777" w:rsidR="00886A3C" w:rsidRPr="004B1407" w:rsidRDefault="00886A3C" w:rsidP="00886A3C">
            <w:pPr>
              <w:rPr>
                <w:rFonts w:ascii="Times New Roman" w:hAnsi="Times New Roman" w:cs="Times New Roman"/>
                <w:lang w:val="fr-FR"/>
              </w:rPr>
            </w:pPr>
            <w:r w:rsidRPr="00710738">
              <w:rPr>
                <w:rFonts w:ascii="Times New Roman" w:hAnsi="Times New Roman" w:cs="Times New Roman"/>
                <w:lang w:val="fr-FR"/>
              </w:rPr>
              <w:t>5.6. Surveiller la survie pour déterminer l</w:t>
            </w:r>
            <w:r>
              <w:rPr>
                <w:rFonts w:ascii="Times New Roman" w:hAnsi="Times New Roman" w:cs="Times New Roman"/>
                <w:lang w:val="fr-FR"/>
              </w:rPr>
              <w:t>’</w:t>
            </w:r>
            <w:r w:rsidRPr="00710738">
              <w:rPr>
                <w:rFonts w:ascii="Times New Roman" w:hAnsi="Times New Roman" w:cs="Times New Roman"/>
                <w:lang w:val="fr-FR"/>
              </w:rPr>
              <w:t>impact de</w:t>
            </w:r>
            <w:r>
              <w:rPr>
                <w:rFonts w:ascii="Times New Roman" w:hAnsi="Times New Roman" w:cs="Times New Roman"/>
                <w:lang w:val="fr-FR"/>
              </w:rPr>
              <w:t xml:space="preserve"> la chasse</w:t>
            </w:r>
            <w:r w:rsidRPr="00710738">
              <w:rPr>
                <w:rFonts w:ascii="Times New Roman" w:hAnsi="Times New Roman" w:cs="Times New Roman"/>
                <w:lang w:val="fr-FR"/>
              </w:rPr>
              <w:t xml:space="preserve"> sur la population de la Bernache à cou roux.</w:t>
            </w:r>
          </w:p>
        </w:tc>
        <w:tc>
          <w:tcPr>
            <w:tcW w:w="1384" w:type="dxa"/>
            <w:tcBorders>
              <w:top w:val="single" w:sz="4" w:space="0" w:color="auto"/>
              <w:left w:val="single" w:sz="4" w:space="0" w:color="auto"/>
              <w:bottom w:val="single" w:sz="4" w:space="0" w:color="auto"/>
              <w:right w:val="single" w:sz="4" w:space="0" w:color="auto"/>
            </w:tcBorders>
          </w:tcPr>
          <w:p w14:paraId="5CA83048" w14:textId="77777777" w:rsidR="00886A3C" w:rsidRDefault="00886A3C" w:rsidP="00886A3C">
            <w:pPr>
              <w:jc w:val="center"/>
              <w:rPr>
                <w:rFonts w:ascii="Times New Roman" w:hAnsi="Times New Roman" w:cs="Times New Roman"/>
              </w:rPr>
            </w:pPr>
            <w:r w:rsidRPr="00710738">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3B51308B" w14:textId="77777777" w:rsidR="00886A3C" w:rsidRDefault="00886A3C" w:rsidP="00886A3C">
            <w:pPr>
              <w:jc w:val="center"/>
              <w:rPr>
                <w:rFonts w:ascii="Times New Roman" w:hAnsi="Times New Roman" w:cs="Times New Roman"/>
              </w:rPr>
            </w:pPr>
            <w:r>
              <w:rPr>
                <w:rFonts w:ascii="Times New Roman" w:hAnsi="Times New Roman" w:cs="Times New Roman"/>
              </w:rPr>
              <w:t>20 %</w:t>
            </w:r>
          </w:p>
        </w:tc>
      </w:tr>
      <w:tr w:rsidR="00886A3C" w:rsidRPr="00C5493C" w14:paraId="689E4F6E"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494D1B6E" w14:textId="77777777" w:rsidR="00886A3C" w:rsidRPr="004B1407" w:rsidRDefault="00886A3C" w:rsidP="00886A3C">
            <w:pPr>
              <w:rPr>
                <w:rFonts w:ascii="Times New Roman" w:hAnsi="Times New Roman" w:cs="Times New Roman"/>
                <w:lang w:val="fr-FR"/>
              </w:rPr>
            </w:pPr>
            <w:r w:rsidRPr="00710738">
              <w:rPr>
                <w:rFonts w:ascii="Times New Roman" w:hAnsi="Times New Roman" w:cs="Times New Roman"/>
                <w:lang w:val="fr-FR"/>
              </w:rPr>
              <w:t xml:space="preserve">5.7. Déterminer la structure démographique des chasseurs et les </w:t>
            </w:r>
            <w:r w:rsidRPr="00710738">
              <w:rPr>
                <w:rFonts w:ascii="Times New Roman" w:hAnsi="Times New Roman" w:cs="Times New Roman"/>
                <w:lang w:val="fr-FR"/>
              </w:rPr>
              <w:lastRenderedPageBreak/>
              <w:t>moteurs de la chasse.</w:t>
            </w:r>
          </w:p>
        </w:tc>
        <w:tc>
          <w:tcPr>
            <w:tcW w:w="1384" w:type="dxa"/>
            <w:tcBorders>
              <w:top w:val="single" w:sz="4" w:space="0" w:color="auto"/>
              <w:left w:val="single" w:sz="4" w:space="0" w:color="auto"/>
              <w:bottom w:val="single" w:sz="4" w:space="0" w:color="auto"/>
              <w:right w:val="single" w:sz="4" w:space="0" w:color="auto"/>
            </w:tcBorders>
          </w:tcPr>
          <w:p w14:paraId="2E2234D6" w14:textId="77777777" w:rsidR="00886A3C" w:rsidRDefault="00886A3C" w:rsidP="00886A3C">
            <w:pPr>
              <w:jc w:val="center"/>
              <w:rPr>
                <w:rFonts w:ascii="Times New Roman" w:hAnsi="Times New Roman" w:cs="Times New Roman"/>
              </w:rPr>
            </w:pPr>
            <w:r w:rsidRPr="00710738">
              <w:rPr>
                <w:rFonts w:ascii="Times New Roman" w:hAnsi="Times New Roman" w:cs="Times New Roman"/>
                <w:lang w:val="fr-FR"/>
              </w:rPr>
              <w:lastRenderedPageBreak/>
              <w:t>Faible</w:t>
            </w:r>
          </w:p>
        </w:tc>
        <w:tc>
          <w:tcPr>
            <w:tcW w:w="1597" w:type="dxa"/>
            <w:tcBorders>
              <w:top w:val="single" w:sz="4" w:space="0" w:color="auto"/>
              <w:left w:val="single" w:sz="4" w:space="0" w:color="auto"/>
              <w:bottom w:val="single" w:sz="4" w:space="0" w:color="auto"/>
              <w:right w:val="single" w:sz="4" w:space="0" w:color="auto"/>
            </w:tcBorders>
          </w:tcPr>
          <w:p w14:paraId="7151C277" w14:textId="77777777" w:rsidR="00886A3C" w:rsidRDefault="00886A3C" w:rsidP="00886A3C">
            <w:pPr>
              <w:jc w:val="center"/>
              <w:rPr>
                <w:rFonts w:ascii="Times New Roman" w:hAnsi="Times New Roman" w:cs="Times New Roman"/>
              </w:rPr>
            </w:pPr>
            <w:r>
              <w:rPr>
                <w:rFonts w:ascii="Times New Roman" w:hAnsi="Times New Roman" w:cs="Times New Roman"/>
              </w:rPr>
              <w:t>20 %</w:t>
            </w:r>
          </w:p>
        </w:tc>
      </w:tr>
      <w:tr w:rsidR="00886A3C" w:rsidRPr="00BF0325" w14:paraId="4C352185"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1C5A2713" w14:textId="77777777" w:rsidR="00886A3C" w:rsidRPr="00AE7104" w:rsidRDefault="00886A3C" w:rsidP="00886A3C">
            <w:pPr>
              <w:rPr>
                <w:rFonts w:ascii="Times New Roman" w:hAnsi="Times New Roman" w:cs="Times New Roman"/>
              </w:rPr>
            </w:pPr>
            <w:r w:rsidRPr="00710738">
              <w:rPr>
                <w:rFonts w:ascii="Times New Roman" w:hAnsi="Times New Roman" w:cs="Times New Roman"/>
                <w:lang w:val="fr-FR"/>
              </w:rPr>
              <w:lastRenderedPageBreak/>
              <w:t>5.8. Veiller à ce que les bernaches à cou roux ne soient pas tuées à des fins d</w:t>
            </w:r>
            <w:r>
              <w:rPr>
                <w:rFonts w:ascii="Times New Roman" w:hAnsi="Times New Roman" w:cs="Times New Roman"/>
                <w:lang w:val="fr-FR"/>
              </w:rPr>
              <w:t>’</w:t>
            </w:r>
            <w:r w:rsidRPr="00710738">
              <w:rPr>
                <w:rFonts w:ascii="Times New Roman" w:hAnsi="Times New Roman" w:cs="Times New Roman"/>
                <w:lang w:val="fr-FR"/>
              </w:rPr>
              <w:t>échantillonnage pour l</w:t>
            </w:r>
            <w:r>
              <w:rPr>
                <w:rFonts w:ascii="Times New Roman" w:hAnsi="Times New Roman" w:cs="Times New Roman"/>
                <w:lang w:val="fr-FR"/>
              </w:rPr>
              <w:t>’</w:t>
            </w:r>
            <w:r w:rsidRPr="00710738">
              <w:rPr>
                <w:rFonts w:ascii="Times New Roman" w:hAnsi="Times New Roman" w:cs="Times New Roman"/>
                <w:lang w:val="fr-FR"/>
              </w:rPr>
              <w:t>influenza aviaire.</w:t>
            </w:r>
            <w:r w:rsidRPr="004B1407">
              <w:rPr>
                <w:rFonts w:ascii="Times New Roman" w:hAnsi="Times New Roman" w:cs="Times New Roman"/>
                <w:lang w:val="fr-FR"/>
              </w:rPr>
              <w:t xml:space="preserve"> </w:t>
            </w:r>
            <w:r w:rsidRPr="00710738">
              <w:rPr>
                <w:rFonts w:ascii="Times New Roman" w:hAnsi="Times New Roman" w:cs="Times New Roman"/>
                <w:lang w:val="fr-FR"/>
              </w:rPr>
              <w:t>(Ouzbékistan)</w:t>
            </w:r>
          </w:p>
        </w:tc>
        <w:tc>
          <w:tcPr>
            <w:tcW w:w="1384" w:type="dxa"/>
            <w:tcBorders>
              <w:top w:val="single" w:sz="4" w:space="0" w:color="auto"/>
              <w:left w:val="single" w:sz="4" w:space="0" w:color="auto"/>
              <w:bottom w:val="single" w:sz="4" w:space="0" w:color="auto"/>
              <w:right w:val="single" w:sz="4" w:space="0" w:color="auto"/>
            </w:tcBorders>
          </w:tcPr>
          <w:p w14:paraId="4999BDE6" w14:textId="77777777" w:rsidR="00886A3C" w:rsidRDefault="00886A3C" w:rsidP="00886A3C">
            <w:pPr>
              <w:jc w:val="center"/>
              <w:rPr>
                <w:rFonts w:ascii="Times New Roman" w:hAnsi="Times New Roman" w:cs="Times New Roman"/>
              </w:rPr>
            </w:pPr>
            <w:r w:rsidRPr="00710738">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2A16EAA9"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bl>
    <w:p w14:paraId="2D53DA23" w14:textId="77777777" w:rsidR="00886A3C" w:rsidRPr="004B1407" w:rsidRDefault="00886A3C" w:rsidP="00886A3C">
      <w:pPr>
        <w:spacing w:after="0" w:line="240" w:lineRule="auto"/>
        <w:rPr>
          <w:rFonts w:ascii="Times New Roman" w:hAnsi="Times New Roman" w:cs="Times New Roman"/>
          <w:i/>
          <w:lang w:val="fr-FR"/>
        </w:rPr>
      </w:pPr>
      <w:r w:rsidRPr="00710738">
        <w:rPr>
          <w:rFonts w:ascii="Times New Roman" w:hAnsi="Times New Roman" w:cs="Times New Roman"/>
          <w:lang w:val="fr-FR"/>
        </w:rPr>
        <w:t>*</w:t>
      </w:r>
      <w:r w:rsidRPr="00710738">
        <w:rPr>
          <w:rFonts w:ascii="Times New Roman" w:hAnsi="Times New Roman" w:cs="Times New Roman"/>
          <w:i/>
          <w:lang w:val="fr-FR"/>
        </w:rPr>
        <w:t>Il conviendra de noter que tous les États de l</w:t>
      </w:r>
      <w:r>
        <w:rPr>
          <w:rFonts w:ascii="Times New Roman" w:hAnsi="Times New Roman" w:cs="Times New Roman"/>
          <w:i/>
          <w:lang w:val="fr-FR"/>
        </w:rPr>
        <w:t>’</w:t>
      </w:r>
      <w:r w:rsidRPr="00710738">
        <w:rPr>
          <w:rFonts w:ascii="Times New Roman" w:hAnsi="Times New Roman" w:cs="Times New Roman"/>
          <w:i/>
          <w:lang w:val="fr-FR"/>
        </w:rPr>
        <w:t xml:space="preserve">aire de répartition, </w:t>
      </w:r>
      <w:r>
        <w:rPr>
          <w:rFonts w:ascii="Times New Roman" w:hAnsi="Times New Roman" w:cs="Times New Roman"/>
          <w:i/>
          <w:lang w:val="fr-FR"/>
        </w:rPr>
        <w:t>à</w:t>
      </w:r>
      <w:r w:rsidRPr="00710738">
        <w:rPr>
          <w:rFonts w:ascii="Times New Roman" w:hAnsi="Times New Roman" w:cs="Times New Roman"/>
          <w:i/>
          <w:lang w:val="fr-FR"/>
        </w:rPr>
        <w:t xml:space="preserve"> l</w:t>
      </w:r>
      <w:r>
        <w:rPr>
          <w:rFonts w:ascii="Times New Roman" w:hAnsi="Times New Roman" w:cs="Times New Roman"/>
          <w:i/>
          <w:lang w:val="fr-FR"/>
        </w:rPr>
        <w:t>’</w:t>
      </w:r>
      <w:r w:rsidRPr="00710738">
        <w:rPr>
          <w:rFonts w:ascii="Times New Roman" w:hAnsi="Times New Roman" w:cs="Times New Roman"/>
          <w:i/>
          <w:lang w:val="fr-FR"/>
        </w:rPr>
        <w:t>exception de la Bulgarie, ont fait part d</w:t>
      </w:r>
      <w:r>
        <w:rPr>
          <w:rFonts w:ascii="Times New Roman" w:hAnsi="Times New Roman" w:cs="Times New Roman"/>
          <w:i/>
          <w:lang w:val="fr-FR"/>
        </w:rPr>
        <w:t>’</w:t>
      </w:r>
      <w:r w:rsidRPr="00710738">
        <w:rPr>
          <w:rFonts w:ascii="Times New Roman" w:hAnsi="Times New Roman" w:cs="Times New Roman"/>
          <w:i/>
          <w:lang w:val="fr-FR"/>
        </w:rPr>
        <w:t>une mise en œuvre partielle, avec des zones d</w:t>
      </w:r>
      <w:r>
        <w:rPr>
          <w:rFonts w:ascii="Times New Roman" w:hAnsi="Times New Roman" w:cs="Times New Roman"/>
          <w:i/>
          <w:lang w:val="fr-FR"/>
        </w:rPr>
        <w:t>’</w:t>
      </w:r>
      <w:r w:rsidRPr="00710738">
        <w:rPr>
          <w:rFonts w:ascii="Times New Roman" w:hAnsi="Times New Roman" w:cs="Times New Roman"/>
          <w:i/>
          <w:lang w:val="fr-FR"/>
        </w:rPr>
        <w:t>interdiction de chasse cré</w:t>
      </w:r>
      <w:r>
        <w:rPr>
          <w:rFonts w:ascii="Times New Roman" w:hAnsi="Times New Roman" w:cs="Times New Roman"/>
          <w:i/>
          <w:lang w:val="fr-FR"/>
        </w:rPr>
        <w:t>é</w:t>
      </w:r>
      <w:r w:rsidRPr="00710738">
        <w:rPr>
          <w:rFonts w:ascii="Times New Roman" w:hAnsi="Times New Roman" w:cs="Times New Roman"/>
          <w:i/>
          <w:lang w:val="fr-FR"/>
        </w:rPr>
        <w:t>es sur un certain nombre de sites.</w:t>
      </w:r>
    </w:p>
    <w:p w14:paraId="04E43CFF" w14:textId="77777777" w:rsidR="00886A3C" w:rsidRPr="004B1407" w:rsidRDefault="00886A3C" w:rsidP="00886A3C">
      <w:pPr>
        <w:spacing w:after="0" w:line="240" w:lineRule="auto"/>
        <w:rPr>
          <w:rFonts w:ascii="Times New Roman" w:hAnsi="Times New Roman" w:cs="Times New Roman"/>
          <w:i/>
          <w:lang w:val="fr-FR"/>
        </w:rPr>
      </w:pPr>
    </w:p>
    <w:p w14:paraId="4304B2AA" w14:textId="77777777" w:rsidR="00886A3C" w:rsidRPr="004B1407" w:rsidRDefault="00886A3C" w:rsidP="00886A3C">
      <w:pPr>
        <w:spacing w:after="0" w:line="240" w:lineRule="auto"/>
        <w:rPr>
          <w:rFonts w:ascii="Times New Roman" w:hAnsi="Times New Roman" w:cs="Times New Roman"/>
          <w:b/>
          <w:lang w:val="fr-FR"/>
        </w:rPr>
      </w:pPr>
      <w:r w:rsidRPr="00710738">
        <w:rPr>
          <w:rFonts w:ascii="Times New Roman" w:hAnsi="Times New Roman" w:cs="Times New Roman"/>
          <w:b/>
          <w:lang w:val="fr-FR"/>
        </w:rPr>
        <w:t>Taux moyen de mise en œuvre :</w:t>
      </w:r>
      <w:r w:rsidRPr="004B1407">
        <w:rPr>
          <w:rFonts w:ascii="Times New Roman" w:hAnsi="Times New Roman" w:cs="Times New Roman"/>
          <w:lang w:val="fr-FR"/>
        </w:rPr>
        <w:t xml:space="preserve"> </w:t>
      </w:r>
      <w:r w:rsidRPr="004B1407">
        <w:rPr>
          <w:rFonts w:ascii="Times New Roman" w:hAnsi="Times New Roman" w:cs="Times New Roman"/>
          <w:b/>
          <w:lang w:val="fr-FR"/>
        </w:rPr>
        <w:t>36 %</w:t>
      </w:r>
    </w:p>
    <w:p w14:paraId="26470E28" w14:textId="77777777" w:rsidR="00886A3C" w:rsidRPr="004B1407" w:rsidRDefault="00886A3C" w:rsidP="00886A3C">
      <w:pPr>
        <w:spacing w:after="0" w:line="240" w:lineRule="auto"/>
        <w:rPr>
          <w:rFonts w:ascii="Times New Roman" w:hAnsi="Times New Roman" w:cs="Times New Roman"/>
          <w:lang w:val="fr-FR"/>
        </w:rPr>
      </w:pPr>
    </w:p>
    <w:p w14:paraId="0EF6EBAD" w14:textId="77777777" w:rsidR="00886A3C" w:rsidRPr="004B1407" w:rsidRDefault="00886A3C" w:rsidP="00886A3C">
      <w:pPr>
        <w:spacing w:after="0" w:line="240" w:lineRule="auto"/>
        <w:rPr>
          <w:rFonts w:ascii="Times New Roman" w:hAnsi="Times New Roman" w:cs="Times New Roman"/>
          <w:i/>
          <w:lang w:val="fr-FR"/>
        </w:rPr>
      </w:pPr>
      <w:r w:rsidRPr="00710738">
        <w:rPr>
          <w:rFonts w:ascii="Times New Roman" w:hAnsi="Times New Roman" w:cs="Times New Roman"/>
          <w:i/>
          <w:lang w:val="fr-FR"/>
        </w:rPr>
        <w:t>5.6. Résultat 6 – Un réseau de sites d</w:t>
      </w:r>
      <w:r>
        <w:rPr>
          <w:rFonts w:ascii="Times New Roman" w:hAnsi="Times New Roman" w:cs="Times New Roman"/>
          <w:i/>
          <w:lang w:val="fr-FR"/>
        </w:rPr>
        <w:t>’</w:t>
      </w:r>
      <w:r w:rsidRPr="00710738">
        <w:rPr>
          <w:rFonts w:ascii="Times New Roman" w:hAnsi="Times New Roman" w:cs="Times New Roman"/>
          <w:i/>
          <w:lang w:val="fr-FR"/>
        </w:rPr>
        <w:t>aires protégée</w:t>
      </w:r>
      <w:r>
        <w:rPr>
          <w:rFonts w:ascii="Times New Roman" w:hAnsi="Times New Roman" w:cs="Times New Roman"/>
          <w:i/>
          <w:lang w:val="fr-FR"/>
        </w:rPr>
        <w:t>s</w:t>
      </w:r>
      <w:r w:rsidRPr="00710738">
        <w:rPr>
          <w:rFonts w:ascii="Times New Roman" w:hAnsi="Times New Roman" w:cs="Times New Roman"/>
          <w:i/>
          <w:lang w:val="fr-FR"/>
        </w:rPr>
        <w:t xml:space="preserve"> fonctionne de manière efficace</w:t>
      </w:r>
    </w:p>
    <w:p w14:paraId="31BC08D7" w14:textId="77777777" w:rsidR="00886A3C" w:rsidRPr="004B1407" w:rsidRDefault="00886A3C" w:rsidP="00886A3C">
      <w:pPr>
        <w:spacing w:after="0" w:line="240" w:lineRule="auto"/>
        <w:rPr>
          <w:rFonts w:ascii="Times New Roman" w:hAnsi="Times New Roman" w:cs="Times New Roman"/>
          <w:lang w:val="fr-FR"/>
        </w:rPr>
      </w:pPr>
    </w:p>
    <w:p w14:paraId="15ABF467" w14:textId="77777777" w:rsidR="00886A3C" w:rsidRPr="004B1407" w:rsidRDefault="00886A3C" w:rsidP="00886A3C">
      <w:pPr>
        <w:spacing w:after="0" w:line="240" w:lineRule="auto"/>
        <w:rPr>
          <w:rFonts w:ascii="Times New Roman" w:hAnsi="Times New Roman" w:cs="Times New Roman"/>
          <w:lang w:val="fr-FR"/>
        </w:rPr>
      </w:pPr>
      <w:r w:rsidRPr="00710738">
        <w:rPr>
          <w:rFonts w:ascii="Times New Roman" w:hAnsi="Times New Roman" w:cs="Times New Roman"/>
          <w:lang w:val="fr-FR"/>
        </w:rPr>
        <w:t>L</w:t>
      </w:r>
      <w:r>
        <w:rPr>
          <w:rFonts w:ascii="Times New Roman" w:hAnsi="Times New Roman" w:cs="Times New Roman"/>
          <w:lang w:val="fr-FR"/>
        </w:rPr>
        <w:t>’</w:t>
      </w:r>
      <w:r w:rsidRPr="00710738">
        <w:rPr>
          <w:rFonts w:ascii="Times New Roman" w:hAnsi="Times New Roman" w:cs="Times New Roman"/>
          <w:b/>
          <w:lang w:val="fr-FR"/>
        </w:rPr>
        <w:t>action 6.1</w:t>
      </w:r>
      <w:r w:rsidRPr="009275C8">
        <w:rPr>
          <w:rFonts w:ascii="Times New Roman" w:hAnsi="Times New Roman" w:cs="Times New Roman"/>
          <w:lang w:val="fr-FR"/>
        </w:rPr>
        <w:t>,</w:t>
      </w:r>
      <w:r w:rsidRPr="00710738">
        <w:rPr>
          <w:rFonts w:ascii="Times New Roman" w:hAnsi="Times New Roman" w:cs="Times New Roman"/>
          <w:b/>
          <w:lang w:val="fr-FR"/>
        </w:rPr>
        <w:t xml:space="preserve"> </w:t>
      </w:r>
      <w:r w:rsidRPr="00710738">
        <w:rPr>
          <w:rFonts w:ascii="Times New Roman" w:hAnsi="Times New Roman" w:cs="Times New Roman"/>
          <w:lang w:val="fr-FR"/>
        </w:rPr>
        <w:t>concernant la réalisation d</w:t>
      </w:r>
      <w:r>
        <w:rPr>
          <w:rFonts w:ascii="Times New Roman" w:hAnsi="Times New Roman" w:cs="Times New Roman"/>
          <w:lang w:val="fr-FR"/>
        </w:rPr>
        <w:t>’</w:t>
      </w:r>
      <w:r w:rsidRPr="00710738">
        <w:rPr>
          <w:rFonts w:ascii="Times New Roman" w:hAnsi="Times New Roman" w:cs="Times New Roman"/>
          <w:lang w:val="fr-FR"/>
        </w:rPr>
        <w:t>un suivi satellitaire pour identifier les sites clés supplémentaires dans des aires ayant une couverture relativement insuffisante</w:t>
      </w:r>
      <w:r>
        <w:rPr>
          <w:rFonts w:ascii="Times New Roman" w:hAnsi="Times New Roman" w:cs="Times New Roman"/>
          <w:lang w:val="fr-FR"/>
        </w:rPr>
        <w:t xml:space="preserve">, </w:t>
      </w:r>
      <w:r w:rsidRPr="00710738">
        <w:rPr>
          <w:rFonts w:ascii="Times New Roman" w:hAnsi="Times New Roman" w:cs="Times New Roman"/>
          <w:lang w:val="fr-FR"/>
        </w:rPr>
        <w:t>classée comme ayant une priorité élevée</w:t>
      </w:r>
      <w:r>
        <w:rPr>
          <w:rFonts w:ascii="Times New Roman" w:hAnsi="Times New Roman" w:cs="Times New Roman"/>
          <w:lang w:val="fr-FR"/>
        </w:rPr>
        <w:t>,</w:t>
      </w:r>
      <w:r w:rsidRPr="00710738">
        <w:rPr>
          <w:rFonts w:ascii="Times New Roman" w:hAnsi="Times New Roman" w:cs="Times New Roman"/>
          <w:lang w:val="fr-FR"/>
        </w:rPr>
        <w:t xml:space="preserve"> a été mise en œuvre par la Bulgarie et la Roumanie.</w:t>
      </w:r>
      <w:r w:rsidRPr="004B1407">
        <w:rPr>
          <w:rFonts w:ascii="Times New Roman" w:hAnsi="Times New Roman" w:cs="Times New Roman"/>
          <w:lang w:val="fr-FR"/>
        </w:rPr>
        <w:t xml:space="preserve"> (40 %)</w:t>
      </w:r>
    </w:p>
    <w:p w14:paraId="00CBD429" w14:textId="77777777" w:rsidR="00886A3C" w:rsidRPr="004B1407" w:rsidRDefault="00886A3C" w:rsidP="00886A3C">
      <w:pPr>
        <w:spacing w:after="0" w:line="240" w:lineRule="auto"/>
        <w:rPr>
          <w:rFonts w:ascii="Times New Roman" w:hAnsi="Times New Roman" w:cs="Times New Roman"/>
          <w:lang w:val="fr-FR"/>
        </w:rPr>
      </w:pPr>
    </w:p>
    <w:p w14:paraId="2696D9F9" w14:textId="77777777" w:rsidR="00886A3C" w:rsidRDefault="00886A3C" w:rsidP="00886A3C">
      <w:pPr>
        <w:spacing w:after="0" w:line="240" w:lineRule="auto"/>
        <w:rPr>
          <w:rFonts w:ascii="Times New Roman" w:hAnsi="Times New Roman" w:cs="Times New Roman"/>
          <w:lang w:val="en-US"/>
        </w:rPr>
      </w:pPr>
      <w:r w:rsidRPr="004A1D04">
        <w:rPr>
          <w:rFonts w:ascii="Times New Roman" w:hAnsi="Times New Roman" w:cs="Times New Roman"/>
          <w:lang w:val="fr-FR"/>
        </w:rPr>
        <w:t>L</w:t>
      </w:r>
      <w:r>
        <w:rPr>
          <w:rFonts w:ascii="Times New Roman" w:hAnsi="Times New Roman" w:cs="Times New Roman"/>
          <w:lang w:val="fr-FR"/>
        </w:rPr>
        <w:t>’</w:t>
      </w:r>
      <w:r w:rsidRPr="004A1D04">
        <w:rPr>
          <w:rFonts w:ascii="Times New Roman" w:hAnsi="Times New Roman" w:cs="Times New Roman"/>
          <w:b/>
          <w:lang w:val="fr-FR"/>
        </w:rPr>
        <w:t>action 6.2</w:t>
      </w:r>
      <w:r w:rsidRPr="009275C8">
        <w:rPr>
          <w:rFonts w:ascii="Times New Roman" w:hAnsi="Times New Roman" w:cs="Times New Roman"/>
          <w:lang w:val="fr-FR"/>
        </w:rPr>
        <w:t xml:space="preserve">, </w:t>
      </w:r>
      <w:r w:rsidRPr="004A1D04">
        <w:rPr>
          <w:rFonts w:ascii="Times New Roman" w:hAnsi="Times New Roman" w:cs="Times New Roman"/>
          <w:lang w:val="fr-FR"/>
        </w:rPr>
        <w:t>concernant la désignation de tous les sites de repos clés et tous les sites d</w:t>
      </w:r>
      <w:r>
        <w:rPr>
          <w:rFonts w:ascii="Times New Roman" w:hAnsi="Times New Roman" w:cs="Times New Roman"/>
          <w:lang w:val="fr-FR"/>
        </w:rPr>
        <w:t>’</w:t>
      </w:r>
      <w:r w:rsidRPr="004A1D04">
        <w:rPr>
          <w:rFonts w:ascii="Times New Roman" w:hAnsi="Times New Roman" w:cs="Times New Roman"/>
          <w:lang w:val="fr-FR"/>
        </w:rPr>
        <w:t>alimentation naturels/semi-naturels en tant</w:t>
      </w:r>
      <w:r>
        <w:rPr>
          <w:rFonts w:ascii="Times New Roman" w:hAnsi="Times New Roman" w:cs="Times New Roman"/>
          <w:lang w:val="fr-FR"/>
        </w:rPr>
        <w:t xml:space="preserve"> qu’</w:t>
      </w:r>
      <w:r w:rsidRPr="004A1D04">
        <w:rPr>
          <w:rFonts w:ascii="Times New Roman" w:hAnsi="Times New Roman" w:cs="Times New Roman"/>
          <w:lang w:val="fr-FR"/>
        </w:rPr>
        <w:t xml:space="preserve">aires protégées </w:t>
      </w:r>
      <w:r>
        <w:rPr>
          <w:rFonts w:ascii="Times New Roman" w:hAnsi="Times New Roman" w:cs="Times New Roman"/>
          <w:lang w:val="fr-FR"/>
        </w:rPr>
        <w:t>aux termes</w:t>
      </w:r>
      <w:r w:rsidRPr="004A1D04">
        <w:rPr>
          <w:rFonts w:ascii="Times New Roman" w:hAnsi="Times New Roman" w:cs="Times New Roman"/>
          <w:lang w:val="fr-FR"/>
        </w:rPr>
        <w:t xml:space="preserve"> d</w:t>
      </w:r>
      <w:r>
        <w:rPr>
          <w:rFonts w:ascii="Times New Roman" w:hAnsi="Times New Roman" w:cs="Times New Roman"/>
          <w:lang w:val="fr-FR"/>
        </w:rPr>
        <w:t>’</w:t>
      </w:r>
      <w:r w:rsidRPr="004A1D04">
        <w:rPr>
          <w:rFonts w:ascii="Times New Roman" w:hAnsi="Times New Roman" w:cs="Times New Roman"/>
          <w:lang w:val="fr-FR"/>
        </w:rPr>
        <w:t>une législation appropriée</w:t>
      </w:r>
      <w:r>
        <w:rPr>
          <w:rFonts w:ascii="Times New Roman" w:hAnsi="Times New Roman" w:cs="Times New Roman"/>
          <w:lang w:val="fr-FR"/>
        </w:rPr>
        <w:t>,</w:t>
      </w:r>
      <w:r w:rsidRPr="004A1D04">
        <w:rPr>
          <w:rFonts w:ascii="Times New Roman" w:hAnsi="Times New Roman" w:cs="Times New Roman"/>
          <w:lang w:val="fr-FR"/>
        </w:rPr>
        <w:t xml:space="preserve"> </w:t>
      </w:r>
      <w:r>
        <w:rPr>
          <w:rFonts w:ascii="Times New Roman" w:hAnsi="Times New Roman" w:cs="Times New Roman"/>
          <w:lang w:val="fr-FR"/>
        </w:rPr>
        <w:t xml:space="preserve">a été </w:t>
      </w:r>
      <w:r w:rsidRPr="004A1D04">
        <w:rPr>
          <w:rFonts w:ascii="Times New Roman" w:hAnsi="Times New Roman" w:cs="Times New Roman"/>
          <w:lang w:val="fr-FR"/>
        </w:rPr>
        <w:t>également classée comme ayant une priorité élevée et la Bulgarie et la Roumanie ont fait part de sa mise en œuvre.</w:t>
      </w:r>
      <w:r w:rsidRPr="004B1407">
        <w:rPr>
          <w:rFonts w:ascii="Times New Roman" w:hAnsi="Times New Roman" w:cs="Times New Roman"/>
          <w:lang w:val="fr-FR"/>
        </w:rPr>
        <w:t xml:space="preserve"> </w:t>
      </w:r>
      <w:r>
        <w:rPr>
          <w:rFonts w:ascii="Times New Roman" w:hAnsi="Times New Roman" w:cs="Times New Roman"/>
          <w:lang w:val="en-US"/>
        </w:rPr>
        <w:t>(40 %)</w:t>
      </w:r>
    </w:p>
    <w:p w14:paraId="0434FE54" w14:textId="77777777" w:rsidR="00886A3C" w:rsidRDefault="00886A3C" w:rsidP="00886A3C">
      <w:pPr>
        <w:spacing w:after="0" w:line="240" w:lineRule="auto"/>
        <w:rPr>
          <w:rFonts w:ascii="Times New Roman" w:hAnsi="Times New Roman" w:cs="Times New Roman"/>
          <w:lang w:val="en-US"/>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27"/>
      </w:tblGrid>
      <w:tr w:rsidR="00886A3C" w14:paraId="42A603AB" w14:textId="77777777" w:rsidTr="00886A3C">
        <w:trPr>
          <w:trHeight w:val="3384"/>
        </w:trPr>
        <w:tc>
          <w:tcPr>
            <w:tcW w:w="4627" w:type="dxa"/>
          </w:tcPr>
          <w:p w14:paraId="000D8578" w14:textId="77777777" w:rsidR="00886A3C" w:rsidRDefault="00886A3C" w:rsidP="00886A3C">
            <w:pPr>
              <w:rPr>
                <w:rFonts w:ascii="Times New Roman" w:hAnsi="Times New Roman" w:cs="Times New Roman"/>
              </w:rPr>
            </w:pPr>
            <w:r>
              <w:rPr>
                <w:noProof/>
              </w:rPr>
              <w:drawing>
                <wp:inline distT="0" distB="0" distL="0" distR="0" wp14:anchorId="2934835B" wp14:editId="5EA015D8">
                  <wp:extent cx="2724150" cy="2028825"/>
                  <wp:effectExtent l="0" t="0" r="19050" b="9525"/>
                  <wp:docPr id="263" name="Chart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tc>
        <w:tc>
          <w:tcPr>
            <w:tcW w:w="4627" w:type="dxa"/>
          </w:tcPr>
          <w:p w14:paraId="21C5F71E" w14:textId="77777777" w:rsidR="00886A3C" w:rsidRDefault="00886A3C" w:rsidP="00886A3C">
            <w:pPr>
              <w:rPr>
                <w:rFonts w:ascii="Times New Roman" w:hAnsi="Times New Roman" w:cs="Times New Roman"/>
              </w:rPr>
            </w:pPr>
            <w:r>
              <w:rPr>
                <w:noProof/>
              </w:rPr>
              <w:drawing>
                <wp:inline distT="0" distB="0" distL="0" distR="0" wp14:anchorId="3E72ECDD" wp14:editId="59F5BB9E">
                  <wp:extent cx="2638425" cy="2038350"/>
                  <wp:effectExtent l="0" t="0" r="9525" b="19050"/>
                  <wp:docPr id="264" name="Chart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tc>
      </w:tr>
    </w:tbl>
    <w:p w14:paraId="75E784B5" w14:textId="77777777" w:rsidR="00886A3C" w:rsidRPr="004B1407" w:rsidRDefault="00886A3C" w:rsidP="00886A3C">
      <w:pPr>
        <w:spacing w:after="0" w:line="240" w:lineRule="auto"/>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w:t>
      </w:r>
      <w:r>
        <w:rPr>
          <w:rFonts w:ascii="Times New Roman" w:hAnsi="Times New Roman" w:cs="Times New Roman"/>
          <w:lang w:val="fr-FR"/>
        </w:rPr>
        <w:t>s d’information</w:t>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Pr>
          <w:rFonts w:ascii="Times New Roman" w:hAnsi="Times New Roman" w:cs="Times New Roman"/>
          <w:lang w:val="fr-FR"/>
        </w:rPr>
        <w:t xml:space="preserve"> Pas d’information</w:t>
      </w:r>
    </w:p>
    <w:p w14:paraId="4DDB0425" w14:textId="77777777" w:rsidR="00886A3C" w:rsidRDefault="00886A3C" w:rsidP="00886A3C">
      <w:pPr>
        <w:spacing w:after="0" w:line="240" w:lineRule="auto"/>
        <w:jc w:val="both"/>
        <w:rPr>
          <w:rFonts w:ascii="Times New Roman" w:hAnsi="Times New Roman" w:cs="Times New Roman"/>
          <w:lang w:val="fr-FR"/>
        </w:rPr>
      </w:pPr>
    </w:p>
    <w:p w14:paraId="663AEAF6" w14:textId="77777777" w:rsidR="00886A3C" w:rsidRDefault="00886A3C" w:rsidP="00886A3C">
      <w:pPr>
        <w:spacing w:after="0" w:line="240" w:lineRule="auto"/>
        <w:jc w:val="both"/>
        <w:rPr>
          <w:rFonts w:ascii="Times New Roman" w:hAnsi="Times New Roman" w:cs="Times New Roman"/>
          <w:lang w:val="fr-FR"/>
        </w:rPr>
      </w:pPr>
    </w:p>
    <w:p w14:paraId="7D54D24E" w14:textId="77777777" w:rsidR="00886A3C" w:rsidRPr="004B1407" w:rsidRDefault="00886A3C" w:rsidP="00886A3C">
      <w:pPr>
        <w:spacing w:after="0" w:line="240" w:lineRule="auto"/>
        <w:jc w:val="both"/>
        <w:rPr>
          <w:rFonts w:ascii="Times New Roman" w:hAnsi="Times New Roman" w:cs="Times New Roman"/>
          <w:lang w:val="fr-FR"/>
        </w:rPr>
      </w:pPr>
      <w:r w:rsidRPr="004A1D04">
        <w:rPr>
          <w:rFonts w:ascii="Times New Roman" w:hAnsi="Times New Roman" w:cs="Times New Roman"/>
          <w:lang w:val="fr-FR"/>
        </w:rPr>
        <w:t>L</w:t>
      </w:r>
      <w:r>
        <w:rPr>
          <w:rFonts w:ascii="Times New Roman" w:hAnsi="Times New Roman" w:cs="Times New Roman"/>
          <w:lang w:val="fr-FR"/>
        </w:rPr>
        <w:t>’</w:t>
      </w:r>
      <w:r w:rsidRPr="004A1D04">
        <w:rPr>
          <w:rFonts w:ascii="Times New Roman" w:hAnsi="Times New Roman" w:cs="Times New Roman"/>
          <w:b/>
          <w:lang w:val="fr-FR"/>
        </w:rPr>
        <w:t>action 6.3</w:t>
      </w:r>
      <w:r w:rsidRPr="009275C8">
        <w:rPr>
          <w:rFonts w:ascii="Times New Roman" w:hAnsi="Times New Roman" w:cs="Times New Roman"/>
          <w:lang w:val="fr-FR"/>
        </w:rPr>
        <w:t>,</w:t>
      </w:r>
      <w:r w:rsidRPr="004A1D04">
        <w:rPr>
          <w:rFonts w:ascii="Times New Roman" w:hAnsi="Times New Roman" w:cs="Times New Roman"/>
          <w:lang w:val="fr-FR"/>
        </w:rPr>
        <w:t xml:space="preserve"> concernant l</w:t>
      </w:r>
      <w:r>
        <w:rPr>
          <w:rFonts w:ascii="Times New Roman" w:hAnsi="Times New Roman" w:cs="Times New Roman"/>
          <w:lang w:val="fr-FR"/>
        </w:rPr>
        <w:t>’</w:t>
      </w:r>
      <w:r w:rsidRPr="004A1D04">
        <w:rPr>
          <w:rFonts w:ascii="Times New Roman" w:hAnsi="Times New Roman" w:cs="Times New Roman"/>
          <w:lang w:val="fr-FR"/>
        </w:rPr>
        <w:t>identification et la surveillance des menaces pesant sur tous les sites clés</w:t>
      </w:r>
      <w:r>
        <w:rPr>
          <w:rFonts w:ascii="Times New Roman" w:hAnsi="Times New Roman" w:cs="Times New Roman"/>
          <w:lang w:val="fr-FR"/>
        </w:rPr>
        <w:t>,</w:t>
      </w:r>
      <w:r w:rsidRPr="004A1D04">
        <w:rPr>
          <w:rFonts w:ascii="Times New Roman" w:hAnsi="Times New Roman" w:cs="Times New Roman"/>
          <w:lang w:val="fr-FR"/>
        </w:rPr>
        <w:t xml:space="preserve"> </w:t>
      </w:r>
      <w:r>
        <w:rPr>
          <w:rFonts w:ascii="Times New Roman" w:hAnsi="Times New Roman" w:cs="Times New Roman"/>
          <w:lang w:val="fr-FR"/>
        </w:rPr>
        <w:t>a été</w:t>
      </w:r>
      <w:r w:rsidRPr="004A1D04">
        <w:rPr>
          <w:rFonts w:ascii="Times New Roman" w:hAnsi="Times New Roman" w:cs="Times New Roman"/>
          <w:lang w:val="fr-FR"/>
        </w:rPr>
        <w:t xml:space="preserve"> classée comme ayant une priorité élevée et le Kazakhstan a fait part de sa mise en œuvre.</w:t>
      </w:r>
      <w:r w:rsidRPr="004B1407">
        <w:rPr>
          <w:rFonts w:ascii="Times New Roman" w:hAnsi="Times New Roman" w:cs="Times New Roman"/>
          <w:lang w:val="fr-FR"/>
        </w:rPr>
        <w:t xml:space="preserve"> </w:t>
      </w:r>
      <w:r w:rsidRPr="004A1D04">
        <w:rPr>
          <w:rFonts w:ascii="Times New Roman" w:hAnsi="Times New Roman" w:cs="Times New Roman"/>
          <w:lang w:val="fr-FR"/>
        </w:rPr>
        <w:t>La</w:t>
      </w:r>
      <w:r>
        <w:rPr>
          <w:rFonts w:ascii="Times New Roman" w:hAnsi="Times New Roman" w:cs="Times New Roman"/>
          <w:lang w:val="fr-FR"/>
        </w:rPr>
        <w:t xml:space="preserve"> </w:t>
      </w:r>
      <w:r w:rsidRPr="004A1D04">
        <w:rPr>
          <w:rFonts w:ascii="Times New Roman" w:hAnsi="Times New Roman" w:cs="Times New Roman"/>
          <w:lang w:val="fr-FR"/>
        </w:rPr>
        <w:t>Bulgarie, la Roumanie et l</w:t>
      </w:r>
      <w:r>
        <w:rPr>
          <w:rFonts w:ascii="Times New Roman" w:hAnsi="Times New Roman" w:cs="Times New Roman"/>
          <w:lang w:val="fr-FR"/>
        </w:rPr>
        <w:t>’</w:t>
      </w:r>
      <w:r w:rsidRPr="004A1D04">
        <w:rPr>
          <w:rFonts w:ascii="Times New Roman" w:hAnsi="Times New Roman" w:cs="Times New Roman"/>
          <w:lang w:val="fr-FR"/>
        </w:rPr>
        <w:t>Ukraine ont fait part de sa mise en œuvre partielle.</w:t>
      </w:r>
      <w:r w:rsidRPr="004B1407">
        <w:rPr>
          <w:rFonts w:ascii="Times New Roman" w:hAnsi="Times New Roman" w:cs="Times New Roman"/>
          <w:lang w:val="fr-FR"/>
        </w:rPr>
        <w:t xml:space="preserve"> (20 %)</w:t>
      </w:r>
    </w:p>
    <w:p w14:paraId="3A14EC9A" w14:textId="77777777" w:rsidR="00886A3C" w:rsidRPr="004B1407" w:rsidRDefault="00886A3C" w:rsidP="00886A3C">
      <w:pPr>
        <w:spacing w:after="0" w:line="240" w:lineRule="auto"/>
        <w:jc w:val="both"/>
        <w:rPr>
          <w:rFonts w:ascii="Times New Roman" w:hAnsi="Times New Roman" w:cs="Times New Roman"/>
          <w:lang w:val="fr-FR"/>
        </w:rPr>
      </w:pPr>
    </w:p>
    <w:p w14:paraId="4FC5A9EF" w14:textId="77777777" w:rsidR="00886A3C" w:rsidRDefault="00886A3C" w:rsidP="00886A3C">
      <w:pPr>
        <w:spacing w:after="0" w:line="240" w:lineRule="auto"/>
        <w:jc w:val="both"/>
        <w:rPr>
          <w:rFonts w:ascii="Times New Roman" w:hAnsi="Times New Roman" w:cs="Times New Roman"/>
          <w:lang w:val="en-US"/>
        </w:rPr>
      </w:pPr>
      <w:r w:rsidRPr="004A1D04">
        <w:rPr>
          <w:rFonts w:ascii="Times New Roman" w:hAnsi="Times New Roman" w:cs="Times New Roman"/>
          <w:lang w:val="fr-FR"/>
        </w:rPr>
        <w:t>L</w:t>
      </w:r>
      <w:r>
        <w:rPr>
          <w:rFonts w:ascii="Times New Roman" w:hAnsi="Times New Roman" w:cs="Times New Roman"/>
          <w:lang w:val="fr-FR"/>
        </w:rPr>
        <w:t>’</w:t>
      </w:r>
      <w:r w:rsidRPr="004A1D04">
        <w:rPr>
          <w:rFonts w:ascii="Times New Roman" w:hAnsi="Times New Roman" w:cs="Times New Roman"/>
          <w:b/>
          <w:lang w:val="fr-FR"/>
        </w:rPr>
        <w:t>action 6.4</w:t>
      </w:r>
      <w:r>
        <w:rPr>
          <w:rFonts w:ascii="Times New Roman" w:hAnsi="Times New Roman" w:cs="Times New Roman"/>
          <w:b/>
          <w:lang w:val="fr-FR"/>
        </w:rPr>
        <w:t>,</w:t>
      </w:r>
      <w:r w:rsidRPr="004A1D04">
        <w:rPr>
          <w:rFonts w:ascii="Times New Roman" w:hAnsi="Times New Roman" w:cs="Times New Roman"/>
          <w:lang w:val="fr-FR"/>
        </w:rPr>
        <w:t xml:space="preserve"> sur la préparation et la mise en œuvre des plans de gestion pour tous les sites clés</w:t>
      </w:r>
      <w:r>
        <w:rPr>
          <w:rFonts w:ascii="Times New Roman" w:hAnsi="Times New Roman" w:cs="Times New Roman"/>
          <w:lang w:val="fr-FR"/>
        </w:rPr>
        <w:t xml:space="preserve"> et</w:t>
      </w:r>
      <w:r w:rsidRPr="004A1D04">
        <w:rPr>
          <w:rFonts w:ascii="Times New Roman" w:hAnsi="Times New Roman" w:cs="Times New Roman"/>
          <w:lang w:val="fr-FR"/>
        </w:rPr>
        <w:t xml:space="preserve"> intégrant des recommandations spécifiques</w:t>
      </w:r>
      <w:r>
        <w:rPr>
          <w:rFonts w:ascii="Times New Roman" w:hAnsi="Times New Roman" w:cs="Times New Roman"/>
          <w:lang w:val="fr-FR"/>
        </w:rPr>
        <w:t>,</w:t>
      </w:r>
      <w:r w:rsidRPr="004A1D04">
        <w:rPr>
          <w:rFonts w:ascii="Times New Roman" w:hAnsi="Times New Roman" w:cs="Times New Roman"/>
          <w:lang w:val="fr-FR"/>
        </w:rPr>
        <w:t xml:space="preserve"> </w:t>
      </w:r>
      <w:r>
        <w:rPr>
          <w:rFonts w:ascii="Times New Roman" w:hAnsi="Times New Roman" w:cs="Times New Roman"/>
          <w:lang w:val="fr-FR"/>
        </w:rPr>
        <w:t xml:space="preserve">a </w:t>
      </w:r>
      <w:r w:rsidRPr="004A1D04">
        <w:rPr>
          <w:rFonts w:ascii="Times New Roman" w:hAnsi="Times New Roman" w:cs="Times New Roman"/>
          <w:lang w:val="fr-FR"/>
        </w:rPr>
        <w:t>é</w:t>
      </w:r>
      <w:r>
        <w:rPr>
          <w:rFonts w:ascii="Times New Roman" w:hAnsi="Times New Roman" w:cs="Times New Roman"/>
          <w:lang w:val="fr-FR"/>
        </w:rPr>
        <w:t>té</w:t>
      </w:r>
      <w:r w:rsidRPr="004A1D04">
        <w:rPr>
          <w:rFonts w:ascii="Times New Roman" w:hAnsi="Times New Roman" w:cs="Times New Roman"/>
          <w:lang w:val="fr-FR"/>
        </w:rPr>
        <w:t xml:space="preserve"> classée comme ayant une priorité élevée, mais aucun État de l</w:t>
      </w:r>
      <w:r>
        <w:rPr>
          <w:rFonts w:ascii="Times New Roman" w:hAnsi="Times New Roman" w:cs="Times New Roman"/>
          <w:lang w:val="fr-FR"/>
        </w:rPr>
        <w:t>’</w:t>
      </w:r>
      <w:r w:rsidRPr="004A1D04">
        <w:rPr>
          <w:rFonts w:ascii="Times New Roman" w:hAnsi="Times New Roman" w:cs="Times New Roman"/>
          <w:lang w:val="fr-FR"/>
        </w:rPr>
        <w:t>aire de répartition n</w:t>
      </w:r>
      <w:r>
        <w:rPr>
          <w:rFonts w:ascii="Times New Roman" w:hAnsi="Times New Roman" w:cs="Times New Roman"/>
          <w:lang w:val="fr-FR"/>
        </w:rPr>
        <w:t>’</w:t>
      </w:r>
      <w:r w:rsidRPr="004A1D04">
        <w:rPr>
          <w:rFonts w:ascii="Times New Roman" w:hAnsi="Times New Roman" w:cs="Times New Roman"/>
          <w:lang w:val="fr-FR"/>
        </w:rPr>
        <w:t>a fait part de sa</w:t>
      </w:r>
      <w:r>
        <w:rPr>
          <w:rFonts w:ascii="Times New Roman" w:hAnsi="Times New Roman" w:cs="Times New Roman"/>
          <w:lang w:val="fr-FR"/>
        </w:rPr>
        <w:t xml:space="preserve"> </w:t>
      </w:r>
      <w:r w:rsidRPr="004A1D04">
        <w:rPr>
          <w:rFonts w:ascii="Times New Roman" w:hAnsi="Times New Roman" w:cs="Times New Roman"/>
          <w:lang w:val="fr-FR"/>
        </w:rPr>
        <w:t>mise en œuvre intégrale.</w:t>
      </w:r>
      <w:r w:rsidRPr="004B1407">
        <w:rPr>
          <w:rFonts w:ascii="Times New Roman" w:hAnsi="Times New Roman" w:cs="Times New Roman"/>
          <w:lang w:val="fr-FR"/>
        </w:rPr>
        <w:t xml:space="preserve"> </w:t>
      </w:r>
      <w:r>
        <w:rPr>
          <w:rFonts w:ascii="Times New Roman" w:hAnsi="Times New Roman" w:cs="Times New Roman"/>
          <w:lang w:val="en-US"/>
        </w:rPr>
        <w:t>(0 %)</w:t>
      </w:r>
    </w:p>
    <w:p w14:paraId="6D15156E" w14:textId="77777777" w:rsidR="00886A3C" w:rsidRDefault="00886A3C" w:rsidP="00886A3C">
      <w:pPr>
        <w:spacing w:after="0" w:line="240" w:lineRule="auto"/>
        <w:rPr>
          <w:rFonts w:ascii="Times New Roman" w:hAnsi="Times New Roman" w:cs="Times New Roman"/>
          <w:lang w:val="en-US"/>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776"/>
      </w:tblGrid>
      <w:tr w:rsidR="00886A3C" w14:paraId="4AE85967" w14:textId="77777777" w:rsidTr="00886A3C">
        <w:trPr>
          <w:trHeight w:val="3732"/>
        </w:trPr>
        <w:tc>
          <w:tcPr>
            <w:tcW w:w="4861" w:type="dxa"/>
          </w:tcPr>
          <w:p w14:paraId="5CE41478" w14:textId="77777777" w:rsidR="00886A3C" w:rsidRDefault="00886A3C" w:rsidP="00886A3C">
            <w:pPr>
              <w:rPr>
                <w:rFonts w:ascii="Times New Roman" w:hAnsi="Times New Roman" w:cs="Times New Roman"/>
              </w:rPr>
            </w:pPr>
            <w:r>
              <w:rPr>
                <w:noProof/>
              </w:rPr>
              <w:lastRenderedPageBreak/>
              <w:drawing>
                <wp:inline distT="0" distB="0" distL="0" distR="0" wp14:anchorId="432B745D" wp14:editId="751BF710">
                  <wp:extent cx="2667000" cy="2171700"/>
                  <wp:effectExtent l="0" t="0" r="19050" b="19050"/>
                  <wp:docPr id="265" name="Chart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c>
          <w:tcPr>
            <w:tcW w:w="4776" w:type="dxa"/>
          </w:tcPr>
          <w:p w14:paraId="34F23502" w14:textId="77777777" w:rsidR="00886A3C" w:rsidRDefault="00886A3C" w:rsidP="00886A3C">
            <w:pPr>
              <w:rPr>
                <w:rFonts w:ascii="Times New Roman" w:hAnsi="Times New Roman" w:cs="Times New Roman"/>
              </w:rPr>
            </w:pPr>
            <w:r>
              <w:rPr>
                <w:noProof/>
              </w:rPr>
              <w:drawing>
                <wp:inline distT="0" distB="0" distL="0" distR="0" wp14:anchorId="4CE21480" wp14:editId="18395DBA">
                  <wp:extent cx="2724150" cy="2162175"/>
                  <wp:effectExtent l="0" t="0" r="19050" b="952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tc>
      </w:tr>
    </w:tbl>
    <w:p w14:paraId="4EBAAFCA" w14:textId="77777777" w:rsidR="00886A3C" w:rsidRPr="004B1407" w:rsidRDefault="00886A3C" w:rsidP="00886A3C">
      <w:pPr>
        <w:spacing w:after="0" w:line="240" w:lineRule="auto"/>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Pr>
          <w:rFonts w:ascii="Times New Roman" w:hAnsi="Times New Roman" w:cs="Times New Roman"/>
          <w:lang w:val="fr-FR"/>
        </w:rPr>
        <w:t xml:space="preserve"> Pas d’information </w:t>
      </w:r>
      <w:r>
        <w:rPr>
          <w:rFonts w:ascii="Times New Roman" w:hAnsi="Times New Roman" w:cs="Times New Roman"/>
          <w:lang w:val="fr-FR"/>
        </w:rPr>
        <w:tab/>
      </w:r>
      <w:r w:rsidRPr="00403C55">
        <w:rPr>
          <w:rFonts w:ascii="Times New Roman" w:hAnsi="Times New Roman" w:cs="Times New Roman"/>
          <w:lang w:val="fr-FR"/>
        </w:rPr>
        <w:t>Oui</w:t>
      </w:r>
      <w:r>
        <w:rPr>
          <w:rFonts w:ascii="Times New Roman" w:hAnsi="Times New Roman" w:cs="Times New Roman"/>
          <w:lang w:val="fr-FR"/>
        </w:rPr>
        <w:t xml:space="preserve"> </w:t>
      </w:r>
      <w:r w:rsidRPr="00403C55">
        <w:rPr>
          <w:rFonts w:ascii="Times New Roman" w:hAnsi="Times New Roman" w:cs="Times New Roman"/>
          <w:lang w:val="fr-FR"/>
        </w:rPr>
        <w:t>Non</w:t>
      </w:r>
      <w:r>
        <w:rPr>
          <w:rFonts w:ascii="Times New Roman" w:hAnsi="Times New Roman" w:cs="Times New Roman"/>
          <w:lang w:val="fr-FR"/>
        </w:rPr>
        <w:t xml:space="preserve"> </w:t>
      </w:r>
      <w:r w:rsidRPr="00403C55">
        <w:rPr>
          <w:rFonts w:ascii="Times New Roman" w:hAnsi="Times New Roman" w:cs="Times New Roman"/>
          <w:lang w:val="fr-FR"/>
        </w:rPr>
        <w:t>Partiellement</w:t>
      </w:r>
      <w:r>
        <w:rPr>
          <w:rFonts w:ascii="Times New Roman" w:hAnsi="Times New Roman" w:cs="Times New Roman"/>
          <w:lang w:val="fr-FR"/>
        </w:rPr>
        <w:t xml:space="preserve"> Pas d’information</w:t>
      </w:r>
    </w:p>
    <w:p w14:paraId="6AF6BD62" w14:textId="77777777" w:rsidR="00886A3C" w:rsidRDefault="00886A3C" w:rsidP="00886A3C">
      <w:pPr>
        <w:spacing w:after="0" w:line="240" w:lineRule="auto"/>
        <w:jc w:val="both"/>
        <w:rPr>
          <w:rFonts w:ascii="Times New Roman" w:hAnsi="Times New Roman" w:cs="Times New Roman"/>
          <w:lang w:val="fr-FR"/>
        </w:rPr>
      </w:pPr>
    </w:p>
    <w:p w14:paraId="16CC531D" w14:textId="77777777" w:rsidR="00886A3C" w:rsidRPr="004B1407" w:rsidRDefault="00886A3C" w:rsidP="00886A3C">
      <w:pPr>
        <w:spacing w:after="0" w:line="240" w:lineRule="auto"/>
        <w:jc w:val="both"/>
        <w:rPr>
          <w:rFonts w:ascii="Times New Roman" w:hAnsi="Times New Roman" w:cs="Times New Roman"/>
          <w:lang w:val="fr-FR"/>
        </w:rPr>
      </w:pPr>
      <w:r w:rsidRPr="0061215B">
        <w:rPr>
          <w:rFonts w:ascii="Times New Roman" w:hAnsi="Times New Roman" w:cs="Times New Roman"/>
          <w:lang w:val="fr-FR"/>
        </w:rPr>
        <w:t>L</w:t>
      </w:r>
      <w:r>
        <w:rPr>
          <w:rFonts w:ascii="Times New Roman" w:hAnsi="Times New Roman" w:cs="Times New Roman"/>
          <w:lang w:val="fr-FR"/>
        </w:rPr>
        <w:t>’</w:t>
      </w:r>
      <w:r w:rsidRPr="0061215B">
        <w:rPr>
          <w:rFonts w:ascii="Times New Roman" w:hAnsi="Times New Roman" w:cs="Times New Roman"/>
          <w:b/>
          <w:lang w:val="fr-FR"/>
        </w:rPr>
        <w:t>action 6.5</w:t>
      </w:r>
      <w:r w:rsidRPr="001472CF">
        <w:rPr>
          <w:rFonts w:ascii="Times New Roman" w:hAnsi="Times New Roman" w:cs="Times New Roman"/>
          <w:lang w:val="fr-FR"/>
        </w:rPr>
        <w:t>,</w:t>
      </w:r>
      <w:r w:rsidRPr="0061215B">
        <w:rPr>
          <w:rFonts w:ascii="Times New Roman" w:hAnsi="Times New Roman" w:cs="Times New Roman"/>
          <w:lang w:val="fr-FR"/>
        </w:rPr>
        <w:t xml:space="preserve"> visant la mise en œuvre</w:t>
      </w:r>
      <w:r>
        <w:rPr>
          <w:rFonts w:ascii="Times New Roman" w:hAnsi="Times New Roman" w:cs="Times New Roman"/>
          <w:lang w:val="fr-FR"/>
        </w:rPr>
        <w:t xml:space="preserve"> et l’application </w:t>
      </w:r>
      <w:r w:rsidRPr="0061215B">
        <w:rPr>
          <w:rFonts w:ascii="Times New Roman" w:hAnsi="Times New Roman" w:cs="Times New Roman"/>
          <w:lang w:val="fr-FR"/>
        </w:rPr>
        <w:t xml:space="preserve">des réglementations sur la pêche </w:t>
      </w:r>
      <w:r>
        <w:rPr>
          <w:rFonts w:ascii="Times New Roman" w:hAnsi="Times New Roman" w:cs="Times New Roman"/>
          <w:lang w:val="fr-FR"/>
        </w:rPr>
        <w:t>dans</w:t>
      </w:r>
      <w:r w:rsidRPr="0061215B">
        <w:rPr>
          <w:rFonts w:ascii="Times New Roman" w:hAnsi="Times New Roman" w:cs="Times New Roman"/>
          <w:lang w:val="fr-FR"/>
        </w:rPr>
        <w:t xml:space="preserve"> les sites de repos afin de réduire les perturbations pour les oiseaux</w:t>
      </w:r>
      <w:r>
        <w:rPr>
          <w:rFonts w:ascii="Times New Roman" w:hAnsi="Times New Roman" w:cs="Times New Roman"/>
          <w:lang w:val="fr-FR"/>
        </w:rPr>
        <w:t>,</w:t>
      </w:r>
      <w:r w:rsidRPr="0061215B">
        <w:rPr>
          <w:rFonts w:ascii="Times New Roman" w:hAnsi="Times New Roman" w:cs="Times New Roman"/>
          <w:lang w:val="fr-FR"/>
        </w:rPr>
        <w:t xml:space="preserve"> </w:t>
      </w:r>
      <w:r>
        <w:rPr>
          <w:rFonts w:ascii="Times New Roman" w:hAnsi="Times New Roman" w:cs="Times New Roman"/>
          <w:lang w:val="fr-FR"/>
        </w:rPr>
        <w:t xml:space="preserve">a </w:t>
      </w:r>
      <w:r w:rsidRPr="004A1D04">
        <w:rPr>
          <w:rFonts w:ascii="Times New Roman" w:hAnsi="Times New Roman" w:cs="Times New Roman"/>
          <w:lang w:val="fr-FR"/>
        </w:rPr>
        <w:t>é</w:t>
      </w:r>
      <w:r>
        <w:rPr>
          <w:rFonts w:ascii="Times New Roman" w:hAnsi="Times New Roman" w:cs="Times New Roman"/>
          <w:lang w:val="fr-FR"/>
        </w:rPr>
        <w:t>té</w:t>
      </w:r>
      <w:r w:rsidRPr="0061215B">
        <w:rPr>
          <w:rFonts w:ascii="Times New Roman" w:hAnsi="Times New Roman" w:cs="Times New Roman"/>
          <w:lang w:val="fr-FR"/>
        </w:rPr>
        <w:t xml:space="preserve"> classée comme ayant une priorité élevée et seule la Bulgarie a fait part de sa mise en œuvre.</w:t>
      </w:r>
      <w:r w:rsidRPr="004B1407">
        <w:rPr>
          <w:rFonts w:ascii="Times New Roman" w:hAnsi="Times New Roman" w:cs="Times New Roman"/>
          <w:lang w:val="fr-FR"/>
        </w:rPr>
        <w:t xml:space="preserve"> (20 %)</w:t>
      </w:r>
    </w:p>
    <w:p w14:paraId="379D326A" w14:textId="77777777" w:rsidR="00886A3C" w:rsidRPr="004B1407" w:rsidRDefault="00886A3C" w:rsidP="00886A3C">
      <w:pPr>
        <w:spacing w:after="0" w:line="240" w:lineRule="auto"/>
        <w:jc w:val="both"/>
        <w:rPr>
          <w:rFonts w:ascii="Times New Roman" w:hAnsi="Times New Roman" w:cs="Times New Roman"/>
          <w:lang w:val="fr-FR"/>
        </w:rPr>
      </w:pPr>
    </w:p>
    <w:p w14:paraId="24A3CCCC" w14:textId="77777777" w:rsidR="00886A3C" w:rsidRDefault="00886A3C" w:rsidP="00886A3C">
      <w:pPr>
        <w:spacing w:after="0" w:line="240" w:lineRule="auto"/>
        <w:jc w:val="both"/>
        <w:rPr>
          <w:rFonts w:ascii="Times New Roman" w:hAnsi="Times New Roman" w:cs="Times New Roman"/>
          <w:lang w:val="en-US"/>
        </w:rPr>
      </w:pPr>
      <w:r w:rsidRPr="0061215B">
        <w:rPr>
          <w:rFonts w:ascii="Times New Roman" w:hAnsi="Times New Roman" w:cs="Times New Roman"/>
          <w:lang w:val="fr-FR"/>
        </w:rPr>
        <w:t xml:space="preserve">Les deux actions finales dans le cadre de ce résultat </w:t>
      </w:r>
      <w:r>
        <w:rPr>
          <w:rFonts w:ascii="Times New Roman" w:hAnsi="Times New Roman" w:cs="Times New Roman"/>
          <w:lang w:val="fr-FR"/>
        </w:rPr>
        <w:t>on</w:t>
      </w:r>
      <w:r w:rsidRPr="0061215B">
        <w:rPr>
          <w:rFonts w:ascii="Times New Roman" w:hAnsi="Times New Roman" w:cs="Times New Roman"/>
          <w:lang w:val="fr-FR"/>
        </w:rPr>
        <w:t xml:space="preserve">t </w:t>
      </w:r>
      <w:r>
        <w:rPr>
          <w:rFonts w:ascii="Times New Roman" w:hAnsi="Times New Roman" w:cs="Times New Roman"/>
          <w:lang w:val="fr-FR"/>
        </w:rPr>
        <w:t xml:space="preserve">été </w:t>
      </w:r>
      <w:r w:rsidRPr="0061215B">
        <w:rPr>
          <w:rFonts w:ascii="Times New Roman" w:hAnsi="Times New Roman" w:cs="Times New Roman"/>
          <w:lang w:val="fr-FR"/>
        </w:rPr>
        <w:t>classées comme ayant une priorité moyenne.</w:t>
      </w:r>
      <w:r w:rsidRPr="004B1407">
        <w:rPr>
          <w:rFonts w:ascii="Times New Roman" w:hAnsi="Times New Roman" w:cs="Times New Roman"/>
          <w:lang w:val="fr-FR"/>
        </w:rPr>
        <w:t xml:space="preserve"> </w:t>
      </w:r>
      <w:r w:rsidRPr="0061215B">
        <w:rPr>
          <w:rFonts w:ascii="Times New Roman" w:hAnsi="Times New Roman" w:cs="Times New Roman"/>
          <w:lang w:val="fr-FR"/>
        </w:rPr>
        <w:t>L</w:t>
      </w:r>
      <w:r>
        <w:rPr>
          <w:rFonts w:ascii="Times New Roman" w:hAnsi="Times New Roman" w:cs="Times New Roman"/>
          <w:lang w:val="fr-FR"/>
        </w:rPr>
        <w:t>’</w:t>
      </w:r>
      <w:r w:rsidRPr="0061215B">
        <w:rPr>
          <w:rFonts w:ascii="Times New Roman" w:hAnsi="Times New Roman" w:cs="Times New Roman"/>
          <w:b/>
          <w:lang w:val="fr-FR"/>
        </w:rPr>
        <w:t>action 6.6</w:t>
      </w:r>
      <w:r w:rsidRPr="0061215B">
        <w:rPr>
          <w:rFonts w:ascii="Times New Roman" w:hAnsi="Times New Roman" w:cs="Times New Roman"/>
          <w:lang w:val="fr-FR"/>
        </w:rPr>
        <w:t xml:space="preserve"> sur l</w:t>
      </w:r>
      <w:r>
        <w:rPr>
          <w:rFonts w:ascii="Times New Roman" w:hAnsi="Times New Roman" w:cs="Times New Roman"/>
          <w:lang w:val="fr-FR"/>
        </w:rPr>
        <w:t>’</w:t>
      </w:r>
      <w:r w:rsidRPr="0061215B">
        <w:rPr>
          <w:rFonts w:ascii="Times New Roman" w:hAnsi="Times New Roman" w:cs="Times New Roman"/>
          <w:lang w:val="fr-FR"/>
        </w:rPr>
        <w:t>examen des besoins d</w:t>
      </w:r>
      <w:r>
        <w:rPr>
          <w:rFonts w:ascii="Times New Roman" w:hAnsi="Times New Roman" w:cs="Times New Roman"/>
          <w:lang w:val="fr-FR"/>
        </w:rPr>
        <w:t>’</w:t>
      </w:r>
      <w:r w:rsidRPr="0061215B">
        <w:rPr>
          <w:rFonts w:ascii="Times New Roman" w:hAnsi="Times New Roman" w:cs="Times New Roman"/>
          <w:lang w:val="fr-FR"/>
        </w:rPr>
        <w:t>achat/location de terres sur les sites clés et les aires d</w:t>
      </w:r>
      <w:r>
        <w:rPr>
          <w:rFonts w:ascii="Times New Roman" w:hAnsi="Times New Roman" w:cs="Times New Roman"/>
          <w:lang w:val="fr-FR"/>
        </w:rPr>
        <w:t>’</w:t>
      </w:r>
      <w:r w:rsidRPr="0061215B">
        <w:rPr>
          <w:rFonts w:ascii="Times New Roman" w:hAnsi="Times New Roman" w:cs="Times New Roman"/>
          <w:lang w:val="fr-FR"/>
        </w:rPr>
        <w:t>alimentation directement voisines a seulement été mentionnée par la Roumanie comme ayant été mise en œuvre.</w:t>
      </w:r>
      <w:r w:rsidRPr="004B1407">
        <w:rPr>
          <w:rFonts w:ascii="Times New Roman" w:hAnsi="Times New Roman" w:cs="Times New Roman"/>
          <w:lang w:val="fr-FR"/>
        </w:rPr>
        <w:t xml:space="preserve"> </w:t>
      </w:r>
      <w:r w:rsidRPr="00696DB1">
        <w:rPr>
          <w:rFonts w:ascii="Times New Roman" w:hAnsi="Times New Roman" w:cs="Times New Roman"/>
          <w:lang w:val="fr-FR"/>
        </w:rPr>
        <w:t>(20</w:t>
      </w:r>
      <w:r>
        <w:rPr>
          <w:rFonts w:ascii="Times New Roman" w:hAnsi="Times New Roman" w:cs="Times New Roman"/>
          <w:lang w:val="fr-FR"/>
        </w:rPr>
        <w:t> %</w:t>
      </w:r>
      <w:r w:rsidRPr="00696DB1">
        <w:rPr>
          <w:rFonts w:ascii="Times New Roman" w:hAnsi="Times New Roman" w:cs="Times New Roman"/>
          <w:lang w:val="fr-FR"/>
        </w:rPr>
        <w:t>)</w:t>
      </w:r>
      <w:r>
        <w:rPr>
          <w:rFonts w:ascii="Times New Roman" w:hAnsi="Times New Roman" w:cs="Times New Roman"/>
          <w:lang w:val="fr-FR"/>
        </w:rPr>
        <w:t>.</w:t>
      </w:r>
      <w:r w:rsidRPr="00696DB1">
        <w:rPr>
          <w:rFonts w:ascii="Times New Roman" w:hAnsi="Times New Roman" w:cs="Times New Roman"/>
          <w:lang w:val="fr-FR"/>
        </w:rPr>
        <w:t xml:space="preserve"> L</w:t>
      </w:r>
      <w:r>
        <w:rPr>
          <w:rFonts w:ascii="Times New Roman" w:hAnsi="Times New Roman" w:cs="Times New Roman"/>
          <w:lang w:val="fr-FR"/>
        </w:rPr>
        <w:t>’</w:t>
      </w:r>
      <w:r w:rsidRPr="00696DB1">
        <w:rPr>
          <w:rFonts w:ascii="Times New Roman" w:hAnsi="Times New Roman" w:cs="Times New Roman"/>
          <w:b/>
          <w:lang w:val="fr-FR"/>
        </w:rPr>
        <w:t>action 6.7</w:t>
      </w:r>
      <w:r w:rsidRPr="00696DB1">
        <w:rPr>
          <w:rFonts w:ascii="Times New Roman" w:hAnsi="Times New Roman" w:cs="Times New Roman"/>
          <w:lang w:val="fr-FR"/>
        </w:rPr>
        <w:t xml:space="preserve"> concernant la mise en œuvre de campagnes de sensibilisation au sein des communautés locales, y compris les écoles, situées aux alentours des sites clés, a été mentionnée comme ayant été mise en œuvre par la Bulgarie, le Kazakhstan, la Roumanie et l</w:t>
      </w:r>
      <w:r>
        <w:rPr>
          <w:rFonts w:ascii="Times New Roman" w:hAnsi="Times New Roman" w:cs="Times New Roman"/>
          <w:lang w:val="fr-FR"/>
        </w:rPr>
        <w:t>’</w:t>
      </w:r>
      <w:r w:rsidRPr="00696DB1">
        <w:rPr>
          <w:rFonts w:ascii="Times New Roman" w:hAnsi="Times New Roman" w:cs="Times New Roman"/>
          <w:lang w:val="fr-FR"/>
        </w:rPr>
        <w:t>Ukraine.</w:t>
      </w:r>
      <w:r w:rsidRPr="004B1407">
        <w:rPr>
          <w:rFonts w:ascii="Times New Roman" w:hAnsi="Times New Roman" w:cs="Times New Roman"/>
          <w:lang w:val="fr-FR"/>
        </w:rPr>
        <w:t xml:space="preserve"> </w:t>
      </w:r>
      <w:r>
        <w:rPr>
          <w:rFonts w:ascii="Times New Roman" w:hAnsi="Times New Roman" w:cs="Times New Roman"/>
          <w:lang w:val="en-US"/>
        </w:rPr>
        <w:t>(80 %)</w:t>
      </w:r>
    </w:p>
    <w:p w14:paraId="3AF4821B" w14:textId="77777777" w:rsidR="00886A3C" w:rsidRDefault="00886A3C" w:rsidP="00886A3C">
      <w:pPr>
        <w:spacing w:after="0" w:line="240" w:lineRule="auto"/>
        <w:jc w:val="both"/>
        <w:rPr>
          <w:rFonts w:ascii="Times New Roman" w:hAnsi="Times New Roman" w:cs="Times New Roman"/>
          <w:lang w:val="en-US"/>
        </w:rPr>
      </w:pPr>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016"/>
      </w:tblGrid>
      <w:tr w:rsidR="00886A3C" w14:paraId="77324B87" w14:textId="77777777" w:rsidTr="00886A3C">
        <w:trPr>
          <w:trHeight w:val="4033"/>
        </w:trPr>
        <w:tc>
          <w:tcPr>
            <w:tcW w:w="4746" w:type="dxa"/>
          </w:tcPr>
          <w:p w14:paraId="51301109" w14:textId="77777777" w:rsidR="00886A3C" w:rsidRDefault="00886A3C" w:rsidP="00886A3C">
            <w:pPr>
              <w:rPr>
                <w:rFonts w:ascii="Times New Roman" w:hAnsi="Times New Roman" w:cs="Times New Roman"/>
              </w:rPr>
            </w:pPr>
            <w:r>
              <w:rPr>
                <w:noProof/>
              </w:rPr>
              <w:drawing>
                <wp:inline distT="0" distB="0" distL="0" distR="0" wp14:anchorId="6BCD5945" wp14:editId="3FE6AED1">
                  <wp:extent cx="2905125" cy="2419350"/>
                  <wp:effectExtent l="0" t="0" r="9525" b="19050"/>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tc>
        <w:tc>
          <w:tcPr>
            <w:tcW w:w="5076" w:type="dxa"/>
          </w:tcPr>
          <w:p w14:paraId="3C0A6E32" w14:textId="77777777" w:rsidR="00886A3C" w:rsidRDefault="00886A3C" w:rsidP="00886A3C">
            <w:pPr>
              <w:rPr>
                <w:rFonts w:ascii="Times New Roman" w:hAnsi="Times New Roman" w:cs="Times New Roman"/>
              </w:rPr>
            </w:pPr>
            <w:r>
              <w:rPr>
                <w:noProof/>
              </w:rPr>
              <w:drawing>
                <wp:inline distT="0" distB="0" distL="0" distR="0" wp14:anchorId="0FCD606B" wp14:editId="54F8B034">
                  <wp:extent cx="2781300" cy="2400300"/>
                  <wp:effectExtent l="0" t="0" r="19050" b="1905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tc>
      </w:tr>
    </w:tbl>
    <w:p w14:paraId="5F88724D" w14:textId="77777777" w:rsidR="00886A3C" w:rsidRDefault="00886A3C" w:rsidP="00886A3C">
      <w:pPr>
        <w:spacing w:after="0" w:line="240" w:lineRule="auto"/>
        <w:rPr>
          <w:rFonts w:ascii="Times New Roman" w:hAnsi="Times New Roman" w:cs="Times New Roman"/>
          <w:lang w:val="en-US"/>
        </w:rPr>
      </w:pPr>
    </w:p>
    <w:p w14:paraId="1095E258" w14:textId="77777777" w:rsidR="00886A3C" w:rsidRDefault="00886A3C" w:rsidP="00886A3C">
      <w:pPr>
        <w:spacing w:after="0" w:line="240" w:lineRule="auto"/>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Pr>
          <w:rFonts w:ascii="Times New Roman" w:hAnsi="Times New Roman" w:cs="Times New Roman"/>
          <w:lang w:val="fr-FR"/>
        </w:rPr>
        <w:t xml:space="preserve"> </w:t>
      </w:r>
      <w:r w:rsidRPr="00403C55">
        <w:rPr>
          <w:rFonts w:ascii="Times New Roman" w:hAnsi="Times New Roman" w:cs="Times New Roman"/>
          <w:lang w:val="fr-FR"/>
        </w:rPr>
        <w:t>Partiellement</w:t>
      </w:r>
      <w:r>
        <w:rPr>
          <w:rFonts w:ascii="Times New Roman" w:hAnsi="Times New Roman" w:cs="Times New Roman"/>
          <w:lang w:val="fr-FR"/>
        </w:rPr>
        <w:t xml:space="preserve"> Pas d’information</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Oui</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Non</w:t>
      </w:r>
    </w:p>
    <w:p w14:paraId="611912CC" w14:textId="2E3BB374" w:rsidR="00886A3C" w:rsidRDefault="00886A3C" w:rsidP="00886A3C">
      <w:pPr>
        <w:spacing w:after="0" w:line="240" w:lineRule="auto"/>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Partiellement</w:t>
      </w:r>
      <w:r w:rsidR="00EE766F">
        <w:rPr>
          <w:rFonts w:ascii="Times New Roman" w:hAnsi="Times New Roman" w:cs="Times New Roman"/>
          <w:lang w:val="fr-FR"/>
        </w:rPr>
        <w:t xml:space="preserve"> </w:t>
      </w:r>
      <w:r>
        <w:rPr>
          <w:rFonts w:ascii="Times New Roman" w:hAnsi="Times New Roman" w:cs="Times New Roman"/>
          <w:lang w:val="fr-FR"/>
        </w:rPr>
        <w:t>Pas applicable</w:t>
      </w:r>
    </w:p>
    <w:p w14:paraId="19F30B3B" w14:textId="77777777" w:rsidR="00886A3C" w:rsidRDefault="00886A3C" w:rsidP="00886A3C">
      <w:pPr>
        <w:spacing w:after="0" w:line="240" w:lineRule="auto"/>
        <w:rPr>
          <w:rFonts w:ascii="Times New Roman" w:hAnsi="Times New Roman" w:cs="Times New Roman"/>
          <w:lang w:val="en-US"/>
        </w:rPr>
      </w:pP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Pas d’information</w:t>
      </w:r>
    </w:p>
    <w:p w14:paraId="1C029839" w14:textId="77777777" w:rsidR="00886A3C" w:rsidRDefault="00886A3C" w:rsidP="00886A3C">
      <w:pPr>
        <w:spacing w:after="0" w:line="240" w:lineRule="auto"/>
        <w:rPr>
          <w:rFonts w:ascii="Times New Roman" w:hAnsi="Times New Roman" w:cs="Times New Roman"/>
          <w:lang w:val="en-US"/>
        </w:rPr>
      </w:pPr>
      <w:r>
        <w:rPr>
          <w:noProof/>
          <w:lang w:val="en-US"/>
        </w:rPr>
        <w:lastRenderedPageBreak/>
        <w:drawing>
          <wp:inline distT="0" distB="0" distL="0" distR="0" wp14:anchorId="638C91BB" wp14:editId="22BFA0C8">
            <wp:extent cx="2905125" cy="2409825"/>
            <wp:effectExtent l="0" t="0" r="9525" b="9525"/>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2A96889E" w14:textId="77777777" w:rsidR="00886A3C" w:rsidRPr="004B1407" w:rsidRDefault="00886A3C" w:rsidP="00886A3C">
      <w:pPr>
        <w:spacing w:after="0" w:line="240" w:lineRule="auto"/>
        <w:rPr>
          <w:rFonts w:ascii="Times New Roman" w:hAnsi="Times New Roman" w:cs="Times New Roman"/>
          <w:lang w:val="fr-FR"/>
        </w:rPr>
      </w:pP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Pr>
          <w:rFonts w:ascii="Times New Roman" w:hAnsi="Times New Roman" w:cs="Times New Roman"/>
          <w:lang w:val="fr-FR"/>
        </w:rPr>
        <w:t xml:space="preserve"> Pas d’information</w:t>
      </w:r>
    </w:p>
    <w:p w14:paraId="6C03DAEE" w14:textId="77777777" w:rsidR="00886A3C" w:rsidRDefault="00886A3C" w:rsidP="00886A3C">
      <w:pPr>
        <w:spacing w:after="0" w:line="240" w:lineRule="auto"/>
        <w:jc w:val="both"/>
        <w:rPr>
          <w:rFonts w:ascii="Times New Roman" w:hAnsi="Times New Roman" w:cs="Times New Roman"/>
          <w:b/>
          <w:lang w:val="fr-FR"/>
        </w:rPr>
      </w:pPr>
    </w:p>
    <w:p w14:paraId="6AF2CBE1" w14:textId="77777777" w:rsidR="00886A3C" w:rsidRPr="004B1407" w:rsidRDefault="00886A3C" w:rsidP="00886A3C">
      <w:pPr>
        <w:spacing w:after="0" w:line="240" w:lineRule="auto"/>
        <w:jc w:val="both"/>
        <w:rPr>
          <w:rFonts w:ascii="Times New Roman" w:hAnsi="Times New Roman" w:cs="Times New Roman"/>
          <w:b/>
          <w:lang w:val="fr-FR"/>
        </w:rPr>
      </w:pPr>
      <w:r w:rsidRPr="00696DB1">
        <w:rPr>
          <w:rFonts w:ascii="Times New Roman" w:hAnsi="Times New Roman" w:cs="Times New Roman"/>
          <w:b/>
          <w:lang w:val="fr-FR"/>
        </w:rPr>
        <w:t>Taux moyen de mise en œuvre :</w:t>
      </w:r>
      <w:r w:rsidRPr="004B1407">
        <w:rPr>
          <w:rFonts w:ascii="Times New Roman" w:hAnsi="Times New Roman" w:cs="Times New Roman"/>
          <w:b/>
          <w:lang w:val="fr-FR"/>
        </w:rPr>
        <w:t xml:space="preserve"> 31 %</w:t>
      </w:r>
    </w:p>
    <w:p w14:paraId="7F845478" w14:textId="77777777" w:rsidR="00886A3C" w:rsidRPr="004B1407" w:rsidRDefault="00886A3C" w:rsidP="00886A3C">
      <w:pPr>
        <w:spacing w:after="0" w:line="240" w:lineRule="auto"/>
        <w:rPr>
          <w:rFonts w:ascii="Times New Roman" w:hAnsi="Times New Roman" w:cs="Times New Roman"/>
          <w:lang w:val="fr-FR"/>
        </w:rPr>
      </w:pPr>
    </w:p>
    <w:p w14:paraId="12A988CA" w14:textId="77777777" w:rsidR="00886A3C" w:rsidRPr="004B1407" w:rsidRDefault="00886A3C" w:rsidP="00886A3C">
      <w:pPr>
        <w:spacing w:after="0" w:line="240" w:lineRule="auto"/>
        <w:rPr>
          <w:rFonts w:ascii="Times New Roman" w:hAnsi="Times New Roman" w:cs="Times New Roman"/>
          <w:i/>
          <w:lang w:val="fr-FR"/>
        </w:rPr>
      </w:pPr>
      <w:r w:rsidRPr="00696DB1">
        <w:rPr>
          <w:rFonts w:ascii="Times New Roman" w:hAnsi="Times New Roman" w:cs="Times New Roman"/>
          <w:i/>
          <w:lang w:val="fr-FR"/>
        </w:rPr>
        <w:t>5.7. Résultat 7 – L</w:t>
      </w:r>
      <w:r>
        <w:rPr>
          <w:rFonts w:ascii="Times New Roman" w:hAnsi="Times New Roman" w:cs="Times New Roman"/>
          <w:i/>
          <w:lang w:val="fr-FR"/>
        </w:rPr>
        <w:t>’</w:t>
      </w:r>
      <w:r w:rsidRPr="00696DB1">
        <w:rPr>
          <w:rFonts w:ascii="Times New Roman" w:hAnsi="Times New Roman" w:cs="Times New Roman"/>
          <w:i/>
          <w:lang w:val="fr-FR"/>
        </w:rPr>
        <w:t>état de l</w:t>
      </w:r>
      <w:r>
        <w:rPr>
          <w:rFonts w:ascii="Times New Roman" w:hAnsi="Times New Roman" w:cs="Times New Roman"/>
          <w:i/>
          <w:lang w:val="fr-FR"/>
        </w:rPr>
        <w:t>’</w:t>
      </w:r>
      <w:r w:rsidRPr="00696DB1">
        <w:rPr>
          <w:rFonts w:ascii="Times New Roman" w:hAnsi="Times New Roman" w:cs="Times New Roman"/>
          <w:i/>
          <w:lang w:val="fr-FR"/>
        </w:rPr>
        <w:t>espèce et l</w:t>
      </w:r>
      <w:r>
        <w:rPr>
          <w:rFonts w:ascii="Times New Roman" w:hAnsi="Times New Roman" w:cs="Times New Roman"/>
          <w:i/>
          <w:lang w:val="fr-FR"/>
        </w:rPr>
        <w:t>’</w:t>
      </w:r>
      <w:r w:rsidRPr="00696DB1">
        <w:rPr>
          <w:rFonts w:ascii="Times New Roman" w:hAnsi="Times New Roman" w:cs="Times New Roman"/>
          <w:i/>
          <w:lang w:val="fr-FR"/>
        </w:rPr>
        <w:t>incidence de la mise en œuvre du plan d</w:t>
      </w:r>
      <w:r>
        <w:rPr>
          <w:rFonts w:ascii="Times New Roman" w:hAnsi="Times New Roman" w:cs="Times New Roman"/>
          <w:i/>
          <w:lang w:val="fr-FR"/>
        </w:rPr>
        <w:t>’</w:t>
      </w:r>
      <w:r w:rsidRPr="00696DB1">
        <w:rPr>
          <w:rFonts w:ascii="Times New Roman" w:hAnsi="Times New Roman" w:cs="Times New Roman"/>
          <w:i/>
          <w:lang w:val="fr-FR"/>
        </w:rPr>
        <w:t xml:space="preserve">action </w:t>
      </w:r>
      <w:r w:rsidRPr="008B1F13">
        <w:rPr>
          <w:rFonts w:ascii="Times New Roman" w:hAnsi="Times New Roman" w:cs="Times New Roman"/>
          <w:i/>
          <w:lang w:val="fr-FR"/>
        </w:rPr>
        <w:t>sont évalués en surveillant les effectifs et la démographie</w:t>
      </w:r>
    </w:p>
    <w:p w14:paraId="0CF17757" w14:textId="77777777" w:rsidR="00886A3C" w:rsidRPr="004B1407" w:rsidRDefault="00886A3C" w:rsidP="00886A3C">
      <w:pPr>
        <w:spacing w:after="0" w:line="240" w:lineRule="auto"/>
        <w:rPr>
          <w:rFonts w:ascii="Times New Roman" w:hAnsi="Times New Roman" w:cs="Times New Roman"/>
          <w:i/>
          <w:lang w:val="fr-FR"/>
        </w:rPr>
      </w:pPr>
    </w:p>
    <w:tbl>
      <w:tblPr>
        <w:tblStyle w:val="TableGrid"/>
        <w:tblW w:w="0" w:type="auto"/>
        <w:tblLook w:val="04A0" w:firstRow="1" w:lastRow="0" w:firstColumn="1" w:lastColumn="0" w:noHBand="0" w:noVBand="1"/>
      </w:tblPr>
      <w:tblGrid>
        <w:gridCol w:w="6140"/>
        <w:gridCol w:w="1362"/>
        <w:gridCol w:w="1558"/>
      </w:tblGrid>
      <w:tr w:rsidR="00886A3C" w:rsidRPr="00DE4CF4" w14:paraId="3D594902"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7C02CC" w14:textId="77777777" w:rsidR="00886A3C" w:rsidRDefault="00886A3C" w:rsidP="00886A3C">
            <w:pPr>
              <w:jc w:val="both"/>
              <w:rPr>
                <w:rFonts w:ascii="Times New Roman" w:hAnsi="Times New Roman" w:cs="Times New Roman"/>
                <w:i/>
              </w:rPr>
            </w:pPr>
            <w:r w:rsidRPr="00696DB1">
              <w:rPr>
                <w:rFonts w:ascii="Times New Roman" w:hAnsi="Times New Roman" w:cs="Times New Roman"/>
                <w:i/>
                <w:lang w:val="fr-FR"/>
              </w:rPr>
              <w:t>Activité</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41CCE" w14:textId="77777777" w:rsidR="00886A3C" w:rsidRDefault="00886A3C" w:rsidP="00886A3C">
            <w:pPr>
              <w:jc w:val="both"/>
              <w:rPr>
                <w:rFonts w:ascii="Times New Roman" w:hAnsi="Times New Roman" w:cs="Times New Roman"/>
                <w:i/>
              </w:rPr>
            </w:pPr>
            <w:r w:rsidRPr="00696DB1">
              <w:rPr>
                <w:rFonts w:ascii="Times New Roman" w:hAnsi="Times New Roman" w:cs="Times New Roman"/>
                <w:i/>
                <w:lang w:val="fr-FR"/>
              </w:rPr>
              <w:t>Priorité</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51FCBA" w14:textId="77777777" w:rsidR="00886A3C" w:rsidRPr="004B1407" w:rsidRDefault="00886A3C" w:rsidP="00886A3C">
            <w:pPr>
              <w:jc w:val="both"/>
              <w:rPr>
                <w:rFonts w:ascii="Times New Roman" w:hAnsi="Times New Roman" w:cs="Times New Roman"/>
                <w:i/>
                <w:lang w:val="fr-FR"/>
              </w:rPr>
            </w:pPr>
            <w:r w:rsidRPr="00696DB1">
              <w:rPr>
                <w:rFonts w:ascii="Times New Roman" w:hAnsi="Times New Roman" w:cs="Times New Roman"/>
                <w:i/>
                <w:lang w:val="fr-FR"/>
              </w:rPr>
              <w:t xml:space="preserve">Taux de mise en œuvre </w:t>
            </w:r>
          </w:p>
        </w:tc>
      </w:tr>
      <w:tr w:rsidR="00886A3C" w14:paraId="18EB9A23" w14:textId="77777777" w:rsidTr="00886A3C">
        <w:trPr>
          <w:trHeight w:val="495"/>
        </w:trPr>
        <w:tc>
          <w:tcPr>
            <w:tcW w:w="6369" w:type="dxa"/>
            <w:tcBorders>
              <w:top w:val="single" w:sz="4" w:space="0" w:color="auto"/>
              <w:left w:val="single" w:sz="4" w:space="0" w:color="auto"/>
              <w:bottom w:val="single" w:sz="4" w:space="0" w:color="auto"/>
              <w:right w:val="single" w:sz="4" w:space="0" w:color="auto"/>
            </w:tcBorders>
          </w:tcPr>
          <w:p w14:paraId="2552989C" w14:textId="77777777" w:rsidR="00886A3C" w:rsidRPr="004B1407" w:rsidRDefault="00886A3C" w:rsidP="00886A3C">
            <w:pPr>
              <w:rPr>
                <w:rFonts w:ascii="Times New Roman" w:hAnsi="Times New Roman" w:cs="Times New Roman"/>
                <w:lang w:val="fr-FR"/>
              </w:rPr>
            </w:pPr>
            <w:r w:rsidRPr="00696DB1">
              <w:rPr>
                <w:rFonts w:ascii="Times New Roman" w:hAnsi="Times New Roman" w:cs="Times New Roman"/>
                <w:lang w:val="fr-FR"/>
              </w:rPr>
              <w:t>7.1 Réalisation d</w:t>
            </w:r>
            <w:r>
              <w:rPr>
                <w:rFonts w:ascii="Times New Roman" w:hAnsi="Times New Roman" w:cs="Times New Roman"/>
                <w:lang w:val="fr-FR"/>
              </w:rPr>
              <w:t>’</w:t>
            </w:r>
            <w:r w:rsidRPr="00696DB1">
              <w:rPr>
                <w:rFonts w:ascii="Times New Roman" w:hAnsi="Times New Roman" w:cs="Times New Roman"/>
                <w:lang w:val="fr-FR"/>
              </w:rPr>
              <w:t>inventaires synchronisés de tous les sites clés de repos dans les aires d</w:t>
            </w:r>
            <w:r>
              <w:rPr>
                <w:rFonts w:ascii="Times New Roman" w:hAnsi="Times New Roman" w:cs="Times New Roman"/>
                <w:lang w:val="fr-FR"/>
              </w:rPr>
              <w:t>’</w:t>
            </w:r>
            <w:r w:rsidRPr="00696DB1">
              <w:rPr>
                <w:rFonts w:ascii="Times New Roman" w:hAnsi="Times New Roman" w:cs="Times New Roman"/>
                <w:lang w:val="fr-FR"/>
              </w:rPr>
              <w:t>hivernage, en incluant l</w:t>
            </w:r>
            <w:r>
              <w:rPr>
                <w:rFonts w:ascii="Times New Roman" w:hAnsi="Times New Roman" w:cs="Times New Roman"/>
                <w:lang w:val="fr-FR"/>
              </w:rPr>
              <w:t>’</w:t>
            </w:r>
            <w:r w:rsidRPr="00696DB1">
              <w:rPr>
                <w:rFonts w:ascii="Times New Roman" w:hAnsi="Times New Roman" w:cs="Times New Roman"/>
                <w:lang w:val="fr-FR"/>
              </w:rPr>
              <w:t>est de l</w:t>
            </w:r>
            <w:r>
              <w:rPr>
                <w:rFonts w:ascii="Times New Roman" w:hAnsi="Times New Roman" w:cs="Times New Roman"/>
                <w:lang w:val="fr-FR"/>
              </w:rPr>
              <w:t>’</w:t>
            </w:r>
            <w:r w:rsidRPr="00696DB1">
              <w:rPr>
                <w:rFonts w:ascii="Times New Roman" w:hAnsi="Times New Roman" w:cs="Times New Roman"/>
                <w:lang w:val="fr-FR"/>
              </w:rPr>
              <w:t>Ukraine et le sud-ouest de la Russie.</w:t>
            </w:r>
          </w:p>
        </w:tc>
        <w:tc>
          <w:tcPr>
            <w:tcW w:w="1384" w:type="dxa"/>
            <w:tcBorders>
              <w:top w:val="single" w:sz="4" w:space="0" w:color="auto"/>
              <w:left w:val="single" w:sz="4" w:space="0" w:color="auto"/>
              <w:bottom w:val="single" w:sz="4" w:space="0" w:color="auto"/>
              <w:right w:val="single" w:sz="4" w:space="0" w:color="auto"/>
            </w:tcBorders>
          </w:tcPr>
          <w:p w14:paraId="6CB56C11" w14:textId="77777777" w:rsidR="00886A3C" w:rsidRDefault="00886A3C" w:rsidP="00886A3C">
            <w:pPr>
              <w:jc w:val="center"/>
              <w:rPr>
                <w:rFonts w:ascii="Times New Roman" w:hAnsi="Times New Roman" w:cs="Times New Roman"/>
              </w:rPr>
            </w:pPr>
            <w:r w:rsidRPr="00696DB1">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06FFA863" w14:textId="77777777" w:rsidR="00886A3C" w:rsidRDefault="00886A3C" w:rsidP="00886A3C">
            <w:pPr>
              <w:jc w:val="center"/>
              <w:rPr>
                <w:rFonts w:ascii="Times New Roman" w:hAnsi="Times New Roman" w:cs="Times New Roman"/>
              </w:rPr>
            </w:pPr>
            <w:r>
              <w:rPr>
                <w:rFonts w:ascii="Times New Roman" w:hAnsi="Times New Roman" w:cs="Times New Roman"/>
              </w:rPr>
              <w:t>60 %</w:t>
            </w:r>
          </w:p>
        </w:tc>
      </w:tr>
      <w:tr w:rsidR="00886A3C" w14:paraId="3FAC19C2" w14:textId="77777777" w:rsidTr="00886A3C">
        <w:trPr>
          <w:trHeight w:val="480"/>
        </w:trPr>
        <w:tc>
          <w:tcPr>
            <w:tcW w:w="6369" w:type="dxa"/>
            <w:tcBorders>
              <w:top w:val="single" w:sz="4" w:space="0" w:color="auto"/>
              <w:left w:val="single" w:sz="4" w:space="0" w:color="auto"/>
              <w:bottom w:val="single" w:sz="4" w:space="0" w:color="auto"/>
              <w:right w:val="single" w:sz="4" w:space="0" w:color="auto"/>
            </w:tcBorders>
          </w:tcPr>
          <w:p w14:paraId="2184DEB9" w14:textId="77777777" w:rsidR="00886A3C" w:rsidRPr="004B1407" w:rsidRDefault="00886A3C" w:rsidP="00886A3C">
            <w:pPr>
              <w:rPr>
                <w:rFonts w:ascii="Times New Roman" w:hAnsi="Times New Roman" w:cs="Times New Roman"/>
                <w:lang w:val="fr-FR"/>
              </w:rPr>
            </w:pPr>
            <w:r w:rsidRPr="00696DB1">
              <w:rPr>
                <w:rFonts w:ascii="Times New Roman" w:hAnsi="Times New Roman" w:cs="Times New Roman"/>
                <w:lang w:val="fr-FR"/>
              </w:rPr>
              <w:t>7.2 Surveillance de la productivité de la reproduction à l</w:t>
            </w:r>
            <w:r>
              <w:rPr>
                <w:rFonts w:ascii="Times New Roman" w:hAnsi="Times New Roman" w:cs="Times New Roman"/>
                <w:lang w:val="fr-FR"/>
              </w:rPr>
              <w:t>’</w:t>
            </w:r>
            <w:r w:rsidRPr="00696DB1">
              <w:rPr>
                <w:rFonts w:ascii="Times New Roman" w:hAnsi="Times New Roman" w:cs="Times New Roman"/>
                <w:lang w:val="fr-FR"/>
              </w:rPr>
              <w:t>aide de techniques standardisées.</w:t>
            </w:r>
          </w:p>
        </w:tc>
        <w:tc>
          <w:tcPr>
            <w:tcW w:w="1384" w:type="dxa"/>
            <w:tcBorders>
              <w:top w:val="single" w:sz="4" w:space="0" w:color="auto"/>
              <w:left w:val="single" w:sz="4" w:space="0" w:color="auto"/>
              <w:bottom w:val="single" w:sz="4" w:space="0" w:color="auto"/>
              <w:right w:val="single" w:sz="4" w:space="0" w:color="auto"/>
            </w:tcBorders>
          </w:tcPr>
          <w:p w14:paraId="016126EB" w14:textId="77777777" w:rsidR="00886A3C" w:rsidRDefault="00886A3C" w:rsidP="00886A3C">
            <w:pPr>
              <w:jc w:val="center"/>
              <w:rPr>
                <w:rFonts w:ascii="Times New Roman" w:hAnsi="Times New Roman" w:cs="Times New Roman"/>
              </w:rPr>
            </w:pPr>
            <w:r w:rsidRPr="00696DB1">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071EB255" w14:textId="77777777" w:rsidR="00886A3C" w:rsidRDefault="00886A3C" w:rsidP="00886A3C">
            <w:pPr>
              <w:jc w:val="center"/>
              <w:rPr>
                <w:rFonts w:ascii="Times New Roman" w:hAnsi="Times New Roman" w:cs="Times New Roman"/>
              </w:rPr>
            </w:pPr>
            <w:r>
              <w:rPr>
                <w:rFonts w:ascii="Times New Roman" w:hAnsi="Times New Roman" w:cs="Times New Roman"/>
              </w:rPr>
              <w:t>40 %</w:t>
            </w:r>
          </w:p>
        </w:tc>
      </w:tr>
      <w:tr w:rsidR="00886A3C" w14:paraId="29689738" w14:textId="77777777" w:rsidTr="00886A3C">
        <w:trPr>
          <w:trHeight w:val="422"/>
        </w:trPr>
        <w:tc>
          <w:tcPr>
            <w:tcW w:w="6369" w:type="dxa"/>
            <w:tcBorders>
              <w:top w:val="single" w:sz="4" w:space="0" w:color="auto"/>
              <w:left w:val="single" w:sz="4" w:space="0" w:color="auto"/>
              <w:bottom w:val="single" w:sz="4" w:space="0" w:color="auto"/>
              <w:right w:val="single" w:sz="4" w:space="0" w:color="auto"/>
            </w:tcBorders>
          </w:tcPr>
          <w:p w14:paraId="4864F344" w14:textId="77777777" w:rsidR="00886A3C" w:rsidRPr="004B1407" w:rsidRDefault="00886A3C" w:rsidP="00886A3C">
            <w:pPr>
              <w:rPr>
                <w:rFonts w:ascii="Times New Roman" w:hAnsi="Times New Roman" w:cs="Times New Roman"/>
                <w:lang w:val="fr-FR"/>
              </w:rPr>
            </w:pPr>
            <w:r w:rsidRPr="00696DB1">
              <w:rPr>
                <w:rFonts w:ascii="Times New Roman" w:hAnsi="Times New Roman" w:cs="Times New Roman"/>
                <w:lang w:val="fr-FR"/>
              </w:rPr>
              <w:t>7.3 Réalisation d</w:t>
            </w:r>
            <w:r>
              <w:rPr>
                <w:rFonts w:ascii="Times New Roman" w:hAnsi="Times New Roman" w:cs="Times New Roman"/>
                <w:lang w:val="fr-FR"/>
              </w:rPr>
              <w:t>’</w:t>
            </w:r>
            <w:r w:rsidRPr="00696DB1">
              <w:rPr>
                <w:rFonts w:ascii="Times New Roman" w:hAnsi="Times New Roman" w:cs="Times New Roman"/>
                <w:lang w:val="fr-FR"/>
              </w:rPr>
              <w:t xml:space="preserve">études de baguage et </w:t>
            </w:r>
            <w:r>
              <w:rPr>
                <w:rFonts w:ascii="Times New Roman" w:hAnsi="Times New Roman" w:cs="Times New Roman"/>
                <w:lang w:val="fr-FR"/>
              </w:rPr>
              <w:t xml:space="preserve">de </w:t>
            </w:r>
            <w:r w:rsidRPr="00696DB1">
              <w:rPr>
                <w:rFonts w:ascii="Times New Roman" w:hAnsi="Times New Roman" w:cs="Times New Roman"/>
                <w:lang w:val="fr-FR"/>
              </w:rPr>
              <w:t>travail de suivi sur le terrain pour surveiller la survie.</w:t>
            </w:r>
          </w:p>
        </w:tc>
        <w:tc>
          <w:tcPr>
            <w:tcW w:w="1384" w:type="dxa"/>
            <w:tcBorders>
              <w:top w:val="single" w:sz="4" w:space="0" w:color="auto"/>
              <w:left w:val="single" w:sz="4" w:space="0" w:color="auto"/>
              <w:bottom w:val="single" w:sz="4" w:space="0" w:color="auto"/>
              <w:right w:val="single" w:sz="4" w:space="0" w:color="auto"/>
            </w:tcBorders>
          </w:tcPr>
          <w:p w14:paraId="63D55A4F" w14:textId="77777777" w:rsidR="00886A3C" w:rsidRDefault="00886A3C" w:rsidP="00886A3C">
            <w:pPr>
              <w:jc w:val="center"/>
              <w:rPr>
                <w:rFonts w:ascii="Times New Roman" w:hAnsi="Times New Roman" w:cs="Times New Roman"/>
              </w:rPr>
            </w:pPr>
            <w:r w:rsidRPr="00696DB1">
              <w:rPr>
                <w:rFonts w:ascii="Times New Roman" w:hAnsi="Times New Roman" w:cs="Times New Roman"/>
                <w:lang w:val="fr-FR"/>
              </w:rPr>
              <w:t>Élevée</w:t>
            </w:r>
          </w:p>
        </w:tc>
        <w:tc>
          <w:tcPr>
            <w:tcW w:w="1597" w:type="dxa"/>
            <w:tcBorders>
              <w:top w:val="single" w:sz="4" w:space="0" w:color="auto"/>
              <w:left w:val="single" w:sz="4" w:space="0" w:color="auto"/>
              <w:bottom w:val="single" w:sz="4" w:space="0" w:color="auto"/>
              <w:right w:val="single" w:sz="4" w:space="0" w:color="auto"/>
            </w:tcBorders>
          </w:tcPr>
          <w:p w14:paraId="0AF6640A" w14:textId="77777777" w:rsidR="00886A3C" w:rsidRDefault="00886A3C" w:rsidP="00886A3C">
            <w:pPr>
              <w:jc w:val="center"/>
              <w:rPr>
                <w:rFonts w:ascii="Times New Roman" w:hAnsi="Times New Roman" w:cs="Times New Roman"/>
              </w:rPr>
            </w:pPr>
            <w:r>
              <w:rPr>
                <w:rFonts w:ascii="Times New Roman" w:hAnsi="Times New Roman" w:cs="Times New Roman"/>
              </w:rPr>
              <w:t>40 %</w:t>
            </w:r>
          </w:p>
        </w:tc>
      </w:tr>
    </w:tbl>
    <w:p w14:paraId="2C7E130A" w14:textId="77777777" w:rsidR="00886A3C" w:rsidRDefault="00886A3C" w:rsidP="00886A3C">
      <w:pPr>
        <w:spacing w:after="0" w:line="240" w:lineRule="auto"/>
        <w:rPr>
          <w:rFonts w:ascii="Times New Roman" w:hAnsi="Times New Roman" w:cs="Times New Roman"/>
          <w:lang w:val="en-US"/>
        </w:rPr>
      </w:pPr>
    </w:p>
    <w:p w14:paraId="7BAD3C59" w14:textId="77777777" w:rsidR="00886A3C" w:rsidRPr="004B1407" w:rsidRDefault="00886A3C" w:rsidP="00886A3C">
      <w:pPr>
        <w:spacing w:after="0" w:line="240" w:lineRule="auto"/>
        <w:rPr>
          <w:rFonts w:ascii="Times New Roman" w:hAnsi="Times New Roman" w:cs="Times New Roman"/>
          <w:b/>
          <w:lang w:val="fr-FR"/>
        </w:rPr>
      </w:pPr>
      <w:r w:rsidRPr="00696DB1">
        <w:rPr>
          <w:rFonts w:ascii="Times New Roman" w:hAnsi="Times New Roman" w:cs="Times New Roman"/>
          <w:b/>
          <w:lang w:val="fr-FR"/>
        </w:rPr>
        <w:t>Taux moyen de mise en œuvre :</w:t>
      </w:r>
      <w:r w:rsidRPr="004B1407">
        <w:rPr>
          <w:rFonts w:ascii="Times New Roman" w:hAnsi="Times New Roman" w:cs="Times New Roman"/>
          <w:b/>
          <w:lang w:val="fr-FR"/>
        </w:rPr>
        <w:t xml:space="preserve"> 47 %</w:t>
      </w:r>
    </w:p>
    <w:p w14:paraId="3FF11ABE" w14:textId="77777777" w:rsidR="00886A3C" w:rsidRPr="004B1407" w:rsidRDefault="00886A3C" w:rsidP="00886A3C">
      <w:pPr>
        <w:spacing w:after="0" w:line="240" w:lineRule="auto"/>
        <w:rPr>
          <w:rFonts w:ascii="Times New Roman" w:hAnsi="Times New Roman" w:cs="Times New Roman"/>
          <w:i/>
          <w:lang w:val="fr-FR"/>
        </w:rPr>
      </w:pPr>
      <w:r w:rsidRPr="00696DB1">
        <w:rPr>
          <w:rFonts w:ascii="Times New Roman" w:hAnsi="Times New Roman" w:cs="Times New Roman"/>
          <w:i/>
          <w:lang w:val="fr-FR"/>
        </w:rPr>
        <w:t>5.8. Résultat 8 – La gravité de la menace issue du saturnisme est évaluée</w:t>
      </w:r>
    </w:p>
    <w:p w14:paraId="1F9BC0F8" w14:textId="77777777" w:rsidR="00886A3C" w:rsidRPr="004B1407" w:rsidRDefault="00886A3C" w:rsidP="00886A3C">
      <w:pPr>
        <w:spacing w:after="0" w:line="240" w:lineRule="auto"/>
        <w:rPr>
          <w:rFonts w:ascii="Times New Roman" w:hAnsi="Times New Roman" w:cs="Times New Roman"/>
          <w:i/>
          <w:lang w:val="fr-FR"/>
        </w:rPr>
      </w:pPr>
    </w:p>
    <w:p w14:paraId="3546AAAF" w14:textId="77777777" w:rsidR="00886A3C" w:rsidRPr="004B1407" w:rsidRDefault="00886A3C" w:rsidP="00886A3C">
      <w:pPr>
        <w:spacing w:after="0" w:line="240" w:lineRule="auto"/>
        <w:jc w:val="both"/>
        <w:rPr>
          <w:rFonts w:ascii="Times New Roman" w:hAnsi="Times New Roman" w:cs="Times New Roman"/>
          <w:lang w:val="fr-FR"/>
        </w:rPr>
      </w:pPr>
      <w:r w:rsidRPr="00696DB1">
        <w:rPr>
          <w:rFonts w:ascii="Times New Roman" w:hAnsi="Times New Roman" w:cs="Times New Roman"/>
          <w:lang w:val="fr-FR"/>
        </w:rPr>
        <w:t>Ce résultat ne contenait qu</w:t>
      </w:r>
      <w:r>
        <w:rPr>
          <w:rFonts w:ascii="Times New Roman" w:hAnsi="Times New Roman" w:cs="Times New Roman"/>
          <w:lang w:val="fr-FR"/>
        </w:rPr>
        <w:t>’</w:t>
      </w:r>
      <w:r w:rsidRPr="00696DB1">
        <w:rPr>
          <w:rFonts w:ascii="Times New Roman" w:hAnsi="Times New Roman" w:cs="Times New Roman"/>
          <w:lang w:val="fr-FR"/>
        </w:rPr>
        <w:t>une activité à priorité moyenne (</w:t>
      </w:r>
      <w:r w:rsidRPr="00696DB1">
        <w:rPr>
          <w:rFonts w:ascii="Times New Roman" w:hAnsi="Times New Roman" w:cs="Times New Roman"/>
          <w:b/>
          <w:lang w:val="fr-FR"/>
        </w:rPr>
        <w:t>8.1</w:t>
      </w:r>
      <w:r w:rsidRPr="00696DB1">
        <w:rPr>
          <w:rFonts w:ascii="Times New Roman" w:hAnsi="Times New Roman" w:cs="Times New Roman"/>
          <w:lang w:val="fr-FR"/>
        </w:rPr>
        <w:t xml:space="preserve">) </w:t>
      </w:r>
      <w:r>
        <w:rPr>
          <w:rFonts w:ascii="Times New Roman" w:hAnsi="Times New Roman" w:cs="Times New Roman"/>
          <w:lang w:val="fr-FR"/>
        </w:rPr>
        <w:t>destinée à d</w:t>
      </w:r>
      <w:r w:rsidRPr="00696DB1">
        <w:rPr>
          <w:rFonts w:ascii="Times New Roman" w:hAnsi="Times New Roman" w:cs="Times New Roman"/>
          <w:lang w:val="fr-FR"/>
        </w:rPr>
        <w:t>étermin</w:t>
      </w:r>
      <w:r>
        <w:rPr>
          <w:rFonts w:ascii="Times New Roman" w:hAnsi="Times New Roman" w:cs="Times New Roman"/>
          <w:lang w:val="fr-FR"/>
        </w:rPr>
        <w:t>er les</w:t>
      </w:r>
      <w:r w:rsidRPr="00696DB1">
        <w:rPr>
          <w:rFonts w:ascii="Times New Roman" w:hAnsi="Times New Roman" w:cs="Times New Roman"/>
          <w:lang w:val="fr-FR"/>
        </w:rPr>
        <w:t xml:space="preserve"> niveaux de plomb dans l</w:t>
      </w:r>
      <w:r>
        <w:rPr>
          <w:rFonts w:ascii="Times New Roman" w:hAnsi="Times New Roman" w:cs="Times New Roman"/>
          <w:lang w:val="fr-FR"/>
        </w:rPr>
        <w:t>es</w:t>
      </w:r>
      <w:r w:rsidRPr="00696DB1">
        <w:rPr>
          <w:rFonts w:ascii="Times New Roman" w:hAnsi="Times New Roman" w:cs="Times New Roman"/>
          <w:lang w:val="fr-FR"/>
        </w:rPr>
        <w:t xml:space="preserve"> bernaches à cou roux et, si ces derniers étaient significatifs, </w:t>
      </w:r>
      <w:r>
        <w:rPr>
          <w:rFonts w:ascii="Times New Roman" w:hAnsi="Times New Roman" w:cs="Times New Roman"/>
          <w:lang w:val="fr-FR"/>
        </w:rPr>
        <w:t>à i</w:t>
      </w:r>
      <w:r w:rsidRPr="00696DB1">
        <w:rPr>
          <w:rFonts w:ascii="Times New Roman" w:hAnsi="Times New Roman" w:cs="Times New Roman"/>
          <w:lang w:val="fr-FR"/>
        </w:rPr>
        <w:t>dentifi</w:t>
      </w:r>
      <w:r>
        <w:rPr>
          <w:rFonts w:ascii="Times New Roman" w:hAnsi="Times New Roman" w:cs="Times New Roman"/>
          <w:lang w:val="fr-FR"/>
        </w:rPr>
        <w:t>er les endroits et la façon dont</w:t>
      </w:r>
      <w:r w:rsidRPr="00696DB1">
        <w:rPr>
          <w:rFonts w:ascii="Times New Roman" w:hAnsi="Times New Roman" w:cs="Times New Roman"/>
          <w:lang w:val="fr-FR"/>
        </w:rPr>
        <w:t xml:space="preserve"> les bernaches à cou roux ingèrent ce plomb.</w:t>
      </w:r>
      <w:r w:rsidRPr="004B1407">
        <w:rPr>
          <w:rFonts w:ascii="Times New Roman" w:hAnsi="Times New Roman" w:cs="Times New Roman"/>
          <w:lang w:val="fr-FR"/>
        </w:rPr>
        <w:t xml:space="preserve"> </w:t>
      </w:r>
      <w:r w:rsidRPr="00696DB1">
        <w:rPr>
          <w:rFonts w:ascii="Times New Roman" w:hAnsi="Times New Roman" w:cs="Times New Roman"/>
          <w:lang w:val="fr-FR"/>
        </w:rPr>
        <w:t>Seule la Bulgarie a fait part de la mise en œuvre de cette activité.</w:t>
      </w:r>
      <w:r w:rsidRPr="004B1407">
        <w:rPr>
          <w:rFonts w:ascii="Times New Roman" w:hAnsi="Times New Roman" w:cs="Times New Roman"/>
          <w:lang w:val="fr-FR"/>
        </w:rPr>
        <w:t xml:space="preserve"> </w:t>
      </w:r>
    </w:p>
    <w:p w14:paraId="730EC513" w14:textId="77777777" w:rsidR="00886A3C" w:rsidRPr="004B1407" w:rsidRDefault="00886A3C" w:rsidP="00886A3C">
      <w:pPr>
        <w:spacing w:after="0" w:line="240" w:lineRule="auto"/>
        <w:jc w:val="both"/>
        <w:rPr>
          <w:rFonts w:ascii="Times New Roman" w:hAnsi="Times New Roman" w:cs="Times New Roman"/>
          <w:lang w:val="fr-FR"/>
        </w:rPr>
      </w:pPr>
    </w:p>
    <w:p w14:paraId="18AB7160" w14:textId="77777777" w:rsidR="00886A3C" w:rsidRPr="004B1407" w:rsidRDefault="00886A3C" w:rsidP="00886A3C">
      <w:pPr>
        <w:spacing w:after="0" w:line="240" w:lineRule="auto"/>
        <w:jc w:val="both"/>
        <w:rPr>
          <w:rFonts w:ascii="Times New Roman" w:hAnsi="Times New Roman" w:cs="Times New Roman"/>
          <w:lang w:val="fr-FR"/>
        </w:rPr>
      </w:pPr>
      <w:r w:rsidRPr="00696DB1">
        <w:rPr>
          <w:rFonts w:ascii="Times New Roman" w:hAnsi="Times New Roman" w:cs="Times New Roman"/>
          <w:lang w:val="fr-FR"/>
        </w:rPr>
        <w:t>Le Kazakhstan et la Russie ont indiqué que cette action ne s</w:t>
      </w:r>
      <w:r>
        <w:rPr>
          <w:rFonts w:ascii="Times New Roman" w:hAnsi="Times New Roman" w:cs="Times New Roman"/>
          <w:lang w:val="fr-FR"/>
        </w:rPr>
        <w:t>’</w:t>
      </w:r>
      <w:r w:rsidRPr="00696DB1">
        <w:rPr>
          <w:rFonts w:ascii="Times New Roman" w:hAnsi="Times New Roman" w:cs="Times New Roman"/>
          <w:lang w:val="fr-FR"/>
        </w:rPr>
        <w:t>appliquaient pas à leurs pays.</w:t>
      </w:r>
      <w:r w:rsidRPr="004B1407">
        <w:rPr>
          <w:rFonts w:ascii="Times New Roman" w:hAnsi="Times New Roman" w:cs="Times New Roman"/>
          <w:lang w:val="fr-FR"/>
        </w:rPr>
        <w:t xml:space="preserve"> </w:t>
      </w:r>
      <w:r w:rsidRPr="00696DB1">
        <w:rPr>
          <w:rFonts w:ascii="Times New Roman" w:hAnsi="Times New Roman" w:cs="Times New Roman"/>
          <w:lang w:val="fr-FR"/>
        </w:rPr>
        <w:t xml:space="preserve">Le Kazakhstan a précisé </w:t>
      </w:r>
      <w:r>
        <w:rPr>
          <w:rFonts w:ascii="Times New Roman" w:hAnsi="Times New Roman" w:cs="Times New Roman"/>
          <w:lang w:val="fr-FR"/>
        </w:rPr>
        <w:t xml:space="preserve">que </w:t>
      </w:r>
      <w:r w:rsidRPr="00696DB1">
        <w:rPr>
          <w:rFonts w:ascii="Times New Roman" w:hAnsi="Times New Roman" w:cs="Times New Roman"/>
          <w:lang w:val="fr-FR"/>
        </w:rPr>
        <w:t xml:space="preserve">la chasse est interdite </w:t>
      </w:r>
      <w:r>
        <w:rPr>
          <w:rFonts w:ascii="Times New Roman" w:hAnsi="Times New Roman" w:cs="Times New Roman"/>
          <w:lang w:val="fr-FR"/>
        </w:rPr>
        <w:t>sur les</w:t>
      </w:r>
      <w:r w:rsidRPr="00696DB1">
        <w:rPr>
          <w:rFonts w:ascii="Times New Roman" w:hAnsi="Times New Roman" w:cs="Times New Roman"/>
          <w:lang w:val="fr-FR"/>
        </w:rPr>
        <w:t xml:space="preserve"> sites de halte clés </w:t>
      </w:r>
      <w:r>
        <w:rPr>
          <w:rFonts w:ascii="Times New Roman" w:hAnsi="Times New Roman" w:cs="Times New Roman"/>
          <w:lang w:val="fr-FR"/>
        </w:rPr>
        <w:t>comprenant</w:t>
      </w:r>
      <w:r w:rsidRPr="00696DB1">
        <w:rPr>
          <w:rFonts w:ascii="Times New Roman" w:hAnsi="Times New Roman" w:cs="Times New Roman"/>
          <w:lang w:val="fr-FR"/>
        </w:rPr>
        <w:t xml:space="preserve"> des étendues d</w:t>
      </w:r>
      <w:r>
        <w:rPr>
          <w:rFonts w:ascii="Times New Roman" w:hAnsi="Times New Roman" w:cs="Times New Roman"/>
          <w:lang w:val="fr-FR"/>
        </w:rPr>
        <w:t>’</w:t>
      </w:r>
      <w:r w:rsidRPr="00696DB1">
        <w:rPr>
          <w:rFonts w:ascii="Times New Roman" w:hAnsi="Times New Roman" w:cs="Times New Roman"/>
          <w:lang w:val="fr-FR"/>
        </w:rPr>
        <w:t>eau (aussi le long de rivages).</w:t>
      </w:r>
      <w:r w:rsidRPr="004B1407">
        <w:rPr>
          <w:rFonts w:ascii="Times New Roman" w:hAnsi="Times New Roman" w:cs="Times New Roman"/>
          <w:lang w:val="fr-FR"/>
        </w:rPr>
        <w:t xml:space="preserve"> </w:t>
      </w:r>
      <w:r w:rsidRPr="00696DB1">
        <w:rPr>
          <w:rFonts w:ascii="Times New Roman" w:hAnsi="Times New Roman" w:cs="Times New Roman"/>
          <w:lang w:val="fr-FR"/>
        </w:rPr>
        <w:t>En outre, les champs utilisés pour l</w:t>
      </w:r>
      <w:r>
        <w:rPr>
          <w:rFonts w:ascii="Times New Roman" w:hAnsi="Times New Roman" w:cs="Times New Roman"/>
          <w:lang w:val="fr-FR"/>
        </w:rPr>
        <w:t>’</w:t>
      </w:r>
      <w:r w:rsidRPr="00696DB1">
        <w:rPr>
          <w:rFonts w:ascii="Times New Roman" w:hAnsi="Times New Roman" w:cs="Times New Roman"/>
          <w:lang w:val="fr-FR"/>
        </w:rPr>
        <w:t>alimentation sont labourés à chaque printemps et toute la grenaille de plomb est enterrée dans le sol.</w:t>
      </w:r>
      <w:r w:rsidRPr="004B1407">
        <w:rPr>
          <w:rFonts w:ascii="Times New Roman" w:hAnsi="Times New Roman" w:cs="Times New Roman"/>
          <w:lang w:val="fr-FR"/>
        </w:rPr>
        <w:t xml:space="preserve"> </w:t>
      </w:r>
      <w:r w:rsidRPr="00696DB1">
        <w:rPr>
          <w:rFonts w:ascii="Times New Roman" w:hAnsi="Times New Roman" w:cs="Times New Roman"/>
          <w:lang w:val="fr-FR"/>
        </w:rPr>
        <w:t>Il n</w:t>
      </w:r>
      <w:r>
        <w:rPr>
          <w:rFonts w:ascii="Times New Roman" w:hAnsi="Times New Roman" w:cs="Times New Roman"/>
          <w:lang w:val="fr-FR"/>
        </w:rPr>
        <w:t>’</w:t>
      </w:r>
      <w:r w:rsidRPr="00696DB1">
        <w:rPr>
          <w:rFonts w:ascii="Times New Roman" w:hAnsi="Times New Roman" w:cs="Times New Roman"/>
          <w:lang w:val="fr-FR"/>
        </w:rPr>
        <w:t>y a donc pas d</w:t>
      </w:r>
      <w:r>
        <w:rPr>
          <w:rFonts w:ascii="Times New Roman" w:hAnsi="Times New Roman" w:cs="Times New Roman"/>
          <w:lang w:val="fr-FR"/>
        </w:rPr>
        <w:t>’</w:t>
      </w:r>
      <w:r w:rsidRPr="00696DB1">
        <w:rPr>
          <w:rFonts w:ascii="Times New Roman" w:hAnsi="Times New Roman" w:cs="Times New Roman"/>
          <w:lang w:val="fr-FR"/>
        </w:rPr>
        <w:t>accumulation notable de grenaille de plomb dans les aires utilisées par les bernaches à cou roux.</w:t>
      </w:r>
      <w:r w:rsidRPr="004B1407">
        <w:rPr>
          <w:rFonts w:ascii="Times New Roman" w:hAnsi="Times New Roman" w:cs="Times New Roman"/>
          <w:lang w:val="fr-FR"/>
        </w:rPr>
        <w:t xml:space="preserve"> </w:t>
      </w:r>
    </w:p>
    <w:p w14:paraId="042932F1" w14:textId="77777777" w:rsidR="00886A3C" w:rsidRPr="004B1407" w:rsidRDefault="00886A3C" w:rsidP="00886A3C">
      <w:pPr>
        <w:spacing w:after="0" w:line="240" w:lineRule="auto"/>
        <w:jc w:val="both"/>
        <w:rPr>
          <w:rFonts w:ascii="Times New Roman" w:hAnsi="Times New Roman" w:cs="Times New Roman"/>
          <w:lang w:val="fr-FR"/>
        </w:rPr>
      </w:pPr>
    </w:p>
    <w:p w14:paraId="3B93EA78" w14:textId="77777777" w:rsidR="00886A3C" w:rsidRPr="004B1407" w:rsidRDefault="00886A3C" w:rsidP="00886A3C">
      <w:pPr>
        <w:spacing w:after="0" w:line="240" w:lineRule="auto"/>
        <w:jc w:val="both"/>
        <w:rPr>
          <w:rFonts w:ascii="Times New Roman" w:hAnsi="Times New Roman" w:cs="Times New Roman"/>
          <w:b/>
          <w:lang w:val="fr-FR"/>
        </w:rPr>
      </w:pPr>
      <w:r w:rsidRPr="00696DB1">
        <w:rPr>
          <w:rFonts w:ascii="Times New Roman" w:hAnsi="Times New Roman" w:cs="Times New Roman"/>
          <w:b/>
          <w:lang w:val="fr-FR"/>
        </w:rPr>
        <w:t>Taux moyen de mise en œuvre :</w:t>
      </w:r>
      <w:r w:rsidRPr="004B1407">
        <w:rPr>
          <w:rFonts w:ascii="Times New Roman" w:hAnsi="Times New Roman" w:cs="Times New Roman"/>
          <w:b/>
          <w:lang w:val="fr-FR"/>
        </w:rPr>
        <w:t xml:space="preserve"> 33 %</w:t>
      </w:r>
    </w:p>
    <w:p w14:paraId="3496C9CC" w14:textId="77777777" w:rsidR="00886A3C" w:rsidRPr="004B1407" w:rsidRDefault="00886A3C" w:rsidP="00886A3C">
      <w:pPr>
        <w:spacing w:after="0" w:line="240" w:lineRule="auto"/>
        <w:jc w:val="both"/>
        <w:rPr>
          <w:rFonts w:ascii="Times New Roman" w:hAnsi="Times New Roman" w:cs="Times New Roman"/>
          <w:lang w:val="fr-FR"/>
        </w:rPr>
      </w:pP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p w14:paraId="17C86689" w14:textId="77777777" w:rsidR="00886A3C" w:rsidRPr="004B1407" w:rsidRDefault="00886A3C" w:rsidP="00886A3C">
      <w:pPr>
        <w:spacing w:after="0" w:line="240" w:lineRule="auto"/>
        <w:rPr>
          <w:rFonts w:ascii="Times New Roman" w:hAnsi="Times New Roman" w:cs="Times New Roman"/>
          <w:lang w:val="fr-FR"/>
        </w:rPr>
      </w:pPr>
    </w:p>
    <w:p w14:paraId="7E125DEC" w14:textId="77777777" w:rsidR="00886A3C" w:rsidRPr="004B1407" w:rsidRDefault="00886A3C" w:rsidP="00886A3C">
      <w:pPr>
        <w:spacing w:after="0" w:line="240" w:lineRule="auto"/>
        <w:rPr>
          <w:rFonts w:ascii="Times New Roman" w:hAnsi="Times New Roman" w:cs="Times New Roman"/>
          <w:lang w:val="fr-FR"/>
        </w:rPr>
      </w:pPr>
    </w:p>
    <w:p w14:paraId="21AA23DE" w14:textId="77777777" w:rsidR="00886A3C" w:rsidRPr="004B1407" w:rsidRDefault="00886A3C" w:rsidP="00886A3C">
      <w:pPr>
        <w:spacing w:after="0" w:line="240" w:lineRule="auto"/>
        <w:rPr>
          <w:rFonts w:ascii="Times New Roman" w:hAnsi="Times New Roman" w:cs="Times New Roman"/>
          <w:lang w:val="fr-FR"/>
        </w:rPr>
      </w:pPr>
    </w:p>
    <w:p w14:paraId="172EBC50" w14:textId="77777777" w:rsidR="00886A3C" w:rsidRPr="004B1407" w:rsidRDefault="00886A3C" w:rsidP="00886A3C">
      <w:pPr>
        <w:spacing w:after="0" w:line="240" w:lineRule="auto"/>
        <w:rPr>
          <w:rFonts w:ascii="Times New Roman" w:hAnsi="Times New Roman" w:cs="Times New Roman"/>
          <w:lang w:val="fr-FR"/>
        </w:rPr>
      </w:pPr>
    </w:p>
    <w:p w14:paraId="76FB1988" w14:textId="77777777" w:rsidR="00886A3C" w:rsidRPr="004B1407" w:rsidRDefault="00886A3C" w:rsidP="00886A3C">
      <w:pPr>
        <w:spacing w:after="0" w:line="240" w:lineRule="auto"/>
        <w:rPr>
          <w:rFonts w:ascii="Times New Roman" w:hAnsi="Times New Roman" w:cs="Times New Roman"/>
          <w:lang w:val="fr-FR"/>
        </w:rPr>
      </w:pPr>
    </w:p>
    <w:p w14:paraId="1A0F79C2" w14:textId="77777777" w:rsidR="00886A3C" w:rsidRPr="004B1407" w:rsidRDefault="00886A3C" w:rsidP="00886A3C">
      <w:pPr>
        <w:spacing w:after="0" w:line="240" w:lineRule="auto"/>
        <w:rPr>
          <w:rFonts w:ascii="Times New Roman" w:hAnsi="Times New Roman" w:cs="Times New Roman"/>
          <w:lang w:val="fr-FR"/>
        </w:rPr>
      </w:pPr>
    </w:p>
    <w:p w14:paraId="5EBECAFC" w14:textId="77777777" w:rsidR="00886A3C" w:rsidRPr="004B1407" w:rsidRDefault="00886A3C" w:rsidP="00886A3C">
      <w:pPr>
        <w:spacing w:after="0" w:line="240" w:lineRule="auto"/>
        <w:rPr>
          <w:rFonts w:ascii="Times New Roman" w:hAnsi="Times New Roman" w:cs="Times New Roman"/>
          <w:lang w:val="fr-FR"/>
        </w:rPr>
      </w:pPr>
    </w:p>
    <w:p w14:paraId="587E18A3" w14:textId="77777777" w:rsidR="00886A3C" w:rsidRPr="004B1407" w:rsidRDefault="00886A3C" w:rsidP="00886A3C">
      <w:pPr>
        <w:spacing w:after="0" w:line="240" w:lineRule="auto"/>
        <w:rPr>
          <w:rFonts w:ascii="Times New Roman" w:hAnsi="Times New Roman" w:cs="Times New Roman"/>
          <w:lang w:val="fr-FR"/>
        </w:rPr>
      </w:pPr>
    </w:p>
    <w:p w14:paraId="3093E6B1"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lastRenderedPageBreak/>
        <w:t xml:space="preserve">6. </w:t>
      </w:r>
      <w:r w:rsidRPr="00696DB1">
        <w:rPr>
          <w:rFonts w:ascii="Times New Roman" w:hAnsi="Times New Roman" w:cs="Times New Roman"/>
          <w:i/>
          <w:lang w:val="fr-FR"/>
        </w:rPr>
        <w:t>Principales actions favorisant la mise en œuvre et principaux obstacles empêchant cette dernière</w:t>
      </w:r>
    </w:p>
    <w:p w14:paraId="3505DEDB" w14:textId="77777777" w:rsidR="00886A3C" w:rsidRPr="004B1407" w:rsidRDefault="00886A3C" w:rsidP="00886A3C">
      <w:pPr>
        <w:spacing w:after="0" w:line="240" w:lineRule="auto"/>
        <w:rPr>
          <w:rFonts w:ascii="Times New Roman" w:hAnsi="Times New Roman" w:cs="Times New Roman"/>
          <w:lang w:val="fr-FR"/>
        </w:rPr>
      </w:pPr>
    </w:p>
    <w:p w14:paraId="3D434722" w14:textId="77777777" w:rsidR="00886A3C" w:rsidRDefault="00886A3C" w:rsidP="00886A3C">
      <w:pPr>
        <w:spacing w:after="0" w:line="240" w:lineRule="auto"/>
        <w:jc w:val="both"/>
        <w:rPr>
          <w:rFonts w:ascii="Times New Roman" w:hAnsi="Times New Roman" w:cs="Times New Roman"/>
          <w:lang w:val="en-US"/>
        </w:rPr>
      </w:pPr>
      <w:r w:rsidRPr="00696DB1">
        <w:rPr>
          <w:rFonts w:ascii="Times New Roman" w:hAnsi="Times New Roman" w:cs="Times New Roman"/>
          <w:lang w:val="fr-FR"/>
        </w:rPr>
        <w:t>Il a été également demandé aux États de l</w:t>
      </w:r>
      <w:r>
        <w:rPr>
          <w:rFonts w:ascii="Times New Roman" w:hAnsi="Times New Roman" w:cs="Times New Roman"/>
          <w:lang w:val="fr-FR"/>
        </w:rPr>
        <w:t>’</w:t>
      </w:r>
      <w:r w:rsidRPr="00696DB1">
        <w:rPr>
          <w:rFonts w:ascii="Times New Roman" w:hAnsi="Times New Roman" w:cs="Times New Roman"/>
          <w:lang w:val="fr-FR"/>
        </w:rPr>
        <w:t>aire de répartition de nommer trois actions principales aussi bien favorisant qu</w:t>
      </w:r>
      <w:r>
        <w:rPr>
          <w:rFonts w:ascii="Times New Roman" w:hAnsi="Times New Roman" w:cs="Times New Roman"/>
          <w:lang w:val="fr-FR"/>
        </w:rPr>
        <w:t>’</w:t>
      </w:r>
      <w:r w:rsidRPr="00696DB1">
        <w:rPr>
          <w:rFonts w:ascii="Times New Roman" w:hAnsi="Times New Roman" w:cs="Times New Roman"/>
          <w:lang w:val="fr-FR"/>
        </w:rPr>
        <w:t xml:space="preserve">entravant la mise en œuvre </w:t>
      </w:r>
      <w:r>
        <w:rPr>
          <w:rFonts w:ascii="Times New Roman" w:hAnsi="Times New Roman" w:cs="Times New Roman"/>
          <w:lang w:val="fr-FR"/>
        </w:rPr>
        <w:t>efficace du plan d’action</w:t>
      </w:r>
      <w:r w:rsidRPr="00696DB1">
        <w:rPr>
          <w:rFonts w:ascii="Times New Roman" w:hAnsi="Times New Roman" w:cs="Times New Roman"/>
          <w:lang w:val="fr-FR"/>
        </w:rPr>
        <w:t>.</w:t>
      </w:r>
      <w:r w:rsidRPr="004B1407">
        <w:rPr>
          <w:rFonts w:ascii="Times New Roman" w:hAnsi="Times New Roman" w:cs="Times New Roman"/>
          <w:lang w:val="fr-FR"/>
        </w:rPr>
        <w:t xml:space="preserve"> </w:t>
      </w:r>
      <w:r w:rsidRPr="00696DB1">
        <w:rPr>
          <w:rFonts w:ascii="Times New Roman" w:hAnsi="Times New Roman" w:cs="Times New Roman"/>
          <w:lang w:val="fr-FR"/>
        </w:rPr>
        <w:t>Elles sont résumées dans le tableau ci-dessous.</w:t>
      </w:r>
    </w:p>
    <w:p w14:paraId="590CB971" w14:textId="77777777" w:rsidR="00886A3C" w:rsidRDefault="00886A3C" w:rsidP="00886A3C">
      <w:pPr>
        <w:spacing w:after="0" w:line="240" w:lineRule="auto"/>
        <w:rPr>
          <w:rFonts w:ascii="Times New Roman" w:hAnsi="Times New Roman" w:cs="Times New Roman"/>
          <w:lang w:val="en-US"/>
        </w:rPr>
      </w:pPr>
    </w:p>
    <w:p w14:paraId="583318F0"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2C87D713" wp14:editId="7252B324">
            <wp:extent cx="4810125" cy="3076575"/>
            <wp:effectExtent l="0" t="0" r="9525" b="9525"/>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3B5096D0"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Programmes à long terme de surveillance et de recherches ( y compris suivi satellitaire)</w:t>
      </w:r>
    </w:p>
    <w:p w14:paraId="1DB68B6C"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Coopération internationale</w:t>
      </w:r>
    </w:p>
    <w:p w14:paraId="7F0F6A40"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ONG actives</w:t>
      </w:r>
    </w:p>
    <w:p w14:paraId="0D6C060D"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Amélioration de la législation sur la chasse</w:t>
      </w:r>
    </w:p>
    <w:p w14:paraId="0430CA50"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Protection des sites clés</w:t>
      </w:r>
    </w:p>
    <w:p w14:paraId="5ECE0B45"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Programmes agro-environnementaux</w:t>
      </w:r>
    </w:p>
    <w:p w14:paraId="2193365A"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Mise en place de zones interdites à la chasse</w:t>
      </w:r>
    </w:p>
    <w:p w14:paraId="2798DDD5"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Projets de conservation (UE LIFE</w:t>
      </w:r>
      <w:r>
        <w:rPr>
          <w:rFonts w:ascii="Arial" w:hAnsi="Arial" w:cs="Arial"/>
          <w:sz w:val="18"/>
          <w:szCs w:val="18"/>
          <w:lang w:val="fr-FR"/>
        </w:rPr>
        <w:t>,</w:t>
      </w:r>
      <w:r w:rsidRPr="00B8700F">
        <w:rPr>
          <w:rFonts w:ascii="Arial" w:hAnsi="Arial" w:cs="Arial"/>
          <w:sz w:val="18"/>
          <w:szCs w:val="18"/>
          <w:lang w:val="fr-FR"/>
        </w:rPr>
        <w:t xml:space="preserve"> etc.)</w:t>
      </w:r>
    </w:p>
    <w:p w14:paraId="2E8304A1" w14:textId="77777777" w:rsidR="00886A3C" w:rsidRPr="004B1407" w:rsidRDefault="00886A3C" w:rsidP="00886A3C">
      <w:pPr>
        <w:spacing w:after="0" w:line="240" w:lineRule="auto"/>
        <w:rPr>
          <w:rFonts w:ascii="Arial" w:hAnsi="Arial" w:cs="Arial"/>
          <w:sz w:val="20"/>
          <w:szCs w:val="20"/>
          <w:lang w:val="fr-FR"/>
        </w:rPr>
      </w:pPr>
    </w:p>
    <w:p w14:paraId="73555C91" w14:textId="77777777" w:rsidR="00886A3C" w:rsidRPr="004B1407" w:rsidRDefault="00886A3C" w:rsidP="00886A3C">
      <w:pPr>
        <w:spacing w:after="0" w:line="240" w:lineRule="auto"/>
        <w:rPr>
          <w:rFonts w:ascii="Arial" w:hAnsi="Arial" w:cs="Arial"/>
          <w:sz w:val="20"/>
          <w:szCs w:val="20"/>
          <w:lang w:val="fr-FR"/>
        </w:rPr>
      </w:pPr>
    </w:p>
    <w:p w14:paraId="2CCD1CD7" w14:textId="77777777" w:rsidR="00886A3C" w:rsidRPr="00AB3EC7" w:rsidRDefault="00886A3C" w:rsidP="00886A3C">
      <w:pPr>
        <w:spacing w:after="0" w:line="240" w:lineRule="auto"/>
        <w:rPr>
          <w:rFonts w:ascii="Arial" w:hAnsi="Arial" w:cs="Arial"/>
          <w:sz w:val="20"/>
          <w:szCs w:val="20"/>
          <w:lang w:val="en-US"/>
        </w:rPr>
      </w:pPr>
      <w:r>
        <w:rPr>
          <w:noProof/>
          <w:lang w:val="en-US"/>
        </w:rPr>
        <w:drawing>
          <wp:inline distT="0" distB="0" distL="0" distR="0" wp14:anchorId="69AF519B" wp14:editId="05DA85F2">
            <wp:extent cx="4810125" cy="3038475"/>
            <wp:effectExtent l="0" t="0" r="9525" b="952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53D828D0" w14:textId="77777777" w:rsidR="00886A3C" w:rsidRDefault="00886A3C" w:rsidP="00886A3C">
      <w:pPr>
        <w:spacing w:after="0" w:line="240" w:lineRule="auto"/>
        <w:rPr>
          <w:rFonts w:ascii="Arial" w:hAnsi="Arial" w:cs="Arial"/>
          <w:sz w:val="20"/>
          <w:szCs w:val="20"/>
          <w:lang w:val="fr-FR"/>
        </w:rPr>
      </w:pPr>
    </w:p>
    <w:p w14:paraId="26A2A30F"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Manque de soutien et de financement gouvernementaux</w:t>
      </w:r>
    </w:p>
    <w:p w14:paraId="485634B7"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Application insuffisante des lois (réglementations sur la chasse</w:t>
      </w:r>
      <w:r>
        <w:rPr>
          <w:rFonts w:ascii="Arial" w:hAnsi="Arial" w:cs="Arial"/>
          <w:sz w:val="18"/>
          <w:szCs w:val="18"/>
          <w:lang w:val="fr-FR"/>
        </w:rPr>
        <w:t>,</w:t>
      </w:r>
      <w:r w:rsidRPr="00B8700F">
        <w:rPr>
          <w:rFonts w:ascii="Arial" w:hAnsi="Arial" w:cs="Arial"/>
          <w:sz w:val="18"/>
          <w:szCs w:val="18"/>
          <w:lang w:val="fr-FR"/>
        </w:rPr>
        <w:t xml:space="preserve"> etc.)</w:t>
      </w:r>
    </w:p>
    <w:p w14:paraId="2E312826"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Manque de financement</w:t>
      </w:r>
    </w:p>
    <w:p w14:paraId="2EDE0136"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lastRenderedPageBreak/>
        <w:t>Lobbys puissants influençant négativement les décideurs (investisseurs, chasseurs)</w:t>
      </w:r>
    </w:p>
    <w:p w14:paraId="15E1526E" w14:textId="77777777" w:rsidR="00886A3C" w:rsidRPr="00B8700F"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Faible priorité de conservation au niveau national</w:t>
      </w:r>
    </w:p>
    <w:p w14:paraId="00240953" w14:textId="77777777" w:rsidR="00886A3C" w:rsidRPr="004B1407" w:rsidRDefault="00886A3C" w:rsidP="00886A3C">
      <w:pPr>
        <w:spacing w:after="0" w:line="240" w:lineRule="auto"/>
        <w:rPr>
          <w:rFonts w:ascii="Arial" w:hAnsi="Arial" w:cs="Arial"/>
          <w:sz w:val="18"/>
          <w:szCs w:val="18"/>
          <w:lang w:val="fr-FR"/>
        </w:rPr>
      </w:pPr>
      <w:r w:rsidRPr="00B8700F">
        <w:rPr>
          <w:rFonts w:ascii="Arial" w:hAnsi="Arial" w:cs="Arial"/>
          <w:sz w:val="18"/>
          <w:szCs w:val="18"/>
          <w:lang w:val="fr-FR"/>
        </w:rPr>
        <w:t>Absence de plans d’action nationaux</w:t>
      </w:r>
    </w:p>
    <w:p w14:paraId="018673F2" w14:textId="77777777" w:rsidR="00886A3C" w:rsidRPr="004B1407" w:rsidRDefault="00886A3C" w:rsidP="00886A3C">
      <w:pPr>
        <w:spacing w:after="0" w:line="240" w:lineRule="auto"/>
        <w:rPr>
          <w:rFonts w:ascii="Arial" w:hAnsi="Arial" w:cs="Arial"/>
          <w:sz w:val="20"/>
          <w:szCs w:val="20"/>
          <w:lang w:val="fr-FR"/>
        </w:rPr>
      </w:pPr>
    </w:p>
    <w:p w14:paraId="1E1AC6A3" w14:textId="77777777" w:rsidR="00886A3C" w:rsidRPr="004B1407" w:rsidRDefault="00886A3C" w:rsidP="00886A3C">
      <w:pPr>
        <w:spacing w:after="0" w:line="240" w:lineRule="auto"/>
        <w:rPr>
          <w:rFonts w:ascii="Arial" w:hAnsi="Arial" w:cs="Arial"/>
          <w:sz w:val="20"/>
          <w:szCs w:val="20"/>
          <w:lang w:val="fr-FR"/>
        </w:rPr>
      </w:pPr>
    </w:p>
    <w:p w14:paraId="1C68C60E"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7. </w:t>
      </w:r>
      <w:r w:rsidRPr="00696DB1">
        <w:rPr>
          <w:rFonts w:ascii="Times New Roman" w:hAnsi="Times New Roman" w:cs="Times New Roman"/>
          <w:i/>
          <w:lang w:val="fr-FR"/>
        </w:rPr>
        <w:t>Conclusions </w:t>
      </w:r>
    </w:p>
    <w:p w14:paraId="7A82CF2A" w14:textId="77777777" w:rsidR="00886A3C" w:rsidRPr="004B1407" w:rsidRDefault="00886A3C" w:rsidP="00886A3C">
      <w:pPr>
        <w:spacing w:after="0" w:line="240" w:lineRule="auto"/>
        <w:rPr>
          <w:rFonts w:ascii="Times New Roman" w:hAnsi="Times New Roman" w:cs="Times New Roman"/>
          <w:i/>
          <w:lang w:val="fr-FR"/>
        </w:rPr>
      </w:pPr>
    </w:p>
    <w:p w14:paraId="0752746C" w14:textId="77777777" w:rsidR="00886A3C" w:rsidRPr="004B1407" w:rsidRDefault="00886A3C" w:rsidP="00886A3C">
      <w:pPr>
        <w:spacing w:after="0" w:line="240" w:lineRule="auto"/>
        <w:jc w:val="both"/>
        <w:rPr>
          <w:rFonts w:ascii="Times New Roman" w:hAnsi="Times New Roman" w:cs="Times New Roman"/>
          <w:lang w:val="fr-FR"/>
        </w:rPr>
      </w:pPr>
      <w:r w:rsidRPr="0033247A">
        <w:rPr>
          <w:rFonts w:ascii="Times New Roman" w:hAnsi="Times New Roman" w:cs="Times New Roman"/>
          <w:lang w:val="fr-FR"/>
        </w:rPr>
        <w:t>Trois ans après l</w:t>
      </w:r>
      <w:r>
        <w:rPr>
          <w:rFonts w:ascii="Times New Roman" w:hAnsi="Times New Roman" w:cs="Times New Roman"/>
          <w:lang w:val="fr-FR"/>
        </w:rPr>
        <w:t>’</w:t>
      </w:r>
      <w:r w:rsidRPr="0033247A">
        <w:rPr>
          <w:rFonts w:ascii="Times New Roman" w:hAnsi="Times New Roman" w:cs="Times New Roman"/>
          <w:lang w:val="fr-FR"/>
        </w:rPr>
        <w:t xml:space="preserve">adoption en 2012 du </w:t>
      </w:r>
      <w:r>
        <w:rPr>
          <w:rFonts w:ascii="Times New Roman" w:hAnsi="Times New Roman" w:cs="Times New Roman"/>
          <w:lang w:val="fr-FR"/>
        </w:rPr>
        <w:t>plan</w:t>
      </w:r>
      <w:r w:rsidRPr="0033247A">
        <w:rPr>
          <w:rFonts w:ascii="Times New Roman" w:hAnsi="Times New Roman" w:cs="Times New Roman"/>
          <w:lang w:val="fr-FR"/>
        </w:rPr>
        <w:t xml:space="preserve"> d</w:t>
      </w:r>
      <w:r>
        <w:rPr>
          <w:rFonts w:ascii="Times New Roman" w:hAnsi="Times New Roman" w:cs="Times New Roman"/>
          <w:lang w:val="fr-FR"/>
        </w:rPr>
        <w:t>’</w:t>
      </w:r>
      <w:r w:rsidRPr="0033247A">
        <w:rPr>
          <w:rFonts w:ascii="Times New Roman" w:hAnsi="Times New Roman" w:cs="Times New Roman"/>
          <w:lang w:val="fr-FR"/>
        </w:rPr>
        <w:t>action international par espèce révisé de l</w:t>
      </w:r>
      <w:r>
        <w:rPr>
          <w:rFonts w:ascii="Times New Roman" w:hAnsi="Times New Roman" w:cs="Times New Roman"/>
          <w:lang w:val="fr-FR"/>
        </w:rPr>
        <w:t>’</w:t>
      </w:r>
      <w:r w:rsidRPr="0033247A">
        <w:rPr>
          <w:rFonts w:ascii="Times New Roman" w:hAnsi="Times New Roman" w:cs="Times New Roman"/>
          <w:lang w:val="fr-FR"/>
        </w:rPr>
        <w:t>AEWA pour la conservation de la Bernache à cou roux, les pays ont fait part de progrès tout à fait satisfaisants concernant la mise en œuvre</w:t>
      </w:r>
      <w:r>
        <w:rPr>
          <w:rFonts w:ascii="Times New Roman" w:hAnsi="Times New Roman" w:cs="Times New Roman"/>
          <w:lang w:val="fr-FR"/>
        </w:rPr>
        <w:t xml:space="preserve"> </w:t>
      </w:r>
      <w:r w:rsidRPr="0033247A">
        <w:rPr>
          <w:rFonts w:ascii="Times New Roman" w:hAnsi="Times New Roman" w:cs="Times New Roman"/>
          <w:lang w:val="fr-FR"/>
        </w:rPr>
        <w:t xml:space="preserve">des activités du </w:t>
      </w:r>
      <w:r>
        <w:rPr>
          <w:rFonts w:ascii="Times New Roman" w:hAnsi="Times New Roman" w:cs="Times New Roman"/>
          <w:lang w:val="fr-FR"/>
        </w:rPr>
        <w:t>p</w:t>
      </w:r>
      <w:r w:rsidRPr="0033247A">
        <w:rPr>
          <w:rFonts w:ascii="Times New Roman" w:hAnsi="Times New Roman" w:cs="Times New Roman"/>
          <w:lang w:val="fr-FR"/>
        </w:rPr>
        <w:t>lan d</w:t>
      </w:r>
      <w:r>
        <w:rPr>
          <w:rFonts w:ascii="Times New Roman" w:hAnsi="Times New Roman" w:cs="Times New Roman"/>
          <w:lang w:val="fr-FR"/>
        </w:rPr>
        <w:t>’</w:t>
      </w:r>
      <w:r w:rsidRPr="0033247A">
        <w:rPr>
          <w:rFonts w:ascii="Times New Roman" w:hAnsi="Times New Roman" w:cs="Times New Roman"/>
          <w:lang w:val="fr-FR"/>
        </w:rPr>
        <w:t>action.</w:t>
      </w:r>
      <w:r w:rsidRPr="004B1407">
        <w:rPr>
          <w:rFonts w:ascii="Times New Roman" w:hAnsi="Times New Roman" w:cs="Times New Roman"/>
          <w:lang w:val="fr-FR"/>
        </w:rPr>
        <w:t xml:space="preserve"> </w:t>
      </w:r>
      <w:r w:rsidRPr="0033247A">
        <w:rPr>
          <w:rFonts w:ascii="Times New Roman" w:hAnsi="Times New Roman" w:cs="Times New Roman"/>
          <w:lang w:val="fr-FR"/>
        </w:rPr>
        <w:t>Ceci est certainement largement dû au réseau existant de longue date et bien en place d</w:t>
      </w:r>
      <w:r>
        <w:rPr>
          <w:rFonts w:ascii="Times New Roman" w:hAnsi="Times New Roman" w:cs="Times New Roman"/>
          <w:lang w:val="fr-FR"/>
        </w:rPr>
        <w:t>’</w:t>
      </w:r>
      <w:r w:rsidRPr="0033247A">
        <w:rPr>
          <w:rFonts w:ascii="Times New Roman" w:hAnsi="Times New Roman" w:cs="Times New Roman"/>
          <w:lang w:val="fr-FR"/>
        </w:rPr>
        <w:t>experts de la Bernache à cou roux dans les différents pays, ainsi qu</w:t>
      </w:r>
      <w:r>
        <w:rPr>
          <w:rFonts w:ascii="Times New Roman" w:hAnsi="Times New Roman" w:cs="Times New Roman"/>
          <w:lang w:val="fr-FR"/>
        </w:rPr>
        <w:t>’à</w:t>
      </w:r>
      <w:r w:rsidRPr="0033247A">
        <w:rPr>
          <w:rFonts w:ascii="Times New Roman" w:hAnsi="Times New Roman" w:cs="Times New Roman"/>
          <w:lang w:val="fr-FR"/>
        </w:rPr>
        <w:t xml:space="preserve"> la disponibilité des fonds pour des activés au sein des États de l</w:t>
      </w:r>
      <w:r>
        <w:rPr>
          <w:rFonts w:ascii="Times New Roman" w:hAnsi="Times New Roman" w:cs="Times New Roman"/>
          <w:lang w:val="fr-FR"/>
        </w:rPr>
        <w:t>’</w:t>
      </w:r>
      <w:r w:rsidRPr="0033247A">
        <w:rPr>
          <w:rFonts w:ascii="Times New Roman" w:hAnsi="Times New Roman" w:cs="Times New Roman"/>
          <w:lang w:val="fr-FR"/>
        </w:rPr>
        <w:t>aire de répartition appartenant à l</w:t>
      </w:r>
      <w:r>
        <w:rPr>
          <w:rFonts w:ascii="Times New Roman" w:hAnsi="Times New Roman" w:cs="Times New Roman"/>
          <w:lang w:val="fr-FR"/>
        </w:rPr>
        <w:t>’</w:t>
      </w:r>
      <w:r w:rsidRPr="0033247A">
        <w:rPr>
          <w:rFonts w:ascii="Times New Roman" w:hAnsi="Times New Roman" w:cs="Times New Roman"/>
          <w:lang w:val="fr-FR"/>
        </w:rPr>
        <w:t>UE</w:t>
      </w:r>
      <w:r>
        <w:rPr>
          <w:rFonts w:ascii="Times New Roman" w:hAnsi="Times New Roman" w:cs="Times New Roman"/>
          <w:lang w:val="fr-FR"/>
        </w:rPr>
        <w:t>,</w:t>
      </w:r>
      <w:r w:rsidRPr="0033247A">
        <w:rPr>
          <w:rFonts w:ascii="Times New Roman" w:hAnsi="Times New Roman" w:cs="Times New Roman"/>
          <w:lang w:val="fr-FR"/>
        </w:rPr>
        <w:t xml:space="preserve"> par le biais du projet UE-LIFE+.</w:t>
      </w:r>
    </w:p>
    <w:p w14:paraId="014917F3"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723"/>
      </w:tblGrid>
      <w:tr w:rsidR="00886A3C" w:rsidRPr="00DE4CF4" w14:paraId="46A50E1B" w14:textId="77777777" w:rsidTr="00886A3C">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28680B" w14:textId="77777777" w:rsidR="00886A3C" w:rsidRPr="004B1407" w:rsidRDefault="00886A3C" w:rsidP="00886A3C">
            <w:pPr>
              <w:jc w:val="center"/>
              <w:rPr>
                <w:rFonts w:ascii="Times New Roman" w:hAnsi="Times New Roman" w:cs="Times New Roman"/>
                <w:lang w:val="fr-FR"/>
              </w:rPr>
            </w:pPr>
          </w:p>
          <w:p w14:paraId="652C52A0" w14:textId="77777777" w:rsidR="00886A3C" w:rsidRPr="004B1407" w:rsidRDefault="00886A3C" w:rsidP="00886A3C">
            <w:pPr>
              <w:jc w:val="center"/>
              <w:rPr>
                <w:rFonts w:ascii="Times New Roman" w:hAnsi="Times New Roman" w:cs="Times New Roman"/>
                <w:b/>
                <w:color w:val="FF0000"/>
                <w:lang w:val="fr-FR"/>
              </w:rPr>
            </w:pPr>
            <w:r w:rsidRPr="0033247A">
              <w:rPr>
                <w:rFonts w:ascii="Times New Roman" w:hAnsi="Times New Roman" w:cs="Times New Roman"/>
                <w:b/>
                <w:lang w:val="fr-FR"/>
              </w:rPr>
              <w:t>Taux d</w:t>
            </w:r>
            <w:r>
              <w:rPr>
                <w:rFonts w:ascii="Times New Roman" w:hAnsi="Times New Roman" w:cs="Times New Roman"/>
                <w:b/>
                <w:lang w:val="fr-FR"/>
              </w:rPr>
              <w:t>’</w:t>
            </w:r>
            <w:r w:rsidRPr="0033247A">
              <w:rPr>
                <w:rFonts w:ascii="Times New Roman" w:hAnsi="Times New Roman" w:cs="Times New Roman"/>
                <w:b/>
                <w:lang w:val="fr-FR"/>
              </w:rPr>
              <w:t>ensemble moyen de mise en œuvre pour 8 résultats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56 %</w:t>
            </w:r>
          </w:p>
          <w:p w14:paraId="706AA767" w14:textId="77777777" w:rsidR="00886A3C" w:rsidRPr="004B1407" w:rsidRDefault="00886A3C" w:rsidP="00886A3C">
            <w:pPr>
              <w:jc w:val="center"/>
              <w:rPr>
                <w:rFonts w:ascii="Times New Roman" w:hAnsi="Times New Roman" w:cs="Times New Roman"/>
                <w:sz w:val="20"/>
                <w:szCs w:val="20"/>
                <w:lang w:val="fr-FR"/>
              </w:rPr>
            </w:pPr>
            <w:r w:rsidRPr="0033247A">
              <w:rPr>
                <w:rFonts w:ascii="Times New Roman" w:hAnsi="Times New Roman" w:cs="Times New Roman"/>
                <w:b/>
                <w:lang w:val="fr-FR"/>
              </w:rPr>
              <w:t xml:space="preserve"> Taux moyen </w:t>
            </w:r>
            <w:r>
              <w:rPr>
                <w:rFonts w:ascii="Times New Roman" w:hAnsi="Times New Roman" w:cs="Times New Roman"/>
                <w:b/>
                <w:lang w:val="fr-FR"/>
              </w:rPr>
              <w:t xml:space="preserve">de </w:t>
            </w:r>
            <w:r w:rsidRPr="0033247A">
              <w:rPr>
                <w:rFonts w:ascii="Times New Roman" w:hAnsi="Times New Roman" w:cs="Times New Roman"/>
                <w:b/>
                <w:lang w:val="fr-FR"/>
              </w:rPr>
              <w:t>mise en œuvre des activités à priorité élevée (27)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50 %</w:t>
            </w:r>
          </w:p>
        </w:tc>
      </w:tr>
    </w:tbl>
    <w:p w14:paraId="451B0D08" w14:textId="77777777" w:rsidR="00886A3C" w:rsidRPr="004B1407" w:rsidRDefault="00886A3C" w:rsidP="00886A3C">
      <w:pPr>
        <w:spacing w:after="0" w:line="240" w:lineRule="auto"/>
        <w:jc w:val="both"/>
        <w:rPr>
          <w:rFonts w:ascii="Times New Roman" w:hAnsi="Times New Roman" w:cs="Times New Roman"/>
          <w:lang w:val="fr-FR"/>
        </w:rPr>
      </w:pPr>
    </w:p>
    <w:p w14:paraId="39CFC2F9" w14:textId="77777777" w:rsidR="00886A3C" w:rsidRPr="004B1407" w:rsidRDefault="00886A3C" w:rsidP="00886A3C">
      <w:pPr>
        <w:spacing w:after="0" w:line="240" w:lineRule="auto"/>
        <w:jc w:val="both"/>
        <w:rPr>
          <w:rFonts w:ascii="Times New Roman" w:hAnsi="Times New Roman" w:cs="Times New Roman"/>
          <w:lang w:val="fr-FR"/>
        </w:rPr>
      </w:pPr>
      <w:r w:rsidRPr="0033247A">
        <w:rPr>
          <w:rFonts w:ascii="Times New Roman" w:hAnsi="Times New Roman" w:cs="Times New Roman"/>
          <w:lang w:val="fr-FR"/>
        </w:rPr>
        <w:t xml:space="preserve">Davantage de ressources sont </w:t>
      </w:r>
      <w:r>
        <w:rPr>
          <w:rFonts w:ascii="Times New Roman" w:hAnsi="Times New Roman" w:cs="Times New Roman"/>
          <w:lang w:val="fr-FR"/>
        </w:rPr>
        <w:t xml:space="preserve">cependant </w:t>
      </w:r>
      <w:r w:rsidRPr="0033247A">
        <w:rPr>
          <w:rFonts w:ascii="Times New Roman" w:hAnsi="Times New Roman" w:cs="Times New Roman"/>
          <w:lang w:val="fr-FR"/>
        </w:rPr>
        <w:t>nécessaires de toute urgence pour réaliser de nombreuses activés à priorité élevée - en particulier dans les pays n</w:t>
      </w:r>
      <w:r>
        <w:rPr>
          <w:rFonts w:ascii="Times New Roman" w:hAnsi="Times New Roman" w:cs="Times New Roman"/>
          <w:lang w:val="fr-FR"/>
        </w:rPr>
        <w:t>’</w:t>
      </w:r>
      <w:r w:rsidRPr="0033247A">
        <w:rPr>
          <w:rFonts w:ascii="Times New Roman" w:hAnsi="Times New Roman" w:cs="Times New Roman"/>
          <w:lang w:val="fr-FR"/>
        </w:rPr>
        <w:t>appartenant pas à l</w:t>
      </w:r>
      <w:r>
        <w:rPr>
          <w:rFonts w:ascii="Times New Roman" w:hAnsi="Times New Roman" w:cs="Times New Roman"/>
          <w:lang w:val="fr-FR"/>
        </w:rPr>
        <w:t>’</w:t>
      </w:r>
      <w:r w:rsidRPr="0033247A">
        <w:rPr>
          <w:rFonts w:ascii="Times New Roman" w:hAnsi="Times New Roman" w:cs="Times New Roman"/>
          <w:lang w:val="fr-FR"/>
        </w:rPr>
        <w:t>UE comme le Kazakhstan, la Russie et l</w:t>
      </w:r>
      <w:r>
        <w:rPr>
          <w:rFonts w:ascii="Times New Roman" w:hAnsi="Times New Roman" w:cs="Times New Roman"/>
          <w:lang w:val="fr-FR"/>
        </w:rPr>
        <w:t>’</w:t>
      </w:r>
      <w:r w:rsidRPr="0033247A">
        <w:rPr>
          <w:rFonts w:ascii="Times New Roman" w:hAnsi="Times New Roman" w:cs="Times New Roman"/>
          <w:lang w:val="fr-FR"/>
        </w:rPr>
        <w:t>Ukraine.</w:t>
      </w:r>
      <w:r w:rsidRPr="004B1407">
        <w:rPr>
          <w:rFonts w:ascii="Times New Roman" w:hAnsi="Times New Roman" w:cs="Times New Roman"/>
          <w:lang w:val="fr-FR"/>
        </w:rPr>
        <w:t xml:space="preserve"> </w:t>
      </w:r>
    </w:p>
    <w:p w14:paraId="7277A6D7" w14:textId="77777777" w:rsidR="00886A3C" w:rsidRPr="004B1407" w:rsidRDefault="00886A3C" w:rsidP="00886A3C">
      <w:pPr>
        <w:spacing w:after="0" w:line="240" w:lineRule="auto"/>
        <w:jc w:val="both"/>
        <w:rPr>
          <w:rFonts w:ascii="Times New Roman" w:hAnsi="Times New Roman" w:cs="Times New Roman"/>
          <w:lang w:val="fr-FR"/>
        </w:rPr>
      </w:pPr>
    </w:p>
    <w:p w14:paraId="734884E2" w14:textId="77777777" w:rsidR="00886A3C" w:rsidRPr="004B1407" w:rsidRDefault="00886A3C" w:rsidP="00886A3C">
      <w:pPr>
        <w:spacing w:after="0" w:line="240" w:lineRule="auto"/>
        <w:jc w:val="both"/>
        <w:rPr>
          <w:rFonts w:ascii="Times New Roman" w:hAnsi="Times New Roman" w:cs="Times New Roman"/>
          <w:lang w:val="fr-FR"/>
        </w:rPr>
      </w:pPr>
      <w:r w:rsidRPr="0033247A">
        <w:rPr>
          <w:rFonts w:ascii="Times New Roman" w:hAnsi="Times New Roman" w:cs="Times New Roman"/>
          <w:lang w:val="fr-FR"/>
        </w:rPr>
        <w:t>Bien que des représentants gouvernementaux de la Bulgarie et de l</w:t>
      </w:r>
      <w:r>
        <w:rPr>
          <w:rFonts w:ascii="Times New Roman" w:hAnsi="Times New Roman" w:cs="Times New Roman"/>
          <w:lang w:val="fr-FR"/>
        </w:rPr>
        <w:t>’</w:t>
      </w:r>
      <w:r w:rsidRPr="0033247A">
        <w:rPr>
          <w:rFonts w:ascii="Times New Roman" w:hAnsi="Times New Roman" w:cs="Times New Roman"/>
          <w:lang w:val="fr-FR"/>
        </w:rPr>
        <w:t xml:space="preserve">Ukraine en particulier demeurent engagés dans le processus, une implication accrue des gouvernement (y compris </w:t>
      </w:r>
      <w:r>
        <w:rPr>
          <w:rFonts w:ascii="Times New Roman" w:hAnsi="Times New Roman" w:cs="Times New Roman"/>
          <w:lang w:val="fr-FR"/>
        </w:rPr>
        <w:t xml:space="preserve">celle </w:t>
      </w:r>
      <w:r w:rsidRPr="0033247A">
        <w:rPr>
          <w:rFonts w:ascii="Times New Roman" w:hAnsi="Times New Roman" w:cs="Times New Roman"/>
          <w:lang w:val="fr-FR"/>
        </w:rPr>
        <w:t>d</w:t>
      </w:r>
      <w:r>
        <w:rPr>
          <w:rFonts w:ascii="Times New Roman" w:hAnsi="Times New Roman" w:cs="Times New Roman"/>
          <w:lang w:val="fr-FR"/>
        </w:rPr>
        <w:t>’</w:t>
      </w:r>
      <w:r w:rsidRPr="0033247A">
        <w:rPr>
          <w:rFonts w:ascii="Times New Roman" w:hAnsi="Times New Roman" w:cs="Times New Roman"/>
          <w:lang w:val="fr-FR"/>
        </w:rPr>
        <w:t>autres secteurs) est de toute urgence nécessaire afin de prendre en main les problèmes liés à la non application de la législation, à la gestion des sols et à la planification des projets de développement ainsi qu</w:t>
      </w:r>
      <w:r>
        <w:rPr>
          <w:rFonts w:ascii="Times New Roman" w:hAnsi="Times New Roman" w:cs="Times New Roman"/>
          <w:lang w:val="fr-FR"/>
        </w:rPr>
        <w:t>’</w:t>
      </w:r>
      <w:r w:rsidRPr="0033247A">
        <w:rPr>
          <w:rFonts w:ascii="Times New Roman" w:hAnsi="Times New Roman" w:cs="Times New Roman"/>
          <w:lang w:val="fr-FR"/>
        </w:rPr>
        <w:t>aux faibles priorités d</w:t>
      </w:r>
      <w:r>
        <w:rPr>
          <w:rFonts w:ascii="Times New Roman" w:hAnsi="Times New Roman" w:cs="Times New Roman"/>
          <w:lang w:val="fr-FR"/>
        </w:rPr>
        <w:t>’</w:t>
      </w:r>
      <w:r w:rsidRPr="0033247A">
        <w:rPr>
          <w:rFonts w:ascii="Times New Roman" w:hAnsi="Times New Roman" w:cs="Times New Roman"/>
          <w:lang w:val="fr-FR"/>
        </w:rPr>
        <w:t>ensemble de conservation de l</w:t>
      </w:r>
      <w:r>
        <w:rPr>
          <w:rFonts w:ascii="Times New Roman" w:hAnsi="Times New Roman" w:cs="Times New Roman"/>
          <w:lang w:val="fr-FR"/>
        </w:rPr>
        <w:t>’</w:t>
      </w:r>
      <w:r w:rsidRPr="0033247A">
        <w:rPr>
          <w:rFonts w:ascii="Times New Roman" w:hAnsi="Times New Roman" w:cs="Times New Roman"/>
          <w:lang w:val="fr-FR"/>
        </w:rPr>
        <w:t>espèce.</w:t>
      </w:r>
      <w:r w:rsidRPr="004B1407">
        <w:rPr>
          <w:rFonts w:ascii="Times New Roman" w:hAnsi="Times New Roman" w:cs="Times New Roman"/>
          <w:lang w:val="fr-FR"/>
        </w:rPr>
        <w:t xml:space="preserve"> </w:t>
      </w:r>
      <w:r w:rsidRPr="00AE12AE">
        <w:rPr>
          <w:rFonts w:ascii="Times New Roman" w:hAnsi="Times New Roman" w:cs="Times New Roman"/>
          <w:lang w:val="fr-FR"/>
        </w:rPr>
        <w:t>Ceci concerne tout particulièrement le Kazakhstan et la Russie, pour lesquels il convient d</w:t>
      </w:r>
      <w:r>
        <w:rPr>
          <w:rFonts w:ascii="Times New Roman" w:hAnsi="Times New Roman" w:cs="Times New Roman"/>
          <w:lang w:val="fr-FR"/>
        </w:rPr>
        <w:t>’</w:t>
      </w:r>
      <w:r w:rsidRPr="00AE12AE">
        <w:rPr>
          <w:rFonts w:ascii="Times New Roman" w:hAnsi="Times New Roman" w:cs="Times New Roman"/>
          <w:lang w:val="fr-FR"/>
        </w:rPr>
        <w:t xml:space="preserve">intensifier les efforts </w:t>
      </w:r>
      <w:r>
        <w:rPr>
          <w:rFonts w:ascii="Times New Roman" w:hAnsi="Times New Roman" w:cs="Times New Roman"/>
          <w:lang w:val="fr-FR"/>
        </w:rPr>
        <w:t>afin d’</w:t>
      </w:r>
      <w:r w:rsidRPr="00AE12AE">
        <w:rPr>
          <w:rFonts w:ascii="Times New Roman" w:hAnsi="Times New Roman" w:cs="Times New Roman"/>
          <w:lang w:val="fr-FR"/>
        </w:rPr>
        <w:t>encourager leur adhésion à l</w:t>
      </w:r>
      <w:r>
        <w:rPr>
          <w:rFonts w:ascii="Times New Roman" w:hAnsi="Times New Roman" w:cs="Times New Roman"/>
          <w:lang w:val="fr-FR"/>
        </w:rPr>
        <w:t>’</w:t>
      </w:r>
      <w:r w:rsidRPr="00AE12AE">
        <w:rPr>
          <w:rFonts w:ascii="Times New Roman" w:hAnsi="Times New Roman" w:cs="Times New Roman"/>
          <w:lang w:val="fr-FR"/>
        </w:rPr>
        <w:t>AEWA.</w:t>
      </w:r>
      <w:r w:rsidRPr="004B1407">
        <w:rPr>
          <w:rFonts w:ascii="Times New Roman" w:hAnsi="Times New Roman" w:cs="Times New Roman"/>
          <w:lang w:val="fr-FR"/>
        </w:rPr>
        <w:t xml:space="preserve"> </w:t>
      </w:r>
    </w:p>
    <w:p w14:paraId="401EB8D4" w14:textId="77777777" w:rsidR="00886A3C" w:rsidRPr="004B1407" w:rsidRDefault="00886A3C" w:rsidP="00886A3C">
      <w:pPr>
        <w:spacing w:after="0" w:line="240" w:lineRule="auto"/>
        <w:jc w:val="both"/>
        <w:rPr>
          <w:rFonts w:ascii="Times New Roman" w:hAnsi="Times New Roman" w:cs="Times New Roman"/>
          <w:lang w:val="fr-FR"/>
        </w:rPr>
      </w:pPr>
    </w:p>
    <w:p w14:paraId="75A5780D" w14:textId="77777777" w:rsidR="00886A3C" w:rsidRPr="004B1407" w:rsidRDefault="00886A3C" w:rsidP="00886A3C">
      <w:pPr>
        <w:spacing w:after="0" w:line="240" w:lineRule="auto"/>
        <w:jc w:val="both"/>
        <w:rPr>
          <w:rFonts w:ascii="Times New Roman" w:hAnsi="Times New Roman" w:cs="Times New Roman"/>
          <w:lang w:val="fr-FR"/>
        </w:rPr>
      </w:pPr>
      <w:r w:rsidRPr="0078146C">
        <w:rPr>
          <w:rFonts w:ascii="Times New Roman" w:hAnsi="Times New Roman" w:cs="Times New Roman"/>
          <w:lang w:val="fr-FR"/>
        </w:rPr>
        <w:t xml:space="preserve">Compte tenu des </w:t>
      </w:r>
      <w:r>
        <w:rPr>
          <w:rFonts w:ascii="Times New Roman" w:hAnsi="Times New Roman" w:cs="Times New Roman"/>
          <w:lang w:val="fr-FR"/>
        </w:rPr>
        <w:t>divergences</w:t>
      </w:r>
      <w:r w:rsidRPr="0078146C">
        <w:rPr>
          <w:rFonts w:ascii="Times New Roman" w:hAnsi="Times New Roman" w:cs="Times New Roman"/>
          <w:lang w:val="fr-FR"/>
        </w:rPr>
        <w:t xml:space="preserve"> dans les tendances et les effectifs de population de l</w:t>
      </w:r>
      <w:r>
        <w:rPr>
          <w:rFonts w:ascii="Times New Roman" w:hAnsi="Times New Roman" w:cs="Times New Roman"/>
          <w:lang w:val="fr-FR"/>
        </w:rPr>
        <w:t>’</w:t>
      </w:r>
      <w:r w:rsidRPr="0078146C">
        <w:rPr>
          <w:rFonts w:ascii="Times New Roman" w:hAnsi="Times New Roman" w:cs="Times New Roman"/>
          <w:lang w:val="fr-FR"/>
        </w:rPr>
        <w:t>espèce communiqué</w:t>
      </w:r>
      <w:r>
        <w:rPr>
          <w:rFonts w:ascii="Times New Roman" w:hAnsi="Times New Roman" w:cs="Times New Roman"/>
          <w:lang w:val="fr-FR"/>
        </w:rPr>
        <w:t>e</w:t>
      </w:r>
      <w:r w:rsidRPr="0078146C">
        <w:rPr>
          <w:rFonts w:ascii="Times New Roman" w:hAnsi="Times New Roman" w:cs="Times New Roman"/>
          <w:lang w:val="fr-FR"/>
        </w:rPr>
        <w:t>s par les différents États de l</w:t>
      </w:r>
      <w:r>
        <w:rPr>
          <w:rFonts w:ascii="Times New Roman" w:hAnsi="Times New Roman" w:cs="Times New Roman"/>
          <w:lang w:val="fr-FR"/>
        </w:rPr>
        <w:t>’</w:t>
      </w:r>
      <w:r w:rsidRPr="0078146C">
        <w:rPr>
          <w:rFonts w:ascii="Times New Roman" w:hAnsi="Times New Roman" w:cs="Times New Roman"/>
          <w:lang w:val="fr-FR"/>
        </w:rPr>
        <w:t>aire de répartition (en déclin versus en augmentation)</w:t>
      </w:r>
      <w:r>
        <w:rPr>
          <w:rFonts w:ascii="Times New Roman" w:hAnsi="Times New Roman" w:cs="Times New Roman"/>
          <w:lang w:val="fr-FR"/>
        </w:rPr>
        <w:t xml:space="preserve"> </w:t>
      </w:r>
      <w:r w:rsidRPr="0078146C">
        <w:rPr>
          <w:rFonts w:ascii="Times New Roman" w:hAnsi="Times New Roman" w:cs="Times New Roman"/>
          <w:lang w:val="fr-FR"/>
        </w:rPr>
        <w:t>- qui pourraient avoir potentiellement une incidence sur l</w:t>
      </w:r>
      <w:r>
        <w:rPr>
          <w:rFonts w:ascii="Times New Roman" w:hAnsi="Times New Roman" w:cs="Times New Roman"/>
          <w:lang w:val="fr-FR"/>
        </w:rPr>
        <w:t>’</w:t>
      </w:r>
      <w:r w:rsidRPr="0078146C">
        <w:rPr>
          <w:rFonts w:ascii="Times New Roman" w:hAnsi="Times New Roman" w:cs="Times New Roman"/>
          <w:lang w:val="fr-FR"/>
        </w:rPr>
        <w:t>état de conservation de l</w:t>
      </w:r>
      <w:r>
        <w:rPr>
          <w:rFonts w:ascii="Times New Roman" w:hAnsi="Times New Roman" w:cs="Times New Roman"/>
          <w:lang w:val="fr-FR"/>
        </w:rPr>
        <w:t>’</w:t>
      </w:r>
      <w:r w:rsidRPr="0078146C">
        <w:rPr>
          <w:rFonts w:ascii="Times New Roman" w:hAnsi="Times New Roman" w:cs="Times New Roman"/>
          <w:lang w:val="fr-FR"/>
        </w:rPr>
        <w:t>espèce - il serait également urgent de mettre en œuvre des activités visant à mieux comprendre la taille et la tendance de la population mondiale.</w:t>
      </w:r>
    </w:p>
    <w:p w14:paraId="67FB7F29" w14:textId="77777777" w:rsidR="00886A3C" w:rsidRPr="004B1407" w:rsidRDefault="00886A3C" w:rsidP="00886A3C">
      <w:pPr>
        <w:spacing w:after="0" w:line="240" w:lineRule="auto"/>
        <w:jc w:val="both"/>
        <w:rPr>
          <w:rFonts w:ascii="Times New Roman" w:hAnsi="Times New Roman" w:cs="Times New Roman"/>
          <w:lang w:val="fr-FR"/>
        </w:rPr>
      </w:pPr>
    </w:p>
    <w:p w14:paraId="364A2C39" w14:textId="77777777" w:rsidR="00886A3C" w:rsidRPr="004B1407" w:rsidRDefault="00886A3C" w:rsidP="00886A3C">
      <w:pPr>
        <w:spacing w:after="0" w:line="240" w:lineRule="auto"/>
        <w:jc w:val="both"/>
        <w:rPr>
          <w:rFonts w:ascii="Times New Roman" w:hAnsi="Times New Roman" w:cs="Times New Roman"/>
          <w:lang w:val="fr-FR"/>
        </w:rPr>
      </w:pPr>
      <w:r w:rsidRPr="0078146C">
        <w:rPr>
          <w:rFonts w:ascii="Times New Roman" w:hAnsi="Times New Roman" w:cs="Times New Roman"/>
          <w:lang w:val="fr-FR"/>
        </w:rPr>
        <w:t>Le groupe de travail international de l</w:t>
      </w:r>
      <w:r>
        <w:rPr>
          <w:rFonts w:ascii="Times New Roman" w:hAnsi="Times New Roman" w:cs="Times New Roman"/>
          <w:lang w:val="fr-FR"/>
        </w:rPr>
        <w:t>’</w:t>
      </w:r>
      <w:r w:rsidRPr="0078146C">
        <w:rPr>
          <w:rFonts w:ascii="Times New Roman" w:hAnsi="Times New Roman" w:cs="Times New Roman"/>
          <w:lang w:val="fr-FR"/>
        </w:rPr>
        <w:t>AEWA sur la Bernache à cou roux a besoin d</w:t>
      </w:r>
      <w:r>
        <w:rPr>
          <w:rFonts w:ascii="Times New Roman" w:hAnsi="Times New Roman" w:cs="Times New Roman"/>
          <w:lang w:val="fr-FR"/>
        </w:rPr>
        <w:t>’</w:t>
      </w:r>
      <w:r w:rsidRPr="0078146C">
        <w:rPr>
          <w:rFonts w:ascii="Times New Roman" w:hAnsi="Times New Roman" w:cs="Times New Roman"/>
          <w:lang w:val="fr-FR"/>
        </w:rPr>
        <w:t>intensifier ses efforts et de jouer un rôle plus important dans la coordination et la conduite de ces questions ainsi que dans la coordination de l</w:t>
      </w:r>
      <w:r>
        <w:rPr>
          <w:rFonts w:ascii="Times New Roman" w:hAnsi="Times New Roman" w:cs="Times New Roman"/>
          <w:lang w:val="fr-FR"/>
        </w:rPr>
        <w:t>’</w:t>
      </w:r>
      <w:r w:rsidRPr="0078146C">
        <w:rPr>
          <w:rFonts w:ascii="Times New Roman" w:hAnsi="Times New Roman" w:cs="Times New Roman"/>
          <w:lang w:val="fr-FR"/>
        </w:rPr>
        <w:t>ensemble de la mise en œuvre.</w:t>
      </w:r>
    </w:p>
    <w:p w14:paraId="568F68DD" w14:textId="77777777" w:rsidR="00886A3C" w:rsidRPr="004B1407" w:rsidRDefault="00886A3C" w:rsidP="00886A3C">
      <w:pPr>
        <w:rPr>
          <w:lang w:val="fr-FR"/>
        </w:rPr>
      </w:pPr>
    </w:p>
    <w:p w14:paraId="56B6BE2D" w14:textId="77777777" w:rsidR="00886A3C" w:rsidRPr="004B1407" w:rsidRDefault="00886A3C" w:rsidP="00886A3C">
      <w:pPr>
        <w:rPr>
          <w:rFonts w:ascii="Times New Roman" w:hAnsi="Times New Roman" w:cs="Times New Roman"/>
          <w:lang w:val="fr-FR"/>
        </w:rPr>
      </w:pPr>
      <w:r w:rsidRPr="004B1407">
        <w:rPr>
          <w:rFonts w:ascii="Times New Roman" w:hAnsi="Times New Roman" w:cs="Times New Roman"/>
          <w:lang w:val="fr-FR"/>
        </w:rPr>
        <w:br w:type="page"/>
      </w:r>
    </w:p>
    <w:p w14:paraId="3BAAA0A9"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b/>
          <w:lang w:val="fr-FR"/>
        </w:rPr>
      </w:pPr>
      <w:r w:rsidRPr="0078146C">
        <w:rPr>
          <w:rFonts w:ascii="Times New Roman" w:hAnsi="Times New Roman" w:cs="Times New Roman"/>
          <w:b/>
          <w:lang w:val="fr-FR"/>
        </w:rPr>
        <w:lastRenderedPageBreak/>
        <w:t>H. Mise</w:t>
      </w:r>
      <w:r>
        <w:rPr>
          <w:rFonts w:ascii="Times New Roman" w:hAnsi="Times New Roman" w:cs="Times New Roman"/>
          <w:b/>
          <w:lang w:val="fr-FR"/>
        </w:rPr>
        <w:t xml:space="preserve"> </w:t>
      </w:r>
      <w:r w:rsidRPr="0078146C">
        <w:rPr>
          <w:rFonts w:ascii="Times New Roman" w:hAnsi="Times New Roman" w:cs="Times New Roman"/>
          <w:b/>
          <w:lang w:val="fr-FR"/>
        </w:rPr>
        <w:t>en œuvre de l</w:t>
      </w:r>
      <w:r>
        <w:rPr>
          <w:rFonts w:ascii="Times New Roman" w:hAnsi="Times New Roman" w:cs="Times New Roman"/>
          <w:b/>
          <w:lang w:val="fr-FR"/>
        </w:rPr>
        <w:t>’</w:t>
      </w:r>
      <w:r w:rsidRPr="0078146C">
        <w:rPr>
          <w:rFonts w:ascii="Times New Roman" w:hAnsi="Times New Roman" w:cs="Times New Roman"/>
          <w:b/>
          <w:lang w:val="fr-FR"/>
        </w:rPr>
        <w:t>ISSAP de l</w:t>
      </w:r>
      <w:r>
        <w:rPr>
          <w:rFonts w:ascii="Times New Roman" w:hAnsi="Times New Roman" w:cs="Times New Roman"/>
          <w:b/>
          <w:lang w:val="fr-FR"/>
        </w:rPr>
        <w:t>’</w:t>
      </w:r>
      <w:r w:rsidRPr="0078146C">
        <w:rPr>
          <w:rFonts w:ascii="Times New Roman" w:hAnsi="Times New Roman" w:cs="Times New Roman"/>
          <w:b/>
          <w:lang w:val="fr-FR"/>
        </w:rPr>
        <w:t>AEWA pour le Vanneau sociable</w:t>
      </w:r>
    </w:p>
    <w:p w14:paraId="1BE244D8" w14:textId="77777777" w:rsidR="00886A3C" w:rsidRPr="004B1407" w:rsidRDefault="00886A3C" w:rsidP="00886A3C">
      <w:pPr>
        <w:shd w:val="clear" w:color="auto" w:fill="FFFFFF" w:themeFill="background1"/>
        <w:spacing w:after="0" w:line="240" w:lineRule="auto"/>
        <w:rPr>
          <w:rFonts w:ascii="Times New Roman" w:hAnsi="Times New Roman" w:cs="Times New Roman"/>
          <w:b/>
          <w:lang w:val="fr-FR"/>
        </w:rPr>
      </w:pPr>
    </w:p>
    <w:p w14:paraId="5277D6F4"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1. </w:t>
      </w:r>
      <w:r w:rsidRPr="0078146C">
        <w:rPr>
          <w:rFonts w:ascii="Times New Roman" w:hAnsi="Times New Roman" w:cs="Times New Roman"/>
          <w:i/>
          <w:lang w:val="fr-FR"/>
        </w:rPr>
        <w:t>Introduction</w:t>
      </w:r>
    </w:p>
    <w:p w14:paraId="5A7E293A"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35008710"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943DCE">
        <w:rPr>
          <w:rFonts w:ascii="Times New Roman" w:hAnsi="Times New Roman" w:cs="Times New Roman"/>
          <w:lang w:val="fr-FR"/>
        </w:rPr>
        <w:t xml:space="preserve">Le Vanneau sociable </w:t>
      </w:r>
      <w:r w:rsidRPr="00943DCE">
        <w:rPr>
          <w:rFonts w:ascii="Times New Roman" w:hAnsi="Times New Roman" w:cs="Times New Roman"/>
          <w:i/>
          <w:lang w:val="fr-FR"/>
        </w:rPr>
        <w:t>(Vanellus gregarius)</w:t>
      </w:r>
      <w:r w:rsidRPr="00943DCE">
        <w:rPr>
          <w:rFonts w:ascii="Times New Roman" w:hAnsi="Times New Roman" w:cs="Times New Roman"/>
          <w:lang w:val="fr-FR"/>
        </w:rPr>
        <w:t xml:space="preserve"> reconnu comme étant « En danger critique d</w:t>
      </w:r>
      <w:r>
        <w:rPr>
          <w:rFonts w:ascii="Times New Roman" w:hAnsi="Times New Roman" w:cs="Times New Roman"/>
          <w:lang w:val="fr-FR"/>
        </w:rPr>
        <w:t>’</w:t>
      </w:r>
      <w:r w:rsidRPr="00943DCE">
        <w:rPr>
          <w:rFonts w:ascii="Times New Roman" w:hAnsi="Times New Roman" w:cs="Times New Roman"/>
          <w:lang w:val="fr-FR"/>
        </w:rPr>
        <w:t>extinction » par l</w:t>
      </w:r>
      <w:r>
        <w:rPr>
          <w:rFonts w:ascii="Times New Roman" w:hAnsi="Times New Roman" w:cs="Times New Roman"/>
          <w:lang w:val="fr-FR"/>
        </w:rPr>
        <w:t>’</w:t>
      </w:r>
      <w:r w:rsidRPr="00943DCE">
        <w:rPr>
          <w:rFonts w:ascii="Times New Roman" w:hAnsi="Times New Roman" w:cs="Times New Roman"/>
          <w:lang w:val="fr-FR"/>
        </w:rPr>
        <w:t>UICN, sa population de l</w:t>
      </w:r>
      <w:r>
        <w:rPr>
          <w:rFonts w:ascii="Times New Roman" w:hAnsi="Times New Roman" w:cs="Times New Roman"/>
          <w:lang w:val="fr-FR"/>
        </w:rPr>
        <w:t>’</w:t>
      </w:r>
      <w:r w:rsidRPr="00943DCE">
        <w:rPr>
          <w:rFonts w:ascii="Times New Roman" w:hAnsi="Times New Roman" w:cs="Times New Roman"/>
          <w:lang w:val="fr-FR"/>
        </w:rPr>
        <w:t>Europe du sud-est et de l</w:t>
      </w:r>
      <w:r>
        <w:rPr>
          <w:rFonts w:ascii="Times New Roman" w:hAnsi="Times New Roman" w:cs="Times New Roman"/>
          <w:lang w:val="fr-FR"/>
        </w:rPr>
        <w:t>’</w:t>
      </w:r>
      <w:r w:rsidRPr="00943DCE">
        <w:rPr>
          <w:rFonts w:ascii="Times New Roman" w:hAnsi="Times New Roman" w:cs="Times New Roman"/>
          <w:lang w:val="fr-FR"/>
        </w:rPr>
        <w:t>Asie de l</w:t>
      </w:r>
      <w:r>
        <w:rPr>
          <w:rFonts w:ascii="Times New Roman" w:hAnsi="Times New Roman" w:cs="Times New Roman"/>
          <w:lang w:val="fr-FR"/>
        </w:rPr>
        <w:t>’</w:t>
      </w:r>
      <w:r w:rsidRPr="00943DCE">
        <w:rPr>
          <w:rFonts w:ascii="Times New Roman" w:hAnsi="Times New Roman" w:cs="Times New Roman"/>
          <w:lang w:val="fr-FR"/>
        </w:rPr>
        <w:t xml:space="preserve">ouest/Afrique du nord-est </w:t>
      </w:r>
      <w:r>
        <w:rPr>
          <w:rFonts w:ascii="Times New Roman" w:hAnsi="Times New Roman" w:cs="Times New Roman"/>
          <w:lang w:val="fr-FR"/>
        </w:rPr>
        <w:t xml:space="preserve">étant </w:t>
      </w:r>
      <w:r w:rsidRPr="00943DCE">
        <w:rPr>
          <w:rFonts w:ascii="Times New Roman" w:hAnsi="Times New Roman" w:cs="Times New Roman"/>
          <w:lang w:val="fr-FR"/>
        </w:rPr>
        <w:t xml:space="preserve">classée 1a 1b 2, et </w:t>
      </w:r>
      <w:r>
        <w:rPr>
          <w:rFonts w:ascii="Times New Roman" w:hAnsi="Times New Roman" w:cs="Times New Roman"/>
          <w:lang w:val="fr-FR"/>
        </w:rPr>
        <w:t>s</w:t>
      </w:r>
      <w:r w:rsidRPr="00943DCE">
        <w:rPr>
          <w:rFonts w:ascii="Times New Roman" w:hAnsi="Times New Roman" w:cs="Times New Roman"/>
          <w:lang w:val="fr-FR"/>
        </w:rPr>
        <w:t>a population de l</w:t>
      </w:r>
      <w:r>
        <w:rPr>
          <w:rFonts w:ascii="Times New Roman" w:hAnsi="Times New Roman" w:cs="Times New Roman"/>
          <w:lang w:val="fr-FR"/>
        </w:rPr>
        <w:t>’</w:t>
      </w:r>
      <w:r w:rsidRPr="00943DCE">
        <w:rPr>
          <w:rFonts w:ascii="Times New Roman" w:hAnsi="Times New Roman" w:cs="Times New Roman"/>
          <w:lang w:val="fr-FR"/>
        </w:rPr>
        <w:t>Asie centrale et de l</w:t>
      </w:r>
      <w:r>
        <w:rPr>
          <w:rFonts w:ascii="Times New Roman" w:hAnsi="Times New Roman" w:cs="Times New Roman"/>
          <w:lang w:val="fr-FR"/>
        </w:rPr>
        <w:t>’</w:t>
      </w:r>
      <w:r w:rsidRPr="00943DCE">
        <w:rPr>
          <w:rFonts w:ascii="Times New Roman" w:hAnsi="Times New Roman" w:cs="Times New Roman"/>
          <w:lang w:val="fr-FR"/>
        </w:rPr>
        <w:t xml:space="preserve">Inde du nord-ouest </w:t>
      </w:r>
      <w:r>
        <w:rPr>
          <w:rFonts w:ascii="Times New Roman" w:hAnsi="Times New Roman" w:cs="Times New Roman"/>
          <w:lang w:val="fr-FR"/>
        </w:rPr>
        <w:t xml:space="preserve">étant </w:t>
      </w:r>
      <w:r w:rsidRPr="00943DCE">
        <w:rPr>
          <w:rFonts w:ascii="Times New Roman" w:hAnsi="Times New Roman" w:cs="Times New Roman"/>
          <w:lang w:val="fr-FR"/>
        </w:rPr>
        <w:t xml:space="preserve">classée 1a 1b 1c dans la colonne 1 du Tableau 1 du </w:t>
      </w:r>
      <w:r>
        <w:rPr>
          <w:rFonts w:ascii="Times New Roman" w:hAnsi="Times New Roman" w:cs="Times New Roman"/>
          <w:lang w:val="fr-FR"/>
        </w:rPr>
        <w:t>plan</w:t>
      </w:r>
      <w:r w:rsidRPr="00943DCE">
        <w:rPr>
          <w:rFonts w:ascii="Times New Roman" w:hAnsi="Times New Roman" w:cs="Times New Roman"/>
          <w:lang w:val="fr-FR"/>
        </w:rPr>
        <w:t xml:space="preserve"> d</w:t>
      </w:r>
      <w:r>
        <w:rPr>
          <w:rFonts w:ascii="Times New Roman" w:hAnsi="Times New Roman" w:cs="Times New Roman"/>
          <w:lang w:val="fr-FR"/>
        </w:rPr>
        <w:t>’</w:t>
      </w:r>
      <w:r w:rsidRPr="00943DCE">
        <w:rPr>
          <w:rFonts w:ascii="Times New Roman" w:hAnsi="Times New Roman" w:cs="Times New Roman"/>
          <w:lang w:val="fr-FR"/>
        </w:rPr>
        <w:t>action de l</w:t>
      </w:r>
      <w:r>
        <w:rPr>
          <w:rFonts w:ascii="Times New Roman" w:hAnsi="Times New Roman" w:cs="Times New Roman"/>
          <w:lang w:val="fr-FR"/>
        </w:rPr>
        <w:t>’</w:t>
      </w:r>
      <w:r w:rsidRPr="00943DCE">
        <w:rPr>
          <w:rFonts w:ascii="Times New Roman" w:hAnsi="Times New Roman" w:cs="Times New Roman"/>
          <w:lang w:val="fr-FR"/>
        </w:rPr>
        <w:t>AEWA</w:t>
      </w:r>
      <w:r>
        <w:rPr>
          <w:rFonts w:ascii="Times New Roman" w:hAnsi="Times New Roman" w:cs="Times New Roman"/>
          <w:lang w:val="fr-FR"/>
        </w:rPr>
        <w:t>,</w:t>
      </w:r>
      <w:r w:rsidRPr="00943DCE">
        <w:rPr>
          <w:rFonts w:ascii="Times New Roman" w:hAnsi="Times New Roman" w:cs="Times New Roman"/>
          <w:lang w:val="fr-FR"/>
        </w:rPr>
        <w:t xml:space="preserve"> et figurant à l</w:t>
      </w:r>
      <w:r>
        <w:rPr>
          <w:rFonts w:ascii="Times New Roman" w:hAnsi="Times New Roman" w:cs="Times New Roman"/>
          <w:lang w:val="fr-FR"/>
        </w:rPr>
        <w:t>’</w:t>
      </w:r>
      <w:r w:rsidRPr="00943DCE">
        <w:rPr>
          <w:rFonts w:ascii="Times New Roman" w:hAnsi="Times New Roman" w:cs="Times New Roman"/>
          <w:lang w:val="fr-FR"/>
        </w:rPr>
        <w:t>Annexe 1 de la</w:t>
      </w:r>
      <w:r>
        <w:rPr>
          <w:rFonts w:ascii="Times New Roman" w:hAnsi="Times New Roman" w:cs="Times New Roman"/>
          <w:lang w:val="fr-FR"/>
        </w:rPr>
        <w:t xml:space="preserve"> </w:t>
      </w:r>
      <w:r w:rsidRPr="00943DCE">
        <w:rPr>
          <w:rFonts w:ascii="Times New Roman" w:hAnsi="Times New Roman" w:cs="Times New Roman"/>
          <w:lang w:val="fr-FR"/>
        </w:rPr>
        <w:t>Convention sur les espèces migratrices.</w:t>
      </w:r>
      <w:r w:rsidRPr="004B1407">
        <w:rPr>
          <w:rFonts w:ascii="Times New Roman" w:hAnsi="Times New Roman" w:cs="Times New Roman"/>
          <w:lang w:val="fr-FR"/>
        </w:rPr>
        <w:t xml:space="preserve"> </w:t>
      </w:r>
      <w:r w:rsidRPr="00943DCE">
        <w:rPr>
          <w:rFonts w:ascii="Times New Roman" w:hAnsi="Times New Roman" w:cs="Times New Roman"/>
          <w:lang w:val="fr-FR"/>
        </w:rPr>
        <w:t xml:space="preserve">La </w:t>
      </w:r>
      <w:r>
        <w:rPr>
          <w:rFonts w:ascii="Times New Roman" w:hAnsi="Times New Roman" w:cs="Times New Roman"/>
          <w:lang w:val="fr-FR"/>
        </w:rPr>
        <w:t>r</w:t>
      </w:r>
      <w:r w:rsidRPr="00943DCE">
        <w:rPr>
          <w:rFonts w:ascii="Times New Roman" w:hAnsi="Times New Roman" w:cs="Times New Roman"/>
          <w:lang w:val="fr-FR"/>
        </w:rPr>
        <w:t xml:space="preserve">évision du </w:t>
      </w:r>
      <w:r>
        <w:rPr>
          <w:rFonts w:ascii="Times New Roman" w:hAnsi="Times New Roman" w:cs="Times New Roman"/>
          <w:lang w:val="fr-FR"/>
        </w:rPr>
        <w:t>plan</w:t>
      </w:r>
      <w:r w:rsidRPr="00943DCE">
        <w:rPr>
          <w:rFonts w:ascii="Times New Roman" w:hAnsi="Times New Roman" w:cs="Times New Roman"/>
          <w:lang w:val="fr-FR"/>
        </w:rPr>
        <w:t xml:space="preserve"> </w:t>
      </w:r>
      <w:r>
        <w:rPr>
          <w:rFonts w:ascii="Times New Roman" w:hAnsi="Times New Roman" w:cs="Times New Roman"/>
          <w:lang w:val="fr-FR"/>
        </w:rPr>
        <w:t>d’action international</w:t>
      </w:r>
      <w:r w:rsidRPr="00943DCE">
        <w:rPr>
          <w:rFonts w:ascii="Times New Roman" w:hAnsi="Times New Roman" w:cs="Times New Roman"/>
          <w:lang w:val="fr-FR"/>
        </w:rPr>
        <w:t xml:space="preserve"> de l</w:t>
      </w:r>
      <w:r>
        <w:rPr>
          <w:rFonts w:ascii="Times New Roman" w:hAnsi="Times New Roman" w:cs="Times New Roman"/>
          <w:lang w:val="fr-FR"/>
        </w:rPr>
        <w:t>’</w:t>
      </w:r>
      <w:r w:rsidRPr="00943DCE">
        <w:rPr>
          <w:rFonts w:ascii="Times New Roman" w:hAnsi="Times New Roman" w:cs="Times New Roman"/>
          <w:lang w:val="fr-FR"/>
        </w:rPr>
        <w:t>AEWA de 2002 pour la conservation de la Bernache à cou roux a été adopté</w:t>
      </w:r>
      <w:r>
        <w:rPr>
          <w:rFonts w:ascii="Times New Roman" w:hAnsi="Times New Roman" w:cs="Times New Roman"/>
          <w:lang w:val="fr-FR"/>
        </w:rPr>
        <w:t>e</w:t>
      </w:r>
      <w:r w:rsidRPr="00943DCE">
        <w:rPr>
          <w:rFonts w:ascii="Times New Roman" w:hAnsi="Times New Roman" w:cs="Times New Roman"/>
          <w:lang w:val="fr-FR"/>
        </w:rPr>
        <w:t xml:space="preserve"> en 2012, lors de 5</w:t>
      </w:r>
      <w:r w:rsidRPr="00943DCE">
        <w:rPr>
          <w:rFonts w:ascii="Times New Roman" w:hAnsi="Times New Roman" w:cs="Times New Roman"/>
          <w:vertAlign w:val="superscript"/>
          <w:lang w:val="fr-FR"/>
        </w:rPr>
        <w:t>ème</w:t>
      </w:r>
      <w:r>
        <w:rPr>
          <w:rFonts w:ascii="Times New Roman" w:hAnsi="Times New Roman" w:cs="Times New Roman"/>
          <w:lang w:val="fr-FR"/>
        </w:rPr>
        <w:t xml:space="preserve"> </w:t>
      </w:r>
      <w:r w:rsidRPr="00943DCE">
        <w:rPr>
          <w:rFonts w:ascii="Times New Roman" w:hAnsi="Times New Roman" w:cs="Times New Roman"/>
          <w:lang w:val="fr-FR"/>
        </w:rPr>
        <w:t>session de la Réunion des Parties à l</w:t>
      </w:r>
      <w:r>
        <w:rPr>
          <w:rFonts w:ascii="Times New Roman" w:hAnsi="Times New Roman" w:cs="Times New Roman"/>
          <w:lang w:val="fr-FR"/>
        </w:rPr>
        <w:t>’</w:t>
      </w:r>
      <w:r w:rsidRPr="00943DCE">
        <w:rPr>
          <w:rFonts w:ascii="Times New Roman" w:hAnsi="Times New Roman" w:cs="Times New Roman"/>
          <w:lang w:val="fr-FR"/>
        </w:rPr>
        <w:t>AEWA</w:t>
      </w:r>
      <w:r w:rsidRPr="00943DCE">
        <w:rPr>
          <w:rStyle w:val="FootnoteReference"/>
          <w:rFonts w:ascii="Times New Roman" w:hAnsi="Times New Roman" w:cs="Times New Roman"/>
          <w:lang w:val="fr-FR"/>
        </w:rPr>
        <w:footnoteReference w:id="9"/>
      </w:r>
      <w:r w:rsidRPr="00943DCE">
        <w:rPr>
          <w:rFonts w:ascii="Times New Roman" w:hAnsi="Times New Roman" w:cs="Times New Roman"/>
          <w:lang w:val="fr-FR"/>
        </w:rPr>
        <w:t>.</w:t>
      </w:r>
    </w:p>
    <w:p w14:paraId="704A475A"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886A3C" w:rsidRPr="00DE4CF4" w14:paraId="5AC541F4" w14:textId="77777777" w:rsidTr="00886A3C">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6CA04007" w14:textId="77777777" w:rsidR="00886A3C" w:rsidRPr="004B1407" w:rsidRDefault="00886A3C" w:rsidP="00886A3C">
            <w:pPr>
              <w:shd w:val="clear" w:color="auto" w:fill="FFFFFF" w:themeFill="background1"/>
              <w:jc w:val="both"/>
              <w:rPr>
                <w:rFonts w:ascii="Times New Roman" w:hAnsi="Times New Roman" w:cs="Times New Roman"/>
                <w:lang w:val="fr-FR"/>
              </w:rPr>
            </w:pPr>
            <w:r w:rsidRPr="00943DCE">
              <w:rPr>
                <w:rFonts w:ascii="Times New Roman" w:hAnsi="Times New Roman" w:cs="Times New Roman"/>
                <w:lang w:val="fr-FR"/>
              </w:rPr>
              <w:t>Le plan d</w:t>
            </w:r>
            <w:r>
              <w:rPr>
                <w:rFonts w:ascii="Times New Roman" w:hAnsi="Times New Roman" w:cs="Times New Roman"/>
                <w:lang w:val="fr-FR"/>
              </w:rPr>
              <w:t>’</w:t>
            </w:r>
            <w:r w:rsidRPr="00943DCE">
              <w:rPr>
                <w:rFonts w:ascii="Times New Roman" w:hAnsi="Times New Roman" w:cs="Times New Roman"/>
                <w:lang w:val="fr-FR"/>
              </w:rPr>
              <w:t>action a pour but de rétablir le Vanneau sociable dans un état de conservation favorable et de l</w:t>
            </w:r>
            <w:r>
              <w:rPr>
                <w:rFonts w:ascii="Times New Roman" w:hAnsi="Times New Roman" w:cs="Times New Roman"/>
                <w:lang w:val="fr-FR"/>
              </w:rPr>
              <w:t>e retirer</w:t>
            </w:r>
            <w:r w:rsidRPr="00943DCE">
              <w:rPr>
                <w:rFonts w:ascii="Times New Roman" w:hAnsi="Times New Roman" w:cs="Times New Roman"/>
                <w:lang w:val="fr-FR"/>
              </w:rPr>
              <w:t xml:space="preserve"> des catégories menacées de la liste rouge de l</w:t>
            </w:r>
            <w:r>
              <w:rPr>
                <w:rFonts w:ascii="Times New Roman" w:hAnsi="Times New Roman" w:cs="Times New Roman"/>
                <w:lang w:val="fr-FR"/>
              </w:rPr>
              <w:t>’</w:t>
            </w:r>
            <w:r w:rsidRPr="00943DCE">
              <w:rPr>
                <w:rFonts w:ascii="Times New Roman" w:hAnsi="Times New Roman" w:cs="Times New Roman"/>
                <w:lang w:val="fr-FR"/>
              </w:rPr>
              <w:t>UICN, de l</w:t>
            </w:r>
            <w:r>
              <w:rPr>
                <w:rFonts w:ascii="Times New Roman" w:hAnsi="Times New Roman" w:cs="Times New Roman"/>
                <w:lang w:val="fr-FR"/>
              </w:rPr>
              <w:t>’</w:t>
            </w:r>
            <w:r w:rsidRPr="00943DCE">
              <w:rPr>
                <w:rFonts w:ascii="Times New Roman" w:hAnsi="Times New Roman" w:cs="Times New Roman"/>
                <w:lang w:val="fr-FR"/>
              </w:rPr>
              <w:t xml:space="preserve">Annexe I de la CMS et de la colonne A du Tableau 1 du </w:t>
            </w:r>
            <w:r>
              <w:rPr>
                <w:rFonts w:ascii="Times New Roman" w:hAnsi="Times New Roman" w:cs="Times New Roman"/>
                <w:lang w:val="fr-FR"/>
              </w:rPr>
              <w:t>plan</w:t>
            </w:r>
            <w:r w:rsidRPr="00943DCE">
              <w:rPr>
                <w:rFonts w:ascii="Times New Roman" w:hAnsi="Times New Roman" w:cs="Times New Roman"/>
                <w:lang w:val="fr-FR"/>
              </w:rPr>
              <w:t xml:space="preserve"> d</w:t>
            </w:r>
            <w:r>
              <w:rPr>
                <w:rFonts w:ascii="Times New Roman" w:hAnsi="Times New Roman" w:cs="Times New Roman"/>
                <w:lang w:val="fr-FR"/>
              </w:rPr>
              <w:t>’</w:t>
            </w:r>
            <w:r w:rsidRPr="00943DCE">
              <w:rPr>
                <w:rFonts w:ascii="Times New Roman" w:hAnsi="Times New Roman" w:cs="Times New Roman"/>
                <w:lang w:val="fr-FR"/>
              </w:rPr>
              <w:t>action de l</w:t>
            </w:r>
            <w:r>
              <w:rPr>
                <w:rFonts w:ascii="Times New Roman" w:hAnsi="Times New Roman" w:cs="Times New Roman"/>
                <w:lang w:val="fr-FR"/>
              </w:rPr>
              <w:t>’</w:t>
            </w:r>
            <w:r w:rsidRPr="00943DCE">
              <w:rPr>
                <w:rFonts w:ascii="Times New Roman" w:hAnsi="Times New Roman" w:cs="Times New Roman"/>
                <w:lang w:val="fr-FR"/>
              </w:rPr>
              <w:t>AEWA.</w:t>
            </w:r>
            <w:r w:rsidRPr="004B1407">
              <w:rPr>
                <w:rFonts w:ascii="Times New Roman" w:hAnsi="Times New Roman" w:cs="Times New Roman"/>
                <w:lang w:val="fr-FR"/>
              </w:rPr>
              <w:t xml:space="preserve"> </w:t>
            </w:r>
            <w:r w:rsidRPr="00943DCE">
              <w:rPr>
                <w:rFonts w:ascii="Times New Roman" w:hAnsi="Times New Roman" w:cs="Times New Roman"/>
                <w:lang w:val="fr-FR"/>
              </w:rPr>
              <w:t>L</w:t>
            </w:r>
            <w:r>
              <w:rPr>
                <w:rFonts w:ascii="Times New Roman" w:hAnsi="Times New Roman" w:cs="Times New Roman"/>
                <w:lang w:val="fr-FR"/>
              </w:rPr>
              <w:t>’</w:t>
            </w:r>
            <w:r w:rsidRPr="00943DCE">
              <w:rPr>
                <w:rFonts w:ascii="Times New Roman" w:hAnsi="Times New Roman" w:cs="Times New Roman"/>
                <w:lang w:val="fr-FR"/>
              </w:rPr>
              <w:t>objectif est de renverser la tendance négative de la population afin de parvenir à une augmentation de 8 000-10 000 couples reproducteurs d</w:t>
            </w:r>
            <w:r>
              <w:rPr>
                <w:rFonts w:ascii="Times New Roman" w:hAnsi="Times New Roman" w:cs="Times New Roman"/>
                <w:lang w:val="fr-FR"/>
              </w:rPr>
              <w:t>’</w:t>
            </w:r>
            <w:r w:rsidRPr="00943DCE">
              <w:rPr>
                <w:rFonts w:ascii="Times New Roman" w:hAnsi="Times New Roman" w:cs="Times New Roman"/>
                <w:lang w:val="fr-FR"/>
              </w:rPr>
              <w:t>ici à 2022.</w:t>
            </w:r>
            <w:r w:rsidRPr="004B1407">
              <w:rPr>
                <w:rFonts w:ascii="Times New Roman" w:hAnsi="Times New Roman" w:cs="Times New Roman"/>
                <w:lang w:val="fr-FR"/>
              </w:rPr>
              <w:t xml:space="preserve"> </w:t>
            </w:r>
          </w:p>
        </w:tc>
      </w:tr>
    </w:tbl>
    <w:p w14:paraId="5C801FC1"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p>
    <w:p w14:paraId="3A4F2174" w14:textId="77777777" w:rsidR="00886A3C" w:rsidRPr="004B1407" w:rsidRDefault="00886A3C" w:rsidP="00886A3C">
      <w:pPr>
        <w:shd w:val="clear" w:color="auto" w:fill="FFFFFF" w:themeFill="background1"/>
        <w:spacing w:after="0" w:line="240" w:lineRule="auto"/>
        <w:jc w:val="both"/>
        <w:rPr>
          <w:rFonts w:ascii="Times New Roman" w:hAnsi="Times New Roman" w:cs="Times New Roman"/>
          <w:lang w:val="fr-FR"/>
        </w:rPr>
      </w:pPr>
      <w:r w:rsidRPr="00943DCE">
        <w:rPr>
          <w:rFonts w:ascii="Times New Roman" w:hAnsi="Times New Roman" w:cs="Times New Roman"/>
          <w:lang w:val="fr-FR"/>
        </w:rPr>
        <w:t>Le groupe de travail international inter-gouvernemental de l</w:t>
      </w:r>
      <w:r>
        <w:rPr>
          <w:rFonts w:ascii="Times New Roman" w:hAnsi="Times New Roman" w:cs="Times New Roman"/>
          <w:lang w:val="fr-FR"/>
        </w:rPr>
        <w:t>’</w:t>
      </w:r>
      <w:r w:rsidRPr="00943DCE">
        <w:rPr>
          <w:rFonts w:ascii="Times New Roman" w:hAnsi="Times New Roman" w:cs="Times New Roman"/>
          <w:lang w:val="fr-FR"/>
        </w:rPr>
        <w:t>AEWA sur le Vanneau sociable (SoLa IWG) a été mis en place en 2010 par le Secrétariat de l</w:t>
      </w:r>
      <w:r>
        <w:rPr>
          <w:rFonts w:ascii="Times New Roman" w:hAnsi="Times New Roman" w:cs="Times New Roman"/>
          <w:lang w:val="fr-FR"/>
        </w:rPr>
        <w:t>’</w:t>
      </w:r>
      <w:r w:rsidRPr="00943DCE">
        <w:rPr>
          <w:rFonts w:ascii="Times New Roman" w:hAnsi="Times New Roman" w:cs="Times New Roman"/>
          <w:lang w:val="fr-FR"/>
        </w:rPr>
        <w:t>AEWA et sa première réunion en face à face a eu lieu en 2011, à Palmyre, en Syrie.</w:t>
      </w:r>
      <w:r w:rsidRPr="004B1407">
        <w:rPr>
          <w:rFonts w:ascii="Times New Roman" w:hAnsi="Times New Roman" w:cs="Times New Roman"/>
          <w:lang w:val="fr-FR"/>
        </w:rPr>
        <w:t xml:space="preserve"> </w:t>
      </w:r>
      <w:r w:rsidRPr="00943DCE">
        <w:rPr>
          <w:rFonts w:ascii="Times New Roman" w:hAnsi="Times New Roman" w:cs="Times New Roman"/>
          <w:lang w:val="fr-FR"/>
        </w:rPr>
        <w:t>La coordination du groupe de travail est assurée par la Société royale pour la protection des oiseaux (RSPB).</w:t>
      </w:r>
      <w:r w:rsidRPr="004B1407">
        <w:rPr>
          <w:rFonts w:ascii="Times New Roman" w:hAnsi="Times New Roman" w:cs="Times New Roman"/>
          <w:lang w:val="fr-FR"/>
        </w:rPr>
        <w:t xml:space="preserve"> </w:t>
      </w:r>
    </w:p>
    <w:p w14:paraId="08C34007" w14:textId="77777777" w:rsidR="00886A3C" w:rsidRPr="004B1407" w:rsidRDefault="00886A3C" w:rsidP="00886A3C">
      <w:pPr>
        <w:shd w:val="clear" w:color="auto" w:fill="FFFFFF" w:themeFill="background1"/>
        <w:spacing w:after="0" w:line="240" w:lineRule="auto"/>
        <w:rPr>
          <w:rFonts w:ascii="Times New Roman" w:hAnsi="Times New Roman" w:cs="Times New Roman"/>
          <w:lang w:val="fr-FR"/>
        </w:rPr>
      </w:pPr>
    </w:p>
    <w:p w14:paraId="457BFAB3"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2. </w:t>
      </w:r>
      <w:r w:rsidRPr="00943DCE">
        <w:rPr>
          <w:rFonts w:ascii="Times New Roman" w:hAnsi="Times New Roman" w:cs="Times New Roman"/>
          <w:i/>
          <w:lang w:val="fr-FR"/>
        </w:rPr>
        <w:t>Taux de réponse</w:t>
      </w:r>
    </w:p>
    <w:p w14:paraId="404D7AAC"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7767E38F" w14:textId="77777777" w:rsidR="00886A3C" w:rsidRPr="004B1407" w:rsidRDefault="00886A3C" w:rsidP="00886A3C">
      <w:pPr>
        <w:spacing w:after="0" w:line="240" w:lineRule="auto"/>
        <w:jc w:val="both"/>
        <w:rPr>
          <w:rFonts w:ascii="Times New Roman" w:hAnsi="Times New Roman" w:cs="Times New Roman"/>
          <w:lang w:val="fr-FR"/>
        </w:rPr>
      </w:pPr>
      <w:r w:rsidRPr="00943DCE">
        <w:rPr>
          <w:rFonts w:ascii="Times New Roman" w:hAnsi="Times New Roman" w:cs="Times New Roman"/>
          <w:lang w:val="fr-FR"/>
        </w:rPr>
        <w:t>Sur les 13 États principaux de l</w:t>
      </w:r>
      <w:r>
        <w:rPr>
          <w:rFonts w:ascii="Times New Roman" w:hAnsi="Times New Roman" w:cs="Times New Roman"/>
          <w:lang w:val="fr-FR"/>
        </w:rPr>
        <w:t>’</w:t>
      </w:r>
      <w:r w:rsidRPr="00943DCE">
        <w:rPr>
          <w:rFonts w:ascii="Times New Roman" w:hAnsi="Times New Roman" w:cs="Times New Roman"/>
          <w:lang w:val="fr-FR"/>
        </w:rPr>
        <w:t xml:space="preserve">aire de répartition </w:t>
      </w:r>
      <w:r>
        <w:rPr>
          <w:rFonts w:ascii="Times New Roman" w:hAnsi="Times New Roman" w:cs="Times New Roman"/>
          <w:lang w:val="fr-FR"/>
        </w:rPr>
        <w:t>recensés dans le plan d’action</w:t>
      </w:r>
      <w:r w:rsidRPr="00943DCE">
        <w:rPr>
          <w:rFonts w:ascii="Times New Roman" w:hAnsi="Times New Roman" w:cs="Times New Roman"/>
          <w:lang w:val="fr-FR"/>
        </w:rPr>
        <w:t>, cinq pays ont répondu au questionnaire</w:t>
      </w:r>
      <w:r>
        <w:rPr>
          <w:rFonts w:ascii="Times New Roman" w:hAnsi="Times New Roman" w:cs="Times New Roman"/>
          <w:lang w:val="fr-FR"/>
        </w:rPr>
        <w:t xml:space="preserve"> </w:t>
      </w:r>
      <w:r w:rsidRPr="00943DCE">
        <w:rPr>
          <w:rFonts w:ascii="Times New Roman" w:hAnsi="Times New Roman" w:cs="Times New Roman"/>
          <w:lang w:val="fr-FR"/>
        </w:rPr>
        <w:t>(38</w:t>
      </w:r>
      <w:r>
        <w:rPr>
          <w:rFonts w:ascii="Times New Roman" w:hAnsi="Times New Roman" w:cs="Times New Roman"/>
          <w:lang w:val="fr-FR"/>
        </w:rPr>
        <w:t xml:space="preserve"> %</w:t>
      </w:r>
      <w:r w:rsidRPr="00943DCE">
        <w:rPr>
          <w:rFonts w:ascii="Times New Roman" w:hAnsi="Times New Roman" w:cs="Times New Roman"/>
          <w:lang w:val="fr-FR"/>
        </w:rPr>
        <w:t>).</w:t>
      </w:r>
      <w:r w:rsidRPr="004B1407">
        <w:rPr>
          <w:rFonts w:ascii="Times New Roman" w:hAnsi="Times New Roman" w:cs="Times New Roman"/>
          <w:lang w:val="fr-FR"/>
        </w:rPr>
        <w:t xml:space="preserve"> </w:t>
      </w:r>
    </w:p>
    <w:p w14:paraId="6791E54D" w14:textId="77777777" w:rsidR="00886A3C" w:rsidRPr="004B1407" w:rsidRDefault="00886A3C" w:rsidP="00886A3C">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3293"/>
        <w:gridCol w:w="1489"/>
        <w:gridCol w:w="2472"/>
        <w:gridCol w:w="1806"/>
      </w:tblGrid>
      <w:tr w:rsidR="00886A3C" w14:paraId="22A7FB3D" w14:textId="77777777" w:rsidTr="00886A3C">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69AA7" w14:textId="77777777" w:rsidR="00886A3C" w:rsidRDefault="00886A3C" w:rsidP="00886A3C">
            <w:pPr>
              <w:jc w:val="both"/>
              <w:rPr>
                <w:rFonts w:ascii="Times New Roman" w:hAnsi="Times New Roman" w:cs="Times New Roman"/>
                <w:b w:val="0"/>
                <w:i/>
              </w:rPr>
            </w:pPr>
            <w:r w:rsidRPr="00943DCE">
              <w:rPr>
                <w:rFonts w:ascii="Times New Roman" w:hAnsi="Times New Roman" w:cs="Times New Roman"/>
                <w:b w:val="0"/>
                <w:i/>
                <w:lang w:val="fr-FR"/>
              </w:rPr>
              <w:t>Réponse reçue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7F725" w14:textId="77777777" w:rsidR="00886A3C" w:rsidRPr="00915C33"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43DCE">
              <w:rPr>
                <w:rFonts w:ascii="Times New Roman" w:hAnsi="Times New Roman" w:cs="Times New Roman"/>
                <w:b w:val="0"/>
                <w:i/>
                <w:lang w:val="fr-FR"/>
              </w:rPr>
              <w:t xml:space="preserve">PC AEWA </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137A8"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1138D"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43DCE">
              <w:rPr>
                <w:rFonts w:ascii="Times New Roman" w:hAnsi="Times New Roman" w:cs="Times New Roman"/>
                <w:b w:val="0"/>
                <w:i/>
                <w:lang w:val="fr-FR"/>
              </w:rPr>
              <w:t xml:space="preserve">PC AEWA </w:t>
            </w:r>
          </w:p>
        </w:tc>
      </w:tr>
      <w:tr w:rsidR="00886A3C" w:rsidRPr="00915C33" w14:paraId="79E3CE61" w14:textId="77777777" w:rsidTr="00886A3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E2608" w14:textId="77777777" w:rsidR="00886A3C" w:rsidRPr="00230425" w:rsidRDefault="00886A3C" w:rsidP="00886A3C">
            <w:pPr>
              <w:rPr>
                <w:rFonts w:ascii="Times New Roman" w:hAnsi="Times New Roman" w:cs="Times New Roman"/>
                <w:b w:val="0"/>
              </w:rPr>
            </w:pPr>
            <w:r w:rsidRPr="00943DCE">
              <w:rPr>
                <w:rFonts w:ascii="Times New Roman" w:hAnsi="Times New Roman" w:cs="Times New Roman"/>
                <w:b w:val="0"/>
                <w:lang w:val="fr-FR"/>
              </w:rPr>
              <w:t>Éthiopie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5D6B3"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Oui</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A6A0C"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Érythrée</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2F9BD"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r>
      <w:tr w:rsidR="00886A3C" w:rsidRPr="00915C33" w14:paraId="1C870468" w14:textId="77777777" w:rsidTr="00886A3C">
        <w:trPr>
          <w:trHeight w:val="255"/>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14FDB" w14:textId="77777777" w:rsidR="00886A3C" w:rsidRPr="00230425" w:rsidRDefault="00886A3C" w:rsidP="00886A3C">
            <w:pPr>
              <w:rPr>
                <w:rFonts w:ascii="Times New Roman" w:hAnsi="Times New Roman" w:cs="Times New Roman"/>
                <w:b w:val="0"/>
              </w:rPr>
            </w:pPr>
            <w:r w:rsidRPr="00230425">
              <w:rPr>
                <w:rFonts w:ascii="Times New Roman" w:hAnsi="Times New Roman" w:cs="Times New Roman"/>
                <w:b w:val="0"/>
              </w:rPr>
              <w:t xml:space="preserve"> </w:t>
            </w:r>
            <w:r w:rsidRPr="00943DCE">
              <w:rPr>
                <w:rFonts w:ascii="Times New Roman" w:hAnsi="Times New Roman" w:cs="Times New Roman"/>
                <w:b w:val="0"/>
                <w:lang w:val="fr-FR"/>
              </w:rPr>
              <w:t>Kazakhstan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15EB3"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AC036"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Inde*</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CA086"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CMS</w:t>
            </w:r>
          </w:p>
        </w:tc>
      </w:tr>
      <w:tr w:rsidR="00886A3C" w:rsidRPr="00915C33" w14:paraId="6DF9420F" w14:textId="77777777" w:rsidTr="00886A3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0C774" w14:textId="77777777" w:rsidR="00886A3C" w:rsidRPr="00230425" w:rsidRDefault="00886A3C" w:rsidP="00886A3C">
            <w:pPr>
              <w:rPr>
                <w:rFonts w:ascii="Times New Roman" w:hAnsi="Times New Roman" w:cs="Times New Roman"/>
                <w:b w:val="0"/>
              </w:rPr>
            </w:pPr>
            <w:r w:rsidRPr="00943DCE">
              <w:rPr>
                <w:rFonts w:ascii="Times New Roman" w:hAnsi="Times New Roman" w:cs="Times New Roman"/>
                <w:b w:val="0"/>
                <w:lang w:val="fr-FR"/>
              </w:rPr>
              <w:t>Russie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04D10"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8920D3"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Iraq</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D3078"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r>
      <w:tr w:rsidR="00886A3C" w:rsidRPr="00915C33" w14:paraId="65E34E2D" w14:textId="77777777" w:rsidTr="00886A3C">
        <w:trPr>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682AD2" w14:textId="77777777" w:rsidR="00886A3C" w:rsidRPr="00230425" w:rsidRDefault="00886A3C" w:rsidP="00886A3C">
            <w:pPr>
              <w:rPr>
                <w:rFonts w:ascii="Times New Roman" w:hAnsi="Times New Roman" w:cs="Times New Roman"/>
                <w:b w:val="0"/>
              </w:rPr>
            </w:pPr>
            <w:r w:rsidRPr="00943DCE">
              <w:rPr>
                <w:rFonts w:ascii="Times New Roman" w:hAnsi="Times New Roman" w:cs="Times New Roman"/>
                <w:b w:val="0"/>
                <w:lang w:val="fr-FR"/>
              </w:rPr>
              <w:t>Soudan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F6705"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Oui</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01584"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Oman</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6359B"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r>
      <w:tr w:rsidR="00886A3C" w:rsidRPr="00915C33" w14:paraId="5C0762E2" w14:textId="77777777" w:rsidTr="00886A3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B1081" w14:textId="77777777" w:rsidR="00886A3C" w:rsidRPr="00230425" w:rsidRDefault="00886A3C" w:rsidP="00886A3C">
            <w:pPr>
              <w:rPr>
                <w:rFonts w:ascii="Times New Roman" w:hAnsi="Times New Roman" w:cs="Times New Roman"/>
                <w:b w:val="0"/>
              </w:rPr>
            </w:pPr>
            <w:r w:rsidRPr="00943DCE">
              <w:rPr>
                <w:rFonts w:ascii="Times New Roman" w:hAnsi="Times New Roman" w:cs="Times New Roman"/>
                <w:b w:val="0"/>
                <w:lang w:val="fr-FR"/>
              </w:rPr>
              <w:t>Turquie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4FDE0"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C727C"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Pakistan*</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0DF68"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CMS</w:t>
            </w:r>
          </w:p>
        </w:tc>
      </w:tr>
      <w:tr w:rsidR="00886A3C" w:rsidRPr="00915C33" w14:paraId="6B9CF3D9" w14:textId="77777777" w:rsidTr="00886A3C">
        <w:trPr>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96A98" w14:textId="77777777" w:rsidR="00886A3C" w:rsidRPr="00230425" w:rsidRDefault="00886A3C" w:rsidP="00886A3C">
            <w:pPr>
              <w:rPr>
                <w:rFonts w:ascii="Times New Roman" w:hAnsi="Times New Roman" w:cs="Times New Roman"/>
                <w:b w:val="0"/>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B11AD"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1E620"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Arabie saoudite</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63004" w14:textId="77777777" w:rsidR="00886A3C" w:rsidRPr="006966B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Non</w:t>
            </w:r>
          </w:p>
        </w:tc>
      </w:tr>
      <w:tr w:rsidR="00886A3C" w:rsidRPr="00915C33" w14:paraId="2E59F1DB" w14:textId="77777777" w:rsidTr="00886A3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3C955" w14:textId="77777777" w:rsidR="00886A3C" w:rsidRPr="00230425" w:rsidRDefault="00886A3C" w:rsidP="00886A3C">
            <w:pPr>
              <w:rPr>
                <w:rFonts w:ascii="Times New Roman" w:hAnsi="Times New Roman" w:cs="Times New Roman"/>
                <w:b w:val="0"/>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FCBAC"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560D3" w14:textId="77777777" w:rsidR="00886A3C" w:rsidRPr="00230425"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Syrie</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E0423D" w14:textId="77777777" w:rsidR="00886A3C" w:rsidRPr="006966B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Oui</w:t>
            </w:r>
          </w:p>
        </w:tc>
      </w:tr>
      <w:tr w:rsidR="00886A3C" w:rsidRPr="00915C33" w14:paraId="38051EAD" w14:textId="77777777" w:rsidTr="00886A3C">
        <w:trPr>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03447" w14:textId="77777777" w:rsidR="00886A3C" w:rsidRPr="00230425" w:rsidRDefault="00886A3C" w:rsidP="00886A3C">
            <w:pPr>
              <w:rPr>
                <w:rFonts w:ascii="Times New Roman" w:hAnsi="Times New Roman" w:cs="Times New Roman"/>
                <w:b w:val="0"/>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259D7"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3D62F9" w14:textId="77777777" w:rsidR="00886A3C" w:rsidRPr="00230425"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Ouzbékistan</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ACA72" w14:textId="77777777" w:rsidR="00886A3C" w:rsidRPr="006966B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3DCE">
              <w:rPr>
                <w:rFonts w:ascii="Times New Roman" w:hAnsi="Times New Roman" w:cs="Times New Roman"/>
                <w:lang w:val="fr-FR"/>
              </w:rPr>
              <w:t>Oui</w:t>
            </w:r>
          </w:p>
        </w:tc>
      </w:tr>
    </w:tbl>
    <w:p w14:paraId="3776B395"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r w:rsidRPr="00943DCE">
        <w:rPr>
          <w:rFonts w:ascii="Times New Roman" w:hAnsi="Times New Roman" w:cs="Times New Roman"/>
          <w:lang w:val="fr-FR"/>
        </w:rPr>
        <w:t>*</w:t>
      </w:r>
      <w:r w:rsidRPr="00943DCE">
        <w:rPr>
          <w:rFonts w:ascii="Times New Roman" w:hAnsi="Times New Roman" w:cs="Times New Roman"/>
          <w:i/>
          <w:lang w:val="fr-FR"/>
        </w:rPr>
        <w:t>En dehors de l</w:t>
      </w:r>
      <w:r>
        <w:rPr>
          <w:rFonts w:ascii="Times New Roman" w:hAnsi="Times New Roman" w:cs="Times New Roman"/>
          <w:i/>
          <w:lang w:val="fr-FR"/>
        </w:rPr>
        <w:t>’</w:t>
      </w:r>
      <w:r w:rsidRPr="00943DCE">
        <w:rPr>
          <w:rFonts w:ascii="Times New Roman" w:hAnsi="Times New Roman" w:cs="Times New Roman"/>
          <w:i/>
          <w:lang w:val="fr-FR"/>
        </w:rPr>
        <w:t>aire de l</w:t>
      </w:r>
      <w:r>
        <w:rPr>
          <w:rFonts w:ascii="Times New Roman" w:hAnsi="Times New Roman" w:cs="Times New Roman"/>
          <w:i/>
          <w:lang w:val="fr-FR"/>
        </w:rPr>
        <w:t>’</w:t>
      </w:r>
      <w:r w:rsidRPr="00943DCE">
        <w:rPr>
          <w:rFonts w:ascii="Times New Roman" w:hAnsi="Times New Roman" w:cs="Times New Roman"/>
          <w:i/>
          <w:lang w:val="fr-FR"/>
        </w:rPr>
        <w:t>AEWA mais Parties contractantes à la CMS</w:t>
      </w:r>
      <w:r w:rsidRPr="004B1407">
        <w:rPr>
          <w:rFonts w:ascii="Times New Roman" w:hAnsi="Times New Roman" w:cs="Times New Roman"/>
          <w:i/>
          <w:lang w:val="fr-FR"/>
        </w:rPr>
        <w:t xml:space="preserve"> </w:t>
      </w:r>
    </w:p>
    <w:p w14:paraId="5FD421B6" w14:textId="77777777" w:rsidR="00886A3C" w:rsidRPr="004B1407" w:rsidRDefault="00886A3C" w:rsidP="00886A3C">
      <w:pPr>
        <w:shd w:val="clear" w:color="auto" w:fill="FFFFFF" w:themeFill="background1"/>
        <w:spacing w:after="0" w:line="240" w:lineRule="auto"/>
        <w:rPr>
          <w:rFonts w:ascii="Times New Roman" w:hAnsi="Times New Roman" w:cs="Times New Roman"/>
          <w:i/>
          <w:lang w:val="fr-FR"/>
        </w:rPr>
      </w:pPr>
    </w:p>
    <w:p w14:paraId="681E2100"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3. </w:t>
      </w:r>
      <w:r w:rsidRPr="00943DCE">
        <w:rPr>
          <w:rFonts w:ascii="Times New Roman" w:hAnsi="Times New Roman" w:cs="Times New Roman"/>
          <w:i/>
          <w:lang w:val="fr-FR"/>
        </w:rPr>
        <w:t>Tendances et estimations de l</w:t>
      </w:r>
      <w:r>
        <w:rPr>
          <w:rFonts w:ascii="Times New Roman" w:hAnsi="Times New Roman" w:cs="Times New Roman"/>
          <w:i/>
          <w:lang w:val="fr-FR"/>
        </w:rPr>
        <w:t>’</w:t>
      </w:r>
      <w:r w:rsidRPr="00943DCE">
        <w:rPr>
          <w:rFonts w:ascii="Times New Roman" w:hAnsi="Times New Roman" w:cs="Times New Roman"/>
          <w:i/>
          <w:lang w:val="fr-FR"/>
        </w:rPr>
        <w:t>espèce</w:t>
      </w:r>
    </w:p>
    <w:p w14:paraId="66E4EDB1" w14:textId="77777777" w:rsidR="00886A3C" w:rsidRPr="004B1407" w:rsidRDefault="00886A3C" w:rsidP="00886A3C">
      <w:pPr>
        <w:spacing w:after="0" w:line="240" w:lineRule="auto"/>
        <w:rPr>
          <w:rFonts w:ascii="Times New Roman" w:hAnsi="Times New Roman" w:cs="Times New Roman"/>
          <w:i/>
          <w:lang w:val="fr-FR"/>
        </w:rPr>
      </w:pPr>
    </w:p>
    <w:p w14:paraId="777F8054" w14:textId="77777777" w:rsidR="00886A3C" w:rsidRPr="004B1407" w:rsidRDefault="00886A3C" w:rsidP="00886A3C">
      <w:pPr>
        <w:spacing w:after="0" w:line="240" w:lineRule="auto"/>
        <w:jc w:val="both"/>
        <w:rPr>
          <w:rFonts w:ascii="Times New Roman" w:hAnsi="Times New Roman" w:cs="Times New Roman"/>
          <w:lang w:val="fr-FR"/>
        </w:rPr>
      </w:pPr>
      <w:r w:rsidRPr="00943DCE">
        <w:rPr>
          <w:rFonts w:ascii="Times New Roman" w:hAnsi="Times New Roman" w:cs="Times New Roman"/>
          <w:lang w:val="fr-FR"/>
        </w:rPr>
        <w:t>La Russie a indiqué la tendance à court terme de l</w:t>
      </w:r>
      <w:r>
        <w:rPr>
          <w:rFonts w:ascii="Times New Roman" w:hAnsi="Times New Roman" w:cs="Times New Roman"/>
          <w:lang w:val="fr-FR"/>
        </w:rPr>
        <w:t>’</w:t>
      </w:r>
      <w:r w:rsidRPr="00943DCE">
        <w:rPr>
          <w:rFonts w:ascii="Times New Roman" w:hAnsi="Times New Roman" w:cs="Times New Roman"/>
          <w:lang w:val="fr-FR"/>
        </w:rPr>
        <w:t>espèce comme étant fluctuante, tandis que l</w:t>
      </w:r>
      <w:r>
        <w:rPr>
          <w:rFonts w:ascii="Times New Roman" w:hAnsi="Times New Roman" w:cs="Times New Roman"/>
          <w:lang w:val="fr-FR"/>
        </w:rPr>
        <w:t>’</w:t>
      </w:r>
      <w:r w:rsidRPr="00943DCE">
        <w:rPr>
          <w:rFonts w:ascii="Times New Roman" w:hAnsi="Times New Roman" w:cs="Times New Roman"/>
          <w:lang w:val="fr-FR"/>
        </w:rPr>
        <w:t>Éthiopie, le Kazakhstan et la Turquie ont indiqué que la tendance à court terme était inconnue.</w:t>
      </w:r>
      <w:r w:rsidRPr="004B1407">
        <w:rPr>
          <w:rFonts w:ascii="Times New Roman" w:hAnsi="Times New Roman" w:cs="Times New Roman"/>
          <w:lang w:val="fr-FR"/>
        </w:rPr>
        <w:t xml:space="preserve"> </w:t>
      </w:r>
      <w:r w:rsidRPr="00AC51C7">
        <w:rPr>
          <w:rFonts w:ascii="Times New Roman" w:hAnsi="Times New Roman" w:cs="Times New Roman"/>
          <w:lang w:val="fr-FR"/>
        </w:rPr>
        <w:t>Kazakhstan a indiqué la tendance à long terme comme étant stable, tandis que la Russie la décrivait comme étant en déclin.</w:t>
      </w:r>
      <w:r w:rsidRPr="004B1407">
        <w:rPr>
          <w:rFonts w:ascii="Times New Roman" w:hAnsi="Times New Roman" w:cs="Times New Roman"/>
          <w:lang w:val="fr-FR"/>
        </w:rPr>
        <w:t xml:space="preserve"> </w:t>
      </w:r>
      <w:r w:rsidRPr="00AC51C7">
        <w:rPr>
          <w:rFonts w:ascii="Times New Roman" w:hAnsi="Times New Roman" w:cs="Times New Roman"/>
          <w:lang w:val="fr-FR"/>
        </w:rPr>
        <w:t>L</w:t>
      </w:r>
      <w:r>
        <w:rPr>
          <w:rFonts w:ascii="Times New Roman" w:hAnsi="Times New Roman" w:cs="Times New Roman"/>
          <w:lang w:val="fr-FR"/>
        </w:rPr>
        <w:t>’</w:t>
      </w:r>
      <w:r w:rsidRPr="00AC51C7">
        <w:rPr>
          <w:rFonts w:ascii="Times New Roman" w:hAnsi="Times New Roman" w:cs="Times New Roman"/>
          <w:lang w:val="fr-FR"/>
        </w:rPr>
        <w:t>Éthiopie et la Turquie ont indiqué que la tendance à long terme était inconnue.</w:t>
      </w:r>
      <w:r w:rsidRPr="004B1407">
        <w:rPr>
          <w:rFonts w:ascii="Times New Roman" w:hAnsi="Times New Roman" w:cs="Times New Roman"/>
          <w:lang w:val="fr-FR"/>
        </w:rPr>
        <w:t xml:space="preserve"> </w:t>
      </w:r>
      <w:r w:rsidRPr="00AC51C7">
        <w:rPr>
          <w:rFonts w:ascii="Times New Roman" w:hAnsi="Times New Roman" w:cs="Times New Roman"/>
          <w:lang w:val="fr-FR"/>
        </w:rPr>
        <w:t>Les estimations de populations communiquées sont indiquées dans le tableau ci-dessous.</w:t>
      </w:r>
    </w:p>
    <w:p w14:paraId="716B1F55" w14:textId="77777777" w:rsidR="00886A3C" w:rsidRPr="004B1407" w:rsidRDefault="00886A3C" w:rsidP="00886A3C">
      <w:pPr>
        <w:spacing w:after="0" w:line="240" w:lineRule="auto"/>
        <w:jc w:val="both"/>
        <w:rPr>
          <w:rFonts w:ascii="Times New Roman" w:hAnsi="Times New Roman" w:cs="Times New Roman"/>
          <w:lang w:val="fr-FR"/>
        </w:rPr>
      </w:pPr>
    </w:p>
    <w:tbl>
      <w:tblPr>
        <w:tblStyle w:val="PlainTable11"/>
        <w:tblW w:w="0" w:type="auto"/>
        <w:tblLook w:val="04A0" w:firstRow="1" w:lastRow="0" w:firstColumn="1" w:lastColumn="0" w:noHBand="0" w:noVBand="1"/>
      </w:tblPr>
      <w:tblGrid>
        <w:gridCol w:w="1511"/>
        <w:gridCol w:w="1570"/>
        <w:gridCol w:w="1647"/>
        <w:gridCol w:w="1822"/>
        <w:gridCol w:w="795"/>
        <w:gridCol w:w="1715"/>
      </w:tblGrid>
      <w:tr w:rsidR="00886A3C" w:rsidRPr="00DE4CF4" w14:paraId="7E5643DE" w14:textId="77777777" w:rsidTr="0088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DF3CB" w14:textId="77777777" w:rsidR="00886A3C" w:rsidRPr="004B1407" w:rsidRDefault="00886A3C" w:rsidP="00886A3C">
            <w:pPr>
              <w:jc w:val="both"/>
              <w:rPr>
                <w:rFonts w:ascii="Times New Roman" w:hAnsi="Times New Roman" w:cs="Times New Roman"/>
                <w:b w:val="0"/>
                <w:i/>
                <w:lang w:val="fr-FR"/>
              </w:rPr>
            </w:pPr>
            <w:r w:rsidRPr="00AC51C7">
              <w:rPr>
                <w:rFonts w:ascii="Times New Roman" w:hAnsi="Times New Roman" w:cs="Times New Roman"/>
                <w:b w:val="0"/>
                <w:i/>
                <w:lang w:val="fr-FR"/>
              </w:rPr>
              <w:t>État de l</w:t>
            </w:r>
            <w:r>
              <w:rPr>
                <w:rFonts w:ascii="Times New Roman" w:hAnsi="Times New Roman" w:cs="Times New Roman"/>
                <w:b w:val="0"/>
                <w:i/>
                <w:lang w:val="fr-FR"/>
              </w:rPr>
              <w:t>’</w:t>
            </w:r>
            <w:r w:rsidRPr="00AC51C7">
              <w:rPr>
                <w:rFonts w:ascii="Times New Roman" w:hAnsi="Times New Roman" w:cs="Times New Roman"/>
                <w:b w:val="0"/>
                <w:i/>
                <w:lang w:val="fr-FR"/>
              </w:rPr>
              <w:t>aire de répartition</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E8C97"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C51C7">
              <w:rPr>
                <w:rFonts w:ascii="Times New Roman" w:hAnsi="Times New Roman" w:cs="Times New Roman"/>
                <w:b w:val="0"/>
                <w:i/>
                <w:lang w:val="fr-FR"/>
              </w:rPr>
              <w:t>Total des estimations minimales</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42829"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C51C7">
              <w:rPr>
                <w:rFonts w:ascii="Times New Roman" w:hAnsi="Times New Roman" w:cs="Times New Roman"/>
                <w:b w:val="0"/>
                <w:i/>
                <w:lang w:val="fr-FR"/>
              </w:rPr>
              <w:t>Total estimations maximales</w:t>
            </w:r>
            <w:r>
              <w:rPr>
                <w:rFonts w:ascii="Times New Roman" w:hAnsi="Times New Roman" w:cs="Times New Roman"/>
                <w:b w:val="0"/>
                <w:i/>
              </w:rPr>
              <w:t xml:space="preserve"> </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5ACA6"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C51C7">
              <w:rPr>
                <w:rFonts w:ascii="Times New Roman" w:hAnsi="Times New Roman" w:cs="Times New Roman"/>
                <w:b w:val="0"/>
                <w:i/>
                <w:lang w:val="fr-FR"/>
              </w:rPr>
              <w:t>Unités</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D2A88" w14:textId="77777777" w:rsidR="00886A3C"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C51C7">
              <w:rPr>
                <w:rFonts w:ascii="Times New Roman" w:hAnsi="Times New Roman" w:cs="Times New Roman"/>
                <w:b w:val="0"/>
                <w:i/>
                <w:lang w:val="fr-FR"/>
              </w:rPr>
              <w:t>Année</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56F29" w14:textId="77777777" w:rsidR="00886A3C" w:rsidRPr="004B1407" w:rsidRDefault="00886A3C" w:rsidP="00886A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fr-FR"/>
              </w:rPr>
            </w:pPr>
            <w:r>
              <w:rPr>
                <w:rFonts w:ascii="Times New Roman" w:hAnsi="Times New Roman" w:cs="Times New Roman"/>
                <w:b w:val="0"/>
                <w:i/>
                <w:lang w:val="fr-FR"/>
              </w:rPr>
              <w:t>V</w:t>
            </w:r>
            <w:r w:rsidRPr="00AC51C7">
              <w:rPr>
                <w:rFonts w:ascii="Times New Roman" w:hAnsi="Times New Roman" w:cs="Times New Roman"/>
                <w:b w:val="0"/>
                <w:i/>
                <w:lang w:val="fr-FR"/>
              </w:rPr>
              <w:t xml:space="preserve">aleur de référence de la population </w:t>
            </w:r>
          </w:p>
        </w:tc>
      </w:tr>
      <w:tr w:rsidR="00886A3C" w14:paraId="09889EA2"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6A2E5" w14:textId="77777777" w:rsidR="00886A3C" w:rsidRPr="00BB5DAF" w:rsidRDefault="00886A3C" w:rsidP="00886A3C">
            <w:pPr>
              <w:rPr>
                <w:rFonts w:ascii="Times New Roman" w:hAnsi="Times New Roman" w:cs="Times New Roman"/>
                <w:bCs w:val="0"/>
                <w:sz w:val="20"/>
                <w:szCs w:val="20"/>
              </w:rPr>
            </w:pPr>
            <w:r w:rsidRPr="00AC51C7">
              <w:rPr>
                <w:rFonts w:ascii="Times New Roman" w:hAnsi="Times New Roman" w:cs="Times New Roman"/>
                <w:b w:val="0"/>
                <w:sz w:val="20"/>
                <w:szCs w:val="20"/>
                <w:lang w:val="fr-FR"/>
              </w:rPr>
              <w:t>Éthiopie</w:t>
            </w:r>
          </w:p>
        </w:tc>
        <w:tc>
          <w:tcPr>
            <w:tcW w:w="75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3FFC9" w14:textId="77777777" w:rsidR="00886A3C" w:rsidRPr="00577302"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Aucune information fournie</w:t>
            </w:r>
          </w:p>
        </w:tc>
      </w:tr>
      <w:tr w:rsidR="00886A3C" w14:paraId="095FA04F"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93A73CF" w14:textId="77777777" w:rsidR="00886A3C" w:rsidRPr="00BB5DAF" w:rsidRDefault="00886A3C" w:rsidP="00886A3C">
            <w:pPr>
              <w:rPr>
                <w:rFonts w:ascii="Times New Roman" w:hAnsi="Times New Roman" w:cs="Times New Roman"/>
                <w:b w:val="0"/>
                <w:sz w:val="20"/>
                <w:szCs w:val="20"/>
              </w:rPr>
            </w:pPr>
            <w:r w:rsidRPr="00AC51C7">
              <w:rPr>
                <w:rFonts w:ascii="Times New Roman" w:hAnsi="Times New Roman" w:cs="Times New Roman"/>
                <w:b w:val="0"/>
                <w:sz w:val="20"/>
                <w:szCs w:val="20"/>
                <w:lang w:val="fr-FR"/>
              </w:rPr>
              <w:t>Kazakhstan</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9A690"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2 000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7BE65"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10 640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031F5" w14:textId="77777777" w:rsidR="00886A3C"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Individus</w:t>
            </w:r>
          </w:p>
          <w:p w14:paraId="45997B37"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lastRenderedPageBreak/>
              <w:t>(reproduction)</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8C672"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2014</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1D89B"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51C7">
              <w:rPr>
                <w:rFonts w:ascii="Times New Roman" w:hAnsi="Times New Roman" w:cs="Times New Roman"/>
                <w:sz w:val="20"/>
                <w:szCs w:val="20"/>
                <w:lang w:val="fr-FR"/>
              </w:rPr>
              <w:t>Pas d</w:t>
            </w:r>
            <w:r>
              <w:rPr>
                <w:rFonts w:ascii="Times New Roman" w:hAnsi="Times New Roman" w:cs="Times New Roman"/>
                <w:sz w:val="20"/>
                <w:szCs w:val="20"/>
                <w:lang w:val="fr-FR"/>
              </w:rPr>
              <w:t>’</w:t>
            </w:r>
            <w:r w:rsidRPr="00AC51C7">
              <w:rPr>
                <w:rFonts w:ascii="Times New Roman" w:hAnsi="Times New Roman" w:cs="Times New Roman"/>
                <w:sz w:val="20"/>
                <w:szCs w:val="20"/>
                <w:lang w:val="fr-FR"/>
              </w:rPr>
              <w:t xml:space="preserve"> information</w:t>
            </w:r>
          </w:p>
        </w:tc>
      </w:tr>
      <w:tr w:rsidR="00886A3C" w14:paraId="5E356FF0"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4959CB0" w14:textId="77777777" w:rsidR="00886A3C" w:rsidRPr="00BB5DAF" w:rsidRDefault="00886A3C" w:rsidP="00886A3C">
            <w:pPr>
              <w:rPr>
                <w:rFonts w:ascii="Times New Roman" w:hAnsi="Times New Roman" w:cs="Times New Roman"/>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8E94C"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2 000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AEEE2"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10 640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B51FB"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Individus</w:t>
            </w:r>
          </w:p>
          <w:p w14:paraId="3104EA05"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928182"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F1AD7"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C51C7">
              <w:rPr>
                <w:rFonts w:ascii="Times New Roman" w:hAnsi="Times New Roman" w:cs="Times New Roman"/>
                <w:sz w:val="20"/>
                <w:szCs w:val="20"/>
                <w:lang w:val="fr-FR"/>
              </w:rPr>
              <w:t>Pas d</w:t>
            </w:r>
            <w:r>
              <w:rPr>
                <w:rFonts w:ascii="Times New Roman" w:hAnsi="Times New Roman" w:cs="Times New Roman"/>
                <w:sz w:val="20"/>
                <w:szCs w:val="20"/>
                <w:lang w:val="fr-FR"/>
              </w:rPr>
              <w:t>’</w:t>
            </w:r>
            <w:r w:rsidRPr="00AC51C7">
              <w:rPr>
                <w:rFonts w:ascii="Times New Roman" w:hAnsi="Times New Roman" w:cs="Times New Roman"/>
                <w:sz w:val="20"/>
                <w:szCs w:val="20"/>
                <w:lang w:val="fr-FR"/>
              </w:rPr>
              <w:t xml:space="preserve"> information</w:t>
            </w:r>
          </w:p>
        </w:tc>
      </w:tr>
      <w:tr w:rsidR="00886A3C" w14:paraId="0CFEA412"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43142F1E" w14:textId="77777777" w:rsidR="00886A3C" w:rsidRPr="00BB5DAF" w:rsidRDefault="00886A3C" w:rsidP="00886A3C">
            <w:pPr>
              <w:rPr>
                <w:rFonts w:ascii="Times New Roman" w:hAnsi="Times New Roman" w:cs="Times New Roman"/>
                <w:b w:val="0"/>
                <w:sz w:val="20"/>
                <w:szCs w:val="20"/>
              </w:rPr>
            </w:pPr>
            <w:r w:rsidRPr="00AC51C7">
              <w:rPr>
                <w:rFonts w:ascii="Times New Roman" w:hAnsi="Times New Roman" w:cs="Times New Roman"/>
                <w:b w:val="0"/>
                <w:sz w:val="20"/>
                <w:szCs w:val="20"/>
                <w:lang w:val="fr-FR"/>
              </w:rPr>
              <w:t>Russie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05F12"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C3931"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AC5D2"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Couples reproducteurs</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A3EBE4"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c>
          <w:tcPr>
            <w:tcW w:w="171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E9D8B87"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11 000 (1994)</w:t>
            </w:r>
          </w:p>
        </w:tc>
      </w:tr>
      <w:tr w:rsidR="00886A3C" w14:paraId="72AEF455"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E8FAD7" w14:textId="77777777" w:rsidR="00886A3C" w:rsidRPr="00BB5DAF"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BDBB4"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156</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85AD0"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4 949</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0AFE8"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Individus (passage)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94905"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2013, 2010</w:t>
            </w:r>
          </w:p>
        </w:tc>
        <w:tc>
          <w:tcPr>
            <w:tcW w:w="171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EC33AAF"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86A3C" w14:paraId="530186AA" w14:textId="77777777" w:rsidTr="00886A3C">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3CE059E3" w14:textId="77777777" w:rsidR="00886A3C" w:rsidRPr="00BB5DAF" w:rsidRDefault="00886A3C" w:rsidP="00886A3C">
            <w:pPr>
              <w:rPr>
                <w:rFonts w:ascii="Times New Roman" w:hAnsi="Times New Roman" w:cs="Times New Roman"/>
                <w:b w:val="0"/>
                <w:sz w:val="20"/>
                <w:szCs w:val="20"/>
              </w:rPr>
            </w:pPr>
            <w:r w:rsidRPr="00AC51C7">
              <w:rPr>
                <w:rFonts w:ascii="Times New Roman" w:hAnsi="Times New Roman" w:cs="Times New Roman"/>
                <w:b w:val="0"/>
                <w:sz w:val="20"/>
                <w:szCs w:val="20"/>
                <w:lang w:val="fr-FR"/>
              </w:rPr>
              <w:t>Soudan</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540CB"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371BB"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EDF70"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Individus</w:t>
            </w:r>
          </w:p>
          <w:p w14:paraId="46AE909F"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(hivernage)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F01CC"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2009</w:t>
            </w:r>
          </w:p>
        </w:tc>
        <w:tc>
          <w:tcPr>
            <w:tcW w:w="171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924C760"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51C7">
              <w:rPr>
                <w:rFonts w:ascii="Times New Roman" w:hAnsi="Times New Roman" w:cs="Times New Roman"/>
                <w:sz w:val="20"/>
                <w:szCs w:val="20"/>
                <w:lang w:val="fr-FR"/>
              </w:rPr>
              <w:t>Pas d</w:t>
            </w:r>
            <w:r>
              <w:rPr>
                <w:rFonts w:ascii="Times New Roman" w:hAnsi="Times New Roman" w:cs="Times New Roman"/>
                <w:sz w:val="20"/>
                <w:szCs w:val="20"/>
                <w:lang w:val="fr-FR"/>
              </w:rPr>
              <w:t>’</w:t>
            </w:r>
            <w:r w:rsidRPr="00AC51C7">
              <w:rPr>
                <w:rFonts w:ascii="Times New Roman" w:hAnsi="Times New Roman" w:cs="Times New Roman"/>
                <w:sz w:val="20"/>
                <w:szCs w:val="20"/>
                <w:lang w:val="fr-FR"/>
              </w:rPr>
              <w:t xml:space="preserve"> information</w:t>
            </w:r>
          </w:p>
        </w:tc>
      </w:tr>
      <w:tr w:rsidR="00886A3C" w14:paraId="3B837B11" w14:textId="77777777" w:rsidTr="0088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980AF6" w14:textId="77777777" w:rsidR="00886A3C" w:rsidRPr="00BB5DAF" w:rsidRDefault="00886A3C" w:rsidP="00886A3C">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96C16"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232</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47769" w14:textId="77777777" w:rsidR="00886A3C"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234</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5D4E2"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Individus (hivernage)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849E7F"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w:t>
            </w:r>
          </w:p>
        </w:tc>
        <w:tc>
          <w:tcPr>
            <w:tcW w:w="171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1C1310D" w14:textId="77777777" w:rsidR="00886A3C" w:rsidRPr="00BB5DAF" w:rsidRDefault="00886A3C" w:rsidP="00886A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r>
      <w:tr w:rsidR="00886A3C" w14:paraId="7CC44002" w14:textId="77777777" w:rsidTr="00886A3C">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50F9F" w14:textId="77777777" w:rsidR="00886A3C" w:rsidRPr="00BB5DAF" w:rsidRDefault="00886A3C" w:rsidP="00886A3C">
            <w:pPr>
              <w:rPr>
                <w:rFonts w:ascii="Times New Roman" w:hAnsi="Times New Roman" w:cs="Times New Roman"/>
                <w:b w:val="0"/>
                <w:sz w:val="20"/>
                <w:szCs w:val="20"/>
              </w:rPr>
            </w:pPr>
            <w:r w:rsidRPr="00AC51C7">
              <w:rPr>
                <w:rFonts w:ascii="Times New Roman" w:hAnsi="Times New Roman" w:cs="Times New Roman"/>
                <w:b w:val="0"/>
                <w:sz w:val="20"/>
                <w:szCs w:val="20"/>
                <w:lang w:val="fr-FR"/>
              </w:rPr>
              <w:t>Turquie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51570"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1 500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438E3"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nl-NL"/>
              </w:rPr>
              <w:t> </w:t>
            </w:r>
            <w:r>
              <w:rPr>
                <w:rFonts w:ascii="Times New Roman" w:hAnsi="Times New Roman" w:cs="Times New Roman"/>
                <w:sz w:val="20"/>
                <w:szCs w:val="20"/>
              </w:rPr>
              <w:t>200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73615" w14:textId="77777777" w:rsidR="00886A3C" w:rsidRPr="003A5340"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Individus</w:t>
            </w:r>
          </w:p>
          <w:p w14:paraId="70428065" w14:textId="77777777" w:rsidR="00886A3C" w:rsidRPr="003A5340"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C51C7">
              <w:rPr>
                <w:rFonts w:ascii="Times New Roman" w:hAnsi="Times New Roman" w:cs="Times New Roman"/>
                <w:i/>
                <w:sz w:val="20"/>
                <w:szCs w:val="20"/>
                <w:lang w:val="fr-FR"/>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48872" w14:textId="77777777" w:rsidR="00886A3C" w:rsidRPr="00BB5DAF"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2011</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34AAA" w14:textId="77777777" w:rsidR="00886A3C" w:rsidRPr="00C149A9" w:rsidRDefault="00886A3C" w:rsidP="00886A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51C7">
              <w:rPr>
                <w:rFonts w:ascii="Times New Roman" w:hAnsi="Times New Roman" w:cs="Times New Roman"/>
                <w:sz w:val="20"/>
                <w:szCs w:val="20"/>
                <w:lang w:val="fr-FR"/>
              </w:rPr>
              <w:t>Aucune</w:t>
            </w:r>
          </w:p>
        </w:tc>
      </w:tr>
    </w:tbl>
    <w:p w14:paraId="0FD88E48" w14:textId="77777777" w:rsidR="00886A3C" w:rsidRDefault="00886A3C" w:rsidP="00886A3C">
      <w:pPr>
        <w:spacing w:after="0" w:line="240" w:lineRule="auto"/>
        <w:jc w:val="both"/>
        <w:rPr>
          <w:rFonts w:ascii="Times New Roman" w:hAnsi="Times New Roman" w:cs="Times New Roman"/>
          <w:lang w:val="en-US"/>
        </w:rPr>
      </w:pPr>
    </w:p>
    <w:p w14:paraId="01D715E2" w14:textId="77777777" w:rsidR="00886A3C" w:rsidRDefault="00886A3C" w:rsidP="00886A3C">
      <w:pPr>
        <w:spacing w:after="0" w:line="240" w:lineRule="auto"/>
        <w:jc w:val="both"/>
        <w:rPr>
          <w:rFonts w:ascii="Times New Roman" w:hAnsi="Times New Roman" w:cs="Times New Roman"/>
          <w:lang w:val="en-US"/>
        </w:rPr>
      </w:pPr>
    </w:p>
    <w:tbl>
      <w:tblPr>
        <w:tblStyle w:val="TableGrid"/>
        <w:tblW w:w="8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391"/>
      </w:tblGrid>
      <w:tr w:rsidR="00886A3C" w:rsidRPr="00DE4CF4" w14:paraId="38E58075" w14:textId="77777777" w:rsidTr="00886A3C">
        <w:trPr>
          <w:trHeight w:val="3047"/>
        </w:trPr>
        <w:tc>
          <w:tcPr>
            <w:tcW w:w="4417" w:type="dxa"/>
            <w:hideMark/>
          </w:tcPr>
          <w:p w14:paraId="336F3BA5" w14:textId="77777777" w:rsidR="00886A3C" w:rsidRDefault="00886A3C" w:rsidP="00886A3C">
            <w:pPr>
              <w:rPr>
                <w:rFonts w:ascii="Arial" w:hAnsi="Arial" w:cs="Arial"/>
                <w:sz w:val="20"/>
                <w:szCs w:val="20"/>
              </w:rPr>
            </w:pPr>
          </w:p>
          <w:p w14:paraId="4D4FF9CA" w14:textId="77777777" w:rsidR="00886A3C" w:rsidRDefault="00886A3C" w:rsidP="00886A3C">
            <w:pPr>
              <w:rPr>
                <w:rFonts w:ascii="Arial" w:hAnsi="Arial" w:cs="Arial"/>
                <w:sz w:val="20"/>
                <w:szCs w:val="20"/>
              </w:rPr>
            </w:pPr>
          </w:p>
          <w:p w14:paraId="102EAADA" w14:textId="77777777" w:rsidR="00886A3C" w:rsidRDefault="00886A3C" w:rsidP="00886A3C">
            <w:pPr>
              <w:rPr>
                <w:rFonts w:ascii="Arial" w:hAnsi="Arial" w:cs="Arial"/>
                <w:sz w:val="20"/>
                <w:szCs w:val="20"/>
              </w:rPr>
            </w:pPr>
            <w:r>
              <w:rPr>
                <w:noProof/>
              </w:rPr>
              <w:drawing>
                <wp:inline distT="0" distB="0" distL="0" distR="0" wp14:anchorId="2B515834" wp14:editId="6AB17AB6">
                  <wp:extent cx="2562225" cy="20288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c>
        <w:tc>
          <w:tcPr>
            <w:tcW w:w="4391" w:type="dxa"/>
            <w:hideMark/>
          </w:tcPr>
          <w:p w14:paraId="695D3952" w14:textId="77777777" w:rsidR="00886A3C" w:rsidRDefault="00886A3C" w:rsidP="00886A3C">
            <w:pPr>
              <w:rPr>
                <w:rFonts w:ascii="Arial" w:hAnsi="Arial" w:cs="Arial"/>
                <w:sz w:val="20"/>
                <w:szCs w:val="20"/>
              </w:rPr>
            </w:pPr>
            <w:r>
              <w:rPr>
                <w:noProof/>
              </w:rPr>
              <w:drawing>
                <wp:inline distT="0" distB="0" distL="0" distR="0" wp14:anchorId="35BD7E52" wp14:editId="41A3E056">
                  <wp:extent cx="2581275" cy="20193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386CED9C" w14:textId="77777777" w:rsidR="00886A3C" w:rsidRDefault="00886A3C" w:rsidP="00886A3C">
            <w:pPr>
              <w:rPr>
                <w:rFonts w:ascii="Arial" w:hAnsi="Arial" w:cs="Arial"/>
                <w:sz w:val="20"/>
                <w:szCs w:val="20"/>
              </w:rPr>
            </w:pPr>
          </w:p>
          <w:p w14:paraId="45E445F3" w14:textId="5A505E65" w:rsidR="00886A3C" w:rsidRDefault="00886A3C" w:rsidP="00886A3C">
            <w:pPr>
              <w:rPr>
                <w:rFonts w:ascii="Arial" w:hAnsi="Arial" w:cs="Arial"/>
                <w:sz w:val="20"/>
                <w:szCs w:val="20"/>
                <w:lang w:val="fr-FR"/>
              </w:rPr>
            </w:pPr>
            <w:r>
              <w:rPr>
                <w:rFonts w:ascii="Arial" w:hAnsi="Arial" w:cs="Arial"/>
                <w:sz w:val="20"/>
                <w:szCs w:val="20"/>
                <w:lang w:val="fr-FR"/>
              </w:rPr>
              <w:t>Stable</w:t>
            </w:r>
            <w:r w:rsidR="00EE766F">
              <w:rPr>
                <w:rFonts w:ascii="Arial" w:hAnsi="Arial" w:cs="Arial"/>
                <w:sz w:val="20"/>
                <w:szCs w:val="20"/>
                <w:lang w:val="fr-FR"/>
              </w:rPr>
              <w:t xml:space="preserve"> </w:t>
            </w:r>
            <w:r>
              <w:rPr>
                <w:rFonts w:ascii="Arial" w:hAnsi="Arial" w:cs="Arial"/>
                <w:sz w:val="20"/>
                <w:szCs w:val="20"/>
                <w:lang w:val="fr-FR"/>
              </w:rPr>
              <w:t xml:space="preserve">En déclin </w:t>
            </w:r>
          </w:p>
          <w:p w14:paraId="615C51AB" w14:textId="77777777" w:rsidR="00886A3C" w:rsidRDefault="00886A3C" w:rsidP="00886A3C">
            <w:pPr>
              <w:rPr>
                <w:rFonts w:ascii="Arial" w:hAnsi="Arial" w:cs="Arial"/>
                <w:sz w:val="20"/>
                <w:szCs w:val="20"/>
                <w:lang w:val="fr-FR"/>
              </w:rPr>
            </w:pPr>
            <w:r w:rsidRPr="00BE1CEB">
              <w:rPr>
                <w:rFonts w:ascii="Arial" w:hAnsi="Arial" w:cs="Arial"/>
                <w:sz w:val="20"/>
                <w:szCs w:val="20"/>
                <w:lang w:val="fr-FR"/>
              </w:rPr>
              <w:t>Inconnue</w:t>
            </w:r>
            <w:r>
              <w:rPr>
                <w:rFonts w:ascii="Arial" w:hAnsi="Arial" w:cs="Arial"/>
                <w:sz w:val="20"/>
                <w:szCs w:val="20"/>
                <w:lang w:val="fr-FR"/>
              </w:rPr>
              <w:t xml:space="preserve"> </w:t>
            </w:r>
            <w:r w:rsidRPr="00BE1CEB">
              <w:rPr>
                <w:rFonts w:ascii="Arial" w:hAnsi="Arial" w:cs="Arial"/>
                <w:sz w:val="20"/>
                <w:szCs w:val="20"/>
                <w:lang w:val="fr-FR"/>
              </w:rPr>
              <w:t>Pas d’information</w:t>
            </w:r>
          </w:p>
          <w:p w14:paraId="2DB5F785" w14:textId="77777777" w:rsidR="00886A3C" w:rsidRPr="00BE1CEB" w:rsidRDefault="00886A3C" w:rsidP="00886A3C">
            <w:pPr>
              <w:rPr>
                <w:rFonts w:ascii="Arial" w:hAnsi="Arial" w:cs="Arial"/>
                <w:sz w:val="20"/>
                <w:szCs w:val="20"/>
                <w:lang w:val="fr-FR"/>
              </w:rPr>
            </w:pPr>
            <w:r w:rsidRPr="00BE1CEB">
              <w:rPr>
                <w:rFonts w:ascii="Arial" w:hAnsi="Arial" w:cs="Arial"/>
                <w:sz w:val="20"/>
                <w:szCs w:val="20"/>
                <w:lang w:val="fr-FR"/>
              </w:rPr>
              <w:t xml:space="preserve"> </w:t>
            </w:r>
          </w:p>
        </w:tc>
      </w:tr>
    </w:tbl>
    <w:p w14:paraId="577DEBDC" w14:textId="77777777" w:rsidR="00886A3C" w:rsidRDefault="00886A3C" w:rsidP="00886A3C">
      <w:pPr>
        <w:rPr>
          <w:rFonts w:ascii="Arial" w:hAnsi="Arial" w:cs="Arial"/>
          <w:sz w:val="20"/>
          <w:szCs w:val="20"/>
          <w:lang w:val="fr-FR"/>
        </w:rPr>
      </w:pPr>
      <w:r w:rsidRPr="00BE1CEB">
        <w:rPr>
          <w:rFonts w:ascii="Arial" w:hAnsi="Arial" w:cs="Arial"/>
          <w:sz w:val="20"/>
          <w:szCs w:val="20"/>
          <w:lang w:val="fr-FR"/>
        </w:rPr>
        <w:t>Fluctuante</w:t>
      </w:r>
      <w:r>
        <w:rPr>
          <w:rFonts w:ascii="Arial" w:hAnsi="Arial" w:cs="Arial"/>
          <w:sz w:val="20"/>
          <w:szCs w:val="20"/>
          <w:lang w:val="fr-FR"/>
        </w:rPr>
        <w:t xml:space="preserve"> </w:t>
      </w:r>
      <w:r w:rsidRPr="00BE1CEB">
        <w:rPr>
          <w:rFonts w:ascii="Arial" w:hAnsi="Arial" w:cs="Arial"/>
          <w:sz w:val="20"/>
          <w:szCs w:val="20"/>
          <w:lang w:val="fr-FR"/>
        </w:rPr>
        <w:t>Inconnue</w:t>
      </w:r>
      <w:r>
        <w:rPr>
          <w:rFonts w:ascii="Arial" w:hAnsi="Arial" w:cs="Arial"/>
          <w:sz w:val="20"/>
          <w:szCs w:val="20"/>
          <w:lang w:val="fr-FR"/>
        </w:rPr>
        <w:t xml:space="preserve"> </w:t>
      </w:r>
      <w:r w:rsidRPr="00BE1CEB">
        <w:rPr>
          <w:rFonts w:ascii="Arial" w:hAnsi="Arial" w:cs="Arial"/>
          <w:sz w:val="20"/>
          <w:szCs w:val="20"/>
          <w:lang w:val="fr-FR"/>
        </w:rPr>
        <w:t>Pas d’information</w:t>
      </w:r>
    </w:p>
    <w:p w14:paraId="14CE2B38"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4. </w:t>
      </w:r>
      <w:r w:rsidRPr="00AC51C7">
        <w:rPr>
          <w:rFonts w:ascii="Times New Roman" w:hAnsi="Times New Roman" w:cs="Times New Roman"/>
          <w:i/>
          <w:lang w:val="fr-FR"/>
        </w:rPr>
        <w:t xml:space="preserve">Structures nationales de mise en œuvre </w:t>
      </w:r>
    </w:p>
    <w:p w14:paraId="445CC415" w14:textId="77777777" w:rsidR="00886A3C" w:rsidRPr="004B1407" w:rsidRDefault="00886A3C" w:rsidP="00886A3C">
      <w:pPr>
        <w:spacing w:after="0" w:line="240" w:lineRule="auto"/>
        <w:rPr>
          <w:rFonts w:ascii="Times New Roman" w:hAnsi="Times New Roman" w:cs="Times New Roman"/>
          <w:i/>
          <w:lang w:val="fr-FR"/>
        </w:rPr>
      </w:pPr>
    </w:p>
    <w:p w14:paraId="35DB3112" w14:textId="77777777" w:rsidR="00886A3C" w:rsidRPr="004B1407" w:rsidRDefault="00886A3C" w:rsidP="00886A3C">
      <w:pPr>
        <w:spacing w:after="0" w:line="240" w:lineRule="auto"/>
        <w:jc w:val="both"/>
        <w:rPr>
          <w:rFonts w:ascii="Times New Roman" w:hAnsi="Times New Roman" w:cs="Times New Roman"/>
          <w:lang w:val="fr-FR"/>
        </w:rPr>
      </w:pPr>
      <w:r w:rsidRPr="00AC51C7">
        <w:rPr>
          <w:rFonts w:ascii="Times New Roman" w:hAnsi="Times New Roman" w:cs="Times New Roman"/>
          <w:lang w:val="fr-FR"/>
        </w:rPr>
        <w:t>Le Soudan est le seul État de l</w:t>
      </w:r>
      <w:r>
        <w:rPr>
          <w:rFonts w:ascii="Times New Roman" w:hAnsi="Times New Roman" w:cs="Times New Roman"/>
          <w:lang w:val="fr-FR"/>
        </w:rPr>
        <w:t>’</w:t>
      </w:r>
      <w:r w:rsidRPr="00AC51C7">
        <w:rPr>
          <w:rFonts w:ascii="Times New Roman" w:hAnsi="Times New Roman" w:cs="Times New Roman"/>
          <w:lang w:val="fr-FR"/>
        </w:rPr>
        <w:t>aire de répartition à avoir adopté un processus similaire à un plan d</w:t>
      </w:r>
      <w:r>
        <w:rPr>
          <w:rFonts w:ascii="Times New Roman" w:hAnsi="Times New Roman" w:cs="Times New Roman"/>
          <w:lang w:val="fr-FR"/>
        </w:rPr>
        <w:t>’</w:t>
      </w:r>
      <w:r w:rsidRPr="00AC51C7">
        <w:rPr>
          <w:rFonts w:ascii="Times New Roman" w:hAnsi="Times New Roman" w:cs="Times New Roman"/>
          <w:lang w:val="fr-FR"/>
        </w:rPr>
        <w:t>action national pour l</w:t>
      </w:r>
      <w:r>
        <w:rPr>
          <w:rFonts w:ascii="Times New Roman" w:hAnsi="Times New Roman" w:cs="Times New Roman"/>
          <w:lang w:val="fr-FR"/>
        </w:rPr>
        <w:t>’</w:t>
      </w:r>
      <w:r w:rsidRPr="00AC51C7">
        <w:rPr>
          <w:rFonts w:ascii="Times New Roman" w:hAnsi="Times New Roman" w:cs="Times New Roman"/>
          <w:lang w:val="fr-FR"/>
        </w:rPr>
        <w:t>espèce, communiquant que les mesures de conservation pour le Vanneau sociable ont été incluses dans le « Rapport sur l</w:t>
      </w:r>
      <w:r>
        <w:rPr>
          <w:rFonts w:ascii="Times New Roman" w:hAnsi="Times New Roman" w:cs="Times New Roman"/>
          <w:lang w:val="fr-FR"/>
        </w:rPr>
        <w:t>’</w:t>
      </w:r>
      <w:r w:rsidRPr="00AC51C7">
        <w:rPr>
          <w:rFonts w:ascii="Times New Roman" w:hAnsi="Times New Roman" w:cs="Times New Roman"/>
          <w:lang w:val="fr-FR"/>
        </w:rPr>
        <w:t>inventaire et la définition des objectifs de la biodiversité nationale » de 2013</w:t>
      </w:r>
      <w:r>
        <w:rPr>
          <w:rFonts w:ascii="Times New Roman" w:hAnsi="Times New Roman" w:cs="Times New Roman"/>
          <w:lang w:val="fr-FR"/>
        </w:rPr>
        <w:t xml:space="preserve">, </w:t>
      </w:r>
      <w:r w:rsidRPr="00AC51C7">
        <w:rPr>
          <w:rFonts w:ascii="Times New Roman" w:hAnsi="Times New Roman" w:cs="Times New Roman"/>
          <w:lang w:val="fr-FR"/>
        </w:rPr>
        <w:t>produit sous l</w:t>
      </w:r>
      <w:r>
        <w:rPr>
          <w:rFonts w:ascii="Times New Roman" w:hAnsi="Times New Roman" w:cs="Times New Roman"/>
          <w:lang w:val="fr-FR"/>
        </w:rPr>
        <w:t>’</w:t>
      </w:r>
      <w:r w:rsidRPr="00AC51C7">
        <w:rPr>
          <w:rFonts w:ascii="Times New Roman" w:hAnsi="Times New Roman" w:cs="Times New Roman"/>
          <w:lang w:val="fr-FR"/>
        </w:rPr>
        <w:t>égide du ministère de l</w:t>
      </w:r>
      <w:r>
        <w:rPr>
          <w:rFonts w:ascii="Times New Roman" w:hAnsi="Times New Roman" w:cs="Times New Roman"/>
          <w:lang w:val="fr-FR"/>
        </w:rPr>
        <w:t>’</w:t>
      </w:r>
      <w:r w:rsidRPr="00AC51C7">
        <w:rPr>
          <w:rFonts w:ascii="Times New Roman" w:hAnsi="Times New Roman" w:cs="Times New Roman"/>
          <w:lang w:val="fr-FR"/>
        </w:rPr>
        <w:t>Environnement et des Ressources naturelles.</w:t>
      </w:r>
      <w:r w:rsidRPr="004B1407">
        <w:rPr>
          <w:rFonts w:ascii="Times New Roman" w:hAnsi="Times New Roman" w:cs="Times New Roman"/>
          <w:lang w:val="fr-FR"/>
        </w:rPr>
        <w:t xml:space="preserve"> </w:t>
      </w:r>
      <w:r w:rsidRPr="00AC51C7">
        <w:rPr>
          <w:rFonts w:ascii="Times New Roman" w:hAnsi="Times New Roman" w:cs="Times New Roman"/>
          <w:lang w:val="fr-FR"/>
        </w:rPr>
        <w:t>Aucun État de l</w:t>
      </w:r>
      <w:r>
        <w:rPr>
          <w:rFonts w:ascii="Times New Roman" w:hAnsi="Times New Roman" w:cs="Times New Roman"/>
          <w:lang w:val="fr-FR"/>
        </w:rPr>
        <w:t>’</w:t>
      </w:r>
      <w:r w:rsidRPr="00AC51C7">
        <w:rPr>
          <w:rFonts w:ascii="Times New Roman" w:hAnsi="Times New Roman" w:cs="Times New Roman"/>
          <w:lang w:val="fr-FR"/>
        </w:rPr>
        <w:t>aire de répartition n</w:t>
      </w:r>
      <w:r>
        <w:rPr>
          <w:rFonts w:ascii="Times New Roman" w:hAnsi="Times New Roman" w:cs="Times New Roman"/>
          <w:lang w:val="fr-FR"/>
        </w:rPr>
        <w:t>’</w:t>
      </w:r>
      <w:r w:rsidRPr="00AC51C7">
        <w:rPr>
          <w:rFonts w:ascii="Times New Roman" w:hAnsi="Times New Roman" w:cs="Times New Roman"/>
          <w:lang w:val="fr-FR"/>
        </w:rPr>
        <w:t>a mis en place un groupe de travail national pour le Vanneau sociable.</w:t>
      </w:r>
      <w:r w:rsidRPr="004B1407">
        <w:rPr>
          <w:rFonts w:ascii="Times New Roman" w:hAnsi="Times New Roman" w:cs="Times New Roman"/>
          <w:lang w:val="fr-FR"/>
        </w:rPr>
        <w:t xml:space="preserve"> </w:t>
      </w:r>
    </w:p>
    <w:p w14:paraId="34F65868" w14:textId="77777777" w:rsidR="00886A3C" w:rsidRPr="004B1407" w:rsidRDefault="00886A3C" w:rsidP="00886A3C">
      <w:pPr>
        <w:spacing w:after="0" w:line="240" w:lineRule="auto"/>
        <w:rPr>
          <w:rFonts w:ascii="Arial" w:hAnsi="Arial" w:cs="Arial"/>
          <w:i/>
          <w:sz w:val="20"/>
          <w:szCs w:val="20"/>
          <w:lang w:val="fr-FR"/>
        </w:rPr>
      </w:pPr>
    </w:p>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65"/>
      </w:tblGrid>
      <w:tr w:rsidR="00886A3C" w14:paraId="60E3AFDB" w14:textId="77777777" w:rsidTr="00886A3C">
        <w:trPr>
          <w:trHeight w:val="3337"/>
        </w:trPr>
        <w:tc>
          <w:tcPr>
            <w:tcW w:w="4476" w:type="dxa"/>
            <w:hideMark/>
          </w:tcPr>
          <w:p w14:paraId="69AA5197" w14:textId="77777777" w:rsidR="00886A3C" w:rsidRPr="009459F3" w:rsidRDefault="00886A3C" w:rsidP="00886A3C">
            <w:pPr>
              <w:rPr>
                <w:rFonts w:ascii="Arial" w:hAnsi="Arial" w:cs="Arial"/>
                <w:sz w:val="20"/>
                <w:szCs w:val="20"/>
              </w:rPr>
            </w:pPr>
            <w:r>
              <w:rPr>
                <w:noProof/>
              </w:rPr>
              <w:drawing>
                <wp:inline distT="0" distB="0" distL="0" distR="0" wp14:anchorId="46E22732" wp14:editId="6D068ED7">
                  <wp:extent cx="2743200" cy="2095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tc>
        <w:tc>
          <w:tcPr>
            <w:tcW w:w="4202" w:type="dxa"/>
            <w:hideMark/>
          </w:tcPr>
          <w:p w14:paraId="4608F675" w14:textId="77777777" w:rsidR="00886A3C" w:rsidRDefault="00886A3C" w:rsidP="00886A3C">
            <w:pPr>
              <w:rPr>
                <w:rFonts w:ascii="Arial" w:hAnsi="Arial" w:cs="Arial"/>
                <w:i/>
                <w:sz w:val="20"/>
                <w:szCs w:val="20"/>
              </w:rPr>
            </w:pPr>
            <w:r>
              <w:rPr>
                <w:noProof/>
              </w:rPr>
              <w:drawing>
                <wp:inline distT="0" distB="0" distL="0" distR="0" wp14:anchorId="2FA2BA9A" wp14:editId="10DD8063">
                  <wp:extent cx="2781300" cy="20669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tc>
      </w:tr>
    </w:tbl>
    <w:p w14:paraId="19DE5E18" w14:textId="77777777" w:rsidR="00886A3C" w:rsidRDefault="00886A3C" w:rsidP="00886A3C">
      <w:pPr>
        <w:spacing w:after="0" w:line="240" w:lineRule="auto"/>
        <w:rPr>
          <w:rFonts w:ascii="Arial" w:hAnsi="Arial" w:cs="Arial"/>
          <w:i/>
          <w:sz w:val="20"/>
          <w:szCs w:val="20"/>
        </w:rPr>
      </w:pPr>
    </w:p>
    <w:p w14:paraId="02CC8A07" w14:textId="77777777" w:rsidR="00886A3C" w:rsidRPr="004B1407" w:rsidRDefault="00886A3C" w:rsidP="00886A3C">
      <w:pPr>
        <w:spacing w:after="0" w:line="240" w:lineRule="auto"/>
        <w:ind w:left="709" w:firstLine="709"/>
        <w:rPr>
          <w:rFonts w:ascii="Arial" w:hAnsi="Arial" w:cs="Arial"/>
          <w:sz w:val="20"/>
          <w:szCs w:val="20"/>
          <w:lang w:val="fr-FR"/>
        </w:rPr>
      </w:pPr>
      <w:r w:rsidRPr="004B1407">
        <w:rPr>
          <w:rFonts w:ascii="Arial" w:hAnsi="Arial" w:cs="Arial"/>
          <w:sz w:val="20"/>
          <w:szCs w:val="20"/>
          <w:lang w:val="fr-FR"/>
        </w:rPr>
        <w:t xml:space="preserve">Oui </w:t>
      </w:r>
      <w:r w:rsidRPr="004B1407">
        <w:rPr>
          <w:rFonts w:ascii="Arial" w:hAnsi="Arial" w:cs="Arial"/>
          <w:sz w:val="20"/>
          <w:szCs w:val="20"/>
          <w:lang w:val="fr-FR"/>
        </w:rPr>
        <w:tab/>
      </w:r>
      <w:r w:rsidRPr="004B1407">
        <w:rPr>
          <w:rFonts w:ascii="Arial" w:hAnsi="Arial" w:cs="Arial"/>
          <w:sz w:val="20"/>
          <w:szCs w:val="20"/>
          <w:lang w:val="fr-FR"/>
        </w:rPr>
        <w:tab/>
        <w:t>Non</w:t>
      </w:r>
      <w:r w:rsidRPr="004B1407">
        <w:rPr>
          <w:rFonts w:ascii="Arial" w:hAnsi="Arial" w:cs="Arial"/>
          <w:sz w:val="20"/>
          <w:szCs w:val="20"/>
          <w:lang w:val="fr-FR"/>
        </w:rPr>
        <w:tab/>
      </w:r>
      <w:r w:rsidRPr="004B1407">
        <w:rPr>
          <w:rFonts w:ascii="Arial" w:hAnsi="Arial" w:cs="Arial"/>
          <w:sz w:val="20"/>
          <w:szCs w:val="20"/>
          <w:lang w:val="fr-FR"/>
        </w:rPr>
        <w:tab/>
      </w:r>
      <w:r w:rsidRPr="004B1407">
        <w:rPr>
          <w:rFonts w:ascii="Arial" w:hAnsi="Arial" w:cs="Arial"/>
          <w:sz w:val="20"/>
          <w:szCs w:val="20"/>
          <w:lang w:val="fr-FR"/>
        </w:rPr>
        <w:tab/>
      </w:r>
      <w:r w:rsidRPr="004B1407">
        <w:rPr>
          <w:rFonts w:ascii="Arial" w:hAnsi="Arial" w:cs="Arial"/>
          <w:sz w:val="20"/>
          <w:szCs w:val="20"/>
          <w:lang w:val="fr-FR"/>
        </w:rPr>
        <w:tab/>
        <w:t xml:space="preserve">Oui </w:t>
      </w:r>
      <w:r w:rsidRPr="004B1407">
        <w:rPr>
          <w:rFonts w:ascii="Arial" w:hAnsi="Arial" w:cs="Arial"/>
          <w:sz w:val="20"/>
          <w:szCs w:val="20"/>
          <w:lang w:val="fr-FR"/>
        </w:rPr>
        <w:tab/>
      </w:r>
      <w:r w:rsidRPr="004B1407">
        <w:rPr>
          <w:rFonts w:ascii="Arial" w:hAnsi="Arial" w:cs="Arial"/>
          <w:sz w:val="20"/>
          <w:szCs w:val="20"/>
          <w:lang w:val="fr-FR"/>
        </w:rPr>
        <w:tab/>
        <w:t>Non</w:t>
      </w:r>
    </w:p>
    <w:p w14:paraId="7BD7D0B5" w14:textId="77777777" w:rsidR="00886A3C" w:rsidRPr="004B1407" w:rsidRDefault="00886A3C" w:rsidP="00886A3C">
      <w:pPr>
        <w:spacing w:after="0" w:line="240" w:lineRule="auto"/>
        <w:rPr>
          <w:rFonts w:ascii="Arial" w:hAnsi="Arial" w:cs="Arial"/>
          <w:i/>
          <w:sz w:val="20"/>
          <w:szCs w:val="20"/>
          <w:lang w:val="fr-FR"/>
        </w:rPr>
      </w:pPr>
    </w:p>
    <w:p w14:paraId="5ACC3E01"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5. </w:t>
      </w:r>
      <w:r w:rsidRPr="00AC51C7">
        <w:rPr>
          <w:rFonts w:ascii="Times New Roman" w:hAnsi="Times New Roman" w:cs="Times New Roman"/>
          <w:i/>
          <w:lang w:val="fr-FR"/>
        </w:rPr>
        <w:t>Mise</w:t>
      </w:r>
      <w:r>
        <w:rPr>
          <w:rFonts w:ascii="Times New Roman" w:hAnsi="Times New Roman" w:cs="Times New Roman"/>
          <w:i/>
          <w:lang w:val="fr-FR"/>
        </w:rPr>
        <w:t xml:space="preserve"> </w:t>
      </w:r>
      <w:r w:rsidRPr="00AC51C7">
        <w:rPr>
          <w:rFonts w:ascii="Times New Roman" w:hAnsi="Times New Roman" w:cs="Times New Roman"/>
          <w:i/>
          <w:lang w:val="fr-FR"/>
        </w:rPr>
        <w:t xml:space="preserve">en œuvre des activités du </w:t>
      </w:r>
      <w:r>
        <w:rPr>
          <w:rFonts w:ascii="Times New Roman" w:hAnsi="Times New Roman" w:cs="Times New Roman"/>
          <w:i/>
          <w:lang w:val="fr-FR"/>
        </w:rPr>
        <w:t>plan</w:t>
      </w:r>
      <w:r w:rsidRPr="00AC51C7">
        <w:rPr>
          <w:rFonts w:ascii="Times New Roman" w:hAnsi="Times New Roman" w:cs="Times New Roman"/>
          <w:i/>
          <w:lang w:val="fr-FR"/>
        </w:rPr>
        <w:t xml:space="preserve"> d</w:t>
      </w:r>
      <w:r>
        <w:rPr>
          <w:rFonts w:ascii="Times New Roman" w:hAnsi="Times New Roman" w:cs="Times New Roman"/>
          <w:i/>
          <w:lang w:val="fr-FR"/>
        </w:rPr>
        <w:t>’</w:t>
      </w:r>
      <w:r w:rsidRPr="00AC51C7">
        <w:rPr>
          <w:rFonts w:ascii="Times New Roman" w:hAnsi="Times New Roman" w:cs="Times New Roman"/>
          <w:i/>
          <w:lang w:val="fr-FR"/>
        </w:rPr>
        <w:t>action</w:t>
      </w:r>
    </w:p>
    <w:p w14:paraId="68738E11" w14:textId="77777777" w:rsidR="00886A3C" w:rsidRPr="004B1407" w:rsidRDefault="00886A3C" w:rsidP="00886A3C">
      <w:pPr>
        <w:spacing w:after="0" w:line="240" w:lineRule="auto"/>
        <w:rPr>
          <w:rFonts w:ascii="Times New Roman" w:hAnsi="Times New Roman" w:cs="Times New Roman"/>
          <w:i/>
          <w:lang w:val="fr-FR"/>
        </w:rPr>
      </w:pPr>
    </w:p>
    <w:p w14:paraId="341E1CFC" w14:textId="77777777" w:rsidR="00886A3C" w:rsidRPr="004B1407" w:rsidRDefault="00886A3C" w:rsidP="00886A3C">
      <w:pPr>
        <w:spacing w:after="0" w:line="240" w:lineRule="auto"/>
        <w:rPr>
          <w:rFonts w:ascii="Times New Roman" w:hAnsi="Times New Roman" w:cs="Times New Roman"/>
          <w:i/>
          <w:lang w:val="fr-FR"/>
        </w:rPr>
      </w:pPr>
      <w:r w:rsidRPr="005058CF">
        <w:rPr>
          <w:rFonts w:ascii="Times New Roman" w:hAnsi="Times New Roman" w:cs="Times New Roman"/>
          <w:i/>
          <w:lang w:val="fr-FR"/>
        </w:rPr>
        <w:t>5.1. Résultat 1 – Taux de survie annuel de base identifié et augmenté d</w:t>
      </w:r>
      <w:r>
        <w:rPr>
          <w:rFonts w:ascii="Times New Roman" w:hAnsi="Times New Roman" w:cs="Times New Roman"/>
          <w:i/>
          <w:lang w:val="fr-FR"/>
        </w:rPr>
        <w:t>’</w:t>
      </w:r>
      <w:r w:rsidRPr="005058CF">
        <w:rPr>
          <w:rFonts w:ascii="Times New Roman" w:hAnsi="Times New Roman" w:cs="Times New Roman"/>
          <w:i/>
          <w:lang w:val="fr-FR"/>
        </w:rPr>
        <w:t>ici à 2022</w:t>
      </w:r>
    </w:p>
    <w:p w14:paraId="024ABE3A" w14:textId="77777777" w:rsidR="00886A3C" w:rsidRPr="004B1407" w:rsidRDefault="00886A3C" w:rsidP="00886A3C">
      <w:pPr>
        <w:spacing w:after="0" w:line="240" w:lineRule="auto"/>
        <w:jc w:val="both"/>
        <w:rPr>
          <w:rFonts w:ascii="Times New Roman" w:hAnsi="Times New Roman" w:cs="Times New Roman"/>
          <w:lang w:val="fr-FR"/>
        </w:rPr>
      </w:pPr>
    </w:p>
    <w:p w14:paraId="08705FE9" w14:textId="77777777" w:rsidR="00886A3C" w:rsidRPr="004B1407" w:rsidRDefault="00886A3C" w:rsidP="00886A3C">
      <w:pPr>
        <w:spacing w:after="0" w:line="240" w:lineRule="auto"/>
        <w:jc w:val="both"/>
        <w:rPr>
          <w:rFonts w:ascii="Times New Roman" w:hAnsi="Times New Roman" w:cs="Times New Roman"/>
          <w:lang w:val="fr-FR"/>
        </w:rPr>
      </w:pPr>
      <w:r w:rsidRPr="005058CF">
        <w:rPr>
          <w:rFonts w:ascii="Times New Roman" w:hAnsi="Times New Roman" w:cs="Times New Roman"/>
          <w:lang w:val="fr-FR"/>
        </w:rPr>
        <w:t>L</w:t>
      </w:r>
      <w:r>
        <w:rPr>
          <w:rFonts w:ascii="Times New Roman" w:hAnsi="Times New Roman" w:cs="Times New Roman"/>
          <w:lang w:val="fr-FR"/>
        </w:rPr>
        <w:t>’</w:t>
      </w:r>
      <w:r w:rsidRPr="005058CF">
        <w:rPr>
          <w:rFonts w:ascii="Times New Roman" w:hAnsi="Times New Roman" w:cs="Times New Roman"/>
          <w:b/>
          <w:lang w:val="fr-FR"/>
        </w:rPr>
        <w:t>action 1.1</w:t>
      </w:r>
      <w:r w:rsidRPr="00BE1CEB">
        <w:rPr>
          <w:rFonts w:ascii="Times New Roman" w:hAnsi="Times New Roman" w:cs="Times New Roman"/>
          <w:lang w:val="fr-FR"/>
        </w:rPr>
        <w:t xml:space="preserve">, </w:t>
      </w:r>
      <w:r w:rsidRPr="005058CF">
        <w:rPr>
          <w:rFonts w:ascii="Times New Roman" w:hAnsi="Times New Roman" w:cs="Times New Roman"/>
          <w:lang w:val="fr-FR"/>
        </w:rPr>
        <w:t>concernant l</w:t>
      </w:r>
      <w:r>
        <w:rPr>
          <w:rFonts w:ascii="Times New Roman" w:hAnsi="Times New Roman" w:cs="Times New Roman"/>
          <w:lang w:val="fr-FR"/>
        </w:rPr>
        <w:t>’</w:t>
      </w:r>
      <w:r w:rsidRPr="005058CF">
        <w:rPr>
          <w:rFonts w:ascii="Times New Roman" w:hAnsi="Times New Roman" w:cs="Times New Roman"/>
          <w:lang w:val="fr-FR"/>
        </w:rPr>
        <w:t>analyse des données issues du projet de baguage à l</w:t>
      </w:r>
      <w:r>
        <w:rPr>
          <w:rFonts w:ascii="Times New Roman" w:hAnsi="Times New Roman" w:cs="Times New Roman"/>
          <w:lang w:val="fr-FR"/>
        </w:rPr>
        <w:t>’</w:t>
      </w:r>
      <w:r w:rsidRPr="005058CF">
        <w:rPr>
          <w:rFonts w:ascii="Times New Roman" w:hAnsi="Times New Roman" w:cs="Times New Roman"/>
          <w:lang w:val="fr-FR"/>
        </w:rPr>
        <w:t>aide de différentes couleurs au Kazakhstan</w:t>
      </w:r>
      <w:r>
        <w:rPr>
          <w:rFonts w:ascii="Times New Roman" w:hAnsi="Times New Roman" w:cs="Times New Roman"/>
          <w:lang w:val="fr-FR"/>
        </w:rPr>
        <w:t>,</w:t>
      </w:r>
      <w:r w:rsidRPr="005058CF">
        <w:rPr>
          <w:rFonts w:ascii="Times New Roman" w:hAnsi="Times New Roman" w:cs="Times New Roman"/>
          <w:lang w:val="fr-FR"/>
        </w:rPr>
        <w:t xml:space="preserve"> a été désignée comme essentielle et seulement appliquée au Kazakhstan qui a fait part de </w:t>
      </w:r>
      <w:r>
        <w:rPr>
          <w:rFonts w:ascii="Times New Roman" w:hAnsi="Times New Roman" w:cs="Times New Roman"/>
          <w:lang w:val="fr-FR"/>
        </w:rPr>
        <w:t>s</w:t>
      </w:r>
      <w:r w:rsidRPr="005058CF">
        <w:rPr>
          <w:rFonts w:ascii="Times New Roman" w:hAnsi="Times New Roman" w:cs="Times New Roman"/>
          <w:lang w:val="fr-FR"/>
        </w:rPr>
        <w:t>a mise en œuvre (100</w:t>
      </w:r>
      <w:r>
        <w:rPr>
          <w:rFonts w:ascii="Times New Roman" w:hAnsi="Times New Roman" w:cs="Times New Roman"/>
          <w:lang w:val="fr-FR"/>
        </w:rPr>
        <w:t xml:space="preserve"> %</w:t>
      </w:r>
      <w:r w:rsidRPr="005058CF">
        <w:rPr>
          <w:rFonts w:ascii="Times New Roman" w:hAnsi="Times New Roman" w:cs="Times New Roman"/>
          <w:lang w:val="fr-FR"/>
        </w:rPr>
        <w:t>).</w:t>
      </w:r>
    </w:p>
    <w:p w14:paraId="5A1C20E6" w14:textId="77777777" w:rsidR="00886A3C" w:rsidRPr="004B1407" w:rsidRDefault="00886A3C" w:rsidP="00886A3C">
      <w:pPr>
        <w:spacing w:after="0" w:line="240" w:lineRule="auto"/>
        <w:jc w:val="both"/>
        <w:rPr>
          <w:rFonts w:ascii="Times New Roman" w:hAnsi="Times New Roman" w:cs="Times New Roman"/>
          <w:lang w:val="fr-FR"/>
        </w:rPr>
      </w:pPr>
    </w:p>
    <w:p w14:paraId="0426EB52" w14:textId="77777777" w:rsidR="00886A3C" w:rsidRPr="004B1407" w:rsidRDefault="00886A3C" w:rsidP="00886A3C">
      <w:pPr>
        <w:spacing w:after="0" w:line="240" w:lineRule="auto"/>
        <w:jc w:val="both"/>
        <w:rPr>
          <w:rFonts w:ascii="Times New Roman" w:hAnsi="Times New Roman" w:cs="Times New Roman"/>
          <w:lang w:val="fr-FR"/>
        </w:rPr>
      </w:pPr>
      <w:r w:rsidRPr="005058CF">
        <w:rPr>
          <w:rFonts w:ascii="Times New Roman" w:hAnsi="Times New Roman" w:cs="Times New Roman"/>
          <w:lang w:val="fr-FR"/>
        </w:rPr>
        <w:t>L</w:t>
      </w:r>
      <w:r>
        <w:rPr>
          <w:rFonts w:ascii="Times New Roman" w:hAnsi="Times New Roman" w:cs="Times New Roman"/>
          <w:lang w:val="fr-FR"/>
        </w:rPr>
        <w:t>’</w:t>
      </w:r>
      <w:r w:rsidRPr="005058CF">
        <w:rPr>
          <w:rFonts w:ascii="Times New Roman" w:hAnsi="Times New Roman" w:cs="Times New Roman"/>
          <w:b/>
          <w:lang w:val="fr-FR"/>
        </w:rPr>
        <w:t>action 1.2</w:t>
      </w:r>
      <w:r w:rsidRPr="00130211">
        <w:rPr>
          <w:rFonts w:ascii="Times New Roman" w:hAnsi="Times New Roman" w:cs="Times New Roman"/>
          <w:lang w:val="fr-FR"/>
        </w:rPr>
        <w:t>,</w:t>
      </w:r>
      <w:r w:rsidRPr="005058CF">
        <w:rPr>
          <w:rFonts w:ascii="Times New Roman" w:hAnsi="Times New Roman" w:cs="Times New Roman"/>
          <w:lang w:val="fr-FR"/>
        </w:rPr>
        <w:t xml:space="preserve"> concernant la réduction de</w:t>
      </w:r>
      <w:r>
        <w:rPr>
          <w:rFonts w:ascii="Times New Roman" w:hAnsi="Times New Roman" w:cs="Times New Roman"/>
          <w:lang w:val="fr-FR"/>
        </w:rPr>
        <w:t>s</w:t>
      </w:r>
      <w:r w:rsidRPr="005058CF">
        <w:rPr>
          <w:rFonts w:ascii="Times New Roman" w:hAnsi="Times New Roman" w:cs="Times New Roman"/>
          <w:lang w:val="fr-FR"/>
        </w:rPr>
        <w:t xml:space="preserve"> pertes des vanneaux sociables causées par la chasse le long des voies de migration à l</w:t>
      </w:r>
      <w:r>
        <w:rPr>
          <w:rFonts w:ascii="Times New Roman" w:hAnsi="Times New Roman" w:cs="Times New Roman"/>
          <w:lang w:val="fr-FR"/>
        </w:rPr>
        <w:t>’</w:t>
      </w:r>
      <w:r w:rsidRPr="005058CF">
        <w:rPr>
          <w:rFonts w:ascii="Times New Roman" w:hAnsi="Times New Roman" w:cs="Times New Roman"/>
          <w:lang w:val="fr-FR"/>
        </w:rPr>
        <w:t>aide d</w:t>
      </w:r>
      <w:r>
        <w:rPr>
          <w:rFonts w:ascii="Times New Roman" w:hAnsi="Times New Roman" w:cs="Times New Roman"/>
          <w:lang w:val="fr-FR"/>
        </w:rPr>
        <w:t>’</w:t>
      </w:r>
      <w:r w:rsidRPr="005058CF">
        <w:rPr>
          <w:rFonts w:ascii="Times New Roman" w:hAnsi="Times New Roman" w:cs="Times New Roman"/>
          <w:lang w:val="fr-FR"/>
        </w:rPr>
        <w:t>une législation efficacement appliquée</w:t>
      </w:r>
      <w:r>
        <w:rPr>
          <w:rFonts w:ascii="Times New Roman" w:hAnsi="Times New Roman" w:cs="Times New Roman"/>
          <w:lang w:val="fr-FR"/>
        </w:rPr>
        <w:t>s</w:t>
      </w:r>
      <w:r w:rsidRPr="005058CF">
        <w:rPr>
          <w:rFonts w:ascii="Times New Roman" w:hAnsi="Times New Roman" w:cs="Times New Roman"/>
          <w:lang w:val="fr-FR"/>
        </w:rPr>
        <w:t xml:space="preserve"> a été également désignée comme une activité essentielle, s</w:t>
      </w:r>
      <w:r>
        <w:rPr>
          <w:rFonts w:ascii="Times New Roman" w:hAnsi="Times New Roman" w:cs="Times New Roman"/>
          <w:lang w:val="fr-FR"/>
        </w:rPr>
        <w:t>’</w:t>
      </w:r>
      <w:r w:rsidRPr="005058CF">
        <w:rPr>
          <w:rFonts w:ascii="Times New Roman" w:hAnsi="Times New Roman" w:cs="Times New Roman"/>
          <w:lang w:val="fr-FR"/>
        </w:rPr>
        <w:t>appliquant à la Syrie, à l</w:t>
      </w:r>
      <w:r>
        <w:rPr>
          <w:rFonts w:ascii="Times New Roman" w:hAnsi="Times New Roman" w:cs="Times New Roman"/>
          <w:lang w:val="fr-FR"/>
        </w:rPr>
        <w:t>’</w:t>
      </w:r>
      <w:r w:rsidRPr="005058CF">
        <w:rPr>
          <w:rFonts w:ascii="Times New Roman" w:hAnsi="Times New Roman" w:cs="Times New Roman"/>
          <w:lang w:val="fr-FR"/>
        </w:rPr>
        <w:t>Iraq, à la Turquie et au Pakistan.</w:t>
      </w:r>
      <w:r w:rsidRPr="004B1407">
        <w:rPr>
          <w:rFonts w:ascii="Times New Roman" w:hAnsi="Times New Roman" w:cs="Times New Roman"/>
          <w:lang w:val="fr-FR"/>
        </w:rPr>
        <w:t xml:space="preserve"> </w:t>
      </w:r>
      <w:r w:rsidRPr="005058CF">
        <w:rPr>
          <w:rFonts w:ascii="Times New Roman" w:hAnsi="Times New Roman" w:cs="Times New Roman"/>
          <w:lang w:val="fr-FR"/>
        </w:rPr>
        <w:t>La Turquie, seul État de l</w:t>
      </w:r>
      <w:r>
        <w:rPr>
          <w:rFonts w:ascii="Times New Roman" w:hAnsi="Times New Roman" w:cs="Times New Roman"/>
          <w:lang w:val="fr-FR"/>
        </w:rPr>
        <w:t>’</w:t>
      </w:r>
      <w:r w:rsidRPr="005058CF">
        <w:rPr>
          <w:rFonts w:ascii="Times New Roman" w:hAnsi="Times New Roman" w:cs="Times New Roman"/>
          <w:lang w:val="fr-FR"/>
        </w:rPr>
        <w:t>aire de répartition à avoir répondu, fait part d</w:t>
      </w:r>
      <w:r>
        <w:rPr>
          <w:rFonts w:ascii="Times New Roman" w:hAnsi="Times New Roman" w:cs="Times New Roman"/>
          <w:lang w:val="fr-FR"/>
        </w:rPr>
        <w:t>’</w:t>
      </w:r>
      <w:r w:rsidRPr="005058CF">
        <w:rPr>
          <w:rFonts w:ascii="Times New Roman" w:hAnsi="Times New Roman" w:cs="Times New Roman"/>
          <w:lang w:val="fr-FR"/>
        </w:rPr>
        <w:t>une mise en œuvre de l</w:t>
      </w:r>
      <w:r>
        <w:rPr>
          <w:rFonts w:ascii="Times New Roman" w:hAnsi="Times New Roman" w:cs="Times New Roman"/>
          <w:lang w:val="fr-FR"/>
        </w:rPr>
        <w:t>’</w:t>
      </w:r>
      <w:r w:rsidRPr="005058CF">
        <w:rPr>
          <w:rFonts w:ascii="Times New Roman" w:hAnsi="Times New Roman" w:cs="Times New Roman"/>
          <w:lang w:val="fr-FR"/>
        </w:rPr>
        <w:t>activité par l</w:t>
      </w:r>
      <w:r>
        <w:rPr>
          <w:rFonts w:ascii="Times New Roman" w:hAnsi="Times New Roman" w:cs="Times New Roman"/>
          <w:lang w:val="fr-FR"/>
        </w:rPr>
        <w:t>’</w:t>
      </w:r>
      <w:r w:rsidRPr="005058CF">
        <w:rPr>
          <w:rFonts w:ascii="Times New Roman" w:hAnsi="Times New Roman" w:cs="Times New Roman"/>
          <w:lang w:val="fr-FR"/>
        </w:rPr>
        <w:t>ONG Doga Dernegi.</w:t>
      </w:r>
      <w:r w:rsidRPr="004B1407">
        <w:rPr>
          <w:rFonts w:ascii="Times New Roman" w:hAnsi="Times New Roman" w:cs="Times New Roman"/>
          <w:lang w:val="fr-FR"/>
        </w:rPr>
        <w:t xml:space="preserve"> </w:t>
      </w:r>
      <w:r w:rsidRPr="005058CF">
        <w:rPr>
          <w:rFonts w:ascii="Times New Roman" w:hAnsi="Times New Roman" w:cs="Times New Roman"/>
          <w:lang w:val="fr-FR"/>
        </w:rPr>
        <w:t>La mise en œuvre complète n</w:t>
      </w:r>
      <w:r>
        <w:rPr>
          <w:rFonts w:ascii="Times New Roman" w:hAnsi="Times New Roman" w:cs="Times New Roman"/>
          <w:lang w:val="fr-FR"/>
        </w:rPr>
        <w:t>’</w:t>
      </w:r>
      <w:r w:rsidRPr="005058CF">
        <w:rPr>
          <w:rFonts w:ascii="Times New Roman" w:hAnsi="Times New Roman" w:cs="Times New Roman"/>
          <w:lang w:val="fr-FR"/>
        </w:rPr>
        <w:t>a pas été réalisée, car cette espèce n</w:t>
      </w:r>
      <w:r>
        <w:rPr>
          <w:rFonts w:ascii="Times New Roman" w:hAnsi="Times New Roman" w:cs="Times New Roman"/>
          <w:lang w:val="fr-FR"/>
        </w:rPr>
        <w:t>’</w:t>
      </w:r>
      <w:r w:rsidRPr="005058CF">
        <w:rPr>
          <w:rFonts w:ascii="Times New Roman" w:hAnsi="Times New Roman" w:cs="Times New Roman"/>
          <w:lang w:val="fr-FR"/>
        </w:rPr>
        <w:t>a pas fait l</w:t>
      </w:r>
      <w:r>
        <w:rPr>
          <w:rFonts w:ascii="Times New Roman" w:hAnsi="Times New Roman" w:cs="Times New Roman"/>
          <w:lang w:val="fr-FR"/>
        </w:rPr>
        <w:t>’</w:t>
      </w:r>
      <w:r w:rsidRPr="005058CF">
        <w:rPr>
          <w:rFonts w:ascii="Times New Roman" w:hAnsi="Times New Roman" w:cs="Times New Roman"/>
          <w:lang w:val="fr-FR"/>
        </w:rPr>
        <w:t>objet d</w:t>
      </w:r>
      <w:r>
        <w:rPr>
          <w:rFonts w:ascii="Times New Roman" w:hAnsi="Times New Roman" w:cs="Times New Roman"/>
          <w:lang w:val="fr-FR"/>
        </w:rPr>
        <w:t>’</w:t>
      </w:r>
      <w:r w:rsidRPr="005058CF">
        <w:rPr>
          <w:rFonts w:ascii="Times New Roman" w:hAnsi="Times New Roman" w:cs="Times New Roman"/>
          <w:lang w:val="fr-FR"/>
        </w:rPr>
        <w:t>un</w:t>
      </w:r>
      <w:r>
        <w:rPr>
          <w:rFonts w:ascii="Times New Roman" w:hAnsi="Times New Roman" w:cs="Times New Roman"/>
          <w:lang w:val="fr-FR"/>
        </w:rPr>
        <w:t>e</w:t>
      </w:r>
      <w:r w:rsidRPr="005058CF">
        <w:rPr>
          <w:rFonts w:ascii="Times New Roman" w:hAnsi="Times New Roman" w:cs="Times New Roman"/>
          <w:lang w:val="fr-FR"/>
        </w:rPr>
        <w:t xml:space="preserve"> priorité pour une action de conservation au niveau national (0</w:t>
      </w:r>
      <w:r>
        <w:rPr>
          <w:rFonts w:ascii="Times New Roman" w:hAnsi="Times New Roman" w:cs="Times New Roman"/>
          <w:lang w:val="fr-FR"/>
        </w:rPr>
        <w:t> %</w:t>
      </w:r>
      <w:r w:rsidRPr="005058CF">
        <w:rPr>
          <w:rFonts w:ascii="Times New Roman" w:hAnsi="Times New Roman" w:cs="Times New Roman"/>
          <w:lang w:val="fr-FR"/>
        </w:rPr>
        <w:t>).</w:t>
      </w:r>
      <w:r w:rsidRPr="004B1407">
        <w:rPr>
          <w:rFonts w:ascii="Times New Roman" w:hAnsi="Times New Roman" w:cs="Times New Roman"/>
          <w:lang w:val="fr-FR"/>
        </w:rPr>
        <w:t xml:space="preserve"> </w:t>
      </w:r>
    </w:p>
    <w:p w14:paraId="641E4FD3" w14:textId="77777777" w:rsidR="00886A3C" w:rsidRPr="004B1407" w:rsidRDefault="00886A3C" w:rsidP="00886A3C">
      <w:pPr>
        <w:spacing w:after="0" w:line="240" w:lineRule="auto"/>
        <w:jc w:val="both"/>
        <w:rPr>
          <w:rFonts w:ascii="Times New Roman" w:hAnsi="Times New Roman" w:cs="Times New Roman"/>
          <w:lang w:val="fr-FR"/>
        </w:rPr>
      </w:pPr>
    </w:p>
    <w:p w14:paraId="79E943D7" w14:textId="77777777" w:rsidR="00886A3C" w:rsidRPr="004B1407" w:rsidRDefault="00886A3C" w:rsidP="00886A3C">
      <w:pPr>
        <w:spacing w:after="0" w:line="240" w:lineRule="auto"/>
        <w:rPr>
          <w:rFonts w:ascii="Times New Roman" w:hAnsi="Times New Roman" w:cs="Times New Roman"/>
          <w:b/>
          <w:lang w:val="fr-FR"/>
        </w:rPr>
      </w:pPr>
      <w:r w:rsidRPr="005058CF">
        <w:rPr>
          <w:rFonts w:ascii="Times New Roman" w:hAnsi="Times New Roman" w:cs="Times New Roman"/>
          <w:b/>
          <w:lang w:val="fr-FR"/>
        </w:rPr>
        <w:t>Taux moyen de mise en œuvre :</w:t>
      </w:r>
      <w:r>
        <w:rPr>
          <w:rFonts w:ascii="Times New Roman" w:hAnsi="Times New Roman" w:cs="Times New Roman"/>
          <w:b/>
          <w:lang w:val="fr-FR"/>
        </w:rPr>
        <w:t> </w:t>
      </w:r>
      <w:r w:rsidRPr="004B1407">
        <w:rPr>
          <w:rFonts w:ascii="Times New Roman" w:hAnsi="Times New Roman" w:cs="Times New Roman"/>
          <w:b/>
          <w:lang w:val="fr-FR"/>
        </w:rPr>
        <w:t xml:space="preserve">50 % </w:t>
      </w:r>
    </w:p>
    <w:p w14:paraId="04DC886B" w14:textId="77777777" w:rsidR="00886A3C" w:rsidRPr="004B1407" w:rsidRDefault="00886A3C" w:rsidP="00886A3C">
      <w:pPr>
        <w:spacing w:after="0" w:line="240" w:lineRule="auto"/>
        <w:rPr>
          <w:rFonts w:ascii="Times New Roman" w:hAnsi="Times New Roman" w:cs="Times New Roman"/>
          <w:lang w:val="fr-FR"/>
        </w:rPr>
      </w:pPr>
      <w:r w:rsidRPr="004B1407">
        <w:rPr>
          <w:rFonts w:ascii="Times New Roman" w:hAnsi="Times New Roman" w:cs="Times New Roman"/>
          <w:lang w:val="fr-FR"/>
        </w:rPr>
        <w:tab/>
      </w:r>
    </w:p>
    <w:p w14:paraId="1B6A2759" w14:textId="77777777" w:rsidR="00886A3C" w:rsidRPr="004B1407" w:rsidRDefault="00886A3C" w:rsidP="00886A3C">
      <w:pPr>
        <w:spacing w:after="0" w:line="240" w:lineRule="auto"/>
        <w:rPr>
          <w:rFonts w:ascii="Times New Roman" w:hAnsi="Times New Roman" w:cs="Times New Roman"/>
          <w:i/>
          <w:lang w:val="fr-FR"/>
        </w:rPr>
      </w:pPr>
      <w:r w:rsidRPr="004C5EE4">
        <w:rPr>
          <w:rFonts w:ascii="Times New Roman" w:hAnsi="Times New Roman" w:cs="Times New Roman"/>
          <w:i/>
          <w:lang w:val="fr-FR"/>
        </w:rPr>
        <w:t>5.2. Résultat 2 – la réussite de la reproduction est maximisée en maintenant les taux de survie du nid supérieure à 35</w:t>
      </w:r>
      <w:r>
        <w:rPr>
          <w:rFonts w:ascii="Times New Roman" w:hAnsi="Times New Roman" w:cs="Times New Roman"/>
          <w:i/>
          <w:lang w:val="fr-FR"/>
        </w:rPr>
        <w:t> %</w:t>
      </w:r>
      <w:r w:rsidRPr="004C5EE4">
        <w:rPr>
          <w:rFonts w:ascii="Times New Roman" w:hAnsi="Times New Roman" w:cs="Times New Roman"/>
          <w:i/>
          <w:lang w:val="fr-FR"/>
        </w:rPr>
        <w:t xml:space="preserve"> (moyenne sur 5 ans) et la moyenne de survie du poussin est supérieure à 0,75</w:t>
      </w:r>
      <w:r>
        <w:rPr>
          <w:rFonts w:ascii="Times New Roman" w:hAnsi="Times New Roman" w:cs="Times New Roman"/>
          <w:i/>
          <w:lang w:val="fr-FR"/>
        </w:rPr>
        <w:t xml:space="preserve"> </w:t>
      </w:r>
      <w:r w:rsidRPr="004C5EE4">
        <w:rPr>
          <w:rFonts w:ascii="Times New Roman" w:hAnsi="Times New Roman" w:cs="Times New Roman"/>
          <w:i/>
          <w:lang w:val="fr-FR"/>
        </w:rPr>
        <w:t>poussin ayant pris leur envol par femelle (moyenne sur 5 ans)</w:t>
      </w:r>
    </w:p>
    <w:p w14:paraId="527436D4" w14:textId="77777777" w:rsidR="00886A3C" w:rsidRPr="004B1407" w:rsidRDefault="00886A3C" w:rsidP="00886A3C">
      <w:pPr>
        <w:spacing w:after="0" w:line="240" w:lineRule="auto"/>
        <w:rPr>
          <w:rFonts w:ascii="Times New Roman" w:hAnsi="Times New Roman" w:cs="Times New Roman"/>
          <w:lang w:val="fr-FR"/>
        </w:rPr>
      </w:pPr>
    </w:p>
    <w:p w14:paraId="4F685761" w14:textId="77777777" w:rsidR="00886A3C" w:rsidRPr="004B1407" w:rsidRDefault="00886A3C" w:rsidP="00886A3C">
      <w:pPr>
        <w:spacing w:after="0" w:line="240" w:lineRule="auto"/>
        <w:jc w:val="both"/>
        <w:rPr>
          <w:rFonts w:ascii="Times New Roman" w:hAnsi="Times New Roman" w:cs="Times New Roman"/>
          <w:lang w:val="fr-FR"/>
        </w:rPr>
      </w:pPr>
      <w:r w:rsidRPr="004C5EE4">
        <w:rPr>
          <w:rFonts w:ascii="Times New Roman" w:hAnsi="Times New Roman" w:cs="Times New Roman"/>
          <w:lang w:val="fr-FR"/>
        </w:rPr>
        <w:t>L</w:t>
      </w:r>
      <w:r>
        <w:rPr>
          <w:rFonts w:ascii="Times New Roman" w:hAnsi="Times New Roman" w:cs="Times New Roman"/>
          <w:lang w:val="fr-FR"/>
        </w:rPr>
        <w:t>’</w:t>
      </w:r>
      <w:r w:rsidRPr="004C5EE4">
        <w:rPr>
          <w:rFonts w:ascii="Times New Roman" w:hAnsi="Times New Roman" w:cs="Times New Roman"/>
          <w:b/>
          <w:lang w:val="fr-FR"/>
        </w:rPr>
        <w:t>action 2.1</w:t>
      </w:r>
      <w:r w:rsidRPr="004C5EE4">
        <w:rPr>
          <w:rFonts w:ascii="Times New Roman" w:hAnsi="Times New Roman" w:cs="Times New Roman"/>
          <w:lang w:val="fr-FR"/>
        </w:rPr>
        <w:t>, visant à réduire le piétinement des nids au cours de la période de reproduction grâce à une gestion améliorée du bétail, a</w:t>
      </w:r>
      <w:r>
        <w:rPr>
          <w:rFonts w:ascii="Times New Roman" w:hAnsi="Times New Roman" w:cs="Times New Roman"/>
          <w:lang w:val="fr-FR"/>
        </w:rPr>
        <w:t xml:space="preserve"> </w:t>
      </w:r>
      <w:r w:rsidRPr="004C5EE4">
        <w:rPr>
          <w:rFonts w:ascii="Times New Roman" w:hAnsi="Times New Roman" w:cs="Times New Roman"/>
          <w:lang w:val="fr-FR"/>
        </w:rPr>
        <w:t>été désignée comme une activité essentielle, s</w:t>
      </w:r>
      <w:r>
        <w:rPr>
          <w:rFonts w:ascii="Times New Roman" w:hAnsi="Times New Roman" w:cs="Times New Roman"/>
          <w:lang w:val="fr-FR"/>
        </w:rPr>
        <w:t>’</w:t>
      </w:r>
      <w:r w:rsidRPr="004C5EE4">
        <w:rPr>
          <w:rFonts w:ascii="Times New Roman" w:hAnsi="Times New Roman" w:cs="Times New Roman"/>
          <w:lang w:val="fr-FR"/>
        </w:rPr>
        <w:t>appliquant au Kazakhstan et la Russie.</w:t>
      </w:r>
      <w:r w:rsidRPr="004B1407">
        <w:rPr>
          <w:rFonts w:ascii="Times New Roman" w:hAnsi="Times New Roman" w:cs="Times New Roman"/>
          <w:lang w:val="fr-FR"/>
        </w:rPr>
        <w:t xml:space="preserve"> Le </w:t>
      </w:r>
      <w:r w:rsidRPr="004C5EE4">
        <w:rPr>
          <w:rFonts w:ascii="Times New Roman" w:hAnsi="Times New Roman" w:cs="Times New Roman"/>
          <w:lang w:val="fr-FR"/>
        </w:rPr>
        <w:t>Kazakhstan a fait savoir qu</w:t>
      </w:r>
      <w:r>
        <w:rPr>
          <w:rFonts w:ascii="Times New Roman" w:hAnsi="Times New Roman" w:cs="Times New Roman"/>
          <w:lang w:val="fr-FR"/>
        </w:rPr>
        <w:t>’</w:t>
      </w:r>
      <w:r w:rsidRPr="004C5EE4">
        <w:rPr>
          <w:rFonts w:ascii="Times New Roman" w:hAnsi="Times New Roman" w:cs="Times New Roman"/>
          <w:lang w:val="fr-FR"/>
        </w:rPr>
        <w:t xml:space="preserve">il </w:t>
      </w:r>
      <w:r>
        <w:rPr>
          <w:rFonts w:ascii="Times New Roman" w:hAnsi="Times New Roman" w:cs="Times New Roman"/>
          <w:lang w:val="fr-FR"/>
        </w:rPr>
        <w:t>ne</w:t>
      </w:r>
      <w:r w:rsidRPr="004C5EE4">
        <w:rPr>
          <w:rFonts w:ascii="Times New Roman" w:hAnsi="Times New Roman" w:cs="Times New Roman"/>
          <w:lang w:val="fr-FR"/>
        </w:rPr>
        <w:t xml:space="preserve"> disposait pas de la capacité suffisante pour mettre en place cette activité du fait </w:t>
      </w:r>
      <w:r>
        <w:rPr>
          <w:rFonts w:ascii="Times New Roman" w:hAnsi="Times New Roman" w:cs="Times New Roman"/>
          <w:lang w:val="fr-FR"/>
        </w:rPr>
        <w:t>du nombre</w:t>
      </w:r>
      <w:r w:rsidRPr="004C5EE4">
        <w:rPr>
          <w:rFonts w:ascii="Times New Roman" w:hAnsi="Times New Roman" w:cs="Times New Roman"/>
          <w:lang w:val="fr-FR"/>
        </w:rPr>
        <w:t xml:space="preserve"> très important de bergers au Kazakhstan.</w:t>
      </w:r>
      <w:r w:rsidRPr="004B1407">
        <w:rPr>
          <w:rFonts w:ascii="Times New Roman" w:hAnsi="Times New Roman" w:cs="Times New Roman"/>
          <w:lang w:val="fr-FR"/>
        </w:rPr>
        <w:t xml:space="preserve"> </w:t>
      </w:r>
      <w:r w:rsidRPr="004C5EE4">
        <w:rPr>
          <w:rFonts w:ascii="Times New Roman" w:hAnsi="Times New Roman" w:cs="Times New Roman"/>
          <w:lang w:val="fr-FR"/>
        </w:rPr>
        <w:t>La Russie a indiqué qu</w:t>
      </w:r>
      <w:r>
        <w:rPr>
          <w:rFonts w:ascii="Times New Roman" w:hAnsi="Times New Roman" w:cs="Times New Roman"/>
          <w:lang w:val="fr-FR"/>
        </w:rPr>
        <w:t>’</w:t>
      </w:r>
      <w:r w:rsidRPr="004C5EE4">
        <w:rPr>
          <w:rFonts w:ascii="Times New Roman" w:hAnsi="Times New Roman" w:cs="Times New Roman"/>
          <w:lang w:val="fr-FR"/>
        </w:rPr>
        <w:t>aucune étude ni activité n</w:t>
      </w:r>
      <w:r>
        <w:rPr>
          <w:rFonts w:ascii="Times New Roman" w:hAnsi="Times New Roman" w:cs="Times New Roman"/>
          <w:lang w:val="fr-FR"/>
        </w:rPr>
        <w:t>’</w:t>
      </w:r>
      <w:r w:rsidRPr="004C5EE4">
        <w:rPr>
          <w:rFonts w:ascii="Times New Roman" w:hAnsi="Times New Roman" w:cs="Times New Roman"/>
          <w:lang w:val="fr-FR"/>
        </w:rPr>
        <w:t>avait été entreprise</w:t>
      </w:r>
      <w:r>
        <w:rPr>
          <w:rFonts w:ascii="Times New Roman" w:hAnsi="Times New Roman" w:cs="Times New Roman"/>
          <w:lang w:val="fr-FR"/>
        </w:rPr>
        <w:t xml:space="preserve"> </w:t>
      </w:r>
      <w:r w:rsidRPr="004C5EE4">
        <w:rPr>
          <w:rFonts w:ascii="Times New Roman" w:hAnsi="Times New Roman" w:cs="Times New Roman"/>
          <w:lang w:val="fr-FR"/>
        </w:rPr>
        <w:t xml:space="preserve">concernant la réussite de reproduction des vanneaux sociables dans les sites de reproduction russes au cours de la période 2008-2014, du fait </w:t>
      </w:r>
      <w:r>
        <w:rPr>
          <w:rFonts w:ascii="Times New Roman" w:hAnsi="Times New Roman" w:cs="Times New Roman"/>
          <w:lang w:val="fr-FR"/>
        </w:rPr>
        <w:t>de l’absence de</w:t>
      </w:r>
      <w:r w:rsidRPr="004C5EE4">
        <w:rPr>
          <w:rFonts w:ascii="Times New Roman" w:hAnsi="Times New Roman" w:cs="Times New Roman"/>
          <w:lang w:val="fr-FR"/>
        </w:rPr>
        <w:t xml:space="preserve"> sites de reproduction permanents de l</w:t>
      </w:r>
      <w:r>
        <w:rPr>
          <w:rFonts w:ascii="Times New Roman" w:hAnsi="Times New Roman" w:cs="Times New Roman"/>
          <w:lang w:val="fr-FR"/>
        </w:rPr>
        <w:t>’</w:t>
      </w:r>
      <w:r w:rsidRPr="004C5EE4">
        <w:rPr>
          <w:rFonts w:ascii="Times New Roman" w:hAnsi="Times New Roman" w:cs="Times New Roman"/>
          <w:lang w:val="fr-FR"/>
        </w:rPr>
        <w:t>espèce dans le pays.</w:t>
      </w:r>
      <w:r w:rsidRPr="004B1407">
        <w:rPr>
          <w:rFonts w:ascii="Times New Roman" w:hAnsi="Times New Roman" w:cs="Times New Roman"/>
          <w:lang w:val="fr-FR"/>
        </w:rPr>
        <w:t xml:space="preserve"> </w:t>
      </w:r>
      <w:r w:rsidRPr="00234909">
        <w:rPr>
          <w:rFonts w:ascii="Times New Roman" w:hAnsi="Times New Roman" w:cs="Times New Roman"/>
          <w:lang w:val="fr-FR"/>
        </w:rPr>
        <w:t>Les vanneaux sociables nichent irrégulièrement en Russie (pas chaque année) (0</w:t>
      </w:r>
      <w:r>
        <w:rPr>
          <w:rFonts w:ascii="Times New Roman" w:hAnsi="Times New Roman" w:cs="Times New Roman"/>
          <w:lang w:val="fr-FR"/>
        </w:rPr>
        <w:t> %</w:t>
      </w:r>
      <w:r w:rsidRPr="00234909">
        <w:rPr>
          <w:rFonts w:ascii="Times New Roman" w:hAnsi="Times New Roman" w:cs="Times New Roman"/>
          <w:lang w:val="fr-FR"/>
        </w:rPr>
        <w:t>).</w:t>
      </w:r>
    </w:p>
    <w:p w14:paraId="70ED0172" w14:textId="77777777" w:rsidR="00886A3C" w:rsidRPr="004B1407" w:rsidRDefault="00886A3C" w:rsidP="00886A3C">
      <w:pPr>
        <w:spacing w:after="0" w:line="240" w:lineRule="auto"/>
        <w:jc w:val="both"/>
        <w:rPr>
          <w:rFonts w:ascii="Times New Roman" w:hAnsi="Times New Roman" w:cs="Times New Roman"/>
          <w:lang w:val="fr-FR"/>
        </w:rPr>
      </w:pPr>
    </w:p>
    <w:p w14:paraId="4F5D711E" w14:textId="77777777" w:rsidR="00886A3C" w:rsidRPr="004B1407" w:rsidRDefault="00886A3C" w:rsidP="00886A3C">
      <w:pPr>
        <w:spacing w:after="0" w:line="240" w:lineRule="auto"/>
        <w:jc w:val="both"/>
        <w:rPr>
          <w:rFonts w:ascii="Times New Roman" w:hAnsi="Times New Roman" w:cs="Times New Roman"/>
          <w:lang w:val="fr-FR"/>
        </w:rPr>
      </w:pPr>
      <w:r w:rsidRPr="00234909">
        <w:rPr>
          <w:rFonts w:ascii="Times New Roman" w:hAnsi="Times New Roman" w:cs="Times New Roman"/>
          <w:lang w:val="fr-FR"/>
        </w:rPr>
        <w:t>L</w:t>
      </w:r>
      <w:r>
        <w:rPr>
          <w:rFonts w:ascii="Times New Roman" w:hAnsi="Times New Roman" w:cs="Times New Roman"/>
          <w:lang w:val="fr-FR"/>
        </w:rPr>
        <w:t>’</w:t>
      </w:r>
      <w:r w:rsidRPr="00234909">
        <w:rPr>
          <w:rFonts w:ascii="Times New Roman" w:hAnsi="Times New Roman" w:cs="Times New Roman"/>
          <w:b/>
          <w:lang w:val="fr-FR"/>
        </w:rPr>
        <w:t>action 2.2</w:t>
      </w:r>
      <w:r w:rsidRPr="00130211">
        <w:rPr>
          <w:rFonts w:ascii="Times New Roman" w:hAnsi="Times New Roman" w:cs="Times New Roman"/>
          <w:lang w:val="fr-FR"/>
        </w:rPr>
        <w:t>,</w:t>
      </w:r>
      <w:r>
        <w:rPr>
          <w:rFonts w:ascii="Times New Roman" w:hAnsi="Times New Roman" w:cs="Times New Roman"/>
          <w:lang w:val="fr-FR"/>
        </w:rPr>
        <w:t xml:space="preserve"> </w:t>
      </w:r>
      <w:r w:rsidRPr="00234909">
        <w:rPr>
          <w:rFonts w:ascii="Times New Roman" w:hAnsi="Times New Roman" w:cs="Times New Roman"/>
          <w:lang w:val="fr-FR"/>
        </w:rPr>
        <w:t>concernant l</w:t>
      </w:r>
      <w:r>
        <w:rPr>
          <w:rFonts w:ascii="Times New Roman" w:hAnsi="Times New Roman" w:cs="Times New Roman"/>
          <w:lang w:val="fr-FR"/>
        </w:rPr>
        <w:t>’</w:t>
      </w:r>
      <w:r w:rsidRPr="00234909">
        <w:rPr>
          <w:rFonts w:ascii="Times New Roman" w:hAnsi="Times New Roman" w:cs="Times New Roman"/>
          <w:lang w:val="fr-FR"/>
        </w:rPr>
        <w:t>identification des sites clés de reproduction dans toute l</w:t>
      </w:r>
      <w:r>
        <w:rPr>
          <w:rFonts w:ascii="Times New Roman" w:hAnsi="Times New Roman" w:cs="Times New Roman"/>
          <w:lang w:val="fr-FR"/>
        </w:rPr>
        <w:t>’</w:t>
      </w:r>
      <w:r w:rsidRPr="00234909">
        <w:rPr>
          <w:rFonts w:ascii="Times New Roman" w:hAnsi="Times New Roman" w:cs="Times New Roman"/>
          <w:lang w:val="fr-FR"/>
        </w:rPr>
        <w:t>aire de reproduction</w:t>
      </w:r>
      <w:r>
        <w:rPr>
          <w:rFonts w:ascii="Times New Roman" w:hAnsi="Times New Roman" w:cs="Times New Roman"/>
          <w:lang w:val="fr-FR"/>
        </w:rPr>
        <w:t>,</w:t>
      </w:r>
      <w:r w:rsidRPr="00234909">
        <w:rPr>
          <w:rFonts w:ascii="Times New Roman" w:hAnsi="Times New Roman" w:cs="Times New Roman"/>
          <w:lang w:val="fr-FR"/>
        </w:rPr>
        <w:t xml:space="preserve"> a également été classée comme ayant une priorité élevée</w:t>
      </w:r>
      <w:r>
        <w:rPr>
          <w:rFonts w:ascii="Times New Roman" w:hAnsi="Times New Roman" w:cs="Times New Roman"/>
          <w:lang w:val="fr-FR"/>
        </w:rPr>
        <w:t>,</w:t>
      </w:r>
      <w:r w:rsidRPr="00234909">
        <w:rPr>
          <w:rFonts w:ascii="Times New Roman" w:hAnsi="Times New Roman" w:cs="Times New Roman"/>
          <w:lang w:val="fr-FR"/>
        </w:rPr>
        <w:t xml:space="preserve"> et cette fois encore</w:t>
      </w:r>
      <w:r>
        <w:rPr>
          <w:rFonts w:ascii="Times New Roman" w:hAnsi="Times New Roman" w:cs="Times New Roman"/>
          <w:lang w:val="fr-FR"/>
        </w:rPr>
        <w:t>,</w:t>
      </w:r>
      <w:r w:rsidRPr="00234909">
        <w:rPr>
          <w:rFonts w:ascii="Times New Roman" w:hAnsi="Times New Roman" w:cs="Times New Roman"/>
          <w:lang w:val="fr-FR"/>
        </w:rPr>
        <w:t xml:space="preserve"> s</w:t>
      </w:r>
      <w:r>
        <w:rPr>
          <w:rFonts w:ascii="Times New Roman" w:hAnsi="Times New Roman" w:cs="Times New Roman"/>
          <w:lang w:val="fr-FR"/>
        </w:rPr>
        <w:t>’</w:t>
      </w:r>
      <w:r w:rsidRPr="00234909">
        <w:rPr>
          <w:rFonts w:ascii="Times New Roman" w:hAnsi="Times New Roman" w:cs="Times New Roman"/>
          <w:lang w:val="fr-FR"/>
        </w:rPr>
        <w:t>appliquait seulement au Kazakhstan et à la Russie.</w:t>
      </w:r>
      <w:r w:rsidRPr="004B1407">
        <w:rPr>
          <w:rFonts w:ascii="Times New Roman" w:hAnsi="Times New Roman" w:cs="Times New Roman"/>
          <w:lang w:val="fr-FR"/>
        </w:rPr>
        <w:t xml:space="preserve"> </w:t>
      </w:r>
      <w:r w:rsidRPr="00234909">
        <w:rPr>
          <w:rFonts w:ascii="Times New Roman" w:hAnsi="Times New Roman" w:cs="Times New Roman"/>
          <w:lang w:val="fr-FR"/>
        </w:rPr>
        <w:t>Le Kazakhstan a fait part de la mise en œuvre</w:t>
      </w:r>
      <w:r>
        <w:rPr>
          <w:rFonts w:ascii="Times New Roman" w:hAnsi="Times New Roman" w:cs="Times New Roman"/>
          <w:lang w:val="fr-FR"/>
        </w:rPr>
        <w:t xml:space="preserve"> </w:t>
      </w:r>
      <w:r w:rsidRPr="00234909">
        <w:rPr>
          <w:rFonts w:ascii="Times New Roman" w:hAnsi="Times New Roman" w:cs="Times New Roman"/>
          <w:lang w:val="fr-FR"/>
        </w:rPr>
        <w:t>de cette action</w:t>
      </w:r>
      <w:r>
        <w:rPr>
          <w:rFonts w:ascii="Times New Roman" w:hAnsi="Times New Roman" w:cs="Times New Roman"/>
          <w:lang w:val="fr-FR"/>
        </w:rPr>
        <w:t xml:space="preserve">. </w:t>
      </w:r>
      <w:r w:rsidRPr="00234909">
        <w:rPr>
          <w:rFonts w:ascii="Times New Roman" w:hAnsi="Times New Roman" w:cs="Times New Roman"/>
          <w:lang w:val="fr-FR"/>
        </w:rPr>
        <w:t>Une enquête coordonnée de l</w:t>
      </w:r>
      <w:r>
        <w:rPr>
          <w:rFonts w:ascii="Times New Roman" w:hAnsi="Times New Roman" w:cs="Times New Roman"/>
          <w:lang w:val="fr-FR"/>
        </w:rPr>
        <w:t>’</w:t>
      </w:r>
      <w:r w:rsidRPr="00234909">
        <w:rPr>
          <w:rFonts w:ascii="Times New Roman" w:hAnsi="Times New Roman" w:cs="Times New Roman"/>
          <w:lang w:val="fr-FR"/>
        </w:rPr>
        <w:t>ensemble de la zone de steppes du Kazakhstan a été réalisée en 2013 à ces fins.</w:t>
      </w:r>
      <w:r w:rsidRPr="004B1407">
        <w:rPr>
          <w:rFonts w:ascii="Times New Roman" w:hAnsi="Times New Roman" w:cs="Times New Roman"/>
          <w:lang w:val="fr-FR"/>
        </w:rPr>
        <w:t xml:space="preserve"> </w:t>
      </w:r>
      <w:r w:rsidRPr="00234909">
        <w:rPr>
          <w:rFonts w:ascii="Times New Roman" w:hAnsi="Times New Roman" w:cs="Times New Roman"/>
          <w:lang w:val="fr-FR"/>
        </w:rPr>
        <w:t>La Russie a aussi fait part de la mise en œuvre</w:t>
      </w:r>
      <w:r>
        <w:rPr>
          <w:rFonts w:ascii="Times New Roman" w:hAnsi="Times New Roman" w:cs="Times New Roman"/>
          <w:lang w:val="fr-FR"/>
        </w:rPr>
        <w:t xml:space="preserve"> </w:t>
      </w:r>
      <w:r w:rsidRPr="00234909">
        <w:rPr>
          <w:rFonts w:ascii="Times New Roman" w:hAnsi="Times New Roman" w:cs="Times New Roman"/>
          <w:lang w:val="fr-FR"/>
        </w:rPr>
        <w:t>de cette action :</w:t>
      </w:r>
      <w:r w:rsidRPr="004B1407">
        <w:rPr>
          <w:rFonts w:ascii="Times New Roman" w:hAnsi="Times New Roman" w:cs="Times New Roman"/>
          <w:lang w:val="fr-FR"/>
        </w:rPr>
        <w:t xml:space="preserve"> </w:t>
      </w:r>
      <w:r w:rsidRPr="00234909">
        <w:rPr>
          <w:rFonts w:ascii="Times New Roman" w:hAnsi="Times New Roman" w:cs="Times New Roman"/>
          <w:lang w:val="fr-FR"/>
        </w:rPr>
        <w:t>un nouveau site de reproduction comprenant cinq couples a été découvert</w:t>
      </w:r>
      <w:r>
        <w:rPr>
          <w:rFonts w:ascii="Times New Roman" w:hAnsi="Times New Roman" w:cs="Times New Roman"/>
          <w:lang w:val="fr-FR"/>
        </w:rPr>
        <w:t xml:space="preserve"> dans l’oblast de</w:t>
      </w:r>
      <w:r w:rsidRPr="00234909">
        <w:rPr>
          <w:rFonts w:ascii="Times New Roman" w:hAnsi="Times New Roman" w:cs="Times New Roman"/>
          <w:lang w:val="fr-FR"/>
        </w:rPr>
        <w:t xml:space="preserve"> Saratov en 2014 (100</w:t>
      </w:r>
      <w:r>
        <w:rPr>
          <w:rFonts w:ascii="Times New Roman" w:hAnsi="Times New Roman" w:cs="Times New Roman"/>
          <w:lang w:val="fr-FR"/>
        </w:rPr>
        <w:t> %</w:t>
      </w:r>
      <w:r w:rsidRPr="00234909">
        <w:rPr>
          <w:rFonts w:ascii="Times New Roman" w:hAnsi="Times New Roman" w:cs="Times New Roman"/>
          <w:lang w:val="fr-FR"/>
        </w:rPr>
        <w:t>).</w:t>
      </w:r>
    </w:p>
    <w:p w14:paraId="4EC96BBB" w14:textId="77777777" w:rsidR="00886A3C" w:rsidRPr="004B1407" w:rsidRDefault="00886A3C" w:rsidP="00886A3C">
      <w:pPr>
        <w:spacing w:after="0" w:line="240" w:lineRule="auto"/>
        <w:jc w:val="both"/>
        <w:rPr>
          <w:rFonts w:ascii="Times New Roman" w:hAnsi="Times New Roman" w:cs="Times New Roman"/>
          <w:lang w:val="fr-FR"/>
        </w:rPr>
      </w:pPr>
    </w:p>
    <w:p w14:paraId="2036CAFD" w14:textId="77777777" w:rsidR="00886A3C" w:rsidRPr="004B1407" w:rsidRDefault="00886A3C" w:rsidP="00886A3C">
      <w:pPr>
        <w:spacing w:after="0" w:line="240" w:lineRule="auto"/>
        <w:rPr>
          <w:rFonts w:ascii="Times New Roman" w:hAnsi="Times New Roman" w:cs="Times New Roman"/>
          <w:b/>
          <w:lang w:val="fr-FR"/>
        </w:rPr>
      </w:pPr>
      <w:r w:rsidRPr="00234909">
        <w:rPr>
          <w:rFonts w:ascii="Times New Roman" w:hAnsi="Times New Roman" w:cs="Times New Roman"/>
          <w:b/>
          <w:lang w:val="fr-FR"/>
        </w:rPr>
        <w:t>Taux moyen de mise en œuvre :</w:t>
      </w:r>
      <w:r>
        <w:rPr>
          <w:rFonts w:ascii="Times New Roman" w:hAnsi="Times New Roman" w:cs="Times New Roman"/>
          <w:b/>
          <w:lang w:val="fr-FR"/>
        </w:rPr>
        <w:t> </w:t>
      </w:r>
      <w:r w:rsidRPr="004B1407">
        <w:rPr>
          <w:rFonts w:ascii="Times New Roman" w:hAnsi="Times New Roman" w:cs="Times New Roman"/>
          <w:b/>
          <w:lang w:val="fr-FR"/>
        </w:rPr>
        <w:t xml:space="preserve">50 % </w:t>
      </w:r>
    </w:p>
    <w:p w14:paraId="71160E85" w14:textId="77777777" w:rsidR="00886A3C" w:rsidRPr="004B1407" w:rsidRDefault="00886A3C" w:rsidP="00886A3C">
      <w:pPr>
        <w:spacing w:after="0" w:line="240" w:lineRule="auto"/>
        <w:rPr>
          <w:rFonts w:ascii="Arial" w:hAnsi="Arial" w:cs="Arial"/>
          <w:sz w:val="20"/>
          <w:szCs w:val="20"/>
          <w:lang w:val="fr-FR"/>
        </w:rPr>
      </w:pPr>
    </w:p>
    <w:p w14:paraId="7637F083" w14:textId="77777777" w:rsidR="00886A3C" w:rsidRPr="004B1407" w:rsidRDefault="00886A3C" w:rsidP="00886A3C">
      <w:pPr>
        <w:spacing w:after="0" w:line="240" w:lineRule="auto"/>
        <w:rPr>
          <w:rFonts w:ascii="Times New Roman" w:hAnsi="Times New Roman" w:cs="Times New Roman"/>
          <w:i/>
          <w:lang w:val="fr-FR"/>
        </w:rPr>
      </w:pPr>
      <w:r w:rsidRPr="00234909">
        <w:rPr>
          <w:rFonts w:ascii="Times New Roman" w:hAnsi="Times New Roman" w:cs="Times New Roman"/>
          <w:i/>
          <w:lang w:val="fr-FR"/>
        </w:rPr>
        <w:t>5.3. Résultat 3 – Tous les sites clés le long des voies de migration sont protégés et adéquatement gérés</w:t>
      </w:r>
    </w:p>
    <w:p w14:paraId="5B12B684" w14:textId="77777777" w:rsidR="00886A3C" w:rsidRPr="004B1407" w:rsidRDefault="00886A3C" w:rsidP="00886A3C">
      <w:pPr>
        <w:spacing w:after="0" w:line="240" w:lineRule="auto"/>
        <w:rPr>
          <w:rFonts w:ascii="Times New Roman" w:hAnsi="Times New Roman" w:cs="Times New Roman"/>
          <w:lang w:val="fr-FR"/>
        </w:rPr>
      </w:pPr>
    </w:p>
    <w:p w14:paraId="77F0D990" w14:textId="77777777" w:rsidR="00886A3C" w:rsidRPr="004B1407" w:rsidRDefault="00886A3C" w:rsidP="00886A3C">
      <w:pPr>
        <w:spacing w:after="0" w:line="240" w:lineRule="auto"/>
        <w:jc w:val="both"/>
        <w:rPr>
          <w:rFonts w:ascii="Times New Roman" w:hAnsi="Times New Roman" w:cs="Times New Roman"/>
          <w:lang w:val="fr-FR"/>
        </w:rPr>
      </w:pPr>
      <w:r w:rsidRPr="00130211">
        <w:rPr>
          <w:rFonts w:ascii="Times New Roman" w:hAnsi="Times New Roman" w:cs="Times New Roman"/>
          <w:lang w:val="fr-FR"/>
        </w:rPr>
        <w:t>L’</w:t>
      </w:r>
      <w:r w:rsidRPr="00234909">
        <w:rPr>
          <w:rFonts w:ascii="Times New Roman" w:hAnsi="Times New Roman" w:cs="Times New Roman"/>
          <w:b/>
          <w:lang w:val="fr-FR"/>
        </w:rPr>
        <w:t>action 3.1</w:t>
      </w:r>
      <w:r>
        <w:rPr>
          <w:rFonts w:ascii="Times New Roman" w:hAnsi="Times New Roman" w:cs="Times New Roman"/>
          <w:b/>
          <w:lang w:val="fr-FR"/>
        </w:rPr>
        <w:t>,</w:t>
      </w:r>
      <w:r w:rsidRPr="00234909">
        <w:rPr>
          <w:rFonts w:ascii="Times New Roman" w:hAnsi="Times New Roman" w:cs="Times New Roman"/>
          <w:lang w:val="fr-FR"/>
        </w:rPr>
        <w:t xml:space="preserve"> visant à protéger et </w:t>
      </w:r>
      <w:r>
        <w:rPr>
          <w:rFonts w:ascii="Times New Roman" w:hAnsi="Times New Roman" w:cs="Times New Roman"/>
          <w:lang w:val="fr-FR"/>
        </w:rPr>
        <w:t xml:space="preserve">à </w:t>
      </w:r>
      <w:r w:rsidRPr="00234909">
        <w:rPr>
          <w:rFonts w:ascii="Times New Roman" w:hAnsi="Times New Roman" w:cs="Times New Roman"/>
          <w:lang w:val="fr-FR"/>
        </w:rPr>
        <w:t>gérer les aires de halte clés connues</w:t>
      </w:r>
      <w:r>
        <w:rPr>
          <w:rFonts w:ascii="Times New Roman" w:hAnsi="Times New Roman" w:cs="Times New Roman"/>
          <w:lang w:val="fr-FR"/>
        </w:rPr>
        <w:t>,</w:t>
      </w:r>
      <w:r w:rsidRPr="00234909">
        <w:rPr>
          <w:rFonts w:ascii="Times New Roman" w:hAnsi="Times New Roman" w:cs="Times New Roman"/>
          <w:lang w:val="fr-FR"/>
        </w:rPr>
        <w:t xml:space="preserve"> s</w:t>
      </w:r>
      <w:r>
        <w:rPr>
          <w:rFonts w:ascii="Times New Roman" w:hAnsi="Times New Roman" w:cs="Times New Roman"/>
          <w:lang w:val="fr-FR"/>
        </w:rPr>
        <w:t>’</w:t>
      </w:r>
      <w:r w:rsidRPr="00234909">
        <w:rPr>
          <w:rFonts w:ascii="Times New Roman" w:hAnsi="Times New Roman" w:cs="Times New Roman"/>
          <w:lang w:val="fr-FR"/>
        </w:rPr>
        <w:t>appliquait à tous les États de l</w:t>
      </w:r>
      <w:r>
        <w:rPr>
          <w:rFonts w:ascii="Times New Roman" w:hAnsi="Times New Roman" w:cs="Times New Roman"/>
          <w:lang w:val="fr-FR"/>
        </w:rPr>
        <w:t>’</w:t>
      </w:r>
      <w:r w:rsidRPr="00234909">
        <w:rPr>
          <w:rFonts w:ascii="Times New Roman" w:hAnsi="Times New Roman" w:cs="Times New Roman"/>
          <w:lang w:val="fr-FR"/>
        </w:rPr>
        <w:t>aire de répartition et était classée comme ayant une priorité élevée.</w:t>
      </w:r>
      <w:r w:rsidRPr="004B1407">
        <w:rPr>
          <w:rFonts w:ascii="Times New Roman" w:hAnsi="Times New Roman" w:cs="Times New Roman"/>
          <w:lang w:val="fr-FR"/>
        </w:rPr>
        <w:t xml:space="preserve"> </w:t>
      </w:r>
      <w:r w:rsidRPr="00234909">
        <w:rPr>
          <w:rFonts w:ascii="Times New Roman" w:hAnsi="Times New Roman" w:cs="Times New Roman"/>
          <w:lang w:val="fr-FR"/>
        </w:rPr>
        <w:t>Aucun des pays n</w:t>
      </w:r>
      <w:r>
        <w:rPr>
          <w:rFonts w:ascii="Times New Roman" w:hAnsi="Times New Roman" w:cs="Times New Roman"/>
          <w:lang w:val="fr-FR"/>
        </w:rPr>
        <w:t>’</w:t>
      </w:r>
      <w:r w:rsidRPr="00234909">
        <w:rPr>
          <w:rFonts w:ascii="Times New Roman" w:hAnsi="Times New Roman" w:cs="Times New Roman"/>
          <w:lang w:val="fr-FR"/>
        </w:rPr>
        <w:t>a indiqué avoir intégralement mis en œuvre cette action.</w:t>
      </w:r>
      <w:r w:rsidRPr="004B1407">
        <w:rPr>
          <w:rFonts w:ascii="Times New Roman" w:hAnsi="Times New Roman" w:cs="Times New Roman"/>
          <w:lang w:val="fr-FR"/>
        </w:rPr>
        <w:t xml:space="preserve"> Le </w:t>
      </w:r>
      <w:r w:rsidRPr="002E7ED7">
        <w:rPr>
          <w:rFonts w:ascii="Times New Roman" w:hAnsi="Times New Roman" w:cs="Times New Roman"/>
          <w:lang w:val="fr-FR"/>
        </w:rPr>
        <w:t>Kazakhstan a indiqué que comme les sites de halte sont situé</w:t>
      </w:r>
      <w:r>
        <w:rPr>
          <w:rFonts w:ascii="Times New Roman" w:hAnsi="Times New Roman" w:cs="Times New Roman"/>
          <w:lang w:val="fr-FR"/>
        </w:rPr>
        <w:t>s</w:t>
      </w:r>
      <w:r w:rsidRPr="002E7ED7">
        <w:rPr>
          <w:rFonts w:ascii="Times New Roman" w:hAnsi="Times New Roman" w:cs="Times New Roman"/>
          <w:lang w:val="fr-FR"/>
        </w:rPr>
        <w:t xml:space="preserve"> dans des zones de pâturage intensif, il est impossible d</w:t>
      </w:r>
      <w:r>
        <w:rPr>
          <w:rFonts w:ascii="Times New Roman" w:hAnsi="Times New Roman" w:cs="Times New Roman"/>
          <w:lang w:val="fr-FR"/>
        </w:rPr>
        <w:t>’</w:t>
      </w:r>
      <w:r w:rsidRPr="002E7ED7">
        <w:rPr>
          <w:rFonts w:ascii="Times New Roman" w:hAnsi="Times New Roman" w:cs="Times New Roman"/>
          <w:lang w:val="fr-FR"/>
        </w:rPr>
        <w:t>y établir des aires protégées.</w:t>
      </w:r>
      <w:r w:rsidRPr="004B1407">
        <w:rPr>
          <w:rFonts w:ascii="Times New Roman" w:hAnsi="Times New Roman" w:cs="Times New Roman"/>
          <w:lang w:val="fr-FR"/>
        </w:rPr>
        <w:t xml:space="preserve"> </w:t>
      </w:r>
      <w:r w:rsidRPr="002E7ED7">
        <w:rPr>
          <w:rFonts w:ascii="Times New Roman" w:hAnsi="Times New Roman" w:cs="Times New Roman"/>
          <w:lang w:val="fr-FR"/>
        </w:rPr>
        <w:t>La Turquie a également indiqué qu</w:t>
      </w:r>
      <w:r>
        <w:rPr>
          <w:rFonts w:ascii="Times New Roman" w:hAnsi="Times New Roman" w:cs="Times New Roman"/>
          <w:lang w:val="fr-FR"/>
        </w:rPr>
        <w:t>’</w:t>
      </w:r>
      <w:r w:rsidRPr="002E7ED7">
        <w:rPr>
          <w:rFonts w:ascii="Times New Roman" w:hAnsi="Times New Roman" w:cs="Times New Roman"/>
          <w:lang w:val="fr-FR"/>
        </w:rPr>
        <w:t>elle n</w:t>
      </w:r>
      <w:r>
        <w:rPr>
          <w:rFonts w:ascii="Times New Roman" w:hAnsi="Times New Roman" w:cs="Times New Roman"/>
          <w:lang w:val="fr-FR"/>
        </w:rPr>
        <w:t>’</w:t>
      </w:r>
      <w:r w:rsidRPr="002E7ED7">
        <w:rPr>
          <w:rFonts w:ascii="Times New Roman" w:hAnsi="Times New Roman" w:cs="Times New Roman"/>
          <w:lang w:val="fr-FR"/>
        </w:rPr>
        <w:t>avait pas mis en œuvre cette action du fait qu</w:t>
      </w:r>
      <w:r>
        <w:rPr>
          <w:rFonts w:ascii="Times New Roman" w:hAnsi="Times New Roman" w:cs="Times New Roman"/>
          <w:lang w:val="fr-FR"/>
        </w:rPr>
        <w:t>’</w:t>
      </w:r>
      <w:r w:rsidRPr="002E7ED7">
        <w:rPr>
          <w:rFonts w:ascii="Times New Roman" w:hAnsi="Times New Roman" w:cs="Times New Roman"/>
          <w:lang w:val="fr-FR"/>
        </w:rPr>
        <w:t>il n</w:t>
      </w:r>
      <w:r>
        <w:rPr>
          <w:rFonts w:ascii="Times New Roman" w:hAnsi="Times New Roman" w:cs="Times New Roman"/>
          <w:lang w:val="fr-FR"/>
        </w:rPr>
        <w:t>’</w:t>
      </w:r>
      <w:r w:rsidRPr="002E7ED7">
        <w:rPr>
          <w:rFonts w:ascii="Times New Roman" w:hAnsi="Times New Roman" w:cs="Times New Roman"/>
          <w:lang w:val="fr-FR"/>
        </w:rPr>
        <w:t>existe pratiquement pas d</w:t>
      </w:r>
      <w:r>
        <w:rPr>
          <w:rFonts w:ascii="Times New Roman" w:hAnsi="Times New Roman" w:cs="Times New Roman"/>
          <w:lang w:val="fr-FR"/>
        </w:rPr>
        <w:t>’</w:t>
      </w:r>
      <w:r w:rsidRPr="002E7ED7">
        <w:rPr>
          <w:rFonts w:ascii="Times New Roman" w:hAnsi="Times New Roman" w:cs="Times New Roman"/>
          <w:lang w:val="fr-FR"/>
        </w:rPr>
        <w:t>aires protégées ciblant les espèces des prairies et des steppes – bien que les vanneaux sociables soient présents sur de grandes fermes d</w:t>
      </w:r>
      <w:r>
        <w:rPr>
          <w:rFonts w:ascii="Times New Roman" w:hAnsi="Times New Roman" w:cs="Times New Roman"/>
          <w:lang w:val="fr-FR"/>
        </w:rPr>
        <w:t>’É</w:t>
      </w:r>
      <w:r w:rsidRPr="002E7ED7">
        <w:rPr>
          <w:rFonts w:ascii="Times New Roman" w:hAnsi="Times New Roman" w:cs="Times New Roman"/>
          <w:lang w:val="fr-FR"/>
        </w:rPr>
        <w:t>tat qui sont gérées activement et ont des réglementations d</w:t>
      </w:r>
      <w:r>
        <w:rPr>
          <w:rFonts w:ascii="Times New Roman" w:hAnsi="Times New Roman" w:cs="Times New Roman"/>
          <w:lang w:val="fr-FR"/>
        </w:rPr>
        <w:t>’</w:t>
      </w:r>
      <w:r w:rsidRPr="002E7ED7">
        <w:rPr>
          <w:rFonts w:ascii="Times New Roman" w:hAnsi="Times New Roman" w:cs="Times New Roman"/>
          <w:lang w:val="fr-FR"/>
        </w:rPr>
        <w:t>accès limités.</w:t>
      </w:r>
      <w:r w:rsidRPr="004B1407">
        <w:rPr>
          <w:rFonts w:ascii="Times New Roman" w:hAnsi="Times New Roman" w:cs="Times New Roman"/>
          <w:lang w:val="fr-FR"/>
        </w:rPr>
        <w:t xml:space="preserve"> </w:t>
      </w:r>
      <w:r w:rsidRPr="002E7ED7">
        <w:rPr>
          <w:rFonts w:ascii="Times New Roman" w:hAnsi="Times New Roman" w:cs="Times New Roman"/>
          <w:lang w:val="fr-FR"/>
        </w:rPr>
        <w:t>La Russie a fait part d</w:t>
      </w:r>
      <w:r>
        <w:rPr>
          <w:rFonts w:ascii="Times New Roman" w:hAnsi="Times New Roman" w:cs="Times New Roman"/>
          <w:lang w:val="fr-FR"/>
        </w:rPr>
        <w:t>’</w:t>
      </w:r>
      <w:r w:rsidRPr="002E7ED7">
        <w:rPr>
          <w:rFonts w:ascii="Times New Roman" w:hAnsi="Times New Roman" w:cs="Times New Roman"/>
          <w:lang w:val="fr-FR"/>
        </w:rPr>
        <w:t>une mise en œuvre limitée avec la mise en place d</w:t>
      </w:r>
      <w:r>
        <w:rPr>
          <w:rFonts w:ascii="Times New Roman" w:hAnsi="Times New Roman" w:cs="Times New Roman"/>
          <w:lang w:val="fr-FR"/>
        </w:rPr>
        <w:t>’</w:t>
      </w:r>
      <w:r w:rsidRPr="002E7ED7">
        <w:rPr>
          <w:rFonts w:ascii="Times New Roman" w:hAnsi="Times New Roman" w:cs="Times New Roman"/>
          <w:lang w:val="fr-FR"/>
        </w:rPr>
        <w:t>une aire protégée (refuge zoologique de Chograi) utilisée par l</w:t>
      </w:r>
      <w:r>
        <w:rPr>
          <w:rFonts w:ascii="Times New Roman" w:hAnsi="Times New Roman" w:cs="Times New Roman"/>
          <w:lang w:val="fr-FR"/>
        </w:rPr>
        <w:t>’</w:t>
      </w:r>
      <w:r w:rsidRPr="002E7ED7">
        <w:rPr>
          <w:rFonts w:ascii="Times New Roman" w:hAnsi="Times New Roman" w:cs="Times New Roman"/>
          <w:lang w:val="fr-FR"/>
        </w:rPr>
        <w:t>espèce comme site de halte.</w:t>
      </w:r>
      <w:r w:rsidRPr="004B1407">
        <w:rPr>
          <w:rFonts w:ascii="Times New Roman" w:hAnsi="Times New Roman" w:cs="Times New Roman"/>
          <w:lang w:val="fr-FR"/>
        </w:rPr>
        <w:t xml:space="preserve"> [0 %]</w:t>
      </w:r>
    </w:p>
    <w:p w14:paraId="6DD773ED" w14:textId="77777777" w:rsidR="00886A3C" w:rsidRPr="004B1407" w:rsidRDefault="00886A3C" w:rsidP="00886A3C">
      <w:pPr>
        <w:spacing w:after="0" w:line="240" w:lineRule="auto"/>
        <w:jc w:val="both"/>
        <w:rPr>
          <w:rFonts w:ascii="Times New Roman" w:hAnsi="Times New Roman" w:cs="Times New Roman"/>
          <w:lang w:val="fr-FR"/>
        </w:rPr>
      </w:pPr>
    </w:p>
    <w:p w14:paraId="7D874CCC" w14:textId="77777777" w:rsidR="00886A3C" w:rsidRDefault="00886A3C" w:rsidP="00886A3C">
      <w:pPr>
        <w:spacing w:after="0" w:line="240" w:lineRule="auto"/>
        <w:jc w:val="both"/>
        <w:rPr>
          <w:rFonts w:ascii="Times New Roman" w:hAnsi="Times New Roman" w:cs="Times New Roman"/>
          <w:lang w:val="en-US"/>
        </w:rPr>
      </w:pPr>
      <w:r w:rsidRPr="002E7ED7">
        <w:rPr>
          <w:rFonts w:ascii="Times New Roman" w:hAnsi="Times New Roman" w:cs="Times New Roman"/>
          <w:lang w:val="fr-FR"/>
        </w:rPr>
        <w:t>L</w:t>
      </w:r>
      <w:r>
        <w:rPr>
          <w:rFonts w:ascii="Times New Roman" w:hAnsi="Times New Roman" w:cs="Times New Roman"/>
          <w:lang w:val="fr-FR"/>
        </w:rPr>
        <w:t>’</w:t>
      </w:r>
      <w:r w:rsidRPr="002E7ED7">
        <w:rPr>
          <w:rFonts w:ascii="Times New Roman" w:hAnsi="Times New Roman" w:cs="Times New Roman"/>
          <w:b/>
          <w:lang w:val="fr-FR"/>
        </w:rPr>
        <w:t>action 3.2</w:t>
      </w:r>
      <w:r w:rsidRPr="002E7ED7">
        <w:rPr>
          <w:rFonts w:ascii="Times New Roman" w:hAnsi="Times New Roman" w:cs="Times New Roman"/>
          <w:lang w:val="fr-FR"/>
        </w:rPr>
        <w:t>, visant à assurer que les exigences en matière d</w:t>
      </w:r>
      <w:r>
        <w:rPr>
          <w:rFonts w:ascii="Times New Roman" w:hAnsi="Times New Roman" w:cs="Times New Roman"/>
          <w:lang w:val="fr-FR"/>
        </w:rPr>
        <w:t>’</w:t>
      </w:r>
      <w:r w:rsidRPr="002E7ED7">
        <w:rPr>
          <w:rFonts w:ascii="Times New Roman" w:hAnsi="Times New Roman" w:cs="Times New Roman"/>
          <w:lang w:val="fr-FR"/>
        </w:rPr>
        <w:t>habitat du Vanneau sociable soient incluses dans des politiques gouvernementales pertinentes d</w:t>
      </w:r>
      <w:r>
        <w:rPr>
          <w:rFonts w:ascii="Times New Roman" w:hAnsi="Times New Roman" w:cs="Times New Roman"/>
          <w:lang w:val="fr-FR"/>
        </w:rPr>
        <w:t>’</w:t>
      </w:r>
      <w:r w:rsidRPr="002E7ED7">
        <w:rPr>
          <w:rFonts w:ascii="Times New Roman" w:hAnsi="Times New Roman" w:cs="Times New Roman"/>
          <w:lang w:val="fr-FR"/>
        </w:rPr>
        <w:t>utilisation des sols dans les aires de reproduction et d</w:t>
      </w:r>
      <w:r>
        <w:rPr>
          <w:rFonts w:ascii="Times New Roman" w:hAnsi="Times New Roman" w:cs="Times New Roman"/>
          <w:lang w:val="fr-FR"/>
        </w:rPr>
        <w:t>’</w:t>
      </w:r>
      <w:r w:rsidRPr="002E7ED7">
        <w:rPr>
          <w:rFonts w:ascii="Times New Roman" w:hAnsi="Times New Roman" w:cs="Times New Roman"/>
          <w:lang w:val="fr-FR"/>
        </w:rPr>
        <w:t>hivernage, s</w:t>
      </w:r>
      <w:r>
        <w:rPr>
          <w:rFonts w:ascii="Times New Roman" w:hAnsi="Times New Roman" w:cs="Times New Roman"/>
          <w:lang w:val="fr-FR"/>
        </w:rPr>
        <w:t>’</w:t>
      </w:r>
      <w:r w:rsidRPr="002E7ED7">
        <w:rPr>
          <w:rFonts w:ascii="Times New Roman" w:hAnsi="Times New Roman" w:cs="Times New Roman"/>
          <w:lang w:val="fr-FR"/>
        </w:rPr>
        <w:t xml:space="preserve">appliquait à neuf pays (Kazakhstan, Russie, Inde, Soudan, Syrie, </w:t>
      </w:r>
      <w:r>
        <w:rPr>
          <w:rFonts w:ascii="Times New Roman" w:hAnsi="Times New Roman" w:cs="Times New Roman"/>
          <w:lang w:val="fr-FR"/>
        </w:rPr>
        <w:lastRenderedPageBreak/>
        <w:t>É</w:t>
      </w:r>
      <w:r w:rsidRPr="002E7ED7">
        <w:rPr>
          <w:rFonts w:ascii="Times New Roman" w:hAnsi="Times New Roman" w:cs="Times New Roman"/>
          <w:lang w:val="fr-FR"/>
        </w:rPr>
        <w:t>rythrée, Éthiopie, Oman et Pakistan) et a été classée comme ayant une priorité élevée.</w:t>
      </w:r>
      <w:r w:rsidRPr="004B1407">
        <w:rPr>
          <w:rFonts w:ascii="Times New Roman" w:hAnsi="Times New Roman" w:cs="Times New Roman"/>
          <w:lang w:val="fr-FR"/>
        </w:rPr>
        <w:t xml:space="preserve"> </w:t>
      </w:r>
      <w:r w:rsidRPr="002E7ED7">
        <w:rPr>
          <w:rFonts w:ascii="Times New Roman" w:hAnsi="Times New Roman" w:cs="Times New Roman"/>
          <w:lang w:val="fr-FR"/>
        </w:rPr>
        <w:t>Aucun des pays concerné n</w:t>
      </w:r>
      <w:r>
        <w:rPr>
          <w:rFonts w:ascii="Times New Roman" w:hAnsi="Times New Roman" w:cs="Times New Roman"/>
          <w:lang w:val="fr-FR"/>
        </w:rPr>
        <w:t>’</w:t>
      </w:r>
      <w:r w:rsidRPr="002E7ED7">
        <w:rPr>
          <w:rFonts w:ascii="Times New Roman" w:hAnsi="Times New Roman" w:cs="Times New Roman"/>
          <w:lang w:val="fr-FR"/>
        </w:rPr>
        <w:t>a indiqué avoir intégralement mis en œuvre cette action.</w:t>
      </w:r>
      <w:r w:rsidRPr="004B1407">
        <w:rPr>
          <w:rFonts w:ascii="Times New Roman" w:hAnsi="Times New Roman" w:cs="Times New Roman"/>
          <w:lang w:val="fr-FR"/>
        </w:rPr>
        <w:t xml:space="preserve"> </w:t>
      </w:r>
      <w:r>
        <w:rPr>
          <w:rFonts w:ascii="Times New Roman" w:hAnsi="Times New Roman" w:cs="Times New Roman"/>
          <w:lang w:val="en-US"/>
        </w:rPr>
        <w:t>[0 %]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595"/>
      </w:tblGrid>
      <w:tr w:rsidR="00886A3C" w14:paraId="595C69EB" w14:textId="77777777" w:rsidTr="00886A3C">
        <w:tc>
          <w:tcPr>
            <w:tcW w:w="4675" w:type="dxa"/>
          </w:tcPr>
          <w:p w14:paraId="4A9A1822" w14:textId="77777777" w:rsidR="00886A3C" w:rsidRDefault="00886A3C" w:rsidP="00886A3C">
            <w:pPr>
              <w:jc w:val="both"/>
              <w:rPr>
                <w:rFonts w:ascii="Times New Roman" w:hAnsi="Times New Roman" w:cs="Times New Roman"/>
              </w:rPr>
            </w:pPr>
            <w:r>
              <w:rPr>
                <w:noProof/>
              </w:rPr>
              <w:drawing>
                <wp:inline distT="0" distB="0" distL="0" distR="0" wp14:anchorId="1C9312A9" wp14:editId="513F95D1">
                  <wp:extent cx="2714625" cy="22764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tc>
        <w:tc>
          <w:tcPr>
            <w:tcW w:w="4675" w:type="dxa"/>
          </w:tcPr>
          <w:p w14:paraId="149CAB18" w14:textId="77777777" w:rsidR="00886A3C" w:rsidRDefault="00886A3C" w:rsidP="00886A3C">
            <w:pPr>
              <w:jc w:val="both"/>
              <w:rPr>
                <w:rFonts w:ascii="Times New Roman" w:hAnsi="Times New Roman" w:cs="Times New Roman"/>
              </w:rPr>
            </w:pPr>
            <w:r>
              <w:rPr>
                <w:noProof/>
              </w:rPr>
              <w:drawing>
                <wp:inline distT="0" distB="0" distL="0" distR="0" wp14:anchorId="0F634427" wp14:editId="6E3A3BBF">
                  <wp:extent cx="2781300" cy="22764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tc>
      </w:tr>
    </w:tbl>
    <w:p w14:paraId="49585109" w14:textId="77777777" w:rsidR="00886A3C" w:rsidRDefault="00886A3C" w:rsidP="00886A3C">
      <w:pPr>
        <w:spacing w:after="0" w:line="240" w:lineRule="auto"/>
        <w:jc w:val="both"/>
        <w:rPr>
          <w:rFonts w:ascii="Times New Roman" w:hAnsi="Times New Roman" w:cs="Times New Roman"/>
          <w:lang w:val="en-US"/>
        </w:rPr>
      </w:pPr>
    </w:p>
    <w:p w14:paraId="5C2998FD" w14:textId="77777777" w:rsidR="00886A3C" w:rsidRPr="004B1407" w:rsidRDefault="00886A3C" w:rsidP="00886A3C">
      <w:pPr>
        <w:spacing w:after="0" w:line="240" w:lineRule="auto"/>
        <w:ind w:firstLine="709"/>
        <w:jc w:val="both"/>
        <w:rPr>
          <w:rFonts w:ascii="Times New Roman" w:hAnsi="Times New Roman" w:cs="Times New Roman"/>
          <w:lang w:val="fr-FR"/>
        </w:rPr>
      </w:pPr>
      <w:r w:rsidRPr="00403C55">
        <w:rPr>
          <w:rFonts w:ascii="Times New Roman" w:hAnsi="Times New Roman" w:cs="Times New Roman"/>
          <w:lang w:val="fr-FR"/>
        </w:rPr>
        <w:t>Non</w:t>
      </w:r>
      <w:r w:rsidRPr="00403C55">
        <w:rPr>
          <w:rFonts w:ascii="Times New Roman" w:hAnsi="Times New Roman" w:cs="Times New Roman"/>
          <w:lang w:val="fr-FR"/>
        </w:rPr>
        <w:tab/>
        <w:t>Partiellement</w:t>
      </w:r>
      <w:r>
        <w:rPr>
          <w:rFonts w:ascii="Times New Roman" w:hAnsi="Times New Roman" w:cs="Times New Roman"/>
          <w:lang w:val="fr-FR"/>
        </w:rPr>
        <w:t xml:space="preserve"> Pas d’information</w:t>
      </w:r>
      <w:r>
        <w:rPr>
          <w:rFonts w:ascii="Times New Roman" w:hAnsi="Times New Roman" w:cs="Times New Roman"/>
          <w:lang w:val="fr-FR"/>
        </w:rPr>
        <w:tab/>
      </w:r>
      <w:r>
        <w:rPr>
          <w:rFonts w:ascii="Times New Roman" w:hAnsi="Times New Roman" w:cs="Times New Roman"/>
          <w:lang w:val="fr-FR"/>
        </w:rPr>
        <w:tab/>
      </w:r>
      <w:r w:rsidRPr="00403C55">
        <w:rPr>
          <w:rFonts w:ascii="Times New Roman" w:hAnsi="Times New Roman" w:cs="Times New Roman"/>
          <w:lang w:val="fr-FR"/>
        </w:rPr>
        <w:tab/>
        <w:t>Non</w:t>
      </w:r>
      <w:r w:rsidRPr="00403C55">
        <w:rPr>
          <w:rFonts w:ascii="Times New Roman" w:hAnsi="Times New Roman" w:cs="Times New Roman"/>
          <w:lang w:val="fr-FR"/>
        </w:rPr>
        <w:tab/>
      </w:r>
      <w:r>
        <w:rPr>
          <w:rFonts w:ascii="Times New Roman" w:hAnsi="Times New Roman" w:cs="Times New Roman"/>
          <w:lang w:val="fr-FR"/>
        </w:rPr>
        <w:t> Pas d’information</w:t>
      </w:r>
    </w:p>
    <w:p w14:paraId="42DF1021" w14:textId="77777777" w:rsidR="00886A3C" w:rsidRDefault="00886A3C" w:rsidP="00886A3C">
      <w:pPr>
        <w:spacing w:after="0" w:line="240" w:lineRule="auto"/>
        <w:jc w:val="both"/>
        <w:rPr>
          <w:rFonts w:ascii="Times New Roman" w:hAnsi="Times New Roman" w:cs="Times New Roman"/>
          <w:lang w:val="fr-FR"/>
        </w:rPr>
      </w:pPr>
    </w:p>
    <w:p w14:paraId="027AA340" w14:textId="77777777" w:rsidR="00886A3C" w:rsidRPr="004B1407" w:rsidRDefault="00886A3C" w:rsidP="00886A3C">
      <w:pPr>
        <w:spacing w:after="0" w:line="240" w:lineRule="auto"/>
        <w:jc w:val="both"/>
        <w:rPr>
          <w:rFonts w:ascii="Times New Roman" w:hAnsi="Times New Roman" w:cs="Times New Roman"/>
          <w:lang w:val="fr-FR"/>
        </w:rPr>
      </w:pPr>
      <w:r w:rsidRPr="00BB2307">
        <w:rPr>
          <w:rFonts w:ascii="Times New Roman" w:hAnsi="Times New Roman" w:cs="Times New Roman"/>
          <w:lang w:val="fr-FR"/>
        </w:rPr>
        <w:t>Les deux actions suivantes s’appliquaient</w:t>
      </w:r>
      <w:r w:rsidRPr="002E7ED7">
        <w:rPr>
          <w:rFonts w:ascii="Times New Roman" w:hAnsi="Times New Roman" w:cs="Times New Roman"/>
          <w:lang w:val="fr-FR"/>
        </w:rPr>
        <w:t xml:space="preserve"> à tous les États de l</w:t>
      </w:r>
      <w:r>
        <w:rPr>
          <w:rFonts w:ascii="Times New Roman" w:hAnsi="Times New Roman" w:cs="Times New Roman"/>
          <w:lang w:val="fr-FR"/>
        </w:rPr>
        <w:t>’</w:t>
      </w:r>
      <w:r w:rsidRPr="002E7ED7">
        <w:rPr>
          <w:rFonts w:ascii="Times New Roman" w:hAnsi="Times New Roman" w:cs="Times New Roman"/>
          <w:lang w:val="fr-FR"/>
        </w:rPr>
        <w:t xml:space="preserve">aire de répartition et </w:t>
      </w:r>
      <w:r>
        <w:rPr>
          <w:rFonts w:ascii="Times New Roman" w:hAnsi="Times New Roman" w:cs="Times New Roman"/>
          <w:lang w:val="fr-FR"/>
        </w:rPr>
        <w:t>ont été</w:t>
      </w:r>
      <w:r w:rsidRPr="002E7ED7">
        <w:rPr>
          <w:rFonts w:ascii="Times New Roman" w:hAnsi="Times New Roman" w:cs="Times New Roman"/>
          <w:lang w:val="fr-FR"/>
        </w:rPr>
        <w:t xml:space="preserve"> désignées comme ayant respectivement des priorités élevée et moyenne :</w:t>
      </w:r>
    </w:p>
    <w:p w14:paraId="35D578E3" w14:textId="77777777" w:rsidR="00886A3C" w:rsidRPr="004B1407" w:rsidRDefault="00886A3C" w:rsidP="00886A3C">
      <w:pPr>
        <w:spacing w:after="0" w:line="240" w:lineRule="auto"/>
        <w:jc w:val="both"/>
        <w:rPr>
          <w:rFonts w:ascii="Times New Roman" w:hAnsi="Times New Roman" w:cs="Times New Roman"/>
          <w:lang w:val="fr-FR"/>
        </w:rPr>
      </w:pPr>
      <w:r w:rsidRPr="004B1407">
        <w:rPr>
          <w:rFonts w:ascii="Times New Roman" w:hAnsi="Times New Roman" w:cs="Times New Roman"/>
          <w:lang w:val="fr-FR"/>
        </w:rPr>
        <w:t xml:space="preserve"> </w:t>
      </w:r>
    </w:p>
    <w:p w14:paraId="598B5D81" w14:textId="77777777" w:rsidR="00886A3C" w:rsidRPr="004B1407" w:rsidRDefault="00886A3C" w:rsidP="00886A3C">
      <w:pPr>
        <w:spacing w:after="0" w:line="240" w:lineRule="auto"/>
        <w:jc w:val="both"/>
        <w:rPr>
          <w:rFonts w:ascii="Times New Roman" w:hAnsi="Times New Roman" w:cs="Times New Roman"/>
          <w:lang w:val="fr-FR"/>
        </w:rPr>
      </w:pPr>
      <w:r w:rsidRPr="000F7EF2">
        <w:rPr>
          <w:rFonts w:ascii="Times New Roman" w:hAnsi="Times New Roman" w:cs="Times New Roman"/>
          <w:b/>
          <w:lang w:val="fr-FR"/>
        </w:rPr>
        <w:t xml:space="preserve"> </w:t>
      </w:r>
      <w:r w:rsidRPr="000F7EF2">
        <w:rPr>
          <w:rFonts w:ascii="Times New Roman" w:hAnsi="Times New Roman" w:cs="Times New Roman"/>
          <w:lang w:val="fr-FR"/>
        </w:rPr>
        <w:t>L</w:t>
      </w:r>
      <w:r>
        <w:rPr>
          <w:rFonts w:ascii="Times New Roman" w:hAnsi="Times New Roman" w:cs="Times New Roman"/>
          <w:lang w:val="fr-FR"/>
        </w:rPr>
        <w:t>’</w:t>
      </w:r>
      <w:r w:rsidRPr="000F7EF2">
        <w:rPr>
          <w:rFonts w:ascii="Times New Roman" w:hAnsi="Times New Roman" w:cs="Times New Roman"/>
          <w:b/>
          <w:lang w:val="fr-FR"/>
        </w:rPr>
        <w:t>action 3.3</w:t>
      </w:r>
      <w:r w:rsidRPr="000F7EF2">
        <w:rPr>
          <w:rFonts w:ascii="Times New Roman" w:hAnsi="Times New Roman" w:cs="Times New Roman"/>
          <w:lang w:val="fr-FR"/>
        </w:rPr>
        <w:t>, visant à</w:t>
      </w:r>
      <w:r w:rsidRPr="000F7EF2">
        <w:rPr>
          <w:rFonts w:ascii="Times New Roman" w:hAnsi="Times New Roman" w:cs="Times New Roman"/>
          <w:b/>
          <w:lang w:val="fr-FR"/>
        </w:rPr>
        <w:t xml:space="preserve"> </w:t>
      </w:r>
      <w:r w:rsidRPr="000F7EF2">
        <w:rPr>
          <w:rFonts w:ascii="Times New Roman" w:hAnsi="Times New Roman" w:cs="Times New Roman"/>
          <w:lang w:val="fr-FR"/>
        </w:rPr>
        <w:t>évaluer l</w:t>
      </w:r>
      <w:r>
        <w:rPr>
          <w:rFonts w:ascii="Times New Roman" w:hAnsi="Times New Roman" w:cs="Times New Roman"/>
          <w:lang w:val="fr-FR"/>
        </w:rPr>
        <w:t>’</w:t>
      </w:r>
      <w:r w:rsidRPr="000F7EF2">
        <w:rPr>
          <w:rFonts w:ascii="Times New Roman" w:hAnsi="Times New Roman" w:cs="Times New Roman"/>
          <w:lang w:val="fr-FR"/>
        </w:rPr>
        <w:t>efficacité du réseau existant d</w:t>
      </w:r>
      <w:r>
        <w:rPr>
          <w:rFonts w:ascii="Times New Roman" w:hAnsi="Times New Roman" w:cs="Times New Roman"/>
          <w:lang w:val="fr-FR"/>
        </w:rPr>
        <w:t>’</w:t>
      </w:r>
      <w:r w:rsidRPr="000F7EF2">
        <w:rPr>
          <w:rFonts w:ascii="Times New Roman" w:hAnsi="Times New Roman" w:cs="Times New Roman"/>
          <w:lang w:val="fr-FR"/>
        </w:rPr>
        <w:t>aires protégées dans l</w:t>
      </w:r>
      <w:r>
        <w:rPr>
          <w:rFonts w:ascii="Times New Roman" w:hAnsi="Times New Roman" w:cs="Times New Roman"/>
          <w:lang w:val="fr-FR"/>
        </w:rPr>
        <w:t>’</w:t>
      </w:r>
      <w:r w:rsidRPr="000F7EF2">
        <w:rPr>
          <w:rFonts w:ascii="Times New Roman" w:hAnsi="Times New Roman" w:cs="Times New Roman"/>
          <w:lang w:val="fr-FR"/>
        </w:rPr>
        <w:t>ensemble des États de l</w:t>
      </w:r>
      <w:r>
        <w:rPr>
          <w:rFonts w:ascii="Times New Roman" w:hAnsi="Times New Roman" w:cs="Times New Roman"/>
          <w:lang w:val="fr-FR"/>
        </w:rPr>
        <w:t>’</w:t>
      </w:r>
      <w:r w:rsidRPr="000F7EF2">
        <w:rPr>
          <w:rFonts w:ascii="Times New Roman" w:hAnsi="Times New Roman" w:cs="Times New Roman"/>
          <w:lang w:val="fr-FR"/>
        </w:rPr>
        <w:t>aire de répartition a seulement été mentionnée comme étant mise en œuvre</w:t>
      </w:r>
      <w:r>
        <w:rPr>
          <w:rFonts w:ascii="Times New Roman" w:hAnsi="Times New Roman" w:cs="Times New Roman"/>
          <w:lang w:val="fr-FR"/>
        </w:rPr>
        <w:t xml:space="preserve"> </w:t>
      </w:r>
      <w:r w:rsidRPr="000F7EF2">
        <w:rPr>
          <w:rFonts w:ascii="Times New Roman" w:hAnsi="Times New Roman" w:cs="Times New Roman"/>
          <w:lang w:val="fr-FR"/>
        </w:rPr>
        <w:t xml:space="preserve">par la Turquie, </w:t>
      </w:r>
      <w:r>
        <w:rPr>
          <w:rFonts w:ascii="Times New Roman" w:hAnsi="Times New Roman" w:cs="Times New Roman"/>
          <w:lang w:val="fr-FR"/>
        </w:rPr>
        <w:t xml:space="preserve">qui a noté </w:t>
      </w:r>
      <w:r w:rsidRPr="00BB2307">
        <w:rPr>
          <w:rFonts w:ascii="Times New Roman" w:hAnsi="Times New Roman" w:cs="Times New Roman"/>
          <w:lang w:val="fr-FR"/>
        </w:rPr>
        <w:t>que les sites de halte clés de l’espèces ne</w:t>
      </w:r>
      <w:r w:rsidRPr="000F7EF2">
        <w:rPr>
          <w:rFonts w:ascii="Times New Roman" w:hAnsi="Times New Roman" w:cs="Times New Roman"/>
          <w:lang w:val="fr-FR"/>
        </w:rPr>
        <w:t xml:space="preserve"> sont pas correctement protégés.</w:t>
      </w:r>
      <w:r w:rsidRPr="004B1407">
        <w:rPr>
          <w:rFonts w:ascii="Times New Roman" w:hAnsi="Times New Roman" w:cs="Times New Roman"/>
          <w:lang w:val="fr-FR"/>
        </w:rPr>
        <w:t xml:space="preserve"> </w:t>
      </w:r>
      <w:r w:rsidRPr="000F7EF2">
        <w:rPr>
          <w:rFonts w:ascii="Times New Roman" w:hAnsi="Times New Roman" w:cs="Times New Roman"/>
          <w:lang w:val="fr-FR"/>
        </w:rPr>
        <w:t>Il convien</w:t>
      </w:r>
      <w:r>
        <w:rPr>
          <w:rFonts w:ascii="Times New Roman" w:hAnsi="Times New Roman" w:cs="Times New Roman"/>
          <w:lang w:val="fr-FR"/>
        </w:rPr>
        <w:t>t</w:t>
      </w:r>
      <w:r w:rsidRPr="000F7EF2">
        <w:rPr>
          <w:rFonts w:ascii="Times New Roman" w:hAnsi="Times New Roman" w:cs="Times New Roman"/>
          <w:lang w:val="fr-FR"/>
        </w:rPr>
        <w:t xml:space="preserve"> également de noter que la RSPB était en fait désignée dans le </w:t>
      </w:r>
      <w:r>
        <w:rPr>
          <w:rFonts w:ascii="Times New Roman" w:hAnsi="Times New Roman" w:cs="Times New Roman"/>
          <w:lang w:val="fr-FR"/>
        </w:rPr>
        <w:t>plan</w:t>
      </w:r>
      <w:r w:rsidRPr="000F7EF2">
        <w:rPr>
          <w:rFonts w:ascii="Times New Roman" w:hAnsi="Times New Roman" w:cs="Times New Roman"/>
          <w:lang w:val="fr-FR"/>
        </w:rPr>
        <w:t xml:space="preserve"> d</w:t>
      </w:r>
      <w:r>
        <w:rPr>
          <w:rFonts w:ascii="Times New Roman" w:hAnsi="Times New Roman" w:cs="Times New Roman"/>
          <w:lang w:val="fr-FR"/>
        </w:rPr>
        <w:t>’</w:t>
      </w:r>
      <w:r w:rsidRPr="000F7EF2">
        <w:rPr>
          <w:rFonts w:ascii="Times New Roman" w:hAnsi="Times New Roman" w:cs="Times New Roman"/>
          <w:lang w:val="fr-FR"/>
        </w:rPr>
        <w:t>action comme l</w:t>
      </w:r>
      <w:r>
        <w:rPr>
          <w:rFonts w:ascii="Times New Roman" w:hAnsi="Times New Roman" w:cs="Times New Roman"/>
          <w:lang w:val="fr-FR"/>
        </w:rPr>
        <w:t>’</w:t>
      </w:r>
      <w:r w:rsidRPr="000F7EF2">
        <w:rPr>
          <w:rFonts w:ascii="Times New Roman" w:hAnsi="Times New Roman" w:cs="Times New Roman"/>
          <w:lang w:val="fr-FR"/>
        </w:rPr>
        <w:t>organisation d</w:t>
      </w:r>
      <w:r>
        <w:rPr>
          <w:rFonts w:ascii="Times New Roman" w:hAnsi="Times New Roman" w:cs="Times New Roman"/>
          <w:lang w:val="fr-FR"/>
        </w:rPr>
        <w:t>’</w:t>
      </w:r>
      <w:r w:rsidRPr="000F7EF2">
        <w:rPr>
          <w:rFonts w:ascii="Times New Roman" w:hAnsi="Times New Roman" w:cs="Times New Roman"/>
          <w:lang w:val="fr-FR"/>
        </w:rPr>
        <w:t>ensemble responsable de cette action.</w:t>
      </w:r>
      <w:r w:rsidRPr="004B1407">
        <w:rPr>
          <w:rFonts w:ascii="Times New Roman" w:hAnsi="Times New Roman" w:cs="Times New Roman"/>
          <w:lang w:val="fr-FR"/>
        </w:rPr>
        <w:t xml:space="preserve"> [8 %]</w:t>
      </w:r>
    </w:p>
    <w:p w14:paraId="528F01D1" w14:textId="77777777" w:rsidR="00886A3C" w:rsidRPr="004B1407" w:rsidRDefault="00886A3C" w:rsidP="00886A3C">
      <w:pPr>
        <w:spacing w:after="0" w:line="240" w:lineRule="auto"/>
        <w:jc w:val="both"/>
        <w:rPr>
          <w:rFonts w:ascii="Times New Roman" w:hAnsi="Times New Roman" w:cs="Times New Roman"/>
          <w:lang w:val="fr-FR"/>
        </w:rPr>
      </w:pPr>
    </w:p>
    <w:p w14:paraId="5345949A" w14:textId="77777777" w:rsidR="00886A3C" w:rsidRDefault="00886A3C" w:rsidP="00886A3C">
      <w:pPr>
        <w:spacing w:after="0" w:line="240" w:lineRule="auto"/>
        <w:jc w:val="both"/>
        <w:rPr>
          <w:rFonts w:ascii="Times New Roman" w:hAnsi="Times New Roman" w:cs="Times New Roman"/>
          <w:lang w:val="en-US"/>
        </w:rPr>
      </w:pPr>
      <w:r w:rsidRPr="00BB2307">
        <w:rPr>
          <w:rFonts w:ascii="Times New Roman" w:hAnsi="Times New Roman" w:cs="Times New Roman"/>
          <w:lang w:val="fr-FR"/>
        </w:rPr>
        <w:t>L’</w:t>
      </w:r>
      <w:r w:rsidRPr="000F7EF2">
        <w:rPr>
          <w:rFonts w:ascii="Times New Roman" w:hAnsi="Times New Roman" w:cs="Times New Roman"/>
          <w:b/>
          <w:lang w:val="fr-FR"/>
        </w:rPr>
        <w:t>action 3.4</w:t>
      </w:r>
      <w:r w:rsidRPr="00BB2307">
        <w:rPr>
          <w:rFonts w:ascii="Times New Roman" w:hAnsi="Times New Roman" w:cs="Times New Roman"/>
          <w:lang w:val="fr-FR"/>
        </w:rPr>
        <w:t>,</w:t>
      </w:r>
      <w:r w:rsidRPr="000F7EF2">
        <w:rPr>
          <w:rFonts w:ascii="Times New Roman" w:hAnsi="Times New Roman" w:cs="Times New Roman"/>
          <w:lang w:val="fr-FR"/>
        </w:rPr>
        <w:t xml:space="preserve"> visant à assurer que le Vanneau sociable est déclaré espèce prioritaire en matière de conservation dans la législation de tous les États de l</w:t>
      </w:r>
      <w:r>
        <w:rPr>
          <w:rFonts w:ascii="Times New Roman" w:hAnsi="Times New Roman" w:cs="Times New Roman"/>
          <w:lang w:val="fr-FR"/>
        </w:rPr>
        <w:t>’</w:t>
      </w:r>
      <w:r w:rsidRPr="000F7EF2">
        <w:rPr>
          <w:rFonts w:ascii="Times New Roman" w:hAnsi="Times New Roman" w:cs="Times New Roman"/>
          <w:lang w:val="fr-FR"/>
        </w:rPr>
        <w:t>aire de répartition</w:t>
      </w:r>
      <w:r>
        <w:rPr>
          <w:rFonts w:ascii="Times New Roman" w:hAnsi="Times New Roman" w:cs="Times New Roman"/>
          <w:lang w:val="fr-FR"/>
        </w:rPr>
        <w:t xml:space="preserve"> en vue d’une protection améliorée, </w:t>
      </w:r>
      <w:r w:rsidRPr="000F7EF2">
        <w:rPr>
          <w:rFonts w:ascii="Times New Roman" w:hAnsi="Times New Roman" w:cs="Times New Roman"/>
          <w:lang w:val="fr-FR"/>
        </w:rPr>
        <w:t>a été indiquée comme mise en œuvre par le Kazakhstan et la Russie, cette espèce ayant été intégré</w:t>
      </w:r>
      <w:r>
        <w:rPr>
          <w:rFonts w:ascii="Times New Roman" w:hAnsi="Times New Roman" w:cs="Times New Roman"/>
          <w:lang w:val="fr-FR"/>
        </w:rPr>
        <w:t>e</w:t>
      </w:r>
      <w:r w:rsidRPr="000F7EF2">
        <w:rPr>
          <w:rFonts w:ascii="Times New Roman" w:hAnsi="Times New Roman" w:cs="Times New Roman"/>
          <w:lang w:val="fr-FR"/>
        </w:rPr>
        <w:t xml:space="preserve"> dans leur livre rouge national respectif des espèces menacées.</w:t>
      </w:r>
      <w:r w:rsidRPr="004B1407">
        <w:rPr>
          <w:rFonts w:ascii="Times New Roman" w:hAnsi="Times New Roman" w:cs="Times New Roman"/>
          <w:lang w:val="fr-FR"/>
        </w:rPr>
        <w:t xml:space="preserve"> </w:t>
      </w:r>
      <w:r>
        <w:rPr>
          <w:rFonts w:ascii="Times New Roman" w:hAnsi="Times New Roman" w:cs="Times New Roman"/>
          <w:lang w:val="en-US"/>
        </w:rPr>
        <w:t>[15 %]</w:t>
      </w:r>
    </w:p>
    <w:p w14:paraId="2F62C471" w14:textId="77777777" w:rsidR="00886A3C" w:rsidRDefault="00886A3C" w:rsidP="00886A3C">
      <w:pPr>
        <w:spacing w:after="0" w:line="240" w:lineRule="auto"/>
        <w:jc w:val="both"/>
        <w:rPr>
          <w:rFonts w:ascii="Times New Roman" w:hAnsi="Times New Roman" w:cs="Times New Roman"/>
          <w:lang w:val="en-US"/>
        </w:rPr>
      </w:pP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738"/>
      </w:tblGrid>
      <w:tr w:rsidR="00886A3C" w14:paraId="07E4BF2B" w14:textId="77777777" w:rsidTr="00886A3C">
        <w:trPr>
          <w:trHeight w:val="3885"/>
        </w:trPr>
        <w:tc>
          <w:tcPr>
            <w:tcW w:w="4666" w:type="dxa"/>
          </w:tcPr>
          <w:p w14:paraId="7B16FD7C" w14:textId="77777777" w:rsidR="00886A3C" w:rsidRDefault="00886A3C" w:rsidP="00886A3C">
            <w:pPr>
              <w:jc w:val="both"/>
              <w:rPr>
                <w:rFonts w:ascii="Times New Roman" w:hAnsi="Times New Roman" w:cs="Times New Roman"/>
              </w:rPr>
            </w:pPr>
            <w:r>
              <w:rPr>
                <w:noProof/>
              </w:rPr>
              <w:drawing>
                <wp:inline distT="0" distB="0" distL="0" distR="0" wp14:anchorId="4B12F556" wp14:editId="315AD443">
                  <wp:extent cx="2800350" cy="23431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tc>
        <w:tc>
          <w:tcPr>
            <w:tcW w:w="4738" w:type="dxa"/>
          </w:tcPr>
          <w:p w14:paraId="3C078777" w14:textId="77777777" w:rsidR="00886A3C" w:rsidRDefault="00886A3C" w:rsidP="00886A3C">
            <w:pPr>
              <w:jc w:val="both"/>
              <w:rPr>
                <w:rFonts w:ascii="Times New Roman" w:hAnsi="Times New Roman" w:cs="Times New Roman"/>
              </w:rPr>
            </w:pPr>
            <w:r>
              <w:rPr>
                <w:noProof/>
              </w:rPr>
              <w:drawing>
                <wp:inline distT="0" distB="0" distL="0" distR="0" wp14:anchorId="048DD706" wp14:editId="507EBBFF">
                  <wp:extent cx="2847975" cy="234315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tc>
      </w:tr>
    </w:tbl>
    <w:p w14:paraId="6D868D6A" w14:textId="77777777" w:rsidR="00886A3C" w:rsidRPr="004B1407" w:rsidRDefault="00886A3C" w:rsidP="00886A3C">
      <w:pPr>
        <w:spacing w:after="0" w:line="240" w:lineRule="auto"/>
        <w:jc w:val="both"/>
        <w:rPr>
          <w:rFonts w:ascii="Times New Roman" w:hAnsi="Times New Roman" w:cs="Times New Roman"/>
          <w:lang w:val="fr-FR"/>
        </w:rPr>
      </w:pPr>
      <w:r w:rsidRPr="004B1407">
        <w:rPr>
          <w:rFonts w:ascii="Times New Roman" w:hAnsi="Times New Roman" w:cs="Times New Roman"/>
          <w:lang w:val="fr-FR"/>
        </w:rPr>
        <w:t xml:space="preserve"> </w:t>
      </w:r>
      <w:r w:rsidRPr="00403C55">
        <w:rPr>
          <w:rFonts w:ascii="Times New Roman" w:hAnsi="Times New Roman" w:cs="Times New Roman"/>
          <w:lang w:val="fr-FR"/>
        </w:rPr>
        <w:t>Oui</w:t>
      </w:r>
      <w:r w:rsidRPr="00403C55">
        <w:rPr>
          <w:rFonts w:ascii="Times New Roman" w:hAnsi="Times New Roman" w:cs="Times New Roman"/>
          <w:lang w:val="fr-FR"/>
        </w:rPr>
        <w:tab/>
        <w:t>Non</w:t>
      </w:r>
      <w:r w:rsidRPr="00403C55">
        <w:rPr>
          <w:rFonts w:ascii="Times New Roman" w:hAnsi="Times New Roman" w:cs="Times New Roman"/>
          <w:lang w:val="fr-FR"/>
        </w:rPr>
        <w:tab/>
        <w:t>Partiellement</w:t>
      </w:r>
      <w:r>
        <w:rPr>
          <w:rFonts w:ascii="Times New Roman" w:hAnsi="Times New Roman" w:cs="Times New Roman"/>
          <w:lang w:val="fr-FR"/>
        </w:rPr>
        <w:t xml:space="preserve"> Pas d’information</w:t>
      </w:r>
      <w:r>
        <w:rPr>
          <w:rFonts w:ascii="Times New Roman" w:hAnsi="Times New Roman" w:cs="Times New Roman"/>
          <w:lang w:val="fr-FR"/>
        </w:rPr>
        <w:tab/>
      </w:r>
      <w:r w:rsidRPr="00403C55">
        <w:rPr>
          <w:rFonts w:ascii="Times New Roman" w:hAnsi="Times New Roman" w:cs="Times New Roman"/>
          <w:lang w:val="fr-FR"/>
        </w:rPr>
        <w:t>Oui</w:t>
      </w:r>
      <w:r>
        <w:rPr>
          <w:rFonts w:ascii="Times New Roman" w:hAnsi="Times New Roman" w:cs="Times New Roman"/>
          <w:lang w:val="fr-FR"/>
        </w:rPr>
        <w:t> </w:t>
      </w:r>
      <w:r w:rsidRPr="00403C55">
        <w:rPr>
          <w:rFonts w:ascii="Times New Roman" w:hAnsi="Times New Roman" w:cs="Times New Roman"/>
          <w:lang w:val="fr-FR"/>
        </w:rPr>
        <w:t>Non</w:t>
      </w:r>
      <w:r>
        <w:rPr>
          <w:rFonts w:ascii="Times New Roman" w:hAnsi="Times New Roman" w:cs="Times New Roman"/>
          <w:lang w:val="fr-FR"/>
        </w:rPr>
        <w:t xml:space="preserve"> </w:t>
      </w:r>
      <w:r w:rsidRPr="00403C55">
        <w:rPr>
          <w:rFonts w:ascii="Times New Roman" w:hAnsi="Times New Roman" w:cs="Times New Roman"/>
          <w:lang w:val="fr-FR"/>
        </w:rPr>
        <w:t>Partiellement</w:t>
      </w:r>
      <w:r>
        <w:rPr>
          <w:rFonts w:ascii="Times New Roman" w:hAnsi="Times New Roman" w:cs="Times New Roman"/>
          <w:lang w:val="fr-FR"/>
        </w:rPr>
        <w:t xml:space="preserve"> Pas d’information</w:t>
      </w:r>
    </w:p>
    <w:p w14:paraId="5DEC0F92" w14:textId="77777777" w:rsidR="00886A3C" w:rsidRDefault="00886A3C" w:rsidP="00886A3C">
      <w:pPr>
        <w:spacing w:after="0" w:line="240" w:lineRule="auto"/>
        <w:jc w:val="both"/>
        <w:rPr>
          <w:rFonts w:ascii="Times New Roman" w:hAnsi="Times New Roman" w:cs="Times New Roman"/>
          <w:b/>
          <w:lang w:val="fr-FR"/>
        </w:rPr>
      </w:pPr>
    </w:p>
    <w:p w14:paraId="441E3BD1" w14:textId="77777777" w:rsidR="00886A3C" w:rsidRPr="004B1407" w:rsidRDefault="00886A3C" w:rsidP="00886A3C">
      <w:pPr>
        <w:spacing w:after="0" w:line="240" w:lineRule="auto"/>
        <w:jc w:val="both"/>
        <w:rPr>
          <w:rFonts w:ascii="Times New Roman" w:hAnsi="Times New Roman" w:cs="Times New Roman"/>
          <w:lang w:val="fr-FR"/>
        </w:rPr>
      </w:pPr>
      <w:r w:rsidRPr="000F7EF2">
        <w:rPr>
          <w:rFonts w:ascii="Times New Roman" w:hAnsi="Times New Roman" w:cs="Times New Roman"/>
          <w:b/>
          <w:lang w:val="fr-FR"/>
        </w:rPr>
        <w:t>Taux moyen de mise en œuvre :</w:t>
      </w:r>
      <w:r w:rsidRPr="004B1407">
        <w:rPr>
          <w:rFonts w:ascii="Times New Roman" w:hAnsi="Times New Roman" w:cs="Times New Roman"/>
          <w:b/>
          <w:lang w:val="fr-FR"/>
        </w:rPr>
        <w:t xml:space="preserve"> 6 %</w:t>
      </w:r>
    </w:p>
    <w:p w14:paraId="56E98A5B" w14:textId="77777777" w:rsidR="00886A3C" w:rsidRPr="004B1407" w:rsidRDefault="00886A3C" w:rsidP="00886A3C">
      <w:pPr>
        <w:spacing w:after="0" w:line="240" w:lineRule="auto"/>
        <w:jc w:val="both"/>
        <w:rPr>
          <w:rFonts w:ascii="Times New Roman" w:hAnsi="Times New Roman" w:cs="Times New Roman"/>
          <w:lang w:val="fr-FR"/>
        </w:rPr>
      </w:pPr>
    </w:p>
    <w:p w14:paraId="586D9F32" w14:textId="77777777" w:rsidR="00886A3C" w:rsidRPr="004B1407" w:rsidRDefault="00886A3C" w:rsidP="00886A3C">
      <w:pPr>
        <w:spacing w:after="0" w:line="240" w:lineRule="auto"/>
        <w:jc w:val="both"/>
        <w:rPr>
          <w:rFonts w:ascii="Times New Roman" w:hAnsi="Times New Roman" w:cs="Times New Roman"/>
          <w:i/>
          <w:lang w:val="fr-FR"/>
        </w:rPr>
      </w:pPr>
      <w:r w:rsidRPr="000F7EF2">
        <w:rPr>
          <w:rFonts w:ascii="Times New Roman" w:hAnsi="Times New Roman" w:cs="Times New Roman"/>
          <w:i/>
          <w:lang w:val="fr-FR"/>
        </w:rPr>
        <w:t>5.4. Résultat 4 – Tou</w:t>
      </w:r>
      <w:r>
        <w:rPr>
          <w:rFonts w:ascii="Times New Roman" w:hAnsi="Times New Roman" w:cs="Times New Roman"/>
          <w:i/>
          <w:lang w:val="fr-FR"/>
        </w:rPr>
        <w:t>te</w:t>
      </w:r>
      <w:r w:rsidRPr="000F7EF2">
        <w:rPr>
          <w:rFonts w:ascii="Times New Roman" w:hAnsi="Times New Roman" w:cs="Times New Roman"/>
          <w:i/>
          <w:lang w:val="fr-FR"/>
        </w:rPr>
        <w:t>s les lacunes identifiées en matière de connaissances sont comblées d</w:t>
      </w:r>
      <w:r>
        <w:rPr>
          <w:rFonts w:ascii="Times New Roman" w:hAnsi="Times New Roman" w:cs="Times New Roman"/>
          <w:i/>
          <w:lang w:val="fr-FR"/>
        </w:rPr>
        <w:t>’</w:t>
      </w:r>
      <w:r w:rsidRPr="000F7EF2">
        <w:rPr>
          <w:rFonts w:ascii="Times New Roman" w:hAnsi="Times New Roman" w:cs="Times New Roman"/>
          <w:i/>
          <w:lang w:val="fr-FR"/>
        </w:rPr>
        <w:t>ici à 2022</w:t>
      </w:r>
    </w:p>
    <w:p w14:paraId="00812EB7" w14:textId="77777777" w:rsidR="00886A3C" w:rsidRPr="004B1407" w:rsidRDefault="00886A3C" w:rsidP="00886A3C">
      <w:pPr>
        <w:spacing w:after="0" w:line="240" w:lineRule="auto"/>
        <w:jc w:val="both"/>
        <w:rPr>
          <w:rFonts w:ascii="Times New Roman" w:hAnsi="Times New Roman" w:cs="Times New Roman"/>
          <w:i/>
          <w:lang w:val="fr-FR"/>
        </w:rPr>
      </w:pPr>
    </w:p>
    <w:p w14:paraId="76E9C505" w14:textId="77777777" w:rsidR="00886A3C" w:rsidRPr="004B1407" w:rsidRDefault="00886A3C" w:rsidP="00886A3C">
      <w:pPr>
        <w:spacing w:after="0" w:line="240" w:lineRule="auto"/>
        <w:jc w:val="both"/>
        <w:rPr>
          <w:rFonts w:ascii="Times New Roman" w:hAnsi="Times New Roman" w:cs="Times New Roman"/>
          <w:lang w:val="fr-FR"/>
        </w:rPr>
      </w:pPr>
      <w:r w:rsidRPr="00B22183">
        <w:rPr>
          <w:rFonts w:ascii="Times New Roman" w:hAnsi="Times New Roman" w:cs="Times New Roman"/>
          <w:lang w:val="fr-FR"/>
        </w:rPr>
        <w:lastRenderedPageBreak/>
        <w:t xml:space="preserve">Le </w:t>
      </w:r>
      <w:r>
        <w:rPr>
          <w:rFonts w:ascii="Times New Roman" w:hAnsi="Times New Roman" w:cs="Times New Roman"/>
          <w:lang w:val="fr-FR"/>
        </w:rPr>
        <w:t>plan</w:t>
      </w:r>
      <w:r w:rsidRPr="00B22183">
        <w:rPr>
          <w:rFonts w:ascii="Times New Roman" w:hAnsi="Times New Roman" w:cs="Times New Roman"/>
          <w:lang w:val="fr-FR"/>
        </w:rPr>
        <w:t xml:space="preserve"> d</w:t>
      </w:r>
      <w:r>
        <w:rPr>
          <w:rFonts w:ascii="Times New Roman" w:hAnsi="Times New Roman" w:cs="Times New Roman"/>
          <w:lang w:val="fr-FR"/>
        </w:rPr>
        <w:t>’</w:t>
      </w:r>
      <w:r w:rsidRPr="00B22183">
        <w:rPr>
          <w:rFonts w:ascii="Times New Roman" w:hAnsi="Times New Roman" w:cs="Times New Roman"/>
          <w:lang w:val="fr-FR"/>
        </w:rPr>
        <w:t>action prévoit également la mise en place de 12 actions pour combler des lacunes identifiées en matière de connaissances d</w:t>
      </w:r>
      <w:r>
        <w:rPr>
          <w:rFonts w:ascii="Times New Roman" w:hAnsi="Times New Roman" w:cs="Times New Roman"/>
          <w:lang w:val="fr-FR"/>
        </w:rPr>
        <w:t>’</w:t>
      </w:r>
      <w:r w:rsidRPr="00B22183">
        <w:rPr>
          <w:rFonts w:ascii="Times New Roman" w:hAnsi="Times New Roman" w:cs="Times New Roman"/>
          <w:lang w:val="fr-FR"/>
        </w:rPr>
        <w:t>ici à 2022. Une vue d</w:t>
      </w:r>
      <w:r>
        <w:rPr>
          <w:rFonts w:ascii="Times New Roman" w:hAnsi="Times New Roman" w:cs="Times New Roman"/>
          <w:lang w:val="fr-FR"/>
        </w:rPr>
        <w:t>’</w:t>
      </w:r>
      <w:r w:rsidRPr="00B22183">
        <w:rPr>
          <w:rFonts w:ascii="Times New Roman" w:hAnsi="Times New Roman" w:cs="Times New Roman"/>
          <w:lang w:val="fr-FR"/>
        </w:rPr>
        <w:t>ensemble du taux moyen de mise en œuvre pour chaque action est présenté</w:t>
      </w:r>
      <w:r>
        <w:rPr>
          <w:rFonts w:ascii="Times New Roman" w:hAnsi="Times New Roman" w:cs="Times New Roman"/>
          <w:lang w:val="fr-FR"/>
        </w:rPr>
        <w:t>e</w:t>
      </w:r>
      <w:r w:rsidRPr="00B22183">
        <w:rPr>
          <w:rFonts w:ascii="Times New Roman" w:hAnsi="Times New Roman" w:cs="Times New Roman"/>
          <w:lang w:val="fr-FR"/>
        </w:rPr>
        <w:t xml:space="preserve"> dans le tableau ci-dessous :</w:t>
      </w:r>
    </w:p>
    <w:tbl>
      <w:tblPr>
        <w:tblStyle w:val="TableGrid"/>
        <w:tblW w:w="0" w:type="auto"/>
        <w:tblLook w:val="04A0" w:firstRow="1" w:lastRow="0" w:firstColumn="1" w:lastColumn="0" w:noHBand="0" w:noVBand="1"/>
      </w:tblPr>
      <w:tblGrid>
        <w:gridCol w:w="6132"/>
        <w:gridCol w:w="1373"/>
        <w:gridCol w:w="1555"/>
      </w:tblGrid>
      <w:tr w:rsidR="00886A3C" w:rsidRPr="00DE4CF4" w14:paraId="61D5EF67"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04FB7C" w14:textId="77777777" w:rsidR="00886A3C" w:rsidRDefault="00886A3C" w:rsidP="00886A3C">
            <w:pPr>
              <w:jc w:val="both"/>
              <w:rPr>
                <w:rFonts w:ascii="Times New Roman" w:hAnsi="Times New Roman" w:cs="Times New Roman"/>
                <w:i/>
              </w:rPr>
            </w:pPr>
            <w:r w:rsidRPr="00B22183">
              <w:rPr>
                <w:rFonts w:ascii="Times New Roman" w:hAnsi="Times New Roman" w:cs="Times New Roman"/>
                <w:i/>
                <w:lang w:val="fr-FR"/>
              </w:rPr>
              <w:t>Activité</w:t>
            </w:r>
          </w:p>
        </w:tc>
        <w:tc>
          <w:tcPr>
            <w:tcW w:w="13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0AFA5" w14:textId="77777777" w:rsidR="00886A3C" w:rsidRDefault="00886A3C" w:rsidP="00886A3C">
            <w:pPr>
              <w:jc w:val="both"/>
              <w:rPr>
                <w:rFonts w:ascii="Times New Roman" w:hAnsi="Times New Roman" w:cs="Times New Roman"/>
                <w:i/>
              </w:rPr>
            </w:pPr>
            <w:r w:rsidRPr="00B22183">
              <w:rPr>
                <w:rFonts w:ascii="Times New Roman" w:hAnsi="Times New Roman" w:cs="Times New Roman"/>
                <w:i/>
                <w:lang w:val="fr-FR"/>
              </w:rPr>
              <w:t>Priorité</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CF2BF3" w14:textId="77777777" w:rsidR="00886A3C" w:rsidRPr="004B1407" w:rsidRDefault="00886A3C" w:rsidP="00886A3C">
            <w:pPr>
              <w:jc w:val="both"/>
              <w:rPr>
                <w:rFonts w:ascii="Times New Roman" w:hAnsi="Times New Roman" w:cs="Times New Roman"/>
                <w:i/>
                <w:lang w:val="fr-FR"/>
              </w:rPr>
            </w:pPr>
            <w:r w:rsidRPr="00B22183">
              <w:rPr>
                <w:rFonts w:ascii="Times New Roman" w:hAnsi="Times New Roman" w:cs="Times New Roman"/>
                <w:i/>
                <w:lang w:val="fr-FR"/>
              </w:rPr>
              <w:t xml:space="preserve">Taux de mise en œuvre </w:t>
            </w:r>
          </w:p>
        </w:tc>
      </w:tr>
      <w:tr w:rsidR="00886A3C" w:rsidRPr="00C5493C" w14:paraId="136A14E9" w14:textId="77777777" w:rsidTr="004C07B7">
        <w:trPr>
          <w:trHeight w:val="495"/>
        </w:trPr>
        <w:tc>
          <w:tcPr>
            <w:tcW w:w="6132" w:type="dxa"/>
            <w:tcBorders>
              <w:top w:val="single" w:sz="4" w:space="0" w:color="auto"/>
              <w:left w:val="single" w:sz="4" w:space="0" w:color="auto"/>
              <w:bottom w:val="single" w:sz="4" w:space="0" w:color="auto"/>
              <w:right w:val="single" w:sz="4" w:space="0" w:color="auto"/>
            </w:tcBorders>
          </w:tcPr>
          <w:p w14:paraId="674E326F" w14:textId="77777777" w:rsidR="00886A3C" w:rsidRDefault="00886A3C" w:rsidP="00886A3C">
            <w:pPr>
              <w:rPr>
                <w:rFonts w:ascii="Times New Roman" w:hAnsi="Times New Roman" w:cs="Times New Roman"/>
              </w:rPr>
            </w:pPr>
            <w:r w:rsidRPr="00B22183">
              <w:rPr>
                <w:rFonts w:ascii="Times New Roman" w:hAnsi="Times New Roman" w:cs="Times New Roman"/>
                <w:lang w:val="fr-FR"/>
              </w:rPr>
              <w:t xml:space="preserve">4.1. Des </w:t>
            </w:r>
            <w:r w:rsidRPr="00BB2307">
              <w:rPr>
                <w:rFonts w:ascii="Times New Roman" w:hAnsi="Times New Roman" w:cs="Times New Roman"/>
                <w:lang w:val="fr-FR"/>
              </w:rPr>
              <w:t>sites de halte et de transit supplémentaires</w:t>
            </w:r>
            <w:r w:rsidRPr="00B22183">
              <w:rPr>
                <w:rFonts w:ascii="Times New Roman" w:hAnsi="Times New Roman" w:cs="Times New Roman"/>
                <w:lang w:val="fr-FR"/>
              </w:rPr>
              <w:t xml:space="preserve"> ont été identifié</w:t>
            </w:r>
            <w:r>
              <w:rPr>
                <w:rFonts w:ascii="Times New Roman" w:hAnsi="Times New Roman" w:cs="Times New Roman"/>
                <w:lang w:val="fr-FR"/>
              </w:rPr>
              <w:t>s</w:t>
            </w:r>
            <w:r w:rsidRPr="00B22183">
              <w:rPr>
                <w:rFonts w:ascii="Times New Roman" w:hAnsi="Times New Roman" w:cs="Times New Roman"/>
                <w:lang w:val="fr-FR"/>
              </w:rPr>
              <w:t xml:space="preserve"> </w:t>
            </w:r>
            <w:r>
              <w:rPr>
                <w:rFonts w:ascii="Times New Roman" w:hAnsi="Times New Roman" w:cs="Times New Roman"/>
                <w:lang w:val="fr-FR"/>
              </w:rPr>
              <w:t>le</w:t>
            </w:r>
            <w:r w:rsidRPr="00B22183">
              <w:rPr>
                <w:rFonts w:ascii="Times New Roman" w:hAnsi="Times New Roman" w:cs="Times New Roman"/>
                <w:lang w:val="fr-FR"/>
              </w:rPr>
              <w:t xml:space="preserve"> long de la voie occidentale de migration.</w:t>
            </w:r>
            <w:r w:rsidRPr="004B1407">
              <w:rPr>
                <w:rFonts w:ascii="Times New Roman" w:hAnsi="Times New Roman" w:cs="Times New Roman"/>
                <w:lang w:val="fr-FR"/>
              </w:rPr>
              <w:t xml:space="preserve"> </w:t>
            </w:r>
            <w:r w:rsidRPr="00B22183">
              <w:rPr>
                <w:rFonts w:ascii="Times New Roman" w:hAnsi="Times New Roman" w:cs="Times New Roman"/>
                <w:lang w:val="fr-FR"/>
              </w:rPr>
              <w:t>(Iraq, Kazakhstan, Russie, Syrie, Turquie)</w:t>
            </w:r>
          </w:p>
        </w:tc>
        <w:tc>
          <w:tcPr>
            <w:tcW w:w="1373" w:type="dxa"/>
            <w:tcBorders>
              <w:top w:val="single" w:sz="4" w:space="0" w:color="auto"/>
              <w:left w:val="single" w:sz="4" w:space="0" w:color="auto"/>
              <w:bottom w:val="single" w:sz="4" w:space="0" w:color="auto"/>
              <w:right w:val="single" w:sz="4" w:space="0" w:color="auto"/>
            </w:tcBorders>
          </w:tcPr>
          <w:p w14:paraId="3DF1BB5E" w14:textId="77777777" w:rsidR="00886A3C" w:rsidRDefault="00886A3C" w:rsidP="00886A3C">
            <w:pPr>
              <w:jc w:val="center"/>
              <w:rPr>
                <w:rFonts w:ascii="Times New Roman" w:hAnsi="Times New Roman" w:cs="Times New Roman"/>
              </w:rPr>
            </w:pPr>
            <w:r w:rsidRPr="00B22183">
              <w:rPr>
                <w:rFonts w:ascii="Times New Roman" w:hAnsi="Times New Roman" w:cs="Times New Roman"/>
                <w:lang w:val="fr-FR"/>
              </w:rPr>
              <w:t>Élevée</w:t>
            </w:r>
          </w:p>
        </w:tc>
        <w:tc>
          <w:tcPr>
            <w:tcW w:w="1555" w:type="dxa"/>
            <w:tcBorders>
              <w:top w:val="single" w:sz="4" w:space="0" w:color="auto"/>
              <w:left w:val="single" w:sz="4" w:space="0" w:color="auto"/>
              <w:bottom w:val="single" w:sz="4" w:space="0" w:color="auto"/>
              <w:right w:val="single" w:sz="4" w:space="0" w:color="auto"/>
            </w:tcBorders>
          </w:tcPr>
          <w:p w14:paraId="7DADE654" w14:textId="77777777" w:rsidR="00886A3C" w:rsidRDefault="00886A3C" w:rsidP="00886A3C">
            <w:pPr>
              <w:jc w:val="center"/>
              <w:rPr>
                <w:rFonts w:ascii="Times New Roman" w:hAnsi="Times New Roman" w:cs="Times New Roman"/>
              </w:rPr>
            </w:pPr>
            <w:r>
              <w:rPr>
                <w:rFonts w:ascii="Times New Roman" w:hAnsi="Times New Roman" w:cs="Times New Roman"/>
              </w:rPr>
              <w:t>20 %</w:t>
            </w:r>
          </w:p>
        </w:tc>
      </w:tr>
      <w:tr w:rsidR="00886A3C" w:rsidRPr="00C5493C" w14:paraId="6B30CE0E"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67B0F3CD" w14:textId="77777777" w:rsidR="00886A3C" w:rsidRDefault="00886A3C" w:rsidP="00886A3C">
            <w:pPr>
              <w:rPr>
                <w:rFonts w:ascii="Times New Roman" w:hAnsi="Times New Roman" w:cs="Times New Roman"/>
              </w:rPr>
            </w:pPr>
            <w:r w:rsidRPr="00B22183">
              <w:rPr>
                <w:rFonts w:ascii="Times New Roman" w:hAnsi="Times New Roman" w:cs="Times New Roman"/>
                <w:lang w:val="fr-FR"/>
              </w:rPr>
              <w:t>4.2. L</w:t>
            </w:r>
            <w:r>
              <w:rPr>
                <w:rFonts w:ascii="Times New Roman" w:hAnsi="Times New Roman" w:cs="Times New Roman"/>
                <w:lang w:val="fr-FR"/>
              </w:rPr>
              <w:t>’</w:t>
            </w:r>
            <w:r w:rsidRPr="00B22183">
              <w:rPr>
                <w:rFonts w:ascii="Times New Roman" w:hAnsi="Times New Roman" w:cs="Times New Roman"/>
                <w:lang w:val="fr-FR"/>
              </w:rPr>
              <w:t>itinéraire et les aires de halte clés ont été identifiés le long de la voie occidentale de migration.</w:t>
            </w:r>
            <w:r w:rsidRPr="004B1407">
              <w:rPr>
                <w:rFonts w:ascii="Times New Roman" w:hAnsi="Times New Roman" w:cs="Times New Roman"/>
                <w:lang w:val="fr-FR"/>
              </w:rPr>
              <w:t xml:space="preserve"> </w:t>
            </w:r>
            <w:r w:rsidRPr="00B22183">
              <w:rPr>
                <w:rFonts w:ascii="Times New Roman" w:hAnsi="Times New Roman" w:cs="Times New Roman"/>
                <w:lang w:val="fr-FR"/>
              </w:rPr>
              <w:t>(Inde, Kazakhstan, Pakistan)</w:t>
            </w:r>
            <w:r w:rsidRPr="00C5493C">
              <w:rPr>
                <w:rFonts w:ascii="Times New Roman" w:hAnsi="Times New Roman" w:cs="Times New Roman"/>
              </w:rPr>
              <w:tab/>
            </w:r>
            <w:r w:rsidRPr="00C5493C">
              <w:rPr>
                <w:rFonts w:ascii="Times New Roman" w:hAnsi="Times New Roman" w:cs="Times New Roman"/>
              </w:rPr>
              <w:tab/>
            </w:r>
            <w:r w:rsidRPr="00C5493C">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0A85F26B" w14:textId="77777777" w:rsidR="00886A3C" w:rsidRDefault="00886A3C" w:rsidP="00886A3C">
            <w:pPr>
              <w:jc w:val="center"/>
              <w:rPr>
                <w:rFonts w:ascii="Times New Roman" w:hAnsi="Times New Roman" w:cs="Times New Roman"/>
              </w:rPr>
            </w:pPr>
            <w:r w:rsidRPr="00B22183">
              <w:rPr>
                <w:rFonts w:ascii="Times New Roman" w:hAnsi="Times New Roman" w:cs="Times New Roman"/>
                <w:lang w:val="fr-FR"/>
              </w:rPr>
              <w:t>Élevée</w:t>
            </w:r>
          </w:p>
        </w:tc>
        <w:tc>
          <w:tcPr>
            <w:tcW w:w="1555" w:type="dxa"/>
            <w:tcBorders>
              <w:top w:val="single" w:sz="4" w:space="0" w:color="auto"/>
              <w:left w:val="single" w:sz="4" w:space="0" w:color="auto"/>
              <w:bottom w:val="single" w:sz="4" w:space="0" w:color="auto"/>
              <w:right w:val="single" w:sz="4" w:space="0" w:color="auto"/>
            </w:tcBorders>
          </w:tcPr>
          <w:p w14:paraId="4FB19869"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C5493C" w14:paraId="18741EB2" w14:textId="77777777" w:rsidTr="004C07B7">
        <w:trPr>
          <w:trHeight w:val="422"/>
        </w:trPr>
        <w:tc>
          <w:tcPr>
            <w:tcW w:w="6132" w:type="dxa"/>
            <w:tcBorders>
              <w:top w:val="single" w:sz="4" w:space="0" w:color="auto"/>
              <w:left w:val="single" w:sz="4" w:space="0" w:color="auto"/>
              <w:bottom w:val="single" w:sz="4" w:space="0" w:color="auto"/>
              <w:right w:val="single" w:sz="4" w:space="0" w:color="auto"/>
            </w:tcBorders>
          </w:tcPr>
          <w:p w14:paraId="4A5DEE17" w14:textId="77777777" w:rsidR="00886A3C" w:rsidRDefault="00886A3C" w:rsidP="00886A3C">
            <w:pPr>
              <w:rPr>
                <w:rFonts w:ascii="Times New Roman" w:hAnsi="Times New Roman" w:cs="Times New Roman"/>
              </w:rPr>
            </w:pPr>
            <w:r w:rsidRPr="00B22183">
              <w:rPr>
                <w:rFonts w:ascii="Times New Roman" w:hAnsi="Times New Roman" w:cs="Times New Roman"/>
                <w:lang w:val="fr-FR"/>
              </w:rPr>
              <w:t>4.3. L</w:t>
            </w:r>
            <w:r>
              <w:rPr>
                <w:rFonts w:ascii="Times New Roman" w:hAnsi="Times New Roman" w:cs="Times New Roman"/>
                <w:lang w:val="fr-FR"/>
              </w:rPr>
              <w:t>’</w:t>
            </w:r>
            <w:r w:rsidRPr="00B22183">
              <w:rPr>
                <w:rFonts w:ascii="Times New Roman" w:hAnsi="Times New Roman" w:cs="Times New Roman"/>
                <w:lang w:val="fr-FR"/>
              </w:rPr>
              <w:t>ampleur de la pression de la chasse a été évaluée.</w:t>
            </w:r>
            <w:r w:rsidRPr="004B1407">
              <w:rPr>
                <w:rFonts w:ascii="Times New Roman" w:hAnsi="Times New Roman" w:cs="Times New Roman"/>
                <w:lang w:val="fr-FR"/>
              </w:rPr>
              <w:t xml:space="preserve"> </w:t>
            </w:r>
            <w:r w:rsidRPr="00B22183">
              <w:rPr>
                <w:rFonts w:ascii="Times New Roman" w:hAnsi="Times New Roman" w:cs="Times New Roman"/>
                <w:lang w:val="fr-FR"/>
              </w:rPr>
              <w:t>(Syrie, Iraq, Turquie)</w:t>
            </w:r>
            <w:r w:rsidRPr="00AD603D">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1083BDB4" w14:textId="77777777" w:rsidR="00886A3C" w:rsidRDefault="00886A3C" w:rsidP="00886A3C">
            <w:pPr>
              <w:jc w:val="center"/>
              <w:rPr>
                <w:rFonts w:ascii="Times New Roman" w:hAnsi="Times New Roman" w:cs="Times New Roman"/>
              </w:rPr>
            </w:pPr>
            <w:r w:rsidRPr="00B22183">
              <w:rPr>
                <w:rFonts w:ascii="Times New Roman" w:hAnsi="Times New Roman" w:cs="Times New Roman"/>
                <w:lang w:val="fr-FR"/>
              </w:rPr>
              <w:t>Essentielle</w:t>
            </w:r>
          </w:p>
        </w:tc>
        <w:tc>
          <w:tcPr>
            <w:tcW w:w="1555" w:type="dxa"/>
            <w:tcBorders>
              <w:top w:val="single" w:sz="4" w:space="0" w:color="auto"/>
              <w:left w:val="single" w:sz="4" w:space="0" w:color="auto"/>
              <w:bottom w:val="single" w:sz="4" w:space="0" w:color="auto"/>
              <w:right w:val="single" w:sz="4" w:space="0" w:color="auto"/>
            </w:tcBorders>
          </w:tcPr>
          <w:p w14:paraId="29115199"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C5493C" w14:paraId="399695DD"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39CA4A69" w14:textId="77777777" w:rsidR="00886A3C" w:rsidRPr="00AD603D" w:rsidRDefault="00886A3C" w:rsidP="00886A3C">
            <w:pPr>
              <w:rPr>
                <w:rFonts w:ascii="Times New Roman" w:hAnsi="Times New Roman" w:cs="Times New Roman"/>
              </w:rPr>
            </w:pPr>
            <w:r w:rsidRPr="00B22183">
              <w:rPr>
                <w:rFonts w:ascii="Times New Roman" w:hAnsi="Times New Roman" w:cs="Times New Roman"/>
                <w:lang w:val="fr-FR"/>
              </w:rPr>
              <w:t>4.4. D</w:t>
            </w:r>
            <w:r>
              <w:rPr>
                <w:rFonts w:ascii="Times New Roman" w:hAnsi="Times New Roman" w:cs="Times New Roman"/>
                <w:lang w:val="fr-FR"/>
              </w:rPr>
              <w:t>’</w:t>
            </w:r>
            <w:r w:rsidRPr="00B22183">
              <w:rPr>
                <w:rFonts w:ascii="Times New Roman" w:hAnsi="Times New Roman" w:cs="Times New Roman"/>
                <w:lang w:val="fr-FR"/>
              </w:rPr>
              <w:t>autres sites d</w:t>
            </w:r>
            <w:r>
              <w:rPr>
                <w:rFonts w:ascii="Times New Roman" w:hAnsi="Times New Roman" w:cs="Times New Roman"/>
                <w:lang w:val="fr-FR"/>
              </w:rPr>
              <w:t>’</w:t>
            </w:r>
            <w:r w:rsidRPr="00B22183">
              <w:rPr>
                <w:rFonts w:ascii="Times New Roman" w:hAnsi="Times New Roman" w:cs="Times New Roman"/>
                <w:lang w:val="fr-FR"/>
              </w:rPr>
              <w:t xml:space="preserve">hivernage ont été identifiés au Soudan et ailleurs </w:t>
            </w:r>
            <w:r>
              <w:rPr>
                <w:rFonts w:ascii="Times New Roman" w:hAnsi="Times New Roman" w:cs="Times New Roman"/>
                <w:lang w:val="fr-FR"/>
              </w:rPr>
              <w:t>e</w:t>
            </w:r>
            <w:r w:rsidRPr="00B22183">
              <w:rPr>
                <w:rFonts w:ascii="Times New Roman" w:hAnsi="Times New Roman" w:cs="Times New Roman"/>
                <w:lang w:val="fr-FR"/>
              </w:rPr>
              <w:t>n Afrique du nord-est, au Moyen-Orient et en Inde.</w:t>
            </w:r>
            <w:r w:rsidRPr="004B1407">
              <w:rPr>
                <w:rFonts w:ascii="Times New Roman" w:hAnsi="Times New Roman" w:cs="Times New Roman"/>
                <w:lang w:val="fr-FR"/>
              </w:rPr>
              <w:t xml:space="preserve"> </w:t>
            </w:r>
            <w:r w:rsidRPr="00B22183">
              <w:rPr>
                <w:rFonts w:ascii="Times New Roman" w:hAnsi="Times New Roman" w:cs="Times New Roman"/>
                <w:lang w:val="fr-FR"/>
              </w:rPr>
              <w:t>(Érythrée, Éthiopie, Inde, Soudan)</w:t>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20957D61" w14:textId="77777777" w:rsidR="00886A3C" w:rsidRDefault="00886A3C" w:rsidP="00886A3C">
            <w:pPr>
              <w:jc w:val="center"/>
              <w:rPr>
                <w:rFonts w:ascii="Times New Roman" w:hAnsi="Times New Roman" w:cs="Times New Roman"/>
              </w:rPr>
            </w:pPr>
            <w:r w:rsidRPr="00B22183">
              <w:rPr>
                <w:rFonts w:ascii="Times New Roman" w:hAnsi="Times New Roman" w:cs="Times New Roman"/>
                <w:lang w:val="fr-FR"/>
              </w:rPr>
              <w:t>Élevée</w:t>
            </w:r>
          </w:p>
        </w:tc>
        <w:tc>
          <w:tcPr>
            <w:tcW w:w="1555" w:type="dxa"/>
            <w:tcBorders>
              <w:top w:val="single" w:sz="4" w:space="0" w:color="auto"/>
              <w:left w:val="single" w:sz="4" w:space="0" w:color="auto"/>
              <w:bottom w:val="single" w:sz="4" w:space="0" w:color="auto"/>
              <w:right w:val="single" w:sz="4" w:space="0" w:color="auto"/>
            </w:tcBorders>
          </w:tcPr>
          <w:p w14:paraId="21F7C6E9"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C5493C" w14:paraId="0FAA8AFB"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6100021F" w14:textId="77777777" w:rsidR="00886A3C" w:rsidRPr="004B1407" w:rsidRDefault="00886A3C" w:rsidP="00886A3C">
            <w:pPr>
              <w:rPr>
                <w:rFonts w:ascii="Times New Roman" w:hAnsi="Times New Roman" w:cs="Times New Roman"/>
                <w:lang w:val="fr-FR"/>
              </w:rPr>
            </w:pPr>
            <w:r w:rsidRPr="00B22183">
              <w:rPr>
                <w:rFonts w:ascii="Times New Roman" w:hAnsi="Times New Roman" w:cs="Times New Roman"/>
                <w:lang w:val="fr-FR"/>
              </w:rPr>
              <w:t>4.5. D</w:t>
            </w:r>
            <w:r>
              <w:rPr>
                <w:rFonts w:ascii="Times New Roman" w:hAnsi="Times New Roman" w:cs="Times New Roman"/>
                <w:lang w:val="fr-FR"/>
              </w:rPr>
              <w:t>’</w:t>
            </w:r>
            <w:r w:rsidRPr="00B22183">
              <w:rPr>
                <w:rFonts w:ascii="Times New Roman" w:hAnsi="Times New Roman" w:cs="Times New Roman"/>
                <w:lang w:val="fr-FR"/>
              </w:rPr>
              <w:t>autres recherches ont été entreprises sur les</w:t>
            </w:r>
            <w:r>
              <w:rPr>
                <w:rFonts w:ascii="Times New Roman" w:hAnsi="Times New Roman" w:cs="Times New Roman"/>
                <w:lang w:val="fr-FR"/>
              </w:rPr>
              <w:t xml:space="preserve"> </w:t>
            </w:r>
            <w:r w:rsidRPr="00B22183">
              <w:rPr>
                <w:rFonts w:ascii="Times New Roman" w:hAnsi="Times New Roman" w:cs="Times New Roman"/>
                <w:lang w:val="fr-FR"/>
              </w:rPr>
              <w:t>paramètres démographiques.</w:t>
            </w:r>
          </w:p>
        </w:tc>
        <w:tc>
          <w:tcPr>
            <w:tcW w:w="1373" w:type="dxa"/>
            <w:tcBorders>
              <w:top w:val="single" w:sz="4" w:space="0" w:color="auto"/>
              <w:left w:val="single" w:sz="4" w:space="0" w:color="auto"/>
              <w:bottom w:val="single" w:sz="4" w:space="0" w:color="auto"/>
              <w:right w:val="single" w:sz="4" w:space="0" w:color="auto"/>
            </w:tcBorders>
          </w:tcPr>
          <w:p w14:paraId="585E3A00" w14:textId="77777777" w:rsidR="00886A3C" w:rsidRDefault="00886A3C" w:rsidP="00886A3C">
            <w:pPr>
              <w:jc w:val="center"/>
              <w:rPr>
                <w:rFonts w:ascii="Times New Roman" w:hAnsi="Times New Roman" w:cs="Times New Roman"/>
              </w:rPr>
            </w:pPr>
            <w:r w:rsidRPr="00B22183">
              <w:rPr>
                <w:rFonts w:ascii="Times New Roman" w:hAnsi="Times New Roman" w:cs="Times New Roman"/>
                <w:lang w:val="fr-FR"/>
              </w:rPr>
              <w:t>Moyenne</w:t>
            </w:r>
          </w:p>
        </w:tc>
        <w:tc>
          <w:tcPr>
            <w:tcW w:w="1555" w:type="dxa"/>
            <w:tcBorders>
              <w:top w:val="single" w:sz="4" w:space="0" w:color="auto"/>
              <w:left w:val="single" w:sz="4" w:space="0" w:color="auto"/>
              <w:bottom w:val="single" w:sz="4" w:space="0" w:color="auto"/>
              <w:right w:val="single" w:sz="4" w:space="0" w:color="auto"/>
            </w:tcBorders>
          </w:tcPr>
          <w:p w14:paraId="31E3EA91" w14:textId="77777777" w:rsidR="00886A3C" w:rsidRDefault="00886A3C" w:rsidP="00886A3C">
            <w:pPr>
              <w:jc w:val="center"/>
              <w:rPr>
                <w:rFonts w:ascii="Times New Roman" w:hAnsi="Times New Roman" w:cs="Times New Roman"/>
              </w:rPr>
            </w:pPr>
            <w:r>
              <w:rPr>
                <w:rFonts w:ascii="Times New Roman" w:hAnsi="Times New Roman" w:cs="Times New Roman"/>
              </w:rPr>
              <w:t>8 %</w:t>
            </w:r>
          </w:p>
        </w:tc>
      </w:tr>
      <w:tr w:rsidR="00886A3C" w:rsidRPr="00C5493C" w14:paraId="02E6BDA4"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1CA26B8B" w14:textId="77777777" w:rsidR="00886A3C" w:rsidRPr="00AE7104" w:rsidRDefault="00886A3C" w:rsidP="00886A3C">
            <w:pPr>
              <w:rPr>
                <w:rFonts w:ascii="Times New Roman" w:hAnsi="Times New Roman" w:cs="Times New Roman"/>
              </w:rPr>
            </w:pPr>
            <w:r w:rsidRPr="00B22183">
              <w:rPr>
                <w:rFonts w:ascii="Times New Roman" w:hAnsi="Times New Roman" w:cs="Times New Roman"/>
                <w:lang w:val="fr-FR"/>
              </w:rPr>
              <w:t xml:space="preserve">4.6. </w:t>
            </w:r>
            <w:r>
              <w:rPr>
                <w:rFonts w:ascii="Times New Roman" w:hAnsi="Times New Roman" w:cs="Times New Roman"/>
                <w:lang w:val="fr-FR"/>
              </w:rPr>
              <w:t xml:space="preserve">Des </w:t>
            </w:r>
            <w:r w:rsidRPr="00B22183">
              <w:rPr>
                <w:rFonts w:ascii="Times New Roman" w:hAnsi="Times New Roman" w:cs="Times New Roman"/>
                <w:lang w:val="fr-FR"/>
              </w:rPr>
              <w:t xml:space="preserve">recherches </w:t>
            </w:r>
            <w:r>
              <w:rPr>
                <w:rFonts w:ascii="Times New Roman" w:hAnsi="Times New Roman" w:cs="Times New Roman"/>
                <w:lang w:val="fr-FR"/>
              </w:rPr>
              <w:t xml:space="preserve">ont-elles été </w:t>
            </w:r>
            <w:r w:rsidRPr="00B22183">
              <w:rPr>
                <w:rFonts w:ascii="Times New Roman" w:hAnsi="Times New Roman" w:cs="Times New Roman"/>
                <w:lang w:val="fr-FR"/>
              </w:rPr>
              <w:t>effectuée sur la stratégie de migration au moyen du suivi satellitaire et des bagues de couleurs sur les sites de reproduction ?</w:t>
            </w:r>
            <w:r w:rsidRPr="004B1407">
              <w:rPr>
                <w:rFonts w:ascii="Times New Roman" w:hAnsi="Times New Roman" w:cs="Times New Roman"/>
                <w:lang w:val="fr-FR"/>
              </w:rPr>
              <w:t xml:space="preserve"> </w:t>
            </w:r>
            <w:r w:rsidRPr="00B22183">
              <w:rPr>
                <w:rFonts w:ascii="Times New Roman" w:hAnsi="Times New Roman" w:cs="Times New Roman"/>
                <w:lang w:val="fr-FR"/>
              </w:rPr>
              <w:t>(cette question s</w:t>
            </w:r>
            <w:r>
              <w:rPr>
                <w:rFonts w:ascii="Times New Roman" w:hAnsi="Times New Roman" w:cs="Times New Roman"/>
                <w:lang w:val="fr-FR"/>
              </w:rPr>
              <w:t>’</w:t>
            </w:r>
            <w:r w:rsidRPr="00B22183">
              <w:rPr>
                <w:rFonts w:ascii="Times New Roman" w:hAnsi="Times New Roman" w:cs="Times New Roman"/>
                <w:lang w:val="fr-FR"/>
              </w:rPr>
              <w:t>applique au Kazakhstan)</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1E047B5B" w14:textId="77777777" w:rsidR="00886A3C" w:rsidRDefault="00886A3C" w:rsidP="00886A3C">
            <w:pPr>
              <w:jc w:val="center"/>
              <w:rPr>
                <w:rFonts w:ascii="Times New Roman" w:hAnsi="Times New Roman" w:cs="Times New Roman"/>
              </w:rPr>
            </w:pPr>
            <w:r w:rsidRPr="00B22183">
              <w:rPr>
                <w:rFonts w:ascii="Times New Roman" w:hAnsi="Times New Roman" w:cs="Times New Roman"/>
                <w:lang w:val="fr-FR"/>
              </w:rPr>
              <w:t>Essentielle</w:t>
            </w:r>
          </w:p>
        </w:tc>
        <w:tc>
          <w:tcPr>
            <w:tcW w:w="1555" w:type="dxa"/>
            <w:tcBorders>
              <w:top w:val="single" w:sz="4" w:space="0" w:color="auto"/>
              <w:left w:val="single" w:sz="4" w:space="0" w:color="auto"/>
              <w:bottom w:val="single" w:sz="4" w:space="0" w:color="auto"/>
              <w:right w:val="single" w:sz="4" w:space="0" w:color="auto"/>
            </w:tcBorders>
          </w:tcPr>
          <w:p w14:paraId="2CFD0CF4" w14:textId="77777777" w:rsidR="00886A3C" w:rsidRDefault="00886A3C" w:rsidP="00886A3C">
            <w:pPr>
              <w:jc w:val="center"/>
              <w:rPr>
                <w:rFonts w:ascii="Times New Roman" w:hAnsi="Times New Roman" w:cs="Times New Roman"/>
              </w:rPr>
            </w:pPr>
            <w:r>
              <w:rPr>
                <w:rFonts w:ascii="Times New Roman" w:hAnsi="Times New Roman" w:cs="Times New Roman"/>
              </w:rPr>
              <w:t>100 %</w:t>
            </w:r>
          </w:p>
        </w:tc>
      </w:tr>
      <w:tr w:rsidR="00886A3C" w:rsidRPr="00C5493C" w14:paraId="62C708DF"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6905FD9D" w14:textId="77777777" w:rsidR="00886A3C" w:rsidRPr="00AE7104" w:rsidRDefault="00886A3C" w:rsidP="00886A3C">
            <w:pPr>
              <w:rPr>
                <w:rFonts w:ascii="Times New Roman" w:hAnsi="Times New Roman" w:cs="Times New Roman"/>
              </w:rPr>
            </w:pPr>
            <w:r w:rsidRPr="00B22183">
              <w:rPr>
                <w:rFonts w:ascii="Times New Roman" w:hAnsi="Times New Roman" w:cs="Times New Roman"/>
                <w:lang w:val="fr-FR"/>
              </w:rPr>
              <w:t xml:space="preserve">4.7. De nouvelles aires de reproduction ont été identifiées au moyen du suivi satellitaire des oiseaux </w:t>
            </w:r>
            <w:r>
              <w:rPr>
                <w:rFonts w:ascii="Times New Roman" w:hAnsi="Times New Roman" w:cs="Times New Roman"/>
                <w:lang w:val="fr-FR"/>
              </w:rPr>
              <w:t>attrapés</w:t>
            </w:r>
            <w:r w:rsidRPr="00B22183">
              <w:rPr>
                <w:rFonts w:ascii="Times New Roman" w:hAnsi="Times New Roman" w:cs="Times New Roman"/>
                <w:lang w:val="fr-FR"/>
              </w:rPr>
              <w:t xml:space="preserve"> sur les sites d</w:t>
            </w:r>
            <w:r>
              <w:rPr>
                <w:rFonts w:ascii="Times New Roman" w:hAnsi="Times New Roman" w:cs="Times New Roman"/>
                <w:lang w:val="fr-FR"/>
              </w:rPr>
              <w:t>’</w:t>
            </w:r>
            <w:r w:rsidRPr="00B22183">
              <w:rPr>
                <w:rFonts w:ascii="Times New Roman" w:hAnsi="Times New Roman" w:cs="Times New Roman"/>
                <w:lang w:val="fr-FR"/>
              </w:rPr>
              <w:t>hivernage</w:t>
            </w:r>
            <w:r>
              <w:rPr>
                <w:rFonts w:ascii="Times New Roman" w:hAnsi="Times New Roman" w:cs="Times New Roman"/>
                <w:lang w:val="fr-FR"/>
              </w:rPr>
              <w:t>.</w:t>
            </w:r>
            <w:r w:rsidRPr="00B22183">
              <w:rPr>
                <w:rFonts w:ascii="Times New Roman" w:hAnsi="Times New Roman" w:cs="Times New Roman"/>
                <w:lang w:val="fr-FR"/>
              </w:rPr>
              <w:t xml:space="preserve"> (Inde, Soudan)</w:t>
            </w:r>
          </w:p>
        </w:tc>
        <w:tc>
          <w:tcPr>
            <w:tcW w:w="1373" w:type="dxa"/>
            <w:tcBorders>
              <w:top w:val="single" w:sz="4" w:space="0" w:color="auto"/>
              <w:left w:val="single" w:sz="4" w:space="0" w:color="auto"/>
              <w:bottom w:val="single" w:sz="4" w:space="0" w:color="auto"/>
              <w:right w:val="single" w:sz="4" w:space="0" w:color="auto"/>
            </w:tcBorders>
          </w:tcPr>
          <w:p w14:paraId="25DF635B" w14:textId="77777777" w:rsidR="00886A3C" w:rsidRDefault="00886A3C" w:rsidP="00886A3C">
            <w:pPr>
              <w:jc w:val="center"/>
              <w:rPr>
                <w:rFonts w:ascii="Times New Roman" w:hAnsi="Times New Roman" w:cs="Times New Roman"/>
              </w:rPr>
            </w:pPr>
            <w:r w:rsidRPr="00107C66">
              <w:rPr>
                <w:rFonts w:ascii="Times New Roman" w:hAnsi="Times New Roman" w:cs="Times New Roman"/>
                <w:lang w:val="fr-FR"/>
              </w:rPr>
              <w:t>Moyenne</w:t>
            </w:r>
          </w:p>
        </w:tc>
        <w:tc>
          <w:tcPr>
            <w:tcW w:w="1555" w:type="dxa"/>
            <w:tcBorders>
              <w:top w:val="single" w:sz="4" w:space="0" w:color="auto"/>
              <w:left w:val="single" w:sz="4" w:space="0" w:color="auto"/>
              <w:bottom w:val="single" w:sz="4" w:space="0" w:color="auto"/>
              <w:right w:val="single" w:sz="4" w:space="0" w:color="auto"/>
            </w:tcBorders>
          </w:tcPr>
          <w:p w14:paraId="05F35315"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C5493C" w14:paraId="7638AFE9"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08AC2E5A" w14:textId="77777777" w:rsidR="00886A3C" w:rsidRPr="00AE7104" w:rsidRDefault="00886A3C" w:rsidP="00886A3C">
            <w:pPr>
              <w:rPr>
                <w:rFonts w:ascii="Times New Roman" w:hAnsi="Times New Roman" w:cs="Times New Roman"/>
              </w:rPr>
            </w:pPr>
            <w:r w:rsidRPr="00107C66">
              <w:rPr>
                <w:rFonts w:ascii="Times New Roman" w:hAnsi="Times New Roman" w:cs="Times New Roman"/>
                <w:lang w:val="fr-FR"/>
              </w:rPr>
              <w:t>4.8. Des comptages coordonnés des sites de reproduction ont été réalisés afin d</w:t>
            </w:r>
            <w:r>
              <w:rPr>
                <w:rFonts w:ascii="Times New Roman" w:hAnsi="Times New Roman" w:cs="Times New Roman"/>
                <w:lang w:val="fr-FR"/>
              </w:rPr>
              <w:t>’</w:t>
            </w:r>
            <w:r w:rsidRPr="00107C66">
              <w:rPr>
                <w:rFonts w:ascii="Times New Roman" w:hAnsi="Times New Roman" w:cs="Times New Roman"/>
                <w:lang w:val="fr-FR"/>
              </w:rPr>
              <w:t>améliorer les estimations de la population mondiale.</w:t>
            </w:r>
            <w:r w:rsidRPr="004B1407">
              <w:rPr>
                <w:rFonts w:ascii="Times New Roman" w:hAnsi="Times New Roman" w:cs="Times New Roman"/>
                <w:lang w:val="fr-FR"/>
              </w:rPr>
              <w:t xml:space="preserve"> </w:t>
            </w:r>
            <w:r w:rsidRPr="00107C66">
              <w:rPr>
                <w:rFonts w:ascii="Times New Roman" w:hAnsi="Times New Roman" w:cs="Times New Roman"/>
                <w:lang w:val="fr-FR"/>
              </w:rPr>
              <w:t>(Kazakhstan, Russi</w:t>
            </w:r>
            <w:r>
              <w:rPr>
                <w:rFonts w:ascii="Times New Roman" w:hAnsi="Times New Roman" w:cs="Times New Roman"/>
                <w:lang w:val="fr-FR"/>
              </w:rPr>
              <w:t>e</w:t>
            </w:r>
            <w:r w:rsidRPr="00107C66">
              <w:rPr>
                <w:rFonts w:ascii="Times New Roman" w:hAnsi="Times New Roman" w:cs="Times New Roman"/>
                <w:lang w:val="fr-FR"/>
              </w:rPr>
              <w:t>)</w:t>
            </w:r>
            <w:r>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507AF648" w14:textId="77777777" w:rsidR="00886A3C" w:rsidRDefault="00886A3C" w:rsidP="00886A3C">
            <w:pPr>
              <w:jc w:val="center"/>
              <w:rPr>
                <w:rFonts w:ascii="Times New Roman" w:hAnsi="Times New Roman" w:cs="Times New Roman"/>
              </w:rPr>
            </w:pPr>
            <w:r w:rsidRPr="00107C66">
              <w:rPr>
                <w:rFonts w:ascii="Times New Roman" w:hAnsi="Times New Roman" w:cs="Times New Roman"/>
                <w:lang w:val="fr-FR"/>
              </w:rPr>
              <w:t>Élevée</w:t>
            </w:r>
          </w:p>
        </w:tc>
        <w:tc>
          <w:tcPr>
            <w:tcW w:w="1555" w:type="dxa"/>
            <w:tcBorders>
              <w:top w:val="single" w:sz="4" w:space="0" w:color="auto"/>
              <w:left w:val="single" w:sz="4" w:space="0" w:color="auto"/>
              <w:bottom w:val="single" w:sz="4" w:space="0" w:color="auto"/>
              <w:right w:val="single" w:sz="4" w:space="0" w:color="auto"/>
            </w:tcBorders>
          </w:tcPr>
          <w:p w14:paraId="1846FBDB"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rsidRPr="00C5493C" w14:paraId="5469ED83"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77C1760D" w14:textId="77777777" w:rsidR="00886A3C" w:rsidRPr="00AE7104" w:rsidRDefault="00886A3C" w:rsidP="00886A3C">
            <w:pPr>
              <w:rPr>
                <w:rFonts w:ascii="Times New Roman" w:hAnsi="Times New Roman" w:cs="Times New Roman"/>
              </w:rPr>
            </w:pPr>
            <w:r w:rsidRPr="00107C66">
              <w:rPr>
                <w:rFonts w:ascii="Times New Roman" w:hAnsi="Times New Roman" w:cs="Times New Roman"/>
                <w:lang w:val="fr-FR"/>
              </w:rPr>
              <w:t xml:space="preserve">4.9. Les incidences des changements </w:t>
            </w:r>
            <w:r>
              <w:rPr>
                <w:rFonts w:ascii="Times New Roman" w:hAnsi="Times New Roman" w:cs="Times New Roman"/>
                <w:lang w:val="fr-FR"/>
              </w:rPr>
              <w:t xml:space="preserve">possible de </w:t>
            </w:r>
            <w:r w:rsidRPr="00107C66">
              <w:rPr>
                <w:rFonts w:ascii="Times New Roman" w:hAnsi="Times New Roman" w:cs="Times New Roman"/>
                <w:lang w:val="fr-FR"/>
              </w:rPr>
              <w:t>l</w:t>
            </w:r>
            <w:r>
              <w:rPr>
                <w:rFonts w:ascii="Times New Roman" w:hAnsi="Times New Roman" w:cs="Times New Roman"/>
                <w:lang w:val="fr-FR"/>
              </w:rPr>
              <w:t>’</w:t>
            </w:r>
            <w:r w:rsidRPr="00107C66">
              <w:rPr>
                <w:rFonts w:ascii="Times New Roman" w:hAnsi="Times New Roman" w:cs="Times New Roman"/>
                <w:lang w:val="fr-FR"/>
              </w:rPr>
              <w:t xml:space="preserve">utilisation des sols sur </w:t>
            </w:r>
            <w:r w:rsidRPr="0029205E">
              <w:rPr>
                <w:rFonts w:ascii="Times New Roman" w:hAnsi="Times New Roman" w:cs="Times New Roman"/>
                <w:lang w:val="fr-FR"/>
              </w:rPr>
              <w:t>les taux et la répartition de la reproduction</w:t>
            </w:r>
            <w:r>
              <w:rPr>
                <w:rFonts w:ascii="Times New Roman" w:hAnsi="Times New Roman" w:cs="Times New Roman"/>
                <w:lang w:val="fr-FR"/>
              </w:rPr>
              <w:t xml:space="preserve"> </w:t>
            </w:r>
            <w:r w:rsidRPr="00107C66">
              <w:rPr>
                <w:rFonts w:ascii="Times New Roman" w:hAnsi="Times New Roman" w:cs="Times New Roman"/>
                <w:lang w:val="fr-FR"/>
              </w:rPr>
              <w:t>ont été déterminées.</w:t>
            </w:r>
            <w:r w:rsidRPr="004B1407">
              <w:rPr>
                <w:rFonts w:ascii="Times New Roman" w:hAnsi="Times New Roman" w:cs="Times New Roman"/>
                <w:lang w:val="fr-FR"/>
              </w:rPr>
              <w:t xml:space="preserve"> </w:t>
            </w:r>
            <w:r w:rsidRPr="00107C66">
              <w:rPr>
                <w:rFonts w:ascii="Times New Roman" w:hAnsi="Times New Roman" w:cs="Times New Roman"/>
                <w:lang w:val="fr-FR"/>
              </w:rPr>
              <w:t>(Kazakhstan, Russie)</w:t>
            </w:r>
          </w:p>
        </w:tc>
        <w:tc>
          <w:tcPr>
            <w:tcW w:w="1373" w:type="dxa"/>
            <w:tcBorders>
              <w:top w:val="single" w:sz="4" w:space="0" w:color="auto"/>
              <w:left w:val="single" w:sz="4" w:space="0" w:color="auto"/>
              <w:bottom w:val="single" w:sz="4" w:space="0" w:color="auto"/>
              <w:right w:val="single" w:sz="4" w:space="0" w:color="auto"/>
            </w:tcBorders>
          </w:tcPr>
          <w:p w14:paraId="53DACD07" w14:textId="77777777" w:rsidR="00886A3C" w:rsidRDefault="00886A3C" w:rsidP="00886A3C">
            <w:pPr>
              <w:jc w:val="center"/>
              <w:rPr>
                <w:rFonts w:ascii="Times New Roman" w:hAnsi="Times New Roman" w:cs="Times New Roman"/>
              </w:rPr>
            </w:pPr>
            <w:r w:rsidRPr="00107C66">
              <w:rPr>
                <w:rFonts w:ascii="Times New Roman" w:hAnsi="Times New Roman" w:cs="Times New Roman"/>
                <w:lang w:val="fr-FR"/>
              </w:rPr>
              <w:t>Moyenne</w:t>
            </w:r>
          </w:p>
        </w:tc>
        <w:tc>
          <w:tcPr>
            <w:tcW w:w="1555" w:type="dxa"/>
            <w:tcBorders>
              <w:top w:val="single" w:sz="4" w:space="0" w:color="auto"/>
              <w:left w:val="single" w:sz="4" w:space="0" w:color="auto"/>
              <w:bottom w:val="single" w:sz="4" w:space="0" w:color="auto"/>
              <w:right w:val="single" w:sz="4" w:space="0" w:color="auto"/>
            </w:tcBorders>
          </w:tcPr>
          <w:p w14:paraId="0BF86C93"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C5493C" w14:paraId="55423A44"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7EC99793" w14:textId="77777777" w:rsidR="00886A3C" w:rsidRPr="00AE7104" w:rsidRDefault="00886A3C" w:rsidP="00886A3C">
            <w:pPr>
              <w:rPr>
                <w:rFonts w:ascii="Times New Roman" w:hAnsi="Times New Roman" w:cs="Times New Roman"/>
              </w:rPr>
            </w:pPr>
            <w:r w:rsidRPr="00107C66">
              <w:rPr>
                <w:rFonts w:ascii="Times New Roman" w:hAnsi="Times New Roman" w:cs="Times New Roman"/>
                <w:lang w:val="fr-FR"/>
              </w:rPr>
              <w:t>4.10. Les incidences des changements possibles de l</w:t>
            </w:r>
            <w:r>
              <w:rPr>
                <w:rFonts w:ascii="Times New Roman" w:hAnsi="Times New Roman" w:cs="Times New Roman"/>
                <w:lang w:val="fr-FR"/>
              </w:rPr>
              <w:t>’</w:t>
            </w:r>
            <w:r w:rsidRPr="00107C66">
              <w:rPr>
                <w:rFonts w:ascii="Times New Roman" w:hAnsi="Times New Roman" w:cs="Times New Roman"/>
                <w:lang w:val="fr-FR"/>
              </w:rPr>
              <w:t>utilisation des sols sur les sites d</w:t>
            </w:r>
            <w:r>
              <w:rPr>
                <w:rFonts w:ascii="Times New Roman" w:hAnsi="Times New Roman" w:cs="Times New Roman"/>
                <w:lang w:val="fr-FR"/>
              </w:rPr>
              <w:t>’</w:t>
            </w:r>
            <w:r w:rsidRPr="00107C66">
              <w:rPr>
                <w:rFonts w:ascii="Times New Roman" w:hAnsi="Times New Roman" w:cs="Times New Roman"/>
                <w:lang w:val="fr-FR"/>
              </w:rPr>
              <w:t>hivernage ont été déterminés.</w:t>
            </w:r>
            <w:r w:rsidRPr="004B1407">
              <w:rPr>
                <w:rFonts w:ascii="Times New Roman" w:hAnsi="Times New Roman" w:cs="Times New Roman"/>
                <w:lang w:val="fr-FR"/>
              </w:rPr>
              <w:t xml:space="preserve"> </w:t>
            </w:r>
            <w:r w:rsidRPr="00107C66">
              <w:rPr>
                <w:rFonts w:ascii="Times New Roman" w:hAnsi="Times New Roman" w:cs="Times New Roman"/>
                <w:lang w:val="fr-FR"/>
              </w:rPr>
              <w:t>(Érythrée, Éthiopie, Inde, Oman, Pakistan, Arabie saoudite, Soudan)</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16C8CC34" w14:textId="77777777" w:rsidR="00886A3C" w:rsidRDefault="00886A3C" w:rsidP="00886A3C">
            <w:pPr>
              <w:jc w:val="center"/>
              <w:rPr>
                <w:rFonts w:ascii="Times New Roman" w:hAnsi="Times New Roman" w:cs="Times New Roman"/>
              </w:rPr>
            </w:pPr>
            <w:r w:rsidRPr="00107C66">
              <w:rPr>
                <w:rFonts w:ascii="Times New Roman" w:hAnsi="Times New Roman" w:cs="Times New Roman"/>
                <w:lang w:val="fr-FR"/>
              </w:rPr>
              <w:t>Faible</w:t>
            </w:r>
          </w:p>
        </w:tc>
        <w:tc>
          <w:tcPr>
            <w:tcW w:w="1555" w:type="dxa"/>
            <w:tcBorders>
              <w:top w:val="single" w:sz="4" w:space="0" w:color="auto"/>
              <w:left w:val="single" w:sz="4" w:space="0" w:color="auto"/>
              <w:bottom w:val="single" w:sz="4" w:space="0" w:color="auto"/>
              <w:right w:val="single" w:sz="4" w:space="0" w:color="auto"/>
            </w:tcBorders>
          </w:tcPr>
          <w:p w14:paraId="304EACA6" w14:textId="77777777" w:rsidR="00886A3C" w:rsidRDefault="00886A3C" w:rsidP="00886A3C">
            <w:pPr>
              <w:jc w:val="center"/>
              <w:rPr>
                <w:rFonts w:ascii="Times New Roman" w:hAnsi="Times New Roman" w:cs="Times New Roman"/>
              </w:rPr>
            </w:pPr>
            <w:r>
              <w:rPr>
                <w:rFonts w:ascii="Times New Roman" w:hAnsi="Times New Roman" w:cs="Times New Roman"/>
              </w:rPr>
              <w:t>0 %</w:t>
            </w:r>
          </w:p>
        </w:tc>
      </w:tr>
      <w:tr w:rsidR="00886A3C" w:rsidRPr="00C5493C" w14:paraId="1AD9AB47"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68C21400" w14:textId="77777777" w:rsidR="00886A3C" w:rsidRPr="00AE7104" w:rsidRDefault="00886A3C" w:rsidP="00886A3C">
            <w:pPr>
              <w:rPr>
                <w:rFonts w:ascii="Times New Roman" w:hAnsi="Times New Roman" w:cs="Times New Roman"/>
              </w:rPr>
            </w:pPr>
            <w:r w:rsidRPr="00107C66">
              <w:rPr>
                <w:rFonts w:ascii="Times New Roman" w:hAnsi="Times New Roman" w:cs="Times New Roman"/>
                <w:lang w:val="fr-FR"/>
              </w:rPr>
              <w:t>4.11. L</w:t>
            </w:r>
            <w:r>
              <w:rPr>
                <w:rFonts w:ascii="Times New Roman" w:hAnsi="Times New Roman" w:cs="Times New Roman"/>
                <w:lang w:val="fr-FR"/>
              </w:rPr>
              <w:t>’</w:t>
            </w:r>
            <w:r w:rsidRPr="00107C66">
              <w:rPr>
                <w:rFonts w:ascii="Times New Roman" w:hAnsi="Times New Roman" w:cs="Times New Roman"/>
                <w:lang w:val="fr-FR"/>
              </w:rPr>
              <w:t>espace climatique actuel du Vanneau sociable a été identifié afin de prévoir les impacts potentiels du changement climatique sur la distribution future.</w:t>
            </w:r>
            <w:r w:rsidRPr="004B1407">
              <w:rPr>
                <w:rFonts w:ascii="Times New Roman" w:hAnsi="Times New Roman" w:cs="Times New Roman"/>
                <w:lang w:val="fr-FR"/>
              </w:rPr>
              <w:t xml:space="preserve"> </w:t>
            </w:r>
            <w:r w:rsidRPr="00107C66">
              <w:rPr>
                <w:rFonts w:ascii="Times New Roman" w:hAnsi="Times New Roman" w:cs="Times New Roman"/>
                <w:lang w:val="fr-FR"/>
              </w:rPr>
              <w:t>(Kazakhstan, Russie)</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73" w:type="dxa"/>
            <w:tcBorders>
              <w:top w:val="single" w:sz="4" w:space="0" w:color="auto"/>
              <w:left w:val="single" w:sz="4" w:space="0" w:color="auto"/>
              <w:bottom w:val="single" w:sz="4" w:space="0" w:color="auto"/>
              <w:right w:val="single" w:sz="4" w:space="0" w:color="auto"/>
            </w:tcBorders>
          </w:tcPr>
          <w:p w14:paraId="788620E8" w14:textId="77777777" w:rsidR="00886A3C" w:rsidRDefault="00886A3C" w:rsidP="00886A3C">
            <w:pPr>
              <w:jc w:val="center"/>
              <w:rPr>
                <w:rFonts w:ascii="Times New Roman" w:hAnsi="Times New Roman" w:cs="Times New Roman"/>
              </w:rPr>
            </w:pPr>
            <w:r w:rsidRPr="00107C66">
              <w:rPr>
                <w:rFonts w:ascii="Times New Roman" w:hAnsi="Times New Roman" w:cs="Times New Roman"/>
                <w:lang w:val="fr-FR"/>
              </w:rPr>
              <w:t>Faible</w:t>
            </w:r>
          </w:p>
        </w:tc>
        <w:tc>
          <w:tcPr>
            <w:tcW w:w="1555" w:type="dxa"/>
            <w:tcBorders>
              <w:top w:val="single" w:sz="4" w:space="0" w:color="auto"/>
              <w:left w:val="single" w:sz="4" w:space="0" w:color="auto"/>
              <w:bottom w:val="single" w:sz="4" w:space="0" w:color="auto"/>
              <w:right w:val="single" w:sz="4" w:space="0" w:color="auto"/>
            </w:tcBorders>
          </w:tcPr>
          <w:p w14:paraId="4CA96D79" w14:textId="77777777" w:rsidR="00886A3C" w:rsidRDefault="00886A3C" w:rsidP="00886A3C">
            <w:pPr>
              <w:jc w:val="center"/>
              <w:rPr>
                <w:rFonts w:ascii="Times New Roman" w:hAnsi="Times New Roman" w:cs="Times New Roman"/>
              </w:rPr>
            </w:pPr>
            <w:r>
              <w:rPr>
                <w:rFonts w:ascii="Times New Roman" w:hAnsi="Times New Roman" w:cs="Times New Roman"/>
              </w:rPr>
              <w:t>50 %</w:t>
            </w:r>
          </w:p>
        </w:tc>
      </w:tr>
      <w:tr w:rsidR="00886A3C" w:rsidRPr="00C5493C" w14:paraId="7AD13FF1" w14:textId="77777777" w:rsidTr="004C07B7">
        <w:trPr>
          <w:trHeight w:val="480"/>
        </w:trPr>
        <w:tc>
          <w:tcPr>
            <w:tcW w:w="6132" w:type="dxa"/>
            <w:tcBorders>
              <w:top w:val="single" w:sz="4" w:space="0" w:color="auto"/>
              <w:left w:val="single" w:sz="4" w:space="0" w:color="auto"/>
              <w:bottom w:val="single" w:sz="4" w:space="0" w:color="auto"/>
              <w:right w:val="single" w:sz="4" w:space="0" w:color="auto"/>
            </w:tcBorders>
          </w:tcPr>
          <w:p w14:paraId="2B8C80FC" w14:textId="77777777" w:rsidR="00886A3C" w:rsidRPr="004B1407" w:rsidRDefault="00886A3C" w:rsidP="00886A3C">
            <w:pPr>
              <w:rPr>
                <w:rFonts w:ascii="Times New Roman" w:hAnsi="Times New Roman" w:cs="Times New Roman"/>
                <w:lang w:val="fr-FR"/>
              </w:rPr>
            </w:pPr>
            <w:r w:rsidRPr="00107C66">
              <w:rPr>
                <w:rFonts w:ascii="Times New Roman" w:hAnsi="Times New Roman" w:cs="Times New Roman"/>
                <w:lang w:val="fr-FR"/>
              </w:rPr>
              <w:t>4.12. Les exigences écologiques des sites de halte et d</w:t>
            </w:r>
            <w:r>
              <w:rPr>
                <w:rFonts w:ascii="Times New Roman" w:hAnsi="Times New Roman" w:cs="Times New Roman"/>
                <w:lang w:val="fr-FR"/>
              </w:rPr>
              <w:t>’</w:t>
            </w:r>
            <w:r w:rsidRPr="00107C66">
              <w:rPr>
                <w:rFonts w:ascii="Times New Roman" w:hAnsi="Times New Roman" w:cs="Times New Roman"/>
                <w:lang w:val="fr-FR"/>
              </w:rPr>
              <w:t>hivernage ont été identifiées.</w:t>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r w:rsidRPr="004B1407">
              <w:rPr>
                <w:rFonts w:ascii="Times New Roman" w:hAnsi="Times New Roman" w:cs="Times New Roman"/>
                <w:lang w:val="fr-FR"/>
              </w:rPr>
              <w:tab/>
            </w:r>
          </w:p>
        </w:tc>
        <w:tc>
          <w:tcPr>
            <w:tcW w:w="1373" w:type="dxa"/>
            <w:tcBorders>
              <w:top w:val="single" w:sz="4" w:space="0" w:color="auto"/>
              <w:left w:val="single" w:sz="4" w:space="0" w:color="auto"/>
              <w:bottom w:val="single" w:sz="4" w:space="0" w:color="auto"/>
              <w:right w:val="single" w:sz="4" w:space="0" w:color="auto"/>
            </w:tcBorders>
          </w:tcPr>
          <w:p w14:paraId="483D143F" w14:textId="77777777" w:rsidR="00886A3C" w:rsidRDefault="00886A3C" w:rsidP="00886A3C">
            <w:pPr>
              <w:jc w:val="center"/>
              <w:rPr>
                <w:rFonts w:ascii="Times New Roman" w:hAnsi="Times New Roman" w:cs="Times New Roman"/>
              </w:rPr>
            </w:pPr>
            <w:r w:rsidRPr="00107C66">
              <w:rPr>
                <w:rFonts w:ascii="Times New Roman" w:hAnsi="Times New Roman" w:cs="Times New Roman"/>
                <w:lang w:val="fr-FR"/>
              </w:rPr>
              <w:t>s.o.</w:t>
            </w:r>
          </w:p>
        </w:tc>
        <w:tc>
          <w:tcPr>
            <w:tcW w:w="1555" w:type="dxa"/>
            <w:tcBorders>
              <w:top w:val="single" w:sz="4" w:space="0" w:color="auto"/>
              <w:left w:val="single" w:sz="4" w:space="0" w:color="auto"/>
              <w:bottom w:val="single" w:sz="4" w:space="0" w:color="auto"/>
              <w:right w:val="single" w:sz="4" w:space="0" w:color="auto"/>
            </w:tcBorders>
          </w:tcPr>
          <w:p w14:paraId="6A3E806A" w14:textId="77777777" w:rsidR="00886A3C" w:rsidRDefault="00886A3C" w:rsidP="00886A3C">
            <w:pPr>
              <w:jc w:val="center"/>
              <w:rPr>
                <w:rFonts w:ascii="Times New Roman" w:hAnsi="Times New Roman" w:cs="Times New Roman"/>
              </w:rPr>
            </w:pPr>
            <w:r>
              <w:rPr>
                <w:rFonts w:ascii="Times New Roman" w:hAnsi="Times New Roman" w:cs="Times New Roman"/>
              </w:rPr>
              <w:t>15 %</w:t>
            </w:r>
          </w:p>
        </w:tc>
      </w:tr>
    </w:tbl>
    <w:p w14:paraId="488EEDCC" w14:textId="77777777" w:rsidR="00886A3C" w:rsidRDefault="00886A3C" w:rsidP="00886A3C">
      <w:pPr>
        <w:spacing w:after="0" w:line="240" w:lineRule="auto"/>
        <w:rPr>
          <w:rFonts w:ascii="Times New Roman" w:hAnsi="Times New Roman" w:cs="Times New Roman"/>
          <w:lang w:val="en-US"/>
        </w:rPr>
      </w:pPr>
    </w:p>
    <w:p w14:paraId="2E457EA8" w14:textId="77777777" w:rsidR="00886A3C" w:rsidRPr="004B1407" w:rsidRDefault="00886A3C" w:rsidP="00886A3C">
      <w:pPr>
        <w:spacing w:after="0" w:line="240" w:lineRule="auto"/>
        <w:rPr>
          <w:rFonts w:ascii="Times New Roman" w:hAnsi="Times New Roman" w:cs="Times New Roman"/>
          <w:b/>
          <w:lang w:val="fr-FR"/>
        </w:rPr>
      </w:pPr>
      <w:r w:rsidRPr="00107C66">
        <w:rPr>
          <w:rFonts w:ascii="Times New Roman" w:hAnsi="Times New Roman" w:cs="Times New Roman"/>
          <w:b/>
          <w:lang w:val="fr-FR"/>
        </w:rPr>
        <w:t>Taux moyen de mise en œuvre :</w:t>
      </w:r>
      <w:r w:rsidRPr="004B1407">
        <w:rPr>
          <w:rFonts w:ascii="Times New Roman" w:hAnsi="Times New Roman" w:cs="Times New Roman"/>
          <w:lang w:val="fr-FR"/>
        </w:rPr>
        <w:t xml:space="preserve"> </w:t>
      </w:r>
      <w:r w:rsidRPr="004B1407">
        <w:rPr>
          <w:rFonts w:ascii="Times New Roman" w:hAnsi="Times New Roman" w:cs="Times New Roman"/>
          <w:b/>
          <w:lang w:val="fr-FR"/>
        </w:rPr>
        <w:t>20 %</w:t>
      </w:r>
    </w:p>
    <w:p w14:paraId="3B18BAD0" w14:textId="77777777" w:rsidR="00886A3C" w:rsidRPr="004B1407" w:rsidRDefault="00886A3C" w:rsidP="00886A3C">
      <w:pPr>
        <w:spacing w:after="0" w:line="240" w:lineRule="auto"/>
        <w:rPr>
          <w:rFonts w:ascii="Times New Roman" w:hAnsi="Times New Roman" w:cs="Times New Roman"/>
          <w:lang w:val="fr-FR"/>
        </w:rPr>
      </w:pPr>
    </w:p>
    <w:p w14:paraId="3EC397DA" w14:textId="77777777" w:rsidR="00886A3C" w:rsidRPr="004B1407" w:rsidRDefault="00886A3C" w:rsidP="00886A3C">
      <w:pPr>
        <w:spacing w:after="0" w:line="240" w:lineRule="auto"/>
        <w:rPr>
          <w:rFonts w:ascii="Times New Roman" w:hAnsi="Times New Roman" w:cs="Times New Roman"/>
          <w:i/>
          <w:lang w:val="fr-FR"/>
        </w:rPr>
      </w:pPr>
      <w:r w:rsidRPr="00107C66">
        <w:rPr>
          <w:rFonts w:ascii="Times New Roman" w:hAnsi="Times New Roman" w:cs="Times New Roman"/>
          <w:i/>
          <w:lang w:val="fr-FR"/>
        </w:rPr>
        <w:t>5.5. Résultat 5 – La coopération internationale est maximisée par le biais de l</w:t>
      </w:r>
      <w:r>
        <w:rPr>
          <w:rFonts w:ascii="Times New Roman" w:hAnsi="Times New Roman" w:cs="Times New Roman"/>
          <w:i/>
          <w:lang w:val="fr-FR"/>
        </w:rPr>
        <w:t>’</w:t>
      </w:r>
      <w:r w:rsidRPr="00107C66">
        <w:rPr>
          <w:rFonts w:ascii="Times New Roman" w:hAnsi="Times New Roman" w:cs="Times New Roman"/>
          <w:i/>
          <w:lang w:val="fr-FR"/>
        </w:rPr>
        <w:t>engagement total de tous les principaux États de l</w:t>
      </w:r>
      <w:r>
        <w:rPr>
          <w:rFonts w:ascii="Times New Roman" w:hAnsi="Times New Roman" w:cs="Times New Roman"/>
          <w:i/>
          <w:lang w:val="fr-FR"/>
        </w:rPr>
        <w:t>’</w:t>
      </w:r>
      <w:r w:rsidRPr="00107C66">
        <w:rPr>
          <w:rFonts w:ascii="Times New Roman" w:hAnsi="Times New Roman" w:cs="Times New Roman"/>
          <w:i/>
          <w:lang w:val="fr-FR"/>
        </w:rPr>
        <w:t xml:space="preserve">aire de répartition dans le cadre du </w:t>
      </w:r>
      <w:r>
        <w:rPr>
          <w:rFonts w:ascii="Times New Roman" w:hAnsi="Times New Roman" w:cs="Times New Roman"/>
          <w:i/>
          <w:lang w:val="fr-FR"/>
        </w:rPr>
        <w:t>plan</w:t>
      </w:r>
      <w:r w:rsidRPr="00107C66">
        <w:rPr>
          <w:rFonts w:ascii="Times New Roman" w:hAnsi="Times New Roman" w:cs="Times New Roman"/>
          <w:i/>
          <w:lang w:val="fr-FR"/>
        </w:rPr>
        <w:t xml:space="preserve"> d</w:t>
      </w:r>
      <w:r>
        <w:rPr>
          <w:rFonts w:ascii="Times New Roman" w:hAnsi="Times New Roman" w:cs="Times New Roman"/>
          <w:i/>
          <w:lang w:val="fr-FR"/>
        </w:rPr>
        <w:t>’</w:t>
      </w:r>
      <w:r w:rsidRPr="00107C66">
        <w:rPr>
          <w:rFonts w:ascii="Times New Roman" w:hAnsi="Times New Roman" w:cs="Times New Roman"/>
          <w:i/>
          <w:lang w:val="fr-FR"/>
        </w:rPr>
        <w:t>action par espèce et de l</w:t>
      </w:r>
      <w:r>
        <w:rPr>
          <w:rFonts w:ascii="Times New Roman" w:hAnsi="Times New Roman" w:cs="Times New Roman"/>
          <w:i/>
          <w:lang w:val="fr-FR"/>
        </w:rPr>
        <w:t>’</w:t>
      </w:r>
      <w:r w:rsidRPr="00107C66">
        <w:rPr>
          <w:rFonts w:ascii="Times New Roman" w:hAnsi="Times New Roman" w:cs="Times New Roman"/>
          <w:i/>
          <w:lang w:val="fr-FR"/>
        </w:rPr>
        <w:t>AEWA</w:t>
      </w:r>
    </w:p>
    <w:p w14:paraId="70A55B50" w14:textId="77777777" w:rsidR="00886A3C" w:rsidRPr="004B1407" w:rsidRDefault="00886A3C" w:rsidP="00886A3C">
      <w:pPr>
        <w:spacing w:after="0" w:line="240" w:lineRule="auto"/>
        <w:rPr>
          <w:rFonts w:ascii="Times New Roman" w:hAnsi="Times New Roman" w:cs="Times New Roman"/>
          <w:lang w:val="fr-FR"/>
        </w:rPr>
      </w:pPr>
    </w:p>
    <w:p w14:paraId="12ACF318" w14:textId="77777777" w:rsidR="00886A3C" w:rsidRPr="004B1407" w:rsidRDefault="00886A3C" w:rsidP="00886A3C">
      <w:pPr>
        <w:spacing w:after="0" w:line="240" w:lineRule="auto"/>
        <w:jc w:val="both"/>
        <w:rPr>
          <w:rFonts w:ascii="Times New Roman" w:hAnsi="Times New Roman" w:cs="Times New Roman"/>
          <w:lang w:val="fr-FR"/>
        </w:rPr>
      </w:pPr>
      <w:r w:rsidRPr="00E04603">
        <w:rPr>
          <w:rFonts w:ascii="Times New Roman" w:hAnsi="Times New Roman" w:cs="Times New Roman"/>
          <w:lang w:val="fr-FR"/>
        </w:rPr>
        <w:t>L</w:t>
      </w:r>
      <w:r>
        <w:rPr>
          <w:rFonts w:ascii="Times New Roman" w:hAnsi="Times New Roman" w:cs="Times New Roman"/>
          <w:lang w:val="fr-FR"/>
        </w:rPr>
        <w:t>’</w:t>
      </w:r>
      <w:r w:rsidRPr="00E04603">
        <w:rPr>
          <w:rFonts w:ascii="Times New Roman" w:hAnsi="Times New Roman" w:cs="Times New Roman"/>
          <w:b/>
          <w:lang w:val="fr-FR"/>
        </w:rPr>
        <w:t>action 5.1</w:t>
      </w:r>
      <w:r w:rsidRPr="0029205E">
        <w:rPr>
          <w:rFonts w:ascii="Times New Roman" w:hAnsi="Times New Roman" w:cs="Times New Roman"/>
          <w:lang w:val="fr-FR"/>
        </w:rPr>
        <w:t xml:space="preserve">, </w:t>
      </w:r>
      <w:r w:rsidRPr="00E04603">
        <w:rPr>
          <w:rFonts w:ascii="Times New Roman" w:hAnsi="Times New Roman" w:cs="Times New Roman"/>
          <w:lang w:val="fr-FR"/>
        </w:rPr>
        <w:t xml:space="preserve">concernant </w:t>
      </w:r>
      <w:r>
        <w:rPr>
          <w:rFonts w:ascii="Times New Roman" w:hAnsi="Times New Roman" w:cs="Times New Roman"/>
          <w:lang w:val="fr-FR"/>
        </w:rPr>
        <w:t>l’</w:t>
      </w:r>
      <w:r w:rsidRPr="00E04603">
        <w:rPr>
          <w:rFonts w:ascii="Times New Roman" w:hAnsi="Times New Roman" w:cs="Times New Roman"/>
          <w:lang w:val="fr-FR"/>
        </w:rPr>
        <w:t>adhésion à l</w:t>
      </w:r>
      <w:r>
        <w:rPr>
          <w:rFonts w:ascii="Times New Roman" w:hAnsi="Times New Roman" w:cs="Times New Roman"/>
          <w:lang w:val="fr-FR"/>
        </w:rPr>
        <w:t>’</w:t>
      </w:r>
      <w:r w:rsidRPr="00E04603">
        <w:rPr>
          <w:rFonts w:ascii="Times New Roman" w:hAnsi="Times New Roman" w:cs="Times New Roman"/>
          <w:lang w:val="fr-FR"/>
        </w:rPr>
        <w:t xml:space="preserve">AEWA </w:t>
      </w:r>
      <w:r>
        <w:rPr>
          <w:rFonts w:ascii="Times New Roman" w:hAnsi="Times New Roman" w:cs="Times New Roman"/>
          <w:lang w:val="fr-FR"/>
        </w:rPr>
        <w:t xml:space="preserve">de </w:t>
      </w:r>
      <w:r w:rsidRPr="00E04603">
        <w:rPr>
          <w:rFonts w:ascii="Times New Roman" w:hAnsi="Times New Roman" w:cs="Times New Roman"/>
          <w:lang w:val="fr-FR"/>
        </w:rPr>
        <w:t>tous les principaux États de l</w:t>
      </w:r>
      <w:r>
        <w:rPr>
          <w:rFonts w:ascii="Times New Roman" w:hAnsi="Times New Roman" w:cs="Times New Roman"/>
          <w:lang w:val="fr-FR"/>
        </w:rPr>
        <w:t>’</w:t>
      </w:r>
      <w:r w:rsidRPr="00E04603">
        <w:rPr>
          <w:rFonts w:ascii="Times New Roman" w:hAnsi="Times New Roman" w:cs="Times New Roman"/>
          <w:lang w:val="fr-FR"/>
        </w:rPr>
        <w:t>aire de répartition</w:t>
      </w:r>
      <w:r>
        <w:rPr>
          <w:rFonts w:ascii="Times New Roman" w:hAnsi="Times New Roman" w:cs="Times New Roman"/>
          <w:lang w:val="fr-FR"/>
        </w:rPr>
        <w:t>,</w:t>
      </w:r>
      <w:r w:rsidRPr="00E04603">
        <w:rPr>
          <w:rFonts w:ascii="Times New Roman" w:hAnsi="Times New Roman" w:cs="Times New Roman"/>
          <w:lang w:val="fr-FR"/>
        </w:rPr>
        <w:t xml:space="preserve"> a été désignée </w:t>
      </w:r>
      <w:r w:rsidRPr="0029205E">
        <w:rPr>
          <w:rFonts w:ascii="Times New Roman" w:hAnsi="Times New Roman" w:cs="Times New Roman"/>
          <w:lang w:val="fr-FR"/>
        </w:rPr>
        <w:t>comme ayant une priorité élevée</w:t>
      </w:r>
      <w:r w:rsidRPr="00E04603">
        <w:rPr>
          <w:rFonts w:ascii="Times New Roman" w:hAnsi="Times New Roman" w:cs="Times New Roman"/>
          <w:lang w:val="fr-FR"/>
        </w:rPr>
        <w:t xml:space="preserve"> et </w:t>
      </w:r>
      <w:r>
        <w:rPr>
          <w:rFonts w:ascii="Times New Roman" w:hAnsi="Times New Roman" w:cs="Times New Roman"/>
          <w:lang w:val="fr-FR"/>
        </w:rPr>
        <w:t>s’</w:t>
      </w:r>
      <w:r w:rsidRPr="00E04603">
        <w:rPr>
          <w:rFonts w:ascii="Times New Roman" w:hAnsi="Times New Roman" w:cs="Times New Roman"/>
          <w:lang w:val="fr-FR"/>
        </w:rPr>
        <w:t>appliqu</w:t>
      </w:r>
      <w:r>
        <w:rPr>
          <w:rFonts w:ascii="Times New Roman" w:hAnsi="Times New Roman" w:cs="Times New Roman"/>
          <w:lang w:val="fr-FR"/>
        </w:rPr>
        <w:t>ait</w:t>
      </w:r>
      <w:r w:rsidRPr="00E04603">
        <w:rPr>
          <w:rFonts w:ascii="Times New Roman" w:hAnsi="Times New Roman" w:cs="Times New Roman"/>
          <w:lang w:val="fr-FR"/>
        </w:rPr>
        <w:t xml:space="preserve"> à l</w:t>
      </w:r>
      <w:r>
        <w:rPr>
          <w:rFonts w:ascii="Times New Roman" w:hAnsi="Times New Roman" w:cs="Times New Roman"/>
          <w:lang w:val="fr-FR"/>
        </w:rPr>
        <w:t>’</w:t>
      </w:r>
      <w:r w:rsidRPr="00E04603">
        <w:rPr>
          <w:rFonts w:ascii="Times New Roman" w:hAnsi="Times New Roman" w:cs="Times New Roman"/>
          <w:lang w:val="fr-FR"/>
        </w:rPr>
        <w:t>Iraq, au Kazakhstan, à la Russie, à la Turquie, à l</w:t>
      </w:r>
      <w:r>
        <w:rPr>
          <w:rFonts w:ascii="Times New Roman" w:hAnsi="Times New Roman" w:cs="Times New Roman"/>
          <w:lang w:val="fr-FR"/>
        </w:rPr>
        <w:t>’</w:t>
      </w:r>
      <w:r w:rsidRPr="00E04603">
        <w:rPr>
          <w:rFonts w:ascii="Times New Roman" w:hAnsi="Times New Roman" w:cs="Times New Roman"/>
          <w:lang w:val="fr-FR"/>
        </w:rPr>
        <w:t>Érythrée, à l</w:t>
      </w:r>
      <w:r>
        <w:rPr>
          <w:rFonts w:ascii="Times New Roman" w:hAnsi="Times New Roman" w:cs="Times New Roman"/>
          <w:lang w:val="fr-FR"/>
        </w:rPr>
        <w:t>’</w:t>
      </w:r>
      <w:r w:rsidRPr="00E04603">
        <w:rPr>
          <w:rFonts w:ascii="Times New Roman" w:hAnsi="Times New Roman" w:cs="Times New Roman"/>
          <w:lang w:val="fr-FR"/>
        </w:rPr>
        <w:t>Oman et à l</w:t>
      </w:r>
      <w:r>
        <w:rPr>
          <w:rFonts w:ascii="Times New Roman" w:hAnsi="Times New Roman" w:cs="Times New Roman"/>
          <w:lang w:val="fr-FR"/>
        </w:rPr>
        <w:t>’</w:t>
      </w:r>
      <w:r w:rsidRPr="00E04603">
        <w:rPr>
          <w:rFonts w:ascii="Times New Roman" w:hAnsi="Times New Roman" w:cs="Times New Roman"/>
          <w:lang w:val="fr-FR"/>
        </w:rPr>
        <w:t>Arabie saoudite.</w:t>
      </w:r>
      <w:r w:rsidRPr="004B1407">
        <w:rPr>
          <w:rFonts w:ascii="Times New Roman" w:hAnsi="Times New Roman" w:cs="Times New Roman"/>
          <w:lang w:val="fr-FR"/>
        </w:rPr>
        <w:t xml:space="preserve"> </w:t>
      </w:r>
      <w:r w:rsidRPr="00E04603">
        <w:rPr>
          <w:rFonts w:ascii="Times New Roman" w:hAnsi="Times New Roman" w:cs="Times New Roman"/>
          <w:lang w:val="fr-FR"/>
        </w:rPr>
        <w:t xml:space="preserve">Cette action devait </w:t>
      </w:r>
      <w:r>
        <w:rPr>
          <w:rFonts w:ascii="Times New Roman" w:hAnsi="Times New Roman" w:cs="Times New Roman"/>
          <w:lang w:val="fr-FR"/>
        </w:rPr>
        <w:t xml:space="preserve">être </w:t>
      </w:r>
      <w:r w:rsidRPr="00E04603">
        <w:rPr>
          <w:rFonts w:ascii="Times New Roman" w:hAnsi="Times New Roman" w:cs="Times New Roman"/>
          <w:lang w:val="fr-FR"/>
        </w:rPr>
        <w:t>mis</w:t>
      </w:r>
      <w:r>
        <w:rPr>
          <w:rFonts w:ascii="Times New Roman" w:hAnsi="Times New Roman" w:cs="Times New Roman"/>
          <w:lang w:val="fr-FR"/>
        </w:rPr>
        <w:t>e</w:t>
      </w:r>
      <w:r w:rsidRPr="00E04603">
        <w:rPr>
          <w:rFonts w:ascii="Times New Roman" w:hAnsi="Times New Roman" w:cs="Times New Roman"/>
          <w:lang w:val="fr-FR"/>
        </w:rPr>
        <w:t xml:space="preserve"> en œuvre par les institutions gouvernementales chargées de la conservation de la nature, en coopération avec le Secrétariat de l</w:t>
      </w:r>
      <w:r>
        <w:rPr>
          <w:rFonts w:ascii="Times New Roman" w:hAnsi="Times New Roman" w:cs="Times New Roman"/>
          <w:lang w:val="fr-FR"/>
        </w:rPr>
        <w:t>’</w:t>
      </w:r>
      <w:r w:rsidRPr="00E04603">
        <w:rPr>
          <w:rFonts w:ascii="Times New Roman" w:hAnsi="Times New Roman" w:cs="Times New Roman"/>
          <w:lang w:val="fr-FR"/>
        </w:rPr>
        <w:t>AEWA.</w:t>
      </w:r>
      <w:r w:rsidRPr="004B1407">
        <w:rPr>
          <w:rFonts w:ascii="Times New Roman" w:hAnsi="Times New Roman" w:cs="Times New Roman"/>
          <w:lang w:val="fr-FR"/>
        </w:rPr>
        <w:t xml:space="preserve"> </w:t>
      </w:r>
      <w:r w:rsidRPr="00E04603">
        <w:rPr>
          <w:rFonts w:ascii="Times New Roman" w:hAnsi="Times New Roman" w:cs="Times New Roman"/>
          <w:lang w:val="fr-FR"/>
        </w:rPr>
        <w:t>Malheureusement, à ce jour, aucun de ces États n</w:t>
      </w:r>
      <w:r>
        <w:rPr>
          <w:rFonts w:ascii="Times New Roman" w:hAnsi="Times New Roman" w:cs="Times New Roman"/>
          <w:lang w:val="fr-FR"/>
        </w:rPr>
        <w:t>’</w:t>
      </w:r>
      <w:r w:rsidRPr="00E04603">
        <w:rPr>
          <w:rFonts w:ascii="Times New Roman" w:hAnsi="Times New Roman" w:cs="Times New Roman"/>
          <w:lang w:val="fr-FR"/>
        </w:rPr>
        <w:t>a encore adhéré à l</w:t>
      </w:r>
      <w:r>
        <w:rPr>
          <w:rFonts w:ascii="Times New Roman" w:hAnsi="Times New Roman" w:cs="Times New Roman"/>
          <w:lang w:val="fr-FR"/>
        </w:rPr>
        <w:t>’</w:t>
      </w:r>
      <w:r w:rsidRPr="00E04603">
        <w:rPr>
          <w:rFonts w:ascii="Times New Roman" w:hAnsi="Times New Roman" w:cs="Times New Roman"/>
          <w:lang w:val="fr-FR"/>
        </w:rPr>
        <w:t>Accord.</w:t>
      </w:r>
      <w:r w:rsidRPr="004B1407">
        <w:rPr>
          <w:rFonts w:ascii="Times New Roman" w:hAnsi="Times New Roman" w:cs="Times New Roman"/>
          <w:lang w:val="fr-FR"/>
        </w:rPr>
        <w:t xml:space="preserve"> [0 %]</w:t>
      </w:r>
    </w:p>
    <w:p w14:paraId="0FF689E8" w14:textId="77777777" w:rsidR="00886A3C" w:rsidRPr="004B1407" w:rsidRDefault="00886A3C" w:rsidP="00886A3C">
      <w:pPr>
        <w:spacing w:after="0" w:line="240" w:lineRule="auto"/>
        <w:jc w:val="both"/>
        <w:rPr>
          <w:rFonts w:ascii="Times New Roman" w:hAnsi="Times New Roman" w:cs="Times New Roman"/>
          <w:lang w:val="fr-FR"/>
        </w:rPr>
      </w:pPr>
    </w:p>
    <w:p w14:paraId="001546E0" w14:textId="77777777" w:rsidR="00886A3C" w:rsidRPr="004B1407" w:rsidRDefault="00886A3C" w:rsidP="00886A3C">
      <w:pPr>
        <w:spacing w:after="0" w:line="240" w:lineRule="auto"/>
        <w:jc w:val="both"/>
        <w:rPr>
          <w:rFonts w:ascii="Times New Roman" w:hAnsi="Times New Roman" w:cs="Times New Roman"/>
          <w:lang w:val="fr-FR"/>
        </w:rPr>
      </w:pPr>
      <w:r w:rsidRPr="00E04603">
        <w:rPr>
          <w:rFonts w:ascii="Times New Roman" w:hAnsi="Times New Roman" w:cs="Times New Roman"/>
          <w:lang w:val="fr-FR"/>
        </w:rPr>
        <w:t>L</w:t>
      </w:r>
      <w:r>
        <w:rPr>
          <w:rFonts w:ascii="Times New Roman" w:hAnsi="Times New Roman" w:cs="Times New Roman"/>
          <w:lang w:val="fr-FR"/>
        </w:rPr>
        <w:t>’</w:t>
      </w:r>
      <w:r w:rsidRPr="00E04603">
        <w:rPr>
          <w:rFonts w:ascii="Times New Roman" w:hAnsi="Times New Roman" w:cs="Times New Roman"/>
          <w:b/>
          <w:lang w:val="fr-FR"/>
        </w:rPr>
        <w:t>action 5.2</w:t>
      </w:r>
      <w:r w:rsidRPr="00E04603">
        <w:rPr>
          <w:rFonts w:ascii="Times New Roman" w:hAnsi="Times New Roman" w:cs="Times New Roman"/>
          <w:lang w:val="fr-FR"/>
        </w:rPr>
        <w:t xml:space="preserve"> appelle tous les États de l</w:t>
      </w:r>
      <w:r>
        <w:rPr>
          <w:rFonts w:ascii="Times New Roman" w:hAnsi="Times New Roman" w:cs="Times New Roman"/>
          <w:lang w:val="fr-FR"/>
        </w:rPr>
        <w:t>’</w:t>
      </w:r>
      <w:r w:rsidRPr="00E04603">
        <w:rPr>
          <w:rFonts w:ascii="Times New Roman" w:hAnsi="Times New Roman" w:cs="Times New Roman"/>
          <w:lang w:val="fr-FR"/>
        </w:rPr>
        <w:t>aire de répartition à maintenir le travail actif du groupe de travail international de l</w:t>
      </w:r>
      <w:r>
        <w:rPr>
          <w:rFonts w:ascii="Times New Roman" w:hAnsi="Times New Roman" w:cs="Times New Roman"/>
          <w:lang w:val="fr-FR"/>
        </w:rPr>
        <w:t>’</w:t>
      </w:r>
      <w:r w:rsidRPr="00E04603">
        <w:rPr>
          <w:rFonts w:ascii="Times New Roman" w:hAnsi="Times New Roman" w:cs="Times New Roman"/>
          <w:lang w:val="fr-FR"/>
        </w:rPr>
        <w:t xml:space="preserve">AEWA sur le Vanneau </w:t>
      </w:r>
      <w:r>
        <w:rPr>
          <w:rFonts w:ascii="Times New Roman" w:hAnsi="Times New Roman" w:cs="Times New Roman"/>
          <w:lang w:val="fr-FR"/>
        </w:rPr>
        <w:t xml:space="preserve">sociable </w:t>
      </w:r>
      <w:r w:rsidRPr="00E04603">
        <w:rPr>
          <w:rFonts w:ascii="Times New Roman" w:hAnsi="Times New Roman" w:cs="Times New Roman"/>
          <w:lang w:val="fr-FR"/>
        </w:rPr>
        <w:t>pour coordonner la mise en œuvre</w:t>
      </w:r>
      <w:r>
        <w:rPr>
          <w:rFonts w:ascii="Times New Roman" w:hAnsi="Times New Roman" w:cs="Times New Roman"/>
          <w:lang w:val="fr-FR"/>
        </w:rPr>
        <w:t xml:space="preserve"> </w:t>
      </w:r>
      <w:r w:rsidRPr="00E04603">
        <w:rPr>
          <w:rFonts w:ascii="Times New Roman" w:hAnsi="Times New Roman" w:cs="Times New Roman"/>
          <w:lang w:val="fr-FR"/>
        </w:rPr>
        <w:t xml:space="preserve">du </w:t>
      </w:r>
      <w:r>
        <w:rPr>
          <w:rFonts w:ascii="Times New Roman" w:hAnsi="Times New Roman" w:cs="Times New Roman"/>
          <w:lang w:val="fr-FR"/>
        </w:rPr>
        <w:t>plan</w:t>
      </w:r>
      <w:r w:rsidRPr="00E04603">
        <w:rPr>
          <w:rFonts w:ascii="Times New Roman" w:hAnsi="Times New Roman" w:cs="Times New Roman"/>
          <w:lang w:val="fr-FR"/>
        </w:rPr>
        <w:t xml:space="preserve"> d</w:t>
      </w:r>
      <w:r>
        <w:rPr>
          <w:rFonts w:ascii="Times New Roman" w:hAnsi="Times New Roman" w:cs="Times New Roman"/>
          <w:lang w:val="fr-FR"/>
        </w:rPr>
        <w:t>’</w:t>
      </w:r>
      <w:r w:rsidRPr="00E04603">
        <w:rPr>
          <w:rFonts w:ascii="Times New Roman" w:hAnsi="Times New Roman" w:cs="Times New Roman"/>
          <w:lang w:val="fr-FR"/>
        </w:rPr>
        <w:t xml:space="preserve">action et </w:t>
      </w:r>
      <w:r>
        <w:rPr>
          <w:rFonts w:ascii="Times New Roman" w:hAnsi="Times New Roman" w:cs="Times New Roman"/>
          <w:lang w:val="fr-FR"/>
        </w:rPr>
        <w:t xml:space="preserve">a </w:t>
      </w:r>
      <w:r w:rsidRPr="00E04603">
        <w:rPr>
          <w:rFonts w:ascii="Times New Roman" w:hAnsi="Times New Roman" w:cs="Times New Roman"/>
          <w:lang w:val="fr-FR"/>
        </w:rPr>
        <w:t>été désignée comme essentielle.</w:t>
      </w:r>
      <w:r w:rsidRPr="004B1407">
        <w:rPr>
          <w:rFonts w:ascii="Times New Roman" w:hAnsi="Times New Roman" w:cs="Times New Roman"/>
          <w:lang w:val="fr-FR"/>
        </w:rPr>
        <w:t xml:space="preserve"> </w:t>
      </w:r>
      <w:r w:rsidRPr="00E04603">
        <w:rPr>
          <w:rFonts w:ascii="Times New Roman" w:hAnsi="Times New Roman" w:cs="Times New Roman"/>
          <w:lang w:val="fr-FR"/>
        </w:rPr>
        <w:t>Bien que le Kazakhstan, le Soudan et la Turquie aient tous répondu « oui », et la Russie « partiellement », ils ont essentiellement indiqué avoir contribué à l</w:t>
      </w:r>
      <w:r>
        <w:rPr>
          <w:rFonts w:ascii="Times New Roman" w:hAnsi="Times New Roman" w:cs="Times New Roman"/>
          <w:lang w:val="fr-FR"/>
        </w:rPr>
        <w:t>’</w:t>
      </w:r>
      <w:r w:rsidRPr="00E04603">
        <w:rPr>
          <w:rFonts w:ascii="Times New Roman" w:hAnsi="Times New Roman" w:cs="Times New Roman"/>
          <w:lang w:val="fr-FR"/>
        </w:rPr>
        <w:t>aide d</w:t>
      </w:r>
      <w:r>
        <w:rPr>
          <w:rFonts w:ascii="Times New Roman" w:hAnsi="Times New Roman" w:cs="Times New Roman"/>
          <w:lang w:val="fr-FR"/>
        </w:rPr>
        <w:t>’</w:t>
      </w:r>
      <w:r w:rsidRPr="00E04603">
        <w:rPr>
          <w:rFonts w:ascii="Times New Roman" w:hAnsi="Times New Roman" w:cs="Times New Roman"/>
          <w:lang w:val="fr-FR"/>
        </w:rPr>
        <w:t>activités de surveillance.</w:t>
      </w:r>
      <w:r w:rsidRPr="004B1407">
        <w:rPr>
          <w:rFonts w:ascii="Times New Roman" w:hAnsi="Times New Roman" w:cs="Times New Roman"/>
          <w:lang w:val="fr-FR"/>
        </w:rPr>
        <w:t xml:space="preserve"> </w:t>
      </w:r>
      <w:r w:rsidRPr="00E04603">
        <w:rPr>
          <w:rFonts w:ascii="Times New Roman" w:hAnsi="Times New Roman" w:cs="Times New Roman"/>
          <w:lang w:val="fr-FR"/>
        </w:rPr>
        <w:t xml:space="preserve">Bien que ce soit certainement important, la coordination de la surveillance ne constitue </w:t>
      </w:r>
      <w:r>
        <w:rPr>
          <w:rFonts w:ascii="Times New Roman" w:hAnsi="Times New Roman" w:cs="Times New Roman"/>
          <w:lang w:val="fr-FR"/>
        </w:rPr>
        <w:t xml:space="preserve">pas </w:t>
      </w:r>
      <w:r w:rsidRPr="00E04603">
        <w:rPr>
          <w:rFonts w:ascii="Times New Roman" w:hAnsi="Times New Roman" w:cs="Times New Roman"/>
          <w:lang w:val="fr-FR"/>
        </w:rPr>
        <w:t>la principale ou l</w:t>
      </w:r>
      <w:r>
        <w:rPr>
          <w:rFonts w:ascii="Times New Roman" w:hAnsi="Times New Roman" w:cs="Times New Roman"/>
          <w:lang w:val="fr-FR"/>
        </w:rPr>
        <w:t>’</w:t>
      </w:r>
      <w:r w:rsidRPr="00E04603">
        <w:rPr>
          <w:rFonts w:ascii="Times New Roman" w:hAnsi="Times New Roman" w:cs="Times New Roman"/>
          <w:lang w:val="fr-FR"/>
        </w:rPr>
        <w:t>unique tâche des groupes de travail internationaux.</w:t>
      </w:r>
      <w:r w:rsidRPr="004B1407">
        <w:rPr>
          <w:rFonts w:ascii="Times New Roman" w:hAnsi="Times New Roman" w:cs="Times New Roman"/>
          <w:lang w:val="fr-FR"/>
        </w:rPr>
        <w:t xml:space="preserve"> </w:t>
      </w:r>
      <w:r w:rsidRPr="00E04603">
        <w:rPr>
          <w:rFonts w:ascii="Times New Roman" w:hAnsi="Times New Roman" w:cs="Times New Roman"/>
          <w:lang w:val="fr-FR"/>
        </w:rPr>
        <w:t>Selon les réactions du coordinateur, les groupes de travail sont actuellement assez inactifs et il a été assez difficile de faire participer les États de l</w:t>
      </w:r>
      <w:r>
        <w:rPr>
          <w:rFonts w:ascii="Times New Roman" w:hAnsi="Times New Roman" w:cs="Times New Roman"/>
          <w:lang w:val="fr-FR"/>
        </w:rPr>
        <w:t>’</w:t>
      </w:r>
      <w:r w:rsidRPr="00E04603">
        <w:rPr>
          <w:rFonts w:ascii="Times New Roman" w:hAnsi="Times New Roman" w:cs="Times New Roman"/>
          <w:lang w:val="fr-FR"/>
        </w:rPr>
        <w:t>aire de répartition - tout particulièrement au niveau gouvernemental.</w:t>
      </w:r>
      <w:r w:rsidRPr="004B1407">
        <w:rPr>
          <w:rFonts w:ascii="Times New Roman" w:hAnsi="Times New Roman" w:cs="Times New Roman"/>
          <w:lang w:val="fr-FR"/>
        </w:rPr>
        <w:t xml:space="preserve"> [19 %]</w:t>
      </w:r>
    </w:p>
    <w:p w14:paraId="4B4CBEB0" w14:textId="77777777" w:rsidR="00886A3C" w:rsidRPr="004B1407" w:rsidRDefault="00886A3C" w:rsidP="00886A3C">
      <w:pPr>
        <w:spacing w:after="0" w:line="240" w:lineRule="auto"/>
        <w:rPr>
          <w:rFonts w:ascii="Times New Roman" w:hAnsi="Times New Roman" w:cs="Times New Roman"/>
          <w:b/>
          <w:lang w:val="fr-FR"/>
        </w:rPr>
      </w:pPr>
    </w:p>
    <w:p w14:paraId="5A3C526F" w14:textId="77777777" w:rsidR="00886A3C" w:rsidRPr="004B1407" w:rsidRDefault="00886A3C" w:rsidP="00886A3C">
      <w:pPr>
        <w:spacing w:after="0" w:line="240" w:lineRule="auto"/>
        <w:rPr>
          <w:rFonts w:ascii="Times New Roman" w:hAnsi="Times New Roman" w:cs="Times New Roman"/>
          <w:lang w:val="fr-FR"/>
        </w:rPr>
      </w:pPr>
      <w:r w:rsidRPr="00E04603">
        <w:rPr>
          <w:rFonts w:ascii="Times New Roman" w:hAnsi="Times New Roman" w:cs="Times New Roman"/>
          <w:b/>
          <w:lang w:val="fr-FR"/>
        </w:rPr>
        <w:t>Taux moyen de mise en œuvre :</w:t>
      </w:r>
      <w:r w:rsidRPr="004B1407">
        <w:rPr>
          <w:rFonts w:ascii="Times New Roman" w:hAnsi="Times New Roman" w:cs="Times New Roman"/>
          <w:b/>
          <w:lang w:val="fr-FR"/>
        </w:rPr>
        <w:t xml:space="preserve"> 10 %</w:t>
      </w:r>
    </w:p>
    <w:p w14:paraId="57335466" w14:textId="77777777" w:rsidR="00886A3C" w:rsidRPr="004B1407" w:rsidRDefault="00886A3C" w:rsidP="00886A3C">
      <w:pPr>
        <w:spacing w:after="0" w:line="240" w:lineRule="auto"/>
        <w:rPr>
          <w:rFonts w:ascii="Times New Roman" w:hAnsi="Times New Roman" w:cs="Times New Roman"/>
          <w:lang w:val="fr-FR"/>
        </w:rPr>
      </w:pPr>
    </w:p>
    <w:p w14:paraId="6739B25B" w14:textId="77777777" w:rsidR="00886A3C" w:rsidRPr="004B1407" w:rsidRDefault="00886A3C" w:rsidP="00886A3C">
      <w:pPr>
        <w:spacing w:after="0" w:line="240" w:lineRule="auto"/>
        <w:rPr>
          <w:rFonts w:ascii="Times New Roman" w:hAnsi="Times New Roman" w:cs="Times New Roman"/>
          <w:lang w:val="fr-FR"/>
        </w:rPr>
      </w:pPr>
    </w:p>
    <w:p w14:paraId="2B7C3D14" w14:textId="77777777" w:rsidR="00886A3C" w:rsidRPr="004B1407" w:rsidRDefault="00886A3C" w:rsidP="00886A3C">
      <w:pPr>
        <w:spacing w:after="0" w:line="240" w:lineRule="auto"/>
        <w:rPr>
          <w:rFonts w:ascii="Times New Roman" w:hAnsi="Times New Roman" w:cs="Times New Roman"/>
          <w:lang w:val="fr-FR"/>
        </w:rPr>
      </w:pPr>
    </w:p>
    <w:p w14:paraId="583FF0F2" w14:textId="77777777" w:rsidR="00886A3C" w:rsidRPr="004B1407" w:rsidRDefault="00886A3C" w:rsidP="00886A3C">
      <w:pPr>
        <w:spacing w:after="0" w:line="240" w:lineRule="auto"/>
        <w:rPr>
          <w:rFonts w:ascii="Times New Roman" w:hAnsi="Times New Roman" w:cs="Times New Roman"/>
          <w:lang w:val="fr-FR"/>
        </w:rPr>
      </w:pPr>
    </w:p>
    <w:p w14:paraId="280B5519" w14:textId="77777777" w:rsidR="00886A3C" w:rsidRPr="004B1407" w:rsidRDefault="00886A3C" w:rsidP="00886A3C">
      <w:pPr>
        <w:spacing w:after="0" w:line="240" w:lineRule="auto"/>
        <w:rPr>
          <w:rFonts w:ascii="Times New Roman" w:hAnsi="Times New Roman" w:cs="Times New Roman"/>
          <w:lang w:val="fr-FR"/>
        </w:rPr>
      </w:pPr>
    </w:p>
    <w:p w14:paraId="55CC6A1C"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t xml:space="preserve">6. </w:t>
      </w:r>
      <w:r w:rsidRPr="00E04603">
        <w:rPr>
          <w:rFonts w:ascii="Times New Roman" w:hAnsi="Times New Roman" w:cs="Times New Roman"/>
          <w:i/>
          <w:lang w:val="fr-FR"/>
        </w:rPr>
        <w:t>Principales actions favorisant la mise en œuvre et principaux obstacles empêchant cette dernière</w:t>
      </w:r>
    </w:p>
    <w:p w14:paraId="1E0F9FB2" w14:textId="77777777" w:rsidR="00886A3C" w:rsidRPr="004B1407" w:rsidRDefault="00886A3C" w:rsidP="00886A3C">
      <w:pPr>
        <w:spacing w:after="0" w:line="240" w:lineRule="auto"/>
        <w:rPr>
          <w:rFonts w:ascii="Times New Roman" w:hAnsi="Times New Roman" w:cs="Times New Roman"/>
          <w:lang w:val="fr-FR"/>
        </w:rPr>
      </w:pPr>
    </w:p>
    <w:p w14:paraId="586E3C3D" w14:textId="77777777" w:rsidR="00886A3C" w:rsidRDefault="00886A3C" w:rsidP="00886A3C">
      <w:pPr>
        <w:spacing w:after="0" w:line="240" w:lineRule="auto"/>
        <w:jc w:val="both"/>
        <w:rPr>
          <w:rFonts w:ascii="Times New Roman" w:hAnsi="Times New Roman" w:cs="Times New Roman"/>
          <w:lang w:val="en-US"/>
        </w:rPr>
      </w:pPr>
      <w:r w:rsidRPr="00E04603">
        <w:rPr>
          <w:rFonts w:ascii="Times New Roman" w:hAnsi="Times New Roman" w:cs="Times New Roman"/>
          <w:lang w:val="fr-FR"/>
        </w:rPr>
        <w:t>Il a été également demandé aux États de l</w:t>
      </w:r>
      <w:r>
        <w:rPr>
          <w:rFonts w:ascii="Times New Roman" w:hAnsi="Times New Roman" w:cs="Times New Roman"/>
          <w:lang w:val="fr-FR"/>
        </w:rPr>
        <w:t>’</w:t>
      </w:r>
      <w:r w:rsidRPr="00E04603">
        <w:rPr>
          <w:rFonts w:ascii="Times New Roman" w:hAnsi="Times New Roman" w:cs="Times New Roman"/>
          <w:lang w:val="fr-FR"/>
        </w:rPr>
        <w:t>aire de répartition de nommer trois actions principales aussi bien favorisant qu</w:t>
      </w:r>
      <w:r>
        <w:rPr>
          <w:rFonts w:ascii="Times New Roman" w:hAnsi="Times New Roman" w:cs="Times New Roman"/>
          <w:lang w:val="fr-FR"/>
        </w:rPr>
        <w:t>’</w:t>
      </w:r>
      <w:r w:rsidRPr="00E04603">
        <w:rPr>
          <w:rFonts w:ascii="Times New Roman" w:hAnsi="Times New Roman" w:cs="Times New Roman"/>
          <w:lang w:val="fr-FR"/>
        </w:rPr>
        <w:t xml:space="preserve">entravant la mise en œuvre </w:t>
      </w:r>
      <w:r>
        <w:rPr>
          <w:rFonts w:ascii="Times New Roman" w:hAnsi="Times New Roman" w:cs="Times New Roman"/>
          <w:lang w:val="fr-FR"/>
        </w:rPr>
        <w:t>efficace du plan d’action</w:t>
      </w:r>
      <w:r w:rsidRPr="00E04603">
        <w:rPr>
          <w:rFonts w:ascii="Times New Roman" w:hAnsi="Times New Roman" w:cs="Times New Roman"/>
          <w:lang w:val="fr-FR"/>
        </w:rPr>
        <w:t>.</w:t>
      </w:r>
      <w:r w:rsidRPr="004B1407">
        <w:rPr>
          <w:rFonts w:ascii="Times New Roman" w:hAnsi="Times New Roman" w:cs="Times New Roman"/>
          <w:lang w:val="fr-FR"/>
        </w:rPr>
        <w:t xml:space="preserve"> </w:t>
      </w:r>
      <w:r w:rsidRPr="00E04603">
        <w:rPr>
          <w:rFonts w:ascii="Times New Roman" w:hAnsi="Times New Roman" w:cs="Times New Roman"/>
          <w:lang w:val="fr-FR"/>
        </w:rPr>
        <w:t>Seuls le Kazakhstan et la Russie ont fourni des réponses.</w:t>
      </w:r>
      <w:r w:rsidRPr="004B1407">
        <w:rPr>
          <w:rFonts w:ascii="Times New Roman" w:hAnsi="Times New Roman" w:cs="Times New Roman"/>
          <w:lang w:val="fr-FR"/>
        </w:rPr>
        <w:t xml:space="preserve"> </w:t>
      </w:r>
      <w:r w:rsidRPr="00E04603">
        <w:rPr>
          <w:rFonts w:ascii="Times New Roman" w:hAnsi="Times New Roman" w:cs="Times New Roman"/>
          <w:lang w:val="fr-FR"/>
        </w:rPr>
        <w:t>Elles sont résumées dans le tableau ci-dessous.</w:t>
      </w:r>
    </w:p>
    <w:p w14:paraId="1809E26E" w14:textId="77777777" w:rsidR="00886A3C" w:rsidRDefault="00886A3C" w:rsidP="00886A3C">
      <w:pPr>
        <w:spacing w:after="0" w:line="240" w:lineRule="auto"/>
        <w:rPr>
          <w:rFonts w:ascii="Times New Roman" w:hAnsi="Times New Roman" w:cs="Times New Roman"/>
          <w:lang w:val="en-US"/>
        </w:rPr>
      </w:pPr>
    </w:p>
    <w:p w14:paraId="4E404983" w14:textId="77777777" w:rsidR="00886A3C" w:rsidRDefault="00886A3C" w:rsidP="00886A3C">
      <w:pPr>
        <w:spacing w:after="0" w:line="240" w:lineRule="auto"/>
        <w:rPr>
          <w:rFonts w:ascii="Arial" w:hAnsi="Arial" w:cs="Arial"/>
          <w:sz w:val="20"/>
          <w:szCs w:val="20"/>
          <w:lang w:val="en-US"/>
        </w:rPr>
      </w:pPr>
      <w:r>
        <w:rPr>
          <w:noProof/>
          <w:lang w:val="en-US"/>
        </w:rPr>
        <w:drawing>
          <wp:inline distT="0" distB="0" distL="0" distR="0" wp14:anchorId="28FF1608" wp14:editId="5CFCF610">
            <wp:extent cx="4781550" cy="292417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1350FF3C" w14:textId="77777777" w:rsidR="00886A3C" w:rsidRPr="00AB3EC7" w:rsidRDefault="00886A3C" w:rsidP="00886A3C">
      <w:pPr>
        <w:spacing w:after="0" w:line="240" w:lineRule="auto"/>
        <w:rPr>
          <w:rFonts w:ascii="Arial" w:hAnsi="Arial" w:cs="Arial"/>
          <w:sz w:val="20"/>
          <w:szCs w:val="20"/>
          <w:lang w:val="en-US"/>
        </w:rPr>
      </w:pPr>
    </w:p>
    <w:p w14:paraId="255C4FB4" w14:textId="77777777" w:rsidR="00886A3C" w:rsidRPr="00E3555A" w:rsidRDefault="00886A3C" w:rsidP="00886A3C">
      <w:pPr>
        <w:spacing w:after="0" w:line="240" w:lineRule="auto"/>
        <w:rPr>
          <w:rFonts w:ascii="Arial" w:hAnsi="Arial" w:cs="Arial"/>
          <w:sz w:val="18"/>
          <w:szCs w:val="18"/>
          <w:lang w:val="fr-FR"/>
        </w:rPr>
      </w:pPr>
      <w:r w:rsidRPr="00E3555A">
        <w:rPr>
          <w:rFonts w:ascii="Arial" w:hAnsi="Arial" w:cs="Arial"/>
          <w:sz w:val="18"/>
          <w:szCs w:val="18"/>
          <w:lang w:val="fr-FR"/>
        </w:rPr>
        <w:t>Pose de bagues de couleur et suivi satellitaire</w:t>
      </w:r>
    </w:p>
    <w:p w14:paraId="616A7AFD" w14:textId="77777777" w:rsidR="00886A3C" w:rsidRPr="00E3555A" w:rsidRDefault="00886A3C" w:rsidP="00886A3C">
      <w:pPr>
        <w:spacing w:after="0" w:line="240" w:lineRule="auto"/>
        <w:rPr>
          <w:rFonts w:ascii="Arial" w:hAnsi="Arial" w:cs="Arial"/>
          <w:sz w:val="18"/>
          <w:szCs w:val="18"/>
          <w:lang w:val="fr-FR"/>
        </w:rPr>
      </w:pPr>
      <w:r>
        <w:rPr>
          <w:rFonts w:ascii="Arial" w:hAnsi="Arial" w:cs="Arial"/>
          <w:sz w:val="18"/>
          <w:szCs w:val="18"/>
          <w:lang w:val="fr-FR"/>
        </w:rPr>
        <w:t>É</w:t>
      </w:r>
      <w:r w:rsidRPr="00E3555A">
        <w:rPr>
          <w:rFonts w:ascii="Arial" w:hAnsi="Arial" w:cs="Arial"/>
          <w:sz w:val="18"/>
          <w:szCs w:val="18"/>
          <w:lang w:val="fr-FR"/>
        </w:rPr>
        <w:t>tudes et surveillance sur les sites de halte en Russi</w:t>
      </w:r>
      <w:r>
        <w:rPr>
          <w:rFonts w:ascii="Arial" w:hAnsi="Arial" w:cs="Arial"/>
          <w:sz w:val="18"/>
          <w:szCs w:val="18"/>
          <w:lang w:val="fr-FR"/>
        </w:rPr>
        <w:t>e</w:t>
      </w:r>
      <w:r w:rsidRPr="00E3555A">
        <w:rPr>
          <w:rFonts w:ascii="Arial" w:hAnsi="Arial" w:cs="Arial"/>
          <w:sz w:val="18"/>
          <w:szCs w:val="18"/>
          <w:lang w:val="fr-FR"/>
        </w:rPr>
        <w:t>, 2005-2014</w:t>
      </w:r>
    </w:p>
    <w:p w14:paraId="4CFD2A81" w14:textId="77777777" w:rsidR="00886A3C" w:rsidRPr="00E3555A" w:rsidRDefault="00886A3C" w:rsidP="00886A3C">
      <w:pPr>
        <w:spacing w:after="0" w:line="240" w:lineRule="auto"/>
        <w:rPr>
          <w:rFonts w:ascii="Arial" w:hAnsi="Arial" w:cs="Arial"/>
          <w:sz w:val="18"/>
          <w:szCs w:val="18"/>
          <w:lang w:val="fr-FR"/>
        </w:rPr>
      </w:pPr>
      <w:r>
        <w:rPr>
          <w:rFonts w:ascii="Arial" w:hAnsi="Arial" w:cs="Arial"/>
          <w:sz w:val="18"/>
          <w:szCs w:val="18"/>
          <w:lang w:val="fr-FR"/>
        </w:rPr>
        <w:t>É</w:t>
      </w:r>
      <w:r w:rsidRPr="00E3555A">
        <w:rPr>
          <w:rFonts w:ascii="Arial" w:hAnsi="Arial" w:cs="Arial"/>
          <w:sz w:val="18"/>
          <w:szCs w:val="18"/>
          <w:lang w:val="fr-FR"/>
        </w:rPr>
        <w:t xml:space="preserve">tude détaillée de la biologie de reproduction </w:t>
      </w:r>
      <w:r>
        <w:rPr>
          <w:rFonts w:ascii="Arial" w:hAnsi="Arial" w:cs="Arial"/>
          <w:sz w:val="18"/>
          <w:szCs w:val="18"/>
          <w:lang w:val="fr-FR"/>
        </w:rPr>
        <w:t>d</w:t>
      </w:r>
      <w:r w:rsidRPr="00E3555A">
        <w:rPr>
          <w:rFonts w:ascii="Arial" w:hAnsi="Arial" w:cs="Arial"/>
          <w:sz w:val="18"/>
          <w:szCs w:val="18"/>
          <w:lang w:val="fr-FR"/>
        </w:rPr>
        <w:t>e l’espèce au Kazakhstan</w:t>
      </w:r>
    </w:p>
    <w:p w14:paraId="2754749A" w14:textId="77777777" w:rsidR="00886A3C" w:rsidRPr="00E3555A" w:rsidRDefault="00886A3C" w:rsidP="00886A3C">
      <w:pPr>
        <w:spacing w:after="0" w:line="240" w:lineRule="auto"/>
        <w:rPr>
          <w:rFonts w:ascii="Arial" w:hAnsi="Arial" w:cs="Arial"/>
          <w:sz w:val="18"/>
          <w:szCs w:val="18"/>
          <w:lang w:val="fr-FR"/>
        </w:rPr>
      </w:pPr>
      <w:r>
        <w:rPr>
          <w:rFonts w:ascii="Arial" w:hAnsi="Arial" w:cs="Arial"/>
          <w:sz w:val="18"/>
          <w:szCs w:val="18"/>
          <w:lang w:val="fr-FR"/>
        </w:rPr>
        <w:t>É</w:t>
      </w:r>
      <w:r w:rsidRPr="00E3555A">
        <w:rPr>
          <w:rFonts w:ascii="Arial" w:hAnsi="Arial" w:cs="Arial"/>
          <w:sz w:val="18"/>
          <w:szCs w:val="18"/>
          <w:lang w:val="fr-FR"/>
        </w:rPr>
        <w:t>tudes des p</w:t>
      </w:r>
      <w:r>
        <w:rPr>
          <w:rFonts w:ascii="Arial" w:hAnsi="Arial" w:cs="Arial"/>
          <w:sz w:val="18"/>
          <w:szCs w:val="18"/>
          <w:lang w:val="fr-FR"/>
        </w:rPr>
        <w:t>opu</w:t>
      </w:r>
      <w:r w:rsidRPr="00E3555A">
        <w:rPr>
          <w:rFonts w:ascii="Arial" w:hAnsi="Arial" w:cs="Arial"/>
          <w:sz w:val="18"/>
          <w:szCs w:val="18"/>
          <w:lang w:val="fr-FR"/>
        </w:rPr>
        <w:t>lations nicheuses et migratrices</w:t>
      </w:r>
    </w:p>
    <w:p w14:paraId="6E09F456" w14:textId="77777777" w:rsidR="00886A3C" w:rsidRPr="00E3555A" w:rsidRDefault="00886A3C" w:rsidP="00886A3C">
      <w:pPr>
        <w:spacing w:after="0" w:line="240" w:lineRule="auto"/>
        <w:rPr>
          <w:rFonts w:ascii="Arial" w:hAnsi="Arial" w:cs="Arial"/>
          <w:sz w:val="18"/>
          <w:szCs w:val="18"/>
          <w:lang w:val="fr-FR"/>
        </w:rPr>
      </w:pPr>
      <w:r w:rsidRPr="00E3555A">
        <w:rPr>
          <w:rFonts w:ascii="Arial" w:hAnsi="Arial" w:cs="Arial"/>
          <w:sz w:val="18"/>
          <w:szCs w:val="18"/>
          <w:lang w:val="fr-FR"/>
        </w:rPr>
        <w:t>Surveillance annuelle des nids</w:t>
      </w:r>
    </w:p>
    <w:p w14:paraId="0EEF7085" w14:textId="77777777" w:rsidR="00886A3C" w:rsidRPr="00AB3EC7" w:rsidRDefault="00886A3C" w:rsidP="00886A3C">
      <w:pPr>
        <w:spacing w:after="0" w:line="240" w:lineRule="auto"/>
        <w:rPr>
          <w:rFonts w:ascii="Arial" w:hAnsi="Arial" w:cs="Arial"/>
          <w:sz w:val="20"/>
          <w:szCs w:val="20"/>
          <w:lang w:val="en-US"/>
        </w:rPr>
      </w:pPr>
      <w:r>
        <w:rPr>
          <w:noProof/>
          <w:lang w:val="en-US"/>
        </w:rPr>
        <w:lastRenderedPageBreak/>
        <w:drawing>
          <wp:inline distT="0" distB="0" distL="0" distR="0" wp14:anchorId="6F78B6C0" wp14:editId="0507D605">
            <wp:extent cx="4781550" cy="28289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12BC59BD" w14:textId="77777777" w:rsidR="00886A3C" w:rsidRPr="00AB3EC7" w:rsidRDefault="00886A3C" w:rsidP="00886A3C">
      <w:pPr>
        <w:spacing w:after="0" w:line="240" w:lineRule="auto"/>
        <w:rPr>
          <w:rFonts w:ascii="Arial" w:hAnsi="Arial" w:cs="Arial"/>
          <w:sz w:val="20"/>
          <w:szCs w:val="20"/>
          <w:lang w:val="en-US"/>
        </w:rPr>
      </w:pPr>
    </w:p>
    <w:p w14:paraId="5ECB5CB5" w14:textId="77777777" w:rsidR="00886A3C" w:rsidRPr="00E3555A" w:rsidRDefault="00886A3C" w:rsidP="00886A3C">
      <w:pPr>
        <w:spacing w:after="0" w:line="240" w:lineRule="auto"/>
        <w:rPr>
          <w:rFonts w:ascii="Arial" w:hAnsi="Arial" w:cs="Arial"/>
          <w:sz w:val="18"/>
          <w:szCs w:val="18"/>
          <w:lang w:val="fr-FR"/>
        </w:rPr>
      </w:pPr>
      <w:r w:rsidRPr="00E3555A">
        <w:rPr>
          <w:rFonts w:ascii="Arial" w:hAnsi="Arial" w:cs="Arial"/>
          <w:sz w:val="18"/>
          <w:szCs w:val="18"/>
          <w:lang w:val="fr-FR"/>
        </w:rPr>
        <w:t>Pas de comptages coordonnés sur les sites de reproduction en Russie</w:t>
      </w:r>
    </w:p>
    <w:p w14:paraId="3AB07CAC" w14:textId="77777777" w:rsidR="00886A3C" w:rsidRPr="00E3555A" w:rsidRDefault="00886A3C" w:rsidP="00886A3C">
      <w:pPr>
        <w:spacing w:after="0" w:line="240" w:lineRule="auto"/>
        <w:rPr>
          <w:rFonts w:ascii="Arial" w:hAnsi="Arial" w:cs="Arial"/>
          <w:sz w:val="18"/>
          <w:szCs w:val="18"/>
          <w:lang w:val="fr-FR"/>
        </w:rPr>
      </w:pPr>
      <w:r w:rsidRPr="00E3555A">
        <w:rPr>
          <w:rFonts w:ascii="Arial" w:hAnsi="Arial" w:cs="Arial"/>
          <w:sz w:val="18"/>
          <w:szCs w:val="18"/>
          <w:lang w:val="fr-FR"/>
        </w:rPr>
        <w:t>Pas d’études sur des sites de transit supplémentaires le long de la voie de migration occidentale</w:t>
      </w:r>
    </w:p>
    <w:p w14:paraId="1FABA20F" w14:textId="77777777" w:rsidR="00886A3C" w:rsidRPr="00E3555A" w:rsidRDefault="00886A3C" w:rsidP="00886A3C">
      <w:pPr>
        <w:spacing w:after="0" w:line="240" w:lineRule="auto"/>
        <w:rPr>
          <w:rFonts w:ascii="Arial" w:hAnsi="Arial" w:cs="Arial"/>
          <w:sz w:val="18"/>
          <w:szCs w:val="18"/>
          <w:lang w:val="fr-FR"/>
        </w:rPr>
      </w:pPr>
      <w:r w:rsidRPr="00E3555A">
        <w:rPr>
          <w:rFonts w:ascii="Arial" w:hAnsi="Arial" w:cs="Arial"/>
          <w:sz w:val="18"/>
          <w:szCs w:val="18"/>
          <w:lang w:val="fr-FR"/>
        </w:rPr>
        <w:t>Pas d’efforts en vue d’organiser des aires protégées</w:t>
      </w:r>
    </w:p>
    <w:p w14:paraId="1674EF8B" w14:textId="77777777" w:rsidR="00886A3C" w:rsidRPr="00E3555A" w:rsidRDefault="00886A3C" w:rsidP="00886A3C">
      <w:pPr>
        <w:spacing w:after="0" w:line="240" w:lineRule="auto"/>
        <w:rPr>
          <w:rFonts w:ascii="Arial" w:hAnsi="Arial" w:cs="Arial"/>
          <w:sz w:val="18"/>
          <w:szCs w:val="18"/>
          <w:lang w:val="fr-FR"/>
        </w:rPr>
      </w:pPr>
      <w:r>
        <w:rPr>
          <w:rFonts w:ascii="Arial" w:hAnsi="Arial" w:cs="Arial"/>
          <w:sz w:val="18"/>
          <w:szCs w:val="18"/>
          <w:lang w:val="fr-FR"/>
        </w:rPr>
        <w:t>B</w:t>
      </w:r>
      <w:r w:rsidRPr="00E3555A">
        <w:rPr>
          <w:rFonts w:ascii="Arial" w:hAnsi="Arial" w:cs="Arial"/>
          <w:sz w:val="18"/>
          <w:szCs w:val="18"/>
          <w:lang w:val="fr-FR"/>
        </w:rPr>
        <w:t>iodiversité pas prise en compte dans les politiques d’uti</w:t>
      </w:r>
      <w:r>
        <w:rPr>
          <w:rFonts w:ascii="Arial" w:hAnsi="Arial" w:cs="Arial"/>
          <w:sz w:val="18"/>
          <w:szCs w:val="18"/>
          <w:lang w:val="fr-FR"/>
        </w:rPr>
        <w:t>lisa</w:t>
      </w:r>
      <w:r w:rsidRPr="00E3555A">
        <w:rPr>
          <w:rFonts w:ascii="Arial" w:hAnsi="Arial" w:cs="Arial"/>
          <w:sz w:val="18"/>
          <w:szCs w:val="18"/>
          <w:lang w:val="fr-FR"/>
        </w:rPr>
        <w:t>tion des sols (bétail et pâturages)</w:t>
      </w:r>
      <w:r>
        <w:rPr>
          <w:rFonts w:ascii="Arial" w:hAnsi="Arial" w:cs="Arial"/>
          <w:sz w:val="18"/>
          <w:szCs w:val="18"/>
          <w:lang w:val="fr-FR"/>
        </w:rPr>
        <w:t>.</w:t>
      </w:r>
    </w:p>
    <w:p w14:paraId="1F167606" w14:textId="77777777" w:rsidR="00886A3C" w:rsidRPr="004B1407" w:rsidRDefault="00886A3C" w:rsidP="00886A3C">
      <w:pPr>
        <w:rPr>
          <w:rFonts w:ascii="Arial" w:hAnsi="Arial" w:cs="Arial"/>
          <w:sz w:val="20"/>
          <w:szCs w:val="20"/>
          <w:lang w:val="fr-FR"/>
        </w:rPr>
      </w:pPr>
      <w:r w:rsidRPr="004B1407">
        <w:rPr>
          <w:rFonts w:ascii="Arial" w:hAnsi="Arial" w:cs="Arial"/>
          <w:sz w:val="20"/>
          <w:szCs w:val="20"/>
          <w:lang w:val="fr-FR"/>
        </w:rPr>
        <w:br w:type="page"/>
      </w:r>
    </w:p>
    <w:p w14:paraId="3BBA8571" w14:textId="77777777" w:rsidR="00886A3C" w:rsidRPr="004B1407" w:rsidRDefault="00886A3C" w:rsidP="00886A3C">
      <w:pPr>
        <w:shd w:val="clear" w:color="auto" w:fill="DBE5F1" w:themeFill="accent1" w:themeFillTint="33"/>
        <w:spacing w:after="0" w:line="240" w:lineRule="auto"/>
        <w:rPr>
          <w:rFonts w:ascii="Times New Roman" w:hAnsi="Times New Roman" w:cs="Times New Roman"/>
          <w:i/>
          <w:lang w:val="fr-FR"/>
        </w:rPr>
      </w:pPr>
      <w:r w:rsidRPr="004B1407">
        <w:rPr>
          <w:rFonts w:ascii="Times New Roman" w:hAnsi="Times New Roman" w:cs="Times New Roman"/>
          <w:i/>
          <w:lang w:val="fr-FR"/>
        </w:rPr>
        <w:lastRenderedPageBreak/>
        <w:t xml:space="preserve">7. </w:t>
      </w:r>
      <w:r w:rsidRPr="00E04603">
        <w:rPr>
          <w:rFonts w:ascii="Times New Roman" w:hAnsi="Times New Roman" w:cs="Times New Roman"/>
          <w:i/>
          <w:lang w:val="fr-FR"/>
        </w:rPr>
        <w:t>Conclusions </w:t>
      </w:r>
    </w:p>
    <w:p w14:paraId="7D9E21E7" w14:textId="77777777" w:rsidR="00886A3C" w:rsidRPr="004B1407" w:rsidRDefault="00886A3C" w:rsidP="00886A3C">
      <w:pPr>
        <w:spacing w:after="0" w:line="240" w:lineRule="auto"/>
        <w:rPr>
          <w:rFonts w:ascii="Times New Roman" w:hAnsi="Times New Roman" w:cs="Times New Roman"/>
          <w:i/>
          <w:lang w:val="fr-FR"/>
        </w:rPr>
      </w:pPr>
    </w:p>
    <w:p w14:paraId="3687A3AA" w14:textId="77777777" w:rsidR="00886A3C" w:rsidRPr="004B1407" w:rsidRDefault="00886A3C" w:rsidP="00886A3C">
      <w:pPr>
        <w:spacing w:after="0" w:line="240" w:lineRule="auto"/>
        <w:jc w:val="both"/>
        <w:rPr>
          <w:rFonts w:ascii="Times New Roman" w:hAnsi="Times New Roman" w:cs="Times New Roman"/>
          <w:lang w:val="fr-FR"/>
        </w:rPr>
      </w:pPr>
      <w:r w:rsidRPr="00E04603">
        <w:rPr>
          <w:rFonts w:ascii="Times New Roman" w:hAnsi="Times New Roman" w:cs="Times New Roman"/>
          <w:lang w:val="fr-FR"/>
        </w:rPr>
        <w:t>Trois ans après l</w:t>
      </w:r>
      <w:r>
        <w:rPr>
          <w:rFonts w:ascii="Times New Roman" w:hAnsi="Times New Roman" w:cs="Times New Roman"/>
          <w:lang w:val="fr-FR"/>
        </w:rPr>
        <w:t>’</w:t>
      </w:r>
      <w:r w:rsidRPr="00E04603">
        <w:rPr>
          <w:rFonts w:ascii="Times New Roman" w:hAnsi="Times New Roman" w:cs="Times New Roman"/>
          <w:lang w:val="fr-FR"/>
        </w:rPr>
        <w:t xml:space="preserve">adoption, en 2012, du </w:t>
      </w:r>
      <w:r>
        <w:rPr>
          <w:rFonts w:ascii="Times New Roman" w:hAnsi="Times New Roman" w:cs="Times New Roman"/>
          <w:lang w:val="fr-FR"/>
        </w:rPr>
        <w:t>plan</w:t>
      </w:r>
      <w:r w:rsidRPr="00E04603">
        <w:rPr>
          <w:rFonts w:ascii="Times New Roman" w:hAnsi="Times New Roman" w:cs="Times New Roman"/>
          <w:lang w:val="fr-FR"/>
        </w:rPr>
        <w:t xml:space="preserve"> d</w:t>
      </w:r>
      <w:r>
        <w:rPr>
          <w:rFonts w:ascii="Times New Roman" w:hAnsi="Times New Roman" w:cs="Times New Roman"/>
          <w:lang w:val="fr-FR"/>
        </w:rPr>
        <w:t>’</w:t>
      </w:r>
      <w:r w:rsidRPr="00E04603">
        <w:rPr>
          <w:rFonts w:ascii="Times New Roman" w:hAnsi="Times New Roman" w:cs="Times New Roman"/>
          <w:lang w:val="fr-FR"/>
        </w:rPr>
        <w:t>action international par espèce révisé de l</w:t>
      </w:r>
      <w:r>
        <w:rPr>
          <w:rFonts w:ascii="Times New Roman" w:hAnsi="Times New Roman" w:cs="Times New Roman"/>
          <w:lang w:val="fr-FR"/>
        </w:rPr>
        <w:t>’</w:t>
      </w:r>
      <w:r w:rsidRPr="00E04603">
        <w:rPr>
          <w:rFonts w:ascii="Times New Roman" w:hAnsi="Times New Roman" w:cs="Times New Roman"/>
          <w:lang w:val="fr-FR"/>
        </w:rPr>
        <w:t>AEWA pour la conservation du Vanneau sociable, quelques progrès ont été enregistrés concernant la mise en œuvre des activités de ce plan.</w:t>
      </w:r>
      <w:r w:rsidRPr="004B1407">
        <w:rPr>
          <w:rFonts w:ascii="Times New Roman" w:hAnsi="Times New Roman" w:cs="Times New Roman"/>
          <w:lang w:val="fr-FR"/>
        </w:rPr>
        <w:t xml:space="preserve"> </w:t>
      </w:r>
    </w:p>
    <w:p w14:paraId="0C9E7745" w14:textId="77777777" w:rsidR="00886A3C" w:rsidRPr="004B1407" w:rsidRDefault="00886A3C" w:rsidP="00886A3C">
      <w:pPr>
        <w:spacing w:after="0" w:line="240" w:lineRule="auto"/>
        <w:jc w:val="both"/>
        <w:rPr>
          <w:rFonts w:ascii="Times New Roman" w:hAnsi="Times New Roman" w:cs="Times New Roman"/>
          <w:lang w:val="fr-FR"/>
        </w:rPr>
      </w:pPr>
    </w:p>
    <w:p w14:paraId="3652429F" w14:textId="77777777" w:rsidR="00886A3C" w:rsidRPr="004B1407" w:rsidRDefault="00886A3C" w:rsidP="00886A3C">
      <w:pPr>
        <w:spacing w:after="0" w:line="240" w:lineRule="auto"/>
        <w:jc w:val="both"/>
        <w:rPr>
          <w:rFonts w:ascii="Times New Roman" w:hAnsi="Times New Roman" w:cs="Times New Roman"/>
          <w:lang w:val="fr-FR"/>
        </w:rPr>
      </w:pPr>
      <w:r w:rsidRPr="00E04603">
        <w:rPr>
          <w:rFonts w:ascii="Times New Roman" w:hAnsi="Times New Roman" w:cs="Times New Roman"/>
          <w:lang w:val="fr-FR"/>
        </w:rPr>
        <w:t>Il conviendra toutefois de noter que les taux moyens de mise en œuvre indiqués ci-dessous ne reflètent pas l</w:t>
      </w:r>
      <w:r>
        <w:rPr>
          <w:rFonts w:ascii="Times New Roman" w:hAnsi="Times New Roman" w:cs="Times New Roman"/>
          <w:lang w:val="fr-FR"/>
        </w:rPr>
        <w:t>’</w:t>
      </w:r>
      <w:r w:rsidRPr="00E04603">
        <w:rPr>
          <w:rFonts w:ascii="Times New Roman" w:hAnsi="Times New Roman" w:cs="Times New Roman"/>
          <w:lang w:val="fr-FR"/>
        </w:rPr>
        <w:t>état réel de la mise en œuvre dans l</w:t>
      </w:r>
      <w:r>
        <w:rPr>
          <w:rFonts w:ascii="Times New Roman" w:hAnsi="Times New Roman" w:cs="Times New Roman"/>
          <w:lang w:val="fr-FR"/>
        </w:rPr>
        <w:t>’</w:t>
      </w:r>
      <w:r w:rsidRPr="00E04603">
        <w:rPr>
          <w:rFonts w:ascii="Times New Roman" w:hAnsi="Times New Roman" w:cs="Times New Roman"/>
          <w:lang w:val="fr-FR"/>
        </w:rPr>
        <w:t>ensemble de l</w:t>
      </w:r>
      <w:r>
        <w:rPr>
          <w:rFonts w:ascii="Times New Roman" w:hAnsi="Times New Roman" w:cs="Times New Roman"/>
          <w:lang w:val="fr-FR"/>
        </w:rPr>
        <w:t>’</w:t>
      </w:r>
      <w:r w:rsidRPr="00E04603">
        <w:rPr>
          <w:rFonts w:ascii="Times New Roman" w:hAnsi="Times New Roman" w:cs="Times New Roman"/>
          <w:lang w:val="fr-FR"/>
        </w:rPr>
        <w:t>aire de répartition.</w:t>
      </w:r>
      <w:r w:rsidRPr="004B1407">
        <w:rPr>
          <w:rFonts w:ascii="Times New Roman" w:hAnsi="Times New Roman" w:cs="Times New Roman"/>
          <w:lang w:val="fr-FR"/>
        </w:rPr>
        <w:t xml:space="preserve"> </w:t>
      </w:r>
      <w:r w:rsidRPr="00E04603">
        <w:rPr>
          <w:rFonts w:ascii="Times New Roman" w:hAnsi="Times New Roman" w:cs="Times New Roman"/>
          <w:lang w:val="fr-FR"/>
        </w:rPr>
        <w:t>Plusieurs activités ne s</w:t>
      </w:r>
      <w:r>
        <w:rPr>
          <w:rFonts w:ascii="Times New Roman" w:hAnsi="Times New Roman" w:cs="Times New Roman"/>
          <w:lang w:val="fr-FR"/>
        </w:rPr>
        <w:t>’</w:t>
      </w:r>
      <w:r w:rsidRPr="00E04603">
        <w:rPr>
          <w:rFonts w:ascii="Times New Roman" w:hAnsi="Times New Roman" w:cs="Times New Roman"/>
          <w:lang w:val="fr-FR"/>
        </w:rPr>
        <w:t>appliquaient qu</w:t>
      </w:r>
      <w:r>
        <w:rPr>
          <w:rFonts w:ascii="Times New Roman" w:hAnsi="Times New Roman" w:cs="Times New Roman"/>
          <w:lang w:val="fr-FR"/>
        </w:rPr>
        <w:t>’</w:t>
      </w:r>
      <w:r w:rsidRPr="00E04603">
        <w:rPr>
          <w:rFonts w:ascii="Times New Roman" w:hAnsi="Times New Roman" w:cs="Times New Roman"/>
          <w:lang w:val="fr-FR"/>
        </w:rPr>
        <w:t>aux États de l</w:t>
      </w:r>
      <w:r>
        <w:rPr>
          <w:rFonts w:ascii="Times New Roman" w:hAnsi="Times New Roman" w:cs="Times New Roman"/>
          <w:lang w:val="fr-FR"/>
        </w:rPr>
        <w:t>’</w:t>
      </w:r>
      <w:r w:rsidRPr="00E04603">
        <w:rPr>
          <w:rFonts w:ascii="Times New Roman" w:hAnsi="Times New Roman" w:cs="Times New Roman"/>
          <w:lang w:val="fr-FR"/>
        </w:rPr>
        <w:t>aire de reproduction et le Kazakhstan, en particulier, a fait part de la mise en œuvre d</w:t>
      </w:r>
      <w:r>
        <w:rPr>
          <w:rFonts w:ascii="Times New Roman" w:hAnsi="Times New Roman" w:cs="Times New Roman"/>
          <w:lang w:val="fr-FR"/>
        </w:rPr>
        <w:t>’</w:t>
      </w:r>
      <w:r w:rsidRPr="00E04603">
        <w:rPr>
          <w:rFonts w:ascii="Times New Roman" w:hAnsi="Times New Roman" w:cs="Times New Roman"/>
          <w:lang w:val="fr-FR"/>
        </w:rPr>
        <w:t>un nombre relativement élevé d</w:t>
      </w:r>
      <w:r>
        <w:rPr>
          <w:rFonts w:ascii="Times New Roman" w:hAnsi="Times New Roman" w:cs="Times New Roman"/>
          <w:lang w:val="fr-FR"/>
        </w:rPr>
        <w:t>’</w:t>
      </w:r>
      <w:r w:rsidRPr="00E04603">
        <w:rPr>
          <w:rFonts w:ascii="Times New Roman" w:hAnsi="Times New Roman" w:cs="Times New Roman"/>
          <w:lang w:val="fr-FR"/>
        </w:rPr>
        <w:t>activités prévues.</w:t>
      </w:r>
      <w:r w:rsidRPr="004B1407">
        <w:rPr>
          <w:rFonts w:ascii="Times New Roman" w:hAnsi="Times New Roman" w:cs="Times New Roman"/>
          <w:lang w:val="fr-FR"/>
        </w:rPr>
        <w:t xml:space="preserve"> </w:t>
      </w:r>
      <w:r w:rsidRPr="00E04603">
        <w:rPr>
          <w:rFonts w:ascii="Times New Roman" w:hAnsi="Times New Roman" w:cs="Times New Roman"/>
          <w:lang w:val="fr-FR"/>
        </w:rPr>
        <w:t>Si ces actions n</w:t>
      </w:r>
      <w:r>
        <w:rPr>
          <w:rFonts w:ascii="Times New Roman" w:hAnsi="Times New Roman" w:cs="Times New Roman"/>
          <w:lang w:val="fr-FR"/>
        </w:rPr>
        <w:t>’</w:t>
      </w:r>
      <w:r w:rsidRPr="00E04603">
        <w:rPr>
          <w:rFonts w:ascii="Times New Roman" w:hAnsi="Times New Roman" w:cs="Times New Roman"/>
          <w:lang w:val="fr-FR"/>
        </w:rPr>
        <w:t>étaient plus incluses dans le résultat général, le taux moyen de mise en œuvre serait considérablement plus faible,</w:t>
      </w:r>
      <w:r w:rsidRPr="004B1407">
        <w:rPr>
          <w:rFonts w:ascii="Times New Roman" w:hAnsi="Times New Roman" w:cs="Times New Roman"/>
          <w:lang w:val="fr-FR"/>
        </w:rPr>
        <w:t xml:space="preserve"> </w:t>
      </w:r>
      <w:r>
        <w:rPr>
          <w:rFonts w:ascii="Times New Roman" w:hAnsi="Times New Roman" w:cs="Times New Roman"/>
          <w:lang w:val="fr-FR"/>
        </w:rPr>
        <w:t>rendant</w:t>
      </w:r>
      <w:r w:rsidRPr="00EB0C7B">
        <w:rPr>
          <w:rFonts w:ascii="Times New Roman" w:hAnsi="Times New Roman" w:cs="Times New Roman"/>
          <w:lang w:val="fr-FR"/>
        </w:rPr>
        <w:t xml:space="preserve"> la situation réelle encore moins rose.</w:t>
      </w:r>
      <w:r>
        <w:rPr>
          <w:rFonts w:ascii="Times New Roman" w:hAnsi="Times New Roman" w:cs="Times New Roman"/>
          <w:lang w:val="fr-FR"/>
        </w:rPr>
        <w:t xml:space="preserve"> </w:t>
      </w:r>
    </w:p>
    <w:p w14:paraId="0CD29C37" w14:textId="77777777" w:rsidR="00886A3C" w:rsidRPr="004B1407" w:rsidRDefault="00886A3C" w:rsidP="00886A3C">
      <w:pPr>
        <w:spacing w:after="0" w:line="240" w:lineRule="auto"/>
        <w:jc w:val="both"/>
        <w:rPr>
          <w:rFonts w:ascii="Times New Roman" w:hAnsi="Times New Roman" w:cs="Times New Roman"/>
          <w:lang w:val="fr-FR"/>
        </w:rPr>
      </w:pPr>
    </w:p>
    <w:tbl>
      <w:tblPr>
        <w:tblStyle w:val="TableGrid"/>
        <w:tblW w:w="0" w:type="auto"/>
        <w:jc w:val="center"/>
        <w:tblLook w:val="04A0" w:firstRow="1" w:lastRow="0" w:firstColumn="1" w:lastColumn="0" w:noHBand="0" w:noVBand="1"/>
      </w:tblPr>
      <w:tblGrid>
        <w:gridCol w:w="7723"/>
      </w:tblGrid>
      <w:tr w:rsidR="00886A3C" w:rsidRPr="00DE4CF4" w14:paraId="776A884B" w14:textId="77777777" w:rsidTr="00886A3C">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BFA447" w14:textId="77777777" w:rsidR="00886A3C" w:rsidRPr="004B1407" w:rsidRDefault="00886A3C" w:rsidP="00886A3C">
            <w:pPr>
              <w:jc w:val="center"/>
              <w:rPr>
                <w:rFonts w:ascii="Times New Roman" w:hAnsi="Times New Roman" w:cs="Times New Roman"/>
                <w:lang w:val="fr-FR"/>
              </w:rPr>
            </w:pPr>
          </w:p>
          <w:p w14:paraId="010DF769" w14:textId="77777777" w:rsidR="00886A3C" w:rsidRPr="004B1407" w:rsidRDefault="00886A3C" w:rsidP="00886A3C">
            <w:pPr>
              <w:jc w:val="center"/>
              <w:rPr>
                <w:rFonts w:ascii="Times New Roman" w:hAnsi="Times New Roman" w:cs="Times New Roman"/>
                <w:b/>
                <w:lang w:val="fr-FR"/>
              </w:rPr>
            </w:pPr>
            <w:r w:rsidRPr="00EB0C7B">
              <w:rPr>
                <w:rFonts w:ascii="Times New Roman" w:hAnsi="Times New Roman" w:cs="Times New Roman"/>
                <w:b/>
                <w:lang w:val="fr-FR"/>
              </w:rPr>
              <w:t>Taux d</w:t>
            </w:r>
            <w:r>
              <w:rPr>
                <w:rFonts w:ascii="Times New Roman" w:hAnsi="Times New Roman" w:cs="Times New Roman"/>
                <w:b/>
                <w:lang w:val="fr-FR"/>
              </w:rPr>
              <w:t>’</w:t>
            </w:r>
            <w:r w:rsidRPr="00EB0C7B">
              <w:rPr>
                <w:rFonts w:ascii="Times New Roman" w:hAnsi="Times New Roman" w:cs="Times New Roman"/>
                <w:b/>
                <w:lang w:val="fr-FR"/>
              </w:rPr>
              <w:t>ensemble moyen de mise en œuvre pour 5 résultats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27 %</w:t>
            </w:r>
          </w:p>
          <w:p w14:paraId="0FD932CA" w14:textId="77777777" w:rsidR="00886A3C" w:rsidRPr="004B1407" w:rsidRDefault="00886A3C" w:rsidP="00886A3C">
            <w:pPr>
              <w:jc w:val="center"/>
              <w:rPr>
                <w:rFonts w:ascii="Times New Roman" w:hAnsi="Times New Roman" w:cs="Times New Roman"/>
                <w:b/>
                <w:lang w:val="fr-FR"/>
              </w:rPr>
            </w:pPr>
            <w:r w:rsidRPr="00EB0C7B">
              <w:rPr>
                <w:rFonts w:ascii="Times New Roman" w:hAnsi="Times New Roman" w:cs="Times New Roman"/>
                <w:b/>
                <w:lang w:val="fr-FR"/>
              </w:rPr>
              <w:t xml:space="preserve"> Taux moyen </w:t>
            </w:r>
            <w:r>
              <w:rPr>
                <w:rFonts w:ascii="Times New Roman" w:hAnsi="Times New Roman" w:cs="Times New Roman"/>
                <w:b/>
                <w:lang w:val="fr-FR"/>
              </w:rPr>
              <w:t xml:space="preserve">de </w:t>
            </w:r>
            <w:r w:rsidRPr="00EB0C7B">
              <w:rPr>
                <w:rFonts w:ascii="Times New Roman" w:hAnsi="Times New Roman" w:cs="Times New Roman"/>
                <w:b/>
                <w:lang w:val="fr-FR"/>
              </w:rPr>
              <w:t xml:space="preserve">mise en œuvre des activités à priorité </w:t>
            </w:r>
            <w:r>
              <w:rPr>
                <w:rFonts w:ascii="Times New Roman" w:hAnsi="Times New Roman" w:cs="Times New Roman"/>
                <w:b/>
                <w:lang w:val="fr-FR"/>
              </w:rPr>
              <w:t xml:space="preserve">essentielle et </w:t>
            </w:r>
            <w:r w:rsidRPr="00EB0C7B">
              <w:rPr>
                <w:rFonts w:ascii="Times New Roman" w:hAnsi="Times New Roman" w:cs="Times New Roman"/>
                <w:b/>
                <w:lang w:val="fr-FR"/>
              </w:rPr>
              <w:t>élevée (14) :</w:t>
            </w:r>
            <w:r w:rsidRPr="004B1407">
              <w:rPr>
                <w:rFonts w:ascii="Times New Roman" w:hAnsi="Times New Roman" w:cs="Times New Roman"/>
                <w:b/>
                <w:lang w:val="fr-FR"/>
              </w:rPr>
              <w:t xml:space="preserve"> </w:t>
            </w:r>
            <w:r w:rsidRPr="004B1407">
              <w:rPr>
                <w:rFonts w:ascii="Times New Roman" w:hAnsi="Times New Roman" w:cs="Times New Roman"/>
                <w:b/>
                <w:color w:val="FF0000"/>
                <w:lang w:val="fr-FR"/>
              </w:rPr>
              <w:t>28 %</w:t>
            </w:r>
          </w:p>
          <w:p w14:paraId="1A7E3957" w14:textId="77777777" w:rsidR="00886A3C" w:rsidRPr="004B1407" w:rsidRDefault="00886A3C" w:rsidP="00886A3C">
            <w:pPr>
              <w:rPr>
                <w:rFonts w:ascii="Times New Roman" w:hAnsi="Times New Roman" w:cs="Times New Roman"/>
                <w:sz w:val="20"/>
                <w:szCs w:val="20"/>
                <w:lang w:val="fr-FR"/>
              </w:rPr>
            </w:pPr>
          </w:p>
        </w:tc>
      </w:tr>
    </w:tbl>
    <w:p w14:paraId="4CFBAAF5" w14:textId="77777777" w:rsidR="00886A3C" w:rsidRPr="004B1407" w:rsidRDefault="00886A3C" w:rsidP="00886A3C">
      <w:pPr>
        <w:spacing w:after="0" w:line="240" w:lineRule="auto"/>
        <w:jc w:val="both"/>
        <w:rPr>
          <w:rFonts w:ascii="Times New Roman" w:hAnsi="Times New Roman" w:cs="Times New Roman"/>
          <w:lang w:val="fr-FR"/>
        </w:rPr>
      </w:pPr>
    </w:p>
    <w:p w14:paraId="6DDA450E" w14:textId="77777777" w:rsidR="00886A3C" w:rsidRPr="004B1407" w:rsidRDefault="00886A3C" w:rsidP="00886A3C">
      <w:pPr>
        <w:spacing w:after="0" w:line="240" w:lineRule="auto"/>
        <w:jc w:val="both"/>
        <w:rPr>
          <w:rFonts w:ascii="Times New Roman" w:hAnsi="Times New Roman" w:cs="Times New Roman"/>
          <w:lang w:val="fr-FR"/>
        </w:rPr>
      </w:pPr>
      <w:r w:rsidRPr="00EB0C7B">
        <w:rPr>
          <w:rFonts w:ascii="Times New Roman" w:hAnsi="Times New Roman" w:cs="Times New Roman"/>
          <w:lang w:val="fr-FR"/>
        </w:rPr>
        <w:t>Bien que le plan révisé n</w:t>
      </w:r>
      <w:r>
        <w:rPr>
          <w:rFonts w:ascii="Times New Roman" w:hAnsi="Times New Roman" w:cs="Times New Roman"/>
          <w:lang w:val="fr-FR"/>
        </w:rPr>
        <w:t>’</w:t>
      </w:r>
      <w:r w:rsidRPr="00EB0C7B">
        <w:rPr>
          <w:rFonts w:ascii="Times New Roman" w:hAnsi="Times New Roman" w:cs="Times New Roman"/>
          <w:lang w:val="fr-FR"/>
        </w:rPr>
        <w:t>ait été adopté qu</w:t>
      </w:r>
      <w:r>
        <w:rPr>
          <w:rFonts w:ascii="Times New Roman" w:hAnsi="Times New Roman" w:cs="Times New Roman"/>
          <w:lang w:val="fr-FR"/>
        </w:rPr>
        <w:t>’</w:t>
      </w:r>
      <w:r w:rsidRPr="00EB0C7B">
        <w:rPr>
          <w:rFonts w:ascii="Times New Roman" w:hAnsi="Times New Roman" w:cs="Times New Roman"/>
          <w:lang w:val="fr-FR"/>
        </w:rPr>
        <w:t>en 2012, le Vanneau sociable faisait partie des premières espèces pour lesquelles un plan d</w:t>
      </w:r>
      <w:r>
        <w:rPr>
          <w:rFonts w:ascii="Times New Roman" w:hAnsi="Times New Roman" w:cs="Times New Roman"/>
          <w:lang w:val="fr-FR"/>
        </w:rPr>
        <w:t>’</w:t>
      </w:r>
      <w:r w:rsidRPr="00EB0C7B">
        <w:rPr>
          <w:rFonts w:ascii="Times New Roman" w:hAnsi="Times New Roman" w:cs="Times New Roman"/>
          <w:lang w:val="fr-FR"/>
        </w:rPr>
        <w:t>action a été adopté en vertu de l</w:t>
      </w:r>
      <w:r>
        <w:rPr>
          <w:rFonts w:ascii="Times New Roman" w:hAnsi="Times New Roman" w:cs="Times New Roman"/>
          <w:lang w:val="fr-FR"/>
        </w:rPr>
        <w:t>’</w:t>
      </w:r>
      <w:r w:rsidRPr="00EB0C7B">
        <w:rPr>
          <w:rFonts w:ascii="Times New Roman" w:hAnsi="Times New Roman" w:cs="Times New Roman"/>
          <w:lang w:val="fr-FR"/>
        </w:rPr>
        <w:t>Accord (en 2002). Sur cette base, on aurait pu espérer qu</w:t>
      </w:r>
      <w:r>
        <w:rPr>
          <w:rFonts w:ascii="Times New Roman" w:hAnsi="Times New Roman" w:cs="Times New Roman"/>
          <w:lang w:val="fr-FR"/>
        </w:rPr>
        <w:t>’</w:t>
      </w:r>
      <w:r w:rsidRPr="00EB0C7B">
        <w:rPr>
          <w:rFonts w:ascii="Times New Roman" w:hAnsi="Times New Roman" w:cs="Times New Roman"/>
          <w:lang w:val="fr-FR"/>
        </w:rPr>
        <w:t>un plus grand nombre de progrès ait été réalisé à ce jour, concernant, par exemple, l</w:t>
      </w:r>
      <w:r>
        <w:rPr>
          <w:rFonts w:ascii="Times New Roman" w:hAnsi="Times New Roman" w:cs="Times New Roman"/>
          <w:lang w:val="fr-FR"/>
        </w:rPr>
        <w:t>’</w:t>
      </w:r>
      <w:r w:rsidRPr="00EB0C7B">
        <w:rPr>
          <w:rFonts w:ascii="Times New Roman" w:hAnsi="Times New Roman" w:cs="Times New Roman"/>
          <w:lang w:val="fr-FR"/>
        </w:rPr>
        <w:t>adoption des plans d</w:t>
      </w:r>
      <w:r>
        <w:rPr>
          <w:rFonts w:ascii="Times New Roman" w:hAnsi="Times New Roman" w:cs="Times New Roman"/>
          <w:lang w:val="fr-FR"/>
        </w:rPr>
        <w:t>’</w:t>
      </w:r>
      <w:r w:rsidRPr="00EB0C7B">
        <w:rPr>
          <w:rFonts w:ascii="Times New Roman" w:hAnsi="Times New Roman" w:cs="Times New Roman"/>
          <w:lang w:val="fr-FR"/>
        </w:rPr>
        <w:t>action nationaux (8</w:t>
      </w:r>
      <w:r>
        <w:rPr>
          <w:rFonts w:ascii="Times New Roman" w:hAnsi="Times New Roman" w:cs="Times New Roman"/>
          <w:lang w:val="fr-FR"/>
        </w:rPr>
        <w:t> %</w:t>
      </w:r>
      <w:r w:rsidRPr="00EB0C7B">
        <w:rPr>
          <w:rFonts w:ascii="Times New Roman" w:hAnsi="Times New Roman" w:cs="Times New Roman"/>
          <w:lang w:val="fr-FR"/>
        </w:rPr>
        <w:t>) et l</w:t>
      </w:r>
      <w:r>
        <w:rPr>
          <w:rFonts w:ascii="Times New Roman" w:hAnsi="Times New Roman" w:cs="Times New Roman"/>
          <w:lang w:val="fr-FR"/>
        </w:rPr>
        <w:t>’</w:t>
      </w:r>
      <w:r w:rsidRPr="00EB0C7B">
        <w:rPr>
          <w:rFonts w:ascii="Times New Roman" w:hAnsi="Times New Roman" w:cs="Times New Roman"/>
          <w:lang w:val="fr-FR"/>
        </w:rPr>
        <w:t>établissement de groupes de travail nationaux (0</w:t>
      </w:r>
      <w:r>
        <w:rPr>
          <w:rFonts w:ascii="Times New Roman" w:hAnsi="Times New Roman" w:cs="Times New Roman"/>
          <w:lang w:val="fr-FR"/>
        </w:rPr>
        <w:t> %</w:t>
      </w:r>
      <w:r w:rsidRPr="00EB0C7B">
        <w:rPr>
          <w:rFonts w:ascii="Times New Roman" w:hAnsi="Times New Roman" w:cs="Times New Roman"/>
          <w:lang w:val="fr-FR"/>
        </w:rPr>
        <w:t>).</w:t>
      </w:r>
      <w:r w:rsidRPr="004B1407">
        <w:rPr>
          <w:rFonts w:ascii="Times New Roman" w:hAnsi="Times New Roman" w:cs="Times New Roman"/>
          <w:lang w:val="fr-FR"/>
        </w:rPr>
        <w:t xml:space="preserve"> </w:t>
      </w:r>
    </w:p>
    <w:p w14:paraId="699811EF" w14:textId="77777777" w:rsidR="00886A3C" w:rsidRPr="004B1407" w:rsidRDefault="00886A3C" w:rsidP="00886A3C">
      <w:pPr>
        <w:spacing w:after="0" w:line="240" w:lineRule="auto"/>
        <w:jc w:val="both"/>
        <w:rPr>
          <w:rFonts w:ascii="Times New Roman" w:hAnsi="Times New Roman" w:cs="Times New Roman"/>
          <w:lang w:val="fr-FR"/>
        </w:rPr>
      </w:pPr>
    </w:p>
    <w:p w14:paraId="09F4F4BD" w14:textId="77777777" w:rsidR="00886A3C" w:rsidRPr="004B1407" w:rsidRDefault="00886A3C" w:rsidP="00886A3C">
      <w:pPr>
        <w:spacing w:after="0" w:line="240" w:lineRule="auto"/>
        <w:jc w:val="both"/>
        <w:rPr>
          <w:rFonts w:ascii="Times New Roman" w:hAnsi="Times New Roman" w:cs="Times New Roman"/>
          <w:lang w:val="fr-FR"/>
        </w:rPr>
      </w:pPr>
      <w:r w:rsidRPr="008003A7">
        <w:rPr>
          <w:rFonts w:ascii="Times New Roman" w:hAnsi="Times New Roman" w:cs="Times New Roman"/>
          <w:lang w:val="fr-FR"/>
        </w:rPr>
        <w:t>Le groupe de travail international de l</w:t>
      </w:r>
      <w:r>
        <w:rPr>
          <w:rFonts w:ascii="Times New Roman" w:hAnsi="Times New Roman" w:cs="Times New Roman"/>
          <w:lang w:val="fr-FR"/>
        </w:rPr>
        <w:t>’</w:t>
      </w:r>
      <w:r w:rsidRPr="008003A7">
        <w:rPr>
          <w:rFonts w:ascii="Times New Roman" w:hAnsi="Times New Roman" w:cs="Times New Roman"/>
          <w:lang w:val="fr-FR"/>
        </w:rPr>
        <w:t>AEWA sur le Vanneau sociable a été mis en place dès 2010 – offrant potentiellement aux États de l</w:t>
      </w:r>
      <w:r>
        <w:rPr>
          <w:rFonts w:ascii="Times New Roman" w:hAnsi="Times New Roman" w:cs="Times New Roman"/>
          <w:lang w:val="fr-FR"/>
        </w:rPr>
        <w:t>’</w:t>
      </w:r>
      <w:r w:rsidRPr="008003A7">
        <w:rPr>
          <w:rFonts w:ascii="Times New Roman" w:hAnsi="Times New Roman" w:cs="Times New Roman"/>
          <w:lang w:val="fr-FR"/>
        </w:rPr>
        <w:t>aire de répartition une base intergouvernementale internationale permettant le renforcement de leur engagement et de la mise en œuvre.</w:t>
      </w:r>
      <w:r w:rsidRPr="004B1407">
        <w:rPr>
          <w:rFonts w:ascii="Times New Roman" w:hAnsi="Times New Roman" w:cs="Times New Roman"/>
          <w:lang w:val="fr-FR"/>
        </w:rPr>
        <w:t xml:space="preserve"> </w:t>
      </w:r>
      <w:r w:rsidRPr="00510468">
        <w:rPr>
          <w:rFonts w:ascii="Times New Roman" w:hAnsi="Times New Roman" w:cs="Times New Roman"/>
          <w:lang w:val="fr-FR"/>
        </w:rPr>
        <w:t>Toutefois, le potentiel de ce groupe de travail n</w:t>
      </w:r>
      <w:r>
        <w:rPr>
          <w:rFonts w:ascii="Times New Roman" w:hAnsi="Times New Roman" w:cs="Times New Roman"/>
          <w:lang w:val="fr-FR"/>
        </w:rPr>
        <w:t>’</w:t>
      </w:r>
      <w:r w:rsidRPr="00510468">
        <w:rPr>
          <w:rFonts w:ascii="Times New Roman" w:hAnsi="Times New Roman" w:cs="Times New Roman"/>
          <w:lang w:val="fr-FR"/>
        </w:rPr>
        <w:t>est manifestement pas complètement utilisé, comme en témoigne, entre autre, le faible taux de réponses dans le cadre de cette étude et le fait qu</w:t>
      </w:r>
      <w:r>
        <w:rPr>
          <w:rFonts w:ascii="Times New Roman" w:hAnsi="Times New Roman" w:cs="Times New Roman"/>
          <w:lang w:val="fr-FR"/>
        </w:rPr>
        <w:t>’</w:t>
      </w:r>
      <w:r w:rsidRPr="00510468">
        <w:rPr>
          <w:rFonts w:ascii="Times New Roman" w:hAnsi="Times New Roman" w:cs="Times New Roman"/>
          <w:lang w:val="fr-FR"/>
        </w:rPr>
        <w:t>aucune réponse n</w:t>
      </w:r>
      <w:r>
        <w:rPr>
          <w:rFonts w:ascii="Times New Roman" w:hAnsi="Times New Roman" w:cs="Times New Roman"/>
          <w:lang w:val="fr-FR"/>
        </w:rPr>
        <w:t>’</w:t>
      </w:r>
      <w:r w:rsidRPr="00510468">
        <w:rPr>
          <w:rFonts w:ascii="Times New Roman" w:hAnsi="Times New Roman" w:cs="Times New Roman"/>
          <w:lang w:val="fr-FR"/>
        </w:rPr>
        <w:t>ait été compilée par un représentant du gouvernement.</w:t>
      </w:r>
      <w:r w:rsidRPr="004B1407">
        <w:rPr>
          <w:rFonts w:ascii="Times New Roman" w:hAnsi="Times New Roman" w:cs="Times New Roman"/>
          <w:lang w:val="fr-FR"/>
        </w:rPr>
        <w:t xml:space="preserve"> </w:t>
      </w:r>
      <w:r w:rsidRPr="00510468">
        <w:rPr>
          <w:rFonts w:ascii="Times New Roman" w:hAnsi="Times New Roman" w:cs="Times New Roman"/>
          <w:lang w:val="fr-FR"/>
        </w:rPr>
        <w:t>Une revitalisation de ce groupe de travail est donc de toute urgence nécessaire</w:t>
      </w:r>
      <w:r>
        <w:rPr>
          <w:rFonts w:ascii="Times New Roman" w:hAnsi="Times New Roman" w:cs="Times New Roman"/>
          <w:lang w:val="fr-FR"/>
        </w:rPr>
        <w:t xml:space="preserve">, </w:t>
      </w:r>
      <w:r w:rsidRPr="00510468">
        <w:rPr>
          <w:rFonts w:ascii="Times New Roman" w:hAnsi="Times New Roman" w:cs="Times New Roman"/>
          <w:lang w:val="fr-FR"/>
        </w:rPr>
        <w:t>en particulier en ce qui concerne une participation active accrue de membres des gouvernements des États de l</w:t>
      </w:r>
      <w:r>
        <w:rPr>
          <w:rFonts w:ascii="Times New Roman" w:hAnsi="Times New Roman" w:cs="Times New Roman"/>
          <w:lang w:val="fr-FR"/>
        </w:rPr>
        <w:t>’</w:t>
      </w:r>
      <w:r w:rsidRPr="00510468">
        <w:rPr>
          <w:rFonts w:ascii="Times New Roman" w:hAnsi="Times New Roman" w:cs="Times New Roman"/>
          <w:lang w:val="fr-FR"/>
        </w:rPr>
        <w:t>aire de répartition.</w:t>
      </w:r>
      <w:r w:rsidRPr="004B1407">
        <w:rPr>
          <w:rFonts w:ascii="Times New Roman" w:hAnsi="Times New Roman" w:cs="Times New Roman"/>
          <w:lang w:val="fr-FR"/>
        </w:rPr>
        <w:t xml:space="preserve"> </w:t>
      </w:r>
    </w:p>
    <w:p w14:paraId="155DB441" w14:textId="77777777" w:rsidR="00886A3C" w:rsidRPr="004B1407" w:rsidRDefault="00886A3C" w:rsidP="00886A3C">
      <w:pPr>
        <w:spacing w:after="0" w:line="240" w:lineRule="auto"/>
        <w:jc w:val="both"/>
        <w:rPr>
          <w:rFonts w:ascii="Times New Roman" w:hAnsi="Times New Roman" w:cs="Times New Roman"/>
          <w:lang w:val="fr-FR"/>
        </w:rPr>
      </w:pPr>
    </w:p>
    <w:p w14:paraId="46D8E0ED" w14:textId="77777777" w:rsidR="00886A3C" w:rsidRPr="004B1407" w:rsidRDefault="00886A3C" w:rsidP="00886A3C">
      <w:pPr>
        <w:spacing w:after="0" w:line="240" w:lineRule="auto"/>
        <w:jc w:val="both"/>
        <w:rPr>
          <w:rFonts w:ascii="Times New Roman" w:hAnsi="Times New Roman" w:cs="Times New Roman"/>
          <w:lang w:val="fr-FR"/>
        </w:rPr>
      </w:pPr>
      <w:r w:rsidRPr="00510468">
        <w:rPr>
          <w:rFonts w:ascii="Times New Roman" w:hAnsi="Times New Roman" w:cs="Times New Roman"/>
          <w:lang w:val="fr-FR"/>
        </w:rPr>
        <w:t>Le réseau de conservation du Vanneau sociable – à la fois au s</w:t>
      </w:r>
      <w:r>
        <w:rPr>
          <w:rFonts w:ascii="Times New Roman" w:hAnsi="Times New Roman" w:cs="Times New Roman"/>
          <w:lang w:val="fr-FR"/>
        </w:rPr>
        <w:t>ein</w:t>
      </w:r>
      <w:r w:rsidRPr="00510468">
        <w:rPr>
          <w:rFonts w:ascii="Times New Roman" w:hAnsi="Times New Roman" w:cs="Times New Roman"/>
          <w:lang w:val="fr-FR"/>
        </w:rPr>
        <w:t xml:space="preserve"> du groupe de travail et au-delà – demeure presque exclusivement basé sur les ONG nationales et internationales ainsi que sur les organisations internationales spécialisées dans la conservation.</w:t>
      </w:r>
      <w:r w:rsidRPr="004B1407">
        <w:rPr>
          <w:rFonts w:ascii="Times New Roman" w:hAnsi="Times New Roman" w:cs="Times New Roman"/>
          <w:lang w:val="fr-FR"/>
        </w:rPr>
        <w:t xml:space="preserve"> </w:t>
      </w:r>
      <w:r w:rsidRPr="00510468">
        <w:rPr>
          <w:rFonts w:ascii="Times New Roman" w:hAnsi="Times New Roman" w:cs="Times New Roman"/>
          <w:lang w:val="fr-FR"/>
        </w:rPr>
        <w:t>Bien que ces organisations réalisent un travail inestimable, la réussite de la conservation de l</w:t>
      </w:r>
      <w:r>
        <w:rPr>
          <w:rFonts w:ascii="Times New Roman" w:hAnsi="Times New Roman" w:cs="Times New Roman"/>
          <w:lang w:val="fr-FR"/>
        </w:rPr>
        <w:t>’</w:t>
      </w:r>
      <w:r w:rsidRPr="00510468">
        <w:rPr>
          <w:rFonts w:ascii="Times New Roman" w:hAnsi="Times New Roman" w:cs="Times New Roman"/>
          <w:lang w:val="fr-FR"/>
        </w:rPr>
        <w:t>espèce à long terme ne pourra se faire sans l</w:t>
      </w:r>
      <w:r>
        <w:rPr>
          <w:rFonts w:ascii="Times New Roman" w:hAnsi="Times New Roman" w:cs="Times New Roman"/>
          <w:lang w:val="fr-FR"/>
        </w:rPr>
        <w:t>’</w:t>
      </w:r>
      <w:r w:rsidRPr="00510468">
        <w:rPr>
          <w:rFonts w:ascii="Times New Roman" w:hAnsi="Times New Roman" w:cs="Times New Roman"/>
          <w:lang w:val="fr-FR"/>
        </w:rPr>
        <w:t>engagement des gouvernements des État</w:t>
      </w:r>
      <w:r>
        <w:rPr>
          <w:rFonts w:ascii="Times New Roman" w:hAnsi="Times New Roman" w:cs="Times New Roman"/>
          <w:lang w:val="fr-FR"/>
        </w:rPr>
        <w:t>s</w:t>
      </w:r>
      <w:r w:rsidRPr="00510468">
        <w:rPr>
          <w:rFonts w:ascii="Times New Roman" w:hAnsi="Times New Roman" w:cs="Times New Roman"/>
          <w:lang w:val="fr-FR"/>
        </w:rPr>
        <w:t xml:space="preserve"> de l</w:t>
      </w:r>
      <w:r>
        <w:rPr>
          <w:rFonts w:ascii="Times New Roman" w:hAnsi="Times New Roman" w:cs="Times New Roman"/>
          <w:lang w:val="fr-FR"/>
        </w:rPr>
        <w:t>’</w:t>
      </w:r>
      <w:r w:rsidRPr="00510468">
        <w:rPr>
          <w:rFonts w:ascii="Times New Roman" w:hAnsi="Times New Roman" w:cs="Times New Roman"/>
          <w:lang w:val="fr-FR"/>
        </w:rPr>
        <w:t>aire de répartition.</w:t>
      </w:r>
      <w:r w:rsidRPr="004B1407">
        <w:rPr>
          <w:rFonts w:ascii="Times New Roman" w:hAnsi="Times New Roman" w:cs="Times New Roman"/>
          <w:lang w:val="fr-FR"/>
        </w:rPr>
        <w:t xml:space="preserve"> </w:t>
      </w:r>
    </w:p>
    <w:p w14:paraId="0939D099" w14:textId="77777777" w:rsidR="00886A3C" w:rsidRPr="004B1407" w:rsidRDefault="00886A3C" w:rsidP="00886A3C">
      <w:pPr>
        <w:spacing w:after="0" w:line="240" w:lineRule="auto"/>
        <w:jc w:val="both"/>
        <w:rPr>
          <w:rFonts w:ascii="Times New Roman" w:hAnsi="Times New Roman" w:cs="Times New Roman"/>
          <w:lang w:val="fr-FR"/>
        </w:rPr>
      </w:pPr>
    </w:p>
    <w:p w14:paraId="0A0431A9" w14:textId="77777777" w:rsidR="00886A3C" w:rsidRPr="004B1407" w:rsidRDefault="00886A3C" w:rsidP="00886A3C">
      <w:pPr>
        <w:spacing w:after="0" w:line="240" w:lineRule="auto"/>
        <w:jc w:val="both"/>
        <w:rPr>
          <w:rFonts w:ascii="Times New Roman" w:hAnsi="Times New Roman" w:cs="Times New Roman"/>
          <w:lang w:val="fr-FR"/>
        </w:rPr>
      </w:pPr>
      <w:r w:rsidRPr="00510468">
        <w:rPr>
          <w:rFonts w:ascii="Times New Roman" w:hAnsi="Times New Roman" w:cs="Times New Roman"/>
          <w:lang w:val="fr-FR"/>
        </w:rPr>
        <w:t>Malheureusement, le Vanneau sociable – bien que « En danger critique d</w:t>
      </w:r>
      <w:r>
        <w:rPr>
          <w:rFonts w:ascii="Times New Roman" w:hAnsi="Times New Roman" w:cs="Times New Roman"/>
          <w:lang w:val="fr-FR"/>
        </w:rPr>
        <w:t>’</w:t>
      </w:r>
      <w:r w:rsidRPr="00510468">
        <w:rPr>
          <w:rFonts w:ascii="Times New Roman" w:hAnsi="Times New Roman" w:cs="Times New Roman"/>
          <w:lang w:val="fr-FR"/>
        </w:rPr>
        <w:t>extinction » –</w:t>
      </w:r>
      <w:r>
        <w:rPr>
          <w:rFonts w:ascii="Times New Roman" w:hAnsi="Times New Roman" w:cs="Times New Roman"/>
          <w:lang w:val="fr-FR"/>
        </w:rPr>
        <w:t xml:space="preserve"> </w:t>
      </w:r>
      <w:r w:rsidRPr="00510468">
        <w:rPr>
          <w:rFonts w:ascii="Times New Roman" w:hAnsi="Times New Roman" w:cs="Times New Roman"/>
          <w:lang w:val="fr-FR"/>
        </w:rPr>
        <w:t xml:space="preserve">ne semble être prioritaire en matière de conservation </w:t>
      </w:r>
      <w:r>
        <w:rPr>
          <w:rFonts w:ascii="Times New Roman" w:hAnsi="Times New Roman" w:cs="Times New Roman"/>
          <w:lang w:val="fr-FR"/>
        </w:rPr>
        <w:t xml:space="preserve">dans aucun </w:t>
      </w:r>
      <w:r w:rsidRPr="00510468">
        <w:rPr>
          <w:rFonts w:ascii="Times New Roman" w:hAnsi="Times New Roman" w:cs="Times New Roman"/>
          <w:lang w:val="fr-FR"/>
        </w:rPr>
        <w:t>des principaux gouvernements des États de l</w:t>
      </w:r>
      <w:r>
        <w:rPr>
          <w:rFonts w:ascii="Times New Roman" w:hAnsi="Times New Roman" w:cs="Times New Roman"/>
          <w:lang w:val="fr-FR"/>
        </w:rPr>
        <w:t>’</w:t>
      </w:r>
      <w:r w:rsidRPr="00510468">
        <w:rPr>
          <w:rFonts w:ascii="Times New Roman" w:hAnsi="Times New Roman" w:cs="Times New Roman"/>
          <w:lang w:val="fr-FR"/>
        </w:rPr>
        <w:t>aire de répartition.</w:t>
      </w:r>
      <w:r w:rsidRPr="004B1407">
        <w:rPr>
          <w:rFonts w:ascii="Times New Roman" w:hAnsi="Times New Roman" w:cs="Times New Roman"/>
          <w:lang w:val="fr-FR"/>
        </w:rPr>
        <w:t xml:space="preserve"> </w:t>
      </w:r>
      <w:r w:rsidRPr="00510468">
        <w:rPr>
          <w:rFonts w:ascii="Times New Roman" w:hAnsi="Times New Roman" w:cs="Times New Roman"/>
          <w:lang w:val="fr-FR"/>
        </w:rPr>
        <w:t>Cette espèce n</w:t>
      </w:r>
      <w:r>
        <w:rPr>
          <w:rFonts w:ascii="Times New Roman" w:hAnsi="Times New Roman" w:cs="Times New Roman"/>
          <w:lang w:val="fr-FR"/>
        </w:rPr>
        <w:t>’</w:t>
      </w:r>
      <w:r w:rsidRPr="00510468">
        <w:rPr>
          <w:rFonts w:ascii="Times New Roman" w:hAnsi="Times New Roman" w:cs="Times New Roman"/>
          <w:lang w:val="fr-FR"/>
        </w:rPr>
        <w:t>a jamais bénéficié d</w:t>
      </w:r>
      <w:r>
        <w:rPr>
          <w:rFonts w:ascii="Times New Roman" w:hAnsi="Times New Roman" w:cs="Times New Roman"/>
          <w:lang w:val="fr-FR"/>
        </w:rPr>
        <w:t>’</w:t>
      </w:r>
      <w:r w:rsidRPr="00510468">
        <w:rPr>
          <w:rFonts w:ascii="Times New Roman" w:hAnsi="Times New Roman" w:cs="Times New Roman"/>
          <w:lang w:val="fr-FR"/>
        </w:rPr>
        <w:t>un statut de protection dans toute son aire de répartition.</w:t>
      </w:r>
      <w:r w:rsidRPr="004B1407">
        <w:rPr>
          <w:rFonts w:ascii="Times New Roman" w:hAnsi="Times New Roman" w:cs="Times New Roman"/>
          <w:lang w:val="fr-FR"/>
        </w:rPr>
        <w:t xml:space="preserve"> </w:t>
      </w:r>
    </w:p>
    <w:p w14:paraId="5DF1DD16" w14:textId="77777777" w:rsidR="00886A3C" w:rsidRPr="004B1407" w:rsidRDefault="00886A3C" w:rsidP="00886A3C">
      <w:pPr>
        <w:spacing w:after="0" w:line="240" w:lineRule="auto"/>
        <w:jc w:val="both"/>
        <w:rPr>
          <w:rFonts w:ascii="Times New Roman" w:hAnsi="Times New Roman" w:cs="Times New Roman"/>
          <w:lang w:val="fr-FR"/>
        </w:rPr>
      </w:pPr>
    </w:p>
    <w:p w14:paraId="22BB73C7" w14:textId="77777777" w:rsidR="00886A3C" w:rsidRPr="004B1407" w:rsidRDefault="00886A3C" w:rsidP="00886A3C">
      <w:pPr>
        <w:spacing w:after="0" w:line="240" w:lineRule="auto"/>
        <w:jc w:val="both"/>
        <w:rPr>
          <w:rFonts w:ascii="Times New Roman" w:hAnsi="Times New Roman" w:cs="Times New Roman"/>
          <w:lang w:val="fr-FR"/>
        </w:rPr>
      </w:pPr>
      <w:r w:rsidRPr="00510468">
        <w:rPr>
          <w:rFonts w:ascii="Times New Roman" w:hAnsi="Times New Roman" w:cs="Times New Roman"/>
          <w:lang w:val="fr-FR"/>
        </w:rPr>
        <w:t>En outre, afin d</w:t>
      </w:r>
      <w:r>
        <w:rPr>
          <w:rFonts w:ascii="Times New Roman" w:hAnsi="Times New Roman" w:cs="Times New Roman"/>
          <w:lang w:val="fr-FR"/>
        </w:rPr>
        <w:t>’</w:t>
      </w:r>
      <w:r w:rsidRPr="00510468">
        <w:rPr>
          <w:rFonts w:ascii="Times New Roman" w:hAnsi="Times New Roman" w:cs="Times New Roman"/>
          <w:lang w:val="fr-FR"/>
        </w:rPr>
        <w:t>accroître le nombre de gouvernements des États de l</w:t>
      </w:r>
      <w:r>
        <w:rPr>
          <w:rFonts w:ascii="Times New Roman" w:hAnsi="Times New Roman" w:cs="Times New Roman"/>
          <w:lang w:val="fr-FR"/>
        </w:rPr>
        <w:t>’</w:t>
      </w:r>
      <w:r w:rsidRPr="00510468">
        <w:rPr>
          <w:rFonts w:ascii="Times New Roman" w:hAnsi="Times New Roman" w:cs="Times New Roman"/>
          <w:lang w:val="fr-FR"/>
        </w:rPr>
        <w:t>aire de répartition représentés au sein du</w:t>
      </w:r>
      <w:r>
        <w:rPr>
          <w:rFonts w:ascii="Times New Roman" w:hAnsi="Times New Roman" w:cs="Times New Roman"/>
          <w:lang w:val="fr-FR"/>
        </w:rPr>
        <w:t xml:space="preserve"> </w:t>
      </w:r>
      <w:r w:rsidRPr="00510468">
        <w:rPr>
          <w:rFonts w:ascii="Times New Roman" w:hAnsi="Times New Roman" w:cs="Times New Roman"/>
          <w:lang w:val="fr-FR"/>
        </w:rPr>
        <w:t>groupe de travail international, il conviendrait d</w:t>
      </w:r>
      <w:r>
        <w:rPr>
          <w:rFonts w:ascii="Times New Roman" w:hAnsi="Times New Roman" w:cs="Times New Roman"/>
          <w:lang w:val="fr-FR"/>
        </w:rPr>
        <w:t>’</w:t>
      </w:r>
      <w:r w:rsidRPr="00510468">
        <w:rPr>
          <w:rFonts w:ascii="Times New Roman" w:hAnsi="Times New Roman" w:cs="Times New Roman"/>
          <w:lang w:val="fr-FR"/>
        </w:rPr>
        <w:t>intensifier d</w:t>
      </w:r>
      <w:r>
        <w:rPr>
          <w:rFonts w:ascii="Times New Roman" w:hAnsi="Times New Roman" w:cs="Times New Roman"/>
          <w:lang w:val="fr-FR"/>
        </w:rPr>
        <w:t>’</w:t>
      </w:r>
      <w:r w:rsidRPr="00510468">
        <w:rPr>
          <w:rFonts w:ascii="Times New Roman" w:hAnsi="Times New Roman" w:cs="Times New Roman"/>
          <w:lang w:val="fr-FR"/>
        </w:rPr>
        <w:t>urgence les efforts en vue d</w:t>
      </w:r>
      <w:r>
        <w:rPr>
          <w:rFonts w:ascii="Times New Roman" w:hAnsi="Times New Roman" w:cs="Times New Roman"/>
          <w:lang w:val="fr-FR"/>
        </w:rPr>
        <w:t>’</w:t>
      </w:r>
      <w:r w:rsidRPr="00510468">
        <w:rPr>
          <w:rFonts w:ascii="Times New Roman" w:hAnsi="Times New Roman" w:cs="Times New Roman"/>
          <w:lang w:val="fr-FR"/>
        </w:rPr>
        <w:t>encourager l</w:t>
      </w:r>
      <w:r>
        <w:rPr>
          <w:rFonts w:ascii="Times New Roman" w:hAnsi="Times New Roman" w:cs="Times New Roman"/>
          <w:lang w:val="fr-FR"/>
        </w:rPr>
        <w:t>’</w:t>
      </w:r>
      <w:r w:rsidRPr="00510468">
        <w:rPr>
          <w:rFonts w:ascii="Times New Roman" w:hAnsi="Times New Roman" w:cs="Times New Roman"/>
          <w:lang w:val="fr-FR"/>
        </w:rPr>
        <w:t>adhésion à l</w:t>
      </w:r>
      <w:r>
        <w:rPr>
          <w:rFonts w:ascii="Times New Roman" w:hAnsi="Times New Roman" w:cs="Times New Roman"/>
          <w:lang w:val="fr-FR"/>
        </w:rPr>
        <w:t>’</w:t>
      </w:r>
      <w:r w:rsidRPr="00510468">
        <w:rPr>
          <w:rFonts w:ascii="Times New Roman" w:hAnsi="Times New Roman" w:cs="Times New Roman"/>
          <w:lang w:val="fr-FR"/>
        </w:rPr>
        <w:t>AEWA des sept principaux États de l</w:t>
      </w:r>
      <w:r>
        <w:rPr>
          <w:rFonts w:ascii="Times New Roman" w:hAnsi="Times New Roman" w:cs="Times New Roman"/>
          <w:lang w:val="fr-FR"/>
        </w:rPr>
        <w:t>’</w:t>
      </w:r>
      <w:r w:rsidRPr="00510468">
        <w:rPr>
          <w:rFonts w:ascii="Times New Roman" w:hAnsi="Times New Roman" w:cs="Times New Roman"/>
          <w:lang w:val="fr-FR"/>
        </w:rPr>
        <w:t>aire de répartition situés dans la zone de l</w:t>
      </w:r>
      <w:r>
        <w:rPr>
          <w:rFonts w:ascii="Times New Roman" w:hAnsi="Times New Roman" w:cs="Times New Roman"/>
          <w:lang w:val="fr-FR"/>
        </w:rPr>
        <w:t>’</w:t>
      </w:r>
      <w:r w:rsidRPr="00510468">
        <w:rPr>
          <w:rFonts w:ascii="Times New Roman" w:hAnsi="Times New Roman" w:cs="Times New Roman"/>
          <w:lang w:val="fr-FR"/>
        </w:rPr>
        <w:t>Accord.</w:t>
      </w:r>
      <w:r w:rsidRPr="004B1407">
        <w:rPr>
          <w:rFonts w:ascii="Times New Roman" w:hAnsi="Times New Roman" w:cs="Times New Roman"/>
          <w:lang w:val="fr-FR"/>
        </w:rPr>
        <w:t xml:space="preserve"> </w:t>
      </w:r>
    </w:p>
    <w:p w14:paraId="0C556A85" w14:textId="77777777" w:rsidR="00886A3C" w:rsidRPr="004B1407" w:rsidRDefault="00886A3C" w:rsidP="00886A3C">
      <w:pPr>
        <w:rPr>
          <w:lang w:val="fr-FR"/>
        </w:rPr>
      </w:pPr>
    </w:p>
    <w:p w14:paraId="43E41FE5" w14:textId="77777777" w:rsidR="00886A3C" w:rsidRPr="004B1407" w:rsidRDefault="00886A3C" w:rsidP="00886A3C">
      <w:pPr>
        <w:rPr>
          <w:lang w:val="fr-FR"/>
        </w:rPr>
      </w:pPr>
      <w:r w:rsidRPr="004B1407">
        <w:rPr>
          <w:lang w:val="fr-FR"/>
        </w:rPr>
        <w:t xml:space="preserve"> </w:t>
      </w:r>
    </w:p>
    <w:p w14:paraId="21A87B25" w14:textId="77777777" w:rsidR="00886A3C" w:rsidRPr="004B1407" w:rsidRDefault="00886A3C" w:rsidP="00886A3C">
      <w:pPr>
        <w:rPr>
          <w:rFonts w:ascii="Times New Roman" w:hAnsi="Times New Roman" w:cs="Times New Roman"/>
          <w:b/>
          <w:lang w:val="fr-FR"/>
        </w:rPr>
      </w:pPr>
      <w:r w:rsidRPr="004B1407">
        <w:rPr>
          <w:rFonts w:ascii="Times New Roman" w:hAnsi="Times New Roman" w:cs="Times New Roman"/>
          <w:b/>
          <w:lang w:val="fr-FR"/>
        </w:rPr>
        <w:br w:type="page"/>
      </w:r>
    </w:p>
    <w:p w14:paraId="578903F2" w14:textId="77777777" w:rsidR="00886A3C" w:rsidRPr="004B1407" w:rsidRDefault="00886A3C" w:rsidP="00886A3C">
      <w:pPr>
        <w:rPr>
          <w:rFonts w:ascii="Times New Roman" w:hAnsi="Times New Roman" w:cs="Times New Roman"/>
          <w:sz w:val="24"/>
          <w:szCs w:val="24"/>
          <w:lang w:val="fr-FR"/>
        </w:rPr>
        <w:sectPr w:rsidR="00886A3C" w:rsidRPr="004B1407" w:rsidSect="00F40442">
          <w:footerReference w:type="default" r:id="rId115"/>
          <w:pgSz w:w="11906" w:h="16838" w:code="9"/>
          <w:pgMar w:top="1134" w:right="1418" w:bottom="1418" w:left="1418" w:header="709" w:footer="709" w:gutter="0"/>
          <w:cols w:space="708"/>
          <w:docGrid w:linePitch="360"/>
        </w:sectPr>
      </w:pPr>
    </w:p>
    <w:p w14:paraId="3E693C06" w14:textId="77777777" w:rsidR="00886A3C" w:rsidRPr="004B1407" w:rsidRDefault="00886A3C" w:rsidP="00886A3C">
      <w:pPr>
        <w:spacing w:after="0" w:line="240" w:lineRule="auto"/>
        <w:rPr>
          <w:rFonts w:ascii="Times New Roman" w:hAnsi="Times New Roman" w:cs="Times New Roman"/>
          <w:i/>
          <w:lang w:val="fr-FR"/>
        </w:rPr>
      </w:pPr>
      <w:r w:rsidRPr="00510468">
        <w:rPr>
          <w:rFonts w:ascii="Times New Roman" w:hAnsi="Times New Roman" w:cs="Times New Roman"/>
          <w:i/>
          <w:lang w:val="fr-FR"/>
        </w:rPr>
        <w:lastRenderedPageBreak/>
        <w:t xml:space="preserve">Annexe II – </w:t>
      </w:r>
      <w:r>
        <w:rPr>
          <w:rFonts w:ascii="Times New Roman" w:hAnsi="Times New Roman" w:cs="Times New Roman"/>
          <w:i/>
          <w:lang w:val="fr-FR"/>
        </w:rPr>
        <w:t xml:space="preserve">Vue d’ensemble </w:t>
      </w:r>
      <w:r w:rsidRPr="00510468">
        <w:rPr>
          <w:rFonts w:ascii="Times New Roman" w:hAnsi="Times New Roman" w:cs="Times New Roman"/>
          <w:i/>
          <w:lang w:val="fr-FR"/>
        </w:rPr>
        <w:t xml:space="preserve">des questionnaires soumis </w:t>
      </w:r>
      <w:r>
        <w:rPr>
          <w:rFonts w:ascii="Times New Roman" w:hAnsi="Times New Roman" w:cs="Times New Roman"/>
          <w:i/>
          <w:lang w:val="fr-FR"/>
        </w:rPr>
        <w:t>aux fins</w:t>
      </w:r>
      <w:r w:rsidRPr="00510468">
        <w:rPr>
          <w:rFonts w:ascii="Times New Roman" w:hAnsi="Times New Roman" w:cs="Times New Roman"/>
          <w:i/>
          <w:lang w:val="fr-FR"/>
        </w:rPr>
        <w:t xml:space="preserve"> de l</w:t>
      </w:r>
      <w:r>
        <w:rPr>
          <w:rFonts w:ascii="Times New Roman" w:hAnsi="Times New Roman" w:cs="Times New Roman"/>
          <w:i/>
          <w:lang w:val="fr-FR"/>
        </w:rPr>
        <w:t>’</w:t>
      </w:r>
      <w:r w:rsidRPr="00510468">
        <w:rPr>
          <w:rFonts w:ascii="Times New Roman" w:hAnsi="Times New Roman" w:cs="Times New Roman"/>
          <w:i/>
          <w:lang w:val="fr-FR"/>
        </w:rPr>
        <w:t>étude</w:t>
      </w:r>
    </w:p>
    <w:p w14:paraId="6630753D" w14:textId="77777777" w:rsidR="00886A3C" w:rsidRPr="004B1407" w:rsidRDefault="00886A3C" w:rsidP="00886A3C">
      <w:pPr>
        <w:spacing w:after="0" w:line="240" w:lineRule="auto"/>
        <w:rPr>
          <w:rFonts w:ascii="Times New Roman" w:hAnsi="Times New Roman" w:cs="Times New Roman"/>
          <w:lang w:val="fr-FR"/>
        </w:rPr>
      </w:pPr>
    </w:p>
    <w:tbl>
      <w:tblPr>
        <w:tblStyle w:val="TableGrid"/>
        <w:tblW w:w="12931" w:type="dxa"/>
        <w:tblLayout w:type="fixed"/>
        <w:tblLook w:val="04A0" w:firstRow="1" w:lastRow="0" w:firstColumn="1" w:lastColumn="0" w:noHBand="0" w:noVBand="1"/>
      </w:tblPr>
      <w:tblGrid>
        <w:gridCol w:w="3235"/>
        <w:gridCol w:w="1800"/>
        <w:gridCol w:w="3510"/>
        <w:gridCol w:w="1080"/>
        <w:gridCol w:w="3306"/>
      </w:tblGrid>
      <w:tr w:rsidR="00886A3C" w:rsidRPr="0086278C" w14:paraId="2D95E5FC" w14:textId="77777777" w:rsidTr="00886A3C">
        <w:trPr>
          <w:trHeight w:val="640"/>
        </w:trPr>
        <w:tc>
          <w:tcPr>
            <w:tcW w:w="3235" w:type="dxa"/>
            <w:shd w:val="clear" w:color="auto" w:fill="C6D9F1" w:themeFill="text2" w:themeFillTint="33"/>
          </w:tcPr>
          <w:p w14:paraId="6C0E94CD" w14:textId="77777777" w:rsidR="00886A3C" w:rsidRPr="004B1407" w:rsidRDefault="00886A3C" w:rsidP="00886A3C">
            <w:pPr>
              <w:rPr>
                <w:rFonts w:ascii="Times New Roman" w:hAnsi="Times New Roman" w:cs="Times New Roman"/>
                <w:lang w:val="fr-FR"/>
              </w:rPr>
            </w:pPr>
            <w:r>
              <w:rPr>
                <w:rFonts w:ascii="Times New Roman" w:hAnsi="Times New Roman" w:cs="Times New Roman"/>
                <w:lang w:val="fr-FR"/>
              </w:rPr>
              <w:t>Plan</w:t>
            </w:r>
            <w:r w:rsidRPr="001270C4">
              <w:rPr>
                <w:rFonts w:ascii="Times New Roman" w:hAnsi="Times New Roman" w:cs="Times New Roman"/>
                <w:lang w:val="fr-FR"/>
              </w:rPr>
              <w:t xml:space="preserve"> d</w:t>
            </w:r>
            <w:r>
              <w:rPr>
                <w:rFonts w:ascii="Times New Roman" w:hAnsi="Times New Roman" w:cs="Times New Roman"/>
                <w:lang w:val="fr-FR"/>
              </w:rPr>
              <w:t>’</w:t>
            </w:r>
            <w:r w:rsidRPr="001270C4">
              <w:rPr>
                <w:rFonts w:ascii="Times New Roman" w:hAnsi="Times New Roman" w:cs="Times New Roman"/>
                <w:lang w:val="fr-FR"/>
              </w:rPr>
              <w:t>action/ de gestion par espèce</w:t>
            </w:r>
          </w:p>
        </w:tc>
        <w:tc>
          <w:tcPr>
            <w:tcW w:w="1800" w:type="dxa"/>
            <w:shd w:val="clear" w:color="auto" w:fill="C6D9F1" w:themeFill="text2" w:themeFillTint="33"/>
          </w:tcPr>
          <w:p w14:paraId="066F6F0B" w14:textId="77777777" w:rsidR="00886A3C" w:rsidRPr="004B1407" w:rsidRDefault="00886A3C" w:rsidP="00886A3C">
            <w:pPr>
              <w:rPr>
                <w:rFonts w:ascii="Times New Roman" w:hAnsi="Times New Roman" w:cs="Times New Roman"/>
                <w:lang w:val="fr-FR"/>
              </w:rPr>
            </w:pPr>
            <w:r w:rsidRPr="001270C4">
              <w:rPr>
                <w:rFonts w:ascii="Times New Roman" w:hAnsi="Times New Roman" w:cs="Times New Roman"/>
                <w:lang w:val="fr-FR"/>
              </w:rPr>
              <w:t>Principaux États de l</w:t>
            </w:r>
            <w:r>
              <w:rPr>
                <w:rFonts w:ascii="Times New Roman" w:hAnsi="Times New Roman" w:cs="Times New Roman"/>
                <w:lang w:val="fr-FR"/>
              </w:rPr>
              <w:t>’</w:t>
            </w:r>
            <w:r w:rsidRPr="001270C4">
              <w:rPr>
                <w:rFonts w:ascii="Times New Roman" w:hAnsi="Times New Roman" w:cs="Times New Roman"/>
                <w:lang w:val="fr-FR"/>
              </w:rPr>
              <w:t>aire de répartition par plan</w:t>
            </w:r>
          </w:p>
        </w:tc>
        <w:tc>
          <w:tcPr>
            <w:tcW w:w="3510" w:type="dxa"/>
            <w:shd w:val="clear" w:color="auto" w:fill="C6D9F1" w:themeFill="text2" w:themeFillTint="33"/>
          </w:tcPr>
          <w:p w14:paraId="7C03A221" w14:textId="77777777" w:rsidR="00886A3C" w:rsidRPr="004B1407" w:rsidRDefault="00886A3C" w:rsidP="00886A3C">
            <w:pPr>
              <w:rPr>
                <w:rFonts w:ascii="Times New Roman" w:hAnsi="Times New Roman" w:cs="Times New Roman"/>
                <w:lang w:val="fr-FR"/>
              </w:rPr>
            </w:pPr>
            <w:r w:rsidRPr="001270C4">
              <w:rPr>
                <w:rFonts w:ascii="Times New Roman" w:hAnsi="Times New Roman" w:cs="Times New Roman"/>
                <w:lang w:val="fr-FR"/>
              </w:rPr>
              <w:t>Principaux États de l</w:t>
            </w:r>
            <w:r>
              <w:rPr>
                <w:rFonts w:ascii="Times New Roman" w:hAnsi="Times New Roman" w:cs="Times New Roman"/>
                <w:lang w:val="fr-FR"/>
              </w:rPr>
              <w:t>’</w:t>
            </w:r>
            <w:r w:rsidRPr="001270C4">
              <w:rPr>
                <w:rFonts w:ascii="Times New Roman" w:hAnsi="Times New Roman" w:cs="Times New Roman"/>
                <w:lang w:val="fr-FR"/>
              </w:rPr>
              <w:t>aire de répartition ayant répondu</w:t>
            </w:r>
          </w:p>
        </w:tc>
        <w:tc>
          <w:tcPr>
            <w:tcW w:w="1080" w:type="dxa"/>
            <w:shd w:val="clear" w:color="auto" w:fill="C6D9F1" w:themeFill="text2" w:themeFillTint="33"/>
          </w:tcPr>
          <w:p w14:paraId="326FC17A" w14:textId="77777777" w:rsidR="00886A3C" w:rsidRDefault="00886A3C" w:rsidP="00886A3C">
            <w:pPr>
              <w:rPr>
                <w:rFonts w:ascii="Times New Roman" w:hAnsi="Times New Roman" w:cs="Times New Roman"/>
              </w:rPr>
            </w:pPr>
            <w:r w:rsidRPr="001270C4">
              <w:rPr>
                <w:rFonts w:ascii="Times New Roman" w:hAnsi="Times New Roman" w:cs="Times New Roman"/>
                <w:lang w:val="fr-FR"/>
              </w:rPr>
              <w:t>Taux de réponse</w:t>
            </w:r>
          </w:p>
        </w:tc>
        <w:tc>
          <w:tcPr>
            <w:tcW w:w="3306" w:type="dxa"/>
            <w:shd w:val="clear" w:color="auto" w:fill="C6D9F1" w:themeFill="text2" w:themeFillTint="33"/>
          </w:tcPr>
          <w:p w14:paraId="045E37F8" w14:textId="77777777" w:rsidR="00886A3C" w:rsidRDefault="00886A3C" w:rsidP="00886A3C">
            <w:pPr>
              <w:rPr>
                <w:rFonts w:ascii="Times New Roman" w:hAnsi="Times New Roman" w:cs="Times New Roman"/>
              </w:rPr>
            </w:pPr>
            <w:r w:rsidRPr="001270C4">
              <w:rPr>
                <w:rFonts w:ascii="Times New Roman" w:hAnsi="Times New Roman" w:cs="Times New Roman"/>
                <w:lang w:val="fr-FR"/>
              </w:rPr>
              <w:t>Observations</w:t>
            </w:r>
            <w:r>
              <w:rPr>
                <w:rFonts w:ascii="Times New Roman" w:hAnsi="Times New Roman" w:cs="Times New Roman"/>
              </w:rPr>
              <w:t xml:space="preserve"> </w:t>
            </w:r>
          </w:p>
        </w:tc>
      </w:tr>
      <w:tr w:rsidR="00886A3C" w:rsidRPr="00DE4CF4" w14:paraId="5892BC66" w14:textId="77777777" w:rsidTr="00886A3C">
        <w:trPr>
          <w:trHeight w:val="305"/>
        </w:trPr>
        <w:tc>
          <w:tcPr>
            <w:tcW w:w="3235" w:type="dxa"/>
          </w:tcPr>
          <w:p w14:paraId="6AA4B38F" w14:textId="77777777" w:rsidR="00886A3C" w:rsidRPr="00AB76CF" w:rsidRDefault="00886A3C" w:rsidP="00886A3C">
            <w:pPr>
              <w:jc w:val="both"/>
              <w:rPr>
                <w:rFonts w:ascii="Times New Roman" w:hAnsi="Times New Roman" w:cs="Times New Roman"/>
                <w:sz w:val="20"/>
                <w:szCs w:val="20"/>
              </w:rPr>
            </w:pPr>
            <w:r w:rsidRPr="001270C4">
              <w:rPr>
                <w:rFonts w:ascii="Times New Roman" w:hAnsi="Times New Roman" w:cs="Times New Roman"/>
                <w:sz w:val="20"/>
                <w:szCs w:val="20"/>
                <w:lang w:val="fr-FR"/>
              </w:rPr>
              <w:t>ISSAP Crabier blanc</w:t>
            </w:r>
          </w:p>
          <w:p w14:paraId="4B896BEF" w14:textId="77777777" w:rsidR="00886A3C" w:rsidRPr="00AB76CF" w:rsidRDefault="00886A3C" w:rsidP="00886A3C">
            <w:pPr>
              <w:jc w:val="both"/>
              <w:rPr>
                <w:rFonts w:ascii="Times New Roman" w:hAnsi="Times New Roman" w:cs="Times New Roman"/>
                <w:i/>
                <w:sz w:val="20"/>
                <w:szCs w:val="20"/>
              </w:rPr>
            </w:pPr>
            <w:r w:rsidRPr="001270C4">
              <w:rPr>
                <w:rFonts w:ascii="Times New Roman" w:hAnsi="Times New Roman" w:cs="Times New Roman"/>
                <w:i/>
                <w:sz w:val="20"/>
                <w:szCs w:val="20"/>
                <w:lang w:val="fr-FR"/>
              </w:rPr>
              <w:t>(Ardeola idae)</w:t>
            </w:r>
          </w:p>
        </w:tc>
        <w:tc>
          <w:tcPr>
            <w:tcW w:w="1800" w:type="dxa"/>
          </w:tcPr>
          <w:p w14:paraId="71FE9ABF"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19</w:t>
            </w:r>
          </w:p>
        </w:tc>
        <w:tc>
          <w:tcPr>
            <w:tcW w:w="3510" w:type="dxa"/>
          </w:tcPr>
          <w:p w14:paraId="4F8372F1" w14:textId="77777777" w:rsidR="00886A3C" w:rsidRPr="00AB76CF" w:rsidRDefault="00886A3C" w:rsidP="00886A3C">
            <w:pPr>
              <w:rPr>
                <w:rFonts w:ascii="Times New Roman" w:hAnsi="Times New Roman" w:cs="Times New Roman"/>
                <w:sz w:val="20"/>
                <w:szCs w:val="20"/>
              </w:rPr>
            </w:pPr>
            <w:r w:rsidRPr="004B1407">
              <w:rPr>
                <w:rFonts w:ascii="Times New Roman" w:hAnsi="Times New Roman" w:cs="Times New Roman"/>
                <w:sz w:val="20"/>
                <w:szCs w:val="20"/>
              </w:rPr>
              <w:t>5 (Kenya, Madagascar, Malawi, Seychelles, Zimbabwe)</w:t>
            </w:r>
          </w:p>
        </w:tc>
        <w:tc>
          <w:tcPr>
            <w:tcW w:w="1080" w:type="dxa"/>
          </w:tcPr>
          <w:p w14:paraId="00DD7493"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26</w:t>
            </w:r>
            <w:r>
              <w:rPr>
                <w:rFonts w:ascii="Times New Roman" w:hAnsi="Times New Roman" w:cs="Times New Roman"/>
                <w:sz w:val="20"/>
                <w:szCs w:val="20"/>
              </w:rPr>
              <w:t> %</w:t>
            </w:r>
          </w:p>
        </w:tc>
        <w:tc>
          <w:tcPr>
            <w:tcW w:w="3306" w:type="dxa"/>
          </w:tcPr>
          <w:p w14:paraId="4ACDE9E4"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Pas d</w:t>
            </w:r>
            <w:r>
              <w:rPr>
                <w:rFonts w:ascii="Times New Roman" w:hAnsi="Times New Roman" w:cs="Times New Roman"/>
                <w:sz w:val="20"/>
                <w:szCs w:val="20"/>
                <w:lang w:val="fr-FR"/>
              </w:rPr>
              <w:t>’</w:t>
            </w:r>
            <w:r w:rsidRPr="001270C4">
              <w:rPr>
                <w:rFonts w:ascii="Times New Roman" w:hAnsi="Times New Roman" w:cs="Times New Roman"/>
                <w:sz w:val="20"/>
                <w:szCs w:val="20"/>
                <w:lang w:val="fr-FR"/>
              </w:rPr>
              <w:t>analyse réalisée du fait du faible taux de réponse</w:t>
            </w:r>
          </w:p>
        </w:tc>
      </w:tr>
      <w:tr w:rsidR="00886A3C" w:rsidRPr="00561F65" w14:paraId="758C73C9" w14:textId="77777777" w:rsidTr="00886A3C">
        <w:trPr>
          <w:trHeight w:val="305"/>
        </w:trPr>
        <w:tc>
          <w:tcPr>
            <w:tcW w:w="3235" w:type="dxa"/>
          </w:tcPr>
          <w:p w14:paraId="105281EE" w14:textId="77777777" w:rsidR="00886A3C" w:rsidRPr="00AB76CF"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ISSAP Ibis chauve</w:t>
            </w:r>
          </w:p>
          <w:p w14:paraId="484F3804" w14:textId="77777777" w:rsidR="00886A3C" w:rsidRPr="00AB76CF" w:rsidRDefault="00886A3C" w:rsidP="00886A3C">
            <w:pPr>
              <w:jc w:val="both"/>
              <w:rPr>
                <w:rFonts w:ascii="Times New Roman" w:hAnsi="Times New Roman" w:cs="Times New Roman"/>
                <w:sz w:val="20"/>
                <w:szCs w:val="20"/>
              </w:rPr>
            </w:pPr>
            <w:r w:rsidRPr="001270C4">
              <w:rPr>
                <w:rFonts w:ascii="Times New Roman" w:hAnsi="Times New Roman" w:cs="Times New Roman"/>
                <w:i/>
                <w:sz w:val="20"/>
                <w:szCs w:val="20"/>
                <w:lang w:val="fr-FR"/>
              </w:rPr>
              <w:t>(Geronticus eremita)</w:t>
            </w:r>
          </w:p>
        </w:tc>
        <w:tc>
          <w:tcPr>
            <w:tcW w:w="1800" w:type="dxa"/>
          </w:tcPr>
          <w:p w14:paraId="2224BFE8"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3</w:t>
            </w:r>
          </w:p>
        </w:tc>
        <w:tc>
          <w:tcPr>
            <w:tcW w:w="3510" w:type="dxa"/>
          </w:tcPr>
          <w:p w14:paraId="76E2E193" w14:textId="77777777" w:rsidR="00886A3C" w:rsidRPr="00AB76CF"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3 (Maroc, Syrie, Turquie)</w:t>
            </w:r>
            <w:r w:rsidRPr="00AB76CF">
              <w:rPr>
                <w:rFonts w:ascii="Times New Roman" w:hAnsi="Times New Roman" w:cs="Times New Roman"/>
                <w:sz w:val="20"/>
                <w:szCs w:val="20"/>
              </w:rPr>
              <w:t xml:space="preserve"> </w:t>
            </w:r>
          </w:p>
        </w:tc>
        <w:tc>
          <w:tcPr>
            <w:tcW w:w="1080" w:type="dxa"/>
          </w:tcPr>
          <w:p w14:paraId="78F4AA60"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100</w:t>
            </w:r>
            <w:r>
              <w:rPr>
                <w:rFonts w:ascii="Times New Roman" w:hAnsi="Times New Roman" w:cs="Times New Roman"/>
                <w:sz w:val="20"/>
                <w:szCs w:val="20"/>
              </w:rPr>
              <w:t> %</w:t>
            </w:r>
          </w:p>
        </w:tc>
        <w:tc>
          <w:tcPr>
            <w:tcW w:w="3306" w:type="dxa"/>
          </w:tcPr>
          <w:p w14:paraId="5D392D51" w14:textId="77777777" w:rsidR="00886A3C" w:rsidRPr="00070A6B" w:rsidRDefault="00886A3C" w:rsidP="00886A3C">
            <w:pPr>
              <w:rPr>
                <w:rFonts w:ascii="Times New Roman" w:hAnsi="Times New Roman" w:cs="Times New Roman"/>
                <w:sz w:val="20"/>
                <w:szCs w:val="20"/>
              </w:rPr>
            </w:pPr>
            <w:r>
              <w:rPr>
                <w:rFonts w:ascii="Times New Roman" w:hAnsi="Times New Roman" w:cs="Times New Roman"/>
                <w:sz w:val="20"/>
                <w:szCs w:val="20"/>
              </w:rPr>
              <w:t>-</w:t>
            </w:r>
          </w:p>
        </w:tc>
      </w:tr>
      <w:tr w:rsidR="00886A3C" w:rsidRPr="00DE4CF4" w14:paraId="593260AF" w14:textId="77777777" w:rsidTr="00886A3C">
        <w:trPr>
          <w:trHeight w:val="305"/>
        </w:trPr>
        <w:tc>
          <w:tcPr>
            <w:tcW w:w="3235" w:type="dxa"/>
          </w:tcPr>
          <w:p w14:paraId="2842CD6C"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Spatule blanche</w:t>
            </w:r>
          </w:p>
          <w:p w14:paraId="25CF7530"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i/>
                <w:sz w:val="20"/>
                <w:szCs w:val="20"/>
                <w:lang w:val="fr-FR"/>
              </w:rPr>
              <w:t>(Platalea leucorodia)</w:t>
            </w:r>
          </w:p>
        </w:tc>
        <w:tc>
          <w:tcPr>
            <w:tcW w:w="1800" w:type="dxa"/>
          </w:tcPr>
          <w:p w14:paraId="22CF7AD2"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54</w:t>
            </w:r>
          </w:p>
        </w:tc>
        <w:tc>
          <w:tcPr>
            <w:tcW w:w="3510" w:type="dxa"/>
          </w:tcPr>
          <w:p w14:paraId="0CA78F9A" w14:textId="77777777" w:rsidR="00886A3C" w:rsidRPr="00AB76CF"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3 (Belgique, Espagne, Sénégal)</w:t>
            </w:r>
          </w:p>
        </w:tc>
        <w:tc>
          <w:tcPr>
            <w:tcW w:w="1080" w:type="dxa"/>
          </w:tcPr>
          <w:p w14:paraId="133CBB19"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6</w:t>
            </w:r>
            <w:r>
              <w:rPr>
                <w:rFonts w:ascii="Times New Roman" w:hAnsi="Times New Roman" w:cs="Times New Roman"/>
                <w:sz w:val="20"/>
                <w:szCs w:val="20"/>
              </w:rPr>
              <w:t> %</w:t>
            </w:r>
          </w:p>
        </w:tc>
        <w:tc>
          <w:tcPr>
            <w:tcW w:w="3306" w:type="dxa"/>
          </w:tcPr>
          <w:p w14:paraId="1BE271BF"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Pas d</w:t>
            </w:r>
            <w:r>
              <w:rPr>
                <w:rFonts w:ascii="Times New Roman" w:hAnsi="Times New Roman" w:cs="Times New Roman"/>
                <w:sz w:val="20"/>
                <w:szCs w:val="20"/>
                <w:lang w:val="fr-FR"/>
              </w:rPr>
              <w:t>’</w:t>
            </w:r>
            <w:r w:rsidRPr="001270C4">
              <w:rPr>
                <w:rFonts w:ascii="Times New Roman" w:hAnsi="Times New Roman" w:cs="Times New Roman"/>
                <w:sz w:val="20"/>
                <w:szCs w:val="20"/>
                <w:lang w:val="fr-FR"/>
              </w:rPr>
              <w:t>analyse réalisée du fait du faible taux de réponse</w:t>
            </w:r>
          </w:p>
        </w:tc>
      </w:tr>
      <w:tr w:rsidR="00886A3C" w:rsidRPr="00561F65" w14:paraId="20607F79" w14:textId="77777777" w:rsidTr="00886A3C">
        <w:trPr>
          <w:trHeight w:val="305"/>
        </w:trPr>
        <w:tc>
          <w:tcPr>
            <w:tcW w:w="3235" w:type="dxa"/>
          </w:tcPr>
          <w:p w14:paraId="7CB41188"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Flamant nain</w:t>
            </w:r>
          </w:p>
          <w:p w14:paraId="23118731"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i/>
                <w:sz w:val="20"/>
                <w:szCs w:val="20"/>
                <w:lang w:val="fr-FR"/>
              </w:rPr>
              <w:t>(Phoeniconaias minor)</w:t>
            </w:r>
            <w:r w:rsidRPr="004B1407">
              <w:rPr>
                <w:rFonts w:ascii="Times New Roman" w:hAnsi="Times New Roman" w:cs="Times New Roman"/>
                <w:i/>
                <w:sz w:val="20"/>
                <w:szCs w:val="20"/>
                <w:lang w:val="fr-FR"/>
              </w:rPr>
              <w:t xml:space="preserve"> </w:t>
            </w:r>
          </w:p>
        </w:tc>
        <w:tc>
          <w:tcPr>
            <w:tcW w:w="1800" w:type="dxa"/>
          </w:tcPr>
          <w:p w14:paraId="727C3525"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12</w:t>
            </w:r>
          </w:p>
        </w:tc>
        <w:tc>
          <w:tcPr>
            <w:tcW w:w="3510" w:type="dxa"/>
          </w:tcPr>
          <w:p w14:paraId="220FBE2F" w14:textId="77777777" w:rsidR="00886A3C" w:rsidRPr="00DE4CF4" w:rsidRDefault="00886A3C" w:rsidP="00886A3C">
            <w:pPr>
              <w:rPr>
                <w:rFonts w:ascii="Times New Roman" w:hAnsi="Times New Roman" w:cs="Times New Roman"/>
                <w:sz w:val="20"/>
                <w:szCs w:val="20"/>
              </w:rPr>
            </w:pPr>
            <w:r w:rsidRPr="00DE4CF4">
              <w:rPr>
                <w:rFonts w:ascii="Times New Roman" w:hAnsi="Times New Roman" w:cs="Times New Roman"/>
                <w:sz w:val="20"/>
                <w:szCs w:val="20"/>
              </w:rPr>
              <w:t>7 (Botswana, Éthiopie, Guinée, Kenya, Namibie, Sénégal, Tanzanie)</w:t>
            </w:r>
          </w:p>
        </w:tc>
        <w:tc>
          <w:tcPr>
            <w:tcW w:w="1080" w:type="dxa"/>
          </w:tcPr>
          <w:p w14:paraId="50FFE0B9"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58</w:t>
            </w:r>
            <w:r>
              <w:rPr>
                <w:rFonts w:ascii="Times New Roman" w:hAnsi="Times New Roman" w:cs="Times New Roman"/>
                <w:sz w:val="20"/>
                <w:szCs w:val="20"/>
              </w:rPr>
              <w:t> %</w:t>
            </w:r>
          </w:p>
        </w:tc>
        <w:tc>
          <w:tcPr>
            <w:tcW w:w="3306" w:type="dxa"/>
          </w:tcPr>
          <w:p w14:paraId="035CF646" w14:textId="77777777" w:rsidR="00886A3C" w:rsidRPr="00070A6B" w:rsidRDefault="00886A3C" w:rsidP="00886A3C">
            <w:pPr>
              <w:rPr>
                <w:rFonts w:ascii="Times New Roman" w:hAnsi="Times New Roman" w:cs="Times New Roman"/>
                <w:sz w:val="20"/>
                <w:szCs w:val="20"/>
              </w:rPr>
            </w:pPr>
            <w:r>
              <w:rPr>
                <w:rFonts w:ascii="Times New Roman" w:hAnsi="Times New Roman" w:cs="Times New Roman"/>
                <w:sz w:val="20"/>
                <w:szCs w:val="20"/>
              </w:rPr>
              <w:t>-</w:t>
            </w:r>
          </w:p>
        </w:tc>
      </w:tr>
      <w:tr w:rsidR="00886A3C" w:rsidRPr="00DE4CF4" w14:paraId="7C8128B6" w14:textId="77777777" w:rsidTr="00886A3C">
        <w:trPr>
          <w:trHeight w:val="305"/>
        </w:trPr>
        <w:tc>
          <w:tcPr>
            <w:tcW w:w="3235" w:type="dxa"/>
          </w:tcPr>
          <w:p w14:paraId="31070698" w14:textId="77777777" w:rsidR="00886A3C" w:rsidRPr="00AB76CF" w:rsidRDefault="00886A3C" w:rsidP="00886A3C">
            <w:pPr>
              <w:rPr>
                <w:rFonts w:ascii="Times New Roman" w:hAnsi="Times New Roman" w:cs="Times New Roman"/>
                <w:sz w:val="20"/>
                <w:szCs w:val="20"/>
                <w:lang w:val="de-DE"/>
              </w:rPr>
            </w:pPr>
            <w:r w:rsidRPr="001270C4">
              <w:rPr>
                <w:rFonts w:ascii="Times New Roman" w:hAnsi="Times New Roman" w:cs="Times New Roman"/>
                <w:sz w:val="20"/>
                <w:szCs w:val="20"/>
                <w:lang w:val="fr-FR"/>
              </w:rPr>
              <w:t>ISSAP Cygne de Bewick</w:t>
            </w:r>
          </w:p>
          <w:p w14:paraId="7594D38D" w14:textId="77777777" w:rsidR="00886A3C" w:rsidRPr="00AB76CF" w:rsidRDefault="00886A3C" w:rsidP="00886A3C">
            <w:pPr>
              <w:jc w:val="both"/>
              <w:rPr>
                <w:rFonts w:ascii="Times New Roman" w:hAnsi="Times New Roman" w:cs="Times New Roman"/>
                <w:sz w:val="20"/>
                <w:szCs w:val="20"/>
                <w:lang w:val="de-DE"/>
              </w:rPr>
            </w:pPr>
            <w:r w:rsidRPr="001270C4">
              <w:rPr>
                <w:rFonts w:ascii="Times New Roman" w:hAnsi="Times New Roman" w:cs="Times New Roman"/>
                <w:i/>
                <w:sz w:val="20"/>
                <w:szCs w:val="20"/>
                <w:lang w:val="fr-FR"/>
              </w:rPr>
              <w:t>(Cygnus columbianus bewickii)</w:t>
            </w:r>
            <w:r w:rsidRPr="00AB76CF">
              <w:rPr>
                <w:rFonts w:ascii="Times New Roman" w:hAnsi="Times New Roman" w:cs="Times New Roman"/>
                <w:sz w:val="20"/>
                <w:szCs w:val="20"/>
                <w:lang w:val="de-DE"/>
              </w:rPr>
              <w:t xml:space="preserve"> </w:t>
            </w:r>
          </w:p>
          <w:p w14:paraId="6984BC5C" w14:textId="77777777" w:rsidR="00886A3C" w:rsidRPr="00AB76CF" w:rsidRDefault="00886A3C" w:rsidP="00886A3C">
            <w:pPr>
              <w:rPr>
                <w:rFonts w:ascii="Times New Roman" w:hAnsi="Times New Roman" w:cs="Times New Roman"/>
                <w:sz w:val="20"/>
                <w:szCs w:val="20"/>
                <w:lang w:val="de-DE"/>
              </w:rPr>
            </w:pPr>
          </w:p>
        </w:tc>
        <w:tc>
          <w:tcPr>
            <w:tcW w:w="1800" w:type="dxa"/>
          </w:tcPr>
          <w:p w14:paraId="243B043E"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15*</w:t>
            </w:r>
          </w:p>
        </w:tc>
        <w:tc>
          <w:tcPr>
            <w:tcW w:w="3510" w:type="dxa"/>
          </w:tcPr>
          <w:p w14:paraId="071E8ACE"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10 (Belgique, Estonie, France, Irlande, Lettonie, Lituanie, Pays-Bas, Pologne, Suède, R-U)</w:t>
            </w:r>
          </w:p>
        </w:tc>
        <w:tc>
          <w:tcPr>
            <w:tcW w:w="1080" w:type="dxa"/>
          </w:tcPr>
          <w:p w14:paraId="39BFB0DE"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67</w:t>
            </w:r>
            <w:r>
              <w:rPr>
                <w:rFonts w:ascii="Times New Roman" w:hAnsi="Times New Roman" w:cs="Times New Roman"/>
                <w:sz w:val="20"/>
                <w:szCs w:val="20"/>
              </w:rPr>
              <w:t> %</w:t>
            </w:r>
          </w:p>
        </w:tc>
        <w:tc>
          <w:tcPr>
            <w:tcW w:w="3306" w:type="dxa"/>
          </w:tcPr>
          <w:p w14:paraId="09F0F8B0"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Les informations fournies par la Finlande et l</w:t>
            </w:r>
            <w:r>
              <w:rPr>
                <w:rFonts w:ascii="Times New Roman" w:hAnsi="Times New Roman" w:cs="Times New Roman"/>
                <w:sz w:val="20"/>
                <w:szCs w:val="20"/>
                <w:lang w:val="fr-FR"/>
              </w:rPr>
              <w:t>’</w:t>
            </w:r>
            <w:r w:rsidRPr="001270C4">
              <w:rPr>
                <w:rFonts w:ascii="Times New Roman" w:hAnsi="Times New Roman" w:cs="Times New Roman"/>
                <w:sz w:val="20"/>
                <w:szCs w:val="20"/>
                <w:lang w:val="fr-FR"/>
              </w:rPr>
              <w:t>Allemagne n</w:t>
            </w:r>
            <w:r>
              <w:rPr>
                <w:rFonts w:ascii="Times New Roman" w:hAnsi="Times New Roman" w:cs="Times New Roman"/>
                <w:sz w:val="20"/>
                <w:szCs w:val="20"/>
                <w:lang w:val="fr-FR"/>
              </w:rPr>
              <w:t>’</w:t>
            </w:r>
            <w:r w:rsidRPr="001270C4">
              <w:rPr>
                <w:rFonts w:ascii="Times New Roman" w:hAnsi="Times New Roman" w:cs="Times New Roman"/>
                <w:sz w:val="20"/>
                <w:szCs w:val="20"/>
                <w:lang w:val="fr-FR"/>
              </w:rPr>
              <w:t>ont pas été soumises dans le format requis et n</w:t>
            </w:r>
            <w:r>
              <w:rPr>
                <w:rFonts w:ascii="Times New Roman" w:hAnsi="Times New Roman" w:cs="Times New Roman"/>
                <w:sz w:val="20"/>
                <w:szCs w:val="20"/>
                <w:lang w:val="fr-FR"/>
              </w:rPr>
              <w:t>’</w:t>
            </w:r>
            <w:r w:rsidRPr="001270C4">
              <w:rPr>
                <w:rFonts w:ascii="Times New Roman" w:hAnsi="Times New Roman" w:cs="Times New Roman"/>
                <w:sz w:val="20"/>
                <w:szCs w:val="20"/>
                <w:lang w:val="fr-FR"/>
              </w:rPr>
              <w:t>ont donc pas pu être prises en compte.</w:t>
            </w:r>
            <w:r w:rsidRPr="004B1407">
              <w:rPr>
                <w:rFonts w:ascii="Times New Roman" w:hAnsi="Times New Roman" w:cs="Times New Roman"/>
                <w:sz w:val="20"/>
                <w:szCs w:val="20"/>
                <w:lang w:val="fr-FR"/>
              </w:rPr>
              <w:t xml:space="preserve"> </w:t>
            </w:r>
          </w:p>
        </w:tc>
      </w:tr>
      <w:tr w:rsidR="00886A3C" w:rsidRPr="00561F65" w14:paraId="130AD5EF" w14:textId="77777777" w:rsidTr="00886A3C">
        <w:trPr>
          <w:trHeight w:val="305"/>
        </w:trPr>
        <w:tc>
          <w:tcPr>
            <w:tcW w:w="3235" w:type="dxa"/>
          </w:tcPr>
          <w:p w14:paraId="0203D7D7" w14:textId="77777777" w:rsidR="00886A3C"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ISSMP Oie à bec court</w:t>
            </w:r>
          </w:p>
          <w:p w14:paraId="687C012F" w14:textId="77777777" w:rsidR="00886A3C" w:rsidRPr="003751D8" w:rsidRDefault="00886A3C" w:rsidP="00886A3C">
            <w:pPr>
              <w:rPr>
                <w:rFonts w:ascii="Times New Roman" w:hAnsi="Times New Roman" w:cs="Times New Roman"/>
                <w:i/>
                <w:sz w:val="20"/>
                <w:szCs w:val="20"/>
              </w:rPr>
            </w:pPr>
            <w:r w:rsidRPr="001270C4">
              <w:rPr>
                <w:rFonts w:ascii="Times New Roman" w:hAnsi="Times New Roman" w:cs="Times New Roman"/>
                <w:i/>
                <w:sz w:val="20"/>
                <w:szCs w:val="20"/>
                <w:lang w:val="fr-FR"/>
              </w:rPr>
              <w:t>(Anser brachyrhynchus)</w:t>
            </w:r>
            <w:r>
              <w:rPr>
                <w:rFonts w:ascii="Times New Roman" w:hAnsi="Times New Roman" w:cs="Times New Roman"/>
                <w:i/>
                <w:sz w:val="20"/>
                <w:szCs w:val="20"/>
              </w:rPr>
              <w:t xml:space="preserve"> </w:t>
            </w:r>
          </w:p>
        </w:tc>
        <w:tc>
          <w:tcPr>
            <w:tcW w:w="1800" w:type="dxa"/>
          </w:tcPr>
          <w:p w14:paraId="78465D1D"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4</w:t>
            </w:r>
          </w:p>
        </w:tc>
        <w:tc>
          <w:tcPr>
            <w:tcW w:w="3510" w:type="dxa"/>
          </w:tcPr>
          <w:p w14:paraId="3E6F07BD"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4 (Belgique, Danemark, Pays-Bas, Norvège)</w:t>
            </w:r>
          </w:p>
        </w:tc>
        <w:tc>
          <w:tcPr>
            <w:tcW w:w="1080" w:type="dxa"/>
          </w:tcPr>
          <w:p w14:paraId="4488AE35"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100</w:t>
            </w:r>
            <w:r>
              <w:rPr>
                <w:rFonts w:ascii="Times New Roman" w:hAnsi="Times New Roman" w:cs="Times New Roman"/>
                <w:sz w:val="20"/>
                <w:szCs w:val="20"/>
              </w:rPr>
              <w:t> %</w:t>
            </w:r>
          </w:p>
        </w:tc>
        <w:tc>
          <w:tcPr>
            <w:tcW w:w="3306" w:type="dxa"/>
          </w:tcPr>
          <w:p w14:paraId="4A900B35" w14:textId="77777777" w:rsidR="00886A3C" w:rsidRPr="00070A6B" w:rsidRDefault="00886A3C" w:rsidP="00886A3C">
            <w:pPr>
              <w:rPr>
                <w:rFonts w:ascii="Times New Roman" w:hAnsi="Times New Roman" w:cs="Times New Roman"/>
                <w:sz w:val="20"/>
                <w:szCs w:val="20"/>
              </w:rPr>
            </w:pPr>
            <w:r>
              <w:rPr>
                <w:rFonts w:ascii="Times New Roman" w:hAnsi="Times New Roman" w:cs="Times New Roman"/>
                <w:sz w:val="20"/>
                <w:szCs w:val="20"/>
              </w:rPr>
              <w:t>-</w:t>
            </w:r>
          </w:p>
        </w:tc>
      </w:tr>
      <w:tr w:rsidR="00886A3C" w:rsidRPr="00561F65" w14:paraId="75DCE339" w14:textId="77777777" w:rsidTr="00886A3C">
        <w:trPr>
          <w:trHeight w:val="305"/>
        </w:trPr>
        <w:tc>
          <w:tcPr>
            <w:tcW w:w="3235" w:type="dxa"/>
          </w:tcPr>
          <w:p w14:paraId="21BDF7F6"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Oie rieuse du Groenland</w:t>
            </w:r>
            <w:r w:rsidRPr="004B1407">
              <w:rPr>
                <w:rFonts w:ascii="Times New Roman" w:hAnsi="Times New Roman" w:cs="Times New Roman"/>
                <w:sz w:val="20"/>
                <w:szCs w:val="20"/>
                <w:lang w:val="fr-FR"/>
              </w:rPr>
              <w:t xml:space="preserve"> </w:t>
            </w:r>
          </w:p>
          <w:p w14:paraId="0FDE4C72" w14:textId="77777777" w:rsidR="00886A3C" w:rsidRPr="004B1407" w:rsidRDefault="00886A3C" w:rsidP="00886A3C">
            <w:pPr>
              <w:rPr>
                <w:rFonts w:ascii="Times New Roman" w:hAnsi="Times New Roman" w:cs="Times New Roman"/>
                <w:i/>
                <w:sz w:val="20"/>
                <w:szCs w:val="20"/>
                <w:lang w:val="fr-FR"/>
              </w:rPr>
            </w:pPr>
            <w:r w:rsidRPr="001270C4">
              <w:rPr>
                <w:rFonts w:ascii="Times New Roman" w:hAnsi="Times New Roman" w:cs="Times New Roman"/>
                <w:i/>
                <w:sz w:val="20"/>
                <w:szCs w:val="20"/>
                <w:lang w:val="fr-FR"/>
              </w:rPr>
              <w:t>(Anser albifrons flavirostris)</w:t>
            </w:r>
          </w:p>
        </w:tc>
        <w:tc>
          <w:tcPr>
            <w:tcW w:w="1800" w:type="dxa"/>
          </w:tcPr>
          <w:p w14:paraId="5E276E1B" w14:textId="77777777" w:rsidR="00886A3C" w:rsidRPr="00AB76CF" w:rsidRDefault="00886A3C" w:rsidP="00886A3C">
            <w:pPr>
              <w:rPr>
                <w:rFonts w:ascii="Times New Roman" w:hAnsi="Times New Roman" w:cs="Times New Roman"/>
                <w:sz w:val="20"/>
                <w:szCs w:val="20"/>
              </w:rPr>
            </w:pPr>
            <w:r>
              <w:rPr>
                <w:rFonts w:ascii="Times New Roman" w:hAnsi="Times New Roman" w:cs="Times New Roman"/>
                <w:sz w:val="20"/>
                <w:szCs w:val="20"/>
              </w:rPr>
              <w:t>4</w:t>
            </w:r>
          </w:p>
        </w:tc>
        <w:tc>
          <w:tcPr>
            <w:tcW w:w="3510" w:type="dxa"/>
          </w:tcPr>
          <w:p w14:paraId="29B7E098" w14:textId="77777777" w:rsidR="00886A3C" w:rsidRPr="00AB76CF"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3 (Islande, Irlande, R-U)</w:t>
            </w:r>
          </w:p>
        </w:tc>
        <w:tc>
          <w:tcPr>
            <w:tcW w:w="1080" w:type="dxa"/>
          </w:tcPr>
          <w:p w14:paraId="0E2FF872" w14:textId="77777777" w:rsidR="00886A3C" w:rsidRPr="00AB76CF" w:rsidRDefault="00886A3C" w:rsidP="00886A3C">
            <w:pPr>
              <w:rPr>
                <w:rFonts w:ascii="Times New Roman" w:hAnsi="Times New Roman" w:cs="Times New Roman"/>
                <w:sz w:val="20"/>
                <w:szCs w:val="20"/>
              </w:rPr>
            </w:pPr>
            <w:r>
              <w:rPr>
                <w:rFonts w:ascii="Times New Roman" w:hAnsi="Times New Roman" w:cs="Times New Roman"/>
                <w:sz w:val="20"/>
                <w:szCs w:val="20"/>
              </w:rPr>
              <w:t>75 %</w:t>
            </w:r>
          </w:p>
        </w:tc>
        <w:tc>
          <w:tcPr>
            <w:tcW w:w="3306" w:type="dxa"/>
          </w:tcPr>
          <w:p w14:paraId="615ADCFE" w14:textId="77777777" w:rsidR="00886A3C" w:rsidRPr="00070A6B" w:rsidRDefault="00886A3C" w:rsidP="00886A3C">
            <w:pPr>
              <w:rPr>
                <w:rFonts w:ascii="Times New Roman" w:hAnsi="Times New Roman" w:cs="Times New Roman"/>
                <w:sz w:val="20"/>
                <w:szCs w:val="20"/>
              </w:rPr>
            </w:pPr>
            <w:r>
              <w:rPr>
                <w:rFonts w:ascii="Times New Roman" w:hAnsi="Times New Roman" w:cs="Times New Roman"/>
                <w:sz w:val="20"/>
                <w:szCs w:val="20"/>
              </w:rPr>
              <w:t>-</w:t>
            </w:r>
          </w:p>
        </w:tc>
      </w:tr>
      <w:tr w:rsidR="00886A3C" w:rsidRPr="00DE4CF4" w14:paraId="76BE293B" w14:textId="77777777" w:rsidTr="00886A3C">
        <w:trPr>
          <w:trHeight w:val="305"/>
        </w:trPr>
        <w:tc>
          <w:tcPr>
            <w:tcW w:w="3235" w:type="dxa"/>
          </w:tcPr>
          <w:p w14:paraId="3605F193"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Oie naine</w:t>
            </w:r>
          </w:p>
          <w:p w14:paraId="1D117596"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i/>
                <w:sz w:val="20"/>
                <w:szCs w:val="20"/>
                <w:lang w:val="fr-FR"/>
              </w:rPr>
              <w:t>(Anser erythropus)</w:t>
            </w:r>
          </w:p>
        </w:tc>
        <w:tc>
          <w:tcPr>
            <w:tcW w:w="1800" w:type="dxa"/>
          </w:tcPr>
          <w:p w14:paraId="41D8C586"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22</w:t>
            </w:r>
          </w:p>
        </w:tc>
        <w:tc>
          <w:tcPr>
            <w:tcW w:w="3510" w:type="dxa"/>
          </w:tcPr>
          <w:p w14:paraId="341E6AD7"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15 (Bulgarie, Estonie, Finlande, Grèce, Hongrie, Iran, Kazakhstan, Pays-Bas, Norvège, Roumanie, Russie, Suède, Turkménistan, Ukraine, Ouzbékistan)</w:t>
            </w:r>
          </w:p>
        </w:tc>
        <w:tc>
          <w:tcPr>
            <w:tcW w:w="1080" w:type="dxa"/>
          </w:tcPr>
          <w:p w14:paraId="0DF586B0"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68</w:t>
            </w:r>
            <w:r>
              <w:rPr>
                <w:rFonts w:ascii="Times New Roman" w:hAnsi="Times New Roman" w:cs="Times New Roman"/>
                <w:sz w:val="20"/>
                <w:szCs w:val="20"/>
              </w:rPr>
              <w:t> %</w:t>
            </w:r>
          </w:p>
        </w:tc>
        <w:tc>
          <w:tcPr>
            <w:tcW w:w="3306" w:type="dxa"/>
          </w:tcPr>
          <w:p w14:paraId="1F3CB37B"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Les informations fournies par l</w:t>
            </w:r>
            <w:r>
              <w:rPr>
                <w:rFonts w:ascii="Times New Roman" w:hAnsi="Times New Roman" w:cs="Times New Roman"/>
                <w:sz w:val="20"/>
                <w:szCs w:val="20"/>
                <w:lang w:val="fr-FR"/>
              </w:rPr>
              <w:t>’</w:t>
            </w:r>
            <w:r w:rsidRPr="001270C4">
              <w:rPr>
                <w:rFonts w:ascii="Times New Roman" w:hAnsi="Times New Roman" w:cs="Times New Roman"/>
                <w:sz w:val="20"/>
                <w:szCs w:val="20"/>
                <w:lang w:val="fr-FR"/>
              </w:rPr>
              <w:t>Allemagne n</w:t>
            </w:r>
            <w:r>
              <w:rPr>
                <w:rFonts w:ascii="Times New Roman" w:hAnsi="Times New Roman" w:cs="Times New Roman"/>
                <w:sz w:val="20"/>
                <w:szCs w:val="20"/>
                <w:lang w:val="fr-FR"/>
              </w:rPr>
              <w:t>’</w:t>
            </w:r>
            <w:r w:rsidRPr="001270C4">
              <w:rPr>
                <w:rFonts w:ascii="Times New Roman" w:hAnsi="Times New Roman" w:cs="Times New Roman"/>
                <w:sz w:val="20"/>
                <w:szCs w:val="20"/>
                <w:lang w:val="fr-FR"/>
              </w:rPr>
              <w:t>ont pas été soumises dans le format requis et n</w:t>
            </w:r>
            <w:r>
              <w:rPr>
                <w:rFonts w:ascii="Times New Roman" w:hAnsi="Times New Roman" w:cs="Times New Roman"/>
                <w:sz w:val="20"/>
                <w:szCs w:val="20"/>
                <w:lang w:val="fr-FR"/>
              </w:rPr>
              <w:t>’</w:t>
            </w:r>
            <w:r w:rsidRPr="001270C4">
              <w:rPr>
                <w:rFonts w:ascii="Times New Roman" w:hAnsi="Times New Roman" w:cs="Times New Roman"/>
                <w:sz w:val="20"/>
                <w:szCs w:val="20"/>
                <w:lang w:val="fr-FR"/>
              </w:rPr>
              <w:t>ont donc pas pu être prises en compte.</w:t>
            </w:r>
          </w:p>
        </w:tc>
      </w:tr>
      <w:tr w:rsidR="00886A3C" w:rsidRPr="00561F65" w14:paraId="05D3FBF9" w14:textId="77777777" w:rsidTr="00886A3C">
        <w:trPr>
          <w:trHeight w:val="305"/>
        </w:trPr>
        <w:tc>
          <w:tcPr>
            <w:tcW w:w="3235" w:type="dxa"/>
          </w:tcPr>
          <w:p w14:paraId="7840BB6F"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Bernache à cou roux</w:t>
            </w:r>
          </w:p>
          <w:p w14:paraId="66638D07"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i/>
                <w:sz w:val="20"/>
                <w:szCs w:val="20"/>
                <w:lang w:val="fr-FR"/>
              </w:rPr>
              <w:t>(Branta ruficollis)</w:t>
            </w:r>
          </w:p>
        </w:tc>
        <w:tc>
          <w:tcPr>
            <w:tcW w:w="1800" w:type="dxa"/>
          </w:tcPr>
          <w:p w14:paraId="1426418D" w14:textId="77777777" w:rsidR="00886A3C" w:rsidRPr="00AB76CF" w:rsidRDefault="00886A3C" w:rsidP="00886A3C">
            <w:pPr>
              <w:rPr>
                <w:rFonts w:ascii="Times New Roman" w:hAnsi="Times New Roman" w:cs="Times New Roman"/>
                <w:sz w:val="20"/>
                <w:szCs w:val="20"/>
              </w:rPr>
            </w:pPr>
            <w:r>
              <w:rPr>
                <w:rFonts w:ascii="Times New Roman" w:hAnsi="Times New Roman" w:cs="Times New Roman"/>
                <w:sz w:val="20"/>
                <w:szCs w:val="20"/>
              </w:rPr>
              <w:t>5</w:t>
            </w:r>
          </w:p>
        </w:tc>
        <w:tc>
          <w:tcPr>
            <w:tcW w:w="3510" w:type="dxa"/>
          </w:tcPr>
          <w:p w14:paraId="1AAD894E" w14:textId="77777777" w:rsidR="00886A3C" w:rsidRPr="004B1407" w:rsidRDefault="00886A3C" w:rsidP="00886A3C">
            <w:pPr>
              <w:rPr>
                <w:rFonts w:ascii="Times New Roman" w:hAnsi="Times New Roman" w:cs="Times New Roman"/>
                <w:sz w:val="20"/>
                <w:szCs w:val="20"/>
                <w:lang w:val="de-DE"/>
              </w:rPr>
            </w:pPr>
            <w:r w:rsidRPr="004B1407">
              <w:rPr>
                <w:rFonts w:ascii="Times New Roman" w:hAnsi="Times New Roman" w:cs="Times New Roman"/>
                <w:sz w:val="20"/>
                <w:szCs w:val="20"/>
                <w:lang w:val="de-DE"/>
              </w:rPr>
              <w:t xml:space="preserve">5 (Bulgarie, Kazakhstan, Roumanie, Russie, Ukraine) </w:t>
            </w:r>
          </w:p>
        </w:tc>
        <w:tc>
          <w:tcPr>
            <w:tcW w:w="1080" w:type="dxa"/>
          </w:tcPr>
          <w:p w14:paraId="0E7928F7" w14:textId="77777777" w:rsidR="00886A3C" w:rsidRPr="00AB76CF" w:rsidRDefault="00886A3C" w:rsidP="00886A3C">
            <w:pPr>
              <w:rPr>
                <w:rFonts w:ascii="Times New Roman" w:hAnsi="Times New Roman" w:cs="Times New Roman"/>
                <w:sz w:val="20"/>
                <w:szCs w:val="20"/>
              </w:rPr>
            </w:pPr>
            <w:r>
              <w:rPr>
                <w:rFonts w:ascii="Times New Roman" w:hAnsi="Times New Roman" w:cs="Times New Roman"/>
                <w:sz w:val="20"/>
                <w:szCs w:val="20"/>
              </w:rPr>
              <w:t>100 %</w:t>
            </w:r>
          </w:p>
        </w:tc>
        <w:tc>
          <w:tcPr>
            <w:tcW w:w="3306" w:type="dxa"/>
          </w:tcPr>
          <w:p w14:paraId="592544F9" w14:textId="77777777" w:rsidR="00886A3C" w:rsidRPr="00070A6B" w:rsidRDefault="00886A3C" w:rsidP="00886A3C">
            <w:pPr>
              <w:rPr>
                <w:rFonts w:ascii="Times New Roman" w:hAnsi="Times New Roman" w:cs="Times New Roman"/>
                <w:sz w:val="20"/>
                <w:szCs w:val="20"/>
              </w:rPr>
            </w:pPr>
            <w:r>
              <w:rPr>
                <w:rFonts w:ascii="Times New Roman" w:hAnsi="Times New Roman" w:cs="Times New Roman"/>
                <w:sz w:val="20"/>
                <w:szCs w:val="20"/>
              </w:rPr>
              <w:t>-</w:t>
            </w:r>
          </w:p>
        </w:tc>
      </w:tr>
      <w:tr w:rsidR="00886A3C" w:rsidRPr="00DE4CF4" w14:paraId="24301AEF" w14:textId="77777777" w:rsidTr="00886A3C">
        <w:trPr>
          <w:trHeight w:val="287"/>
        </w:trPr>
        <w:tc>
          <w:tcPr>
            <w:tcW w:w="3235" w:type="dxa"/>
          </w:tcPr>
          <w:p w14:paraId="30762812" w14:textId="77777777" w:rsidR="00886A3C" w:rsidRPr="004B1407" w:rsidRDefault="00886A3C" w:rsidP="00886A3C">
            <w:pPr>
              <w:jc w:val="both"/>
              <w:rPr>
                <w:rFonts w:ascii="Times New Roman" w:hAnsi="Times New Roman" w:cs="Times New Roman"/>
                <w:sz w:val="20"/>
                <w:szCs w:val="20"/>
                <w:lang w:val="fr-FR"/>
              </w:rPr>
            </w:pPr>
            <w:r w:rsidRPr="001270C4">
              <w:rPr>
                <w:rFonts w:ascii="Times New Roman" w:hAnsi="Times New Roman" w:cs="Times New Roman"/>
                <w:sz w:val="20"/>
                <w:szCs w:val="20"/>
                <w:lang w:val="fr-FR"/>
              </w:rPr>
              <w:t>ISSAP Râle à miroir</w:t>
            </w:r>
          </w:p>
          <w:p w14:paraId="3FEBFF40" w14:textId="77777777" w:rsidR="00886A3C" w:rsidRPr="004B1407" w:rsidRDefault="00886A3C" w:rsidP="00886A3C">
            <w:pPr>
              <w:jc w:val="both"/>
              <w:rPr>
                <w:rFonts w:ascii="Times New Roman" w:hAnsi="Times New Roman" w:cs="Times New Roman"/>
                <w:i/>
                <w:sz w:val="20"/>
                <w:szCs w:val="20"/>
                <w:lang w:val="fr-FR"/>
              </w:rPr>
            </w:pPr>
            <w:r w:rsidRPr="001270C4">
              <w:rPr>
                <w:rFonts w:ascii="Times New Roman" w:hAnsi="Times New Roman" w:cs="Times New Roman"/>
                <w:i/>
                <w:sz w:val="20"/>
                <w:szCs w:val="20"/>
                <w:lang w:val="fr-FR"/>
              </w:rPr>
              <w:t>(Sarothrura ayresi)</w:t>
            </w:r>
          </w:p>
        </w:tc>
        <w:tc>
          <w:tcPr>
            <w:tcW w:w="1800" w:type="dxa"/>
          </w:tcPr>
          <w:p w14:paraId="5BAC0361"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4</w:t>
            </w:r>
          </w:p>
        </w:tc>
        <w:tc>
          <w:tcPr>
            <w:tcW w:w="3510" w:type="dxa"/>
          </w:tcPr>
          <w:p w14:paraId="710A84DD" w14:textId="77777777" w:rsidR="00886A3C" w:rsidRPr="00AB76CF"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1 (Zimbabwe)</w:t>
            </w:r>
          </w:p>
        </w:tc>
        <w:tc>
          <w:tcPr>
            <w:tcW w:w="1080" w:type="dxa"/>
          </w:tcPr>
          <w:p w14:paraId="3B981051"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25</w:t>
            </w:r>
            <w:r>
              <w:rPr>
                <w:rFonts w:ascii="Times New Roman" w:hAnsi="Times New Roman" w:cs="Times New Roman"/>
                <w:sz w:val="20"/>
                <w:szCs w:val="20"/>
              </w:rPr>
              <w:t> %</w:t>
            </w:r>
          </w:p>
        </w:tc>
        <w:tc>
          <w:tcPr>
            <w:tcW w:w="3306" w:type="dxa"/>
          </w:tcPr>
          <w:p w14:paraId="53B6BAFB"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Pas d</w:t>
            </w:r>
            <w:r>
              <w:rPr>
                <w:rFonts w:ascii="Times New Roman" w:hAnsi="Times New Roman" w:cs="Times New Roman"/>
                <w:sz w:val="20"/>
                <w:szCs w:val="20"/>
                <w:lang w:val="fr-FR"/>
              </w:rPr>
              <w:t>’</w:t>
            </w:r>
            <w:r w:rsidRPr="001270C4">
              <w:rPr>
                <w:rFonts w:ascii="Times New Roman" w:hAnsi="Times New Roman" w:cs="Times New Roman"/>
                <w:sz w:val="20"/>
                <w:szCs w:val="20"/>
                <w:lang w:val="fr-FR"/>
              </w:rPr>
              <w:t>analyse réalisée du fait du faible taux de réponse</w:t>
            </w:r>
          </w:p>
        </w:tc>
      </w:tr>
      <w:tr w:rsidR="00886A3C" w:rsidRPr="00561F65" w14:paraId="314C3585" w14:textId="77777777" w:rsidTr="00886A3C">
        <w:trPr>
          <w:trHeight w:val="287"/>
        </w:trPr>
        <w:tc>
          <w:tcPr>
            <w:tcW w:w="3235" w:type="dxa"/>
          </w:tcPr>
          <w:p w14:paraId="6485FDF1"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Vanneau sociable</w:t>
            </w:r>
          </w:p>
          <w:p w14:paraId="036BEC75" w14:textId="77777777" w:rsidR="00886A3C" w:rsidRPr="004B1407" w:rsidRDefault="00886A3C" w:rsidP="00886A3C">
            <w:pPr>
              <w:jc w:val="both"/>
              <w:rPr>
                <w:rFonts w:ascii="Times New Roman" w:hAnsi="Times New Roman" w:cs="Times New Roman"/>
                <w:sz w:val="20"/>
                <w:szCs w:val="20"/>
                <w:lang w:val="fr-FR"/>
              </w:rPr>
            </w:pPr>
            <w:r w:rsidRPr="001270C4">
              <w:rPr>
                <w:rFonts w:ascii="Times New Roman" w:hAnsi="Times New Roman" w:cs="Times New Roman"/>
                <w:i/>
                <w:sz w:val="20"/>
                <w:szCs w:val="20"/>
                <w:lang w:val="fr-FR"/>
              </w:rPr>
              <w:t>(Vanellus gregarius)</w:t>
            </w:r>
          </w:p>
        </w:tc>
        <w:tc>
          <w:tcPr>
            <w:tcW w:w="1800" w:type="dxa"/>
          </w:tcPr>
          <w:p w14:paraId="5E5AF92D" w14:textId="77777777" w:rsidR="00886A3C" w:rsidRPr="00AB76CF" w:rsidRDefault="00886A3C" w:rsidP="00886A3C">
            <w:pPr>
              <w:rPr>
                <w:rFonts w:ascii="Times New Roman" w:hAnsi="Times New Roman" w:cs="Times New Roman"/>
                <w:sz w:val="20"/>
                <w:szCs w:val="20"/>
              </w:rPr>
            </w:pPr>
            <w:r>
              <w:rPr>
                <w:rFonts w:ascii="Times New Roman" w:hAnsi="Times New Roman" w:cs="Times New Roman"/>
                <w:sz w:val="20"/>
                <w:szCs w:val="20"/>
              </w:rPr>
              <w:t>13</w:t>
            </w:r>
          </w:p>
        </w:tc>
        <w:tc>
          <w:tcPr>
            <w:tcW w:w="3510" w:type="dxa"/>
          </w:tcPr>
          <w:p w14:paraId="631627C9" w14:textId="77777777" w:rsidR="00886A3C" w:rsidRPr="00103E7F"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5 (Éthiopie, Kazakhstan, Russie, Soudan, Turquie)</w:t>
            </w:r>
          </w:p>
        </w:tc>
        <w:tc>
          <w:tcPr>
            <w:tcW w:w="1080" w:type="dxa"/>
          </w:tcPr>
          <w:p w14:paraId="64012E32" w14:textId="77777777" w:rsidR="00886A3C" w:rsidRPr="00AB76CF" w:rsidRDefault="00886A3C" w:rsidP="00886A3C">
            <w:pPr>
              <w:rPr>
                <w:rFonts w:ascii="Times New Roman" w:hAnsi="Times New Roman" w:cs="Times New Roman"/>
                <w:sz w:val="20"/>
                <w:szCs w:val="20"/>
              </w:rPr>
            </w:pPr>
            <w:r>
              <w:rPr>
                <w:rFonts w:ascii="Times New Roman" w:hAnsi="Times New Roman" w:cs="Times New Roman"/>
                <w:sz w:val="20"/>
                <w:szCs w:val="20"/>
              </w:rPr>
              <w:t>38 %</w:t>
            </w:r>
          </w:p>
        </w:tc>
        <w:tc>
          <w:tcPr>
            <w:tcW w:w="3306" w:type="dxa"/>
          </w:tcPr>
          <w:p w14:paraId="1C562EC0" w14:textId="77777777" w:rsidR="00886A3C" w:rsidRPr="00070A6B" w:rsidRDefault="00886A3C" w:rsidP="00886A3C">
            <w:pPr>
              <w:rPr>
                <w:rFonts w:ascii="Times New Roman" w:hAnsi="Times New Roman" w:cs="Times New Roman"/>
                <w:sz w:val="20"/>
                <w:szCs w:val="20"/>
              </w:rPr>
            </w:pPr>
            <w:r>
              <w:rPr>
                <w:rFonts w:ascii="Times New Roman" w:hAnsi="Times New Roman" w:cs="Times New Roman"/>
                <w:sz w:val="20"/>
                <w:szCs w:val="20"/>
              </w:rPr>
              <w:t>-</w:t>
            </w:r>
          </w:p>
        </w:tc>
      </w:tr>
      <w:tr w:rsidR="00886A3C" w:rsidRPr="00DE4CF4" w14:paraId="6FE7B0B4" w14:textId="77777777" w:rsidTr="00886A3C">
        <w:trPr>
          <w:trHeight w:val="305"/>
        </w:trPr>
        <w:tc>
          <w:tcPr>
            <w:tcW w:w="3235" w:type="dxa"/>
          </w:tcPr>
          <w:p w14:paraId="53AE0AE1"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ISSAP Barge à queue noire</w:t>
            </w:r>
          </w:p>
          <w:p w14:paraId="56E4323A" w14:textId="77777777" w:rsidR="00886A3C" w:rsidRPr="004B1407" w:rsidRDefault="00886A3C" w:rsidP="00886A3C">
            <w:pPr>
              <w:rPr>
                <w:rFonts w:ascii="Times New Roman" w:hAnsi="Times New Roman" w:cs="Times New Roman"/>
                <w:i/>
                <w:sz w:val="20"/>
                <w:szCs w:val="20"/>
                <w:lang w:val="fr-FR"/>
              </w:rPr>
            </w:pPr>
            <w:r w:rsidRPr="001270C4">
              <w:rPr>
                <w:rFonts w:ascii="Times New Roman" w:hAnsi="Times New Roman" w:cs="Times New Roman"/>
                <w:i/>
                <w:sz w:val="20"/>
                <w:szCs w:val="20"/>
                <w:lang w:val="fr-FR"/>
              </w:rPr>
              <w:t>(Limosa limosa)</w:t>
            </w:r>
          </w:p>
        </w:tc>
        <w:tc>
          <w:tcPr>
            <w:tcW w:w="1800" w:type="dxa"/>
          </w:tcPr>
          <w:p w14:paraId="0B67C8C5"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62</w:t>
            </w:r>
          </w:p>
        </w:tc>
        <w:tc>
          <w:tcPr>
            <w:tcW w:w="3510" w:type="dxa"/>
          </w:tcPr>
          <w:p w14:paraId="278DDE0C" w14:textId="77777777" w:rsidR="00886A3C" w:rsidRPr="00AB76CF" w:rsidRDefault="00886A3C" w:rsidP="00886A3C">
            <w:pPr>
              <w:rPr>
                <w:rFonts w:ascii="Times New Roman" w:hAnsi="Times New Roman" w:cs="Times New Roman"/>
                <w:sz w:val="20"/>
                <w:szCs w:val="20"/>
              </w:rPr>
            </w:pPr>
            <w:r w:rsidRPr="001270C4">
              <w:rPr>
                <w:rFonts w:ascii="Times New Roman" w:hAnsi="Times New Roman" w:cs="Times New Roman"/>
                <w:sz w:val="20"/>
                <w:szCs w:val="20"/>
                <w:lang w:val="fr-FR"/>
              </w:rPr>
              <w:t>3 (Albanie, Estonie, Mali)</w:t>
            </w:r>
          </w:p>
        </w:tc>
        <w:tc>
          <w:tcPr>
            <w:tcW w:w="1080" w:type="dxa"/>
          </w:tcPr>
          <w:p w14:paraId="088C39D8" w14:textId="77777777" w:rsidR="00886A3C" w:rsidRPr="00AB76CF" w:rsidRDefault="00886A3C" w:rsidP="00886A3C">
            <w:pPr>
              <w:rPr>
                <w:rFonts w:ascii="Times New Roman" w:hAnsi="Times New Roman" w:cs="Times New Roman"/>
                <w:sz w:val="20"/>
                <w:szCs w:val="20"/>
              </w:rPr>
            </w:pPr>
            <w:r w:rsidRPr="00AB76CF">
              <w:rPr>
                <w:rFonts w:ascii="Times New Roman" w:hAnsi="Times New Roman" w:cs="Times New Roman"/>
                <w:sz w:val="20"/>
                <w:szCs w:val="20"/>
              </w:rPr>
              <w:t>5</w:t>
            </w:r>
            <w:r>
              <w:rPr>
                <w:rFonts w:ascii="Times New Roman" w:hAnsi="Times New Roman" w:cs="Times New Roman"/>
                <w:sz w:val="20"/>
                <w:szCs w:val="20"/>
              </w:rPr>
              <w:t> %</w:t>
            </w:r>
          </w:p>
        </w:tc>
        <w:tc>
          <w:tcPr>
            <w:tcW w:w="3306" w:type="dxa"/>
          </w:tcPr>
          <w:p w14:paraId="0693D1E3" w14:textId="77777777" w:rsidR="00886A3C" w:rsidRPr="004B1407" w:rsidRDefault="00886A3C" w:rsidP="00886A3C">
            <w:pPr>
              <w:rPr>
                <w:rFonts w:ascii="Times New Roman" w:hAnsi="Times New Roman" w:cs="Times New Roman"/>
                <w:sz w:val="20"/>
                <w:szCs w:val="20"/>
                <w:lang w:val="fr-FR"/>
              </w:rPr>
            </w:pPr>
            <w:r w:rsidRPr="001270C4">
              <w:rPr>
                <w:rFonts w:ascii="Times New Roman" w:hAnsi="Times New Roman" w:cs="Times New Roman"/>
                <w:sz w:val="20"/>
                <w:szCs w:val="20"/>
                <w:lang w:val="fr-FR"/>
              </w:rPr>
              <w:t>Pas d</w:t>
            </w:r>
            <w:r>
              <w:rPr>
                <w:rFonts w:ascii="Times New Roman" w:hAnsi="Times New Roman" w:cs="Times New Roman"/>
                <w:sz w:val="20"/>
                <w:szCs w:val="20"/>
                <w:lang w:val="fr-FR"/>
              </w:rPr>
              <w:t>’</w:t>
            </w:r>
            <w:r w:rsidRPr="001270C4">
              <w:rPr>
                <w:rFonts w:ascii="Times New Roman" w:hAnsi="Times New Roman" w:cs="Times New Roman"/>
                <w:sz w:val="20"/>
                <w:szCs w:val="20"/>
                <w:lang w:val="fr-FR"/>
              </w:rPr>
              <w:t>analyse réalisée du fait du faible taux de réponse</w:t>
            </w:r>
          </w:p>
        </w:tc>
      </w:tr>
    </w:tbl>
    <w:p w14:paraId="2672CEEC" w14:textId="77777777" w:rsidR="00886A3C" w:rsidRPr="004B1407" w:rsidRDefault="00886A3C" w:rsidP="00886A3C">
      <w:pPr>
        <w:spacing w:after="0" w:line="240" w:lineRule="auto"/>
        <w:rPr>
          <w:rFonts w:ascii="Times New Roman" w:hAnsi="Times New Roman" w:cs="Times New Roman"/>
          <w:i/>
          <w:sz w:val="20"/>
          <w:szCs w:val="20"/>
          <w:lang w:val="fr-FR"/>
        </w:rPr>
        <w:sectPr w:rsidR="00886A3C" w:rsidRPr="004B1407" w:rsidSect="00351688">
          <w:pgSz w:w="16838" w:h="11906" w:orient="landscape" w:code="9"/>
          <w:pgMar w:top="1411" w:right="1411" w:bottom="1411" w:left="1138" w:header="706" w:footer="706" w:gutter="0"/>
          <w:cols w:space="708"/>
          <w:docGrid w:linePitch="360"/>
        </w:sectPr>
      </w:pPr>
      <w:r w:rsidRPr="001270C4">
        <w:rPr>
          <w:rFonts w:ascii="Times New Roman" w:hAnsi="Times New Roman" w:cs="Times New Roman"/>
          <w:sz w:val="20"/>
          <w:szCs w:val="20"/>
          <w:lang w:val="fr-FR"/>
        </w:rPr>
        <w:t>*</w:t>
      </w:r>
      <w:r w:rsidRPr="001270C4">
        <w:rPr>
          <w:rFonts w:ascii="Times New Roman" w:hAnsi="Times New Roman" w:cs="Times New Roman"/>
          <w:i/>
          <w:sz w:val="20"/>
          <w:szCs w:val="20"/>
          <w:lang w:val="fr-FR"/>
        </w:rPr>
        <w:t>Bien que mentionné en tant que principal État de l</w:t>
      </w:r>
      <w:r>
        <w:rPr>
          <w:rFonts w:ascii="Times New Roman" w:hAnsi="Times New Roman" w:cs="Times New Roman"/>
          <w:i/>
          <w:sz w:val="20"/>
          <w:szCs w:val="20"/>
          <w:lang w:val="fr-FR"/>
        </w:rPr>
        <w:t>’</w:t>
      </w:r>
      <w:r w:rsidRPr="001270C4">
        <w:rPr>
          <w:rFonts w:ascii="Times New Roman" w:hAnsi="Times New Roman" w:cs="Times New Roman"/>
          <w:i/>
          <w:sz w:val="20"/>
          <w:szCs w:val="20"/>
          <w:lang w:val="fr-FR"/>
        </w:rPr>
        <w:t>aire de répartition dans le plan d</w:t>
      </w:r>
      <w:r>
        <w:rPr>
          <w:rFonts w:ascii="Times New Roman" w:hAnsi="Times New Roman" w:cs="Times New Roman"/>
          <w:i/>
          <w:sz w:val="20"/>
          <w:szCs w:val="20"/>
          <w:lang w:val="fr-FR"/>
        </w:rPr>
        <w:t>’</w:t>
      </w:r>
      <w:r w:rsidRPr="001270C4">
        <w:rPr>
          <w:rFonts w:ascii="Times New Roman" w:hAnsi="Times New Roman" w:cs="Times New Roman"/>
          <w:i/>
          <w:sz w:val="20"/>
          <w:szCs w:val="20"/>
          <w:lang w:val="fr-FR"/>
        </w:rPr>
        <w:t>action, la Norvège a indiqué que le Cygne de Bewick était une espèce très rare dans le pays et n</w:t>
      </w:r>
      <w:r>
        <w:rPr>
          <w:rFonts w:ascii="Times New Roman" w:hAnsi="Times New Roman" w:cs="Times New Roman"/>
          <w:i/>
          <w:sz w:val="20"/>
          <w:szCs w:val="20"/>
          <w:lang w:val="fr-FR"/>
        </w:rPr>
        <w:t>’</w:t>
      </w:r>
      <w:r w:rsidRPr="001270C4">
        <w:rPr>
          <w:rFonts w:ascii="Times New Roman" w:hAnsi="Times New Roman" w:cs="Times New Roman"/>
          <w:i/>
          <w:sz w:val="20"/>
          <w:szCs w:val="20"/>
          <w:lang w:val="fr-FR"/>
        </w:rPr>
        <w:t>a donc pas rempli le questionnaire, ramenant le total du nombre États de l</w:t>
      </w:r>
      <w:r>
        <w:rPr>
          <w:rFonts w:ascii="Times New Roman" w:hAnsi="Times New Roman" w:cs="Times New Roman"/>
          <w:i/>
          <w:sz w:val="20"/>
          <w:szCs w:val="20"/>
          <w:lang w:val="fr-FR"/>
        </w:rPr>
        <w:t>’</w:t>
      </w:r>
      <w:r w:rsidRPr="001270C4">
        <w:rPr>
          <w:rFonts w:ascii="Times New Roman" w:hAnsi="Times New Roman" w:cs="Times New Roman"/>
          <w:i/>
          <w:sz w:val="20"/>
          <w:szCs w:val="20"/>
          <w:lang w:val="fr-FR"/>
        </w:rPr>
        <w:t>aire de répartition à 15.</w:t>
      </w:r>
      <w:r w:rsidRPr="004B1407">
        <w:rPr>
          <w:rFonts w:ascii="Times New Roman" w:hAnsi="Times New Roman" w:cs="Times New Roman"/>
          <w:i/>
          <w:sz w:val="20"/>
          <w:szCs w:val="20"/>
          <w:lang w:val="fr-FR"/>
        </w:rPr>
        <w:t xml:space="preserve"> </w:t>
      </w:r>
    </w:p>
    <w:p w14:paraId="1D78EC02" w14:textId="77777777" w:rsidR="00886A3C" w:rsidRPr="004B1407" w:rsidRDefault="00886A3C" w:rsidP="00886A3C">
      <w:pPr>
        <w:pBdr>
          <w:top w:val="single" w:sz="4" w:space="1" w:color="auto"/>
        </w:pBdr>
        <w:rPr>
          <w:rFonts w:ascii="Times New Roman" w:hAnsi="Times New Roman" w:cs="Times New Roman"/>
          <w:lang w:val="fr-FR"/>
        </w:rPr>
      </w:pPr>
    </w:p>
    <w:p w14:paraId="4302CC03" w14:textId="77777777" w:rsidR="00886A3C" w:rsidRPr="004B1407" w:rsidRDefault="00886A3C" w:rsidP="00886A3C">
      <w:pPr>
        <w:spacing w:after="0" w:line="240" w:lineRule="auto"/>
        <w:jc w:val="center"/>
        <w:rPr>
          <w:rFonts w:ascii="Times New Roman" w:hAnsi="Times New Roman" w:cs="Times New Roman"/>
          <w:b/>
          <w:caps/>
          <w:sz w:val="28"/>
          <w:szCs w:val="28"/>
          <w:lang w:val="fr-FR"/>
        </w:rPr>
      </w:pPr>
      <w:r w:rsidRPr="00A83153">
        <w:rPr>
          <w:rFonts w:ascii="Times New Roman" w:hAnsi="Times New Roman" w:cs="Times New Roman"/>
          <w:b/>
          <w:sz w:val="28"/>
          <w:szCs w:val="28"/>
          <w:lang w:val="fr-FR"/>
        </w:rPr>
        <w:t>Groupe de travail international</w:t>
      </w:r>
      <w:r>
        <w:rPr>
          <w:rFonts w:ascii="Times New Roman" w:hAnsi="Times New Roman" w:cs="Times New Roman"/>
          <w:b/>
          <w:sz w:val="28"/>
          <w:szCs w:val="28"/>
          <w:lang w:val="fr-FR"/>
        </w:rPr>
        <w:t xml:space="preserve"> par espèce </w:t>
      </w:r>
      <w:r w:rsidRPr="00A83153">
        <w:rPr>
          <w:rFonts w:ascii="Times New Roman" w:hAnsi="Times New Roman" w:cs="Times New Roman"/>
          <w:b/>
          <w:sz w:val="28"/>
          <w:szCs w:val="28"/>
          <w:lang w:val="fr-FR"/>
        </w:rPr>
        <w:t>de l</w:t>
      </w:r>
      <w:r>
        <w:rPr>
          <w:rFonts w:ascii="Times New Roman" w:hAnsi="Times New Roman" w:cs="Times New Roman"/>
          <w:b/>
          <w:sz w:val="28"/>
          <w:szCs w:val="28"/>
          <w:lang w:val="fr-FR"/>
        </w:rPr>
        <w:t>’</w:t>
      </w:r>
      <w:r w:rsidRPr="00A83153">
        <w:rPr>
          <w:rFonts w:ascii="Times New Roman" w:hAnsi="Times New Roman" w:cs="Times New Roman"/>
          <w:b/>
          <w:sz w:val="28"/>
          <w:szCs w:val="28"/>
          <w:lang w:val="fr-FR"/>
        </w:rPr>
        <w:t>AEWA</w:t>
      </w:r>
    </w:p>
    <w:p w14:paraId="5D596D46" w14:textId="77777777" w:rsidR="00886A3C" w:rsidRPr="004B1407" w:rsidRDefault="00886A3C" w:rsidP="00886A3C">
      <w:pPr>
        <w:pStyle w:val="Title"/>
        <w:rPr>
          <w:rFonts w:ascii="Times New Roman" w:hAnsi="Times New Roman" w:cs="Times New Roman"/>
          <w:caps w:val="0"/>
          <w:lang w:val="fr-FR"/>
        </w:rPr>
      </w:pPr>
    </w:p>
    <w:p w14:paraId="4AC1FCA2" w14:textId="77777777" w:rsidR="00886A3C" w:rsidRPr="004B1407" w:rsidRDefault="00886A3C" w:rsidP="00886A3C">
      <w:pPr>
        <w:pStyle w:val="Title"/>
        <w:rPr>
          <w:rFonts w:ascii="Times New Roman" w:hAnsi="Times New Roman" w:cs="Times New Roman"/>
          <w:caps w:val="0"/>
          <w:lang w:val="fr-FR"/>
        </w:rPr>
      </w:pPr>
      <w:r w:rsidRPr="00A83153">
        <w:rPr>
          <w:rFonts w:ascii="Times New Roman" w:hAnsi="Times New Roman" w:cs="Times New Roman"/>
          <w:caps w:val="0"/>
          <w:lang w:val="fr-FR"/>
        </w:rPr>
        <w:t>Termes de référence</w:t>
      </w:r>
    </w:p>
    <w:p w14:paraId="0F05A367" w14:textId="77777777" w:rsidR="00886A3C" w:rsidRPr="004B1407" w:rsidRDefault="00886A3C" w:rsidP="00886A3C">
      <w:pPr>
        <w:spacing w:after="0" w:line="240" w:lineRule="auto"/>
        <w:rPr>
          <w:rFonts w:ascii="Times New Roman" w:hAnsi="Times New Roman" w:cs="Times New Roman"/>
          <w:lang w:val="fr-FR"/>
        </w:rPr>
      </w:pPr>
    </w:p>
    <w:p w14:paraId="665A6402" w14:textId="77777777" w:rsidR="00886A3C" w:rsidRPr="004B1407" w:rsidRDefault="00886A3C" w:rsidP="00886A3C">
      <w:pPr>
        <w:pStyle w:val="Heading2"/>
        <w:rPr>
          <w:b w:val="0"/>
          <w:sz w:val="22"/>
          <w:szCs w:val="22"/>
          <w:lang w:val="fr-FR"/>
        </w:rPr>
      </w:pPr>
      <w:r w:rsidRPr="00A83153">
        <w:rPr>
          <w:szCs w:val="24"/>
          <w:lang w:val="fr-FR"/>
        </w:rPr>
        <w:t>Buts</w:t>
      </w:r>
      <w:r w:rsidRPr="00A83153">
        <w:rPr>
          <w:sz w:val="22"/>
          <w:szCs w:val="22"/>
          <w:lang w:val="fr-FR"/>
        </w:rPr>
        <w:t xml:space="preserve"> </w:t>
      </w:r>
      <w:r w:rsidRPr="00A83153">
        <w:rPr>
          <w:b w:val="0"/>
          <w:sz w:val="22"/>
          <w:szCs w:val="22"/>
          <w:lang w:val="fr-FR"/>
        </w:rPr>
        <w:sym w:font="Symbol" w:char="F05B"/>
      </w:r>
      <w:r w:rsidRPr="00C23893">
        <w:rPr>
          <w:b w:val="0"/>
          <w:i/>
          <w:sz w:val="22"/>
          <w:szCs w:val="22"/>
          <w:lang w:val="fr-FR"/>
        </w:rPr>
        <w:t>habituellement selon le</w:t>
      </w:r>
      <w:r w:rsidRPr="00A83153">
        <w:rPr>
          <w:b w:val="0"/>
          <w:sz w:val="22"/>
          <w:szCs w:val="22"/>
          <w:lang w:val="fr-FR"/>
        </w:rPr>
        <w:t xml:space="preserve"> </w:t>
      </w:r>
      <w:r w:rsidRPr="00A83153">
        <w:rPr>
          <w:b w:val="0"/>
          <w:i/>
          <w:sz w:val="22"/>
          <w:szCs w:val="22"/>
          <w:lang w:val="fr-FR"/>
        </w:rPr>
        <w:t>SSAP, voir les quatre points</w:t>
      </w:r>
      <w:r>
        <w:rPr>
          <w:b w:val="0"/>
          <w:i/>
          <w:sz w:val="22"/>
          <w:szCs w:val="22"/>
          <w:lang w:val="fr-FR"/>
        </w:rPr>
        <w:t xml:space="preserve"> mentionnés</w:t>
      </w:r>
      <w:r w:rsidRPr="00A83153">
        <w:rPr>
          <w:b w:val="0"/>
          <w:i/>
          <w:sz w:val="22"/>
          <w:szCs w:val="22"/>
          <w:lang w:val="fr-FR"/>
        </w:rPr>
        <w:t xml:space="preserve"> ci-dessous comme exemple</w:t>
      </w:r>
      <w:r w:rsidRPr="00A83153">
        <w:rPr>
          <w:b w:val="0"/>
          <w:sz w:val="22"/>
          <w:szCs w:val="22"/>
          <w:lang w:val="fr-FR"/>
        </w:rPr>
        <w:sym w:font="Symbol" w:char="F05D"/>
      </w:r>
    </w:p>
    <w:p w14:paraId="34BB8668" w14:textId="77777777" w:rsidR="00886A3C" w:rsidRPr="004B1407" w:rsidRDefault="00886A3C" w:rsidP="00886A3C">
      <w:pPr>
        <w:pStyle w:val="ListBullet"/>
        <w:rPr>
          <w:lang w:val="fr-FR"/>
        </w:rPr>
      </w:pPr>
      <w:r w:rsidRPr="00A83153">
        <w:rPr>
          <w:lang w:val="fr-FR"/>
        </w:rPr>
        <w:t>Rétablir les populations de l</w:t>
      </w:r>
      <w:r>
        <w:rPr>
          <w:lang w:val="fr-FR"/>
        </w:rPr>
        <w:t>’</w:t>
      </w:r>
      <w:r w:rsidRPr="00A83153">
        <w:rPr>
          <w:lang w:val="fr-FR"/>
        </w:rPr>
        <w:t>espèce dans un état de conservation favorable.</w:t>
      </w:r>
    </w:p>
    <w:p w14:paraId="192009EB" w14:textId="77777777" w:rsidR="00886A3C" w:rsidRPr="004B1407" w:rsidRDefault="00886A3C" w:rsidP="00886A3C">
      <w:pPr>
        <w:pStyle w:val="ListBullet"/>
        <w:rPr>
          <w:lang w:val="fr-FR"/>
        </w:rPr>
      </w:pPr>
      <w:r w:rsidRPr="00A83153">
        <w:rPr>
          <w:lang w:val="fr-FR"/>
        </w:rPr>
        <w:t>Faire passer la/les population(s) de l</w:t>
      </w:r>
      <w:r>
        <w:rPr>
          <w:lang w:val="fr-FR"/>
        </w:rPr>
        <w:t>’</w:t>
      </w:r>
      <w:r w:rsidRPr="00A83153">
        <w:rPr>
          <w:lang w:val="fr-FR"/>
        </w:rPr>
        <w:t xml:space="preserve">espèce de la colonne A à la colonne B ou C du Tableau 1 du </w:t>
      </w:r>
      <w:r>
        <w:rPr>
          <w:lang w:val="fr-FR"/>
        </w:rPr>
        <w:t>Plan</w:t>
      </w:r>
      <w:r w:rsidRPr="00A83153">
        <w:rPr>
          <w:lang w:val="fr-FR"/>
        </w:rPr>
        <w:t xml:space="preserve"> d</w:t>
      </w:r>
      <w:r>
        <w:rPr>
          <w:lang w:val="fr-FR"/>
        </w:rPr>
        <w:t>’</w:t>
      </w:r>
      <w:r w:rsidRPr="00A83153">
        <w:rPr>
          <w:lang w:val="fr-FR"/>
        </w:rPr>
        <w:t>action de l</w:t>
      </w:r>
      <w:r>
        <w:rPr>
          <w:lang w:val="fr-FR"/>
        </w:rPr>
        <w:t>’</w:t>
      </w:r>
      <w:r w:rsidRPr="00A83153">
        <w:rPr>
          <w:lang w:val="fr-FR"/>
        </w:rPr>
        <w:t>AEWA.</w:t>
      </w:r>
    </w:p>
    <w:p w14:paraId="7D293071" w14:textId="77777777" w:rsidR="00886A3C" w:rsidRPr="004B1407" w:rsidRDefault="00886A3C" w:rsidP="00886A3C">
      <w:pPr>
        <w:pStyle w:val="ListBullet"/>
        <w:rPr>
          <w:lang w:val="fr-FR"/>
        </w:rPr>
      </w:pPr>
      <w:r>
        <w:rPr>
          <w:lang w:val="fr-FR"/>
        </w:rPr>
        <w:t>Retir</w:t>
      </w:r>
      <w:r w:rsidRPr="00A83153">
        <w:rPr>
          <w:lang w:val="fr-FR"/>
        </w:rPr>
        <w:t>er l</w:t>
      </w:r>
      <w:r>
        <w:rPr>
          <w:lang w:val="fr-FR"/>
        </w:rPr>
        <w:t>’</w:t>
      </w:r>
      <w:r w:rsidRPr="00A83153">
        <w:rPr>
          <w:lang w:val="fr-FR"/>
        </w:rPr>
        <w:t>espèce de la Liste rouge de l</w:t>
      </w:r>
      <w:r>
        <w:rPr>
          <w:lang w:val="fr-FR"/>
        </w:rPr>
        <w:t>’</w:t>
      </w:r>
      <w:r w:rsidRPr="00A83153">
        <w:rPr>
          <w:lang w:val="fr-FR"/>
        </w:rPr>
        <w:t>UICN des animaux menacés.</w:t>
      </w:r>
    </w:p>
    <w:p w14:paraId="30346878" w14:textId="77777777" w:rsidR="00886A3C" w:rsidRPr="004B1407" w:rsidRDefault="00886A3C" w:rsidP="00886A3C">
      <w:pPr>
        <w:pStyle w:val="ListBullet"/>
        <w:rPr>
          <w:lang w:val="fr-FR"/>
        </w:rPr>
      </w:pPr>
      <w:r w:rsidRPr="00A83153">
        <w:rPr>
          <w:lang w:val="fr-FR"/>
        </w:rPr>
        <w:t xml:space="preserve">À court terme, maintenir la </w:t>
      </w:r>
      <w:r>
        <w:rPr>
          <w:lang w:val="fr-FR"/>
        </w:rPr>
        <w:t xml:space="preserve">taille actuelle de la </w:t>
      </w:r>
      <w:r w:rsidRPr="00A83153">
        <w:rPr>
          <w:lang w:val="fr-FR"/>
        </w:rPr>
        <w:t xml:space="preserve">population </w:t>
      </w:r>
      <w:r>
        <w:rPr>
          <w:lang w:val="fr-FR"/>
        </w:rPr>
        <w:t>ainsi que la distribu</w:t>
      </w:r>
      <w:r w:rsidRPr="00A83153">
        <w:rPr>
          <w:lang w:val="fr-FR"/>
        </w:rPr>
        <w:t xml:space="preserve">tion </w:t>
      </w:r>
      <w:r>
        <w:rPr>
          <w:lang w:val="fr-FR"/>
        </w:rPr>
        <w:t>actuelle de l’espèce</w:t>
      </w:r>
      <w:r w:rsidRPr="00A83153">
        <w:rPr>
          <w:lang w:val="fr-FR"/>
        </w:rPr>
        <w:t xml:space="preserve"> dans son aire</w:t>
      </w:r>
      <w:r>
        <w:rPr>
          <w:lang w:val="fr-FR"/>
        </w:rPr>
        <w:t xml:space="preserve"> de répartition</w:t>
      </w:r>
      <w:r w:rsidRPr="00A83153">
        <w:rPr>
          <w:lang w:val="fr-FR"/>
        </w:rPr>
        <w:t>, et, à moyen et à long terme, encourager l</w:t>
      </w:r>
      <w:r>
        <w:rPr>
          <w:lang w:val="fr-FR"/>
        </w:rPr>
        <w:t>’</w:t>
      </w:r>
      <w:r w:rsidRPr="00A83153">
        <w:rPr>
          <w:lang w:val="fr-FR"/>
        </w:rPr>
        <w:t>augmentation de la taille et de l</w:t>
      </w:r>
      <w:r>
        <w:rPr>
          <w:lang w:val="fr-FR"/>
        </w:rPr>
        <w:t>’</w:t>
      </w:r>
      <w:r w:rsidRPr="00A83153">
        <w:rPr>
          <w:lang w:val="fr-FR"/>
        </w:rPr>
        <w:t>aire de répartition de la population.</w:t>
      </w:r>
    </w:p>
    <w:p w14:paraId="6598A287" w14:textId="77777777" w:rsidR="00886A3C" w:rsidRPr="004B1407" w:rsidRDefault="00886A3C" w:rsidP="00886A3C">
      <w:pPr>
        <w:spacing w:after="0" w:line="240" w:lineRule="auto"/>
        <w:jc w:val="both"/>
        <w:rPr>
          <w:rFonts w:ascii="Times New Roman" w:hAnsi="Times New Roman" w:cs="Times New Roman"/>
          <w:lang w:val="fr-FR"/>
        </w:rPr>
      </w:pPr>
    </w:p>
    <w:p w14:paraId="2B9FF434" w14:textId="77777777" w:rsidR="00886A3C" w:rsidRPr="004B1407" w:rsidRDefault="00886A3C" w:rsidP="00886A3C">
      <w:pPr>
        <w:pStyle w:val="Heading2"/>
        <w:rPr>
          <w:szCs w:val="24"/>
          <w:lang w:val="fr-FR"/>
        </w:rPr>
      </w:pPr>
      <w:r w:rsidRPr="00A83153">
        <w:rPr>
          <w:szCs w:val="24"/>
          <w:lang w:val="fr-FR"/>
        </w:rPr>
        <w:t>Rôle</w:t>
      </w:r>
    </w:p>
    <w:p w14:paraId="32683C98" w14:textId="77777777" w:rsidR="00886A3C" w:rsidRPr="004B1407" w:rsidRDefault="00886A3C" w:rsidP="00886A3C">
      <w:pPr>
        <w:spacing w:after="0" w:line="240" w:lineRule="auto"/>
        <w:ind w:hanging="284"/>
        <w:jc w:val="both"/>
        <w:rPr>
          <w:rFonts w:ascii="Times New Roman" w:hAnsi="Times New Roman" w:cs="Times New Roman"/>
          <w:lang w:val="fr-FR"/>
        </w:rPr>
      </w:pPr>
      <w:r w:rsidRPr="004B1407">
        <w:rPr>
          <w:rFonts w:ascii="Times New Roman" w:hAnsi="Times New Roman" w:cs="Times New Roman"/>
          <w:lang w:val="fr-FR"/>
        </w:rPr>
        <w:tab/>
      </w:r>
      <w:r w:rsidRPr="00A83153">
        <w:rPr>
          <w:rFonts w:ascii="Times New Roman" w:hAnsi="Times New Roman" w:cs="Times New Roman"/>
          <w:lang w:val="fr-FR"/>
        </w:rPr>
        <w:t>Le groupe de travail de l</w:t>
      </w:r>
      <w:r>
        <w:rPr>
          <w:rFonts w:ascii="Times New Roman" w:hAnsi="Times New Roman" w:cs="Times New Roman"/>
          <w:lang w:val="fr-FR"/>
        </w:rPr>
        <w:t>’</w:t>
      </w:r>
      <w:r w:rsidRPr="00A83153">
        <w:rPr>
          <w:rFonts w:ascii="Times New Roman" w:hAnsi="Times New Roman" w:cs="Times New Roman"/>
          <w:lang w:val="fr-FR"/>
        </w:rPr>
        <w:t xml:space="preserve">AEWA sur </w:t>
      </w:r>
      <w:r>
        <w:rPr>
          <w:rFonts w:ascii="Times New Roman" w:hAnsi="Times New Roman" w:cs="Times New Roman"/>
          <w:lang w:val="fr-FR"/>
        </w:rPr>
        <w:t>une</w:t>
      </w:r>
      <w:r w:rsidRPr="00A83153">
        <w:rPr>
          <w:rFonts w:ascii="Times New Roman" w:hAnsi="Times New Roman" w:cs="Times New Roman"/>
          <w:lang w:val="fr-FR"/>
        </w:rPr>
        <w:t xml:space="preserve"> espèce aura pour rôle de :</w:t>
      </w:r>
    </w:p>
    <w:p w14:paraId="63E9548E" w14:textId="77777777" w:rsidR="00886A3C" w:rsidRPr="004B1407" w:rsidRDefault="00886A3C" w:rsidP="00886A3C">
      <w:pPr>
        <w:numPr>
          <w:ilvl w:val="0"/>
          <w:numId w:val="12"/>
        </w:numPr>
        <w:spacing w:after="0" w:line="240" w:lineRule="auto"/>
        <w:ind w:left="426" w:hanging="426"/>
        <w:jc w:val="both"/>
        <w:rPr>
          <w:rFonts w:ascii="Times New Roman" w:hAnsi="Times New Roman" w:cs="Times New Roman"/>
          <w:lang w:val="fr-FR"/>
        </w:rPr>
      </w:pPr>
      <w:r w:rsidRPr="00A83153">
        <w:rPr>
          <w:rFonts w:ascii="Times New Roman" w:hAnsi="Times New Roman" w:cs="Times New Roman"/>
          <w:lang w:val="fr-FR"/>
        </w:rPr>
        <w:t xml:space="preserve">coordonner et catalyser la mise en œuvre du </w:t>
      </w:r>
      <w:r>
        <w:rPr>
          <w:rFonts w:ascii="Times New Roman" w:hAnsi="Times New Roman" w:cs="Times New Roman"/>
          <w:lang w:val="fr-FR"/>
        </w:rPr>
        <w:t>p</w:t>
      </w:r>
      <w:r w:rsidRPr="00A83153">
        <w:rPr>
          <w:rFonts w:ascii="Times New Roman" w:hAnsi="Times New Roman" w:cs="Times New Roman"/>
          <w:lang w:val="fr-FR"/>
        </w:rPr>
        <w:t>lan d</w:t>
      </w:r>
      <w:r>
        <w:rPr>
          <w:rFonts w:ascii="Times New Roman" w:hAnsi="Times New Roman" w:cs="Times New Roman"/>
          <w:lang w:val="fr-FR"/>
        </w:rPr>
        <w:t>’</w:t>
      </w:r>
      <w:r w:rsidRPr="00A83153">
        <w:rPr>
          <w:rFonts w:ascii="Times New Roman" w:hAnsi="Times New Roman" w:cs="Times New Roman"/>
          <w:lang w:val="fr-FR"/>
        </w:rPr>
        <w:t>action international par espèce (SSAP) approuvé par la Réunion des Parties à l</w:t>
      </w:r>
      <w:r>
        <w:rPr>
          <w:rFonts w:ascii="Times New Roman" w:hAnsi="Times New Roman" w:cs="Times New Roman"/>
          <w:lang w:val="fr-FR"/>
        </w:rPr>
        <w:t>’</w:t>
      </w:r>
      <w:r w:rsidRPr="00A83153">
        <w:rPr>
          <w:rFonts w:ascii="Times New Roman" w:hAnsi="Times New Roman" w:cs="Times New Roman"/>
          <w:lang w:val="fr-FR"/>
        </w:rPr>
        <w:t>AEWA ;</w:t>
      </w:r>
    </w:p>
    <w:p w14:paraId="095DB46A" w14:textId="77777777" w:rsidR="00886A3C" w:rsidRPr="004B1407" w:rsidRDefault="00886A3C" w:rsidP="00886A3C">
      <w:pPr>
        <w:numPr>
          <w:ilvl w:val="0"/>
          <w:numId w:val="12"/>
        </w:numPr>
        <w:spacing w:after="0" w:line="240" w:lineRule="auto"/>
        <w:ind w:left="426" w:hanging="426"/>
        <w:jc w:val="both"/>
        <w:rPr>
          <w:rFonts w:ascii="Times New Roman" w:hAnsi="Times New Roman" w:cs="Times New Roman"/>
          <w:lang w:val="fr-FR"/>
        </w:rPr>
      </w:pPr>
      <w:r>
        <w:rPr>
          <w:rFonts w:ascii="Times New Roman" w:hAnsi="Times New Roman" w:cs="Times New Roman"/>
          <w:lang w:val="fr-FR"/>
        </w:rPr>
        <w:t>s</w:t>
      </w:r>
      <w:r w:rsidRPr="00A83153">
        <w:rPr>
          <w:rFonts w:ascii="Times New Roman" w:hAnsi="Times New Roman" w:cs="Times New Roman"/>
          <w:lang w:val="fr-FR"/>
        </w:rPr>
        <w:t xml:space="preserve">timuler et </w:t>
      </w:r>
      <w:r>
        <w:rPr>
          <w:rFonts w:ascii="Times New Roman" w:hAnsi="Times New Roman" w:cs="Times New Roman"/>
          <w:lang w:val="fr-FR"/>
        </w:rPr>
        <w:t>aider</w:t>
      </w:r>
      <w:r w:rsidRPr="00A83153">
        <w:rPr>
          <w:rFonts w:ascii="Times New Roman" w:hAnsi="Times New Roman" w:cs="Times New Roman"/>
          <w:lang w:val="fr-FR"/>
        </w:rPr>
        <w:t xml:space="preserve"> les États de l</w:t>
      </w:r>
      <w:r>
        <w:rPr>
          <w:rFonts w:ascii="Times New Roman" w:hAnsi="Times New Roman" w:cs="Times New Roman"/>
          <w:lang w:val="fr-FR"/>
        </w:rPr>
        <w:t>’</w:t>
      </w:r>
      <w:r w:rsidRPr="00A83153">
        <w:rPr>
          <w:rFonts w:ascii="Times New Roman" w:hAnsi="Times New Roman" w:cs="Times New Roman"/>
          <w:lang w:val="fr-FR"/>
        </w:rPr>
        <w:t>aire de répartition dans la mise en œuvre du SSAP ; et</w:t>
      </w:r>
      <w:r>
        <w:rPr>
          <w:rFonts w:ascii="Times New Roman" w:hAnsi="Times New Roman" w:cs="Times New Roman"/>
          <w:lang w:val="fr-FR"/>
        </w:rPr>
        <w:t xml:space="preserve"> </w:t>
      </w:r>
    </w:p>
    <w:p w14:paraId="6ADEFE67" w14:textId="77777777" w:rsidR="00886A3C" w:rsidRPr="004B1407" w:rsidRDefault="00886A3C" w:rsidP="00886A3C">
      <w:pPr>
        <w:numPr>
          <w:ilvl w:val="0"/>
          <w:numId w:val="12"/>
        </w:numPr>
        <w:spacing w:after="0" w:line="240" w:lineRule="auto"/>
        <w:ind w:left="426" w:hanging="426"/>
        <w:jc w:val="both"/>
        <w:rPr>
          <w:rFonts w:ascii="Times New Roman" w:hAnsi="Times New Roman" w:cs="Times New Roman"/>
          <w:lang w:val="fr-FR"/>
        </w:rPr>
      </w:pPr>
      <w:r w:rsidRPr="00A83153">
        <w:rPr>
          <w:rFonts w:ascii="Times New Roman" w:hAnsi="Times New Roman" w:cs="Times New Roman"/>
          <w:lang w:val="fr-FR"/>
        </w:rPr>
        <w:t xml:space="preserve">surveiller et faire </w:t>
      </w:r>
      <w:r>
        <w:rPr>
          <w:rFonts w:ascii="Times New Roman" w:hAnsi="Times New Roman" w:cs="Times New Roman"/>
          <w:lang w:val="fr-FR"/>
        </w:rPr>
        <w:t>des</w:t>
      </w:r>
      <w:r w:rsidRPr="00A83153">
        <w:rPr>
          <w:rFonts w:ascii="Times New Roman" w:hAnsi="Times New Roman" w:cs="Times New Roman"/>
          <w:lang w:val="fr-FR"/>
        </w:rPr>
        <w:t xml:space="preserve"> rapport</w:t>
      </w:r>
      <w:r>
        <w:rPr>
          <w:rFonts w:ascii="Times New Roman" w:hAnsi="Times New Roman" w:cs="Times New Roman"/>
          <w:lang w:val="fr-FR"/>
        </w:rPr>
        <w:t>s</w:t>
      </w:r>
      <w:r w:rsidRPr="00A83153">
        <w:rPr>
          <w:rFonts w:ascii="Times New Roman" w:hAnsi="Times New Roman" w:cs="Times New Roman"/>
          <w:lang w:val="fr-FR"/>
        </w:rPr>
        <w:t xml:space="preserve"> sur la mise en œuvre et l</w:t>
      </w:r>
      <w:r>
        <w:rPr>
          <w:rFonts w:ascii="Times New Roman" w:hAnsi="Times New Roman" w:cs="Times New Roman"/>
          <w:lang w:val="fr-FR"/>
        </w:rPr>
        <w:t>’</w:t>
      </w:r>
      <w:r w:rsidRPr="00A83153">
        <w:rPr>
          <w:rFonts w:ascii="Times New Roman" w:hAnsi="Times New Roman" w:cs="Times New Roman"/>
          <w:lang w:val="fr-FR"/>
        </w:rPr>
        <w:t>efficacité du SSAP.</w:t>
      </w:r>
    </w:p>
    <w:p w14:paraId="07D2A298" w14:textId="77777777" w:rsidR="00886A3C" w:rsidRPr="004B1407" w:rsidRDefault="00886A3C" w:rsidP="00886A3C">
      <w:pPr>
        <w:spacing w:after="0" w:line="240" w:lineRule="auto"/>
        <w:jc w:val="both"/>
        <w:rPr>
          <w:rFonts w:ascii="Times New Roman" w:hAnsi="Times New Roman" w:cs="Times New Roman"/>
          <w:lang w:val="fr-FR"/>
        </w:rPr>
      </w:pPr>
    </w:p>
    <w:p w14:paraId="36B4475C" w14:textId="77777777" w:rsidR="00886A3C" w:rsidRPr="004B1407" w:rsidRDefault="00886A3C" w:rsidP="00886A3C">
      <w:pPr>
        <w:pStyle w:val="Heading2"/>
        <w:rPr>
          <w:szCs w:val="24"/>
          <w:lang w:val="fr-FR"/>
        </w:rPr>
      </w:pPr>
      <w:r w:rsidRPr="00A83153">
        <w:rPr>
          <w:szCs w:val="24"/>
          <w:lang w:val="fr-FR"/>
        </w:rPr>
        <w:t>Attributions</w:t>
      </w:r>
    </w:p>
    <w:p w14:paraId="3D22595B" w14:textId="77777777" w:rsidR="00886A3C" w:rsidRPr="004B1407" w:rsidRDefault="00886A3C" w:rsidP="00886A3C">
      <w:pPr>
        <w:spacing w:after="0" w:line="240" w:lineRule="auto"/>
        <w:jc w:val="both"/>
        <w:rPr>
          <w:rFonts w:ascii="Times New Roman" w:hAnsi="Times New Roman" w:cs="Times New Roman"/>
          <w:lang w:val="fr-FR"/>
        </w:rPr>
      </w:pPr>
      <w:r w:rsidRPr="00A83153">
        <w:rPr>
          <w:rFonts w:ascii="Times New Roman" w:hAnsi="Times New Roman" w:cs="Times New Roman"/>
          <w:lang w:val="fr-FR"/>
        </w:rPr>
        <w:t>Le groupe de travail de l</w:t>
      </w:r>
      <w:r>
        <w:rPr>
          <w:rFonts w:ascii="Times New Roman" w:hAnsi="Times New Roman" w:cs="Times New Roman"/>
          <w:lang w:val="fr-FR"/>
        </w:rPr>
        <w:t>’</w:t>
      </w:r>
      <w:r w:rsidRPr="00A83153">
        <w:rPr>
          <w:rFonts w:ascii="Times New Roman" w:hAnsi="Times New Roman" w:cs="Times New Roman"/>
          <w:lang w:val="fr-FR"/>
        </w:rPr>
        <w:t xml:space="preserve">AEWA sur </w:t>
      </w:r>
      <w:r>
        <w:rPr>
          <w:rFonts w:ascii="Times New Roman" w:hAnsi="Times New Roman" w:cs="Times New Roman"/>
          <w:lang w:val="fr-FR"/>
        </w:rPr>
        <w:t>une</w:t>
      </w:r>
      <w:r w:rsidRPr="00A83153">
        <w:rPr>
          <w:rFonts w:ascii="Times New Roman" w:hAnsi="Times New Roman" w:cs="Times New Roman"/>
          <w:lang w:val="fr-FR"/>
        </w:rPr>
        <w:t xml:space="preserve"> espèce devra :</w:t>
      </w:r>
    </w:p>
    <w:p w14:paraId="69CAD617" w14:textId="77777777" w:rsidR="00886A3C" w:rsidRPr="004B1407" w:rsidRDefault="00886A3C" w:rsidP="00886A3C">
      <w:pPr>
        <w:pStyle w:val="ListBullet"/>
        <w:rPr>
          <w:lang w:val="fr-FR"/>
        </w:rPr>
      </w:pPr>
      <w:r w:rsidRPr="00A83153">
        <w:rPr>
          <w:lang w:val="fr-FR"/>
        </w:rPr>
        <w:t xml:space="preserve">définir les priorités concernant les actions </w:t>
      </w:r>
      <w:r>
        <w:rPr>
          <w:lang w:val="fr-FR"/>
        </w:rPr>
        <w:t xml:space="preserve">à entreprendre </w:t>
      </w:r>
      <w:r w:rsidRPr="00A83153">
        <w:rPr>
          <w:lang w:val="fr-FR"/>
        </w:rPr>
        <w:t>et les mettre en œuvre ;</w:t>
      </w:r>
      <w:r w:rsidRPr="004B1407">
        <w:rPr>
          <w:lang w:val="fr-FR"/>
        </w:rPr>
        <w:t xml:space="preserve"> </w:t>
      </w:r>
    </w:p>
    <w:p w14:paraId="25842EFC" w14:textId="77777777" w:rsidR="00886A3C" w:rsidRPr="004B1407" w:rsidRDefault="00886A3C" w:rsidP="00886A3C">
      <w:pPr>
        <w:pStyle w:val="ListBullet"/>
        <w:rPr>
          <w:lang w:val="fr-FR"/>
        </w:rPr>
      </w:pPr>
      <w:r w:rsidRPr="00A83153">
        <w:rPr>
          <w:lang w:val="fr-FR"/>
        </w:rPr>
        <w:t>coordonner l</w:t>
      </w:r>
      <w:r>
        <w:rPr>
          <w:lang w:val="fr-FR"/>
        </w:rPr>
        <w:t>’</w:t>
      </w:r>
      <w:r w:rsidRPr="00A83153">
        <w:rPr>
          <w:lang w:val="fr-FR"/>
        </w:rPr>
        <w:t>ensemble de la mise en œuvre internationale ;</w:t>
      </w:r>
    </w:p>
    <w:p w14:paraId="5B0B5256" w14:textId="77777777" w:rsidR="00886A3C" w:rsidRPr="004B1407" w:rsidRDefault="00886A3C" w:rsidP="00886A3C">
      <w:pPr>
        <w:pStyle w:val="ListBullet"/>
        <w:rPr>
          <w:lang w:val="fr-FR"/>
        </w:rPr>
      </w:pPr>
      <w:r w:rsidRPr="00A83153">
        <w:rPr>
          <w:lang w:val="fr-FR"/>
        </w:rPr>
        <w:t>réunir des fonds pour la mise en œuvre ;</w:t>
      </w:r>
    </w:p>
    <w:p w14:paraId="5C629072" w14:textId="77777777" w:rsidR="00886A3C" w:rsidRPr="004B1407" w:rsidRDefault="00886A3C" w:rsidP="00886A3C">
      <w:pPr>
        <w:pStyle w:val="ListBullet"/>
        <w:rPr>
          <w:lang w:val="fr-FR"/>
        </w:rPr>
      </w:pPr>
      <w:r w:rsidRPr="00A83153">
        <w:rPr>
          <w:lang w:val="fr-FR"/>
        </w:rPr>
        <w:t>aider les États de l</w:t>
      </w:r>
      <w:r>
        <w:rPr>
          <w:lang w:val="fr-FR"/>
        </w:rPr>
        <w:t>’</w:t>
      </w:r>
      <w:r w:rsidRPr="00A83153">
        <w:rPr>
          <w:lang w:val="fr-FR"/>
        </w:rPr>
        <w:t>aire de répartition à élaborer des plans d</w:t>
      </w:r>
      <w:r>
        <w:rPr>
          <w:lang w:val="fr-FR"/>
        </w:rPr>
        <w:t>’</w:t>
      </w:r>
      <w:r w:rsidRPr="00A83153">
        <w:rPr>
          <w:lang w:val="fr-FR"/>
        </w:rPr>
        <w:t>action nationaux.</w:t>
      </w:r>
    </w:p>
    <w:p w14:paraId="4C4C5222" w14:textId="77777777" w:rsidR="00886A3C" w:rsidRPr="004B1407" w:rsidRDefault="00886A3C" w:rsidP="00886A3C">
      <w:pPr>
        <w:pStyle w:val="ListBullet"/>
        <w:rPr>
          <w:lang w:val="fr-FR"/>
        </w:rPr>
      </w:pPr>
      <w:r w:rsidRPr="00A83153">
        <w:rPr>
          <w:lang w:val="fr-FR"/>
        </w:rPr>
        <w:t>assurer une surveillance régulière et rigoureuse des populations de l</w:t>
      </w:r>
      <w:r>
        <w:rPr>
          <w:lang w:val="fr-FR"/>
        </w:rPr>
        <w:t>’</w:t>
      </w:r>
      <w:r w:rsidRPr="00A83153">
        <w:rPr>
          <w:lang w:val="fr-FR"/>
        </w:rPr>
        <w:t>espèce ;</w:t>
      </w:r>
    </w:p>
    <w:p w14:paraId="26F7D1B2" w14:textId="77777777" w:rsidR="00886A3C" w:rsidRPr="004B1407" w:rsidRDefault="00886A3C" w:rsidP="00886A3C">
      <w:pPr>
        <w:pStyle w:val="ListBullet"/>
        <w:rPr>
          <w:lang w:val="fr-FR"/>
        </w:rPr>
      </w:pPr>
      <w:r w:rsidRPr="00A83153">
        <w:rPr>
          <w:lang w:val="fr-FR"/>
        </w:rPr>
        <w:t xml:space="preserve">stimuler et soutenir la recherche scientifique </w:t>
      </w:r>
      <w:r>
        <w:rPr>
          <w:lang w:val="fr-FR"/>
        </w:rPr>
        <w:t>sur l’espèce</w:t>
      </w:r>
      <w:r w:rsidRPr="007B31E4">
        <w:rPr>
          <w:lang w:val="fr-FR"/>
        </w:rPr>
        <w:t xml:space="preserve">, nécessaire </w:t>
      </w:r>
      <w:r>
        <w:rPr>
          <w:lang w:val="fr-FR"/>
        </w:rPr>
        <w:t>à sa</w:t>
      </w:r>
      <w:r w:rsidRPr="007B31E4">
        <w:rPr>
          <w:lang w:val="fr-FR"/>
        </w:rPr>
        <w:t xml:space="preserve"> conservation ;</w:t>
      </w:r>
    </w:p>
    <w:p w14:paraId="0C34705C" w14:textId="77777777" w:rsidR="00886A3C" w:rsidRPr="004B1407" w:rsidRDefault="00886A3C" w:rsidP="00886A3C">
      <w:pPr>
        <w:pStyle w:val="ListBullet"/>
        <w:rPr>
          <w:lang w:val="fr-FR"/>
        </w:rPr>
      </w:pPr>
      <w:r>
        <w:rPr>
          <w:lang w:val="fr-FR"/>
        </w:rPr>
        <w:t>encourager</w:t>
      </w:r>
      <w:r w:rsidRPr="00A83153">
        <w:rPr>
          <w:lang w:val="fr-FR"/>
        </w:rPr>
        <w:t xml:space="preserve"> la protection du réseau de sites critiques pour l</w:t>
      </w:r>
      <w:r>
        <w:rPr>
          <w:lang w:val="fr-FR"/>
        </w:rPr>
        <w:t>’</w:t>
      </w:r>
      <w:r w:rsidRPr="00A83153">
        <w:rPr>
          <w:lang w:val="fr-FR"/>
        </w:rPr>
        <w:t>espèce ;</w:t>
      </w:r>
    </w:p>
    <w:p w14:paraId="52C732F7" w14:textId="77777777" w:rsidR="00886A3C" w:rsidRPr="004B1407" w:rsidRDefault="00886A3C" w:rsidP="00886A3C">
      <w:pPr>
        <w:pStyle w:val="ListBullet"/>
        <w:rPr>
          <w:lang w:val="fr-FR"/>
        </w:rPr>
      </w:pPr>
      <w:r w:rsidRPr="00A83153">
        <w:rPr>
          <w:lang w:val="fr-FR"/>
        </w:rPr>
        <w:t>faciliter la communication interne et externe et les échanges d</w:t>
      </w:r>
      <w:r>
        <w:rPr>
          <w:lang w:val="fr-FR"/>
        </w:rPr>
        <w:t>’</w:t>
      </w:r>
      <w:r w:rsidRPr="00A83153">
        <w:rPr>
          <w:lang w:val="fr-FR"/>
        </w:rPr>
        <w:t>informations scientifiques, techniques, juridiques et autres informations requises;</w:t>
      </w:r>
    </w:p>
    <w:p w14:paraId="3EFB1AC0" w14:textId="77777777" w:rsidR="00886A3C" w:rsidRPr="004B1407" w:rsidRDefault="00886A3C" w:rsidP="00886A3C">
      <w:pPr>
        <w:pStyle w:val="ListBullet"/>
        <w:rPr>
          <w:lang w:val="fr-FR"/>
        </w:rPr>
      </w:pPr>
      <w:r>
        <w:rPr>
          <w:lang w:val="fr-FR"/>
        </w:rPr>
        <w:t>a</w:t>
      </w:r>
      <w:r w:rsidRPr="00A83153">
        <w:rPr>
          <w:lang w:val="fr-FR"/>
        </w:rPr>
        <w:t xml:space="preserve">ider à réunir les informations nécessaires à la détermination du statut sur la </w:t>
      </w:r>
      <w:r>
        <w:rPr>
          <w:lang w:val="fr-FR"/>
        </w:rPr>
        <w:t>L</w:t>
      </w:r>
      <w:r w:rsidRPr="00A83153">
        <w:rPr>
          <w:lang w:val="fr-FR"/>
        </w:rPr>
        <w:t xml:space="preserve">iste rouge, ainsi que de la taille et </w:t>
      </w:r>
      <w:r>
        <w:rPr>
          <w:lang w:val="fr-FR"/>
        </w:rPr>
        <w:t>l</w:t>
      </w:r>
      <w:r w:rsidRPr="00A83153">
        <w:rPr>
          <w:lang w:val="fr-FR"/>
        </w:rPr>
        <w:t>es tendances des populations de l</w:t>
      </w:r>
      <w:r>
        <w:rPr>
          <w:lang w:val="fr-FR"/>
        </w:rPr>
        <w:t>’</w:t>
      </w:r>
      <w:r w:rsidRPr="00A83153">
        <w:rPr>
          <w:lang w:val="fr-FR"/>
        </w:rPr>
        <w:t>espèce ;</w:t>
      </w:r>
    </w:p>
    <w:p w14:paraId="423E1C9B" w14:textId="77777777" w:rsidR="00886A3C" w:rsidRPr="004B1407" w:rsidRDefault="00886A3C" w:rsidP="00886A3C">
      <w:pPr>
        <w:pStyle w:val="ListBullet"/>
        <w:rPr>
          <w:lang w:val="fr-FR"/>
        </w:rPr>
      </w:pPr>
      <w:r w:rsidRPr="00A83153">
        <w:rPr>
          <w:lang w:val="fr-FR"/>
        </w:rPr>
        <w:t>surveiller régulièrement l</w:t>
      </w:r>
      <w:r>
        <w:rPr>
          <w:lang w:val="fr-FR"/>
        </w:rPr>
        <w:t>’</w:t>
      </w:r>
      <w:r w:rsidRPr="00A83153">
        <w:rPr>
          <w:lang w:val="fr-FR"/>
        </w:rPr>
        <w:t>efficacité de la mise en œuvre du SSAP et entreprendre les actions appropriées en fonction des résultats de cette surveillance ;</w:t>
      </w:r>
    </w:p>
    <w:p w14:paraId="63DC2C84" w14:textId="77777777" w:rsidR="00886A3C" w:rsidRPr="004B1407" w:rsidRDefault="00886A3C" w:rsidP="00886A3C">
      <w:pPr>
        <w:pStyle w:val="ListBullet"/>
        <w:rPr>
          <w:lang w:val="fr-FR"/>
        </w:rPr>
      </w:pPr>
      <w:r w:rsidRPr="00A83153">
        <w:rPr>
          <w:lang w:val="fr-FR"/>
        </w:rPr>
        <w:t>remettre régulièrement un rapport sur la mise en œuvre du SSAP à la Réunion des Parties à l</w:t>
      </w:r>
      <w:r>
        <w:rPr>
          <w:lang w:val="fr-FR"/>
        </w:rPr>
        <w:t>’</w:t>
      </w:r>
      <w:r w:rsidRPr="00A83153">
        <w:rPr>
          <w:lang w:val="fr-FR"/>
        </w:rPr>
        <w:t>AEWA par l</w:t>
      </w:r>
      <w:r>
        <w:rPr>
          <w:lang w:val="fr-FR"/>
        </w:rPr>
        <w:t>’</w:t>
      </w:r>
      <w:r w:rsidRPr="00A83153">
        <w:rPr>
          <w:lang w:val="fr-FR"/>
        </w:rPr>
        <w:t>intermédiaire des points focaux nationaux</w:t>
      </w:r>
      <w:r>
        <w:rPr>
          <w:lang w:val="fr-FR"/>
        </w:rPr>
        <w:t xml:space="preserve"> </w:t>
      </w:r>
      <w:r w:rsidRPr="00A83153">
        <w:rPr>
          <w:lang w:val="fr-FR"/>
        </w:rPr>
        <w:t>et</w:t>
      </w:r>
    </w:p>
    <w:p w14:paraId="10A4A55D" w14:textId="77777777" w:rsidR="00886A3C" w:rsidRPr="004B1407" w:rsidRDefault="00886A3C" w:rsidP="00886A3C">
      <w:pPr>
        <w:pStyle w:val="ListBullet"/>
        <w:rPr>
          <w:lang w:val="fr-FR"/>
        </w:rPr>
      </w:pPr>
      <w:r w:rsidRPr="00596AF3">
        <w:rPr>
          <w:lang w:val="fr-FR"/>
        </w:rPr>
        <w:t>mettre à jour le SSAP international en [l</w:t>
      </w:r>
      <w:r>
        <w:rPr>
          <w:lang w:val="fr-FR"/>
        </w:rPr>
        <w:t>’</w:t>
      </w:r>
      <w:r w:rsidRPr="00596AF3">
        <w:rPr>
          <w:i/>
          <w:lang w:val="fr-FR"/>
        </w:rPr>
        <w:t>année où le SSAP doit être révisé</w:t>
      </w:r>
      <w:r w:rsidRPr="00596AF3">
        <w:rPr>
          <w:lang w:val="fr-FR"/>
        </w:rPr>
        <w:t>] ou si cette mise à jour est requise.</w:t>
      </w:r>
    </w:p>
    <w:p w14:paraId="1768995C" w14:textId="77777777" w:rsidR="00886A3C" w:rsidRPr="004B1407" w:rsidRDefault="00886A3C" w:rsidP="00886A3C">
      <w:pPr>
        <w:spacing w:after="0" w:line="240" w:lineRule="auto"/>
        <w:jc w:val="both"/>
        <w:rPr>
          <w:rFonts w:ascii="Times New Roman" w:hAnsi="Times New Roman" w:cs="Times New Roman"/>
          <w:lang w:val="fr-FR"/>
        </w:rPr>
      </w:pPr>
    </w:p>
    <w:p w14:paraId="22D01738" w14:textId="77777777" w:rsidR="00886A3C" w:rsidRPr="004B1407" w:rsidRDefault="00886A3C" w:rsidP="00886A3C">
      <w:pPr>
        <w:pStyle w:val="Heading2"/>
        <w:rPr>
          <w:szCs w:val="24"/>
          <w:lang w:val="fr-FR"/>
        </w:rPr>
      </w:pPr>
      <w:r w:rsidRPr="00596AF3">
        <w:rPr>
          <w:szCs w:val="24"/>
          <w:lang w:val="fr-FR"/>
        </w:rPr>
        <w:t>Membres</w:t>
      </w:r>
      <w:r>
        <w:rPr>
          <w:szCs w:val="24"/>
          <w:lang w:val="fr-FR"/>
        </w:rPr>
        <w:t xml:space="preserve"> du groupe</w:t>
      </w:r>
    </w:p>
    <w:p w14:paraId="24178D0C" w14:textId="77777777" w:rsidR="00886A3C" w:rsidRPr="004B1407" w:rsidRDefault="00886A3C" w:rsidP="00886A3C">
      <w:pPr>
        <w:spacing w:after="0" w:line="240" w:lineRule="auto"/>
        <w:jc w:val="both"/>
        <w:rPr>
          <w:rFonts w:ascii="Times New Roman" w:hAnsi="Times New Roman" w:cs="Times New Roman"/>
          <w:lang w:val="fr-FR"/>
        </w:rPr>
        <w:sectPr w:rsidR="00886A3C" w:rsidRPr="004B1407" w:rsidSect="00A31C8B">
          <w:headerReference w:type="default" r:id="rId116"/>
          <w:headerReference w:type="first" r:id="rId117"/>
          <w:footerReference w:type="first" r:id="rId118"/>
          <w:pgSz w:w="11906" w:h="16838" w:code="9"/>
          <w:pgMar w:top="1411" w:right="1411" w:bottom="1138" w:left="1411" w:header="706" w:footer="706" w:gutter="0"/>
          <w:cols w:space="708"/>
          <w:docGrid w:linePitch="360"/>
        </w:sectPr>
      </w:pPr>
      <w:r w:rsidRPr="00596AF3">
        <w:rPr>
          <w:rFonts w:ascii="Times New Roman" w:hAnsi="Times New Roman" w:cs="Times New Roman"/>
          <w:lang w:val="fr-FR"/>
        </w:rPr>
        <w:t>Le groupe de travail de l</w:t>
      </w:r>
      <w:r>
        <w:rPr>
          <w:rFonts w:ascii="Times New Roman" w:hAnsi="Times New Roman" w:cs="Times New Roman"/>
          <w:lang w:val="fr-FR"/>
        </w:rPr>
        <w:t>’</w:t>
      </w:r>
      <w:r w:rsidRPr="00596AF3">
        <w:rPr>
          <w:rFonts w:ascii="Times New Roman" w:hAnsi="Times New Roman" w:cs="Times New Roman"/>
          <w:lang w:val="fr-FR"/>
        </w:rPr>
        <w:t>AEWA par espèce comprendra (</w:t>
      </w:r>
      <w:r w:rsidRPr="00596AF3">
        <w:rPr>
          <w:rFonts w:ascii="Times New Roman" w:hAnsi="Times New Roman" w:cs="Times New Roman"/>
          <w:b/>
          <w:bCs/>
          <w:lang w:val="fr-FR"/>
        </w:rPr>
        <w:t>1</w:t>
      </w:r>
      <w:r w:rsidRPr="00596AF3">
        <w:rPr>
          <w:rFonts w:ascii="Times New Roman" w:hAnsi="Times New Roman" w:cs="Times New Roman"/>
          <w:lang w:val="fr-FR"/>
        </w:rPr>
        <w:t xml:space="preserve">) des représentants désignés des autorités </w:t>
      </w:r>
      <w:r>
        <w:rPr>
          <w:rFonts w:ascii="Times New Roman" w:hAnsi="Times New Roman" w:cs="Times New Roman"/>
          <w:lang w:val="fr-FR"/>
        </w:rPr>
        <w:t xml:space="preserve">gouvernementales </w:t>
      </w:r>
      <w:r w:rsidRPr="00596AF3">
        <w:rPr>
          <w:rFonts w:ascii="Times New Roman" w:hAnsi="Times New Roman" w:cs="Times New Roman"/>
          <w:lang w:val="fr-FR"/>
        </w:rPr>
        <w:t>nationales chargées de la mise en œuvre de l</w:t>
      </w:r>
      <w:r>
        <w:rPr>
          <w:rFonts w:ascii="Times New Roman" w:hAnsi="Times New Roman" w:cs="Times New Roman"/>
          <w:lang w:val="fr-FR"/>
        </w:rPr>
        <w:t>’</w:t>
      </w:r>
      <w:r w:rsidRPr="00596AF3">
        <w:rPr>
          <w:rFonts w:ascii="Times New Roman" w:hAnsi="Times New Roman" w:cs="Times New Roman"/>
          <w:lang w:val="fr-FR"/>
        </w:rPr>
        <w:t>AEWA et (</w:t>
      </w:r>
      <w:r w:rsidRPr="00596AF3">
        <w:rPr>
          <w:rFonts w:ascii="Times New Roman" w:hAnsi="Times New Roman" w:cs="Times New Roman"/>
          <w:b/>
          <w:bCs/>
          <w:lang w:val="fr-FR"/>
        </w:rPr>
        <w:t>2</w:t>
      </w:r>
      <w:r w:rsidRPr="00596AF3">
        <w:rPr>
          <w:rFonts w:ascii="Times New Roman" w:hAnsi="Times New Roman" w:cs="Times New Roman"/>
          <w:lang w:val="fr-FR"/>
        </w:rPr>
        <w:t>) des représentants des organisations d</w:t>
      </w:r>
      <w:r>
        <w:rPr>
          <w:rFonts w:ascii="Times New Roman" w:hAnsi="Times New Roman" w:cs="Times New Roman"/>
          <w:lang w:val="fr-FR"/>
        </w:rPr>
        <w:t>’</w:t>
      </w:r>
      <w:r w:rsidRPr="00596AF3">
        <w:rPr>
          <w:rFonts w:ascii="Times New Roman" w:hAnsi="Times New Roman" w:cs="Times New Roman"/>
          <w:lang w:val="fr-FR"/>
        </w:rPr>
        <w:t xml:space="preserve">experts </w:t>
      </w:r>
      <w:r>
        <w:rPr>
          <w:rFonts w:ascii="Times New Roman" w:hAnsi="Times New Roman" w:cs="Times New Roman"/>
          <w:lang w:val="fr-FR"/>
        </w:rPr>
        <w:t xml:space="preserve">nationaux et de spécialistes de la conservation invités </w:t>
      </w:r>
      <w:r w:rsidRPr="00596AF3">
        <w:rPr>
          <w:rFonts w:ascii="Times New Roman" w:hAnsi="Times New Roman" w:cs="Times New Roman"/>
          <w:lang w:val="fr-FR"/>
        </w:rPr>
        <w:t>par les autorités gouvernementales des principaux États de l</w:t>
      </w:r>
      <w:r>
        <w:rPr>
          <w:rFonts w:ascii="Times New Roman" w:hAnsi="Times New Roman" w:cs="Times New Roman"/>
          <w:lang w:val="fr-FR"/>
        </w:rPr>
        <w:t>’</w:t>
      </w:r>
      <w:r w:rsidRPr="00596AF3">
        <w:rPr>
          <w:rFonts w:ascii="Times New Roman" w:hAnsi="Times New Roman" w:cs="Times New Roman"/>
          <w:lang w:val="fr-FR"/>
        </w:rPr>
        <w:t>aire de répartition</w:t>
      </w:r>
      <w:r>
        <w:rPr>
          <w:rFonts w:ascii="Times New Roman" w:hAnsi="Times New Roman" w:cs="Times New Roman"/>
          <w:lang w:val="fr-FR"/>
        </w:rPr>
        <w:t xml:space="preserve"> à prendre part aux</w:t>
      </w:r>
      <w:r w:rsidRPr="00596AF3">
        <w:rPr>
          <w:rFonts w:ascii="Times New Roman" w:hAnsi="Times New Roman" w:cs="Times New Roman"/>
          <w:lang w:val="fr-FR"/>
        </w:rPr>
        <w:t xml:space="preserve"> délégations nationales.</w:t>
      </w:r>
    </w:p>
    <w:p w14:paraId="368AC6B3" w14:textId="77777777" w:rsidR="00886A3C" w:rsidRPr="004B1407" w:rsidRDefault="00886A3C" w:rsidP="00886A3C">
      <w:pPr>
        <w:spacing w:after="0" w:line="240" w:lineRule="auto"/>
        <w:jc w:val="both"/>
        <w:rPr>
          <w:rFonts w:ascii="Times New Roman" w:hAnsi="Times New Roman" w:cs="Times New Roman"/>
          <w:lang w:val="fr-FR"/>
        </w:rPr>
      </w:pPr>
      <w:r w:rsidRPr="000D2F4B">
        <w:rPr>
          <w:rFonts w:ascii="Times New Roman" w:hAnsi="Times New Roman" w:cs="Times New Roman"/>
          <w:b/>
          <w:bCs/>
          <w:lang w:val="fr-FR"/>
        </w:rPr>
        <w:lastRenderedPageBreak/>
        <w:t xml:space="preserve">Pays </w:t>
      </w:r>
      <w:r w:rsidRPr="006D3237">
        <w:rPr>
          <w:rFonts w:ascii="Times New Roman" w:hAnsi="Times New Roman" w:cs="Times New Roman"/>
          <w:b/>
          <w:bCs/>
          <w:lang w:val="fr-FR"/>
        </w:rPr>
        <w:t>apportant régulièrement leur soutien à l’espèce</w:t>
      </w:r>
      <w:r w:rsidRPr="000D2F4B">
        <w:rPr>
          <w:rFonts w:ascii="Times New Roman" w:hAnsi="Times New Roman" w:cs="Times New Roman"/>
          <w:lang w:val="fr-FR"/>
        </w:rPr>
        <w:t>:</w:t>
      </w:r>
      <w:r w:rsidRPr="004B1407">
        <w:rPr>
          <w:rFonts w:ascii="Times New Roman" w:hAnsi="Times New Roman" w:cs="Times New Roman"/>
          <w:lang w:val="fr-FR"/>
        </w:rPr>
        <w:t xml:space="preserve"> </w:t>
      </w:r>
      <w:r w:rsidRPr="000D2F4B">
        <w:rPr>
          <w:rFonts w:ascii="Times New Roman" w:hAnsi="Times New Roman" w:cs="Times New Roman"/>
          <w:lang w:val="fr-FR"/>
        </w:rPr>
        <w:t>[</w:t>
      </w:r>
      <w:r w:rsidRPr="000D2F4B">
        <w:rPr>
          <w:rFonts w:ascii="Times New Roman" w:hAnsi="Times New Roman" w:cs="Times New Roman"/>
          <w:i/>
          <w:lang w:val="fr-FR"/>
        </w:rPr>
        <w:t>liste des principaux États de l</w:t>
      </w:r>
      <w:r>
        <w:rPr>
          <w:rFonts w:ascii="Times New Roman" w:hAnsi="Times New Roman" w:cs="Times New Roman"/>
          <w:i/>
          <w:lang w:val="fr-FR"/>
        </w:rPr>
        <w:t>’</w:t>
      </w:r>
      <w:r w:rsidRPr="000D2F4B">
        <w:rPr>
          <w:rFonts w:ascii="Times New Roman" w:hAnsi="Times New Roman" w:cs="Times New Roman"/>
          <w:i/>
          <w:lang w:val="fr-FR"/>
        </w:rPr>
        <w:t>aire de répartition selon le SSAP</w:t>
      </w:r>
      <w:r w:rsidRPr="000D2F4B">
        <w:rPr>
          <w:rFonts w:ascii="Times New Roman" w:hAnsi="Times New Roman" w:cs="Times New Roman"/>
          <w:lang w:val="fr-FR"/>
        </w:rPr>
        <w:t>]</w:t>
      </w:r>
    </w:p>
    <w:p w14:paraId="04F5837E" w14:textId="77777777" w:rsidR="00886A3C" w:rsidRPr="004B1407" w:rsidRDefault="00886A3C" w:rsidP="00886A3C">
      <w:pPr>
        <w:spacing w:after="0" w:line="240" w:lineRule="auto"/>
        <w:jc w:val="both"/>
        <w:rPr>
          <w:rFonts w:ascii="Times New Roman" w:hAnsi="Times New Roman" w:cs="Times New Roman"/>
          <w:lang w:val="fr-FR"/>
        </w:rPr>
      </w:pPr>
    </w:p>
    <w:p w14:paraId="59C230AB" w14:textId="77777777" w:rsidR="00886A3C" w:rsidRPr="004B1407" w:rsidRDefault="00886A3C" w:rsidP="00886A3C">
      <w:pPr>
        <w:spacing w:after="0" w:line="240" w:lineRule="auto"/>
        <w:jc w:val="both"/>
        <w:rPr>
          <w:rFonts w:ascii="Times New Roman" w:hAnsi="Times New Roman" w:cs="Times New Roman"/>
          <w:lang w:val="fr-FR"/>
        </w:rPr>
      </w:pPr>
      <w:r w:rsidRPr="000D2F4B">
        <w:rPr>
          <w:rFonts w:ascii="Times New Roman" w:hAnsi="Times New Roman" w:cs="Times New Roman"/>
          <w:lang w:val="fr-FR"/>
        </w:rPr>
        <w:t>Le président de chaque groupe de travail peut, s</w:t>
      </w:r>
      <w:r>
        <w:rPr>
          <w:rFonts w:ascii="Times New Roman" w:hAnsi="Times New Roman" w:cs="Times New Roman"/>
          <w:lang w:val="fr-FR"/>
        </w:rPr>
        <w:t>’</w:t>
      </w:r>
      <w:r w:rsidRPr="000D2F4B">
        <w:rPr>
          <w:rFonts w:ascii="Times New Roman" w:hAnsi="Times New Roman" w:cs="Times New Roman"/>
          <w:lang w:val="fr-FR"/>
        </w:rPr>
        <w:t>il y a lieu,</w:t>
      </w:r>
      <w:r>
        <w:rPr>
          <w:rFonts w:ascii="Times New Roman" w:hAnsi="Times New Roman" w:cs="Times New Roman"/>
          <w:lang w:val="fr-FR"/>
        </w:rPr>
        <w:t xml:space="preserve"> </w:t>
      </w:r>
      <w:r w:rsidRPr="000D2F4B">
        <w:rPr>
          <w:rFonts w:ascii="Times New Roman" w:hAnsi="Times New Roman" w:cs="Times New Roman"/>
          <w:lang w:val="fr-FR"/>
        </w:rPr>
        <w:t>inviter et admettre des organisations d</w:t>
      </w:r>
      <w:r>
        <w:rPr>
          <w:rFonts w:ascii="Times New Roman" w:hAnsi="Times New Roman" w:cs="Times New Roman"/>
          <w:lang w:val="fr-FR"/>
        </w:rPr>
        <w:t>’</w:t>
      </w:r>
      <w:r w:rsidRPr="000D2F4B">
        <w:rPr>
          <w:rFonts w:ascii="Times New Roman" w:hAnsi="Times New Roman" w:cs="Times New Roman"/>
          <w:lang w:val="fr-FR"/>
        </w:rPr>
        <w:t>experts et de conservation internationales et des experts individuels en tant qu</w:t>
      </w:r>
      <w:r>
        <w:rPr>
          <w:rFonts w:ascii="Times New Roman" w:hAnsi="Times New Roman" w:cs="Times New Roman"/>
          <w:lang w:val="fr-FR"/>
        </w:rPr>
        <w:t>’</w:t>
      </w:r>
      <w:r w:rsidRPr="000D2F4B">
        <w:rPr>
          <w:rFonts w:ascii="Times New Roman" w:hAnsi="Times New Roman" w:cs="Times New Roman"/>
          <w:lang w:val="fr-FR"/>
        </w:rPr>
        <w:t>observateurs de ce groupe.</w:t>
      </w:r>
    </w:p>
    <w:p w14:paraId="09D1FD4C" w14:textId="77777777" w:rsidR="00886A3C" w:rsidRPr="004B1407" w:rsidRDefault="00886A3C" w:rsidP="00886A3C">
      <w:pPr>
        <w:pStyle w:val="Heading2"/>
        <w:rPr>
          <w:szCs w:val="24"/>
          <w:lang w:val="fr-FR"/>
        </w:rPr>
      </w:pPr>
    </w:p>
    <w:p w14:paraId="57EEF2AC" w14:textId="77777777" w:rsidR="00886A3C" w:rsidRPr="004B1407" w:rsidRDefault="00886A3C" w:rsidP="00886A3C">
      <w:pPr>
        <w:pStyle w:val="Heading2"/>
        <w:rPr>
          <w:szCs w:val="24"/>
          <w:lang w:val="fr-FR"/>
        </w:rPr>
      </w:pPr>
      <w:r>
        <w:rPr>
          <w:szCs w:val="24"/>
          <w:lang w:val="fr-FR"/>
        </w:rPr>
        <w:t>Désignation du bureau</w:t>
      </w:r>
    </w:p>
    <w:p w14:paraId="04E094D1" w14:textId="77777777" w:rsidR="00886A3C" w:rsidRPr="004B1407" w:rsidRDefault="00886A3C" w:rsidP="00886A3C">
      <w:pPr>
        <w:spacing w:after="0" w:line="240" w:lineRule="auto"/>
        <w:jc w:val="both"/>
        <w:rPr>
          <w:rFonts w:ascii="Times New Roman" w:hAnsi="Times New Roman" w:cs="Times New Roman"/>
          <w:lang w:val="fr-FR"/>
        </w:rPr>
      </w:pPr>
      <w:r>
        <w:rPr>
          <w:rFonts w:ascii="Times New Roman" w:hAnsi="Times New Roman" w:cs="Times New Roman"/>
          <w:lang w:val="fr-FR"/>
        </w:rPr>
        <w:t>Le</w:t>
      </w:r>
      <w:r w:rsidRPr="000D2F4B">
        <w:rPr>
          <w:rFonts w:ascii="Times New Roman" w:hAnsi="Times New Roman" w:cs="Times New Roman"/>
          <w:lang w:val="fr-FR"/>
        </w:rPr>
        <w:t xml:space="preserve"> </w:t>
      </w:r>
      <w:r w:rsidRPr="000D2F4B">
        <w:rPr>
          <w:rFonts w:ascii="Times New Roman" w:hAnsi="Times New Roman" w:cs="Times New Roman"/>
          <w:u w:val="single"/>
          <w:lang w:val="fr-FR"/>
        </w:rPr>
        <w:t>président</w:t>
      </w:r>
      <w:r w:rsidRPr="000D2F4B">
        <w:rPr>
          <w:rFonts w:ascii="Times New Roman" w:hAnsi="Times New Roman" w:cs="Times New Roman"/>
          <w:lang w:val="fr-FR"/>
        </w:rPr>
        <w:t xml:space="preserve"> du</w:t>
      </w:r>
      <w:r>
        <w:rPr>
          <w:rFonts w:ascii="Times New Roman" w:hAnsi="Times New Roman" w:cs="Times New Roman"/>
          <w:lang w:val="fr-FR"/>
        </w:rPr>
        <w:t xml:space="preserve"> </w:t>
      </w:r>
      <w:r w:rsidRPr="000D2F4B">
        <w:rPr>
          <w:rFonts w:ascii="Times New Roman" w:hAnsi="Times New Roman" w:cs="Times New Roman"/>
          <w:lang w:val="fr-FR"/>
        </w:rPr>
        <w:t>groupe de travail par espèce sera élu au sein de ses membres.</w:t>
      </w:r>
      <w:r w:rsidRPr="004B1407">
        <w:rPr>
          <w:rFonts w:ascii="Times New Roman" w:hAnsi="Times New Roman" w:cs="Times New Roman"/>
          <w:lang w:val="fr-FR"/>
        </w:rPr>
        <w:t xml:space="preserve"> </w:t>
      </w:r>
    </w:p>
    <w:p w14:paraId="36B9D1B8" w14:textId="77777777" w:rsidR="00886A3C" w:rsidRPr="004B1407" w:rsidRDefault="00886A3C" w:rsidP="00886A3C">
      <w:pPr>
        <w:spacing w:after="0" w:line="240" w:lineRule="auto"/>
        <w:jc w:val="both"/>
        <w:rPr>
          <w:rFonts w:ascii="Times New Roman" w:hAnsi="Times New Roman" w:cs="Times New Roman"/>
          <w:lang w:val="fr-FR"/>
        </w:rPr>
      </w:pPr>
    </w:p>
    <w:p w14:paraId="11AF57BD" w14:textId="77777777" w:rsidR="00886A3C" w:rsidRPr="004B1407" w:rsidRDefault="00886A3C" w:rsidP="00886A3C">
      <w:pPr>
        <w:spacing w:after="0" w:line="240" w:lineRule="auto"/>
        <w:jc w:val="both"/>
        <w:rPr>
          <w:rFonts w:ascii="Times New Roman" w:hAnsi="Times New Roman" w:cs="Times New Roman"/>
          <w:lang w:val="fr-FR"/>
        </w:rPr>
      </w:pPr>
      <w:r w:rsidRPr="000D2F4B">
        <w:rPr>
          <w:rFonts w:ascii="Times New Roman" w:hAnsi="Times New Roman" w:cs="Times New Roman"/>
          <w:lang w:val="fr-FR"/>
        </w:rPr>
        <w:t xml:space="preserve">Un poste de </w:t>
      </w:r>
      <w:r w:rsidRPr="000D2F4B">
        <w:rPr>
          <w:rFonts w:ascii="Times New Roman" w:hAnsi="Times New Roman" w:cs="Times New Roman"/>
          <w:u w:val="single"/>
          <w:lang w:val="fr-FR"/>
        </w:rPr>
        <w:t>coordinateur</w:t>
      </w:r>
      <w:r w:rsidRPr="000D2F4B">
        <w:rPr>
          <w:rFonts w:ascii="Times New Roman" w:hAnsi="Times New Roman" w:cs="Times New Roman"/>
          <w:lang w:val="fr-FR"/>
        </w:rPr>
        <w:t xml:space="preserve"> à mi-temps ou à plein temps sera basé dans une institution ou une organisation, </w:t>
      </w:r>
      <w:r>
        <w:rPr>
          <w:rFonts w:ascii="Times New Roman" w:hAnsi="Times New Roman" w:cs="Times New Roman"/>
          <w:lang w:val="fr-FR"/>
        </w:rPr>
        <w:t>de préférence</w:t>
      </w:r>
      <w:r w:rsidRPr="000D2F4B">
        <w:rPr>
          <w:rFonts w:ascii="Times New Roman" w:hAnsi="Times New Roman" w:cs="Times New Roman"/>
          <w:lang w:val="fr-FR"/>
        </w:rPr>
        <w:t xml:space="preserve"> faisant partie de l</w:t>
      </w:r>
      <w:r>
        <w:rPr>
          <w:rFonts w:ascii="Times New Roman" w:hAnsi="Times New Roman" w:cs="Times New Roman"/>
          <w:lang w:val="fr-FR"/>
        </w:rPr>
        <w:t>’</w:t>
      </w:r>
      <w:r w:rsidRPr="000D2F4B">
        <w:rPr>
          <w:rFonts w:ascii="Times New Roman" w:hAnsi="Times New Roman" w:cs="Times New Roman"/>
          <w:lang w:val="fr-FR"/>
        </w:rPr>
        <w:t>un des principaux États de l</w:t>
      </w:r>
      <w:r>
        <w:rPr>
          <w:rFonts w:ascii="Times New Roman" w:hAnsi="Times New Roman" w:cs="Times New Roman"/>
          <w:lang w:val="fr-FR"/>
        </w:rPr>
        <w:t>’</w:t>
      </w:r>
      <w:r w:rsidRPr="000D2F4B">
        <w:rPr>
          <w:rFonts w:ascii="Times New Roman" w:hAnsi="Times New Roman" w:cs="Times New Roman"/>
          <w:lang w:val="fr-FR"/>
        </w:rPr>
        <w:t>aire de répartition.</w:t>
      </w:r>
      <w:r w:rsidRPr="004B1407">
        <w:rPr>
          <w:rFonts w:ascii="Times New Roman" w:hAnsi="Times New Roman" w:cs="Times New Roman"/>
          <w:lang w:val="fr-FR"/>
        </w:rPr>
        <w:t xml:space="preserve"> </w:t>
      </w:r>
      <w:r w:rsidRPr="00A94770">
        <w:rPr>
          <w:rFonts w:ascii="Times New Roman" w:hAnsi="Times New Roman" w:cs="Times New Roman"/>
          <w:lang w:val="fr-FR"/>
        </w:rPr>
        <w:t xml:space="preserve">Le coordinateur sera chargé des affaires courantes du groupe de travail et </w:t>
      </w:r>
      <w:r>
        <w:rPr>
          <w:rFonts w:ascii="Times New Roman" w:hAnsi="Times New Roman" w:cs="Times New Roman"/>
          <w:lang w:val="fr-FR"/>
        </w:rPr>
        <w:t>travaillera</w:t>
      </w:r>
      <w:r w:rsidRPr="00A94770">
        <w:rPr>
          <w:rFonts w:ascii="Times New Roman" w:hAnsi="Times New Roman" w:cs="Times New Roman"/>
          <w:lang w:val="fr-FR"/>
        </w:rPr>
        <w:t xml:space="preserve"> en étroite collaboration avec le président et le Secrétariat de l</w:t>
      </w:r>
      <w:r>
        <w:rPr>
          <w:rFonts w:ascii="Times New Roman" w:hAnsi="Times New Roman" w:cs="Times New Roman"/>
          <w:lang w:val="fr-FR"/>
        </w:rPr>
        <w:t>’</w:t>
      </w:r>
      <w:r w:rsidRPr="00A94770">
        <w:rPr>
          <w:rFonts w:ascii="Times New Roman" w:hAnsi="Times New Roman" w:cs="Times New Roman"/>
          <w:lang w:val="fr-FR"/>
        </w:rPr>
        <w:t>AEWA.</w:t>
      </w:r>
    </w:p>
    <w:p w14:paraId="0EC5A39D" w14:textId="77777777" w:rsidR="00886A3C" w:rsidRPr="004B1407" w:rsidRDefault="00886A3C" w:rsidP="00886A3C">
      <w:pPr>
        <w:spacing w:after="0" w:line="240" w:lineRule="auto"/>
        <w:jc w:val="both"/>
        <w:rPr>
          <w:rFonts w:ascii="Times New Roman" w:hAnsi="Times New Roman" w:cs="Times New Roman"/>
          <w:lang w:val="fr-FR"/>
        </w:rPr>
      </w:pPr>
    </w:p>
    <w:p w14:paraId="4F22691E" w14:textId="77777777" w:rsidR="00886A3C" w:rsidRPr="004B1407" w:rsidRDefault="00886A3C" w:rsidP="00886A3C">
      <w:pPr>
        <w:spacing w:after="0" w:line="240" w:lineRule="auto"/>
        <w:jc w:val="both"/>
        <w:rPr>
          <w:rFonts w:ascii="Times New Roman" w:hAnsi="Times New Roman" w:cs="Times New Roman"/>
          <w:lang w:val="fr-FR"/>
        </w:rPr>
      </w:pPr>
      <w:r w:rsidRPr="00A94770">
        <w:rPr>
          <w:rFonts w:ascii="Times New Roman" w:hAnsi="Times New Roman" w:cs="Times New Roman"/>
          <w:lang w:val="fr-FR"/>
        </w:rPr>
        <w:t>Les représentants désignés des autorités nationales fer</w:t>
      </w:r>
      <w:r>
        <w:rPr>
          <w:rFonts w:ascii="Times New Roman" w:hAnsi="Times New Roman" w:cs="Times New Roman"/>
          <w:lang w:val="fr-FR"/>
        </w:rPr>
        <w:t>ont</w:t>
      </w:r>
      <w:r w:rsidRPr="00A94770">
        <w:rPr>
          <w:rFonts w:ascii="Times New Roman" w:hAnsi="Times New Roman" w:cs="Times New Roman"/>
          <w:lang w:val="fr-FR"/>
        </w:rPr>
        <w:t xml:space="preserve"> office de </w:t>
      </w:r>
      <w:r w:rsidRPr="00A94770">
        <w:rPr>
          <w:rFonts w:ascii="Times New Roman" w:hAnsi="Times New Roman" w:cs="Times New Roman"/>
          <w:u w:val="single"/>
          <w:lang w:val="fr-FR"/>
        </w:rPr>
        <w:t>points focaux nationaux</w:t>
      </w:r>
      <w:r w:rsidRPr="00A94770">
        <w:rPr>
          <w:rFonts w:ascii="Times New Roman" w:hAnsi="Times New Roman" w:cs="Times New Roman"/>
          <w:lang w:val="fr-FR"/>
        </w:rPr>
        <w:t xml:space="preserve"> pour le SSAP et seront les principaux contacts pour le président et le coordinateur.</w:t>
      </w:r>
    </w:p>
    <w:p w14:paraId="76278EBE" w14:textId="77777777" w:rsidR="00886A3C" w:rsidRPr="004B1407" w:rsidRDefault="00886A3C" w:rsidP="00886A3C">
      <w:pPr>
        <w:spacing w:after="0" w:line="240" w:lineRule="auto"/>
        <w:rPr>
          <w:rFonts w:ascii="Times New Roman" w:hAnsi="Times New Roman" w:cs="Times New Roman"/>
          <w:lang w:val="fr-FR"/>
        </w:rPr>
      </w:pPr>
    </w:p>
    <w:p w14:paraId="669C0FF9" w14:textId="77777777" w:rsidR="00886A3C" w:rsidRPr="004B1407" w:rsidRDefault="00886A3C" w:rsidP="00886A3C">
      <w:pPr>
        <w:pStyle w:val="Heading2"/>
        <w:rPr>
          <w:szCs w:val="24"/>
          <w:lang w:val="fr-FR"/>
        </w:rPr>
      </w:pPr>
      <w:r w:rsidRPr="00A94770">
        <w:rPr>
          <w:szCs w:val="24"/>
          <w:lang w:val="fr-FR"/>
        </w:rPr>
        <w:t>Réunions</w:t>
      </w:r>
    </w:p>
    <w:p w14:paraId="0C1DB487" w14:textId="77777777" w:rsidR="00886A3C" w:rsidRPr="004B1407" w:rsidRDefault="00886A3C" w:rsidP="00886A3C">
      <w:pPr>
        <w:autoSpaceDE w:val="0"/>
        <w:autoSpaceDN w:val="0"/>
        <w:adjustRightInd w:val="0"/>
        <w:spacing w:after="0" w:line="240" w:lineRule="auto"/>
        <w:jc w:val="both"/>
        <w:rPr>
          <w:rFonts w:ascii="Times New Roman" w:hAnsi="Times New Roman" w:cs="Times New Roman"/>
          <w:lang w:val="fr-FR"/>
        </w:rPr>
      </w:pPr>
      <w:r w:rsidRPr="00E336E4">
        <w:rPr>
          <w:rFonts w:ascii="Times New Roman" w:hAnsi="Times New Roman" w:cs="Times New Roman"/>
          <w:lang w:val="fr-FR"/>
        </w:rPr>
        <w:t xml:space="preserve">Le groupe de travail par espèce </w:t>
      </w:r>
      <w:r>
        <w:rPr>
          <w:rFonts w:ascii="Times New Roman" w:hAnsi="Times New Roman" w:cs="Times New Roman"/>
          <w:lang w:val="fr-FR"/>
        </w:rPr>
        <w:t xml:space="preserve">essaiera </w:t>
      </w:r>
      <w:r w:rsidRPr="00E336E4">
        <w:rPr>
          <w:rFonts w:ascii="Times New Roman" w:hAnsi="Times New Roman" w:cs="Times New Roman"/>
          <w:lang w:val="fr-FR"/>
        </w:rPr>
        <w:t xml:space="preserve">de se réunir </w:t>
      </w:r>
      <w:r>
        <w:rPr>
          <w:rFonts w:ascii="Times New Roman" w:hAnsi="Times New Roman" w:cs="Times New Roman"/>
          <w:lang w:val="fr-FR"/>
        </w:rPr>
        <w:t xml:space="preserve">en face à face </w:t>
      </w:r>
      <w:r w:rsidRPr="00E336E4">
        <w:rPr>
          <w:rFonts w:ascii="Times New Roman" w:hAnsi="Times New Roman" w:cs="Times New Roman"/>
          <w:lang w:val="fr-FR"/>
        </w:rPr>
        <w:t>une fois tous les trois ans.</w:t>
      </w:r>
      <w:r w:rsidRPr="004B1407">
        <w:rPr>
          <w:rFonts w:ascii="Times New Roman" w:hAnsi="Times New Roman" w:cs="Times New Roman"/>
          <w:lang w:val="fr-FR"/>
        </w:rPr>
        <w:t xml:space="preserve"> </w:t>
      </w:r>
      <w:r w:rsidRPr="00E336E4">
        <w:rPr>
          <w:rFonts w:ascii="Times New Roman" w:hAnsi="Times New Roman" w:cs="Times New Roman"/>
          <w:lang w:val="fr-FR"/>
        </w:rPr>
        <w:t>D</w:t>
      </w:r>
      <w:r>
        <w:rPr>
          <w:rFonts w:ascii="Times New Roman" w:hAnsi="Times New Roman" w:cs="Times New Roman"/>
          <w:lang w:val="fr-FR"/>
        </w:rPr>
        <w:t>’</w:t>
      </w:r>
      <w:r w:rsidRPr="00E336E4">
        <w:rPr>
          <w:rFonts w:ascii="Times New Roman" w:hAnsi="Times New Roman" w:cs="Times New Roman"/>
          <w:lang w:val="fr-FR"/>
        </w:rPr>
        <w:t>autres réunions pourront être organisées si les circonstances le permettent (par ex. des réunions juste avant ou après d</w:t>
      </w:r>
      <w:r>
        <w:rPr>
          <w:rFonts w:ascii="Times New Roman" w:hAnsi="Times New Roman" w:cs="Times New Roman"/>
          <w:lang w:val="fr-FR"/>
        </w:rPr>
        <w:t>’</w:t>
      </w:r>
      <w:r w:rsidRPr="00E336E4">
        <w:rPr>
          <w:rFonts w:ascii="Times New Roman" w:hAnsi="Times New Roman" w:cs="Times New Roman"/>
          <w:lang w:val="fr-FR"/>
        </w:rPr>
        <w:t>autres forums internationaux).</w:t>
      </w:r>
      <w:r w:rsidRPr="004B1407">
        <w:rPr>
          <w:rFonts w:ascii="Times New Roman" w:hAnsi="Times New Roman" w:cs="Times New Roman"/>
          <w:lang w:val="fr-FR"/>
        </w:rPr>
        <w:t xml:space="preserve"> </w:t>
      </w:r>
      <w:r w:rsidRPr="00E336E4">
        <w:rPr>
          <w:rFonts w:ascii="Times New Roman" w:hAnsi="Times New Roman" w:cs="Times New Roman"/>
          <w:lang w:val="fr-FR"/>
        </w:rPr>
        <w:t xml:space="preserve">Entre ces réunions, les </w:t>
      </w:r>
      <w:r>
        <w:rPr>
          <w:rFonts w:ascii="Times New Roman" w:hAnsi="Times New Roman" w:cs="Times New Roman"/>
          <w:lang w:val="fr-FR"/>
        </w:rPr>
        <w:t>diverses questions</w:t>
      </w:r>
      <w:r w:rsidRPr="00E336E4">
        <w:rPr>
          <w:rFonts w:ascii="Times New Roman" w:hAnsi="Times New Roman" w:cs="Times New Roman"/>
          <w:lang w:val="fr-FR"/>
        </w:rPr>
        <w:t xml:space="preserve"> seront traitées </w:t>
      </w:r>
      <w:r w:rsidRPr="00B75D03">
        <w:rPr>
          <w:rFonts w:ascii="Times New Roman" w:hAnsi="Times New Roman" w:cs="Times New Roman"/>
          <w:lang w:val="fr-FR"/>
        </w:rPr>
        <w:t>électroniquement</w:t>
      </w:r>
      <w:r>
        <w:rPr>
          <w:rFonts w:ascii="Times New Roman" w:hAnsi="Times New Roman" w:cs="Times New Roman"/>
          <w:lang w:val="fr-FR"/>
        </w:rPr>
        <w:t xml:space="preserve"> par l’intermédiaire du </w:t>
      </w:r>
      <w:r w:rsidRPr="00E336E4">
        <w:rPr>
          <w:rFonts w:ascii="Times New Roman" w:hAnsi="Times New Roman" w:cs="Times New Roman"/>
          <w:lang w:val="fr-FR"/>
        </w:rPr>
        <w:t>site Web e</w:t>
      </w:r>
      <w:r>
        <w:rPr>
          <w:rFonts w:ascii="Times New Roman" w:hAnsi="Times New Roman" w:cs="Times New Roman"/>
          <w:lang w:val="fr-FR"/>
        </w:rPr>
        <w:t>t</w:t>
      </w:r>
      <w:r w:rsidRPr="00E336E4">
        <w:rPr>
          <w:rFonts w:ascii="Times New Roman" w:hAnsi="Times New Roman" w:cs="Times New Roman"/>
          <w:lang w:val="fr-FR"/>
        </w:rPr>
        <w:t xml:space="preserve"> le serveur de listes du groupe de travail.</w:t>
      </w:r>
    </w:p>
    <w:p w14:paraId="6AA35630" w14:textId="77777777" w:rsidR="00886A3C" w:rsidRPr="004B1407" w:rsidRDefault="00886A3C" w:rsidP="00886A3C">
      <w:pPr>
        <w:tabs>
          <w:tab w:val="left" w:pos="5171"/>
        </w:tabs>
        <w:spacing w:after="0" w:line="240" w:lineRule="auto"/>
        <w:jc w:val="both"/>
        <w:rPr>
          <w:rFonts w:ascii="Times New Roman" w:hAnsi="Times New Roman" w:cs="Times New Roman"/>
          <w:lang w:val="fr-FR"/>
        </w:rPr>
      </w:pPr>
      <w:r w:rsidRPr="004B1407">
        <w:rPr>
          <w:rFonts w:ascii="Times New Roman" w:hAnsi="Times New Roman" w:cs="Times New Roman"/>
          <w:lang w:val="fr-FR"/>
        </w:rPr>
        <w:tab/>
      </w:r>
    </w:p>
    <w:p w14:paraId="172E63A7" w14:textId="77777777" w:rsidR="00886A3C" w:rsidRPr="004B1407" w:rsidRDefault="00886A3C" w:rsidP="00886A3C">
      <w:pPr>
        <w:pStyle w:val="Heading2"/>
        <w:rPr>
          <w:szCs w:val="24"/>
          <w:lang w:val="fr-FR"/>
        </w:rPr>
      </w:pPr>
      <w:r w:rsidRPr="00E336E4">
        <w:rPr>
          <w:szCs w:val="24"/>
          <w:lang w:val="fr-FR"/>
        </w:rPr>
        <w:t>Rapports</w:t>
      </w:r>
      <w:r w:rsidRPr="004B1407">
        <w:rPr>
          <w:szCs w:val="24"/>
          <w:lang w:val="fr-FR"/>
        </w:rPr>
        <w:t xml:space="preserve"> </w:t>
      </w:r>
    </w:p>
    <w:p w14:paraId="69B1CCF1" w14:textId="77777777" w:rsidR="00886A3C" w:rsidRPr="004B1407" w:rsidRDefault="00886A3C" w:rsidP="00886A3C">
      <w:pPr>
        <w:pStyle w:val="BodyText"/>
        <w:rPr>
          <w:rFonts w:ascii="Times New Roman" w:hAnsi="Times New Roman" w:cs="Times New Roman"/>
          <w:sz w:val="22"/>
          <w:szCs w:val="22"/>
          <w:lang w:val="fr-FR"/>
        </w:rPr>
      </w:pPr>
      <w:r w:rsidRPr="0078641D">
        <w:rPr>
          <w:rFonts w:ascii="Times New Roman" w:hAnsi="Times New Roman" w:cs="Times New Roman"/>
          <w:sz w:val="22"/>
          <w:szCs w:val="22"/>
          <w:lang w:val="fr-FR"/>
        </w:rPr>
        <w:t>Un rapport détaillé sur la mise en œuvre du SSAP sera produit selon un format standard et comprendra les contributions de tous États de l</w:t>
      </w:r>
      <w:r>
        <w:rPr>
          <w:rFonts w:ascii="Times New Roman" w:hAnsi="Times New Roman" w:cs="Times New Roman"/>
          <w:sz w:val="22"/>
          <w:szCs w:val="22"/>
          <w:lang w:val="fr-FR"/>
        </w:rPr>
        <w:t>’</w:t>
      </w:r>
      <w:r w:rsidRPr="0078641D">
        <w:rPr>
          <w:rFonts w:ascii="Times New Roman" w:hAnsi="Times New Roman" w:cs="Times New Roman"/>
          <w:sz w:val="22"/>
          <w:szCs w:val="22"/>
          <w:lang w:val="fr-FR"/>
        </w:rPr>
        <w:t>aire de répartition</w:t>
      </w:r>
      <w:r>
        <w:rPr>
          <w:rFonts w:ascii="Times New Roman" w:hAnsi="Times New Roman" w:cs="Times New Roman"/>
          <w:sz w:val="22"/>
          <w:szCs w:val="22"/>
          <w:lang w:val="fr-FR"/>
        </w:rPr>
        <w:t>. Il</w:t>
      </w:r>
      <w:r w:rsidRPr="0078641D">
        <w:rPr>
          <w:rFonts w:ascii="Times New Roman" w:hAnsi="Times New Roman" w:cs="Times New Roman"/>
          <w:sz w:val="22"/>
          <w:szCs w:val="22"/>
          <w:lang w:val="fr-FR"/>
        </w:rPr>
        <w:t xml:space="preserve"> sera soumis </w:t>
      </w:r>
      <w:r>
        <w:rPr>
          <w:rFonts w:ascii="Times New Roman" w:hAnsi="Times New Roman" w:cs="Times New Roman"/>
          <w:sz w:val="22"/>
          <w:szCs w:val="22"/>
          <w:lang w:val="fr-FR"/>
        </w:rPr>
        <w:t>aux fins d’</w:t>
      </w:r>
      <w:r w:rsidRPr="0078641D">
        <w:rPr>
          <w:rFonts w:ascii="Times New Roman" w:hAnsi="Times New Roman" w:cs="Times New Roman"/>
          <w:sz w:val="22"/>
          <w:szCs w:val="22"/>
          <w:lang w:val="fr-FR"/>
        </w:rPr>
        <w:t>inclusion dans l</w:t>
      </w:r>
      <w:r>
        <w:rPr>
          <w:rFonts w:ascii="Times New Roman" w:hAnsi="Times New Roman" w:cs="Times New Roman"/>
          <w:sz w:val="22"/>
          <w:szCs w:val="22"/>
          <w:lang w:val="fr-FR"/>
        </w:rPr>
        <w:t>’</w:t>
      </w:r>
      <w:r w:rsidRPr="0078641D">
        <w:rPr>
          <w:rFonts w:ascii="Times New Roman" w:hAnsi="Times New Roman" w:cs="Times New Roman"/>
          <w:sz w:val="22"/>
          <w:szCs w:val="22"/>
          <w:lang w:val="fr-FR"/>
        </w:rPr>
        <w:t>étude générale internationale sur le stade de préparation et de mise en œuvre des plans d</w:t>
      </w:r>
      <w:r>
        <w:rPr>
          <w:rFonts w:ascii="Times New Roman" w:hAnsi="Times New Roman" w:cs="Times New Roman"/>
          <w:sz w:val="22"/>
          <w:szCs w:val="22"/>
          <w:lang w:val="fr-FR"/>
        </w:rPr>
        <w:t>’</w:t>
      </w:r>
      <w:r w:rsidRPr="0078641D">
        <w:rPr>
          <w:rFonts w:ascii="Times New Roman" w:hAnsi="Times New Roman" w:cs="Times New Roman"/>
          <w:sz w:val="22"/>
          <w:szCs w:val="22"/>
          <w:lang w:val="fr-FR"/>
        </w:rPr>
        <w:t>action par espèce destinée à la Réunion des Parties à l</w:t>
      </w:r>
      <w:r>
        <w:rPr>
          <w:rFonts w:ascii="Times New Roman" w:hAnsi="Times New Roman" w:cs="Times New Roman"/>
          <w:sz w:val="22"/>
          <w:szCs w:val="22"/>
          <w:lang w:val="fr-FR"/>
        </w:rPr>
        <w:t>’</w:t>
      </w:r>
      <w:r w:rsidRPr="0078641D">
        <w:rPr>
          <w:rFonts w:ascii="Times New Roman" w:hAnsi="Times New Roman" w:cs="Times New Roman"/>
          <w:sz w:val="22"/>
          <w:szCs w:val="22"/>
          <w:lang w:val="fr-FR"/>
        </w:rPr>
        <w:t>AEWA.</w:t>
      </w:r>
      <w:r>
        <w:rPr>
          <w:rFonts w:ascii="Times New Roman" w:hAnsi="Times New Roman" w:cs="Times New Roman"/>
          <w:sz w:val="22"/>
          <w:szCs w:val="22"/>
          <w:lang w:val="fr-FR"/>
        </w:rPr>
        <w:t xml:space="preserve"> </w:t>
      </w:r>
      <w:r w:rsidRPr="0078641D">
        <w:rPr>
          <w:rFonts w:ascii="Times New Roman" w:hAnsi="Times New Roman" w:cs="Times New Roman"/>
          <w:sz w:val="22"/>
          <w:szCs w:val="22"/>
          <w:lang w:val="fr-FR"/>
        </w:rPr>
        <w:t>Des rapports seront également préparés par chaque État de l</w:t>
      </w:r>
      <w:r>
        <w:rPr>
          <w:rFonts w:ascii="Times New Roman" w:hAnsi="Times New Roman" w:cs="Times New Roman"/>
          <w:sz w:val="22"/>
          <w:szCs w:val="22"/>
          <w:lang w:val="fr-FR"/>
        </w:rPr>
        <w:t>’</w:t>
      </w:r>
      <w:r w:rsidRPr="0078641D">
        <w:rPr>
          <w:rFonts w:ascii="Times New Roman" w:hAnsi="Times New Roman" w:cs="Times New Roman"/>
          <w:sz w:val="22"/>
          <w:szCs w:val="22"/>
          <w:lang w:val="fr-FR"/>
        </w:rPr>
        <w:t>aire de répartition selon un format convenu par le groupe de travail et présenté lors de chaque réunion en face à face de ce dernier.</w:t>
      </w:r>
      <w:r w:rsidRPr="004B1407">
        <w:rPr>
          <w:rFonts w:ascii="Times New Roman" w:hAnsi="Times New Roman" w:cs="Times New Roman"/>
          <w:sz w:val="22"/>
          <w:szCs w:val="22"/>
          <w:lang w:val="fr-FR"/>
        </w:rPr>
        <w:t xml:space="preserve"> </w:t>
      </w:r>
      <w:r w:rsidRPr="0078641D">
        <w:rPr>
          <w:rFonts w:ascii="Times New Roman" w:hAnsi="Times New Roman" w:cs="Times New Roman"/>
          <w:sz w:val="22"/>
          <w:szCs w:val="22"/>
          <w:lang w:val="fr-FR"/>
        </w:rPr>
        <w:t>D</w:t>
      </w:r>
      <w:r>
        <w:rPr>
          <w:rFonts w:ascii="Times New Roman" w:hAnsi="Times New Roman" w:cs="Times New Roman"/>
          <w:sz w:val="22"/>
          <w:szCs w:val="22"/>
          <w:lang w:val="fr-FR"/>
        </w:rPr>
        <w:t>’</w:t>
      </w:r>
      <w:r w:rsidRPr="0078641D">
        <w:rPr>
          <w:rFonts w:ascii="Times New Roman" w:hAnsi="Times New Roman" w:cs="Times New Roman"/>
          <w:sz w:val="22"/>
          <w:szCs w:val="22"/>
          <w:lang w:val="fr-FR"/>
        </w:rPr>
        <w:t>autres rapports seront produits si le Comité technique ou le Secrétariat de l</w:t>
      </w:r>
      <w:r>
        <w:rPr>
          <w:rFonts w:ascii="Times New Roman" w:hAnsi="Times New Roman" w:cs="Times New Roman"/>
          <w:sz w:val="22"/>
          <w:szCs w:val="22"/>
          <w:lang w:val="fr-FR"/>
        </w:rPr>
        <w:t>’</w:t>
      </w:r>
      <w:r w:rsidRPr="0078641D">
        <w:rPr>
          <w:rFonts w:ascii="Times New Roman" w:hAnsi="Times New Roman" w:cs="Times New Roman"/>
          <w:sz w:val="22"/>
          <w:szCs w:val="22"/>
          <w:lang w:val="fr-FR"/>
        </w:rPr>
        <w:t>AEWA en font la demande.</w:t>
      </w:r>
      <w:r w:rsidRPr="004B1407">
        <w:rPr>
          <w:rFonts w:ascii="Times New Roman" w:hAnsi="Times New Roman" w:cs="Times New Roman"/>
          <w:sz w:val="22"/>
          <w:szCs w:val="22"/>
          <w:lang w:val="fr-FR"/>
        </w:rPr>
        <w:t xml:space="preserve"> </w:t>
      </w:r>
    </w:p>
    <w:p w14:paraId="65101A22" w14:textId="77777777" w:rsidR="00886A3C" w:rsidRPr="004B1407" w:rsidRDefault="00886A3C" w:rsidP="00886A3C">
      <w:pPr>
        <w:pStyle w:val="Heading1"/>
        <w:jc w:val="left"/>
        <w:rPr>
          <w:sz w:val="22"/>
          <w:szCs w:val="22"/>
          <w:lang w:val="fr-FR"/>
        </w:rPr>
      </w:pPr>
    </w:p>
    <w:p w14:paraId="35C7695D" w14:textId="77777777" w:rsidR="00886A3C" w:rsidRPr="004B1407" w:rsidRDefault="00886A3C" w:rsidP="00886A3C">
      <w:pPr>
        <w:spacing w:after="0" w:line="240" w:lineRule="auto"/>
        <w:rPr>
          <w:rFonts w:ascii="Times New Roman" w:hAnsi="Times New Roman" w:cs="Times New Roman"/>
          <w:b/>
          <w:lang w:val="fr-FR"/>
        </w:rPr>
      </w:pPr>
      <w:r w:rsidRPr="0078641D">
        <w:rPr>
          <w:rFonts w:ascii="Times New Roman" w:hAnsi="Times New Roman" w:cs="Times New Roman"/>
          <w:b/>
          <w:lang w:val="fr-FR"/>
        </w:rPr>
        <w:t>Financement</w:t>
      </w:r>
    </w:p>
    <w:p w14:paraId="3E21D48D" w14:textId="77777777" w:rsidR="00886A3C" w:rsidRPr="004B1407" w:rsidRDefault="00886A3C" w:rsidP="00886A3C">
      <w:pPr>
        <w:spacing w:after="0" w:line="240" w:lineRule="auto"/>
        <w:rPr>
          <w:rFonts w:ascii="Times New Roman" w:hAnsi="Times New Roman" w:cs="Times New Roman"/>
          <w:lang w:val="fr-FR"/>
        </w:rPr>
        <w:sectPr w:rsidR="00886A3C" w:rsidRPr="004B1407" w:rsidSect="00A31C8B">
          <w:headerReference w:type="default" r:id="rId119"/>
          <w:pgSz w:w="11906" w:h="16838" w:code="9"/>
          <w:pgMar w:top="1411" w:right="1411" w:bottom="1138" w:left="1411" w:header="706" w:footer="706" w:gutter="0"/>
          <w:cols w:space="708"/>
          <w:docGrid w:linePitch="360"/>
        </w:sectPr>
      </w:pPr>
      <w:r w:rsidRPr="001639A3">
        <w:rPr>
          <w:rFonts w:ascii="Times New Roman" w:hAnsi="Times New Roman" w:cs="Times New Roman"/>
          <w:lang w:val="fr-FR"/>
        </w:rPr>
        <w:t xml:space="preserve">Les </w:t>
      </w:r>
      <w:r>
        <w:rPr>
          <w:rFonts w:ascii="Times New Roman" w:hAnsi="Times New Roman" w:cs="Times New Roman"/>
          <w:lang w:val="fr-FR"/>
        </w:rPr>
        <w:t>activité</w:t>
      </w:r>
      <w:r w:rsidRPr="001639A3">
        <w:rPr>
          <w:rFonts w:ascii="Times New Roman" w:hAnsi="Times New Roman" w:cs="Times New Roman"/>
          <w:lang w:val="fr-FR"/>
        </w:rPr>
        <w:t>s du groupe de travail, y compris le poste de coordinateur, seront financés essentiellement par ses membres et,</w:t>
      </w:r>
      <w:r>
        <w:rPr>
          <w:rFonts w:ascii="Times New Roman" w:hAnsi="Times New Roman" w:cs="Times New Roman"/>
          <w:lang w:val="fr-FR"/>
        </w:rPr>
        <w:t xml:space="preserve"> </w:t>
      </w:r>
      <w:r w:rsidRPr="001639A3">
        <w:rPr>
          <w:rFonts w:ascii="Times New Roman" w:hAnsi="Times New Roman" w:cs="Times New Roman"/>
          <w:lang w:val="fr-FR"/>
        </w:rPr>
        <w:t>le cas échéant, par ses observateurs</w:t>
      </w:r>
      <w:r>
        <w:rPr>
          <w:rFonts w:ascii="Times New Roman" w:hAnsi="Times New Roman" w:cs="Times New Roman"/>
          <w:lang w:val="fr-FR"/>
        </w:rPr>
        <w:t>. L</w:t>
      </w:r>
      <w:r w:rsidRPr="001639A3">
        <w:rPr>
          <w:rFonts w:ascii="Times New Roman" w:hAnsi="Times New Roman" w:cs="Times New Roman"/>
          <w:lang w:val="fr-FR"/>
        </w:rPr>
        <w:t>e Secrétariat de l</w:t>
      </w:r>
      <w:r>
        <w:rPr>
          <w:rFonts w:ascii="Times New Roman" w:hAnsi="Times New Roman" w:cs="Times New Roman"/>
          <w:lang w:val="fr-FR"/>
        </w:rPr>
        <w:t>’</w:t>
      </w:r>
      <w:r w:rsidRPr="001639A3">
        <w:rPr>
          <w:rFonts w:ascii="Times New Roman" w:hAnsi="Times New Roman" w:cs="Times New Roman"/>
          <w:lang w:val="fr-FR"/>
        </w:rPr>
        <w:t>AEWA ne peut pas s</w:t>
      </w:r>
      <w:r>
        <w:rPr>
          <w:rFonts w:ascii="Times New Roman" w:hAnsi="Times New Roman" w:cs="Times New Roman"/>
          <w:lang w:val="fr-FR"/>
        </w:rPr>
        <w:t>’</w:t>
      </w:r>
      <w:r w:rsidRPr="001639A3">
        <w:rPr>
          <w:rFonts w:ascii="Times New Roman" w:hAnsi="Times New Roman" w:cs="Times New Roman"/>
          <w:lang w:val="fr-FR"/>
        </w:rPr>
        <w:t>engager à fournir un soutien financier régulier et ne le fera que dans la mesure du possible.</w:t>
      </w:r>
      <w:r w:rsidRPr="004B1407">
        <w:rPr>
          <w:rFonts w:ascii="Times New Roman" w:hAnsi="Times New Roman" w:cs="Times New Roman"/>
          <w:lang w:val="fr-FR"/>
        </w:rPr>
        <w:t xml:space="preserve"> </w:t>
      </w:r>
      <w:r w:rsidRPr="001639A3">
        <w:rPr>
          <w:rFonts w:ascii="Times New Roman" w:hAnsi="Times New Roman" w:cs="Times New Roman"/>
          <w:lang w:val="fr-FR"/>
        </w:rPr>
        <w:t xml:space="preserve">Le financement des activités pour le SSAP du groupe de travail ou de ses membres devra être </w:t>
      </w:r>
      <w:r>
        <w:rPr>
          <w:rFonts w:ascii="Times New Roman" w:hAnsi="Times New Roman" w:cs="Times New Roman"/>
          <w:lang w:val="fr-FR"/>
        </w:rPr>
        <w:t>re</w:t>
      </w:r>
      <w:r w:rsidRPr="001639A3">
        <w:rPr>
          <w:rFonts w:ascii="Times New Roman" w:hAnsi="Times New Roman" w:cs="Times New Roman"/>
          <w:lang w:val="fr-FR"/>
        </w:rPr>
        <w:t>cherch</w:t>
      </w:r>
      <w:r>
        <w:rPr>
          <w:rFonts w:ascii="Times New Roman" w:hAnsi="Times New Roman" w:cs="Times New Roman"/>
          <w:lang w:val="fr-FR"/>
        </w:rPr>
        <w:t>é</w:t>
      </w:r>
      <w:r w:rsidRPr="001639A3">
        <w:rPr>
          <w:rFonts w:ascii="Times New Roman" w:hAnsi="Times New Roman" w:cs="Times New Roman"/>
          <w:lang w:val="fr-FR"/>
        </w:rPr>
        <w:t xml:space="preserve"> auprès de diverse sources.</w:t>
      </w:r>
      <w:r w:rsidRPr="004B1407">
        <w:rPr>
          <w:rFonts w:ascii="Times New Roman" w:hAnsi="Times New Roman" w:cs="Times New Roman"/>
          <w:lang w:val="fr-FR"/>
        </w:rPr>
        <w:t xml:space="preserve"> </w:t>
      </w:r>
    </w:p>
    <w:p w14:paraId="32E3EECE" w14:textId="77777777" w:rsidR="00886A3C" w:rsidRPr="004B1407" w:rsidRDefault="00886A3C" w:rsidP="00886A3C">
      <w:pPr>
        <w:pStyle w:val="Header"/>
        <w:pBdr>
          <w:top w:val="single" w:sz="4" w:space="1" w:color="auto"/>
        </w:pBdr>
        <w:rPr>
          <w:szCs w:val="24"/>
          <w:lang w:val="fr-FR"/>
        </w:rPr>
      </w:pPr>
    </w:p>
    <w:p w14:paraId="6D4D168C" w14:textId="77777777" w:rsidR="00886A3C" w:rsidRPr="004B1407" w:rsidRDefault="00886A3C" w:rsidP="00886A3C">
      <w:pPr>
        <w:spacing w:after="0" w:line="240" w:lineRule="auto"/>
        <w:jc w:val="center"/>
        <w:rPr>
          <w:rFonts w:ascii="Times New Roman" w:hAnsi="Times New Roman" w:cs="Times New Roman"/>
          <w:b/>
          <w:sz w:val="28"/>
          <w:szCs w:val="28"/>
          <w:lang w:val="fr-FR"/>
        </w:rPr>
      </w:pPr>
    </w:p>
    <w:p w14:paraId="4166DE2A" w14:textId="77777777" w:rsidR="00886A3C" w:rsidRPr="004B1407" w:rsidRDefault="00886A3C" w:rsidP="00886A3C">
      <w:pPr>
        <w:spacing w:after="0" w:line="240" w:lineRule="auto"/>
        <w:jc w:val="center"/>
        <w:rPr>
          <w:rFonts w:ascii="Times New Roman" w:hAnsi="Times New Roman" w:cs="Times New Roman"/>
          <w:b/>
          <w:sz w:val="28"/>
          <w:szCs w:val="28"/>
          <w:lang w:val="fr-FR"/>
        </w:rPr>
      </w:pPr>
      <w:r w:rsidRPr="001A6AD3">
        <w:rPr>
          <w:rFonts w:ascii="Times New Roman" w:hAnsi="Times New Roman" w:cs="Times New Roman"/>
          <w:b/>
          <w:sz w:val="28"/>
          <w:szCs w:val="28"/>
          <w:lang w:val="fr-FR"/>
        </w:rPr>
        <w:t>Groupe d</w:t>
      </w:r>
      <w:r>
        <w:rPr>
          <w:rFonts w:ascii="Times New Roman" w:hAnsi="Times New Roman" w:cs="Times New Roman"/>
          <w:b/>
          <w:sz w:val="28"/>
          <w:szCs w:val="28"/>
          <w:lang w:val="fr-FR"/>
        </w:rPr>
        <w:t>’</w:t>
      </w:r>
      <w:r w:rsidRPr="001A6AD3">
        <w:rPr>
          <w:rFonts w:ascii="Times New Roman" w:hAnsi="Times New Roman" w:cs="Times New Roman"/>
          <w:b/>
          <w:sz w:val="28"/>
          <w:szCs w:val="28"/>
          <w:lang w:val="fr-FR"/>
        </w:rPr>
        <w:t>experts</w:t>
      </w:r>
      <w:r>
        <w:rPr>
          <w:rFonts w:ascii="Times New Roman" w:hAnsi="Times New Roman" w:cs="Times New Roman"/>
          <w:b/>
          <w:sz w:val="28"/>
          <w:szCs w:val="28"/>
          <w:lang w:val="fr-FR"/>
        </w:rPr>
        <w:t xml:space="preserve"> </w:t>
      </w:r>
      <w:r w:rsidRPr="001A6AD3">
        <w:rPr>
          <w:rFonts w:ascii="Times New Roman" w:hAnsi="Times New Roman" w:cs="Times New Roman"/>
          <w:b/>
          <w:sz w:val="28"/>
          <w:szCs w:val="28"/>
          <w:lang w:val="fr-FR"/>
        </w:rPr>
        <w:t>internationaux</w:t>
      </w:r>
      <w:r>
        <w:rPr>
          <w:rFonts w:ascii="Times New Roman" w:hAnsi="Times New Roman" w:cs="Times New Roman"/>
          <w:b/>
          <w:sz w:val="28"/>
          <w:szCs w:val="28"/>
          <w:lang w:val="fr-FR"/>
        </w:rPr>
        <w:t xml:space="preserve"> </w:t>
      </w:r>
      <w:r w:rsidRPr="001A6AD3">
        <w:rPr>
          <w:rFonts w:ascii="Times New Roman" w:hAnsi="Times New Roman" w:cs="Times New Roman"/>
          <w:b/>
          <w:sz w:val="28"/>
          <w:szCs w:val="28"/>
          <w:lang w:val="fr-FR"/>
        </w:rPr>
        <w:t>par</w:t>
      </w:r>
      <w:r>
        <w:rPr>
          <w:rFonts w:ascii="Times New Roman" w:hAnsi="Times New Roman" w:cs="Times New Roman"/>
          <w:b/>
          <w:sz w:val="28"/>
          <w:szCs w:val="28"/>
          <w:lang w:val="fr-FR"/>
        </w:rPr>
        <w:t xml:space="preserve"> </w:t>
      </w:r>
      <w:r w:rsidRPr="001A6AD3">
        <w:rPr>
          <w:rFonts w:ascii="Times New Roman" w:hAnsi="Times New Roman" w:cs="Times New Roman"/>
          <w:b/>
          <w:sz w:val="28"/>
          <w:szCs w:val="28"/>
          <w:lang w:val="fr-FR"/>
        </w:rPr>
        <w:t>espèce</w:t>
      </w:r>
      <w:r>
        <w:rPr>
          <w:rFonts w:ascii="Times New Roman" w:hAnsi="Times New Roman" w:cs="Times New Roman"/>
          <w:b/>
          <w:sz w:val="28"/>
          <w:szCs w:val="28"/>
          <w:lang w:val="fr-FR"/>
        </w:rPr>
        <w:t xml:space="preserve"> </w:t>
      </w:r>
      <w:r w:rsidRPr="001A6AD3">
        <w:rPr>
          <w:rFonts w:ascii="Times New Roman" w:hAnsi="Times New Roman" w:cs="Times New Roman"/>
          <w:b/>
          <w:sz w:val="28"/>
          <w:szCs w:val="28"/>
          <w:lang w:val="fr-FR"/>
        </w:rPr>
        <w:t>de l</w:t>
      </w:r>
      <w:r>
        <w:rPr>
          <w:rFonts w:ascii="Times New Roman" w:hAnsi="Times New Roman" w:cs="Times New Roman"/>
          <w:b/>
          <w:sz w:val="28"/>
          <w:szCs w:val="28"/>
          <w:lang w:val="fr-FR"/>
        </w:rPr>
        <w:t>’</w:t>
      </w:r>
      <w:r w:rsidRPr="001A6AD3">
        <w:rPr>
          <w:rFonts w:ascii="Times New Roman" w:hAnsi="Times New Roman" w:cs="Times New Roman"/>
          <w:b/>
          <w:sz w:val="28"/>
          <w:szCs w:val="28"/>
          <w:lang w:val="fr-FR"/>
        </w:rPr>
        <w:t>AEWA</w:t>
      </w:r>
    </w:p>
    <w:p w14:paraId="2265BAEA" w14:textId="77777777" w:rsidR="00886A3C" w:rsidRPr="004B1407" w:rsidRDefault="00886A3C" w:rsidP="00886A3C">
      <w:pPr>
        <w:spacing w:after="0" w:line="240" w:lineRule="auto"/>
        <w:jc w:val="center"/>
        <w:rPr>
          <w:rFonts w:ascii="Times New Roman" w:hAnsi="Times New Roman" w:cs="Times New Roman"/>
          <w:b/>
          <w:sz w:val="28"/>
          <w:szCs w:val="28"/>
          <w:lang w:val="fr-FR"/>
        </w:rPr>
      </w:pPr>
    </w:p>
    <w:p w14:paraId="33C06BB0" w14:textId="77777777" w:rsidR="00886A3C" w:rsidRPr="004B1407" w:rsidRDefault="00886A3C" w:rsidP="00886A3C">
      <w:pPr>
        <w:pStyle w:val="Heading1"/>
        <w:tabs>
          <w:tab w:val="left" w:pos="3075"/>
          <w:tab w:val="center" w:pos="5125"/>
        </w:tabs>
        <w:rPr>
          <w:szCs w:val="28"/>
          <w:lang w:val="fr-FR"/>
        </w:rPr>
      </w:pPr>
      <w:r w:rsidRPr="001A6AD3">
        <w:rPr>
          <w:szCs w:val="28"/>
          <w:lang w:val="fr-FR"/>
        </w:rPr>
        <w:t>Termes de référence</w:t>
      </w:r>
    </w:p>
    <w:p w14:paraId="77F0201E" w14:textId="77777777" w:rsidR="00886A3C" w:rsidRPr="004B1407" w:rsidRDefault="00886A3C" w:rsidP="00886A3C">
      <w:pPr>
        <w:spacing w:after="0" w:line="240" w:lineRule="auto"/>
        <w:rPr>
          <w:rFonts w:ascii="Times New Roman" w:hAnsi="Times New Roman" w:cs="Times New Roman"/>
          <w:lang w:val="fr-FR"/>
        </w:rPr>
      </w:pPr>
    </w:p>
    <w:p w14:paraId="520D0F4A" w14:textId="77777777" w:rsidR="00886A3C" w:rsidRPr="004B1407" w:rsidRDefault="00886A3C" w:rsidP="00886A3C">
      <w:pPr>
        <w:spacing w:after="0" w:line="240" w:lineRule="auto"/>
        <w:rPr>
          <w:rFonts w:ascii="Times New Roman" w:hAnsi="Times New Roman" w:cs="Times New Roman"/>
          <w:lang w:val="fr-FR"/>
        </w:rPr>
      </w:pPr>
    </w:p>
    <w:p w14:paraId="5A107567" w14:textId="77777777" w:rsidR="00886A3C" w:rsidRPr="004B1407" w:rsidRDefault="00886A3C" w:rsidP="00886A3C">
      <w:pPr>
        <w:pStyle w:val="Heading2"/>
        <w:rPr>
          <w:sz w:val="22"/>
          <w:szCs w:val="22"/>
          <w:lang w:val="fr-FR"/>
        </w:rPr>
      </w:pPr>
      <w:r>
        <w:rPr>
          <w:sz w:val="22"/>
          <w:szCs w:val="22"/>
          <w:lang w:val="fr-FR"/>
        </w:rPr>
        <w:t>But</w:t>
      </w:r>
    </w:p>
    <w:p w14:paraId="4474E35C" w14:textId="77777777" w:rsidR="00886A3C" w:rsidRPr="004B1407" w:rsidRDefault="00886A3C" w:rsidP="00886A3C">
      <w:pPr>
        <w:spacing w:after="0" w:line="240" w:lineRule="auto"/>
        <w:jc w:val="both"/>
        <w:rPr>
          <w:rFonts w:ascii="Times New Roman" w:hAnsi="Times New Roman" w:cs="Times New Roman"/>
          <w:lang w:val="fr-FR"/>
        </w:rPr>
      </w:pPr>
      <w:r w:rsidRPr="001A6AD3">
        <w:rPr>
          <w:rFonts w:ascii="Times New Roman" w:hAnsi="Times New Roman" w:cs="Times New Roman"/>
          <w:lang w:val="fr-FR"/>
        </w:rPr>
        <w:t xml:space="preserve">(défini dans le </w:t>
      </w:r>
      <w:r>
        <w:rPr>
          <w:rFonts w:ascii="Times New Roman" w:hAnsi="Times New Roman" w:cs="Times New Roman"/>
          <w:lang w:val="fr-FR"/>
        </w:rPr>
        <w:t>plan</w:t>
      </w:r>
      <w:r w:rsidRPr="001A6AD3">
        <w:rPr>
          <w:rFonts w:ascii="Times New Roman" w:hAnsi="Times New Roman" w:cs="Times New Roman"/>
          <w:lang w:val="fr-FR"/>
        </w:rPr>
        <w:t xml:space="preserve"> d</w:t>
      </w:r>
      <w:r>
        <w:rPr>
          <w:rFonts w:ascii="Times New Roman" w:hAnsi="Times New Roman" w:cs="Times New Roman"/>
          <w:lang w:val="fr-FR"/>
        </w:rPr>
        <w:t>’</w:t>
      </w:r>
      <w:r w:rsidRPr="001A6AD3">
        <w:rPr>
          <w:rFonts w:ascii="Times New Roman" w:hAnsi="Times New Roman" w:cs="Times New Roman"/>
          <w:lang w:val="fr-FR"/>
        </w:rPr>
        <w:t>action international par espèce pour [ NOM ESPÈCE / POPULATION])</w:t>
      </w:r>
    </w:p>
    <w:p w14:paraId="53430C53" w14:textId="77777777" w:rsidR="00886A3C" w:rsidRPr="004B1407" w:rsidRDefault="00886A3C" w:rsidP="00886A3C">
      <w:pPr>
        <w:spacing w:after="0" w:line="240" w:lineRule="auto"/>
        <w:jc w:val="both"/>
        <w:rPr>
          <w:rFonts w:ascii="Times New Roman" w:hAnsi="Times New Roman" w:cs="Times New Roman"/>
          <w:lang w:val="fr-FR"/>
        </w:rPr>
      </w:pPr>
    </w:p>
    <w:p w14:paraId="4E3CA611" w14:textId="77777777" w:rsidR="00886A3C" w:rsidRPr="00316642" w:rsidRDefault="00886A3C" w:rsidP="00886A3C">
      <w:pPr>
        <w:spacing w:after="0" w:line="240" w:lineRule="auto"/>
        <w:jc w:val="both"/>
        <w:rPr>
          <w:rFonts w:ascii="Times New Roman" w:hAnsi="Times New Roman" w:cs="Times New Roman"/>
        </w:rPr>
      </w:pPr>
      <w:r w:rsidRPr="001A6AD3">
        <w:rPr>
          <w:rFonts w:ascii="Times New Roman" w:hAnsi="Times New Roman" w:cs="Times New Roman"/>
          <w:lang w:val="fr-FR"/>
        </w:rPr>
        <w:t>par ex. maintenir [NOM ESPÈCE / POPULATION] à son niveau de [ANNÉE]</w:t>
      </w:r>
      <w:r>
        <w:rPr>
          <w:rFonts w:ascii="Times New Roman" w:hAnsi="Times New Roman" w:cs="Times New Roman"/>
          <w:lang w:val="fr-FR"/>
        </w:rPr>
        <w:t xml:space="preserve"> </w:t>
      </w:r>
      <w:r w:rsidRPr="001A6AD3">
        <w:rPr>
          <w:rFonts w:ascii="Times New Roman" w:hAnsi="Times New Roman" w:cs="Times New Roman"/>
          <w:lang w:val="fr-FR"/>
        </w:rPr>
        <w:t>(soit #.000 oiseaux) à long terme.</w:t>
      </w:r>
      <w:r w:rsidRPr="004B1407">
        <w:rPr>
          <w:rFonts w:ascii="Times New Roman" w:hAnsi="Times New Roman" w:cs="Times New Roman"/>
          <w:lang w:val="fr-FR"/>
        </w:rPr>
        <w:t xml:space="preserve"> </w:t>
      </w:r>
      <w:r w:rsidRPr="001A6AD3">
        <w:rPr>
          <w:rFonts w:ascii="Times New Roman" w:hAnsi="Times New Roman" w:cs="Times New Roman"/>
          <w:i/>
          <w:lang w:val="fr-FR"/>
        </w:rPr>
        <w:t>Indicateur :</w:t>
      </w:r>
      <w:r w:rsidRPr="00316642">
        <w:rPr>
          <w:rFonts w:ascii="Times New Roman" w:hAnsi="Times New Roman" w:cs="Times New Roman"/>
        </w:rPr>
        <w:t xml:space="preserve"> </w:t>
      </w:r>
      <w:r w:rsidRPr="00D14515">
        <w:rPr>
          <w:rFonts w:ascii="Times New Roman" w:hAnsi="Times New Roman" w:cs="Times New Roman"/>
          <w:lang w:val="fr-FR"/>
        </w:rPr>
        <w:t>Cinq années de comptages supérieurs à #.000 individus.</w:t>
      </w:r>
    </w:p>
    <w:p w14:paraId="07BBB2D2" w14:textId="77777777" w:rsidR="00886A3C" w:rsidRPr="00316642" w:rsidRDefault="00886A3C" w:rsidP="00886A3C">
      <w:pPr>
        <w:spacing w:after="0" w:line="240" w:lineRule="auto"/>
        <w:jc w:val="both"/>
        <w:rPr>
          <w:rFonts w:ascii="Times New Roman" w:hAnsi="Times New Roman" w:cs="Times New Roman"/>
        </w:rPr>
      </w:pPr>
    </w:p>
    <w:p w14:paraId="46C7D132" w14:textId="77777777" w:rsidR="00886A3C" w:rsidRPr="00316642" w:rsidRDefault="00886A3C" w:rsidP="00886A3C">
      <w:pPr>
        <w:pStyle w:val="Heading2"/>
        <w:rPr>
          <w:sz w:val="22"/>
          <w:szCs w:val="22"/>
        </w:rPr>
      </w:pPr>
      <w:r w:rsidRPr="00D14515">
        <w:rPr>
          <w:sz w:val="22"/>
          <w:szCs w:val="22"/>
          <w:lang w:val="fr-FR"/>
        </w:rPr>
        <w:t>Objectif</w:t>
      </w:r>
    </w:p>
    <w:p w14:paraId="7AB139C3" w14:textId="77777777" w:rsidR="00886A3C" w:rsidRPr="004B1407" w:rsidRDefault="00886A3C" w:rsidP="00886A3C">
      <w:pPr>
        <w:pStyle w:val="ListBullet"/>
        <w:rPr>
          <w:lang w:val="fr-FR"/>
        </w:rPr>
      </w:pPr>
      <w:r w:rsidRPr="00D14515">
        <w:rPr>
          <w:lang w:val="fr-FR"/>
        </w:rPr>
        <w:t>Par ex. mettre fin au déclin en cours et, si possible, commencer le rétablissement de la population à son niveau de [ANNÉE].</w:t>
      </w:r>
      <w:r w:rsidRPr="004B1407">
        <w:rPr>
          <w:lang w:val="fr-FR"/>
        </w:rPr>
        <w:t xml:space="preserve"> </w:t>
      </w:r>
      <w:r w:rsidRPr="00D14515">
        <w:rPr>
          <w:i/>
          <w:lang w:val="fr-FR"/>
        </w:rPr>
        <w:t>Indicateur :</w:t>
      </w:r>
      <w:r w:rsidRPr="004B1407">
        <w:rPr>
          <w:i/>
          <w:lang w:val="fr-FR"/>
        </w:rPr>
        <w:t xml:space="preserve"> </w:t>
      </w:r>
      <w:r w:rsidRPr="00D14515">
        <w:rPr>
          <w:lang w:val="fr-FR"/>
        </w:rPr>
        <w:t>Taille moyenne de population moyenne d</w:t>
      </w:r>
      <w:r>
        <w:rPr>
          <w:lang w:val="fr-FR"/>
        </w:rPr>
        <w:t>’</w:t>
      </w:r>
      <w:r w:rsidRPr="00D14515">
        <w:rPr>
          <w:lang w:val="fr-FR"/>
        </w:rPr>
        <w:t>ici à [ANNÉE] supérieure à ##.000 individus (soit le niveau de [ANNÉE]).</w:t>
      </w:r>
    </w:p>
    <w:p w14:paraId="7C01DC6E" w14:textId="77777777" w:rsidR="00886A3C" w:rsidRPr="004B1407" w:rsidRDefault="00886A3C" w:rsidP="00886A3C">
      <w:pPr>
        <w:spacing w:after="0" w:line="240" w:lineRule="auto"/>
        <w:jc w:val="both"/>
        <w:rPr>
          <w:rFonts w:ascii="Times New Roman" w:hAnsi="Times New Roman" w:cs="Times New Roman"/>
          <w:lang w:val="fr-FR"/>
        </w:rPr>
      </w:pPr>
    </w:p>
    <w:p w14:paraId="6E726C0F" w14:textId="77777777" w:rsidR="00886A3C" w:rsidRPr="004B1407" w:rsidRDefault="00886A3C" w:rsidP="00886A3C">
      <w:pPr>
        <w:pStyle w:val="Heading2"/>
        <w:rPr>
          <w:sz w:val="22"/>
          <w:szCs w:val="22"/>
          <w:lang w:val="fr-FR"/>
        </w:rPr>
      </w:pPr>
      <w:r w:rsidRPr="00D14515">
        <w:rPr>
          <w:sz w:val="22"/>
          <w:szCs w:val="22"/>
          <w:lang w:val="fr-FR"/>
        </w:rPr>
        <w:t>Rôle</w:t>
      </w:r>
    </w:p>
    <w:p w14:paraId="36A85E48" w14:textId="77777777" w:rsidR="00886A3C" w:rsidRPr="004B1407" w:rsidRDefault="00886A3C" w:rsidP="00886A3C">
      <w:pPr>
        <w:spacing w:after="0" w:line="240" w:lineRule="auto"/>
        <w:jc w:val="both"/>
        <w:rPr>
          <w:rFonts w:ascii="Times New Roman" w:hAnsi="Times New Roman" w:cs="Times New Roman"/>
          <w:lang w:val="fr-FR"/>
        </w:rPr>
      </w:pPr>
      <w:r w:rsidRPr="00D14515">
        <w:rPr>
          <w:rFonts w:ascii="Times New Roman" w:hAnsi="Times New Roman" w:cs="Times New Roman"/>
          <w:lang w:val="fr-FR"/>
        </w:rPr>
        <w:t>Le</w:t>
      </w:r>
      <w:r>
        <w:rPr>
          <w:rFonts w:ascii="Times New Roman" w:hAnsi="Times New Roman" w:cs="Times New Roman"/>
          <w:lang w:val="fr-FR"/>
        </w:rPr>
        <w:t xml:space="preserve"> </w:t>
      </w:r>
      <w:r w:rsidRPr="00D14515">
        <w:rPr>
          <w:rFonts w:ascii="Times New Roman" w:hAnsi="Times New Roman" w:cs="Times New Roman"/>
          <w:lang w:val="fr-FR"/>
        </w:rPr>
        <w:t>rôle du groupe d</w:t>
      </w:r>
      <w:r>
        <w:rPr>
          <w:rFonts w:ascii="Times New Roman" w:hAnsi="Times New Roman" w:cs="Times New Roman"/>
          <w:lang w:val="fr-FR"/>
        </w:rPr>
        <w:t>’</w:t>
      </w:r>
      <w:r w:rsidRPr="00D14515">
        <w:rPr>
          <w:rFonts w:ascii="Times New Roman" w:hAnsi="Times New Roman" w:cs="Times New Roman"/>
          <w:lang w:val="fr-FR"/>
        </w:rPr>
        <w:t>experts internationaux de l</w:t>
      </w:r>
      <w:r>
        <w:rPr>
          <w:rFonts w:ascii="Times New Roman" w:hAnsi="Times New Roman" w:cs="Times New Roman"/>
          <w:lang w:val="fr-FR"/>
        </w:rPr>
        <w:t>’</w:t>
      </w:r>
      <w:r w:rsidRPr="00D14515">
        <w:rPr>
          <w:rFonts w:ascii="Times New Roman" w:hAnsi="Times New Roman" w:cs="Times New Roman"/>
          <w:lang w:val="fr-FR"/>
        </w:rPr>
        <w:t>AEWA pour [NOM ESPÈCE / POPULATION] sera de :</w:t>
      </w:r>
    </w:p>
    <w:p w14:paraId="7435BA1C" w14:textId="77777777" w:rsidR="00886A3C" w:rsidRPr="004B1407" w:rsidRDefault="00886A3C" w:rsidP="00886A3C">
      <w:pPr>
        <w:pStyle w:val="ListNumber"/>
        <w:tabs>
          <w:tab w:val="clear" w:pos="432"/>
          <w:tab w:val="num" w:pos="284"/>
        </w:tabs>
        <w:ind w:left="284" w:hanging="284"/>
        <w:jc w:val="both"/>
        <w:rPr>
          <w:rFonts w:ascii="Times New Roman" w:hAnsi="Times New Roman"/>
          <w:sz w:val="22"/>
          <w:lang w:val="fr-FR"/>
        </w:rPr>
      </w:pPr>
      <w:r>
        <w:rPr>
          <w:rFonts w:ascii="Times New Roman" w:hAnsi="Times New Roman"/>
          <w:sz w:val="22"/>
          <w:lang w:val="fr-FR"/>
        </w:rPr>
        <w:t>C</w:t>
      </w:r>
      <w:r w:rsidRPr="00D14515">
        <w:rPr>
          <w:rFonts w:ascii="Times New Roman" w:hAnsi="Times New Roman"/>
          <w:sz w:val="22"/>
          <w:lang w:val="fr-FR"/>
        </w:rPr>
        <w:t xml:space="preserve">oordonner et catalyser la mise en œuvre du </w:t>
      </w:r>
      <w:r>
        <w:rPr>
          <w:rFonts w:ascii="Times New Roman" w:hAnsi="Times New Roman"/>
          <w:sz w:val="22"/>
          <w:lang w:val="fr-FR"/>
        </w:rPr>
        <w:t>plan</w:t>
      </w:r>
      <w:r w:rsidRPr="00D14515">
        <w:rPr>
          <w:rFonts w:ascii="Times New Roman" w:hAnsi="Times New Roman"/>
          <w:sz w:val="22"/>
          <w:lang w:val="fr-FR"/>
        </w:rPr>
        <w:t xml:space="preserve"> d</w:t>
      </w:r>
      <w:r>
        <w:rPr>
          <w:rFonts w:ascii="Times New Roman" w:hAnsi="Times New Roman"/>
          <w:sz w:val="22"/>
          <w:lang w:val="fr-FR"/>
        </w:rPr>
        <w:t>’</w:t>
      </w:r>
      <w:r w:rsidRPr="00D14515">
        <w:rPr>
          <w:rFonts w:ascii="Times New Roman" w:hAnsi="Times New Roman"/>
          <w:sz w:val="22"/>
          <w:lang w:val="fr-FR"/>
        </w:rPr>
        <w:t>action international par espèce (SSAP) de l</w:t>
      </w:r>
      <w:r>
        <w:rPr>
          <w:rFonts w:ascii="Times New Roman" w:hAnsi="Times New Roman"/>
          <w:sz w:val="22"/>
          <w:lang w:val="fr-FR"/>
        </w:rPr>
        <w:t>’</w:t>
      </w:r>
      <w:r w:rsidRPr="00D14515">
        <w:rPr>
          <w:rFonts w:ascii="Times New Roman" w:hAnsi="Times New Roman"/>
          <w:sz w:val="22"/>
          <w:lang w:val="fr-FR"/>
        </w:rPr>
        <w:t>AEWA pour [NOM ESPÈCE / POPULATION] ;</w:t>
      </w:r>
    </w:p>
    <w:p w14:paraId="4C31A8BA" w14:textId="77777777" w:rsidR="00886A3C" w:rsidRPr="004B1407" w:rsidRDefault="00886A3C" w:rsidP="00886A3C">
      <w:pPr>
        <w:pStyle w:val="ListNumber"/>
        <w:tabs>
          <w:tab w:val="clear" w:pos="432"/>
          <w:tab w:val="num" w:pos="284"/>
        </w:tabs>
        <w:ind w:left="284" w:hanging="284"/>
        <w:jc w:val="both"/>
        <w:rPr>
          <w:rFonts w:ascii="Times New Roman" w:hAnsi="Times New Roman"/>
          <w:sz w:val="22"/>
          <w:lang w:val="fr-FR"/>
        </w:rPr>
      </w:pPr>
      <w:r>
        <w:rPr>
          <w:rFonts w:ascii="Times New Roman" w:hAnsi="Times New Roman"/>
          <w:sz w:val="22"/>
          <w:lang w:val="fr-FR"/>
        </w:rPr>
        <w:t>S</w:t>
      </w:r>
      <w:r w:rsidRPr="00D14515">
        <w:rPr>
          <w:rFonts w:ascii="Times New Roman" w:hAnsi="Times New Roman"/>
          <w:sz w:val="22"/>
          <w:lang w:val="fr-FR"/>
        </w:rPr>
        <w:t>timuler et soutenir les États de l</w:t>
      </w:r>
      <w:r>
        <w:rPr>
          <w:rFonts w:ascii="Times New Roman" w:hAnsi="Times New Roman"/>
          <w:sz w:val="22"/>
          <w:lang w:val="fr-FR"/>
        </w:rPr>
        <w:t>’</w:t>
      </w:r>
      <w:r w:rsidRPr="00D14515">
        <w:rPr>
          <w:rFonts w:ascii="Times New Roman" w:hAnsi="Times New Roman"/>
          <w:sz w:val="22"/>
          <w:lang w:val="fr-FR"/>
        </w:rPr>
        <w:t>aire de répartition dans la mise en œuvre du SSAP ; et</w:t>
      </w:r>
      <w:r>
        <w:rPr>
          <w:rFonts w:ascii="Times New Roman" w:hAnsi="Times New Roman"/>
          <w:sz w:val="22"/>
          <w:lang w:val="fr-FR"/>
        </w:rPr>
        <w:t xml:space="preserve"> </w:t>
      </w:r>
    </w:p>
    <w:p w14:paraId="2822B86B" w14:textId="77777777" w:rsidR="00886A3C" w:rsidRPr="004B1407" w:rsidRDefault="00886A3C" w:rsidP="00886A3C">
      <w:pPr>
        <w:pStyle w:val="ListNumber"/>
        <w:tabs>
          <w:tab w:val="clear" w:pos="432"/>
          <w:tab w:val="num" w:pos="284"/>
        </w:tabs>
        <w:ind w:left="284" w:hanging="284"/>
        <w:jc w:val="both"/>
        <w:rPr>
          <w:rFonts w:ascii="Times New Roman" w:hAnsi="Times New Roman"/>
          <w:sz w:val="22"/>
          <w:lang w:val="fr-FR"/>
        </w:rPr>
      </w:pPr>
      <w:r>
        <w:rPr>
          <w:rFonts w:ascii="Times New Roman" w:hAnsi="Times New Roman"/>
          <w:sz w:val="22"/>
          <w:lang w:val="fr-FR"/>
        </w:rPr>
        <w:t>S</w:t>
      </w:r>
      <w:r w:rsidRPr="00D14515">
        <w:rPr>
          <w:rFonts w:ascii="Times New Roman" w:hAnsi="Times New Roman"/>
          <w:sz w:val="22"/>
          <w:lang w:val="fr-FR"/>
        </w:rPr>
        <w:t>urveiller et faire un rapport sur la mise en œuvre et l</w:t>
      </w:r>
      <w:r>
        <w:rPr>
          <w:rFonts w:ascii="Times New Roman" w:hAnsi="Times New Roman"/>
          <w:sz w:val="22"/>
          <w:lang w:val="fr-FR"/>
        </w:rPr>
        <w:t>’</w:t>
      </w:r>
      <w:r w:rsidRPr="00D14515">
        <w:rPr>
          <w:rFonts w:ascii="Times New Roman" w:hAnsi="Times New Roman"/>
          <w:sz w:val="22"/>
          <w:lang w:val="fr-FR"/>
        </w:rPr>
        <w:t>efficacité du SSAP.</w:t>
      </w:r>
    </w:p>
    <w:p w14:paraId="5709BA56" w14:textId="77777777" w:rsidR="00886A3C" w:rsidRPr="004B1407" w:rsidRDefault="00886A3C" w:rsidP="00886A3C">
      <w:pPr>
        <w:tabs>
          <w:tab w:val="num" w:pos="284"/>
        </w:tabs>
        <w:spacing w:after="0" w:line="240" w:lineRule="auto"/>
        <w:jc w:val="both"/>
        <w:rPr>
          <w:rFonts w:ascii="Times New Roman" w:hAnsi="Times New Roman" w:cs="Times New Roman"/>
          <w:lang w:val="fr-FR"/>
        </w:rPr>
      </w:pPr>
    </w:p>
    <w:p w14:paraId="2B3E4A70" w14:textId="77777777" w:rsidR="00886A3C" w:rsidRPr="004B1407" w:rsidRDefault="00886A3C" w:rsidP="00886A3C">
      <w:pPr>
        <w:pStyle w:val="Heading2"/>
        <w:rPr>
          <w:sz w:val="22"/>
          <w:szCs w:val="22"/>
          <w:lang w:val="fr-FR"/>
        </w:rPr>
      </w:pPr>
      <w:r w:rsidRPr="00D14515">
        <w:rPr>
          <w:sz w:val="22"/>
          <w:szCs w:val="22"/>
          <w:lang w:val="fr-FR"/>
        </w:rPr>
        <w:t>Attributions</w:t>
      </w:r>
    </w:p>
    <w:p w14:paraId="0FBA7252" w14:textId="77777777" w:rsidR="00886A3C" w:rsidRPr="004B1407" w:rsidRDefault="00886A3C" w:rsidP="00886A3C">
      <w:pPr>
        <w:spacing w:after="0" w:line="240" w:lineRule="auto"/>
        <w:ind w:hanging="284"/>
        <w:jc w:val="both"/>
        <w:rPr>
          <w:rFonts w:ascii="Times New Roman" w:hAnsi="Times New Roman" w:cs="Times New Roman"/>
          <w:lang w:val="fr-FR"/>
        </w:rPr>
      </w:pPr>
      <w:r w:rsidRPr="004B1407">
        <w:rPr>
          <w:rFonts w:ascii="Times New Roman" w:hAnsi="Times New Roman" w:cs="Times New Roman"/>
          <w:lang w:val="fr-FR"/>
        </w:rPr>
        <w:tab/>
      </w:r>
      <w:r w:rsidRPr="00D14515">
        <w:rPr>
          <w:rFonts w:ascii="Times New Roman" w:hAnsi="Times New Roman" w:cs="Times New Roman"/>
          <w:lang w:val="fr-FR"/>
        </w:rPr>
        <w:t>Le groupe d</w:t>
      </w:r>
      <w:r>
        <w:rPr>
          <w:rFonts w:ascii="Times New Roman" w:hAnsi="Times New Roman" w:cs="Times New Roman"/>
          <w:lang w:val="fr-FR"/>
        </w:rPr>
        <w:t>’</w:t>
      </w:r>
      <w:r w:rsidRPr="00D14515">
        <w:rPr>
          <w:rFonts w:ascii="Times New Roman" w:hAnsi="Times New Roman" w:cs="Times New Roman"/>
          <w:lang w:val="fr-FR"/>
        </w:rPr>
        <w:t>experts internationaux de l</w:t>
      </w:r>
      <w:r>
        <w:rPr>
          <w:rFonts w:ascii="Times New Roman" w:hAnsi="Times New Roman" w:cs="Times New Roman"/>
          <w:lang w:val="fr-FR"/>
        </w:rPr>
        <w:t>’</w:t>
      </w:r>
      <w:r w:rsidRPr="00D14515">
        <w:rPr>
          <w:rFonts w:ascii="Times New Roman" w:hAnsi="Times New Roman" w:cs="Times New Roman"/>
          <w:lang w:val="fr-FR"/>
        </w:rPr>
        <w:t>AEWA pour [NOM ESPÈCE / POPULATION] devra :</w:t>
      </w:r>
    </w:p>
    <w:p w14:paraId="7EC08023" w14:textId="77777777" w:rsidR="00886A3C" w:rsidRPr="004B1407" w:rsidRDefault="00886A3C" w:rsidP="00886A3C">
      <w:pPr>
        <w:pStyle w:val="ListBullet"/>
        <w:rPr>
          <w:lang w:val="fr-FR"/>
        </w:rPr>
      </w:pPr>
      <w:r w:rsidRPr="00D14515">
        <w:rPr>
          <w:lang w:val="fr-FR"/>
        </w:rPr>
        <w:t xml:space="preserve">Élaborer un </w:t>
      </w:r>
      <w:r>
        <w:rPr>
          <w:lang w:val="fr-FR"/>
        </w:rPr>
        <w:t>plan</w:t>
      </w:r>
      <w:r w:rsidRPr="00D14515">
        <w:rPr>
          <w:lang w:val="fr-FR"/>
        </w:rPr>
        <w:t xml:space="preserve"> d</w:t>
      </w:r>
      <w:r>
        <w:rPr>
          <w:lang w:val="fr-FR"/>
        </w:rPr>
        <w:t>’</w:t>
      </w:r>
      <w:r w:rsidRPr="00D14515">
        <w:rPr>
          <w:lang w:val="fr-FR"/>
        </w:rPr>
        <w:t>action international par espèce pour [</w:t>
      </w:r>
      <w:r w:rsidRPr="00D14515">
        <w:rPr>
          <w:rFonts w:ascii="Times New Roman" w:hAnsi="Times New Roman"/>
          <w:sz w:val="22"/>
          <w:lang w:val="fr-FR"/>
        </w:rPr>
        <w:t>NOM ESPÈCE / POPULATION] si celui-ci n</w:t>
      </w:r>
      <w:r>
        <w:rPr>
          <w:rFonts w:ascii="Times New Roman" w:hAnsi="Times New Roman"/>
          <w:sz w:val="22"/>
          <w:lang w:val="fr-FR"/>
        </w:rPr>
        <w:t xml:space="preserve">’existe pas </w:t>
      </w:r>
      <w:r w:rsidRPr="00D14515">
        <w:rPr>
          <w:rFonts w:ascii="Times New Roman" w:hAnsi="Times New Roman"/>
          <w:sz w:val="22"/>
          <w:lang w:val="fr-FR"/>
        </w:rPr>
        <w:t xml:space="preserve">encore, en liaison avec le </w:t>
      </w:r>
      <w:r w:rsidRPr="00D14515">
        <w:rPr>
          <w:lang w:val="fr-FR"/>
        </w:rPr>
        <w:t>Secrétariat PNUE/AEWA et conformément aux lignes directrices de planification d</w:t>
      </w:r>
      <w:r>
        <w:rPr>
          <w:lang w:val="fr-FR"/>
        </w:rPr>
        <w:t>’</w:t>
      </w:r>
      <w:r w:rsidRPr="00D14515">
        <w:rPr>
          <w:lang w:val="fr-FR"/>
        </w:rPr>
        <w:t>action de l</w:t>
      </w:r>
      <w:r>
        <w:rPr>
          <w:lang w:val="fr-FR"/>
        </w:rPr>
        <w:t>’</w:t>
      </w:r>
      <w:r w:rsidRPr="00D14515">
        <w:rPr>
          <w:lang w:val="fr-FR"/>
        </w:rPr>
        <w:t>AEWA ainsi qu</w:t>
      </w:r>
      <w:r>
        <w:rPr>
          <w:lang w:val="fr-FR"/>
        </w:rPr>
        <w:t>’</w:t>
      </w:r>
      <w:r w:rsidRPr="00D14515">
        <w:rPr>
          <w:lang w:val="fr-FR"/>
        </w:rPr>
        <w:t>en accord avec le processus convenu ;</w:t>
      </w:r>
    </w:p>
    <w:p w14:paraId="3A00C271" w14:textId="77777777" w:rsidR="00886A3C" w:rsidRPr="004B1407" w:rsidRDefault="00886A3C" w:rsidP="00886A3C">
      <w:pPr>
        <w:pStyle w:val="ListBullet"/>
        <w:rPr>
          <w:lang w:val="fr-FR"/>
        </w:rPr>
      </w:pPr>
      <w:r w:rsidRPr="00D14515">
        <w:rPr>
          <w:lang w:val="fr-FR"/>
        </w:rPr>
        <w:t>Définir les priorités en matière d</w:t>
      </w:r>
      <w:r>
        <w:rPr>
          <w:lang w:val="fr-FR"/>
        </w:rPr>
        <w:t>’</w:t>
      </w:r>
      <w:r w:rsidRPr="00D14515">
        <w:rPr>
          <w:lang w:val="fr-FR"/>
        </w:rPr>
        <w:t>action et les mettre en œuvre (cette étape et les étapes suivantes peuvent avoir lieu pendant qu</w:t>
      </w:r>
      <w:r>
        <w:rPr>
          <w:lang w:val="fr-FR"/>
        </w:rPr>
        <w:t>’</w:t>
      </w:r>
      <w:r w:rsidRPr="00D14515">
        <w:rPr>
          <w:lang w:val="fr-FR"/>
        </w:rPr>
        <w:t>un SSAP est toujours en cours d</w:t>
      </w:r>
      <w:r>
        <w:rPr>
          <w:lang w:val="fr-FR"/>
        </w:rPr>
        <w:t>’</w:t>
      </w:r>
      <w:r w:rsidRPr="00D14515">
        <w:rPr>
          <w:lang w:val="fr-FR"/>
        </w:rPr>
        <w:t>élaboration ou dans l</w:t>
      </w:r>
      <w:r>
        <w:rPr>
          <w:lang w:val="fr-FR"/>
        </w:rPr>
        <w:t>’</w:t>
      </w:r>
      <w:r w:rsidRPr="00D14515">
        <w:rPr>
          <w:lang w:val="fr-FR"/>
        </w:rPr>
        <w:t>attente d</w:t>
      </w:r>
      <w:r>
        <w:rPr>
          <w:lang w:val="fr-FR"/>
        </w:rPr>
        <w:t>’</w:t>
      </w:r>
      <w:r w:rsidRPr="00D14515">
        <w:rPr>
          <w:lang w:val="fr-FR"/>
        </w:rPr>
        <w:t>une approbation officielle) ;</w:t>
      </w:r>
      <w:r w:rsidRPr="004B1407">
        <w:rPr>
          <w:lang w:val="fr-FR"/>
        </w:rPr>
        <w:t xml:space="preserve"> </w:t>
      </w:r>
    </w:p>
    <w:p w14:paraId="4A30291D" w14:textId="77777777" w:rsidR="00886A3C" w:rsidRPr="004B1407" w:rsidRDefault="00886A3C" w:rsidP="00886A3C">
      <w:pPr>
        <w:pStyle w:val="ListBullet"/>
        <w:rPr>
          <w:lang w:val="fr-FR"/>
        </w:rPr>
      </w:pPr>
      <w:r>
        <w:rPr>
          <w:lang w:val="fr-FR"/>
        </w:rPr>
        <w:t>C</w:t>
      </w:r>
      <w:r w:rsidRPr="00D14515">
        <w:rPr>
          <w:lang w:val="fr-FR"/>
        </w:rPr>
        <w:t>oordonner l</w:t>
      </w:r>
      <w:r>
        <w:rPr>
          <w:lang w:val="fr-FR"/>
        </w:rPr>
        <w:t>’</w:t>
      </w:r>
      <w:r w:rsidRPr="00D14515">
        <w:rPr>
          <w:lang w:val="fr-FR"/>
        </w:rPr>
        <w:t>ensemble de la mise en œuvre internationale ;</w:t>
      </w:r>
    </w:p>
    <w:p w14:paraId="34A622FD" w14:textId="77777777" w:rsidR="00886A3C" w:rsidRPr="004B1407" w:rsidRDefault="00886A3C" w:rsidP="00886A3C">
      <w:pPr>
        <w:pStyle w:val="ListBullet"/>
        <w:rPr>
          <w:lang w:val="fr-FR"/>
        </w:rPr>
      </w:pPr>
      <w:r>
        <w:rPr>
          <w:lang w:val="fr-FR"/>
        </w:rPr>
        <w:t>R</w:t>
      </w:r>
      <w:r w:rsidRPr="00D14515">
        <w:rPr>
          <w:lang w:val="fr-FR"/>
        </w:rPr>
        <w:t>éunir des fonds pour la mise en œuvre ;</w:t>
      </w:r>
    </w:p>
    <w:p w14:paraId="64991B80" w14:textId="77777777" w:rsidR="00886A3C" w:rsidRPr="004B1407" w:rsidRDefault="00886A3C" w:rsidP="00886A3C">
      <w:pPr>
        <w:pStyle w:val="ListBullet"/>
        <w:rPr>
          <w:lang w:val="fr-FR"/>
        </w:rPr>
      </w:pPr>
      <w:r>
        <w:rPr>
          <w:lang w:val="fr-FR"/>
        </w:rPr>
        <w:t>A</w:t>
      </w:r>
      <w:r w:rsidRPr="00D14515">
        <w:rPr>
          <w:lang w:val="fr-FR"/>
        </w:rPr>
        <w:t>ider les États de l</w:t>
      </w:r>
      <w:r>
        <w:rPr>
          <w:lang w:val="fr-FR"/>
        </w:rPr>
        <w:t>’</w:t>
      </w:r>
      <w:r w:rsidRPr="00D14515">
        <w:rPr>
          <w:lang w:val="fr-FR"/>
        </w:rPr>
        <w:t>aire de répartition à élaborer des plans d</w:t>
      </w:r>
      <w:r>
        <w:rPr>
          <w:lang w:val="fr-FR"/>
        </w:rPr>
        <w:t>’</w:t>
      </w:r>
      <w:r w:rsidRPr="00D14515">
        <w:rPr>
          <w:lang w:val="fr-FR"/>
        </w:rPr>
        <w:t>action nationaux.</w:t>
      </w:r>
    </w:p>
    <w:p w14:paraId="60C0E44D" w14:textId="77777777" w:rsidR="00886A3C" w:rsidRPr="004B1407" w:rsidRDefault="00886A3C" w:rsidP="00886A3C">
      <w:pPr>
        <w:pStyle w:val="ListBullet"/>
        <w:rPr>
          <w:lang w:val="fr-FR"/>
        </w:rPr>
      </w:pPr>
      <w:r>
        <w:rPr>
          <w:lang w:val="fr-FR"/>
        </w:rPr>
        <w:t>A</w:t>
      </w:r>
      <w:r w:rsidRPr="00D14515">
        <w:rPr>
          <w:lang w:val="fr-FR"/>
        </w:rPr>
        <w:t>ssurer une surveillance régulière et rigoureuse des populations de l</w:t>
      </w:r>
      <w:r>
        <w:rPr>
          <w:lang w:val="fr-FR"/>
        </w:rPr>
        <w:t>’</w:t>
      </w:r>
      <w:r w:rsidRPr="00D14515">
        <w:rPr>
          <w:lang w:val="fr-FR"/>
        </w:rPr>
        <w:t>espèce ;</w:t>
      </w:r>
    </w:p>
    <w:p w14:paraId="63033FE7" w14:textId="77777777" w:rsidR="00886A3C" w:rsidRPr="004B1407" w:rsidRDefault="00886A3C" w:rsidP="00886A3C">
      <w:pPr>
        <w:pStyle w:val="ListBullet"/>
        <w:rPr>
          <w:lang w:val="fr-FR"/>
        </w:rPr>
      </w:pPr>
      <w:r>
        <w:rPr>
          <w:lang w:val="fr-FR"/>
        </w:rPr>
        <w:t>S</w:t>
      </w:r>
      <w:r w:rsidRPr="00D14515">
        <w:rPr>
          <w:lang w:val="fr-FR"/>
        </w:rPr>
        <w:t xml:space="preserve">timuler et soutenir la recherche scientifique nécessaire </w:t>
      </w:r>
      <w:r>
        <w:rPr>
          <w:lang w:val="fr-FR"/>
        </w:rPr>
        <w:t>à</w:t>
      </w:r>
      <w:r w:rsidRPr="00D14515">
        <w:rPr>
          <w:lang w:val="fr-FR"/>
        </w:rPr>
        <w:t xml:space="preserve"> la conservation de l</w:t>
      </w:r>
      <w:r>
        <w:rPr>
          <w:lang w:val="fr-FR"/>
        </w:rPr>
        <w:t>’</w:t>
      </w:r>
      <w:r w:rsidRPr="00D14515">
        <w:rPr>
          <w:lang w:val="fr-FR"/>
        </w:rPr>
        <w:t>espèce ;</w:t>
      </w:r>
    </w:p>
    <w:p w14:paraId="0EB76A45" w14:textId="77777777" w:rsidR="00886A3C" w:rsidRPr="004B1407" w:rsidRDefault="00886A3C" w:rsidP="00886A3C">
      <w:pPr>
        <w:pStyle w:val="ListBullet"/>
        <w:rPr>
          <w:lang w:val="fr-FR"/>
        </w:rPr>
      </w:pPr>
      <w:r>
        <w:rPr>
          <w:lang w:val="fr-FR"/>
        </w:rPr>
        <w:t>Encourager</w:t>
      </w:r>
      <w:r w:rsidRPr="00D14515">
        <w:rPr>
          <w:lang w:val="fr-FR"/>
        </w:rPr>
        <w:t xml:space="preserve"> la protection du réseau de sites critiques pour l</w:t>
      </w:r>
      <w:r>
        <w:rPr>
          <w:lang w:val="fr-FR"/>
        </w:rPr>
        <w:t>’</w:t>
      </w:r>
      <w:r w:rsidRPr="00D14515">
        <w:rPr>
          <w:lang w:val="fr-FR"/>
        </w:rPr>
        <w:t>espèce ;</w:t>
      </w:r>
    </w:p>
    <w:p w14:paraId="2D749B61" w14:textId="77777777" w:rsidR="00886A3C" w:rsidRPr="004B1407" w:rsidRDefault="00886A3C" w:rsidP="00886A3C">
      <w:pPr>
        <w:pStyle w:val="ListBullet"/>
        <w:rPr>
          <w:lang w:val="fr-FR"/>
        </w:rPr>
      </w:pPr>
      <w:r>
        <w:rPr>
          <w:lang w:val="fr-FR"/>
        </w:rPr>
        <w:t>F</w:t>
      </w:r>
      <w:r w:rsidRPr="00D14515">
        <w:rPr>
          <w:lang w:val="fr-FR"/>
        </w:rPr>
        <w:t>aciliter la communication interne et externe et les échanges d</w:t>
      </w:r>
      <w:r>
        <w:rPr>
          <w:lang w:val="fr-FR"/>
        </w:rPr>
        <w:t>’</w:t>
      </w:r>
      <w:r w:rsidRPr="00D14515">
        <w:rPr>
          <w:lang w:val="fr-FR"/>
        </w:rPr>
        <w:t xml:space="preserve"> informations scientifiques, techniques, juridiques et autres informations requises, notamment avec d</w:t>
      </w:r>
      <w:r>
        <w:rPr>
          <w:lang w:val="fr-FR"/>
        </w:rPr>
        <w:t>’</w:t>
      </w:r>
      <w:r w:rsidRPr="00D14515">
        <w:rPr>
          <w:lang w:val="fr-FR"/>
        </w:rPr>
        <w:t>autres spécialistes et parties concernées ;</w:t>
      </w:r>
    </w:p>
    <w:p w14:paraId="6D79A88F" w14:textId="77777777" w:rsidR="00886A3C" w:rsidRPr="004B1407" w:rsidRDefault="00886A3C" w:rsidP="00886A3C">
      <w:pPr>
        <w:pStyle w:val="ListBullet"/>
        <w:rPr>
          <w:lang w:val="fr-FR"/>
        </w:rPr>
      </w:pPr>
      <w:r w:rsidRPr="00D14515">
        <w:rPr>
          <w:lang w:val="fr-FR"/>
        </w:rPr>
        <w:t>Aider à réunir les informations nécessaires à la détermination de la taille et des tendances des populations de l</w:t>
      </w:r>
      <w:r>
        <w:rPr>
          <w:lang w:val="fr-FR"/>
        </w:rPr>
        <w:t>’</w:t>
      </w:r>
      <w:r w:rsidRPr="00D14515">
        <w:rPr>
          <w:lang w:val="fr-FR"/>
        </w:rPr>
        <w:t>espèce ;</w:t>
      </w:r>
    </w:p>
    <w:p w14:paraId="6F446B5C" w14:textId="77777777" w:rsidR="00886A3C" w:rsidRPr="004B1407" w:rsidRDefault="00886A3C" w:rsidP="00886A3C">
      <w:pPr>
        <w:pStyle w:val="ListBullet"/>
        <w:jc w:val="left"/>
        <w:rPr>
          <w:lang w:val="fr-FR"/>
        </w:rPr>
        <w:sectPr w:rsidR="00886A3C" w:rsidRPr="004B1407" w:rsidSect="00A31C8B">
          <w:headerReference w:type="default" r:id="rId120"/>
          <w:pgSz w:w="11906" w:h="16838" w:code="9"/>
          <w:pgMar w:top="1411" w:right="1411" w:bottom="1138" w:left="1411" w:header="706" w:footer="706" w:gutter="0"/>
          <w:cols w:space="708"/>
          <w:docGrid w:linePitch="360"/>
        </w:sectPr>
      </w:pPr>
      <w:r>
        <w:rPr>
          <w:lang w:val="fr-FR"/>
        </w:rPr>
        <w:t>S</w:t>
      </w:r>
      <w:r w:rsidRPr="00D14515">
        <w:rPr>
          <w:lang w:val="fr-FR"/>
        </w:rPr>
        <w:t>urveiller régulièrement l</w:t>
      </w:r>
      <w:r>
        <w:rPr>
          <w:lang w:val="fr-FR"/>
        </w:rPr>
        <w:t>’</w:t>
      </w:r>
      <w:r w:rsidRPr="00D14515">
        <w:rPr>
          <w:lang w:val="fr-FR"/>
        </w:rPr>
        <w:t>efficacité de la mise en œuvre du SSAP et entreprendre les actions appropriées en fonction des résultats de cette surveillance ;</w:t>
      </w:r>
    </w:p>
    <w:p w14:paraId="2ED79A8A" w14:textId="77777777" w:rsidR="00886A3C" w:rsidRPr="004B1407" w:rsidRDefault="00886A3C" w:rsidP="00886A3C">
      <w:pPr>
        <w:pStyle w:val="ListBullet"/>
        <w:tabs>
          <w:tab w:val="clear" w:pos="360"/>
          <w:tab w:val="num" w:pos="284"/>
          <w:tab w:val="left" w:pos="426"/>
        </w:tabs>
        <w:ind w:left="284" w:hanging="284"/>
        <w:rPr>
          <w:lang w:val="fr-FR"/>
        </w:rPr>
      </w:pPr>
      <w:r w:rsidRPr="005927D3">
        <w:rPr>
          <w:lang w:val="fr-FR"/>
        </w:rPr>
        <w:lastRenderedPageBreak/>
        <w:t>Faire régulièrement un compte rendu sur la mise en œuvre du SSAP à la Réunion des Parties à l</w:t>
      </w:r>
      <w:r>
        <w:rPr>
          <w:lang w:val="fr-FR"/>
        </w:rPr>
        <w:t>’</w:t>
      </w:r>
      <w:r w:rsidRPr="005927D3">
        <w:rPr>
          <w:lang w:val="fr-FR"/>
        </w:rPr>
        <w:t>AEWA en soumettant des rapports au Secrétariat PNUE/AEWA ; et</w:t>
      </w:r>
    </w:p>
    <w:p w14:paraId="20506C30" w14:textId="77777777" w:rsidR="00886A3C" w:rsidRPr="004B1407" w:rsidRDefault="00886A3C" w:rsidP="00886A3C">
      <w:pPr>
        <w:pStyle w:val="ListBullet"/>
        <w:tabs>
          <w:tab w:val="clear" w:pos="360"/>
          <w:tab w:val="num" w:pos="284"/>
          <w:tab w:val="left" w:pos="426"/>
        </w:tabs>
        <w:ind w:left="284" w:hanging="284"/>
        <w:rPr>
          <w:lang w:val="fr-FR"/>
        </w:rPr>
      </w:pPr>
      <w:r w:rsidRPr="000C1F2C">
        <w:rPr>
          <w:lang w:val="fr-FR"/>
        </w:rPr>
        <w:t>Réviser le SSAP international d</w:t>
      </w:r>
      <w:r>
        <w:rPr>
          <w:lang w:val="fr-FR"/>
        </w:rPr>
        <w:t>’</w:t>
      </w:r>
      <w:r w:rsidRPr="000C1F2C">
        <w:rPr>
          <w:lang w:val="fr-FR"/>
        </w:rPr>
        <w:t>ici [DATE] et le mettre à jour en [DATE] ou si nécessaire.</w:t>
      </w:r>
    </w:p>
    <w:p w14:paraId="48532EED" w14:textId="77777777" w:rsidR="00886A3C" w:rsidRPr="004B1407" w:rsidRDefault="00886A3C" w:rsidP="00886A3C">
      <w:pPr>
        <w:spacing w:after="0" w:line="240" w:lineRule="auto"/>
        <w:jc w:val="both"/>
        <w:rPr>
          <w:rFonts w:ascii="Times New Roman" w:hAnsi="Times New Roman" w:cs="Times New Roman"/>
          <w:lang w:val="fr-FR"/>
        </w:rPr>
      </w:pPr>
    </w:p>
    <w:p w14:paraId="3A3C0A7F" w14:textId="77777777" w:rsidR="00886A3C" w:rsidRPr="00316642" w:rsidRDefault="00886A3C" w:rsidP="00886A3C">
      <w:pPr>
        <w:pStyle w:val="Heading2"/>
        <w:rPr>
          <w:sz w:val="22"/>
          <w:szCs w:val="22"/>
        </w:rPr>
      </w:pPr>
      <w:r w:rsidRPr="000C1F2C">
        <w:rPr>
          <w:sz w:val="22"/>
          <w:szCs w:val="22"/>
          <w:lang w:val="fr-FR"/>
        </w:rPr>
        <w:t>Membres</w:t>
      </w:r>
      <w:r>
        <w:rPr>
          <w:sz w:val="22"/>
          <w:szCs w:val="22"/>
          <w:lang w:val="fr-FR"/>
        </w:rPr>
        <w:t xml:space="preserve"> du groupe</w:t>
      </w:r>
    </w:p>
    <w:p w14:paraId="2C6B8028" w14:textId="77777777" w:rsidR="00886A3C" w:rsidRPr="004B1407" w:rsidRDefault="00886A3C" w:rsidP="00886A3C">
      <w:pPr>
        <w:pStyle w:val="ListBullet"/>
        <w:rPr>
          <w:lang w:val="fr-FR"/>
        </w:rPr>
      </w:pPr>
      <w:r w:rsidRPr="00B75D03">
        <w:rPr>
          <w:lang w:val="fr-FR"/>
        </w:rPr>
        <w:t>Le groupe d</w:t>
      </w:r>
      <w:r>
        <w:rPr>
          <w:lang w:val="fr-FR"/>
        </w:rPr>
        <w:t>’</w:t>
      </w:r>
      <w:r w:rsidRPr="00B75D03">
        <w:rPr>
          <w:lang w:val="fr-FR"/>
        </w:rPr>
        <w:t>experts internationaux de l</w:t>
      </w:r>
      <w:r>
        <w:rPr>
          <w:lang w:val="fr-FR"/>
        </w:rPr>
        <w:t>’</w:t>
      </w:r>
      <w:r w:rsidRPr="00B75D03">
        <w:rPr>
          <w:lang w:val="fr-FR"/>
        </w:rPr>
        <w:t>AEWA pour [NOM ESPÈCE / POPULATION] sera ouvert (</w:t>
      </w:r>
      <w:r w:rsidRPr="00B75D03">
        <w:rPr>
          <w:b/>
          <w:bCs/>
          <w:lang w:val="fr-FR"/>
        </w:rPr>
        <w:t>1</w:t>
      </w:r>
      <w:r w:rsidRPr="00B75D03">
        <w:rPr>
          <w:lang w:val="fr-FR"/>
        </w:rPr>
        <w:t>) aux représentants des organismes gouvernementaux de tous les États clés de l</w:t>
      </w:r>
      <w:r>
        <w:rPr>
          <w:lang w:val="fr-FR"/>
        </w:rPr>
        <w:t>’</w:t>
      </w:r>
      <w:r w:rsidRPr="00B75D03">
        <w:rPr>
          <w:lang w:val="fr-FR"/>
        </w:rPr>
        <w:t>aire de répartition importants pour la mise en œuvre de l</w:t>
      </w:r>
      <w:r>
        <w:rPr>
          <w:lang w:val="fr-FR"/>
        </w:rPr>
        <w:t>’</w:t>
      </w:r>
      <w:r w:rsidRPr="00B75D03">
        <w:rPr>
          <w:lang w:val="fr-FR"/>
        </w:rPr>
        <w:t>AEWA, (</w:t>
      </w:r>
      <w:r w:rsidRPr="00B75D03">
        <w:rPr>
          <w:b/>
          <w:lang w:val="fr-FR"/>
        </w:rPr>
        <w:t>2</w:t>
      </w:r>
      <w:r w:rsidRPr="00B75D03">
        <w:rPr>
          <w:lang w:val="fr-FR"/>
        </w:rPr>
        <w:t>) aux représentants des organisations d</w:t>
      </w:r>
      <w:r>
        <w:rPr>
          <w:lang w:val="fr-FR"/>
        </w:rPr>
        <w:t>’</w:t>
      </w:r>
      <w:r w:rsidRPr="00B75D03">
        <w:rPr>
          <w:lang w:val="fr-FR"/>
        </w:rPr>
        <w:t>experts et de conservation nationales de tous les États clés de l</w:t>
      </w:r>
      <w:r>
        <w:rPr>
          <w:lang w:val="fr-FR"/>
        </w:rPr>
        <w:t>’</w:t>
      </w:r>
      <w:r w:rsidRPr="00B75D03">
        <w:rPr>
          <w:lang w:val="fr-FR"/>
        </w:rPr>
        <w:t>aire de répartition, (</w:t>
      </w:r>
      <w:r w:rsidRPr="00B75D03">
        <w:rPr>
          <w:b/>
          <w:lang w:val="fr-FR"/>
        </w:rPr>
        <w:t>3</w:t>
      </w:r>
      <w:r w:rsidRPr="00B75D03">
        <w:rPr>
          <w:lang w:val="fr-FR"/>
        </w:rPr>
        <w:t>) aux représentants des organisations internationales, et (</w:t>
      </w:r>
      <w:r w:rsidRPr="00B75D03">
        <w:rPr>
          <w:b/>
          <w:lang w:val="fr-FR"/>
        </w:rPr>
        <w:t>4</w:t>
      </w:r>
      <w:r w:rsidRPr="00B75D03">
        <w:rPr>
          <w:lang w:val="fr-FR"/>
        </w:rPr>
        <w:t>) aux autres experts si nécessaire.</w:t>
      </w:r>
    </w:p>
    <w:p w14:paraId="33204617" w14:textId="77777777" w:rsidR="00886A3C" w:rsidRPr="004B1407" w:rsidRDefault="00886A3C" w:rsidP="00886A3C">
      <w:pPr>
        <w:spacing w:after="0" w:line="240" w:lineRule="auto"/>
        <w:ind w:hanging="284"/>
        <w:jc w:val="both"/>
        <w:rPr>
          <w:rFonts w:ascii="Times New Roman" w:hAnsi="Times New Roman" w:cs="Times New Roman"/>
          <w:lang w:val="fr-FR"/>
        </w:rPr>
      </w:pPr>
    </w:p>
    <w:p w14:paraId="782DA5BC" w14:textId="77777777" w:rsidR="00886A3C" w:rsidRPr="004B1407" w:rsidRDefault="00886A3C" w:rsidP="00886A3C">
      <w:pPr>
        <w:pStyle w:val="Heading2"/>
        <w:rPr>
          <w:sz w:val="22"/>
          <w:szCs w:val="22"/>
          <w:lang w:val="fr-FR"/>
        </w:rPr>
      </w:pPr>
      <w:r w:rsidRPr="00B75D03">
        <w:rPr>
          <w:sz w:val="22"/>
          <w:szCs w:val="22"/>
          <w:lang w:val="fr-FR"/>
        </w:rPr>
        <w:t>Pays constituant le groupe d</w:t>
      </w:r>
      <w:r>
        <w:rPr>
          <w:sz w:val="22"/>
          <w:szCs w:val="22"/>
          <w:lang w:val="fr-FR"/>
        </w:rPr>
        <w:t>’</w:t>
      </w:r>
      <w:r w:rsidRPr="00B75D03">
        <w:rPr>
          <w:sz w:val="22"/>
          <w:szCs w:val="22"/>
          <w:lang w:val="fr-FR"/>
        </w:rPr>
        <w:t>experts internationaux</w:t>
      </w:r>
    </w:p>
    <w:p w14:paraId="0A3C2525" w14:textId="77777777" w:rsidR="00886A3C" w:rsidRPr="004B1407" w:rsidRDefault="00886A3C" w:rsidP="00886A3C">
      <w:pPr>
        <w:spacing w:after="0" w:line="240" w:lineRule="auto"/>
        <w:jc w:val="both"/>
        <w:rPr>
          <w:rFonts w:ascii="Times New Roman" w:hAnsi="Times New Roman" w:cs="Times New Roman"/>
          <w:lang w:val="fr-FR"/>
        </w:rPr>
      </w:pPr>
      <w:r w:rsidRPr="00B75D03">
        <w:rPr>
          <w:rFonts w:ascii="Times New Roman" w:hAnsi="Times New Roman" w:cs="Times New Roman"/>
          <w:lang w:val="fr-FR"/>
        </w:rPr>
        <w:t>[LISTE DES ÉTATS CLÉS</w:t>
      </w:r>
      <w:r>
        <w:rPr>
          <w:rFonts w:ascii="Times New Roman" w:hAnsi="Times New Roman" w:cs="Times New Roman"/>
          <w:lang w:val="fr-FR"/>
        </w:rPr>
        <w:t xml:space="preserve"> </w:t>
      </w:r>
      <w:r w:rsidRPr="00B75D03">
        <w:rPr>
          <w:rFonts w:ascii="Times New Roman" w:hAnsi="Times New Roman" w:cs="Times New Roman"/>
          <w:lang w:val="fr-FR"/>
        </w:rPr>
        <w:t>DE L</w:t>
      </w:r>
      <w:r>
        <w:rPr>
          <w:rFonts w:ascii="Times New Roman" w:hAnsi="Times New Roman" w:cs="Times New Roman"/>
          <w:lang w:val="fr-FR"/>
        </w:rPr>
        <w:t>’</w:t>
      </w:r>
      <w:r w:rsidRPr="00B75D03">
        <w:rPr>
          <w:rFonts w:ascii="Times New Roman" w:hAnsi="Times New Roman" w:cs="Times New Roman"/>
          <w:lang w:val="fr-FR"/>
        </w:rPr>
        <w:t>AIRE DE RÉPARTITION]</w:t>
      </w:r>
    </w:p>
    <w:p w14:paraId="4069BC0E" w14:textId="77777777" w:rsidR="00886A3C" w:rsidRPr="004B1407" w:rsidRDefault="00886A3C" w:rsidP="00886A3C">
      <w:pPr>
        <w:spacing w:after="0" w:line="240" w:lineRule="auto"/>
        <w:rPr>
          <w:rFonts w:ascii="Times New Roman" w:hAnsi="Times New Roman" w:cs="Times New Roman"/>
          <w:lang w:val="fr-FR"/>
        </w:rPr>
      </w:pPr>
    </w:p>
    <w:p w14:paraId="33604718" w14:textId="77777777" w:rsidR="00886A3C" w:rsidRPr="004B1407" w:rsidRDefault="00886A3C" w:rsidP="00886A3C">
      <w:pPr>
        <w:pStyle w:val="Heading2"/>
        <w:rPr>
          <w:szCs w:val="24"/>
          <w:lang w:val="fr-FR"/>
        </w:rPr>
      </w:pPr>
      <w:r>
        <w:rPr>
          <w:szCs w:val="24"/>
          <w:lang w:val="fr-FR"/>
        </w:rPr>
        <w:t>Désignation du bureau</w:t>
      </w:r>
    </w:p>
    <w:p w14:paraId="0F942DAD" w14:textId="77777777" w:rsidR="00886A3C" w:rsidRPr="004B1407" w:rsidRDefault="00886A3C" w:rsidP="00886A3C">
      <w:pPr>
        <w:spacing w:after="0" w:line="240" w:lineRule="auto"/>
        <w:jc w:val="both"/>
        <w:rPr>
          <w:rFonts w:ascii="Times New Roman" w:hAnsi="Times New Roman" w:cs="Times New Roman"/>
          <w:lang w:val="fr-FR"/>
        </w:rPr>
      </w:pPr>
      <w:r w:rsidRPr="00B75D03">
        <w:rPr>
          <w:rFonts w:ascii="Times New Roman" w:hAnsi="Times New Roman" w:cs="Times New Roman"/>
          <w:lang w:val="fr-FR"/>
        </w:rPr>
        <w:t xml:space="preserve">Un poste de </w:t>
      </w:r>
      <w:r w:rsidRPr="00EA67D5">
        <w:rPr>
          <w:rFonts w:ascii="Times New Roman" w:hAnsi="Times New Roman" w:cs="Times New Roman"/>
          <w:u w:val="single"/>
          <w:lang w:val="fr-FR"/>
        </w:rPr>
        <w:t>coordinateur</w:t>
      </w:r>
      <w:r w:rsidRPr="00B75D03">
        <w:rPr>
          <w:rFonts w:ascii="Times New Roman" w:hAnsi="Times New Roman" w:cs="Times New Roman"/>
          <w:lang w:val="fr-FR"/>
        </w:rPr>
        <w:t xml:space="preserve"> à mi-temps ou à plein temps sera de </w:t>
      </w:r>
      <w:r>
        <w:rPr>
          <w:rFonts w:ascii="Times New Roman" w:hAnsi="Times New Roman" w:cs="Times New Roman"/>
          <w:lang w:val="fr-FR"/>
        </w:rPr>
        <w:t>préférence</w:t>
      </w:r>
      <w:r w:rsidRPr="00B75D03">
        <w:rPr>
          <w:rFonts w:ascii="Times New Roman" w:hAnsi="Times New Roman" w:cs="Times New Roman"/>
          <w:lang w:val="fr-FR"/>
        </w:rPr>
        <w:t xml:space="preserve"> basé dans une institution ou une organisation, faisant partie idéalement de l</w:t>
      </w:r>
      <w:r>
        <w:rPr>
          <w:rFonts w:ascii="Times New Roman" w:hAnsi="Times New Roman" w:cs="Times New Roman"/>
          <w:lang w:val="fr-FR"/>
        </w:rPr>
        <w:t>’</w:t>
      </w:r>
      <w:r w:rsidRPr="00B75D03">
        <w:rPr>
          <w:rFonts w:ascii="Times New Roman" w:hAnsi="Times New Roman" w:cs="Times New Roman"/>
          <w:lang w:val="fr-FR"/>
        </w:rPr>
        <w:t>un des principaux États de l</w:t>
      </w:r>
      <w:r>
        <w:rPr>
          <w:rFonts w:ascii="Times New Roman" w:hAnsi="Times New Roman" w:cs="Times New Roman"/>
          <w:lang w:val="fr-FR"/>
        </w:rPr>
        <w:t>’</w:t>
      </w:r>
      <w:r w:rsidRPr="00B75D03">
        <w:rPr>
          <w:rFonts w:ascii="Times New Roman" w:hAnsi="Times New Roman" w:cs="Times New Roman"/>
          <w:lang w:val="fr-FR"/>
        </w:rPr>
        <w:t>aire de répartition.</w:t>
      </w:r>
      <w:r w:rsidRPr="004B1407">
        <w:rPr>
          <w:rFonts w:ascii="Times New Roman" w:hAnsi="Times New Roman" w:cs="Times New Roman"/>
          <w:lang w:val="fr-FR"/>
        </w:rPr>
        <w:t xml:space="preserve"> </w:t>
      </w:r>
      <w:r w:rsidRPr="00B75D03">
        <w:rPr>
          <w:rFonts w:ascii="Times New Roman" w:hAnsi="Times New Roman" w:cs="Times New Roman"/>
          <w:lang w:val="fr-FR"/>
        </w:rPr>
        <w:t>Le coordinateur sera chargé des affaires courantes du groupe d</w:t>
      </w:r>
      <w:r>
        <w:rPr>
          <w:rFonts w:ascii="Times New Roman" w:hAnsi="Times New Roman" w:cs="Times New Roman"/>
          <w:lang w:val="fr-FR"/>
        </w:rPr>
        <w:t>’</w:t>
      </w:r>
      <w:r w:rsidRPr="00B75D03">
        <w:rPr>
          <w:rFonts w:ascii="Times New Roman" w:hAnsi="Times New Roman" w:cs="Times New Roman"/>
          <w:lang w:val="fr-FR"/>
        </w:rPr>
        <w:t xml:space="preserve">experts internationaux et </w:t>
      </w:r>
      <w:r>
        <w:rPr>
          <w:rFonts w:ascii="Times New Roman" w:hAnsi="Times New Roman" w:cs="Times New Roman"/>
          <w:lang w:val="fr-FR"/>
        </w:rPr>
        <w:t>travaillera</w:t>
      </w:r>
      <w:r w:rsidRPr="00B75D03">
        <w:rPr>
          <w:rFonts w:ascii="Times New Roman" w:hAnsi="Times New Roman" w:cs="Times New Roman"/>
          <w:lang w:val="fr-FR"/>
        </w:rPr>
        <w:t xml:space="preserve"> en étroite concertation avec le Secrétariat PNUE/AEWA.</w:t>
      </w:r>
    </w:p>
    <w:p w14:paraId="42A9040A" w14:textId="77777777" w:rsidR="00886A3C" w:rsidRPr="004B1407" w:rsidRDefault="00886A3C" w:rsidP="00886A3C">
      <w:pPr>
        <w:spacing w:after="0" w:line="240" w:lineRule="auto"/>
        <w:jc w:val="both"/>
        <w:rPr>
          <w:rFonts w:ascii="Times New Roman" w:hAnsi="Times New Roman" w:cs="Times New Roman"/>
          <w:lang w:val="fr-FR"/>
        </w:rPr>
      </w:pPr>
    </w:p>
    <w:p w14:paraId="690CC454" w14:textId="77777777" w:rsidR="00886A3C" w:rsidRPr="004B1407" w:rsidRDefault="00886A3C" w:rsidP="00886A3C">
      <w:pPr>
        <w:pStyle w:val="Heading2"/>
        <w:rPr>
          <w:sz w:val="22"/>
          <w:szCs w:val="22"/>
          <w:lang w:val="fr-FR"/>
        </w:rPr>
      </w:pPr>
      <w:r w:rsidRPr="00B75D03">
        <w:rPr>
          <w:sz w:val="22"/>
          <w:szCs w:val="22"/>
          <w:lang w:val="fr-FR"/>
        </w:rPr>
        <w:t>Réunions</w:t>
      </w:r>
    </w:p>
    <w:p w14:paraId="29D4BC69" w14:textId="77777777" w:rsidR="00886A3C" w:rsidRPr="004B1407" w:rsidRDefault="00886A3C" w:rsidP="00886A3C">
      <w:pPr>
        <w:spacing w:after="0" w:line="240" w:lineRule="auto"/>
        <w:jc w:val="both"/>
        <w:rPr>
          <w:rFonts w:ascii="Times New Roman" w:hAnsi="Times New Roman" w:cs="Times New Roman"/>
          <w:lang w:val="fr-FR"/>
        </w:rPr>
      </w:pPr>
      <w:r w:rsidRPr="00B75D03">
        <w:rPr>
          <w:rFonts w:ascii="Times New Roman" w:hAnsi="Times New Roman" w:cs="Times New Roman"/>
          <w:lang w:val="fr-FR"/>
        </w:rPr>
        <w:t>Le groupe d</w:t>
      </w:r>
      <w:r>
        <w:rPr>
          <w:rFonts w:ascii="Times New Roman" w:hAnsi="Times New Roman" w:cs="Times New Roman"/>
          <w:lang w:val="fr-FR"/>
        </w:rPr>
        <w:t>’</w:t>
      </w:r>
      <w:r w:rsidRPr="00B75D03">
        <w:rPr>
          <w:rFonts w:ascii="Times New Roman" w:hAnsi="Times New Roman" w:cs="Times New Roman"/>
          <w:lang w:val="fr-FR"/>
        </w:rPr>
        <w:t>experts internationaux de l</w:t>
      </w:r>
      <w:r>
        <w:rPr>
          <w:rFonts w:ascii="Times New Roman" w:hAnsi="Times New Roman" w:cs="Times New Roman"/>
          <w:lang w:val="fr-FR"/>
        </w:rPr>
        <w:t>’</w:t>
      </w:r>
      <w:r w:rsidRPr="00B75D03">
        <w:rPr>
          <w:rFonts w:ascii="Times New Roman" w:hAnsi="Times New Roman" w:cs="Times New Roman"/>
          <w:lang w:val="fr-FR"/>
        </w:rPr>
        <w:t xml:space="preserve">AEWA sur [NOM ESPÈCE / POPULATION] </w:t>
      </w:r>
      <w:r>
        <w:rPr>
          <w:rFonts w:ascii="Times New Roman" w:hAnsi="Times New Roman" w:cs="Times New Roman"/>
          <w:lang w:val="fr-FR"/>
        </w:rPr>
        <w:t>essaier</w:t>
      </w:r>
      <w:r w:rsidRPr="00B75D03">
        <w:rPr>
          <w:rFonts w:ascii="Times New Roman" w:hAnsi="Times New Roman" w:cs="Times New Roman"/>
          <w:lang w:val="fr-FR"/>
        </w:rPr>
        <w:t>a de se réunir</w:t>
      </w:r>
      <w:r>
        <w:rPr>
          <w:rFonts w:ascii="Times New Roman" w:hAnsi="Times New Roman" w:cs="Times New Roman"/>
          <w:lang w:val="fr-FR"/>
        </w:rPr>
        <w:t xml:space="preserve"> en face à face</w:t>
      </w:r>
      <w:r w:rsidRPr="00B75D03">
        <w:rPr>
          <w:rFonts w:ascii="Times New Roman" w:hAnsi="Times New Roman" w:cs="Times New Roman"/>
          <w:lang w:val="fr-FR"/>
        </w:rPr>
        <w:t xml:space="preserve"> une fois tous les trois ans.</w:t>
      </w:r>
      <w:r w:rsidRPr="004B1407">
        <w:rPr>
          <w:rFonts w:ascii="Times New Roman" w:hAnsi="Times New Roman" w:cs="Times New Roman"/>
          <w:lang w:val="fr-FR"/>
        </w:rPr>
        <w:t xml:space="preserve"> </w:t>
      </w:r>
      <w:r w:rsidRPr="00B75D03">
        <w:rPr>
          <w:rFonts w:ascii="Times New Roman" w:hAnsi="Times New Roman" w:cs="Times New Roman"/>
          <w:lang w:val="fr-FR"/>
        </w:rPr>
        <w:t>D</w:t>
      </w:r>
      <w:r>
        <w:rPr>
          <w:rFonts w:ascii="Times New Roman" w:hAnsi="Times New Roman" w:cs="Times New Roman"/>
          <w:lang w:val="fr-FR"/>
        </w:rPr>
        <w:t>’</w:t>
      </w:r>
      <w:r w:rsidRPr="00B75D03">
        <w:rPr>
          <w:rFonts w:ascii="Times New Roman" w:hAnsi="Times New Roman" w:cs="Times New Roman"/>
          <w:lang w:val="fr-FR"/>
        </w:rPr>
        <w:t>autres réunions pourront être organisées si les circonstances le permettent (par ex. des réunions juste avant ou après d</w:t>
      </w:r>
      <w:r>
        <w:rPr>
          <w:rFonts w:ascii="Times New Roman" w:hAnsi="Times New Roman" w:cs="Times New Roman"/>
          <w:lang w:val="fr-FR"/>
        </w:rPr>
        <w:t>’</w:t>
      </w:r>
      <w:r w:rsidRPr="00B75D03">
        <w:rPr>
          <w:rFonts w:ascii="Times New Roman" w:hAnsi="Times New Roman" w:cs="Times New Roman"/>
          <w:lang w:val="fr-FR"/>
        </w:rPr>
        <w:t>autres forums internationaux).</w:t>
      </w:r>
      <w:r w:rsidRPr="004B1407">
        <w:rPr>
          <w:rFonts w:ascii="Times New Roman" w:hAnsi="Times New Roman" w:cs="Times New Roman"/>
          <w:lang w:val="fr-FR"/>
        </w:rPr>
        <w:t xml:space="preserve"> </w:t>
      </w:r>
      <w:r w:rsidRPr="00B75D03">
        <w:rPr>
          <w:rFonts w:ascii="Times New Roman" w:hAnsi="Times New Roman" w:cs="Times New Roman"/>
          <w:lang w:val="fr-FR"/>
        </w:rPr>
        <w:t xml:space="preserve">Entre les réunions, les </w:t>
      </w:r>
      <w:r>
        <w:rPr>
          <w:rFonts w:ascii="Times New Roman" w:hAnsi="Times New Roman" w:cs="Times New Roman"/>
          <w:lang w:val="fr-FR"/>
        </w:rPr>
        <w:t>diverses questions</w:t>
      </w:r>
      <w:r w:rsidRPr="00B75D03">
        <w:rPr>
          <w:rFonts w:ascii="Times New Roman" w:hAnsi="Times New Roman" w:cs="Times New Roman"/>
          <w:lang w:val="fr-FR"/>
        </w:rPr>
        <w:t xml:space="preserve"> seront traité</w:t>
      </w:r>
      <w:r>
        <w:rPr>
          <w:rFonts w:ascii="Times New Roman" w:hAnsi="Times New Roman" w:cs="Times New Roman"/>
          <w:lang w:val="fr-FR"/>
        </w:rPr>
        <w:t>e</w:t>
      </w:r>
      <w:r w:rsidRPr="00B75D03">
        <w:rPr>
          <w:rFonts w:ascii="Times New Roman" w:hAnsi="Times New Roman" w:cs="Times New Roman"/>
          <w:lang w:val="fr-FR"/>
        </w:rPr>
        <w:t>s électroniquement</w:t>
      </w:r>
      <w:r>
        <w:rPr>
          <w:rFonts w:ascii="Times New Roman" w:hAnsi="Times New Roman" w:cs="Times New Roman"/>
          <w:lang w:val="fr-FR"/>
        </w:rPr>
        <w:t xml:space="preserve"> par l’intermédiaire du </w:t>
      </w:r>
      <w:r w:rsidRPr="00B75D03">
        <w:rPr>
          <w:rFonts w:ascii="Times New Roman" w:hAnsi="Times New Roman" w:cs="Times New Roman"/>
          <w:lang w:val="fr-FR"/>
        </w:rPr>
        <w:t>site Web du groupe de travail et le serveur de listes de diffusion</w:t>
      </w:r>
      <w:r>
        <w:rPr>
          <w:rFonts w:ascii="Times New Roman" w:hAnsi="Times New Roman" w:cs="Times New Roman"/>
          <w:lang w:val="fr-FR"/>
        </w:rPr>
        <w:t>/intranet</w:t>
      </w:r>
      <w:r w:rsidRPr="00B75D03">
        <w:rPr>
          <w:rFonts w:ascii="Times New Roman" w:hAnsi="Times New Roman" w:cs="Times New Roman"/>
          <w:lang w:val="fr-FR"/>
        </w:rPr>
        <w:t>.</w:t>
      </w:r>
    </w:p>
    <w:p w14:paraId="614CBF37" w14:textId="77777777" w:rsidR="00886A3C" w:rsidRPr="004B1407" w:rsidRDefault="00886A3C" w:rsidP="00886A3C">
      <w:pPr>
        <w:spacing w:after="0" w:line="240" w:lineRule="auto"/>
        <w:jc w:val="both"/>
        <w:rPr>
          <w:rFonts w:ascii="Times New Roman" w:hAnsi="Times New Roman" w:cs="Times New Roman"/>
          <w:lang w:val="fr-FR"/>
        </w:rPr>
      </w:pPr>
    </w:p>
    <w:p w14:paraId="58508E3A" w14:textId="77777777" w:rsidR="00886A3C" w:rsidRPr="004B1407" w:rsidRDefault="00886A3C" w:rsidP="00886A3C">
      <w:pPr>
        <w:pStyle w:val="Heading2"/>
        <w:rPr>
          <w:sz w:val="22"/>
          <w:szCs w:val="22"/>
          <w:lang w:val="fr-FR"/>
        </w:rPr>
      </w:pPr>
      <w:r w:rsidRPr="00B75D03">
        <w:rPr>
          <w:sz w:val="22"/>
          <w:szCs w:val="22"/>
          <w:lang w:val="fr-FR"/>
        </w:rPr>
        <w:t>Rapports</w:t>
      </w:r>
      <w:r w:rsidRPr="004B1407">
        <w:rPr>
          <w:sz w:val="22"/>
          <w:szCs w:val="22"/>
          <w:lang w:val="fr-FR"/>
        </w:rPr>
        <w:t xml:space="preserve"> </w:t>
      </w:r>
    </w:p>
    <w:p w14:paraId="256D1A78" w14:textId="77777777" w:rsidR="00886A3C" w:rsidRPr="004B1407" w:rsidRDefault="00886A3C" w:rsidP="00886A3C">
      <w:pPr>
        <w:spacing w:after="0" w:line="240" w:lineRule="auto"/>
        <w:jc w:val="both"/>
        <w:rPr>
          <w:rFonts w:ascii="Times New Roman" w:hAnsi="Times New Roman" w:cs="Times New Roman"/>
          <w:lang w:val="fr-FR"/>
        </w:rPr>
      </w:pPr>
      <w:r w:rsidRPr="00B75D03">
        <w:rPr>
          <w:rFonts w:ascii="Times New Roman" w:hAnsi="Times New Roman" w:cs="Times New Roman"/>
          <w:lang w:val="fr-FR"/>
        </w:rPr>
        <w:t>Un rapport détaillé sur la mise en œuvre du SSAP sera produit selon un format standard, comprenant les contributions de tous les États de l</w:t>
      </w:r>
      <w:r>
        <w:rPr>
          <w:rFonts w:ascii="Times New Roman" w:hAnsi="Times New Roman" w:cs="Times New Roman"/>
          <w:lang w:val="fr-FR"/>
        </w:rPr>
        <w:t>’</w:t>
      </w:r>
      <w:r w:rsidRPr="00B75D03">
        <w:rPr>
          <w:rFonts w:ascii="Times New Roman" w:hAnsi="Times New Roman" w:cs="Times New Roman"/>
          <w:lang w:val="fr-FR"/>
        </w:rPr>
        <w:t xml:space="preserve">aire de répartition, et sera soumis </w:t>
      </w:r>
      <w:r>
        <w:rPr>
          <w:rFonts w:ascii="Times New Roman" w:hAnsi="Times New Roman" w:cs="Times New Roman"/>
          <w:lang w:val="fr-FR"/>
        </w:rPr>
        <w:t>aux fins d’</w:t>
      </w:r>
      <w:r w:rsidRPr="00B75D03">
        <w:rPr>
          <w:rFonts w:ascii="Times New Roman" w:hAnsi="Times New Roman" w:cs="Times New Roman"/>
          <w:lang w:val="fr-FR"/>
        </w:rPr>
        <w:t>inclusion dans l</w:t>
      </w:r>
      <w:r>
        <w:rPr>
          <w:rFonts w:ascii="Times New Roman" w:hAnsi="Times New Roman" w:cs="Times New Roman"/>
          <w:lang w:val="fr-FR"/>
        </w:rPr>
        <w:t>’</w:t>
      </w:r>
      <w:r w:rsidRPr="00B75D03">
        <w:rPr>
          <w:rFonts w:ascii="Times New Roman" w:hAnsi="Times New Roman" w:cs="Times New Roman"/>
          <w:lang w:val="fr-FR"/>
        </w:rPr>
        <w:t>étude générale internationale sur le stade de préparation et de mise en œuvre des plans d</w:t>
      </w:r>
      <w:r>
        <w:rPr>
          <w:rFonts w:ascii="Times New Roman" w:hAnsi="Times New Roman" w:cs="Times New Roman"/>
          <w:lang w:val="fr-FR"/>
        </w:rPr>
        <w:t>’</w:t>
      </w:r>
      <w:r w:rsidRPr="00B75D03">
        <w:rPr>
          <w:rFonts w:ascii="Times New Roman" w:hAnsi="Times New Roman" w:cs="Times New Roman"/>
          <w:lang w:val="fr-FR"/>
        </w:rPr>
        <w:t>action par espèce destinée à la Réunion des Parties à l</w:t>
      </w:r>
      <w:r>
        <w:rPr>
          <w:rFonts w:ascii="Times New Roman" w:hAnsi="Times New Roman" w:cs="Times New Roman"/>
          <w:lang w:val="fr-FR"/>
        </w:rPr>
        <w:t>’</w:t>
      </w:r>
      <w:r w:rsidRPr="00B75D03">
        <w:rPr>
          <w:rFonts w:ascii="Times New Roman" w:hAnsi="Times New Roman" w:cs="Times New Roman"/>
          <w:lang w:val="fr-FR"/>
        </w:rPr>
        <w:t>AEWA.</w:t>
      </w:r>
      <w:r>
        <w:rPr>
          <w:rFonts w:ascii="Times New Roman" w:hAnsi="Times New Roman" w:cs="Times New Roman"/>
          <w:lang w:val="fr-FR"/>
        </w:rPr>
        <w:t xml:space="preserve"> </w:t>
      </w:r>
      <w:r w:rsidRPr="00B75D03">
        <w:rPr>
          <w:rFonts w:ascii="Times New Roman" w:hAnsi="Times New Roman" w:cs="Times New Roman"/>
          <w:lang w:val="fr-FR"/>
        </w:rPr>
        <w:t>Des rapports seront également préparés par chaque État de l</w:t>
      </w:r>
      <w:r>
        <w:rPr>
          <w:rFonts w:ascii="Times New Roman" w:hAnsi="Times New Roman" w:cs="Times New Roman"/>
          <w:lang w:val="fr-FR"/>
        </w:rPr>
        <w:t>’</w:t>
      </w:r>
      <w:r w:rsidRPr="00B75D03">
        <w:rPr>
          <w:rFonts w:ascii="Times New Roman" w:hAnsi="Times New Roman" w:cs="Times New Roman"/>
          <w:lang w:val="fr-FR"/>
        </w:rPr>
        <w:t>aire de répartition selon un format convenu par le groupe d</w:t>
      </w:r>
      <w:r>
        <w:rPr>
          <w:rFonts w:ascii="Times New Roman" w:hAnsi="Times New Roman" w:cs="Times New Roman"/>
          <w:lang w:val="fr-FR"/>
        </w:rPr>
        <w:t>’experts</w:t>
      </w:r>
      <w:r w:rsidRPr="00B75D03">
        <w:rPr>
          <w:rFonts w:ascii="Times New Roman" w:hAnsi="Times New Roman" w:cs="Times New Roman"/>
          <w:lang w:val="fr-FR"/>
        </w:rPr>
        <w:t xml:space="preserve"> et seront présentés lors de chaque réunion en face à face de ce dernier.</w:t>
      </w:r>
      <w:r w:rsidRPr="004B1407">
        <w:rPr>
          <w:rFonts w:ascii="Times New Roman" w:hAnsi="Times New Roman" w:cs="Times New Roman"/>
          <w:lang w:val="fr-FR"/>
        </w:rPr>
        <w:t xml:space="preserve"> </w:t>
      </w:r>
      <w:r w:rsidRPr="00B75D03">
        <w:rPr>
          <w:rFonts w:ascii="Times New Roman" w:hAnsi="Times New Roman" w:cs="Times New Roman"/>
          <w:lang w:val="fr-FR"/>
        </w:rPr>
        <w:t>D</w:t>
      </w:r>
      <w:r>
        <w:rPr>
          <w:rFonts w:ascii="Times New Roman" w:hAnsi="Times New Roman" w:cs="Times New Roman"/>
          <w:lang w:val="fr-FR"/>
        </w:rPr>
        <w:t>’</w:t>
      </w:r>
      <w:r w:rsidRPr="00B75D03">
        <w:rPr>
          <w:rFonts w:ascii="Times New Roman" w:hAnsi="Times New Roman" w:cs="Times New Roman"/>
          <w:lang w:val="fr-FR"/>
        </w:rPr>
        <w:t>autres rapports seront produits si le Comité technique ou le Secrétariat de l</w:t>
      </w:r>
      <w:r>
        <w:rPr>
          <w:rFonts w:ascii="Times New Roman" w:hAnsi="Times New Roman" w:cs="Times New Roman"/>
          <w:lang w:val="fr-FR"/>
        </w:rPr>
        <w:t>’</w:t>
      </w:r>
      <w:r w:rsidRPr="00B75D03">
        <w:rPr>
          <w:rFonts w:ascii="Times New Roman" w:hAnsi="Times New Roman" w:cs="Times New Roman"/>
          <w:lang w:val="fr-FR"/>
        </w:rPr>
        <w:t>AEWA en font la demande.</w:t>
      </w:r>
      <w:r w:rsidRPr="004B1407">
        <w:rPr>
          <w:rFonts w:ascii="Times New Roman" w:hAnsi="Times New Roman" w:cs="Times New Roman"/>
          <w:lang w:val="fr-FR"/>
        </w:rPr>
        <w:t xml:space="preserve"> </w:t>
      </w:r>
    </w:p>
    <w:p w14:paraId="659D2770" w14:textId="77777777" w:rsidR="00886A3C" w:rsidRPr="004B1407" w:rsidRDefault="00886A3C" w:rsidP="00886A3C">
      <w:pPr>
        <w:spacing w:after="0" w:line="240" w:lineRule="auto"/>
        <w:jc w:val="both"/>
        <w:rPr>
          <w:rFonts w:ascii="Times New Roman" w:hAnsi="Times New Roman" w:cs="Times New Roman"/>
          <w:lang w:val="fr-FR"/>
        </w:rPr>
      </w:pPr>
    </w:p>
    <w:p w14:paraId="58FED638" w14:textId="77777777" w:rsidR="00886A3C" w:rsidRPr="004B1407" w:rsidRDefault="00886A3C" w:rsidP="00886A3C">
      <w:pPr>
        <w:pStyle w:val="Heading2"/>
        <w:rPr>
          <w:sz w:val="22"/>
          <w:szCs w:val="22"/>
          <w:lang w:val="fr-FR"/>
        </w:rPr>
      </w:pPr>
      <w:r w:rsidRPr="00B75D03">
        <w:rPr>
          <w:sz w:val="22"/>
          <w:szCs w:val="22"/>
          <w:lang w:val="fr-FR"/>
        </w:rPr>
        <w:t>Financement</w:t>
      </w:r>
    </w:p>
    <w:p w14:paraId="436CF6B7" w14:textId="77777777" w:rsidR="00886A3C" w:rsidRPr="004B1407" w:rsidRDefault="00886A3C" w:rsidP="00886A3C">
      <w:pPr>
        <w:spacing w:after="0" w:line="240" w:lineRule="auto"/>
        <w:rPr>
          <w:rFonts w:ascii="Times New Roman" w:hAnsi="Times New Roman" w:cs="Times New Roman"/>
          <w:lang w:val="fr-FR"/>
        </w:rPr>
        <w:sectPr w:rsidR="00886A3C" w:rsidRPr="004B1407" w:rsidSect="00A31C8B">
          <w:headerReference w:type="default" r:id="rId121"/>
          <w:pgSz w:w="11906" w:h="16838" w:code="9"/>
          <w:pgMar w:top="1411" w:right="1411" w:bottom="1138" w:left="1411" w:header="706" w:footer="706" w:gutter="0"/>
          <w:cols w:space="708"/>
          <w:docGrid w:linePitch="360"/>
        </w:sectPr>
      </w:pPr>
      <w:r w:rsidRPr="00B75D03">
        <w:rPr>
          <w:rFonts w:ascii="Times New Roman" w:hAnsi="Times New Roman" w:cs="Times New Roman"/>
          <w:lang w:val="fr-FR"/>
        </w:rPr>
        <w:t>Les activités du groupe d</w:t>
      </w:r>
      <w:r>
        <w:rPr>
          <w:rFonts w:ascii="Times New Roman" w:hAnsi="Times New Roman" w:cs="Times New Roman"/>
          <w:lang w:val="fr-FR"/>
        </w:rPr>
        <w:t>’</w:t>
      </w:r>
      <w:r w:rsidRPr="00B75D03">
        <w:rPr>
          <w:rFonts w:ascii="Times New Roman" w:hAnsi="Times New Roman" w:cs="Times New Roman"/>
          <w:lang w:val="fr-FR"/>
        </w:rPr>
        <w:t>experts internationaux de l</w:t>
      </w:r>
      <w:r>
        <w:rPr>
          <w:rFonts w:ascii="Times New Roman" w:hAnsi="Times New Roman" w:cs="Times New Roman"/>
          <w:lang w:val="fr-FR"/>
        </w:rPr>
        <w:t>’</w:t>
      </w:r>
      <w:r w:rsidRPr="00B75D03">
        <w:rPr>
          <w:rFonts w:ascii="Times New Roman" w:hAnsi="Times New Roman" w:cs="Times New Roman"/>
          <w:lang w:val="fr-FR"/>
        </w:rPr>
        <w:t>AEWA pour [NOM ESPÈCE / POPULATION] seront financées par ses membres :</w:t>
      </w:r>
    </w:p>
    <w:p w14:paraId="46419230" w14:textId="77777777" w:rsidR="00886A3C" w:rsidRPr="004B1407" w:rsidRDefault="00886A3C" w:rsidP="00886A3C">
      <w:pPr>
        <w:pBdr>
          <w:top w:val="single" w:sz="4" w:space="1" w:color="auto"/>
        </w:pBdr>
        <w:spacing w:after="0" w:line="240" w:lineRule="auto"/>
        <w:jc w:val="center"/>
        <w:rPr>
          <w:rFonts w:ascii="Arial" w:hAnsi="Arial" w:cs="Arial"/>
          <w:b/>
          <w:color w:val="8064A2" w:themeColor="accent4"/>
          <w:sz w:val="24"/>
          <w:szCs w:val="24"/>
          <w:lang w:val="fr-FR"/>
        </w:rPr>
      </w:pPr>
    </w:p>
    <w:p w14:paraId="5C920EC2" w14:textId="77777777" w:rsidR="00886A3C" w:rsidRPr="004B1407" w:rsidRDefault="00886A3C" w:rsidP="00886A3C">
      <w:pPr>
        <w:spacing w:after="0" w:line="240" w:lineRule="auto"/>
        <w:jc w:val="center"/>
        <w:rPr>
          <w:rFonts w:ascii="Arial" w:hAnsi="Arial" w:cs="Arial"/>
          <w:b/>
          <w:color w:val="8064A2" w:themeColor="accent4"/>
          <w:sz w:val="24"/>
          <w:szCs w:val="24"/>
          <w:lang w:val="fr-FR"/>
        </w:rPr>
      </w:pPr>
    </w:p>
    <w:p w14:paraId="6A4D01B7" w14:textId="77777777" w:rsidR="00886A3C" w:rsidRPr="004B1407" w:rsidRDefault="00886A3C" w:rsidP="00886A3C">
      <w:pPr>
        <w:spacing w:after="0" w:line="240" w:lineRule="auto"/>
        <w:jc w:val="center"/>
        <w:rPr>
          <w:rFonts w:ascii="Arial" w:hAnsi="Arial" w:cs="Arial"/>
          <w:b/>
          <w:color w:val="0070C0"/>
          <w:sz w:val="24"/>
          <w:szCs w:val="24"/>
          <w:lang w:val="fr-FR"/>
        </w:rPr>
      </w:pPr>
      <w:r w:rsidRPr="00B75D03">
        <w:rPr>
          <w:rFonts w:ascii="Arial" w:hAnsi="Arial" w:cs="Arial"/>
          <w:b/>
          <w:color w:val="0070C0"/>
          <w:sz w:val="24"/>
          <w:szCs w:val="24"/>
          <w:lang w:val="fr-FR"/>
        </w:rPr>
        <w:t>Coordinateur d</w:t>
      </w:r>
      <w:r>
        <w:rPr>
          <w:rFonts w:ascii="Arial" w:hAnsi="Arial" w:cs="Arial"/>
          <w:b/>
          <w:color w:val="0070C0"/>
          <w:sz w:val="24"/>
          <w:szCs w:val="24"/>
          <w:lang w:val="fr-FR"/>
        </w:rPr>
        <w:t>e</w:t>
      </w:r>
      <w:r w:rsidRPr="00B75D03">
        <w:rPr>
          <w:rFonts w:ascii="Arial" w:hAnsi="Arial" w:cs="Arial"/>
          <w:b/>
          <w:color w:val="0070C0"/>
          <w:sz w:val="24"/>
          <w:szCs w:val="24"/>
          <w:lang w:val="fr-FR"/>
        </w:rPr>
        <w:t xml:space="preserve"> groupe de travail international par espèce</w:t>
      </w:r>
      <w:r>
        <w:rPr>
          <w:rFonts w:ascii="Arial" w:hAnsi="Arial" w:cs="Arial"/>
          <w:b/>
          <w:color w:val="0070C0"/>
          <w:sz w:val="24"/>
          <w:szCs w:val="24"/>
          <w:lang w:val="fr-FR"/>
        </w:rPr>
        <w:t xml:space="preserve"> </w:t>
      </w:r>
      <w:r w:rsidRPr="00B75D03">
        <w:rPr>
          <w:rFonts w:ascii="Arial" w:hAnsi="Arial" w:cs="Arial"/>
          <w:b/>
          <w:color w:val="0070C0"/>
          <w:sz w:val="24"/>
          <w:szCs w:val="24"/>
          <w:lang w:val="fr-FR"/>
        </w:rPr>
        <w:t>de l</w:t>
      </w:r>
      <w:r>
        <w:rPr>
          <w:rFonts w:ascii="Arial" w:hAnsi="Arial" w:cs="Arial"/>
          <w:b/>
          <w:color w:val="0070C0"/>
          <w:sz w:val="24"/>
          <w:szCs w:val="24"/>
          <w:lang w:val="fr-FR"/>
        </w:rPr>
        <w:t>’</w:t>
      </w:r>
      <w:r w:rsidRPr="00B75D03">
        <w:rPr>
          <w:rFonts w:ascii="Arial" w:hAnsi="Arial" w:cs="Arial"/>
          <w:b/>
          <w:color w:val="0070C0"/>
          <w:sz w:val="24"/>
          <w:szCs w:val="24"/>
          <w:lang w:val="fr-FR"/>
        </w:rPr>
        <w:t>AEWA</w:t>
      </w:r>
    </w:p>
    <w:p w14:paraId="2747B022" w14:textId="77777777" w:rsidR="00886A3C" w:rsidRPr="004B1407" w:rsidRDefault="00886A3C" w:rsidP="00886A3C">
      <w:pPr>
        <w:spacing w:after="0" w:line="240" w:lineRule="auto"/>
        <w:jc w:val="center"/>
        <w:rPr>
          <w:rFonts w:ascii="Arial" w:hAnsi="Arial" w:cs="Arial"/>
          <w:color w:val="0070C0"/>
          <w:sz w:val="24"/>
          <w:szCs w:val="24"/>
          <w:lang w:val="fr-FR"/>
        </w:rPr>
      </w:pPr>
    </w:p>
    <w:p w14:paraId="043CDC5A" w14:textId="77777777" w:rsidR="00886A3C" w:rsidRPr="0036385D" w:rsidRDefault="00886A3C" w:rsidP="00886A3C">
      <w:pPr>
        <w:spacing w:after="0" w:line="240" w:lineRule="auto"/>
        <w:jc w:val="center"/>
        <w:rPr>
          <w:rFonts w:ascii="Arial" w:hAnsi="Arial" w:cs="Arial"/>
          <w:b/>
          <w:color w:val="0070C0"/>
          <w:sz w:val="24"/>
          <w:szCs w:val="24"/>
          <w:lang w:val="en-GB"/>
        </w:rPr>
      </w:pPr>
      <w:r w:rsidRPr="004B1407">
        <w:rPr>
          <w:rFonts w:ascii="Arial" w:hAnsi="Arial" w:cs="Arial"/>
          <w:color w:val="0070C0"/>
          <w:sz w:val="24"/>
          <w:szCs w:val="24"/>
          <w:lang w:val="fr-FR"/>
        </w:rPr>
        <w:t xml:space="preserve"> </w:t>
      </w:r>
      <w:r w:rsidRPr="00B75D03">
        <w:rPr>
          <w:rFonts w:ascii="Arial" w:hAnsi="Arial" w:cs="Arial"/>
          <w:b/>
          <w:color w:val="0070C0"/>
          <w:sz w:val="24"/>
          <w:szCs w:val="24"/>
          <w:lang w:val="fr-FR"/>
        </w:rPr>
        <w:t>FICHE D</w:t>
      </w:r>
      <w:r>
        <w:rPr>
          <w:rFonts w:ascii="Arial" w:hAnsi="Arial" w:cs="Arial"/>
          <w:b/>
          <w:color w:val="0070C0"/>
          <w:sz w:val="24"/>
          <w:szCs w:val="24"/>
          <w:lang w:val="fr-FR"/>
        </w:rPr>
        <w:t>’</w:t>
      </w:r>
      <w:r w:rsidRPr="00B75D03">
        <w:rPr>
          <w:rFonts w:ascii="Arial" w:hAnsi="Arial" w:cs="Arial"/>
          <w:b/>
          <w:color w:val="0070C0"/>
          <w:sz w:val="24"/>
          <w:szCs w:val="24"/>
          <w:lang w:val="fr-FR"/>
        </w:rPr>
        <w:t>INFORMATION</w:t>
      </w:r>
    </w:p>
    <w:p w14:paraId="2DDE0D90" w14:textId="77777777" w:rsidR="00886A3C" w:rsidRPr="003A691D" w:rsidRDefault="00886A3C" w:rsidP="00886A3C">
      <w:pPr>
        <w:spacing w:after="0" w:line="240" w:lineRule="auto"/>
        <w:jc w:val="center"/>
        <w:rPr>
          <w:rFonts w:ascii="Arial" w:hAnsi="Arial" w:cs="Arial"/>
          <w:b/>
          <w:color w:val="8064A2" w:themeColor="accent4"/>
          <w:sz w:val="24"/>
          <w:szCs w:val="24"/>
          <w:lang w:val="en-GB"/>
        </w:rPr>
      </w:pPr>
      <w:r>
        <w:rPr>
          <w:rFonts w:ascii="Arial" w:hAnsi="Arial" w:cs="Arial"/>
          <w:b/>
          <w:color w:val="8064A2" w:themeColor="accent4"/>
          <w:sz w:val="24"/>
          <w:szCs w:val="24"/>
          <w:lang w:val="en-GB"/>
        </w:rPr>
        <w:t>____________________________________________________________________</w:t>
      </w:r>
    </w:p>
    <w:p w14:paraId="3ABB0EE0" w14:textId="77777777" w:rsidR="00886A3C" w:rsidRPr="002369DC" w:rsidRDefault="00886A3C" w:rsidP="00886A3C">
      <w:pPr>
        <w:spacing w:after="0" w:line="240" w:lineRule="auto"/>
        <w:rPr>
          <w:rFonts w:ascii="Arial" w:hAnsi="Arial" w:cs="Arial"/>
          <w:sz w:val="24"/>
          <w:szCs w:val="24"/>
          <w:lang w:val="en-GB"/>
        </w:rPr>
      </w:pPr>
    </w:p>
    <w:p w14:paraId="35367EBE" w14:textId="77777777" w:rsidR="00886A3C" w:rsidRPr="003A691D" w:rsidRDefault="00886A3C" w:rsidP="00886A3C">
      <w:pPr>
        <w:pStyle w:val="ListParagraph"/>
        <w:numPr>
          <w:ilvl w:val="0"/>
          <w:numId w:val="15"/>
        </w:numPr>
        <w:spacing w:after="0" w:line="240" w:lineRule="auto"/>
        <w:ind w:left="567" w:hanging="425"/>
        <w:rPr>
          <w:rFonts w:ascii="Arial" w:hAnsi="Arial" w:cs="Arial"/>
          <w:b/>
          <w:color w:val="8064A2" w:themeColor="accent4"/>
          <w:sz w:val="20"/>
          <w:szCs w:val="20"/>
          <w:lang w:val="en-GB"/>
        </w:rPr>
      </w:pPr>
      <w:r w:rsidRPr="00B75D03">
        <w:rPr>
          <w:rFonts w:ascii="Arial" w:hAnsi="Arial" w:cs="Arial"/>
          <w:b/>
          <w:sz w:val="20"/>
          <w:szCs w:val="20"/>
          <w:lang w:val="fr-FR"/>
        </w:rPr>
        <w:t>INTRODUCTION</w:t>
      </w:r>
      <w:r w:rsidRPr="005E6927">
        <w:rPr>
          <w:rFonts w:ascii="Arial" w:hAnsi="Arial" w:cs="Arial"/>
          <w:b/>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p>
    <w:p w14:paraId="06A910ED" w14:textId="77777777" w:rsidR="00886A3C" w:rsidRPr="002369DC" w:rsidRDefault="00886A3C" w:rsidP="00886A3C">
      <w:pPr>
        <w:spacing w:after="0" w:line="240" w:lineRule="auto"/>
        <w:rPr>
          <w:rFonts w:ascii="Arial" w:hAnsi="Arial" w:cs="Arial"/>
          <w:sz w:val="20"/>
          <w:szCs w:val="20"/>
          <w:lang w:val="en-GB"/>
        </w:rPr>
      </w:pPr>
    </w:p>
    <w:p w14:paraId="1EFAF5AB" w14:textId="77777777" w:rsidR="00886A3C" w:rsidRPr="004B1407" w:rsidRDefault="00886A3C" w:rsidP="00886A3C">
      <w:pPr>
        <w:spacing w:after="0" w:line="240" w:lineRule="auto"/>
        <w:jc w:val="both"/>
        <w:rPr>
          <w:rFonts w:ascii="Arial" w:hAnsi="Arial" w:cs="Arial"/>
          <w:sz w:val="20"/>
          <w:szCs w:val="20"/>
          <w:lang w:val="fr-FR"/>
        </w:rPr>
      </w:pPr>
      <w:r w:rsidRPr="00A52212">
        <w:rPr>
          <w:rFonts w:ascii="Arial" w:hAnsi="Arial" w:cs="Arial"/>
          <w:sz w:val="20"/>
          <w:szCs w:val="20"/>
          <w:lang w:val="fr-FR"/>
        </w:rPr>
        <w:t>La mise en place de groupes de travail internationaux intergouvernementaux de l</w:t>
      </w:r>
      <w:r>
        <w:rPr>
          <w:rFonts w:ascii="Arial" w:hAnsi="Arial" w:cs="Arial"/>
          <w:sz w:val="20"/>
          <w:szCs w:val="20"/>
          <w:lang w:val="fr-FR"/>
        </w:rPr>
        <w:t>’</w:t>
      </w:r>
      <w:r w:rsidRPr="00A52212">
        <w:rPr>
          <w:rFonts w:ascii="Arial" w:hAnsi="Arial" w:cs="Arial"/>
          <w:sz w:val="20"/>
          <w:szCs w:val="20"/>
          <w:lang w:val="fr-FR"/>
        </w:rPr>
        <w:t>AEWA par espèce</w:t>
      </w:r>
      <w:r>
        <w:rPr>
          <w:rFonts w:ascii="Arial" w:hAnsi="Arial" w:cs="Arial"/>
          <w:sz w:val="20"/>
          <w:szCs w:val="20"/>
          <w:lang w:val="fr-FR"/>
        </w:rPr>
        <w:t xml:space="preserve"> (ISWG)</w:t>
      </w:r>
      <w:r w:rsidRPr="00A52212">
        <w:rPr>
          <w:rFonts w:ascii="Arial" w:hAnsi="Arial" w:cs="Arial"/>
          <w:sz w:val="20"/>
          <w:szCs w:val="20"/>
          <w:lang w:val="fr-FR"/>
        </w:rPr>
        <w:t xml:space="preserve"> </w:t>
      </w:r>
      <w:r w:rsidRPr="00A42C12">
        <w:rPr>
          <w:rFonts w:ascii="Arial" w:hAnsi="Arial" w:cs="Arial"/>
          <w:sz w:val="20"/>
          <w:szCs w:val="20"/>
          <w:lang w:val="fr-FR"/>
        </w:rPr>
        <w:t>est prévue pour</w:t>
      </w:r>
      <w:r w:rsidRPr="00A52212">
        <w:rPr>
          <w:rFonts w:ascii="Arial" w:hAnsi="Arial" w:cs="Arial"/>
          <w:sz w:val="20"/>
          <w:szCs w:val="20"/>
          <w:lang w:val="fr-FR"/>
        </w:rPr>
        <w:t xml:space="preserve"> les plans d</w:t>
      </w:r>
      <w:r>
        <w:rPr>
          <w:rFonts w:ascii="Arial" w:hAnsi="Arial" w:cs="Arial"/>
          <w:sz w:val="20"/>
          <w:szCs w:val="20"/>
          <w:lang w:val="fr-FR"/>
        </w:rPr>
        <w:t>’</w:t>
      </w:r>
      <w:r w:rsidRPr="00A52212">
        <w:rPr>
          <w:rFonts w:ascii="Arial" w:hAnsi="Arial" w:cs="Arial"/>
          <w:sz w:val="20"/>
          <w:szCs w:val="20"/>
          <w:lang w:val="fr-FR"/>
        </w:rPr>
        <w:t xml:space="preserve">action </w:t>
      </w:r>
      <w:r>
        <w:rPr>
          <w:rFonts w:ascii="Arial" w:hAnsi="Arial" w:cs="Arial"/>
          <w:sz w:val="20"/>
          <w:szCs w:val="20"/>
          <w:lang w:val="fr-FR"/>
        </w:rPr>
        <w:t xml:space="preserve">internationaux par espèce </w:t>
      </w:r>
      <w:r w:rsidRPr="00A52212">
        <w:rPr>
          <w:rFonts w:ascii="Arial" w:hAnsi="Arial" w:cs="Arial"/>
          <w:sz w:val="20"/>
          <w:szCs w:val="20"/>
          <w:lang w:val="fr-FR"/>
        </w:rPr>
        <w:t>(</w:t>
      </w:r>
      <w:r>
        <w:rPr>
          <w:rFonts w:ascii="Arial" w:hAnsi="Arial" w:cs="Arial"/>
          <w:sz w:val="20"/>
          <w:szCs w:val="20"/>
          <w:lang w:val="fr-FR"/>
        </w:rPr>
        <w:t>ISSAP</w:t>
      </w:r>
      <w:r w:rsidRPr="00A52212">
        <w:rPr>
          <w:rFonts w:ascii="Arial" w:hAnsi="Arial" w:cs="Arial"/>
          <w:sz w:val="20"/>
          <w:szCs w:val="20"/>
          <w:lang w:val="fr-FR"/>
        </w:rPr>
        <w:t>) et les plans de gestion internationaux (</w:t>
      </w:r>
      <w:r>
        <w:rPr>
          <w:rFonts w:ascii="Arial" w:hAnsi="Arial" w:cs="Arial"/>
          <w:sz w:val="20"/>
          <w:szCs w:val="20"/>
          <w:lang w:val="fr-FR"/>
        </w:rPr>
        <w:t>ISSMP</w:t>
      </w:r>
      <w:r w:rsidRPr="00A52212">
        <w:rPr>
          <w:rFonts w:ascii="Arial" w:hAnsi="Arial" w:cs="Arial"/>
          <w:sz w:val="20"/>
          <w:szCs w:val="20"/>
          <w:lang w:val="fr-FR"/>
        </w:rPr>
        <w:t xml:space="preserve">) </w:t>
      </w:r>
      <w:r>
        <w:rPr>
          <w:rFonts w:ascii="Arial" w:hAnsi="Arial" w:cs="Arial"/>
          <w:sz w:val="20"/>
          <w:szCs w:val="20"/>
          <w:lang w:val="fr-FR"/>
        </w:rPr>
        <w:t xml:space="preserve">définis comme étant prioritaires. </w:t>
      </w:r>
      <w:r w:rsidRPr="00A52212">
        <w:rPr>
          <w:rFonts w:ascii="Arial" w:hAnsi="Arial" w:cs="Arial"/>
          <w:sz w:val="20"/>
          <w:szCs w:val="20"/>
          <w:lang w:val="fr-FR"/>
        </w:rPr>
        <w:t>Ces groupes de travail ont pour objectif de coordonner la mise en œuvre des plans au sein des États de l</w:t>
      </w:r>
      <w:r>
        <w:rPr>
          <w:rFonts w:ascii="Arial" w:hAnsi="Arial" w:cs="Arial"/>
          <w:sz w:val="20"/>
          <w:szCs w:val="20"/>
          <w:lang w:val="fr-FR"/>
        </w:rPr>
        <w:t>’</w:t>
      </w:r>
      <w:r w:rsidRPr="00A52212">
        <w:rPr>
          <w:rFonts w:ascii="Arial" w:hAnsi="Arial" w:cs="Arial"/>
          <w:sz w:val="20"/>
          <w:szCs w:val="20"/>
          <w:lang w:val="fr-FR"/>
        </w:rPr>
        <w:t>aire de répartition.</w:t>
      </w:r>
      <w:r w:rsidRPr="004B1407">
        <w:rPr>
          <w:rFonts w:ascii="Arial" w:hAnsi="Arial" w:cs="Arial"/>
          <w:sz w:val="20"/>
          <w:szCs w:val="20"/>
          <w:lang w:val="fr-FR"/>
        </w:rPr>
        <w:t xml:space="preserve"> </w:t>
      </w:r>
      <w:r w:rsidRPr="00A52212">
        <w:rPr>
          <w:rFonts w:ascii="Arial" w:hAnsi="Arial" w:cs="Arial"/>
          <w:sz w:val="20"/>
          <w:szCs w:val="20"/>
          <w:lang w:val="fr-FR"/>
        </w:rPr>
        <w:t>Une organisation coordinatrice et ensuite un coordinateur du groupe de travail sur l</w:t>
      </w:r>
      <w:r>
        <w:rPr>
          <w:rFonts w:ascii="Arial" w:hAnsi="Arial" w:cs="Arial"/>
          <w:sz w:val="20"/>
          <w:szCs w:val="20"/>
          <w:lang w:val="fr-FR"/>
        </w:rPr>
        <w:t>’</w:t>
      </w:r>
      <w:r w:rsidRPr="00A52212">
        <w:rPr>
          <w:rFonts w:ascii="Arial" w:hAnsi="Arial" w:cs="Arial"/>
          <w:sz w:val="20"/>
          <w:szCs w:val="20"/>
          <w:lang w:val="fr-FR"/>
        </w:rPr>
        <w:t>espèce sont identifiés par le Secrétariat PNUE/AEWA pour organiser et faciliter le travail des ISWG.</w:t>
      </w:r>
      <w:r w:rsidRPr="004B1407">
        <w:rPr>
          <w:rFonts w:ascii="Arial" w:hAnsi="Arial" w:cs="Arial"/>
          <w:sz w:val="20"/>
          <w:szCs w:val="20"/>
          <w:lang w:val="fr-FR"/>
        </w:rPr>
        <w:t xml:space="preserve"> </w:t>
      </w:r>
    </w:p>
    <w:p w14:paraId="1CAF62FC" w14:textId="77777777" w:rsidR="00886A3C" w:rsidRPr="004B1407" w:rsidRDefault="00886A3C" w:rsidP="00886A3C">
      <w:pPr>
        <w:spacing w:after="0" w:line="240" w:lineRule="auto"/>
        <w:jc w:val="both"/>
        <w:rPr>
          <w:rFonts w:ascii="Arial" w:hAnsi="Arial" w:cs="Arial"/>
          <w:sz w:val="20"/>
          <w:szCs w:val="20"/>
          <w:lang w:val="fr-FR"/>
        </w:rPr>
      </w:pPr>
    </w:p>
    <w:p w14:paraId="0F752A6D" w14:textId="77777777" w:rsidR="00886A3C" w:rsidRPr="004B1407" w:rsidRDefault="00886A3C" w:rsidP="00886A3C">
      <w:pPr>
        <w:spacing w:after="0" w:line="240" w:lineRule="auto"/>
        <w:jc w:val="both"/>
        <w:rPr>
          <w:rFonts w:ascii="Arial" w:hAnsi="Arial" w:cs="Arial"/>
          <w:sz w:val="20"/>
          <w:szCs w:val="20"/>
          <w:lang w:val="fr-FR"/>
        </w:rPr>
      </w:pPr>
      <w:r w:rsidRPr="007A3555">
        <w:rPr>
          <w:rFonts w:ascii="Arial" w:hAnsi="Arial" w:cs="Arial"/>
          <w:sz w:val="20"/>
          <w:szCs w:val="20"/>
          <w:lang w:val="fr-FR"/>
        </w:rPr>
        <w:t>En plus des responsabilités générales décrites dans le mémorandum d</w:t>
      </w:r>
      <w:r>
        <w:rPr>
          <w:rFonts w:ascii="Arial" w:hAnsi="Arial" w:cs="Arial"/>
          <w:sz w:val="20"/>
          <w:szCs w:val="20"/>
          <w:lang w:val="fr-FR"/>
        </w:rPr>
        <w:t>’</w:t>
      </w:r>
      <w:r w:rsidRPr="007A3555">
        <w:rPr>
          <w:rFonts w:ascii="Arial" w:hAnsi="Arial" w:cs="Arial"/>
          <w:sz w:val="20"/>
          <w:szCs w:val="20"/>
          <w:lang w:val="fr-FR"/>
        </w:rPr>
        <w:t>entente signé entre le Secrétariat PNUE/AEWA et l</w:t>
      </w:r>
      <w:r>
        <w:rPr>
          <w:rFonts w:ascii="Arial" w:hAnsi="Arial" w:cs="Arial"/>
          <w:sz w:val="20"/>
          <w:szCs w:val="20"/>
          <w:lang w:val="fr-FR"/>
        </w:rPr>
        <w:t>’</w:t>
      </w:r>
      <w:r w:rsidRPr="007A3555">
        <w:rPr>
          <w:rFonts w:ascii="Arial" w:hAnsi="Arial" w:cs="Arial"/>
          <w:sz w:val="20"/>
          <w:szCs w:val="20"/>
          <w:lang w:val="fr-FR"/>
        </w:rPr>
        <w:t xml:space="preserve">organisation coordinatrice, la présente fiche offre de plus amples informations sur </w:t>
      </w:r>
      <w:r>
        <w:rPr>
          <w:rFonts w:ascii="Arial" w:hAnsi="Arial" w:cs="Arial"/>
          <w:sz w:val="20"/>
          <w:szCs w:val="20"/>
          <w:lang w:val="fr-FR"/>
        </w:rPr>
        <w:t>la façon dont</w:t>
      </w:r>
      <w:r w:rsidRPr="007A3555">
        <w:rPr>
          <w:rFonts w:ascii="Arial" w:hAnsi="Arial" w:cs="Arial"/>
          <w:sz w:val="20"/>
          <w:szCs w:val="20"/>
          <w:lang w:val="fr-FR"/>
        </w:rPr>
        <w:t xml:space="preserve"> la coordination du groupe de travail est mise en place, sur les principales tâches des coordinateurs du groupe de travail de l</w:t>
      </w:r>
      <w:r>
        <w:rPr>
          <w:rFonts w:ascii="Arial" w:hAnsi="Arial" w:cs="Arial"/>
          <w:sz w:val="20"/>
          <w:szCs w:val="20"/>
          <w:lang w:val="fr-FR"/>
        </w:rPr>
        <w:t>’</w:t>
      </w:r>
      <w:r w:rsidRPr="007A3555">
        <w:rPr>
          <w:rFonts w:ascii="Arial" w:hAnsi="Arial" w:cs="Arial"/>
          <w:sz w:val="20"/>
          <w:szCs w:val="20"/>
          <w:lang w:val="fr-FR"/>
        </w:rPr>
        <w:t>AEWA par espèce, ainsi que sur le rôle du Secrétariat.</w:t>
      </w:r>
      <w:r w:rsidRPr="004B1407">
        <w:rPr>
          <w:rFonts w:ascii="Arial" w:hAnsi="Arial" w:cs="Arial"/>
          <w:sz w:val="20"/>
          <w:szCs w:val="20"/>
          <w:lang w:val="fr-FR"/>
        </w:rPr>
        <w:t xml:space="preserve"> </w:t>
      </w:r>
    </w:p>
    <w:p w14:paraId="1CE95903" w14:textId="77777777" w:rsidR="00886A3C" w:rsidRPr="004B1407" w:rsidRDefault="00886A3C" w:rsidP="00886A3C">
      <w:pPr>
        <w:spacing w:after="0" w:line="240" w:lineRule="auto"/>
        <w:jc w:val="both"/>
        <w:rPr>
          <w:rFonts w:ascii="Arial" w:hAnsi="Arial" w:cs="Arial"/>
          <w:sz w:val="20"/>
          <w:szCs w:val="20"/>
          <w:lang w:val="fr-FR"/>
        </w:rPr>
      </w:pPr>
    </w:p>
    <w:p w14:paraId="3F089185" w14:textId="77777777" w:rsidR="00886A3C" w:rsidRPr="004B1407" w:rsidRDefault="00886A3C" w:rsidP="00886A3C">
      <w:pPr>
        <w:spacing w:after="0" w:line="240" w:lineRule="auto"/>
        <w:jc w:val="both"/>
        <w:rPr>
          <w:rFonts w:ascii="Arial" w:hAnsi="Arial" w:cs="Arial"/>
          <w:sz w:val="20"/>
          <w:szCs w:val="20"/>
          <w:lang w:val="fr-FR"/>
        </w:rPr>
      </w:pPr>
    </w:p>
    <w:p w14:paraId="46C37574" w14:textId="77777777" w:rsidR="00886A3C" w:rsidRPr="004B1407" w:rsidRDefault="00886A3C" w:rsidP="00886A3C">
      <w:pPr>
        <w:pStyle w:val="ListParagraph"/>
        <w:numPr>
          <w:ilvl w:val="0"/>
          <w:numId w:val="15"/>
        </w:numPr>
        <w:spacing w:after="0" w:line="240" w:lineRule="auto"/>
        <w:ind w:left="567" w:hanging="425"/>
        <w:rPr>
          <w:rFonts w:ascii="Arial" w:hAnsi="Arial" w:cs="Arial"/>
          <w:b/>
          <w:sz w:val="20"/>
          <w:szCs w:val="20"/>
          <w:lang w:val="fr-FR"/>
        </w:rPr>
      </w:pPr>
      <w:r w:rsidRPr="00504DD0">
        <w:rPr>
          <w:rFonts w:ascii="Arial" w:hAnsi="Arial" w:cs="Arial"/>
          <w:b/>
          <w:sz w:val="20"/>
          <w:szCs w:val="20"/>
          <w:lang w:val="fr-FR"/>
        </w:rPr>
        <w:t>ORGANISATION ET FINANCEMENT DE LA COORDINATION</w:t>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r>
    </w:p>
    <w:p w14:paraId="537DD0AF" w14:textId="77777777" w:rsidR="00886A3C" w:rsidRPr="004B1407" w:rsidRDefault="00886A3C" w:rsidP="00886A3C">
      <w:pPr>
        <w:spacing w:after="0" w:line="240" w:lineRule="auto"/>
        <w:jc w:val="both"/>
        <w:rPr>
          <w:rFonts w:ascii="Arial" w:hAnsi="Arial" w:cs="Arial"/>
          <w:sz w:val="20"/>
          <w:szCs w:val="20"/>
          <w:lang w:val="fr-FR"/>
        </w:rPr>
      </w:pPr>
    </w:p>
    <w:p w14:paraId="1CBBB8D8" w14:textId="77777777" w:rsidR="00886A3C" w:rsidRPr="004B1407" w:rsidRDefault="00886A3C" w:rsidP="00886A3C">
      <w:pPr>
        <w:spacing w:after="0" w:line="240" w:lineRule="auto"/>
        <w:jc w:val="both"/>
        <w:rPr>
          <w:rFonts w:ascii="Arial" w:hAnsi="Arial" w:cs="Arial"/>
          <w:sz w:val="20"/>
          <w:szCs w:val="20"/>
          <w:lang w:val="fr-FR"/>
        </w:rPr>
      </w:pPr>
      <w:r w:rsidRPr="00504DD0">
        <w:rPr>
          <w:rFonts w:ascii="Arial" w:hAnsi="Arial" w:cs="Arial"/>
          <w:sz w:val="20"/>
          <w:szCs w:val="20"/>
          <w:lang w:val="fr-FR"/>
        </w:rPr>
        <w:t>La signature d</w:t>
      </w:r>
      <w:r>
        <w:rPr>
          <w:rFonts w:ascii="Arial" w:hAnsi="Arial" w:cs="Arial"/>
          <w:sz w:val="20"/>
          <w:szCs w:val="20"/>
          <w:lang w:val="fr-FR"/>
        </w:rPr>
        <w:t>’</w:t>
      </w:r>
      <w:r w:rsidRPr="00504DD0">
        <w:rPr>
          <w:rFonts w:ascii="Arial" w:hAnsi="Arial" w:cs="Arial"/>
          <w:sz w:val="20"/>
          <w:szCs w:val="20"/>
          <w:lang w:val="fr-FR"/>
        </w:rPr>
        <w:t>un mémorandum d</w:t>
      </w:r>
      <w:r>
        <w:rPr>
          <w:rFonts w:ascii="Arial" w:hAnsi="Arial" w:cs="Arial"/>
          <w:sz w:val="20"/>
          <w:szCs w:val="20"/>
          <w:lang w:val="fr-FR"/>
        </w:rPr>
        <w:t>’</w:t>
      </w:r>
      <w:r w:rsidRPr="00504DD0">
        <w:rPr>
          <w:rFonts w:ascii="Arial" w:hAnsi="Arial" w:cs="Arial"/>
          <w:sz w:val="20"/>
          <w:szCs w:val="20"/>
          <w:lang w:val="fr-FR"/>
        </w:rPr>
        <w:t>entente (MdE) conclu entre le Secrétariat PNUE/AEWA et l</w:t>
      </w:r>
      <w:r>
        <w:rPr>
          <w:rFonts w:ascii="Arial" w:hAnsi="Arial" w:cs="Arial"/>
          <w:sz w:val="20"/>
          <w:szCs w:val="20"/>
          <w:lang w:val="fr-FR"/>
        </w:rPr>
        <w:t>’</w:t>
      </w:r>
      <w:r w:rsidRPr="00504DD0">
        <w:rPr>
          <w:rFonts w:ascii="Arial" w:hAnsi="Arial" w:cs="Arial"/>
          <w:sz w:val="20"/>
          <w:szCs w:val="20"/>
          <w:lang w:val="fr-FR"/>
        </w:rPr>
        <w:t>institution/organisation en question officialise dans la plupart des cas l</w:t>
      </w:r>
      <w:r>
        <w:rPr>
          <w:rFonts w:ascii="Arial" w:hAnsi="Arial" w:cs="Arial"/>
          <w:sz w:val="20"/>
          <w:szCs w:val="20"/>
          <w:lang w:val="fr-FR"/>
        </w:rPr>
        <w:t>’</w:t>
      </w:r>
      <w:r w:rsidRPr="00504DD0">
        <w:rPr>
          <w:rFonts w:ascii="Arial" w:hAnsi="Arial" w:cs="Arial"/>
          <w:sz w:val="20"/>
          <w:szCs w:val="20"/>
          <w:lang w:val="fr-FR"/>
        </w:rPr>
        <w:t>engagement pris par une organisation d</w:t>
      </w:r>
      <w:r>
        <w:rPr>
          <w:rFonts w:ascii="Arial" w:hAnsi="Arial" w:cs="Arial"/>
          <w:sz w:val="20"/>
          <w:szCs w:val="20"/>
          <w:lang w:val="fr-FR"/>
        </w:rPr>
        <w:t>’</w:t>
      </w:r>
      <w:r w:rsidRPr="00504DD0">
        <w:rPr>
          <w:rFonts w:ascii="Arial" w:hAnsi="Arial" w:cs="Arial"/>
          <w:sz w:val="20"/>
          <w:szCs w:val="20"/>
          <w:lang w:val="fr-FR"/>
        </w:rPr>
        <w:t>assurer la tâche de coordination d</w:t>
      </w:r>
      <w:r>
        <w:rPr>
          <w:rFonts w:ascii="Arial" w:hAnsi="Arial" w:cs="Arial"/>
          <w:sz w:val="20"/>
          <w:szCs w:val="20"/>
          <w:lang w:val="fr-FR"/>
        </w:rPr>
        <w:t>’</w:t>
      </w:r>
      <w:r w:rsidRPr="00504DD0">
        <w:rPr>
          <w:rFonts w:ascii="Arial" w:hAnsi="Arial" w:cs="Arial"/>
          <w:sz w:val="20"/>
          <w:szCs w:val="20"/>
          <w:lang w:val="fr-FR"/>
        </w:rPr>
        <w:t>un groupe de travail sur une espèce.</w:t>
      </w:r>
      <w:r w:rsidRPr="004B1407">
        <w:rPr>
          <w:rFonts w:ascii="Arial" w:hAnsi="Arial" w:cs="Arial"/>
          <w:sz w:val="20"/>
          <w:szCs w:val="20"/>
          <w:lang w:val="fr-FR"/>
        </w:rPr>
        <w:t xml:space="preserve"> </w:t>
      </w:r>
      <w:r w:rsidRPr="00504DD0">
        <w:rPr>
          <w:rFonts w:ascii="Arial" w:hAnsi="Arial" w:cs="Arial"/>
          <w:sz w:val="20"/>
          <w:szCs w:val="20"/>
          <w:lang w:val="fr-FR"/>
        </w:rPr>
        <w:t>Les termes de référence de base décrivant le rôle et les responsabilités du coordinateur sont joints au MdE.</w:t>
      </w:r>
      <w:r w:rsidRPr="004B1407">
        <w:rPr>
          <w:rFonts w:ascii="Arial" w:hAnsi="Arial" w:cs="Arial"/>
          <w:sz w:val="20"/>
          <w:szCs w:val="20"/>
          <w:lang w:val="fr-FR"/>
        </w:rPr>
        <w:t xml:space="preserve"> </w:t>
      </w:r>
      <w:r w:rsidRPr="00504DD0">
        <w:rPr>
          <w:rFonts w:ascii="Arial" w:hAnsi="Arial" w:cs="Arial"/>
          <w:sz w:val="20"/>
          <w:szCs w:val="20"/>
          <w:lang w:val="fr-FR"/>
        </w:rPr>
        <w:t>Les coordinateurs doivent travailler en étroite coopération et concertation avec le Secrétariat et le président élu du groupe de travail concerné.</w:t>
      </w:r>
    </w:p>
    <w:p w14:paraId="68AF0631" w14:textId="77777777" w:rsidR="00886A3C" w:rsidRPr="004B1407" w:rsidRDefault="00886A3C" w:rsidP="00886A3C">
      <w:pPr>
        <w:spacing w:after="0" w:line="240" w:lineRule="auto"/>
        <w:jc w:val="both"/>
        <w:rPr>
          <w:rFonts w:ascii="Arial" w:hAnsi="Arial" w:cs="Arial"/>
          <w:sz w:val="20"/>
          <w:szCs w:val="20"/>
          <w:lang w:val="fr-FR"/>
        </w:rPr>
      </w:pPr>
    </w:p>
    <w:p w14:paraId="1D8D69D5" w14:textId="77777777" w:rsidR="00886A3C" w:rsidRPr="004B1407" w:rsidRDefault="00886A3C" w:rsidP="00886A3C">
      <w:pPr>
        <w:spacing w:after="0" w:line="240" w:lineRule="auto"/>
        <w:jc w:val="both"/>
        <w:rPr>
          <w:rFonts w:ascii="Arial" w:hAnsi="Arial" w:cs="Arial"/>
          <w:sz w:val="20"/>
          <w:szCs w:val="20"/>
          <w:lang w:val="fr-FR"/>
        </w:rPr>
      </w:pPr>
      <w:r w:rsidRPr="00504DD0">
        <w:rPr>
          <w:rFonts w:ascii="Arial" w:hAnsi="Arial" w:cs="Arial"/>
          <w:sz w:val="20"/>
          <w:szCs w:val="20"/>
          <w:lang w:val="fr-FR"/>
        </w:rPr>
        <w:t>La principale responsabilité du financement de la fonction de coordinateur incombe à l</w:t>
      </w:r>
      <w:r>
        <w:rPr>
          <w:rFonts w:ascii="Arial" w:hAnsi="Arial" w:cs="Arial"/>
          <w:sz w:val="20"/>
          <w:szCs w:val="20"/>
          <w:lang w:val="fr-FR"/>
        </w:rPr>
        <w:t>’</w:t>
      </w:r>
      <w:r w:rsidRPr="00504DD0">
        <w:rPr>
          <w:rFonts w:ascii="Arial" w:hAnsi="Arial" w:cs="Arial"/>
          <w:sz w:val="20"/>
          <w:szCs w:val="20"/>
          <w:lang w:val="fr-FR"/>
        </w:rPr>
        <w:t>organisation coordinatrice sélectionnée et au coordinateur.</w:t>
      </w:r>
      <w:r w:rsidRPr="004B1407">
        <w:rPr>
          <w:rFonts w:ascii="Arial" w:hAnsi="Arial" w:cs="Arial"/>
          <w:sz w:val="20"/>
          <w:szCs w:val="20"/>
          <w:lang w:val="fr-FR"/>
        </w:rPr>
        <w:t xml:space="preserve"> </w:t>
      </w:r>
      <w:r w:rsidRPr="00504DD0">
        <w:rPr>
          <w:rFonts w:ascii="Arial" w:hAnsi="Arial" w:cs="Arial"/>
          <w:sz w:val="20"/>
          <w:szCs w:val="20"/>
          <w:lang w:val="fr-FR"/>
        </w:rPr>
        <w:t>Le Secrétariat dispose de moyens très limités pour aider à la réunion de fonds destinés aux groupes de travail.</w:t>
      </w:r>
      <w:r w:rsidRPr="004B1407">
        <w:rPr>
          <w:rFonts w:ascii="Arial" w:hAnsi="Arial" w:cs="Arial"/>
          <w:sz w:val="20"/>
          <w:szCs w:val="20"/>
          <w:lang w:val="fr-FR"/>
        </w:rPr>
        <w:t xml:space="preserve"> </w:t>
      </w:r>
      <w:r w:rsidRPr="008B1768">
        <w:rPr>
          <w:rFonts w:ascii="Arial" w:hAnsi="Arial" w:cs="Arial"/>
          <w:sz w:val="20"/>
          <w:szCs w:val="20"/>
          <w:lang w:val="fr-FR"/>
        </w:rPr>
        <w:t xml:space="preserve">La coordination sera donc </w:t>
      </w:r>
      <w:r>
        <w:rPr>
          <w:rFonts w:ascii="Arial" w:hAnsi="Arial" w:cs="Arial"/>
          <w:sz w:val="20"/>
          <w:szCs w:val="20"/>
          <w:lang w:val="fr-FR"/>
        </w:rPr>
        <w:t xml:space="preserve">le plus souvent </w:t>
      </w:r>
      <w:r w:rsidRPr="008B1768">
        <w:rPr>
          <w:rFonts w:ascii="Arial" w:hAnsi="Arial" w:cs="Arial"/>
          <w:sz w:val="20"/>
          <w:szCs w:val="20"/>
          <w:lang w:val="fr-FR"/>
        </w:rPr>
        <w:t>confi</w:t>
      </w:r>
      <w:r>
        <w:rPr>
          <w:rFonts w:ascii="Arial" w:hAnsi="Arial" w:cs="Arial"/>
          <w:sz w:val="20"/>
          <w:szCs w:val="20"/>
          <w:lang w:val="fr-FR"/>
        </w:rPr>
        <w:t>ée</w:t>
      </w:r>
      <w:r w:rsidRPr="008B1768">
        <w:rPr>
          <w:rFonts w:ascii="Arial" w:hAnsi="Arial" w:cs="Arial"/>
          <w:sz w:val="20"/>
          <w:szCs w:val="20"/>
          <w:lang w:val="fr-FR"/>
        </w:rPr>
        <w:t xml:space="preserve"> à des organisations ou à des institutions gouvernementales pouvant assurer cette coordination</w:t>
      </w:r>
      <w:r>
        <w:rPr>
          <w:rFonts w:ascii="Arial" w:hAnsi="Arial" w:cs="Arial"/>
          <w:sz w:val="20"/>
          <w:szCs w:val="20"/>
          <w:lang w:val="fr-FR"/>
        </w:rPr>
        <w:t>,</w:t>
      </w:r>
      <w:r w:rsidRPr="008B1768">
        <w:rPr>
          <w:rFonts w:ascii="Arial" w:hAnsi="Arial" w:cs="Arial"/>
          <w:sz w:val="20"/>
          <w:szCs w:val="20"/>
          <w:lang w:val="fr-FR"/>
        </w:rPr>
        <w:t xml:space="preserve"> soit en tant qu</w:t>
      </w:r>
      <w:r>
        <w:rPr>
          <w:rFonts w:ascii="Arial" w:hAnsi="Arial" w:cs="Arial"/>
          <w:sz w:val="20"/>
          <w:szCs w:val="20"/>
          <w:lang w:val="fr-FR"/>
        </w:rPr>
        <w:t>’</w:t>
      </w:r>
      <w:r w:rsidRPr="008B1768">
        <w:rPr>
          <w:rFonts w:ascii="Arial" w:hAnsi="Arial" w:cs="Arial"/>
          <w:sz w:val="20"/>
          <w:szCs w:val="20"/>
          <w:lang w:val="fr-FR"/>
        </w:rPr>
        <w:t>élément du travail régulier de leur personnel</w:t>
      </w:r>
      <w:r>
        <w:rPr>
          <w:rFonts w:ascii="Arial" w:hAnsi="Arial" w:cs="Arial"/>
          <w:sz w:val="20"/>
          <w:szCs w:val="20"/>
          <w:lang w:val="fr-FR"/>
        </w:rPr>
        <w:t>,</w:t>
      </w:r>
      <w:r w:rsidRPr="008B1768">
        <w:rPr>
          <w:rFonts w:ascii="Arial" w:hAnsi="Arial" w:cs="Arial"/>
          <w:sz w:val="20"/>
          <w:szCs w:val="20"/>
          <w:lang w:val="fr-FR"/>
        </w:rPr>
        <w:t xml:space="preserve"> soit au moyen d</w:t>
      </w:r>
      <w:r>
        <w:rPr>
          <w:rFonts w:ascii="Arial" w:hAnsi="Arial" w:cs="Arial"/>
          <w:sz w:val="20"/>
          <w:szCs w:val="20"/>
          <w:lang w:val="fr-FR"/>
        </w:rPr>
        <w:t>’</w:t>
      </w:r>
      <w:r w:rsidRPr="008B1768">
        <w:rPr>
          <w:rFonts w:ascii="Arial" w:hAnsi="Arial" w:cs="Arial"/>
          <w:sz w:val="20"/>
          <w:szCs w:val="20"/>
          <w:lang w:val="fr-FR"/>
        </w:rPr>
        <w:t>une contribution volontaire ou d</w:t>
      </w:r>
      <w:r>
        <w:rPr>
          <w:rFonts w:ascii="Arial" w:hAnsi="Arial" w:cs="Arial"/>
          <w:sz w:val="20"/>
          <w:szCs w:val="20"/>
          <w:lang w:val="fr-FR"/>
        </w:rPr>
        <w:t>’</w:t>
      </w:r>
      <w:r w:rsidRPr="008B1768">
        <w:rPr>
          <w:rFonts w:ascii="Arial" w:hAnsi="Arial" w:cs="Arial"/>
          <w:sz w:val="20"/>
          <w:szCs w:val="20"/>
          <w:lang w:val="fr-FR"/>
        </w:rPr>
        <w:t>une affectation provisoire.</w:t>
      </w:r>
      <w:r w:rsidRPr="004B1407">
        <w:rPr>
          <w:rFonts w:ascii="Arial" w:hAnsi="Arial" w:cs="Arial"/>
          <w:sz w:val="20"/>
          <w:szCs w:val="20"/>
          <w:lang w:val="fr-FR"/>
        </w:rPr>
        <w:t xml:space="preserve"> </w:t>
      </w:r>
      <w:r w:rsidRPr="008B1768">
        <w:rPr>
          <w:rFonts w:ascii="Arial" w:hAnsi="Arial" w:cs="Arial"/>
          <w:sz w:val="20"/>
          <w:szCs w:val="20"/>
          <w:lang w:val="fr-FR"/>
        </w:rPr>
        <w:t>Les États de l</w:t>
      </w:r>
      <w:r>
        <w:rPr>
          <w:rFonts w:ascii="Arial" w:hAnsi="Arial" w:cs="Arial"/>
          <w:sz w:val="20"/>
          <w:szCs w:val="20"/>
          <w:lang w:val="fr-FR"/>
        </w:rPr>
        <w:t>’</w:t>
      </w:r>
      <w:r w:rsidRPr="008B1768">
        <w:rPr>
          <w:rFonts w:ascii="Arial" w:hAnsi="Arial" w:cs="Arial"/>
          <w:sz w:val="20"/>
          <w:szCs w:val="20"/>
          <w:lang w:val="fr-FR"/>
        </w:rPr>
        <w:t>aire de répartition du groupe de travail concerné peuvent aussi souhaiter contribuer à ce financement.</w:t>
      </w:r>
      <w:r w:rsidRPr="004B1407">
        <w:rPr>
          <w:rFonts w:ascii="Arial" w:hAnsi="Arial" w:cs="Arial"/>
          <w:sz w:val="20"/>
          <w:szCs w:val="20"/>
          <w:lang w:val="fr-FR"/>
        </w:rPr>
        <w:t xml:space="preserve"> </w:t>
      </w:r>
    </w:p>
    <w:p w14:paraId="5521D6A9" w14:textId="77777777" w:rsidR="00886A3C" w:rsidRPr="004B1407" w:rsidRDefault="00886A3C" w:rsidP="00886A3C">
      <w:pPr>
        <w:spacing w:after="0" w:line="240" w:lineRule="auto"/>
        <w:jc w:val="both"/>
        <w:rPr>
          <w:rFonts w:ascii="Arial" w:hAnsi="Arial" w:cs="Arial"/>
          <w:sz w:val="20"/>
          <w:szCs w:val="20"/>
          <w:lang w:val="fr-FR"/>
        </w:rPr>
      </w:pPr>
    </w:p>
    <w:p w14:paraId="0E34F9C6" w14:textId="77777777" w:rsidR="00886A3C" w:rsidRPr="004B1407" w:rsidRDefault="00886A3C" w:rsidP="00886A3C">
      <w:pPr>
        <w:spacing w:after="0" w:line="240" w:lineRule="auto"/>
        <w:jc w:val="both"/>
        <w:rPr>
          <w:rFonts w:ascii="Arial" w:hAnsi="Arial" w:cs="Arial"/>
          <w:sz w:val="20"/>
          <w:szCs w:val="20"/>
          <w:lang w:val="fr-FR"/>
        </w:rPr>
      </w:pPr>
      <w:r w:rsidRPr="008B1768">
        <w:rPr>
          <w:rFonts w:ascii="Arial" w:hAnsi="Arial" w:cs="Arial"/>
          <w:sz w:val="20"/>
          <w:szCs w:val="20"/>
          <w:lang w:val="fr-FR"/>
        </w:rPr>
        <w:t>Plus le coordinateur dispose de temps pour son groupe de travail, mieux c</w:t>
      </w:r>
      <w:r>
        <w:rPr>
          <w:rFonts w:ascii="Arial" w:hAnsi="Arial" w:cs="Arial"/>
          <w:sz w:val="20"/>
          <w:szCs w:val="20"/>
          <w:lang w:val="fr-FR"/>
        </w:rPr>
        <w:t>’</w:t>
      </w:r>
      <w:r w:rsidRPr="008B1768">
        <w:rPr>
          <w:rFonts w:ascii="Arial" w:hAnsi="Arial" w:cs="Arial"/>
          <w:sz w:val="20"/>
          <w:szCs w:val="20"/>
          <w:lang w:val="fr-FR"/>
        </w:rPr>
        <w:t>est – mais pr</w:t>
      </w:r>
      <w:r>
        <w:rPr>
          <w:rFonts w:ascii="Arial" w:hAnsi="Arial" w:cs="Arial"/>
          <w:sz w:val="20"/>
          <w:szCs w:val="20"/>
          <w:lang w:val="fr-FR"/>
        </w:rPr>
        <w:t xml:space="preserve">atiquement </w:t>
      </w:r>
      <w:r w:rsidRPr="008B1768">
        <w:rPr>
          <w:rFonts w:ascii="Arial" w:hAnsi="Arial" w:cs="Arial"/>
          <w:sz w:val="20"/>
          <w:szCs w:val="20"/>
          <w:lang w:val="fr-FR"/>
        </w:rPr>
        <w:t>aucun des groupes de travail actuellement en place n</w:t>
      </w:r>
      <w:r>
        <w:rPr>
          <w:rFonts w:ascii="Arial" w:hAnsi="Arial" w:cs="Arial"/>
          <w:sz w:val="20"/>
          <w:szCs w:val="20"/>
          <w:lang w:val="fr-FR"/>
        </w:rPr>
        <w:t xml:space="preserve">e dispose </w:t>
      </w:r>
      <w:r w:rsidRPr="008B1768">
        <w:rPr>
          <w:rFonts w:ascii="Arial" w:hAnsi="Arial" w:cs="Arial"/>
          <w:sz w:val="20"/>
          <w:szCs w:val="20"/>
          <w:lang w:val="fr-FR"/>
        </w:rPr>
        <w:t>un coordinateur à plein temps.</w:t>
      </w:r>
      <w:r w:rsidRPr="004B1407">
        <w:rPr>
          <w:rFonts w:ascii="Arial" w:hAnsi="Arial" w:cs="Arial"/>
          <w:sz w:val="20"/>
          <w:szCs w:val="20"/>
          <w:lang w:val="fr-FR"/>
        </w:rPr>
        <w:t xml:space="preserve"> </w:t>
      </w:r>
      <w:r w:rsidRPr="008B1768">
        <w:rPr>
          <w:rFonts w:ascii="Arial" w:hAnsi="Arial" w:cs="Arial"/>
          <w:sz w:val="20"/>
          <w:szCs w:val="20"/>
          <w:lang w:val="fr-FR"/>
        </w:rPr>
        <w:t xml:space="preserve">La coordination est plutôt assurée </w:t>
      </w:r>
      <w:r>
        <w:rPr>
          <w:rFonts w:ascii="Arial" w:hAnsi="Arial" w:cs="Arial"/>
          <w:sz w:val="20"/>
          <w:szCs w:val="20"/>
          <w:lang w:val="fr-FR"/>
        </w:rPr>
        <w:t>en tant qu’élément de</w:t>
      </w:r>
      <w:r w:rsidRPr="008B1768">
        <w:rPr>
          <w:rFonts w:ascii="Arial" w:hAnsi="Arial" w:cs="Arial"/>
          <w:sz w:val="20"/>
          <w:szCs w:val="20"/>
          <w:lang w:val="fr-FR"/>
        </w:rPr>
        <w:t xml:space="preserve"> l</w:t>
      </w:r>
      <w:r>
        <w:rPr>
          <w:rFonts w:ascii="Arial" w:hAnsi="Arial" w:cs="Arial"/>
          <w:sz w:val="20"/>
          <w:szCs w:val="20"/>
          <w:lang w:val="fr-FR"/>
        </w:rPr>
        <w:t>’</w:t>
      </w:r>
      <w:r w:rsidRPr="008B1768">
        <w:rPr>
          <w:rFonts w:ascii="Arial" w:hAnsi="Arial" w:cs="Arial"/>
          <w:sz w:val="20"/>
          <w:szCs w:val="20"/>
          <w:lang w:val="fr-FR"/>
        </w:rPr>
        <w:t>occupation principale de la personne sélectionnée, ou bien vient s</w:t>
      </w:r>
      <w:r>
        <w:rPr>
          <w:rFonts w:ascii="Arial" w:hAnsi="Arial" w:cs="Arial"/>
          <w:sz w:val="20"/>
          <w:szCs w:val="20"/>
          <w:lang w:val="fr-FR"/>
        </w:rPr>
        <w:t>’</w:t>
      </w:r>
      <w:r w:rsidRPr="008B1768">
        <w:rPr>
          <w:rFonts w:ascii="Arial" w:hAnsi="Arial" w:cs="Arial"/>
          <w:sz w:val="20"/>
          <w:szCs w:val="20"/>
          <w:lang w:val="fr-FR"/>
        </w:rPr>
        <w:t>y ajouter.</w:t>
      </w:r>
      <w:r w:rsidRPr="004B1407">
        <w:rPr>
          <w:rFonts w:ascii="Arial" w:hAnsi="Arial" w:cs="Arial"/>
          <w:sz w:val="20"/>
          <w:szCs w:val="20"/>
          <w:lang w:val="fr-FR"/>
        </w:rPr>
        <w:t xml:space="preserve"> </w:t>
      </w:r>
    </w:p>
    <w:p w14:paraId="215ED562" w14:textId="77777777" w:rsidR="00886A3C" w:rsidRPr="004B1407" w:rsidRDefault="00886A3C" w:rsidP="00886A3C">
      <w:pPr>
        <w:spacing w:after="0" w:line="240" w:lineRule="auto"/>
        <w:jc w:val="both"/>
        <w:rPr>
          <w:rFonts w:ascii="Arial" w:hAnsi="Arial" w:cs="Arial"/>
          <w:sz w:val="20"/>
          <w:szCs w:val="20"/>
          <w:lang w:val="fr-FR"/>
        </w:rPr>
      </w:pPr>
    </w:p>
    <w:p w14:paraId="4E2CC9C5" w14:textId="77777777" w:rsidR="00886A3C" w:rsidRPr="004B1407" w:rsidRDefault="00886A3C" w:rsidP="00886A3C">
      <w:pPr>
        <w:spacing w:after="0" w:line="240" w:lineRule="auto"/>
        <w:jc w:val="both"/>
        <w:rPr>
          <w:rFonts w:ascii="Arial" w:hAnsi="Arial" w:cs="Arial"/>
          <w:sz w:val="20"/>
          <w:szCs w:val="20"/>
          <w:lang w:val="fr-FR"/>
        </w:rPr>
      </w:pPr>
    </w:p>
    <w:p w14:paraId="27457B1C" w14:textId="77777777" w:rsidR="00886A3C" w:rsidRPr="004B1407" w:rsidRDefault="00886A3C" w:rsidP="00886A3C">
      <w:pPr>
        <w:pStyle w:val="ListParagraph"/>
        <w:numPr>
          <w:ilvl w:val="0"/>
          <w:numId w:val="15"/>
        </w:numPr>
        <w:spacing w:after="0" w:line="240" w:lineRule="auto"/>
        <w:ind w:left="567" w:hanging="425"/>
        <w:rPr>
          <w:rFonts w:ascii="Arial" w:hAnsi="Arial" w:cs="Arial"/>
          <w:b/>
          <w:sz w:val="20"/>
          <w:szCs w:val="20"/>
          <w:lang w:val="fr-FR"/>
        </w:rPr>
      </w:pPr>
      <w:r w:rsidRPr="008B1768">
        <w:rPr>
          <w:rFonts w:ascii="Arial" w:hAnsi="Arial" w:cs="Arial"/>
          <w:b/>
          <w:sz w:val="20"/>
          <w:szCs w:val="20"/>
          <w:lang w:val="fr-FR"/>
        </w:rPr>
        <w:t>OBJECTIFS PRINCIPAUX DE LA COORDINATION D</w:t>
      </w:r>
      <w:r>
        <w:rPr>
          <w:rFonts w:ascii="Arial" w:hAnsi="Arial" w:cs="Arial"/>
          <w:b/>
          <w:sz w:val="20"/>
          <w:szCs w:val="20"/>
          <w:lang w:val="fr-FR"/>
        </w:rPr>
        <w:t>’</w:t>
      </w:r>
      <w:r w:rsidRPr="008B1768">
        <w:rPr>
          <w:rFonts w:ascii="Arial" w:hAnsi="Arial" w:cs="Arial"/>
          <w:b/>
          <w:sz w:val="20"/>
          <w:szCs w:val="20"/>
          <w:lang w:val="fr-FR"/>
        </w:rPr>
        <w:t>UN ISWG DE L</w:t>
      </w:r>
      <w:r>
        <w:rPr>
          <w:rFonts w:ascii="Arial" w:hAnsi="Arial" w:cs="Arial"/>
          <w:b/>
          <w:sz w:val="20"/>
          <w:szCs w:val="20"/>
          <w:lang w:val="fr-FR"/>
        </w:rPr>
        <w:t>’</w:t>
      </w:r>
      <w:r w:rsidRPr="008B1768">
        <w:rPr>
          <w:rFonts w:ascii="Arial" w:hAnsi="Arial" w:cs="Arial"/>
          <w:b/>
          <w:sz w:val="20"/>
          <w:szCs w:val="20"/>
          <w:lang w:val="fr-FR"/>
        </w:rPr>
        <w:t>AEWA</w:t>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r>
    </w:p>
    <w:p w14:paraId="2F90B445" w14:textId="77777777" w:rsidR="00886A3C" w:rsidRPr="004B1407" w:rsidRDefault="00886A3C" w:rsidP="00886A3C">
      <w:pPr>
        <w:spacing w:after="0" w:line="240" w:lineRule="auto"/>
        <w:jc w:val="both"/>
        <w:rPr>
          <w:rFonts w:ascii="Arial" w:hAnsi="Arial" w:cs="Arial"/>
          <w:b/>
          <w:sz w:val="20"/>
          <w:szCs w:val="20"/>
          <w:lang w:val="fr-FR"/>
        </w:rPr>
      </w:pPr>
    </w:p>
    <w:p w14:paraId="5D607F66" w14:textId="77777777" w:rsidR="00886A3C" w:rsidRPr="004B1407" w:rsidRDefault="00886A3C" w:rsidP="00886A3C">
      <w:pPr>
        <w:spacing w:after="0" w:line="240" w:lineRule="auto"/>
        <w:jc w:val="both"/>
        <w:rPr>
          <w:rFonts w:ascii="Arial" w:hAnsi="Arial" w:cs="Arial"/>
          <w:sz w:val="20"/>
          <w:szCs w:val="20"/>
          <w:lang w:val="fr-FR"/>
        </w:rPr>
      </w:pPr>
      <w:r w:rsidRPr="0061485E">
        <w:rPr>
          <w:rFonts w:ascii="Arial" w:hAnsi="Arial" w:cs="Arial"/>
          <w:sz w:val="20"/>
          <w:szCs w:val="20"/>
          <w:lang w:val="fr-FR"/>
        </w:rPr>
        <w:t>L</w:t>
      </w:r>
      <w:r>
        <w:rPr>
          <w:rFonts w:ascii="Arial" w:hAnsi="Arial" w:cs="Arial"/>
          <w:sz w:val="20"/>
          <w:szCs w:val="20"/>
          <w:lang w:val="fr-FR"/>
        </w:rPr>
        <w:t>’</w:t>
      </w:r>
      <w:r w:rsidRPr="0061485E">
        <w:rPr>
          <w:rFonts w:ascii="Arial" w:hAnsi="Arial" w:cs="Arial"/>
          <w:sz w:val="20"/>
          <w:szCs w:val="20"/>
          <w:lang w:val="fr-FR"/>
        </w:rPr>
        <w:t>objectif principal de la mise en place et de la réalisation de la coordination des groupes de travail internationaux par espèce (ISWG) est d</w:t>
      </w:r>
      <w:r>
        <w:rPr>
          <w:rFonts w:ascii="Arial" w:hAnsi="Arial" w:cs="Arial"/>
          <w:sz w:val="20"/>
          <w:szCs w:val="20"/>
          <w:lang w:val="fr-FR"/>
        </w:rPr>
        <w:t>’</w:t>
      </w:r>
      <w:r w:rsidRPr="0061485E">
        <w:rPr>
          <w:rFonts w:ascii="Arial" w:hAnsi="Arial" w:cs="Arial"/>
          <w:sz w:val="20"/>
          <w:szCs w:val="20"/>
          <w:lang w:val="fr-FR"/>
        </w:rPr>
        <w:t>assurer leur bon fonctionnement avec le but ultime de mettre en œuvre</w:t>
      </w:r>
      <w:r>
        <w:rPr>
          <w:rFonts w:ascii="Arial" w:hAnsi="Arial" w:cs="Arial"/>
          <w:sz w:val="20"/>
          <w:szCs w:val="20"/>
          <w:lang w:val="fr-FR"/>
        </w:rPr>
        <w:t xml:space="preserve"> </w:t>
      </w:r>
      <w:r w:rsidRPr="0061485E">
        <w:rPr>
          <w:rFonts w:ascii="Arial" w:hAnsi="Arial" w:cs="Arial"/>
          <w:sz w:val="20"/>
          <w:szCs w:val="20"/>
          <w:lang w:val="fr-FR"/>
        </w:rPr>
        <w:t>le plan d</w:t>
      </w:r>
      <w:r>
        <w:rPr>
          <w:rFonts w:ascii="Arial" w:hAnsi="Arial" w:cs="Arial"/>
          <w:sz w:val="20"/>
          <w:szCs w:val="20"/>
          <w:lang w:val="fr-FR"/>
        </w:rPr>
        <w:t>’</w:t>
      </w:r>
      <w:r w:rsidRPr="0061485E">
        <w:rPr>
          <w:rFonts w:ascii="Arial" w:hAnsi="Arial" w:cs="Arial"/>
          <w:sz w:val="20"/>
          <w:szCs w:val="20"/>
          <w:lang w:val="fr-FR"/>
        </w:rPr>
        <w:t>action ou de gestion pour l</w:t>
      </w:r>
      <w:r>
        <w:rPr>
          <w:rFonts w:ascii="Arial" w:hAnsi="Arial" w:cs="Arial"/>
          <w:sz w:val="20"/>
          <w:szCs w:val="20"/>
          <w:lang w:val="fr-FR"/>
        </w:rPr>
        <w:t>’</w:t>
      </w:r>
      <w:r w:rsidRPr="0061485E">
        <w:rPr>
          <w:rFonts w:ascii="Arial" w:hAnsi="Arial" w:cs="Arial"/>
          <w:sz w:val="20"/>
          <w:szCs w:val="20"/>
          <w:lang w:val="fr-FR"/>
        </w:rPr>
        <w:t>espèce en question.</w:t>
      </w:r>
      <w:r w:rsidRPr="004B1407">
        <w:rPr>
          <w:rFonts w:ascii="Arial" w:hAnsi="Arial" w:cs="Arial"/>
          <w:sz w:val="20"/>
          <w:szCs w:val="20"/>
          <w:lang w:val="fr-FR"/>
        </w:rPr>
        <w:t xml:space="preserve"> </w:t>
      </w:r>
    </w:p>
    <w:p w14:paraId="5A045F11" w14:textId="77777777" w:rsidR="00886A3C" w:rsidRPr="004B1407" w:rsidRDefault="00886A3C" w:rsidP="00886A3C">
      <w:pPr>
        <w:spacing w:after="0" w:line="240" w:lineRule="auto"/>
        <w:jc w:val="both"/>
        <w:rPr>
          <w:rFonts w:ascii="Arial" w:hAnsi="Arial" w:cs="Arial"/>
          <w:sz w:val="20"/>
          <w:szCs w:val="20"/>
          <w:lang w:val="fr-FR"/>
        </w:rPr>
      </w:pPr>
    </w:p>
    <w:p w14:paraId="74C00868" w14:textId="77777777" w:rsidR="00886A3C" w:rsidRPr="004B1407" w:rsidRDefault="00886A3C" w:rsidP="00886A3C">
      <w:pPr>
        <w:spacing w:after="0" w:line="240" w:lineRule="auto"/>
        <w:jc w:val="both"/>
        <w:rPr>
          <w:rFonts w:ascii="Arial" w:hAnsi="Arial" w:cs="Arial"/>
          <w:sz w:val="20"/>
          <w:szCs w:val="20"/>
          <w:lang w:val="fr-FR"/>
        </w:rPr>
      </w:pPr>
      <w:r w:rsidRPr="0061485E">
        <w:rPr>
          <w:rFonts w:ascii="Arial" w:hAnsi="Arial" w:cs="Arial"/>
          <w:sz w:val="20"/>
          <w:szCs w:val="20"/>
          <w:lang w:val="fr-FR"/>
        </w:rPr>
        <w:t>L</w:t>
      </w:r>
      <w:r>
        <w:rPr>
          <w:rFonts w:ascii="Arial" w:hAnsi="Arial" w:cs="Arial"/>
          <w:sz w:val="20"/>
          <w:szCs w:val="20"/>
          <w:lang w:val="fr-FR"/>
        </w:rPr>
        <w:t>’</w:t>
      </w:r>
      <w:r w:rsidRPr="0061485E">
        <w:rPr>
          <w:rFonts w:ascii="Arial" w:hAnsi="Arial" w:cs="Arial"/>
          <w:sz w:val="20"/>
          <w:szCs w:val="20"/>
          <w:lang w:val="fr-FR"/>
        </w:rPr>
        <w:t>expérience passée a montré qu</w:t>
      </w:r>
      <w:r>
        <w:rPr>
          <w:rFonts w:ascii="Arial" w:hAnsi="Arial" w:cs="Arial"/>
          <w:sz w:val="20"/>
          <w:szCs w:val="20"/>
          <w:lang w:val="fr-FR"/>
        </w:rPr>
        <w:t>’</w:t>
      </w:r>
      <w:r w:rsidRPr="0061485E">
        <w:rPr>
          <w:rFonts w:ascii="Arial" w:hAnsi="Arial" w:cs="Arial"/>
          <w:sz w:val="20"/>
          <w:szCs w:val="20"/>
          <w:lang w:val="fr-FR"/>
        </w:rPr>
        <w:t>en l</w:t>
      </w:r>
      <w:r>
        <w:rPr>
          <w:rFonts w:ascii="Arial" w:hAnsi="Arial" w:cs="Arial"/>
          <w:sz w:val="20"/>
          <w:szCs w:val="20"/>
          <w:lang w:val="fr-FR"/>
        </w:rPr>
        <w:t>’</w:t>
      </w:r>
      <w:r w:rsidRPr="0061485E">
        <w:rPr>
          <w:rFonts w:ascii="Arial" w:hAnsi="Arial" w:cs="Arial"/>
          <w:sz w:val="20"/>
          <w:szCs w:val="20"/>
          <w:lang w:val="fr-FR"/>
        </w:rPr>
        <w:t>absence d</w:t>
      </w:r>
      <w:r>
        <w:rPr>
          <w:rFonts w:ascii="Arial" w:hAnsi="Arial" w:cs="Arial"/>
          <w:sz w:val="20"/>
          <w:szCs w:val="20"/>
          <w:lang w:val="fr-FR"/>
        </w:rPr>
        <w:t>’</w:t>
      </w:r>
      <w:r w:rsidRPr="0061485E">
        <w:rPr>
          <w:rFonts w:ascii="Arial" w:hAnsi="Arial" w:cs="Arial"/>
          <w:sz w:val="20"/>
          <w:szCs w:val="20"/>
          <w:lang w:val="fr-FR"/>
        </w:rPr>
        <w:t>un groupe de travail ayant des liens avec les gouvernements des États de l</w:t>
      </w:r>
      <w:r>
        <w:rPr>
          <w:rFonts w:ascii="Arial" w:hAnsi="Arial" w:cs="Arial"/>
          <w:sz w:val="20"/>
          <w:szCs w:val="20"/>
          <w:lang w:val="fr-FR"/>
        </w:rPr>
        <w:t>’</w:t>
      </w:r>
      <w:r w:rsidRPr="0061485E">
        <w:rPr>
          <w:rFonts w:ascii="Arial" w:hAnsi="Arial" w:cs="Arial"/>
          <w:sz w:val="20"/>
          <w:szCs w:val="20"/>
          <w:lang w:val="fr-FR"/>
        </w:rPr>
        <w:t>aire de répartition ainsi qu</w:t>
      </w:r>
      <w:r>
        <w:rPr>
          <w:rFonts w:ascii="Arial" w:hAnsi="Arial" w:cs="Arial"/>
          <w:sz w:val="20"/>
          <w:szCs w:val="20"/>
          <w:lang w:val="fr-FR"/>
        </w:rPr>
        <w:t>’</w:t>
      </w:r>
      <w:r w:rsidRPr="0061485E">
        <w:rPr>
          <w:rFonts w:ascii="Arial" w:hAnsi="Arial" w:cs="Arial"/>
          <w:sz w:val="20"/>
          <w:szCs w:val="20"/>
          <w:lang w:val="fr-FR"/>
        </w:rPr>
        <w:t>avec les experts nationaux de l</w:t>
      </w:r>
      <w:r>
        <w:rPr>
          <w:rFonts w:ascii="Arial" w:hAnsi="Arial" w:cs="Arial"/>
          <w:sz w:val="20"/>
          <w:szCs w:val="20"/>
          <w:lang w:val="fr-FR"/>
        </w:rPr>
        <w:t>’</w:t>
      </w:r>
      <w:r w:rsidRPr="0061485E">
        <w:rPr>
          <w:rFonts w:ascii="Arial" w:hAnsi="Arial" w:cs="Arial"/>
          <w:sz w:val="20"/>
          <w:szCs w:val="20"/>
          <w:lang w:val="fr-FR"/>
        </w:rPr>
        <w:t>espèce</w:t>
      </w:r>
      <w:r>
        <w:rPr>
          <w:rFonts w:ascii="Arial" w:hAnsi="Arial" w:cs="Arial"/>
          <w:sz w:val="20"/>
          <w:szCs w:val="20"/>
          <w:lang w:val="fr-FR"/>
        </w:rPr>
        <w:t>, et disposant également d’une</w:t>
      </w:r>
      <w:r w:rsidRPr="0061485E">
        <w:rPr>
          <w:rFonts w:ascii="Arial" w:hAnsi="Arial" w:cs="Arial"/>
          <w:sz w:val="20"/>
          <w:szCs w:val="20"/>
          <w:lang w:val="fr-FR"/>
        </w:rPr>
        <w:t xml:space="preserve"> coordination active de ses activités, les plans adoptés restaient souvent stagnants et les taux de mise en œuvre ainsi que la coordination des activités de conservation le long de la voie de migration demeuraient faibles.</w:t>
      </w:r>
    </w:p>
    <w:p w14:paraId="060F79F1" w14:textId="77777777" w:rsidR="00886A3C" w:rsidRPr="004B1407" w:rsidRDefault="00886A3C" w:rsidP="00886A3C">
      <w:pPr>
        <w:spacing w:after="0" w:line="240" w:lineRule="auto"/>
        <w:jc w:val="both"/>
        <w:rPr>
          <w:rFonts w:ascii="Arial" w:hAnsi="Arial" w:cs="Arial"/>
          <w:sz w:val="20"/>
          <w:szCs w:val="20"/>
          <w:lang w:val="fr-FR"/>
        </w:rPr>
        <w:sectPr w:rsidR="00886A3C" w:rsidRPr="004B1407" w:rsidSect="001571EF">
          <w:headerReference w:type="default" r:id="rId122"/>
          <w:footerReference w:type="default" r:id="rId123"/>
          <w:pgSz w:w="11906" w:h="16838" w:code="9"/>
          <w:pgMar w:top="1411" w:right="1411" w:bottom="1138" w:left="1411" w:header="706" w:footer="706" w:gutter="0"/>
          <w:cols w:space="708"/>
          <w:docGrid w:linePitch="360"/>
        </w:sectPr>
      </w:pPr>
    </w:p>
    <w:p w14:paraId="1AC5C548" w14:textId="77777777" w:rsidR="00886A3C" w:rsidRPr="0043796C" w:rsidRDefault="00886A3C" w:rsidP="00886A3C">
      <w:pPr>
        <w:pStyle w:val="ListParagraph"/>
        <w:numPr>
          <w:ilvl w:val="0"/>
          <w:numId w:val="15"/>
        </w:numPr>
        <w:spacing w:after="0" w:line="240" w:lineRule="auto"/>
        <w:ind w:left="567" w:hanging="425"/>
        <w:rPr>
          <w:rFonts w:ascii="Arial" w:hAnsi="Arial" w:cs="Arial"/>
          <w:b/>
          <w:sz w:val="20"/>
          <w:szCs w:val="20"/>
          <w:lang w:val="fr-FR"/>
        </w:rPr>
      </w:pPr>
      <w:r w:rsidRPr="0043796C">
        <w:rPr>
          <w:rFonts w:ascii="Arial" w:hAnsi="Arial" w:cs="Arial"/>
          <w:b/>
          <w:sz w:val="20"/>
          <w:szCs w:val="20"/>
          <w:lang w:val="fr-FR"/>
        </w:rPr>
        <w:lastRenderedPageBreak/>
        <w:t>TÂCHES PRINCIPALES</w:t>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r w:rsidRPr="0043796C">
        <w:rPr>
          <w:rFonts w:ascii="Arial" w:hAnsi="Arial" w:cs="Arial"/>
          <w:b/>
          <w:sz w:val="20"/>
          <w:szCs w:val="20"/>
          <w:lang w:val="fr-FR"/>
        </w:rPr>
        <w:tab/>
      </w:r>
    </w:p>
    <w:p w14:paraId="302E0D82" w14:textId="77777777" w:rsidR="00886A3C" w:rsidRPr="0043796C" w:rsidRDefault="00886A3C" w:rsidP="00886A3C">
      <w:pPr>
        <w:spacing w:after="0" w:line="240" w:lineRule="auto"/>
        <w:rPr>
          <w:rFonts w:ascii="Arial" w:hAnsi="Arial" w:cs="Arial"/>
          <w:sz w:val="20"/>
          <w:szCs w:val="20"/>
          <w:lang w:val="fr-FR"/>
        </w:rPr>
      </w:pPr>
    </w:p>
    <w:p w14:paraId="71C91076" w14:textId="77777777" w:rsidR="00886A3C" w:rsidRPr="0043796C" w:rsidRDefault="00886A3C" w:rsidP="00886A3C">
      <w:pPr>
        <w:spacing w:after="0" w:line="240" w:lineRule="auto"/>
        <w:rPr>
          <w:rFonts w:ascii="Arial" w:hAnsi="Arial" w:cs="Arial"/>
          <w:sz w:val="20"/>
          <w:szCs w:val="20"/>
          <w:lang w:val="fr-FR"/>
        </w:rPr>
      </w:pPr>
      <w:r w:rsidRPr="0043796C">
        <w:rPr>
          <w:rFonts w:ascii="Arial" w:hAnsi="Arial" w:cs="Arial"/>
          <w:sz w:val="20"/>
          <w:szCs w:val="20"/>
          <w:lang w:val="fr-FR"/>
        </w:rPr>
        <w:t xml:space="preserve">Les coordinateurs des ISWG ont les tâches suivantes : </w:t>
      </w:r>
    </w:p>
    <w:p w14:paraId="49896FB5" w14:textId="77777777" w:rsidR="00886A3C" w:rsidRPr="0043796C" w:rsidRDefault="00886A3C" w:rsidP="00886A3C">
      <w:pPr>
        <w:spacing w:after="0" w:line="240" w:lineRule="auto"/>
        <w:rPr>
          <w:rFonts w:ascii="Arial" w:hAnsi="Arial" w:cs="Arial"/>
          <w:sz w:val="20"/>
          <w:szCs w:val="20"/>
          <w:lang w:val="fr-FR"/>
        </w:rPr>
      </w:pPr>
    </w:p>
    <w:p w14:paraId="388F61E0"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 xml:space="preserve">Aider le Secrétariat PNUE/AEWA à </w:t>
      </w:r>
      <w:r>
        <w:rPr>
          <w:rFonts w:ascii="Arial" w:hAnsi="Arial" w:cs="Arial"/>
          <w:sz w:val="20"/>
          <w:szCs w:val="20"/>
          <w:lang w:val="fr-FR"/>
        </w:rPr>
        <w:t>réunir</w:t>
      </w:r>
      <w:r w:rsidRPr="0043796C">
        <w:rPr>
          <w:rFonts w:ascii="Arial" w:hAnsi="Arial" w:cs="Arial"/>
          <w:sz w:val="20"/>
          <w:szCs w:val="20"/>
          <w:lang w:val="fr-FR"/>
        </w:rPr>
        <w:t xml:space="preserve"> le groupe de travail international </w:t>
      </w:r>
      <w:r w:rsidRPr="0043796C">
        <w:rPr>
          <w:rFonts w:ascii="Arial" w:hAnsi="Arial" w:cs="Arial"/>
          <w:i/>
          <w:color w:val="0070C0"/>
          <w:sz w:val="20"/>
          <w:szCs w:val="20"/>
          <w:lang w:val="fr-FR"/>
        </w:rPr>
        <w:t>(essentiel) </w:t>
      </w:r>
      <w:r w:rsidRPr="0043796C">
        <w:rPr>
          <w:rFonts w:ascii="Arial" w:hAnsi="Arial" w:cs="Arial"/>
          <w:sz w:val="20"/>
          <w:szCs w:val="20"/>
          <w:lang w:val="fr-FR"/>
        </w:rPr>
        <w:t xml:space="preserve">; </w:t>
      </w:r>
    </w:p>
    <w:p w14:paraId="6FAA9029"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Organiser et assurer le service des réunions du</w:t>
      </w:r>
      <w:r>
        <w:rPr>
          <w:rFonts w:ascii="Arial" w:hAnsi="Arial" w:cs="Arial"/>
          <w:sz w:val="20"/>
          <w:szCs w:val="20"/>
          <w:lang w:val="fr-FR"/>
        </w:rPr>
        <w:t xml:space="preserve"> </w:t>
      </w:r>
      <w:r w:rsidRPr="0043796C">
        <w:rPr>
          <w:rFonts w:ascii="Arial" w:hAnsi="Arial" w:cs="Arial"/>
          <w:sz w:val="20"/>
          <w:szCs w:val="20"/>
          <w:lang w:val="fr-FR"/>
        </w:rPr>
        <w:t xml:space="preserve">groupe de travail international </w:t>
      </w:r>
      <w:r w:rsidRPr="0043796C">
        <w:rPr>
          <w:rFonts w:ascii="Arial" w:hAnsi="Arial" w:cs="Arial"/>
          <w:i/>
          <w:color w:val="0070C0"/>
          <w:sz w:val="20"/>
          <w:szCs w:val="20"/>
          <w:lang w:val="fr-FR"/>
        </w:rPr>
        <w:t>(essentiel) </w:t>
      </w:r>
      <w:r w:rsidRPr="0043796C">
        <w:rPr>
          <w:rFonts w:ascii="Arial" w:hAnsi="Arial" w:cs="Arial"/>
          <w:sz w:val="20"/>
          <w:szCs w:val="20"/>
          <w:lang w:val="fr-FR"/>
        </w:rPr>
        <w:t>;</w:t>
      </w:r>
    </w:p>
    <w:p w14:paraId="7D69612A" w14:textId="77777777" w:rsidR="00886A3C" w:rsidRPr="0043796C" w:rsidRDefault="00886A3C" w:rsidP="00886A3C">
      <w:pPr>
        <w:pStyle w:val="ListParagraph"/>
        <w:spacing w:after="0" w:line="240" w:lineRule="auto"/>
        <w:ind w:left="567" w:hanging="567"/>
        <w:rPr>
          <w:rFonts w:ascii="Arial" w:hAnsi="Arial" w:cs="Arial"/>
          <w:sz w:val="20"/>
          <w:szCs w:val="20"/>
          <w:lang w:val="fr-FR"/>
        </w:rPr>
      </w:pPr>
      <w:r w:rsidRPr="0043796C">
        <w:rPr>
          <w:rFonts w:ascii="Arial" w:hAnsi="Arial" w:cs="Arial"/>
          <w:sz w:val="20"/>
          <w:szCs w:val="20"/>
          <w:lang w:val="fr-FR"/>
        </w:rPr>
        <w:t xml:space="preserve">4.3. </w:t>
      </w:r>
      <w:r w:rsidRPr="0043796C">
        <w:rPr>
          <w:rFonts w:ascii="Arial" w:hAnsi="Arial" w:cs="Arial"/>
          <w:sz w:val="20"/>
          <w:szCs w:val="20"/>
          <w:lang w:val="fr-FR"/>
        </w:rPr>
        <w:tab/>
        <w:t>Mettre en</w:t>
      </w:r>
      <w:r>
        <w:rPr>
          <w:rFonts w:ascii="Arial" w:hAnsi="Arial" w:cs="Arial"/>
          <w:sz w:val="20"/>
          <w:szCs w:val="20"/>
          <w:lang w:val="fr-FR"/>
        </w:rPr>
        <w:t xml:space="preserve"> </w:t>
      </w:r>
      <w:r w:rsidRPr="0043796C">
        <w:rPr>
          <w:rFonts w:ascii="Arial" w:hAnsi="Arial" w:cs="Arial"/>
          <w:sz w:val="20"/>
          <w:szCs w:val="20"/>
          <w:lang w:val="fr-FR"/>
        </w:rPr>
        <w:t>place et facilit</w:t>
      </w:r>
      <w:r>
        <w:rPr>
          <w:rFonts w:ascii="Arial" w:hAnsi="Arial" w:cs="Arial"/>
          <w:sz w:val="20"/>
          <w:szCs w:val="20"/>
          <w:lang w:val="fr-FR"/>
        </w:rPr>
        <w:t xml:space="preserve">er </w:t>
      </w:r>
      <w:r w:rsidRPr="0043796C">
        <w:rPr>
          <w:rFonts w:ascii="Arial" w:hAnsi="Arial" w:cs="Arial"/>
          <w:sz w:val="20"/>
          <w:szCs w:val="20"/>
          <w:lang w:val="fr-FR"/>
        </w:rPr>
        <w:t>un site Web et</w:t>
      </w:r>
      <w:r>
        <w:rPr>
          <w:rFonts w:ascii="Arial" w:hAnsi="Arial" w:cs="Arial"/>
          <w:sz w:val="20"/>
          <w:szCs w:val="20"/>
          <w:lang w:val="fr-FR"/>
        </w:rPr>
        <w:t xml:space="preserve"> </w:t>
      </w:r>
      <w:r w:rsidRPr="0043796C">
        <w:rPr>
          <w:rFonts w:ascii="Arial" w:hAnsi="Arial" w:cs="Arial"/>
          <w:sz w:val="20"/>
          <w:szCs w:val="20"/>
          <w:lang w:val="fr-FR"/>
        </w:rPr>
        <w:t xml:space="preserve">un espace de travail interne pour le groupe de travail </w:t>
      </w:r>
      <w:r w:rsidRPr="0043796C">
        <w:rPr>
          <w:rFonts w:ascii="Arial" w:hAnsi="Arial" w:cs="Arial"/>
          <w:i/>
          <w:color w:val="0070C0"/>
          <w:sz w:val="20"/>
          <w:szCs w:val="20"/>
          <w:lang w:val="fr-FR"/>
        </w:rPr>
        <w:t>(essentiel) </w:t>
      </w:r>
      <w:r w:rsidRPr="0043796C">
        <w:rPr>
          <w:rFonts w:ascii="Arial" w:hAnsi="Arial" w:cs="Arial"/>
          <w:sz w:val="20"/>
          <w:szCs w:val="20"/>
          <w:lang w:val="fr-FR"/>
        </w:rPr>
        <w:t>;</w:t>
      </w:r>
    </w:p>
    <w:p w14:paraId="4EC1743B" w14:textId="77777777" w:rsidR="00886A3C" w:rsidRPr="0043796C" w:rsidRDefault="00886A3C" w:rsidP="00886A3C">
      <w:pPr>
        <w:pStyle w:val="ListParagraph"/>
        <w:numPr>
          <w:ilvl w:val="1"/>
          <w:numId w:val="15"/>
        </w:numPr>
        <w:spacing w:after="0" w:line="240" w:lineRule="auto"/>
        <w:ind w:left="567" w:hanging="567"/>
        <w:rPr>
          <w:color w:val="FFFFFF"/>
          <w:sz w:val="2"/>
          <w:lang w:val="fr-FR"/>
        </w:rPr>
      </w:pPr>
    </w:p>
    <w:p w14:paraId="6E94CB88"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Aider les États de l’aire de répartition à préparer les plans d’action/ de gestion nationaux par espèce</w:t>
      </w:r>
      <w:r>
        <w:rPr>
          <w:rFonts w:ascii="Arial" w:hAnsi="Arial" w:cs="Arial"/>
          <w:sz w:val="20"/>
          <w:szCs w:val="20"/>
          <w:lang w:val="fr-FR"/>
        </w:rPr>
        <w:t> </w:t>
      </w:r>
      <w:r w:rsidRPr="0043796C">
        <w:rPr>
          <w:rFonts w:ascii="Arial" w:hAnsi="Arial" w:cs="Arial"/>
          <w:sz w:val="20"/>
          <w:szCs w:val="20"/>
          <w:lang w:val="fr-FR"/>
        </w:rPr>
        <w:t>;</w:t>
      </w:r>
    </w:p>
    <w:p w14:paraId="5D5100EA"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Aider les États de l’aire de répartition et les autres parties prenantes à mettre en œuvre les plans, y compris la levée de fonds</w:t>
      </w:r>
      <w:r w:rsidRPr="0043796C">
        <w:rPr>
          <w:rFonts w:ascii="Arial" w:hAnsi="Arial" w:cs="Arial"/>
          <w:i/>
          <w:color w:val="FF0000"/>
          <w:sz w:val="20"/>
          <w:szCs w:val="20"/>
          <w:lang w:val="fr-FR"/>
        </w:rPr>
        <w:t xml:space="preserve"> </w:t>
      </w:r>
      <w:r w:rsidRPr="0043796C">
        <w:rPr>
          <w:rFonts w:ascii="Arial" w:hAnsi="Arial" w:cs="Arial"/>
          <w:i/>
          <w:color w:val="0070C0"/>
          <w:sz w:val="20"/>
          <w:szCs w:val="20"/>
          <w:lang w:val="fr-FR"/>
        </w:rPr>
        <w:t>(essentiel) </w:t>
      </w:r>
      <w:r w:rsidRPr="0043796C">
        <w:rPr>
          <w:rFonts w:ascii="Arial" w:hAnsi="Arial" w:cs="Arial"/>
          <w:i/>
          <w:sz w:val="20"/>
          <w:szCs w:val="20"/>
          <w:lang w:val="fr-FR"/>
        </w:rPr>
        <w:t>;</w:t>
      </w:r>
    </w:p>
    <w:p w14:paraId="079CE90D"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 xml:space="preserve">Préparer régulièrement des mises à jour sur l’avancement de la mise en œuvre et la réalisation des buts des </w:t>
      </w:r>
      <w:r>
        <w:rPr>
          <w:rFonts w:ascii="Arial" w:hAnsi="Arial" w:cs="Arial"/>
          <w:sz w:val="20"/>
          <w:szCs w:val="20"/>
          <w:lang w:val="fr-FR"/>
        </w:rPr>
        <w:t>ISSAP</w:t>
      </w:r>
      <w:r w:rsidRPr="0043796C">
        <w:rPr>
          <w:rFonts w:ascii="Arial" w:hAnsi="Arial" w:cs="Arial"/>
          <w:sz w:val="20"/>
          <w:szCs w:val="20"/>
          <w:lang w:val="fr-FR"/>
        </w:rPr>
        <w:t>/</w:t>
      </w:r>
      <w:r>
        <w:rPr>
          <w:rFonts w:ascii="Arial" w:hAnsi="Arial" w:cs="Arial"/>
          <w:sz w:val="20"/>
          <w:szCs w:val="20"/>
          <w:lang w:val="fr-FR"/>
        </w:rPr>
        <w:t>ISSMP</w:t>
      </w:r>
      <w:r w:rsidRPr="0043796C">
        <w:rPr>
          <w:rFonts w:ascii="Arial" w:hAnsi="Arial" w:cs="Arial"/>
          <w:sz w:val="20"/>
          <w:szCs w:val="20"/>
          <w:lang w:val="fr-FR"/>
        </w:rPr>
        <w:t xml:space="preserve"> </w:t>
      </w:r>
      <w:r w:rsidRPr="0043796C">
        <w:rPr>
          <w:rFonts w:ascii="Arial" w:hAnsi="Arial" w:cs="Arial"/>
          <w:i/>
          <w:color w:val="0070C0"/>
          <w:sz w:val="20"/>
          <w:szCs w:val="20"/>
          <w:lang w:val="fr-FR"/>
        </w:rPr>
        <w:t>(essentiel) </w:t>
      </w:r>
      <w:r w:rsidRPr="0043796C">
        <w:rPr>
          <w:rFonts w:ascii="Arial" w:hAnsi="Arial" w:cs="Arial"/>
          <w:sz w:val="20"/>
          <w:szCs w:val="20"/>
          <w:lang w:val="fr-FR"/>
        </w:rPr>
        <w:t>;</w:t>
      </w:r>
    </w:p>
    <w:p w14:paraId="29A55B9C"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Organiser s’il y a lieu des mises à jour ou des révisions de l’</w:t>
      </w:r>
      <w:r>
        <w:rPr>
          <w:rFonts w:ascii="Arial" w:hAnsi="Arial" w:cs="Arial"/>
          <w:sz w:val="20"/>
          <w:szCs w:val="20"/>
          <w:lang w:val="fr-FR"/>
        </w:rPr>
        <w:t>ISSAP</w:t>
      </w:r>
      <w:r w:rsidRPr="0043796C">
        <w:rPr>
          <w:rFonts w:ascii="Arial" w:hAnsi="Arial" w:cs="Arial"/>
          <w:sz w:val="20"/>
          <w:szCs w:val="20"/>
          <w:lang w:val="fr-FR"/>
        </w:rPr>
        <w:t>/</w:t>
      </w:r>
      <w:r>
        <w:rPr>
          <w:rFonts w:ascii="Arial" w:hAnsi="Arial" w:cs="Arial"/>
          <w:sz w:val="20"/>
          <w:szCs w:val="20"/>
          <w:lang w:val="fr-FR"/>
        </w:rPr>
        <w:t>ISSMP</w:t>
      </w:r>
      <w:r w:rsidRPr="0043796C">
        <w:rPr>
          <w:rFonts w:ascii="Arial" w:hAnsi="Arial" w:cs="Arial"/>
          <w:sz w:val="20"/>
          <w:szCs w:val="20"/>
          <w:lang w:val="fr-FR"/>
        </w:rPr>
        <w:t xml:space="preserve"> </w:t>
      </w:r>
      <w:r w:rsidRPr="0043796C">
        <w:rPr>
          <w:rFonts w:ascii="Arial" w:hAnsi="Arial" w:cs="Arial"/>
          <w:i/>
          <w:color w:val="0070C0"/>
          <w:sz w:val="20"/>
          <w:szCs w:val="20"/>
          <w:lang w:val="fr-FR"/>
        </w:rPr>
        <w:t>(essentiel) </w:t>
      </w:r>
      <w:r w:rsidRPr="0043796C">
        <w:rPr>
          <w:rFonts w:ascii="Arial" w:hAnsi="Arial" w:cs="Arial"/>
          <w:sz w:val="20"/>
          <w:szCs w:val="20"/>
          <w:lang w:val="fr-FR"/>
        </w:rPr>
        <w:t>;</w:t>
      </w:r>
    </w:p>
    <w:p w14:paraId="47B838E0" w14:textId="77777777" w:rsidR="00886A3C" w:rsidRPr="0043796C" w:rsidRDefault="00886A3C" w:rsidP="00886A3C">
      <w:pPr>
        <w:pStyle w:val="ListParagraph"/>
        <w:numPr>
          <w:ilvl w:val="1"/>
          <w:numId w:val="15"/>
        </w:numPr>
        <w:spacing w:after="0" w:line="240" w:lineRule="auto"/>
        <w:ind w:left="567" w:hanging="567"/>
        <w:rPr>
          <w:rFonts w:ascii="Arial" w:hAnsi="Arial" w:cs="Arial"/>
          <w:sz w:val="20"/>
          <w:szCs w:val="20"/>
          <w:lang w:val="fr-FR"/>
        </w:rPr>
      </w:pPr>
      <w:r w:rsidRPr="0043796C">
        <w:rPr>
          <w:rFonts w:ascii="Arial" w:hAnsi="Arial" w:cs="Arial"/>
          <w:sz w:val="20"/>
          <w:szCs w:val="20"/>
          <w:lang w:val="fr-FR"/>
        </w:rPr>
        <w:t>Établir et entretenir s’il le faut une base de ressources informatives pour l’espèce.</w:t>
      </w:r>
    </w:p>
    <w:p w14:paraId="016AD4FA" w14:textId="77777777" w:rsidR="00886A3C" w:rsidRDefault="00886A3C" w:rsidP="00886A3C">
      <w:pPr>
        <w:pStyle w:val="ListParagraph"/>
        <w:spacing w:after="0" w:line="240" w:lineRule="auto"/>
        <w:ind w:left="567" w:hanging="567"/>
        <w:rPr>
          <w:rFonts w:ascii="Arial" w:hAnsi="Arial" w:cs="Arial"/>
          <w:sz w:val="20"/>
          <w:szCs w:val="20"/>
          <w:lang w:val="fr-FR"/>
        </w:rPr>
      </w:pPr>
    </w:p>
    <w:p w14:paraId="7A792800" w14:textId="77777777" w:rsidR="00886A3C" w:rsidRPr="004B1407" w:rsidRDefault="00886A3C" w:rsidP="00886A3C">
      <w:pPr>
        <w:pStyle w:val="ListParagraph"/>
        <w:spacing w:after="0" w:line="240" w:lineRule="auto"/>
        <w:ind w:left="0"/>
        <w:rPr>
          <w:rFonts w:ascii="Arial" w:hAnsi="Arial" w:cs="Arial"/>
          <w:sz w:val="20"/>
          <w:szCs w:val="20"/>
          <w:lang w:val="fr-FR"/>
        </w:rPr>
      </w:pPr>
    </w:p>
    <w:p w14:paraId="15007626" w14:textId="77777777" w:rsidR="00886A3C" w:rsidRPr="004B1407" w:rsidRDefault="00886A3C" w:rsidP="00886A3C">
      <w:pPr>
        <w:spacing w:after="0" w:line="240" w:lineRule="auto"/>
        <w:jc w:val="both"/>
        <w:rPr>
          <w:rFonts w:ascii="Arial" w:hAnsi="Arial" w:cs="Arial"/>
          <w:sz w:val="20"/>
          <w:szCs w:val="20"/>
          <w:lang w:val="fr-FR"/>
        </w:rPr>
      </w:pPr>
      <w:r w:rsidRPr="00D575A2">
        <w:rPr>
          <w:rFonts w:ascii="Arial" w:hAnsi="Arial" w:cs="Arial"/>
          <w:sz w:val="20"/>
          <w:szCs w:val="20"/>
          <w:lang w:val="fr-FR"/>
        </w:rPr>
        <w:t>Ces tâches sont brièvement décrites ci-dessous.</w:t>
      </w:r>
      <w:r w:rsidRPr="004B1407">
        <w:rPr>
          <w:rFonts w:ascii="Arial" w:hAnsi="Arial" w:cs="Arial"/>
          <w:sz w:val="20"/>
          <w:szCs w:val="20"/>
          <w:lang w:val="fr-FR"/>
        </w:rPr>
        <w:t xml:space="preserve"> </w:t>
      </w:r>
      <w:r w:rsidRPr="00D575A2">
        <w:rPr>
          <w:rFonts w:ascii="Arial" w:hAnsi="Arial" w:cs="Arial"/>
          <w:sz w:val="20"/>
          <w:szCs w:val="20"/>
          <w:u w:val="single"/>
          <w:lang w:val="fr-FR"/>
        </w:rPr>
        <w:t>Les tâches principales ont été désignées comme étant essentielles</w:t>
      </w:r>
      <w:r w:rsidRPr="00D575A2">
        <w:rPr>
          <w:rFonts w:ascii="Arial" w:hAnsi="Arial" w:cs="Arial"/>
          <w:sz w:val="20"/>
          <w:szCs w:val="20"/>
          <w:lang w:val="fr-FR"/>
        </w:rPr>
        <w:t>.</w:t>
      </w:r>
      <w:r w:rsidRPr="004B1407">
        <w:rPr>
          <w:rFonts w:ascii="Arial" w:hAnsi="Arial" w:cs="Arial"/>
          <w:sz w:val="20"/>
          <w:szCs w:val="20"/>
          <w:lang w:val="fr-FR"/>
        </w:rPr>
        <w:t xml:space="preserve"> </w:t>
      </w:r>
      <w:r w:rsidRPr="00F21F79">
        <w:rPr>
          <w:rFonts w:ascii="Arial" w:hAnsi="Arial" w:cs="Arial"/>
          <w:sz w:val="20"/>
          <w:szCs w:val="20"/>
          <w:lang w:val="fr-FR"/>
        </w:rPr>
        <w:t>La mise en œuvre des tâches dépend énormément de la capacité de</w:t>
      </w:r>
      <w:r>
        <w:rPr>
          <w:rFonts w:ascii="Arial" w:hAnsi="Arial" w:cs="Arial"/>
          <w:sz w:val="20"/>
          <w:szCs w:val="20"/>
          <w:lang w:val="fr-FR"/>
        </w:rPr>
        <w:t xml:space="preserve"> </w:t>
      </w:r>
      <w:r w:rsidRPr="00F21F79">
        <w:rPr>
          <w:rFonts w:ascii="Arial" w:hAnsi="Arial" w:cs="Arial"/>
          <w:sz w:val="20"/>
          <w:szCs w:val="20"/>
          <w:lang w:val="fr-FR"/>
        </w:rPr>
        <w:t>l</w:t>
      </w:r>
      <w:r>
        <w:rPr>
          <w:rFonts w:ascii="Arial" w:hAnsi="Arial" w:cs="Arial"/>
          <w:sz w:val="20"/>
          <w:szCs w:val="20"/>
          <w:lang w:val="fr-FR"/>
        </w:rPr>
        <w:t>’</w:t>
      </w:r>
      <w:r w:rsidRPr="00F21F79">
        <w:rPr>
          <w:rFonts w:ascii="Arial" w:hAnsi="Arial" w:cs="Arial"/>
          <w:sz w:val="20"/>
          <w:szCs w:val="20"/>
          <w:lang w:val="fr-FR"/>
        </w:rPr>
        <w:t>organisation coordinatrice et du coordinateur désigné ainsi que des</w:t>
      </w:r>
      <w:r>
        <w:rPr>
          <w:rFonts w:ascii="Arial" w:hAnsi="Arial" w:cs="Arial"/>
          <w:sz w:val="20"/>
          <w:szCs w:val="20"/>
          <w:lang w:val="fr-FR"/>
        </w:rPr>
        <w:t xml:space="preserve"> </w:t>
      </w:r>
      <w:r w:rsidRPr="00F21F79">
        <w:rPr>
          <w:rFonts w:ascii="Arial" w:hAnsi="Arial" w:cs="Arial"/>
          <w:sz w:val="20"/>
          <w:szCs w:val="20"/>
          <w:lang w:val="fr-FR"/>
        </w:rPr>
        <w:t>besoins et souhaits du groupe de travail.</w:t>
      </w:r>
    </w:p>
    <w:p w14:paraId="4DC14F45" w14:textId="77777777" w:rsidR="00886A3C" w:rsidRPr="004B1407" w:rsidRDefault="00886A3C" w:rsidP="00886A3C">
      <w:pPr>
        <w:spacing w:after="0" w:line="240" w:lineRule="auto"/>
        <w:rPr>
          <w:rFonts w:ascii="Arial" w:hAnsi="Arial" w:cs="Arial"/>
          <w:sz w:val="20"/>
          <w:szCs w:val="20"/>
          <w:lang w:val="fr-FR"/>
        </w:rPr>
      </w:pPr>
      <w:r w:rsidRPr="004B1407">
        <w:rPr>
          <w:rFonts w:ascii="Arial" w:hAnsi="Arial" w:cs="Arial"/>
          <w:sz w:val="20"/>
          <w:szCs w:val="20"/>
          <w:lang w:val="fr-FR"/>
        </w:rPr>
        <w:t xml:space="preserve"> </w:t>
      </w:r>
    </w:p>
    <w:p w14:paraId="0C0ADE24" w14:textId="77777777" w:rsidR="00886A3C" w:rsidRPr="004B1407" w:rsidRDefault="00886A3C" w:rsidP="00886A3C">
      <w:pPr>
        <w:spacing w:after="0" w:line="240" w:lineRule="auto"/>
        <w:rPr>
          <w:rFonts w:ascii="Arial" w:hAnsi="Arial" w:cs="Arial"/>
          <w:sz w:val="20"/>
          <w:szCs w:val="20"/>
          <w:lang w:val="fr-FR"/>
        </w:rPr>
      </w:pPr>
    </w:p>
    <w:p w14:paraId="17F8B6EA" w14:textId="77777777" w:rsidR="00886A3C" w:rsidRPr="004B1407" w:rsidRDefault="00886A3C" w:rsidP="00886A3C">
      <w:pPr>
        <w:spacing w:after="0" w:line="240" w:lineRule="auto"/>
        <w:rPr>
          <w:rFonts w:ascii="Arial" w:hAnsi="Arial" w:cs="Arial"/>
          <w:b/>
          <w:i/>
          <w:color w:val="0070C0"/>
          <w:sz w:val="20"/>
          <w:szCs w:val="20"/>
          <w:lang w:val="fr-FR"/>
        </w:rPr>
      </w:pPr>
      <w:r w:rsidRPr="00F21F79">
        <w:rPr>
          <w:rFonts w:ascii="Arial" w:hAnsi="Arial" w:cs="Arial"/>
          <w:b/>
          <w:color w:val="F79646" w:themeColor="accent6"/>
          <w:sz w:val="20"/>
          <w:szCs w:val="20"/>
          <w:lang w:val="fr-FR"/>
        </w:rPr>
        <w:t xml:space="preserve">Aider le Secrétariat PNUE/AEWA à </w:t>
      </w:r>
      <w:r>
        <w:rPr>
          <w:rFonts w:ascii="Arial" w:hAnsi="Arial" w:cs="Arial"/>
          <w:b/>
          <w:color w:val="F79646" w:themeColor="accent6"/>
          <w:sz w:val="20"/>
          <w:szCs w:val="20"/>
          <w:lang w:val="fr-FR"/>
        </w:rPr>
        <w:t>réunir</w:t>
      </w:r>
      <w:r w:rsidRPr="00F21F79">
        <w:rPr>
          <w:rFonts w:ascii="Arial" w:hAnsi="Arial" w:cs="Arial"/>
          <w:b/>
          <w:color w:val="F79646" w:themeColor="accent6"/>
          <w:sz w:val="20"/>
          <w:szCs w:val="20"/>
          <w:lang w:val="fr-FR"/>
        </w:rPr>
        <w:t xml:space="preserve"> le groupe de travail international </w:t>
      </w:r>
      <w:r w:rsidRPr="00F21F79">
        <w:rPr>
          <w:rFonts w:ascii="Arial" w:hAnsi="Arial" w:cs="Arial"/>
          <w:b/>
          <w:i/>
          <w:color w:val="0070C0"/>
          <w:sz w:val="20"/>
          <w:szCs w:val="20"/>
          <w:lang w:val="fr-FR"/>
        </w:rPr>
        <w:t>(essentiel)</w:t>
      </w:r>
    </w:p>
    <w:p w14:paraId="3B8DEC73" w14:textId="77777777" w:rsidR="00886A3C" w:rsidRPr="004B1407" w:rsidRDefault="00886A3C" w:rsidP="00886A3C">
      <w:pPr>
        <w:spacing w:after="0" w:line="240" w:lineRule="auto"/>
        <w:rPr>
          <w:rFonts w:ascii="Arial" w:hAnsi="Arial" w:cs="Arial"/>
          <w:sz w:val="20"/>
          <w:szCs w:val="20"/>
          <w:lang w:val="fr-FR"/>
        </w:rPr>
      </w:pPr>
    </w:p>
    <w:p w14:paraId="4EB4CF85" w14:textId="77777777" w:rsidR="00886A3C" w:rsidRPr="004B1407" w:rsidRDefault="00886A3C" w:rsidP="00886A3C">
      <w:pPr>
        <w:spacing w:after="0" w:line="240" w:lineRule="auto"/>
        <w:jc w:val="both"/>
        <w:rPr>
          <w:rFonts w:ascii="Arial" w:hAnsi="Arial" w:cs="Arial"/>
          <w:sz w:val="20"/>
          <w:szCs w:val="20"/>
          <w:lang w:val="fr-FR"/>
        </w:rPr>
      </w:pPr>
      <w:r w:rsidRPr="00F21F79">
        <w:rPr>
          <w:rFonts w:ascii="Arial" w:hAnsi="Arial" w:cs="Arial"/>
          <w:sz w:val="20"/>
          <w:szCs w:val="20"/>
          <w:lang w:val="fr-FR"/>
        </w:rPr>
        <w:t>Après l</w:t>
      </w:r>
      <w:r>
        <w:rPr>
          <w:rFonts w:ascii="Arial" w:hAnsi="Arial" w:cs="Arial"/>
          <w:sz w:val="20"/>
          <w:szCs w:val="20"/>
          <w:lang w:val="fr-FR"/>
        </w:rPr>
        <w:t>’</w:t>
      </w:r>
      <w:r w:rsidRPr="00F21F79">
        <w:rPr>
          <w:rFonts w:ascii="Arial" w:hAnsi="Arial" w:cs="Arial"/>
          <w:sz w:val="20"/>
          <w:szCs w:val="20"/>
          <w:lang w:val="fr-FR"/>
        </w:rPr>
        <w:t>adoption d</w:t>
      </w:r>
      <w:r>
        <w:rPr>
          <w:rFonts w:ascii="Arial" w:hAnsi="Arial" w:cs="Arial"/>
          <w:sz w:val="20"/>
          <w:szCs w:val="20"/>
          <w:lang w:val="fr-FR"/>
        </w:rPr>
        <w:t>’</w:t>
      </w:r>
      <w:r w:rsidRPr="00F21F79">
        <w:rPr>
          <w:rFonts w:ascii="Arial" w:hAnsi="Arial" w:cs="Arial"/>
          <w:sz w:val="20"/>
          <w:szCs w:val="20"/>
          <w:lang w:val="fr-FR"/>
        </w:rPr>
        <w:t>un plan d</w:t>
      </w:r>
      <w:r>
        <w:rPr>
          <w:rFonts w:ascii="Arial" w:hAnsi="Arial" w:cs="Arial"/>
          <w:sz w:val="20"/>
          <w:szCs w:val="20"/>
          <w:lang w:val="fr-FR"/>
        </w:rPr>
        <w:t>’</w:t>
      </w:r>
      <w:r w:rsidRPr="00F21F79">
        <w:rPr>
          <w:rFonts w:ascii="Arial" w:hAnsi="Arial" w:cs="Arial"/>
          <w:sz w:val="20"/>
          <w:szCs w:val="20"/>
          <w:lang w:val="fr-FR"/>
        </w:rPr>
        <w:t>action ou de gestion de l</w:t>
      </w:r>
      <w:r>
        <w:rPr>
          <w:rFonts w:ascii="Arial" w:hAnsi="Arial" w:cs="Arial"/>
          <w:sz w:val="20"/>
          <w:szCs w:val="20"/>
          <w:lang w:val="fr-FR"/>
        </w:rPr>
        <w:t>’</w:t>
      </w:r>
      <w:r w:rsidRPr="00F21F79">
        <w:rPr>
          <w:rFonts w:ascii="Arial" w:hAnsi="Arial" w:cs="Arial"/>
          <w:sz w:val="20"/>
          <w:szCs w:val="20"/>
          <w:lang w:val="fr-FR"/>
        </w:rPr>
        <w:t>AEWA par espèce et une fois l</w:t>
      </w:r>
      <w:r>
        <w:rPr>
          <w:rFonts w:ascii="Arial" w:hAnsi="Arial" w:cs="Arial"/>
          <w:sz w:val="20"/>
          <w:szCs w:val="20"/>
          <w:lang w:val="fr-FR"/>
        </w:rPr>
        <w:t>’</w:t>
      </w:r>
      <w:r w:rsidRPr="00F21F79">
        <w:rPr>
          <w:rFonts w:ascii="Arial" w:hAnsi="Arial" w:cs="Arial"/>
          <w:sz w:val="20"/>
          <w:szCs w:val="20"/>
          <w:lang w:val="fr-FR"/>
        </w:rPr>
        <w:t>organisation coordinatrice identifiée, le Secrétariat formera le groupe de travail en envoyant des lettres officielles à tous les points focaux de l</w:t>
      </w:r>
      <w:r>
        <w:rPr>
          <w:rFonts w:ascii="Arial" w:hAnsi="Arial" w:cs="Arial"/>
          <w:sz w:val="20"/>
          <w:szCs w:val="20"/>
          <w:lang w:val="fr-FR"/>
        </w:rPr>
        <w:t>’</w:t>
      </w:r>
      <w:r w:rsidRPr="00F21F79">
        <w:rPr>
          <w:rFonts w:ascii="Arial" w:hAnsi="Arial" w:cs="Arial"/>
          <w:sz w:val="20"/>
          <w:szCs w:val="20"/>
          <w:lang w:val="fr-FR"/>
        </w:rPr>
        <w:t>AEWA se trouvant dans les États de l</w:t>
      </w:r>
      <w:r>
        <w:rPr>
          <w:rFonts w:ascii="Arial" w:hAnsi="Arial" w:cs="Arial"/>
          <w:sz w:val="20"/>
          <w:szCs w:val="20"/>
          <w:lang w:val="fr-FR"/>
        </w:rPr>
        <w:t>’</w:t>
      </w:r>
      <w:r w:rsidRPr="00F21F79">
        <w:rPr>
          <w:rFonts w:ascii="Arial" w:hAnsi="Arial" w:cs="Arial"/>
          <w:sz w:val="20"/>
          <w:szCs w:val="20"/>
          <w:lang w:val="fr-FR"/>
        </w:rPr>
        <w:t>aire de répartition couverts par le plan d</w:t>
      </w:r>
      <w:r>
        <w:rPr>
          <w:rFonts w:ascii="Arial" w:hAnsi="Arial" w:cs="Arial"/>
          <w:sz w:val="20"/>
          <w:szCs w:val="20"/>
          <w:lang w:val="fr-FR"/>
        </w:rPr>
        <w:t>’</w:t>
      </w:r>
      <w:r w:rsidRPr="00F21F79">
        <w:rPr>
          <w:rFonts w:ascii="Arial" w:hAnsi="Arial" w:cs="Arial"/>
          <w:sz w:val="20"/>
          <w:szCs w:val="20"/>
          <w:lang w:val="fr-FR"/>
        </w:rPr>
        <w:t>action.</w:t>
      </w:r>
      <w:r w:rsidRPr="004B1407">
        <w:rPr>
          <w:rFonts w:ascii="Arial" w:hAnsi="Arial" w:cs="Arial"/>
          <w:sz w:val="20"/>
          <w:szCs w:val="20"/>
          <w:lang w:val="fr-FR"/>
        </w:rPr>
        <w:t xml:space="preserve"> </w:t>
      </w:r>
      <w:r w:rsidRPr="00784365">
        <w:rPr>
          <w:rFonts w:ascii="Arial" w:hAnsi="Arial" w:cs="Arial"/>
          <w:sz w:val="20"/>
          <w:szCs w:val="20"/>
          <w:lang w:val="fr-FR"/>
        </w:rPr>
        <w:t>Les lettres présentent le coordinateur du groupe de travail par espèce choisi (y compris ses coordonnées etc.) et demande aux points focaux de nommer deux représentants auprès du groupe :</w:t>
      </w:r>
    </w:p>
    <w:p w14:paraId="0989EFB2" w14:textId="77777777" w:rsidR="00886A3C" w:rsidRPr="004B1407" w:rsidRDefault="00886A3C" w:rsidP="00886A3C">
      <w:pPr>
        <w:spacing w:after="0" w:line="240" w:lineRule="auto"/>
        <w:ind w:left="567" w:hanging="283"/>
        <w:jc w:val="both"/>
        <w:rPr>
          <w:rFonts w:ascii="Arial" w:hAnsi="Arial" w:cs="Arial"/>
          <w:sz w:val="20"/>
          <w:szCs w:val="20"/>
          <w:lang w:val="fr-FR"/>
        </w:rPr>
      </w:pPr>
      <w:r w:rsidRPr="004B1407">
        <w:rPr>
          <w:rFonts w:ascii="Arial" w:hAnsi="Arial" w:cs="Arial"/>
          <w:sz w:val="20"/>
          <w:szCs w:val="20"/>
          <w:lang w:val="fr-FR"/>
        </w:rPr>
        <w:t xml:space="preserve"> </w:t>
      </w:r>
    </w:p>
    <w:p w14:paraId="0BBD32FE" w14:textId="77777777" w:rsidR="00886A3C" w:rsidRPr="004B1407" w:rsidRDefault="00886A3C" w:rsidP="00886A3C">
      <w:pPr>
        <w:pStyle w:val="ListParagraph"/>
        <w:numPr>
          <w:ilvl w:val="0"/>
          <w:numId w:val="14"/>
        </w:numPr>
        <w:spacing w:after="0" w:line="240" w:lineRule="auto"/>
        <w:ind w:left="567" w:hanging="283"/>
        <w:jc w:val="both"/>
        <w:rPr>
          <w:rFonts w:ascii="Arial" w:hAnsi="Arial" w:cs="Arial"/>
          <w:sz w:val="20"/>
          <w:szCs w:val="20"/>
          <w:lang w:val="fr-FR"/>
        </w:rPr>
      </w:pPr>
      <w:r>
        <w:rPr>
          <w:rFonts w:ascii="Arial" w:hAnsi="Arial" w:cs="Arial"/>
          <w:sz w:val="20"/>
          <w:szCs w:val="20"/>
          <w:lang w:val="fr-FR"/>
        </w:rPr>
        <w:t>u</w:t>
      </w:r>
      <w:r w:rsidRPr="00784365">
        <w:rPr>
          <w:rFonts w:ascii="Arial" w:hAnsi="Arial" w:cs="Arial"/>
          <w:sz w:val="20"/>
          <w:szCs w:val="20"/>
          <w:lang w:val="fr-FR"/>
        </w:rPr>
        <w:t xml:space="preserve">n </w:t>
      </w:r>
      <w:r w:rsidRPr="00784365">
        <w:rPr>
          <w:rFonts w:ascii="Arial" w:hAnsi="Arial" w:cs="Arial"/>
          <w:b/>
          <w:sz w:val="20"/>
          <w:szCs w:val="20"/>
          <w:lang w:val="fr-FR"/>
        </w:rPr>
        <w:t xml:space="preserve">représentant du gouvernement </w:t>
      </w:r>
      <w:r w:rsidRPr="00784365">
        <w:rPr>
          <w:rFonts w:ascii="Arial" w:hAnsi="Arial" w:cs="Arial"/>
          <w:sz w:val="20"/>
          <w:szCs w:val="20"/>
          <w:lang w:val="fr-FR"/>
        </w:rPr>
        <w:t>issu de l</w:t>
      </w:r>
      <w:r>
        <w:rPr>
          <w:rFonts w:ascii="Arial" w:hAnsi="Arial" w:cs="Arial"/>
          <w:sz w:val="20"/>
          <w:szCs w:val="20"/>
          <w:lang w:val="fr-FR"/>
        </w:rPr>
        <w:t>’</w:t>
      </w:r>
      <w:r w:rsidRPr="00784365">
        <w:rPr>
          <w:rFonts w:ascii="Arial" w:hAnsi="Arial" w:cs="Arial"/>
          <w:sz w:val="20"/>
          <w:szCs w:val="20"/>
          <w:lang w:val="fr-FR"/>
        </w:rPr>
        <w:t>institution responsable de la mise en œuvre de l</w:t>
      </w:r>
      <w:r>
        <w:rPr>
          <w:rFonts w:ascii="Arial" w:hAnsi="Arial" w:cs="Arial"/>
          <w:sz w:val="20"/>
          <w:szCs w:val="20"/>
          <w:lang w:val="fr-FR"/>
        </w:rPr>
        <w:t>’</w:t>
      </w:r>
      <w:r w:rsidRPr="00784365">
        <w:rPr>
          <w:rFonts w:ascii="Arial" w:hAnsi="Arial" w:cs="Arial"/>
          <w:sz w:val="20"/>
          <w:szCs w:val="20"/>
          <w:lang w:val="fr-FR"/>
        </w:rPr>
        <w:t>AEWA et ;</w:t>
      </w:r>
    </w:p>
    <w:p w14:paraId="7459FE01" w14:textId="77777777" w:rsidR="00886A3C" w:rsidRPr="004B1407" w:rsidRDefault="00886A3C" w:rsidP="00886A3C">
      <w:pPr>
        <w:pStyle w:val="ListParagraph"/>
        <w:spacing w:after="0" w:line="240" w:lineRule="auto"/>
        <w:ind w:left="567" w:hanging="283"/>
        <w:jc w:val="both"/>
        <w:rPr>
          <w:rFonts w:ascii="Arial" w:hAnsi="Arial" w:cs="Arial"/>
          <w:sz w:val="20"/>
          <w:szCs w:val="20"/>
          <w:lang w:val="fr-FR"/>
        </w:rPr>
      </w:pPr>
    </w:p>
    <w:p w14:paraId="3B72745C" w14:textId="77777777" w:rsidR="00886A3C" w:rsidRPr="004B1407" w:rsidRDefault="00886A3C" w:rsidP="00886A3C">
      <w:pPr>
        <w:pStyle w:val="ListParagraph"/>
        <w:numPr>
          <w:ilvl w:val="0"/>
          <w:numId w:val="14"/>
        </w:numPr>
        <w:spacing w:after="0" w:line="240" w:lineRule="auto"/>
        <w:ind w:left="567" w:hanging="283"/>
        <w:jc w:val="both"/>
        <w:rPr>
          <w:rFonts w:ascii="Arial" w:hAnsi="Arial" w:cs="Arial"/>
          <w:sz w:val="20"/>
          <w:szCs w:val="20"/>
          <w:lang w:val="fr-FR"/>
        </w:rPr>
      </w:pPr>
      <w:r>
        <w:rPr>
          <w:rFonts w:ascii="Arial" w:hAnsi="Arial" w:cs="Arial"/>
          <w:sz w:val="20"/>
          <w:szCs w:val="20"/>
          <w:lang w:val="fr-FR"/>
        </w:rPr>
        <w:t>u</w:t>
      </w:r>
      <w:r w:rsidRPr="00784365">
        <w:rPr>
          <w:rFonts w:ascii="Arial" w:hAnsi="Arial" w:cs="Arial"/>
          <w:sz w:val="20"/>
          <w:szCs w:val="20"/>
          <w:lang w:val="fr-FR"/>
        </w:rPr>
        <w:t xml:space="preserve">n </w:t>
      </w:r>
      <w:r w:rsidRPr="00784365">
        <w:rPr>
          <w:rFonts w:ascii="Arial" w:hAnsi="Arial" w:cs="Arial"/>
          <w:b/>
          <w:sz w:val="20"/>
          <w:szCs w:val="20"/>
          <w:lang w:val="fr-FR"/>
        </w:rPr>
        <w:t>expert</w:t>
      </w:r>
      <w:r w:rsidRPr="00784365">
        <w:rPr>
          <w:rFonts w:ascii="Arial" w:hAnsi="Arial" w:cs="Arial"/>
          <w:sz w:val="20"/>
          <w:szCs w:val="20"/>
          <w:lang w:val="fr-FR"/>
        </w:rPr>
        <w:t xml:space="preserve"> </w:t>
      </w:r>
      <w:r w:rsidRPr="00784365">
        <w:rPr>
          <w:rFonts w:ascii="Arial" w:hAnsi="Arial" w:cs="Arial"/>
          <w:b/>
          <w:sz w:val="20"/>
          <w:szCs w:val="20"/>
          <w:lang w:val="fr-FR"/>
        </w:rPr>
        <w:t xml:space="preserve">national </w:t>
      </w:r>
      <w:r w:rsidRPr="00784365">
        <w:rPr>
          <w:rFonts w:ascii="Arial" w:hAnsi="Arial" w:cs="Arial"/>
          <w:sz w:val="20"/>
          <w:szCs w:val="20"/>
          <w:lang w:val="fr-FR"/>
        </w:rPr>
        <w:t>possédant des connaissances approfondies ainsi qu</w:t>
      </w:r>
      <w:r>
        <w:rPr>
          <w:rFonts w:ascii="Arial" w:hAnsi="Arial" w:cs="Arial"/>
          <w:sz w:val="20"/>
          <w:szCs w:val="20"/>
          <w:lang w:val="fr-FR"/>
        </w:rPr>
        <w:t>’</w:t>
      </w:r>
      <w:r w:rsidRPr="00784365">
        <w:rPr>
          <w:rFonts w:ascii="Arial" w:hAnsi="Arial" w:cs="Arial"/>
          <w:sz w:val="20"/>
          <w:szCs w:val="20"/>
          <w:lang w:val="fr-FR"/>
        </w:rPr>
        <w:t>une grande expérience des questions scientifique</w:t>
      </w:r>
      <w:r>
        <w:rPr>
          <w:rFonts w:ascii="Arial" w:hAnsi="Arial" w:cs="Arial"/>
          <w:sz w:val="20"/>
          <w:szCs w:val="20"/>
          <w:lang w:val="fr-FR"/>
        </w:rPr>
        <w:t>s</w:t>
      </w:r>
      <w:r w:rsidRPr="00784365">
        <w:rPr>
          <w:rFonts w:ascii="Arial" w:hAnsi="Arial" w:cs="Arial"/>
          <w:sz w:val="20"/>
          <w:szCs w:val="20"/>
          <w:lang w:val="fr-FR"/>
        </w:rPr>
        <w:t>, technique</w:t>
      </w:r>
      <w:r>
        <w:rPr>
          <w:rFonts w:ascii="Arial" w:hAnsi="Arial" w:cs="Arial"/>
          <w:sz w:val="20"/>
          <w:szCs w:val="20"/>
          <w:lang w:val="fr-FR"/>
        </w:rPr>
        <w:t>s</w:t>
      </w:r>
      <w:r w:rsidRPr="00784365">
        <w:rPr>
          <w:rFonts w:ascii="Arial" w:hAnsi="Arial" w:cs="Arial"/>
          <w:sz w:val="20"/>
          <w:szCs w:val="20"/>
          <w:lang w:val="fr-FR"/>
        </w:rPr>
        <w:t>, de conservation ou de gestion concernant l</w:t>
      </w:r>
      <w:r>
        <w:rPr>
          <w:rFonts w:ascii="Arial" w:hAnsi="Arial" w:cs="Arial"/>
          <w:sz w:val="20"/>
          <w:szCs w:val="20"/>
          <w:lang w:val="fr-FR"/>
        </w:rPr>
        <w:t>’</w:t>
      </w:r>
      <w:r w:rsidRPr="00784365">
        <w:rPr>
          <w:rFonts w:ascii="Arial" w:hAnsi="Arial" w:cs="Arial"/>
          <w:sz w:val="20"/>
          <w:szCs w:val="20"/>
          <w:lang w:val="fr-FR"/>
        </w:rPr>
        <w:t>espèce.</w:t>
      </w:r>
      <w:r w:rsidRPr="004B1407">
        <w:rPr>
          <w:rFonts w:ascii="Arial" w:hAnsi="Arial" w:cs="Arial"/>
          <w:sz w:val="20"/>
          <w:szCs w:val="20"/>
          <w:lang w:val="fr-FR"/>
        </w:rPr>
        <w:t xml:space="preserve"> </w:t>
      </w:r>
    </w:p>
    <w:p w14:paraId="30E6BAF9" w14:textId="77777777" w:rsidR="00886A3C" w:rsidRPr="004B1407" w:rsidRDefault="00886A3C" w:rsidP="00886A3C">
      <w:pPr>
        <w:spacing w:after="0" w:line="240" w:lineRule="auto"/>
        <w:jc w:val="both"/>
        <w:rPr>
          <w:rFonts w:ascii="Arial" w:hAnsi="Arial" w:cs="Arial"/>
          <w:sz w:val="20"/>
          <w:szCs w:val="20"/>
          <w:lang w:val="fr-FR"/>
        </w:rPr>
      </w:pPr>
    </w:p>
    <w:p w14:paraId="1E9FBC39" w14:textId="77777777" w:rsidR="00886A3C" w:rsidRPr="004B1407" w:rsidRDefault="00886A3C" w:rsidP="00886A3C">
      <w:pPr>
        <w:spacing w:after="0" w:line="240" w:lineRule="auto"/>
        <w:jc w:val="both"/>
        <w:rPr>
          <w:rFonts w:ascii="Arial" w:hAnsi="Arial" w:cs="Arial"/>
          <w:sz w:val="20"/>
          <w:szCs w:val="20"/>
          <w:lang w:val="fr-FR"/>
        </w:rPr>
      </w:pPr>
      <w:r w:rsidRPr="00784365">
        <w:rPr>
          <w:rFonts w:ascii="Arial" w:hAnsi="Arial" w:cs="Arial"/>
          <w:sz w:val="20"/>
          <w:szCs w:val="20"/>
          <w:lang w:val="fr-FR"/>
        </w:rPr>
        <w:t>Les deux personnes désignées seront chargées de faciliter la mise en œuvre du plan dans leur pays et feront aussi le lien entre l</w:t>
      </w:r>
      <w:r>
        <w:rPr>
          <w:rFonts w:ascii="Arial" w:hAnsi="Arial" w:cs="Arial"/>
          <w:sz w:val="20"/>
          <w:szCs w:val="20"/>
          <w:lang w:val="fr-FR"/>
        </w:rPr>
        <w:t>’</w:t>
      </w:r>
      <w:r w:rsidRPr="00784365">
        <w:rPr>
          <w:rFonts w:ascii="Arial" w:hAnsi="Arial" w:cs="Arial"/>
          <w:sz w:val="20"/>
          <w:szCs w:val="20"/>
          <w:lang w:val="fr-FR"/>
        </w:rPr>
        <w:t>ISWG et les parties prenantes nationales.</w:t>
      </w:r>
      <w:r w:rsidRPr="004B1407">
        <w:rPr>
          <w:rFonts w:ascii="Arial" w:hAnsi="Arial" w:cs="Arial"/>
          <w:sz w:val="20"/>
          <w:szCs w:val="20"/>
          <w:lang w:val="fr-FR"/>
        </w:rPr>
        <w:t xml:space="preserve"> </w:t>
      </w:r>
      <w:r w:rsidRPr="00784365">
        <w:rPr>
          <w:rFonts w:ascii="Arial" w:hAnsi="Arial" w:cs="Arial"/>
          <w:sz w:val="20"/>
          <w:szCs w:val="20"/>
          <w:lang w:val="fr-FR"/>
        </w:rPr>
        <w:t>À cet égard, les coordinateurs devront encourager la mise en place de groupes de travail nationaux qui seront à leur tour</w:t>
      </w:r>
      <w:r>
        <w:rPr>
          <w:rFonts w:ascii="Arial" w:hAnsi="Arial" w:cs="Arial"/>
          <w:sz w:val="20"/>
          <w:szCs w:val="20"/>
          <w:lang w:val="fr-FR"/>
        </w:rPr>
        <w:t xml:space="preserve"> </w:t>
      </w:r>
      <w:r w:rsidRPr="00784365">
        <w:rPr>
          <w:rFonts w:ascii="Arial" w:hAnsi="Arial" w:cs="Arial"/>
          <w:sz w:val="20"/>
          <w:szCs w:val="20"/>
          <w:lang w:val="fr-FR"/>
        </w:rPr>
        <w:t>impliqués et chercheront à susciter l</w:t>
      </w:r>
      <w:r>
        <w:rPr>
          <w:rFonts w:ascii="Arial" w:hAnsi="Arial" w:cs="Arial"/>
          <w:sz w:val="20"/>
          <w:szCs w:val="20"/>
          <w:lang w:val="fr-FR"/>
        </w:rPr>
        <w:t>’</w:t>
      </w:r>
      <w:r w:rsidRPr="00784365">
        <w:rPr>
          <w:rFonts w:ascii="Arial" w:hAnsi="Arial" w:cs="Arial"/>
          <w:sz w:val="20"/>
          <w:szCs w:val="20"/>
          <w:lang w:val="fr-FR"/>
        </w:rPr>
        <w:t>engagement de toutes les parties prenantes concernées.</w:t>
      </w:r>
      <w:r w:rsidRPr="004B1407">
        <w:rPr>
          <w:rFonts w:ascii="Arial" w:hAnsi="Arial" w:cs="Arial"/>
          <w:sz w:val="20"/>
          <w:szCs w:val="20"/>
          <w:lang w:val="fr-FR"/>
        </w:rPr>
        <w:t xml:space="preserve"> </w:t>
      </w:r>
      <w:r w:rsidRPr="00784365">
        <w:rPr>
          <w:rFonts w:ascii="Arial" w:hAnsi="Arial" w:cs="Arial"/>
          <w:sz w:val="20"/>
          <w:szCs w:val="20"/>
          <w:lang w:val="fr-FR"/>
        </w:rPr>
        <w:t>Les représentants et experts nationaux supplémentaires sont les bienvenus s</w:t>
      </w:r>
      <w:r>
        <w:rPr>
          <w:rFonts w:ascii="Arial" w:hAnsi="Arial" w:cs="Arial"/>
          <w:sz w:val="20"/>
          <w:szCs w:val="20"/>
          <w:lang w:val="fr-FR"/>
        </w:rPr>
        <w:t>’</w:t>
      </w:r>
      <w:r w:rsidRPr="00784365">
        <w:rPr>
          <w:rFonts w:ascii="Arial" w:hAnsi="Arial" w:cs="Arial"/>
          <w:sz w:val="20"/>
          <w:szCs w:val="20"/>
          <w:lang w:val="fr-FR"/>
        </w:rPr>
        <w:t>ils désirent assister aux réunions du groupe de travail en tant que partie de l</w:t>
      </w:r>
      <w:r>
        <w:rPr>
          <w:rFonts w:ascii="Arial" w:hAnsi="Arial" w:cs="Arial"/>
          <w:sz w:val="20"/>
          <w:szCs w:val="20"/>
          <w:lang w:val="fr-FR"/>
        </w:rPr>
        <w:t>eur</w:t>
      </w:r>
      <w:r w:rsidRPr="00784365">
        <w:rPr>
          <w:rFonts w:ascii="Arial" w:hAnsi="Arial" w:cs="Arial"/>
          <w:sz w:val="20"/>
          <w:szCs w:val="20"/>
          <w:lang w:val="fr-FR"/>
        </w:rPr>
        <w:t xml:space="preserve"> délégation nationale, en accord avec le représentant du gouvernement désigné.</w:t>
      </w:r>
      <w:r w:rsidRPr="004B1407">
        <w:rPr>
          <w:rFonts w:ascii="Arial" w:hAnsi="Arial" w:cs="Arial"/>
          <w:sz w:val="20"/>
          <w:szCs w:val="20"/>
          <w:lang w:val="fr-FR"/>
        </w:rPr>
        <w:t xml:space="preserve"> </w:t>
      </w:r>
    </w:p>
    <w:p w14:paraId="7104A168" w14:textId="77777777" w:rsidR="00886A3C" w:rsidRPr="004B1407" w:rsidRDefault="00886A3C" w:rsidP="00886A3C">
      <w:pPr>
        <w:spacing w:after="0" w:line="240" w:lineRule="auto"/>
        <w:jc w:val="both"/>
        <w:rPr>
          <w:rFonts w:ascii="Arial" w:hAnsi="Arial" w:cs="Arial"/>
          <w:sz w:val="20"/>
          <w:szCs w:val="20"/>
          <w:lang w:val="fr-FR"/>
        </w:rPr>
      </w:pPr>
    </w:p>
    <w:p w14:paraId="59B116A7" w14:textId="77777777" w:rsidR="00886A3C" w:rsidRPr="004B1407" w:rsidRDefault="00886A3C" w:rsidP="00886A3C">
      <w:pPr>
        <w:spacing w:after="0" w:line="240" w:lineRule="auto"/>
        <w:jc w:val="both"/>
        <w:rPr>
          <w:rFonts w:ascii="Arial" w:hAnsi="Arial" w:cs="Arial"/>
          <w:sz w:val="20"/>
          <w:szCs w:val="20"/>
          <w:lang w:val="fr-FR"/>
        </w:rPr>
      </w:pPr>
      <w:r w:rsidRPr="00784365">
        <w:rPr>
          <w:rFonts w:ascii="Arial" w:hAnsi="Arial" w:cs="Arial"/>
          <w:sz w:val="20"/>
          <w:szCs w:val="20"/>
          <w:lang w:val="fr-FR"/>
        </w:rPr>
        <w:t>Si un représentant du gouvernement ou un expert national de l</w:t>
      </w:r>
      <w:r>
        <w:rPr>
          <w:rFonts w:ascii="Arial" w:hAnsi="Arial" w:cs="Arial"/>
          <w:sz w:val="20"/>
          <w:szCs w:val="20"/>
          <w:lang w:val="fr-FR"/>
        </w:rPr>
        <w:t>’</w:t>
      </w:r>
      <w:r w:rsidRPr="00784365">
        <w:rPr>
          <w:rFonts w:ascii="Arial" w:hAnsi="Arial" w:cs="Arial"/>
          <w:sz w:val="20"/>
          <w:szCs w:val="20"/>
          <w:lang w:val="fr-FR"/>
        </w:rPr>
        <w:t xml:space="preserve">espèce en particulier sont déjà connus, le Secrétariat peut recommander leur nomination </w:t>
      </w:r>
      <w:r>
        <w:rPr>
          <w:rFonts w:ascii="Arial" w:hAnsi="Arial" w:cs="Arial"/>
          <w:sz w:val="20"/>
          <w:szCs w:val="20"/>
          <w:lang w:val="fr-FR"/>
        </w:rPr>
        <w:t>pour</w:t>
      </w:r>
      <w:r w:rsidRPr="00784365">
        <w:rPr>
          <w:rFonts w:ascii="Arial" w:hAnsi="Arial" w:cs="Arial"/>
          <w:sz w:val="20"/>
          <w:szCs w:val="20"/>
          <w:lang w:val="fr-FR"/>
        </w:rPr>
        <w:t xml:space="preserve"> représenter leur pays au sein du groupe de travail.</w:t>
      </w:r>
      <w:r w:rsidRPr="004B1407">
        <w:rPr>
          <w:rFonts w:ascii="Arial" w:hAnsi="Arial" w:cs="Arial"/>
          <w:sz w:val="20"/>
          <w:szCs w:val="20"/>
          <w:lang w:val="fr-FR"/>
        </w:rPr>
        <w:t xml:space="preserve"> </w:t>
      </w:r>
      <w:r w:rsidRPr="000D6DDB">
        <w:rPr>
          <w:rFonts w:ascii="Arial" w:hAnsi="Arial" w:cs="Arial"/>
          <w:sz w:val="20"/>
          <w:szCs w:val="20"/>
          <w:lang w:val="fr-FR"/>
        </w:rPr>
        <w:t xml:space="preserve">Dans ce cas, les coordinateurs devront fournir au Secrétariat une liste des candidats incluant le nom de leur institution/intitulé de leur fonction et les adresses courriel, lors de la préparation des </w:t>
      </w:r>
      <w:r w:rsidRPr="0043796C">
        <w:rPr>
          <w:rFonts w:ascii="Arial" w:hAnsi="Arial" w:cs="Arial"/>
          <w:sz w:val="20"/>
          <w:szCs w:val="20"/>
          <w:lang w:val="fr-FR"/>
        </w:rPr>
        <w:t>lettres destinées à réunir le groupe de travail.</w:t>
      </w:r>
      <w:r w:rsidRPr="004B1407">
        <w:rPr>
          <w:rFonts w:ascii="Arial" w:hAnsi="Arial" w:cs="Arial"/>
          <w:sz w:val="20"/>
          <w:szCs w:val="20"/>
          <w:lang w:val="fr-FR"/>
        </w:rPr>
        <w:t xml:space="preserve"> </w:t>
      </w:r>
    </w:p>
    <w:p w14:paraId="79BEF8E1" w14:textId="77777777" w:rsidR="00886A3C" w:rsidRPr="004B1407" w:rsidRDefault="00886A3C" w:rsidP="00886A3C">
      <w:pPr>
        <w:spacing w:after="0" w:line="240" w:lineRule="auto"/>
        <w:jc w:val="both"/>
        <w:rPr>
          <w:rFonts w:ascii="Arial" w:hAnsi="Arial" w:cs="Arial"/>
          <w:sz w:val="20"/>
          <w:szCs w:val="20"/>
          <w:lang w:val="fr-FR"/>
        </w:rPr>
      </w:pPr>
    </w:p>
    <w:p w14:paraId="2E5EC561" w14:textId="77777777" w:rsidR="00886A3C" w:rsidRPr="004B1407" w:rsidRDefault="00886A3C" w:rsidP="00886A3C">
      <w:pPr>
        <w:spacing w:after="0" w:line="240" w:lineRule="auto"/>
        <w:jc w:val="both"/>
        <w:rPr>
          <w:rFonts w:ascii="Arial" w:hAnsi="Arial" w:cs="Arial"/>
          <w:sz w:val="20"/>
          <w:szCs w:val="20"/>
          <w:lang w:val="fr-FR"/>
        </w:rPr>
      </w:pPr>
      <w:r w:rsidRPr="007B0054">
        <w:rPr>
          <w:rFonts w:ascii="Arial" w:hAnsi="Arial" w:cs="Arial"/>
          <w:sz w:val="20"/>
          <w:szCs w:val="20"/>
          <w:lang w:val="fr-FR"/>
        </w:rPr>
        <w:t>En plus des représentants nationaux :</w:t>
      </w:r>
    </w:p>
    <w:p w14:paraId="04C6D49D" w14:textId="77777777" w:rsidR="00886A3C" w:rsidRPr="004B1407" w:rsidRDefault="00886A3C" w:rsidP="00886A3C">
      <w:pPr>
        <w:spacing w:after="0" w:line="240" w:lineRule="auto"/>
        <w:jc w:val="both"/>
        <w:rPr>
          <w:rFonts w:ascii="Arial" w:hAnsi="Arial" w:cs="Arial"/>
          <w:sz w:val="20"/>
          <w:szCs w:val="20"/>
          <w:lang w:val="fr-FR"/>
        </w:rPr>
      </w:pPr>
    </w:p>
    <w:p w14:paraId="5AD72B41" w14:textId="77777777" w:rsidR="00886A3C" w:rsidRPr="004B1407" w:rsidRDefault="00886A3C" w:rsidP="00886A3C">
      <w:pPr>
        <w:pStyle w:val="ListParagraph"/>
        <w:numPr>
          <w:ilvl w:val="0"/>
          <w:numId w:val="14"/>
        </w:numPr>
        <w:spacing w:after="0" w:line="240" w:lineRule="auto"/>
        <w:ind w:left="567" w:hanging="283"/>
        <w:jc w:val="both"/>
        <w:rPr>
          <w:rFonts w:ascii="Arial" w:hAnsi="Arial" w:cs="Arial"/>
          <w:sz w:val="20"/>
          <w:szCs w:val="20"/>
          <w:lang w:val="fr-FR"/>
        </w:rPr>
      </w:pPr>
      <w:r>
        <w:rPr>
          <w:rFonts w:ascii="Arial" w:hAnsi="Arial" w:cs="Arial"/>
          <w:sz w:val="20"/>
          <w:szCs w:val="20"/>
          <w:lang w:val="fr-FR"/>
        </w:rPr>
        <w:t>d</w:t>
      </w:r>
      <w:r w:rsidRPr="007B0054">
        <w:rPr>
          <w:rFonts w:ascii="Arial" w:hAnsi="Arial" w:cs="Arial"/>
          <w:sz w:val="20"/>
          <w:szCs w:val="20"/>
          <w:lang w:val="fr-FR"/>
        </w:rPr>
        <w:t>es organisations peuvent être également invitées à se joindre à l</w:t>
      </w:r>
      <w:r>
        <w:rPr>
          <w:rFonts w:ascii="Arial" w:hAnsi="Arial" w:cs="Arial"/>
          <w:sz w:val="20"/>
          <w:szCs w:val="20"/>
          <w:lang w:val="fr-FR"/>
        </w:rPr>
        <w:t>’</w:t>
      </w:r>
      <w:r w:rsidRPr="007B0054">
        <w:rPr>
          <w:rFonts w:ascii="Arial" w:hAnsi="Arial" w:cs="Arial"/>
          <w:sz w:val="20"/>
          <w:szCs w:val="20"/>
          <w:lang w:val="fr-FR"/>
        </w:rPr>
        <w:t>ISWG.</w:t>
      </w:r>
      <w:r w:rsidRPr="004B1407">
        <w:rPr>
          <w:rFonts w:ascii="Arial" w:hAnsi="Arial" w:cs="Arial"/>
          <w:sz w:val="20"/>
          <w:szCs w:val="20"/>
          <w:lang w:val="fr-FR"/>
        </w:rPr>
        <w:t xml:space="preserve"> </w:t>
      </w:r>
    </w:p>
    <w:p w14:paraId="0BA33A80" w14:textId="77777777" w:rsidR="00886A3C" w:rsidRPr="004B1407" w:rsidRDefault="00886A3C" w:rsidP="00886A3C">
      <w:pPr>
        <w:spacing w:after="0" w:line="240" w:lineRule="auto"/>
        <w:jc w:val="both"/>
        <w:rPr>
          <w:rFonts w:ascii="Arial" w:hAnsi="Arial" w:cs="Arial"/>
          <w:sz w:val="20"/>
          <w:szCs w:val="20"/>
          <w:highlight w:val="yellow"/>
          <w:lang w:val="fr-FR"/>
        </w:rPr>
      </w:pPr>
    </w:p>
    <w:p w14:paraId="10080AD5" w14:textId="77777777" w:rsidR="00886A3C" w:rsidRPr="004B1407" w:rsidRDefault="00886A3C" w:rsidP="00886A3C">
      <w:pPr>
        <w:spacing w:after="0" w:line="240" w:lineRule="auto"/>
        <w:jc w:val="both"/>
        <w:rPr>
          <w:rFonts w:ascii="Arial" w:hAnsi="Arial" w:cs="Arial"/>
          <w:sz w:val="20"/>
          <w:szCs w:val="20"/>
          <w:lang w:val="fr-FR"/>
        </w:rPr>
      </w:pPr>
      <w:r w:rsidRPr="007B0054">
        <w:rPr>
          <w:rFonts w:ascii="Arial" w:hAnsi="Arial" w:cs="Arial"/>
          <w:sz w:val="20"/>
          <w:szCs w:val="20"/>
          <w:lang w:val="fr-FR"/>
        </w:rPr>
        <w:t>Elles ont pour rôle d</w:t>
      </w:r>
      <w:r>
        <w:rPr>
          <w:rFonts w:ascii="Arial" w:hAnsi="Arial" w:cs="Arial"/>
          <w:sz w:val="20"/>
          <w:szCs w:val="20"/>
          <w:lang w:val="fr-FR"/>
        </w:rPr>
        <w:t>’</w:t>
      </w:r>
      <w:r w:rsidRPr="007B0054">
        <w:rPr>
          <w:rFonts w:ascii="Arial" w:hAnsi="Arial" w:cs="Arial"/>
          <w:sz w:val="20"/>
          <w:szCs w:val="20"/>
          <w:lang w:val="fr-FR"/>
        </w:rPr>
        <w:t>aider l</w:t>
      </w:r>
      <w:r>
        <w:rPr>
          <w:rFonts w:ascii="Arial" w:hAnsi="Arial" w:cs="Arial"/>
          <w:sz w:val="20"/>
          <w:szCs w:val="20"/>
          <w:lang w:val="fr-FR"/>
        </w:rPr>
        <w:t>’</w:t>
      </w:r>
      <w:r w:rsidRPr="007B0054">
        <w:rPr>
          <w:rFonts w:ascii="Arial" w:hAnsi="Arial" w:cs="Arial"/>
          <w:sz w:val="20"/>
          <w:szCs w:val="20"/>
          <w:lang w:val="fr-FR"/>
        </w:rPr>
        <w:t>ISWG dans ses tâches et de fournir des conseils d</w:t>
      </w:r>
      <w:r>
        <w:rPr>
          <w:rFonts w:ascii="Arial" w:hAnsi="Arial" w:cs="Arial"/>
          <w:sz w:val="20"/>
          <w:szCs w:val="20"/>
          <w:lang w:val="fr-FR"/>
        </w:rPr>
        <w:t>’</w:t>
      </w:r>
      <w:r w:rsidRPr="007B0054">
        <w:rPr>
          <w:rFonts w:ascii="Arial" w:hAnsi="Arial" w:cs="Arial"/>
          <w:sz w:val="20"/>
          <w:szCs w:val="20"/>
          <w:lang w:val="fr-FR"/>
        </w:rPr>
        <w:t>expert.</w:t>
      </w:r>
      <w:r w:rsidRPr="004B1407">
        <w:rPr>
          <w:rFonts w:ascii="Arial" w:hAnsi="Arial" w:cs="Arial"/>
          <w:sz w:val="20"/>
          <w:szCs w:val="20"/>
          <w:lang w:val="fr-FR"/>
        </w:rPr>
        <w:t xml:space="preserve"> </w:t>
      </w:r>
      <w:r w:rsidRPr="007B0054">
        <w:rPr>
          <w:rFonts w:ascii="Arial" w:hAnsi="Arial" w:cs="Arial"/>
          <w:sz w:val="20"/>
          <w:szCs w:val="20"/>
          <w:lang w:val="fr-FR"/>
        </w:rPr>
        <w:t>Les organisations invitées incluent généralement les organisations internationales spécialisées représentées au sein du Comité technique de l</w:t>
      </w:r>
      <w:r>
        <w:rPr>
          <w:rFonts w:ascii="Arial" w:hAnsi="Arial" w:cs="Arial"/>
          <w:sz w:val="20"/>
          <w:szCs w:val="20"/>
          <w:lang w:val="fr-FR"/>
        </w:rPr>
        <w:t>’</w:t>
      </w:r>
      <w:r w:rsidRPr="007B0054">
        <w:rPr>
          <w:rFonts w:ascii="Arial" w:hAnsi="Arial" w:cs="Arial"/>
          <w:sz w:val="20"/>
          <w:szCs w:val="20"/>
          <w:lang w:val="fr-FR"/>
        </w:rPr>
        <w:t>AEWA (telles que Wetlands International, le Wildfowl &amp; Wetlands Trust, BirdLife International, FACE, CIC, OMPO etc.).</w:t>
      </w:r>
      <w:r w:rsidRPr="004B1407">
        <w:rPr>
          <w:rFonts w:ascii="Arial" w:hAnsi="Arial" w:cs="Arial"/>
          <w:sz w:val="20"/>
          <w:szCs w:val="20"/>
          <w:lang w:val="fr-FR"/>
        </w:rPr>
        <w:t xml:space="preserve"> </w:t>
      </w:r>
      <w:r w:rsidRPr="007B0054">
        <w:rPr>
          <w:rFonts w:ascii="Arial" w:hAnsi="Arial" w:cs="Arial"/>
          <w:sz w:val="20"/>
          <w:szCs w:val="20"/>
          <w:lang w:val="fr-FR"/>
        </w:rPr>
        <w:t>En outre, d</w:t>
      </w:r>
      <w:r>
        <w:rPr>
          <w:rFonts w:ascii="Arial" w:hAnsi="Arial" w:cs="Arial"/>
          <w:sz w:val="20"/>
          <w:szCs w:val="20"/>
          <w:lang w:val="fr-FR"/>
        </w:rPr>
        <w:t>’</w:t>
      </w:r>
      <w:r w:rsidRPr="007B0054">
        <w:rPr>
          <w:rFonts w:ascii="Arial" w:hAnsi="Arial" w:cs="Arial"/>
          <w:sz w:val="20"/>
          <w:szCs w:val="20"/>
          <w:lang w:val="fr-FR"/>
        </w:rPr>
        <w:t>autres organisations peuvent s</w:t>
      </w:r>
      <w:r>
        <w:rPr>
          <w:rFonts w:ascii="Arial" w:hAnsi="Arial" w:cs="Arial"/>
          <w:sz w:val="20"/>
          <w:szCs w:val="20"/>
          <w:lang w:val="fr-FR"/>
        </w:rPr>
        <w:t>’</w:t>
      </w:r>
      <w:r w:rsidRPr="007B0054">
        <w:rPr>
          <w:rFonts w:ascii="Arial" w:hAnsi="Arial" w:cs="Arial"/>
          <w:sz w:val="20"/>
          <w:szCs w:val="20"/>
          <w:lang w:val="fr-FR"/>
        </w:rPr>
        <w:t>inscrire en tant qu</w:t>
      </w:r>
      <w:r>
        <w:rPr>
          <w:rFonts w:ascii="Arial" w:hAnsi="Arial" w:cs="Arial"/>
          <w:sz w:val="20"/>
          <w:szCs w:val="20"/>
          <w:lang w:val="fr-FR"/>
        </w:rPr>
        <w:t>’</w:t>
      </w:r>
      <w:r w:rsidRPr="007B0054">
        <w:rPr>
          <w:rFonts w:ascii="Arial" w:hAnsi="Arial" w:cs="Arial"/>
          <w:sz w:val="20"/>
          <w:szCs w:val="20"/>
          <w:lang w:val="fr-FR"/>
        </w:rPr>
        <w:t>observatrices.</w:t>
      </w:r>
      <w:r w:rsidRPr="004B1407">
        <w:rPr>
          <w:rFonts w:ascii="Arial" w:hAnsi="Arial" w:cs="Arial"/>
          <w:sz w:val="20"/>
          <w:szCs w:val="20"/>
          <w:lang w:val="fr-FR"/>
        </w:rPr>
        <w:t xml:space="preserve"> </w:t>
      </w:r>
      <w:r w:rsidRPr="007B0054">
        <w:rPr>
          <w:rFonts w:ascii="Arial" w:hAnsi="Arial" w:cs="Arial"/>
          <w:sz w:val="20"/>
          <w:szCs w:val="20"/>
          <w:lang w:val="fr-FR"/>
        </w:rPr>
        <w:t>Toutes les organisations désirant acquérir ce statut d</w:t>
      </w:r>
      <w:r>
        <w:rPr>
          <w:rFonts w:ascii="Arial" w:hAnsi="Arial" w:cs="Arial"/>
          <w:sz w:val="20"/>
          <w:szCs w:val="20"/>
          <w:lang w:val="fr-FR"/>
        </w:rPr>
        <w:t>’</w:t>
      </w:r>
      <w:r w:rsidRPr="007B0054">
        <w:rPr>
          <w:rFonts w:ascii="Arial" w:hAnsi="Arial" w:cs="Arial"/>
          <w:sz w:val="20"/>
          <w:szCs w:val="20"/>
          <w:lang w:val="fr-FR"/>
        </w:rPr>
        <w:t>observateur auprès du groupe de travail doivent être approuvées par les membres de l</w:t>
      </w:r>
      <w:r>
        <w:rPr>
          <w:rFonts w:ascii="Arial" w:hAnsi="Arial" w:cs="Arial"/>
          <w:sz w:val="20"/>
          <w:szCs w:val="20"/>
          <w:lang w:val="fr-FR"/>
        </w:rPr>
        <w:t>’I</w:t>
      </w:r>
      <w:r w:rsidRPr="007B0054">
        <w:rPr>
          <w:rFonts w:ascii="Arial" w:hAnsi="Arial" w:cs="Arial"/>
          <w:sz w:val="20"/>
          <w:szCs w:val="20"/>
          <w:lang w:val="fr-FR"/>
        </w:rPr>
        <w:t>SWG.</w:t>
      </w:r>
    </w:p>
    <w:p w14:paraId="1F94480D" w14:textId="77777777" w:rsidR="00886A3C" w:rsidRPr="004B1407" w:rsidRDefault="00886A3C" w:rsidP="00886A3C">
      <w:pPr>
        <w:spacing w:after="0" w:line="240" w:lineRule="auto"/>
        <w:jc w:val="both"/>
        <w:rPr>
          <w:rFonts w:ascii="Arial" w:hAnsi="Arial" w:cs="Arial"/>
          <w:sz w:val="20"/>
          <w:szCs w:val="20"/>
          <w:lang w:val="fr-FR"/>
        </w:rPr>
      </w:pPr>
    </w:p>
    <w:p w14:paraId="169CD6D1" w14:textId="77777777" w:rsidR="00886A3C" w:rsidRPr="004B1407" w:rsidRDefault="00886A3C" w:rsidP="00886A3C">
      <w:pPr>
        <w:spacing w:after="0" w:line="240" w:lineRule="auto"/>
        <w:jc w:val="both"/>
        <w:rPr>
          <w:rFonts w:ascii="Arial" w:hAnsi="Arial" w:cs="Arial"/>
          <w:sz w:val="20"/>
          <w:szCs w:val="20"/>
          <w:lang w:val="fr-FR"/>
        </w:rPr>
      </w:pPr>
      <w:r w:rsidRPr="00EE08DE">
        <w:rPr>
          <w:rFonts w:ascii="Arial" w:hAnsi="Arial" w:cs="Arial"/>
          <w:sz w:val="20"/>
          <w:szCs w:val="20"/>
          <w:lang w:val="fr-FR"/>
        </w:rPr>
        <w:lastRenderedPageBreak/>
        <w:t>En plus des lettres, les points focaux recevront les termes de référence du groupe de travail élaborés par le Comité technique de l</w:t>
      </w:r>
      <w:r>
        <w:rPr>
          <w:rFonts w:ascii="Arial" w:hAnsi="Arial" w:cs="Arial"/>
          <w:sz w:val="20"/>
          <w:szCs w:val="20"/>
          <w:lang w:val="fr-FR"/>
        </w:rPr>
        <w:t>’</w:t>
      </w:r>
      <w:r w:rsidRPr="00EE08DE">
        <w:rPr>
          <w:rFonts w:ascii="Arial" w:hAnsi="Arial" w:cs="Arial"/>
          <w:sz w:val="20"/>
          <w:szCs w:val="20"/>
          <w:lang w:val="fr-FR"/>
        </w:rPr>
        <w:t>AEWA et adaptés au groupe de travail en question.</w:t>
      </w:r>
      <w:r w:rsidRPr="004B1407">
        <w:rPr>
          <w:rFonts w:ascii="Arial" w:hAnsi="Arial" w:cs="Arial"/>
          <w:sz w:val="20"/>
          <w:szCs w:val="20"/>
          <w:lang w:val="fr-FR"/>
        </w:rPr>
        <w:t xml:space="preserve"> </w:t>
      </w:r>
      <w:r w:rsidRPr="00EE08DE">
        <w:rPr>
          <w:rFonts w:ascii="Arial" w:hAnsi="Arial" w:cs="Arial"/>
          <w:sz w:val="20"/>
          <w:szCs w:val="20"/>
          <w:lang w:val="fr-FR"/>
        </w:rPr>
        <w:t>Les termes de référence sont révisées par le coordinateur suivant les instructions données par le Secrétariat.</w:t>
      </w:r>
    </w:p>
    <w:p w14:paraId="19E9DD54" w14:textId="77777777" w:rsidR="00886A3C" w:rsidRPr="004B1407" w:rsidRDefault="00886A3C" w:rsidP="00886A3C">
      <w:pPr>
        <w:spacing w:after="0" w:line="240" w:lineRule="auto"/>
        <w:jc w:val="both"/>
        <w:rPr>
          <w:rFonts w:ascii="Arial" w:hAnsi="Arial" w:cs="Arial"/>
          <w:sz w:val="20"/>
          <w:szCs w:val="20"/>
          <w:lang w:val="fr-FR"/>
        </w:rPr>
      </w:pPr>
    </w:p>
    <w:p w14:paraId="3BDCAB58" w14:textId="77777777" w:rsidR="00886A3C" w:rsidRPr="004B1407" w:rsidRDefault="00886A3C" w:rsidP="00886A3C">
      <w:pPr>
        <w:spacing w:after="0" w:line="240" w:lineRule="auto"/>
        <w:jc w:val="both"/>
        <w:rPr>
          <w:rFonts w:ascii="Arial" w:hAnsi="Arial" w:cs="Arial"/>
          <w:sz w:val="20"/>
          <w:szCs w:val="20"/>
          <w:lang w:val="fr-FR"/>
        </w:rPr>
      </w:pPr>
      <w:r w:rsidRPr="00EE08DE">
        <w:rPr>
          <w:rFonts w:ascii="Arial" w:hAnsi="Arial" w:cs="Arial"/>
          <w:sz w:val="20"/>
          <w:szCs w:val="20"/>
          <w:lang w:val="fr-FR"/>
        </w:rPr>
        <w:t xml:space="preserve">Une fois les lettres </w:t>
      </w:r>
      <w:r>
        <w:rPr>
          <w:rFonts w:ascii="Arial" w:hAnsi="Arial" w:cs="Arial"/>
          <w:sz w:val="20"/>
          <w:szCs w:val="20"/>
          <w:lang w:val="fr-FR"/>
        </w:rPr>
        <w:t>destinées à former</w:t>
      </w:r>
      <w:r w:rsidRPr="00EE08DE">
        <w:rPr>
          <w:rFonts w:ascii="Arial" w:hAnsi="Arial" w:cs="Arial"/>
          <w:sz w:val="20"/>
          <w:szCs w:val="20"/>
          <w:lang w:val="fr-FR"/>
        </w:rPr>
        <w:t xml:space="preserve"> le groupe de travail envoyées, le coordinateur sera responsable du recueil des désignations des représentants et de l</w:t>
      </w:r>
      <w:r>
        <w:rPr>
          <w:rFonts w:ascii="Arial" w:hAnsi="Arial" w:cs="Arial"/>
          <w:sz w:val="20"/>
          <w:szCs w:val="20"/>
          <w:lang w:val="fr-FR"/>
        </w:rPr>
        <w:t>’</w:t>
      </w:r>
      <w:r w:rsidRPr="00EE08DE">
        <w:rPr>
          <w:rFonts w:ascii="Arial" w:hAnsi="Arial" w:cs="Arial"/>
          <w:sz w:val="20"/>
          <w:szCs w:val="20"/>
          <w:lang w:val="fr-FR"/>
        </w:rPr>
        <w:t>entretien de la liste de contact des membres du groupe de travail.</w:t>
      </w:r>
      <w:r w:rsidRPr="004B1407">
        <w:rPr>
          <w:rFonts w:ascii="Arial" w:hAnsi="Arial" w:cs="Arial"/>
          <w:sz w:val="20"/>
          <w:szCs w:val="20"/>
          <w:lang w:val="fr-FR"/>
        </w:rPr>
        <w:t xml:space="preserve"> </w:t>
      </w:r>
      <w:r w:rsidRPr="00EE08DE">
        <w:rPr>
          <w:rFonts w:ascii="Arial" w:hAnsi="Arial" w:cs="Arial"/>
          <w:sz w:val="20"/>
          <w:szCs w:val="20"/>
          <w:lang w:val="fr-FR"/>
        </w:rPr>
        <w:t>Le coordinateur communiquera cette liste ainsi que tou</w:t>
      </w:r>
      <w:r>
        <w:rPr>
          <w:rFonts w:ascii="Arial" w:hAnsi="Arial" w:cs="Arial"/>
          <w:sz w:val="20"/>
          <w:szCs w:val="20"/>
          <w:lang w:val="fr-FR"/>
        </w:rPr>
        <w:t>t</w:t>
      </w:r>
      <w:r w:rsidRPr="00EE08DE">
        <w:rPr>
          <w:rFonts w:ascii="Arial" w:hAnsi="Arial" w:cs="Arial"/>
          <w:sz w:val="20"/>
          <w:szCs w:val="20"/>
          <w:lang w:val="fr-FR"/>
        </w:rPr>
        <w:t xml:space="preserve"> changement au Secrétariat (</w:t>
      </w:r>
      <w:r>
        <w:rPr>
          <w:rFonts w:ascii="Arial" w:hAnsi="Arial" w:cs="Arial"/>
          <w:sz w:val="20"/>
          <w:szCs w:val="20"/>
          <w:lang w:val="fr-FR"/>
        </w:rPr>
        <w:t>courriel adressé à Mme</w:t>
      </w:r>
      <w:r w:rsidRPr="00EE08DE">
        <w:rPr>
          <w:rFonts w:ascii="Arial" w:hAnsi="Arial" w:cs="Arial"/>
          <w:sz w:val="20"/>
          <w:szCs w:val="20"/>
          <w:lang w:val="fr-FR"/>
        </w:rPr>
        <w:t xml:space="preserve"> Dunia Sforzin:</w:t>
      </w:r>
      <w:r w:rsidRPr="004B1407">
        <w:rPr>
          <w:rFonts w:ascii="Arial" w:hAnsi="Arial" w:cs="Arial"/>
          <w:sz w:val="20"/>
          <w:szCs w:val="20"/>
          <w:lang w:val="fr-FR"/>
        </w:rPr>
        <w:t xml:space="preserve"> </w:t>
      </w:r>
      <w:r w:rsidRPr="000A34A6">
        <w:rPr>
          <w:rFonts w:ascii="Arial" w:hAnsi="Arial" w:cs="Arial"/>
          <w:sz w:val="20"/>
          <w:szCs w:val="20"/>
          <w:lang w:val="fr-FR"/>
        </w:rPr>
        <w:t xml:space="preserve">dsforzin@unep.de </w:t>
      </w:r>
      <w:r>
        <w:rPr>
          <w:rFonts w:ascii="Arial" w:hAnsi="Arial" w:cs="Arial"/>
          <w:sz w:val="20"/>
          <w:szCs w:val="20"/>
          <w:lang w:val="fr-FR"/>
        </w:rPr>
        <w:t>avec</w:t>
      </w:r>
      <w:r w:rsidRPr="000A34A6">
        <w:rPr>
          <w:rFonts w:ascii="Arial" w:hAnsi="Arial" w:cs="Arial"/>
          <w:sz w:val="20"/>
          <w:szCs w:val="20"/>
          <w:lang w:val="fr-FR"/>
        </w:rPr>
        <w:t xml:space="preserve"> copie </w:t>
      </w:r>
      <w:r>
        <w:rPr>
          <w:rFonts w:ascii="Arial" w:hAnsi="Arial" w:cs="Arial"/>
          <w:sz w:val="20"/>
          <w:szCs w:val="20"/>
          <w:lang w:val="fr-FR"/>
        </w:rPr>
        <w:t xml:space="preserve">adressée à </w:t>
      </w:r>
      <w:r w:rsidRPr="000A34A6">
        <w:rPr>
          <w:rFonts w:ascii="Arial" w:hAnsi="Arial" w:cs="Arial"/>
          <w:sz w:val="20"/>
          <w:szCs w:val="20"/>
          <w:lang w:val="fr-FR"/>
        </w:rPr>
        <w:t>Mme Nina Mikander :</w:t>
      </w:r>
      <w:r w:rsidRPr="004B1407">
        <w:rPr>
          <w:rFonts w:ascii="Arial" w:hAnsi="Arial" w:cs="Arial"/>
          <w:sz w:val="20"/>
          <w:szCs w:val="20"/>
          <w:lang w:val="fr-FR"/>
        </w:rPr>
        <w:t xml:space="preserve"> </w:t>
      </w:r>
      <w:r w:rsidRPr="000A34A6">
        <w:rPr>
          <w:rFonts w:ascii="Arial" w:hAnsi="Arial" w:cs="Arial"/>
          <w:sz w:val="20"/>
          <w:szCs w:val="20"/>
          <w:lang w:val="fr-FR"/>
        </w:rPr>
        <w:t>nmikander@unep.de).</w:t>
      </w:r>
      <w:r w:rsidRPr="004B1407">
        <w:rPr>
          <w:rFonts w:ascii="Arial" w:hAnsi="Arial" w:cs="Arial"/>
          <w:sz w:val="20"/>
          <w:szCs w:val="20"/>
          <w:lang w:val="fr-FR"/>
        </w:rPr>
        <w:t xml:space="preserve"> </w:t>
      </w:r>
      <w:r w:rsidRPr="000A34A6">
        <w:rPr>
          <w:rFonts w:ascii="Arial" w:hAnsi="Arial" w:cs="Arial"/>
          <w:sz w:val="20"/>
          <w:szCs w:val="20"/>
          <w:lang w:val="fr-FR"/>
        </w:rPr>
        <w:t>Le coordinateur essaiera également de surveiller les pays qu</w:t>
      </w:r>
      <w:r>
        <w:rPr>
          <w:rFonts w:ascii="Arial" w:hAnsi="Arial" w:cs="Arial"/>
          <w:sz w:val="20"/>
          <w:szCs w:val="20"/>
          <w:lang w:val="fr-FR"/>
        </w:rPr>
        <w:t>i</w:t>
      </w:r>
      <w:r w:rsidRPr="000A34A6">
        <w:rPr>
          <w:rFonts w:ascii="Arial" w:hAnsi="Arial" w:cs="Arial"/>
          <w:sz w:val="20"/>
          <w:szCs w:val="20"/>
          <w:lang w:val="fr-FR"/>
        </w:rPr>
        <w:t xml:space="preserve"> n</w:t>
      </w:r>
      <w:r>
        <w:rPr>
          <w:rFonts w:ascii="Arial" w:hAnsi="Arial" w:cs="Arial"/>
          <w:sz w:val="20"/>
          <w:szCs w:val="20"/>
          <w:lang w:val="fr-FR"/>
        </w:rPr>
        <w:t>’</w:t>
      </w:r>
      <w:r w:rsidRPr="000A34A6">
        <w:rPr>
          <w:rFonts w:ascii="Arial" w:hAnsi="Arial" w:cs="Arial"/>
          <w:sz w:val="20"/>
          <w:szCs w:val="20"/>
          <w:lang w:val="fr-FR"/>
        </w:rPr>
        <w:t>ont pas encore désigné de représentants auprès du groupe à la date butoir communiquée.</w:t>
      </w:r>
    </w:p>
    <w:p w14:paraId="1BA621EB"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886A3C" w:rsidRPr="00DE4CF4" w14:paraId="09FD680C" w14:textId="77777777" w:rsidTr="00886A3C">
        <w:tc>
          <w:tcPr>
            <w:tcW w:w="9576" w:type="dxa"/>
          </w:tcPr>
          <w:p w14:paraId="4F6FEAC5" w14:textId="77777777" w:rsidR="00886A3C" w:rsidRPr="004B1407" w:rsidRDefault="00886A3C" w:rsidP="00886A3C">
            <w:pPr>
              <w:jc w:val="both"/>
              <w:rPr>
                <w:rFonts w:ascii="Arial" w:hAnsi="Arial" w:cs="Arial"/>
                <w:b/>
                <w:i/>
                <w:color w:val="FF0000"/>
                <w:sz w:val="16"/>
                <w:szCs w:val="16"/>
                <w:lang w:val="fr-FR"/>
              </w:rPr>
            </w:pPr>
          </w:p>
          <w:p w14:paraId="138E5C77" w14:textId="77777777" w:rsidR="00886A3C" w:rsidRPr="00C87FEC" w:rsidRDefault="00886A3C" w:rsidP="00886A3C">
            <w:pPr>
              <w:jc w:val="both"/>
              <w:rPr>
                <w:rFonts w:ascii="Arial" w:hAnsi="Arial" w:cs="Arial"/>
                <w:b/>
                <w:i/>
                <w:color w:val="0070C0"/>
                <w:sz w:val="20"/>
                <w:szCs w:val="20"/>
                <w:lang w:val="en-GB"/>
              </w:rPr>
            </w:pPr>
            <w:r>
              <w:rPr>
                <w:rFonts w:ascii="Arial" w:hAnsi="Arial" w:cs="Arial"/>
                <w:b/>
                <w:i/>
                <w:color w:val="0070C0"/>
                <w:sz w:val="20"/>
                <w:szCs w:val="20"/>
                <w:lang w:val="fr-FR"/>
              </w:rPr>
              <w:t>ACTIVITÉS</w:t>
            </w:r>
            <w:r w:rsidRPr="000A34A6">
              <w:rPr>
                <w:rFonts w:ascii="Arial" w:hAnsi="Arial" w:cs="Arial"/>
                <w:b/>
                <w:i/>
                <w:color w:val="0070C0"/>
                <w:sz w:val="20"/>
                <w:szCs w:val="20"/>
                <w:lang w:val="fr-FR"/>
              </w:rPr>
              <w:t xml:space="preserve"> PRINCIPALES :</w:t>
            </w:r>
          </w:p>
          <w:p w14:paraId="577DECFD" w14:textId="77777777" w:rsidR="00886A3C" w:rsidRPr="002369DC" w:rsidRDefault="00886A3C" w:rsidP="00886A3C">
            <w:pPr>
              <w:jc w:val="both"/>
              <w:rPr>
                <w:rFonts w:ascii="Arial" w:hAnsi="Arial" w:cs="Arial"/>
                <w:sz w:val="20"/>
                <w:szCs w:val="20"/>
                <w:lang w:val="en-GB"/>
              </w:rPr>
            </w:pPr>
          </w:p>
          <w:p w14:paraId="14F982C0" w14:textId="77777777" w:rsidR="00886A3C" w:rsidRPr="004B1407" w:rsidRDefault="00886A3C" w:rsidP="00886A3C">
            <w:pPr>
              <w:pStyle w:val="ListParagraph"/>
              <w:numPr>
                <w:ilvl w:val="0"/>
                <w:numId w:val="24"/>
              </w:numPr>
              <w:ind w:left="0"/>
              <w:jc w:val="both"/>
              <w:rPr>
                <w:rFonts w:ascii="Arial" w:hAnsi="Arial" w:cs="Arial"/>
                <w:i/>
                <w:sz w:val="20"/>
                <w:szCs w:val="20"/>
                <w:lang w:val="fr-FR"/>
              </w:rPr>
            </w:pPr>
            <w:r w:rsidRPr="000A34A6">
              <w:rPr>
                <w:rFonts w:ascii="Arial" w:hAnsi="Arial" w:cs="Arial"/>
                <w:i/>
                <w:sz w:val="20"/>
                <w:szCs w:val="20"/>
                <w:lang w:val="fr-FR"/>
              </w:rPr>
              <w:t>Fournir au Secrétariat une liste des experts clés dans les États de l</w:t>
            </w:r>
            <w:r>
              <w:rPr>
                <w:rFonts w:ascii="Arial" w:hAnsi="Arial" w:cs="Arial"/>
                <w:i/>
                <w:sz w:val="20"/>
                <w:szCs w:val="20"/>
                <w:lang w:val="fr-FR"/>
              </w:rPr>
              <w:t>’</w:t>
            </w:r>
            <w:r w:rsidRPr="000A34A6">
              <w:rPr>
                <w:rFonts w:ascii="Arial" w:hAnsi="Arial" w:cs="Arial"/>
                <w:i/>
                <w:sz w:val="20"/>
                <w:szCs w:val="20"/>
                <w:lang w:val="fr-FR"/>
              </w:rPr>
              <w:t>aire de répartition (s</w:t>
            </w:r>
            <w:r>
              <w:rPr>
                <w:rFonts w:ascii="Arial" w:hAnsi="Arial" w:cs="Arial"/>
                <w:i/>
                <w:sz w:val="20"/>
                <w:szCs w:val="20"/>
                <w:lang w:val="fr-FR"/>
              </w:rPr>
              <w:t>’</w:t>
            </w:r>
            <w:r w:rsidRPr="000A34A6">
              <w:rPr>
                <w:rFonts w:ascii="Arial" w:hAnsi="Arial" w:cs="Arial"/>
                <w:i/>
                <w:sz w:val="20"/>
                <w:szCs w:val="20"/>
                <w:lang w:val="fr-FR"/>
              </w:rPr>
              <w:t>ils sont connus) ;</w:t>
            </w:r>
          </w:p>
          <w:p w14:paraId="4319B540" w14:textId="77777777" w:rsidR="00886A3C" w:rsidRPr="004B1407" w:rsidRDefault="00886A3C" w:rsidP="00886A3C">
            <w:pPr>
              <w:pStyle w:val="ListParagraph"/>
              <w:numPr>
                <w:ilvl w:val="0"/>
                <w:numId w:val="24"/>
              </w:numPr>
              <w:ind w:left="0"/>
              <w:jc w:val="both"/>
              <w:rPr>
                <w:rFonts w:ascii="Arial" w:hAnsi="Arial" w:cs="Arial"/>
                <w:i/>
                <w:sz w:val="20"/>
                <w:szCs w:val="20"/>
                <w:lang w:val="fr-FR"/>
              </w:rPr>
            </w:pPr>
            <w:r w:rsidRPr="000A34A6">
              <w:rPr>
                <w:rFonts w:ascii="Arial" w:hAnsi="Arial" w:cs="Arial"/>
                <w:i/>
                <w:sz w:val="20"/>
                <w:szCs w:val="20"/>
                <w:lang w:val="fr-FR"/>
              </w:rPr>
              <w:t>Fournir au Secrétariat les termes de référence adaptés au groupe de travail ;</w:t>
            </w:r>
          </w:p>
          <w:p w14:paraId="4C4B2640" w14:textId="77777777" w:rsidR="00886A3C" w:rsidRPr="004B1407" w:rsidRDefault="00886A3C" w:rsidP="00886A3C">
            <w:pPr>
              <w:pStyle w:val="ListParagraph"/>
              <w:numPr>
                <w:ilvl w:val="0"/>
                <w:numId w:val="24"/>
              </w:numPr>
              <w:ind w:left="0"/>
              <w:jc w:val="both"/>
              <w:rPr>
                <w:rFonts w:ascii="Arial" w:hAnsi="Arial" w:cs="Arial"/>
                <w:i/>
                <w:sz w:val="20"/>
                <w:szCs w:val="20"/>
                <w:lang w:val="fr-FR"/>
              </w:rPr>
            </w:pPr>
            <w:r w:rsidRPr="000A34A6">
              <w:rPr>
                <w:rFonts w:ascii="Arial" w:hAnsi="Arial" w:cs="Arial"/>
                <w:i/>
                <w:sz w:val="20"/>
                <w:szCs w:val="20"/>
                <w:lang w:val="fr-FR"/>
              </w:rPr>
              <w:t>Recevoir les candidatures pour le groupe de travail et maintenir la liste des contacts à jour ;</w:t>
            </w:r>
          </w:p>
          <w:p w14:paraId="7A074275" w14:textId="77777777" w:rsidR="00886A3C" w:rsidRPr="004B1407" w:rsidRDefault="00886A3C" w:rsidP="00886A3C">
            <w:pPr>
              <w:pStyle w:val="ListParagraph"/>
              <w:numPr>
                <w:ilvl w:val="0"/>
                <w:numId w:val="24"/>
              </w:numPr>
              <w:ind w:left="0"/>
              <w:jc w:val="both"/>
              <w:rPr>
                <w:rFonts w:ascii="Arial" w:hAnsi="Arial" w:cs="Arial"/>
                <w:i/>
                <w:sz w:val="20"/>
                <w:szCs w:val="20"/>
                <w:lang w:val="fr-FR"/>
              </w:rPr>
            </w:pPr>
            <w:r w:rsidRPr="000A34A6">
              <w:rPr>
                <w:rFonts w:ascii="Arial" w:hAnsi="Arial" w:cs="Arial"/>
                <w:i/>
                <w:sz w:val="20"/>
                <w:szCs w:val="20"/>
                <w:lang w:val="fr-FR"/>
              </w:rPr>
              <w:t>Rappeler aux États de l</w:t>
            </w:r>
            <w:r>
              <w:rPr>
                <w:rFonts w:ascii="Arial" w:hAnsi="Arial" w:cs="Arial"/>
                <w:i/>
                <w:sz w:val="20"/>
                <w:szCs w:val="20"/>
                <w:lang w:val="fr-FR"/>
              </w:rPr>
              <w:t>’</w:t>
            </w:r>
            <w:r w:rsidRPr="000A34A6">
              <w:rPr>
                <w:rFonts w:ascii="Arial" w:hAnsi="Arial" w:cs="Arial"/>
                <w:i/>
                <w:sz w:val="20"/>
                <w:szCs w:val="20"/>
                <w:lang w:val="fr-FR"/>
              </w:rPr>
              <w:t>aire de répartition de désigner les candidats si la date butoir n</w:t>
            </w:r>
            <w:r>
              <w:rPr>
                <w:rFonts w:ascii="Arial" w:hAnsi="Arial" w:cs="Arial"/>
                <w:i/>
                <w:sz w:val="20"/>
                <w:szCs w:val="20"/>
                <w:lang w:val="fr-FR"/>
              </w:rPr>
              <w:t>’</w:t>
            </w:r>
            <w:r w:rsidRPr="000A34A6">
              <w:rPr>
                <w:rFonts w:ascii="Arial" w:hAnsi="Arial" w:cs="Arial"/>
                <w:i/>
                <w:sz w:val="20"/>
                <w:szCs w:val="20"/>
                <w:lang w:val="fr-FR"/>
              </w:rPr>
              <w:t>est pas respectée ;</w:t>
            </w:r>
          </w:p>
          <w:p w14:paraId="038D8136" w14:textId="77777777" w:rsidR="00886A3C" w:rsidRPr="004B1407" w:rsidRDefault="00886A3C" w:rsidP="00886A3C">
            <w:pPr>
              <w:pStyle w:val="ListParagraph"/>
              <w:numPr>
                <w:ilvl w:val="0"/>
                <w:numId w:val="24"/>
              </w:numPr>
              <w:ind w:left="0"/>
              <w:jc w:val="both"/>
              <w:rPr>
                <w:rFonts w:ascii="Arial" w:hAnsi="Arial" w:cs="Arial"/>
                <w:i/>
                <w:sz w:val="20"/>
                <w:szCs w:val="20"/>
                <w:lang w:val="fr-FR"/>
              </w:rPr>
            </w:pPr>
            <w:r w:rsidRPr="000A34A6">
              <w:rPr>
                <w:rFonts w:ascii="Arial" w:hAnsi="Arial" w:cs="Arial"/>
                <w:i/>
                <w:sz w:val="20"/>
                <w:szCs w:val="20"/>
                <w:lang w:val="fr-FR"/>
              </w:rPr>
              <w:t>Faciliter pour le groupe de travail le processus d</w:t>
            </w:r>
            <w:r>
              <w:rPr>
                <w:rFonts w:ascii="Arial" w:hAnsi="Arial" w:cs="Arial"/>
                <w:i/>
                <w:sz w:val="20"/>
                <w:szCs w:val="20"/>
                <w:lang w:val="fr-FR"/>
              </w:rPr>
              <w:t>’</w:t>
            </w:r>
            <w:r w:rsidRPr="000A34A6">
              <w:rPr>
                <w:rFonts w:ascii="Arial" w:hAnsi="Arial" w:cs="Arial"/>
                <w:i/>
                <w:sz w:val="20"/>
                <w:szCs w:val="20"/>
                <w:lang w:val="fr-FR"/>
              </w:rPr>
              <w:t>invitation d</w:t>
            </w:r>
            <w:r>
              <w:rPr>
                <w:rFonts w:ascii="Arial" w:hAnsi="Arial" w:cs="Arial"/>
                <w:i/>
                <w:sz w:val="20"/>
                <w:szCs w:val="20"/>
                <w:lang w:val="fr-FR"/>
              </w:rPr>
              <w:t>’</w:t>
            </w:r>
            <w:r w:rsidRPr="000A34A6">
              <w:rPr>
                <w:rFonts w:ascii="Arial" w:hAnsi="Arial" w:cs="Arial"/>
                <w:i/>
                <w:sz w:val="20"/>
                <w:szCs w:val="20"/>
                <w:lang w:val="fr-FR"/>
              </w:rPr>
              <w:t>observateurs et leur acceptation (voir les conseils pour l</w:t>
            </w:r>
            <w:r>
              <w:rPr>
                <w:rFonts w:ascii="Arial" w:hAnsi="Arial" w:cs="Arial"/>
                <w:i/>
                <w:sz w:val="20"/>
                <w:szCs w:val="20"/>
                <w:lang w:val="fr-FR"/>
              </w:rPr>
              <w:t>’</w:t>
            </w:r>
            <w:r w:rsidRPr="000A34A6">
              <w:rPr>
                <w:rFonts w:ascii="Arial" w:hAnsi="Arial" w:cs="Arial"/>
                <w:i/>
                <w:sz w:val="20"/>
                <w:szCs w:val="20"/>
                <w:lang w:val="fr-FR"/>
              </w:rPr>
              <w:t xml:space="preserve"> Admission des observateurs dans les ISWG de l</w:t>
            </w:r>
            <w:r>
              <w:rPr>
                <w:rFonts w:ascii="Arial" w:hAnsi="Arial" w:cs="Arial"/>
                <w:i/>
                <w:sz w:val="20"/>
                <w:szCs w:val="20"/>
                <w:lang w:val="fr-FR"/>
              </w:rPr>
              <w:t>’</w:t>
            </w:r>
            <w:r w:rsidRPr="000A34A6">
              <w:rPr>
                <w:rFonts w:ascii="Arial" w:hAnsi="Arial" w:cs="Arial"/>
                <w:i/>
                <w:sz w:val="20"/>
                <w:szCs w:val="20"/>
                <w:lang w:val="fr-FR"/>
              </w:rPr>
              <w:t>AEWA).</w:t>
            </w:r>
          </w:p>
          <w:p w14:paraId="66A2AE16" w14:textId="77777777" w:rsidR="00886A3C" w:rsidRPr="004B1407" w:rsidRDefault="00886A3C" w:rsidP="00886A3C">
            <w:pPr>
              <w:jc w:val="both"/>
              <w:rPr>
                <w:rFonts w:ascii="Arial" w:hAnsi="Arial" w:cs="Arial"/>
                <w:sz w:val="16"/>
                <w:szCs w:val="16"/>
                <w:lang w:val="fr-FR"/>
              </w:rPr>
            </w:pPr>
          </w:p>
        </w:tc>
      </w:tr>
    </w:tbl>
    <w:p w14:paraId="598D56F8" w14:textId="77777777" w:rsidR="00886A3C" w:rsidRPr="004B1407" w:rsidRDefault="00886A3C" w:rsidP="00886A3C">
      <w:pPr>
        <w:spacing w:after="0" w:line="240" w:lineRule="auto"/>
        <w:jc w:val="both"/>
        <w:rPr>
          <w:rFonts w:ascii="Arial" w:hAnsi="Arial" w:cs="Arial"/>
          <w:sz w:val="20"/>
          <w:szCs w:val="20"/>
          <w:lang w:val="fr-FR"/>
        </w:rPr>
      </w:pPr>
    </w:p>
    <w:p w14:paraId="1E4E544B" w14:textId="77777777" w:rsidR="00886A3C" w:rsidRPr="004B1407" w:rsidRDefault="00886A3C" w:rsidP="00886A3C">
      <w:pPr>
        <w:spacing w:after="0" w:line="240" w:lineRule="auto"/>
        <w:jc w:val="both"/>
        <w:rPr>
          <w:rFonts w:ascii="Arial" w:hAnsi="Arial" w:cs="Arial"/>
          <w:sz w:val="20"/>
          <w:szCs w:val="20"/>
          <w:lang w:val="fr-FR"/>
        </w:rPr>
      </w:pPr>
    </w:p>
    <w:p w14:paraId="3E047FD0" w14:textId="77777777" w:rsidR="00886A3C" w:rsidRPr="004B1407" w:rsidRDefault="00886A3C" w:rsidP="00886A3C">
      <w:pPr>
        <w:spacing w:after="0" w:line="240" w:lineRule="auto"/>
        <w:rPr>
          <w:rFonts w:ascii="Arial" w:hAnsi="Arial" w:cs="Arial"/>
          <w:b/>
          <w:i/>
          <w:color w:val="0070C0"/>
          <w:sz w:val="20"/>
          <w:szCs w:val="20"/>
          <w:lang w:val="fr-FR"/>
        </w:rPr>
      </w:pPr>
      <w:r w:rsidRPr="000A34A6">
        <w:rPr>
          <w:rFonts w:ascii="Arial" w:hAnsi="Arial" w:cs="Arial"/>
          <w:b/>
          <w:color w:val="F79646" w:themeColor="accent6"/>
          <w:sz w:val="20"/>
          <w:szCs w:val="20"/>
          <w:lang w:val="fr-FR"/>
        </w:rPr>
        <w:t>4.2 Organiser et assurer le service des réunions de l</w:t>
      </w:r>
      <w:r>
        <w:rPr>
          <w:rFonts w:ascii="Arial" w:hAnsi="Arial" w:cs="Arial"/>
          <w:b/>
          <w:color w:val="F79646" w:themeColor="accent6"/>
          <w:sz w:val="20"/>
          <w:szCs w:val="20"/>
          <w:lang w:val="fr-FR"/>
        </w:rPr>
        <w:t>’</w:t>
      </w:r>
      <w:r w:rsidRPr="000A34A6">
        <w:rPr>
          <w:rFonts w:ascii="Arial" w:hAnsi="Arial" w:cs="Arial"/>
          <w:b/>
          <w:color w:val="F79646" w:themeColor="accent6"/>
          <w:sz w:val="20"/>
          <w:szCs w:val="20"/>
          <w:lang w:val="fr-FR"/>
        </w:rPr>
        <w:t xml:space="preserve">ISWG </w:t>
      </w:r>
      <w:r w:rsidRPr="000A34A6">
        <w:rPr>
          <w:rFonts w:ascii="Arial" w:hAnsi="Arial" w:cs="Arial"/>
          <w:b/>
          <w:i/>
          <w:color w:val="0070C0"/>
          <w:sz w:val="20"/>
          <w:szCs w:val="20"/>
          <w:lang w:val="fr-FR"/>
        </w:rPr>
        <w:t>(essentiel)</w:t>
      </w:r>
    </w:p>
    <w:p w14:paraId="4DA81BBD" w14:textId="77777777" w:rsidR="00886A3C" w:rsidRPr="004B1407" w:rsidRDefault="00886A3C" w:rsidP="00886A3C">
      <w:pPr>
        <w:spacing w:after="0" w:line="240" w:lineRule="auto"/>
        <w:rPr>
          <w:rFonts w:ascii="Arial" w:hAnsi="Arial" w:cs="Arial"/>
          <w:sz w:val="20"/>
          <w:szCs w:val="20"/>
          <w:lang w:val="fr-FR"/>
        </w:rPr>
      </w:pPr>
    </w:p>
    <w:p w14:paraId="453CFEF2" w14:textId="77777777" w:rsidR="00886A3C" w:rsidRPr="002369DC" w:rsidRDefault="00886A3C" w:rsidP="00886A3C">
      <w:pPr>
        <w:spacing w:after="0" w:line="240" w:lineRule="auto"/>
        <w:jc w:val="both"/>
        <w:rPr>
          <w:rFonts w:ascii="Arial" w:hAnsi="Arial" w:cs="Arial"/>
          <w:sz w:val="20"/>
          <w:szCs w:val="20"/>
          <w:lang w:val="en-GB"/>
        </w:rPr>
      </w:pPr>
      <w:r w:rsidRPr="000A34A6">
        <w:rPr>
          <w:rFonts w:ascii="Arial" w:hAnsi="Arial" w:cs="Arial"/>
          <w:sz w:val="20"/>
          <w:szCs w:val="20"/>
          <w:lang w:val="fr-FR"/>
        </w:rPr>
        <w:t>Le coordinateur est responsable de la facilitation du travail de l</w:t>
      </w:r>
      <w:r>
        <w:rPr>
          <w:rFonts w:ascii="Arial" w:hAnsi="Arial" w:cs="Arial"/>
          <w:sz w:val="20"/>
          <w:szCs w:val="20"/>
          <w:lang w:val="fr-FR"/>
        </w:rPr>
        <w:t>’</w:t>
      </w:r>
      <w:r w:rsidRPr="000A34A6">
        <w:rPr>
          <w:rFonts w:ascii="Arial" w:hAnsi="Arial" w:cs="Arial"/>
          <w:sz w:val="20"/>
          <w:szCs w:val="20"/>
          <w:lang w:val="fr-FR"/>
        </w:rPr>
        <w:t>ISWG entre les réunions et également de l</w:t>
      </w:r>
      <w:r>
        <w:rPr>
          <w:rFonts w:ascii="Arial" w:hAnsi="Arial" w:cs="Arial"/>
          <w:sz w:val="20"/>
          <w:szCs w:val="20"/>
          <w:lang w:val="fr-FR"/>
        </w:rPr>
        <w:t>’</w:t>
      </w:r>
      <w:r w:rsidRPr="000A34A6">
        <w:rPr>
          <w:rFonts w:ascii="Arial" w:hAnsi="Arial" w:cs="Arial"/>
          <w:sz w:val="20"/>
          <w:szCs w:val="20"/>
          <w:lang w:val="fr-FR"/>
        </w:rPr>
        <w:t>organisation des réunions du groupe de travail en coopération avec le Secrétariat de l</w:t>
      </w:r>
      <w:r>
        <w:rPr>
          <w:rFonts w:ascii="Arial" w:hAnsi="Arial" w:cs="Arial"/>
          <w:sz w:val="20"/>
          <w:szCs w:val="20"/>
          <w:lang w:val="fr-FR"/>
        </w:rPr>
        <w:t>’</w:t>
      </w:r>
      <w:r w:rsidRPr="000A34A6">
        <w:rPr>
          <w:rFonts w:ascii="Arial" w:hAnsi="Arial" w:cs="Arial"/>
          <w:sz w:val="20"/>
          <w:szCs w:val="20"/>
          <w:lang w:val="fr-FR"/>
        </w:rPr>
        <w:t>AEWA.</w:t>
      </w:r>
      <w:r w:rsidRPr="004B1407">
        <w:rPr>
          <w:rFonts w:ascii="Arial" w:hAnsi="Arial" w:cs="Arial"/>
          <w:sz w:val="20"/>
          <w:szCs w:val="20"/>
          <w:lang w:val="fr-FR"/>
        </w:rPr>
        <w:t xml:space="preserve"> </w:t>
      </w:r>
      <w:r w:rsidRPr="000E7995">
        <w:rPr>
          <w:rFonts w:ascii="Arial" w:hAnsi="Arial" w:cs="Arial"/>
          <w:sz w:val="20"/>
          <w:szCs w:val="20"/>
          <w:lang w:val="fr-FR"/>
        </w:rPr>
        <w:t>L</w:t>
      </w:r>
      <w:r>
        <w:rPr>
          <w:rFonts w:ascii="Arial" w:hAnsi="Arial" w:cs="Arial"/>
          <w:sz w:val="20"/>
          <w:szCs w:val="20"/>
          <w:lang w:val="fr-FR"/>
        </w:rPr>
        <w:t>’</w:t>
      </w:r>
      <w:r w:rsidRPr="000E7995">
        <w:rPr>
          <w:rFonts w:ascii="Arial" w:hAnsi="Arial" w:cs="Arial"/>
          <w:sz w:val="20"/>
          <w:szCs w:val="20"/>
          <w:lang w:val="fr-FR"/>
        </w:rPr>
        <w:t>organisation des réunions comprend entre autres :</w:t>
      </w:r>
    </w:p>
    <w:p w14:paraId="500D6939" w14:textId="77777777" w:rsidR="00886A3C" w:rsidRPr="002369DC" w:rsidRDefault="00886A3C" w:rsidP="00886A3C">
      <w:pPr>
        <w:spacing w:after="0" w:line="240" w:lineRule="auto"/>
        <w:ind w:left="709" w:hanging="283"/>
        <w:jc w:val="both"/>
        <w:rPr>
          <w:rFonts w:ascii="Arial" w:hAnsi="Arial" w:cs="Arial"/>
          <w:sz w:val="20"/>
          <w:szCs w:val="20"/>
          <w:lang w:val="en-GB"/>
        </w:rPr>
      </w:pPr>
    </w:p>
    <w:p w14:paraId="2D8A8B59" w14:textId="77777777" w:rsidR="00886A3C" w:rsidRPr="004B1407" w:rsidRDefault="00886A3C" w:rsidP="00886A3C">
      <w:pPr>
        <w:pStyle w:val="ListParagraph"/>
        <w:numPr>
          <w:ilvl w:val="0"/>
          <w:numId w:val="23"/>
        </w:numPr>
        <w:spacing w:after="0" w:line="240" w:lineRule="auto"/>
        <w:ind w:left="709" w:hanging="283"/>
        <w:jc w:val="both"/>
        <w:rPr>
          <w:rFonts w:ascii="Arial" w:hAnsi="Arial" w:cs="Arial"/>
          <w:sz w:val="20"/>
          <w:szCs w:val="20"/>
          <w:lang w:val="fr-FR"/>
        </w:rPr>
      </w:pPr>
      <w:r w:rsidRPr="000E7995">
        <w:rPr>
          <w:rFonts w:ascii="Arial" w:hAnsi="Arial" w:cs="Arial"/>
          <w:sz w:val="20"/>
          <w:szCs w:val="20"/>
          <w:lang w:val="fr-FR"/>
        </w:rPr>
        <w:t>La logistique de la réunion (lieu, invitations, aide à l</w:t>
      </w:r>
      <w:r>
        <w:rPr>
          <w:rFonts w:ascii="Arial" w:hAnsi="Arial" w:cs="Arial"/>
          <w:sz w:val="20"/>
          <w:szCs w:val="20"/>
          <w:lang w:val="fr-FR"/>
        </w:rPr>
        <w:t>’</w:t>
      </w:r>
      <w:r w:rsidRPr="000E7995">
        <w:rPr>
          <w:rFonts w:ascii="Arial" w:hAnsi="Arial" w:cs="Arial"/>
          <w:sz w:val="20"/>
          <w:szCs w:val="20"/>
          <w:lang w:val="fr-FR"/>
        </w:rPr>
        <w:t>obtention de visa, etc.) et la levée de fonds (si nécessaire) ;</w:t>
      </w:r>
    </w:p>
    <w:p w14:paraId="37108E6E" w14:textId="77777777" w:rsidR="00886A3C" w:rsidRPr="004B1407" w:rsidRDefault="00886A3C" w:rsidP="00886A3C">
      <w:pPr>
        <w:pStyle w:val="ListParagraph"/>
        <w:numPr>
          <w:ilvl w:val="0"/>
          <w:numId w:val="23"/>
        </w:numPr>
        <w:spacing w:after="0" w:line="240" w:lineRule="auto"/>
        <w:ind w:left="709" w:hanging="283"/>
        <w:jc w:val="both"/>
        <w:rPr>
          <w:rFonts w:ascii="Arial" w:hAnsi="Arial" w:cs="Arial"/>
          <w:sz w:val="20"/>
          <w:szCs w:val="20"/>
          <w:lang w:val="fr-FR"/>
        </w:rPr>
      </w:pPr>
      <w:r w:rsidRPr="000E7995">
        <w:rPr>
          <w:rFonts w:ascii="Arial" w:hAnsi="Arial" w:cs="Arial"/>
          <w:sz w:val="20"/>
          <w:szCs w:val="20"/>
          <w:lang w:val="fr-FR"/>
        </w:rPr>
        <w:t>les documents de la réunion (note :</w:t>
      </w:r>
      <w:r w:rsidRPr="004B1407">
        <w:rPr>
          <w:rFonts w:ascii="Arial" w:hAnsi="Arial" w:cs="Arial"/>
          <w:sz w:val="20"/>
          <w:szCs w:val="20"/>
          <w:lang w:val="fr-FR"/>
        </w:rPr>
        <w:t xml:space="preserve"> </w:t>
      </w:r>
      <w:r w:rsidRPr="000E7995">
        <w:rPr>
          <w:rFonts w:ascii="Arial" w:hAnsi="Arial" w:cs="Arial"/>
          <w:sz w:val="20"/>
          <w:szCs w:val="20"/>
          <w:lang w:val="fr-FR"/>
        </w:rPr>
        <w:t xml:space="preserve">en plus du partage des documents de la réunion via le site Web du groupe de travail, le Secrétariat ouvrira </w:t>
      </w:r>
      <w:r>
        <w:rPr>
          <w:rFonts w:ascii="Arial" w:hAnsi="Arial" w:cs="Arial"/>
          <w:sz w:val="20"/>
          <w:szCs w:val="20"/>
          <w:lang w:val="fr-FR"/>
        </w:rPr>
        <w:t xml:space="preserve">pour ceux-ci </w:t>
      </w:r>
      <w:r w:rsidRPr="000E7995">
        <w:rPr>
          <w:rFonts w:ascii="Arial" w:hAnsi="Arial" w:cs="Arial"/>
          <w:sz w:val="20"/>
          <w:szCs w:val="20"/>
          <w:lang w:val="fr-FR"/>
        </w:rPr>
        <w:t>une page sur le site de l</w:t>
      </w:r>
      <w:r>
        <w:rPr>
          <w:rFonts w:ascii="Arial" w:hAnsi="Arial" w:cs="Arial"/>
          <w:sz w:val="20"/>
          <w:szCs w:val="20"/>
          <w:lang w:val="fr-FR"/>
        </w:rPr>
        <w:t>’</w:t>
      </w:r>
      <w:r w:rsidRPr="000E7995">
        <w:rPr>
          <w:rFonts w:ascii="Arial" w:hAnsi="Arial" w:cs="Arial"/>
          <w:sz w:val="20"/>
          <w:szCs w:val="20"/>
          <w:lang w:val="fr-FR"/>
        </w:rPr>
        <w:t>AEWA.</w:t>
      </w:r>
      <w:r w:rsidRPr="004B1407">
        <w:rPr>
          <w:rFonts w:ascii="Arial" w:hAnsi="Arial" w:cs="Arial"/>
          <w:sz w:val="20"/>
          <w:szCs w:val="20"/>
          <w:lang w:val="fr-FR"/>
        </w:rPr>
        <w:t xml:space="preserve"> </w:t>
      </w:r>
      <w:r w:rsidRPr="000E7995">
        <w:rPr>
          <w:rFonts w:ascii="Arial" w:hAnsi="Arial" w:cs="Arial"/>
          <w:sz w:val="20"/>
          <w:szCs w:val="20"/>
          <w:lang w:val="fr-FR"/>
        </w:rPr>
        <w:t>Ceux-ci devront être prêts et mis en ligne au plus tard quatre semaines avant la réunion) ;</w:t>
      </w:r>
    </w:p>
    <w:p w14:paraId="1134D52D" w14:textId="77777777" w:rsidR="00886A3C" w:rsidRPr="004B1407" w:rsidRDefault="00886A3C" w:rsidP="00886A3C">
      <w:pPr>
        <w:pStyle w:val="ListParagraph"/>
        <w:numPr>
          <w:ilvl w:val="0"/>
          <w:numId w:val="23"/>
        </w:numPr>
        <w:spacing w:after="0" w:line="240" w:lineRule="auto"/>
        <w:ind w:left="709" w:hanging="283"/>
        <w:jc w:val="both"/>
        <w:rPr>
          <w:rFonts w:ascii="Arial" w:hAnsi="Arial" w:cs="Arial"/>
          <w:sz w:val="20"/>
          <w:szCs w:val="20"/>
          <w:lang w:val="fr-FR"/>
        </w:rPr>
      </w:pPr>
      <w:r w:rsidRPr="00724917">
        <w:rPr>
          <w:rFonts w:ascii="Arial" w:hAnsi="Arial" w:cs="Arial"/>
          <w:sz w:val="20"/>
          <w:szCs w:val="20"/>
          <w:lang w:val="fr-FR"/>
        </w:rPr>
        <w:t>Facilitation de l</w:t>
      </w:r>
      <w:r>
        <w:rPr>
          <w:rFonts w:ascii="Arial" w:hAnsi="Arial" w:cs="Arial"/>
          <w:sz w:val="20"/>
          <w:szCs w:val="20"/>
          <w:lang w:val="fr-FR"/>
        </w:rPr>
        <w:t>’</w:t>
      </w:r>
      <w:r w:rsidRPr="00724917">
        <w:rPr>
          <w:rFonts w:ascii="Arial" w:hAnsi="Arial" w:cs="Arial"/>
          <w:sz w:val="20"/>
          <w:szCs w:val="20"/>
          <w:lang w:val="fr-FR"/>
        </w:rPr>
        <w:t>élaboration du rapport national à l</w:t>
      </w:r>
      <w:r>
        <w:rPr>
          <w:rFonts w:ascii="Arial" w:hAnsi="Arial" w:cs="Arial"/>
          <w:sz w:val="20"/>
          <w:szCs w:val="20"/>
          <w:lang w:val="fr-FR"/>
        </w:rPr>
        <w:t>’</w:t>
      </w:r>
      <w:r w:rsidRPr="00724917">
        <w:rPr>
          <w:rFonts w:ascii="Arial" w:hAnsi="Arial" w:cs="Arial"/>
          <w:sz w:val="20"/>
          <w:szCs w:val="20"/>
          <w:lang w:val="fr-FR"/>
        </w:rPr>
        <w:t>aide du Système de rapport en ligne de la famille de la CMS (si le groupe de travail décide de mettre en place une pratique de rapport national) ;</w:t>
      </w:r>
    </w:p>
    <w:p w14:paraId="32E2D034" w14:textId="77777777" w:rsidR="00886A3C" w:rsidRPr="004B1407" w:rsidRDefault="00886A3C" w:rsidP="00886A3C">
      <w:pPr>
        <w:pStyle w:val="ListParagraph"/>
        <w:numPr>
          <w:ilvl w:val="0"/>
          <w:numId w:val="23"/>
        </w:numPr>
        <w:spacing w:after="0" w:line="240" w:lineRule="auto"/>
        <w:ind w:left="709" w:hanging="283"/>
        <w:jc w:val="both"/>
        <w:rPr>
          <w:rFonts w:ascii="Arial" w:hAnsi="Arial" w:cs="Arial"/>
          <w:sz w:val="20"/>
          <w:szCs w:val="20"/>
          <w:lang w:val="fr-FR"/>
        </w:rPr>
      </w:pPr>
      <w:r w:rsidRPr="00724917">
        <w:rPr>
          <w:rFonts w:ascii="Arial" w:hAnsi="Arial" w:cs="Arial"/>
          <w:sz w:val="20"/>
          <w:szCs w:val="20"/>
          <w:lang w:val="fr-FR"/>
        </w:rPr>
        <w:t>Rapport de réunion et suivi.</w:t>
      </w:r>
    </w:p>
    <w:p w14:paraId="425A1EDA" w14:textId="77777777" w:rsidR="00886A3C" w:rsidRPr="004B1407" w:rsidRDefault="00886A3C" w:rsidP="00886A3C">
      <w:pPr>
        <w:spacing w:after="0" w:line="240" w:lineRule="auto"/>
        <w:jc w:val="both"/>
        <w:rPr>
          <w:rFonts w:ascii="Arial" w:hAnsi="Arial" w:cs="Arial"/>
          <w:sz w:val="20"/>
          <w:szCs w:val="20"/>
          <w:lang w:val="fr-FR"/>
        </w:rPr>
      </w:pPr>
    </w:p>
    <w:p w14:paraId="165E615F" w14:textId="77777777" w:rsidR="00886A3C" w:rsidRPr="004B1407" w:rsidRDefault="00886A3C" w:rsidP="00886A3C">
      <w:pPr>
        <w:spacing w:after="0" w:line="240" w:lineRule="auto"/>
        <w:jc w:val="both"/>
        <w:rPr>
          <w:rFonts w:ascii="Arial" w:hAnsi="Arial" w:cs="Arial"/>
          <w:sz w:val="20"/>
          <w:szCs w:val="20"/>
          <w:lang w:val="fr-FR"/>
        </w:rPr>
      </w:pPr>
    </w:p>
    <w:p w14:paraId="3DCA3AA0" w14:textId="77777777" w:rsidR="00886A3C" w:rsidRPr="004B1407" w:rsidRDefault="00886A3C" w:rsidP="00886A3C">
      <w:pPr>
        <w:spacing w:after="0" w:line="240" w:lineRule="auto"/>
        <w:jc w:val="both"/>
        <w:rPr>
          <w:rFonts w:ascii="Arial" w:hAnsi="Arial" w:cs="Arial"/>
          <w:sz w:val="20"/>
          <w:szCs w:val="20"/>
          <w:lang w:val="fr-FR"/>
        </w:rPr>
      </w:pPr>
    </w:p>
    <w:p w14:paraId="1237E00C" w14:textId="77777777" w:rsidR="00886A3C" w:rsidRPr="004B1407" w:rsidRDefault="00886A3C" w:rsidP="00886A3C">
      <w:pPr>
        <w:spacing w:after="0" w:line="240" w:lineRule="auto"/>
        <w:jc w:val="both"/>
        <w:rPr>
          <w:rFonts w:ascii="Arial" w:hAnsi="Arial" w:cs="Arial"/>
          <w:sz w:val="20"/>
          <w:szCs w:val="20"/>
          <w:lang w:val="fr-FR"/>
        </w:rPr>
      </w:pPr>
      <w:r w:rsidRPr="00724917">
        <w:rPr>
          <w:rFonts w:ascii="Arial" w:hAnsi="Arial" w:cs="Arial"/>
          <w:sz w:val="20"/>
          <w:szCs w:val="20"/>
          <w:lang w:val="fr-FR"/>
        </w:rPr>
        <w:t>Les dates des réunions du groupe de travail devront être déterminées en coordination avec le Secrétariat afin de s</w:t>
      </w:r>
      <w:r>
        <w:rPr>
          <w:rFonts w:ascii="Arial" w:hAnsi="Arial" w:cs="Arial"/>
          <w:sz w:val="20"/>
          <w:szCs w:val="20"/>
          <w:lang w:val="fr-FR"/>
        </w:rPr>
        <w:t>’</w:t>
      </w:r>
      <w:r w:rsidRPr="00724917">
        <w:rPr>
          <w:rFonts w:ascii="Arial" w:hAnsi="Arial" w:cs="Arial"/>
          <w:sz w:val="20"/>
          <w:szCs w:val="20"/>
          <w:lang w:val="fr-FR"/>
        </w:rPr>
        <w:t>assurer de la disponibilité de ce dernier pour préparer la réunion, ainsi que d</w:t>
      </w:r>
      <w:r>
        <w:rPr>
          <w:rFonts w:ascii="Arial" w:hAnsi="Arial" w:cs="Arial"/>
          <w:sz w:val="20"/>
          <w:szCs w:val="20"/>
          <w:lang w:val="fr-FR"/>
        </w:rPr>
        <w:t>’</w:t>
      </w:r>
      <w:r w:rsidRPr="00724917">
        <w:rPr>
          <w:rFonts w:ascii="Arial" w:hAnsi="Arial" w:cs="Arial"/>
          <w:sz w:val="20"/>
          <w:szCs w:val="20"/>
          <w:lang w:val="fr-FR"/>
        </w:rPr>
        <w:t>y assister (le cas échéant).</w:t>
      </w:r>
      <w:r w:rsidRPr="004B1407">
        <w:rPr>
          <w:rFonts w:ascii="Arial" w:hAnsi="Arial" w:cs="Arial"/>
          <w:sz w:val="20"/>
          <w:szCs w:val="20"/>
          <w:lang w:val="fr-FR"/>
        </w:rPr>
        <w:t xml:space="preserve"> </w:t>
      </w:r>
    </w:p>
    <w:p w14:paraId="049AF09F" w14:textId="77777777" w:rsidR="00886A3C" w:rsidRPr="004B1407" w:rsidRDefault="00886A3C" w:rsidP="00886A3C">
      <w:pPr>
        <w:spacing w:after="0" w:line="240" w:lineRule="auto"/>
        <w:jc w:val="both"/>
        <w:rPr>
          <w:rFonts w:ascii="Arial" w:hAnsi="Arial" w:cs="Arial"/>
          <w:sz w:val="20"/>
          <w:szCs w:val="20"/>
          <w:lang w:val="fr-FR"/>
        </w:rPr>
      </w:pPr>
    </w:p>
    <w:p w14:paraId="470DC972" w14:textId="77777777" w:rsidR="00886A3C" w:rsidRPr="004B1407" w:rsidRDefault="00886A3C" w:rsidP="00886A3C">
      <w:pPr>
        <w:spacing w:after="0" w:line="240" w:lineRule="auto"/>
        <w:jc w:val="both"/>
        <w:rPr>
          <w:rFonts w:ascii="Arial" w:hAnsi="Arial" w:cs="Arial"/>
          <w:sz w:val="20"/>
          <w:szCs w:val="20"/>
          <w:lang w:val="fr-FR"/>
        </w:rPr>
      </w:pPr>
      <w:r w:rsidRPr="00724917">
        <w:rPr>
          <w:rFonts w:ascii="Arial" w:hAnsi="Arial" w:cs="Arial"/>
          <w:sz w:val="20"/>
          <w:szCs w:val="20"/>
          <w:lang w:val="fr-FR"/>
        </w:rPr>
        <w:t xml:space="preserve">Lors de sa première </w:t>
      </w:r>
      <w:r>
        <w:rPr>
          <w:rFonts w:ascii="Arial" w:hAnsi="Arial" w:cs="Arial"/>
          <w:sz w:val="20"/>
          <w:szCs w:val="20"/>
          <w:lang w:val="fr-FR"/>
        </w:rPr>
        <w:t>session</w:t>
      </w:r>
      <w:r w:rsidRPr="00724917">
        <w:rPr>
          <w:rFonts w:ascii="Arial" w:hAnsi="Arial" w:cs="Arial"/>
          <w:sz w:val="20"/>
          <w:szCs w:val="20"/>
          <w:lang w:val="fr-FR"/>
        </w:rPr>
        <w:t>, le groupe de travail décidera de la fréquence de</w:t>
      </w:r>
      <w:r>
        <w:rPr>
          <w:rFonts w:ascii="Arial" w:hAnsi="Arial" w:cs="Arial"/>
          <w:sz w:val="20"/>
          <w:szCs w:val="20"/>
          <w:lang w:val="fr-FR"/>
        </w:rPr>
        <w:t xml:space="preserve">s réunions. Celle-ci </w:t>
      </w:r>
      <w:r w:rsidRPr="00724917">
        <w:rPr>
          <w:rFonts w:ascii="Arial" w:hAnsi="Arial" w:cs="Arial"/>
          <w:sz w:val="20"/>
          <w:szCs w:val="20"/>
          <w:lang w:val="fr-FR"/>
        </w:rPr>
        <w:t>dépend essentiellement des fonds disponibles.</w:t>
      </w:r>
      <w:r w:rsidRPr="004B1407">
        <w:rPr>
          <w:rFonts w:ascii="Arial" w:hAnsi="Arial" w:cs="Arial"/>
          <w:sz w:val="20"/>
          <w:szCs w:val="20"/>
          <w:lang w:val="fr-FR"/>
        </w:rPr>
        <w:t xml:space="preserve"> </w:t>
      </w:r>
      <w:r w:rsidRPr="00724917">
        <w:rPr>
          <w:rFonts w:ascii="Arial" w:hAnsi="Arial" w:cs="Arial"/>
          <w:sz w:val="20"/>
          <w:szCs w:val="20"/>
          <w:lang w:val="fr-FR"/>
        </w:rPr>
        <w:t>La plupart des groupes de travail essaie d</w:t>
      </w:r>
      <w:r>
        <w:rPr>
          <w:rFonts w:ascii="Arial" w:hAnsi="Arial" w:cs="Arial"/>
          <w:sz w:val="20"/>
          <w:szCs w:val="20"/>
          <w:lang w:val="fr-FR"/>
        </w:rPr>
        <w:t>’</w:t>
      </w:r>
      <w:r w:rsidRPr="00724917">
        <w:rPr>
          <w:rFonts w:ascii="Arial" w:hAnsi="Arial" w:cs="Arial"/>
          <w:sz w:val="20"/>
          <w:szCs w:val="20"/>
          <w:lang w:val="fr-FR"/>
        </w:rPr>
        <w:t>organiser une réunion en face à face tous les trois ans.</w:t>
      </w:r>
      <w:r w:rsidRPr="004B1407">
        <w:rPr>
          <w:rFonts w:ascii="Arial" w:hAnsi="Arial" w:cs="Arial"/>
          <w:sz w:val="20"/>
          <w:szCs w:val="20"/>
          <w:lang w:val="fr-FR"/>
        </w:rPr>
        <w:t xml:space="preserve"> </w:t>
      </w:r>
      <w:r w:rsidRPr="001D6F11">
        <w:rPr>
          <w:rFonts w:ascii="Arial" w:hAnsi="Arial" w:cs="Arial"/>
          <w:sz w:val="20"/>
          <w:szCs w:val="20"/>
          <w:lang w:val="fr-FR"/>
        </w:rPr>
        <w:t>Afin de limiter les coûts de réunion (tout particulièrement dans le cas des très grands groupes de travail) les coordinateurs peuvent envisager la possibilité d</w:t>
      </w:r>
      <w:r>
        <w:rPr>
          <w:rFonts w:ascii="Arial" w:hAnsi="Arial" w:cs="Arial"/>
          <w:sz w:val="20"/>
          <w:szCs w:val="20"/>
          <w:lang w:val="fr-FR"/>
        </w:rPr>
        <w:t>’</w:t>
      </w:r>
      <w:r w:rsidRPr="001D6F11">
        <w:rPr>
          <w:rFonts w:ascii="Arial" w:hAnsi="Arial" w:cs="Arial"/>
          <w:sz w:val="20"/>
          <w:szCs w:val="20"/>
          <w:lang w:val="fr-FR"/>
        </w:rPr>
        <w:t>organiser des réunions régionales avec un plus petit nombre d</w:t>
      </w:r>
      <w:r>
        <w:rPr>
          <w:rFonts w:ascii="Arial" w:hAnsi="Arial" w:cs="Arial"/>
          <w:sz w:val="20"/>
          <w:szCs w:val="20"/>
          <w:lang w:val="fr-FR"/>
        </w:rPr>
        <w:t>’</w:t>
      </w:r>
      <w:r w:rsidRPr="001D6F11">
        <w:rPr>
          <w:rFonts w:ascii="Arial" w:hAnsi="Arial" w:cs="Arial"/>
          <w:sz w:val="20"/>
          <w:szCs w:val="20"/>
          <w:lang w:val="fr-FR"/>
        </w:rPr>
        <w:t>États de l</w:t>
      </w:r>
      <w:r>
        <w:rPr>
          <w:rFonts w:ascii="Arial" w:hAnsi="Arial" w:cs="Arial"/>
          <w:sz w:val="20"/>
          <w:szCs w:val="20"/>
          <w:lang w:val="fr-FR"/>
        </w:rPr>
        <w:t>’</w:t>
      </w:r>
      <w:r w:rsidRPr="001D6F11">
        <w:rPr>
          <w:rFonts w:ascii="Arial" w:hAnsi="Arial" w:cs="Arial"/>
          <w:sz w:val="20"/>
          <w:szCs w:val="20"/>
          <w:lang w:val="fr-FR"/>
        </w:rPr>
        <w:t>aire de répartition,</w:t>
      </w:r>
      <w:r>
        <w:rPr>
          <w:rFonts w:ascii="Arial" w:hAnsi="Arial" w:cs="Arial"/>
          <w:sz w:val="20"/>
          <w:szCs w:val="20"/>
          <w:lang w:val="fr-FR"/>
        </w:rPr>
        <w:t xml:space="preserve"> </w:t>
      </w:r>
      <w:r w:rsidRPr="001D6F11">
        <w:rPr>
          <w:rFonts w:ascii="Arial" w:hAnsi="Arial" w:cs="Arial"/>
          <w:sz w:val="20"/>
          <w:szCs w:val="20"/>
          <w:lang w:val="fr-FR"/>
        </w:rPr>
        <w:t>ainsi que celle d</w:t>
      </w:r>
      <w:r>
        <w:rPr>
          <w:rFonts w:ascii="Arial" w:hAnsi="Arial" w:cs="Arial"/>
          <w:sz w:val="20"/>
          <w:szCs w:val="20"/>
          <w:lang w:val="fr-FR"/>
        </w:rPr>
        <w:t>’</w:t>
      </w:r>
      <w:r w:rsidRPr="001D6F11">
        <w:rPr>
          <w:rFonts w:ascii="Arial" w:hAnsi="Arial" w:cs="Arial"/>
          <w:sz w:val="20"/>
          <w:szCs w:val="20"/>
          <w:lang w:val="fr-FR"/>
        </w:rPr>
        <w:t>organiser, s</w:t>
      </w:r>
      <w:r>
        <w:rPr>
          <w:rFonts w:ascii="Arial" w:hAnsi="Arial" w:cs="Arial"/>
          <w:sz w:val="20"/>
          <w:szCs w:val="20"/>
          <w:lang w:val="fr-FR"/>
        </w:rPr>
        <w:t>’</w:t>
      </w:r>
      <w:r w:rsidRPr="001D6F11">
        <w:rPr>
          <w:rFonts w:ascii="Arial" w:hAnsi="Arial" w:cs="Arial"/>
          <w:sz w:val="20"/>
          <w:szCs w:val="20"/>
          <w:lang w:val="fr-FR"/>
        </w:rPr>
        <w:t>il y a lieu, des réunions de groupe de travail en ligne.</w:t>
      </w:r>
    </w:p>
    <w:p w14:paraId="76F5F167" w14:textId="77777777" w:rsidR="00886A3C" w:rsidRPr="004B1407" w:rsidRDefault="00886A3C" w:rsidP="00886A3C">
      <w:pPr>
        <w:spacing w:after="0" w:line="240" w:lineRule="auto"/>
        <w:jc w:val="both"/>
        <w:rPr>
          <w:rFonts w:ascii="Arial" w:hAnsi="Arial" w:cs="Arial"/>
          <w:sz w:val="20"/>
          <w:szCs w:val="20"/>
          <w:lang w:val="fr-FR"/>
        </w:rPr>
      </w:pPr>
    </w:p>
    <w:p w14:paraId="543AF833"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886A3C" w:rsidRPr="00DE4CF4" w14:paraId="3A8CFCA4" w14:textId="77777777" w:rsidTr="00886A3C">
        <w:tc>
          <w:tcPr>
            <w:tcW w:w="9576" w:type="dxa"/>
          </w:tcPr>
          <w:p w14:paraId="75509910" w14:textId="77777777" w:rsidR="00886A3C" w:rsidRPr="004B1407" w:rsidRDefault="00886A3C" w:rsidP="00886A3C">
            <w:pPr>
              <w:jc w:val="both"/>
              <w:rPr>
                <w:rFonts w:ascii="Arial" w:hAnsi="Arial" w:cs="Arial"/>
                <w:b/>
                <w:i/>
                <w:color w:val="FF0000"/>
                <w:sz w:val="16"/>
                <w:szCs w:val="16"/>
                <w:lang w:val="fr-FR"/>
              </w:rPr>
            </w:pPr>
          </w:p>
          <w:p w14:paraId="300CE12A" w14:textId="77777777" w:rsidR="00886A3C" w:rsidRPr="00C87FEC" w:rsidRDefault="00886A3C" w:rsidP="00886A3C">
            <w:pPr>
              <w:jc w:val="both"/>
              <w:rPr>
                <w:rFonts w:ascii="Arial" w:hAnsi="Arial" w:cs="Arial"/>
                <w:b/>
                <w:i/>
                <w:color w:val="0070C0"/>
                <w:sz w:val="20"/>
                <w:szCs w:val="20"/>
                <w:lang w:val="en-GB"/>
              </w:rPr>
            </w:pPr>
            <w:r>
              <w:rPr>
                <w:rFonts w:ascii="Arial" w:hAnsi="Arial" w:cs="Arial"/>
                <w:b/>
                <w:i/>
                <w:color w:val="0070C0"/>
                <w:sz w:val="20"/>
                <w:szCs w:val="20"/>
                <w:lang w:val="fr-FR"/>
              </w:rPr>
              <w:t>ACTIVITÉS</w:t>
            </w:r>
            <w:r w:rsidRPr="001D6F11">
              <w:rPr>
                <w:rFonts w:ascii="Arial" w:hAnsi="Arial" w:cs="Arial"/>
                <w:b/>
                <w:i/>
                <w:color w:val="0070C0"/>
                <w:sz w:val="20"/>
                <w:szCs w:val="20"/>
                <w:lang w:val="fr-FR"/>
              </w:rPr>
              <w:t xml:space="preserve"> PRINCIPALES :</w:t>
            </w:r>
          </w:p>
          <w:p w14:paraId="7926E6E4" w14:textId="77777777" w:rsidR="00886A3C" w:rsidRPr="002369DC" w:rsidRDefault="00886A3C" w:rsidP="00886A3C">
            <w:pPr>
              <w:jc w:val="both"/>
              <w:rPr>
                <w:rFonts w:ascii="Arial" w:hAnsi="Arial" w:cs="Arial"/>
                <w:sz w:val="20"/>
                <w:szCs w:val="20"/>
                <w:lang w:val="en-GB"/>
              </w:rPr>
            </w:pPr>
          </w:p>
          <w:p w14:paraId="6474A27A" w14:textId="77777777" w:rsidR="00886A3C" w:rsidRPr="004B1407" w:rsidRDefault="00886A3C" w:rsidP="00886A3C">
            <w:pPr>
              <w:pStyle w:val="ListParagraph"/>
              <w:numPr>
                <w:ilvl w:val="0"/>
                <w:numId w:val="19"/>
              </w:numPr>
              <w:ind w:left="0"/>
              <w:jc w:val="both"/>
              <w:rPr>
                <w:rFonts w:ascii="Arial" w:hAnsi="Arial" w:cs="Arial"/>
                <w:i/>
                <w:sz w:val="20"/>
                <w:szCs w:val="20"/>
                <w:lang w:val="fr-FR"/>
              </w:rPr>
            </w:pPr>
            <w:r w:rsidRPr="001D6F11">
              <w:rPr>
                <w:rFonts w:ascii="Arial" w:hAnsi="Arial" w:cs="Arial"/>
                <w:i/>
                <w:sz w:val="20"/>
                <w:szCs w:val="20"/>
                <w:lang w:val="fr-FR"/>
              </w:rPr>
              <w:t>Une fois qu</w:t>
            </w:r>
            <w:r>
              <w:rPr>
                <w:rFonts w:ascii="Arial" w:hAnsi="Arial" w:cs="Arial"/>
                <w:i/>
                <w:sz w:val="20"/>
                <w:szCs w:val="20"/>
                <w:lang w:val="fr-FR"/>
              </w:rPr>
              <w:t>’</w:t>
            </w:r>
            <w:r w:rsidRPr="001D6F11">
              <w:rPr>
                <w:rFonts w:ascii="Arial" w:hAnsi="Arial" w:cs="Arial"/>
                <w:i/>
                <w:sz w:val="20"/>
                <w:szCs w:val="20"/>
                <w:lang w:val="fr-FR"/>
              </w:rPr>
              <w:t>un</w:t>
            </w:r>
            <w:r>
              <w:rPr>
                <w:rFonts w:ascii="Arial" w:hAnsi="Arial" w:cs="Arial"/>
                <w:i/>
                <w:sz w:val="20"/>
                <w:szCs w:val="20"/>
                <w:lang w:val="fr-FR"/>
              </w:rPr>
              <w:t xml:space="preserve"> nombre suffisant </w:t>
            </w:r>
            <w:r w:rsidRPr="001D6F11">
              <w:rPr>
                <w:rFonts w:ascii="Arial" w:hAnsi="Arial" w:cs="Arial"/>
                <w:i/>
                <w:sz w:val="20"/>
                <w:szCs w:val="20"/>
                <w:lang w:val="fr-FR"/>
              </w:rPr>
              <w:t>d</w:t>
            </w:r>
            <w:r>
              <w:rPr>
                <w:rFonts w:ascii="Arial" w:hAnsi="Arial" w:cs="Arial"/>
                <w:i/>
                <w:sz w:val="20"/>
                <w:szCs w:val="20"/>
                <w:lang w:val="fr-FR"/>
              </w:rPr>
              <w:t>’</w:t>
            </w:r>
            <w:r w:rsidRPr="001D6F11">
              <w:rPr>
                <w:rFonts w:ascii="Arial" w:hAnsi="Arial" w:cs="Arial"/>
                <w:i/>
                <w:sz w:val="20"/>
                <w:szCs w:val="20"/>
                <w:lang w:val="fr-FR"/>
              </w:rPr>
              <w:t>États de l</w:t>
            </w:r>
            <w:r>
              <w:rPr>
                <w:rFonts w:ascii="Arial" w:hAnsi="Arial" w:cs="Arial"/>
                <w:i/>
                <w:sz w:val="20"/>
                <w:szCs w:val="20"/>
                <w:lang w:val="fr-FR"/>
              </w:rPr>
              <w:t>’</w:t>
            </w:r>
            <w:r w:rsidRPr="001D6F11">
              <w:rPr>
                <w:rFonts w:ascii="Arial" w:hAnsi="Arial" w:cs="Arial"/>
                <w:i/>
                <w:sz w:val="20"/>
                <w:szCs w:val="20"/>
                <w:lang w:val="fr-FR"/>
              </w:rPr>
              <w:t>aire de répartition a nommé des représentants auprès du groupe, se concerter avec le Secrétariat au sujet de la première réunion de l</w:t>
            </w:r>
            <w:r>
              <w:rPr>
                <w:rFonts w:ascii="Arial" w:hAnsi="Arial" w:cs="Arial"/>
                <w:i/>
                <w:sz w:val="20"/>
                <w:szCs w:val="20"/>
                <w:lang w:val="fr-FR"/>
              </w:rPr>
              <w:t>’</w:t>
            </w:r>
            <w:r w:rsidRPr="001D6F11">
              <w:rPr>
                <w:rFonts w:ascii="Arial" w:hAnsi="Arial" w:cs="Arial"/>
                <w:i/>
                <w:sz w:val="20"/>
                <w:szCs w:val="20"/>
                <w:lang w:val="fr-FR"/>
              </w:rPr>
              <w:t>ISWG et le</w:t>
            </w:r>
            <w:r>
              <w:rPr>
                <w:rFonts w:ascii="Arial" w:hAnsi="Arial" w:cs="Arial"/>
                <w:i/>
                <w:sz w:val="20"/>
                <w:szCs w:val="20"/>
                <w:lang w:val="fr-FR"/>
              </w:rPr>
              <w:t xml:space="preserve"> lancement du</w:t>
            </w:r>
            <w:r w:rsidRPr="001D6F11">
              <w:rPr>
                <w:rFonts w:ascii="Arial" w:hAnsi="Arial" w:cs="Arial"/>
                <w:i/>
                <w:sz w:val="20"/>
                <w:szCs w:val="20"/>
                <w:lang w:val="fr-FR"/>
              </w:rPr>
              <w:t xml:space="preserve"> recueil de fonds (le cas échéant), y compris </w:t>
            </w:r>
            <w:r>
              <w:rPr>
                <w:rFonts w:ascii="Arial" w:hAnsi="Arial" w:cs="Arial"/>
                <w:i/>
                <w:sz w:val="20"/>
                <w:szCs w:val="20"/>
                <w:lang w:val="fr-FR"/>
              </w:rPr>
              <w:t>la prise de</w:t>
            </w:r>
            <w:r w:rsidRPr="001D6F11">
              <w:rPr>
                <w:rFonts w:ascii="Arial" w:hAnsi="Arial" w:cs="Arial"/>
                <w:i/>
                <w:sz w:val="20"/>
                <w:szCs w:val="20"/>
                <w:lang w:val="fr-FR"/>
              </w:rPr>
              <w:t xml:space="preserve"> contact avec des pays d</w:t>
            </w:r>
            <w:r>
              <w:rPr>
                <w:rFonts w:ascii="Arial" w:hAnsi="Arial" w:cs="Arial"/>
                <w:i/>
                <w:sz w:val="20"/>
                <w:szCs w:val="20"/>
                <w:lang w:val="fr-FR"/>
              </w:rPr>
              <w:t>’</w:t>
            </w:r>
            <w:r w:rsidRPr="001D6F11">
              <w:rPr>
                <w:rFonts w:ascii="Arial" w:hAnsi="Arial" w:cs="Arial"/>
                <w:i/>
                <w:sz w:val="20"/>
                <w:szCs w:val="20"/>
                <w:lang w:val="fr-FR"/>
              </w:rPr>
              <w:t>accueil éventuels</w:t>
            </w:r>
            <w:r>
              <w:rPr>
                <w:rFonts w:ascii="Arial" w:hAnsi="Arial" w:cs="Arial"/>
                <w:i/>
                <w:sz w:val="20"/>
                <w:szCs w:val="20"/>
                <w:lang w:val="fr-FR"/>
              </w:rPr>
              <w:t> </w:t>
            </w:r>
            <w:r w:rsidRPr="001D6F11">
              <w:rPr>
                <w:rFonts w:ascii="Arial" w:hAnsi="Arial" w:cs="Arial"/>
                <w:i/>
                <w:sz w:val="20"/>
                <w:szCs w:val="20"/>
                <w:lang w:val="fr-FR"/>
              </w:rPr>
              <w:t>;</w:t>
            </w:r>
          </w:p>
          <w:p w14:paraId="698A00A7" w14:textId="77777777" w:rsidR="00886A3C" w:rsidRPr="004B1407" w:rsidRDefault="00886A3C" w:rsidP="00886A3C">
            <w:pPr>
              <w:pStyle w:val="ListParagraph"/>
              <w:numPr>
                <w:ilvl w:val="0"/>
                <w:numId w:val="19"/>
              </w:numPr>
              <w:ind w:left="0"/>
              <w:jc w:val="both"/>
              <w:rPr>
                <w:rFonts w:ascii="Arial" w:hAnsi="Arial" w:cs="Arial"/>
                <w:i/>
                <w:sz w:val="20"/>
                <w:szCs w:val="20"/>
                <w:lang w:val="fr-FR"/>
              </w:rPr>
            </w:pPr>
            <w:r w:rsidRPr="001D6F11">
              <w:rPr>
                <w:rFonts w:ascii="Arial" w:hAnsi="Arial" w:cs="Arial"/>
                <w:i/>
                <w:sz w:val="20"/>
                <w:szCs w:val="20"/>
                <w:lang w:val="fr-FR"/>
              </w:rPr>
              <w:t>Préparer la réunion conformément à la description ci-dessus</w:t>
            </w:r>
            <w:r>
              <w:rPr>
                <w:rFonts w:ascii="Arial" w:hAnsi="Arial" w:cs="Arial"/>
                <w:i/>
                <w:sz w:val="20"/>
                <w:szCs w:val="20"/>
                <w:lang w:val="fr-FR"/>
              </w:rPr>
              <w:t> </w:t>
            </w:r>
            <w:r w:rsidRPr="001D6F11">
              <w:rPr>
                <w:rFonts w:ascii="Arial" w:hAnsi="Arial" w:cs="Arial"/>
                <w:i/>
                <w:sz w:val="20"/>
                <w:szCs w:val="20"/>
                <w:lang w:val="fr-FR"/>
              </w:rPr>
              <w:t>;</w:t>
            </w:r>
          </w:p>
          <w:p w14:paraId="6E47FACE" w14:textId="77777777" w:rsidR="00886A3C" w:rsidRPr="004B1407" w:rsidRDefault="00886A3C" w:rsidP="00886A3C">
            <w:pPr>
              <w:pStyle w:val="ListParagraph"/>
              <w:numPr>
                <w:ilvl w:val="0"/>
                <w:numId w:val="19"/>
              </w:numPr>
              <w:ind w:left="0"/>
              <w:jc w:val="both"/>
              <w:rPr>
                <w:rFonts w:ascii="Arial" w:hAnsi="Arial" w:cs="Arial"/>
                <w:i/>
                <w:sz w:val="20"/>
                <w:szCs w:val="20"/>
                <w:lang w:val="fr-FR"/>
              </w:rPr>
            </w:pPr>
            <w:r w:rsidRPr="001D6F11">
              <w:rPr>
                <w:rFonts w:ascii="Arial" w:hAnsi="Arial" w:cs="Arial"/>
                <w:i/>
                <w:sz w:val="20"/>
                <w:szCs w:val="20"/>
                <w:lang w:val="fr-FR"/>
              </w:rPr>
              <w:lastRenderedPageBreak/>
              <w:t>Faciliter la réunion de l</w:t>
            </w:r>
            <w:r>
              <w:rPr>
                <w:rFonts w:ascii="Arial" w:hAnsi="Arial" w:cs="Arial"/>
                <w:i/>
                <w:sz w:val="20"/>
                <w:szCs w:val="20"/>
                <w:lang w:val="fr-FR"/>
              </w:rPr>
              <w:t>’</w:t>
            </w:r>
            <w:r w:rsidRPr="001D6F11">
              <w:rPr>
                <w:rFonts w:ascii="Arial" w:hAnsi="Arial" w:cs="Arial"/>
                <w:i/>
                <w:sz w:val="20"/>
                <w:szCs w:val="20"/>
                <w:lang w:val="fr-FR"/>
              </w:rPr>
              <w:t xml:space="preserve">ISWG en collaboration avec le président </w:t>
            </w:r>
            <w:r>
              <w:rPr>
                <w:rFonts w:ascii="Arial" w:hAnsi="Arial" w:cs="Arial"/>
                <w:i/>
                <w:sz w:val="20"/>
                <w:szCs w:val="20"/>
                <w:lang w:val="fr-FR"/>
              </w:rPr>
              <w:t>élu (</w:t>
            </w:r>
            <w:r w:rsidRPr="001D6F11">
              <w:rPr>
                <w:rFonts w:ascii="Arial" w:hAnsi="Arial" w:cs="Arial"/>
                <w:i/>
                <w:sz w:val="20"/>
                <w:szCs w:val="20"/>
                <w:lang w:val="fr-FR"/>
              </w:rPr>
              <w:t>et</w:t>
            </w:r>
            <w:r>
              <w:rPr>
                <w:rFonts w:ascii="Arial" w:hAnsi="Arial" w:cs="Arial"/>
                <w:i/>
                <w:sz w:val="20"/>
                <w:szCs w:val="20"/>
                <w:lang w:val="fr-FR"/>
              </w:rPr>
              <w:t>,</w:t>
            </w:r>
            <w:r w:rsidRPr="001D6F11">
              <w:rPr>
                <w:rFonts w:ascii="Arial" w:hAnsi="Arial" w:cs="Arial"/>
                <w:i/>
                <w:sz w:val="20"/>
                <w:szCs w:val="20"/>
                <w:lang w:val="fr-FR"/>
              </w:rPr>
              <w:t xml:space="preserve"> s</w:t>
            </w:r>
            <w:r>
              <w:rPr>
                <w:rFonts w:ascii="Arial" w:hAnsi="Arial" w:cs="Arial"/>
                <w:i/>
                <w:sz w:val="20"/>
                <w:szCs w:val="20"/>
                <w:lang w:val="fr-FR"/>
              </w:rPr>
              <w:t>’</w:t>
            </w:r>
            <w:r w:rsidRPr="001D6F11">
              <w:rPr>
                <w:rFonts w:ascii="Arial" w:hAnsi="Arial" w:cs="Arial"/>
                <w:i/>
                <w:sz w:val="20"/>
                <w:szCs w:val="20"/>
                <w:lang w:val="fr-FR"/>
              </w:rPr>
              <w:t>il y a lieu</w:t>
            </w:r>
            <w:r>
              <w:rPr>
                <w:rFonts w:ascii="Arial" w:hAnsi="Arial" w:cs="Arial"/>
                <w:i/>
                <w:sz w:val="20"/>
                <w:szCs w:val="20"/>
                <w:lang w:val="fr-FR"/>
              </w:rPr>
              <w:t>,</w:t>
            </w:r>
            <w:r w:rsidRPr="001D6F11">
              <w:rPr>
                <w:rFonts w:ascii="Arial" w:hAnsi="Arial" w:cs="Arial"/>
                <w:i/>
                <w:sz w:val="20"/>
                <w:szCs w:val="20"/>
                <w:lang w:val="fr-FR"/>
              </w:rPr>
              <w:t xml:space="preserve"> avec le Secrétariat PNUE/AEWA) ;</w:t>
            </w:r>
          </w:p>
          <w:p w14:paraId="5A6D9F81" w14:textId="77777777" w:rsidR="00886A3C" w:rsidRPr="004B1407" w:rsidRDefault="00886A3C" w:rsidP="00886A3C">
            <w:pPr>
              <w:pStyle w:val="ListParagraph"/>
              <w:numPr>
                <w:ilvl w:val="0"/>
                <w:numId w:val="20"/>
              </w:numPr>
              <w:ind w:left="0" w:hanging="284"/>
              <w:jc w:val="both"/>
              <w:rPr>
                <w:rFonts w:ascii="Arial" w:hAnsi="Arial" w:cs="Arial"/>
                <w:sz w:val="16"/>
                <w:szCs w:val="16"/>
                <w:lang w:val="fr-FR"/>
              </w:rPr>
            </w:pPr>
            <w:r w:rsidRPr="004B1407">
              <w:rPr>
                <w:rFonts w:ascii="Arial" w:hAnsi="Arial" w:cs="Arial"/>
                <w:i/>
                <w:sz w:val="20"/>
                <w:szCs w:val="20"/>
                <w:lang w:val="fr-FR"/>
              </w:rPr>
              <w:t xml:space="preserve"> </w:t>
            </w:r>
            <w:r w:rsidRPr="001D6F11">
              <w:rPr>
                <w:rFonts w:ascii="Arial" w:hAnsi="Arial" w:cs="Arial"/>
                <w:i/>
                <w:sz w:val="20"/>
                <w:szCs w:val="20"/>
                <w:lang w:val="fr-FR"/>
              </w:rPr>
              <w:t>Assurer le suivi des décisions et des tâches de la réunion.</w:t>
            </w:r>
          </w:p>
        </w:tc>
      </w:tr>
    </w:tbl>
    <w:p w14:paraId="4DC5052E" w14:textId="77777777" w:rsidR="00886A3C" w:rsidRPr="004B1407" w:rsidRDefault="00886A3C" w:rsidP="00886A3C">
      <w:pPr>
        <w:spacing w:after="0" w:line="240" w:lineRule="auto"/>
        <w:rPr>
          <w:rFonts w:ascii="Arial" w:hAnsi="Arial" w:cs="Arial"/>
          <w:b/>
          <w:color w:val="F79646" w:themeColor="accent6"/>
          <w:sz w:val="20"/>
          <w:szCs w:val="20"/>
          <w:lang w:val="fr-FR"/>
        </w:rPr>
      </w:pPr>
    </w:p>
    <w:p w14:paraId="1A649B3E" w14:textId="77777777" w:rsidR="00886A3C" w:rsidRPr="004B1407" w:rsidRDefault="00886A3C" w:rsidP="00886A3C">
      <w:pPr>
        <w:spacing w:after="0" w:line="240" w:lineRule="auto"/>
        <w:rPr>
          <w:rFonts w:ascii="Arial" w:hAnsi="Arial" w:cs="Arial"/>
          <w:b/>
          <w:i/>
          <w:color w:val="0070C0"/>
          <w:sz w:val="20"/>
          <w:szCs w:val="20"/>
          <w:lang w:val="fr-FR"/>
        </w:rPr>
      </w:pPr>
      <w:r w:rsidRPr="001D6F11">
        <w:rPr>
          <w:rFonts w:ascii="Arial" w:hAnsi="Arial" w:cs="Arial"/>
          <w:b/>
          <w:color w:val="F79646" w:themeColor="accent6"/>
          <w:sz w:val="20"/>
          <w:szCs w:val="20"/>
          <w:lang w:val="fr-FR"/>
        </w:rPr>
        <w:t xml:space="preserve">4.3 Mettre en place et faciliter </w:t>
      </w:r>
      <w:r>
        <w:rPr>
          <w:rFonts w:ascii="Arial" w:hAnsi="Arial" w:cs="Arial"/>
          <w:b/>
          <w:color w:val="F79646" w:themeColor="accent6"/>
          <w:sz w:val="20"/>
          <w:szCs w:val="20"/>
          <w:lang w:val="fr-FR"/>
        </w:rPr>
        <w:t>un</w:t>
      </w:r>
      <w:r w:rsidRPr="001D6F11">
        <w:rPr>
          <w:rFonts w:ascii="Arial" w:hAnsi="Arial" w:cs="Arial"/>
          <w:b/>
          <w:color w:val="F79646" w:themeColor="accent6"/>
          <w:sz w:val="20"/>
          <w:szCs w:val="20"/>
          <w:lang w:val="fr-FR"/>
        </w:rPr>
        <w:t xml:space="preserve"> site Web et un espace de travail interne</w:t>
      </w:r>
      <w:r w:rsidRPr="001D6F11">
        <w:rPr>
          <w:rFonts w:ascii="Arial" w:hAnsi="Arial" w:cs="Arial"/>
          <w:color w:val="F79646" w:themeColor="accent6"/>
          <w:sz w:val="20"/>
          <w:szCs w:val="20"/>
          <w:lang w:val="fr-FR"/>
        </w:rPr>
        <w:t xml:space="preserve"> </w:t>
      </w:r>
      <w:r w:rsidRPr="001D6F11">
        <w:rPr>
          <w:rFonts w:ascii="Arial" w:hAnsi="Arial" w:cs="Arial"/>
          <w:b/>
          <w:i/>
          <w:color w:val="0070C0"/>
          <w:sz w:val="20"/>
          <w:szCs w:val="20"/>
          <w:lang w:val="fr-FR"/>
        </w:rPr>
        <w:t>(essentiel)</w:t>
      </w:r>
    </w:p>
    <w:p w14:paraId="20A451B9" w14:textId="77777777" w:rsidR="00886A3C" w:rsidRPr="004B1407" w:rsidRDefault="00886A3C" w:rsidP="00886A3C">
      <w:pPr>
        <w:spacing w:after="0" w:line="240" w:lineRule="auto"/>
        <w:rPr>
          <w:rFonts w:ascii="Arial" w:hAnsi="Arial" w:cs="Arial"/>
          <w:sz w:val="20"/>
          <w:szCs w:val="20"/>
          <w:lang w:val="fr-FR"/>
        </w:rPr>
      </w:pPr>
    </w:p>
    <w:p w14:paraId="5ADFE286" w14:textId="77777777" w:rsidR="00886A3C" w:rsidRPr="004B1407" w:rsidRDefault="00886A3C" w:rsidP="00886A3C">
      <w:pPr>
        <w:spacing w:after="0" w:line="240" w:lineRule="auto"/>
        <w:jc w:val="both"/>
        <w:rPr>
          <w:rFonts w:ascii="Arial" w:hAnsi="Arial" w:cs="Arial"/>
          <w:sz w:val="20"/>
          <w:szCs w:val="20"/>
          <w:lang w:val="fr-FR"/>
        </w:rPr>
      </w:pPr>
      <w:r w:rsidRPr="001D6F11">
        <w:rPr>
          <w:rFonts w:ascii="Arial" w:hAnsi="Arial" w:cs="Arial"/>
          <w:sz w:val="20"/>
          <w:szCs w:val="20"/>
          <w:lang w:val="fr-FR"/>
        </w:rPr>
        <w:t xml:space="preserve">Le Secrétariat PNUE/AEWA a développé </w:t>
      </w:r>
      <w:r>
        <w:rPr>
          <w:rFonts w:ascii="Arial" w:hAnsi="Arial" w:cs="Arial"/>
          <w:sz w:val="20"/>
          <w:szCs w:val="20"/>
          <w:lang w:val="fr-FR"/>
        </w:rPr>
        <w:t xml:space="preserve">un gabarit </w:t>
      </w:r>
      <w:r w:rsidRPr="001D6F11">
        <w:rPr>
          <w:rFonts w:ascii="Arial" w:hAnsi="Arial" w:cs="Arial"/>
          <w:sz w:val="20"/>
          <w:szCs w:val="20"/>
          <w:lang w:val="fr-FR"/>
        </w:rPr>
        <w:t>de gestion de contenu Drupal pour les sites Web des ISWG.</w:t>
      </w:r>
      <w:r w:rsidRPr="004B1407">
        <w:rPr>
          <w:rFonts w:ascii="Arial" w:hAnsi="Arial" w:cs="Arial"/>
          <w:sz w:val="20"/>
          <w:szCs w:val="20"/>
          <w:lang w:val="fr-FR"/>
        </w:rPr>
        <w:t xml:space="preserve"> </w:t>
      </w:r>
      <w:r w:rsidRPr="001D6F11">
        <w:rPr>
          <w:rFonts w:ascii="Arial" w:hAnsi="Arial" w:cs="Arial"/>
          <w:sz w:val="20"/>
          <w:szCs w:val="20"/>
          <w:lang w:val="fr-FR"/>
        </w:rPr>
        <w:t>Le</w:t>
      </w:r>
      <w:r>
        <w:rPr>
          <w:rFonts w:ascii="Arial" w:hAnsi="Arial" w:cs="Arial"/>
          <w:sz w:val="20"/>
          <w:szCs w:val="20"/>
          <w:lang w:val="fr-FR"/>
        </w:rPr>
        <w:t xml:space="preserve"> gabarit</w:t>
      </w:r>
      <w:r w:rsidRPr="001D6F11">
        <w:rPr>
          <w:rFonts w:ascii="Arial" w:hAnsi="Arial" w:cs="Arial"/>
          <w:sz w:val="20"/>
          <w:szCs w:val="20"/>
          <w:lang w:val="fr-FR"/>
        </w:rPr>
        <w:t xml:space="preserve"> inclu</w:t>
      </w:r>
      <w:r>
        <w:rPr>
          <w:rFonts w:ascii="Arial" w:hAnsi="Arial" w:cs="Arial"/>
          <w:sz w:val="20"/>
          <w:szCs w:val="20"/>
          <w:lang w:val="fr-FR"/>
        </w:rPr>
        <w:t>t</w:t>
      </w:r>
      <w:r w:rsidRPr="001D6F11">
        <w:rPr>
          <w:rFonts w:ascii="Arial" w:hAnsi="Arial" w:cs="Arial"/>
          <w:sz w:val="20"/>
          <w:szCs w:val="20"/>
          <w:lang w:val="fr-FR"/>
        </w:rPr>
        <w:t xml:space="preserve"> un site Web externe présent</w:t>
      </w:r>
      <w:r>
        <w:rPr>
          <w:rFonts w:ascii="Arial" w:hAnsi="Arial" w:cs="Arial"/>
          <w:sz w:val="20"/>
          <w:szCs w:val="20"/>
          <w:lang w:val="fr-FR"/>
        </w:rPr>
        <w:t>ant</w:t>
      </w:r>
      <w:r w:rsidRPr="001D6F11">
        <w:rPr>
          <w:rFonts w:ascii="Arial" w:hAnsi="Arial" w:cs="Arial"/>
          <w:sz w:val="20"/>
          <w:szCs w:val="20"/>
          <w:lang w:val="fr-FR"/>
        </w:rPr>
        <w:t xml:space="preserve"> le plan, le groupe de travail et l</w:t>
      </w:r>
      <w:r>
        <w:rPr>
          <w:rFonts w:ascii="Arial" w:hAnsi="Arial" w:cs="Arial"/>
          <w:sz w:val="20"/>
          <w:szCs w:val="20"/>
          <w:lang w:val="fr-FR"/>
        </w:rPr>
        <w:t>’</w:t>
      </w:r>
      <w:r w:rsidRPr="001D6F11">
        <w:rPr>
          <w:rFonts w:ascii="Arial" w:hAnsi="Arial" w:cs="Arial"/>
          <w:sz w:val="20"/>
          <w:szCs w:val="20"/>
          <w:lang w:val="fr-FR"/>
        </w:rPr>
        <w:t>espèce, ainsi qu</w:t>
      </w:r>
      <w:r>
        <w:rPr>
          <w:rFonts w:ascii="Arial" w:hAnsi="Arial" w:cs="Arial"/>
          <w:sz w:val="20"/>
          <w:szCs w:val="20"/>
          <w:lang w:val="fr-FR"/>
        </w:rPr>
        <w:t>’</w:t>
      </w:r>
      <w:r w:rsidRPr="001D6F11">
        <w:rPr>
          <w:rFonts w:ascii="Arial" w:hAnsi="Arial" w:cs="Arial"/>
          <w:sz w:val="20"/>
          <w:szCs w:val="20"/>
          <w:lang w:val="fr-FR"/>
        </w:rPr>
        <w:t>un espace de travail interne réservé exclusivement aux membres du groupe de travail et aux observateurs.</w:t>
      </w:r>
      <w:r w:rsidRPr="004B1407">
        <w:rPr>
          <w:rFonts w:ascii="Arial" w:hAnsi="Arial" w:cs="Arial"/>
          <w:sz w:val="20"/>
          <w:szCs w:val="20"/>
          <w:lang w:val="fr-FR"/>
        </w:rPr>
        <w:t xml:space="preserve"> </w:t>
      </w:r>
      <w:r w:rsidRPr="001D6F11">
        <w:rPr>
          <w:rFonts w:ascii="Arial" w:hAnsi="Arial" w:cs="Arial"/>
          <w:sz w:val="20"/>
          <w:szCs w:val="20"/>
          <w:lang w:val="fr-FR"/>
        </w:rPr>
        <w:t>Les sites Web sont actuellement hébergés par le Secrétariat.</w:t>
      </w:r>
    </w:p>
    <w:p w14:paraId="5A0210FC" w14:textId="77777777" w:rsidR="00886A3C" w:rsidRPr="004B1407" w:rsidRDefault="00886A3C" w:rsidP="00886A3C">
      <w:pPr>
        <w:spacing w:after="0" w:line="240" w:lineRule="auto"/>
        <w:jc w:val="both"/>
        <w:rPr>
          <w:rFonts w:ascii="Arial" w:hAnsi="Arial" w:cs="Arial"/>
          <w:sz w:val="20"/>
          <w:szCs w:val="20"/>
          <w:lang w:val="fr-FR"/>
        </w:rPr>
      </w:pPr>
    </w:p>
    <w:p w14:paraId="1C527960" w14:textId="77777777" w:rsidR="00886A3C" w:rsidRPr="004B1407" w:rsidRDefault="00886A3C" w:rsidP="00886A3C">
      <w:pPr>
        <w:spacing w:after="0" w:line="240" w:lineRule="auto"/>
        <w:jc w:val="both"/>
        <w:rPr>
          <w:rFonts w:ascii="Arial" w:hAnsi="Arial" w:cs="Arial"/>
          <w:sz w:val="20"/>
          <w:szCs w:val="20"/>
          <w:lang w:val="fr-FR"/>
        </w:rPr>
      </w:pPr>
      <w:r w:rsidRPr="00981D16">
        <w:rPr>
          <w:rFonts w:ascii="Arial" w:hAnsi="Arial" w:cs="Arial"/>
          <w:sz w:val="20"/>
          <w:szCs w:val="20"/>
          <w:lang w:val="fr-FR"/>
        </w:rPr>
        <w:t>Les coordinateurs sont chargés du contenu des sites Web et des espaces de travail et de la mise à jour régulière des sites Web.</w:t>
      </w:r>
      <w:r w:rsidRPr="004B1407">
        <w:rPr>
          <w:rFonts w:ascii="Arial" w:hAnsi="Arial" w:cs="Arial"/>
          <w:sz w:val="20"/>
          <w:szCs w:val="20"/>
          <w:lang w:val="fr-FR"/>
        </w:rPr>
        <w:t xml:space="preserve"> </w:t>
      </w:r>
      <w:r w:rsidRPr="00981D16">
        <w:rPr>
          <w:rFonts w:ascii="Arial" w:hAnsi="Arial" w:cs="Arial"/>
          <w:sz w:val="20"/>
          <w:szCs w:val="20"/>
          <w:lang w:val="fr-FR"/>
        </w:rPr>
        <w:t>Ils devront également encadrer les discussions sur l</w:t>
      </w:r>
      <w:r>
        <w:rPr>
          <w:rFonts w:ascii="Arial" w:hAnsi="Arial" w:cs="Arial"/>
          <w:sz w:val="20"/>
          <w:szCs w:val="20"/>
          <w:lang w:val="fr-FR"/>
        </w:rPr>
        <w:t>’</w:t>
      </w:r>
      <w:r w:rsidRPr="00981D16">
        <w:rPr>
          <w:rFonts w:ascii="Arial" w:hAnsi="Arial" w:cs="Arial"/>
          <w:sz w:val="20"/>
          <w:szCs w:val="20"/>
          <w:lang w:val="fr-FR"/>
        </w:rPr>
        <w:t>espace de travail.</w:t>
      </w:r>
      <w:r w:rsidRPr="004B1407">
        <w:rPr>
          <w:rFonts w:ascii="Arial" w:hAnsi="Arial" w:cs="Arial"/>
          <w:sz w:val="20"/>
          <w:szCs w:val="20"/>
          <w:lang w:val="fr-FR"/>
        </w:rPr>
        <w:t xml:space="preserve"> </w:t>
      </w:r>
    </w:p>
    <w:p w14:paraId="23072BF2" w14:textId="77777777" w:rsidR="00886A3C" w:rsidRPr="004B1407" w:rsidRDefault="00886A3C" w:rsidP="00886A3C">
      <w:pPr>
        <w:spacing w:after="0" w:line="240" w:lineRule="auto"/>
        <w:jc w:val="both"/>
        <w:rPr>
          <w:rFonts w:ascii="Arial" w:hAnsi="Arial" w:cs="Arial"/>
          <w:sz w:val="20"/>
          <w:szCs w:val="20"/>
          <w:lang w:val="fr-FR"/>
        </w:rPr>
      </w:pPr>
    </w:p>
    <w:p w14:paraId="652DB51C" w14:textId="77777777" w:rsidR="00886A3C" w:rsidRPr="004B1407" w:rsidRDefault="00886A3C" w:rsidP="00886A3C">
      <w:pPr>
        <w:spacing w:after="0" w:line="240" w:lineRule="auto"/>
        <w:jc w:val="both"/>
        <w:rPr>
          <w:rFonts w:ascii="Arial" w:hAnsi="Arial" w:cs="Arial"/>
          <w:sz w:val="20"/>
          <w:szCs w:val="20"/>
          <w:lang w:val="fr-FR"/>
        </w:rPr>
      </w:pPr>
      <w:r w:rsidRPr="00981D16">
        <w:rPr>
          <w:rFonts w:ascii="Arial" w:hAnsi="Arial" w:cs="Arial"/>
          <w:sz w:val="20"/>
          <w:szCs w:val="20"/>
          <w:lang w:val="fr-FR"/>
        </w:rPr>
        <w:t>Les coordinateurs disposeront de droits d</w:t>
      </w:r>
      <w:r>
        <w:rPr>
          <w:rFonts w:ascii="Arial" w:hAnsi="Arial" w:cs="Arial"/>
          <w:sz w:val="20"/>
          <w:szCs w:val="20"/>
          <w:lang w:val="fr-FR"/>
        </w:rPr>
        <w:t>’</w:t>
      </w:r>
      <w:r w:rsidRPr="00981D16">
        <w:rPr>
          <w:rFonts w:ascii="Arial" w:hAnsi="Arial" w:cs="Arial"/>
          <w:sz w:val="20"/>
          <w:szCs w:val="20"/>
          <w:lang w:val="fr-FR"/>
        </w:rPr>
        <w:t>administrateur (y compris mot de passe et identifiant) pour leur site Web ainsi qu</w:t>
      </w:r>
      <w:r>
        <w:rPr>
          <w:rFonts w:ascii="Arial" w:hAnsi="Arial" w:cs="Arial"/>
          <w:sz w:val="20"/>
          <w:szCs w:val="20"/>
          <w:lang w:val="fr-FR"/>
        </w:rPr>
        <w:t>’</w:t>
      </w:r>
      <w:r w:rsidRPr="00981D16">
        <w:rPr>
          <w:rFonts w:ascii="Arial" w:hAnsi="Arial" w:cs="Arial"/>
          <w:sz w:val="20"/>
          <w:szCs w:val="20"/>
          <w:lang w:val="fr-FR"/>
        </w:rPr>
        <w:t>un manuel d</w:t>
      </w:r>
      <w:r>
        <w:rPr>
          <w:rFonts w:ascii="Arial" w:hAnsi="Arial" w:cs="Arial"/>
          <w:sz w:val="20"/>
          <w:szCs w:val="20"/>
          <w:lang w:val="fr-FR"/>
        </w:rPr>
        <w:t>’</w:t>
      </w:r>
      <w:r w:rsidRPr="00981D16">
        <w:rPr>
          <w:rFonts w:ascii="Arial" w:hAnsi="Arial" w:cs="Arial"/>
          <w:sz w:val="20"/>
          <w:szCs w:val="20"/>
          <w:lang w:val="fr-FR"/>
        </w:rPr>
        <w:t>utilisateur en vue de sa gestion.</w:t>
      </w:r>
      <w:r w:rsidRPr="004B1407">
        <w:rPr>
          <w:rFonts w:ascii="Arial" w:hAnsi="Arial" w:cs="Arial"/>
          <w:sz w:val="20"/>
          <w:szCs w:val="20"/>
          <w:lang w:val="fr-FR"/>
        </w:rPr>
        <w:t xml:space="preserve"> </w:t>
      </w:r>
      <w:r w:rsidRPr="001851CE">
        <w:rPr>
          <w:rFonts w:ascii="Arial" w:hAnsi="Arial" w:cs="Arial"/>
          <w:sz w:val="20"/>
          <w:szCs w:val="20"/>
          <w:lang w:val="fr-FR"/>
        </w:rPr>
        <w:t>Le coordinateur pourra, à son tour, transmettre à d</w:t>
      </w:r>
      <w:r>
        <w:rPr>
          <w:rFonts w:ascii="Arial" w:hAnsi="Arial" w:cs="Arial"/>
          <w:sz w:val="20"/>
          <w:szCs w:val="20"/>
          <w:lang w:val="fr-FR"/>
        </w:rPr>
        <w:t>’</w:t>
      </w:r>
      <w:r w:rsidRPr="001851CE">
        <w:rPr>
          <w:rFonts w:ascii="Arial" w:hAnsi="Arial" w:cs="Arial"/>
          <w:sz w:val="20"/>
          <w:szCs w:val="20"/>
          <w:lang w:val="fr-FR"/>
        </w:rPr>
        <w:t>autres personnes appartenant à l</w:t>
      </w:r>
      <w:r>
        <w:rPr>
          <w:rFonts w:ascii="Arial" w:hAnsi="Arial" w:cs="Arial"/>
          <w:sz w:val="20"/>
          <w:szCs w:val="20"/>
          <w:lang w:val="fr-FR"/>
        </w:rPr>
        <w:t>’</w:t>
      </w:r>
      <w:r w:rsidRPr="001851CE">
        <w:rPr>
          <w:rFonts w:ascii="Arial" w:hAnsi="Arial" w:cs="Arial"/>
          <w:sz w:val="20"/>
          <w:szCs w:val="20"/>
          <w:lang w:val="fr-FR"/>
        </w:rPr>
        <w:t>organisation coordinatrice les droits d</w:t>
      </w:r>
      <w:r>
        <w:rPr>
          <w:rFonts w:ascii="Arial" w:hAnsi="Arial" w:cs="Arial"/>
          <w:sz w:val="20"/>
          <w:szCs w:val="20"/>
          <w:lang w:val="fr-FR"/>
        </w:rPr>
        <w:t>’</w:t>
      </w:r>
      <w:r w:rsidRPr="001851CE">
        <w:rPr>
          <w:rFonts w:ascii="Arial" w:hAnsi="Arial" w:cs="Arial"/>
          <w:sz w:val="20"/>
          <w:szCs w:val="20"/>
          <w:lang w:val="fr-FR"/>
        </w:rPr>
        <w:t>administrateurs afin qu</w:t>
      </w:r>
      <w:r>
        <w:rPr>
          <w:rFonts w:ascii="Arial" w:hAnsi="Arial" w:cs="Arial"/>
          <w:sz w:val="20"/>
          <w:szCs w:val="20"/>
          <w:lang w:val="fr-FR"/>
        </w:rPr>
        <w:t>’</w:t>
      </w:r>
      <w:r w:rsidRPr="001851CE">
        <w:rPr>
          <w:rFonts w:ascii="Arial" w:hAnsi="Arial" w:cs="Arial"/>
          <w:sz w:val="20"/>
          <w:szCs w:val="20"/>
          <w:lang w:val="fr-FR"/>
        </w:rPr>
        <w:t>elles puissent ajouter des éléments sur le site Web.</w:t>
      </w:r>
      <w:r w:rsidRPr="004B1407">
        <w:rPr>
          <w:rFonts w:ascii="Arial" w:hAnsi="Arial" w:cs="Arial"/>
          <w:sz w:val="20"/>
          <w:szCs w:val="20"/>
          <w:lang w:val="fr-FR"/>
        </w:rPr>
        <w:t xml:space="preserve"> </w:t>
      </w:r>
      <w:r w:rsidRPr="001851CE">
        <w:rPr>
          <w:rFonts w:ascii="Arial" w:hAnsi="Arial" w:cs="Arial"/>
          <w:sz w:val="20"/>
          <w:szCs w:val="20"/>
          <w:lang w:val="fr-FR"/>
        </w:rPr>
        <w:t>Il faudra toutefois limiter le partage de ces droits à quelques personnes choisies pour éviter les problèmes</w:t>
      </w:r>
      <w:r>
        <w:rPr>
          <w:rFonts w:ascii="Arial" w:hAnsi="Arial" w:cs="Arial"/>
          <w:sz w:val="20"/>
          <w:szCs w:val="20"/>
          <w:lang w:val="fr-FR"/>
        </w:rPr>
        <w:t>.</w:t>
      </w:r>
      <w:r w:rsidRPr="004B1407">
        <w:rPr>
          <w:rFonts w:ascii="Arial" w:hAnsi="Arial" w:cs="Arial"/>
          <w:sz w:val="20"/>
          <w:szCs w:val="20"/>
          <w:lang w:val="fr-FR"/>
        </w:rPr>
        <w:t xml:space="preserve"> </w:t>
      </w:r>
      <w:r w:rsidRPr="001851CE">
        <w:rPr>
          <w:rFonts w:ascii="Arial" w:hAnsi="Arial" w:cs="Arial"/>
          <w:sz w:val="20"/>
          <w:szCs w:val="20"/>
          <w:lang w:val="fr-FR"/>
        </w:rPr>
        <w:t>Le Secretariat gardera les droits d</w:t>
      </w:r>
      <w:r>
        <w:rPr>
          <w:rFonts w:ascii="Arial" w:hAnsi="Arial" w:cs="Arial"/>
          <w:sz w:val="20"/>
          <w:szCs w:val="20"/>
          <w:lang w:val="fr-FR"/>
        </w:rPr>
        <w:t>’</w:t>
      </w:r>
      <w:r w:rsidRPr="001851CE">
        <w:rPr>
          <w:rFonts w:ascii="Arial" w:hAnsi="Arial" w:cs="Arial"/>
          <w:sz w:val="20"/>
          <w:szCs w:val="20"/>
          <w:lang w:val="fr-FR"/>
        </w:rPr>
        <w:t>administrateur pour tous les sites Web/espaces de travail.</w:t>
      </w:r>
    </w:p>
    <w:p w14:paraId="2589D6FA" w14:textId="77777777" w:rsidR="00886A3C" w:rsidRPr="004B1407" w:rsidRDefault="00886A3C" w:rsidP="00886A3C">
      <w:pPr>
        <w:spacing w:after="0" w:line="240" w:lineRule="auto"/>
        <w:jc w:val="both"/>
        <w:rPr>
          <w:rFonts w:ascii="Arial" w:hAnsi="Arial" w:cs="Arial"/>
          <w:sz w:val="20"/>
          <w:szCs w:val="20"/>
          <w:lang w:val="fr-FR"/>
        </w:rPr>
      </w:pPr>
    </w:p>
    <w:p w14:paraId="34090C90" w14:textId="77777777" w:rsidR="00886A3C" w:rsidRPr="004B1407" w:rsidRDefault="00886A3C" w:rsidP="00886A3C">
      <w:pPr>
        <w:spacing w:after="0" w:line="240" w:lineRule="auto"/>
        <w:jc w:val="both"/>
        <w:rPr>
          <w:rFonts w:ascii="Arial" w:hAnsi="Arial" w:cs="Arial"/>
          <w:sz w:val="20"/>
          <w:szCs w:val="20"/>
          <w:lang w:val="fr-FR"/>
        </w:rPr>
      </w:pPr>
      <w:r w:rsidRPr="001851CE">
        <w:rPr>
          <w:rFonts w:ascii="Arial" w:hAnsi="Arial" w:cs="Arial"/>
          <w:sz w:val="20"/>
          <w:szCs w:val="20"/>
          <w:lang w:val="fr-FR"/>
        </w:rPr>
        <w:t>Le Secrétariat fera</w:t>
      </w:r>
      <w:r>
        <w:rPr>
          <w:rFonts w:ascii="Arial" w:hAnsi="Arial" w:cs="Arial"/>
          <w:sz w:val="20"/>
          <w:szCs w:val="20"/>
          <w:lang w:val="fr-FR"/>
        </w:rPr>
        <w:t xml:space="preserve">, </w:t>
      </w:r>
      <w:r w:rsidRPr="001851CE">
        <w:rPr>
          <w:rFonts w:ascii="Arial" w:hAnsi="Arial" w:cs="Arial"/>
          <w:sz w:val="20"/>
          <w:szCs w:val="20"/>
          <w:lang w:val="fr-FR"/>
        </w:rPr>
        <w:t>à son tour</w:t>
      </w:r>
      <w:r>
        <w:rPr>
          <w:rFonts w:ascii="Arial" w:hAnsi="Arial" w:cs="Arial"/>
          <w:sz w:val="20"/>
          <w:szCs w:val="20"/>
          <w:lang w:val="fr-FR"/>
        </w:rPr>
        <w:t>,</w:t>
      </w:r>
      <w:r w:rsidRPr="001851CE">
        <w:rPr>
          <w:rFonts w:ascii="Arial" w:hAnsi="Arial" w:cs="Arial"/>
          <w:sz w:val="20"/>
          <w:szCs w:val="20"/>
          <w:lang w:val="fr-FR"/>
        </w:rPr>
        <w:t xml:space="preserve"> la promotion sur son site de l</w:t>
      </w:r>
      <w:r>
        <w:rPr>
          <w:rFonts w:ascii="Arial" w:hAnsi="Arial" w:cs="Arial"/>
          <w:sz w:val="20"/>
          <w:szCs w:val="20"/>
          <w:lang w:val="fr-FR"/>
        </w:rPr>
        <w:t>’</w:t>
      </w:r>
      <w:r w:rsidRPr="001851CE">
        <w:rPr>
          <w:rFonts w:ascii="Arial" w:hAnsi="Arial" w:cs="Arial"/>
          <w:sz w:val="20"/>
          <w:szCs w:val="20"/>
          <w:lang w:val="fr-FR"/>
        </w:rPr>
        <w:t>AEWA des travaux des groupes de travail.</w:t>
      </w:r>
      <w:r w:rsidRPr="004B1407">
        <w:rPr>
          <w:rFonts w:ascii="Arial" w:hAnsi="Arial" w:cs="Arial"/>
          <w:sz w:val="20"/>
          <w:szCs w:val="20"/>
          <w:lang w:val="fr-FR"/>
        </w:rPr>
        <w:t xml:space="preserve"> </w:t>
      </w:r>
      <w:r w:rsidRPr="001851CE">
        <w:rPr>
          <w:rFonts w:ascii="Arial" w:hAnsi="Arial" w:cs="Arial"/>
          <w:sz w:val="20"/>
          <w:szCs w:val="20"/>
          <w:lang w:val="fr-FR"/>
        </w:rPr>
        <w:t>Les coordinateurs sont donc chargés de communiquer au Secrétariat tout récit intéressant posté sur la page d</w:t>
      </w:r>
      <w:r>
        <w:rPr>
          <w:rFonts w:ascii="Arial" w:hAnsi="Arial" w:cs="Arial"/>
          <w:sz w:val="20"/>
          <w:szCs w:val="20"/>
          <w:lang w:val="fr-FR"/>
        </w:rPr>
        <w:t>’</w:t>
      </w:r>
      <w:r w:rsidRPr="001851CE">
        <w:rPr>
          <w:rFonts w:ascii="Arial" w:hAnsi="Arial" w:cs="Arial"/>
          <w:sz w:val="20"/>
          <w:szCs w:val="20"/>
          <w:lang w:val="fr-FR"/>
        </w:rPr>
        <w:t>actualités (par exemple, les réunions ou les résultats de projet du groupe de travail.</w:t>
      </w:r>
    </w:p>
    <w:p w14:paraId="5A33BEB0"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886A3C" w:rsidRPr="00DE4CF4" w14:paraId="4C3777E2" w14:textId="77777777" w:rsidTr="00886A3C">
        <w:tc>
          <w:tcPr>
            <w:tcW w:w="9576" w:type="dxa"/>
          </w:tcPr>
          <w:p w14:paraId="0E273FA1" w14:textId="77777777" w:rsidR="00886A3C" w:rsidRPr="004B1407" w:rsidRDefault="00886A3C" w:rsidP="00886A3C">
            <w:pPr>
              <w:jc w:val="both"/>
              <w:rPr>
                <w:rFonts w:ascii="Arial" w:hAnsi="Arial" w:cs="Arial"/>
                <w:b/>
                <w:i/>
                <w:color w:val="0070C0"/>
                <w:sz w:val="16"/>
                <w:szCs w:val="16"/>
                <w:lang w:val="fr-FR"/>
              </w:rPr>
            </w:pPr>
          </w:p>
          <w:p w14:paraId="12C0C73A" w14:textId="77777777" w:rsidR="00886A3C" w:rsidRPr="00C87FEC" w:rsidRDefault="00886A3C" w:rsidP="00886A3C">
            <w:pPr>
              <w:jc w:val="both"/>
              <w:rPr>
                <w:rFonts w:ascii="Arial" w:hAnsi="Arial" w:cs="Arial"/>
                <w:b/>
                <w:i/>
                <w:color w:val="0070C0"/>
                <w:sz w:val="20"/>
                <w:szCs w:val="20"/>
                <w:lang w:val="en-GB"/>
              </w:rPr>
            </w:pPr>
            <w:r>
              <w:rPr>
                <w:rFonts w:ascii="Arial" w:hAnsi="Arial" w:cs="Arial"/>
                <w:b/>
                <w:i/>
                <w:color w:val="0070C0"/>
                <w:sz w:val="20"/>
                <w:szCs w:val="20"/>
                <w:lang w:val="fr-FR"/>
              </w:rPr>
              <w:t>ACTIVITÉS</w:t>
            </w:r>
            <w:r w:rsidRPr="001851CE">
              <w:rPr>
                <w:rFonts w:ascii="Arial" w:hAnsi="Arial" w:cs="Arial"/>
                <w:b/>
                <w:i/>
                <w:color w:val="0070C0"/>
                <w:sz w:val="20"/>
                <w:szCs w:val="20"/>
                <w:lang w:val="fr-FR"/>
              </w:rPr>
              <w:t xml:space="preserve"> PRINCIPALES :</w:t>
            </w:r>
          </w:p>
          <w:p w14:paraId="08A7B758" w14:textId="77777777" w:rsidR="00886A3C" w:rsidRPr="002369DC" w:rsidRDefault="00886A3C" w:rsidP="00886A3C">
            <w:pPr>
              <w:jc w:val="both"/>
              <w:rPr>
                <w:rFonts w:ascii="Arial" w:hAnsi="Arial" w:cs="Arial"/>
                <w:sz w:val="20"/>
                <w:szCs w:val="20"/>
                <w:lang w:val="en-GB"/>
              </w:rPr>
            </w:pPr>
          </w:p>
          <w:p w14:paraId="25315215" w14:textId="77777777" w:rsidR="00886A3C" w:rsidRPr="004B1407" w:rsidRDefault="00886A3C" w:rsidP="00886A3C">
            <w:pPr>
              <w:pStyle w:val="ListParagraph"/>
              <w:numPr>
                <w:ilvl w:val="0"/>
                <w:numId w:val="18"/>
              </w:numPr>
              <w:ind w:left="0"/>
              <w:jc w:val="both"/>
              <w:rPr>
                <w:rFonts w:ascii="Arial" w:hAnsi="Arial" w:cs="Arial"/>
                <w:i/>
                <w:sz w:val="20"/>
                <w:szCs w:val="20"/>
                <w:lang w:val="fr-FR"/>
              </w:rPr>
            </w:pPr>
            <w:r w:rsidRPr="00073B6E">
              <w:rPr>
                <w:rFonts w:ascii="Arial" w:hAnsi="Arial" w:cs="Arial"/>
                <w:i/>
                <w:sz w:val="20"/>
                <w:szCs w:val="20"/>
                <w:lang w:val="fr-FR"/>
              </w:rPr>
              <w:t>Rassembler le contenu du site Web (texte, images, publications etc.) ;</w:t>
            </w:r>
          </w:p>
          <w:p w14:paraId="7026C26C" w14:textId="77777777" w:rsidR="00886A3C" w:rsidRPr="004B1407" w:rsidRDefault="00886A3C" w:rsidP="00886A3C">
            <w:pPr>
              <w:pStyle w:val="ListParagraph"/>
              <w:numPr>
                <w:ilvl w:val="0"/>
                <w:numId w:val="18"/>
              </w:numPr>
              <w:ind w:left="0"/>
              <w:jc w:val="both"/>
              <w:rPr>
                <w:rFonts w:ascii="Arial" w:hAnsi="Arial" w:cs="Arial"/>
                <w:i/>
                <w:sz w:val="20"/>
                <w:szCs w:val="20"/>
                <w:lang w:val="fr-FR"/>
              </w:rPr>
            </w:pPr>
            <w:r w:rsidRPr="00073B6E">
              <w:rPr>
                <w:rFonts w:ascii="Arial" w:hAnsi="Arial" w:cs="Arial"/>
                <w:i/>
                <w:sz w:val="20"/>
                <w:szCs w:val="20"/>
                <w:lang w:val="fr-FR"/>
              </w:rPr>
              <w:t>Demander au Secrétariat le gabarit et les coordonnées d’accès afin de commencer à introduire des éléments sur le site, et créer des comptes d’utilisateurs pour tous les membres de l’ISWG et les observateurs confirmés</w:t>
            </w:r>
            <w:r>
              <w:rPr>
                <w:rFonts w:ascii="Arial" w:hAnsi="Arial" w:cs="Arial"/>
                <w:i/>
                <w:sz w:val="20"/>
                <w:szCs w:val="20"/>
                <w:lang w:val="fr-FR"/>
              </w:rPr>
              <w:t xml:space="preserve"> </w:t>
            </w:r>
            <w:r w:rsidRPr="00073B6E">
              <w:rPr>
                <w:rFonts w:ascii="Arial" w:hAnsi="Arial" w:cs="Arial"/>
                <w:i/>
                <w:sz w:val="20"/>
                <w:szCs w:val="20"/>
                <w:lang w:val="fr-FR"/>
              </w:rPr>
              <w:t>pour accéder à l’espace de travail ;</w:t>
            </w:r>
          </w:p>
          <w:p w14:paraId="19FD9E6D" w14:textId="77777777" w:rsidR="00886A3C" w:rsidRPr="004B1407" w:rsidRDefault="00886A3C" w:rsidP="00886A3C">
            <w:pPr>
              <w:pStyle w:val="ListParagraph"/>
              <w:numPr>
                <w:ilvl w:val="0"/>
                <w:numId w:val="18"/>
              </w:numPr>
              <w:ind w:left="0"/>
              <w:jc w:val="both"/>
              <w:rPr>
                <w:rFonts w:ascii="Arial" w:hAnsi="Arial" w:cs="Arial"/>
                <w:i/>
                <w:sz w:val="20"/>
                <w:szCs w:val="20"/>
                <w:lang w:val="fr-FR"/>
              </w:rPr>
            </w:pPr>
            <w:r w:rsidRPr="00073B6E">
              <w:rPr>
                <w:rFonts w:ascii="Arial" w:hAnsi="Arial" w:cs="Arial"/>
                <w:i/>
                <w:sz w:val="20"/>
                <w:szCs w:val="20"/>
                <w:lang w:val="fr-FR"/>
              </w:rPr>
              <w:t>Faciliter toute la correspondance de l’ISWG par l’intermédiaire de l’espace de travail interne.</w:t>
            </w:r>
          </w:p>
          <w:p w14:paraId="31B3725F" w14:textId="77777777" w:rsidR="00886A3C" w:rsidRPr="004B1407" w:rsidRDefault="00886A3C" w:rsidP="00886A3C">
            <w:pPr>
              <w:jc w:val="both"/>
              <w:rPr>
                <w:rFonts w:ascii="Arial" w:hAnsi="Arial" w:cs="Arial"/>
                <w:sz w:val="16"/>
                <w:szCs w:val="16"/>
                <w:lang w:val="fr-FR"/>
              </w:rPr>
            </w:pPr>
          </w:p>
        </w:tc>
      </w:tr>
    </w:tbl>
    <w:p w14:paraId="06FEFCFC" w14:textId="77777777" w:rsidR="00886A3C" w:rsidRPr="004B1407" w:rsidRDefault="00886A3C" w:rsidP="00886A3C">
      <w:pPr>
        <w:spacing w:after="0" w:line="240" w:lineRule="auto"/>
        <w:jc w:val="both"/>
        <w:rPr>
          <w:rFonts w:ascii="Arial" w:hAnsi="Arial" w:cs="Arial"/>
          <w:sz w:val="20"/>
          <w:szCs w:val="20"/>
          <w:lang w:val="fr-FR"/>
        </w:rPr>
      </w:pPr>
    </w:p>
    <w:p w14:paraId="7F3C07E4" w14:textId="77777777" w:rsidR="00886A3C" w:rsidRPr="004B1407" w:rsidRDefault="00886A3C" w:rsidP="00886A3C">
      <w:pPr>
        <w:pStyle w:val="ListParagraph"/>
        <w:spacing w:after="0" w:line="240" w:lineRule="auto"/>
        <w:ind w:left="0"/>
        <w:jc w:val="both"/>
        <w:rPr>
          <w:rFonts w:ascii="Arial" w:hAnsi="Arial" w:cs="Arial"/>
          <w:sz w:val="20"/>
          <w:szCs w:val="20"/>
          <w:lang w:val="fr-FR"/>
        </w:rPr>
      </w:pPr>
    </w:p>
    <w:p w14:paraId="3D07A672" w14:textId="77777777" w:rsidR="00886A3C" w:rsidRPr="004B1407" w:rsidRDefault="00886A3C" w:rsidP="00886A3C">
      <w:pPr>
        <w:spacing w:after="0" w:line="240" w:lineRule="auto"/>
        <w:rPr>
          <w:rFonts w:ascii="Arial" w:hAnsi="Arial" w:cs="Arial"/>
          <w:b/>
          <w:color w:val="F79646" w:themeColor="accent6"/>
          <w:sz w:val="20"/>
          <w:szCs w:val="20"/>
          <w:lang w:val="fr-FR"/>
        </w:rPr>
      </w:pPr>
      <w:r w:rsidRPr="008D3F36">
        <w:rPr>
          <w:rFonts w:ascii="Arial" w:hAnsi="Arial" w:cs="Arial"/>
          <w:b/>
          <w:color w:val="F79646" w:themeColor="accent6"/>
          <w:sz w:val="20"/>
          <w:szCs w:val="20"/>
          <w:lang w:val="fr-FR"/>
        </w:rPr>
        <w:t>4.4 Aider les États de l</w:t>
      </w:r>
      <w:r>
        <w:rPr>
          <w:rFonts w:ascii="Arial" w:hAnsi="Arial" w:cs="Arial"/>
          <w:b/>
          <w:color w:val="F79646" w:themeColor="accent6"/>
          <w:sz w:val="20"/>
          <w:szCs w:val="20"/>
          <w:lang w:val="fr-FR"/>
        </w:rPr>
        <w:t>’</w:t>
      </w:r>
      <w:r w:rsidRPr="008D3F36">
        <w:rPr>
          <w:rFonts w:ascii="Arial" w:hAnsi="Arial" w:cs="Arial"/>
          <w:b/>
          <w:color w:val="F79646" w:themeColor="accent6"/>
          <w:sz w:val="20"/>
          <w:szCs w:val="20"/>
          <w:lang w:val="fr-FR"/>
        </w:rPr>
        <w:t>aire de répartition à préparer les plans d</w:t>
      </w:r>
      <w:r>
        <w:rPr>
          <w:rFonts w:ascii="Arial" w:hAnsi="Arial" w:cs="Arial"/>
          <w:b/>
          <w:color w:val="F79646" w:themeColor="accent6"/>
          <w:sz w:val="20"/>
          <w:szCs w:val="20"/>
          <w:lang w:val="fr-FR"/>
        </w:rPr>
        <w:t>’</w:t>
      </w:r>
      <w:r w:rsidRPr="008D3F36">
        <w:rPr>
          <w:rFonts w:ascii="Arial" w:hAnsi="Arial" w:cs="Arial"/>
          <w:b/>
          <w:color w:val="F79646" w:themeColor="accent6"/>
          <w:sz w:val="20"/>
          <w:szCs w:val="20"/>
          <w:lang w:val="fr-FR"/>
        </w:rPr>
        <w:t>action/ de gestion nationaux par espèce</w:t>
      </w:r>
    </w:p>
    <w:p w14:paraId="69893D8D" w14:textId="77777777" w:rsidR="00886A3C" w:rsidRPr="004B1407" w:rsidRDefault="00886A3C" w:rsidP="00886A3C">
      <w:pPr>
        <w:spacing w:after="0" w:line="240" w:lineRule="auto"/>
        <w:rPr>
          <w:rFonts w:ascii="Arial" w:hAnsi="Arial" w:cs="Arial"/>
          <w:b/>
          <w:sz w:val="20"/>
          <w:szCs w:val="20"/>
          <w:lang w:val="fr-FR"/>
        </w:rPr>
      </w:pPr>
    </w:p>
    <w:p w14:paraId="510B37C4" w14:textId="77777777" w:rsidR="00886A3C" w:rsidRPr="004B1407" w:rsidRDefault="00886A3C" w:rsidP="00886A3C">
      <w:pPr>
        <w:spacing w:after="0" w:line="240" w:lineRule="auto"/>
        <w:jc w:val="both"/>
        <w:rPr>
          <w:rFonts w:ascii="Arial" w:hAnsi="Arial" w:cs="Arial"/>
          <w:sz w:val="20"/>
          <w:szCs w:val="20"/>
          <w:lang w:val="fr-FR"/>
        </w:rPr>
      </w:pPr>
      <w:r w:rsidRPr="008073FD">
        <w:rPr>
          <w:rFonts w:ascii="Arial" w:hAnsi="Arial" w:cs="Arial"/>
          <w:sz w:val="20"/>
          <w:szCs w:val="20"/>
          <w:lang w:val="fr-FR"/>
        </w:rPr>
        <w:t>L</w:t>
      </w:r>
      <w:r>
        <w:rPr>
          <w:rFonts w:ascii="Arial" w:hAnsi="Arial" w:cs="Arial"/>
          <w:sz w:val="20"/>
          <w:szCs w:val="20"/>
          <w:lang w:val="fr-FR"/>
        </w:rPr>
        <w:t>’</w:t>
      </w:r>
      <w:r w:rsidRPr="008073FD">
        <w:rPr>
          <w:rFonts w:ascii="Arial" w:hAnsi="Arial" w:cs="Arial"/>
          <w:sz w:val="20"/>
          <w:szCs w:val="20"/>
          <w:lang w:val="fr-FR"/>
        </w:rPr>
        <w:t xml:space="preserve">un des </w:t>
      </w:r>
      <w:r>
        <w:rPr>
          <w:rFonts w:ascii="Arial" w:hAnsi="Arial" w:cs="Arial"/>
          <w:sz w:val="20"/>
          <w:szCs w:val="20"/>
          <w:lang w:val="fr-FR"/>
        </w:rPr>
        <w:t>principaux</w:t>
      </w:r>
      <w:r w:rsidRPr="008073FD">
        <w:rPr>
          <w:rFonts w:ascii="Arial" w:hAnsi="Arial" w:cs="Arial"/>
          <w:sz w:val="20"/>
          <w:szCs w:val="20"/>
          <w:lang w:val="fr-FR"/>
        </w:rPr>
        <w:t xml:space="preserve"> moyens de mise en œuvre des plans d</w:t>
      </w:r>
      <w:r>
        <w:rPr>
          <w:rFonts w:ascii="Arial" w:hAnsi="Arial" w:cs="Arial"/>
          <w:sz w:val="20"/>
          <w:szCs w:val="20"/>
          <w:lang w:val="fr-FR"/>
        </w:rPr>
        <w:t>’</w:t>
      </w:r>
      <w:r w:rsidRPr="008073FD">
        <w:rPr>
          <w:rFonts w:ascii="Arial" w:hAnsi="Arial" w:cs="Arial"/>
          <w:sz w:val="20"/>
          <w:szCs w:val="20"/>
          <w:lang w:val="fr-FR"/>
        </w:rPr>
        <w:t>action/ de gestion internationaux par espèce est l</w:t>
      </w:r>
      <w:r>
        <w:rPr>
          <w:rFonts w:ascii="Arial" w:hAnsi="Arial" w:cs="Arial"/>
          <w:sz w:val="20"/>
          <w:szCs w:val="20"/>
          <w:lang w:val="fr-FR"/>
        </w:rPr>
        <w:t>’</w:t>
      </w:r>
      <w:r w:rsidRPr="008073FD">
        <w:rPr>
          <w:rFonts w:ascii="Arial" w:hAnsi="Arial" w:cs="Arial"/>
          <w:sz w:val="20"/>
          <w:szCs w:val="20"/>
          <w:lang w:val="fr-FR"/>
        </w:rPr>
        <w:t>élaboration de plans d</w:t>
      </w:r>
      <w:r>
        <w:rPr>
          <w:rFonts w:ascii="Arial" w:hAnsi="Arial" w:cs="Arial"/>
          <w:sz w:val="20"/>
          <w:szCs w:val="20"/>
          <w:lang w:val="fr-FR"/>
        </w:rPr>
        <w:t>’</w:t>
      </w:r>
      <w:r w:rsidRPr="008073FD">
        <w:rPr>
          <w:rFonts w:ascii="Arial" w:hAnsi="Arial" w:cs="Arial"/>
          <w:sz w:val="20"/>
          <w:szCs w:val="20"/>
          <w:lang w:val="fr-FR"/>
        </w:rPr>
        <w:t xml:space="preserve">action/ de gestion nationaux qui prennent en compte la situation </w:t>
      </w:r>
      <w:r>
        <w:rPr>
          <w:rFonts w:ascii="Arial" w:hAnsi="Arial" w:cs="Arial"/>
          <w:sz w:val="20"/>
          <w:szCs w:val="20"/>
          <w:lang w:val="fr-FR"/>
        </w:rPr>
        <w:t>particulière</w:t>
      </w:r>
      <w:r w:rsidRPr="008073FD">
        <w:rPr>
          <w:rFonts w:ascii="Arial" w:hAnsi="Arial" w:cs="Arial"/>
          <w:sz w:val="20"/>
          <w:szCs w:val="20"/>
          <w:lang w:val="fr-FR"/>
        </w:rPr>
        <w:t xml:space="preserve"> de l</w:t>
      </w:r>
      <w:r>
        <w:rPr>
          <w:rFonts w:ascii="Arial" w:hAnsi="Arial" w:cs="Arial"/>
          <w:sz w:val="20"/>
          <w:szCs w:val="20"/>
          <w:lang w:val="fr-FR"/>
        </w:rPr>
        <w:t>’</w:t>
      </w:r>
      <w:r w:rsidRPr="008073FD">
        <w:rPr>
          <w:rFonts w:ascii="Arial" w:hAnsi="Arial" w:cs="Arial"/>
          <w:sz w:val="20"/>
          <w:szCs w:val="20"/>
          <w:lang w:val="fr-FR"/>
        </w:rPr>
        <w:t>État de l</w:t>
      </w:r>
      <w:r>
        <w:rPr>
          <w:rFonts w:ascii="Arial" w:hAnsi="Arial" w:cs="Arial"/>
          <w:sz w:val="20"/>
          <w:szCs w:val="20"/>
          <w:lang w:val="fr-FR"/>
        </w:rPr>
        <w:t>’</w:t>
      </w:r>
      <w:r w:rsidRPr="008073FD">
        <w:rPr>
          <w:rFonts w:ascii="Arial" w:hAnsi="Arial" w:cs="Arial"/>
          <w:sz w:val="20"/>
          <w:szCs w:val="20"/>
          <w:lang w:val="fr-FR"/>
        </w:rPr>
        <w:t>aire de répartition et définissent également les priorités et les responsabilités nationales de mise en œuvre.</w:t>
      </w:r>
      <w:r w:rsidRPr="004B1407">
        <w:rPr>
          <w:rFonts w:ascii="Arial" w:hAnsi="Arial" w:cs="Arial"/>
          <w:sz w:val="20"/>
          <w:szCs w:val="20"/>
          <w:lang w:val="fr-FR"/>
        </w:rPr>
        <w:t xml:space="preserve"> </w:t>
      </w:r>
      <w:r w:rsidRPr="008073FD">
        <w:rPr>
          <w:rFonts w:ascii="Arial" w:hAnsi="Arial" w:cs="Arial"/>
          <w:sz w:val="20"/>
          <w:szCs w:val="20"/>
          <w:lang w:val="fr-FR"/>
        </w:rPr>
        <w:t>Les coordinateurs devraient encourager le développement et l</w:t>
      </w:r>
      <w:r>
        <w:rPr>
          <w:rFonts w:ascii="Arial" w:hAnsi="Arial" w:cs="Arial"/>
          <w:sz w:val="20"/>
          <w:szCs w:val="20"/>
          <w:lang w:val="fr-FR"/>
        </w:rPr>
        <w:t>’</w:t>
      </w:r>
      <w:r w:rsidRPr="008073FD">
        <w:rPr>
          <w:rFonts w:ascii="Arial" w:hAnsi="Arial" w:cs="Arial"/>
          <w:sz w:val="20"/>
          <w:szCs w:val="20"/>
          <w:lang w:val="fr-FR"/>
        </w:rPr>
        <w:t>adoption de plans d</w:t>
      </w:r>
      <w:r>
        <w:rPr>
          <w:rFonts w:ascii="Arial" w:hAnsi="Arial" w:cs="Arial"/>
          <w:sz w:val="20"/>
          <w:szCs w:val="20"/>
          <w:lang w:val="fr-FR"/>
        </w:rPr>
        <w:t>’</w:t>
      </w:r>
      <w:r w:rsidRPr="008073FD">
        <w:rPr>
          <w:rFonts w:ascii="Arial" w:hAnsi="Arial" w:cs="Arial"/>
          <w:sz w:val="20"/>
          <w:szCs w:val="20"/>
          <w:lang w:val="fr-FR"/>
        </w:rPr>
        <w:t>action/ de gestion nationaux</w:t>
      </w:r>
      <w:r>
        <w:rPr>
          <w:rFonts w:ascii="Arial" w:hAnsi="Arial" w:cs="Arial"/>
          <w:sz w:val="20"/>
          <w:szCs w:val="20"/>
          <w:lang w:val="fr-FR"/>
        </w:rPr>
        <w:t xml:space="preserve"> </w:t>
      </w:r>
      <w:r w:rsidRPr="008073FD">
        <w:rPr>
          <w:rFonts w:ascii="Arial" w:hAnsi="Arial" w:cs="Arial"/>
          <w:sz w:val="20"/>
          <w:szCs w:val="20"/>
          <w:lang w:val="fr-FR"/>
        </w:rPr>
        <w:t>(au moins dans les États clés de l</w:t>
      </w:r>
      <w:r>
        <w:rPr>
          <w:rFonts w:ascii="Arial" w:hAnsi="Arial" w:cs="Arial"/>
          <w:sz w:val="20"/>
          <w:szCs w:val="20"/>
          <w:lang w:val="fr-FR"/>
        </w:rPr>
        <w:t>’</w:t>
      </w:r>
      <w:r w:rsidRPr="008073FD">
        <w:rPr>
          <w:rFonts w:ascii="Arial" w:hAnsi="Arial" w:cs="Arial"/>
          <w:sz w:val="20"/>
          <w:szCs w:val="20"/>
          <w:lang w:val="fr-FR"/>
        </w:rPr>
        <w:t>aire de répartition).</w:t>
      </w:r>
      <w:r w:rsidRPr="004B1407">
        <w:rPr>
          <w:rFonts w:ascii="Arial" w:hAnsi="Arial" w:cs="Arial"/>
          <w:sz w:val="20"/>
          <w:szCs w:val="20"/>
          <w:lang w:val="fr-FR"/>
        </w:rPr>
        <w:t xml:space="preserve"> </w:t>
      </w:r>
      <w:r w:rsidRPr="008073FD">
        <w:rPr>
          <w:rFonts w:ascii="Arial" w:hAnsi="Arial" w:cs="Arial"/>
          <w:sz w:val="20"/>
          <w:szCs w:val="20"/>
          <w:lang w:val="fr-FR"/>
        </w:rPr>
        <w:t>Les lignes directrices de l</w:t>
      </w:r>
      <w:r>
        <w:rPr>
          <w:rFonts w:ascii="Arial" w:hAnsi="Arial" w:cs="Arial"/>
          <w:sz w:val="20"/>
          <w:szCs w:val="20"/>
          <w:lang w:val="fr-FR"/>
        </w:rPr>
        <w:t>’</w:t>
      </w:r>
      <w:r w:rsidRPr="008073FD">
        <w:rPr>
          <w:rFonts w:ascii="Arial" w:hAnsi="Arial" w:cs="Arial"/>
          <w:sz w:val="20"/>
          <w:szCs w:val="20"/>
          <w:lang w:val="fr-FR"/>
        </w:rPr>
        <w:t>AEWA sur le développement des plans d</w:t>
      </w:r>
      <w:r>
        <w:rPr>
          <w:rFonts w:ascii="Arial" w:hAnsi="Arial" w:cs="Arial"/>
          <w:sz w:val="20"/>
          <w:szCs w:val="20"/>
          <w:lang w:val="fr-FR"/>
        </w:rPr>
        <w:t>’</w:t>
      </w:r>
      <w:r w:rsidRPr="008073FD">
        <w:rPr>
          <w:rFonts w:ascii="Arial" w:hAnsi="Arial" w:cs="Arial"/>
          <w:sz w:val="20"/>
          <w:szCs w:val="20"/>
          <w:lang w:val="fr-FR"/>
        </w:rPr>
        <w:t>action nationaux</w:t>
      </w:r>
      <w:r w:rsidRPr="008073FD">
        <w:rPr>
          <w:rStyle w:val="FootnoteReference"/>
          <w:rFonts w:ascii="Arial" w:hAnsi="Arial" w:cs="Arial"/>
          <w:sz w:val="20"/>
          <w:szCs w:val="20"/>
          <w:lang w:val="fr-FR"/>
        </w:rPr>
        <w:footnoteReference w:id="10"/>
      </w:r>
      <w:r w:rsidRPr="008073FD">
        <w:rPr>
          <w:rFonts w:ascii="Arial" w:hAnsi="Arial" w:cs="Arial"/>
          <w:sz w:val="20"/>
          <w:szCs w:val="20"/>
          <w:lang w:val="fr-FR"/>
        </w:rPr>
        <w:t xml:space="preserve"> apportent des orientations sur ce sujet.</w:t>
      </w:r>
      <w:r w:rsidRPr="004B1407">
        <w:rPr>
          <w:rFonts w:ascii="Arial" w:hAnsi="Arial" w:cs="Arial"/>
          <w:sz w:val="20"/>
          <w:szCs w:val="20"/>
          <w:lang w:val="fr-FR"/>
        </w:rPr>
        <w:t xml:space="preserve"> </w:t>
      </w:r>
    </w:p>
    <w:p w14:paraId="36674979" w14:textId="77777777" w:rsidR="00886A3C" w:rsidRPr="004B1407" w:rsidRDefault="00886A3C" w:rsidP="00886A3C">
      <w:pPr>
        <w:spacing w:after="0" w:line="240" w:lineRule="auto"/>
        <w:jc w:val="both"/>
        <w:rPr>
          <w:rFonts w:ascii="Arial" w:hAnsi="Arial" w:cs="Arial"/>
          <w:sz w:val="20"/>
          <w:szCs w:val="20"/>
          <w:lang w:val="fr-FR"/>
        </w:rPr>
      </w:pPr>
    </w:p>
    <w:p w14:paraId="337A76AF" w14:textId="77777777" w:rsidR="00886A3C" w:rsidRPr="004B1407" w:rsidRDefault="00886A3C" w:rsidP="00886A3C">
      <w:pPr>
        <w:spacing w:after="0" w:line="240" w:lineRule="auto"/>
        <w:rPr>
          <w:rFonts w:ascii="Arial" w:hAnsi="Arial" w:cs="Arial"/>
          <w:b/>
          <w:sz w:val="20"/>
          <w:szCs w:val="20"/>
          <w:lang w:val="fr-FR"/>
        </w:rPr>
      </w:pPr>
    </w:p>
    <w:p w14:paraId="7C27D53D" w14:textId="77777777" w:rsidR="00886A3C" w:rsidRPr="004B1407" w:rsidRDefault="00886A3C" w:rsidP="00886A3C">
      <w:pPr>
        <w:spacing w:after="0" w:line="240" w:lineRule="auto"/>
        <w:rPr>
          <w:rFonts w:ascii="Arial" w:hAnsi="Arial" w:cs="Arial"/>
          <w:b/>
          <w:color w:val="0070C0"/>
          <w:sz w:val="20"/>
          <w:szCs w:val="20"/>
          <w:lang w:val="fr-FR"/>
        </w:rPr>
      </w:pPr>
      <w:r w:rsidRPr="008073FD">
        <w:rPr>
          <w:rFonts w:ascii="Arial" w:hAnsi="Arial" w:cs="Arial"/>
          <w:b/>
          <w:color w:val="F79646" w:themeColor="accent6"/>
          <w:sz w:val="20"/>
          <w:szCs w:val="20"/>
          <w:lang w:val="fr-FR"/>
        </w:rPr>
        <w:t>4.5. Aider les États de l</w:t>
      </w:r>
      <w:r>
        <w:rPr>
          <w:rFonts w:ascii="Arial" w:hAnsi="Arial" w:cs="Arial"/>
          <w:b/>
          <w:color w:val="F79646" w:themeColor="accent6"/>
          <w:sz w:val="20"/>
          <w:szCs w:val="20"/>
          <w:lang w:val="fr-FR"/>
        </w:rPr>
        <w:t>’</w:t>
      </w:r>
      <w:r w:rsidRPr="008073FD">
        <w:rPr>
          <w:rFonts w:ascii="Arial" w:hAnsi="Arial" w:cs="Arial"/>
          <w:b/>
          <w:color w:val="F79646" w:themeColor="accent6"/>
          <w:sz w:val="20"/>
          <w:szCs w:val="20"/>
          <w:lang w:val="fr-FR"/>
        </w:rPr>
        <w:t>aire de répartition et les autres parties prenantes à mettre en œuvre l</w:t>
      </w:r>
      <w:r>
        <w:rPr>
          <w:rFonts w:ascii="Arial" w:hAnsi="Arial" w:cs="Arial"/>
          <w:b/>
          <w:color w:val="F79646" w:themeColor="accent6"/>
          <w:sz w:val="20"/>
          <w:szCs w:val="20"/>
          <w:lang w:val="fr-FR"/>
        </w:rPr>
        <w:t>’ISSAP</w:t>
      </w:r>
      <w:r w:rsidRPr="008073FD">
        <w:rPr>
          <w:rFonts w:ascii="Arial" w:hAnsi="Arial" w:cs="Arial"/>
          <w:b/>
          <w:color w:val="F79646" w:themeColor="accent6"/>
          <w:sz w:val="20"/>
          <w:szCs w:val="20"/>
          <w:lang w:val="fr-FR"/>
        </w:rPr>
        <w:t>/</w:t>
      </w:r>
      <w:r>
        <w:rPr>
          <w:rFonts w:ascii="Arial" w:hAnsi="Arial" w:cs="Arial"/>
          <w:b/>
          <w:color w:val="F79646" w:themeColor="accent6"/>
          <w:sz w:val="20"/>
          <w:szCs w:val="20"/>
          <w:lang w:val="fr-FR"/>
        </w:rPr>
        <w:t>ISSMP</w:t>
      </w:r>
      <w:r w:rsidRPr="008073FD">
        <w:rPr>
          <w:rFonts w:ascii="Arial" w:hAnsi="Arial" w:cs="Arial"/>
          <w:b/>
          <w:color w:val="F79646" w:themeColor="accent6"/>
          <w:sz w:val="20"/>
          <w:szCs w:val="20"/>
          <w:lang w:val="fr-FR"/>
        </w:rPr>
        <w:t xml:space="preserve">, y compris la levée de fonds </w:t>
      </w:r>
      <w:r w:rsidRPr="008073FD">
        <w:rPr>
          <w:rFonts w:ascii="Arial" w:hAnsi="Arial" w:cs="Arial"/>
          <w:b/>
          <w:i/>
          <w:color w:val="0070C0"/>
          <w:sz w:val="20"/>
          <w:szCs w:val="20"/>
          <w:lang w:val="fr-FR"/>
        </w:rPr>
        <w:t>(essentiel)</w:t>
      </w:r>
      <w:r w:rsidRPr="008073FD">
        <w:rPr>
          <w:rFonts w:ascii="Arial" w:hAnsi="Arial" w:cs="Arial"/>
          <w:b/>
          <w:color w:val="F79646" w:themeColor="accent6"/>
          <w:sz w:val="20"/>
          <w:szCs w:val="20"/>
          <w:lang w:val="fr-FR"/>
        </w:rPr>
        <w:t> </w:t>
      </w:r>
    </w:p>
    <w:p w14:paraId="1F2C71CF" w14:textId="77777777" w:rsidR="00886A3C" w:rsidRPr="004B1407" w:rsidRDefault="00886A3C" w:rsidP="00886A3C">
      <w:pPr>
        <w:spacing w:after="0" w:line="240" w:lineRule="auto"/>
        <w:rPr>
          <w:rFonts w:ascii="Arial" w:hAnsi="Arial" w:cs="Arial"/>
          <w:sz w:val="20"/>
          <w:szCs w:val="20"/>
          <w:lang w:val="fr-FR"/>
        </w:rPr>
      </w:pPr>
    </w:p>
    <w:p w14:paraId="0716D45D" w14:textId="77777777" w:rsidR="00886A3C" w:rsidRPr="004B1407" w:rsidRDefault="00886A3C" w:rsidP="00886A3C">
      <w:pPr>
        <w:spacing w:after="0" w:line="240" w:lineRule="auto"/>
        <w:jc w:val="both"/>
        <w:rPr>
          <w:rFonts w:ascii="Arial" w:hAnsi="Arial" w:cs="Arial"/>
          <w:sz w:val="20"/>
          <w:szCs w:val="20"/>
          <w:lang w:val="fr-FR"/>
        </w:rPr>
      </w:pPr>
      <w:r w:rsidRPr="008073FD">
        <w:rPr>
          <w:rFonts w:ascii="Arial" w:hAnsi="Arial" w:cs="Arial"/>
          <w:sz w:val="20"/>
          <w:szCs w:val="20"/>
          <w:lang w:val="fr-FR"/>
        </w:rPr>
        <w:t>Les coordinateurs aideront</w:t>
      </w:r>
      <w:r>
        <w:rPr>
          <w:rFonts w:ascii="Arial" w:hAnsi="Arial" w:cs="Arial"/>
          <w:sz w:val="20"/>
          <w:szCs w:val="20"/>
          <w:lang w:val="fr-FR"/>
        </w:rPr>
        <w:t>,</w:t>
      </w:r>
      <w:r w:rsidRPr="008073FD">
        <w:rPr>
          <w:rFonts w:ascii="Arial" w:hAnsi="Arial" w:cs="Arial"/>
          <w:sz w:val="20"/>
          <w:szCs w:val="20"/>
          <w:lang w:val="fr-FR"/>
        </w:rPr>
        <w:t xml:space="preserve"> s</w:t>
      </w:r>
      <w:r>
        <w:rPr>
          <w:rFonts w:ascii="Arial" w:hAnsi="Arial" w:cs="Arial"/>
          <w:sz w:val="20"/>
          <w:szCs w:val="20"/>
          <w:lang w:val="fr-FR"/>
        </w:rPr>
        <w:t>’</w:t>
      </w:r>
      <w:r w:rsidRPr="008073FD">
        <w:rPr>
          <w:rFonts w:ascii="Arial" w:hAnsi="Arial" w:cs="Arial"/>
          <w:sz w:val="20"/>
          <w:szCs w:val="20"/>
          <w:lang w:val="fr-FR"/>
        </w:rPr>
        <w:t>il y a lieu</w:t>
      </w:r>
      <w:r>
        <w:rPr>
          <w:rFonts w:ascii="Arial" w:hAnsi="Arial" w:cs="Arial"/>
          <w:sz w:val="20"/>
          <w:szCs w:val="20"/>
          <w:lang w:val="fr-FR"/>
        </w:rPr>
        <w:t>,</w:t>
      </w:r>
      <w:r w:rsidRPr="008073FD">
        <w:rPr>
          <w:rFonts w:ascii="Arial" w:hAnsi="Arial" w:cs="Arial"/>
          <w:sz w:val="20"/>
          <w:szCs w:val="20"/>
          <w:lang w:val="fr-FR"/>
        </w:rPr>
        <w:t xml:space="preserve"> les États de l</w:t>
      </w:r>
      <w:r>
        <w:rPr>
          <w:rFonts w:ascii="Arial" w:hAnsi="Arial" w:cs="Arial"/>
          <w:sz w:val="20"/>
          <w:szCs w:val="20"/>
          <w:lang w:val="fr-FR"/>
        </w:rPr>
        <w:t>’</w:t>
      </w:r>
      <w:r w:rsidRPr="008073FD">
        <w:rPr>
          <w:rFonts w:ascii="Arial" w:hAnsi="Arial" w:cs="Arial"/>
          <w:sz w:val="20"/>
          <w:szCs w:val="20"/>
          <w:lang w:val="fr-FR"/>
        </w:rPr>
        <w:t>aire de répartition et les parties prenantes dans la mise en œuvre des plans.</w:t>
      </w:r>
      <w:r w:rsidRPr="004B1407">
        <w:rPr>
          <w:rFonts w:ascii="Arial" w:hAnsi="Arial" w:cs="Arial"/>
          <w:sz w:val="20"/>
          <w:szCs w:val="20"/>
          <w:lang w:val="fr-FR"/>
        </w:rPr>
        <w:t xml:space="preserve"> </w:t>
      </w:r>
      <w:r w:rsidRPr="008073FD">
        <w:rPr>
          <w:rFonts w:ascii="Arial" w:hAnsi="Arial" w:cs="Arial"/>
          <w:sz w:val="20"/>
          <w:szCs w:val="20"/>
          <w:lang w:val="fr-FR"/>
        </w:rPr>
        <w:t>Cette aide peut consister à fournir expertise et savoir-faire ainsi qu</w:t>
      </w:r>
      <w:r>
        <w:rPr>
          <w:rFonts w:ascii="Arial" w:hAnsi="Arial" w:cs="Arial"/>
          <w:sz w:val="20"/>
          <w:szCs w:val="20"/>
          <w:lang w:val="fr-FR"/>
        </w:rPr>
        <w:t>’</w:t>
      </w:r>
      <w:r w:rsidRPr="008073FD">
        <w:rPr>
          <w:rFonts w:ascii="Arial" w:hAnsi="Arial" w:cs="Arial"/>
          <w:sz w:val="20"/>
          <w:szCs w:val="20"/>
          <w:lang w:val="fr-FR"/>
        </w:rPr>
        <w:t>à aider à la levée de fond</w:t>
      </w:r>
      <w:r>
        <w:rPr>
          <w:rFonts w:ascii="Arial" w:hAnsi="Arial" w:cs="Arial"/>
          <w:sz w:val="20"/>
          <w:szCs w:val="20"/>
          <w:lang w:val="fr-FR"/>
        </w:rPr>
        <w:t>s</w:t>
      </w:r>
      <w:r w:rsidRPr="008073FD">
        <w:rPr>
          <w:rFonts w:ascii="Arial" w:hAnsi="Arial" w:cs="Arial"/>
          <w:sz w:val="20"/>
          <w:szCs w:val="20"/>
          <w:lang w:val="fr-FR"/>
        </w:rPr>
        <w:t xml:space="preserve"> pour les activités et les projets prioritaires de mise en œuvre.</w:t>
      </w:r>
    </w:p>
    <w:p w14:paraId="11DDB62D"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886A3C" w:rsidRPr="00DE4CF4" w14:paraId="536A862C" w14:textId="77777777" w:rsidTr="00886A3C">
        <w:tc>
          <w:tcPr>
            <w:tcW w:w="9576" w:type="dxa"/>
          </w:tcPr>
          <w:p w14:paraId="01A28D48" w14:textId="77777777" w:rsidR="00886A3C" w:rsidRPr="004B1407" w:rsidRDefault="00886A3C" w:rsidP="00886A3C">
            <w:pPr>
              <w:jc w:val="both"/>
              <w:rPr>
                <w:rFonts w:ascii="Arial" w:hAnsi="Arial" w:cs="Arial"/>
                <w:b/>
                <w:i/>
                <w:color w:val="0070C0"/>
                <w:sz w:val="16"/>
                <w:szCs w:val="16"/>
                <w:lang w:val="fr-FR"/>
              </w:rPr>
            </w:pPr>
          </w:p>
          <w:p w14:paraId="5412A7B8" w14:textId="77777777" w:rsidR="00886A3C" w:rsidRPr="00C87FEC" w:rsidRDefault="00886A3C" w:rsidP="00886A3C">
            <w:pPr>
              <w:jc w:val="both"/>
              <w:rPr>
                <w:rFonts w:ascii="Arial" w:hAnsi="Arial" w:cs="Arial"/>
                <w:b/>
                <w:i/>
                <w:color w:val="0070C0"/>
                <w:sz w:val="20"/>
                <w:szCs w:val="20"/>
                <w:lang w:val="en-GB"/>
              </w:rPr>
            </w:pPr>
            <w:r>
              <w:rPr>
                <w:rFonts w:ascii="Arial" w:hAnsi="Arial" w:cs="Arial"/>
                <w:b/>
                <w:i/>
                <w:color w:val="0070C0"/>
                <w:sz w:val="20"/>
                <w:szCs w:val="20"/>
                <w:lang w:val="fr-FR"/>
              </w:rPr>
              <w:t>ACTIVITÉS</w:t>
            </w:r>
            <w:r w:rsidRPr="008073FD">
              <w:rPr>
                <w:rFonts w:ascii="Arial" w:hAnsi="Arial" w:cs="Arial"/>
                <w:b/>
                <w:i/>
                <w:color w:val="0070C0"/>
                <w:sz w:val="20"/>
                <w:szCs w:val="20"/>
                <w:lang w:val="fr-FR"/>
              </w:rPr>
              <w:t xml:space="preserve"> PRINCIPALES :</w:t>
            </w:r>
          </w:p>
          <w:p w14:paraId="6AB93042" w14:textId="77777777" w:rsidR="00886A3C" w:rsidRPr="002369DC" w:rsidRDefault="00886A3C" w:rsidP="00886A3C">
            <w:pPr>
              <w:jc w:val="both"/>
              <w:rPr>
                <w:rFonts w:ascii="Arial" w:hAnsi="Arial" w:cs="Arial"/>
                <w:b/>
                <w:i/>
                <w:color w:val="FF0000"/>
                <w:sz w:val="20"/>
                <w:szCs w:val="20"/>
                <w:lang w:val="en-GB"/>
              </w:rPr>
            </w:pPr>
          </w:p>
          <w:p w14:paraId="5D7D474A" w14:textId="77777777" w:rsidR="00886A3C" w:rsidRPr="004B1407" w:rsidRDefault="00886A3C" w:rsidP="00886A3C">
            <w:pPr>
              <w:pStyle w:val="ListParagraph"/>
              <w:numPr>
                <w:ilvl w:val="0"/>
                <w:numId w:val="17"/>
              </w:numPr>
              <w:ind w:left="0"/>
              <w:jc w:val="both"/>
              <w:rPr>
                <w:rFonts w:ascii="Arial" w:hAnsi="Arial" w:cs="Arial"/>
                <w:i/>
                <w:sz w:val="20"/>
                <w:szCs w:val="20"/>
                <w:lang w:val="fr-FR"/>
              </w:rPr>
            </w:pPr>
            <w:r w:rsidRPr="00D73BD4">
              <w:rPr>
                <w:rFonts w:ascii="Arial" w:hAnsi="Arial" w:cs="Arial"/>
                <w:i/>
                <w:sz w:val="20"/>
                <w:szCs w:val="20"/>
                <w:lang w:val="fr-FR"/>
              </w:rPr>
              <w:lastRenderedPageBreak/>
              <w:t>Demander aux États de l’aire de répartition de fournir une liste des actions absolument prioritaires pour leur pays sur la base de l’</w:t>
            </w:r>
            <w:r>
              <w:rPr>
                <w:rFonts w:ascii="Arial" w:hAnsi="Arial" w:cs="Arial"/>
                <w:i/>
                <w:sz w:val="20"/>
                <w:szCs w:val="20"/>
                <w:lang w:val="fr-FR"/>
              </w:rPr>
              <w:t>ISSAP</w:t>
            </w:r>
            <w:r w:rsidRPr="00D73BD4">
              <w:rPr>
                <w:rFonts w:ascii="Arial" w:hAnsi="Arial" w:cs="Arial"/>
                <w:i/>
                <w:sz w:val="20"/>
                <w:szCs w:val="20"/>
                <w:lang w:val="fr-FR"/>
              </w:rPr>
              <w:t>/</w:t>
            </w:r>
            <w:r>
              <w:rPr>
                <w:rFonts w:ascii="Arial" w:hAnsi="Arial" w:cs="Arial"/>
                <w:i/>
                <w:sz w:val="20"/>
                <w:szCs w:val="20"/>
                <w:lang w:val="fr-FR"/>
              </w:rPr>
              <w:t>ISSMP</w:t>
            </w:r>
            <w:r w:rsidRPr="00D73BD4">
              <w:rPr>
                <w:rFonts w:ascii="Arial" w:hAnsi="Arial" w:cs="Arial"/>
                <w:i/>
                <w:sz w:val="20"/>
                <w:szCs w:val="20"/>
                <w:lang w:val="fr-FR"/>
              </w:rPr>
              <w:t xml:space="preserve"> aux fins de levée prioritaire de fonds ;</w:t>
            </w:r>
          </w:p>
          <w:p w14:paraId="2A24D0A1" w14:textId="77777777" w:rsidR="00886A3C" w:rsidRPr="004B1407" w:rsidRDefault="00886A3C" w:rsidP="00886A3C">
            <w:pPr>
              <w:pStyle w:val="ListParagraph"/>
              <w:numPr>
                <w:ilvl w:val="0"/>
                <w:numId w:val="17"/>
              </w:numPr>
              <w:ind w:left="0"/>
              <w:jc w:val="both"/>
              <w:rPr>
                <w:rFonts w:ascii="Arial" w:hAnsi="Arial" w:cs="Arial"/>
                <w:i/>
                <w:sz w:val="20"/>
                <w:szCs w:val="20"/>
                <w:lang w:val="fr-FR"/>
              </w:rPr>
            </w:pPr>
            <w:r w:rsidRPr="00D73BD4">
              <w:rPr>
                <w:rFonts w:ascii="Arial" w:hAnsi="Arial" w:cs="Arial"/>
                <w:i/>
                <w:sz w:val="20"/>
                <w:szCs w:val="20"/>
                <w:lang w:val="fr-FR"/>
              </w:rPr>
              <w:t>Communiquer les informations sur d’éventuelles possibilités de financement aux membres de l’ISWG ;</w:t>
            </w:r>
          </w:p>
          <w:p w14:paraId="616475CC" w14:textId="77777777" w:rsidR="00886A3C" w:rsidRPr="004B1407" w:rsidRDefault="00886A3C" w:rsidP="00886A3C">
            <w:pPr>
              <w:pStyle w:val="ListParagraph"/>
              <w:numPr>
                <w:ilvl w:val="0"/>
                <w:numId w:val="17"/>
              </w:numPr>
              <w:ind w:left="0"/>
              <w:jc w:val="both"/>
              <w:rPr>
                <w:rFonts w:ascii="Arial" w:hAnsi="Arial" w:cs="Arial"/>
                <w:i/>
                <w:sz w:val="20"/>
                <w:szCs w:val="20"/>
                <w:lang w:val="fr-FR"/>
              </w:rPr>
            </w:pPr>
            <w:r w:rsidRPr="00D73BD4">
              <w:rPr>
                <w:rFonts w:ascii="Arial" w:hAnsi="Arial" w:cs="Arial"/>
                <w:i/>
                <w:sz w:val="20"/>
                <w:szCs w:val="20"/>
                <w:lang w:val="fr-FR"/>
              </w:rPr>
              <w:t>Aider les États de l’aire de répartition à mettre en place des projets de conservation plus étendus, transfrontaliers, régionaux ou le long de la voie de migration ;</w:t>
            </w:r>
          </w:p>
          <w:p w14:paraId="6607ED9F" w14:textId="77777777" w:rsidR="00886A3C" w:rsidRPr="004B1407" w:rsidRDefault="00886A3C" w:rsidP="00886A3C">
            <w:pPr>
              <w:pStyle w:val="ListParagraph"/>
              <w:numPr>
                <w:ilvl w:val="0"/>
                <w:numId w:val="17"/>
              </w:numPr>
              <w:ind w:left="0"/>
              <w:jc w:val="both"/>
              <w:rPr>
                <w:rFonts w:ascii="Arial" w:hAnsi="Arial" w:cs="Arial"/>
                <w:i/>
                <w:sz w:val="20"/>
                <w:szCs w:val="20"/>
                <w:lang w:val="fr-FR"/>
              </w:rPr>
            </w:pPr>
            <w:r w:rsidRPr="00D73BD4">
              <w:rPr>
                <w:rFonts w:ascii="Arial" w:hAnsi="Arial" w:cs="Arial"/>
                <w:i/>
                <w:sz w:val="20"/>
                <w:szCs w:val="20"/>
                <w:lang w:val="fr-FR"/>
              </w:rPr>
              <w:t>Faciliter, le cas échéant, le transfert des connaissances et le renforcement des capacités (tel que la formation sur le terrain) ;</w:t>
            </w:r>
          </w:p>
          <w:p w14:paraId="5933D6C9" w14:textId="77777777" w:rsidR="00886A3C" w:rsidRPr="004B1407" w:rsidRDefault="00886A3C" w:rsidP="00886A3C">
            <w:pPr>
              <w:pStyle w:val="ListParagraph"/>
              <w:numPr>
                <w:ilvl w:val="0"/>
                <w:numId w:val="17"/>
              </w:numPr>
              <w:ind w:left="0"/>
              <w:jc w:val="both"/>
              <w:rPr>
                <w:rFonts w:ascii="Arial" w:hAnsi="Arial" w:cs="Arial"/>
                <w:i/>
                <w:sz w:val="20"/>
                <w:szCs w:val="20"/>
                <w:lang w:val="fr-FR"/>
              </w:rPr>
            </w:pPr>
            <w:r w:rsidRPr="00D73BD4">
              <w:rPr>
                <w:rFonts w:ascii="Arial" w:hAnsi="Arial" w:cs="Arial"/>
                <w:i/>
                <w:sz w:val="20"/>
                <w:szCs w:val="20"/>
                <w:lang w:val="fr-FR"/>
              </w:rPr>
              <w:t>Se concerter avec d’autres projets, d’autres partenaires, etc. afin d’explorer les possibilités de collaboration.</w:t>
            </w:r>
          </w:p>
          <w:p w14:paraId="34C3B7AF" w14:textId="77777777" w:rsidR="00886A3C" w:rsidRPr="004B1407" w:rsidRDefault="00886A3C" w:rsidP="00886A3C">
            <w:pPr>
              <w:jc w:val="both"/>
              <w:rPr>
                <w:rFonts w:ascii="Arial" w:hAnsi="Arial" w:cs="Arial"/>
                <w:sz w:val="16"/>
                <w:szCs w:val="16"/>
                <w:lang w:val="fr-FR"/>
              </w:rPr>
            </w:pPr>
          </w:p>
        </w:tc>
      </w:tr>
    </w:tbl>
    <w:p w14:paraId="38AA1868" w14:textId="77777777" w:rsidR="00886A3C" w:rsidRPr="004B1407" w:rsidRDefault="00886A3C" w:rsidP="00886A3C">
      <w:pPr>
        <w:pStyle w:val="ListParagraph"/>
        <w:spacing w:after="0" w:line="240" w:lineRule="auto"/>
        <w:ind w:left="0"/>
        <w:jc w:val="both"/>
        <w:rPr>
          <w:rFonts w:ascii="Arial" w:hAnsi="Arial" w:cs="Arial"/>
          <w:sz w:val="20"/>
          <w:szCs w:val="20"/>
          <w:lang w:val="fr-FR"/>
        </w:rPr>
      </w:pPr>
    </w:p>
    <w:p w14:paraId="70772020" w14:textId="77777777" w:rsidR="00886A3C" w:rsidRPr="004B1407" w:rsidRDefault="00886A3C" w:rsidP="00886A3C">
      <w:pPr>
        <w:spacing w:after="0" w:line="240" w:lineRule="auto"/>
        <w:jc w:val="both"/>
        <w:rPr>
          <w:rFonts w:ascii="Arial" w:hAnsi="Arial" w:cs="Arial"/>
          <w:sz w:val="20"/>
          <w:szCs w:val="20"/>
          <w:lang w:val="fr-FR"/>
        </w:rPr>
      </w:pPr>
    </w:p>
    <w:p w14:paraId="25185D5E" w14:textId="77777777" w:rsidR="00886A3C" w:rsidRPr="004B1407" w:rsidRDefault="00886A3C" w:rsidP="00886A3C">
      <w:pPr>
        <w:spacing w:after="0" w:line="240" w:lineRule="auto"/>
        <w:rPr>
          <w:rFonts w:ascii="Arial" w:hAnsi="Arial" w:cs="Arial"/>
          <w:i/>
          <w:color w:val="0070C0"/>
          <w:sz w:val="20"/>
          <w:szCs w:val="20"/>
          <w:lang w:val="fr-FR"/>
        </w:rPr>
      </w:pPr>
      <w:r w:rsidRPr="00707E79">
        <w:rPr>
          <w:rFonts w:ascii="Arial" w:hAnsi="Arial" w:cs="Arial"/>
          <w:b/>
          <w:color w:val="F79646" w:themeColor="accent6"/>
          <w:sz w:val="20"/>
          <w:szCs w:val="20"/>
          <w:lang w:val="fr-FR"/>
        </w:rPr>
        <w:t>4.6 Préparer régulièrement des mises à jour sur l</w:t>
      </w:r>
      <w:r>
        <w:rPr>
          <w:rFonts w:ascii="Arial" w:hAnsi="Arial" w:cs="Arial"/>
          <w:b/>
          <w:color w:val="F79646" w:themeColor="accent6"/>
          <w:sz w:val="20"/>
          <w:szCs w:val="20"/>
          <w:lang w:val="fr-FR"/>
        </w:rPr>
        <w:t>’</w:t>
      </w:r>
      <w:r w:rsidRPr="00707E79">
        <w:rPr>
          <w:rFonts w:ascii="Arial" w:hAnsi="Arial" w:cs="Arial"/>
          <w:b/>
          <w:color w:val="F79646" w:themeColor="accent6"/>
          <w:sz w:val="20"/>
          <w:szCs w:val="20"/>
          <w:lang w:val="fr-FR"/>
        </w:rPr>
        <w:t xml:space="preserve">avancement de la mise en œuvre et la réalisation des buts des </w:t>
      </w:r>
      <w:r>
        <w:rPr>
          <w:rFonts w:ascii="Arial" w:hAnsi="Arial" w:cs="Arial"/>
          <w:b/>
          <w:color w:val="F79646" w:themeColor="accent6"/>
          <w:sz w:val="20"/>
          <w:szCs w:val="20"/>
          <w:lang w:val="fr-FR"/>
        </w:rPr>
        <w:t>ISSAP</w:t>
      </w:r>
      <w:r w:rsidRPr="00707E79">
        <w:rPr>
          <w:rFonts w:ascii="Arial" w:hAnsi="Arial" w:cs="Arial"/>
          <w:b/>
          <w:color w:val="F79646" w:themeColor="accent6"/>
          <w:sz w:val="20"/>
          <w:szCs w:val="20"/>
          <w:lang w:val="fr-FR"/>
        </w:rPr>
        <w:t>/</w:t>
      </w:r>
      <w:r>
        <w:rPr>
          <w:rFonts w:ascii="Arial" w:hAnsi="Arial" w:cs="Arial"/>
          <w:b/>
          <w:color w:val="F79646" w:themeColor="accent6"/>
          <w:sz w:val="20"/>
          <w:szCs w:val="20"/>
          <w:lang w:val="fr-FR"/>
        </w:rPr>
        <w:t>ISSMP</w:t>
      </w:r>
      <w:r w:rsidRPr="00707E79">
        <w:rPr>
          <w:rFonts w:ascii="Arial" w:hAnsi="Arial" w:cs="Arial"/>
          <w:b/>
          <w:i/>
          <w:color w:val="0070C0"/>
          <w:sz w:val="20"/>
          <w:szCs w:val="20"/>
          <w:lang w:val="fr-FR"/>
        </w:rPr>
        <w:t>(essentiel)</w:t>
      </w:r>
      <w:r w:rsidRPr="00707E79">
        <w:rPr>
          <w:rFonts w:ascii="Arial" w:hAnsi="Arial" w:cs="Arial"/>
          <w:b/>
          <w:color w:val="F79646" w:themeColor="accent6"/>
          <w:sz w:val="20"/>
          <w:szCs w:val="20"/>
          <w:lang w:val="fr-FR"/>
        </w:rPr>
        <w:t> </w:t>
      </w:r>
    </w:p>
    <w:p w14:paraId="32C2AECC" w14:textId="77777777" w:rsidR="00886A3C" w:rsidRPr="004B1407" w:rsidRDefault="00886A3C" w:rsidP="00886A3C">
      <w:pPr>
        <w:spacing w:after="0" w:line="240" w:lineRule="auto"/>
        <w:rPr>
          <w:rFonts w:ascii="Arial" w:hAnsi="Arial" w:cs="Arial"/>
          <w:color w:val="4BACC6" w:themeColor="accent5"/>
          <w:sz w:val="20"/>
          <w:szCs w:val="20"/>
          <w:lang w:val="fr-FR"/>
        </w:rPr>
      </w:pPr>
    </w:p>
    <w:p w14:paraId="71B8A52B" w14:textId="77777777" w:rsidR="00886A3C" w:rsidRPr="004B1407" w:rsidRDefault="00886A3C" w:rsidP="00886A3C">
      <w:pPr>
        <w:spacing w:after="0" w:line="240" w:lineRule="auto"/>
        <w:jc w:val="both"/>
        <w:rPr>
          <w:rFonts w:ascii="Arial" w:hAnsi="Arial" w:cs="Arial"/>
          <w:sz w:val="20"/>
          <w:szCs w:val="20"/>
          <w:lang w:val="fr-FR"/>
        </w:rPr>
      </w:pPr>
      <w:r w:rsidRPr="00707E79">
        <w:rPr>
          <w:rFonts w:ascii="Arial" w:hAnsi="Arial" w:cs="Arial"/>
          <w:sz w:val="20"/>
          <w:szCs w:val="20"/>
          <w:lang w:val="fr-FR"/>
        </w:rPr>
        <w:t>Le coordinateur sera chargé par le Secrétariat de préparer des mises à jour sur les progrès réalisés par le groupe de travail et l</w:t>
      </w:r>
      <w:r>
        <w:rPr>
          <w:rFonts w:ascii="Arial" w:hAnsi="Arial" w:cs="Arial"/>
          <w:sz w:val="20"/>
          <w:szCs w:val="20"/>
          <w:lang w:val="fr-FR"/>
        </w:rPr>
        <w:t>’</w:t>
      </w:r>
      <w:r w:rsidRPr="00707E79">
        <w:rPr>
          <w:rFonts w:ascii="Arial" w:hAnsi="Arial" w:cs="Arial"/>
          <w:sz w:val="20"/>
          <w:szCs w:val="20"/>
          <w:lang w:val="fr-FR"/>
        </w:rPr>
        <w:t>avancement de la mise en œuvre</w:t>
      </w:r>
      <w:r>
        <w:rPr>
          <w:rFonts w:ascii="Arial" w:hAnsi="Arial" w:cs="Arial"/>
          <w:sz w:val="20"/>
          <w:szCs w:val="20"/>
          <w:lang w:val="fr-FR"/>
        </w:rPr>
        <w:t xml:space="preserve"> du plan</w:t>
      </w:r>
      <w:r w:rsidRPr="00707E79">
        <w:rPr>
          <w:rFonts w:ascii="Arial" w:hAnsi="Arial" w:cs="Arial"/>
          <w:sz w:val="20"/>
          <w:szCs w:val="20"/>
          <w:lang w:val="fr-FR"/>
        </w:rPr>
        <w:t>.</w:t>
      </w:r>
      <w:r w:rsidRPr="004B1407">
        <w:rPr>
          <w:rFonts w:ascii="Arial" w:hAnsi="Arial" w:cs="Arial"/>
          <w:sz w:val="20"/>
          <w:szCs w:val="20"/>
          <w:lang w:val="fr-FR"/>
        </w:rPr>
        <w:t xml:space="preserve"> </w:t>
      </w:r>
      <w:r w:rsidRPr="00707E79">
        <w:rPr>
          <w:rFonts w:ascii="Arial" w:hAnsi="Arial" w:cs="Arial"/>
          <w:sz w:val="20"/>
          <w:szCs w:val="20"/>
          <w:lang w:val="fr-FR"/>
        </w:rPr>
        <w:t>Ces mises à jour seront particulièrement indispensables pour les réunions du Comité technique et celles du Comité permanent, et les sessions de la Réunion des Parties.</w:t>
      </w:r>
      <w:r w:rsidRPr="004B1407">
        <w:rPr>
          <w:rFonts w:ascii="Arial" w:hAnsi="Arial" w:cs="Arial"/>
          <w:sz w:val="20"/>
          <w:szCs w:val="20"/>
          <w:lang w:val="fr-FR"/>
        </w:rPr>
        <w:t xml:space="preserve"> </w:t>
      </w:r>
    </w:p>
    <w:p w14:paraId="53A55363" w14:textId="77777777" w:rsidR="00886A3C" w:rsidRPr="004B1407" w:rsidRDefault="00886A3C" w:rsidP="00886A3C">
      <w:pPr>
        <w:spacing w:after="0" w:line="240" w:lineRule="auto"/>
        <w:jc w:val="both"/>
        <w:rPr>
          <w:rFonts w:ascii="Arial" w:hAnsi="Arial" w:cs="Arial"/>
          <w:sz w:val="20"/>
          <w:szCs w:val="20"/>
          <w:lang w:val="fr-FR"/>
        </w:rPr>
      </w:pPr>
    </w:p>
    <w:p w14:paraId="087CE50B" w14:textId="77777777" w:rsidR="00886A3C" w:rsidRPr="004B1407" w:rsidRDefault="00886A3C" w:rsidP="00886A3C">
      <w:pPr>
        <w:spacing w:after="0" w:line="240" w:lineRule="auto"/>
        <w:jc w:val="both"/>
        <w:rPr>
          <w:rFonts w:ascii="Arial" w:hAnsi="Arial" w:cs="Arial"/>
          <w:sz w:val="20"/>
          <w:szCs w:val="20"/>
          <w:lang w:val="fr-FR"/>
        </w:rPr>
      </w:pPr>
      <w:r w:rsidRPr="00707E79">
        <w:rPr>
          <w:rFonts w:ascii="Arial" w:hAnsi="Arial" w:cs="Arial"/>
          <w:sz w:val="20"/>
          <w:szCs w:val="20"/>
          <w:lang w:val="fr-FR"/>
        </w:rPr>
        <w:t>Comme ceci a été mentionné plus haut, sous la tâche 3, les coordinateurs sont également encouragés à partager avec le Secrétariat des informations sur les progrès réalisés dans le cadre du plan (par ex. en soumettant des textes sur des projets/réunions réussis etc. afin qu</w:t>
      </w:r>
      <w:r>
        <w:rPr>
          <w:rFonts w:ascii="Arial" w:hAnsi="Arial" w:cs="Arial"/>
          <w:sz w:val="20"/>
          <w:szCs w:val="20"/>
          <w:lang w:val="fr-FR"/>
        </w:rPr>
        <w:t>’</w:t>
      </w:r>
      <w:r w:rsidRPr="00707E79">
        <w:rPr>
          <w:rFonts w:ascii="Arial" w:hAnsi="Arial" w:cs="Arial"/>
          <w:sz w:val="20"/>
          <w:szCs w:val="20"/>
          <w:lang w:val="fr-FR"/>
        </w:rPr>
        <w:t>ils soient postés sur le site Web de l</w:t>
      </w:r>
      <w:r>
        <w:rPr>
          <w:rFonts w:ascii="Arial" w:hAnsi="Arial" w:cs="Arial"/>
          <w:sz w:val="20"/>
          <w:szCs w:val="20"/>
          <w:lang w:val="fr-FR"/>
        </w:rPr>
        <w:t>’</w:t>
      </w:r>
      <w:r w:rsidRPr="00707E79">
        <w:rPr>
          <w:rFonts w:ascii="Arial" w:hAnsi="Arial" w:cs="Arial"/>
          <w:sz w:val="20"/>
          <w:szCs w:val="20"/>
          <w:lang w:val="fr-FR"/>
        </w:rPr>
        <w:t xml:space="preserve">AEWA ou </w:t>
      </w:r>
      <w:r>
        <w:rPr>
          <w:rFonts w:ascii="Arial" w:hAnsi="Arial" w:cs="Arial"/>
          <w:sz w:val="20"/>
          <w:szCs w:val="20"/>
          <w:lang w:val="fr-FR"/>
        </w:rPr>
        <w:t xml:space="preserve">qu’ils </w:t>
      </w:r>
      <w:r w:rsidRPr="00707E79">
        <w:rPr>
          <w:rFonts w:ascii="Arial" w:hAnsi="Arial" w:cs="Arial"/>
          <w:sz w:val="20"/>
          <w:szCs w:val="20"/>
          <w:lang w:val="fr-FR"/>
        </w:rPr>
        <w:t>figurent dans le e-bulletin), et</w:t>
      </w:r>
      <w:r>
        <w:rPr>
          <w:rFonts w:ascii="Arial" w:hAnsi="Arial" w:cs="Arial"/>
          <w:sz w:val="20"/>
          <w:szCs w:val="20"/>
          <w:lang w:val="fr-FR"/>
        </w:rPr>
        <w:t>,</w:t>
      </w:r>
      <w:r w:rsidRPr="00707E79">
        <w:rPr>
          <w:rFonts w:ascii="Arial" w:hAnsi="Arial" w:cs="Arial"/>
          <w:sz w:val="20"/>
          <w:szCs w:val="20"/>
          <w:lang w:val="fr-FR"/>
        </w:rPr>
        <w:t xml:space="preserve"> bien sûr</w:t>
      </w:r>
      <w:r>
        <w:rPr>
          <w:rFonts w:ascii="Arial" w:hAnsi="Arial" w:cs="Arial"/>
          <w:sz w:val="20"/>
          <w:szCs w:val="20"/>
          <w:lang w:val="fr-FR"/>
        </w:rPr>
        <w:t>,</w:t>
      </w:r>
      <w:r w:rsidRPr="00707E79">
        <w:rPr>
          <w:rFonts w:ascii="Arial" w:hAnsi="Arial" w:cs="Arial"/>
          <w:sz w:val="20"/>
          <w:szCs w:val="20"/>
          <w:lang w:val="fr-FR"/>
        </w:rPr>
        <w:t xml:space="preserve"> </w:t>
      </w:r>
      <w:r>
        <w:rPr>
          <w:rFonts w:ascii="Arial" w:hAnsi="Arial" w:cs="Arial"/>
          <w:sz w:val="20"/>
          <w:szCs w:val="20"/>
          <w:lang w:val="fr-FR"/>
        </w:rPr>
        <w:t xml:space="preserve">à les partager également </w:t>
      </w:r>
      <w:r w:rsidRPr="00707E79">
        <w:rPr>
          <w:rFonts w:ascii="Arial" w:hAnsi="Arial" w:cs="Arial"/>
          <w:sz w:val="20"/>
          <w:szCs w:val="20"/>
          <w:lang w:val="fr-FR"/>
        </w:rPr>
        <w:t xml:space="preserve">avec la </w:t>
      </w:r>
      <w:r>
        <w:rPr>
          <w:rFonts w:ascii="Arial" w:hAnsi="Arial" w:cs="Arial"/>
          <w:sz w:val="20"/>
          <w:szCs w:val="20"/>
          <w:lang w:val="fr-FR"/>
        </w:rPr>
        <w:t>grande</w:t>
      </w:r>
      <w:r w:rsidRPr="00707E79">
        <w:rPr>
          <w:rFonts w:ascii="Arial" w:hAnsi="Arial" w:cs="Arial"/>
          <w:sz w:val="20"/>
          <w:szCs w:val="20"/>
          <w:lang w:val="fr-FR"/>
        </w:rPr>
        <w:t xml:space="preserve"> communauté de la conservation.</w:t>
      </w:r>
    </w:p>
    <w:p w14:paraId="3A6B95F0"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886A3C" w:rsidRPr="00DE4CF4" w14:paraId="4E5F1970" w14:textId="77777777" w:rsidTr="00886A3C">
        <w:tc>
          <w:tcPr>
            <w:tcW w:w="9576" w:type="dxa"/>
          </w:tcPr>
          <w:p w14:paraId="4C63E1D7" w14:textId="77777777" w:rsidR="00886A3C" w:rsidRPr="004B1407" w:rsidRDefault="00886A3C" w:rsidP="00886A3C">
            <w:pPr>
              <w:jc w:val="both"/>
              <w:rPr>
                <w:rFonts w:ascii="Arial" w:hAnsi="Arial" w:cs="Arial"/>
                <w:b/>
                <w:i/>
                <w:color w:val="0070C0"/>
                <w:sz w:val="16"/>
                <w:szCs w:val="16"/>
                <w:lang w:val="fr-FR"/>
              </w:rPr>
            </w:pPr>
          </w:p>
          <w:p w14:paraId="2EDBE427" w14:textId="77777777" w:rsidR="00886A3C" w:rsidRPr="00C87FEC" w:rsidRDefault="00886A3C" w:rsidP="00886A3C">
            <w:pPr>
              <w:jc w:val="both"/>
              <w:rPr>
                <w:rFonts w:ascii="Arial" w:hAnsi="Arial" w:cs="Arial"/>
                <w:b/>
                <w:i/>
                <w:color w:val="0070C0"/>
                <w:sz w:val="20"/>
                <w:szCs w:val="20"/>
                <w:lang w:val="en-GB"/>
              </w:rPr>
            </w:pPr>
            <w:r>
              <w:rPr>
                <w:rFonts w:ascii="Arial" w:hAnsi="Arial" w:cs="Arial"/>
                <w:b/>
                <w:i/>
                <w:color w:val="0070C0"/>
                <w:sz w:val="20"/>
                <w:szCs w:val="20"/>
                <w:lang w:val="fr-FR"/>
              </w:rPr>
              <w:t>ACTIVITÉS</w:t>
            </w:r>
            <w:r w:rsidRPr="00707E79">
              <w:rPr>
                <w:rFonts w:ascii="Arial" w:hAnsi="Arial" w:cs="Arial"/>
                <w:b/>
                <w:i/>
                <w:color w:val="0070C0"/>
                <w:sz w:val="20"/>
                <w:szCs w:val="20"/>
                <w:lang w:val="fr-FR"/>
              </w:rPr>
              <w:t xml:space="preserve"> PRINCIPALES :</w:t>
            </w:r>
          </w:p>
          <w:p w14:paraId="44CC66FD" w14:textId="77777777" w:rsidR="00886A3C" w:rsidRPr="002369DC" w:rsidRDefault="00886A3C" w:rsidP="00886A3C">
            <w:pPr>
              <w:jc w:val="both"/>
              <w:rPr>
                <w:rFonts w:ascii="Arial" w:hAnsi="Arial" w:cs="Arial"/>
                <w:b/>
                <w:i/>
                <w:color w:val="FF0000"/>
                <w:sz w:val="20"/>
                <w:szCs w:val="20"/>
                <w:lang w:val="en-GB"/>
              </w:rPr>
            </w:pPr>
          </w:p>
          <w:p w14:paraId="7097C1F0" w14:textId="77777777" w:rsidR="00886A3C" w:rsidRPr="004B1407" w:rsidRDefault="00886A3C" w:rsidP="00886A3C">
            <w:pPr>
              <w:pStyle w:val="ListParagraph"/>
              <w:numPr>
                <w:ilvl w:val="0"/>
                <w:numId w:val="21"/>
              </w:numPr>
              <w:ind w:left="0"/>
              <w:jc w:val="both"/>
              <w:rPr>
                <w:rFonts w:ascii="Arial" w:hAnsi="Arial" w:cs="Arial"/>
                <w:i/>
                <w:sz w:val="20"/>
                <w:szCs w:val="20"/>
                <w:lang w:val="fr-FR"/>
              </w:rPr>
            </w:pPr>
            <w:r w:rsidRPr="00D73BD4">
              <w:rPr>
                <w:rFonts w:ascii="Arial" w:hAnsi="Arial" w:cs="Arial"/>
                <w:i/>
                <w:sz w:val="20"/>
                <w:szCs w:val="20"/>
                <w:lang w:val="fr-FR"/>
              </w:rPr>
              <w:t>Fournir les mises à jour demandées au Secrétariat ;</w:t>
            </w:r>
          </w:p>
          <w:p w14:paraId="08F7FFB7" w14:textId="77777777" w:rsidR="00886A3C" w:rsidRPr="004B1407" w:rsidRDefault="00886A3C" w:rsidP="00886A3C">
            <w:pPr>
              <w:pStyle w:val="ListParagraph"/>
              <w:numPr>
                <w:ilvl w:val="0"/>
                <w:numId w:val="21"/>
              </w:numPr>
              <w:ind w:left="0"/>
              <w:jc w:val="both"/>
              <w:rPr>
                <w:rFonts w:ascii="Arial" w:hAnsi="Arial" w:cs="Arial"/>
                <w:i/>
                <w:sz w:val="20"/>
                <w:szCs w:val="20"/>
                <w:lang w:val="fr-FR"/>
              </w:rPr>
            </w:pPr>
            <w:r w:rsidRPr="00D73BD4">
              <w:rPr>
                <w:rFonts w:ascii="Arial" w:hAnsi="Arial" w:cs="Arial"/>
                <w:i/>
                <w:sz w:val="20"/>
                <w:szCs w:val="20"/>
                <w:lang w:val="fr-FR"/>
              </w:rPr>
              <w:t>Informer le Secrétariat des réalisations spéciales/ progrès dans la mise en œuvre de projets en vue d’une plus large diffusion.</w:t>
            </w:r>
          </w:p>
          <w:p w14:paraId="2D19B5C5" w14:textId="77777777" w:rsidR="00886A3C" w:rsidRPr="004B1407" w:rsidRDefault="00886A3C" w:rsidP="00886A3C">
            <w:pPr>
              <w:pStyle w:val="ListParagraph"/>
              <w:ind w:left="0"/>
              <w:jc w:val="both"/>
              <w:rPr>
                <w:rFonts w:ascii="Arial" w:hAnsi="Arial" w:cs="Arial"/>
                <w:sz w:val="16"/>
                <w:szCs w:val="16"/>
                <w:lang w:val="fr-FR"/>
              </w:rPr>
            </w:pPr>
          </w:p>
        </w:tc>
      </w:tr>
    </w:tbl>
    <w:p w14:paraId="315FB37B" w14:textId="77777777" w:rsidR="00886A3C" w:rsidRPr="004B1407" w:rsidRDefault="00886A3C" w:rsidP="00886A3C">
      <w:pPr>
        <w:spacing w:after="0" w:line="240" w:lineRule="auto"/>
        <w:jc w:val="both"/>
        <w:rPr>
          <w:rFonts w:ascii="Arial" w:hAnsi="Arial" w:cs="Arial"/>
          <w:sz w:val="20"/>
          <w:szCs w:val="20"/>
          <w:lang w:val="fr-FR"/>
        </w:rPr>
      </w:pPr>
    </w:p>
    <w:p w14:paraId="3F754EB3" w14:textId="77777777" w:rsidR="00886A3C" w:rsidRPr="004B1407" w:rsidRDefault="00886A3C" w:rsidP="00886A3C">
      <w:pPr>
        <w:spacing w:after="0" w:line="240" w:lineRule="auto"/>
        <w:jc w:val="both"/>
        <w:rPr>
          <w:rFonts w:ascii="Arial" w:hAnsi="Arial" w:cs="Arial"/>
          <w:sz w:val="20"/>
          <w:szCs w:val="20"/>
          <w:lang w:val="fr-FR"/>
        </w:rPr>
      </w:pPr>
    </w:p>
    <w:p w14:paraId="1258FAC7" w14:textId="77777777" w:rsidR="00886A3C" w:rsidRPr="004B1407" w:rsidRDefault="00886A3C" w:rsidP="00886A3C">
      <w:pPr>
        <w:spacing w:after="0" w:line="240" w:lineRule="auto"/>
        <w:jc w:val="both"/>
        <w:rPr>
          <w:rFonts w:ascii="Arial" w:hAnsi="Arial" w:cs="Arial"/>
          <w:sz w:val="20"/>
          <w:szCs w:val="20"/>
          <w:lang w:val="fr-FR"/>
        </w:rPr>
      </w:pPr>
    </w:p>
    <w:p w14:paraId="7A995E49" w14:textId="77777777" w:rsidR="00886A3C" w:rsidRPr="004B1407" w:rsidRDefault="00886A3C" w:rsidP="00886A3C">
      <w:pPr>
        <w:spacing w:after="0" w:line="240" w:lineRule="auto"/>
        <w:rPr>
          <w:rFonts w:ascii="Arial" w:hAnsi="Arial" w:cs="Arial"/>
          <w:b/>
          <w:i/>
          <w:color w:val="0070C0"/>
          <w:sz w:val="20"/>
          <w:szCs w:val="20"/>
          <w:lang w:val="fr-FR"/>
        </w:rPr>
      </w:pPr>
      <w:r w:rsidRPr="00707E79">
        <w:rPr>
          <w:rFonts w:ascii="Arial" w:hAnsi="Arial" w:cs="Arial"/>
          <w:b/>
          <w:color w:val="F79646" w:themeColor="accent6"/>
          <w:sz w:val="20"/>
          <w:szCs w:val="20"/>
          <w:lang w:val="fr-FR"/>
        </w:rPr>
        <w:t>4.7 Organiser des mises à jour ou des révisions de l</w:t>
      </w:r>
      <w:r>
        <w:rPr>
          <w:rFonts w:ascii="Arial" w:hAnsi="Arial" w:cs="Arial"/>
          <w:b/>
          <w:color w:val="F79646" w:themeColor="accent6"/>
          <w:sz w:val="20"/>
          <w:szCs w:val="20"/>
          <w:lang w:val="fr-FR"/>
        </w:rPr>
        <w:t>’ISSAP</w:t>
      </w:r>
      <w:r w:rsidRPr="00707E79">
        <w:rPr>
          <w:rFonts w:ascii="Arial" w:hAnsi="Arial" w:cs="Arial"/>
          <w:b/>
          <w:color w:val="F79646" w:themeColor="accent6"/>
          <w:sz w:val="20"/>
          <w:szCs w:val="20"/>
          <w:lang w:val="fr-FR"/>
        </w:rPr>
        <w:t>/</w:t>
      </w:r>
      <w:r>
        <w:rPr>
          <w:rFonts w:ascii="Arial" w:hAnsi="Arial" w:cs="Arial"/>
          <w:b/>
          <w:color w:val="F79646" w:themeColor="accent6"/>
          <w:sz w:val="20"/>
          <w:szCs w:val="20"/>
          <w:lang w:val="fr-FR"/>
        </w:rPr>
        <w:t>ISSMP</w:t>
      </w:r>
      <w:r w:rsidRPr="00707E79">
        <w:rPr>
          <w:rFonts w:ascii="Arial" w:hAnsi="Arial" w:cs="Arial"/>
          <w:b/>
          <w:i/>
          <w:color w:val="0070C0"/>
          <w:sz w:val="20"/>
          <w:szCs w:val="20"/>
          <w:lang w:val="fr-FR"/>
        </w:rPr>
        <w:t>(essentiel)</w:t>
      </w:r>
      <w:r w:rsidRPr="00707E79">
        <w:rPr>
          <w:rFonts w:ascii="Arial" w:hAnsi="Arial" w:cs="Arial"/>
          <w:b/>
          <w:color w:val="F79646" w:themeColor="accent6"/>
          <w:sz w:val="20"/>
          <w:szCs w:val="20"/>
          <w:lang w:val="fr-FR"/>
        </w:rPr>
        <w:t> </w:t>
      </w:r>
    </w:p>
    <w:p w14:paraId="68C306FC" w14:textId="77777777" w:rsidR="00886A3C" w:rsidRPr="004B1407" w:rsidRDefault="00886A3C" w:rsidP="00886A3C">
      <w:pPr>
        <w:spacing w:after="0" w:line="240" w:lineRule="auto"/>
        <w:rPr>
          <w:rFonts w:ascii="Arial" w:hAnsi="Arial" w:cs="Arial"/>
          <w:sz w:val="20"/>
          <w:szCs w:val="20"/>
          <w:lang w:val="fr-FR"/>
        </w:rPr>
      </w:pPr>
    </w:p>
    <w:p w14:paraId="1CEFE41D" w14:textId="77777777" w:rsidR="00886A3C" w:rsidRPr="004B1407" w:rsidRDefault="00886A3C" w:rsidP="00886A3C">
      <w:pPr>
        <w:spacing w:after="0" w:line="240" w:lineRule="auto"/>
        <w:jc w:val="both"/>
        <w:rPr>
          <w:rFonts w:ascii="Arial" w:hAnsi="Arial" w:cs="Arial"/>
          <w:sz w:val="20"/>
          <w:szCs w:val="20"/>
          <w:lang w:val="fr-FR"/>
        </w:rPr>
      </w:pPr>
      <w:r w:rsidRPr="00707E79">
        <w:rPr>
          <w:rFonts w:ascii="Arial" w:hAnsi="Arial" w:cs="Arial"/>
          <w:sz w:val="20"/>
          <w:szCs w:val="20"/>
          <w:lang w:val="fr-FR"/>
        </w:rPr>
        <w:t>Le coordinateur est aussi responsable</w:t>
      </w:r>
      <w:r>
        <w:rPr>
          <w:rFonts w:ascii="Arial" w:hAnsi="Arial" w:cs="Arial"/>
          <w:sz w:val="20"/>
          <w:szCs w:val="20"/>
          <w:lang w:val="fr-FR"/>
        </w:rPr>
        <w:t>,</w:t>
      </w:r>
      <w:r w:rsidRPr="00707E79">
        <w:rPr>
          <w:rFonts w:ascii="Arial" w:hAnsi="Arial" w:cs="Arial"/>
          <w:sz w:val="20"/>
          <w:szCs w:val="20"/>
          <w:lang w:val="fr-FR"/>
        </w:rPr>
        <w:t xml:space="preserve"> s</w:t>
      </w:r>
      <w:r>
        <w:rPr>
          <w:rFonts w:ascii="Arial" w:hAnsi="Arial" w:cs="Arial"/>
          <w:sz w:val="20"/>
          <w:szCs w:val="20"/>
          <w:lang w:val="fr-FR"/>
        </w:rPr>
        <w:t>’</w:t>
      </w:r>
      <w:r w:rsidRPr="00707E79">
        <w:rPr>
          <w:rFonts w:ascii="Arial" w:hAnsi="Arial" w:cs="Arial"/>
          <w:sz w:val="20"/>
          <w:szCs w:val="20"/>
          <w:lang w:val="fr-FR"/>
        </w:rPr>
        <w:t>il y a lieu</w:t>
      </w:r>
      <w:r>
        <w:rPr>
          <w:rFonts w:ascii="Arial" w:hAnsi="Arial" w:cs="Arial"/>
          <w:sz w:val="20"/>
          <w:szCs w:val="20"/>
          <w:lang w:val="fr-FR"/>
        </w:rPr>
        <w:t xml:space="preserve">, </w:t>
      </w:r>
      <w:r w:rsidRPr="00707E79">
        <w:rPr>
          <w:rFonts w:ascii="Arial" w:hAnsi="Arial" w:cs="Arial"/>
          <w:sz w:val="20"/>
          <w:szCs w:val="20"/>
          <w:lang w:val="fr-FR"/>
        </w:rPr>
        <w:t>de l</w:t>
      </w:r>
      <w:r>
        <w:rPr>
          <w:rFonts w:ascii="Arial" w:hAnsi="Arial" w:cs="Arial"/>
          <w:sz w:val="20"/>
          <w:szCs w:val="20"/>
          <w:lang w:val="fr-FR"/>
        </w:rPr>
        <w:t>’</w:t>
      </w:r>
      <w:r w:rsidRPr="00707E79">
        <w:rPr>
          <w:rFonts w:ascii="Arial" w:hAnsi="Arial" w:cs="Arial"/>
          <w:sz w:val="20"/>
          <w:szCs w:val="20"/>
          <w:lang w:val="fr-FR"/>
        </w:rPr>
        <w:t>organisation des mises à jour ou des révisions des plans d</w:t>
      </w:r>
      <w:r>
        <w:rPr>
          <w:rFonts w:ascii="Arial" w:hAnsi="Arial" w:cs="Arial"/>
          <w:sz w:val="20"/>
          <w:szCs w:val="20"/>
          <w:lang w:val="fr-FR"/>
        </w:rPr>
        <w:t>’</w:t>
      </w:r>
      <w:r w:rsidRPr="00707E79">
        <w:rPr>
          <w:rFonts w:ascii="Arial" w:hAnsi="Arial" w:cs="Arial"/>
          <w:sz w:val="20"/>
          <w:szCs w:val="20"/>
          <w:lang w:val="fr-FR"/>
        </w:rPr>
        <w:t>action/ de gestion par espèce en coopération avec le Secrétariat de l</w:t>
      </w:r>
      <w:r>
        <w:rPr>
          <w:rFonts w:ascii="Arial" w:hAnsi="Arial" w:cs="Arial"/>
          <w:sz w:val="20"/>
          <w:szCs w:val="20"/>
          <w:lang w:val="fr-FR"/>
        </w:rPr>
        <w:t>’</w:t>
      </w:r>
      <w:r w:rsidRPr="00707E79">
        <w:rPr>
          <w:rFonts w:ascii="Arial" w:hAnsi="Arial" w:cs="Arial"/>
          <w:sz w:val="20"/>
          <w:szCs w:val="20"/>
          <w:lang w:val="fr-FR"/>
        </w:rPr>
        <w:t>AEWA.</w:t>
      </w:r>
      <w:r w:rsidRPr="004B1407">
        <w:rPr>
          <w:rFonts w:ascii="Arial" w:hAnsi="Arial" w:cs="Arial"/>
          <w:sz w:val="20"/>
          <w:szCs w:val="20"/>
          <w:lang w:val="fr-FR"/>
        </w:rPr>
        <w:t xml:space="preserve"> </w:t>
      </w:r>
      <w:r w:rsidRPr="00707E79">
        <w:rPr>
          <w:rFonts w:ascii="Arial" w:hAnsi="Arial" w:cs="Arial"/>
          <w:sz w:val="20"/>
          <w:szCs w:val="20"/>
          <w:lang w:val="fr-FR"/>
        </w:rPr>
        <w:t>La révision du plan est généralement prévue au bout d</w:t>
      </w:r>
      <w:r>
        <w:rPr>
          <w:rFonts w:ascii="Arial" w:hAnsi="Arial" w:cs="Arial"/>
          <w:sz w:val="20"/>
          <w:szCs w:val="20"/>
          <w:lang w:val="fr-FR"/>
        </w:rPr>
        <w:t>’</w:t>
      </w:r>
      <w:r w:rsidRPr="00707E79">
        <w:rPr>
          <w:rFonts w:ascii="Arial" w:hAnsi="Arial" w:cs="Arial"/>
          <w:sz w:val="20"/>
          <w:szCs w:val="20"/>
          <w:lang w:val="fr-FR"/>
        </w:rPr>
        <w:t>une certaine période (10 ans) qui est spécifiée dans le plan lui-même.</w:t>
      </w:r>
      <w:r w:rsidRPr="004B1407">
        <w:rPr>
          <w:rFonts w:ascii="Arial" w:hAnsi="Arial" w:cs="Arial"/>
          <w:sz w:val="20"/>
          <w:szCs w:val="20"/>
          <w:lang w:val="fr-FR"/>
        </w:rPr>
        <w:t xml:space="preserve"> </w:t>
      </w:r>
      <w:r w:rsidRPr="00707E79">
        <w:rPr>
          <w:rFonts w:ascii="Arial" w:hAnsi="Arial" w:cs="Arial"/>
          <w:sz w:val="20"/>
          <w:szCs w:val="20"/>
          <w:lang w:val="fr-FR"/>
        </w:rPr>
        <w:t>Un examen d</w:t>
      </w:r>
      <w:r>
        <w:rPr>
          <w:rFonts w:ascii="Arial" w:hAnsi="Arial" w:cs="Arial"/>
          <w:sz w:val="20"/>
          <w:szCs w:val="20"/>
          <w:lang w:val="fr-FR"/>
        </w:rPr>
        <w:t>’</w:t>
      </w:r>
      <w:r w:rsidRPr="00707E79">
        <w:rPr>
          <w:rFonts w:ascii="Arial" w:hAnsi="Arial" w:cs="Arial"/>
          <w:sz w:val="20"/>
          <w:szCs w:val="20"/>
          <w:lang w:val="fr-FR"/>
        </w:rPr>
        <w:t>urgence du plan peut être également réalisé si des changements majeurs interviennent soudain, affectant l</w:t>
      </w:r>
      <w:r>
        <w:rPr>
          <w:rFonts w:ascii="Arial" w:hAnsi="Arial" w:cs="Arial"/>
          <w:sz w:val="20"/>
          <w:szCs w:val="20"/>
          <w:lang w:val="fr-FR"/>
        </w:rPr>
        <w:t>’</w:t>
      </w:r>
      <w:r w:rsidRPr="00707E79">
        <w:rPr>
          <w:rFonts w:ascii="Arial" w:hAnsi="Arial" w:cs="Arial"/>
          <w:sz w:val="20"/>
          <w:szCs w:val="20"/>
          <w:lang w:val="fr-FR"/>
        </w:rPr>
        <w:t>espèce/</w:t>
      </w:r>
      <w:r>
        <w:rPr>
          <w:rFonts w:ascii="Arial" w:hAnsi="Arial" w:cs="Arial"/>
          <w:sz w:val="20"/>
          <w:szCs w:val="20"/>
          <w:lang w:val="fr-FR"/>
        </w:rPr>
        <w:t xml:space="preserve">la </w:t>
      </w:r>
      <w:r w:rsidRPr="00707E79">
        <w:rPr>
          <w:rFonts w:ascii="Arial" w:hAnsi="Arial" w:cs="Arial"/>
          <w:sz w:val="20"/>
          <w:szCs w:val="20"/>
          <w:lang w:val="fr-FR"/>
        </w:rPr>
        <w:t>population en question.</w:t>
      </w:r>
      <w:r w:rsidRPr="004B1407">
        <w:rPr>
          <w:rFonts w:ascii="Arial" w:hAnsi="Arial" w:cs="Arial"/>
          <w:sz w:val="20"/>
          <w:szCs w:val="20"/>
          <w:lang w:val="fr-FR"/>
        </w:rPr>
        <w:t xml:space="preserve"> </w:t>
      </w:r>
    </w:p>
    <w:p w14:paraId="3A0EFBF6"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886A3C" w:rsidRPr="00DE4CF4" w14:paraId="0EACF2A3" w14:textId="77777777" w:rsidTr="00886A3C">
        <w:tc>
          <w:tcPr>
            <w:tcW w:w="9576" w:type="dxa"/>
          </w:tcPr>
          <w:p w14:paraId="6BE4D485" w14:textId="77777777" w:rsidR="00886A3C" w:rsidRPr="004B1407" w:rsidRDefault="00886A3C" w:rsidP="00886A3C">
            <w:pPr>
              <w:jc w:val="both"/>
              <w:rPr>
                <w:rFonts w:ascii="Arial" w:hAnsi="Arial" w:cs="Arial"/>
                <w:b/>
                <w:i/>
                <w:color w:val="FF0000"/>
                <w:sz w:val="20"/>
                <w:szCs w:val="20"/>
                <w:lang w:val="fr-FR"/>
              </w:rPr>
            </w:pPr>
          </w:p>
          <w:p w14:paraId="44B9EF72" w14:textId="77777777" w:rsidR="00886A3C" w:rsidRPr="00C87FEC" w:rsidRDefault="00886A3C" w:rsidP="00886A3C">
            <w:pPr>
              <w:jc w:val="both"/>
              <w:rPr>
                <w:rFonts w:ascii="Arial" w:hAnsi="Arial" w:cs="Arial"/>
                <w:b/>
                <w:i/>
                <w:color w:val="0070C0"/>
                <w:sz w:val="20"/>
                <w:szCs w:val="20"/>
                <w:lang w:val="en-GB"/>
              </w:rPr>
            </w:pPr>
            <w:r>
              <w:rPr>
                <w:rFonts w:ascii="Arial" w:hAnsi="Arial" w:cs="Arial"/>
                <w:b/>
                <w:i/>
                <w:color w:val="0070C0"/>
                <w:sz w:val="20"/>
                <w:szCs w:val="20"/>
                <w:lang w:val="fr-FR"/>
              </w:rPr>
              <w:t>ACTIVITÉS</w:t>
            </w:r>
            <w:r w:rsidRPr="00707E79">
              <w:rPr>
                <w:rFonts w:ascii="Arial" w:hAnsi="Arial" w:cs="Arial"/>
                <w:b/>
                <w:i/>
                <w:color w:val="0070C0"/>
                <w:sz w:val="20"/>
                <w:szCs w:val="20"/>
                <w:lang w:val="fr-FR"/>
              </w:rPr>
              <w:t xml:space="preserve"> PRINCIPALES :</w:t>
            </w:r>
          </w:p>
          <w:p w14:paraId="2C23CF71" w14:textId="77777777" w:rsidR="00886A3C" w:rsidRPr="002369DC" w:rsidRDefault="00886A3C" w:rsidP="00886A3C">
            <w:pPr>
              <w:jc w:val="both"/>
              <w:rPr>
                <w:rFonts w:ascii="Arial" w:hAnsi="Arial" w:cs="Arial"/>
                <w:i/>
                <w:sz w:val="20"/>
                <w:szCs w:val="20"/>
                <w:lang w:val="en-GB"/>
              </w:rPr>
            </w:pPr>
          </w:p>
          <w:p w14:paraId="74D9F285" w14:textId="77777777" w:rsidR="00886A3C" w:rsidRPr="004B1407" w:rsidRDefault="00886A3C" w:rsidP="00886A3C">
            <w:pPr>
              <w:pStyle w:val="ListParagraph"/>
              <w:numPr>
                <w:ilvl w:val="0"/>
                <w:numId w:val="22"/>
              </w:numPr>
              <w:ind w:left="0"/>
              <w:jc w:val="both"/>
              <w:rPr>
                <w:rFonts w:ascii="Arial" w:hAnsi="Arial" w:cs="Arial"/>
                <w:i/>
                <w:sz w:val="20"/>
                <w:szCs w:val="20"/>
                <w:lang w:val="fr-FR"/>
              </w:rPr>
            </w:pPr>
            <w:r>
              <w:rPr>
                <w:rFonts w:ascii="Arial" w:hAnsi="Arial" w:cs="Arial"/>
                <w:i/>
                <w:sz w:val="20"/>
                <w:szCs w:val="20"/>
                <w:lang w:val="fr-FR"/>
              </w:rPr>
              <w:t>plan</w:t>
            </w:r>
            <w:r w:rsidRPr="00D73BD4">
              <w:rPr>
                <w:rFonts w:ascii="Arial" w:hAnsi="Arial" w:cs="Arial"/>
                <w:i/>
                <w:sz w:val="20"/>
                <w:szCs w:val="20"/>
                <w:lang w:val="fr-FR"/>
              </w:rPr>
              <w:t>ifier et réaliser la révision en coopération avec le Secrétariat PNUE/AEWA (durée, besoin possible d’assistance externe et levée de fonds nécessaire, etc.) ainsi que l’ISWG (organiser le rapport national en vue des données les plus récentes, faire circuler les avant-projets parmi les membres de l’ISWG aux fins de commentaires etc.).</w:t>
            </w:r>
          </w:p>
          <w:p w14:paraId="6839DBAA" w14:textId="77777777" w:rsidR="00886A3C" w:rsidRPr="004B1407" w:rsidRDefault="00886A3C" w:rsidP="00886A3C">
            <w:pPr>
              <w:jc w:val="both"/>
              <w:rPr>
                <w:rFonts w:ascii="Arial" w:hAnsi="Arial" w:cs="Arial"/>
                <w:sz w:val="20"/>
                <w:szCs w:val="20"/>
                <w:lang w:val="fr-FR"/>
              </w:rPr>
            </w:pPr>
          </w:p>
        </w:tc>
      </w:tr>
    </w:tbl>
    <w:p w14:paraId="1BE4FD95" w14:textId="77777777" w:rsidR="00886A3C" w:rsidRPr="004B1407" w:rsidRDefault="00886A3C" w:rsidP="00886A3C">
      <w:pPr>
        <w:spacing w:after="0" w:line="240" w:lineRule="auto"/>
        <w:jc w:val="both"/>
        <w:rPr>
          <w:rFonts w:ascii="Arial" w:hAnsi="Arial" w:cs="Arial"/>
          <w:sz w:val="20"/>
          <w:szCs w:val="20"/>
          <w:lang w:val="fr-FR"/>
        </w:rPr>
      </w:pPr>
    </w:p>
    <w:p w14:paraId="3AE0F09B" w14:textId="77777777" w:rsidR="00886A3C" w:rsidRPr="004B1407" w:rsidRDefault="00886A3C" w:rsidP="00886A3C">
      <w:pPr>
        <w:spacing w:after="0" w:line="240" w:lineRule="auto"/>
        <w:rPr>
          <w:rFonts w:ascii="Arial" w:hAnsi="Arial" w:cs="Arial"/>
          <w:sz w:val="20"/>
          <w:szCs w:val="20"/>
          <w:lang w:val="fr-FR"/>
        </w:rPr>
      </w:pPr>
    </w:p>
    <w:p w14:paraId="627B3BFB" w14:textId="77777777" w:rsidR="00886A3C" w:rsidRPr="004B1407" w:rsidRDefault="00886A3C" w:rsidP="00886A3C">
      <w:pPr>
        <w:spacing w:after="0" w:line="240" w:lineRule="auto"/>
        <w:rPr>
          <w:rFonts w:ascii="Arial" w:hAnsi="Arial" w:cs="Arial"/>
          <w:color w:val="F79646" w:themeColor="accent6"/>
          <w:sz w:val="20"/>
          <w:szCs w:val="20"/>
          <w:lang w:val="fr-FR"/>
        </w:rPr>
      </w:pPr>
      <w:r w:rsidRPr="006A56BF">
        <w:rPr>
          <w:rFonts w:ascii="Arial" w:hAnsi="Arial" w:cs="Arial"/>
          <w:b/>
          <w:color w:val="F79646" w:themeColor="accent6"/>
          <w:sz w:val="20"/>
          <w:szCs w:val="20"/>
          <w:lang w:val="fr-FR"/>
        </w:rPr>
        <w:t>4.8 Établir et entretenir une base de documentation</w:t>
      </w:r>
      <w:r w:rsidRPr="004B1407">
        <w:rPr>
          <w:rFonts w:ascii="Arial" w:hAnsi="Arial" w:cs="Arial"/>
          <w:color w:val="F79646" w:themeColor="accent6"/>
          <w:sz w:val="20"/>
          <w:szCs w:val="20"/>
          <w:lang w:val="fr-FR"/>
        </w:rPr>
        <w:t xml:space="preserve"> </w:t>
      </w:r>
    </w:p>
    <w:p w14:paraId="2CB8E593" w14:textId="77777777" w:rsidR="00886A3C" w:rsidRPr="004B1407" w:rsidRDefault="00886A3C" w:rsidP="00886A3C">
      <w:pPr>
        <w:spacing w:after="0" w:line="240" w:lineRule="auto"/>
        <w:rPr>
          <w:rFonts w:ascii="Arial" w:hAnsi="Arial" w:cs="Arial"/>
          <w:sz w:val="20"/>
          <w:szCs w:val="20"/>
          <w:lang w:val="fr-FR"/>
        </w:rPr>
      </w:pPr>
    </w:p>
    <w:p w14:paraId="4C4C06A1" w14:textId="77777777" w:rsidR="00886A3C" w:rsidRPr="004B1407" w:rsidRDefault="00886A3C" w:rsidP="00886A3C">
      <w:pPr>
        <w:spacing w:after="0" w:line="240" w:lineRule="auto"/>
        <w:jc w:val="both"/>
        <w:rPr>
          <w:rFonts w:ascii="Arial" w:hAnsi="Arial" w:cs="Arial"/>
          <w:sz w:val="20"/>
          <w:szCs w:val="20"/>
          <w:lang w:val="fr-FR"/>
        </w:rPr>
      </w:pPr>
      <w:r w:rsidRPr="006A56BF">
        <w:rPr>
          <w:rFonts w:ascii="Arial" w:hAnsi="Arial" w:cs="Arial"/>
          <w:sz w:val="20"/>
          <w:szCs w:val="20"/>
          <w:lang w:val="fr-FR"/>
        </w:rPr>
        <w:t>Les coordinateurs sont également encouragés à mettre en place et entretenir une base de documentation pour l</w:t>
      </w:r>
      <w:r>
        <w:rPr>
          <w:rFonts w:ascii="Arial" w:hAnsi="Arial" w:cs="Arial"/>
          <w:sz w:val="20"/>
          <w:szCs w:val="20"/>
          <w:lang w:val="fr-FR"/>
        </w:rPr>
        <w:t>’</w:t>
      </w:r>
      <w:r w:rsidRPr="006A56BF">
        <w:rPr>
          <w:rFonts w:ascii="Arial" w:hAnsi="Arial" w:cs="Arial"/>
          <w:sz w:val="20"/>
          <w:szCs w:val="20"/>
          <w:lang w:val="fr-FR"/>
        </w:rPr>
        <w:t>espèce en question, si ce genre de r</w:t>
      </w:r>
      <w:r>
        <w:rPr>
          <w:rFonts w:ascii="Arial" w:hAnsi="Arial" w:cs="Arial"/>
          <w:sz w:val="20"/>
          <w:szCs w:val="20"/>
          <w:lang w:val="fr-FR"/>
        </w:rPr>
        <w:t>e</w:t>
      </w:r>
      <w:r w:rsidRPr="006A56BF">
        <w:rPr>
          <w:rFonts w:ascii="Arial" w:hAnsi="Arial" w:cs="Arial"/>
          <w:sz w:val="20"/>
          <w:szCs w:val="20"/>
          <w:lang w:val="fr-FR"/>
        </w:rPr>
        <w:t>ssource n</w:t>
      </w:r>
      <w:r>
        <w:rPr>
          <w:rFonts w:ascii="Arial" w:hAnsi="Arial" w:cs="Arial"/>
          <w:sz w:val="20"/>
          <w:szCs w:val="20"/>
          <w:lang w:val="fr-FR"/>
        </w:rPr>
        <w:t>’</w:t>
      </w:r>
      <w:r w:rsidRPr="006A56BF">
        <w:rPr>
          <w:rFonts w:ascii="Arial" w:hAnsi="Arial" w:cs="Arial"/>
          <w:sz w:val="20"/>
          <w:szCs w:val="20"/>
          <w:lang w:val="fr-FR"/>
        </w:rPr>
        <w:t>existe pas encore.</w:t>
      </w:r>
      <w:r w:rsidRPr="004B1407">
        <w:rPr>
          <w:rFonts w:ascii="Arial" w:hAnsi="Arial" w:cs="Arial"/>
          <w:sz w:val="20"/>
          <w:szCs w:val="20"/>
          <w:lang w:val="fr-FR"/>
        </w:rPr>
        <w:t xml:space="preserve"> </w:t>
      </w:r>
      <w:r w:rsidRPr="0084200F">
        <w:rPr>
          <w:rFonts w:ascii="Arial" w:hAnsi="Arial" w:cs="Arial"/>
          <w:sz w:val="20"/>
          <w:szCs w:val="20"/>
          <w:lang w:val="fr-FR"/>
        </w:rPr>
        <w:t>Ceci pourrait comprendre, entre autres, les rapports nationaux au groupe de travail, des articles scientifiques, des articles de vulgarisation, des illustrations, des cartes, des dossiers d</w:t>
      </w:r>
      <w:r>
        <w:rPr>
          <w:rFonts w:ascii="Arial" w:hAnsi="Arial" w:cs="Arial"/>
          <w:sz w:val="20"/>
          <w:szCs w:val="20"/>
          <w:lang w:val="fr-FR"/>
        </w:rPr>
        <w:t>’</w:t>
      </w:r>
      <w:r w:rsidRPr="0084200F">
        <w:rPr>
          <w:rFonts w:ascii="Arial" w:hAnsi="Arial" w:cs="Arial"/>
          <w:sz w:val="20"/>
          <w:szCs w:val="20"/>
          <w:lang w:val="fr-FR"/>
        </w:rPr>
        <w:t>observation, etc. En relation avec les tâches décrites sous 4.2 (rapports nationaux aux réunions de l</w:t>
      </w:r>
      <w:r>
        <w:rPr>
          <w:rFonts w:ascii="Arial" w:hAnsi="Arial" w:cs="Arial"/>
          <w:sz w:val="20"/>
          <w:szCs w:val="20"/>
          <w:lang w:val="fr-FR"/>
        </w:rPr>
        <w:t>’</w:t>
      </w:r>
      <w:r w:rsidRPr="0084200F">
        <w:rPr>
          <w:rFonts w:ascii="Arial" w:hAnsi="Arial" w:cs="Arial"/>
          <w:sz w:val="20"/>
          <w:szCs w:val="20"/>
          <w:lang w:val="fr-FR"/>
        </w:rPr>
        <w:t xml:space="preserve">ISWG), 4.6 (rapports périodiques sur la mise en œuvre) et 4.7 (Révisions des </w:t>
      </w:r>
      <w:r>
        <w:rPr>
          <w:rFonts w:ascii="Arial" w:hAnsi="Arial" w:cs="Arial"/>
          <w:sz w:val="20"/>
          <w:szCs w:val="20"/>
          <w:lang w:val="fr-FR"/>
        </w:rPr>
        <w:t>ISSAP</w:t>
      </w:r>
      <w:r w:rsidRPr="0084200F">
        <w:rPr>
          <w:rFonts w:ascii="Arial" w:hAnsi="Arial" w:cs="Arial"/>
          <w:sz w:val="20"/>
          <w:szCs w:val="20"/>
          <w:lang w:val="fr-FR"/>
        </w:rPr>
        <w:t xml:space="preserve"> ou </w:t>
      </w:r>
      <w:r>
        <w:rPr>
          <w:rFonts w:ascii="Arial" w:hAnsi="Arial" w:cs="Arial"/>
          <w:sz w:val="20"/>
          <w:szCs w:val="20"/>
          <w:lang w:val="fr-FR"/>
        </w:rPr>
        <w:t>ISSMP</w:t>
      </w:r>
      <w:r w:rsidRPr="0084200F">
        <w:rPr>
          <w:rFonts w:ascii="Arial" w:hAnsi="Arial" w:cs="Arial"/>
          <w:sz w:val="20"/>
          <w:szCs w:val="20"/>
          <w:lang w:val="fr-FR"/>
        </w:rPr>
        <w:t xml:space="preserve">), les coordinateurs devraient </w:t>
      </w:r>
      <w:r w:rsidRPr="0084200F">
        <w:rPr>
          <w:rFonts w:ascii="Arial" w:hAnsi="Arial" w:cs="Arial"/>
          <w:sz w:val="20"/>
          <w:szCs w:val="20"/>
          <w:lang w:val="fr-FR"/>
        </w:rPr>
        <w:lastRenderedPageBreak/>
        <w:t>particulièrement encourager les recueils de données et d</w:t>
      </w:r>
      <w:r>
        <w:rPr>
          <w:rFonts w:ascii="Arial" w:hAnsi="Arial" w:cs="Arial"/>
          <w:sz w:val="20"/>
          <w:szCs w:val="20"/>
          <w:lang w:val="fr-FR"/>
        </w:rPr>
        <w:t>’</w:t>
      </w:r>
      <w:r w:rsidRPr="0084200F">
        <w:rPr>
          <w:rFonts w:ascii="Arial" w:hAnsi="Arial" w:cs="Arial"/>
          <w:sz w:val="20"/>
          <w:szCs w:val="20"/>
          <w:lang w:val="fr-FR"/>
        </w:rPr>
        <w:t>informations liées</w:t>
      </w:r>
      <w:r>
        <w:rPr>
          <w:rFonts w:ascii="Arial" w:hAnsi="Arial" w:cs="Arial"/>
          <w:sz w:val="20"/>
          <w:szCs w:val="20"/>
          <w:lang w:val="fr-FR"/>
        </w:rPr>
        <w:t xml:space="preserve"> </w:t>
      </w:r>
      <w:r w:rsidRPr="0084200F">
        <w:rPr>
          <w:rFonts w:ascii="Arial" w:hAnsi="Arial" w:cs="Arial"/>
          <w:sz w:val="20"/>
          <w:szCs w:val="20"/>
          <w:lang w:val="fr-FR"/>
        </w:rPr>
        <w:t xml:space="preserve">aux buts et objectifs des </w:t>
      </w:r>
      <w:r>
        <w:rPr>
          <w:rFonts w:ascii="Arial" w:hAnsi="Arial" w:cs="Arial"/>
          <w:sz w:val="20"/>
          <w:szCs w:val="20"/>
          <w:lang w:val="fr-FR"/>
        </w:rPr>
        <w:t>ISSAP</w:t>
      </w:r>
      <w:r w:rsidRPr="0084200F">
        <w:rPr>
          <w:rFonts w:ascii="Arial" w:hAnsi="Arial" w:cs="Arial"/>
          <w:sz w:val="20"/>
          <w:szCs w:val="20"/>
          <w:lang w:val="fr-FR"/>
        </w:rPr>
        <w:t>/</w:t>
      </w:r>
      <w:r>
        <w:rPr>
          <w:rFonts w:ascii="Arial" w:hAnsi="Arial" w:cs="Arial"/>
          <w:sz w:val="20"/>
          <w:szCs w:val="20"/>
          <w:lang w:val="fr-FR"/>
        </w:rPr>
        <w:t>ISSMP</w:t>
      </w:r>
      <w:r w:rsidRPr="0084200F">
        <w:rPr>
          <w:rFonts w:ascii="Arial" w:hAnsi="Arial" w:cs="Arial"/>
          <w:sz w:val="20"/>
          <w:szCs w:val="20"/>
          <w:lang w:val="fr-FR"/>
        </w:rPr>
        <w:t>.</w:t>
      </w:r>
    </w:p>
    <w:p w14:paraId="1BA71A3E" w14:textId="77777777" w:rsidR="00886A3C" w:rsidRPr="004B1407" w:rsidRDefault="00886A3C" w:rsidP="00886A3C">
      <w:pPr>
        <w:spacing w:after="0" w:line="240" w:lineRule="auto"/>
        <w:jc w:val="both"/>
        <w:rPr>
          <w:rFonts w:ascii="Arial" w:hAnsi="Arial" w:cs="Arial"/>
          <w:sz w:val="20"/>
          <w:szCs w:val="20"/>
          <w:lang w:val="fr-FR"/>
        </w:rPr>
      </w:pPr>
      <w:r w:rsidRPr="004B1407">
        <w:rPr>
          <w:rFonts w:ascii="Arial" w:hAnsi="Arial" w:cs="Arial"/>
          <w:sz w:val="20"/>
          <w:szCs w:val="20"/>
          <w:lang w:val="fr-FR"/>
        </w:rPr>
        <w:t xml:space="preserve"> </w:t>
      </w:r>
    </w:p>
    <w:p w14:paraId="74A6887F" w14:textId="77777777" w:rsidR="00886A3C" w:rsidRPr="004B1407" w:rsidRDefault="00886A3C" w:rsidP="00886A3C">
      <w:pPr>
        <w:spacing w:after="0" w:line="240" w:lineRule="auto"/>
        <w:jc w:val="both"/>
        <w:rPr>
          <w:rFonts w:ascii="Arial" w:hAnsi="Arial" w:cs="Arial"/>
          <w:sz w:val="20"/>
          <w:szCs w:val="20"/>
          <w:lang w:val="fr-FR"/>
        </w:rPr>
      </w:pPr>
      <w:r w:rsidRPr="0084200F">
        <w:rPr>
          <w:rFonts w:ascii="Arial" w:hAnsi="Arial" w:cs="Arial"/>
          <w:sz w:val="20"/>
          <w:szCs w:val="20"/>
          <w:lang w:val="fr-FR"/>
        </w:rPr>
        <w:t>Les sites Web des groupes de travail peuvent servir de plateforme pour entreposer les informations se rapportant à l</w:t>
      </w:r>
      <w:r>
        <w:rPr>
          <w:rFonts w:ascii="Arial" w:hAnsi="Arial" w:cs="Arial"/>
          <w:sz w:val="20"/>
          <w:szCs w:val="20"/>
          <w:lang w:val="fr-FR"/>
        </w:rPr>
        <w:t>’</w:t>
      </w:r>
      <w:r w:rsidRPr="0084200F">
        <w:rPr>
          <w:rFonts w:ascii="Arial" w:hAnsi="Arial" w:cs="Arial"/>
          <w:sz w:val="20"/>
          <w:szCs w:val="20"/>
          <w:lang w:val="fr-FR"/>
        </w:rPr>
        <w:t>espèce – en particulier dans le cadre de l</w:t>
      </w:r>
      <w:r>
        <w:rPr>
          <w:rFonts w:ascii="Arial" w:hAnsi="Arial" w:cs="Arial"/>
          <w:sz w:val="20"/>
          <w:szCs w:val="20"/>
          <w:lang w:val="fr-FR"/>
        </w:rPr>
        <w:t>’</w:t>
      </w:r>
      <w:r w:rsidRPr="0084200F">
        <w:rPr>
          <w:rFonts w:ascii="Arial" w:hAnsi="Arial" w:cs="Arial"/>
          <w:sz w:val="20"/>
          <w:szCs w:val="20"/>
          <w:lang w:val="fr-FR"/>
        </w:rPr>
        <w:t>espace de travail interne à la rubrique</w:t>
      </w:r>
      <w:r>
        <w:rPr>
          <w:rFonts w:ascii="Arial" w:hAnsi="Arial" w:cs="Arial"/>
          <w:sz w:val="20"/>
          <w:szCs w:val="20"/>
          <w:lang w:val="fr-FR"/>
        </w:rPr>
        <w:t xml:space="preserve"> </w:t>
      </w:r>
      <w:r w:rsidRPr="0084200F">
        <w:rPr>
          <w:rFonts w:ascii="Arial" w:hAnsi="Arial" w:cs="Arial"/>
          <w:sz w:val="20"/>
          <w:szCs w:val="20"/>
          <w:lang w:val="fr-FR"/>
        </w:rPr>
        <w:t>« </w:t>
      </w:r>
      <w:r w:rsidRPr="0084200F">
        <w:rPr>
          <w:rFonts w:ascii="Arial" w:hAnsi="Arial" w:cs="Arial"/>
          <w:i/>
          <w:sz w:val="20"/>
          <w:szCs w:val="20"/>
          <w:lang w:val="fr-FR"/>
        </w:rPr>
        <w:t>Resource Documents</w:t>
      </w:r>
      <w:r w:rsidRPr="0084200F">
        <w:rPr>
          <w:rFonts w:ascii="Arial" w:hAnsi="Arial" w:cs="Arial"/>
          <w:sz w:val="20"/>
          <w:szCs w:val="20"/>
          <w:lang w:val="fr-FR"/>
        </w:rPr>
        <w:t xml:space="preserve"> » qui permet le partage des documents et </w:t>
      </w:r>
      <w:r>
        <w:rPr>
          <w:rFonts w:ascii="Arial" w:hAnsi="Arial" w:cs="Arial"/>
          <w:sz w:val="20"/>
          <w:szCs w:val="20"/>
          <w:lang w:val="fr-FR"/>
        </w:rPr>
        <w:t xml:space="preserve">des </w:t>
      </w:r>
      <w:r w:rsidRPr="0084200F">
        <w:rPr>
          <w:rFonts w:ascii="Arial" w:hAnsi="Arial" w:cs="Arial"/>
          <w:sz w:val="20"/>
          <w:szCs w:val="20"/>
          <w:lang w:val="fr-FR"/>
        </w:rPr>
        <w:t>informations à l</w:t>
      </w:r>
      <w:r>
        <w:rPr>
          <w:rFonts w:ascii="Arial" w:hAnsi="Arial" w:cs="Arial"/>
          <w:sz w:val="20"/>
          <w:szCs w:val="20"/>
          <w:lang w:val="fr-FR"/>
        </w:rPr>
        <w:t>’</w:t>
      </w:r>
      <w:r w:rsidRPr="0084200F">
        <w:rPr>
          <w:rFonts w:ascii="Arial" w:hAnsi="Arial" w:cs="Arial"/>
          <w:sz w:val="20"/>
          <w:szCs w:val="20"/>
          <w:lang w:val="fr-FR"/>
        </w:rPr>
        <w:t>intérieur du cercle fermé des membres du groupe de travail.</w:t>
      </w:r>
    </w:p>
    <w:p w14:paraId="33CF7762" w14:textId="77777777" w:rsidR="00886A3C" w:rsidRPr="004B1407" w:rsidRDefault="00886A3C" w:rsidP="00886A3C">
      <w:pPr>
        <w:spacing w:after="0" w:line="240" w:lineRule="auto"/>
        <w:jc w:val="both"/>
        <w:rPr>
          <w:rFonts w:ascii="Arial" w:hAnsi="Arial" w:cs="Arial"/>
          <w:sz w:val="20"/>
          <w:szCs w:val="20"/>
          <w:lang w:val="fr-FR"/>
        </w:rPr>
      </w:pPr>
    </w:p>
    <w:p w14:paraId="3923BF32" w14:textId="77777777" w:rsidR="00886A3C" w:rsidRPr="004B1407" w:rsidRDefault="00886A3C" w:rsidP="00886A3C">
      <w:pPr>
        <w:spacing w:after="0" w:line="240" w:lineRule="auto"/>
        <w:rPr>
          <w:rFonts w:ascii="Arial" w:hAnsi="Arial" w:cs="Arial"/>
          <w:sz w:val="20"/>
          <w:szCs w:val="20"/>
          <w:lang w:val="fr-FR"/>
        </w:rPr>
      </w:pPr>
    </w:p>
    <w:p w14:paraId="2B6ABDC7" w14:textId="77777777" w:rsidR="00886A3C" w:rsidRPr="004B1407" w:rsidRDefault="00886A3C" w:rsidP="00886A3C">
      <w:pPr>
        <w:spacing w:after="0" w:line="240" w:lineRule="auto"/>
        <w:rPr>
          <w:rFonts w:ascii="Arial" w:hAnsi="Arial" w:cs="Arial"/>
          <w:sz w:val="20"/>
          <w:szCs w:val="20"/>
          <w:lang w:val="fr-FR"/>
        </w:rPr>
      </w:pPr>
    </w:p>
    <w:p w14:paraId="38FF4240" w14:textId="77777777" w:rsidR="00886A3C" w:rsidRPr="004B1407" w:rsidRDefault="00886A3C" w:rsidP="00886A3C">
      <w:pPr>
        <w:spacing w:after="0" w:line="240" w:lineRule="auto"/>
        <w:rPr>
          <w:rFonts w:ascii="Arial" w:hAnsi="Arial" w:cs="Arial"/>
          <w:sz w:val="20"/>
          <w:szCs w:val="20"/>
          <w:lang w:val="fr-FR"/>
        </w:rPr>
      </w:pPr>
    </w:p>
    <w:p w14:paraId="339D6B9D" w14:textId="77777777" w:rsidR="00886A3C" w:rsidRPr="004B1407" w:rsidRDefault="00886A3C" w:rsidP="00886A3C">
      <w:pPr>
        <w:pStyle w:val="ListParagraph"/>
        <w:numPr>
          <w:ilvl w:val="0"/>
          <w:numId w:val="15"/>
        </w:numPr>
        <w:spacing w:after="0" w:line="240" w:lineRule="auto"/>
        <w:ind w:left="567" w:hanging="425"/>
        <w:rPr>
          <w:rFonts w:ascii="Arial" w:hAnsi="Arial" w:cs="Arial"/>
          <w:b/>
          <w:sz w:val="20"/>
          <w:szCs w:val="20"/>
          <w:lang w:val="fr-FR"/>
        </w:rPr>
      </w:pPr>
      <w:r w:rsidRPr="0084200F">
        <w:rPr>
          <w:rFonts w:ascii="Arial" w:hAnsi="Arial" w:cs="Arial"/>
          <w:b/>
          <w:sz w:val="20"/>
          <w:szCs w:val="20"/>
          <w:lang w:val="fr-FR"/>
        </w:rPr>
        <w:t>« IMAGE DE MARQUE » DES GROUPES DE TRAVAIL DE L</w:t>
      </w:r>
      <w:r>
        <w:rPr>
          <w:rFonts w:ascii="Arial" w:hAnsi="Arial" w:cs="Arial"/>
          <w:b/>
          <w:sz w:val="20"/>
          <w:szCs w:val="20"/>
          <w:lang w:val="fr-FR"/>
        </w:rPr>
        <w:t>’</w:t>
      </w:r>
      <w:r w:rsidRPr="0084200F">
        <w:rPr>
          <w:rFonts w:ascii="Arial" w:hAnsi="Arial" w:cs="Arial"/>
          <w:b/>
          <w:sz w:val="20"/>
          <w:szCs w:val="20"/>
          <w:lang w:val="fr-FR"/>
        </w:rPr>
        <w:t>AEWA PAR ESPÈCE</w:t>
      </w:r>
      <w:r w:rsidRPr="004B1407">
        <w:rPr>
          <w:rFonts w:ascii="Arial" w:hAnsi="Arial" w:cs="Arial"/>
          <w:b/>
          <w:sz w:val="20"/>
          <w:szCs w:val="20"/>
          <w:lang w:val="fr-FR"/>
        </w:rPr>
        <w:tab/>
      </w:r>
      <w:r w:rsidRPr="004B1407">
        <w:rPr>
          <w:rFonts w:ascii="Arial" w:hAnsi="Arial" w:cs="Arial"/>
          <w:b/>
          <w:sz w:val="20"/>
          <w:szCs w:val="20"/>
          <w:lang w:val="fr-FR"/>
        </w:rPr>
        <w:tab/>
      </w:r>
      <w:r w:rsidRPr="004B1407">
        <w:rPr>
          <w:rFonts w:ascii="Arial" w:hAnsi="Arial" w:cs="Arial"/>
          <w:b/>
          <w:sz w:val="20"/>
          <w:szCs w:val="20"/>
          <w:lang w:val="fr-FR"/>
        </w:rPr>
        <w:tab/>
        <w:t xml:space="preserve"> </w:t>
      </w:r>
    </w:p>
    <w:p w14:paraId="3936421F" w14:textId="77777777" w:rsidR="00886A3C" w:rsidRPr="004B1407" w:rsidRDefault="00886A3C" w:rsidP="00886A3C">
      <w:pPr>
        <w:spacing w:after="0" w:line="240" w:lineRule="auto"/>
        <w:jc w:val="both"/>
        <w:rPr>
          <w:rFonts w:ascii="Arial" w:hAnsi="Arial" w:cs="Arial"/>
          <w:sz w:val="20"/>
          <w:szCs w:val="20"/>
          <w:lang w:val="fr-FR"/>
        </w:rPr>
      </w:pPr>
    </w:p>
    <w:p w14:paraId="7193822A" w14:textId="77777777" w:rsidR="00886A3C" w:rsidRPr="004B1407" w:rsidRDefault="00886A3C" w:rsidP="00886A3C">
      <w:pPr>
        <w:spacing w:after="0" w:line="240" w:lineRule="auto"/>
        <w:jc w:val="both"/>
        <w:rPr>
          <w:rFonts w:ascii="Arial" w:hAnsi="Arial" w:cs="Arial"/>
          <w:sz w:val="20"/>
          <w:szCs w:val="20"/>
          <w:lang w:val="fr-FR"/>
        </w:rPr>
      </w:pPr>
      <w:r w:rsidRPr="00E10B22">
        <w:rPr>
          <w:rFonts w:ascii="Arial" w:hAnsi="Arial" w:cs="Arial"/>
          <w:sz w:val="20"/>
          <w:szCs w:val="20"/>
          <w:lang w:val="fr-FR"/>
        </w:rPr>
        <w:t>Lorsque les groupes de travail fonctionnent dans le cadre de l</w:t>
      </w:r>
      <w:r>
        <w:rPr>
          <w:rFonts w:ascii="Arial" w:hAnsi="Arial" w:cs="Arial"/>
          <w:sz w:val="20"/>
          <w:szCs w:val="20"/>
          <w:lang w:val="fr-FR"/>
        </w:rPr>
        <w:t>’</w:t>
      </w:r>
      <w:r w:rsidRPr="00E10B22">
        <w:rPr>
          <w:rFonts w:ascii="Arial" w:hAnsi="Arial" w:cs="Arial"/>
          <w:sz w:val="20"/>
          <w:szCs w:val="20"/>
          <w:lang w:val="fr-FR"/>
        </w:rPr>
        <w:t xml:space="preserve"> AEWA, le Secrétariat s</w:t>
      </w:r>
      <w:r>
        <w:rPr>
          <w:rFonts w:ascii="Arial" w:hAnsi="Arial" w:cs="Arial"/>
          <w:sz w:val="20"/>
          <w:szCs w:val="20"/>
          <w:lang w:val="fr-FR"/>
        </w:rPr>
        <w:t>’</w:t>
      </w:r>
      <w:r w:rsidRPr="00E10B22">
        <w:rPr>
          <w:rFonts w:ascii="Arial" w:hAnsi="Arial" w:cs="Arial"/>
          <w:sz w:val="20"/>
          <w:szCs w:val="20"/>
          <w:lang w:val="fr-FR"/>
        </w:rPr>
        <w:t>efforce d</w:t>
      </w:r>
      <w:r>
        <w:rPr>
          <w:rFonts w:ascii="Arial" w:hAnsi="Arial" w:cs="Arial"/>
          <w:sz w:val="20"/>
          <w:szCs w:val="20"/>
          <w:lang w:val="fr-FR"/>
        </w:rPr>
        <w:t>’</w:t>
      </w:r>
      <w:r w:rsidRPr="00E10B22">
        <w:rPr>
          <w:rFonts w:ascii="Arial" w:hAnsi="Arial" w:cs="Arial"/>
          <w:sz w:val="20"/>
          <w:szCs w:val="20"/>
          <w:lang w:val="fr-FR"/>
        </w:rPr>
        <w:t>assurer qu</w:t>
      </w:r>
      <w:r>
        <w:rPr>
          <w:rFonts w:ascii="Arial" w:hAnsi="Arial" w:cs="Arial"/>
          <w:sz w:val="20"/>
          <w:szCs w:val="20"/>
          <w:lang w:val="fr-FR"/>
        </w:rPr>
        <w:t>’</w:t>
      </w:r>
      <w:r w:rsidRPr="00E10B22">
        <w:rPr>
          <w:rFonts w:ascii="Arial" w:hAnsi="Arial" w:cs="Arial"/>
          <w:sz w:val="20"/>
          <w:szCs w:val="20"/>
          <w:lang w:val="fr-FR"/>
        </w:rPr>
        <w:t>une marque commune – sans être très rigoureuse – s</w:t>
      </w:r>
      <w:r>
        <w:rPr>
          <w:rFonts w:ascii="Arial" w:hAnsi="Arial" w:cs="Arial"/>
          <w:sz w:val="20"/>
          <w:szCs w:val="20"/>
          <w:lang w:val="fr-FR"/>
        </w:rPr>
        <w:t>’</w:t>
      </w:r>
      <w:r w:rsidRPr="00E10B22">
        <w:rPr>
          <w:rFonts w:ascii="Arial" w:hAnsi="Arial" w:cs="Arial"/>
          <w:sz w:val="20"/>
          <w:szCs w:val="20"/>
          <w:lang w:val="fr-FR"/>
        </w:rPr>
        <w:t>applique à tous les groupes, les identifiant comme étant les groupes de travail de l</w:t>
      </w:r>
      <w:r>
        <w:rPr>
          <w:rFonts w:ascii="Arial" w:hAnsi="Arial" w:cs="Arial"/>
          <w:sz w:val="20"/>
          <w:szCs w:val="20"/>
          <w:lang w:val="fr-FR"/>
        </w:rPr>
        <w:t>’</w:t>
      </w:r>
      <w:r w:rsidRPr="00E10B22">
        <w:rPr>
          <w:rFonts w:ascii="Arial" w:hAnsi="Arial" w:cs="Arial"/>
          <w:sz w:val="20"/>
          <w:szCs w:val="20"/>
          <w:lang w:val="fr-FR"/>
        </w:rPr>
        <w:t>AEWA par espèce.</w:t>
      </w:r>
      <w:r w:rsidRPr="004B1407">
        <w:rPr>
          <w:rFonts w:ascii="Arial" w:hAnsi="Arial" w:cs="Arial"/>
          <w:sz w:val="20"/>
          <w:szCs w:val="20"/>
          <w:lang w:val="fr-FR"/>
        </w:rPr>
        <w:t xml:space="preserve"> </w:t>
      </w:r>
      <w:r w:rsidRPr="00E10B22">
        <w:rPr>
          <w:rFonts w:ascii="Arial" w:hAnsi="Arial" w:cs="Arial"/>
          <w:sz w:val="20"/>
          <w:szCs w:val="20"/>
          <w:lang w:val="fr-FR"/>
        </w:rPr>
        <w:t>Cette « identité d</w:t>
      </w:r>
      <w:r>
        <w:rPr>
          <w:rFonts w:ascii="Arial" w:hAnsi="Arial" w:cs="Arial"/>
          <w:sz w:val="20"/>
          <w:szCs w:val="20"/>
          <w:lang w:val="fr-FR"/>
        </w:rPr>
        <w:t>’</w:t>
      </w:r>
      <w:r w:rsidRPr="00E10B22">
        <w:rPr>
          <w:rFonts w:ascii="Arial" w:hAnsi="Arial" w:cs="Arial"/>
          <w:sz w:val="20"/>
          <w:szCs w:val="20"/>
          <w:lang w:val="fr-FR"/>
        </w:rPr>
        <w:t>entreprise » des groupes de travail est toujours encours de développement, mais les outils suivants adoptent actuellement un format identique :</w:t>
      </w:r>
      <w:r w:rsidRPr="004B1407">
        <w:rPr>
          <w:rFonts w:ascii="Arial" w:hAnsi="Arial" w:cs="Arial"/>
          <w:sz w:val="20"/>
          <w:szCs w:val="20"/>
          <w:lang w:val="fr-FR"/>
        </w:rPr>
        <w:t xml:space="preserve"> </w:t>
      </w:r>
    </w:p>
    <w:p w14:paraId="42F57C78" w14:textId="77777777" w:rsidR="00886A3C" w:rsidRPr="004B1407" w:rsidRDefault="00886A3C" w:rsidP="00886A3C">
      <w:pPr>
        <w:spacing w:after="0" w:line="240" w:lineRule="auto"/>
        <w:jc w:val="both"/>
        <w:rPr>
          <w:rFonts w:ascii="Arial" w:hAnsi="Arial" w:cs="Arial"/>
          <w:sz w:val="20"/>
          <w:szCs w:val="20"/>
          <w:lang w:val="fr-FR"/>
        </w:rPr>
      </w:pPr>
    </w:p>
    <w:p w14:paraId="5EB4E122" w14:textId="77777777" w:rsidR="00886A3C" w:rsidRPr="002369DC" w:rsidRDefault="00886A3C" w:rsidP="00886A3C">
      <w:pPr>
        <w:pStyle w:val="ListParagraph"/>
        <w:numPr>
          <w:ilvl w:val="0"/>
          <w:numId w:val="6"/>
        </w:numPr>
        <w:spacing w:after="0" w:line="240" w:lineRule="auto"/>
        <w:ind w:left="567" w:hanging="425"/>
        <w:jc w:val="both"/>
        <w:rPr>
          <w:rFonts w:ascii="Arial" w:hAnsi="Arial" w:cs="Arial"/>
          <w:sz w:val="20"/>
          <w:szCs w:val="20"/>
          <w:lang w:val="en-GB"/>
        </w:rPr>
      </w:pPr>
      <w:r w:rsidRPr="00E10B22">
        <w:rPr>
          <w:rFonts w:ascii="Arial" w:hAnsi="Arial" w:cs="Arial"/>
          <w:sz w:val="20"/>
          <w:szCs w:val="20"/>
          <w:lang w:val="fr-FR"/>
        </w:rPr>
        <w:t>Logos du groupe de travail</w:t>
      </w:r>
      <w:r w:rsidRPr="002369DC">
        <w:rPr>
          <w:rFonts w:ascii="Arial" w:hAnsi="Arial" w:cs="Arial"/>
          <w:sz w:val="20"/>
          <w:szCs w:val="20"/>
          <w:lang w:val="en-GB"/>
        </w:rPr>
        <w:t xml:space="preserve"> </w:t>
      </w:r>
    </w:p>
    <w:p w14:paraId="5C2DB183" w14:textId="77777777" w:rsidR="00886A3C" w:rsidRPr="002369DC" w:rsidRDefault="00886A3C" w:rsidP="00886A3C">
      <w:pPr>
        <w:pStyle w:val="ListParagraph"/>
        <w:numPr>
          <w:ilvl w:val="0"/>
          <w:numId w:val="6"/>
        </w:numPr>
        <w:spacing w:after="0" w:line="240" w:lineRule="auto"/>
        <w:ind w:left="567" w:hanging="425"/>
        <w:jc w:val="both"/>
        <w:rPr>
          <w:rFonts w:ascii="Arial" w:hAnsi="Arial" w:cs="Arial"/>
          <w:sz w:val="20"/>
          <w:szCs w:val="20"/>
          <w:lang w:val="en-GB"/>
        </w:rPr>
      </w:pPr>
      <w:r w:rsidRPr="00E10B22">
        <w:rPr>
          <w:rFonts w:ascii="Arial" w:hAnsi="Arial" w:cs="Arial"/>
          <w:sz w:val="20"/>
          <w:szCs w:val="20"/>
          <w:lang w:val="fr-FR"/>
        </w:rPr>
        <w:t>Sites Web/espaces de travail</w:t>
      </w:r>
    </w:p>
    <w:p w14:paraId="5FFFD876" w14:textId="77777777" w:rsidR="00886A3C" w:rsidRPr="004B1407" w:rsidRDefault="00886A3C" w:rsidP="00886A3C">
      <w:pPr>
        <w:pStyle w:val="ListParagraph"/>
        <w:numPr>
          <w:ilvl w:val="0"/>
          <w:numId w:val="6"/>
        </w:numPr>
        <w:spacing w:after="0" w:line="240" w:lineRule="auto"/>
        <w:ind w:left="567" w:hanging="425"/>
        <w:jc w:val="both"/>
        <w:rPr>
          <w:rFonts w:ascii="Arial" w:hAnsi="Arial" w:cs="Arial"/>
          <w:sz w:val="20"/>
          <w:szCs w:val="20"/>
          <w:lang w:val="fr-FR"/>
        </w:rPr>
      </w:pPr>
      <w:r w:rsidRPr="00133F22">
        <w:rPr>
          <w:rFonts w:ascii="Arial" w:hAnsi="Arial" w:cs="Arial"/>
          <w:sz w:val="20"/>
          <w:szCs w:val="20"/>
          <w:lang w:val="fr-FR"/>
        </w:rPr>
        <w:t>En-tête</w:t>
      </w:r>
      <w:r>
        <w:rPr>
          <w:rFonts w:ascii="Arial" w:hAnsi="Arial" w:cs="Arial"/>
          <w:sz w:val="20"/>
          <w:szCs w:val="20"/>
          <w:lang w:val="fr-FR"/>
        </w:rPr>
        <w:t>s</w:t>
      </w:r>
      <w:r w:rsidRPr="00133F22">
        <w:rPr>
          <w:rFonts w:ascii="Arial" w:hAnsi="Arial" w:cs="Arial"/>
          <w:sz w:val="20"/>
          <w:szCs w:val="20"/>
          <w:lang w:val="fr-FR"/>
        </w:rPr>
        <w:t xml:space="preserve"> </w:t>
      </w:r>
      <w:r>
        <w:rPr>
          <w:rFonts w:ascii="Arial" w:hAnsi="Arial" w:cs="Arial"/>
          <w:sz w:val="20"/>
          <w:szCs w:val="20"/>
          <w:lang w:val="fr-FR"/>
        </w:rPr>
        <w:t>du groupe de travail</w:t>
      </w:r>
    </w:p>
    <w:p w14:paraId="752019F4" w14:textId="77777777" w:rsidR="00886A3C" w:rsidRPr="002369DC" w:rsidRDefault="00886A3C" w:rsidP="00886A3C">
      <w:pPr>
        <w:pStyle w:val="ListParagraph"/>
        <w:numPr>
          <w:ilvl w:val="0"/>
          <w:numId w:val="6"/>
        </w:numPr>
        <w:spacing w:after="0" w:line="240" w:lineRule="auto"/>
        <w:ind w:left="567" w:hanging="425"/>
        <w:jc w:val="both"/>
        <w:rPr>
          <w:rFonts w:ascii="Arial" w:hAnsi="Arial" w:cs="Arial"/>
          <w:sz w:val="20"/>
          <w:szCs w:val="20"/>
          <w:lang w:val="en-GB"/>
        </w:rPr>
      </w:pPr>
      <w:r w:rsidRPr="00133F22">
        <w:rPr>
          <w:rFonts w:ascii="Arial" w:hAnsi="Arial" w:cs="Arial"/>
          <w:sz w:val="20"/>
          <w:szCs w:val="20"/>
          <w:lang w:val="fr-FR"/>
        </w:rPr>
        <w:t>Format des documents de réunion</w:t>
      </w:r>
    </w:p>
    <w:p w14:paraId="6B90A5D7" w14:textId="77777777" w:rsidR="00886A3C" w:rsidRPr="004B1407" w:rsidRDefault="00886A3C" w:rsidP="00886A3C">
      <w:pPr>
        <w:pStyle w:val="ListParagraph"/>
        <w:numPr>
          <w:ilvl w:val="0"/>
          <w:numId w:val="6"/>
        </w:numPr>
        <w:spacing w:after="0" w:line="240" w:lineRule="auto"/>
        <w:ind w:left="567" w:hanging="425"/>
        <w:jc w:val="both"/>
        <w:rPr>
          <w:rFonts w:ascii="Arial" w:hAnsi="Arial" w:cs="Arial"/>
          <w:sz w:val="20"/>
          <w:szCs w:val="20"/>
          <w:lang w:val="fr-FR"/>
        </w:rPr>
      </w:pPr>
      <w:r w:rsidRPr="00133F22">
        <w:rPr>
          <w:rFonts w:ascii="Arial" w:hAnsi="Arial" w:cs="Arial"/>
          <w:sz w:val="20"/>
          <w:szCs w:val="20"/>
          <w:lang w:val="fr-FR"/>
        </w:rPr>
        <w:t>Matériel de promotion (ban</w:t>
      </w:r>
      <w:r>
        <w:rPr>
          <w:rFonts w:ascii="Arial" w:hAnsi="Arial" w:cs="Arial"/>
          <w:sz w:val="20"/>
          <w:szCs w:val="20"/>
          <w:lang w:val="fr-FR"/>
        </w:rPr>
        <w:t>deaux</w:t>
      </w:r>
      <w:r w:rsidRPr="00133F22">
        <w:rPr>
          <w:rFonts w:ascii="Arial" w:hAnsi="Arial" w:cs="Arial"/>
          <w:sz w:val="20"/>
          <w:szCs w:val="20"/>
          <w:lang w:val="fr-FR"/>
        </w:rPr>
        <w:t>, autocollants etc.)</w:t>
      </w:r>
    </w:p>
    <w:p w14:paraId="27372138" w14:textId="77777777" w:rsidR="00886A3C" w:rsidRPr="004B1407" w:rsidRDefault="00886A3C" w:rsidP="00886A3C">
      <w:pPr>
        <w:spacing w:after="0" w:line="240" w:lineRule="auto"/>
        <w:jc w:val="both"/>
        <w:rPr>
          <w:rFonts w:ascii="Arial" w:hAnsi="Arial" w:cs="Arial"/>
          <w:sz w:val="20"/>
          <w:szCs w:val="20"/>
          <w:lang w:val="fr-FR"/>
        </w:rPr>
      </w:pPr>
    </w:p>
    <w:p w14:paraId="09021B6B" w14:textId="77777777" w:rsidR="00886A3C" w:rsidRPr="004B1407" w:rsidRDefault="00886A3C" w:rsidP="00886A3C">
      <w:pPr>
        <w:spacing w:after="0" w:line="240" w:lineRule="auto"/>
        <w:jc w:val="both"/>
        <w:rPr>
          <w:rFonts w:ascii="Arial" w:hAnsi="Arial" w:cs="Arial"/>
          <w:sz w:val="20"/>
          <w:szCs w:val="20"/>
          <w:lang w:val="fr-FR"/>
        </w:rPr>
      </w:pPr>
      <w:r w:rsidRPr="00133F22">
        <w:rPr>
          <w:rFonts w:ascii="Arial" w:hAnsi="Arial" w:cs="Arial"/>
          <w:sz w:val="20"/>
          <w:szCs w:val="20"/>
          <w:lang w:val="fr-FR"/>
        </w:rPr>
        <w:t>Pour de plus amples informations et conseils ainsi que pour des modèles, veuillez contacter le Secrétariat.</w:t>
      </w:r>
    </w:p>
    <w:p w14:paraId="30E28295" w14:textId="77777777" w:rsidR="00886A3C" w:rsidRPr="004B1407" w:rsidRDefault="00886A3C" w:rsidP="00886A3C">
      <w:pPr>
        <w:spacing w:after="0" w:line="240" w:lineRule="auto"/>
        <w:jc w:val="both"/>
        <w:rPr>
          <w:rFonts w:ascii="Arial" w:hAnsi="Arial" w:cs="Arial"/>
          <w:sz w:val="20"/>
          <w:szCs w:val="20"/>
          <w:lang w:val="fr-FR"/>
        </w:rPr>
      </w:pPr>
    </w:p>
    <w:p w14:paraId="7CB85622" w14:textId="77777777" w:rsidR="00886A3C" w:rsidRPr="004B1407" w:rsidRDefault="00886A3C" w:rsidP="00886A3C">
      <w:pPr>
        <w:spacing w:after="0" w:line="240" w:lineRule="auto"/>
        <w:jc w:val="both"/>
        <w:rPr>
          <w:rFonts w:ascii="Arial" w:hAnsi="Arial" w:cs="Arial"/>
          <w:sz w:val="20"/>
          <w:szCs w:val="20"/>
          <w:lang w:val="fr-FR"/>
        </w:rPr>
      </w:pPr>
    </w:p>
    <w:p w14:paraId="46CD458C" w14:textId="77777777" w:rsidR="00886A3C" w:rsidRPr="00E0163F" w:rsidRDefault="00886A3C" w:rsidP="00886A3C">
      <w:pPr>
        <w:pStyle w:val="ListParagraph"/>
        <w:numPr>
          <w:ilvl w:val="0"/>
          <w:numId w:val="15"/>
        </w:numPr>
        <w:spacing w:after="0" w:line="240" w:lineRule="auto"/>
        <w:ind w:left="567" w:hanging="425"/>
        <w:rPr>
          <w:rFonts w:ascii="Arial" w:hAnsi="Arial" w:cs="Arial"/>
          <w:b/>
          <w:sz w:val="20"/>
          <w:szCs w:val="20"/>
          <w:lang w:val="en-GB"/>
        </w:rPr>
      </w:pPr>
      <w:r w:rsidRPr="00133F22">
        <w:rPr>
          <w:rFonts w:ascii="Arial" w:hAnsi="Arial" w:cs="Arial"/>
          <w:b/>
          <w:sz w:val="20"/>
          <w:szCs w:val="20"/>
          <w:lang w:val="fr-FR"/>
        </w:rPr>
        <w:t>R</w:t>
      </w:r>
      <w:r>
        <w:rPr>
          <w:rFonts w:ascii="Arial" w:hAnsi="Arial" w:cs="Arial"/>
          <w:b/>
          <w:sz w:val="20"/>
          <w:szCs w:val="20"/>
          <w:lang w:val="fr-FR"/>
        </w:rPr>
        <w:t>Ô</w:t>
      </w:r>
      <w:r w:rsidRPr="00133F22">
        <w:rPr>
          <w:rFonts w:ascii="Arial" w:hAnsi="Arial" w:cs="Arial"/>
          <w:b/>
          <w:sz w:val="20"/>
          <w:szCs w:val="20"/>
          <w:lang w:val="fr-FR"/>
        </w:rPr>
        <w:t>LE &amp; CONTACTS DU SECRÉTARIAT</w:t>
      </w:r>
      <w:r w:rsidRPr="005E6927">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p>
    <w:p w14:paraId="4BF1D49D" w14:textId="77777777" w:rsidR="00886A3C" w:rsidRPr="002369DC" w:rsidRDefault="00886A3C" w:rsidP="00886A3C">
      <w:pPr>
        <w:spacing w:after="0" w:line="240" w:lineRule="auto"/>
        <w:jc w:val="both"/>
        <w:rPr>
          <w:rFonts w:ascii="Arial" w:hAnsi="Arial" w:cs="Arial"/>
          <w:sz w:val="20"/>
          <w:szCs w:val="20"/>
          <w:lang w:val="en-GB"/>
        </w:rPr>
      </w:pPr>
    </w:p>
    <w:p w14:paraId="17767330" w14:textId="77777777" w:rsidR="00886A3C" w:rsidRPr="002369DC" w:rsidRDefault="00886A3C" w:rsidP="00886A3C">
      <w:pPr>
        <w:spacing w:after="0" w:line="240" w:lineRule="auto"/>
        <w:jc w:val="both"/>
        <w:rPr>
          <w:rFonts w:ascii="Arial" w:hAnsi="Arial" w:cs="Arial"/>
          <w:sz w:val="20"/>
          <w:szCs w:val="20"/>
          <w:lang w:val="en-GB"/>
        </w:rPr>
      </w:pPr>
      <w:r w:rsidRPr="00133F22">
        <w:rPr>
          <w:rFonts w:ascii="Arial" w:hAnsi="Arial" w:cs="Arial"/>
          <w:sz w:val="20"/>
          <w:szCs w:val="20"/>
          <w:lang w:val="fr-FR"/>
        </w:rPr>
        <w:t>Comme nous l</w:t>
      </w:r>
      <w:r>
        <w:rPr>
          <w:rFonts w:ascii="Arial" w:hAnsi="Arial" w:cs="Arial"/>
          <w:sz w:val="20"/>
          <w:szCs w:val="20"/>
          <w:lang w:val="fr-FR"/>
        </w:rPr>
        <w:t>’</w:t>
      </w:r>
      <w:r w:rsidRPr="00133F22">
        <w:rPr>
          <w:rFonts w:ascii="Arial" w:hAnsi="Arial" w:cs="Arial"/>
          <w:sz w:val="20"/>
          <w:szCs w:val="20"/>
          <w:lang w:val="fr-FR"/>
        </w:rPr>
        <w:t>avons mentionné tout au long de cette fiche d</w:t>
      </w:r>
      <w:r>
        <w:rPr>
          <w:rFonts w:ascii="Arial" w:hAnsi="Arial" w:cs="Arial"/>
          <w:sz w:val="20"/>
          <w:szCs w:val="20"/>
          <w:lang w:val="fr-FR"/>
        </w:rPr>
        <w:t>’</w:t>
      </w:r>
      <w:r w:rsidRPr="00133F22">
        <w:rPr>
          <w:rFonts w:ascii="Arial" w:hAnsi="Arial" w:cs="Arial"/>
          <w:sz w:val="20"/>
          <w:szCs w:val="20"/>
          <w:lang w:val="fr-FR"/>
        </w:rPr>
        <w:t>information, le Secrétariat PNUE/AEWA travaille en étroite coopération avec les ISWG et les coordinateurs, apportant des conseils et veillant à ce que les ISWG fonctionnent de manière cohérente.</w:t>
      </w:r>
      <w:r w:rsidRPr="004B1407">
        <w:rPr>
          <w:rFonts w:ascii="Arial" w:hAnsi="Arial" w:cs="Arial"/>
          <w:sz w:val="20"/>
          <w:szCs w:val="20"/>
          <w:lang w:val="fr-FR"/>
        </w:rPr>
        <w:t xml:space="preserve"> </w:t>
      </w:r>
      <w:r w:rsidRPr="0039496D">
        <w:rPr>
          <w:rFonts w:ascii="Arial" w:hAnsi="Arial" w:cs="Arial"/>
          <w:sz w:val="20"/>
          <w:szCs w:val="20"/>
          <w:lang w:val="fr-FR"/>
        </w:rPr>
        <w:t>Les principales tâches du Secrétariat consistent entre autres à :</w:t>
      </w:r>
    </w:p>
    <w:p w14:paraId="362DBE59" w14:textId="77777777" w:rsidR="00886A3C" w:rsidRPr="002369DC" w:rsidRDefault="00886A3C" w:rsidP="00886A3C">
      <w:pPr>
        <w:spacing w:after="0" w:line="240" w:lineRule="auto"/>
        <w:jc w:val="both"/>
        <w:rPr>
          <w:rFonts w:ascii="Arial" w:hAnsi="Arial" w:cs="Arial"/>
          <w:sz w:val="20"/>
          <w:szCs w:val="20"/>
          <w:lang w:val="en-GB"/>
        </w:rPr>
      </w:pPr>
    </w:p>
    <w:p w14:paraId="13EC21DE"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39496D">
        <w:rPr>
          <w:rFonts w:ascii="Arial" w:hAnsi="Arial" w:cs="Arial"/>
          <w:sz w:val="20"/>
          <w:szCs w:val="20"/>
          <w:lang w:val="fr-FR"/>
        </w:rPr>
        <w:t>Identifier une organisation/institution coordinatrice, négocier les modalités de coordination (rédaction du mémorandum d</w:t>
      </w:r>
      <w:r>
        <w:rPr>
          <w:rFonts w:ascii="Arial" w:hAnsi="Arial" w:cs="Arial"/>
          <w:sz w:val="20"/>
          <w:szCs w:val="20"/>
          <w:lang w:val="fr-FR"/>
        </w:rPr>
        <w:t>’</w:t>
      </w:r>
      <w:r w:rsidRPr="0039496D">
        <w:rPr>
          <w:rFonts w:ascii="Arial" w:hAnsi="Arial" w:cs="Arial"/>
          <w:sz w:val="20"/>
          <w:szCs w:val="20"/>
          <w:lang w:val="fr-FR"/>
        </w:rPr>
        <w:t>entente, termes de référence etc.)</w:t>
      </w:r>
      <w:r>
        <w:rPr>
          <w:rFonts w:ascii="Arial" w:hAnsi="Arial" w:cs="Arial"/>
          <w:sz w:val="20"/>
          <w:szCs w:val="20"/>
          <w:lang w:val="fr-FR"/>
        </w:rPr>
        <w:t> </w:t>
      </w:r>
      <w:r w:rsidRPr="0039496D">
        <w:rPr>
          <w:rFonts w:ascii="Arial" w:hAnsi="Arial" w:cs="Arial"/>
          <w:sz w:val="20"/>
          <w:szCs w:val="20"/>
          <w:lang w:val="fr-FR"/>
        </w:rPr>
        <w:t>;</w:t>
      </w:r>
    </w:p>
    <w:p w14:paraId="64DC0AB4" w14:textId="77777777" w:rsidR="00886A3C" w:rsidRPr="002369DC"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39496D">
        <w:rPr>
          <w:rFonts w:ascii="Arial" w:hAnsi="Arial" w:cs="Arial"/>
          <w:sz w:val="20"/>
          <w:szCs w:val="20"/>
          <w:lang w:val="fr-FR"/>
        </w:rPr>
        <w:t>Mettre en place l</w:t>
      </w:r>
      <w:r>
        <w:rPr>
          <w:rFonts w:ascii="Arial" w:hAnsi="Arial" w:cs="Arial"/>
          <w:sz w:val="20"/>
          <w:szCs w:val="20"/>
          <w:lang w:val="fr-FR"/>
        </w:rPr>
        <w:t>’</w:t>
      </w:r>
      <w:r w:rsidRPr="0039496D">
        <w:rPr>
          <w:rFonts w:ascii="Arial" w:hAnsi="Arial" w:cs="Arial"/>
          <w:sz w:val="20"/>
          <w:szCs w:val="20"/>
          <w:lang w:val="fr-FR"/>
        </w:rPr>
        <w:t>ISWG ;</w:t>
      </w:r>
    </w:p>
    <w:p w14:paraId="6893790D"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39496D">
        <w:rPr>
          <w:rFonts w:ascii="Arial" w:hAnsi="Arial" w:cs="Arial"/>
          <w:sz w:val="20"/>
          <w:szCs w:val="20"/>
          <w:lang w:val="fr-FR"/>
        </w:rPr>
        <w:t>Participer à la</w:t>
      </w:r>
      <w:r>
        <w:rPr>
          <w:rFonts w:ascii="Arial" w:hAnsi="Arial" w:cs="Arial"/>
          <w:sz w:val="20"/>
          <w:szCs w:val="20"/>
          <w:lang w:val="fr-FR"/>
        </w:rPr>
        <w:t xml:space="preserve"> </w:t>
      </w:r>
      <w:r w:rsidRPr="0039496D">
        <w:rPr>
          <w:rFonts w:ascii="Arial" w:hAnsi="Arial" w:cs="Arial"/>
          <w:sz w:val="20"/>
          <w:szCs w:val="20"/>
          <w:lang w:val="fr-FR"/>
        </w:rPr>
        <w:t>préparation et la réalisation des réunions de l</w:t>
      </w:r>
      <w:r>
        <w:rPr>
          <w:rFonts w:ascii="Arial" w:hAnsi="Arial" w:cs="Arial"/>
          <w:sz w:val="20"/>
          <w:szCs w:val="20"/>
          <w:lang w:val="fr-FR"/>
        </w:rPr>
        <w:t>’</w:t>
      </w:r>
      <w:r w:rsidRPr="0039496D">
        <w:rPr>
          <w:rFonts w:ascii="Arial" w:hAnsi="Arial" w:cs="Arial"/>
          <w:sz w:val="20"/>
          <w:szCs w:val="20"/>
          <w:lang w:val="fr-FR"/>
        </w:rPr>
        <w:t>ISWG :</w:t>
      </w:r>
      <w:r w:rsidRPr="004B1407">
        <w:rPr>
          <w:rFonts w:ascii="Arial" w:hAnsi="Arial" w:cs="Arial"/>
          <w:sz w:val="20"/>
          <w:szCs w:val="20"/>
          <w:lang w:val="fr-FR"/>
        </w:rPr>
        <w:t xml:space="preserve"> </w:t>
      </w:r>
      <w:r w:rsidRPr="0039496D">
        <w:rPr>
          <w:rFonts w:ascii="Arial" w:hAnsi="Arial" w:cs="Arial"/>
          <w:sz w:val="20"/>
          <w:szCs w:val="20"/>
          <w:lang w:val="fr-FR"/>
        </w:rPr>
        <w:t>en élaborant l</w:t>
      </w:r>
      <w:r>
        <w:rPr>
          <w:rFonts w:ascii="Arial" w:hAnsi="Arial" w:cs="Arial"/>
          <w:sz w:val="20"/>
          <w:szCs w:val="20"/>
          <w:lang w:val="fr-FR"/>
        </w:rPr>
        <w:t>’</w:t>
      </w:r>
      <w:r w:rsidRPr="0039496D">
        <w:rPr>
          <w:rFonts w:ascii="Arial" w:hAnsi="Arial" w:cs="Arial"/>
          <w:sz w:val="20"/>
          <w:szCs w:val="20"/>
          <w:lang w:val="fr-FR"/>
        </w:rPr>
        <w:t>ordre du jour de la réunion, en fournissant guidance et modèles pour les points les plus officiels de l</w:t>
      </w:r>
      <w:r>
        <w:rPr>
          <w:rFonts w:ascii="Arial" w:hAnsi="Arial" w:cs="Arial"/>
          <w:sz w:val="20"/>
          <w:szCs w:val="20"/>
          <w:lang w:val="fr-FR"/>
        </w:rPr>
        <w:t>’</w:t>
      </w:r>
      <w:r w:rsidRPr="0039496D">
        <w:rPr>
          <w:rFonts w:ascii="Arial" w:hAnsi="Arial" w:cs="Arial"/>
          <w:sz w:val="20"/>
          <w:szCs w:val="20"/>
          <w:lang w:val="fr-FR"/>
        </w:rPr>
        <w:t>ordre du jour (comme l</w:t>
      </w:r>
      <w:r>
        <w:rPr>
          <w:rFonts w:ascii="Arial" w:hAnsi="Arial" w:cs="Arial"/>
          <w:sz w:val="20"/>
          <w:szCs w:val="20"/>
          <w:lang w:val="fr-FR"/>
        </w:rPr>
        <w:t>’</w:t>
      </w:r>
      <w:r w:rsidRPr="0039496D">
        <w:rPr>
          <w:rFonts w:ascii="Arial" w:hAnsi="Arial" w:cs="Arial"/>
          <w:sz w:val="20"/>
          <w:szCs w:val="20"/>
          <w:lang w:val="fr-FR"/>
        </w:rPr>
        <w:t>élection), en apportant des conseils sur la réalisation du rapport national ( y compris l</w:t>
      </w:r>
      <w:r>
        <w:rPr>
          <w:rFonts w:ascii="Arial" w:hAnsi="Arial" w:cs="Arial"/>
          <w:sz w:val="20"/>
          <w:szCs w:val="20"/>
          <w:lang w:val="fr-FR"/>
        </w:rPr>
        <w:t>’</w:t>
      </w:r>
      <w:r w:rsidRPr="0039496D">
        <w:rPr>
          <w:rFonts w:ascii="Arial" w:hAnsi="Arial" w:cs="Arial"/>
          <w:sz w:val="20"/>
          <w:szCs w:val="20"/>
          <w:lang w:val="fr-FR"/>
        </w:rPr>
        <w:t>accès au Système de rapport en ligne de la famille de la CMS), en assistant aux réunions de l</w:t>
      </w:r>
      <w:r>
        <w:rPr>
          <w:rFonts w:ascii="Arial" w:hAnsi="Arial" w:cs="Arial"/>
          <w:sz w:val="20"/>
          <w:szCs w:val="20"/>
          <w:lang w:val="fr-FR"/>
        </w:rPr>
        <w:t>’</w:t>
      </w:r>
      <w:r w:rsidRPr="0039496D">
        <w:rPr>
          <w:rFonts w:ascii="Arial" w:hAnsi="Arial" w:cs="Arial"/>
          <w:sz w:val="20"/>
          <w:szCs w:val="20"/>
          <w:lang w:val="fr-FR"/>
        </w:rPr>
        <w:t>ISWG pour contribuer à leur facilitation ;</w:t>
      </w:r>
      <w:r w:rsidRPr="004B1407">
        <w:rPr>
          <w:rFonts w:ascii="Arial" w:hAnsi="Arial" w:cs="Arial"/>
          <w:sz w:val="20"/>
          <w:szCs w:val="20"/>
          <w:lang w:val="fr-FR"/>
        </w:rPr>
        <w:t xml:space="preserve"> </w:t>
      </w:r>
    </w:p>
    <w:p w14:paraId="7C97C382"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39496D">
        <w:rPr>
          <w:rFonts w:ascii="Arial" w:hAnsi="Arial" w:cs="Arial"/>
          <w:sz w:val="20"/>
          <w:szCs w:val="20"/>
          <w:lang w:val="fr-FR"/>
        </w:rPr>
        <w:t>Fournir un modèle de site Web/espace de travail customisé pour chaque ISWG prioritaire, y compris une aide technique dans la mesure du possible ;</w:t>
      </w:r>
    </w:p>
    <w:p w14:paraId="65343F9F"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39496D">
        <w:rPr>
          <w:rFonts w:ascii="Arial" w:hAnsi="Arial" w:cs="Arial"/>
          <w:sz w:val="20"/>
          <w:szCs w:val="20"/>
          <w:lang w:val="fr-FR"/>
        </w:rPr>
        <w:t>Fournir une guidance générale sur le processus d</w:t>
      </w:r>
      <w:r>
        <w:rPr>
          <w:rFonts w:ascii="Arial" w:hAnsi="Arial" w:cs="Arial"/>
          <w:sz w:val="20"/>
          <w:szCs w:val="20"/>
          <w:lang w:val="fr-FR"/>
        </w:rPr>
        <w:t>’</w:t>
      </w:r>
      <w:r w:rsidRPr="0039496D">
        <w:rPr>
          <w:rFonts w:ascii="Arial" w:hAnsi="Arial" w:cs="Arial"/>
          <w:sz w:val="20"/>
          <w:szCs w:val="20"/>
          <w:lang w:val="fr-FR"/>
        </w:rPr>
        <w:t>élaboration de plan national, notamment des exemples de meilleures pratiques</w:t>
      </w:r>
      <w:r>
        <w:rPr>
          <w:rFonts w:ascii="Arial" w:hAnsi="Arial" w:cs="Arial"/>
          <w:sz w:val="20"/>
          <w:szCs w:val="20"/>
          <w:lang w:val="nl-NL"/>
        </w:rPr>
        <w:t> </w:t>
      </w:r>
      <w:r w:rsidRPr="0039496D">
        <w:rPr>
          <w:rFonts w:ascii="Arial" w:hAnsi="Arial" w:cs="Arial"/>
          <w:sz w:val="20"/>
          <w:szCs w:val="20"/>
          <w:lang w:val="fr-FR"/>
        </w:rPr>
        <w:t>;</w:t>
      </w:r>
    </w:p>
    <w:p w14:paraId="20799819"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105793">
        <w:rPr>
          <w:rFonts w:ascii="Arial" w:hAnsi="Arial" w:cs="Arial"/>
          <w:sz w:val="20"/>
          <w:szCs w:val="20"/>
          <w:lang w:val="fr-FR"/>
        </w:rPr>
        <w:t>Communiquer toutes les informations utiles concernant les possibilités de financement aux coordinateurs, ainsi que sur la collecte de fonds pour les activités de conservation de l</w:t>
      </w:r>
      <w:r>
        <w:rPr>
          <w:rFonts w:ascii="Arial" w:hAnsi="Arial" w:cs="Arial"/>
          <w:sz w:val="20"/>
          <w:szCs w:val="20"/>
          <w:lang w:val="fr-FR"/>
        </w:rPr>
        <w:t>’</w:t>
      </w:r>
      <w:r w:rsidRPr="00105793">
        <w:rPr>
          <w:rFonts w:ascii="Arial" w:hAnsi="Arial" w:cs="Arial"/>
          <w:sz w:val="20"/>
          <w:szCs w:val="20"/>
          <w:lang w:val="fr-FR"/>
        </w:rPr>
        <w:t>espèce de l</w:t>
      </w:r>
      <w:r>
        <w:rPr>
          <w:rFonts w:ascii="Arial" w:hAnsi="Arial" w:cs="Arial"/>
          <w:sz w:val="20"/>
          <w:szCs w:val="20"/>
          <w:lang w:val="fr-FR"/>
        </w:rPr>
        <w:t>’</w:t>
      </w:r>
      <w:r w:rsidRPr="00105793">
        <w:rPr>
          <w:rFonts w:ascii="Arial" w:hAnsi="Arial" w:cs="Arial"/>
          <w:sz w:val="20"/>
          <w:szCs w:val="20"/>
          <w:lang w:val="fr-FR"/>
        </w:rPr>
        <w:t>ISWG par l</w:t>
      </w:r>
      <w:r>
        <w:rPr>
          <w:rFonts w:ascii="Arial" w:hAnsi="Arial" w:cs="Arial"/>
          <w:sz w:val="20"/>
          <w:szCs w:val="20"/>
          <w:lang w:val="fr-FR"/>
        </w:rPr>
        <w:t>’</w:t>
      </w:r>
      <w:r w:rsidRPr="00105793">
        <w:rPr>
          <w:rFonts w:ascii="Arial" w:hAnsi="Arial" w:cs="Arial"/>
          <w:sz w:val="20"/>
          <w:szCs w:val="20"/>
          <w:lang w:val="fr-FR"/>
        </w:rPr>
        <w:t>intermédiaire du Programme des champions de la Famille CMS ;</w:t>
      </w:r>
    </w:p>
    <w:p w14:paraId="73CCA8AF"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105793">
        <w:rPr>
          <w:rFonts w:ascii="Arial" w:hAnsi="Arial" w:cs="Arial"/>
          <w:sz w:val="20"/>
          <w:szCs w:val="20"/>
          <w:lang w:val="fr-FR"/>
        </w:rPr>
        <w:t>Demander aux coordinateurs de fournir des mises à jour et des rapports sur les activités de l</w:t>
      </w:r>
      <w:r>
        <w:rPr>
          <w:rFonts w:ascii="Arial" w:hAnsi="Arial" w:cs="Arial"/>
          <w:sz w:val="20"/>
          <w:szCs w:val="20"/>
          <w:lang w:val="fr-FR"/>
        </w:rPr>
        <w:t>’</w:t>
      </w:r>
      <w:r w:rsidRPr="00105793">
        <w:rPr>
          <w:rFonts w:ascii="Arial" w:hAnsi="Arial" w:cs="Arial"/>
          <w:sz w:val="20"/>
          <w:szCs w:val="20"/>
          <w:lang w:val="fr-FR"/>
        </w:rPr>
        <w:t>ISWG et</w:t>
      </w:r>
      <w:r>
        <w:rPr>
          <w:rFonts w:ascii="Arial" w:hAnsi="Arial" w:cs="Arial"/>
          <w:sz w:val="20"/>
          <w:szCs w:val="20"/>
          <w:lang w:val="fr-FR"/>
        </w:rPr>
        <w:t>,</w:t>
      </w:r>
      <w:r w:rsidRPr="00105793">
        <w:rPr>
          <w:rFonts w:ascii="Arial" w:hAnsi="Arial" w:cs="Arial"/>
          <w:sz w:val="20"/>
          <w:szCs w:val="20"/>
          <w:lang w:val="fr-FR"/>
        </w:rPr>
        <w:t xml:space="preserve"> s</w:t>
      </w:r>
      <w:r>
        <w:rPr>
          <w:rFonts w:ascii="Arial" w:hAnsi="Arial" w:cs="Arial"/>
          <w:sz w:val="20"/>
          <w:szCs w:val="20"/>
          <w:lang w:val="fr-FR"/>
        </w:rPr>
        <w:t>’</w:t>
      </w:r>
      <w:r w:rsidRPr="00105793">
        <w:rPr>
          <w:rFonts w:ascii="Arial" w:hAnsi="Arial" w:cs="Arial"/>
          <w:sz w:val="20"/>
          <w:szCs w:val="20"/>
          <w:lang w:val="fr-FR"/>
        </w:rPr>
        <w:t>il y a lieu</w:t>
      </w:r>
      <w:r>
        <w:rPr>
          <w:rFonts w:ascii="Arial" w:hAnsi="Arial" w:cs="Arial"/>
          <w:sz w:val="20"/>
          <w:szCs w:val="20"/>
          <w:lang w:val="fr-FR"/>
        </w:rPr>
        <w:t xml:space="preserve">, </w:t>
      </w:r>
      <w:r w:rsidRPr="00105793">
        <w:rPr>
          <w:rFonts w:ascii="Arial" w:hAnsi="Arial" w:cs="Arial"/>
          <w:sz w:val="20"/>
          <w:szCs w:val="20"/>
          <w:lang w:val="fr-FR"/>
        </w:rPr>
        <w:t>sur la mise en œuvre de l</w:t>
      </w:r>
      <w:r>
        <w:rPr>
          <w:rFonts w:ascii="Arial" w:hAnsi="Arial" w:cs="Arial"/>
          <w:sz w:val="20"/>
          <w:szCs w:val="20"/>
          <w:lang w:val="fr-FR"/>
        </w:rPr>
        <w:t>’ISSAP</w:t>
      </w:r>
      <w:r w:rsidRPr="00105793">
        <w:rPr>
          <w:rFonts w:ascii="Arial" w:hAnsi="Arial" w:cs="Arial"/>
          <w:sz w:val="20"/>
          <w:szCs w:val="20"/>
          <w:lang w:val="fr-FR"/>
        </w:rPr>
        <w:t>/</w:t>
      </w:r>
      <w:r>
        <w:rPr>
          <w:rFonts w:ascii="Arial" w:hAnsi="Arial" w:cs="Arial"/>
          <w:sz w:val="20"/>
          <w:szCs w:val="20"/>
          <w:lang w:val="fr-FR"/>
        </w:rPr>
        <w:t>ISSMP</w:t>
      </w:r>
      <w:r w:rsidRPr="00105793">
        <w:rPr>
          <w:rFonts w:ascii="Arial" w:hAnsi="Arial" w:cs="Arial"/>
          <w:sz w:val="20"/>
          <w:szCs w:val="20"/>
          <w:lang w:val="fr-FR"/>
        </w:rPr>
        <w:t> ;</w:t>
      </w:r>
    </w:p>
    <w:p w14:paraId="0D7024DC" w14:textId="77777777" w:rsidR="00886A3C" w:rsidRPr="004B1407" w:rsidRDefault="00886A3C" w:rsidP="00886A3C">
      <w:pPr>
        <w:pStyle w:val="ListParagraph"/>
        <w:numPr>
          <w:ilvl w:val="0"/>
          <w:numId w:val="16"/>
        </w:numPr>
        <w:tabs>
          <w:tab w:val="left" w:pos="567"/>
        </w:tabs>
        <w:spacing w:after="0" w:line="240" w:lineRule="auto"/>
        <w:ind w:left="567" w:hanging="425"/>
        <w:jc w:val="both"/>
        <w:rPr>
          <w:rFonts w:ascii="Arial" w:hAnsi="Arial" w:cs="Arial"/>
          <w:sz w:val="20"/>
          <w:szCs w:val="20"/>
          <w:lang w:val="fr-FR"/>
        </w:rPr>
      </w:pPr>
      <w:r w:rsidRPr="00105793">
        <w:rPr>
          <w:rFonts w:ascii="Arial" w:hAnsi="Arial" w:cs="Arial"/>
          <w:sz w:val="20"/>
          <w:szCs w:val="20"/>
          <w:lang w:val="fr-FR"/>
        </w:rPr>
        <w:t xml:space="preserve">Inciter les coordinateurs à organiser des mises à jour /révisions de leurs </w:t>
      </w:r>
      <w:r>
        <w:rPr>
          <w:rFonts w:ascii="Arial" w:hAnsi="Arial" w:cs="Arial"/>
          <w:sz w:val="20"/>
          <w:szCs w:val="20"/>
          <w:lang w:val="fr-FR"/>
        </w:rPr>
        <w:t>ISSAP</w:t>
      </w:r>
      <w:r w:rsidRPr="00105793">
        <w:rPr>
          <w:rFonts w:ascii="Arial" w:hAnsi="Arial" w:cs="Arial"/>
          <w:sz w:val="20"/>
          <w:szCs w:val="20"/>
          <w:lang w:val="fr-FR"/>
        </w:rPr>
        <w:t>/</w:t>
      </w:r>
      <w:r>
        <w:rPr>
          <w:rFonts w:ascii="Arial" w:hAnsi="Arial" w:cs="Arial"/>
          <w:sz w:val="20"/>
          <w:szCs w:val="20"/>
          <w:lang w:val="fr-FR"/>
        </w:rPr>
        <w:t>ISSMP</w:t>
      </w:r>
      <w:r w:rsidRPr="00105793">
        <w:rPr>
          <w:rFonts w:ascii="Arial" w:hAnsi="Arial" w:cs="Arial"/>
          <w:sz w:val="20"/>
          <w:szCs w:val="20"/>
          <w:lang w:val="fr-FR"/>
        </w:rPr>
        <w:t xml:space="preserve"> respectifs si nécessaire, y inclus une guidance tout au long du processus de révision et d</w:t>
      </w:r>
      <w:r>
        <w:rPr>
          <w:rFonts w:ascii="Arial" w:hAnsi="Arial" w:cs="Arial"/>
          <w:sz w:val="20"/>
          <w:szCs w:val="20"/>
          <w:lang w:val="fr-FR"/>
        </w:rPr>
        <w:t>’</w:t>
      </w:r>
      <w:r w:rsidRPr="00105793">
        <w:rPr>
          <w:rFonts w:ascii="Arial" w:hAnsi="Arial" w:cs="Arial"/>
          <w:sz w:val="20"/>
          <w:szCs w:val="20"/>
          <w:lang w:val="fr-FR"/>
        </w:rPr>
        <w:t>adoption.</w:t>
      </w:r>
    </w:p>
    <w:p w14:paraId="2242B2F6" w14:textId="77777777" w:rsidR="00886A3C" w:rsidRPr="004B1407" w:rsidRDefault="00886A3C" w:rsidP="00886A3C">
      <w:pPr>
        <w:spacing w:after="0" w:line="240" w:lineRule="auto"/>
        <w:jc w:val="both"/>
        <w:rPr>
          <w:rFonts w:ascii="Arial" w:hAnsi="Arial" w:cs="Arial"/>
          <w:sz w:val="20"/>
          <w:szCs w:val="20"/>
          <w:lang w:val="fr-FR"/>
        </w:rPr>
      </w:pPr>
    </w:p>
    <w:p w14:paraId="73D85331" w14:textId="77777777" w:rsidR="00886A3C" w:rsidRPr="004B1407" w:rsidRDefault="00886A3C" w:rsidP="00886A3C">
      <w:pPr>
        <w:spacing w:after="0" w:line="240" w:lineRule="auto"/>
        <w:jc w:val="both"/>
        <w:rPr>
          <w:rFonts w:ascii="Arial" w:hAnsi="Arial" w:cs="Arial"/>
          <w:sz w:val="20"/>
          <w:szCs w:val="20"/>
          <w:lang w:val="fr-FR"/>
        </w:rPr>
      </w:pPr>
      <w:r w:rsidRPr="00105793">
        <w:rPr>
          <w:rFonts w:ascii="Arial" w:hAnsi="Arial" w:cs="Arial"/>
          <w:sz w:val="20"/>
          <w:szCs w:val="20"/>
          <w:lang w:val="fr-FR"/>
        </w:rPr>
        <w:t>En outre, le Secrétariat peut également apporter des conseils en cas de conflits au sein des membres de l</w:t>
      </w:r>
      <w:r>
        <w:rPr>
          <w:rFonts w:ascii="Arial" w:hAnsi="Arial" w:cs="Arial"/>
          <w:sz w:val="20"/>
          <w:szCs w:val="20"/>
          <w:lang w:val="fr-FR"/>
        </w:rPr>
        <w:t>’</w:t>
      </w:r>
      <w:r w:rsidRPr="00105793">
        <w:rPr>
          <w:rFonts w:ascii="Arial" w:hAnsi="Arial" w:cs="Arial"/>
          <w:sz w:val="20"/>
          <w:szCs w:val="20"/>
          <w:lang w:val="fr-FR"/>
        </w:rPr>
        <w:t>ISWG ou entre l</w:t>
      </w:r>
      <w:r>
        <w:rPr>
          <w:rFonts w:ascii="Arial" w:hAnsi="Arial" w:cs="Arial"/>
          <w:sz w:val="20"/>
          <w:szCs w:val="20"/>
          <w:lang w:val="fr-FR"/>
        </w:rPr>
        <w:t>’</w:t>
      </w:r>
      <w:r w:rsidRPr="00105793">
        <w:rPr>
          <w:rFonts w:ascii="Arial" w:hAnsi="Arial" w:cs="Arial"/>
          <w:sz w:val="20"/>
          <w:szCs w:val="20"/>
          <w:lang w:val="fr-FR"/>
        </w:rPr>
        <w:t>ISWG et des tiers.</w:t>
      </w:r>
      <w:r w:rsidRPr="004B1407">
        <w:rPr>
          <w:rFonts w:ascii="Arial" w:hAnsi="Arial" w:cs="Arial"/>
          <w:sz w:val="20"/>
          <w:szCs w:val="20"/>
          <w:lang w:val="fr-FR"/>
        </w:rPr>
        <w:t xml:space="preserve"> </w:t>
      </w:r>
    </w:p>
    <w:p w14:paraId="4CFC781C" w14:textId="77777777" w:rsidR="00886A3C" w:rsidRPr="004B1407" w:rsidRDefault="00886A3C" w:rsidP="00886A3C">
      <w:pPr>
        <w:spacing w:after="0" w:line="240" w:lineRule="auto"/>
        <w:jc w:val="both"/>
        <w:rPr>
          <w:rFonts w:ascii="Arial" w:hAnsi="Arial" w:cs="Arial"/>
          <w:sz w:val="20"/>
          <w:szCs w:val="20"/>
          <w:lang w:val="fr-FR"/>
        </w:rPr>
      </w:pPr>
    </w:p>
    <w:p w14:paraId="0C98A703" w14:textId="77777777" w:rsidR="00886A3C" w:rsidRPr="004B1407" w:rsidRDefault="00886A3C" w:rsidP="00886A3C">
      <w:pPr>
        <w:spacing w:after="0" w:line="240" w:lineRule="auto"/>
        <w:jc w:val="both"/>
        <w:rPr>
          <w:rFonts w:ascii="Arial" w:hAnsi="Arial" w:cs="Arial"/>
          <w:sz w:val="20"/>
          <w:szCs w:val="20"/>
          <w:lang w:val="fr-FR"/>
        </w:rPr>
      </w:pPr>
    </w:p>
    <w:p w14:paraId="574BD396" w14:textId="77777777" w:rsidR="00886A3C" w:rsidRPr="004B1407" w:rsidRDefault="00886A3C" w:rsidP="00886A3C">
      <w:pPr>
        <w:spacing w:after="0" w:line="240" w:lineRule="auto"/>
        <w:jc w:val="both"/>
        <w:rPr>
          <w:rFonts w:ascii="Arial" w:hAnsi="Arial" w:cs="Arial"/>
          <w:sz w:val="20"/>
          <w:szCs w:val="20"/>
          <w:lang w:val="fr-FR"/>
        </w:rPr>
      </w:pPr>
    </w:p>
    <w:p w14:paraId="130115DC" w14:textId="77777777" w:rsidR="00886A3C" w:rsidRPr="004B1407" w:rsidRDefault="00886A3C" w:rsidP="00886A3C">
      <w:pPr>
        <w:spacing w:after="0" w:line="240" w:lineRule="auto"/>
        <w:jc w:val="both"/>
        <w:rPr>
          <w:rFonts w:ascii="Arial" w:hAnsi="Arial" w:cs="Arial"/>
          <w:sz w:val="20"/>
          <w:szCs w:val="20"/>
          <w:lang w:val="fr-FR"/>
        </w:rPr>
      </w:pPr>
      <w:r w:rsidRPr="00105793">
        <w:rPr>
          <w:rFonts w:ascii="Arial" w:hAnsi="Arial" w:cs="Arial"/>
          <w:sz w:val="20"/>
          <w:szCs w:val="20"/>
          <w:lang w:val="fr-FR"/>
        </w:rPr>
        <w:t>Pour de plus amples informations, veuillez prendre contact avec le Secrétariat</w:t>
      </w:r>
      <w:r w:rsidRPr="004B1407">
        <w:rPr>
          <w:rFonts w:ascii="Arial" w:hAnsi="Arial" w:cs="Arial"/>
          <w:sz w:val="20"/>
          <w:szCs w:val="20"/>
          <w:lang w:val="fr-FR"/>
        </w:rPr>
        <w:t xml:space="preserve"> </w:t>
      </w:r>
    </w:p>
    <w:p w14:paraId="2BB04FC5" w14:textId="77777777" w:rsidR="00886A3C" w:rsidRPr="004B1407" w:rsidRDefault="00886A3C" w:rsidP="00886A3C">
      <w:pPr>
        <w:spacing w:after="0" w:line="240" w:lineRule="auto"/>
        <w:jc w:val="both"/>
        <w:rPr>
          <w:rFonts w:ascii="Arial" w:hAnsi="Arial" w:cs="Arial"/>
          <w:sz w:val="20"/>
          <w:szCs w:val="20"/>
          <w:lang w:val="fr-FR"/>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0"/>
        <w:gridCol w:w="4210"/>
      </w:tblGrid>
      <w:tr w:rsidR="00886A3C" w:rsidRPr="00BD7ED9" w14:paraId="76B99B5E" w14:textId="77777777" w:rsidTr="00886A3C">
        <w:trPr>
          <w:trHeight w:val="1185"/>
          <w:jc w:val="center"/>
        </w:trPr>
        <w:tc>
          <w:tcPr>
            <w:tcW w:w="4210" w:type="dxa"/>
          </w:tcPr>
          <w:p w14:paraId="25F110E9" w14:textId="77777777" w:rsidR="00886A3C" w:rsidRPr="004B1407" w:rsidRDefault="00886A3C" w:rsidP="00886A3C">
            <w:pPr>
              <w:rPr>
                <w:rFonts w:ascii="Arial" w:hAnsi="Arial" w:cs="Arial"/>
                <w:b/>
                <w:sz w:val="20"/>
                <w:szCs w:val="20"/>
                <w:lang w:val="fr-FR"/>
              </w:rPr>
            </w:pPr>
          </w:p>
          <w:p w14:paraId="2C22740B" w14:textId="77777777" w:rsidR="00886A3C" w:rsidRPr="004B1407" w:rsidRDefault="00886A3C" w:rsidP="00886A3C">
            <w:pPr>
              <w:rPr>
                <w:rFonts w:ascii="Arial" w:hAnsi="Arial" w:cs="Arial"/>
                <w:b/>
                <w:sz w:val="20"/>
                <w:szCs w:val="20"/>
                <w:lang w:val="fr-FR"/>
              </w:rPr>
            </w:pPr>
            <w:r w:rsidRPr="00105793">
              <w:rPr>
                <w:rFonts w:ascii="Arial" w:hAnsi="Arial" w:cs="Arial"/>
                <w:b/>
                <w:sz w:val="20"/>
                <w:szCs w:val="20"/>
                <w:lang w:val="fr-FR"/>
              </w:rPr>
              <w:t>M. Sergey Dereliev</w:t>
            </w:r>
          </w:p>
          <w:p w14:paraId="40CA82B8" w14:textId="77777777" w:rsidR="00886A3C" w:rsidRPr="004B1407" w:rsidRDefault="00886A3C" w:rsidP="00886A3C">
            <w:pPr>
              <w:rPr>
                <w:rFonts w:ascii="Arial" w:hAnsi="Arial" w:cs="Arial"/>
                <w:sz w:val="20"/>
                <w:szCs w:val="20"/>
                <w:lang w:val="fr-FR"/>
              </w:rPr>
            </w:pPr>
            <w:r w:rsidRPr="00105793">
              <w:rPr>
                <w:rFonts w:ascii="Arial" w:hAnsi="Arial" w:cs="Arial"/>
                <w:sz w:val="20"/>
                <w:szCs w:val="20"/>
                <w:lang w:val="fr-FR"/>
              </w:rPr>
              <w:t>Administrateur technique de l</w:t>
            </w:r>
            <w:r>
              <w:rPr>
                <w:rFonts w:ascii="Arial" w:hAnsi="Arial" w:cs="Arial"/>
                <w:sz w:val="20"/>
                <w:szCs w:val="20"/>
                <w:lang w:val="fr-FR"/>
              </w:rPr>
              <w:t>’</w:t>
            </w:r>
            <w:r w:rsidRPr="00105793">
              <w:rPr>
                <w:rFonts w:ascii="Arial" w:hAnsi="Arial" w:cs="Arial"/>
                <w:sz w:val="20"/>
                <w:szCs w:val="20"/>
                <w:lang w:val="fr-FR"/>
              </w:rPr>
              <w:t>AEWA</w:t>
            </w:r>
          </w:p>
          <w:p w14:paraId="34059394" w14:textId="77777777" w:rsidR="00886A3C" w:rsidRPr="00277D52" w:rsidRDefault="00886A3C" w:rsidP="00886A3C">
            <w:pPr>
              <w:rPr>
                <w:rFonts w:ascii="Arial" w:hAnsi="Arial" w:cs="Arial"/>
                <w:sz w:val="20"/>
                <w:szCs w:val="20"/>
                <w:lang w:val="pt-PT"/>
              </w:rPr>
            </w:pPr>
            <w:r w:rsidRPr="00105793">
              <w:rPr>
                <w:rFonts w:ascii="Arial" w:hAnsi="Arial" w:cs="Arial"/>
                <w:sz w:val="20"/>
                <w:szCs w:val="20"/>
                <w:lang w:val="fr-FR"/>
              </w:rPr>
              <w:t>Courriel :</w:t>
            </w:r>
            <w:r w:rsidRPr="00277D52">
              <w:rPr>
                <w:rFonts w:ascii="Arial" w:hAnsi="Arial" w:cs="Arial"/>
                <w:sz w:val="20"/>
                <w:szCs w:val="20"/>
                <w:lang w:val="pt-PT"/>
              </w:rPr>
              <w:t xml:space="preserve"> </w:t>
            </w:r>
            <w:r w:rsidRPr="00105793">
              <w:rPr>
                <w:rFonts w:ascii="Arial" w:hAnsi="Arial" w:cs="Arial"/>
                <w:sz w:val="20"/>
                <w:szCs w:val="20"/>
                <w:lang w:val="fr-FR"/>
              </w:rPr>
              <w:t>sergey.dereliev@unep-aewa.org</w:t>
            </w:r>
          </w:p>
          <w:p w14:paraId="54FB5A39" w14:textId="77777777" w:rsidR="00886A3C" w:rsidRPr="00277D52" w:rsidRDefault="00886A3C" w:rsidP="00886A3C">
            <w:pPr>
              <w:rPr>
                <w:rFonts w:ascii="Arial" w:hAnsi="Arial" w:cs="Arial"/>
                <w:sz w:val="20"/>
                <w:szCs w:val="20"/>
                <w:lang w:val="pt-PT"/>
              </w:rPr>
            </w:pPr>
            <w:r w:rsidRPr="00105793">
              <w:rPr>
                <w:rFonts w:ascii="Arial" w:hAnsi="Arial" w:cs="Arial"/>
                <w:sz w:val="20"/>
                <w:szCs w:val="20"/>
                <w:lang w:val="fr-FR"/>
              </w:rPr>
              <w:t>Tél. :</w:t>
            </w:r>
            <w:r w:rsidRPr="00277D52">
              <w:rPr>
                <w:rFonts w:ascii="Arial" w:hAnsi="Arial" w:cs="Arial"/>
                <w:sz w:val="20"/>
                <w:szCs w:val="20"/>
                <w:lang w:val="pt-PT"/>
              </w:rPr>
              <w:t xml:space="preserve"> +49 (0)228 815 2415</w:t>
            </w:r>
          </w:p>
        </w:tc>
        <w:tc>
          <w:tcPr>
            <w:tcW w:w="4210" w:type="dxa"/>
          </w:tcPr>
          <w:p w14:paraId="49C12528" w14:textId="77777777" w:rsidR="00886A3C" w:rsidRPr="004B1407" w:rsidRDefault="00886A3C" w:rsidP="00886A3C">
            <w:pPr>
              <w:jc w:val="both"/>
              <w:rPr>
                <w:rFonts w:ascii="Arial" w:hAnsi="Arial" w:cs="Arial"/>
                <w:b/>
                <w:sz w:val="20"/>
                <w:szCs w:val="20"/>
                <w:lang w:val="fr-FR"/>
              </w:rPr>
            </w:pPr>
          </w:p>
          <w:p w14:paraId="11BB5151" w14:textId="77777777" w:rsidR="00886A3C" w:rsidRPr="004B1407" w:rsidRDefault="00886A3C" w:rsidP="00886A3C">
            <w:pPr>
              <w:jc w:val="both"/>
              <w:rPr>
                <w:rFonts w:ascii="Arial" w:hAnsi="Arial" w:cs="Arial"/>
                <w:b/>
                <w:sz w:val="20"/>
                <w:szCs w:val="20"/>
                <w:lang w:val="fr-FR"/>
              </w:rPr>
            </w:pPr>
            <w:r w:rsidRPr="00105793">
              <w:rPr>
                <w:rFonts w:ascii="Arial" w:hAnsi="Arial" w:cs="Arial"/>
                <w:b/>
                <w:sz w:val="20"/>
                <w:szCs w:val="20"/>
                <w:lang w:val="fr-FR"/>
              </w:rPr>
              <w:t>Mme Nina Mikander</w:t>
            </w:r>
          </w:p>
          <w:p w14:paraId="5A2B4579" w14:textId="77777777" w:rsidR="00886A3C" w:rsidRPr="004B1407" w:rsidRDefault="00886A3C" w:rsidP="00886A3C">
            <w:pPr>
              <w:jc w:val="both"/>
              <w:rPr>
                <w:rFonts w:ascii="Arial" w:hAnsi="Arial" w:cs="Arial"/>
                <w:sz w:val="20"/>
                <w:szCs w:val="20"/>
                <w:lang w:val="fr-FR"/>
              </w:rPr>
            </w:pPr>
            <w:r w:rsidRPr="00105793">
              <w:rPr>
                <w:rFonts w:ascii="Arial" w:hAnsi="Arial" w:cs="Arial"/>
                <w:sz w:val="20"/>
                <w:szCs w:val="20"/>
                <w:lang w:val="fr-FR"/>
              </w:rPr>
              <w:t>Administratrice de programme associée de l</w:t>
            </w:r>
            <w:r>
              <w:rPr>
                <w:rFonts w:ascii="Arial" w:hAnsi="Arial" w:cs="Arial"/>
                <w:sz w:val="20"/>
                <w:szCs w:val="20"/>
                <w:lang w:val="fr-FR"/>
              </w:rPr>
              <w:t>’</w:t>
            </w:r>
            <w:r w:rsidRPr="00105793">
              <w:rPr>
                <w:rFonts w:ascii="Arial" w:hAnsi="Arial" w:cs="Arial"/>
                <w:sz w:val="20"/>
                <w:szCs w:val="20"/>
                <w:lang w:val="fr-FR"/>
              </w:rPr>
              <w:t>AEWA</w:t>
            </w:r>
          </w:p>
          <w:p w14:paraId="491523E0" w14:textId="77777777" w:rsidR="00886A3C" w:rsidRPr="004B1407" w:rsidRDefault="00886A3C" w:rsidP="00886A3C">
            <w:pPr>
              <w:jc w:val="both"/>
              <w:rPr>
                <w:rFonts w:ascii="Arial" w:hAnsi="Arial" w:cs="Arial"/>
                <w:sz w:val="20"/>
                <w:szCs w:val="20"/>
                <w:lang w:val="fr-FR"/>
              </w:rPr>
            </w:pPr>
            <w:r w:rsidRPr="00105793">
              <w:rPr>
                <w:rFonts w:ascii="Arial" w:hAnsi="Arial" w:cs="Arial"/>
                <w:sz w:val="20"/>
                <w:szCs w:val="20"/>
                <w:lang w:val="fr-FR"/>
              </w:rPr>
              <w:t>Courriel :</w:t>
            </w:r>
            <w:r w:rsidRPr="004B1407">
              <w:rPr>
                <w:rFonts w:ascii="Arial" w:hAnsi="Arial" w:cs="Arial"/>
                <w:sz w:val="20"/>
                <w:szCs w:val="20"/>
                <w:lang w:val="fr-FR"/>
              </w:rPr>
              <w:t xml:space="preserve"> </w:t>
            </w:r>
            <w:r w:rsidRPr="00105793">
              <w:rPr>
                <w:rFonts w:ascii="Arial" w:hAnsi="Arial" w:cs="Arial"/>
                <w:sz w:val="20"/>
                <w:szCs w:val="20"/>
                <w:lang w:val="fr-FR"/>
              </w:rPr>
              <w:t>nina.mikander@unep-aewa.org</w:t>
            </w:r>
          </w:p>
          <w:p w14:paraId="4B0E17F3" w14:textId="77777777" w:rsidR="00886A3C" w:rsidRPr="005E6927" w:rsidRDefault="00886A3C" w:rsidP="00886A3C">
            <w:pPr>
              <w:jc w:val="both"/>
              <w:rPr>
                <w:rFonts w:ascii="Arial" w:hAnsi="Arial" w:cs="Arial"/>
                <w:sz w:val="20"/>
                <w:szCs w:val="20"/>
                <w:lang w:val="de-DE"/>
              </w:rPr>
            </w:pPr>
            <w:r w:rsidRPr="00105793">
              <w:rPr>
                <w:rFonts w:ascii="Arial" w:hAnsi="Arial" w:cs="Arial"/>
                <w:sz w:val="20"/>
                <w:szCs w:val="20"/>
                <w:lang w:val="fr-FR"/>
              </w:rPr>
              <w:t>Tél. :</w:t>
            </w:r>
            <w:r w:rsidRPr="005E6927">
              <w:rPr>
                <w:rFonts w:ascii="Arial" w:hAnsi="Arial" w:cs="Arial"/>
                <w:sz w:val="20"/>
                <w:szCs w:val="20"/>
                <w:lang w:val="de-DE"/>
              </w:rPr>
              <w:t xml:space="preserve"> +49 (0)228 815 2452</w:t>
            </w:r>
          </w:p>
        </w:tc>
      </w:tr>
    </w:tbl>
    <w:p w14:paraId="498A5A09" w14:textId="77777777" w:rsidR="00886A3C" w:rsidRDefault="00886A3C" w:rsidP="00886A3C">
      <w:pPr>
        <w:pStyle w:val="Header"/>
        <w:rPr>
          <w:szCs w:val="24"/>
        </w:rPr>
        <w:sectPr w:rsidR="00886A3C" w:rsidSect="001571EF">
          <w:headerReference w:type="even" r:id="rId124"/>
          <w:headerReference w:type="default" r:id="rId125"/>
          <w:footerReference w:type="even" r:id="rId126"/>
          <w:headerReference w:type="first" r:id="rId127"/>
          <w:pgSz w:w="11906" w:h="16838" w:code="9"/>
          <w:pgMar w:top="1114" w:right="1411" w:bottom="1138" w:left="1411" w:header="706" w:footer="706" w:gutter="0"/>
          <w:cols w:space="708"/>
          <w:docGrid w:linePitch="360"/>
        </w:sectPr>
      </w:pPr>
    </w:p>
    <w:p w14:paraId="5BACF2E5" w14:textId="77777777" w:rsidR="00886A3C" w:rsidRDefault="00886A3C" w:rsidP="00886A3C">
      <w:pPr>
        <w:pStyle w:val="Title"/>
        <w:rPr>
          <w:rFonts w:ascii="Times New Roman" w:hAnsi="Times New Roman" w:cs="Times New Roman"/>
          <w:sz w:val="23"/>
          <w:szCs w:val="23"/>
          <w:lang w:val="fr-FR"/>
        </w:rPr>
      </w:pPr>
    </w:p>
    <w:p w14:paraId="14EF1D0D" w14:textId="77777777" w:rsidR="00886A3C" w:rsidRDefault="00886A3C" w:rsidP="00886A3C">
      <w:pPr>
        <w:pStyle w:val="Title"/>
        <w:rPr>
          <w:rFonts w:ascii="Times New Roman" w:hAnsi="Times New Roman" w:cs="Times New Roman"/>
          <w:sz w:val="23"/>
          <w:szCs w:val="23"/>
          <w:lang w:val="fr-FR"/>
        </w:rPr>
      </w:pPr>
    </w:p>
    <w:p w14:paraId="343A37BE" w14:textId="77777777" w:rsidR="00886A3C" w:rsidRDefault="00886A3C" w:rsidP="00886A3C">
      <w:pPr>
        <w:pStyle w:val="Title"/>
        <w:rPr>
          <w:rFonts w:ascii="Times New Roman" w:hAnsi="Times New Roman" w:cs="Times New Roman"/>
          <w:sz w:val="23"/>
          <w:szCs w:val="23"/>
          <w:lang w:val="fr-FR"/>
        </w:rPr>
      </w:pPr>
    </w:p>
    <w:p w14:paraId="38793A75" w14:textId="77777777" w:rsidR="00886A3C" w:rsidRPr="004B1407" w:rsidRDefault="00886A3C" w:rsidP="00886A3C">
      <w:pPr>
        <w:pStyle w:val="Title"/>
        <w:rPr>
          <w:rFonts w:ascii="Times New Roman" w:hAnsi="Times New Roman" w:cs="Times New Roman"/>
          <w:sz w:val="23"/>
          <w:szCs w:val="23"/>
          <w:lang w:val="fr-FR"/>
        </w:rPr>
      </w:pPr>
      <w:r w:rsidRPr="008577BD">
        <w:rPr>
          <w:rFonts w:ascii="Times New Roman" w:hAnsi="Times New Roman" w:cs="Times New Roman"/>
          <w:sz w:val="23"/>
          <w:szCs w:val="23"/>
          <w:lang w:val="fr-FR"/>
        </w:rPr>
        <w:t>LISTE DES populations d</w:t>
      </w:r>
      <w:r>
        <w:rPr>
          <w:rFonts w:ascii="Times New Roman" w:hAnsi="Times New Roman" w:cs="Times New Roman"/>
          <w:sz w:val="23"/>
          <w:szCs w:val="23"/>
          <w:lang w:val="fr-FR"/>
        </w:rPr>
        <w:t>’</w:t>
      </w:r>
      <w:r w:rsidRPr="008577BD">
        <w:rPr>
          <w:rFonts w:ascii="Times New Roman" w:hAnsi="Times New Roman" w:cs="Times New Roman"/>
          <w:sz w:val="23"/>
          <w:szCs w:val="23"/>
          <w:lang w:val="fr-FR"/>
        </w:rPr>
        <w:t>oiseaux d</w:t>
      </w:r>
      <w:r>
        <w:rPr>
          <w:rFonts w:ascii="Times New Roman" w:hAnsi="Times New Roman" w:cs="Times New Roman"/>
          <w:sz w:val="23"/>
          <w:szCs w:val="23"/>
          <w:lang w:val="fr-FR"/>
        </w:rPr>
        <w:t>’</w:t>
      </w:r>
      <w:r w:rsidRPr="008577BD">
        <w:rPr>
          <w:rFonts w:ascii="Times New Roman" w:hAnsi="Times New Roman" w:cs="Times New Roman"/>
          <w:sz w:val="23"/>
          <w:szCs w:val="23"/>
          <w:lang w:val="fr-FR"/>
        </w:rPr>
        <w:t>eau PrioritAIRES POUR L</w:t>
      </w:r>
      <w:r>
        <w:rPr>
          <w:rFonts w:ascii="Times New Roman" w:hAnsi="Times New Roman" w:cs="Times New Roman"/>
          <w:sz w:val="23"/>
          <w:szCs w:val="23"/>
          <w:lang w:val="fr-FR"/>
        </w:rPr>
        <w:t>’</w:t>
      </w:r>
      <w:r w:rsidRPr="008577BD">
        <w:rPr>
          <w:rFonts w:ascii="Times New Roman" w:hAnsi="Times New Roman" w:cs="Times New Roman"/>
          <w:sz w:val="23"/>
          <w:szCs w:val="23"/>
          <w:lang w:val="fr-FR"/>
        </w:rPr>
        <w:t>ÉLABORATION</w:t>
      </w:r>
      <w:r>
        <w:rPr>
          <w:rFonts w:ascii="Times New Roman" w:hAnsi="Times New Roman" w:cs="Times New Roman"/>
          <w:sz w:val="23"/>
          <w:szCs w:val="23"/>
          <w:lang w:val="fr-FR"/>
        </w:rPr>
        <w:t xml:space="preserve"> </w:t>
      </w:r>
    </w:p>
    <w:p w14:paraId="1DC46A74" w14:textId="77777777" w:rsidR="00886A3C" w:rsidRPr="004B1407" w:rsidRDefault="00886A3C" w:rsidP="00886A3C">
      <w:pPr>
        <w:pStyle w:val="Title"/>
        <w:rPr>
          <w:rFonts w:ascii="Times New Roman" w:hAnsi="Times New Roman" w:cs="Times New Roman"/>
          <w:sz w:val="23"/>
          <w:szCs w:val="23"/>
          <w:lang w:val="fr-FR"/>
        </w:rPr>
      </w:pPr>
      <w:r w:rsidRPr="008577BD">
        <w:rPr>
          <w:rFonts w:ascii="Times New Roman" w:hAnsi="Times New Roman" w:cs="Times New Roman"/>
          <w:sz w:val="23"/>
          <w:szCs w:val="23"/>
          <w:lang w:val="fr-FR"/>
        </w:rPr>
        <w:t>DE plans d</w:t>
      </w:r>
      <w:r>
        <w:rPr>
          <w:rFonts w:ascii="Times New Roman" w:hAnsi="Times New Roman" w:cs="Times New Roman"/>
          <w:sz w:val="23"/>
          <w:szCs w:val="23"/>
          <w:lang w:val="fr-FR"/>
        </w:rPr>
        <w:t>’</w:t>
      </w:r>
      <w:r w:rsidRPr="008577BD">
        <w:rPr>
          <w:rFonts w:ascii="Times New Roman" w:hAnsi="Times New Roman" w:cs="Times New Roman"/>
          <w:sz w:val="23"/>
          <w:szCs w:val="23"/>
          <w:lang w:val="fr-FR"/>
        </w:rPr>
        <w:t>action ou DE plans de gestion par esp</w:t>
      </w:r>
      <w:r>
        <w:rPr>
          <w:rFonts w:ascii="Times New Roman" w:hAnsi="Times New Roman" w:cs="Times New Roman"/>
          <w:sz w:val="23"/>
          <w:szCs w:val="23"/>
          <w:lang w:val="fr-FR"/>
        </w:rPr>
        <w:t>È</w:t>
      </w:r>
      <w:r w:rsidRPr="008577BD">
        <w:rPr>
          <w:rFonts w:ascii="Times New Roman" w:hAnsi="Times New Roman" w:cs="Times New Roman"/>
          <w:sz w:val="23"/>
          <w:szCs w:val="23"/>
          <w:lang w:val="fr-FR"/>
        </w:rPr>
        <w:t>ce :</w:t>
      </w:r>
      <w:r w:rsidRPr="004B1407">
        <w:rPr>
          <w:rFonts w:ascii="Times New Roman" w:hAnsi="Times New Roman" w:cs="Times New Roman"/>
          <w:sz w:val="23"/>
          <w:szCs w:val="23"/>
          <w:lang w:val="fr-FR"/>
        </w:rPr>
        <w:t xml:space="preserve"> 2012-2015</w:t>
      </w:r>
    </w:p>
    <w:p w14:paraId="1334B6B7" w14:textId="77777777" w:rsidR="00886A3C" w:rsidRPr="004B1407" w:rsidRDefault="00886A3C" w:rsidP="00886A3C">
      <w:pPr>
        <w:spacing w:after="0" w:line="240" w:lineRule="auto"/>
        <w:jc w:val="center"/>
        <w:rPr>
          <w:rFonts w:ascii="Times New Roman" w:hAnsi="Times New Roman" w:cs="Times New Roman"/>
          <w:i/>
          <w:lang w:val="fr-FR"/>
        </w:rPr>
      </w:pPr>
    </w:p>
    <w:p w14:paraId="68524466" w14:textId="77777777" w:rsidR="00886A3C" w:rsidRPr="004B1407" w:rsidRDefault="00886A3C" w:rsidP="00886A3C">
      <w:pPr>
        <w:spacing w:after="0" w:line="240" w:lineRule="auto"/>
        <w:jc w:val="center"/>
        <w:rPr>
          <w:rFonts w:ascii="Times New Roman" w:hAnsi="Times New Roman" w:cs="Times New Roman"/>
          <w:i/>
          <w:lang w:val="fr-FR"/>
        </w:rPr>
      </w:pPr>
      <w:r w:rsidRPr="008577BD">
        <w:rPr>
          <w:rFonts w:ascii="Times New Roman" w:hAnsi="Times New Roman" w:cs="Times New Roman"/>
          <w:i/>
          <w:lang w:val="fr-FR"/>
        </w:rPr>
        <w:t>Approuvée par le Comité technique de l</w:t>
      </w:r>
      <w:r>
        <w:rPr>
          <w:rFonts w:ascii="Times New Roman" w:hAnsi="Times New Roman" w:cs="Times New Roman"/>
          <w:i/>
          <w:lang w:val="fr-FR"/>
        </w:rPr>
        <w:t>’</w:t>
      </w:r>
      <w:r w:rsidRPr="008577BD">
        <w:rPr>
          <w:rFonts w:ascii="Times New Roman" w:hAnsi="Times New Roman" w:cs="Times New Roman"/>
          <w:i/>
          <w:lang w:val="fr-FR"/>
        </w:rPr>
        <w:t>AEWA lors de sa 11</w:t>
      </w:r>
      <w:r w:rsidRPr="008577BD">
        <w:rPr>
          <w:rFonts w:ascii="Times New Roman" w:hAnsi="Times New Roman" w:cs="Times New Roman"/>
          <w:i/>
          <w:vertAlign w:val="superscript"/>
          <w:lang w:val="fr-FR"/>
        </w:rPr>
        <w:t>ème</w:t>
      </w:r>
      <w:r w:rsidRPr="008577BD">
        <w:rPr>
          <w:rFonts w:ascii="Times New Roman" w:hAnsi="Times New Roman" w:cs="Times New Roman"/>
          <w:i/>
          <w:lang w:val="fr-FR"/>
        </w:rPr>
        <w:t xml:space="preserve"> réunion , du 27 au 30 août 2012, à Accra, Ghana</w:t>
      </w:r>
    </w:p>
    <w:p w14:paraId="3716E68E" w14:textId="77777777" w:rsidR="00886A3C" w:rsidRPr="004B1407" w:rsidRDefault="00886A3C" w:rsidP="00886A3C">
      <w:pPr>
        <w:pStyle w:val="Heading1"/>
        <w:jc w:val="left"/>
        <w:rPr>
          <w:b w:val="0"/>
          <w:bCs w:val="0"/>
          <w:sz w:val="22"/>
          <w:lang w:val="fr-FR"/>
        </w:rPr>
      </w:pPr>
    </w:p>
    <w:p w14:paraId="0497A5D7" w14:textId="77777777" w:rsidR="00886A3C" w:rsidRPr="004B1407" w:rsidRDefault="00886A3C" w:rsidP="00886A3C">
      <w:pPr>
        <w:spacing w:after="0" w:line="240" w:lineRule="auto"/>
        <w:rPr>
          <w:rFonts w:ascii="Times New Roman" w:hAnsi="Times New Roman" w:cs="Times New Roman"/>
          <w:lang w:val="fr-FR"/>
        </w:rPr>
      </w:pPr>
    </w:p>
    <w:p w14:paraId="48C1CAD3" w14:textId="77777777" w:rsidR="00886A3C" w:rsidRPr="004B1407" w:rsidRDefault="00886A3C" w:rsidP="00886A3C">
      <w:pPr>
        <w:pStyle w:val="Heading1"/>
        <w:jc w:val="left"/>
        <w:rPr>
          <w:caps/>
          <w:sz w:val="24"/>
          <w:lang w:val="fr-FR"/>
        </w:rPr>
      </w:pPr>
      <w:r w:rsidRPr="008577BD">
        <w:rPr>
          <w:bCs w:val="0"/>
          <w:sz w:val="24"/>
          <w:lang w:val="fr-FR"/>
        </w:rPr>
        <w:t>Contexte</w:t>
      </w:r>
    </w:p>
    <w:p w14:paraId="4D8ED073" w14:textId="77777777" w:rsidR="00886A3C" w:rsidRPr="004B1407" w:rsidRDefault="00886A3C" w:rsidP="00886A3C">
      <w:pPr>
        <w:spacing w:after="0" w:line="240" w:lineRule="auto"/>
        <w:jc w:val="both"/>
        <w:rPr>
          <w:rFonts w:ascii="Times New Roman" w:hAnsi="Times New Roman" w:cs="Times New Roman"/>
          <w:lang w:val="fr-FR"/>
        </w:rPr>
      </w:pPr>
    </w:p>
    <w:p w14:paraId="7ADFB6C6" w14:textId="77777777" w:rsidR="00886A3C" w:rsidRPr="004B1407" w:rsidRDefault="00886A3C" w:rsidP="00886A3C">
      <w:pPr>
        <w:spacing w:after="0" w:line="240" w:lineRule="auto"/>
        <w:jc w:val="both"/>
        <w:rPr>
          <w:rFonts w:ascii="Times New Roman" w:hAnsi="Times New Roman" w:cs="Times New Roman"/>
          <w:lang w:val="fr-FR"/>
        </w:rPr>
      </w:pPr>
      <w:r w:rsidRPr="002E3A48">
        <w:rPr>
          <w:rFonts w:ascii="Times New Roman" w:hAnsi="Times New Roman" w:cs="Times New Roman"/>
          <w:lang w:val="fr-FR"/>
        </w:rPr>
        <w:t>En 2008, la première édition de l</w:t>
      </w:r>
      <w:r>
        <w:rPr>
          <w:rFonts w:ascii="Times New Roman" w:hAnsi="Times New Roman" w:cs="Times New Roman"/>
          <w:lang w:val="fr-FR"/>
        </w:rPr>
        <w:t>’</w:t>
      </w:r>
      <w:hyperlink r:id="rId128" w:history="1">
        <w:r w:rsidRPr="002E3A48">
          <w:rPr>
            <w:rStyle w:val="Hyperlink"/>
            <w:rFonts w:ascii="Times New Roman" w:hAnsi="Times New Roman" w:cs="Times New Roman"/>
            <w:i/>
            <w:lang w:val="fr-FR"/>
          </w:rPr>
          <w:t xml:space="preserve">Étude de l’AEWA </w:t>
        </w:r>
        <w:r>
          <w:rPr>
            <w:rStyle w:val="Hyperlink"/>
            <w:rFonts w:ascii="Times New Roman" w:hAnsi="Times New Roman" w:cs="Times New Roman"/>
            <w:i/>
            <w:lang w:val="fr-FR"/>
          </w:rPr>
          <w:t xml:space="preserve">sur </w:t>
        </w:r>
        <w:r w:rsidRPr="002E3A48">
          <w:rPr>
            <w:rStyle w:val="Hyperlink"/>
            <w:rFonts w:ascii="Times New Roman" w:hAnsi="Times New Roman" w:cs="Times New Roman"/>
            <w:i/>
            <w:lang w:val="fr-FR"/>
          </w:rPr>
          <w:t>le stade de préparation et de mise en œuvre des plans d’action internationaux par espèce (ISSAP)</w:t>
        </w:r>
      </w:hyperlink>
      <w:r w:rsidRPr="002E3A48">
        <w:rPr>
          <w:rFonts w:ascii="Times New Roman" w:hAnsi="Times New Roman" w:cs="Times New Roman"/>
          <w:i/>
          <w:lang w:val="fr-FR"/>
        </w:rPr>
        <w:t xml:space="preserve"> </w:t>
      </w:r>
      <w:r w:rsidRPr="002E3A48">
        <w:rPr>
          <w:rFonts w:ascii="Times New Roman" w:hAnsi="Times New Roman" w:cs="Times New Roman"/>
          <w:lang w:val="fr-FR"/>
        </w:rPr>
        <w:t>a été compilée et présentée à la 4</w:t>
      </w:r>
      <w:r w:rsidRPr="002E3A48">
        <w:rPr>
          <w:rFonts w:ascii="Times New Roman" w:hAnsi="Times New Roman" w:cs="Times New Roman"/>
          <w:vertAlign w:val="superscript"/>
          <w:lang w:val="fr-FR"/>
        </w:rPr>
        <w:t>ème</w:t>
      </w:r>
      <w:r w:rsidRPr="002E3A48">
        <w:rPr>
          <w:rFonts w:ascii="Times New Roman" w:hAnsi="Times New Roman" w:cs="Times New Roman"/>
          <w:lang w:val="fr-FR"/>
        </w:rPr>
        <w:t xml:space="preserve"> session de la Réunion des Parties. Cette étude a proposé entre autres une liste de populations prioritaires pour lesquelles des ISSAP devraient être élaborés</w:t>
      </w:r>
      <w:r w:rsidRPr="002E3A48">
        <w:rPr>
          <w:rFonts w:ascii="Times New Roman" w:hAnsi="Times New Roman" w:cs="Times New Roman"/>
          <w:i/>
          <w:lang w:val="fr-FR"/>
        </w:rPr>
        <w:t> </w:t>
      </w:r>
      <w:r w:rsidRPr="002E3A48">
        <w:rPr>
          <w:rFonts w:ascii="Times New Roman" w:hAnsi="Times New Roman" w:cs="Times New Roman"/>
          <w:lang w:val="fr-FR"/>
        </w:rPr>
        <w:t xml:space="preserve">; par la </w:t>
      </w:r>
      <w:hyperlink r:id="rId129" w:history="1">
        <w:r w:rsidRPr="002E3A48">
          <w:rPr>
            <w:rStyle w:val="Hyperlink"/>
            <w:rFonts w:ascii="Times New Roman" w:hAnsi="Times New Roman" w:cs="Times New Roman"/>
            <w:lang w:val="fr-FR"/>
          </w:rPr>
          <w:t>Résolution 4.4</w:t>
        </w:r>
      </w:hyperlink>
      <w:r w:rsidRPr="002E3A48">
        <w:rPr>
          <w:rFonts w:ascii="Times New Roman" w:hAnsi="Times New Roman" w:cs="Times New Roman"/>
          <w:lang w:val="fr-FR"/>
        </w:rPr>
        <w:t>. la MOP4 a approuvée cette liste.</w:t>
      </w:r>
      <w:r w:rsidRPr="004B1407">
        <w:rPr>
          <w:rFonts w:ascii="Times New Roman" w:hAnsi="Times New Roman" w:cs="Times New Roman"/>
          <w:lang w:val="fr-FR"/>
        </w:rPr>
        <w:t xml:space="preserve"> </w:t>
      </w:r>
      <w:r w:rsidRPr="002E3A48">
        <w:rPr>
          <w:rFonts w:ascii="Times New Roman" w:hAnsi="Times New Roman" w:cs="Times New Roman"/>
          <w:lang w:val="fr-FR"/>
        </w:rPr>
        <w:t>Cette liste approuvée a servi de guidance au Secrétariat et aux autres parties prenantes pour élaborer de nouveaux SSAP entre la 4</w:t>
      </w:r>
      <w:r w:rsidRPr="002E3A48">
        <w:rPr>
          <w:rFonts w:ascii="Times New Roman" w:hAnsi="Times New Roman" w:cs="Times New Roman"/>
          <w:vertAlign w:val="superscript"/>
          <w:lang w:val="fr-FR"/>
        </w:rPr>
        <w:t>ème</w:t>
      </w:r>
      <w:r w:rsidRPr="002E3A48">
        <w:rPr>
          <w:rFonts w:ascii="Times New Roman" w:hAnsi="Times New Roman" w:cs="Times New Roman"/>
          <w:lang w:val="fr-FR"/>
        </w:rPr>
        <w:t xml:space="preserve"> et la 5</w:t>
      </w:r>
      <w:r w:rsidRPr="002E3A48">
        <w:rPr>
          <w:rFonts w:ascii="Times New Roman" w:hAnsi="Times New Roman" w:cs="Times New Roman"/>
          <w:vertAlign w:val="superscript"/>
          <w:lang w:val="fr-FR"/>
        </w:rPr>
        <w:t>ème</w:t>
      </w:r>
      <w:r w:rsidRPr="002E3A48">
        <w:rPr>
          <w:rFonts w:ascii="Times New Roman" w:hAnsi="Times New Roman" w:cs="Times New Roman"/>
          <w:lang w:val="fr-FR"/>
        </w:rPr>
        <w:t xml:space="preserve"> session de la Réunion des Parties (MOP5 de 2012).</w:t>
      </w:r>
      <w:r w:rsidRPr="004B1407">
        <w:rPr>
          <w:rFonts w:ascii="Times New Roman" w:hAnsi="Times New Roman" w:cs="Times New Roman"/>
          <w:lang w:val="fr-FR"/>
        </w:rPr>
        <w:t xml:space="preserve"> </w:t>
      </w:r>
    </w:p>
    <w:p w14:paraId="7373B274" w14:textId="77777777" w:rsidR="00886A3C" w:rsidRPr="004B1407" w:rsidRDefault="00886A3C" w:rsidP="00886A3C">
      <w:pPr>
        <w:spacing w:after="0" w:line="240" w:lineRule="auto"/>
        <w:jc w:val="both"/>
        <w:rPr>
          <w:rFonts w:ascii="Times New Roman" w:hAnsi="Times New Roman" w:cs="Times New Roman"/>
          <w:lang w:val="fr-FR"/>
        </w:rPr>
      </w:pPr>
    </w:p>
    <w:p w14:paraId="3891F4F7" w14:textId="77777777" w:rsidR="00886A3C" w:rsidRPr="004B1407" w:rsidRDefault="00886A3C" w:rsidP="00886A3C">
      <w:pPr>
        <w:spacing w:after="0" w:line="240" w:lineRule="auto"/>
        <w:jc w:val="both"/>
        <w:rPr>
          <w:rFonts w:ascii="Times New Roman" w:hAnsi="Times New Roman" w:cs="Times New Roman"/>
          <w:iCs/>
          <w:lang w:val="fr-FR"/>
        </w:rPr>
      </w:pPr>
      <w:r w:rsidRPr="007674A5">
        <w:rPr>
          <w:rFonts w:ascii="Times New Roman" w:hAnsi="Times New Roman" w:cs="Times New Roman"/>
          <w:lang w:val="fr-FR"/>
        </w:rPr>
        <w:t>Lors de la MOP5, le Secrétariat a présenté un résumé de l</w:t>
      </w:r>
      <w:r>
        <w:rPr>
          <w:rFonts w:ascii="Times New Roman" w:hAnsi="Times New Roman" w:cs="Times New Roman"/>
          <w:lang w:val="fr-FR"/>
        </w:rPr>
        <w:t>’</w:t>
      </w:r>
      <w:r w:rsidRPr="007674A5">
        <w:rPr>
          <w:rFonts w:ascii="Times New Roman" w:hAnsi="Times New Roman" w:cs="Times New Roman"/>
          <w:lang w:val="fr-FR"/>
        </w:rPr>
        <w:t xml:space="preserve">état actuel de la production et de la coordination des SSAP et des plans de gestion des espèces (SMP) (voir document </w:t>
      </w:r>
      <w:hyperlink r:id="rId130" w:history="1">
        <w:r w:rsidRPr="007674A5">
          <w:rPr>
            <w:rStyle w:val="Hyperlink"/>
            <w:rFonts w:ascii="Times New Roman" w:hAnsi="Times New Roman" w:cs="Times New Roman"/>
            <w:lang w:val="fr-FR"/>
          </w:rPr>
          <w:t>AEWA/MOP 5.24</w:t>
        </w:r>
      </w:hyperlink>
      <w:r w:rsidRPr="007674A5">
        <w:rPr>
          <w:rFonts w:ascii="Times New Roman" w:hAnsi="Times New Roman" w:cs="Times New Roman"/>
          <w:lang w:val="fr-FR"/>
        </w:rPr>
        <w:t>).</w:t>
      </w:r>
      <w:r w:rsidRPr="004B1407">
        <w:rPr>
          <w:rFonts w:ascii="Times New Roman" w:hAnsi="Times New Roman" w:cs="Times New Roman"/>
          <w:lang w:val="fr-FR"/>
        </w:rPr>
        <w:t xml:space="preserve"> </w:t>
      </w:r>
      <w:r w:rsidRPr="007674A5">
        <w:rPr>
          <w:rFonts w:ascii="Times New Roman" w:hAnsi="Times New Roman" w:cs="Times New Roman"/>
          <w:lang w:val="fr-FR"/>
        </w:rPr>
        <w:t>La MOP5 a également adopté des amendements au Tableau 1 de l</w:t>
      </w:r>
      <w:r>
        <w:rPr>
          <w:rFonts w:ascii="Times New Roman" w:hAnsi="Times New Roman" w:cs="Times New Roman"/>
          <w:lang w:val="fr-FR"/>
        </w:rPr>
        <w:t>’</w:t>
      </w:r>
      <w:r w:rsidRPr="007674A5">
        <w:rPr>
          <w:rFonts w:ascii="Times New Roman" w:hAnsi="Times New Roman" w:cs="Times New Roman"/>
          <w:lang w:val="fr-FR"/>
        </w:rPr>
        <w:t>AEWA sur la base de l</w:t>
      </w:r>
      <w:r>
        <w:rPr>
          <w:rFonts w:ascii="Times New Roman" w:hAnsi="Times New Roman" w:cs="Times New Roman"/>
          <w:lang w:val="fr-FR"/>
        </w:rPr>
        <w:t>’actualisation</w:t>
      </w:r>
      <w:r w:rsidRPr="007674A5">
        <w:rPr>
          <w:rFonts w:ascii="Times New Roman" w:hAnsi="Times New Roman" w:cs="Times New Roman"/>
          <w:lang w:val="fr-FR"/>
        </w:rPr>
        <w:t xml:space="preserve"> des estimations des tailles et des tendances des populations présentées dans la 5</w:t>
      </w:r>
      <w:r w:rsidRPr="007674A5">
        <w:rPr>
          <w:rFonts w:ascii="Times New Roman" w:hAnsi="Times New Roman" w:cs="Times New Roman"/>
          <w:vertAlign w:val="superscript"/>
          <w:lang w:val="fr-FR"/>
        </w:rPr>
        <w:t>ème</w:t>
      </w:r>
      <w:r w:rsidRPr="007674A5">
        <w:rPr>
          <w:rFonts w:ascii="Times New Roman" w:hAnsi="Times New Roman" w:cs="Times New Roman"/>
          <w:lang w:val="fr-FR"/>
        </w:rPr>
        <w:t xml:space="preserve"> édition du </w:t>
      </w:r>
      <w:r w:rsidRPr="007674A5">
        <w:rPr>
          <w:rFonts w:ascii="Times New Roman" w:hAnsi="Times New Roman" w:cs="Times New Roman"/>
          <w:i/>
          <w:lang w:val="fr-FR"/>
        </w:rPr>
        <w:t>Rapport sur l</w:t>
      </w:r>
      <w:r>
        <w:rPr>
          <w:rFonts w:ascii="Times New Roman" w:hAnsi="Times New Roman" w:cs="Times New Roman"/>
          <w:i/>
          <w:lang w:val="fr-FR"/>
        </w:rPr>
        <w:t>’</w:t>
      </w:r>
      <w:r w:rsidRPr="007674A5">
        <w:rPr>
          <w:rFonts w:ascii="Times New Roman" w:hAnsi="Times New Roman" w:cs="Times New Roman"/>
          <w:i/>
          <w:lang w:val="fr-FR"/>
        </w:rPr>
        <w:t>état de conservation de l</w:t>
      </w:r>
      <w:r>
        <w:rPr>
          <w:rFonts w:ascii="Times New Roman" w:hAnsi="Times New Roman" w:cs="Times New Roman"/>
          <w:i/>
          <w:lang w:val="fr-FR"/>
        </w:rPr>
        <w:t>’</w:t>
      </w:r>
      <w:r w:rsidRPr="007674A5">
        <w:rPr>
          <w:rFonts w:ascii="Times New Roman" w:hAnsi="Times New Roman" w:cs="Times New Roman"/>
          <w:i/>
          <w:lang w:val="fr-FR"/>
        </w:rPr>
        <w:t>AEWA</w:t>
      </w:r>
      <w:r w:rsidRPr="007674A5">
        <w:rPr>
          <w:rFonts w:ascii="Times New Roman" w:hAnsi="Times New Roman" w:cs="Times New Roman"/>
          <w:lang w:val="fr-FR"/>
        </w:rPr>
        <w:t xml:space="preserve"> (</w:t>
      </w:r>
      <w:hyperlink r:id="rId131" w:history="1">
        <w:r w:rsidRPr="007674A5">
          <w:rPr>
            <w:rStyle w:val="Hyperlink"/>
            <w:rFonts w:ascii="Times New Roman" w:hAnsi="Times New Roman" w:cs="Times New Roman"/>
            <w:lang w:val="fr-FR"/>
          </w:rPr>
          <w:t>CSR5</w:t>
        </w:r>
      </w:hyperlink>
      <w:r w:rsidRPr="007674A5">
        <w:rPr>
          <w:rFonts w:ascii="Times New Roman" w:hAnsi="Times New Roman" w:cs="Times New Roman"/>
          <w:lang w:val="fr-FR"/>
        </w:rPr>
        <w:t>).</w:t>
      </w:r>
      <w:r w:rsidRPr="004B1407">
        <w:rPr>
          <w:rFonts w:ascii="Times New Roman" w:hAnsi="Times New Roman" w:cs="Times New Roman"/>
          <w:lang w:val="fr-FR"/>
        </w:rPr>
        <w:t xml:space="preserve"> </w:t>
      </w:r>
      <w:r w:rsidRPr="00F84609">
        <w:rPr>
          <w:rFonts w:ascii="Times New Roman" w:hAnsi="Times New Roman" w:cs="Times New Roman"/>
          <w:lang w:val="fr-FR"/>
        </w:rPr>
        <w:t xml:space="preserve">Le Paragraphe 2.2.1 du </w:t>
      </w:r>
      <w:r>
        <w:rPr>
          <w:rFonts w:ascii="Times New Roman" w:hAnsi="Times New Roman" w:cs="Times New Roman"/>
          <w:lang w:val="fr-FR"/>
        </w:rPr>
        <w:t>Plan</w:t>
      </w:r>
      <w:r w:rsidRPr="00F84609">
        <w:rPr>
          <w:rFonts w:ascii="Times New Roman" w:hAnsi="Times New Roman" w:cs="Times New Roman"/>
          <w:lang w:val="fr-FR"/>
        </w:rPr>
        <w:t xml:space="preserve"> d</w:t>
      </w:r>
      <w:r>
        <w:rPr>
          <w:rFonts w:ascii="Times New Roman" w:hAnsi="Times New Roman" w:cs="Times New Roman"/>
          <w:lang w:val="fr-FR"/>
        </w:rPr>
        <w:t>’</w:t>
      </w:r>
      <w:r w:rsidRPr="00F84609">
        <w:rPr>
          <w:rFonts w:ascii="Times New Roman" w:hAnsi="Times New Roman" w:cs="Times New Roman"/>
          <w:lang w:val="fr-FR"/>
        </w:rPr>
        <w:t xml:space="preserve">action de </w:t>
      </w:r>
      <w:r w:rsidRPr="00434643">
        <w:rPr>
          <w:rFonts w:ascii="Times New Roman" w:hAnsi="Times New Roman" w:cs="Times New Roman"/>
          <w:lang w:val="fr-FR"/>
        </w:rPr>
        <w:t xml:space="preserve">l’AEWA définit </w:t>
      </w:r>
      <w:r>
        <w:rPr>
          <w:rFonts w:ascii="Times New Roman" w:hAnsi="Times New Roman" w:cs="Times New Roman"/>
          <w:lang w:val="fr-FR"/>
        </w:rPr>
        <w:t>l</w:t>
      </w:r>
      <w:r w:rsidRPr="00434643">
        <w:rPr>
          <w:rFonts w:ascii="Times New Roman" w:hAnsi="Times New Roman" w:cs="Times New Roman"/>
          <w:lang w:val="fr-FR"/>
        </w:rPr>
        <w:t>es populations</w:t>
      </w:r>
      <w:r w:rsidRPr="00F84609">
        <w:rPr>
          <w:rFonts w:ascii="Times New Roman" w:hAnsi="Times New Roman" w:cs="Times New Roman"/>
          <w:lang w:val="fr-FR"/>
        </w:rPr>
        <w:t xml:space="preserve"> </w:t>
      </w:r>
      <w:r>
        <w:rPr>
          <w:rFonts w:ascii="Times New Roman" w:hAnsi="Times New Roman" w:cs="Times New Roman"/>
          <w:lang w:val="fr-FR"/>
        </w:rPr>
        <w:t>prioritaires pour l</w:t>
      </w:r>
      <w:r w:rsidRPr="00F84609">
        <w:rPr>
          <w:rFonts w:ascii="Times New Roman" w:hAnsi="Times New Roman" w:cs="Times New Roman"/>
          <w:lang w:val="fr-FR"/>
        </w:rPr>
        <w:t>es plans d</w:t>
      </w:r>
      <w:r>
        <w:rPr>
          <w:rFonts w:ascii="Times New Roman" w:hAnsi="Times New Roman" w:cs="Times New Roman"/>
          <w:lang w:val="fr-FR"/>
        </w:rPr>
        <w:t>’</w:t>
      </w:r>
      <w:r w:rsidRPr="00F84609">
        <w:rPr>
          <w:rFonts w:ascii="Times New Roman" w:hAnsi="Times New Roman" w:cs="Times New Roman"/>
          <w:lang w:val="fr-FR"/>
        </w:rPr>
        <w:t>action (Tableau 1 de l</w:t>
      </w:r>
      <w:r>
        <w:rPr>
          <w:rFonts w:ascii="Times New Roman" w:hAnsi="Times New Roman" w:cs="Times New Roman"/>
          <w:lang w:val="fr-FR"/>
        </w:rPr>
        <w:t>’</w:t>
      </w:r>
      <w:r w:rsidRPr="00F84609">
        <w:rPr>
          <w:rFonts w:ascii="Times New Roman" w:hAnsi="Times New Roman" w:cs="Times New Roman"/>
          <w:lang w:val="fr-FR"/>
        </w:rPr>
        <w:t>AEWA : catégorie 1 de la colonne A, et catégories 2 et 3 marqué</w:t>
      </w:r>
      <w:r>
        <w:rPr>
          <w:rFonts w:ascii="Times New Roman" w:hAnsi="Times New Roman" w:cs="Times New Roman"/>
          <w:lang w:val="fr-FR"/>
        </w:rPr>
        <w:t>e</w:t>
      </w:r>
      <w:r w:rsidRPr="00F84609">
        <w:rPr>
          <w:rFonts w:ascii="Times New Roman" w:hAnsi="Times New Roman" w:cs="Times New Roman"/>
          <w:lang w:val="fr-FR"/>
        </w:rPr>
        <w:t>s d</w:t>
      </w:r>
      <w:r>
        <w:rPr>
          <w:rFonts w:ascii="Times New Roman" w:hAnsi="Times New Roman" w:cs="Times New Roman"/>
          <w:lang w:val="fr-FR"/>
        </w:rPr>
        <w:t>’</w:t>
      </w:r>
      <w:r w:rsidRPr="00F84609">
        <w:rPr>
          <w:rFonts w:ascii="Times New Roman" w:hAnsi="Times New Roman" w:cs="Times New Roman"/>
          <w:lang w:val="fr-FR"/>
        </w:rPr>
        <w:t xml:space="preserve">un astérisque de la colonne A), impliquant que des amendements au Tableau 1 </w:t>
      </w:r>
      <w:r>
        <w:rPr>
          <w:rFonts w:ascii="Times New Roman" w:hAnsi="Times New Roman" w:cs="Times New Roman"/>
          <w:lang w:val="fr-FR"/>
        </w:rPr>
        <w:t>rendent</w:t>
      </w:r>
      <w:r w:rsidRPr="00F84609">
        <w:rPr>
          <w:rFonts w:ascii="Times New Roman" w:hAnsi="Times New Roman" w:cs="Times New Roman"/>
          <w:lang w:val="fr-FR"/>
        </w:rPr>
        <w:t xml:space="preserve"> indispensable de réviser la liste prioritaire approuvée par la MOP4. Pour cette raison, la MOP5 a demandé au </w:t>
      </w:r>
      <w:r w:rsidRPr="00F84609">
        <w:rPr>
          <w:rFonts w:ascii="Times New Roman" w:hAnsi="Times New Roman" w:cs="Times New Roman"/>
          <w:iCs/>
          <w:lang w:val="fr-FR"/>
        </w:rPr>
        <w:t xml:space="preserve">Comité technique, aux termes de la </w:t>
      </w:r>
      <w:hyperlink r:id="rId132" w:history="1">
        <w:r w:rsidRPr="00F84609">
          <w:rPr>
            <w:rStyle w:val="Hyperlink"/>
            <w:rFonts w:ascii="Times New Roman" w:hAnsi="Times New Roman" w:cs="Times New Roman"/>
            <w:iCs/>
            <w:lang w:val="fr-FR"/>
          </w:rPr>
          <w:t>Résolution 5.8</w:t>
        </w:r>
      </w:hyperlink>
      <w:r w:rsidRPr="00F84609">
        <w:rPr>
          <w:rFonts w:ascii="Times New Roman" w:hAnsi="Times New Roman" w:cs="Times New Roman"/>
          <w:iCs/>
          <w:lang w:val="fr-FR"/>
        </w:rPr>
        <w:t xml:space="preserve"> de réviser la liste des priorités pour les ISSAP lors de sa première réunion suivant chaque Réunion des Parties, à la lumière des changements approuvés pour le</w:t>
      </w:r>
      <w:r w:rsidRPr="004B1407">
        <w:rPr>
          <w:rFonts w:ascii="Times New Roman" w:hAnsi="Times New Roman" w:cs="Times New Roman"/>
          <w:iCs/>
          <w:lang w:val="fr-FR"/>
        </w:rPr>
        <w:t xml:space="preserve"> </w:t>
      </w:r>
      <w:r w:rsidRPr="00F84609">
        <w:rPr>
          <w:rFonts w:ascii="Times New Roman" w:hAnsi="Times New Roman" w:cs="Times New Roman"/>
          <w:iCs/>
          <w:lang w:val="fr-FR"/>
        </w:rPr>
        <w:t>Tableau 1.</w:t>
      </w:r>
      <w:r w:rsidRPr="004B1407">
        <w:rPr>
          <w:rFonts w:ascii="Times New Roman" w:hAnsi="Times New Roman" w:cs="Times New Roman"/>
          <w:iCs/>
          <w:lang w:val="fr-FR"/>
        </w:rPr>
        <w:t xml:space="preserve"> </w:t>
      </w:r>
    </w:p>
    <w:p w14:paraId="526F8610" w14:textId="77777777" w:rsidR="00886A3C" w:rsidRPr="004B1407" w:rsidRDefault="00886A3C" w:rsidP="00886A3C">
      <w:pPr>
        <w:spacing w:after="0" w:line="240" w:lineRule="auto"/>
        <w:jc w:val="both"/>
        <w:rPr>
          <w:rFonts w:ascii="Times New Roman" w:hAnsi="Times New Roman" w:cs="Times New Roman"/>
          <w:iCs/>
          <w:lang w:val="fr-FR"/>
        </w:rPr>
      </w:pPr>
    </w:p>
    <w:p w14:paraId="1B7707F4" w14:textId="77777777" w:rsidR="00886A3C" w:rsidRPr="004B1407" w:rsidRDefault="00886A3C" w:rsidP="00886A3C">
      <w:pPr>
        <w:spacing w:after="0" w:line="240" w:lineRule="auto"/>
        <w:jc w:val="both"/>
        <w:rPr>
          <w:rFonts w:ascii="Times New Roman" w:hAnsi="Times New Roman" w:cs="Times New Roman"/>
          <w:lang w:val="fr-FR"/>
        </w:rPr>
      </w:pPr>
      <w:r w:rsidRPr="00C90ABB">
        <w:rPr>
          <w:rFonts w:ascii="Times New Roman" w:hAnsi="Times New Roman" w:cs="Times New Roman"/>
          <w:iCs/>
          <w:lang w:val="fr-FR"/>
        </w:rPr>
        <w:t>La MOP5 a ajouté</w:t>
      </w:r>
      <w:r>
        <w:rPr>
          <w:rFonts w:ascii="Times New Roman" w:hAnsi="Times New Roman" w:cs="Times New Roman"/>
          <w:iCs/>
          <w:lang w:val="fr-FR"/>
        </w:rPr>
        <w:t xml:space="preserve"> </w:t>
      </w:r>
      <w:r w:rsidRPr="00C90ABB">
        <w:rPr>
          <w:rFonts w:ascii="Times New Roman" w:hAnsi="Times New Roman" w:cs="Times New Roman"/>
          <w:iCs/>
          <w:lang w:val="fr-FR"/>
        </w:rPr>
        <w:t xml:space="preserve">à la colonne A du </w:t>
      </w:r>
      <w:r w:rsidRPr="00C90ABB">
        <w:rPr>
          <w:rFonts w:ascii="Times New Roman" w:hAnsi="Times New Roman" w:cs="Times New Roman"/>
          <w:lang w:val="fr-FR"/>
        </w:rPr>
        <w:t>Tableau 1 de l</w:t>
      </w:r>
      <w:r>
        <w:rPr>
          <w:rFonts w:ascii="Times New Roman" w:hAnsi="Times New Roman" w:cs="Times New Roman"/>
          <w:lang w:val="fr-FR"/>
        </w:rPr>
        <w:t>’</w:t>
      </w:r>
      <w:r w:rsidRPr="00C90ABB">
        <w:rPr>
          <w:rFonts w:ascii="Times New Roman" w:hAnsi="Times New Roman" w:cs="Times New Roman"/>
          <w:lang w:val="fr-FR"/>
        </w:rPr>
        <w:t>AEWA</w:t>
      </w:r>
      <w:r w:rsidRPr="00C90ABB">
        <w:rPr>
          <w:rFonts w:ascii="Times New Roman" w:hAnsi="Times New Roman" w:cs="Times New Roman"/>
          <w:iCs/>
          <w:lang w:val="fr-FR"/>
        </w:rPr>
        <w:t xml:space="preserve"> une nouvelle catégorie, la catégorie 4,</w:t>
      </w:r>
      <w:r>
        <w:rPr>
          <w:rFonts w:ascii="Times New Roman" w:hAnsi="Times New Roman" w:cs="Times New Roman"/>
          <w:iCs/>
          <w:lang w:val="fr-FR"/>
        </w:rPr>
        <w:t xml:space="preserve"> </w:t>
      </w:r>
      <w:r w:rsidRPr="00C90ABB">
        <w:rPr>
          <w:rFonts w:ascii="Times New Roman" w:hAnsi="Times New Roman" w:cs="Times New Roman"/>
          <w:lang w:val="fr-FR"/>
        </w:rPr>
        <w:t xml:space="preserve">qui couvre les catégories appartenant aux espèces classées comme Quasi menacées sur </w:t>
      </w:r>
      <w:r w:rsidRPr="00C90ABB">
        <w:rPr>
          <w:rFonts w:ascii="Times New Roman" w:hAnsi="Times New Roman" w:cs="Times New Roman"/>
          <w:iCs/>
          <w:lang w:val="fr-FR"/>
        </w:rPr>
        <w:t>la liste rouge de l</w:t>
      </w:r>
      <w:r>
        <w:rPr>
          <w:rFonts w:ascii="Times New Roman" w:hAnsi="Times New Roman" w:cs="Times New Roman"/>
          <w:iCs/>
          <w:lang w:val="fr-FR"/>
        </w:rPr>
        <w:t>’</w:t>
      </w:r>
      <w:r w:rsidRPr="00C90ABB">
        <w:rPr>
          <w:rFonts w:ascii="Times New Roman" w:hAnsi="Times New Roman" w:cs="Times New Roman"/>
          <w:iCs/>
          <w:lang w:val="fr-FR"/>
        </w:rPr>
        <w:t xml:space="preserve">UICN, mais qui ne répondent pas aux conditions posées pour les catégories </w:t>
      </w:r>
      <w:r w:rsidRPr="00C90ABB">
        <w:rPr>
          <w:rFonts w:ascii="Times New Roman" w:hAnsi="Times New Roman" w:cs="Times New Roman"/>
          <w:lang w:val="fr-FR"/>
        </w:rPr>
        <w:t xml:space="preserve">1, 2 ou 3 de la colonne A. Le paragraphe 2.1.1 amendé du </w:t>
      </w:r>
      <w:r>
        <w:rPr>
          <w:rFonts w:ascii="Times New Roman" w:hAnsi="Times New Roman" w:cs="Times New Roman"/>
          <w:lang w:val="fr-FR"/>
        </w:rPr>
        <w:t>Plan</w:t>
      </w:r>
      <w:r w:rsidRPr="00C90ABB">
        <w:rPr>
          <w:rFonts w:ascii="Times New Roman" w:hAnsi="Times New Roman" w:cs="Times New Roman"/>
          <w:lang w:val="fr-FR"/>
        </w:rPr>
        <w:t xml:space="preserve"> d</w:t>
      </w:r>
      <w:r>
        <w:rPr>
          <w:rFonts w:ascii="Times New Roman" w:hAnsi="Times New Roman" w:cs="Times New Roman"/>
          <w:lang w:val="fr-FR"/>
        </w:rPr>
        <w:t>’</w:t>
      </w:r>
      <w:r w:rsidRPr="00C90ABB">
        <w:rPr>
          <w:rFonts w:ascii="Times New Roman" w:hAnsi="Times New Roman" w:cs="Times New Roman"/>
          <w:lang w:val="fr-FR"/>
        </w:rPr>
        <w:t>action de l</w:t>
      </w:r>
      <w:r>
        <w:rPr>
          <w:rFonts w:ascii="Times New Roman" w:hAnsi="Times New Roman" w:cs="Times New Roman"/>
          <w:lang w:val="fr-FR"/>
        </w:rPr>
        <w:t>’</w:t>
      </w:r>
      <w:r w:rsidRPr="00C90ABB">
        <w:rPr>
          <w:rFonts w:ascii="Times New Roman" w:hAnsi="Times New Roman" w:cs="Times New Roman"/>
          <w:lang w:val="fr-FR"/>
        </w:rPr>
        <w:t>AEWA requiert l</w:t>
      </w:r>
      <w:r>
        <w:rPr>
          <w:rFonts w:ascii="Times New Roman" w:hAnsi="Times New Roman" w:cs="Times New Roman"/>
          <w:lang w:val="fr-FR"/>
        </w:rPr>
        <w:t>’</w:t>
      </w:r>
      <w:r w:rsidRPr="00C90ABB">
        <w:rPr>
          <w:rFonts w:ascii="Times New Roman" w:hAnsi="Times New Roman" w:cs="Times New Roman"/>
          <w:lang w:val="fr-FR"/>
        </w:rPr>
        <w:t>élaboration d</w:t>
      </w:r>
      <w:r>
        <w:rPr>
          <w:rFonts w:ascii="Times New Roman" w:hAnsi="Times New Roman" w:cs="Times New Roman"/>
          <w:lang w:val="fr-FR"/>
        </w:rPr>
        <w:t>’</w:t>
      </w:r>
      <w:r w:rsidRPr="00C90ABB">
        <w:rPr>
          <w:rFonts w:ascii="Times New Roman" w:hAnsi="Times New Roman" w:cs="Times New Roman"/>
          <w:lang w:val="fr-FR"/>
        </w:rPr>
        <w:t>un plan d</w:t>
      </w:r>
      <w:r>
        <w:rPr>
          <w:rFonts w:ascii="Times New Roman" w:hAnsi="Times New Roman" w:cs="Times New Roman"/>
          <w:lang w:val="fr-FR"/>
        </w:rPr>
        <w:t>’</w:t>
      </w:r>
      <w:r w:rsidRPr="00C90ABB">
        <w:rPr>
          <w:rFonts w:ascii="Times New Roman" w:hAnsi="Times New Roman" w:cs="Times New Roman"/>
          <w:lang w:val="fr-FR"/>
        </w:rPr>
        <w:t>action international en tant que condition préalable à la continuation de la chasse (sur la base d</w:t>
      </w:r>
      <w:r>
        <w:rPr>
          <w:rFonts w:ascii="Times New Roman" w:hAnsi="Times New Roman" w:cs="Times New Roman"/>
          <w:lang w:val="fr-FR"/>
        </w:rPr>
        <w:t xml:space="preserve">’une </w:t>
      </w:r>
      <w:r w:rsidRPr="00C90ABB">
        <w:rPr>
          <w:rFonts w:ascii="Times New Roman" w:hAnsi="Times New Roman" w:cs="Times New Roman"/>
          <w:lang w:val="fr-FR"/>
        </w:rPr>
        <w:t>utilisation durable) de toute population figurant à la catégorie 4.</w:t>
      </w:r>
    </w:p>
    <w:p w14:paraId="4078E3F2" w14:textId="77777777" w:rsidR="00886A3C" w:rsidRPr="004B1407" w:rsidRDefault="00886A3C" w:rsidP="00886A3C">
      <w:pPr>
        <w:spacing w:after="0" w:line="240" w:lineRule="auto"/>
        <w:jc w:val="both"/>
        <w:rPr>
          <w:rFonts w:ascii="Times New Roman" w:hAnsi="Times New Roman" w:cs="Times New Roman"/>
          <w:lang w:val="fr-FR"/>
        </w:rPr>
      </w:pPr>
    </w:p>
    <w:p w14:paraId="78CD9F9D" w14:textId="77777777" w:rsidR="00886A3C" w:rsidRPr="004B1407" w:rsidRDefault="00886A3C" w:rsidP="00886A3C">
      <w:pPr>
        <w:spacing w:after="0" w:line="240" w:lineRule="auto"/>
        <w:jc w:val="both"/>
        <w:rPr>
          <w:rFonts w:ascii="Times New Roman" w:hAnsi="Times New Roman" w:cs="Times New Roman"/>
          <w:lang w:val="fr-FR"/>
        </w:rPr>
      </w:pPr>
    </w:p>
    <w:p w14:paraId="03714F09" w14:textId="77777777" w:rsidR="00886A3C" w:rsidRPr="004B1407" w:rsidRDefault="00886A3C" w:rsidP="00886A3C">
      <w:pPr>
        <w:pStyle w:val="Heading1"/>
        <w:jc w:val="left"/>
        <w:rPr>
          <w:bCs w:val="0"/>
          <w:sz w:val="24"/>
          <w:lang w:val="fr-FR"/>
        </w:rPr>
      </w:pPr>
      <w:r w:rsidRPr="00C90ABB">
        <w:rPr>
          <w:bCs w:val="0"/>
          <w:sz w:val="24"/>
          <w:lang w:val="fr-FR"/>
        </w:rPr>
        <w:t>Liste prioritaire révisée</w:t>
      </w:r>
    </w:p>
    <w:p w14:paraId="2CF1CFA2" w14:textId="77777777" w:rsidR="00886A3C" w:rsidRPr="004B1407" w:rsidRDefault="00886A3C" w:rsidP="00886A3C">
      <w:pPr>
        <w:spacing w:after="0" w:line="240" w:lineRule="auto"/>
        <w:jc w:val="both"/>
        <w:rPr>
          <w:rFonts w:ascii="Times New Roman" w:hAnsi="Times New Roman" w:cs="Times New Roman"/>
          <w:lang w:val="fr-FR"/>
        </w:rPr>
      </w:pPr>
    </w:p>
    <w:p w14:paraId="53B738A4" w14:textId="77777777" w:rsidR="00886A3C" w:rsidRPr="004B1407" w:rsidRDefault="00886A3C" w:rsidP="00886A3C">
      <w:pPr>
        <w:spacing w:after="0" w:line="240" w:lineRule="auto"/>
        <w:jc w:val="both"/>
        <w:rPr>
          <w:rFonts w:ascii="Times New Roman" w:hAnsi="Times New Roman" w:cs="Times New Roman"/>
          <w:lang w:val="fr-FR"/>
        </w:rPr>
      </w:pPr>
      <w:r w:rsidRPr="000A2BC3">
        <w:rPr>
          <w:rFonts w:ascii="Times New Roman" w:hAnsi="Times New Roman" w:cs="Times New Roman"/>
          <w:lang w:val="fr-FR"/>
        </w:rPr>
        <w:t>La liste révisée a été compilée selon l</w:t>
      </w:r>
      <w:r>
        <w:rPr>
          <w:rFonts w:ascii="Times New Roman" w:hAnsi="Times New Roman" w:cs="Times New Roman"/>
          <w:lang w:val="fr-FR"/>
        </w:rPr>
        <w:t>’</w:t>
      </w:r>
      <w:r w:rsidRPr="000A2BC3">
        <w:rPr>
          <w:rFonts w:ascii="Times New Roman" w:hAnsi="Times New Roman" w:cs="Times New Roman"/>
          <w:lang w:val="fr-FR"/>
        </w:rPr>
        <w:t>approche et les critères utilisés dans l</w:t>
      </w:r>
      <w:r>
        <w:rPr>
          <w:rFonts w:ascii="Times New Roman" w:hAnsi="Times New Roman" w:cs="Times New Roman"/>
          <w:lang w:val="fr-FR"/>
        </w:rPr>
        <w:t>’É</w:t>
      </w:r>
      <w:r w:rsidRPr="000A2BC3">
        <w:rPr>
          <w:rFonts w:ascii="Times New Roman" w:hAnsi="Times New Roman" w:cs="Times New Roman"/>
          <w:lang w:val="fr-FR"/>
        </w:rPr>
        <w:t>tude sur le stade de préparation et de mise en œuvre des SSAP réalisée en 2008 pour la MOP4, tout en ajoutant un critère supplémentaire sur la vulnérabilité au changement climatique et en prenant en compte les développements intervenus depuis la MOP4, tels que l</w:t>
      </w:r>
      <w:r>
        <w:rPr>
          <w:rFonts w:ascii="Times New Roman" w:hAnsi="Times New Roman" w:cs="Times New Roman"/>
          <w:lang w:val="fr-FR"/>
        </w:rPr>
        <w:t>’</w:t>
      </w:r>
      <w:r w:rsidRPr="000A2BC3">
        <w:rPr>
          <w:rFonts w:ascii="Times New Roman" w:hAnsi="Times New Roman" w:cs="Times New Roman"/>
          <w:lang w:val="fr-FR"/>
        </w:rPr>
        <w:t>ajout d</w:t>
      </w:r>
      <w:r>
        <w:rPr>
          <w:rFonts w:ascii="Times New Roman" w:hAnsi="Times New Roman" w:cs="Times New Roman"/>
          <w:lang w:val="fr-FR"/>
        </w:rPr>
        <w:t>’</w:t>
      </w:r>
      <w:r w:rsidRPr="000A2BC3">
        <w:rPr>
          <w:rFonts w:ascii="Times New Roman" w:hAnsi="Times New Roman" w:cs="Times New Roman"/>
          <w:lang w:val="fr-FR"/>
        </w:rPr>
        <w:t>une nouvelle catégorie 4 à la colonne A, ainsi que d</w:t>
      </w:r>
      <w:r>
        <w:rPr>
          <w:rFonts w:ascii="Times New Roman" w:hAnsi="Times New Roman" w:cs="Times New Roman"/>
          <w:lang w:val="fr-FR"/>
        </w:rPr>
        <w:t>’</w:t>
      </w:r>
      <w:r w:rsidRPr="000A2BC3">
        <w:rPr>
          <w:rFonts w:ascii="Times New Roman" w:hAnsi="Times New Roman" w:cs="Times New Roman"/>
          <w:lang w:val="fr-FR"/>
        </w:rPr>
        <w:t>autres considérations destinées à affiner le classement.</w:t>
      </w:r>
    </w:p>
    <w:p w14:paraId="3704CDA9" w14:textId="77777777" w:rsidR="00886A3C" w:rsidRPr="004B1407" w:rsidRDefault="00886A3C" w:rsidP="00886A3C">
      <w:pPr>
        <w:spacing w:after="0" w:line="240" w:lineRule="auto"/>
        <w:jc w:val="both"/>
        <w:rPr>
          <w:rFonts w:ascii="Times New Roman" w:hAnsi="Times New Roman" w:cs="Times New Roman"/>
          <w:lang w:val="fr-FR"/>
        </w:rPr>
      </w:pPr>
    </w:p>
    <w:p w14:paraId="4E529D51" w14:textId="77777777" w:rsidR="00886A3C" w:rsidRDefault="00886A3C" w:rsidP="00886A3C">
      <w:pPr>
        <w:spacing w:after="0" w:line="240" w:lineRule="auto"/>
        <w:jc w:val="both"/>
        <w:rPr>
          <w:rFonts w:ascii="Times New Roman" w:hAnsi="Times New Roman" w:cs="Times New Roman"/>
          <w:lang w:val="fr-FR"/>
        </w:rPr>
      </w:pPr>
      <w:r w:rsidRPr="00485FF5">
        <w:rPr>
          <w:rFonts w:ascii="Times New Roman" w:hAnsi="Times New Roman" w:cs="Times New Roman"/>
          <w:lang w:val="fr-FR"/>
        </w:rPr>
        <w:t>En premier lieu,</w:t>
      </w:r>
      <w:r w:rsidRPr="002F7190">
        <w:rPr>
          <w:rFonts w:ascii="Times New Roman" w:hAnsi="Times New Roman" w:cs="Times New Roman"/>
          <w:lang w:val="fr-FR"/>
        </w:rPr>
        <w:t xml:space="preserve"> toutes les populations appartenant aux catégories 1 et 4 de la colonne A et les populations de la colonne A marquées d</w:t>
      </w:r>
      <w:r>
        <w:rPr>
          <w:rFonts w:ascii="Times New Roman" w:hAnsi="Times New Roman" w:cs="Times New Roman"/>
          <w:lang w:val="fr-FR"/>
        </w:rPr>
        <w:t>’</w:t>
      </w:r>
      <w:r w:rsidRPr="002F7190">
        <w:rPr>
          <w:rFonts w:ascii="Times New Roman" w:hAnsi="Times New Roman" w:cs="Times New Roman"/>
          <w:lang w:val="fr-FR"/>
        </w:rPr>
        <w:t>un astérisque, ainsi que les populations restantes faisant partie des espèces mondialement menacées, ont</w:t>
      </w:r>
      <w:r>
        <w:rPr>
          <w:rFonts w:ascii="Times New Roman" w:hAnsi="Times New Roman" w:cs="Times New Roman"/>
          <w:lang w:val="fr-FR"/>
        </w:rPr>
        <w:t xml:space="preserve"> </w:t>
      </w:r>
      <w:r w:rsidRPr="002F7190">
        <w:rPr>
          <w:rFonts w:ascii="Times New Roman" w:hAnsi="Times New Roman" w:cs="Times New Roman"/>
          <w:lang w:val="fr-FR"/>
        </w:rPr>
        <w:t>été extraites du Tableau 1 de l</w:t>
      </w:r>
      <w:r>
        <w:rPr>
          <w:rFonts w:ascii="Times New Roman" w:hAnsi="Times New Roman" w:cs="Times New Roman"/>
          <w:lang w:val="fr-FR"/>
        </w:rPr>
        <w:t>’</w:t>
      </w:r>
      <w:r w:rsidRPr="002F7190">
        <w:rPr>
          <w:rFonts w:ascii="Times New Roman" w:hAnsi="Times New Roman" w:cs="Times New Roman"/>
          <w:lang w:val="fr-FR"/>
        </w:rPr>
        <w:t>AEWA adopté lors de la MOP5. Toutes le espèces mondialement menacées figurent en principe dans la catégorie 1, mais nous avons appliqué la toute dernière liste rouge de l</w:t>
      </w:r>
      <w:r>
        <w:rPr>
          <w:rFonts w:ascii="Times New Roman" w:hAnsi="Times New Roman" w:cs="Times New Roman"/>
          <w:lang w:val="fr-FR"/>
        </w:rPr>
        <w:t>’</w:t>
      </w:r>
      <w:r w:rsidRPr="002F7190">
        <w:rPr>
          <w:rFonts w:ascii="Times New Roman" w:hAnsi="Times New Roman" w:cs="Times New Roman"/>
          <w:lang w:val="fr-FR"/>
        </w:rPr>
        <w:t>UICN, publiée deux semaines après la MOP5</w:t>
      </w:r>
      <w:r>
        <w:rPr>
          <w:rFonts w:ascii="Times New Roman" w:hAnsi="Times New Roman" w:cs="Times New Roman"/>
          <w:lang w:val="fr-FR"/>
        </w:rPr>
        <w:t>,</w:t>
      </w:r>
      <w:r w:rsidRPr="002F7190">
        <w:rPr>
          <w:rFonts w:ascii="Times New Roman" w:hAnsi="Times New Roman" w:cs="Times New Roman"/>
          <w:lang w:val="fr-FR"/>
        </w:rPr>
        <w:t xml:space="preserve"> dans laquelle quelques espèces couvertes par l</w:t>
      </w:r>
      <w:r>
        <w:rPr>
          <w:rFonts w:ascii="Times New Roman" w:hAnsi="Times New Roman" w:cs="Times New Roman"/>
          <w:lang w:val="fr-FR"/>
        </w:rPr>
        <w:t>’</w:t>
      </w:r>
      <w:r w:rsidRPr="002F7190">
        <w:rPr>
          <w:rFonts w:ascii="Times New Roman" w:hAnsi="Times New Roman" w:cs="Times New Roman"/>
          <w:lang w:val="fr-FR"/>
        </w:rPr>
        <w:t xml:space="preserve">AEWA sont passées dans </w:t>
      </w:r>
      <w:r>
        <w:rPr>
          <w:rFonts w:ascii="Times New Roman" w:hAnsi="Times New Roman" w:cs="Times New Roman"/>
          <w:lang w:val="fr-FR"/>
        </w:rPr>
        <w:t>d</w:t>
      </w:r>
      <w:r w:rsidRPr="002F7190">
        <w:rPr>
          <w:rFonts w:ascii="Times New Roman" w:hAnsi="Times New Roman" w:cs="Times New Roman"/>
          <w:lang w:val="fr-FR"/>
        </w:rPr>
        <w:t>es catégories Mondialement menacées, entraînant quelques</w:t>
      </w:r>
      <w:r>
        <w:rPr>
          <w:rFonts w:ascii="Times New Roman" w:hAnsi="Times New Roman" w:cs="Times New Roman"/>
          <w:lang w:val="fr-FR"/>
        </w:rPr>
        <w:t xml:space="preserve"> </w:t>
      </w:r>
      <w:r w:rsidRPr="002F7190">
        <w:rPr>
          <w:rFonts w:ascii="Times New Roman" w:hAnsi="Times New Roman" w:cs="Times New Roman"/>
          <w:lang w:val="fr-FR"/>
        </w:rPr>
        <w:t>divergences.</w:t>
      </w:r>
      <w:r w:rsidRPr="004B1407">
        <w:rPr>
          <w:rFonts w:ascii="Times New Roman" w:hAnsi="Times New Roman" w:cs="Times New Roman"/>
          <w:lang w:val="fr-FR"/>
        </w:rPr>
        <w:t xml:space="preserve"> </w:t>
      </w:r>
      <w:r w:rsidRPr="002F7190">
        <w:rPr>
          <w:rFonts w:ascii="Times New Roman" w:hAnsi="Times New Roman" w:cs="Times New Roman"/>
          <w:lang w:val="fr-FR"/>
        </w:rPr>
        <w:t>Toutes les populations/espèces pour lesquelles des SSAP ont été adoptés ou sont actuellement en cours d</w:t>
      </w:r>
      <w:r>
        <w:rPr>
          <w:rFonts w:ascii="Times New Roman" w:hAnsi="Times New Roman" w:cs="Times New Roman"/>
          <w:lang w:val="fr-FR"/>
        </w:rPr>
        <w:t>’</w:t>
      </w:r>
      <w:r w:rsidRPr="002F7190">
        <w:rPr>
          <w:rFonts w:ascii="Times New Roman" w:hAnsi="Times New Roman" w:cs="Times New Roman"/>
          <w:lang w:val="fr-FR"/>
        </w:rPr>
        <w:t>élaboration, ont été exclues de cette liste initiale, ainsi que celles pour lesquelles des mémorandums d</w:t>
      </w:r>
      <w:r>
        <w:rPr>
          <w:rFonts w:ascii="Times New Roman" w:hAnsi="Times New Roman" w:cs="Times New Roman"/>
          <w:lang w:val="fr-FR"/>
        </w:rPr>
        <w:t>’</w:t>
      </w:r>
      <w:r w:rsidRPr="002F7190">
        <w:rPr>
          <w:rFonts w:ascii="Times New Roman" w:hAnsi="Times New Roman" w:cs="Times New Roman"/>
          <w:lang w:val="fr-FR"/>
        </w:rPr>
        <w:t>ententes ont été conclus dans le cadre de la Convention sur les espèces migratrices (accompagnés de plans d</w:t>
      </w:r>
      <w:r>
        <w:rPr>
          <w:rFonts w:ascii="Times New Roman" w:hAnsi="Times New Roman" w:cs="Times New Roman"/>
          <w:lang w:val="fr-FR"/>
        </w:rPr>
        <w:t>’</w:t>
      </w:r>
      <w:r w:rsidRPr="002F7190">
        <w:rPr>
          <w:rFonts w:ascii="Times New Roman" w:hAnsi="Times New Roman" w:cs="Times New Roman"/>
          <w:lang w:val="fr-FR"/>
        </w:rPr>
        <w:t>action).</w:t>
      </w:r>
      <w:r w:rsidRPr="004B1407">
        <w:rPr>
          <w:rFonts w:ascii="Times New Roman" w:hAnsi="Times New Roman" w:cs="Times New Roman"/>
          <w:lang w:val="fr-FR"/>
        </w:rPr>
        <w:t xml:space="preserve"> </w:t>
      </w:r>
      <w:r w:rsidRPr="002F7190">
        <w:rPr>
          <w:rFonts w:ascii="Times New Roman" w:hAnsi="Times New Roman" w:cs="Times New Roman"/>
          <w:lang w:val="fr-FR"/>
        </w:rPr>
        <w:t>Ces espèces/populations figurent au tableau 1 du présent document.</w:t>
      </w:r>
    </w:p>
    <w:p w14:paraId="526A0CDC" w14:textId="77777777" w:rsidR="00886A3C" w:rsidRDefault="00886A3C" w:rsidP="00886A3C">
      <w:pPr>
        <w:spacing w:after="0" w:line="240" w:lineRule="auto"/>
        <w:jc w:val="both"/>
        <w:rPr>
          <w:rFonts w:ascii="Times New Roman" w:hAnsi="Times New Roman" w:cs="Times New Roman"/>
          <w:lang w:val="fr-FR"/>
        </w:rPr>
      </w:pPr>
    </w:p>
    <w:p w14:paraId="497C24FE" w14:textId="77777777" w:rsidR="00886A3C" w:rsidRPr="004B1407" w:rsidRDefault="00886A3C" w:rsidP="00886A3C">
      <w:pPr>
        <w:spacing w:after="0" w:line="240" w:lineRule="auto"/>
        <w:jc w:val="both"/>
        <w:rPr>
          <w:rFonts w:ascii="Times New Roman" w:hAnsi="Times New Roman" w:cs="Times New Roman"/>
          <w:lang w:val="fr-FR"/>
        </w:rPr>
      </w:pPr>
      <w:r w:rsidRPr="002F7190">
        <w:rPr>
          <w:rFonts w:ascii="Times New Roman" w:hAnsi="Times New Roman" w:cs="Times New Roman"/>
          <w:lang w:val="fr-FR"/>
        </w:rPr>
        <w:lastRenderedPageBreak/>
        <w:t>Sept populations de sept espèces différentes font l</w:t>
      </w:r>
      <w:r>
        <w:rPr>
          <w:rFonts w:ascii="Times New Roman" w:hAnsi="Times New Roman" w:cs="Times New Roman"/>
          <w:lang w:val="fr-FR"/>
        </w:rPr>
        <w:t>’</w:t>
      </w:r>
      <w:r w:rsidRPr="002F7190">
        <w:rPr>
          <w:rFonts w:ascii="Times New Roman" w:hAnsi="Times New Roman" w:cs="Times New Roman"/>
          <w:lang w:val="fr-FR"/>
        </w:rPr>
        <w:t>objet de plans d</w:t>
      </w:r>
      <w:r>
        <w:rPr>
          <w:rFonts w:ascii="Times New Roman" w:hAnsi="Times New Roman" w:cs="Times New Roman"/>
          <w:lang w:val="fr-FR"/>
        </w:rPr>
        <w:t>’</w:t>
      </w:r>
      <w:r w:rsidRPr="002F7190">
        <w:rPr>
          <w:rFonts w:ascii="Times New Roman" w:hAnsi="Times New Roman" w:cs="Times New Roman"/>
          <w:lang w:val="fr-FR"/>
        </w:rPr>
        <w:t>action dans le cadre d</w:t>
      </w:r>
      <w:r>
        <w:rPr>
          <w:rFonts w:ascii="Times New Roman" w:hAnsi="Times New Roman" w:cs="Times New Roman"/>
          <w:lang w:val="fr-FR"/>
        </w:rPr>
        <w:t>’</w:t>
      </w:r>
      <w:r w:rsidRPr="002F7190">
        <w:rPr>
          <w:rFonts w:ascii="Times New Roman" w:hAnsi="Times New Roman" w:cs="Times New Roman"/>
          <w:lang w:val="fr-FR"/>
        </w:rPr>
        <w:t>autres instruments que l</w:t>
      </w:r>
      <w:r>
        <w:rPr>
          <w:rFonts w:ascii="Times New Roman" w:hAnsi="Times New Roman" w:cs="Times New Roman"/>
          <w:lang w:val="fr-FR"/>
        </w:rPr>
        <w:t>’</w:t>
      </w:r>
      <w:r w:rsidRPr="002F7190">
        <w:rPr>
          <w:rFonts w:ascii="Times New Roman" w:hAnsi="Times New Roman" w:cs="Times New Roman"/>
          <w:lang w:val="fr-FR"/>
        </w:rPr>
        <w:t>AEWA, mais ces plans ne couvrent pas l</w:t>
      </w:r>
      <w:r>
        <w:rPr>
          <w:rFonts w:ascii="Times New Roman" w:hAnsi="Times New Roman" w:cs="Times New Roman"/>
          <w:lang w:val="fr-FR"/>
        </w:rPr>
        <w:t>’</w:t>
      </w:r>
      <w:r w:rsidRPr="002F7190">
        <w:rPr>
          <w:rFonts w:ascii="Times New Roman" w:hAnsi="Times New Roman" w:cs="Times New Roman"/>
          <w:lang w:val="fr-FR"/>
        </w:rPr>
        <w:t>ensemble de la population de la voie de migration ou bien sont obsolètes (datant de plus de 10 ans) et, à notre connaissance, ne sont pas appelés à être actualisés/révisés dans le cadre de l</w:t>
      </w:r>
      <w:r>
        <w:rPr>
          <w:rFonts w:ascii="Times New Roman" w:hAnsi="Times New Roman" w:cs="Times New Roman"/>
          <w:lang w:val="fr-FR"/>
        </w:rPr>
        <w:t>’</w:t>
      </w:r>
      <w:r w:rsidRPr="002F7190">
        <w:rPr>
          <w:rFonts w:ascii="Times New Roman" w:hAnsi="Times New Roman" w:cs="Times New Roman"/>
          <w:lang w:val="fr-FR"/>
        </w:rPr>
        <w:t>instrument en</w:t>
      </w:r>
      <w:r>
        <w:rPr>
          <w:rFonts w:ascii="Times New Roman" w:hAnsi="Times New Roman" w:cs="Times New Roman"/>
          <w:lang w:val="fr-FR"/>
        </w:rPr>
        <w:t xml:space="preserve"> </w:t>
      </w:r>
      <w:r w:rsidRPr="002F7190">
        <w:rPr>
          <w:rFonts w:ascii="Times New Roman" w:hAnsi="Times New Roman" w:cs="Times New Roman"/>
          <w:lang w:val="fr-FR"/>
        </w:rPr>
        <w:t>vertu duquel ils ont été initialement développés et mis en œuvre.</w:t>
      </w:r>
      <w:r w:rsidRPr="004B1407">
        <w:rPr>
          <w:rFonts w:ascii="Times New Roman" w:hAnsi="Times New Roman" w:cs="Times New Roman"/>
          <w:lang w:val="fr-FR"/>
        </w:rPr>
        <w:t xml:space="preserve"> </w:t>
      </w:r>
      <w:r w:rsidRPr="002F7190">
        <w:rPr>
          <w:rFonts w:ascii="Times New Roman" w:hAnsi="Times New Roman" w:cs="Times New Roman"/>
          <w:lang w:val="fr-FR"/>
        </w:rPr>
        <w:t>Ces sept populations ont été conservé</w:t>
      </w:r>
      <w:r>
        <w:rPr>
          <w:rFonts w:ascii="Times New Roman" w:hAnsi="Times New Roman" w:cs="Times New Roman"/>
          <w:lang w:val="fr-FR"/>
        </w:rPr>
        <w:t>e</w:t>
      </w:r>
      <w:r w:rsidRPr="002F7190">
        <w:rPr>
          <w:rFonts w:ascii="Times New Roman" w:hAnsi="Times New Roman" w:cs="Times New Roman"/>
          <w:lang w:val="fr-FR"/>
        </w:rPr>
        <w:t>s dans la liste à laquelle s</w:t>
      </w:r>
      <w:r>
        <w:rPr>
          <w:rFonts w:ascii="Times New Roman" w:hAnsi="Times New Roman" w:cs="Times New Roman"/>
          <w:lang w:val="fr-FR"/>
        </w:rPr>
        <w:t>’</w:t>
      </w:r>
      <w:r w:rsidRPr="002F7190">
        <w:rPr>
          <w:rFonts w:ascii="Times New Roman" w:hAnsi="Times New Roman" w:cs="Times New Roman"/>
          <w:lang w:val="fr-FR"/>
        </w:rPr>
        <w:t>appliquent les critères de classement.</w:t>
      </w:r>
      <w:r w:rsidRPr="004B1407">
        <w:rPr>
          <w:rFonts w:ascii="Times New Roman" w:hAnsi="Times New Roman" w:cs="Times New Roman"/>
          <w:lang w:val="fr-FR"/>
        </w:rPr>
        <w:t xml:space="preserve"> </w:t>
      </w:r>
      <w:r w:rsidRPr="002F7190">
        <w:rPr>
          <w:rFonts w:ascii="Times New Roman" w:hAnsi="Times New Roman" w:cs="Times New Roman"/>
          <w:lang w:val="fr-FR"/>
        </w:rPr>
        <w:t>Dans le tableau 2 du présent document, elles sont marquées de trois points d</w:t>
      </w:r>
      <w:r>
        <w:rPr>
          <w:rFonts w:ascii="Times New Roman" w:hAnsi="Times New Roman" w:cs="Times New Roman"/>
          <w:lang w:val="fr-FR"/>
        </w:rPr>
        <w:t>’</w:t>
      </w:r>
      <w:r w:rsidRPr="002F7190">
        <w:rPr>
          <w:rFonts w:ascii="Times New Roman" w:hAnsi="Times New Roman" w:cs="Times New Roman"/>
          <w:lang w:val="fr-FR"/>
        </w:rPr>
        <w:t>exclamation rouge et de plus amples informations sont fournies dans les notes en bas de page qui s</w:t>
      </w:r>
      <w:r>
        <w:rPr>
          <w:rFonts w:ascii="Times New Roman" w:hAnsi="Times New Roman" w:cs="Times New Roman"/>
          <w:lang w:val="fr-FR"/>
        </w:rPr>
        <w:t>’</w:t>
      </w:r>
      <w:r w:rsidRPr="002F7190">
        <w:rPr>
          <w:rFonts w:ascii="Times New Roman" w:hAnsi="Times New Roman" w:cs="Times New Roman"/>
          <w:lang w:val="fr-FR"/>
        </w:rPr>
        <w:t>y rapportent.</w:t>
      </w:r>
    </w:p>
    <w:p w14:paraId="3AA412A5" w14:textId="77777777" w:rsidR="00886A3C" w:rsidRPr="004B1407" w:rsidRDefault="00886A3C" w:rsidP="00886A3C">
      <w:pPr>
        <w:spacing w:after="0" w:line="240" w:lineRule="auto"/>
        <w:jc w:val="both"/>
        <w:rPr>
          <w:rFonts w:ascii="Times New Roman" w:hAnsi="Times New Roman" w:cs="Times New Roman"/>
          <w:lang w:val="fr-FR"/>
        </w:rPr>
      </w:pPr>
    </w:p>
    <w:p w14:paraId="436C0CC6" w14:textId="77777777" w:rsidR="00886A3C" w:rsidRPr="004B1407" w:rsidRDefault="00886A3C" w:rsidP="00886A3C">
      <w:pPr>
        <w:spacing w:after="0" w:line="240" w:lineRule="auto"/>
        <w:jc w:val="both"/>
        <w:rPr>
          <w:rFonts w:ascii="Times New Roman" w:hAnsi="Times New Roman" w:cs="Times New Roman"/>
          <w:lang w:val="fr-FR"/>
        </w:rPr>
      </w:pPr>
      <w:r w:rsidRPr="00263DBF">
        <w:rPr>
          <w:rFonts w:ascii="Times New Roman" w:hAnsi="Times New Roman" w:cs="Times New Roman"/>
          <w:lang w:val="fr-FR"/>
        </w:rPr>
        <w:t>La liste de 88 populations qui en résulte, appartenant à 63 espèces, a été classée successivement selon les quatre critères suivants :</w:t>
      </w:r>
    </w:p>
    <w:p w14:paraId="2332D0B0" w14:textId="77777777" w:rsidR="00886A3C" w:rsidRPr="004B1407" w:rsidRDefault="00886A3C" w:rsidP="00886A3C">
      <w:pPr>
        <w:spacing w:after="0" w:line="240" w:lineRule="auto"/>
        <w:jc w:val="both"/>
        <w:rPr>
          <w:rFonts w:ascii="Times New Roman" w:hAnsi="Times New Roman" w:cs="Times New Roman"/>
          <w:lang w:val="fr-FR"/>
        </w:rPr>
      </w:pPr>
    </w:p>
    <w:p w14:paraId="6F7CB1B9" w14:textId="77777777" w:rsidR="00886A3C" w:rsidRPr="004B1407" w:rsidRDefault="00886A3C" w:rsidP="00886A3C">
      <w:pPr>
        <w:numPr>
          <w:ilvl w:val="0"/>
          <w:numId w:val="25"/>
        </w:numPr>
        <w:spacing w:after="0" w:line="240" w:lineRule="auto"/>
        <w:ind w:left="851" w:hanging="425"/>
        <w:jc w:val="both"/>
        <w:rPr>
          <w:rFonts w:ascii="Times New Roman" w:hAnsi="Times New Roman" w:cs="Times New Roman"/>
          <w:lang w:val="fr-FR"/>
        </w:rPr>
      </w:pPr>
      <w:r w:rsidRPr="00263DBF">
        <w:rPr>
          <w:rFonts w:ascii="Times New Roman" w:hAnsi="Times New Roman" w:cs="Times New Roman"/>
          <w:b/>
          <w:lang w:val="fr-FR"/>
        </w:rPr>
        <w:t>Statut sur la Liste rouge de l</w:t>
      </w:r>
      <w:r>
        <w:rPr>
          <w:rFonts w:ascii="Times New Roman" w:hAnsi="Times New Roman" w:cs="Times New Roman"/>
          <w:b/>
          <w:lang w:val="fr-FR"/>
        </w:rPr>
        <w:t>’</w:t>
      </w:r>
      <w:r w:rsidRPr="00263DBF">
        <w:rPr>
          <w:rFonts w:ascii="Times New Roman" w:hAnsi="Times New Roman" w:cs="Times New Roman"/>
          <w:b/>
          <w:lang w:val="fr-FR"/>
        </w:rPr>
        <w:t>UICN</w:t>
      </w:r>
      <w:r w:rsidRPr="00263DBF">
        <w:rPr>
          <w:rFonts w:ascii="Times New Roman" w:hAnsi="Times New Roman" w:cs="Times New Roman"/>
          <w:lang w:val="fr-FR"/>
        </w:rPr>
        <w:t xml:space="preserve"> – par ordre décroissant :</w:t>
      </w:r>
      <w:r w:rsidRPr="004B1407">
        <w:rPr>
          <w:rFonts w:ascii="Times New Roman" w:hAnsi="Times New Roman" w:cs="Times New Roman"/>
          <w:lang w:val="fr-FR"/>
        </w:rPr>
        <w:t xml:space="preserve"> </w:t>
      </w:r>
      <w:r w:rsidRPr="00263DBF">
        <w:rPr>
          <w:rFonts w:ascii="Times New Roman" w:hAnsi="Times New Roman" w:cs="Times New Roman"/>
          <w:lang w:val="fr-FR"/>
        </w:rPr>
        <w:t>En danger critique d</w:t>
      </w:r>
      <w:r>
        <w:rPr>
          <w:rFonts w:ascii="Times New Roman" w:hAnsi="Times New Roman" w:cs="Times New Roman"/>
          <w:lang w:val="fr-FR"/>
        </w:rPr>
        <w:t>’</w:t>
      </w:r>
      <w:r w:rsidRPr="00263DBF">
        <w:rPr>
          <w:rFonts w:ascii="Times New Roman" w:hAnsi="Times New Roman" w:cs="Times New Roman"/>
          <w:lang w:val="fr-FR"/>
        </w:rPr>
        <w:t>extinction (CR), En danger (EN), Vulnérable (VU), Quasi menacé (NT) et Préoccupation mineure (LC) ;</w:t>
      </w:r>
    </w:p>
    <w:p w14:paraId="1DBAF27B" w14:textId="77777777" w:rsidR="00886A3C" w:rsidRPr="004B1407" w:rsidRDefault="00886A3C" w:rsidP="00886A3C">
      <w:pPr>
        <w:numPr>
          <w:ilvl w:val="0"/>
          <w:numId w:val="25"/>
        </w:numPr>
        <w:spacing w:after="0" w:line="240" w:lineRule="auto"/>
        <w:ind w:left="851" w:hanging="425"/>
        <w:jc w:val="both"/>
        <w:rPr>
          <w:rFonts w:ascii="Times New Roman" w:hAnsi="Times New Roman" w:cs="Times New Roman"/>
          <w:lang w:val="fr-FR"/>
        </w:rPr>
      </w:pPr>
      <w:r w:rsidRPr="00263DBF">
        <w:rPr>
          <w:rFonts w:ascii="Times New Roman" w:hAnsi="Times New Roman" w:cs="Times New Roman"/>
          <w:b/>
          <w:lang w:val="fr-FR"/>
        </w:rPr>
        <w:t xml:space="preserve">Estimation de la taille de la population – </w:t>
      </w:r>
      <w:r w:rsidRPr="00263DBF">
        <w:rPr>
          <w:rFonts w:ascii="Times New Roman" w:hAnsi="Times New Roman" w:cs="Times New Roman"/>
          <w:lang w:val="fr-FR"/>
        </w:rPr>
        <w:t>par ordre décroissant, de l</w:t>
      </w:r>
      <w:r>
        <w:rPr>
          <w:rFonts w:ascii="Times New Roman" w:hAnsi="Times New Roman" w:cs="Times New Roman"/>
          <w:lang w:val="fr-FR"/>
        </w:rPr>
        <w:t>’</w:t>
      </w:r>
      <w:r w:rsidRPr="00263DBF">
        <w:rPr>
          <w:rFonts w:ascii="Times New Roman" w:hAnsi="Times New Roman" w:cs="Times New Roman"/>
          <w:lang w:val="fr-FR"/>
        </w:rPr>
        <w:t>estimation la plus basse à</w:t>
      </w:r>
      <w:r>
        <w:rPr>
          <w:rFonts w:ascii="Times New Roman" w:hAnsi="Times New Roman" w:cs="Times New Roman"/>
          <w:lang w:val="fr-FR"/>
        </w:rPr>
        <w:t xml:space="preserve"> </w:t>
      </w:r>
      <w:r w:rsidRPr="00263DBF">
        <w:rPr>
          <w:rFonts w:ascii="Times New Roman" w:hAnsi="Times New Roman" w:cs="Times New Roman"/>
          <w:lang w:val="fr-FR"/>
        </w:rPr>
        <w:t>la plus élevée.</w:t>
      </w:r>
      <w:r w:rsidRPr="004B1407">
        <w:rPr>
          <w:rFonts w:ascii="Times New Roman" w:hAnsi="Times New Roman" w:cs="Times New Roman"/>
          <w:lang w:val="fr-FR"/>
        </w:rPr>
        <w:t xml:space="preserve"> </w:t>
      </w:r>
      <w:r w:rsidRPr="00263DBF">
        <w:rPr>
          <w:rFonts w:ascii="Times New Roman" w:hAnsi="Times New Roman" w:cs="Times New Roman"/>
          <w:lang w:val="fr-FR"/>
        </w:rPr>
        <w:t>Les estimations sont extraites du CSR5. Lorsque l</w:t>
      </w:r>
      <w:r>
        <w:rPr>
          <w:rFonts w:ascii="Times New Roman" w:hAnsi="Times New Roman" w:cs="Times New Roman"/>
          <w:lang w:val="fr-FR"/>
        </w:rPr>
        <w:t>’</w:t>
      </w:r>
      <w:r w:rsidRPr="00263DBF">
        <w:rPr>
          <w:rFonts w:ascii="Times New Roman" w:hAnsi="Times New Roman" w:cs="Times New Roman"/>
          <w:lang w:val="fr-FR"/>
        </w:rPr>
        <w:t>estimation de la taille d</w:t>
      </w:r>
      <w:r>
        <w:rPr>
          <w:rFonts w:ascii="Times New Roman" w:hAnsi="Times New Roman" w:cs="Times New Roman"/>
          <w:lang w:val="fr-FR"/>
        </w:rPr>
        <w:t>’</w:t>
      </w:r>
      <w:r w:rsidRPr="00263DBF">
        <w:rPr>
          <w:rFonts w:ascii="Times New Roman" w:hAnsi="Times New Roman" w:cs="Times New Roman"/>
          <w:lang w:val="fr-FR"/>
        </w:rPr>
        <w:t>une population était exprimée par une fourchette (par ex. 1-10 000), on a utilisé la moyenne pour le classement (soit</w:t>
      </w:r>
      <w:r>
        <w:rPr>
          <w:rFonts w:ascii="Times New Roman" w:hAnsi="Times New Roman" w:cs="Times New Roman"/>
          <w:lang w:val="fr-FR"/>
        </w:rPr>
        <w:t xml:space="preserve"> </w:t>
      </w:r>
      <w:r w:rsidRPr="00263DBF">
        <w:rPr>
          <w:rFonts w:ascii="Times New Roman" w:hAnsi="Times New Roman" w:cs="Times New Roman"/>
          <w:lang w:val="fr-FR"/>
        </w:rPr>
        <w:t>5000).</w:t>
      </w:r>
      <w:r w:rsidRPr="004B1407">
        <w:rPr>
          <w:rFonts w:ascii="Times New Roman" w:hAnsi="Times New Roman" w:cs="Times New Roman"/>
          <w:lang w:val="fr-FR"/>
        </w:rPr>
        <w:t xml:space="preserve"> </w:t>
      </w:r>
      <w:r w:rsidRPr="00283AB9">
        <w:rPr>
          <w:rFonts w:ascii="Times New Roman" w:hAnsi="Times New Roman" w:cs="Times New Roman"/>
          <w:lang w:val="fr-FR"/>
        </w:rPr>
        <w:t xml:space="preserve">Les populations ayant des estimations de taille exprimées par un nombre exact (par ex. 5 000) ont été classées au-dessus des populations ayant des estimations exprimées par une fourchette (par ex. 1-10 000) et dont la moyenne présentait le même résultat. Lorsque deux ou plusieurs populations avaient des estimations de population identiques, celles appartenant à des espèces ayant </w:t>
      </w:r>
      <w:r>
        <w:rPr>
          <w:rFonts w:ascii="Times New Roman" w:hAnsi="Times New Roman" w:cs="Times New Roman"/>
          <w:lang w:val="fr-FR"/>
        </w:rPr>
        <w:t xml:space="preserve">des </w:t>
      </w:r>
      <w:r w:rsidRPr="00283AB9">
        <w:rPr>
          <w:rFonts w:ascii="Times New Roman" w:hAnsi="Times New Roman" w:cs="Times New Roman"/>
          <w:lang w:val="fr-FR"/>
        </w:rPr>
        <w:t>effectifs plus faibles au sein de la zone de l</w:t>
      </w:r>
      <w:r>
        <w:rPr>
          <w:rFonts w:ascii="Times New Roman" w:hAnsi="Times New Roman" w:cs="Times New Roman"/>
          <w:lang w:val="fr-FR"/>
        </w:rPr>
        <w:t>’</w:t>
      </w:r>
      <w:r w:rsidRPr="00283AB9">
        <w:rPr>
          <w:rFonts w:ascii="Times New Roman" w:hAnsi="Times New Roman" w:cs="Times New Roman"/>
          <w:lang w:val="fr-FR"/>
        </w:rPr>
        <w:t>Accord ont eu un classement plus élevé.</w:t>
      </w:r>
    </w:p>
    <w:p w14:paraId="27F51E4B" w14:textId="77777777" w:rsidR="00886A3C" w:rsidRPr="00A24511" w:rsidRDefault="00886A3C" w:rsidP="00886A3C">
      <w:pPr>
        <w:numPr>
          <w:ilvl w:val="0"/>
          <w:numId w:val="25"/>
        </w:numPr>
        <w:spacing w:after="0" w:line="240" w:lineRule="auto"/>
        <w:ind w:left="851" w:hanging="425"/>
        <w:jc w:val="both"/>
        <w:rPr>
          <w:rFonts w:ascii="Times New Roman" w:hAnsi="Times New Roman" w:cs="Times New Roman"/>
        </w:rPr>
      </w:pPr>
      <w:r w:rsidRPr="005F0A4F">
        <w:rPr>
          <w:rFonts w:ascii="Times New Roman" w:hAnsi="Times New Roman" w:cs="Times New Roman"/>
          <w:b/>
          <w:lang w:val="fr-FR"/>
        </w:rPr>
        <w:t xml:space="preserve">Estimation de la tendance de la population </w:t>
      </w:r>
      <w:r w:rsidRPr="005F0A4F">
        <w:rPr>
          <w:rFonts w:ascii="Times New Roman" w:hAnsi="Times New Roman" w:cs="Times New Roman"/>
          <w:lang w:val="fr-FR"/>
        </w:rPr>
        <w:t>– par</w:t>
      </w:r>
      <w:r>
        <w:rPr>
          <w:rFonts w:ascii="Times New Roman" w:hAnsi="Times New Roman" w:cs="Times New Roman"/>
          <w:lang w:val="fr-FR"/>
        </w:rPr>
        <w:t xml:space="preserve"> </w:t>
      </w:r>
      <w:r w:rsidRPr="005F0A4F">
        <w:rPr>
          <w:rFonts w:ascii="Times New Roman" w:hAnsi="Times New Roman" w:cs="Times New Roman"/>
          <w:lang w:val="fr-FR"/>
        </w:rPr>
        <w:t>ordre décroissant</w:t>
      </w:r>
      <w:r w:rsidRPr="005F0A4F">
        <w:rPr>
          <w:rFonts w:ascii="Times New Roman" w:hAnsi="Times New Roman" w:cs="Times New Roman"/>
          <w:b/>
          <w:lang w:val="fr-FR"/>
        </w:rPr>
        <w:t> :</w:t>
      </w:r>
      <w:r w:rsidRPr="004B1407">
        <w:rPr>
          <w:rFonts w:ascii="Times New Roman" w:hAnsi="Times New Roman" w:cs="Times New Roman"/>
          <w:lang w:val="fr-FR"/>
        </w:rPr>
        <w:t xml:space="preserve"> </w:t>
      </w:r>
      <w:r w:rsidRPr="005F0A4F">
        <w:rPr>
          <w:rFonts w:ascii="Times New Roman" w:hAnsi="Times New Roman" w:cs="Times New Roman"/>
          <w:lang w:val="fr-FR"/>
        </w:rPr>
        <w:t>En déclin (DEC), Fluctuante (FLU), Inconnue (UNK), Stable (STA) et En augmentation (INC).</w:t>
      </w:r>
      <w:r w:rsidRPr="004B1407">
        <w:rPr>
          <w:rFonts w:ascii="Times New Roman" w:hAnsi="Times New Roman" w:cs="Times New Roman"/>
          <w:lang w:val="fr-FR"/>
        </w:rPr>
        <w:t xml:space="preserve"> </w:t>
      </w:r>
      <w:r w:rsidRPr="005F0A4F">
        <w:rPr>
          <w:rFonts w:ascii="Times New Roman" w:hAnsi="Times New Roman" w:cs="Times New Roman"/>
          <w:lang w:val="fr-FR"/>
        </w:rPr>
        <w:t>Les estimations ont été extraites du CSR5.</w:t>
      </w:r>
    </w:p>
    <w:p w14:paraId="0197F346" w14:textId="77777777" w:rsidR="00886A3C" w:rsidRPr="00A24511" w:rsidRDefault="00886A3C" w:rsidP="00886A3C">
      <w:pPr>
        <w:numPr>
          <w:ilvl w:val="0"/>
          <w:numId w:val="25"/>
        </w:numPr>
        <w:spacing w:after="0" w:line="240" w:lineRule="auto"/>
        <w:ind w:left="851" w:hanging="491"/>
        <w:jc w:val="both"/>
        <w:rPr>
          <w:rFonts w:ascii="Times New Roman" w:hAnsi="Times New Roman" w:cs="Times New Roman"/>
          <w:lang w:val="fr-FR"/>
        </w:rPr>
      </w:pPr>
      <w:r w:rsidRPr="00A24511">
        <w:rPr>
          <w:rFonts w:ascii="Times New Roman" w:hAnsi="Times New Roman" w:cs="Times New Roman"/>
          <w:b/>
          <w:lang w:val="fr-FR"/>
        </w:rPr>
        <w:t>Vulnérabilité aux effets du changement climatique</w:t>
      </w:r>
      <w:r w:rsidRPr="00A24511">
        <w:rPr>
          <w:rFonts w:ascii="Times New Roman" w:hAnsi="Times New Roman" w:cs="Times New Roman"/>
          <w:lang w:val="fr-FR"/>
        </w:rPr>
        <w:t xml:space="preserve"> – par ordre décroissant</w:t>
      </w:r>
      <w:r>
        <w:rPr>
          <w:rFonts w:ascii="Times New Roman" w:hAnsi="Times New Roman" w:cs="Times New Roman"/>
          <w:lang w:val="fr-FR"/>
        </w:rPr>
        <w:t xml:space="preserve"> </w:t>
      </w:r>
      <w:r w:rsidRPr="00A24511">
        <w:rPr>
          <w:rFonts w:ascii="Times New Roman" w:hAnsi="Times New Roman" w:cs="Times New Roman"/>
          <w:lang w:val="fr-FR"/>
        </w:rPr>
        <w:t>: Critique, Élevée, Modérée et Légère</w:t>
      </w:r>
      <w:r>
        <w:rPr>
          <w:rFonts w:ascii="Times New Roman" w:hAnsi="Times New Roman" w:cs="Times New Roman"/>
          <w:lang w:val="fr-FR"/>
        </w:rPr>
        <w:t xml:space="preserve">. </w:t>
      </w:r>
      <w:r w:rsidRPr="00A24511">
        <w:rPr>
          <w:rFonts w:ascii="Times New Roman" w:hAnsi="Times New Roman" w:cs="Times New Roman"/>
          <w:lang w:val="fr-FR"/>
        </w:rPr>
        <w:t>Les scores de vulnérabilité sont extraits du Rapport sur les effets du changement climatique sur les oiseaux d</w:t>
      </w:r>
      <w:r>
        <w:rPr>
          <w:rFonts w:ascii="Times New Roman" w:hAnsi="Times New Roman" w:cs="Times New Roman"/>
          <w:lang w:val="fr-FR"/>
        </w:rPr>
        <w:t>’</w:t>
      </w:r>
      <w:r w:rsidRPr="00A24511">
        <w:rPr>
          <w:rFonts w:ascii="Times New Roman" w:hAnsi="Times New Roman" w:cs="Times New Roman"/>
          <w:lang w:val="fr-FR"/>
        </w:rPr>
        <w:t>eau migrateurs de la voie de migration d</w:t>
      </w:r>
      <w:r>
        <w:rPr>
          <w:rFonts w:ascii="Times New Roman" w:hAnsi="Times New Roman" w:cs="Times New Roman"/>
          <w:lang w:val="fr-FR"/>
        </w:rPr>
        <w:t>’</w:t>
      </w:r>
      <w:r w:rsidRPr="00A24511">
        <w:rPr>
          <w:rFonts w:ascii="Times New Roman" w:hAnsi="Times New Roman" w:cs="Times New Roman"/>
          <w:lang w:val="fr-FR"/>
        </w:rPr>
        <w:t>Afrique-Eurasie présenté à la MOP4.</w:t>
      </w:r>
    </w:p>
    <w:p w14:paraId="3D5C779B" w14:textId="77777777" w:rsidR="00886A3C" w:rsidRPr="004B1407" w:rsidRDefault="00886A3C" w:rsidP="00886A3C">
      <w:pPr>
        <w:numPr>
          <w:ilvl w:val="0"/>
          <w:numId w:val="25"/>
        </w:numPr>
        <w:spacing w:after="0" w:line="240" w:lineRule="auto"/>
        <w:ind w:left="851" w:hanging="491"/>
        <w:jc w:val="both"/>
        <w:rPr>
          <w:rFonts w:ascii="Courier New" w:hAnsi="Courier New" w:cs="Courier New"/>
          <w:noProof/>
          <w:vanish/>
          <w:color w:val="FFFFFF"/>
          <w:sz w:val="2"/>
          <w:vertAlign w:val="subscript"/>
          <w:lang w:val="fr-FR"/>
        </w:rPr>
      </w:pPr>
    </w:p>
    <w:p w14:paraId="1F655179" w14:textId="77777777" w:rsidR="00886A3C" w:rsidRPr="004B1407" w:rsidRDefault="00886A3C" w:rsidP="00886A3C">
      <w:pPr>
        <w:spacing w:after="0" w:line="240" w:lineRule="auto"/>
        <w:jc w:val="both"/>
        <w:rPr>
          <w:rFonts w:ascii="Times New Roman" w:hAnsi="Times New Roman" w:cs="Times New Roman"/>
          <w:lang w:val="fr-FR"/>
        </w:rPr>
      </w:pPr>
    </w:p>
    <w:p w14:paraId="0CF35DEF" w14:textId="77777777" w:rsidR="00886A3C" w:rsidRPr="004B1407" w:rsidRDefault="00886A3C" w:rsidP="00886A3C">
      <w:pPr>
        <w:spacing w:after="0" w:line="240" w:lineRule="auto"/>
        <w:jc w:val="both"/>
        <w:rPr>
          <w:rFonts w:ascii="Times New Roman" w:hAnsi="Times New Roman" w:cs="Times New Roman"/>
          <w:lang w:val="fr-FR"/>
        </w:rPr>
      </w:pPr>
    </w:p>
    <w:p w14:paraId="6F675E88" w14:textId="77777777" w:rsidR="00886A3C" w:rsidRPr="004B1407" w:rsidRDefault="00886A3C" w:rsidP="00886A3C">
      <w:pPr>
        <w:spacing w:after="0" w:line="240" w:lineRule="auto"/>
        <w:jc w:val="both"/>
        <w:rPr>
          <w:rFonts w:ascii="Times New Roman" w:hAnsi="Times New Roman" w:cs="Times New Roman"/>
          <w:lang w:val="fr-FR"/>
        </w:rPr>
      </w:pPr>
      <w:r w:rsidRPr="009D018D">
        <w:rPr>
          <w:rFonts w:ascii="Times New Roman" w:hAnsi="Times New Roman" w:cs="Times New Roman"/>
          <w:lang w:val="fr-FR"/>
        </w:rPr>
        <w:t>Sur les 88 populations,</w:t>
      </w:r>
      <w:r>
        <w:rPr>
          <w:rFonts w:ascii="Times New Roman" w:hAnsi="Times New Roman" w:cs="Times New Roman"/>
          <w:lang w:val="fr-FR"/>
        </w:rPr>
        <w:t xml:space="preserve"> </w:t>
      </w:r>
      <w:r w:rsidRPr="009D018D">
        <w:rPr>
          <w:rFonts w:ascii="Times New Roman" w:hAnsi="Times New Roman" w:cs="Times New Roman"/>
          <w:lang w:val="fr-FR"/>
        </w:rPr>
        <w:t>82 au total figurent dans tableau 2 ci-dessous, présentant la liste prioritaire révisée pour les plans d</w:t>
      </w:r>
      <w:r>
        <w:rPr>
          <w:rFonts w:ascii="Times New Roman" w:hAnsi="Times New Roman" w:cs="Times New Roman"/>
          <w:lang w:val="fr-FR"/>
        </w:rPr>
        <w:t>’</w:t>
      </w:r>
      <w:r w:rsidRPr="009D018D">
        <w:rPr>
          <w:rFonts w:ascii="Times New Roman" w:hAnsi="Times New Roman" w:cs="Times New Roman"/>
          <w:lang w:val="fr-FR"/>
        </w:rPr>
        <w:t>action par espèce de la période 2012-2015. Les six populations restantes, qui sont chassables et figurent dans la catégorie 4 de la colonne A ou dans les colon</w:t>
      </w:r>
      <w:r>
        <w:rPr>
          <w:rFonts w:ascii="Times New Roman" w:hAnsi="Times New Roman" w:cs="Times New Roman"/>
          <w:lang w:val="fr-FR"/>
        </w:rPr>
        <w:t>nes</w:t>
      </w:r>
      <w:r w:rsidRPr="009D018D">
        <w:rPr>
          <w:rFonts w:ascii="Times New Roman" w:hAnsi="Times New Roman" w:cs="Times New Roman"/>
          <w:lang w:val="fr-FR"/>
        </w:rPr>
        <w:t xml:space="preserve"> B et C du Tableau 1 de l</w:t>
      </w:r>
      <w:r>
        <w:rPr>
          <w:rFonts w:ascii="Times New Roman" w:hAnsi="Times New Roman" w:cs="Times New Roman"/>
          <w:lang w:val="fr-FR"/>
        </w:rPr>
        <w:t>’</w:t>
      </w:r>
      <w:r w:rsidRPr="009D018D">
        <w:rPr>
          <w:rFonts w:ascii="Times New Roman" w:hAnsi="Times New Roman" w:cs="Times New Roman"/>
          <w:lang w:val="fr-FR"/>
        </w:rPr>
        <w:t>AEWA, ont été mises dans une liste différente, définissant la priorité en vue du plan de gestion des espèces.</w:t>
      </w:r>
      <w:r w:rsidRPr="004B1407">
        <w:rPr>
          <w:rFonts w:ascii="Times New Roman" w:hAnsi="Times New Roman" w:cs="Times New Roman"/>
          <w:lang w:val="fr-FR"/>
        </w:rPr>
        <w:t xml:space="preserve"> </w:t>
      </w:r>
      <w:r w:rsidRPr="009D018D">
        <w:rPr>
          <w:rFonts w:ascii="Times New Roman" w:hAnsi="Times New Roman" w:cs="Times New Roman"/>
          <w:lang w:val="fr-FR"/>
        </w:rPr>
        <w:t>Elles sont présentées au tableau 3, ci-dessous.</w:t>
      </w:r>
    </w:p>
    <w:p w14:paraId="6BA276E6" w14:textId="77777777" w:rsidR="00886A3C" w:rsidRPr="004B1407" w:rsidRDefault="00886A3C" w:rsidP="00886A3C">
      <w:pPr>
        <w:spacing w:after="0" w:line="240" w:lineRule="auto"/>
        <w:jc w:val="both"/>
        <w:rPr>
          <w:rFonts w:ascii="Times New Roman" w:hAnsi="Times New Roman" w:cs="Times New Roman"/>
          <w:lang w:val="fr-FR"/>
        </w:rPr>
      </w:pPr>
    </w:p>
    <w:p w14:paraId="52B83A2F" w14:textId="77777777" w:rsidR="00886A3C" w:rsidRPr="004B1407" w:rsidRDefault="00886A3C" w:rsidP="00886A3C">
      <w:pPr>
        <w:pStyle w:val="Title"/>
        <w:jc w:val="both"/>
        <w:rPr>
          <w:rFonts w:ascii="Times New Roman" w:hAnsi="Times New Roman" w:cs="Times New Roman"/>
          <w:b w:val="0"/>
          <w:bCs w:val="0"/>
          <w:caps w:val="0"/>
          <w:sz w:val="22"/>
          <w:szCs w:val="22"/>
          <w:lang w:val="fr-FR"/>
        </w:rPr>
      </w:pPr>
    </w:p>
    <w:p w14:paraId="009CF4D2" w14:textId="77777777" w:rsidR="00886A3C" w:rsidRPr="004B1407" w:rsidRDefault="00886A3C" w:rsidP="00886A3C">
      <w:pPr>
        <w:jc w:val="both"/>
        <w:rPr>
          <w:lang w:val="fr-FR"/>
        </w:rPr>
      </w:pPr>
    </w:p>
    <w:p w14:paraId="2068C44E" w14:textId="77777777" w:rsidR="00886A3C" w:rsidRPr="004B1407" w:rsidRDefault="00886A3C" w:rsidP="00886A3C">
      <w:pPr>
        <w:pageBreakBefore/>
        <w:spacing w:after="0" w:line="240" w:lineRule="auto"/>
        <w:jc w:val="both"/>
        <w:rPr>
          <w:rFonts w:ascii="Times New Roman" w:hAnsi="Times New Roman" w:cs="Times New Roman"/>
          <w:b/>
          <w:lang w:val="fr-FR"/>
        </w:rPr>
      </w:pPr>
      <w:r w:rsidRPr="009D018D">
        <w:rPr>
          <w:rFonts w:ascii="Times New Roman" w:hAnsi="Times New Roman" w:cs="Times New Roman"/>
          <w:b/>
          <w:lang w:val="fr-FR"/>
        </w:rPr>
        <w:lastRenderedPageBreak/>
        <w:t>TABLEAU 1</w:t>
      </w:r>
    </w:p>
    <w:p w14:paraId="6E3F97A9" w14:textId="77777777" w:rsidR="00886A3C" w:rsidRPr="004B1407" w:rsidRDefault="00886A3C" w:rsidP="00886A3C">
      <w:pPr>
        <w:spacing w:after="0" w:line="240" w:lineRule="auto"/>
        <w:jc w:val="both"/>
        <w:rPr>
          <w:rFonts w:ascii="Times New Roman" w:hAnsi="Times New Roman" w:cs="Times New Roman"/>
          <w:b/>
          <w:lang w:val="fr-FR"/>
        </w:rPr>
      </w:pPr>
      <w:r w:rsidRPr="00DB6BBB">
        <w:rPr>
          <w:rFonts w:ascii="Times New Roman" w:hAnsi="Times New Roman" w:cs="Times New Roman"/>
          <w:b/>
          <w:lang w:val="fr-FR"/>
        </w:rPr>
        <w:t>Populations/espèces correspondant aux critères de priorité en vue d</w:t>
      </w:r>
      <w:r>
        <w:rPr>
          <w:rFonts w:ascii="Times New Roman" w:hAnsi="Times New Roman" w:cs="Times New Roman"/>
          <w:b/>
          <w:lang w:val="fr-FR"/>
        </w:rPr>
        <w:t>’</w:t>
      </w:r>
      <w:r w:rsidRPr="00DB6BBB">
        <w:rPr>
          <w:rFonts w:ascii="Times New Roman" w:hAnsi="Times New Roman" w:cs="Times New Roman"/>
          <w:b/>
          <w:lang w:val="fr-FR"/>
        </w:rPr>
        <w:t>un plan d</w:t>
      </w:r>
      <w:r>
        <w:rPr>
          <w:rFonts w:ascii="Times New Roman" w:hAnsi="Times New Roman" w:cs="Times New Roman"/>
          <w:b/>
          <w:lang w:val="fr-FR"/>
        </w:rPr>
        <w:t>’</w:t>
      </w:r>
      <w:r w:rsidRPr="00DB6BBB">
        <w:rPr>
          <w:rFonts w:ascii="Times New Roman" w:hAnsi="Times New Roman" w:cs="Times New Roman"/>
          <w:b/>
          <w:lang w:val="fr-FR"/>
        </w:rPr>
        <w:t>action, mais pour lesquelles des SSAP ont déjà été adopté</w:t>
      </w:r>
      <w:r>
        <w:rPr>
          <w:rFonts w:ascii="Times New Roman" w:hAnsi="Times New Roman" w:cs="Times New Roman"/>
          <w:b/>
          <w:lang w:val="fr-FR"/>
        </w:rPr>
        <w:t>s</w:t>
      </w:r>
      <w:r w:rsidRPr="00DB6BBB">
        <w:rPr>
          <w:rFonts w:ascii="Times New Roman" w:hAnsi="Times New Roman" w:cs="Times New Roman"/>
          <w:b/>
          <w:lang w:val="fr-FR"/>
        </w:rPr>
        <w:t xml:space="preserve"> ou sont actuellement en cours d</w:t>
      </w:r>
      <w:r>
        <w:rPr>
          <w:rFonts w:ascii="Times New Roman" w:hAnsi="Times New Roman" w:cs="Times New Roman"/>
          <w:b/>
          <w:lang w:val="fr-FR"/>
        </w:rPr>
        <w:t>’</w:t>
      </w:r>
      <w:r w:rsidRPr="00DB6BBB">
        <w:rPr>
          <w:rFonts w:ascii="Times New Roman" w:hAnsi="Times New Roman" w:cs="Times New Roman"/>
          <w:b/>
          <w:lang w:val="fr-FR"/>
        </w:rPr>
        <w:t>élaboration, ainsi que celle</w:t>
      </w:r>
      <w:r>
        <w:rPr>
          <w:rFonts w:ascii="Times New Roman" w:hAnsi="Times New Roman" w:cs="Times New Roman"/>
          <w:b/>
          <w:lang w:val="fr-FR"/>
        </w:rPr>
        <w:t>s</w:t>
      </w:r>
      <w:r w:rsidRPr="00DB6BBB">
        <w:rPr>
          <w:rFonts w:ascii="Times New Roman" w:hAnsi="Times New Roman" w:cs="Times New Roman"/>
          <w:b/>
          <w:lang w:val="fr-FR"/>
        </w:rPr>
        <w:t xml:space="preserve"> pour lesquelles des mémorandums d</w:t>
      </w:r>
      <w:r>
        <w:rPr>
          <w:rFonts w:ascii="Times New Roman" w:hAnsi="Times New Roman" w:cs="Times New Roman"/>
          <w:b/>
          <w:lang w:val="fr-FR"/>
        </w:rPr>
        <w:t>’</w:t>
      </w:r>
      <w:r w:rsidRPr="00DB6BBB">
        <w:rPr>
          <w:rFonts w:ascii="Times New Roman" w:hAnsi="Times New Roman" w:cs="Times New Roman"/>
          <w:b/>
          <w:lang w:val="fr-FR"/>
        </w:rPr>
        <w:t>ententes ont été conclus, accompagnés de plans d</w:t>
      </w:r>
      <w:r>
        <w:rPr>
          <w:rFonts w:ascii="Times New Roman" w:hAnsi="Times New Roman" w:cs="Times New Roman"/>
          <w:b/>
          <w:lang w:val="fr-FR"/>
        </w:rPr>
        <w:t>’</w:t>
      </w:r>
      <w:r w:rsidRPr="00DB6BBB">
        <w:rPr>
          <w:rFonts w:ascii="Times New Roman" w:hAnsi="Times New Roman" w:cs="Times New Roman"/>
          <w:b/>
          <w:lang w:val="fr-FR"/>
        </w:rPr>
        <w:t>action,</w:t>
      </w:r>
      <w:r>
        <w:rPr>
          <w:rFonts w:ascii="Times New Roman" w:hAnsi="Times New Roman" w:cs="Times New Roman"/>
          <w:b/>
          <w:lang w:val="fr-FR"/>
        </w:rPr>
        <w:t xml:space="preserve"> </w:t>
      </w:r>
      <w:r w:rsidRPr="00DB6BBB">
        <w:rPr>
          <w:rFonts w:ascii="Times New Roman" w:hAnsi="Times New Roman" w:cs="Times New Roman"/>
          <w:b/>
          <w:lang w:val="fr-FR"/>
        </w:rPr>
        <w:t xml:space="preserve">dans le cadre de la Convention sur les espèces migratrices </w:t>
      </w:r>
      <w:r w:rsidRPr="00DB6BBB">
        <w:rPr>
          <w:rFonts w:ascii="Times New Roman" w:hAnsi="Times New Roman" w:cs="Times New Roman"/>
          <w:lang w:val="fr-FR"/>
        </w:rPr>
        <w:t>(code des couleurs :</w:t>
      </w:r>
      <w:r w:rsidRPr="004B1407">
        <w:rPr>
          <w:rFonts w:ascii="Times New Roman" w:hAnsi="Times New Roman" w:cs="Times New Roman"/>
          <w:lang w:val="fr-FR"/>
        </w:rPr>
        <w:t xml:space="preserve"> </w:t>
      </w:r>
      <w:r w:rsidRPr="00DB6BBB">
        <w:rPr>
          <w:rFonts w:ascii="Times New Roman" w:hAnsi="Times New Roman" w:cs="Times New Roman"/>
          <w:lang w:val="fr-FR"/>
        </w:rPr>
        <w:t>rouge – CR, rose – EN, orange – VU, jaune – NT, blanc – LC).</w:t>
      </w:r>
      <w:r w:rsidRPr="004B1407">
        <w:rPr>
          <w:rFonts w:ascii="Times New Roman" w:hAnsi="Times New Roman" w:cs="Times New Roman"/>
          <w:b/>
          <w:lang w:val="fr-FR"/>
        </w:rPr>
        <w:t xml:space="preserve"> </w:t>
      </w:r>
    </w:p>
    <w:p w14:paraId="18AA23FF" w14:textId="77777777" w:rsidR="00886A3C" w:rsidRPr="004B1407" w:rsidRDefault="00886A3C" w:rsidP="00886A3C">
      <w:pPr>
        <w:spacing w:after="0" w:line="240" w:lineRule="auto"/>
        <w:rPr>
          <w:rFonts w:ascii="Times New Roman" w:hAnsi="Times New Roman" w:cs="Times New Roman"/>
          <w:lang w:val="fr-FR"/>
        </w:rPr>
      </w:pPr>
    </w:p>
    <w:p w14:paraId="5233B797" w14:textId="77777777" w:rsidR="00886A3C" w:rsidRPr="004B1407" w:rsidRDefault="00886A3C" w:rsidP="00886A3C">
      <w:pPr>
        <w:spacing w:after="0" w:line="240" w:lineRule="auto"/>
        <w:rPr>
          <w:rFonts w:ascii="Times New Roman" w:hAnsi="Times New Roman" w:cs="Times New Roman"/>
          <w:lang w:val="fr-FR"/>
        </w:rPr>
      </w:pPr>
    </w:p>
    <w:tbl>
      <w:tblPr>
        <w:tblW w:w="8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5"/>
        <w:gridCol w:w="1186"/>
        <w:gridCol w:w="1186"/>
        <w:gridCol w:w="1552"/>
      </w:tblGrid>
      <w:tr w:rsidR="00886A3C" w:rsidRPr="001571EF" w14:paraId="1805D0CA" w14:textId="77777777" w:rsidTr="00886A3C">
        <w:trPr>
          <w:trHeight w:val="432"/>
          <w:jc w:val="center"/>
        </w:trPr>
        <w:tc>
          <w:tcPr>
            <w:tcW w:w="4895" w:type="dxa"/>
            <w:tcBorders>
              <w:bottom w:val="single" w:sz="6" w:space="0" w:color="auto"/>
            </w:tcBorders>
            <w:shd w:val="clear" w:color="auto" w:fill="D9D9D9"/>
            <w:vAlign w:val="center"/>
          </w:tcPr>
          <w:p w14:paraId="2517006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b/>
                <w:color w:val="000000"/>
                <w:spacing w:val="-2"/>
              </w:rPr>
            </w:pPr>
            <w:r w:rsidRPr="00DB6BBB">
              <w:rPr>
                <w:rFonts w:ascii="Times New Roman" w:hAnsi="Times New Roman" w:cs="Times New Roman"/>
                <w:b/>
                <w:color w:val="000000"/>
                <w:spacing w:val="-2"/>
                <w:lang w:val="fr-FR"/>
              </w:rPr>
              <w:t>Populations</w:t>
            </w:r>
          </w:p>
        </w:tc>
        <w:tc>
          <w:tcPr>
            <w:tcW w:w="1186" w:type="dxa"/>
            <w:tcBorders>
              <w:bottom w:val="single" w:sz="6" w:space="0" w:color="auto"/>
            </w:tcBorders>
            <w:shd w:val="clear" w:color="auto" w:fill="D9D9D9"/>
            <w:vAlign w:val="center"/>
          </w:tcPr>
          <w:p w14:paraId="7E778C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DB6BBB">
              <w:rPr>
                <w:rFonts w:ascii="Times New Roman" w:hAnsi="Times New Roman" w:cs="Times New Roman"/>
                <w:b/>
                <w:color w:val="000000"/>
                <w:spacing w:val="-2"/>
                <w:lang w:val="fr-FR"/>
              </w:rPr>
              <w:t>Col A</w:t>
            </w:r>
          </w:p>
        </w:tc>
        <w:tc>
          <w:tcPr>
            <w:tcW w:w="1186" w:type="dxa"/>
            <w:tcBorders>
              <w:bottom w:val="single" w:sz="6" w:space="0" w:color="auto"/>
            </w:tcBorders>
            <w:shd w:val="clear" w:color="auto" w:fill="D9D9D9"/>
            <w:vAlign w:val="center"/>
          </w:tcPr>
          <w:p w14:paraId="4B6305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DB6BBB">
              <w:rPr>
                <w:rFonts w:ascii="Times New Roman" w:hAnsi="Times New Roman" w:cs="Times New Roman"/>
                <w:b/>
                <w:color w:val="000000"/>
                <w:spacing w:val="-2"/>
                <w:lang w:val="fr-FR"/>
              </w:rPr>
              <w:t>Liste rouge</w:t>
            </w:r>
          </w:p>
        </w:tc>
        <w:tc>
          <w:tcPr>
            <w:tcW w:w="1552" w:type="dxa"/>
            <w:tcBorders>
              <w:bottom w:val="single" w:sz="6" w:space="0" w:color="auto"/>
            </w:tcBorders>
            <w:shd w:val="clear" w:color="auto" w:fill="D9D9D9"/>
            <w:vAlign w:val="center"/>
          </w:tcPr>
          <w:p w14:paraId="30E9E5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DB6BBB">
              <w:rPr>
                <w:rFonts w:ascii="Times New Roman" w:hAnsi="Times New Roman" w:cs="Times New Roman"/>
                <w:b/>
                <w:color w:val="000000"/>
                <w:spacing w:val="-2"/>
                <w:lang w:val="fr-FR"/>
              </w:rPr>
              <w:t>SSAP</w:t>
            </w:r>
          </w:p>
        </w:tc>
      </w:tr>
      <w:tr w:rsidR="00886A3C" w:rsidRPr="001571EF" w14:paraId="6A233492" w14:textId="77777777" w:rsidTr="00886A3C">
        <w:trPr>
          <w:trHeight w:val="20"/>
          <w:jc w:val="center"/>
        </w:trPr>
        <w:tc>
          <w:tcPr>
            <w:tcW w:w="4895" w:type="dxa"/>
            <w:shd w:val="clear" w:color="auto" w:fill="FFCC66"/>
          </w:tcPr>
          <w:p w14:paraId="322782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DB6BBB">
              <w:rPr>
                <w:rFonts w:ascii="Times New Roman" w:hAnsi="Times New Roman" w:cs="Times New Roman"/>
                <w:i/>
                <w:color w:val="000000"/>
                <w:spacing w:val="-2"/>
                <w:lang w:val="fr-FR"/>
              </w:rPr>
              <w:t>Egretta vinaceigula</w:t>
            </w:r>
          </w:p>
        </w:tc>
        <w:tc>
          <w:tcPr>
            <w:tcW w:w="1186" w:type="dxa"/>
            <w:shd w:val="clear" w:color="auto" w:fill="FFCC66"/>
          </w:tcPr>
          <w:p w14:paraId="30C2FC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shd w:val="clear" w:color="auto" w:fill="FFCC66"/>
          </w:tcPr>
          <w:p w14:paraId="4365DB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DB6BBB">
              <w:rPr>
                <w:rFonts w:ascii="Times New Roman" w:hAnsi="Times New Roman" w:cs="Times New Roman"/>
                <w:color w:val="000000"/>
                <w:spacing w:val="-2"/>
                <w:lang w:val="fr-FR"/>
              </w:rPr>
              <w:t>VU</w:t>
            </w:r>
          </w:p>
        </w:tc>
        <w:tc>
          <w:tcPr>
            <w:tcW w:w="1552" w:type="dxa"/>
            <w:shd w:val="clear" w:color="auto" w:fill="FFCC66"/>
          </w:tcPr>
          <w:p w14:paraId="358FD6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DB6BBB">
              <w:rPr>
                <w:rFonts w:ascii="Times New Roman" w:hAnsi="Times New Roman" w:cs="Times New Roman"/>
                <w:color w:val="000000"/>
                <w:spacing w:val="-2"/>
                <w:lang w:val="fr-FR"/>
              </w:rPr>
              <w:t>AEWA 2012</w:t>
            </w:r>
          </w:p>
        </w:tc>
      </w:tr>
      <w:tr w:rsidR="00886A3C" w:rsidRPr="001571EF" w14:paraId="1B4C1737" w14:textId="77777777" w:rsidTr="00886A3C">
        <w:trPr>
          <w:trHeight w:val="20"/>
          <w:jc w:val="center"/>
        </w:trPr>
        <w:tc>
          <w:tcPr>
            <w:tcW w:w="4895" w:type="dxa"/>
            <w:tcBorders>
              <w:bottom w:val="single" w:sz="6" w:space="0" w:color="auto"/>
            </w:tcBorders>
            <w:shd w:val="clear" w:color="auto" w:fill="FFCC66"/>
          </w:tcPr>
          <w:p w14:paraId="63A4BE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85FF5">
              <w:rPr>
                <w:rFonts w:ascii="Times New Roman" w:hAnsi="Times New Roman" w:cs="Times New Roman"/>
                <w:color w:val="000000"/>
                <w:spacing w:val="-2"/>
                <w:lang w:val="fr-FR"/>
              </w:rPr>
              <w:t>Afrique australe centrale</w:t>
            </w:r>
            <w:r w:rsidRPr="001571EF">
              <w:rPr>
                <w:rFonts w:ascii="Times New Roman" w:hAnsi="Times New Roman" w:cs="Times New Roman"/>
                <w:color w:val="000000"/>
                <w:spacing w:val="-2"/>
              </w:rPr>
              <w:t xml:space="preserve"> </w:t>
            </w:r>
          </w:p>
        </w:tc>
        <w:tc>
          <w:tcPr>
            <w:tcW w:w="1186" w:type="dxa"/>
            <w:tcBorders>
              <w:bottom w:val="single" w:sz="6" w:space="0" w:color="auto"/>
            </w:tcBorders>
            <w:shd w:val="clear" w:color="auto" w:fill="FFCC66"/>
          </w:tcPr>
          <w:p w14:paraId="4235987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DB6BBB">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DB6BBB">
              <w:rPr>
                <w:rFonts w:ascii="Times New Roman" w:hAnsi="Times New Roman" w:cs="Times New Roman"/>
                <w:color w:val="000000"/>
                <w:spacing w:val="-2"/>
                <w:lang w:val="fr-FR"/>
              </w:rPr>
              <w:t>1c</w:t>
            </w:r>
          </w:p>
        </w:tc>
        <w:tc>
          <w:tcPr>
            <w:tcW w:w="1186" w:type="dxa"/>
            <w:tcBorders>
              <w:bottom w:val="single" w:sz="6" w:space="0" w:color="auto"/>
            </w:tcBorders>
            <w:shd w:val="clear" w:color="auto" w:fill="FFCC66"/>
          </w:tcPr>
          <w:p w14:paraId="1D2634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bottom w:val="single" w:sz="6" w:space="0" w:color="auto"/>
            </w:tcBorders>
            <w:shd w:val="clear" w:color="auto" w:fill="FFCC66"/>
          </w:tcPr>
          <w:p w14:paraId="5DA8442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126F697"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51235A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DB6BBB">
              <w:rPr>
                <w:rFonts w:ascii="Times New Roman" w:hAnsi="Times New Roman" w:cs="Times New Roman"/>
                <w:i/>
                <w:color w:val="000000"/>
                <w:spacing w:val="-2"/>
                <w:lang w:val="fr-FR"/>
              </w:rPr>
              <w:t>(Ardeola idae)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54555DD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9FEB9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DB6BBB">
              <w:rPr>
                <w:rFonts w:ascii="Times New Roman" w:hAnsi="Times New Roman" w:cs="Times New Roman"/>
                <w:color w:val="000000"/>
                <w:spacing w:val="-2"/>
                <w:lang w:val="fr-FR"/>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C1308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DB6BBB">
              <w:rPr>
                <w:rFonts w:ascii="Times New Roman" w:hAnsi="Times New Roman" w:cs="Times New Roman"/>
                <w:color w:val="000000"/>
                <w:spacing w:val="-2"/>
                <w:lang w:val="fr-FR"/>
              </w:rPr>
              <w:t>AEWA &amp; CMS 2008</w:t>
            </w:r>
          </w:p>
        </w:tc>
      </w:tr>
      <w:tr w:rsidR="00886A3C" w:rsidRPr="001571EF" w14:paraId="4B92228D"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3ECECBCF"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FC0176">
              <w:rPr>
                <w:rFonts w:ascii="Times New Roman" w:hAnsi="Times New Roman" w:cs="Times New Roman"/>
                <w:color w:val="000000"/>
                <w:spacing w:val="-2"/>
                <w:lang w:val="fr-FR"/>
              </w:rPr>
              <w:t>Madagascar &amp; Aldabra/</w:t>
            </w:r>
            <w:r w:rsidRPr="00FC0176">
              <w:rPr>
                <w:lang w:val="fr-FR"/>
              </w:rPr>
              <w:t xml:space="preserve"> </w:t>
            </w:r>
            <w:r w:rsidRPr="00FC0176">
              <w:rPr>
                <w:rFonts w:ascii="Times New Roman" w:hAnsi="Times New Roman" w:cs="Times New Roman"/>
                <w:color w:val="000000"/>
                <w:spacing w:val="-2"/>
                <w:lang w:val="fr-FR"/>
              </w:rPr>
              <w:t>Afrique centrale et de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Est</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E6D8C9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FC0176">
              <w:rPr>
                <w:rFonts w:ascii="Times New Roman" w:hAnsi="Times New Roman" w:cs="Times New Roman"/>
                <w:color w:val="000000"/>
                <w:spacing w:val="-2"/>
                <w:lang w:val="fr-FR"/>
              </w:rPr>
              <w:t>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BB6F5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4F2A43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DE4CF4" w14:paraId="094071D3"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404455E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Balaeniceps rex</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189FB7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423EB33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VU</w:t>
            </w: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7A6ED724"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lang w:val="fr-FR"/>
              </w:rPr>
            </w:pPr>
            <w:r w:rsidRPr="00FC0176">
              <w:rPr>
                <w:rFonts w:ascii="Times New Roman" w:hAnsi="Times New Roman" w:cs="Times New Roman"/>
                <w:color w:val="000000"/>
                <w:spacing w:val="-2"/>
                <w:lang w:val="fr-FR"/>
              </w:rPr>
              <w:t>AEWA en cours de préparation</w:t>
            </w:r>
          </w:p>
        </w:tc>
      </w:tr>
      <w:tr w:rsidR="00886A3C" w:rsidRPr="001571EF" w14:paraId="3D60D575"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085B54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Afrique centrale tropicale</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32D658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FC0176">
              <w:rPr>
                <w:rFonts w:ascii="Times New Roman" w:hAnsi="Times New Roman" w:cs="Times New Roman"/>
                <w:color w:val="000000"/>
                <w:spacing w:val="-2"/>
                <w:lang w:val="fr-FR"/>
              </w:rPr>
              <w:t>1c</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640459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15F043A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E9DBF22"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46E9B7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(Geronticus eremita)</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0F290D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4F64C9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67E45BA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2005</w:t>
            </w:r>
          </w:p>
        </w:tc>
      </w:tr>
      <w:tr w:rsidR="00886A3C" w:rsidRPr="001571EF" w14:paraId="0BCB5E1B"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44BA598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Maroc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C09C2F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5D899B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030C595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83B3AA6"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13E5F7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Asie du Sud-Ouest</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865C9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40293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21D94BB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F508BCD"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0345B3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Platalea leucorodia archeri</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2403C3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F7610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LC</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F7324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2008</w:t>
            </w:r>
          </w:p>
        </w:tc>
      </w:tr>
      <w:tr w:rsidR="00886A3C" w:rsidRPr="001571EF" w14:paraId="5D348229"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00101F7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Mer Rouge &amp; Somalie</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0594434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1c</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23E662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584B562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1607A04"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42724B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Platalea leucorodia balsaci</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5DA14B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0A5A326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LC</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14BBB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2008</w:t>
            </w:r>
          </w:p>
        </w:tc>
      </w:tr>
      <w:tr w:rsidR="00886A3C" w:rsidRPr="001571EF" w14:paraId="4A4FEEA7"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3D35B602"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FC0176">
              <w:rPr>
                <w:rFonts w:ascii="Times New Roman" w:hAnsi="Times New Roman" w:cs="Times New Roman"/>
                <w:color w:val="000000"/>
                <w:spacing w:val="-2"/>
                <w:lang w:val="fr-FR"/>
              </w:rPr>
              <w:t>Littoral de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Ouest (Mauritanie)</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0943A4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1c</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618D72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0A5DC4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F1CAB33"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77835E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(Phoeniconaias minor)</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5CE1D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F3DB55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0D61E1B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&amp; CMS 2008</w:t>
            </w:r>
          </w:p>
        </w:tc>
      </w:tr>
      <w:tr w:rsidR="00886A3C" w:rsidRPr="001571EF" w14:paraId="5E398659"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09E0CA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Ouest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FC742F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A61AD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0497C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D3969D8"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FE3F45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721E96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B02E90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39B3AE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B545CF5"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E9E500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Afrique australe (jusqu</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à Madagascar)</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A71A8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3a</w:t>
            </w:r>
            <w:r w:rsidRPr="001571EF">
              <w:rPr>
                <w:rFonts w:ascii="Times New Roman" w:hAnsi="Times New Roman" w:cs="Times New Roman"/>
                <w:color w:val="000000"/>
                <w:spacing w:val="-2"/>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550EC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3C8452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AEBAF01"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2E7EF8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Oxyura leucocephala</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5812E38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7AEF6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3E3B104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CMS et UE 2005</w:t>
            </w:r>
          </w:p>
        </w:tc>
      </w:tr>
      <w:tr w:rsidR="00886A3C" w:rsidRPr="001571EF" w14:paraId="66E3D33F"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3EA5C34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Méditerranée occidentale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Espagne &amp; Maroc)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784270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7E6F26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1ED47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82DC413"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4D2C0D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Algérie &amp; Tunisie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E0CCE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C56B57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57C2F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0455465"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3EC80995"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FC0176">
              <w:rPr>
                <w:rFonts w:ascii="Times New Roman" w:hAnsi="Times New Roman" w:cs="Times New Roman"/>
                <w:color w:val="000000"/>
                <w:spacing w:val="-2"/>
                <w:lang w:val="fr-FR"/>
              </w:rPr>
              <w:t>Méditerranée orientale, Turquie &amp; Asie du Sud-Est</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B247C9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1CB55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5090DB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FA33883"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EC3A2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Oxyura maccoa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239F8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503D63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0F3E99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2008</w:t>
            </w:r>
          </w:p>
        </w:tc>
      </w:tr>
      <w:tr w:rsidR="00886A3C" w:rsidRPr="001571EF" w14:paraId="126A7E60"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63BBF4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FC0176">
              <w:rPr>
                <w:rFonts w:ascii="Times New Roman" w:hAnsi="Times New Roman" w:cs="Times New Roman"/>
                <w:color w:val="000000"/>
                <w:spacing w:val="-2"/>
                <w:lang w:val="fr-FR"/>
              </w:rPr>
              <w:t>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3CA45B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856C1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034BEA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F30B1D7"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A7EF0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Afrique australe</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2CF2F3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1c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3153ACF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721F8B5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5977CCC"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4A23520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Anser albifrons flavirostris</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480FD1D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21F19D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LC</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D3B43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2012</w:t>
            </w:r>
          </w:p>
        </w:tc>
      </w:tr>
      <w:tr w:rsidR="00886A3C" w:rsidRPr="001571EF" w14:paraId="7C949F79"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4F9B9F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C0176">
              <w:rPr>
                <w:rFonts w:ascii="Times New Roman" w:hAnsi="Times New Roman" w:cs="Times New Roman"/>
                <w:color w:val="000000"/>
                <w:spacing w:val="-2"/>
                <w:lang w:val="fr-FR"/>
              </w:rPr>
              <w:t>Groenland/ Irlande &amp; R-U</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2034D3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25A1363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4AA192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94870A7"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6CB6D3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FC0176">
              <w:rPr>
                <w:rFonts w:ascii="Times New Roman" w:hAnsi="Times New Roman" w:cs="Times New Roman"/>
                <w:i/>
                <w:color w:val="000000"/>
                <w:spacing w:val="-2"/>
                <w:lang w:val="fr-FR"/>
              </w:rPr>
              <w:t>Anser erythropus</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3CE745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0F67A86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VU</w:t>
            </w: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16B358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C0176">
              <w:rPr>
                <w:rFonts w:ascii="Times New Roman" w:hAnsi="Times New Roman" w:cs="Times New Roman"/>
                <w:color w:val="000000"/>
                <w:spacing w:val="-2"/>
                <w:lang w:val="fr-FR"/>
              </w:rPr>
              <w:t>AEWA 2008</w:t>
            </w:r>
          </w:p>
        </w:tc>
      </w:tr>
      <w:tr w:rsidR="00886A3C" w:rsidRPr="001571EF" w14:paraId="06814004"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6B16BD3D"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817661">
              <w:rPr>
                <w:rFonts w:ascii="Times New Roman" w:hAnsi="Times New Roman" w:cs="Times New Roman"/>
                <w:color w:val="000000"/>
                <w:spacing w:val="-2"/>
                <w:lang w:val="fr-FR"/>
              </w:rPr>
              <w:t>NE Europe &amp; O Sibérie/mer Noire &amp; mer Caspienne</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6266AFB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1a 1b 2</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186EED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72A387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84A706A"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27818CC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817661">
              <w:rPr>
                <w:rFonts w:ascii="Times New Roman" w:hAnsi="Times New Roman" w:cs="Times New Roman"/>
                <w:color w:val="000000"/>
                <w:spacing w:val="-2"/>
                <w:lang w:val="fr-FR"/>
              </w:rPr>
              <w:t>Fennoscandie</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300298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6E9D15F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1B604B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BDC61BF"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3AC76F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817661">
              <w:rPr>
                <w:rFonts w:ascii="Times New Roman" w:hAnsi="Times New Roman" w:cs="Times New Roman"/>
                <w:i/>
                <w:color w:val="000000"/>
                <w:spacing w:val="-2"/>
                <w:lang w:val="fr-FR"/>
              </w:rPr>
              <w:t>Branta ruficollis</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0047E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78775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2B319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AEWA &amp; UE 2012</w:t>
            </w:r>
          </w:p>
        </w:tc>
      </w:tr>
      <w:tr w:rsidR="00886A3C" w:rsidRPr="001571EF" w14:paraId="00E65718"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009ED0C1"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817661">
              <w:rPr>
                <w:rFonts w:ascii="Times New Roman" w:hAnsi="Times New Roman" w:cs="Times New Roman"/>
                <w:color w:val="000000"/>
                <w:spacing w:val="-2"/>
                <w:lang w:val="fr-FR"/>
              </w:rPr>
              <w:t>Sibérie septentrionale/mer Noire &amp; mer Caspienne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7BB33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1a 1b 3a 3c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3A1BF9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3F3F77D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EBABAEF"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FA7E6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817661">
              <w:rPr>
                <w:rFonts w:ascii="Times New Roman" w:hAnsi="Times New Roman" w:cs="Times New Roman"/>
                <w:i/>
                <w:color w:val="000000"/>
                <w:spacing w:val="-2"/>
                <w:lang w:val="fr-FR"/>
              </w:rPr>
              <w:t>Aythya nyroca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737DC8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513A8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5E22F9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AEWA &amp; CMS 2005</w:t>
            </w:r>
          </w:p>
        </w:tc>
      </w:tr>
      <w:tr w:rsidR="00886A3C" w:rsidRPr="001571EF" w14:paraId="377249EC"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CA26799"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817661">
              <w:rPr>
                <w:rFonts w:ascii="Times New Roman" w:hAnsi="Times New Roman" w:cs="Times New Roman"/>
                <w:color w:val="000000"/>
                <w:spacing w:val="-2"/>
                <w:lang w:val="fr-FR"/>
              </w:rPr>
              <w:t>Méditerranée occidentale/ Afrique du Nord et de l</w:t>
            </w:r>
            <w:r>
              <w:rPr>
                <w:rFonts w:ascii="Times New Roman" w:hAnsi="Times New Roman" w:cs="Times New Roman"/>
                <w:color w:val="000000"/>
                <w:spacing w:val="-2"/>
                <w:lang w:val="fr-FR"/>
              </w:rPr>
              <w:t>’</w:t>
            </w:r>
            <w:r w:rsidRPr="00817661">
              <w:rPr>
                <w:rFonts w:ascii="Times New Roman" w:hAnsi="Times New Roman" w:cs="Times New Roman"/>
                <w:color w:val="000000"/>
                <w:spacing w:val="-2"/>
                <w:lang w:val="fr-FR"/>
              </w:rPr>
              <w:t>Ouest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D6D2D5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817661">
              <w:rPr>
                <w:rFonts w:ascii="Times New Roman" w:hAnsi="Times New Roman" w:cs="Times New Roman"/>
                <w:color w:val="000000"/>
                <w:spacing w:val="-2"/>
                <w:lang w:val="fr-FR"/>
              </w:rPr>
              <w:t>1a 1c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070B3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3EAABF1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521A718"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368AB7C7"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Eastern Europe/</w:t>
            </w:r>
            <w:r w:rsidRPr="001B2640">
              <w:rPr>
                <w:rFonts w:ascii="Times New Roman" w:hAnsi="Times New Roman"/>
                <w:color w:val="000000"/>
                <w:spacing w:val="-2"/>
                <w:lang w:val="fr-FR"/>
              </w:rPr>
              <w:t xml:space="preserve"> Méditerranée orientale &amp; Afrique sahélienne</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2B92D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3c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50DAA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84AB5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2601E82"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27143B62" w14:textId="77777777" w:rsidR="00886A3C" w:rsidRPr="004B1407"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4B1407">
              <w:rPr>
                <w:rFonts w:ascii="Times New Roman" w:hAnsi="Times New Roman" w:cs="Times New Roman"/>
                <w:color w:val="000000"/>
                <w:spacing w:val="-2"/>
                <w:lang w:val="fr-FR"/>
              </w:rPr>
              <w:t xml:space="preserve">- </w:t>
            </w:r>
            <w:r w:rsidRPr="001B2640">
              <w:rPr>
                <w:rFonts w:ascii="Times New Roman" w:hAnsi="Times New Roman"/>
                <w:color w:val="000000"/>
                <w:spacing w:val="-2"/>
                <w:lang w:val="fr-FR"/>
              </w:rPr>
              <w:t>Asie de l</w:t>
            </w:r>
            <w:r>
              <w:rPr>
                <w:rFonts w:ascii="Times New Roman" w:hAnsi="Times New Roman"/>
                <w:color w:val="000000"/>
                <w:spacing w:val="-2"/>
                <w:lang w:val="fr-FR"/>
              </w:rPr>
              <w:t>’</w:t>
            </w:r>
            <w:r w:rsidRPr="001B2640">
              <w:rPr>
                <w:rFonts w:ascii="Times New Roman" w:hAnsi="Times New Roman"/>
                <w:color w:val="000000"/>
                <w:spacing w:val="-2"/>
                <w:lang w:val="fr-FR"/>
              </w:rPr>
              <w:t>Ouest/SO Asie &amp; NE Afrique</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E36D5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3c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89ED58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7071A1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139253F"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4C7F32A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Balearica regulorum regulorum</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46C7DB5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7C3626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46E94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AEWA </w:t>
            </w:r>
            <w:r>
              <w:rPr>
                <w:rFonts w:ascii="Times New Roman" w:hAnsi="Times New Roman" w:cs="Times New Roman"/>
                <w:color w:val="000000"/>
                <w:spacing w:val="-2"/>
              </w:rPr>
              <w:t>en</w:t>
            </w:r>
            <w:r w:rsidRPr="001571EF">
              <w:rPr>
                <w:rFonts w:ascii="Times New Roman" w:hAnsi="Times New Roman" w:cs="Times New Roman"/>
                <w:color w:val="000000"/>
                <w:spacing w:val="-2"/>
              </w:rPr>
              <w:t xml:space="preserve"> pr</w:t>
            </w:r>
            <w:r>
              <w:rPr>
                <w:rFonts w:ascii="Times New Roman" w:hAnsi="Times New Roman" w:cs="Times New Roman"/>
                <w:color w:val="000000"/>
                <w:spacing w:val="-2"/>
              </w:rPr>
              <w:t>é</w:t>
            </w:r>
            <w:r w:rsidRPr="001571EF">
              <w:rPr>
                <w:rFonts w:ascii="Times New Roman" w:hAnsi="Times New Roman" w:cs="Times New Roman"/>
                <w:color w:val="000000"/>
                <w:spacing w:val="-2"/>
              </w:rPr>
              <w:t>paration</w:t>
            </w:r>
          </w:p>
        </w:tc>
      </w:tr>
      <w:tr w:rsidR="00886A3C" w:rsidRPr="001571EF" w14:paraId="02A1CEBC"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6856DA38"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lastRenderedPageBreak/>
              <w:t xml:space="preserve">- </w:t>
            </w:r>
            <w:r w:rsidRPr="001B2640">
              <w:rPr>
                <w:rFonts w:ascii="Times New Roman" w:hAnsi="Times New Roman"/>
                <w:color w:val="000000"/>
                <w:spacing w:val="-2"/>
                <w:lang w:val="pt-PT"/>
              </w:rPr>
              <w:t>Afrique australe (N</w:t>
            </w:r>
            <w:r>
              <w:rPr>
                <w:rFonts w:ascii="Times New Roman" w:hAnsi="Times New Roman"/>
                <w:color w:val="000000"/>
                <w:spacing w:val="-2"/>
                <w:lang w:val="pt-PT"/>
              </w:rPr>
              <w:t xml:space="preserve"> jusqu´</w:t>
            </w:r>
            <w:r w:rsidRPr="001B2640">
              <w:rPr>
                <w:rFonts w:ascii="Times New Roman" w:hAnsi="Times New Roman"/>
                <w:color w:val="000000"/>
                <w:spacing w:val="-2"/>
                <w:lang w:val="pt-PT"/>
              </w:rPr>
              <w:t xml:space="preserve"> à Angola &amp; S Zimbabwe)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6FE8B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4E3E9D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5329B8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DE4CF4" w14:paraId="274F806C"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484B7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Balearica regulorum gibbericeps</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4271FC4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9E7FC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3C9946A"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lang w:val="fr-FR"/>
              </w:rPr>
            </w:pPr>
            <w:r w:rsidRPr="000A04BA">
              <w:rPr>
                <w:rFonts w:ascii="Times New Roman" w:hAnsi="Times New Roman" w:cs="Times New Roman"/>
                <w:color w:val="000000"/>
                <w:spacing w:val="-2"/>
                <w:lang w:val="fr-FR"/>
              </w:rPr>
              <w:t>AEWA en cours de préparation</w:t>
            </w:r>
          </w:p>
        </w:tc>
      </w:tr>
      <w:tr w:rsidR="00886A3C" w:rsidRPr="001571EF" w14:paraId="421B664E"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2FFE87E0"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olor w:val="000000"/>
                <w:spacing w:val="-2"/>
                <w:lang w:val="fr-FR"/>
              </w:rPr>
              <w:t>Afrique de l</w:t>
            </w:r>
            <w:r>
              <w:rPr>
                <w:rFonts w:ascii="Times New Roman" w:hAnsi="Times New Roman"/>
                <w:color w:val="000000"/>
                <w:spacing w:val="-2"/>
                <w:lang w:val="fr-FR"/>
              </w:rPr>
              <w:t>’</w:t>
            </w:r>
            <w:r w:rsidRPr="000A04BA">
              <w:rPr>
                <w:rFonts w:ascii="Times New Roman" w:hAnsi="Times New Roman"/>
                <w:color w:val="000000"/>
                <w:spacing w:val="-2"/>
                <w:lang w:val="fr-FR"/>
              </w:rPr>
              <w:t xml:space="preserve">Est </w:t>
            </w:r>
            <w:r w:rsidRPr="000A04BA">
              <w:rPr>
                <w:rFonts w:ascii="Times New Roman" w:hAnsi="Times New Roman" w:cs="Times New Roman"/>
                <w:color w:val="000000"/>
                <w:spacing w:val="-2"/>
                <w:lang w:val="fr-FR"/>
              </w:rPr>
              <w:t>(Kenya au Mozambique)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52AF71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1b 3c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FA795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B20BD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E1EC358"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3030A1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Grus leucogeranus</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54A0D8A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9A37A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4F93A49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 xml:space="preserve">MdE CMS </w:t>
            </w:r>
          </w:p>
        </w:tc>
      </w:tr>
      <w:tr w:rsidR="00886A3C" w:rsidRPr="001571EF" w14:paraId="6F5AB77F"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2D38FC8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A04BA">
              <w:rPr>
                <w:rFonts w:ascii="Times New Roman" w:hAnsi="Times New Roman" w:cs="Times New Roman"/>
                <w:color w:val="000000"/>
                <w:spacing w:val="-2"/>
                <w:lang w:val="fr-FR"/>
              </w:rPr>
              <w:t xml:space="preserve">Iran </w:t>
            </w:r>
            <w:r>
              <w:rPr>
                <w:rFonts w:ascii="Times New Roman" w:hAnsi="Times New Roman" w:cs="Times New Roman"/>
                <w:color w:val="000000"/>
                <w:spacing w:val="-2"/>
                <w:lang w:val="fr-FR"/>
              </w:rPr>
              <w:t>(</w:t>
            </w:r>
            <w:r w:rsidRPr="000A04BA">
              <w:rPr>
                <w:rFonts w:ascii="Times New Roman" w:hAnsi="Times New Roman" w:cs="Times New Roman"/>
                <w:color w:val="000000"/>
                <w:spacing w:val="-2"/>
                <w:lang w:val="fr-FR"/>
              </w:rPr>
              <w:t>hiv)</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E3CC7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CAECD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591AAC8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E8D52C4"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063E83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Sarothrura ayresi</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73E92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6893D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79F747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AEWA &amp; CMS 2008</w:t>
            </w:r>
          </w:p>
        </w:tc>
      </w:tr>
      <w:tr w:rsidR="00886A3C" w:rsidRPr="001571EF" w14:paraId="6A7B1D46"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2EACDC6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A04BA">
              <w:rPr>
                <w:rFonts w:ascii="Times New Roman" w:hAnsi="Times New Roman" w:cs="Times New Roman"/>
                <w:color w:val="000000"/>
                <w:spacing w:val="-2"/>
                <w:lang w:val="fr-FR"/>
              </w:rPr>
              <w:t>Éthiopie</w:t>
            </w:r>
            <w:r w:rsidRPr="001571EF">
              <w:rPr>
                <w:rFonts w:ascii="Times New Roman" w:hAnsi="Times New Roman" w:cs="Times New Roman"/>
                <w:color w:val="000000"/>
                <w:spacing w:val="-2"/>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88F516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D329F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A2E3A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81833BC"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01EFE7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A04BA">
              <w:rPr>
                <w:rFonts w:ascii="Times New Roman" w:hAnsi="Times New Roman" w:cs="Times New Roman"/>
                <w:color w:val="000000"/>
                <w:spacing w:val="-2"/>
                <w:lang w:val="fr-FR"/>
              </w:rPr>
              <w:t>Afrique australe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014F4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EF945F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0BFEC6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914B1F6"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6385942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Glareola nordmanni</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6927D3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CDB161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BEAC8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AEWA &amp; Berne 2002</w:t>
            </w:r>
          </w:p>
        </w:tc>
      </w:tr>
      <w:tr w:rsidR="00886A3C" w:rsidRPr="001571EF" w14:paraId="60DD857E"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79FBE39C"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s="Times New Roman"/>
                <w:color w:val="000000"/>
                <w:spacing w:val="-2"/>
                <w:lang w:val="fr-FR"/>
              </w:rPr>
              <w:t xml:space="preserve">SE Europe &amp; </w:t>
            </w:r>
            <w:r w:rsidRPr="000A04BA">
              <w:rPr>
                <w:rFonts w:ascii="Times New Roman" w:hAnsi="Times New Roman"/>
                <w:color w:val="000000"/>
                <w:spacing w:val="-2"/>
                <w:lang w:val="fr-FR"/>
              </w:rPr>
              <w:t>Asie de l</w:t>
            </w:r>
            <w:r>
              <w:rPr>
                <w:rFonts w:ascii="Times New Roman" w:hAnsi="Times New Roman"/>
                <w:color w:val="000000"/>
                <w:spacing w:val="-2"/>
                <w:lang w:val="fr-FR"/>
              </w:rPr>
              <w:t>’</w:t>
            </w:r>
            <w:r w:rsidRPr="000A04BA">
              <w:rPr>
                <w:rFonts w:ascii="Times New Roman" w:hAnsi="Times New Roman"/>
                <w:color w:val="000000"/>
                <w:spacing w:val="-2"/>
                <w:lang w:val="fr-FR"/>
              </w:rPr>
              <w:t>Ouest</w:t>
            </w:r>
            <w:r w:rsidRPr="000A04BA">
              <w:rPr>
                <w:rFonts w:ascii="Times New Roman" w:hAnsi="Times New Roman" w:cs="Times New Roman"/>
                <w:color w:val="000000"/>
                <w:spacing w:val="-2"/>
                <w:lang w:val="fr-FR"/>
              </w:rPr>
              <w:t xml:space="preserve"> /Afrique australe</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F57CF2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6B40D1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7468504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7B388DB"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2D5725C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Vanellus gregarius</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035189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6A0B586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504B66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AEWA &amp; Berne 2002; AEWA &amp; CMS 2012</w:t>
            </w:r>
          </w:p>
        </w:tc>
      </w:tr>
      <w:tr w:rsidR="00886A3C" w:rsidRPr="001571EF" w14:paraId="5D06A18D"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3D963737"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s="Times New Roman"/>
                <w:color w:val="000000"/>
                <w:spacing w:val="-2"/>
                <w:lang w:val="fr-FR"/>
              </w:rPr>
              <w:t>SE Europe &amp; Asie de l</w:t>
            </w:r>
            <w:r>
              <w:rPr>
                <w:rFonts w:ascii="Times New Roman" w:hAnsi="Times New Roman" w:cs="Times New Roman"/>
                <w:color w:val="000000"/>
                <w:spacing w:val="-2"/>
                <w:lang w:val="fr-FR"/>
              </w:rPr>
              <w:t>’</w:t>
            </w:r>
            <w:r w:rsidRPr="000A04BA">
              <w:rPr>
                <w:rFonts w:ascii="Times New Roman" w:hAnsi="Times New Roman" w:cs="Times New Roman"/>
                <w:color w:val="000000"/>
                <w:spacing w:val="-2"/>
                <w:lang w:val="fr-FR"/>
              </w:rPr>
              <w:t>Ouest / Afrique du Nord-est</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46D103F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1a 1b 2</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5B92AD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251977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0910E87"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62709715"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olor w:val="000000"/>
                <w:spacing w:val="-2"/>
                <w:lang w:val="fr-FR"/>
              </w:rPr>
              <w:t>Républiques d</w:t>
            </w:r>
            <w:r>
              <w:rPr>
                <w:rFonts w:ascii="Times New Roman" w:hAnsi="Times New Roman"/>
                <w:color w:val="000000"/>
                <w:spacing w:val="-2"/>
                <w:lang w:val="fr-FR"/>
              </w:rPr>
              <w:t>’</w:t>
            </w:r>
            <w:r w:rsidRPr="000A04BA">
              <w:rPr>
                <w:rFonts w:ascii="Times New Roman" w:hAnsi="Times New Roman"/>
                <w:color w:val="000000"/>
                <w:spacing w:val="-2"/>
                <w:lang w:val="fr-FR"/>
              </w:rPr>
              <w:t>Asie centrale/NO Inde</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1460D9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6295E02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2AC5C7D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08C6A95"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7E70F1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Gallinago media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63A81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D90A85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5197330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AEWA &amp; Berne 2002</w:t>
            </w:r>
          </w:p>
        </w:tc>
      </w:tr>
      <w:tr w:rsidR="00886A3C" w:rsidRPr="001571EF" w14:paraId="137F79E3"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5E198F8"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olor w:val="000000"/>
                <w:spacing w:val="-2"/>
                <w:lang w:val="fr-FR"/>
              </w:rPr>
              <w:t>Scandinavie/probablement Afrique de l</w:t>
            </w:r>
            <w:r>
              <w:rPr>
                <w:rFonts w:ascii="Times New Roman" w:hAnsi="Times New Roman"/>
                <w:color w:val="000000"/>
                <w:spacing w:val="-2"/>
                <w:lang w:val="fr-FR"/>
              </w:rPr>
              <w:t>’</w:t>
            </w:r>
            <w:r w:rsidRPr="000A04BA">
              <w:rPr>
                <w:rFonts w:ascii="Times New Roman" w:hAnsi="Times New Roman"/>
                <w:color w:val="000000"/>
                <w:spacing w:val="-2"/>
                <w:lang w:val="fr-FR"/>
              </w:rPr>
              <w:t>Ouest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AB6167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688D22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9F33D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EDE4AD2"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C73C153"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olor w:val="000000"/>
                <w:spacing w:val="-2"/>
                <w:lang w:val="fr-FR"/>
              </w:rPr>
              <w:t>Sibérie occidentale &amp; NE Europe/Afrique du Sud-Est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FCC480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AF4C5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B441B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6ED1FAA"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0E922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Limosa limosa limosa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AE3E5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33F3774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E3309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AEWA &amp; UE 2008</w:t>
            </w:r>
          </w:p>
        </w:tc>
      </w:tr>
      <w:tr w:rsidR="00886A3C" w:rsidRPr="001571EF" w14:paraId="330E462B"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71E48E5A"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olor w:val="000000"/>
                <w:spacing w:val="-2"/>
                <w:lang w:val="fr-FR"/>
              </w:rPr>
              <w:t>Europe occidentale, NO Afrique &amp; Afrique de l</w:t>
            </w:r>
            <w:r>
              <w:rPr>
                <w:rFonts w:ascii="Times New Roman" w:hAnsi="Times New Roman"/>
                <w:color w:val="000000"/>
                <w:spacing w:val="-2"/>
                <w:lang w:val="fr-FR"/>
              </w:rPr>
              <w:t>’</w:t>
            </w:r>
            <w:r w:rsidRPr="000A04BA">
              <w:rPr>
                <w:rFonts w:ascii="Times New Roman" w:hAnsi="Times New Roman"/>
                <w:color w:val="000000"/>
                <w:spacing w:val="-2"/>
                <w:lang w:val="fr-FR"/>
              </w:rPr>
              <w:t>Ouest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8360B7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C6340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069C3E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8D45EE7"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45A6BCAF"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s="Times New Roman"/>
                <w:color w:val="000000"/>
                <w:spacing w:val="-2"/>
                <w:lang w:val="fr-FR"/>
              </w:rPr>
              <w:t>Europe de l</w:t>
            </w:r>
            <w:r>
              <w:rPr>
                <w:rFonts w:ascii="Times New Roman" w:hAnsi="Times New Roman" w:cs="Times New Roman"/>
                <w:color w:val="000000"/>
                <w:spacing w:val="-2"/>
                <w:lang w:val="fr-FR"/>
              </w:rPr>
              <w:t>’</w:t>
            </w:r>
            <w:r w:rsidRPr="000A04BA">
              <w:rPr>
                <w:rFonts w:ascii="Times New Roman" w:hAnsi="Times New Roman" w:cs="Times New Roman"/>
                <w:color w:val="000000"/>
                <w:spacing w:val="-2"/>
                <w:lang w:val="fr-FR"/>
              </w:rPr>
              <w:t>Est/ Afrique centrale et de</w:t>
            </w:r>
            <w:r>
              <w:rPr>
                <w:rFonts w:ascii="Times New Roman" w:hAnsi="Times New Roman" w:cs="Times New Roman"/>
                <w:color w:val="000000"/>
                <w:spacing w:val="-2"/>
                <w:lang w:val="fr-FR"/>
              </w:rPr>
              <w:t xml:space="preserve"> </w:t>
            </w:r>
            <w:r w:rsidRPr="000A04BA">
              <w:rPr>
                <w:rFonts w:ascii="Times New Roman" w:hAnsi="Times New Roman" w:cs="Times New Roman"/>
                <w:color w:val="000000"/>
                <w:spacing w:val="-2"/>
                <w:lang w:val="fr-FR"/>
              </w:rPr>
              <w:t>l</w:t>
            </w:r>
            <w:r>
              <w:rPr>
                <w:rFonts w:ascii="Times New Roman" w:hAnsi="Times New Roman" w:cs="Times New Roman"/>
                <w:color w:val="000000"/>
                <w:spacing w:val="-2"/>
                <w:lang w:val="fr-FR"/>
              </w:rPr>
              <w:t>’</w:t>
            </w:r>
            <w:r w:rsidRPr="000A04BA">
              <w:rPr>
                <w:rFonts w:ascii="Times New Roman" w:hAnsi="Times New Roman" w:cs="Times New Roman"/>
                <w:color w:val="000000"/>
                <w:spacing w:val="-2"/>
                <w:lang w:val="fr-FR"/>
              </w:rPr>
              <w:t>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8A14F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F8611D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656683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B252B9C"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76498C39"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A04BA">
              <w:rPr>
                <w:rFonts w:ascii="Times New Roman" w:hAnsi="Times New Roman"/>
                <w:color w:val="000000"/>
                <w:spacing w:val="-2"/>
                <w:lang w:val="fr-FR"/>
              </w:rPr>
              <w:t>Asie de l</w:t>
            </w:r>
            <w:r>
              <w:rPr>
                <w:rFonts w:ascii="Times New Roman" w:hAnsi="Times New Roman"/>
                <w:color w:val="000000"/>
                <w:spacing w:val="-2"/>
                <w:lang w:val="fr-FR"/>
              </w:rPr>
              <w:t>’</w:t>
            </w:r>
            <w:r w:rsidRPr="000A04BA">
              <w:rPr>
                <w:rFonts w:ascii="Times New Roman" w:hAnsi="Times New Roman"/>
                <w:color w:val="000000"/>
                <w:spacing w:val="-2"/>
                <w:lang w:val="fr-FR"/>
              </w:rPr>
              <w:t>Ouest et centrale/SO Asie &amp; Afrique de l</w:t>
            </w:r>
            <w:r>
              <w:rPr>
                <w:rFonts w:ascii="Times New Roman" w:hAnsi="Times New Roman"/>
                <w:color w:val="000000"/>
                <w:spacing w:val="-2"/>
                <w:lang w:val="fr-FR"/>
              </w:rPr>
              <w:t>’</w:t>
            </w:r>
            <w:r w:rsidRPr="000A04BA">
              <w:rPr>
                <w:rFonts w:ascii="Times New Roman" w:hAnsi="Times New Roman"/>
                <w:color w:val="000000"/>
                <w:spacing w:val="-2"/>
                <w:lang w:val="fr-FR"/>
              </w:rPr>
              <w:t>Est</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E954B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07AD9C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40191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4BD6550"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2C06BB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Limosa limosa islandica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94FBC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2F5C3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960E1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AEWA &amp; UE 2008</w:t>
            </w:r>
          </w:p>
        </w:tc>
      </w:tr>
      <w:tr w:rsidR="00886A3C" w:rsidRPr="001571EF" w14:paraId="15563A9A"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0E476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A04BA">
              <w:rPr>
                <w:rFonts w:ascii="Times New Roman" w:hAnsi="Times New Roman"/>
                <w:color w:val="000000"/>
                <w:spacing w:val="-2"/>
                <w:lang w:val="fr-FR"/>
              </w:rPr>
              <w:t>Islande/Europe occidentale</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7B1F7F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181E7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F8A3D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E188B33"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2812F5F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0A04BA">
              <w:rPr>
                <w:rFonts w:ascii="Times New Roman" w:hAnsi="Times New Roman" w:cs="Times New Roman"/>
                <w:i/>
                <w:color w:val="000000"/>
                <w:spacing w:val="-2"/>
                <w:lang w:val="fr-FR"/>
              </w:rPr>
              <w:t>Numenius tenuirostris</w:t>
            </w:r>
            <w:r w:rsidRPr="000A04BA">
              <w:rPr>
                <w:rStyle w:val="FootnoteReference"/>
                <w:rFonts w:ascii="Times New Roman" w:hAnsi="Times New Roman" w:cs="Times New Roman"/>
                <w:i/>
                <w:color w:val="000000"/>
                <w:spacing w:val="-2"/>
                <w:lang w:val="fr-FR"/>
              </w:rPr>
              <w:footnoteReference w:id="11"/>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A7304A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298597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04FF381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A04BA">
              <w:rPr>
                <w:rFonts w:ascii="Times New Roman" w:hAnsi="Times New Roman" w:cs="Times New Roman"/>
                <w:color w:val="000000"/>
                <w:spacing w:val="-2"/>
                <w:lang w:val="fr-FR"/>
              </w:rPr>
              <w:t xml:space="preserve">MdE CMS </w:t>
            </w:r>
          </w:p>
        </w:tc>
      </w:tr>
      <w:tr w:rsidR="00886A3C" w:rsidRPr="001571EF" w14:paraId="39576FDA" w14:textId="77777777" w:rsidTr="00886A3C">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1EA0F520"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4A0BC9">
              <w:rPr>
                <w:rFonts w:ascii="Times New Roman" w:hAnsi="Times New Roman"/>
                <w:color w:val="000000"/>
                <w:spacing w:val="-2"/>
                <w:lang w:val="fr-FR"/>
              </w:rPr>
              <w:t>Sibérie centrale/Méditerranée &amp;</w:t>
            </w:r>
            <w:r>
              <w:rPr>
                <w:rFonts w:ascii="Times New Roman" w:hAnsi="Times New Roman"/>
                <w:color w:val="000000"/>
                <w:spacing w:val="-2"/>
                <w:lang w:val="fr-FR"/>
              </w:rPr>
              <w:t xml:space="preserve"> </w:t>
            </w:r>
            <w:r w:rsidRPr="004A0BC9">
              <w:rPr>
                <w:rFonts w:ascii="Times New Roman" w:hAnsi="Times New Roman"/>
                <w:color w:val="000000"/>
                <w:spacing w:val="-2"/>
                <w:lang w:val="fr-FR"/>
              </w:rPr>
              <w:t>SO Asie</w:t>
            </w:r>
            <w:r w:rsidRPr="00856FAD">
              <w:rPr>
                <w:rFonts w:ascii="Times New Roman" w:hAnsi="Times New Roman" w:cs="Times New Roman"/>
                <w:color w:val="000000"/>
                <w:spacing w:val="-2"/>
                <w:lang w:val="fr-FR"/>
              </w:rPr>
              <w:t xml:space="preserve"> </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1FE89F0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A2A61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06F328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bl>
    <w:p w14:paraId="6A6ACD51" w14:textId="77777777" w:rsidR="00886A3C" w:rsidRDefault="00886A3C" w:rsidP="00886A3C">
      <w:pPr>
        <w:spacing w:after="0" w:line="240" w:lineRule="auto"/>
        <w:rPr>
          <w:rFonts w:ascii="Times New Roman" w:hAnsi="Times New Roman" w:cs="Times New Roman"/>
        </w:rPr>
        <w:sectPr w:rsidR="00886A3C" w:rsidSect="001571EF">
          <w:headerReference w:type="default" r:id="rId133"/>
          <w:headerReference w:type="first" r:id="rId134"/>
          <w:footerReference w:type="first" r:id="rId135"/>
          <w:pgSz w:w="11906" w:h="16838" w:code="9"/>
          <w:pgMar w:top="851" w:right="748" w:bottom="851" w:left="902" w:header="720" w:footer="441" w:gutter="0"/>
          <w:cols w:space="708"/>
          <w:titlePg/>
          <w:docGrid w:linePitch="360"/>
        </w:sectPr>
      </w:pPr>
    </w:p>
    <w:p w14:paraId="1E539570" w14:textId="77777777" w:rsidR="00886A3C" w:rsidRPr="001571EF" w:rsidRDefault="00886A3C" w:rsidP="00886A3C">
      <w:pPr>
        <w:pageBreakBefore/>
        <w:spacing w:after="0" w:line="240" w:lineRule="auto"/>
        <w:jc w:val="both"/>
        <w:rPr>
          <w:rFonts w:ascii="Times New Roman" w:hAnsi="Times New Roman" w:cs="Times New Roman"/>
          <w:b/>
        </w:rPr>
      </w:pPr>
      <w:r w:rsidRPr="004A0BC9">
        <w:rPr>
          <w:rFonts w:ascii="Times New Roman" w:hAnsi="Times New Roman" w:cs="Times New Roman"/>
          <w:b/>
          <w:lang w:val="fr-FR"/>
        </w:rPr>
        <w:lastRenderedPageBreak/>
        <w:t>TABLEAU 2</w:t>
      </w:r>
    </w:p>
    <w:p w14:paraId="0798AA94" w14:textId="77777777" w:rsidR="00886A3C" w:rsidRPr="00856FAD" w:rsidRDefault="00886A3C" w:rsidP="00886A3C">
      <w:pPr>
        <w:spacing w:after="0" w:line="240" w:lineRule="auto"/>
        <w:jc w:val="both"/>
        <w:rPr>
          <w:rFonts w:ascii="Times New Roman" w:hAnsi="Times New Roman" w:cs="Times New Roman"/>
          <w:lang w:val="fr-FR"/>
        </w:rPr>
      </w:pPr>
      <w:r w:rsidRPr="004A0BC9">
        <w:rPr>
          <w:rFonts w:ascii="Times New Roman" w:hAnsi="Times New Roman" w:cs="Times New Roman"/>
          <w:b/>
          <w:lang w:val="fr-FR"/>
        </w:rPr>
        <w:t>Liste prioritaire des populations d</w:t>
      </w:r>
      <w:r>
        <w:rPr>
          <w:rFonts w:ascii="Times New Roman" w:hAnsi="Times New Roman" w:cs="Times New Roman"/>
          <w:b/>
          <w:lang w:val="fr-FR"/>
        </w:rPr>
        <w:t>’</w:t>
      </w:r>
      <w:r w:rsidRPr="004A0BC9">
        <w:rPr>
          <w:rFonts w:ascii="Times New Roman" w:hAnsi="Times New Roman" w:cs="Times New Roman"/>
          <w:b/>
          <w:lang w:val="fr-FR"/>
        </w:rPr>
        <w:t>oiseaux d</w:t>
      </w:r>
      <w:r>
        <w:rPr>
          <w:rFonts w:ascii="Times New Roman" w:hAnsi="Times New Roman" w:cs="Times New Roman"/>
          <w:b/>
          <w:lang w:val="fr-FR"/>
        </w:rPr>
        <w:t>’</w:t>
      </w:r>
      <w:r w:rsidRPr="004A0BC9">
        <w:rPr>
          <w:rFonts w:ascii="Times New Roman" w:hAnsi="Times New Roman" w:cs="Times New Roman"/>
          <w:b/>
          <w:lang w:val="fr-FR"/>
        </w:rPr>
        <w:t xml:space="preserve">eau en vue du développement de SSAP - 2012-2015 </w:t>
      </w:r>
      <w:r w:rsidRPr="004A0BC9">
        <w:rPr>
          <w:rFonts w:ascii="Times New Roman" w:hAnsi="Times New Roman" w:cs="Times New Roman"/>
          <w:lang w:val="fr-FR"/>
        </w:rPr>
        <w:t>(code des couleurs :</w:t>
      </w:r>
      <w:r w:rsidRPr="00856FAD">
        <w:rPr>
          <w:rFonts w:ascii="Times New Roman" w:hAnsi="Times New Roman" w:cs="Times New Roman"/>
          <w:lang w:val="fr-FR"/>
        </w:rPr>
        <w:t xml:space="preserve"> </w:t>
      </w:r>
      <w:r w:rsidRPr="004A0BC9">
        <w:rPr>
          <w:rFonts w:ascii="Times New Roman" w:hAnsi="Times New Roman" w:cs="Times New Roman"/>
          <w:lang w:val="fr-FR"/>
        </w:rPr>
        <w:t>rose – EN, orange – VU, jaune – NT, blanc – LC).</w:t>
      </w:r>
      <w:r w:rsidRPr="00856FAD">
        <w:rPr>
          <w:rFonts w:ascii="Times New Roman" w:hAnsi="Times New Roman" w:cs="Times New Roman"/>
          <w:lang w:val="fr-FR"/>
        </w:rPr>
        <w:t xml:space="preserve"> </w:t>
      </w:r>
    </w:p>
    <w:p w14:paraId="06D4AEC9" w14:textId="77777777" w:rsidR="00886A3C" w:rsidRPr="00856FAD" w:rsidRDefault="00886A3C" w:rsidP="00886A3C">
      <w:pPr>
        <w:spacing w:after="0" w:line="240" w:lineRule="auto"/>
        <w:jc w:val="both"/>
        <w:rPr>
          <w:rFonts w:ascii="Times New Roman" w:hAnsi="Times New Roman" w:cs="Times New Roman"/>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
        <w:gridCol w:w="1851"/>
        <w:gridCol w:w="1050"/>
        <w:gridCol w:w="969"/>
        <w:gridCol w:w="818"/>
        <w:gridCol w:w="838"/>
        <w:gridCol w:w="967"/>
        <w:gridCol w:w="1086"/>
        <w:gridCol w:w="1088"/>
      </w:tblGrid>
      <w:tr w:rsidR="00886A3C" w:rsidRPr="001571EF" w14:paraId="5481A436" w14:textId="77777777" w:rsidTr="00886A3C">
        <w:trPr>
          <w:trHeight w:val="432"/>
          <w:tblHeader/>
          <w:jc w:val="center"/>
        </w:trPr>
        <w:tc>
          <w:tcPr>
            <w:tcW w:w="213" w:type="pct"/>
            <w:shd w:val="clear" w:color="auto" w:fill="D9D9D9"/>
            <w:vAlign w:val="center"/>
          </w:tcPr>
          <w:p w14:paraId="2841FF48"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rPr>
            </w:pPr>
            <w:r w:rsidRPr="004A0BC9">
              <w:rPr>
                <w:rFonts w:ascii="Times New Roman" w:hAnsi="Times New Roman" w:cs="Times New Roman"/>
                <w:b/>
                <w:color w:val="000000"/>
                <w:lang w:val="fr-FR"/>
              </w:rPr>
              <w:t>N</w:t>
            </w:r>
            <w:r w:rsidRPr="009C0DA2">
              <w:rPr>
                <w:rFonts w:ascii="Times New Roman" w:hAnsi="Times New Roman" w:cs="Times New Roman"/>
                <w:b/>
                <w:color w:val="000000"/>
                <w:vertAlign w:val="superscript"/>
                <w:lang w:val="fr-FR"/>
              </w:rPr>
              <w:t>o</w:t>
            </w:r>
          </w:p>
        </w:tc>
        <w:tc>
          <w:tcPr>
            <w:tcW w:w="1022" w:type="pct"/>
            <w:shd w:val="clear" w:color="auto" w:fill="D9D9D9"/>
            <w:vAlign w:val="center"/>
          </w:tcPr>
          <w:p w14:paraId="06EB31B8"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textAlignment w:val="baseline"/>
              <w:outlineLvl w:val="3"/>
              <w:rPr>
                <w:rFonts w:ascii="Times New Roman" w:hAnsi="Times New Roman" w:cs="Times New Roman"/>
                <w:b/>
                <w:color w:val="000000"/>
              </w:rPr>
            </w:pPr>
            <w:r w:rsidRPr="004A0BC9">
              <w:rPr>
                <w:rFonts w:ascii="Times New Roman" w:hAnsi="Times New Roman" w:cs="Times New Roman"/>
                <w:b/>
                <w:color w:val="000000"/>
                <w:lang w:val="fr-FR"/>
              </w:rPr>
              <w:t>Populations</w:t>
            </w:r>
          </w:p>
        </w:tc>
        <w:tc>
          <w:tcPr>
            <w:tcW w:w="580" w:type="pct"/>
            <w:shd w:val="clear" w:color="auto" w:fill="D9D9D9"/>
            <w:vAlign w:val="center"/>
          </w:tcPr>
          <w:p w14:paraId="07DF1B0A"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rPr>
            </w:pPr>
            <w:r w:rsidRPr="004A0BC9">
              <w:rPr>
                <w:rFonts w:ascii="Times New Roman" w:hAnsi="Times New Roman" w:cs="Times New Roman"/>
                <w:b/>
                <w:color w:val="000000"/>
                <w:lang w:val="fr-FR"/>
              </w:rPr>
              <w:t>Colonne</w:t>
            </w:r>
            <w:r>
              <w:rPr>
                <w:rFonts w:ascii="Times New Roman" w:hAnsi="Times New Roman" w:cs="Times New Roman"/>
                <w:b/>
                <w:color w:val="000000"/>
                <w:lang w:val="fr-FR"/>
              </w:rPr>
              <w:t> </w:t>
            </w:r>
            <w:r w:rsidRPr="004A0BC9">
              <w:rPr>
                <w:rFonts w:ascii="Times New Roman" w:hAnsi="Times New Roman" w:cs="Times New Roman"/>
                <w:b/>
                <w:color w:val="000000"/>
                <w:lang w:val="fr-FR"/>
              </w:rPr>
              <w:t>A</w:t>
            </w:r>
          </w:p>
        </w:tc>
        <w:tc>
          <w:tcPr>
            <w:tcW w:w="535" w:type="pct"/>
            <w:shd w:val="clear" w:color="auto" w:fill="D9D9D9"/>
            <w:vAlign w:val="center"/>
          </w:tcPr>
          <w:p w14:paraId="151D152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4A0BC9">
              <w:rPr>
                <w:rFonts w:ascii="Times New Roman" w:hAnsi="Times New Roman" w:cs="Times New Roman"/>
                <w:b/>
                <w:color w:val="000000"/>
                <w:spacing w:val="-2"/>
                <w:lang w:val="fr-FR"/>
              </w:rPr>
              <w:t>Colonne B</w:t>
            </w:r>
          </w:p>
        </w:tc>
        <w:tc>
          <w:tcPr>
            <w:tcW w:w="452" w:type="pct"/>
            <w:shd w:val="clear" w:color="auto" w:fill="D9D9D9"/>
            <w:vAlign w:val="center"/>
          </w:tcPr>
          <w:p w14:paraId="1DAAC78F" w14:textId="77777777" w:rsidR="00886A3C"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lang w:val="fr-FR"/>
              </w:rPr>
            </w:pPr>
            <w:r w:rsidRPr="004A0BC9">
              <w:rPr>
                <w:rFonts w:ascii="Times New Roman" w:hAnsi="Times New Roman" w:cs="Times New Roman"/>
                <w:b/>
                <w:color w:val="000000"/>
                <w:spacing w:val="-2"/>
                <w:lang w:val="fr-FR"/>
              </w:rPr>
              <w:t>Colonne</w:t>
            </w:r>
          </w:p>
          <w:p w14:paraId="17C0DCFF" w14:textId="3BB68D52"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4A0BC9">
              <w:rPr>
                <w:rFonts w:ascii="Times New Roman" w:hAnsi="Times New Roman" w:cs="Times New Roman"/>
                <w:b/>
                <w:color w:val="000000"/>
                <w:spacing w:val="-2"/>
                <w:lang w:val="fr-FR"/>
              </w:rPr>
              <w:t> C</w:t>
            </w:r>
          </w:p>
        </w:tc>
        <w:tc>
          <w:tcPr>
            <w:tcW w:w="463" w:type="pct"/>
            <w:shd w:val="clear" w:color="auto" w:fill="D9D9D9"/>
            <w:vAlign w:val="center"/>
          </w:tcPr>
          <w:p w14:paraId="5CEAF1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4A0BC9">
              <w:rPr>
                <w:rFonts w:ascii="Times New Roman" w:hAnsi="Times New Roman" w:cs="Times New Roman"/>
                <w:b/>
                <w:color w:val="000000"/>
                <w:spacing w:val="-2"/>
                <w:lang w:val="fr-FR"/>
              </w:rPr>
              <w:t>Liste rouge</w:t>
            </w:r>
          </w:p>
        </w:tc>
        <w:tc>
          <w:tcPr>
            <w:tcW w:w="534" w:type="pct"/>
            <w:shd w:val="clear" w:color="auto" w:fill="D9D9D9"/>
            <w:vAlign w:val="center"/>
          </w:tcPr>
          <w:p w14:paraId="3C2FB9A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4A0BC9">
              <w:rPr>
                <w:rFonts w:ascii="Times New Roman" w:hAnsi="Times New Roman" w:cs="Times New Roman"/>
                <w:b/>
                <w:color w:val="000000"/>
                <w:spacing w:val="-2"/>
                <w:lang w:val="fr-FR"/>
              </w:rPr>
              <w:t>Taille pop.</w:t>
            </w:r>
          </w:p>
        </w:tc>
        <w:tc>
          <w:tcPr>
            <w:tcW w:w="599" w:type="pct"/>
            <w:shd w:val="clear" w:color="auto" w:fill="D9D9D9"/>
            <w:vAlign w:val="center"/>
          </w:tcPr>
          <w:p w14:paraId="072EBD76" w14:textId="1FD401AD" w:rsidR="00886A3C"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lang w:val="fr-FR"/>
              </w:rPr>
            </w:pPr>
            <w:r w:rsidRPr="004A0BC9">
              <w:rPr>
                <w:rFonts w:ascii="Times New Roman" w:hAnsi="Times New Roman" w:cs="Times New Roman"/>
                <w:b/>
                <w:color w:val="000000"/>
                <w:spacing w:val="-2"/>
                <w:lang w:val="fr-FR"/>
              </w:rPr>
              <w:t>Tendan</w:t>
            </w:r>
            <w:r>
              <w:rPr>
                <w:rFonts w:ascii="Times New Roman" w:hAnsi="Times New Roman" w:cs="Times New Roman"/>
                <w:b/>
                <w:color w:val="000000"/>
                <w:spacing w:val="-2"/>
                <w:lang w:val="fr-FR"/>
              </w:rPr>
              <w:t>-</w:t>
            </w:r>
            <w:r w:rsidRPr="004A0BC9">
              <w:rPr>
                <w:rFonts w:ascii="Times New Roman" w:hAnsi="Times New Roman" w:cs="Times New Roman"/>
                <w:b/>
                <w:color w:val="000000"/>
                <w:spacing w:val="-2"/>
                <w:lang w:val="fr-FR"/>
              </w:rPr>
              <w:t>ce</w:t>
            </w:r>
          </w:p>
          <w:p w14:paraId="0DF1FB49" w14:textId="27270ABF"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4A0BC9">
              <w:rPr>
                <w:rFonts w:ascii="Times New Roman" w:hAnsi="Times New Roman" w:cs="Times New Roman"/>
                <w:b/>
                <w:color w:val="000000"/>
                <w:spacing w:val="-2"/>
                <w:lang w:val="fr-FR"/>
              </w:rPr>
              <w:t xml:space="preserve"> pop.</w:t>
            </w:r>
          </w:p>
        </w:tc>
        <w:tc>
          <w:tcPr>
            <w:tcW w:w="602" w:type="pct"/>
            <w:shd w:val="clear" w:color="auto" w:fill="D9D9D9"/>
            <w:vAlign w:val="center"/>
          </w:tcPr>
          <w:p w14:paraId="1741DB2A" w14:textId="23511DD8"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4A0BC9">
              <w:rPr>
                <w:rFonts w:ascii="Times New Roman" w:hAnsi="Times New Roman" w:cs="Times New Roman"/>
                <w:b/>
                <w:color w:val="000000"/>
                <w:spacing w:val="-2"/>
                <w:lang w:val="fr-FR"/>
              </w:rPr>
              <w:t>Change</w:t>
            </w:r>
            <w:r>
              <w:rPr>
                <w:rFonts w:ascii="Times New Roman" w:hAnsi="Times New Roman" w:cs="Times New Roman"/>
                <w:b/>
                <w:color w:val="000000"/>
                <w:spacing w:val="-2"/>
                <w:lang w:val="fr-FR"/>
              </w:rPr>
              <w:t>-</w:t>
            </w:r>
            <w:r w:rsidRPr="004A0BC9">
              <w:rPr>
                <w:rFonts w:ascii="Times New Roman" w:hAnsi="Times New Roman" w:cs="Times New Roman"/>
                <w:b/>
                <w:color w:val="000000"/>
                <w:spacing w:val="-2"/>
                <w:lang w:val="fr-FR"/>
              </w:rPr>
              <w:t>ment clima</w:t>
            </w:r>
            <w:r>
              <w:rPr>
                <w:rFonts w:ascii="Times New Roman" w:hAnsi="Times New Roman" w:cs="Times New Roman"/>
                <w:b/>
                <w:color w:val="000000"/>
                <w:spacing w:val="-2"/>
                <w:lang w:val="fr-FR"/>
              </w:rPr>
              <w:t>-</w:t>
            </w:r>
            <w:r w:rsidRPr="004A0BC9">
              <w:rPr>
                <w:rFonts w:ascii="Times New Roman" w:hAnsi="Times New Roman" w:cs="Times New Roman"/>
                <w:b/>
                <w:color w:val="000000"/>
                <w:spacing w:val="-2"/>
                <w:lang w:val="fr-FR"/>
              </w:rPr>
              <w:t>tique</w:t>
            </w:r>
          </w:p>
        </w:tc>
      </w:tr>
      <w:tr w:rsidR="00886A3C" w:rsidRPr="001571EF" w14:paraId="7B1C2EEF" w14:textId="77777777" w:rsidTr="00886A3C">
        <w:trPr>
          <w:trHeight w:val="20"/>
          <w:jc w:val="center"/>
        </w:trPr>
        <w:tc>
          <w:tcPr>
            <w:tcW w:w="213" w:type="pct"/>
            <w:tcBorders>
              <w:bottom w:val="single" w:sz="6" w:space="0" w:color="auto"/>
            </w:tcBorders>
          </w:tcPr>
          <w:p w14:paraId="0C85902D"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b/>
                <w:i/>
                <w:color w:val="000000"/>
              </w:rPr>
            </w:pPr>
          </w:p>
        </w:tc>
        <w:tc>
          <w:tcPr>
            <w:tcW w:w="1022" w:type="pct"/>
            <w:tcBorders>
              <w:bottom w:val="single" w:sz="6" w:space="0" w:color="auto"/>
            </w:tcBorders>
          </w:tcPr>
          <w:p w14:paraId="7AF8B8AE"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textAlignment w:val="baseline"/>
              <w:outlineLvl w:val="3"/>
              <w:rPr>
                <w:rFonts w:ascii="Times New Roman" w:hAnsi="Times New Roman" w:cs="Times New Roman"/>
                <w:b/>
                <w:i/>
                <w:color w:val="000000"/>
              </w:rPr>
            </w:pPr>
          </w:p>
        </w:tc>
        <w:tc>
          <w:tcPr>
            <w:tcW w:w="580" w:type="pct"/>
            <w:tcBorders>
              <w:bottom w:val="single" w:sz="6" w:space="0" w:color="auto"/>
            </w:tcBorders>
            <w:shd w:val="clear" w:color="auto" w:fill="auto"/>
          </w:tcPr>
          <w:p w14:paraId="32D1DD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tcBorders>
              <w:bottom w:val="single" w:sz="6" w:space="0" w:color="auto"/>
            </w:tcBorders>
            <w:shd w:val="clear" w:color="auto" w:fill="auto"/>
          </w:tcPr>
          <w:p w14:paraId="381C0BE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2700A3F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5E9FCD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tcPr>
          <w:p w14:paraId="33AC76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Borders>
              <w:bottom w:val="single" w:sz="6" w:space="0" w:color="auto"/>
            </w:tcBorders>
          </w:tcPr>
          <w:p w14:paraId="7A54D3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Borders>
              <w:bottom w:val="single" w:sz="6" w:space="0" w:color="auto"/>
            </w:tcBorders>
          </w:tcPr>
          <w:p w14:paraId="232FC81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CE9C811" w14:textId="77777777" w:rsidTr="00886A3C">
        <w:trPr>
          <w:trHeight w:val="20"/>
          <w:jc w:val="center"/>
        </w:trPr>
        <w:tc>
          <w:tcPr>
            <w:tcW w:w="213" w:type="pct"/>
            <w:shd w:val="clear" w:color="auto" w:fill="FF9999"/>
          </w:tcPr>
          <w:p w14:paraId="03418E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9999"/>
          </w:tcPr>
          <w:p w14:paraId="05027C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Phalacrocorax neglectus</w:t>
            </w:r>
          </w:p>
        </w:tc>
        <w:tc>
          <w:tcPr>
            <w:tcW w:w="580" w:type="pct"/>
            <w:shd w:val="clear" w:color="auto" w:fill="FF9999"/>
          </w:tcPr>
          <w:p w14:paraId="4B716F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9999"/>
          </w:tcPr>
          <w:p w14:paraId="59C745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9999"/>
          </w:tcPr>
          <w:p w14:paraId="4CC562A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9999"/>
          </w:tcPr>
          <w:p w14:paraId="4B65C43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EN</w:t>
            </w:r>
          </w:p>
        </w:tc>
        <w:tc>
          <w:tcPr>
            <w:tcW w:w="533" w:type="pct"/>
            <w:shd w:val="clear" w:color="auto" w:fill="FF9999"/>
          </w:tcPr>
          <w:p w14:paraId="1A24F9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9999"/>
          </w:tcPr>
          <w:p w14:paraId="178656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9999"/>
          </w:tcPr>
          <w:p w14:paraId="17C2F2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8B5789A" w14:textId="77777777" w:rsidTr="00886A3C">
        <w:trPr>
          <w:trHeight w:val="20"/>
          <w:jc w:val="center"/>
        </w:trPr>
        <w:tc>
          <w:tcPr>
            <w:tcW w:w="213" w:type="pct"/>
            <w:tcBorders>
              <w:bottom w:val="single" w:sz="6" w:space="0" w:color="auto"/>
            </w:tcBorders>
            <w:shd w:val="clear" w:color="auto" w:fill="FF9999"/>
          </w:tcPr>
          <w:p w14:paraId="1FACF7F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1022" w:type="pct"/>
            <w:tcBorders>
              <w:bottom w:val="single" w:sz="6" w:space="0" w:color="auto"/>
            </w:tcBorders>
            <w:shd w:val="clear" w:color="auto" w:fill="FF9999"/>
          </w:tcPr>
          <w:p w14:paraId="49B26726"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4A0BC9">
              <w:rPr>
                <w:rFonts w:ascii="Times New Roman" w:hAnsi="Times New Roman"/>
                <w:color w:val="000000"/>
                <w:spacing w:val="-2"/>
                <w:lang w:val="fr-FR"/>
              </w:rPr>
              <w:t>Littoral de l</w:t>
            </w:r>
            <w:r>
              <w:rPr>
                <w:rFonts w:ascii="Times New Roman" w:hAnsi="Times New Roman"/>
                <w:color w:val="000000"/>
                <w:spacing w:val="-2"/>
                <w:lang w:val="fr-FR"/>
              </w:rPr>
              <w:t>’</w:t>
            </w:r>
            <w:r w:rsidRPr="004A0BC9">
              <w:rPr>
                <w:rFonts w:ascii="Times New Roman" w:hAnsi="Times New Roman"/>
                <w:color w:val="000000"/>
                <w:spacing w:val="-2"/>
                <w:lang w:val="fr-FR"/>
              </w:rPr>
              <w:t>Afrique du Sud-Ouest</w:t>
            </w:r>
          </w:p>
        </w:tc>
        <w:tc>
          <w:tcPr>
            <w:tcW w:w="580" w:type="pct"/>
            <w:tcBorders>
              <w:bottom w:val="single" w:sz="6" w:space="0" w:color="auto"/>
            </w:tcBorders>
            <w:shd w:val="clear" w:color="auto" w:fill="FF9999"/>
          </w:tcPr>
          <w:p w14:paraId="5C2BE6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4A0BC9">
              <w:rPr>
                <w:rFonts w:ascii="Times New Roman" w:hAnsi="Times New Roman" w:cs="Times New Roman"/>
                <w:color w:val="000000"/>
                <w:spacing w:val="-2"/>
                <w:lang w:val="fr-FR"/>
              </w:rPr>
              <w:t>2</w:t>
            </w:r>
          </w:p>
        </w:tc>
        <w:tc>
          <w:tcPr>
            <w:tcW w:w="535" w:type="pct"/>
            <w:tcBorders>
              <w:bottom w:val="single" w:sz="6" w:space="0" w:color="auto"/>
            </w:tcBorders>
            <w:shd w:val="clear" w:color="auto" w:fill="FF9999"/>
          </w:tcPr>
          <w:p w14:paraId="1B2986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FF9999"/>
          </w:tcPr>
          <w:p w14:paraId="230905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shd w:val="clear" w:color="auto" w:fill="FF9999"/>
          </w:tcPr>
          <w:p w14:paraId="2C24083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shd w:val="clear" w:color="auto" w:fill="FF9999"/>
          </w:tcPr>
          <w:p w14:paraId="7D5BF9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11</w:t>
            </w:r>
            <w:r>
              <w:rPr>
                <w:rFonts w:ascii="Times New Roman" w:hAnsi="Times New Roman" w:cs="Times New Roman"/>
                <w:color w:val="000000"/>
                <w:spacing w:val="-2"/>
              </w:rPr>
              <w:t> </w:t>
            </w:r>
            <w:r w:rsidRPr="001571EF">
              <w:rPr>
                <w:rFonts w:ascii="Times New Roman" w:hAnsi="Times New Roman" w:cs="Times New Roman"/>
                <w:color w:val="000000"/>
                <w:spacing w:val="-2"/>
              </w:rPr>
              <w:t>100</w:t>
            </w:r>
          </w:p>
        </w:tc>
        <w:tc>
          <w:tcPr>
            <w:tcW w:w="600" w:type="pct"/>
            <w:tcBorders>
              <w:bottom w:val="single" w:sz="6" w:space="0" w:color="auto"/>
            </w:tcBorders>
            <w:shd w:val="clear" w:color="auto" w:fill="FF9999"/>
          </w:tcPr>
          <w:p w14:paraId="4C74F8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tcBorders>
              <w:bottom w:val="single" w:sz="6" w:space="0" w:color="auto"/>
            </w:tcBorders>
            <w:shd w:val="clear" w:color="auto" w:fill="FF9999"/>
          </w:tcPr>
          <w:p w14:paraId="3E680C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Élevée</w:t>
            </w:r>
          </w:p>
        </w:tc>
      </w:tr>
      <w:tr w:rsidR="00886A3C" w:rsidRPr="001571EF" w14:paraId="330DED2A" w14:textId="77777777" w:rsidTr="00886A3C">
        <w:trPr>
          <w:trHeight w:val="20"/>
          <w:jc w:val="center"/>
        </w:trPr>
        <w:tc>
          <w:tcPr>
            <w:tcW w:w="213" w:type="pct"/>
            <w:shd w:val="clear" w:color="auto" w:fill="FF9999"/>
          </w:tcPr>
          <w:p w14:paraId="24E0727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9999"/>
          </w:tcPr>
          <w:p w14:paraId="5193A3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4A0BC9">
              <w:rPr>
                <w:rFonts w:ascii="Times New Roman" w:hAnsi="Times New Roman" w:cs="Times New Roman"/>
                <w:i/>
                <w:color w:val="000000"/>
                <w:spacing w:val="-2"/>
                <w:lang w:val="fr-FR"/>
              </w:rPr>
              <w:t>Spheniscus demersus</w:t>
            </w:r>
          </w:p>
        </w:tc>
        <w:tc>
          <w:tcPr>
            <w:tcW w:w="580" w:type="pct"/>
            <w:shd w:val="clear" w:color="auto" w:fill="FF9999"/>
          </w:tcPr>
          <w:p w14:paraId="27E344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9999"/>
          </w:tcPr>
          <w:p w14:paraId="54D70C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9999"/>
          </w:tcPr>
          <w:p w14:paraId="58FC599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9999"/>
          </w:tcPr>
          <w:p w14:paraId="6405FE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EN</w:t>
            </w:r>
          </w:p>
        </w:tc>
        <w:tc>
          <w:tcPr>
            <w:tcW w:w="533" w:type="pct"/>
            <w:shd w:val="clear" w:color="auto" w:fill="FF9999"/>
          </w:tcPr>
          <w:p w14:paraId="54F6C1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9999"/>
          </w:tcPr>
          <w:p w14:paraId="1957E7B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9999"/>
          </w:tcPr>
          <w:p w14:paraId="5C61E7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1D669A4" w14:textId="77777777" w:rsidTr="00886A3C">
        <w:trPr>
          <w:trHeight w:val="20"/>
          <w:jc w:val="center"/>
        </w:trPr>
        <w:tc>
          <w:tcPr>
            <w:tcW w:w="213" w:type="pct"/>
            <w:shd w:val="clear" w:color="auto" w:fill="FF9999"/>
          </w:tcPr>
          <w:p w14:paraId="385041B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022" w:type="pct"/>
            <w:shd w:val="clear" w:color="auto" w:fill="FF9999"/>
          </w:tcPr>
          <w:p w14:paraId="79F510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A0BC9">
              <w:rPr>
                <w:rFonts w:ascii="Times New Roman" w:hAnsi="Times New Roman" w:cs="Times New Roman"/>
                <w:color w:val="000000"/>
                <w:spacing w:val="-2"/>
                <w:lang w:val="fr-FR"/>
              </w:rPr>
              <w:t>Afrique australe</w:t>
            </w:r>
          </w:p>
        </w:tc>
        <w:tc>
          <w:tcPr>
            <w:tcW w:w="580" w:type="pct"/>
            <w:shd w:val="clear" w:color="auto" w:fill="FF9999"/>
          </w:tcPr>
          <w:p w14:paraId="49889E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1b</w:t>
            </w:r>
          </w:p>
        </w:tc>
        <w:tc>
          <w:tcPr>
            <w:tcW w:w="535" w:type="pct"/>
            <w:shd w:val="clear" w:color="auto" w:fill="FF9999"/>
          </w:tcPr>
          <w:p w14:paraId="192C03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2a 2c</w:t>
            </w:r>
          </w:p>
        </w:tc>
        <w:tc>
          <w:tcPr>
            <w:tcW w:w="452" w:type="pct"/>
            <w:shd w:val="clear" w:color="auto" w:fill="FF9999"/>
          </w:tcPr>
          <w:p w14:paraId="489E51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9999"/>
          </w:tcPr>
          <w:p w14:paraId="7CB0C3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9999"/>
          </w:tcPr>
          <w:p w14:paraId="244AC04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180</w:t>
            </w:r>
            <w:r>
              <w:rPr>
                <w:rFonts w:ascii="Times New Roman" w:hAnsi="Times New Roman" w:cs="Times New Roman"/>
                <w:color w:val="000000"/>
                <w:spacing w:val="-2"/>
              </w:rPr>
              <w:t> </w:t>
            </w:r>
            <w:r w:rsidRPr="001571EF">
              <w:rPr>
                <w:rFonts w:ascii="Times New Roman" w:hAnsi="Times New Roman" w:cs="Times New Roman"/>
                <w:color w:val="000000"/>
                <w:spacing w:val="-2"/>
              </w:rPr>
              <w:t>000</w:t>
            </w:r>
          </w:p>
        </w:tc>
        <w:tc>
          <w:tcPr>
            <w:tcW w:w="600" w:type="pct"/>
            <w:shd w:val="clear" w:color="auto" w:fill="FF9999"/>
          </w:tcPr>
          <w:p w14:paraId="62C040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9999"/>
          </w:tcPr>
          <w:p w14:paraId="046F03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Moyenne</w:t>
            </w:r>
          </w:p>
        </w:tc>
      </w:tr>
      <w:tr w:rsidR="00886A3C" w:rsidRPr="001571EF" w14:paraId="72BD282C" w14:textId="77777777" w:rsidTr="00886A3C">
        <w:trPr>
          <w:trHeight w:val="20"/>
          <w:jc w:val="center"/>
        </w:trPr>
        <w:tc>
          <w:tcPr>
            <w:tcW w:w="213" w:type="pct"/>
            <w:shd w:val="clear" w:color="auto" w:fill="FF9999"/>
          </w:tcPr>
          <w:p w14:paraId="099F7B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9999"/>
          </w:tcPr>
          <w:p w14:paraId="4659EBB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Melanitta fusca fusca</w:t>
            </w:r>
            <w:r w:rsidRPr="004A0BC9">
              <w:rPr>
                <w:rStyle w:val="FootnoteReference"/>
                <w:rFonts w:ascii="Times New Roman" w:hAnsi="Times New Roman" w:cs="Times New Roman"/>
                <w:i/>
                <w:color w:val="000000"/>
                <w:spacing w:val="-2"/>
                <w:lang w:val="fr-FR"/>
              </w:rPr>
              <w:footnoteReference w:id="12"/>
            </w:r>
          </w:p>
        </w:tc>
        <w:tc>
          <w:tcPr>
            <w:tcW w:w="580" w:type="pct"/>
            <w:shd w:val="clear" w:color="auto" w:fill="FF9999"/>
          </w:tcPr>
          <w:p w14:paraId="02B52D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9999"/>
          </w:tcPr>
          <w:p w14:paraId="7B8CC2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2" w:type="pct"/>
            <w:shd w:val="clear" w:color="auto" w:fill="FF9999"/>
          </w:tcPr>
          <w:p w14:paraId="6204FC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9999"/>
          </w:tcPr>
          <w:p w14:paraId="744DFC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EN</w:t>
            </w:r>
          </w:p>
        </w:tc>
        <w:tc>
          <w:tcPr>
            <w:tcW w:w="533" w:type="pct"/>
            <w:shd w:val="clear" w:color="auto" w:fill="FF9999"/>
          </w:tcPr>
          <w:p w14:paraId="6EDC2E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9999"/>
          </w:tcPr>
          <w:p w14:paraId="0FDFEFF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9999"/>
          </w:tcPr>
          <w:p w14:paraId="1D0563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77467BD" w14:textId="77777777" w:rsidTr="00886A3C">
        <w:trPr>
          <w:trHeight w:val="20"/>
          <w:jc w:val="center"/>
        </w:trPr>
        <w:tc>
          <w:tcPr>
            <w:tcW w:w="213" w:type="pct"/>
            <w:shd w:val="clear" w:color="auto" w:fill="FF9999"/>
          </w:tcPr>
          <w:p w14:paraId="5DBB1A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w:t>
            </w:r>
          </w:p>
        </w:tc>
        <w:tc>
          <w:tcPr>
            <w:tcW w:w="1022" w:type="pct"/>
            <w:shd w:val="clear" w:color="auto" w:fill="FF9999"/>
          </w:tcPr>
          <w:p w14:paraId="6DEE6D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A0BC9">
              <w:rPr>
                <w:rFonts w:ascii="Times New Roman" w:hAnsi="Times New Roman" w:cs="Times New Roman"/>
                <w:color w:val="000000"/>
                <w:spacing w:val="-2"/>
                <w:lang w:val="fr-FR"/>
              </w:rPr>
              <w:t>Mer noire &amp; Caspienne</w:t>
            </w:r>
          </w:p>
        </w:tc>
        <w:tc>
          <w:tcPr>
            <w:tcW w:w="580" w:type="pct"/>
            <w:shd w:val="clear" w:color="auto" w:fill="FF9999"/>
          </w:tcPr>
          <w:p w14:paraId="6EE2DEF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1c</w:t>
            </w:r>
          </w:p>
        </w:tc>
        <w:tc>
          <w:tcPr>
            <w:tcW w:w="535" w:type="pct"/>
            <w:shd w:val="clear" w:color="auto" w:fill="FF9999"/>
          </w:tcPr>
          <w:p w14:paraId="109056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9999"/>
          </w:tcPr>
          <w:p w14:paraId="0C57976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9999"/>
          </w:tcPr>
          <w:p w14:paraId="175755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9999"/>
          </w:tcPr>
          <w:p w14:paraId="0C8A4DB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r>
              <w:rPr>
                <w:rFonts w:ascii="Times New Roman" w:hAnsi="Times New Roman" w:cs="Times New Roman"/>
                <w:color w:val="000000"/>
                <w:spacing w:val="-2"/>
              </w:rPr>
              <w:t> </w:t>
            </w:r>
            <w:r w:rsidRPr="001571EF">
              <w:rPr>
                <w:rFonts w:ascii="Times New Roman" w:hAnsi="Times New Roman" w:cs="Times New Roman"/>
                <w:color w:val="000000"/>
                <w:spacing w:val="-2"/>
              </w:rPr>
              <w:t>500</w:t>
            </w:r>
          </w:p>
        </w:tc>
        <w:tc>
          <w:tcPr>
            <w:tcW w:w="600" w:type="pct"/>
            <w:shd w:val="clear" w:color="auto" w:fill="FF9999"/>
          </w:tcPr>
          <w:p w14:paraId="30D301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Inconnue</w:t>
            </w:r>
          </w:p>
        </w:tc>
        <w:tc>
          <w:tcPr>
            <w:tcW w:w="602" w:type="pct"/>
            <w:shd w:val="clear" w:color="auto" w:fill="FF9999"/>
          </w:tcPr>
          <w:p w14:paraId="29F502A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Élevée</w:t>
            </w:r>
          </w:p>
        </w:tc>
      </w:tr>
      <w:tr w:rsidR="00886A3C" w:rsidRPr="001571EF" w14:paraId="7D14E1DD" w14:textId="77777777" w:rsidTr="00886A3C">
        <w:trPr>
          <w:trHeight w:val="20"/>
          <w:jc w:val="center"/>
        </w:trPr>
        <w:tc>
          <w:tcPr>
            <w:tcW w:w="213" w:type="pct"/>
            <w:tcBorders>
              <w:bottom w:val="single" w:sz="6" w:space="0" w:color="auto"/>
            </w:tcBorders>
          </w:tcPr>
          <w:p w14:paraId="07BC7CAE" w14:textId="77777777" w:rsidR="00886A3C" w:rsidRPr="001571EF" w:rsidRDefault="00886A3C" w:rsidP="00886A3C">
            <w:pPr>
              <w:keepNext/>
              <w:widowControl w:val="0"/>
              <w:tabs>
                <w:tab w:val="left" w:pos="578"/>
                <w:tab w:val="left" w:pos="1157"/>
                <w:tab w:val="left" w:pos="1735"/>
              </w:tabs>
              <w:overflowPunct w:val="0"/>
              <w:autoSpaceDE w:val="0"/>
              <w:autoSpaceDN w:val="0"/>
              <w:adjustRightInd w:val="0"/>
              <w:spacing w:after="0" w:line="240" w:lineRule="auto"/>
              <w:jc w:val="center"/>
              <w:textAlignment w:val="baseline"/>
              <w:outlineLvl w:val="4"/>
              <w:rPr>
                <w:rFonts w:ascii="Times New Roman" w:hAnsi="Times New Roman" w:cs="Times New Roman"/>
                <w:b/>
                <w:color w:val="000000"/>
                <w:kern w:val="14"/>
              </w:rPr>
            </w:pPr>
          </w:p>
        </w:tc>
        <w:tc>
          <w:tcPr>
            <w:tcW w:w="1022" w:type="pct"/>
            <w:tcBorders>
              <w:bottom w:val="single" w:sz="6" w:space="0" w:color="auto"/>
            </w:tcBorders>
          </w:tcPr>
          <w:p w14:paraId="6507C978" w14:textId="77777777" w:rsidR="00886A3C" w:rsidRPr="001571EF" w:rsidRDefault="00886A3C" w:rsidP="00886A3C">
            <w:pPr>
              <w:keepNext/>
              <w:widowControl w:val="0"/>
              <w:tabs>
                <w:tab w:val="left" w:pos="578"/>
                <w:tab w:val="left" w:pos="1157"/>
                <w:tab w:val="left" w:pos="1735"/>
              </w:tabs>
              <w:overflowPunct w:val="0"/>
              <w:autoSpaceDE w:val="0"/>
              <w:autoSpaceDN w:val="0"/>
              <w:adjustRightInd w:val="0"/>
              <w:spacing w:after="0" w:line="240" w:lineRule="auto"/>
              <w:textAlignment w:val="baseline"/>
              <w:outlineLvl w:val="4"/>
              <w:rPr>
                <w:rFonts w:ascii="Times New Roman" w:hAnsi="Times New Roman" w:cs="Times New Roman"/>
                <w:b/>
                <w:color w:val="000000"/>
                <w:kern w:val="14"/>
              </w:rPr>
            </w:pPr>
          </w:p>
        </w:tc>
        <w:tc>
          <w:tcPr>
            <w:tcW w:w="580" w:type="pct"/>
            <w:tcBorders>
              <w:bottom w:val="single" w:sz="6" w:space="0" w:color="auto"/>
            </w:tcBorders>
            <w:shd w:val="clear" w:color="auto" w:fill="auto"/>
          </w:tcPr>
          <w:p w14:paraId="76C8EB8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tcBorders>
              <w:bottom w:val="single" w:sz="6" w:space="0" w:color="auto"/>
            </w:tcBorders>
            <w:shd w:val="clear" w:color="auto" w:fill="auto"/>
          </w:tcPr>
          <w:p w14:paraId="1500088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3D5350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403A65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tcPr>
          <w:p w14:paraId="1B5DF03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Borders>
              <w:bottom w:val="single" w:sz="6" w:space="0" w:color="auto"/>
            </w:tcBorders>
          </w:tcPr>
          <w:p w14:paraId="7DD5E8D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Borders>
              <w:bottom w:val="single" w:sz="6" w:space="0" w:color="auto"/>
            </w:tcBorders>
          </w:tcPr>
          <w:p w14:paraId="12525F0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2F660D4" w14:textId="77777777" w:rsidTr="00886A3C">
        <w:trPr>
          <w:trHeight w:val="20"/>
          <w:jc w:val="center"/>
        </w:trPr>
        <w:tc>
          <w:tcPr>
            <w:tcW w:w="213" w:type="pct"/>
            <w:shd w:val="clear" w:color="auto" w:fill="FFCC66"/>
          </w:tcPr>
          <w:p w14:paraId="2529D65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510FC5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Marmaronetta angustirostris</w:t>
            </w:r>
          </w:p>
        </w:tc>
        <w:tc>
          <w:tcPr>
            <w:tcW w:w="580" w:type="pct"/>
            <w:shd w:val="clear" w:color="auto" w:fill="FFCC66"/>
          </w:tcPr>
          <w:p w14:paraId="650B604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007A62D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722E5E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77F399E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5764CE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5148324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59BEAC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38E91D7" w14:textId="77777777" w:rsidTr="00886A3C">
        <w:trPr>
          <w:trHeight w:val="20"/>
          <w:jc w:val="center"/>
        </w:trPr>
        <w:tc>
          <w:tcPr>
            <w:tcW w:w="213" w:type="pct"/>
            <w:shd w:val="clear" w:color="auto" w:fill="FFCC66"/>
          </w:tcPr>
          <w:p w14:paraId="40ED4A0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022" w:type="pct"/>
            <w:shd w:val="clear" w:color="auto" w:fill="FFCC66"/>
          </w:tcPr>
          <w:p w14:paraId="6A3DE4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A0BC9">
              <w:rPr>
                <w:rFonts w:ascii="Times New Roman" w:hAnsi="Times New Roman" w:cs="Times New Roman"/>
                <w:color w:val="000000"/>
                <w:spacing w:val="-2"/>
                <w:lang w:val="fr-FR"/>
              </w:rPr>
              <w:t>Méditerranée orientale</w:t>
            </w:r>
            <w:r w:rsidRPr="001571EF">
              <w:rPr>
                <w:rFonts w:ascii="Times New Roman" w:hAnsi="Times New Roman" w:cs="Times New Roman"/>
                <w:color w:val="000000"/>
                <w:spacing w:val="-2"/>
              </w:rPr>
              <w:tab/>
            </w:r>
          </w:p>
        </w:tc>
        <w:tc>
          <w:tcPr>
            <w:tcW w:w="580" w:type="pct"/>
            <w:shd w:val="clear" w:color="auto" w:fill="FFCC66"/>
          </w:tcPr>
          <w:p w14:paraId="63704F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1a 1b 1c</w:t>
            </w:r>
          </w:p>
        </w:tc>
        <w:tc>
          <w:tcPr>
            <w:tcW w:w="535" w:type="pct"/>
            <w:shd w:val="clear" w:color="auto" w:fill="FFCC66"/>
          </w:tcPr>
          <w:p w14:paraId="66B667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7EA2DDC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492326F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649A7505"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14882FD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CC66"/>
          </w:tcPr>
          <w:p w14:paraId="47A0EC1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Élevée</w:t>
            </w:r>
          </w:p>
        </w:tc>
      </w:tr>
      <w:tr w:rsidR="00886A3C" w:rsidRPr="001571EF" w14:paraId="0AD1CDA1" w14:textId="77777777" w:rsidTr="00886A3C">
        <w:trPr>
          <w:trHeight w:val="20"/>
          <w:jc w:val="center"/>
        </w:trPr>
        <w:tc>
          <w:tcPr>
            <w:tcW w:w="213" w:type="pct"/>
            <w:shd w:val="clear" w:color="auto" w:fill="FFCC66"/>
          </w:tcPr>
          <w:p w14:paraId="0F7DAA4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62F9BF4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Glareola ocularis</w:t>
            </w:r>
          </w:p>
        </w:tc>
        <w:tc>
          <w:tcPr>
            <w:tcW w:w="580" w:type="pct"/>
            <w:shd w:val="clear" w:color="auto" w:fill="FFCC66"/>
          </w:tcPr>
          <w:p w14:paraId="222BF9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0BFE8E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3FA85E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93B50D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339A23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3B4716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31364A6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34142CA" w14:textId="77777777" w:rsidTr="00886A3C">
        <w:trPr>
          <w:trHeight w:val="20"/>
          <w:jc w:val="center"/>
        </w:trPr>
        <w:tc>
          <w:tcPr>
            <w:tcW w:w="213" w:type="pct"/>
            <w:shd w:val="clear" w:color="auto" w:fill="FFCC66"/>
          </w:tcPr>
          <w:p w14:paraId="2DCA5C6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w:t>
            </w:r>
          </w:p>
        </w:tc>
        <w:tc>
          <w:tcPr>
            <w:tcW w:w="1022" w:type="pct"/>
            <w:shd w:val="clear" w:color="auto" w:fill="FFCC66"/>
          </w:tcPr>
          <w:p w14:paraId="474796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A0BC9">
              <w:rPr>
                <w:rFonts w:ascii="Times New Roman" w:hAnsi="Times New Roman" w:cs="Times New Roman"/>
                <w:color w:val="000000"/>
                <w:spacing w:val="-2"/>
                <w:lang w:val="fr-FR"/>
              </w:rPr>
              <w:t>Madagascar/Afrique de l</w:t>
            </w:r>
            <w:r>
              <w:rPr>
                <w:rFonts w:ascii="Times New Roman" w:hAnsi="Times New Roman" w:cs="Times New Roman"/>
                <w:color w:val="000000"/>
                <w:spacing w:val="-2"/>
                <w:lang w:val="fr-FR"/>
              </w:rPr>
              <w:t>’</w:t>
            </w:r>
            <w:r w:rsidRPr="004A0BC9">
              <w:rPr>
                <w:rFonts w:ascii="Times New Roman" w:hAnsi="Times New Roman" w:cs="Times New Roman"/>
                <w:color w:val="000000"/>
                <w:spacing w:val="-2"/>
                <w:lang w:val="fr-FR"/>
              </w:rPr>
              <w:t>Est</w:t>
            </w:r>
          </w:p>
        </w:tc>
        <w:tc>
          <w:tcPr>
            <w:tcW w:w="580" w:type="pct"/>
            <w:shd w:val="clear" w:color="auto" w:fill="FFCC66"/>
          </w:tcPr>
          <w:p w14:paraId="206F8B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1c</w:t>
            </w:r>
            <w:r>
              <w:rPr>
                <w:rFonts w:ascii="Times New Roman" w:hAnsi="Times New Roman" w:cs="Times New Roman"/>
                <w:color w:val="000000"/>
                <w:spacing w:val="-2"/>
              </w:rPr>
              <w:t xml:space="preserve"> </w:t>
            </w:r>
          </w:p>
        </w:tc>
        <w:tc>
          <w:tcPr>
            <w:tcW w:w="535" w:type="pct"/>
            <w:shd w:val="clear" w:color="auto" w:fill="FFCC66"/>
          </w:tcPr>
          <w:p w14:paraId="723F3E3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7F41D3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1B56707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5E25BC21"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68AF26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CC66"/>
          </w:tcPr>
          <w:p w14:paraId="226838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Élevée</w:t>
            </w:r>
          </w:p>
        </w:tc>
      </w:tr>
      <w:tr w:rsidR="00886A3C" w:rsidRPr="001571EF" w14:paraId="5AC84905" w14:textId="77777777" w:rsidTr="00886A3C">
        <w:trPr>
          <w:trHeight w:val="20"/>
          <w:jc w:val="center"/>
        </w:trPr>
        <w:tc>
          <w:tcPr>
            <w:tcW w:w="213" w:type="pct"/>
            <w:shd w:val="clear" w:color="auto" w:fill="FFCC66"/>
          </w:tcPr>
          <w:p w14:paraId="49AC0A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6822CA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Sula (Morus) capensis</w:t>
            </w:r>
          </w:p>
        </w:tc>
        <w:tc>
          <w:tcPr>
            <w:tcW w:w="580" w:type="pct"/>
            <w:shd w:val="clear" w:color="auto" w:fill="FFCC66"/>
          </w:tcPr>
          <w:p w14:paraId="19BE30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30647A6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19B79F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47476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730330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5C75CB0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2DF994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05EA5A9" w14:textId="77777777" w:rsidTr="00886A3C">
        <w:trPr>
          <w:trHeight w:val="20"/>
          <w:jc w:val="center"/>
        </w:trPr>
        <w:tc>
          <w:tcPr>
            <w:tcW w:w="213" w:type="pct"/>
            <w:shd w:val="clear" w:color="auto" w:fill="FFCC66"/>
          </w:tcPr>
          <w:p w14:paraId="50A61E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w:t>
            </w:r>
          </w:p>
        </w:tc>
        <w:tc>
          <w:tcPr>
            <w:tcW w:w="1022" w:type="pct"/>
            <w:shd w:val="clear" w:color="auto" w:fill="FFCC66"/>
          </w:tcPr>
          <w:p w14:paraId="0FF8A4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A0BC9">
              <w:rPr>
                <w:rFonts w:ascii="Times New Roman" w:hAnsi="Times New Roman" w:cs="Times New Roman"/>
                <w:color w:val="000000"/>
                <w:spacing w:val="-2"/>
                <w:lang w:val="fr-FR"/>
              </w:rPr>
              <w:t>Afrique australe</w:t>
            </w:r>
          </w:p>
        </w:tc>
        <w:tc>
          <w:tcPr>
            <w:tcW w:w="580" w:type="pct"/>
            <w:shd w:val="clear" w:color="auto" w:fill="FFCC66"/>
          </w:tcPr>
          <w:p w14:paraId="50C97A9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1b</w:t>
            </w:r>
          </w:p>
        </w:tc>
        <w:tc>
          <w:tcPr>
            <w:tcW w:w="535" w:type="pct"/>
            <w:shd w:val="clear" w:color="auto" w:fill="FFCC66"/>
          </w:tcPr>
          <w:p w14:paraId="5C6FB5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2a 2c</w:t>
            </w:r>
          </w:p>
        </w:tc>
        <w:tc>
          <w:tcPr>
            <w:tcW w:w="452" w:type="pct"/>
            <w:shd w:val="clear" w:color="auto" w:fill="FFCC66"/>
          </w:tcPr>
          <w:p w14:paraId="448A9C9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14A63C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486606F6"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468</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0D25E3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CC66"/>
          </w:tcPr>
          <w:p w14:paraId="018397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Élevée</w:t>
            </w:r>
          </w:p>
        </w:tc>
      </w:tr>
      <w:tr w:rsidR="00886A3C" w:rsidRPr="001571EF" w14:paraId="73A14FD5" w14:textId="77777777" w:rsidTr="00886A3C">
        <w:trPr>
          <w:trHeight w:val="20"/>
          <w:jc w:val="center"/>
        </w:trPr>
        <w:tc>
          <w:tcPr>
            <w:tcW w:w="213" w:type="pct"/>
            <w:shd w:val="clear" w:color="auto" w:fill="FFCC66"/>
          </w:tcPr>
          <w:p w14:paraId="3A0607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146467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Pelecanus crispus</w:t>
            </w:r>
          </w:p>
        </w:tc>
        <w:tc>
          <w:tcPr>
            <w:tcW w:w="580" w:type="pct"/>
            <w:shd w:val="clear" w:color="auto" w:fill="FFCC66"/>
          </w:tcPr>
          <w:p w14:paraId="6AEDBA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3D27C4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399FA1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BF9758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6C1EAA1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6F70ED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5A61C3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EFF8277" w14:textId="77777777" w:rsidTr="00886A3C">
        <w:trPr>
          <w:trHeight w:val="20"/>
          <w:jc w:val="center"/>
        </w:trPr>
        <w:tc>
          <w:tcPr>
            <w:tcW w:w="213" w:type="pct"/>
            <w:shd w:val="clear" w:color="auto" w:fill="FFCC66"/>
          </w:tcPr>
          <w:p w14:paraId="0E809F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w:t>
            </w:r>
          </w:p>
        </w:tc>
        <w:tc>
          <w:tcPr>
            <w:tcW w:w="1022" w:type="pct"/>
            <w:shd w:val="clear" w:color="auto" w:fill="FFCC66"/>
          </w:tcPr>
          <w:p w14:paraId="777BAA02"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4A0BC9">
              <w:rPr>
                <w:rFonts w:ascii="Times New Roman" w:hAnsi="Times New Roman"/>
                <w:color w:val="000000"/>
                <w:spacing w:val="-2"/>
                <w:lang w:val="fr-FR"/>
              </w:rPr>
              <w:t>A</w:t>
            </w:r>
            <w:smartTag w:uri="urn:schemas-microsoft-com:office:smarttags" w:element="PersonName">
              <w:r w:rsidRPr="004A0BC9">
                <w:rPr>
                  <w:rFonts w:ascii="Times New Roman" w:hAnsi="Times New Roman"/>
                  <w:color w:val="000000"/>
                  <w:spacing w:val="-2"/>
                  <w:lang w:val="fr-FR"/>
                </w:rPr>
                <w:t>s</w:t>
              </w:r>
            </w:smartTag>
            <w:r w:rsidRPr="004A0BC9">
              <w:rPr>
                <w:rFonts w:ascii="Times New Roman" w:hAnsi="Times New Roman"/>
                <w:color w:val="000000"/>
                <w:spacing w:val="-2"/>
                <w:lang w:val="fr-FR"/>
              </w:rPr>
              <w:t>ie du Sud-Oue</w:t>
            </w:r>
            <w:smartTag w:uri="urn:schemas-microsoft-com:office:smarttags" w:element="PersonName">
              <w:r w:rsidRPr="004A0BC9">
                <w:rPr>
                  <w:rFonts w:ascii="Times New Roman" w:hAnsi="Times New Roman"/>
                  <w:color w:val="000000"/>
                  <w:spacing w:val="-2"/>
                  <w:lang w:val="fr-FR"/>
                </w:rPr>
                <w:t>s</w:t>
              </w:r>
            </w:smartTag>
            <w:r w:rsidRPr="004A0BC9">
              <w:rPr>
                <w:rFonts w:ascii="Times New Roman" w:hAnsi="Times New Roman"/>
                <w:color w:val="000000"/>
                <w:spacing w:val="-2"/>
                <w:lang w:val="fr-FR"/>
              </w:rPr>
              <w:t>t &amp; A</w:t>
            </w:r>
            <w:smartTag w:uri="urn:schemas-microsoft-com:office:smarttags" w:element="PersonName">
              <w:r w:rsidRPr="004A0BC9">
                <w:rPr>
                  <w:rFonts w:ascii="Times New Roman" w:hAnsi="Times New Roman"/>
                  <w:color w:val="000000"/>
                  <w:spacing w:val="-2"/>
                  <w:lang w:val="fr-FR"/>
                </w:rPr>
                <w:t>s</w:t>
              </w:r>
            </w:smartTag>
            <w:r w:rsidRPr="004A0BC9">
              <w:rPr>
                <w:rFonts w:ascii="Times New Roman" w:hAnsi="Times New Roman"/>
                <w:color w:val="000000"/>
                <w:spacing w:val="-2"/>
                <w:lang w:val="fr-FR"/>
              </w:rPr>
              <w:t>ie du Sud (hiv)</w:t>
            </w:r>
          </w:p>
        </w:tc>
        <w:tc>
          <w:tcPr>
            <w:tcW w:w="580" w:type="pct"/>
            <w:shd w:val="clear" w:color="auto" w:fill="FFCC66"/>
          </w:tcPr>
          <w:p w14:paraId="5E3604F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r w:rsidRPr="004A0BC9">
              <w:rPr>
                <w:rFonts w:ascii="Times New Roman" w:hAnsi="Times New Roman" w:cs="Times New Roman"/>
                <w:color w:val="000000"/>
                <w:spacing w:val="-2"/>
                <w:lang w:val="fr-FR"/>
              </w:rPr>
              <w:t>1a 1b 1c</w:t>
            </w:r>
            <w:r w:rsidRPr="001571EF">
              <w:rPr>
                <w:rFonts w:ascii="Times New Roman" w:hAnsi="Times New Roman" w:cs="Times New Roman"/>
                <w:strike/>
                <w:color w:val="000000"/>
                <w:spacing w:val="-2"/>
              </w:rPr>
              <w:t xml:space="preserve"> </w:t>
            </w:r>
          </w:p>
        </w:tc>
        <w:tc>
          <w:tcPr>
            <w:tcW w:w="535" w:type="pct"/>
            <w:shd w:val="clear" w:color="auto" w:fill="FFCC66"/>
          </w:tcPr>
          <w:p w14:paraId="596943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364EB8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04F69F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0440FD56"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w:t>
            </w:r>
            <w:r>
              <w:rPr>
                <w:rFonts w:ascii="Times New Roman" w:hAnsi="Times New Roman" w:cs="Times New Roman"/>
                <w:color w:val="000000"/>
              </w:rPr>
              <w:t> </w:t>
            </w:r>
            <w:r w:rsidRPr="001571EF">
              <w:rPr>
                <w:rFonts w:ascii="Times New Roman" w:hAnsi="Times New Roman" w:cs="Times New Roman"/>
                <w:color w:val="000000"/>
              </w:rPr>
              <w:t>000-9</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4C437B8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CC66"/>
          </w:tcPr>
          <w:p w14:paraId="53E68E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Moyenne</w:t>
            </w:r>
          </w:p>
        </w:tc>
      </w:tr>
      <w:tr w:rsidR="00886A3C" w:rsidRPr="001571EF" w14:paraId="61A15312" w14:textId="77777777" w:rsidTr="00886A3C">
        <w:trPr>
          <w:trHeight w:val="20"/>
          <w:jc w:val="center"/>
        </w:trPr>
        <w:tc>
          <w:tcPr>
            <w:tcW w:w="213" w:type="pct"/>
            <w:shd w:val="clear" w:color="auto" w:fill="FFCC66"/>
          </w:tcPr>
          <w:p w14:paraId="3B3CEE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2BA37F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Phalacrocorax nigrogularis.</w:t>
            </w:r>
          </w:p>
        </w:tc>
        <w:tc>
          <w:tcPr>
            <w:tcW w:w="580" w:type="pct"/>
            <w:shd w:val="clear" w:color="auto" w:fill="FFCC66"/>
          </w:tcPr>
          <w:p w14:paraId="3A55AF9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043DF89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58759B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2E712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65BC36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0092DC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1D33A7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4C5870E" w14:textId="77777777" w:rsidTr="00886A3C">
        <w:trPr>
          <w:trHeight w:val="20"/>
          <w:jc w:val="center"/>
        </w:trPr>
        <w:tc>
          <w:tcPr>
            <w:tcW w:w="213" w:type="pct"/>
            <w:shd w:val="clear" w:color="auto" w:fill="FFCC66"/>
          </w:tcPr>
          <w:p w14:paraId="04FCCA3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w:t>
            </w:r>
          </w:p>
        </w:tc>
        <w:tc>
          <w:tcPr>
            <w:tcW w:w="1022" w:type="pct"/>
            <w:shd w:val="clear" w:color="auto" w:fill="FFCC66"/>
          </w:tcPr>
          <w:p w14:paraId="70E5AA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4A0BC9">
              <w:rPr>
                <w:rFonts w:ascii="Times New Roman" w:hAnsi="Times New Roman"/>
                <w:color w:val="000000"/>
                <w:spacing w:val="-2"/>
                <w:lang w:val="fr-FR"/>
              </w:rPr>
              <w:t>Côte</w:t>
            </w:r>
            <w:smartTag w:uri="urn:schemas-microsoft-com:office:smarttags" w:element="PersonName">
              <w:r w:rsidRPr="004A0BC9">
                <w:rPr>
                  <w:rFonts w:ascii="Times New Roman" w:hAnsi="Times New Roman"/>
                  <w:color w:val="000000"/>
                  <w:spacing w:val="-2"/>
                  <w:lang w:val="fr-FR"/>
                </w:rPr>
                <w:t>s</w:t>
              </w:r>
            </w:smartTag>
            <w:r w:rsidRPr="004A0BC9">
              <w:rPr>
                <w:rFonts w:ascii="Times New Roman" w:hAnsi="Times New Roman"/>
                <w:color w:val="000000"/>
                <w:spacing w:val="-2"/>
                <w:lang w:val="fr-FR"/>
              </w:rPr>
              <w:t xml:space="preserve"> de l</w:t>
            </w:r>
            <w:r>
              <w:rPr>
                <w:rFonts w:ascii="Times New Roman" w:hAnsi="Times New Roman"/>
                <w:color w:val="000000"/>
                <w:spacing w:val="-2"/>
                <w:lang w:val="fr-FR"/>
              </w:rPr>
              <w:t>’</w:t>
            </w:r>
            <w:r w:rsidRPr="004A0BC9">
              <w:rPr>
                <w:rFonts w:ascii="Times New Roman" w:hAnsi="Times New Roman"/>
                <w:color w:val="000000"/>
                <w:spacing w:val="-2"/>
                <w:lang w:val="fr-FR"/>
              </w:rPr>
              <w:t>Arabie</w:t>
            </w:r>
          </w:p>
        </w:tc>
        <w:tc>
          <w:tcPr>
            <w:tcW w:w="580" w:type="pct"/>
            <w:shd w:val="clear" w:color="auto" w:fill="FFCC66"/>
          </w:tcPr>
          <w:p w14:paraId="35CA84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1b</w:t>
            </w:r>
          </w:p>
        </w:tc>
        <w:tc>
          <w:tcPr>
            <w:tcW w:w="535" w:type="pct"/>
            <w:shd w:val="clear" w:color="auto" w:fill="FFCC66"/>
          </w:tcPr>
          <w:p w14:paraId="3555B5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2a 2c</w:t>
            </w:r>
          </w:p>
        </w:tc>
        <w:tc>
          <w:tcPr>
            <w:tcW w:w="452" w:type="pct"/>
            <w:shd w:val="clear" w:color="auto" w:fill="FFCC66"/>
          </w:tcPr>
          <w:p w14:paraId="341BAB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248FD5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3CEC1A80"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270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48C179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CC66"/>
          </w:tcPr>
          <w:p w14:paraId="41682E5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Moyenne</w:t>
            </w:r>
          </w:p>
        </w:tc>
      </w:tr>
      <w:tr w:rsidR="00886A3C" w:rsidRPr="001571EF" w14:paraId="7EEC3C1A" w14:textId="77777777" w:rsidTr="00886A3C">
        <w:trPr>
          <w:trHeight w:val="20"/>
          <w:jc w:val="center"/>
        </w:trPr>
        <w:tc>
          <w:tcPr>
            <w:tcW w:w="213" w:type="pct"/>
            <w:shd w:val="clear" w:color="auto" w:fill="FFCC66"/>
          </w:tcPr>
          <w:p w14:paraId="38DB15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47DB75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4A0BC9">
              <w:rPr>
                <w:rFonts w:ascii="Times New Roman" w:hAnsi="Times New Roman" w:cs="Times New Roman"/>
                <w:i/>
                <w:color w:val="000000"/>
                <w:spacing w:val="-2"/>
                <w:lang w:val="fr-FR"/>
              </w:rPr>
              <w:t>Grus carunculatus</w:t>
            </w:r>
          </w:p>
        </w:tc>
        <w:tc>
          <w:tcPr>
            <w:tcW w:w="580" w:type="pct"/>
            <w:shd w:val="clear" w:color="auto" w:fill="FFCC66"/>
          </w:tcPr>
          <w:p w14:paraId="4942044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04ABA98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4892A8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D49EE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585955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762C457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1B71FC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D6FDC27" w14:textId="77777777" w:rsidTr="00886A3C">
        <w:trPr>
          <w:trHeight w:val="20"/>
          <w:jc w:val="center"/>
        </w:trPr>
        <w:tc>
          <w:tcPr>
            <w:tcW w:w="213" w:type="pct"/>
            <w:shd w:val="clear" w:color="auto" w:fill="FFCC66"/>
          </w:tcPr>
          <w:p w14:paraId="47CA9E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9</w:t>
            </w:r>
          </w:p>
        </w:tc>
        <w:tc>
          <w:tcPr>
            <w:tcW w:w="1022" w:type="pct"/>
            <w:shd w:val="clear" w:color="auto" w:fill="FFCC66"/>
          </w:tcPr>
          <w:p w14:paraId="43423F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color w:val="000000"/>
                <w:spacing w:val="-2"/>
              </w:rPr>
              <w:t xml:space="preserve">- </w:t>
            </w:r>
            <w:r w:rsidRPr="004A0BC9">
              <w:rPr>
                <w:rFonts w:ascii="Times New Roman" w:hAnsi="Times New Roman" w:cs="Times New Roman"/>
                <w:color w:val="000000"/>
                <w:spacing w:val="-2"/>
                <w:lang w:val="fr-FR"/>
              </w:rPr>
              <w:t>Afrique centrale &amp; australe</w:t>
            </w:r>
          </w:p>
        </w:tc>
        <w:tc>
          <w:tcPr>
            <w:tcW w:w="580" w:type="pct"/>
            <w:shd w:val="clear" w:color="auto" w:fill="FFCC66"/>
          </w:tcPr>
          <w:p w14:paraId="5F84572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4A0BC9">
              <w:rPr>
                <w:rFonts w:ascii="Times New Roman" w:hAnsi="Times New Roman" w:cs="Times New Roman"/>
                <w:color w:val="000000"/>
                <w:spacing w:val="-2"/>
                <w:lang w:val="fr-FR"/>
              </w:rPr>
              <w:t>1c</w:t>
            </w:r>
          </w:p>
        </w:tc>
        <w:tc>
          <w:tcPr>
            <w:tcW w:w="535" w:type="pct"/>
            <w:shd w:val="clear" w:color="auto" w:fill="FFCC66"/>
          </w:tcPr>
          <w:p w14:paraId="731135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763046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516EE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4BD0E0E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1-7</w:t>
            </w:r>
            <w:r>
              <w:rPr>
                <w:rFonts w:ascii="Times New Roman" w:hAnsi="Times New Roman" w:cs="Times New Roman"/>
                <w:color w:val="000000"/>
              </w:rPr>
              <w:t> </w:t>
            </w:r>
            <w:r w:rsidRPr="001571EF">
              <w:rPr>
                <w:rFonts w:ascii="Times New Roman" w:hAnsi="Times New Roman" w:cs="Times New Roman"/>
                <w:color w:val="000000"/>
              </w:rPr>
              <w:t>550</w:t>
            </w:r>
          </w:p>
        </w:tc>
        <w:tc>
          <w:tcPr>
            <w:tcW w:w="600" w:type="pct"/>
            <w:shd w:val="clear" w:color="auto" w:fill="FFCC66"/>
          </w:tcPr>
          <w:p w14:paraId="275028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déclin</w:t>
            </w:r>
          </w:p>
        </w:tc>
        <w:tc>
          <w:tcPr>
            <w:tcW w:w="602" w:type="pct"/>
            <w:shd w:val="clear" w:color="auto" w:fill="FFCC66"/>
          </w:tcPr>
          <w:p w14:paraId="4928CD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Un peu</w:t>
            </w:r>
          </w:p>
        </w:tc>
      </w:tr>
      <w:tr w:rsidR="00886A3C" w:rsidRPr="001571EF" w14:paraId="561C93B8" w14:textId="77777777" w:rsidTr="00886A3C">
        <w:trPr>
          <w:trHeight w:val="20"/>
          <w:jc w:val="center"/>
        </w:trPr>
        <w:tc>
          <w:tcPr>
            <w:tcW w:w="213" w:type="pct"/>
            <w:shd w:val="clear" w:color="auto" w:fill="FFCC66"/>
          </w:tcPr>
          <w:p w14:paraId="075D97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2C920F4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4A0BC9">
              <w:rPr>
                <w:rFonts w:ascii="Times New Roman" w:hAnsi="Times New Roman" w:cs="Times New Roman"/>
                <w:i/>
                <w:color w:val="000000"/>
                <w:spacing w:val="-2"/>
                <w:lang w:val="fr-FR"/>
              </w:rPr>
              <w:t>Balearica pavonina pavonina</w:t>
            </w:r>
          </w:p>
        </w:tc>
        <w:tc>
          <w:tcPr>
            <w:tcW w:w="580" w:type="pct"/>
            <w:shd w:val="clear" w:color="auto" w:fill="FFCC66"/>
          </w:tcPr>
          <w:p w14:paraId="7A6057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5D0E90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12CE71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14DEC0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4A0BC9">
              <w:rPr>
                <w:rFonts w:ascii="Times New Roman" w:hAnsi="Times New Roman" w:cs="Times New Roman"/>
                <w:color w:val="000000"/>
                <w:spacing w:val="-2"/>
                <w:lang w:val="fr-FR"/>
              </w:rPr>
              <w:t>VU</w:t>
            </w:r>
          </w:p>
        </w:tc>
        <w:tc>
          <w:tcPr>
            <w:tcW w:w="533" w:type="pct"/>
            <w:shd w:val="clear" w:color="auto" w:fill="FFCC66"/>
          </w:tcPr>
          <w:p w14:paraId="409409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0A3C040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3B736C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F29624C" w14:textId="77777777" w:rsidTr="00886A3C">
        <w:trPr>
          <w:trHeight w:val="20"/>
          <w:jc w:val="center"/>
        </w:trPr>
        <w:tc>
          <w:tcPr>
            <w:tcW w:w="213" w:type="pct"/>
            <w:shd w:val="clear" w:color="auto" w:fill="FFCC66"/>
          </w:tcPr>
          <w:p w14:paraId="215BCB2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10</w:t>
            </w:r>
          </w:p>
        </w:tc>
        <w:tc>
          <w:tcPr>
            <w:tcW w:w="1022" w:type="pct"/>
            <w:shd w:val="clear" w:color="auto" w:fill="FFCC66"/>
          </w:tcPr>
          <w:p w14:paraId="598D00FD"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F551A9">
              <w:rPr>
                <w:rFonts w:ascii="Times New Roman" w:hAnsi="Times New Roman"/>
                <w:color w:val="000000"/>
                <w:spacing w:val="-2"/>
                <w:lang w:val="fr-FR"/>
              </w:rPr>
              <w:t>Afrique de l</w:t>
            </w:r>
            <w:r>
              <w:rPr>
                <w:rFonts w:ascii="Times New Roman" w:hAnsi="Times New Roman"/>
                <w:color w:val="000000"/>
                <w:spacing w:val="-2"/>
                <w:lang w:val="fr-FR"/>
              </w:rPr>
              <w:t>’</w:t>
            </w:r>
            <w:r w:rsidRPr="00F551A9">
              <w:rPr>
                <w:rFonts w:ascii="Times New Roman" w:hAnsi="Times New Roman"/>
                <w:color w:val="000000"/>
                <w:spacing w:val="-2"/>
                <w:lang w:val="fr-FR"/>
              </w:rPr>
              <w:t>Oue</w:t>
            </w:r>
            <w:smartTag w:uri="urn:schemas-microsoft-com:office:smarttags" w:element="PersonName">
              <w:r w:rsidRPr="00F551A9">
                <w:rPr>
                  <w:rFonts w:ascii="Times New Roman" w:hAnsi="Times New Roman"/>
                  <w:color w:val="000000"/>
                  <w:spacing w:val="-2"/>
                  <w:lang w:val="fr-FR"/>
                </w:rPr>
                <w:t>s</w:t>
              </w:r>
            </w:smartTag>
            <w:r w:rsidRPr="00F551A9">
              <w:rPr>
                <w:rFonts w:ascii="Times New Roman" w:hAnsi="Times New Roman"/>
                <w:color w:val="000000"/>
                <w:spacing w:val="-2"/>
                <w:lang w:val="fr-FR"/>
              </w:rPr>
              <w:t>t (Sénégal au Tchad)</w:t>
            </w:r>
          </w:p>
        </w:tc>
        <w:tc>
          <w:tcPr>
            <w:tcW w:w="580" w:type="pct"/>
            <w:shd w:val="clear" w:color="auto" w:fill="FFCC66"/>
          </w:tcPr>
          <w:p w14:paraId="116BCC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F551A9">
              <w:rPr>
                <w:rFonts w:ascii="Times New Roman" w:hAnsi="Times New Roman" w:cs="Times New Roman"/>
                <w:color w:val="000000"/>
                <w:spacing w:val="-2"/>
                <w:lang w:val="fr-FR"/>
              </w:rPr>
              <w:t>1c</w:t>
            </w:r>
          </w:p>
        </w:tc>
        <w:tc>
          <w:tcPr>
            <w:tcW w:w="535" w:type="pct"/>
            <w:shd w:val="clear" w:color="auto" w:fill="FFCC66"/>
          </w:tcPr>
          <w:p w14:paraId="6F9A5E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1037A18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413BA6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2879329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4C96F4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déclin</w:t>
            </w:r>
          </w:p>
        </w:tc>
        <w:tc>
          <w:tcPr>
            <w:tcW w:w="602" w:type="pct"/>
            <w:shd w:val="clear" w:color="auto" w:fill="FFCC66"/>
          </w:tcPr>
          <w:p w14:paraId="562B88B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Un peu</w:t>
            </w:r>
          </w:p>
        </w:tc>
      </w:tr>
      <w:tr w:rsidR="00886A3C" w:rsidRPr="001571EF" w14:paraId="26A402E4" w14:textId="77777777" w:rsidTr="00886A3C">
        <w:trPr>
          <w:trHeight w:val="20"/>
          <w:jc w:val="center"/>
        </w:trPr>
        <w:tc>
          <w:tcPr>
            <w:tcW w:w="213" w:type="pct"/>
            <w:shd w:val="clear" w:color="auto" w:fill="FFCC66"/>
          </w:tcPr>
          <w:p w14:paraId="51ACDAD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6F5382A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 xml:space="preserve">Polysticta stelleri </w:t>
            </w:r>
            <w:r w:rsidRPr="00F551A9">
              <w:rPr>
                <w:rFonts w:ascii="Times New Roman" w:hAnsi="Times New Roman" w:cs="Times New Roman"/>
                <w:b/>
                <w:color w:val="FF0000"/>
                <w:spacing w:val="-2"/>
                <w:lang w:val="fr-FR"/>
              </w:rPr>
              <w:t>!!!</w:t>
            </w:r>
            <w:r w:rsidRPr="00F551A9">
              <w:rPr>
                <w:rStyle w:val="FootnoteReference"/>
                <w:rFonts w:ascii="Times New Roman" w:hAnsi="Times New Roman" w:cs="Times New Roman"/>
                <w:b/>
                <w:color w:val="FF0000"/>
                <w:spacing w:val="-2"/>
                <w:lang w:val="fr-FR"/>
              </w:rPr>
              <w:footnoteReference w:id="13"/>
            </w:r>
          </w:p>
        </w:tc>
        <w:tc>
          <w:tcPr>
            <w:tcW w:w="580" w:type="pct"/>
            <w:shd w:val="clear" w:color="auto" w:fill="FFCC66"/>
          </w:tcPr>
          <w:p w14:paraId="71C73A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031262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734B14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224B54E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3F056AC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4DDF13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01FB74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4C67B44" w14:textId="77777777" w:rsidTr="00886A3C">
        <w:trPr>
          <w:trHeight w:val="20"/>
          <w:jc w:val="center"/>
        </w:trPr>
        <w:tc>
          <w:tcPr>
            <w:tcW w:w="213" w:type="pct"/>
            <w:shd w:val="clear" w:color="auto" w:fill="FFCC66"/>
          </w:tcPr>
          <w:p w14:paraId="7D0FAE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11</w:t>
            </w:r>
          </w:p>
        </w:tc>
        <w:tc>
          <w:tcPr>
            <w:tcW w:w="1022" w:type="pct"/>
            <w:shd w:val="clear" w:color="auto" w:fill="FFCC66"/>
          </w:tcPr>
          <w:p w14:paraId="5DB6E9F4"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F551A9">
              <w:rPr>
                <w:rFonts w:ascii="Times New Roman" w:hAnsi="Times New Roman"/>
                <w:color w:val="000000"/>
                <w:spacing w:val="-2"/>
                <w:lang w:val="fr-FR"/>
              </w:rPr>
              <w:t>Sibérie occidentale/Europe du Nord-E</w:t>
            </w:r>
            <w:smartTag w:uri="urn:schemas-microsoft-com:office:smarttags" w:element="PersonName">
              <w:r w:rsidRPr="00F551A9">
                <w:rPr>
                  <w:rFonts w:ascii="Times New Roman" w:hAnsi="Times New Roman"/>
                  <w:color w:val="000000"/>
                  <w:spacing w:val="-2"/>
                  <w:lang w:val="fr-FR"/>
                </w:rPr>
                <w:t>s</w:t>
              </w:r>
            </w:smartTag>
            <w:r w:rsidRPr="00F551A9">
              <w:rPr>
                <w:rFonts w:ascii="Times New Roman" w:hAnsi="Times New Roman"/>
                <w:color w:val="000000"/>
                <w:spacing w:val="-2"/>
                <w:lang w:val="fr-FR"/>
              </w:rPr>
              <w:t>t</w:t>
            </w:r>
          </w:p>
        </w:tc>
        <w:tc>
          <w:tcPr>
            <w:tcW w:w="580" w:type="pct"/>
            <w:shd w:val="clear" w:color="auto" w:fill="FFCC66"/>
          </w:tcPr>
          <w:p w14:paraId="4D3A1B7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1a 1b 2</w:t>
            </w:r>
          </w:p>
        </w:tc>
        <w:tc>
          <w:tcPr>
            <w:tcW w:w="535" w:type="pct"/>
            <w:shd w:val="clear" w:color="auto" w:fill="FFCC66"/>
          </w:tcPr>
          <w:p w14:paraId="493C9E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359FB1F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4A7AC17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625C0A27"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w:t>
            </w:r>
            <w:r>
              <w:rPr>
                <w:rFonts w:ascii="Times New Roman" w:hAnsi="Times New Roman" w:cs="Times New Roman"/>
                <w:color w:val="000000"/>
              </w:rPr>
              <w:t> </w:t>
            </w:r>
            <w:r w:rsidRPr="001571EF">
              <w:rPr>
                <w:rFonts w:ascii="Times New Roman" w:hAnsi="Times New Roman" w:cs="Times New Roman"/>
                <w:color w:val="000000"/>
              </w:rPr>
              <w:t>000-15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7FFE6E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déclin</w:t>
            </w:r>
          </w:p>
        </w:tc>
        <w:tc>
          <w:tcPr>
            <w:tcW w:w="602" w:type="pct"/>
            <w:shd w:val="clear" w:color="auto" w:fill="FFCC66"/>
          </w:tcPr>
          <w:p w14:paraId="5EF193F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Un peu</w:t>
            </w:r>
          </w:p>
        </w:tc>
      </w:tr>
      <w:tr w:rsidR="00886A3C" w:rsidRPr="001571EF" w14:paraId="1D377C34" w14:textId="77777777" w:rsidTr="00886A3C">
        <w:trPr>
          <w:trHeight w:val="20"/>
          <w:jc w:val="center"/>
        </w:trPr>
        <w:tc>
          <w:tcPr>
            <w:tcW w:w="213" w:type="pct"/>
            <w:shd w:val="clear" w:color="auto" w:fill="FFCC66"/>
          </w:tcPr>
          <w:p w14:paraId="7D73C84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5DD821B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F551A9">
              <w:rPr>
                <w:rFonts w:ascii="Times New Roman" w:hAnsi="Times New Roman" w:cs="Times New Roman"/>
                <w:i/>
                <w:color w:val="000000"/>
                <w:spacing w:val="-2"/>
                <w:lang w:val="fr-FR"/>
              </w:rPr>
              <w:t>Balearica pavonina ceciliae</w:t>
            </w:r>
          </w:p>
        </w:tc>
        <w:tc>
          <w:tcPr>
            <w:tcW w:w="580" w:type="pct"/>
            <w:shd w:val="clear" w:color="auto" w:fill="FFCC66"/>
          </w:tcPr>
          <w:p w14:paraId="479156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2DB20B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2261DB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1F389B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59B0CC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6EA69F9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094453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D3A1EF4" w14:textId="77777777" w:rsidTr="00886A3C">
        <w:trPr>
          <w:trHeight w:val="20"/>
          <w:jc w:val="center"/>
        </w:trPr>
        <w:tc>
          <w:tcPr>
            <w:tcW w:w="213" w:type="pct"/>
            <w:tcBorders>
              <w:bottom w:val="single" w:sz="6" w:space="0" w:color="auto"/>
            </w:tcBorders>
            <w:shd w:val="clear" w:color="auto" w:fill="FFCC66"/>
          </w:tcPr>
          <w:p w14:paraId="74A499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12</w:t>
            </w:r>
          </w:p>
        </w:tc>
        <w:tc>
          <w:tcPr>
            <w:tcW w:w="1022" w:type="pct"/>
            <w:tcBorders>
              <w:bottom w:val="single" w:sz="6" w:space="0" w:color="auto"/>
            </w:tcBorders>
            <w:shd w:val="clear" w:color="auto" w:fill="FFCC66"/>
          </w:tcPr>
          <w:p w14:paraId="69AA4F4E"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F551A9">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F551A9">
              <w:rPr>
                <w:rFonts w:ascii="Times New Roman" w:hAnsi="Times New Roman" w:cs="Times New Roman"/>
                <w:color w:val="000000"/>
                <w:spacing w:val="-2"/>
                <w:lang w:val="fr-FR"/>
              </w:rPr>
              <w:t>Est (Soudan jusqu</w:t>
            </w:r>
            <w:r>
              <w:rPr>
                <w:rFonts w:ascii="Times New Roman" w:hAnsi="Times New Roman" w:cs="Times New Roman"/>
                <w:color w:val="000000"/>
                <w:spacing w:val="-2"/>
                <w:lang w:val="fr-FR"/>
              </w:rPr>
              <w:t>’</w:t>
            </w:r>
            <w:r w:rsidRPr="00F551A9">
              <w:rPr>
                <w:rFonts w:ascii="Times New Roman" w:hAnsi="Times New Roman" w:cs="Times New Roman"/>
                <w:color w:val="000000"/>
                <w:spacing w:val="-2"/>
                <w:lang w:val="fr-FR"/>
              </w:rPr>
              <w:t>à Ouganda)</w:t>
            </w:r>
          </w:p>
        </w:tc>
        <w:tc>
          <w:tcPr>
            <w:tcW w:w="580" w:type="pct"/>
            <w:tcBorders>
              <w:bottom w:val="single" w:sz="6" w:space="0" w:color="auto"/>
            </w:tcBorders>
            <w:shd w:val="clear" w:color="auto" w:fill="FFCC66"/>
          </w:tcPr>
          <w:p w14:paraId="45B162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1b 3c</w:t>
            </w:r>
          </w:p>
        </w:tc>
        <w:tc>
          <w:tcPr>
            <w:tcW w:w="535" w:type="pct"/>
            <w:tcBorders>
              <w:bottom w:val="single" w:sz="6" w:space="0" w:color="auto"/>
            </w:tcBorders>
            <w:shd w:val="clear" w:color="auto" w:fill="FFCC66"/>
          </w:tcPr>
          <w:p w14:paraId="411678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FFCC66"/>
          </w:tcPr>
          <w:p w14:paraId="1627F7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shd w:val="clear" w:color="auto" w:fill="FFCC66"/>
          </w:tcPr>
          <w:p w14:paraId="1660FA0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shd w:val="clear" w:color="auto" w:fill="FFCC66"/>
            <w:vAlign w:val="center"/>
          </w:tcPr>
          <w:p w14:paraId="2165A276"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28</w:t>
            </w:r>
            <w:r>
              <w:rPr>
                <w:rFonts w:ascii="Times New Roman" w:hAnsi="Times New Roman" w:cs="Times New Roman"/>
                <w:color w:val="000000"/>
              </w:rPr>
              <w:t> </w:t>
            </w:r>
            <w:r w:rsidRPr="001571EF">
              <w:rPr>
                <w:rFonts w:ascii="Times New Roman" w:hAnsi="Times New Roman" w:cs="Times New Roman"/>
                <w:color w:val="000000"/>
              </w:rPr>
              <w:t>000-55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shd w:val="clear" w:color="auto" w:fill="FFCC66"/>
          </w:tcPr>
          <w:p w14:paraId="531645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déclin</w:t>
            </w:r>
          </w:p>
        </w:tc>
        <w:tc>
          <w:tcPr>
            <w:tcW w:w="602" w:type="pct"/>
            <w:tcBorders>
              <w:bottom w:val="single" w:sz="6" w:space="0" w:color="auto"/>
            </w:tcBorders>
            <w:shd w:val="clear" w:color="auto" w:fill="FFCC66"/>
          </w:tcPr>
          <w:p w14:paraId="186BDE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Un peu</w:t>
            </w:r>
          </w:p>
        </w:tc>
      </w:tr>
      <w:tr w:rsidR="00886A3C" w:rsidRPr="001571EF" w14:paraId="33E12EC3" w14:textId="77777777" w:rsidTr="00886A3C">
        <w:trPr>
          <w:trHeight w:val="20"/>
          <w:jc w:val="center"/>
        </w:trPr>
        <w:tc>
          <w:tcPr>
            <w:tcW w:w="213" w:type="pct"/>
            <w:shd w:val="clear" w:color="auto" w:fill="FFCC66"/>
          </w:tcPr>
          <w:p w14:paraId="39C271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7387178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Marmaronetta angustirostris</w:t>
            </w:r>
          </w:p>
        </w:tc>
        <w:tc>
          <w:tcPr>
            <w:tcW w:w="580" w:type="pct"/>
            <w:shd w:val="clear" w:color="auto" w:fill="FFCC66"/>
          </w:tcPr>
          <w:p w14:paraId="209E6C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78AA29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32FDBA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4AE5750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5FC6BB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660B355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5709F3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44B65D6" w14:textId="77777777" w:rsidTr="00886A3C">
        <w:trPr>
          <w:trHeight w:val="20"/>
          <w:jc w:val="center"/>
        </w:trPr>
        <w:tc>
          <w:tcPr>
            <w:tcW w:w="213" w:type="pct"/>
            <w:tcBorders>
              <w:bottom w:val="single" w:sz="6" w:space="0" w:color="auto"/>
            </w:tcBorders>
            <w:shd w:val="clear" w:color="auto" w:fill="FFCC66"/>
          </w:tcPr>
          <w:p w14:paraId="60CBB51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13</w:t>
            </w:r>
          </w:p>
        </w:tc>
        <w:tc>
          <w:tcPr>
            <w:tcW w:w="1022" w:type="pct"/>
            <w:tcBorders>
              <w:bottom w:val="single" w:sz="6" w:space="0" w:color="auto"/>
            </w:tcBorders>
            <w:shd w:val="clear" w:color="auto" w:fill="FFCC66"/>
          </w:tcPr>
          <w:p w14:paraId="01F04EA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551A9">
              <w:rPr>
                <w:rFonts w:ascii="Times New Roman" w:hAnsi="Times New Roman" w:cs="Times New Roman"/>
                <w:color w:val="000000"/>
                <w:spacing w:val="-2"/>
                <w:lang w:val="fr-FR"/>
              </w:rPr>
              <w:t>Asie du Sud-Ouest</w:t>
            </w:r>
          </w:p>
        </w:tc>
        <w:tc>
          <w:tcPr>
            <w:tcW w:w="580" w:type="pct"/>
            <w:tcBorders>
              <w:bottom w:val="single" w:sz="6" w:space="0" w:color="auto"/>
            </w:tcBorders>
            <w:shd w:val="clear" w:color="auto" w:fill="FFCC66"/>
          </w:tcPr>
          <w:p w14:paraId="7B059E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1a 1b 2</w:t>
            </w:r>
          </w:p>
        </w:tc>
        <w:tc>
          <w:tcPr>
            <w:tcW w:w="535" w:type="pct"/>
            <w:tcBorders>
              <w:bottom w:val="single" w:sz="6" w:space="0" w:color="auto"/>
            </w:tcBorders>
            <w:shd w:val="clear" w:color="auto" w:fill="FFCC66"/>
          </w:tcPr>
          <w:p w14:paraId="218C521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FFCC66"/>
          </w:tcPr>
          <w:p w14:paraId="1F35AA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shd w:val="clear" w:color="auto" w:fill="FFCC66"/>
          </w:tcPr>
          <w:p w14:paraId="68D8C7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shd w:val="clear" w:color="auto" w:fill="FFCC66"/>
            <w:vAlign w:val="center"/>
          </w:tcPr>
          <w:p w14:paraId="5F76155B"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46</w:t>
            </w:r>
            <w:r>
              <w:rPr>
                <w:rFonts w:ascii="Times New Roman" w:hAnsi="Times New Roman" w:cs="Times New Roman"/>
                <w:color w:val="000000"/>
              </w:rPr>
              <w:t> </w:t>
            </w:r>
            <w:r w:rsidRPr="001571EF">
              <w:rPr>
                <w:rFonts w:ascii="Times New Roman" w:hAnsi="Times New Roman" w:cs="Times New Roman"/>
                <w:color w:val="000000"/>
              </w:rPr>
              <w:t>000-50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shd w:val="clear" w:color="auto" w:fill="FFCC66"/>
          </w:tcPr>
          <w:p w14:paraId="501E36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déclin</w:t>
            </w:r>
          </w:p>
        </w:tc>
        <w:tc>
          <w:tcPr>
            <w:tcW w:w="602" w:type="pct"/>
            <w:tcBorders>
              <w:bottom w:val="single" w:sz="6" w:space="0" w:color="auto"/>
            </w:tcBorders>
            <w:shd w:val="clear" w:color="auto" w:fill="FFCC66"/>
          </w:tcPr>
          <w:p w14:paraId="3230C6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Un peu</w:t>
            </w:r>
          </w:p>
        </w:tc>
      </w:tr>
      <w:tr w:rsidR="00886A3C" w:rsidRPr="001571EF" w14:paraId="018A866B" w14:textId="77777777" w:rsidTr="00886A3C">
        <w:trPr>
          <w:trHeight w:val="20"/>
          <w:jc w:val="center"/>
        </w:trPr>
        <w:tc>
          <w:tcPr>
            <w:tcW w:w="213" w:type="pct"/>
            <w:shd w:val="clear" w:color="auto" w:fill="FFCC66"/>
          </w:tcPr>
          <w:p w14:paraId="2B8E75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132C16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 xml:space="preserve">Marmaronetta angustirostris </w:t>
            </w:r>
            <w:r w:rsidRPr="00F551A9">
              <w:rPr>
                <w:rFonts w:ascii="Times New Roman" w:hAnsi="Times New Roman" w:cs="Times New Roman"/>
                <w:b/>
                <w:color w:val="FF0000"/>
                <w:spacing w:val="-2"/>
                <w:lang w:val="fr-FR"/>
              </w:rPr>
              <w:t>!!!</w:t>
            </w:r>
            <w:r w:rsidRPr="00F551A9">
              <w:rPr>
                <w:rStyle w:val="FootnoteReference"/>
                <w:rFonts w:ascii="Times New Roman" w:hAnsi="Times New Roman" w:cs="Times New Roman"/>
                <w:b/>
                <w:color w:val="FF0000"/>
                <w:spacing w:val="-2"/>
                <w:lang w:val="fr-FR"/>
              </w:rPr>
              <w:footnoteReference w:id="14"/>
            </w:r>
          </w:p>
        </w:tc>
        <w:tc>
          <w:tcPr>
            <w:tcW w:w="580" w:type="pct"/>
            <w:shd w:val="clear" w:color="auto" w:fill="FFCC66"/>
          </w:tcPr>
          <w:p w14:paraId="1D58189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57B447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3A25E48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5ABC58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069611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4620593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620C00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E041366" w14:textId="77777777" w:rsidTr="00886A3C">
        <w:trPr>
          <w:trHeight w:val="20"/>
          <w:jc w:val="center"/>
        </w:trPr>
        <w:tc>
          <w:tcPr>
            <w:tcW w:w="213" w:type="pct"/>
            <w:shd w:val="clear" w:color="auto" w:fill="FFCC66"/>
          </w:tcPr>
          <w:p w14:paraId="3A535F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14</w:t>
            </w:r>
          </w:p>
        </w:tc>
        <w:tc>
          <w:tcPr>
            <w:tcW w:w="1022" w:type="pct"/>
            <w:shd w:val="clear" w:color="auto" w:fill="FFCC66"/>
          </w:tcPr>
          <w:p w14:paraId="2B8B7C5F"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b/>
                <w:i/>
                <w:color w:val="FF0000"/>
                <w:spacing w:val="-2"/>
                <w:lang w:val="fr-FR"/>
              </w:rPr>
            </w:pPr>
            <w:r w:rsidRPr="00856FAD">
              <w:rPr>
                <w:rFonts w:ascii="Times New Roman" w:hAnsi="Times New Roman" w:cs="Times New Roman"/>
                <w:color w:val="000000"/>
                <w:spacing w:val="-2"/>
                <w:lang w:val="fr-FR"/>
              </w:rPr>
              <w:t xml:space="preserve">- </w:t>
            </w:r>
            <w:r w:rsidRPr="00F551A9">
              <w:rPr>
                <w:rFonts w:ascii="Times New Roman" w:hAnsi="Times New Roman"/>
                <w:color w:val="000000"/>
                <w:spacing w:val="-2"/>
                <w:lang w:val="fr-FR"/>
              </w:rPr>
              <w:t>Méditerranée occidentale/Méditerranée occidentale</w:t>
            </w:r>
            <w:r>
              <w:rPr>
                <w:rFonts w:ascii="Times New Roman" w:hAnsi="Times New Roman"/>
                <w:color w:val="000000"/>
                <w:spacing w:val="-2"/>
                <w:lang w:val="fr-FR"/>
              </w:rPr>
              <w:t xml:space="preserve"> </w:t>
            </w:r>
            <w:r w:rsidRPr="00F551A9">
              <w:rPr>
                <w:rFonts w:ascii="Times New Roman" w:hAnsi="Times New Roman"/>
                <w:color w:val="000000"/>
                <w:spacing w:val="-2"/>
                <w:lang w:val="fr-FR"/>
              </w:rPr>
              <w:t>&amp;Afrique de l</w:t>
            </w:r>
            <w:r>
              <w:rPr>
                <w:rFonts w:ascii="Times New Roman" w:hAnsi="Times New Roman"/>
                <w:color w:val="000000"/>
                <w:spacing w:val="-2"/>
                <w:lang w:val="fr-FR"/>
              </w:rPr>
              <w:t>’</w:t>
            </w:r>
            <w:r w:rsidRPr="00F551A9">
              <w:rPr>
                <w:rFonts w:ascii="Times New Roman" w:hAnsi="Times New Roman"/>
                <w:color w:val="000000"/>
                <w:spacing w:val="-2"/>
                <w:lang w:val="fr-FR"/>
              </w:rPr>
              <w:t>Oue</w:t>
            </w:r>
            <w:smartTag w:uri="urn:schemas-microsoft-com:office:smarttags" w:element="PersonName">
              <w:r w:rsidRPr="00F551A9">
                <w:rPr>
                  <w:rFonts w:ascii="Times New Roman" w:hAnsi="Times New Roman"/>
                  <w:color w:val="000000"/>
                  <w:spacing w:val="-2"/>
                  <w:lang w:val="fr-FR"/>
                </w:rPr>
                <w:t>s</w:t>
              </w:r>
            </w:smartTag>
            <w:r w:rsidRPr="00F551A9">
              <w:rPr>
                <w:rFonts w:ascii="Times New Roman" w:hAnsi="Times New Roman"/>
                <w:color w:val="000000"/>
                <w:spacing w:val="-2"/>
                <w:lang w:val="fr-FR"/>
              </w:rPr>
              <w:t>t</w:t>
            </w:r>
            <w:r w:rsidRPr="00F551A9">
              <w:rPr>
                <w:rFonts w:ascii="Times New Roman" w:hAnsi="Times New Roman" w:cs="Times New Roman"/>
                <w:color w:val="000000"/>
                <w:spacing w:val="-2"/>
                <w:lang w:val="fr-FR"/>
              </w:rPr>
              <w:t xml:space="preserve"> </w:t>
            </w:r>
          </w:p>
        </w:tc>
        <w:tc>
          <w:tcPr>
            <w:tcW w:w="580" w:type="pct"/>
            <w:shd w:val="clear" w:color="auto" w:fill="FFCC66"/>
          </w:tcPr>
          <w:p w14:paraId="212F10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1a 1b 1c</w:t>
            </w:r>
          </w:p>
        </w:tc>
        <w:tc>
          <w:tcPr>
            <w:tcW w:w="535" w:type="pct"/>
            <w:shd w:val="clear" w:color="auto" w:fill="FFCC66"/>
          </w:tcPr>
          <w:p w14:paraId="25A226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58B5C33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500F97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013BDC77"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w:t>
            </w:r>
            <w:r>
              <w:rPr>
                <w:rFonts w:ascii="Times New Roman" w:hAnsi="Times New Roman" w:cs="Times New Roman"/>
                <w:color w:val="000000"/>
              </w:rPr>
              <w:t> </w:t>
            </w:r>
            <w:r w:rsidRPr="001571EF">
              <w:rPr>
                <w:rFonts w:ascii="Times New Roman" w:hAnsi="Times New Roman" w:cs="Times New Roman"/>
                <w:color w:val="000000"/>
              </w:rPr>
              <w:t>000-5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CC66"/>
          </w:tcPr>
          <w:p w14:paraId="70856F4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fluctuante</w:t>
            </w:r>
          </w:p>
        </w:tc>
        <w:tc>
          <w:tcPr>
            <w:tcW w:w="602" w:type="pct"/>
            <w:shd w:val="clear" w:color="auto" w:fill="FFCC66"/>
          </w:tcPr>
          <w:p w14:paraId="4A0C1E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Élevée</w:t>
            </w:r>
          </w:p>
        </w:tc>
      </w:tr>
      <w:tr w:rsidR="00886A3C" w:rsidRPr="001571EF" w14:paraId="42F33A35" w14:textId="77777777" w:rsidTr="00886A3C">
        <w:trPr>
          <w:trHeight w:val="20"/>
          <w:jc w:val="center"/>
        </w:trPr>
        <w:tc>
          <w:tcPr>
            <w:tcW w:w="213" w:type="pct"/>
            <w:shd w:val="clear" w:color="auto" w:fill="FFCC66"/>
          </w:tcPr>
          <w:p w14:paraId="0D6908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117C8A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Grus paradisea</w:t>
            </w:r>
          </w:p>
        </w:tc>
        <w:tc>
          <w:tcPr>
            <w:tcW w:w="580" w:type="pct"/>
            <w:shd w:val="clear" w:color="auto" w:fill="FFCC66"/>
          </w:tcPr>
          <w:p w14:paraId="71C95A8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54A301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0C8238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7ABCB8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34FDB6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045D7CC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1188AA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030AFEF" w14:textId="77777777" w:rsidTr="00886A3C">
        <w:trPr>
          <w:trHeight w:val="20"/>
          <w:jc w:val="center"/>
        </w:trPr>
        <w:tc>
          <w:tcPr>
            <w:tcW w:w="213" w:type="pct"/>
            <w:shd w:val="clear" w:color="auto" w:fill="FFCC66"/>
          </w:tcPr>
          <w:p w14:paraId="080CE0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15</w:t>
            </w:r>
          </w:p>
        </w:tc>
        <w:tc>
          <w:tcPr>
            <w:tcW w:w="1022" w:type="pct"/>
            <w:shd w:val="clear" w:color="auto" w:fill="FFCC66"/>
          </w:tcPr>
          <w:p w14:paraId="70FACE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551A9">
              <w:rPr>
                <w:rFonts w:ascii="Times New Roman" w:hAnsi="Times New Roman"/>
                <w:color w:val="000000"/>
                <w:spacing w:val="-2"/>
                <w:lang w:val="fr-FR"/>
              </w:rPr>
              <w:t>Extrémité Afrique au</w:t>
            </w:r>
            <w:smartTag w:uri="urn:schemas-microsoft-com:office:smarttags" w:element="PersonName">
              <w:r w:rsidRPr="00F551A9">
                <w:rPr>
                  <w:rFonts w:ascii="Times New Roman" w:hAnsi="Times New Roman"/>
                  <w:color w:val="000000"/>
                  <w:spacing w:val="-2"/>
                  <w:lang w:val="fr-FR"/>
                </w:rPr>
                <w:t>s</w:t>
              </w:r>
            </w:smartTag>
            <w:r w:rsidRPr="00F551A9">
              <w:rPr>
                <w:rFonts w:ascii="Times New Roman" w:hAnsi="Times New Roman"/>
                <w:color w:val="000000"/>
                <w:spacing w:val="-2"/>
                <w:lang w:val="fr-FR"/>
              </w:rPr>
              <w:t>trale</w:t>
            </w:r>
          </w:p>
        </w:tc>
        <w:tc>
          <w:tcPr>
            <w:tcW w:w="580" w:type="pct"/>
            <w:shd w:val="clear" w:color="auto" w:fill="FFCC66"/>
          </w:tcPr>
          <w:p w14:paraId="60CAFE7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1b</w:t>
            </w:r>
            <w:r>
              <w:rPr>
                <w:rFonts w:ascii="Times New Roman" w:hAnsi="Times New Roman" w:cs="Times New Roman"/>
                <w:color w:val="000000"/>
                <w:spacing w:val="-2"/>
              </w:rPr>
              <w:t xml:space="preserve"> </w:t>
            </w:r>
          </w:p>
        </w:tc>
        <w:tc>
          <w:tcPr>
            <w:tcW w:w="535" w:type="pct"/>
            <w:shd w:val="clear" w:color="auto" w:fill="FFCC66"/>
          </w:tcPr>
          <w:p w14:paraId="669084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52" w:type="pct"/>
            <w:shd w:val="clear" w:color="auto" w:fill="FFCC66"/>
          </w:tcPr>
          <w:p w14:paraId="514A46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2986759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2659659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25</w:t>
            </w:r>
            <w:r>
              <w:rPr>
                <w:rFonts w:ascii="Times New Roman" w:hAnsi="Times New Roman" w:cs="Times New Roman"/>
                <w:color w:val="000000"/>
              </w:rPr>
              <w:t> </w:t>
            </w:r>
            <w:r w:rsidRPr="001571EF">
              <w:rPr>
                <w:rFonts w:ascii="Times New Roman" w:hAnsi="Times New Roman" w:cs="Times New Roman"/>
                <w:color w:val="000000"/>
              </w:rPr>
              <w:t>500</w:t>
            </w:r>
          </w:p>
        </w:tc>
        <w:tc>
          <w:tcPr>
            <w:tcW w:w="600" w:type="pct"/>
            <w:shd w:val="clear" w:color="auto" w:fill="FFCC66"/>
          </w:tcPr>
          <w:p w14:paraId="4E9C106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stable</w:t>
            </w:r>
          </w:p>
        </w:tc>
        <w:tc>
          <w:tcPr>
            <w:tcW w:w="602" w:type="pct"/>
            <w:shd w:val="clear" w:color="auto" w:fill="FFCC66"/>
          </w:tcPr>
          <w:p w14:paraId="542D12A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Moyenne</w:t>
            </w:r>
          </w:p>
        </w:tc>
      </w:tr>
      <w:tr w:rsidR="00886A3C" w:rsidRPr="001571EF" w14:paraId="77515A97" w14:textId="77777777" w:rsidTr="00886A3C">
        <w:trPr>
          <w:trHeight w:val="20"/>
          <w:jc w:val="center"/>
        </w:trPr>
        <w:tc>
          <w:tcPr>
            <w:tcW w:w="213" w:type="pct"/>
            <w:shd w:val="clear" w:color="auto" w:fill="FFCC66"/>
          </w:tcPr>
          <w:p w14:paraId="46DA50E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405F333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Phalacrocorax nigrogularis.</w:t>
            </w:r>
          </w:p>
        </w:tc>
        <w:tc>
          <w:tcPr>
            <w:tcW w:w="580" w:type="pct"/>
            <w:shd w:val="clear" w:color="auto" w:fill="FFCC66"/>
          </w:tcPr>
          <w:p w14:paraId="1F3BC7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5357C40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6908425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7CE50E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7A64158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6C9B4BB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1CB56E3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C0B70DF" w14:textId="77777777" w:rsidTr="00886A3C">
        <w:trPr>
          <w:trHeight w:val="20"/>
          <w:jc w:val="center"/>
        </w:trPr>
        <w:tc>
          <w:tcPr>
            <w:tcW w:w="213" w:type="pct"/>
            <w:tcBorders>
              <w:bottom w:val="single" w:sz="6" w:space="0" w:color="auto"/>
            </w:tcBorders>
            <w:shd w:val="clear" w:color="auto" w:fill="FFCC66"/>
          </w:tcPr>
          <w:p w14:paraId="070D385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16</w:t>
            </w:r>
          </w:p>
        </w:tc>
        <w:tc>
          <w:tcPr>
            <w:tcW w:w="1022" w:type="pct"/>
            <w:tcBorders>
              <w:bottom w:val="single" w:sz="6" w:space="0" w:color="auto"/>
            </w:tcBorders>
            <w:shd w:val="clear" w:color="auto" w:fill="FFCC66"/>
          </w:tcPr>
          <w:p w14:paraId="21360671" w14:textId="77777777" w:rsidR="00886A3C" w:rsidRPr="00103E7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103E7F">
              <w:rPr>
                <w:rFonts w:ascii="Times New Roman" w:hAnsi="Times New Roman" w:cs="Times New Roman"/>
                <w:color w:val="000000"/>
                <w:spacing w:val="-2"/>
                <w:lang w:val="fr-FR"/>
              </w:rPr>
              <w:t xml:space="preserve">- </w:t>
            </w:r>
            <w:r w:rsidRPr="00F551A9">
              <w:rPr>
                <w:rFonts w:ascii="Times New Roman" w:hAnsi="Times New Roman"/>
                <w:color w:val="000000"/>
                <w:spacing w:val="-2"/>
                <w:lang w:val="fr-FR"/>
              </w:rPr>
              <w:t>Golfe d</w:t>
            </w:r>
            <w:r>
              <w:rPr>
                <w:rFonts w:ascii="Times New Roman" w:hAnsi="Times New Roman"/>
                <w:color w:val="000000"/>
                <w:spacing w:val="-2"/>
                <w:lang w:val="fr-FR"/>
              </w:rPr>
              <w:t>’</w:t>
            </w:r>
            <w:r w:rsidRPr="00F551A9">
              <w:rPr>
                <w:rFonts w:ascii="Times New Roman" w:hAnsi="Times New Roman"/>
                <w:color w:val="000000"/>
                <w:spacing w:val="-2"/>
                <w:lang w:val="fr-FR"/>
              </w:rPr>
              <w:t>Aden</w:t>
            </w:r>
            <w:r>
              <w:rPr>
                <w:rFonts w:ascii="Times New Roman" w:hAnsi="Times New Roman"/>
                <w:color w:val="000000"/>
                <w:spacing w:val="-2"/>
                <w:lang w:val="fr-FR"/>
              </w:rPr>
              <w:t>,</w:t>
            </w:r>
            <w:r w:rsidRPr="00F551A9">
              <w:rPr>
                <w:rFonts w:ascii="Times New Roman" w:hAnsi="Times New Roman"/>
                <w:color w:val="000000"/>
                <w:spacing w:val="-2"/>
                <w:lang w:val="fr-FR"/>
              </w:rPr>
              <w:t xml:space="preserve"> Socotra, mer d</w:t>
            </w:r>
            <w:r>
              <w:rPr>
                <w:rFonts w:ascii="Times New Roman" w:hAnsi="Times New Roman"/>
                <w:color w:val="000000"/>
                <w:spacing w:val="-2"/>
                <w:lang w:val="fr-FR"/>
              </w:rPr>
              <w:t>’</w:t>
            </w:r>
            <w:r w:rsidRPr="00F551A9">
              <w:rPr>
                <w:rFonts w:ascii="Times New Roman" w:hAnsi="Times New Roman"/>
                <w:color w:val="000000"/>
                <w:spacing w:val="-2"/>
                <w:lang w:val="fr-FR"/>
              </w:rPr>
              <w:t>Oman</w:t>
            </w:r>
          </w:p>
        </w:tc>
        <w:tc>
          <w:tcPr>
            <w:tcW w:w="580" w:type="pct"/>
            <w:tcBorders>
              <w:bottom w:val="single" w:sz="6" w:space="0" w:color="auto"/>
            </w:tcBorders>
            <w:shd w:val="clear" w:color="auto" w:fill="FFCC66"/>
          </w:tcPr>
          <w:p w14:paraId="30A1EB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1b</w:t>
            </w:r>
          </w:p>
        </w:tc>
        <w:tc>
          <w:tcPr>
            <w:tcW w:w="535" w:type="pct"/>
            <w:tcBorders>
              <w:bottom w:val="single" w:sz="6" w:space="0" w:color="auto"/>
            </w:tcBorders>
            <w:shd w:val="clear" w:color="auto" w:fill="FFCC66"/>
          </w:tcPr>
          <w:p w14:paraId="4ED18E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52" w:type="pct"/>
            <w:tcBorders>
              <w:bottom w:val="single" w:sz="6" w:space="0" w:color="auto"/>
            </w:tcBorders>
            <w:shd w:val="clear" w:color="auto" w:fill="FFCC66"/>
          </w:tcPr>
          <w:p w14:paraId="584C70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shd w:val="clear" w:color="auto" w:fill="FFCC66"/>
          </w:tcPr>
          <w:p w14:paraId="07893F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shd w:val="clear" w:color="auto" w:fill="FFCC66"/>
            <w:vAlign w:val="center"/>
          </w:tcPr>
          <w:p w14:paraId="3743E36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shd w:val="clear" w:color="auto" w:fill="FFCC66"/>
          </w:tcPr>
          <w:p w14:paraId="4276F96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Stable/</w:t>
            </w:r>
            <w:r>
              <w:rPr>
                <w:rFonts w:ascii="Times New Roman" w:hAnsi="Times New Roman" w:cs="Times New Roman"/>
                <w:color w:val="000000"/>
                <w:spacing w:val="-2"/>
                <w:lang w:val="fr-FR"/>
              </w:rPr>
              <w:t>augmentation</w:t>
            </w:r>
          </w:p>
        </w:tc>
        <w:tc>
          <w:tcPr>
            <w:tcW w:w="602" w:type="pct"/>
            <w:tcBorders>
              <w:bottom w:val="single" w:sz="6" w:space="0" w:color="auto"/>
            </w:tcBorders>
            <w:shd w:val="clear" w:color="auto" w:fill="FFCC66"/>
          </w:tcPr>
          <w:p w14:paraId="694A8CE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Moyenne</w:t>
            </w:r>
          </w:p>
        </w:tc>
      </w:tr>
      <w:tr w:rsidR="00886A3C" w:rsidRPr="001571EF" w14:paraId="4FC3D068" w14:textId="77777777" w:rsidTr="00886A3C">
        <w:trPr>
          <w:trHeight w:val="20"/>
          <w:jc w:val="center"/>
        </w:trPr>
        <w:tc>
          <w:tcPr>
            <w:tcW w:w="213" w:type="pct"/>
            <w:shd w:val="clear" w:color="auto" w:fill="FFCC66"/>
          </w:tcPr>
          <w:p w14:paraId="0DF612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CC66"/>
          </w:tcPr>
          <w:p w14:paraId="343A0D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 xml:space="preserve">Pelecanus crispus </w:t>
            </w:r>
            <w:r w:rsidRPr="00F551A9">
              <w:rPr>
                <w:rFonts w:ascii="Times New Roman" w:hAnsi="Times New Roman" w:cs="Times New Roman"/>
                <w:b/>
                <w:color w:val="FF0000"/>
                <w:spacing w:val="-2"/>
                <w:lang w:val="fr-FR"/>
              </w:rPr>
              <w:t>!!!</w:t>
            </w:r>
            <w:r w:rsidRPr="00F551A9">
              <w:rPr>
                <w:rStyle w:val="FootnoteReference"/>
                <w:rFonts w:ascii="Times New Roman" w:hAnsi="Times New Roman" w:cs="Times New Roman"/>
                <w:b/>
                <w:color w:val="FF0000"/>
                <w:spacing w:val="-2"/>
                <w:lang w:val="fr-FR"/>
              </w:rPr>
              <w:footnoteReference w:id="15"/>
            </w:r>
          </w:p>
        </w:tc>
        <w:tc>
          <w:tcPr>
            <w:tcW w:w="580" w:type="pct"/>
            <w:shd w:val="clear" w:color="auto" w:fill="FFCC66"/>
          </w:tcPr>
          <w:p w14:paraId="322188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CC66"/>
          </w:tcPr>
          <w:p w14:paraId="4B7128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4F2D374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14AFB13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VU</w:t>
            </w:r>
          </w:p>
        </w:tc>
        <w:tc>
          <w:tcPr>
            <w:tcW w:w="533" w:type="pct"/>
            <w:shd w:val="clear" w:color="auto" w:fill="FFCC66"/>
          </w:tcPr>
          <w:p w14:paraId="332F14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CC66"/>
          </w:tcPr>
          <w:p w14:paraId="30448DE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CC66"/>
          </w:tcPr>
          <w:p w14:paraId="510534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98F954D" w14:textId="77777777" w:rsidTr="00886A3C">
        <w:trPr>
          <w:trHeight w:val="20"/>
          <w:jc w:val="center"/>
        </w:trPr>
        <w:tc>
          <w:tcPr>
            <w:tcW w:w="213" w:type="pct"/>
            <w:shd w:val="clear" w:color="auto" w:fill="FFCC66"/>
          </w:tcPr>
          <w:p w14:paraId="261EF8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17</w:t>
            </w:r>
          </w:p>
        </w:tc>
        <w:tc>
          <w:tcPr>
            <w:tcW w:w="1022" w:type="pct"/>
            <w:shd w:val="clear" w:color="auto" w:fill="FFCC66"/>
          </w:tcPr>
          <w:p w14:paraId="0D35F4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551A9">
              <w:rPr>
                <w:rFonts w:ascii="Times New Roman" w:hAnsi="Times New Roman"/>
                <w:color w:val="000000"/>
                <w:spacing w:val="-2"/>
                <w:lang w:val="fr-FR"/>
              </w:rPr>
              <w:t>Mer Noire &amp; Méditerranée (hiv)</w:t>
            </w:r>
          </w:p>
        </w:tc>
        <w:tc>
          <w:tcPr>
            <w:tcW w:w="580" w:type="pct"/>
            <w:shd w:val="clear" w:color="auto" w:fill="FFCC66"/>
          </w:tcPr>
          <w:p w14:paraId="69F02BE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1a 1b 1c</w:t>
            </w:r>
          </w:p>
        </w:tc>
        <w:tc>
          <w:tcPr>
            <w:tcW w:w="535" w:type="pct"/>
            <w:shd w:val="clear" w:color="auto" w:fill="FFCC66"/>
          </w:tcPr>
          <w:p w14:paraId="3DD04ED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CC66"/>
          </w:tcPr>
          <w:p w14:paraId="7B6DBB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CC66"/>
          </w:tcPr>
          <w:p w14:paraId="3BB310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CC66"/>
            <w:vAlign w:val="center"/>
          </w:tcPr>
          <w:p w14:paraId="5F9C607B"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w:t>
            </w:r>
            <w:r>
              <w:rPr>
                <w:rFonts w:ascii="Times New Roman" w:hAnsi="Times New Roman" w:cs="Times New Roman"/>
                <w:color w:val="000000"/>
              </w:rPr>
              <w:t> </w:t>
            </w:r>
            <w:r w:rsidRPr="001571EF">
              <w:rPr>
                <w:rFonts w:ascii="Times New Roman" w:hAnsi="Times New Roman" w:cs="Times New Roman"/>
                <w:color w:val="000000"/>
              </w:rPr>
              <w:t>350-4</w:t>
            </w:r>
            <w:r>
              <w:rPr>
                <w:rFonts w:ascii="Times New Roman" w:hAnsi="Times New Roman" w:cs="Times New Roman"/>
                <w:color w:val="000000"/>
              </w:rPr>
              <w:t> </w:t>
            </w:r>
            <w:r w:rsidRPr="001571EF">
              <w:rPr>
                <w:rFonts w:ascii="Times New Roman" w:hAnsi="Times New Roman" w:cs="Times New Roman"/>
                <w:color w:val="000000"/>
              </w:rPr>
              <w:t>800</w:t>
            </w:r>
          </w:p>
        </w:tc>
        <w:tc>
          <w:tcPr>
            <w:tcW w:w="600" w:type="pct"/>
            <w:shd w:val="clear" w:color="auto" w:fill="FFCC66"/>
          </w:tcPr>
          <w:p w14:paraId="0D2E447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augmentation</w:t>
            </w:r>
          </w:p>
        </w:tc>
        <w:tc>
          <w:tcPr>
            <w:tcW w:w="602" w:type="pct"/>
            <w:shd w:val="clear" w:color="auto" w:fill="FFCC66"/>
          </w:tcPr>
          <w:p w14:paraId="43059E1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Moyenne</w:t>
            </w:r>
          </w:p>
        </w:tc>
      </w:tr>
      <w:tr w:rsidR="00886A3C" w:rsidRPr="001571EF" w14:paraId="4665E637" w14:textId="77777777" w:rsidTr="00886A3C">
        <w:trPr>
          <w:trHeight w:val="20"/>
          <w:jc w:val="center"/>
        </w:trPr>
        <w:tc>
          <w:tcPr>
            <w:tcW w:w="213" w:type="pct"/>
            <w:tcBorders>
              <w:bottom w:val="single" w:sz="6" w:space="0" w:color="auto"/>
            </w:tcBorders>
          </w:tcPr>
          <w:p w14:paraId="245F91DA" w14:textId="77777777" w:rsidR="00886A3C" w:rsidRPr="001571EF" w:rsidRDefault="00886A3C" w:rsidP="00886A3C">
            <w:pPr>
              <w:keepNext/>
              <w:overflowPunct w:val="0"/>
              <w:autoSpaceDE w:val="0"/>
              <w:autoSpaceDN w:val="0"/>
              <w:adjustRightInd w:val="0"/>
              <w:spacing w:after="0" w:line="240" w:lineRule="auto"/>
              <w:jc w:val="center"/>
              <w:textAlignment w:val="baseline"/>
              <w:outlineLvl w:val="3"/>
              <w:rPr>
                <w:rFonts w:ascii="Times New Roman" w:hAnsi="Times New Roman" w:cs="Times New Roman"/>
                <w:b/>
                <w:iCs/>
                <w:color w:val="000000"/>
              </w:rPr>
            </w:pPr>
          </w:p>
        </w:tc>
        <w:tc>
          <w:tcPr>
            <w:tcW w:w="1022" w:type="pct"/>
            <w:tcBorders>
              <w:bottom w:val="single" w:sz="6" w:space="0" w:color="auto"/>
            </w:tcBorders>
          </w:tcPr>
          <w:p w14:paraId="016B1ABC" w14:textId="77777777" w:rsidR="00886A3C" w:rsidRPr="001571EF" w:rsidRDefault="00886A3C" w:rsidP="00886A3C">
            <w:pPr>
              <w:keepNext/>
              <w:overflowPunct w:val="0"/>
              <w:autoSpaceDE w:val="0"/>
              <w:autoSpaceDN w:val="0"/>
              <w:adjustRightInd w:val="0"/>
              <w:spacing w:after="0" w:line="240" w:lineRule="auto"/>
              <w:textAlignment w:val="baseline"/>
              <w:outlineLvl w:val="3"/>
              <w:rPr>
                <w:rFonts w:ascii="Times New Roman" w:hAnsi="Times New Roman" w:cs="Times New Roman"/>
                <w:b/>
                <w:iCs/>
                <w:color w:val="000000"/>
              </w:rPr>
            </w:pPr>
          </w:p>
        </w:tc>
        <w:tc>
          <w:tcPr>
            <w:tcW w:w="580" w:type="pct"/>
            <w:tcBorders>
              <w:bottom w:val="single" w:sz="6" w:space="0" w:color="auto"/>
            </w:tcBorders>
            <w:shd w:val="clear" w:color="auto" w:fill="auto"/>
          </w:tcPr>
          <w:p w14:paraId="04ED5D2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tcBorders>
              <w:bottom w:val="single" w:sz="6" w:space="0" w:color="auto"/>
            </w:tcBorders>
            <w:shd w:val="clear" w:color="auto" w:fill="auto"/>
          </w:tcPr>
          <w:p w14:paraId="211BD6F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4411DA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7BED31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tcPr>
          <w:p w14:paraId="558E29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Borders>
              <w:bottom w:val="single" w:sz="6" w:space="0" w:color="auto"/>
            </w:tcBorders>
          </w:tcPr>
          <w:p w14:paraId="49C879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Borders>
              <w:bottom w:val="single" w:sz="6" w:space="0" w:color="auto"/>
            </w:tcBorders>
          </w:tcPr>
          <w:p w14:paraId="2AEC4D8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63792F1" w14:textId="77777777" w:rsidTr="00886A3C">
        <w:trPr>
          <w:trHeight w:val="20"/>
          <w:jc w:val="center"/>
        </w:trPr>
        <w:tc>
          <w:tcPr>
            <w:tcW w:w="213" w:type="pct"/>
            <w:shd w:val="clear" w:color="auto" w:fill="FFFF99"/>
          </w:tcPr>
          <w:p w14:paraId="4E3DA7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2E4018C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F551A9">
              <w:rPr>
                <w:rFonts w:ascii="Times New Roman" w:hAnsi="Times New Roman" w:cs="Times New Roman"/>
                <w:i/>
                <w:color w:val="000000"/>
                <w:spacing w:val="-2"/>
                <w:lang w:val="fr-FR"/>
              </w:rPr>
              <w:t>Phalacrocorax capensis</w:t>
            </w:r>
          </w:p>
        </w:tc>
        <w:tc>
          <w:tcPr>
            <w:tcW w:w="580" w:type="pct"/>
            <w:shd w:val="clear" w:color="auto" w:fill="FFFF99"/>
          </w:tcPr>
          <w:p w14:paraId="6C02D0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4314DC2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124E7A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67BE01B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NT</w:t>
            </w:r>
          </w:p>
        </w:tc>
        <w:tc>
          <w:tcPr>
            <w:tcW w:w="533" w:type="pct"/>
            <w:shd w:val="clear" w:color="auto" w:fill="FFFF99"/>
          </w:tcPr>
          <w:p w14:paraId="7F54064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558161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5F8757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BFF3347" w14:textId="77777777" w:rsidTr="00886A3C">
        <w:trPr>
          <w:trHeight w:val="20"/>
          <w:jc w:val="center"/>
        </w:trPr>
        <w:tc>
          <w:tcPr>
            <w:tcW w:w="213" w:type="pct"/>
            <w:shd w:val="clear" w:color="auto" w:fill="FFFF99"/>
          </w:tcPr>
          <w:p w14:paraId="7D0D210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18</w:t>
            </w:r>
          </w:p>
        </w:tc>
        <w:tc>
          <w:tcPr>
            <w:tcW w:w="1022" w:type="pct"/>
            <w:shd w:val="clear" w:color="auto" w:fill="FFFF99"/>
          </w:tcPr>
          <w:p w14:paraId="7BB8346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551A9">
              <w:rPr>
                <w:rFonts w:ascii="Times New Roman" w:hAnsi="Times New Roman" w:cs="Times New Roman"/>
                <w:color w:val="000000"/>
                <w:spacing w:val="-2"/>
                <w:lang w:val="fr-FR"/>
              </w:rPr>
              <w:t>Littoral de l</w:t>
            </w:r>
            <w:r>
              <w:rPr>
                <w:rFonts w:ascii="Times New Roman" w:hAnsi="Times New Roman" w:cs="Times New Roman"/>
                <w:color w:val="000000"/>
                <w:spacing w:val="-2"/>
                <w:lang w:val="fr-FR"/>
              </w:rPr>
              <w:t>’</w:t>
            </w:r>
            <w:r w:rsidRPr="00F551A9">
              <w:rPr>
                <w:rFonts w:ascii="Times New Roman" w:hAnsi="Times New Roman" w:cs="Times New Roman"/>
                <w:color w:val="000000"/>
                <w:spacing w:val="-2"/>
                <w:lang w:val="fr-FR"/>
              </w:rPr>
              <w:t>Afrique australe</w:t>
            </w:r>
          </w:p>
        </w:tc>
        <w:tc>
          <w:tcPr>
            <w:tcW w:w="580" w:type="pct"/>
            <w:shd w:val="clear" w:color="auto" w:fill="FFFF99"/>
          </w:tcPr>
          <w:p w14:paraId="64C006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535" w:type="pct"/>
            <w:shd w:val="clear" w:color="auto" w:fill="FFFF99"/>
          </w:tcPr>
          <w:p w14:paraId="35BC98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1F2792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4C3C62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43AE7C65"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300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17E70B8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déclin</w:t>
            </w:r>
          </w:p>
        </w:tc>
        <w:tc>
          <w:tcPr>
            <w:tcW w:w="602" w:type="pct"/>
            <w:shd w:val="clear" w:color="auto" w:fill="FFFF99"/>
          </w:tcPr>
          <w:p w14:paraId="15B215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Moyenne</w:t>
            </w:r>
          </w:p>
        </w:tc>
      </w:tr>
      <w:tr w:rsidR="00886A3C" w:rsidRPr="001571EF" w14:paraId="62F5AC94" w14:textId="77777777" w:rsidTr="00886A3C">
        <w:trPr>
          <w:trHeight w:val="20"/>
          <w:jc w:val="center"/>
        </w:trPr>
        <w:tc>
          <w:tcPr>
            <w:tcW w:w="213" w:type="pct"/>
            <w:shd w:val="clear" w:color="auto" w:fill="FFFF99"/>
          </w:tcPr>
          <w:p w14:paraId="385F2E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3682A4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F551A9">
              <w:rPr>
                <w:rFonts w:ascii="Times New Roman" w:hAnsi="Times New Roman" w:cs="Times New Roman"/>
                <w:i/>
                <w:color w:val="000000"/>
                <w:spacing w:val="-2"/>
                <w:lang w:val="fr-FR"/>
              </w:rPr>
              <w:t>Numenius arquata suschkini</w:t>
            </w:r>
            <w:r w:rsidRPr="00F551A9">
              <w:rPr>
                <w:rStyle w:val="FootnoteReference"/>
                <w:rFonts w:ascii="Times New Roman" w:hAnsi="Times New Roman" w:cs="Times New Roman"/>
                <w:i/>
                <w:color w:val="000000"/>
                <w:spacing w:val="-2"/>
                <w:lang w:val="fr-FR"/>
              </w:rPr>
              <w:footnoteReference w:id="16"/>
            </w:r>
          </w:p>
        </w:tc>
        <w:tc>
          <w:tcPr>
            <w:tcW w:w="580" w:type="pct"/>
            <w:shd w:val="clear" w:color="auto" w:fill="FFFF99"/>
          </w:tcPr>
          <w:p w14:paraId="4CED2F2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423763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61F8DD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2355C9D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551A9">
              <w:rPr>
                <w:rFonts w:ascii="Times New Roman" w:hAnsi="Times New Roman" w:cs="Times New Roman"/>
                <w:color w:val="000000"/>
                <w:spacing w:val="-2"/>
                <w:lang w:val="fr-FR"/>
              </w:rPr>
              <w:t>NT</w:t>
            </w:r>
          </w:p>
        </w:tc>
        <w:tc>
          <w:tcPr>
            <w:tcW w:w="533" w:type="pct"/>
            <w:shd w:val="clear" w:color="auto" w:fill="FFFF99"/>
          </w:tcPr>
          <w:p w14:paraId="2D2E32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6044CAD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4A275B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5A90583" w14:textId="77777777" w:rsidTr="00886A3C">
        <w:trPr>
          <w:jc w:val="center"/>
        </w:trPr>
        <w:tc>
          <w:tcPr>
            <w:tcW w:w="213" w:type="pct"/>
            <w:shd w:val="clear" w:color="auto" w:fill="FFFF99"/>
          </w:tcPr>
          <w:p w14:paraId="05EA9F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19</w:t>
            </w:r>
          </w:p>
        </w:tc>
        <w:tc>
          <w:tcPr>
            <w:tcW w:w="1022" w:type="pct"/>
            <w:shd w:val="clear" w:color="auto" w:fill="FFFF99"/>
          </w:tcPr>
          <w:p w14:paraId="14FD927C"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fr-FR"/>
              </w:rPr>
            </w:pPr>
            <w:r w:rsidRPr="00856FAD">
              <w:rPr>
                <w:rFonts w:ascii="Times New Roman" w:hAnsi="Times New Roman" w:cs="Times New Roman"/>
                <w:color w:val="000000"/>
                <w:spacing w:val="-2"/>
                <w:lang w:val="fr-FR"/>
              </w:rPr>
              <w:t xml:space="preserve">- </w:t>
            </w:r>
            <w:r w:rsidRPr="009C0DA2">
              <w:rPr>
                <w:rFonts w:ascii="Times New Roman" w:hAnsi="Times New Roman" w:cs="Times New Roman"/>
                <w:color w:val="000000"/>
                <w:spacing w:val="-2"/>
                <w:lang w:val="fr-FR"/>
              </w:rPr>
              <w:t>Europe du Sud-Est &amp; Asie du Sud-Ouest (rep)</w:t>
            </w:r>
          </w:p>
        </w:tc>
        <w:tc>
          <w:tcPr>
            <w:tcW w:w="580" w:type="pct"/>
            <w:shd w:val="clear" w:color="auto" w:fill="FFFF99"/>
          </w:tcPr>
          <w:p w14:paraId="5EE96D9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1c</w:t>
            </w:r>
          </w:p>
        </w:tc>
        <w:tc>
          <w:tcPr>
            <w:tcW w:w="535" w:type="pct"/>
            <w:shd w:val="clear" w:color="auto" w:fill="FFFF99"/>
          </w:tcPr>
          <w:p w14:paraId="3C1D61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4E38989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6C43A1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79944C4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49401C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déclin</w:t>
            </w:r>
          </w:p>
        </w:tc>
        <w:tc>
          <w:tcPr>
            <w:tcW w:w="602" w:type="pct"/>
            <w:shd w:val="clear" w:color="auto" w:fill="FFFF99"/>
          </w:tcPr>
          <w:p w14:paraId="3B89EF2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FD3BB81" w14:textId="77777777" w:rsidTr="00886A3C">
        <w:trPr>
          <w:trHeight w:val="20"/>
          <w:jc w:val="center"/>
        </w:trPr>
        <w:tc>
          <w:tcPr>
            <w:tcW w:w="213" w:type="pct"/>
            <w:shd w:val="clear" w:color="auto" w:fill="FFFF99"/>
          </w:tcPr>
          <w:p w14:paraId="304531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698CD7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Rynchops flavirostris</w:t>
            </w:r>
          </w:p>
        </w:tc>
        <w:tc>
          <w:tcPr>
            <w:tcW w:w="580" w:type="pct"/>
            <w:shd w:val="clear" w:color="auto" w:fill="FFFF99"/>
          </w:tcPr>
          <w:p w14:paraId="5B44B0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752F81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3A7AC86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1366EE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6ED507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7D8FFB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17BD9A4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8BC0784" w14:textId="77777777" w:rsidTr="00886A3C">
        <w:trPr>
          <w:trHeight w:val="20"/>
          <w:jc w:val="center"/>
        </w:trPr>
        <w:tc>
          <w:tcPr>
            <w:tcW w:w="213" w:type="pct"/>
            <w:shd w:val="clear" w:color="auto" w:fill="FFFF99"/>
          </w:tcPr>
          <w:p w14:paraId="58CD226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20</w:t>
            </w:r>
          </w:p>
        </w:tc>
        <w:tc>
          <w:tcPr>
            <w:tcW w:w="1022" w:type="pct"/>
            <w:shd w:val="clear" w:color="auto" w:fill="FFFF99"/>
          </w:tcPr>
          <w:p w14:paraId="50AE6BEA"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7361D">
              <w:rPr>
                <w:rFonts w:ascii="Times New Roman" w:hAnsi="Times New Roman" w:cs="Times New Roman"/>
                <w:color w:val="000000"/>
                <w:spacing w:val="-2"/>
                <w:lang w:val="fr-FR"/>
              </w:rPr>
              <w:t>Littoral de l</w:t>
            </w:r>
            <w:r>
              <w:rPr>
                <w:rFonts w:ascii="Times New Roman" w:hAnsi="Times New Roman" w:cs="Times New Roman"/>
                <w:color w:val="000000"/>
                <w:spacing w:val="-2"/>
                <w:lang w:val="fr-FR"/>
              </w:rPr>
              <w:t>’</w:t>
            </w:r>
            <w:r w:rsidRPr="00A7361D">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A7361D">
              <w:rPr>
                <w:rFonts w:ascii="Times New Roman" w:hAnsi="Times New Roman" w:cs="Times New Roman"/>
                <w:color w:val="000000"/>
                <w:spacing w:val="-2"/>
                <w:lang w:val="fr-FR"/>
              </w:rPr>
              <w:t>Ouest &amp; Afrique centrale</w:t>
            </w:r>
          </w:p>
        </w:tc>
        <w:tc>
          <w:tcPr>
            <w:tcW w:w="580" w:type="pct"/>
            <w:shd w:val="clear" w:color="auto" w:fill="FFFF99"/>
          </w:tcPr>
          <w:p w14:paraId="4E6ED25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535" w:type="pct"/>
            <w:shd w:val="clear" w:color="auto" w:fill="FFFF99"/>
          </w:tcPr>
          <w:p w14:paraId="0C872C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38D1FA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6A931B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289C788E"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w:t>
            </w:r>
            <w:r>
              <w:rPr>
                <w:rFonts w:ascii="Times New Roman" w:hAnsi="Times New Roman" w:cs="Times New Roman"/>
                <w:color w:val="000000"/>
              </w:rPr>
              <w:t> </w:t>
            </w:r>
            <w:r w:rsidRPr="001571EF">
              <w:rPr>
                <w:rFonts w:ascii="Times New Roman" w:hAnsi="Times New Roman" w:cs="Times New Roman"/>
                <w:color w:val="000000"/>
              </w:rPr>
              <w:t>000-13</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15C9B7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déclin</w:t>
            </w:r>
            <w:r w:rsidRPr="001571EF">
              <w:rPr>
                <w:rFonts w:ascii="Times New Roman" w:hAnsi="Times New Roman" w:cs="Times New Roman"/>
                <w:color w:val="000000"/>
                <w:spacing w:val="-2"/>
              </w:rPr>
              <w:t xml:space="preserve"> </w:t>
            </w:r>
          </w:p>
        </w:tc>
        <w:tc>
          <w:tcPr>
            <w:tcW w:w="602" w:type="pct"/>
            <w:shd w:val="clear" w:color="auto" w:fill="FFFF99"/>
          </w:tcPr>
          <w:p w14:paraId="768ADFE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5602A33" w14:textId="77777777" w:rsidTr="00886A3C">
        <w:trPr>
          <w:trHeight w:val="20"/>
          <w:jc w:val="center"/>
        </w:trPr>
        <w:tc>
          <w:tcPr>
            <w:tcW w:w="213" w:type="pct"/>
            <w:shd w:val="clear" w:color="auto" w:fill="FFFF99"/>
          </w:tcPr>
          <w:p w14:paraId="70793D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762ADD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Rynchops flavirostris</w:t>
            </w:r>
          </w:p>
        </w:tc>
        <w:tc>
          <w:tcPr>
            <w:tcW w:w="580" w:type="pct"/>
            <w:shd w:val="clear" w:color="auto" w:fill="FFFF99"/>
          </w:tcPr>
          <w:p w14:paraId="6575C36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71D6FF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6021D3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0CC4E4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788209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2FBA6B7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1DB8CB6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BE9EAB0" w14:textId="77777777" w:rsidTr="00886A3C">
        <w:trPr>
          <w:trHeight w:val="20"/>
          <w:jc w:val="center"/>
        </w:trPr>
        <w:tc>
          <w:tcPr>
            <w:tcW w:w="213" w:type="pct"/>
            <w:shd w:val="clear" w:color="auto" w:fill="FFFF99"/>
          </w:tcPr>
          <w:p w14:paraId="653FC3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21</w:t>
            </w:r>
          </w:p>
        </w:tc>
        <w:tc>
          <w:tcPr>
            <w:tcW w:w="1022" w:type="pct"/>
            <w:shd w:val="clear" w:color="auto" w:fill="FFFF99"/>
          </w:tcPr>
          <w:p w14:paraId="5A2B232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7361D">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A7361D">
              <w:rPr>
                <w:rFonts w:ascii="Times New Roman" w:hAnsi="Times New Roman" w:cs="Times New Roman"/>
                <w:color w:val="000000"/>
                <w:spacing w:val="-2"/>
                <w:lang w:val="fr-FR"/>
              </w:rPr>
              <w:t>Est &amp; australe</w:t>
            </w:r>
          </w:p>
        </w:tc>
        <w:tc>
          <w:tcPr>
            <w:tcW w:w="580" w:type="pct"/>
            <w:shd w:val="clear" w:color="auto" w:fill="FFFF99"/>
          </w:tcPr>
          <w:p w14:paraId="43F0E0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535" w:type="pct"/>
            <w:shd w:val="clear" w:color="auto" w:fill="FFFF99"/>
          </w:tcPr>
          <w:p w14:paraId="0AEAB4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692476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36EB7CA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031A36F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w:t>
            </w:r>
            <w:r>
              <w:rPr>
                <w:rFonts w:ascii="Times New Roman" w:hAnsi="Times New Roman" w:cs="Times New Roman"/>
                <w:color w:val="000000"/>
              </w:rPr>
              <w:t> </w:t>
            </w:r>
            <w:r w:rsidRPr="001571EF">
              <w:rPr>
                <w:rFonts w:ascii="Times New Roman" w:hAnsi="Times New Roman" w:cs="Times New Roman"/>
                <w:color w:val="000000"/>
              </w:rPr>
              <w:t>000-12</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1FBC48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déclin</w:t>
            </w:r>
          </w:p>
        </w:tc>
        <w:tc>
          <w:tcPr>
            <w:tcW w:w="602" w:type="pct"/>
            <w:shd w:val="clear" w:color="auto" w:fill="FFFF99"/>
          </w:tcPr>
          <w:p w14:paraId="153060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72520DD" w14:textId="77777777" w:rsidTr="00886A3C">
        <w:trPr>
          <w:trHeight w:val="20"/>
          <w:jc w:val="center"/>
        </w:trPr>
        <w:tc>
          <w:tcPr>
            <w:tcW w:w="213" w:type="pct"/>
            <w:shd w:val="clear" w:color="auto" w:fill="FFFF99"/>
          </w:tcPr>
          <w:p w14:paraId="57DD67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63E826C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Numenius arquata orientalis</w:t>
            </w:r>
            <w:r w:rsidRPr="00A7361D">
              <w:rPr>
                <w:rStyle w:val="FootnoteReference"/>
                <w:rFonts w:ascii="Times New Roman" w:hAnsi="Times New Roman" w:cs="Times New Roman"/>
                <w:i/>
                <w:color w:val="000000"/>
                <w:spacing w:val="-2"/>
                <w:lang w:val="fr-FR"/>
              </w:rPr>
              <w:footnoteReference w:id="17"/>
            </w:r>
          </w:p>
        </w:tc>
        <w:tc>
          <w:tcPr>
            <w:tcW w:w="580" w:type="pct"/>
            <w:shd w:val="clear" w:color="auto" w:fill="FFFF99"/>
          </w:tcPr>
          <w:p w14:paraId="5C2508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13CC65E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236EB18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689C60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5220A9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4A19597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4988FB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6018FEC" w14:textId="77777777" w:rsidTr="00886A3C">
        <w:trPr>
          <w:trHeight w:val="20"/>
          <w:jc w:val="center"/>
        </w:trPr>
        <w:tc>
          <w:tcPr>
            <w:tcW w:w="213" w:type="pct"/>
            <w:shd w:val="clear" w:color="auto" w:fill="FFFF99"/>
          </w:tcPr>
          <w:p w14:paraId="566A7D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22</w:t>
            </w:r>
          </w:p>
        </w:tc>
        <w:tc>
          <w:tcPr>
            <w:tcW w:w="1022" w:type="pct"/>
            <w:shd w:val="clear" w:color="auto" w:fill="FFFF99"/>
          </w:tcPr>
          <w:p w14:paraId="4E4D23FC"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fr-FR"/>
              </w:rPr>
            </w:pPr>
            <w:r w:rsidRPr="00856FAD">
              <w:rPr>
                <w:rFonts w:ascii="Times New Roman" w:hAnsi="Times New Roman" w:cs="Times New Roman"/>
                <w:color w:val="000000"/>
                <w:spacing w:val="-2"/>
                <w:lang w:val="fr-FR"/>
              </w:rPr>
              <w:t xml:space="preserve">- </w:t>
            </w:r>
            <w:r w:rsidRPr="00A7361D">
              <w:rPr>
                <w:rFonts w:ascii="Times New Roman" w:hAnsi="Times New Roman" w:cs="Times New Roman"/>
                <w:color w:val="000000"/>
                <w:spacing w:val="-2"/>
                <w:lang w:val="fr-FR"/>
              </w:rPr>
              <w:t>Sibérie occidentale/SO Asie, E &amp; S Afrique</w:t>
            </w:r>
          </w:p>
        </w:tc>
        <w:tc>
          <w:tcPr>
            <w:tcW w:w="580" w:type="pct"/>
            <w:shd w:val="clear" w:color="auto" w:fill="FFFF99"/>
          </w:tcPr>
          <w:p w14:paraId="006A4B7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3c</w:t>
            </w:r>
          </w:p>
        </w:tc>
        <w:tc>
          <w:tcPr>
            <w:tcW w:w="535" w:type="pct"/>
            <w:shd w:val="clear" w:color="auto" w:fill="FFFF99"/>
          </w:tcPr>
          <w:p w14:paraId="08DE1B0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4BBFAC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134DFC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31EC27CC"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25</w:t>
            </w:r>
            <w:r>
              <w:rPr>
                <w:rFonts w:ascii="Times New Roman" w:hAnsi="Times New Roman" w:cs="Times New Roman"/>
                <w:color w:val="000000"/>
              </w:rPr>
              <w:t> </w:t>
            </w:r>
            <w:r w:rsidRPr="001571EF">
              <w:rPr>
                <w:rFonts w:ascii="Times New Roman" w:hAnsi="Times New Roman" w:cs="Times New Roman"/>
                <w:color w:val="000000"/>
              </w:rPr>
              <w:t>000-100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4BBF9C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Déclin ?</w:t>
            </w:r>
          </w:p>
        </w:tc>
        <w:tc>
          <w:tcPr>
            <w:tcW w:w="602" w:type="pct"/>
            <w:shd w:val="clear" w:color="auto" w:fill="FFFF99"/>
          </w:tcPr>
          <w:p w14:paraId="10F4AF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55F0363" w14:textId="77777777" w:rsidTr="00886A3C">
        <w:trPr>
          <w:trHeight w:val="20"/>
          <w:jc w:val="center"/>
        </w:trPr>
        <w:tc>
          <w:tcPr>
            <w:tcW w:w="213" w:type="pct"/>
            <w:shd w:val="clear" w:color="auto" w:fill="FFFF99"/>
          </w:tcPr>
          <w:p w14:paraId="54FB16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3F9D9D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Gavia adamsii</w:t>
            </w:r>
          </w:p>
        </w:tc>
        <w:tc>
          <w:tcPr>
            <w:tcW w:w="580" w:type="pct"/>
            <w:shd w:val="clear" w:color="auto" w:fill="FFFF99"/>
          </w:tcPr>
          <w:p w14:paraId="1CB410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42E9425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09A2963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3D688B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6EAC37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5FD4AD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7D23E6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2412B7F" w14:textId="77777777" w:rsidTr="00886A3C">
        <w:trPr>
          <w:trHeight w:val="20"/>
          <w:jc w:val="center"/>
        </w:trPr>
        <w:tc>
          <w:tcPr>
            <w:tcW w:w="213" w:type="pct"/>
            <w:shd w:val="clear" w:color="auto" w:fill="FFFF99"/>
          </w:tcPr>
          <w:p w14:paraId="0911DF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23</w:t>
            </w:r>
          </w:p>
        </w:tc>
        <w:tc>
          <w:tcPr>
            <w:tcW w:w="1022" w:type="pct"/>
            <w:shd w:val="clear" w:color="auto" w:fill="FFFF99"/>
          </w:tcPr>
          <w:p w14:paraId="0DB374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7361D">
              <w:rPr>
                <w:rFonts w:ascii="Times New Roman" w:hAnsi="Times New Roman" w:cs="Times New Roman"/>
                <w:color w:val="000000"/>
                <w:spacing w:val="-2"/>
                <w:lang w:val="fr-FR"/>
              </w:rPr>
              <w:t>Europe du Nord (hiv)</w:t>
            </w:r>
            <w:r w:rsidRPr="001571EF">
              <w:rPr>
                <w:rFonts w:ascii="Times New Roman" w:hAnsi="Times New Roman" w:cs="Times New Roman"/>
                <w:color w:val="000000"/>
                <w:spacing w:val="-2"/>
              </w:rPr>
              <w:tab/>
            </w:r>
          </w:p>
        </w:tc>
        <w:tc>
          <w:tcPr>
            <w:tcW w:w="580" w:type="pct"/>
            <w:shd w:val="clear" w:color="auto" w:fill="FFFF99"/>
          </w:tcPr>
          <w:p w14:paraId="387966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7361D">
              <w:rPr>
                <w:rFonts w:ascii="Times New Roman" w:hAnsi="Times New Roman" w:cs="Times New Roman"/>
                <w:color w:val="000000"/>
                <w:spacing w:val="-2"/>
                <w:lang w:val="fr-FR"/>
              </w:rPr>
              <w:t>1c</w:t>
            </w:r>
          </w:p>
        </w:tc>
        <w:tc>
          <w:tcPr>
            <w:tcW w:w="535" w:type="pct"/>
            <w:shd w:val="clear" w:color="auto" w:fill="FFFF99"/>
          </w:tcPr>
          <w:p w14:paraId="2467D0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3DA86F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01DA030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23B30507"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25D49D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Inconnue</w:t>
            </w:r>
          </w:p>
        </w:tc>
        <w:tc>
          <w:tcPr>
            <w:tcW w:w="602" w:type="pct"/>
            <w:shd w:val="clear" w:color="auto" w:fill="FFFF99"/>
          </w:tcPr>
          <w:p w14:paraId="689B20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Élevée</w:t>
            </w:r>
          </w:p>
        </w:tc>
      </w:tr>
      <w:tr w:rsidR="00886A3C" w:rsidRPr="001571EF" w14:paraId="2A87A21B" w14:textId="77777777" w:rsidTr="00886A3C">
        <w:trPr>
          <w:trHeight w:val="20"/>
          <w:jc w:val="center"/>
        </w:trPr>
        <w:tc>
          <w:tcPr>
            <w:tcW w:w="213" w:type="pct"/>
            <w:shd w:val="clear" w:color="auto" w:fill="FFFF99"/>
          </w:tcPr>
          <w:p w14:paraId="392E65C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4403577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Charadrius pallidus venustus</w:t>
            </w:r>
          </w:p>
        </w:tc>
        <w:tc>
          <w:tcPr>
            <w:tcW w:w="580" w:type="pct"/>
            <w:shd w:val="clear" w:color="auto" w:fill="FFFF99"/>
          </w:tcPr>
          <w:p w14:paraId="4F3E3C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21B156E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2B5ECDD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6F0C156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3D9E489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7C53B4F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3252B8C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CE137A1" w14:textId="77777777" w:rsidTr="00886A3C">
        <w:trPr>
          <w:trHeight w:val="20"/>
          <w:jc w:val="center"/>
        </w:trPr>
        <w:tc>
          <w:tcPr>
            <w:tcW w:w="213" w:type="pct"/>
            <w:shd w:val="clear" w:color="auto" w:fill="FFFF99"/>
          </w:tcPr>
          <w:p w14:paraId="3062AA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24</w:t>
            </w:r>
          </w:p>
        </w:tc>
        <w:tc>
          <w:tcPr>
            <w:tcW w:w="1022" w:type="pct"/>
            <w:shd w:val="clear" w:color="auto" w:fill="FFFF99"/>
          </w:tcPr>
          <w:p w14:paraId="542BD9D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7361D">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A7361D">
              <w:rPr>
                <w:rFonts w:ascii="Times New Roman" w:hAnsi="Times New Roman" w:cs="Times New Roman"/>
                <w:color w:val="000000"/>
                <w:spacing w:val="-2"/>
                <w:lang w:val="fr-FR"/>
              </w:rPr>
              <w:t>Est</w:t>
            </w:r>
            <w:r w:rsidRPr="001571EF">
              <w:rPr>
                <w:rFonts w:ascii="Times New Roman" w:hAnsi="Times New Roman" w:cs="Times New Roman"/>
                <w:color w:val="000000"/>
                <w:spacing w:val="-2"/>
              </w:rPr>
              <w:tab/>
            </w:r>
          </w:p>
        </w:tc>
        <w:tc>
          <w:tcPr>
            <w:tcW w:w="580" w:type="pct"/>
            <w:shd w:val="clear" w:color="auto" w:fill="FFFF99"/>
          </w:tcPr>
          <w:p w14:paraId="3150B1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7361D">
              <w:rPr>
                <w:rFonts w:ascii="Times New Roman" w:hAnsi="Times New Roman" w:cs="Times New Roman"/>
                <w:color w:val="000000"/>
                <w:spacing w:val="-2"/>
                <w:lang w:val="fr-FR"/>
              </w:rPr>
              <w:t>1c</w:t>
            </w:r>
          </w:p>
        </w:tc>
        <w:tc>
          <w:tcPr>
            <w:tcW w:w="535" w:type="pct"/>
            <w:shd w:val="clear" w:color="auto" w:fill="FFFF99"/>
          </w:tcPr>
          <w:p w14:paraId="7FB1600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52BECB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7C80CD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7458732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w:t>
            </w:r>
            <w:r>
              <w:rPr>
                <w:rFonts w:ascii="Times New Roman" w:hAnsi="Times New Roman" w:cs="Times New Roman"/>
                <w:color w:val="000000"/>
              </w:rPr>
              <w:t> </w:t>
            </w:r>
            <w:r w:rsidRPr="001571EF">
              <w:rPr>
                <w:rFonts w:ascii="Times New Roman" w:hAnsi="Times New Roman" w:cs="Times New Roman"/>
                <w:color w:val="000000"/>
              </w:rPr>
              <w:t>500</w:t>
            </w:r>
          </w:p>
        </w:tc>
        <w:tc>
          <w:tcPr>
            <w:tcW w:w="600" w:type="pct"/>
            <w:shd w:val="clear" w:color="auto" w:fill="FFFF99"/>
          </w:tcPr>
          <w:p w14:paraId="004770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stable</w:t>
            </w:r>
          </w:p>
        </w:tc>
        <w:tc>
          <w:tcPr>
            <w:tcW w:w="602" w:type="pct"/>
            <w:shd w:val="clear" w:color="auto" w:fill="FFFF99"/>
          </w:tcPr>
          <w:p w14:paraId="4FC1E7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Critique</w:t>
            </w:r>
          </w:p>
        </w:tc>
      </w:tr>
      <w:tr w:rsidR="00886A3C" w:rsidRPr="001571EF" w14:paraId="747B384C" w14:textId="77777777" w:rsidTr="00886A3C">
        <w:trPr>
          <w:trHeight w:val="20"/>
          <w:jc w:val="center"/>
        </w:trPr>
        <w:tc>
          <w:tcPr>
            <w:tcW w:w="213" w:type="pct"/>
            <w:shd w:val="clear" w:color="auto" w:fill="FFFF99"/>
          </w:tcPr>
          <w:p w14:paraId="471FFF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31A017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Phalacrocorax coronatus</w:t>
            </w:r>
          </w:p>
        </w:tc>
        <w:tc>
          <w:tcPr>
            <w:tcW w:w="580" w:type="pct"/>
            <w:shd w:val="clear" w:color="auto" w:fill="FFFF99"/>
          </w:tcPr>
          <w:p w14:paraId="65AC44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1CD5E23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54547D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4853D4D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5319D2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20B770B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386ACE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0A83010" w14:textId="77777777" w:rsidTr="00886A3C">
        <w:trPr>
          <w:trHeight w:val="20"/>
          <w:jc w:val="center"/>
        </w:trPr>
        <w:tc>
          <w:tcPr>
            <w:tcW w:w="213" w:type="pct"/>
            <w:tcBorders>
              <w:bottom w:val="single" w:sz="6" w:space="0" w:color="auto"/>
            </w:tcBorders>
            <w:shd w:val="clear" w:color="auto" w:fill="FFFF99"/>
          </w:tcPr>
          <w:p w14:paraId="362BA1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25</w:t>
            </w:r>
          </w:p>
        </w:tc>
        <w:tc>
          <w:tcPr>
            <w:tcW w:w="1022" w:type="pct"/>
            <w:tcBorders>
              <w:bottom w:val="single" w:sz="6" w:space="0" w:color="auto"/>
            </w:tcBorders>
            <w:shd w:val="clear" w:color="auto" w:fill="FFFF99"/>
          </w:tcPr>
          <w:p w14:paraId="42D19A59"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7361D">
              <w:rPr>
                <w:rFonts w:ascii="Times New Roman" w:hAnsi="Times New Roman" w:cs="Times New Roman"/>
                <w:color w:val="000000"/>
                <w:spacing w:val="-2"/>
                <w:lang w:val="fr-FR"/>
              </w:rPr>
              <w:t>Littoral de l</w:t>
            </w:r>
            <w:r>
              <w:rPr>
                <w:rFonts w:ascii="Times New Roman" w:hAnsi="Times New Roman" w:cs="Times New Roman"/>
                <w:color w:val="000000"/>
                <w:spacing w:val="-2"/>
                <w:lang w:val="fr-FR"/>
              </w:rPr>
              <w:t>’</w:t>
            </w:r>
            <w:r w:rsidRPr="00A7361D">
              <w:rPr>
                <w:rFonts w:ascii="Times New Roman" w:hAnsi="Times New Roman" w:cs="Times New Roman"/>
                <w:color w:val="000000"/>
                <w:spacing w:val="-2"/>
                <w:lang w:val="fr-FR"/>
              </w:rPr>
              <w:t>Afrique du Sud-Ouest</w:t>
            </w:r>
          </w:p>
        </w:tc>
        <w:tc>
          <w:tcPr>
            <w:tcW w:w="580" w:type="pct"/>
            <w:tcBorders>
              <w:bottom w:val="single" w:sz="6" w:space="0" w:color="auto"/>
            </w:tcBorders>
            <w:shd w:val="clear" w:color="auto" w:fill="FFFF99"/>
          </w:tcPr>
          <w:p w14:paraId="7E1B31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1c</w:t>
            </w:r>
          </w:p>
        </w:tc>
        <w:tc>
          <w:tcPr>
            <w:tcW w:w="535" w:type="pct"/>
            <w:tcBorders>
              <w:bottom w:val="single" w:sz="6" w:space="0" w:color="auto"/>
            </w:tcBorders>
            <w:shd w:val="clear" w:color="auto" w:fill="FFFF99"/>
          </w:tcPr>
          <w:p w14:paraId="745948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FFFF99"/>
          </w:tcPr>
          <w:p w14:paraId="203A246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shd w:val="clear" w:color="auto" w:fill="FFFF99"/>
          </w:tcPr>
          <w:p w14:paraId="719441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shd w:val="clear" w:color="auto" w:fill="FFFF99"/>
            <w:vAlign w:val="center"/>
          </w:tcPr>
          <w:p w14:paraId="5F95B53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w:t>
            </w:r>
            <w:r>
              <w:rPr>
                <w:rFonts w:ascii="Times New Roman" w:hAnsi="Times New Roman" w:cs="Times New Roman"/>
                <w:color w:val="000000"/>
              </w:rPr>
              <w:t> </w:t>
            </w:r>
            <w:r w:rsidRPr="001571EF">
              <w:rPr>
                <w:rFonts w:ascii="Times New Roman" w:hAnsi="Times New Roman" w:cs="Times New Roman"/>
                <w:color w:val="000000"/>
              </w:rPr>
              <w:t>700</w:t>
            </w:r>
          </w:p>
        </w:tc>
        <w:tc>
          <w:tcPr>
            <w:tcW w:w="600" w:type="pct"/>
            <w:tcBorders>
              <w:bottom w:val="single" w:sz="6" w:space="0" w:color="auto"/>
            </w:tcBorders>
            <w:shd w:val="clear" w:color="auto" w:fill="FFFF99"/>
          </w:tcPr>
          <w:p w14:paraId="0D56C7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stable</w:t>
            </w:r>
          </w:p>
        </w:tc>
        <w:tc>
          <w:tcPr>
            <w:tcW w:w="602" w:type="pct"/>
            <w:tcBorders>
              <w:bottom w:val="single" w:sz="6" w:space="0" w:color="auto"/>
            </w:tcBorders>
            <w:shd w:val="clear" w:color="auto" w:fill="FFFF99"/>
          </w:tcPr>
          <w:p w14:paraId="5520A6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Élevée</w:t>
            </w:r>
          </w:p>
        </w:tc>
      </w:tr>
      <w:tr w:rsidR="00886A3C" w:rsidRPr="001571EF" w14:paraId="52E2C440" w14:textId="77777777" w:rsidTr="00886A3C">
        <w:trPr>
          <w:trHeight w:val="20"/>
          <w:jc w:val="center"/>
        </w:trPr>
        <w:tc>
          <w:tcPr>
            <w:tcW w:w="213" w:type="pct"/>
            <w:shd w:val="clear" w:color="auto" w:fill="FFFF99"/>
          </w:tcPr>
          <w:p w14:paraId="2F48CC8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16DA19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Sterna balaenarum</w:t>
            </w:r>
          </w:p>
        </w:tc>
        <w:tc>
          <w:tcPr>
            <w:tcW w:w="580" w:type="pct"/>
            <w:shd w:val="clear" w:color="auto" w:fill="FFFF99"/>
          </w:tcPr>
          <w:p w14:paraId="481301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1C3CBF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619BCC1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30F1D59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489BDB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1E2E2E8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6CBABC9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525191B" w14:textId="77777777" w:rsidTr="00886A3C">
        <w:trPr>
          <w:trHeight w:val="20"/>
          <w:jc w:val="center"/>
        </w:trPr>
        <w:tc>
          <w:tcPr>
            <w:tcW w:w="213" w:type="pct"/>
            <w:shd w:val="clear" w:color="auto" w:fill="FFFF99"/>
          </w:tcPr>
          <w:p w14:paraId="608FB6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26</w:t>
            </w:r>
          </w:p>
        </w:tc>
        <w:tc>
          <w:tcPr>
            <w:tcW w:w="1022" w:type="pct"/>
            <w:shd w:val="clear" w:color="auto" w:fill="FFFF99"/>
          </w:tcPr>
          <w:p w14:paraId="04639683"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7361D">
              <w:rPr>
                <w:rFonts w:ascii="Times New Roman" w:hAnsi="Times New Roman" w:cs="Times New Roman"/>
                <w:color w:val="000000"/>
                <w:spacing w:val="-2"/>
                <w:lang w:val="fr-FR"/>
              </w:rPr>
              <w:t>Namibie &amp; Afrique du Sud/côte atlantique jusqu</w:t>
            </w:r>
            <w:r>
              <w:rPr>
                <w:rFonts w:ascii="Times New Roman" w:hAnsi="Times New Roman" w:cs="Times New Roman"/>
                <w:color w:val="000000"/>
                <w:spacing w:val="-2"/>
                <w:lang w:val="fr-FR"/>
              </w:rPr>
              <w:t>’</w:t>
            </w:r>
            <w:r w:rsidRPr="00A7361D">
              <w:rPr>
                <w:rFonts w:ascii="Times New Roman" w:hAnsi="Times New Roman" w:cs="Times New Roman"/>
                <w:color w:val="000000"/>
                <w:spacing w:val="-2"/>
                <w:lang w:val="fr-FR"/>
              </w:rPr>
              <w:t>au Ghana</w:t>
            </w:r>
          </w:p>
        </w:tc>
        <w:tc>
          <w:tcPr>
            <w:tcW w:w="580" w:type="pct"/>
            <w:shd w:val="clear" w:color="auto" w:fill="FFFF99"/>
          </w:tcPr>
          <w:p w14:paraId="7B91C5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535" w:type="pct"/>
            <w:shd w:val="clear" w:color="auto" w:fill="FFFF99"/>
          </w:tcPr>
          <w:p w14:paraId="22445C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33ACE2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0A7C5D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6010FBF1"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14</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069E3B2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stable</w:t>
            </w:r>
          </w:p>
        </w:tc>
        <w:tc>
          <w:tcPr>
            <w:tcW w:w="602" w:type="pct"/>
            <w:shd w:val="clear" w:color="auto" w:fill="FFFF99"/>
          </w:tcPr>
          <w:p w14:paraId="7F4FD8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Élevée</w:t>
            </w:r>
          </w:p>
        </w:tc>
      </w:tr>
      <w:tr w:rsidR="00886A3C" w:rsidRPr="001571EF" w14:paraId="48B03AF1" w14:textId="77777777" w:rsidTr="00886A3C">
        <w:trPr>
          <w:trHeight w:val="20"/>
          <w:jc w:val="center"/>
        </w:trPr>
        <w:tc>
          <w:tcPr>
            <w:tcW w:w="213" w:type="pct"/>
            <w:shd w:val="clear" w:color="auto" w:fill="FFFF99"/>
          </w:tcPr>
          <w:p w14:paraId="6B40E3D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3372AB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7361D">
              <w:rPr>
                <w:rFonts w:ascii="Times New Roman" w:hAnsi="Times New Roman" w:cs="Times New Roman"/>
                <w:i/>
                <w:color w:val="000000"/>
                <w:spacing w:val="-2"/>
                <w:lang w:val="fr-FR"/>
              </w:rPr>
              <w:t>Charadrius pallidus pallidus</w:t>
            </w:r>
          </w:p>
        </w:tc>
        <w:tc>
          <w:tcPr>
            <w:tcW w:w="580" w:type="pct"/>
            <w:shd w:val="clear" w:color="auto" w:fill="FFFF99"/>
          </w:tcPr>
          <w:p w14:paraId="512228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267C52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0A86CDD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709315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7361D">
              <w:rPr>
                <w:rFonts w:ascii="Times New Roman" w:hAnsi="Times New Roman" w:cs="Times New Roman"/>
                <w:color w:val="000000"/>
                <w:spacing w:val="-2"/>
                <w:lang w:val="fr-FR"/>
              </w:rPr>
              <w:t>NT</w:t>
            </w:r>
          </w:p>
        </w:tc>
        <w:tc>
          <w:tcPr>
            <w:tcW w:w="533" w:type="pct"/>
            <w:shd w:val="clear" w:color="auto" w:fill="FFFF99"/>
          </w:tcPr>
          <w:p w14:paraId="55ADE2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0ACD24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7AF5F4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37D17EF" w14:textId="77777777" w:rsidTr="00886A3C">
        <w:trPr>
          <w:trHeight w:val="20"/>
          <w:jc w:val="center"/>
        </w:trPr>
        <w:tc>
          <w:tcPr>
            <w:tcW w:w="213" w:type="pct"/>
            <w:shd w:val="clear" w:color="auto" w:fill="FFFF99"/>
          </w:tcPr>
          <w:p w14:paraId="2BD214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27</w:t>
            </w:r>
          </w:p>
        </w:tc>
        <w:tc>
          <w:tcPr>
            <w:tcW w:w="1022" w:type="pct"/>
            <w:shd w:val="clear" w:color="auto" w:fill="FFFF99"/>
          </w:tcPr>
          <w:p w14:paraId="3579BF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F05EA4">
              <w:rPr>
                <w:rFonts w:ascii="Times New Roman" w:hAnsi="Times New Roman" w:cs="Times New Roman"/>
                <w:color w:val="000000"/>
                <w:spacing w:val="-2"/>
                <w:lang w:val="fr-FR"/>
              </w:rPr>
              <w:t>Afrique australe</w:t>
            </w:r>
          </w:p>
        </w:tc>
        <w:tc>
          <w:tcPr>
            <w:tcW w:w="580" w:type="pct"/>
            <w:shd w:val="clear" w:color="auto" w:fill="FFFF99"/>
          </w:tcPr>
          <w:p w14:paraId="1AA4738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535" w:type="pct"/>
            <w:shd w:val="clear" w:color="auto" w:fill="FFFF99"/>
          </w:tcPr>
          <w:p w14:paraId="31F1C9C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23D6C42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013056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3666CACC"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w:t>
            </w:r>
            <w:r>
              <w:rPr>
                <w:rFonts w:ascii="Times New Roman" w:hAnsi="Times New Roman" w:cs="Times New Roman"/>
                <w:color w:val="000000"/>
              </w:rPr>
              <w:t> </w:t>
            </w:r>
            <w:r w:rsidRPr="001571EF">
              <w:rPr>
                <w:rFonts w:ascii="Times New Roman" w:hAnsi="Times New Roman" w:cs="Times New Roman"/>
                <w:color w:val="000000"/>
              </w:rPr>
              <w:t>000-16</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207ED4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F05EA4">
              <w:rPr>
                <w:rFonts w:ascii="Times New Roman" w:hAnsi="Times New Roman" w:cs="Times New Roman"/>
                <w:color w:val="000000"/>
                <w:spacing w:val="-2"/>
                <w:lang w:val="fr-FR"/>
              </w:rPr>
              <w:t>stable</w:t>
            </w:r>
          </w:p>
        </w:tc>
        <w:tc>
          <w:tcPr>
            <w:tcW w:w="602" w:type="pct"/>
            <w:shd w:val="clear" w:color="auto" w:fill="FFFF99"/>
          </w:tcPr>
          <w:p w14:paraId="3CB554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Moyenne</w:t>
            </w:r>
          </w:p>
        </w:tc>
      </w:tr>
      <w:tr w:rsidR="00886A3C" w:rsidRPr="001571EF" w14:paraId="12C406D4" w14:textId="77777777" w:rsidTr="00886A3C">
        <w:trPr>
          <w:trHeight w:val="20"/>
          <w:jc w:val="center"/>
        </w:trPr>
        <w:tc>
          <w:tcPr>
            <w:tcW w:w="213" w:type="pct"/>
            <w:shd w:val="clear" w:color="auto" w:fill="FFFF99"/>
          </w:tcPr>
          <w:p w14:paraId="410BE512" w14:textId="77777777" w:rsidR="00886A3C" w:rsidRPr="001571EF" w:rsidRDefault="00886A3C" w:rsidP="00886A3C">
            <w:pPr>
              <w:keepNext/>
              <w:tabs>
                <w:tab w:val="left" w:pos="578"/>
                <w:tab w:val="left" w:pos="1157"/>
                <w:tab w:val="left" w:pos="1735"/>
              </w:tabs>
              <w:suppressAutoHyphens/>
              <w:overflowPunct w:val="0"/>
              <w:autoSpaceDE w:val="0"/>
              <w:autoSpaceDN w:val="0"/>
              <w:adjustRightInd w:val="0"/>
              <w:spacing w:after="0" w:line="240" w:lineRule="auto"/>
              <w:jc w:val="center"/>
              <w:textAlignment w:val="baseline"/>
              <w:outlineLvl w:val="8"/>
              <w:rPr>
                <w:rFonts w:ascii="Times New Roman" w:hAnsi="Times New Roman" w:cs="Times New Roman"/>
                <w:i/>
                <w:color w:val="000000"/>
                <w:spacing w:val="-2"/>
              </w:rPr>
            </w:pPr>
          </w:p>
        </w:tc>
        <w:tc>
          <w:tcPr>
            <w:tcW w:w="1022" w:type="pct"/>
            <w:shd w:val="clear" w:color="auto" w:fill="FFFF99"/>
          </w:tcPr>
          <w:p w14:paraId="005FB4B1" w14:textId="77777777" w:rsidR="00886A3C" w:rsidRPr="001571EF" w:rsidRDefault="00886A3C" w:rsidP="00886A3C">
            <w:pPr>
              <w:keepNext/>
              <w:tabs>
                <w:tab w:val="left" w:pos="578"/>
                <w:tab w:val="left" w:pos="1157"/>
                <w:tab w:val="left" w:pos="1735"/>
              </w:tabs>
              <w:suppressAutoHyphens/>
              <w:overflowPunct w:val="0"/>
              <w:autoSpaceDE w:val="0"/>
              <w:autoSpaceDN w:val="0"/>
              <w:adjustRightInd w:val="0"/>
              <w:spacing w:after="0" w:line="240" w:lineRule="auto"/>
              <w:textAlignment w:val="baseline"/>
              <w:outlineLvl w:val="8"/>
              <w:rPr>
                <w:rFonts w:ascii="Times New Roman" w:hAnsi="Times New Roman" w:cs="Times New Roman"/>
                <w:i/>
                <w:color w:val="000000"/>
                <w:spacing w:val="-2"/>
              </w:rPr>
            </w:pPr>
            <w:r w:rsidRPr="00114976">
              <w:rPr>
                <w:rFonts w:ascii="Times New Roman" w:hAnsi="Times New Roman" w:cs="Times New Roman"/>
                <w:i/>
                <w:color w:val="000000"/>
                <w:spacing w:val="-2"/>
                <w:lang w:val="fr-FR"/>
              </w:rPr>
              <w:t>Larus leucophthalmus</w:t>
            </w:r>
          </w:p>
        </w:tc>
        <w:tc>
          <w:tcPr>
            <w:tcW w:w="580" w:type="pct"/>
            <w:shd w:val="clear" w:color="auto" w:fill="FFFF99"/>
          </w:tcPr>
          <w:p w14:paraId="72A392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p>
        </w:tc>
        <w:tc>
          <w:tcPr>
            <w:tcW w:w="535" w:type="pct"/>
            <w:shd w:val="clear" w:color="auto" w:fill="FFFF99"/>
          </w:tcPr>
          <w:p w14:paraId="0847DF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p>
        </w:tc>
        <w:tc>
          <w:tcPr>
            <w:tcW w:w="452" w:type="pct"/>
            <w:shd w:val="clear" w:color="auto" w:fill="FFFF99"/>
          </w:tcPr>
          <w:p w14:paraId="485E6D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6999222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NT</w:t>
            </w:r>
          </w:p>
        </w:tc>
        <w:tc>
          <w:tcPr>
            <w:tcW w:w="533" w:type="pct"/>
            <w:shd w:val="clear" w:color="auto" w:fill="FFFF99"/>
          </w:tcPr>
          <w:p w14:paraId="32BF07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6591BBE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22E3A88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B1BF0ED" w14:textId="77777777" w:rsidTr="00886A3C">
        <w:trPr>
          <w:trHeight w:val="20"/>
          <w:jc w:val="center"/>
        </w:trPr>
        <w:tc>
          <w:tcPr>
            <w:tcW w:w="213" w:type="pct"/>
            <w:shd w:val="clear" w:color="auto" w:fill="FFFF99"/>
          </w:tcPr>
          <w:p w14:paraId="05469B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28</w:t>
            </w:r>
          </w:p>
        </w:tc>
        <w:tc>
          <w:tcPr>
            <w:tcW w:w="1022" w:type="pct"/>
            <w:shd w:val="clear" w:color="auto" w:fill="FFFF99"/>
          </w:tcPr>
          <w:p w14:paraId="00D014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Mer Rouge &amp; côtes avoisinantes</w:t>
            </w:r>
          </w:p>
        </w:tc>
        <w:tc>
          <w:tcPr>
            <w:tcW w:w="580" w:type="pct"/>
            <w:shd w:val="clear" w:color="auto" w:fill="FFFF99"/>
          </w:tcPr>
          <w:p w14:paraId="499EBB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1a</w:t>
            </w:r>
          </w:p>
        </w:tc>
        <w:tc>
          <w:tcPr>
            <w:tcW w:w="535" w:type="pct"/>
            <w:shd w:val="clear" w:color="auto" w:fill="FFFF99"/>
          </w:tcPr>
          <w:p w14:paraId="698DCED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52" w:type="pct"/>
            <w:shd w:val="clear" w:color="auto" w:fill="FFFF99"/>
          </w:tcPr>
          <w:p w14:paraId="0045D3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11DEC9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2ADEDD95"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37</w:t>
            </w:r>
            <w:r>
              <w:rPr>
                <w:rFonts w:ascii="Times New Roman" w:hAnsi="Times New Roman" w:cs="Times New Roman"/>
                <w:color w:val="000000"/>
              </w:rPr>
              <w:t> </w:t>
            </w:r>
            <w:r w:rsidRPr="001571EF">
              <w:rPr>
                <w:rFonts w:ascii="Times New Roman" w:hAnsi="Times New Roman" w:cs="Times New Roman"/>
                <w:color w:val="000000"/>
              </w:rPr>
              <w:t>000-44</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42E7703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stable</w:t>
            </w:r>
          </w:p>
        </w:tc>
        <w:tc>
          <w:tcPr>
            <w:tcW w:w="602" w:type="pct"/>
            <w:shd w:val="clear" w:color="auto" w:fill="FFFF99"/>
          </w:tcPr>
          <w:p w14:paraId="43C86D7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Un peu</w:t>
            </w:r>
          </w:p>
        </w:tc>
      </w:tr>
      <w:tr w:rsidR="00886A3C" w:rsidRPr="001571EF" w14:paraId="297D28CD" w14:textId="77777777" w:rsidTr="00886A3C">
        <w:trPr>
          <w:trHeight w:val="20"/>
          <w:jc w:val="center"/>
        </w:trPr>
        <w:tc>
          <w:tcPr>
            <w:tcW w:w="213" w:type="pct"/>
            <w:shd w:val="clear" w:color="auto" w:fill="FFFF99"/>
          </w:tcPr>
          <w:p w14:paraId="79F6A29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05C95E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Haematopus moquini</w:t>
            </w:r>
          </w:p>
        </w:tc>
        <w:tc>
          <w:tcPr>
            <w:tcW w:w="580" w:type="pct"/>
            <w:shd w:val="clear" w:color="auto" w:fill="FFFF99"/>
          </w:tcPr>
          <w:p w14:paraId="1931381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104143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32B4AB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5826E5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NT</w:t>
            </w:r>
          </w:p>
        </w:tc>
        <w:tc>
          <w:tcPr>
            <w:tcW w:w="533" w:type="pct"/>
            <w:shd w:val="clear" w:color="auto" w:fill="FFFF99"/>
          </w:tcPr>
          <w:p w14:paraId="675029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095853E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1C98B5A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B28A9A2" w14:textId="77777777" w:rsidTr="00886A3C">
        <w:trPr>
          <w:trHeight w:val="20"/>
          <w:jc w:val="center"/>
        </w:trPr>
        <w:tc>
          <w:tcPr>
            <w:tcW w:w="213" w:type="pct"/>
            <w:shd w:val="clear" w:color="auto" w:fill="FFFF99"/>
          </w:tcPr>
          <w:p w14:paraId="4192FA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29</w:t>
            </w:r>
          </w:p>
        </w:tc>
        <w:tc>
          <w:tcPr>
            <w:tcW w:w="1022" w:type="pct"/>
            <w:shd w:val="clear" w:color="auto" w:fill="FFFF99"/>
          </w:tcPr>
          <w:p w14:paraId="3E96F8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Littoral de l</w:t>
            </w:r>
            <w:r>
              <w:rPr>
                <w:rFonts w:ascii="Times New Roman" w:hAnsi="Times New Roman" w:cs="Times New Roman"/>
                <w:color w:val="000000"/>
                <w:spacing w:val="-2"/>
                <w:lang w:val="fr-FR"/>
              </w:rPr>
              <w:t>’</w:t>
            </w:r>
            <w:r w:rsidRPr="00114976">
              <w:rPr>
                <w:rFonts w:ascii="Times New Roman" w:hAnsi="Times New Roman" w:cs="Times New Roman"/>
                <w:color w:val="000000"/>
                <w:spacing w:val="-2"/>
                <w:lang w:val="fr-FR"/>
              </w:rPr>
              <w:t>Afrique australe</w:t>
            </w:r>
          </w:p>
        </w:tc>
        <w:tc>
          <w:tcPr>
            <w:tcW w:w="580" w:type="pct"/>
            <w:shd w:val="clear" w:color="auto" w:fill="FFFF99"/>
          </w:tcPr>
          <w:p w14:paraId="40B83C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FFFF99"/>
          </w:tcPr>
          <w:p w14:paraId="76F5286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361AE81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414635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3D7337D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000-6</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shd w:val="clear" w:color="auto" w:fill="FFFF99"/>
          </w:tcPr>
          <w:p w14:paraId="083154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augmentation</w:t>
            </w:r>
          </w:p>
        </w:tc>
        <w:tc>
          <w:tcPr>
            <w:tcW w:w="602" w:type="pct"/>
            <w:shd w:val="clear" w:color="auto" w:fill="FFFF99"/>
          </w:tcPr>
          <w:p w14:paraId="678DEF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Moyenne</w:t>
            </w:r>
          </w:p>
        </w:tc>
      </w:tr>
      <w:tr w:rsidR="00886A3C" w:rsidRPr="001571EF" w14:paraId="6B4C21F4" w14:textId="77777777" w:rsidTr="00886A3C">
        <w:trPr>
          <w:trHeight w:val="20"/>
          <w:jc w:val="center"/>
        </w:trPr>
        <w:tc>
          <w:tcPr>
            <w:tcW w:w="213" w:type="pct"/>
            <w:shd w:val="clear" w:color="auto" w:fill="FFFF99"/>
          </w:tcPr>
          <w:p w14:paraId="720079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shd w:val="clear" w:color="auto" w:fill="FFFF99"/>
          </w:tcPr>
          <w:p w14:paraId="17525D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 xml:space="preserve">Larus audouinii </w:t>
            </w:r>
            <w:r w:rsidRPr="00114976">
              <w:rPr>
                <w:rFonts w:ascii="Times New Roman" w:hAnsi="Times New Roman" w:cs="Times New Roman"/>
                <w:b/>
                <w:color w:val="FF0000"/>
                <w:spacing w:val="-2"/>
                <w:lang w:val="fr-FR"/>
              </w:rPr>
              <w:t>!!!</w:t>
            </w:r>
            <w:r w:rsidRPr="00114976">
              <w:rPr>
                <w:rStyle w:val="FootnoteReference"/>
                <w:rFonts w:ascii="Times New Roman" w:hAnsi="Times New Roman" w:cs="Times New Roman"/>
                <w:b/>
                <w:color w:val="FF0000"/>
                <w:spacing w:val="-2"/>
                <w:lang w:val="fr-FR"/>
              </w:rPr>
              <w:footnoteReference w:id="18"/>
            </w:r>
          </w:p>
        </w:tc>
        <w:tc>
          <w:tcPr>
            <w:tcW w:w="580" w:type="pct"/>
            <w:shd w:val="clear" w:color="auto" w:fill="FFFF99"/>
          </w:tcPr>
          <w:p w14:paraId="4DD141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FFFF99"/>
          </w:tcPr>
          <w:p w14:paraId="6FBAD01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6CCE00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35E8FDD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NT</w:t>
            </w:r>
          </w:p>
        </w:tc>
        <w:tc>
          <w:tcPr>
            <w:tcW w:w="533" w:type="pct"/>
            <w:shd w:val="clear" w:color="auto" w:fill="FFFF99"/>
          </w:tcPr>
          <w:p w14:paraId="465EC59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shd w:val="clear" w:color="auto" w:fill="FFFF99"/>
          </w:tcPr>
          <w:p w14:paraId="3CCF43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shd w:val="clear" w:color="auto" w:fill="FFFF99"/>
          </w:tcPr>
          <w:p w14:paraId="7663BC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D148B0B" w14:textId="77777777" w:rsidTr="00886A3C">
        <w:trPr>
          <w:trHeight w:val="20"/>
          <w:jc w:val="center"/>
        </w:trPr>
        <w:tc>
          <w:tcPr>
            <w:tcW w:w="213" w:type="pct"/>
            <w:shd w:val="clear" w:color="auto" w:fill="FFFF99"/>
          </w:tcPr>
          <w:p w14:paraId="62BF8D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30</w:t>
            </w:r>
          </w:p>
        </w:tc>
        <w:tc>
          <w:tcPr>
            <w:tcW w:w="1022" w:type="pct"/>
            <w:shd w:val="clear" w:color="auto" w:fill="FFFF99"/>
          </w:tcPr>
          <w:p w14:paraId="69A5E9BB"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114976">
              <w:rPr>
                <w:rFonts w:ascii="Times New Roman" w:hAnsi="Times New Roman" w:cs="Times New Roman"/>
                <w:color w:val="000000"/>
                <w:spacing w:val="-2"/>
                <w:lang w:val="fr-FR"/>
              </w:rPr>
              <w:t>Méditerrannée/côtes N &amp; O de l</w:t>
            </w:r>
            <w:r>
              <w:rPr>
                <w:rFonts w:ascii="Times New Roman" w:hAnsi="Times New Roman" w:cs="Times New Roman"/>
                <w:color w:val="000000"/>
                <w:spacing w:val="-2"/>
                <w:lang w:val="fr-FR"/>
              </w:rPr>
              <w:t>’</w:t>
            </w:r>
            <w:r w:rsidRPr="00114976">
              <w:rPr>
                <w:rFonts w:ascii="Times New Roman" w:hAnsi="Times New Roman" w:cs="Times New Roman"/>
                <w:color w:val="000000"/>
                <w:spacing w:val="-2"/>
                <w:lang w:val="fr-FR"/>
              </w:rPr>
              <w:t>Afrique</w:t>
            </w:r>
          </w:p>
        </w:tc>
        <w:tc>
          <w:tcPr>
            <w:tcW w:w="580" w:type="pct"/>
            <w:shd w:val="clear" w:color="auto" w:fill="FFFF99"/>
          </w:tcPr>
          <w:p w14:paraId="1D049BC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1a</w:t>
            </w:r>
            <w:r>
              <w:rPr>
                <w:rFonts w:ascii="Times New Roman" w:hAnsi="Times New Roman" w:cs="Times New Roman"/>
                <w:color w:val="000000"/>
                <w:spacing w:val="-2"/>
                <w:lang w:val="fr-FR"/>
              </w:rPr>
              <w:t xml:space="preserve"> </w:t>
            </w:r>
            <w:r w:rsidRPr="00114976">
              <w:rPr>
                <w:rFonts w:ascii="Times New Roman" w:hAnsi="Times New Roman" w:cs="Times New Roman"/>
                <w:color w:val="000000"/>
                <w:spacing w:val="-2"/>
                <w:lang w:val="fr-FR"/>
              </w:rPr>
              <w:t>3a</w:t>
            </w:r>
          </w:p>
        </w:tc>
        <w:tc>
          <w:tcPr>
            <w:tcW w:w="535" w:type="pct"/>
            <w:shd w:val="clear" w:color="auto" w:fill="FFFF99"/>
          </w:tcPr>
          <w:p w14:paraId="54D8E9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FFFF99"/>
          </w:tcPr>
          <w:p w14:paraId="2091F6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shd w:val="clear" w:color="auto" w:fill="FFFF99"/>
          </w:tcPr>
          <w:p w14:paraId="1AB4B1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shd w:val="clear" w:color="auto" w:fill="FFFF99"/>
            <w:vAlign w:val="center"/>
          </w:tcPr>
          <w:p w14:paraId="2112A4A1"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57</w:t>
            </w:r>
            <w:r>
              <w:rPr>
                <w:rFonts w:ascii="Times New Roman" w:hAnsi="Times New Roman" w:cs="Times New Roman"/>
                <w:color w:val="000000"/>
              </w:rPr>
              <w:t> </w:t>
            </w:r>
            <w:r w:rsidRPr="001571EF">
              <w:rPr>
                <w:rFonts w:ascii="Times New Roman" w:hAnsi="Times New Roman" w:cs="Times New Roman"/>
                <w:color w:val="000000"/>
              </w:rPr>
              <w:t>600</w:t>
            </w:r>
          </w:p>
        </w:tc>
        <w:tc>
          <w:tcPr>
            <w:tcW w:w="600" w:type="pct"/>
            <w:shd w:val="clear" w:color="auto" w:fill="FFFF99"/>
          </w:tcPr>
          <w:p w14:paraId="634284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augmentation</w:t>
            </w:r>
          </w:p>
        </w:tc>
        <w:tc>
          <w:tcPr>
            <w:tcW w:w="602" w:type="pct"/>
            <w:shd w:val="clear" w:color="auto" w:fill="FFFF99"/>
          </w:tcPr>
          <w:p w14:paraId="09E54F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Moyenne</w:t>
            </w:r>
          </w:p>
        </w:tc>
      </w:tr>
      <w:tr w:rsidR="00886A3C" w:rsidRPr="001571EF" w14:paraId="57FF0EC7" w14:textId="77777777" w:rsidTr="00886A3C">
        <w:trPr>
          <w:trHeight w:val="20"/>
          <w:jc w:val="center"/>
        </w:trPr>
        <w:tc>
          <w:tcPr>
            <w:tcW w:w="213" w:type="pct"/>
          </w:tcPr>
          <w:p w14:paraId="5826E8E1" w14:textId="77777777" w:rsidR="00886A3C" w:rsidRPr="001571EF" w:rsidRDefault="00886A3C" w:rsidP="00886A3C">
            <w:pPr>
              <w:keepNext/>
              <w:overflowPunct w:val="0"/>
              <w:autoSpaceDE w:val="0"/>
              <w:autoSpaceDN w:val="0"/>
              <w:adjustRightInd w:val="0"/>
              <w:spacing w:after="0" w:line="240" w:lineRule="auto"/>
              <w:jc w:val="center"/>
              <w:textAlignment w:val="baseline"/>
              <w:outlineLvl w:val="3"/>
              <w:rPr>
                <w:rFonts w:ascii="Times New Roman" w:hAnsi="Times New Roman" w:cs="Times New Roman"/>
                <w:b/>
                <w:iCs/>
                <w:color w:val="000000"/>
              </w:rPr>
            </w:pPr>
          </w:p>
        </w:tc>
        <w:tc>
          <w:tcPr>
            <w:tcW w:w="1022" w:type="pct"/>
          </w:tcPr>
          <w:p w14:paraId="67C0EF4E" w14:textId="77777777" w:rsidR="00886A3C" w:rsidRPr="001571EF" w:rsidRDefault="00886A3C" w:rsidP="00886A3C">
            <w:pPr>
              <w:keepNext/>
              <w:overflowPunct w:val="0"/>
              <w:autoSpaceDE w:val="0"/>
              <w:autoSpaceDN w:val="0"/>
              <w:adjustRightInd w:val="0"/>
              <w:spacing w:after="0" w:line="240" w:lineRule="auto"/>
              <w:textAlignment w:val="baseline"/>
              <w:outlineLvl w:val="3"/>
              <w:rPr>
                <w:rFonts w:ascii="Times New Roman" w:hAnsi="Times New Roman" w:cs="Times New Roman"/>
                <w:b/>
                <w:iCs/>
                <w:color w:val="000000"/>
              </w:rPr>
            </w:pPr>
          </w:p>
        </w:tc>
        <w:tc>
          <w:tcPr>
            <w:tcW w:w="580" w:type="pct"/>
            <w:shd w:val="clear" w:color="auto" w:fill="auto"/>
          </w:tcPr>
          <w:p w14:paraId="6FA96E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52119A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85BF6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B0755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Pr>
          <w:p w14:paraId="736447C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92284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6C496D9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5D53298" w14:textId="77777777" w:rsidTr="00886A3C">
        <w:trPr>
          <w:trHeight w:val="20"/>
          <w:jc w:val="center"/>
        </w:trPr>
        <w:tc>
          <w:tcPr>
            <w:tcW w:w="213" w:type="pct"/>
          </w:tcPr>
          <w:p w14:paraId="6EE6D41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86444F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Grus virgo</w:t>
            </w:r>
          </w:p>
        </w:tc>
        <w:tc>
          <w:tcPr>
            <w:tcW w:w="580" w:type="pct"/>
            <w:shd w:val="clear" w:color="auto" w:fill="auto"/>
          </w:tcPr>
          <w:p w14:paraId="29B759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79F086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B6B36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B22008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627A51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098BA57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D56CB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920DBE9" w14:textId="77777777" w:rsidTr="00886A3C">
        <w:trPr>
          <w:trHeight w:val="20"/>
          <w:jc w:val="center"/>
        </w:trPr>
        <w:tc>
          <w:tcPr>
            <w:tcW w:w="213" w:type="pct"/>
            <w:tcBorders>
              <w:bottom w:val="single" w:sz="6" w:space="0" w:color="auto"/>
            </w:tcBorders>
          </w:tcPr>
          <w:p w14:paraId="2F02B0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31</w:t>
            </w:r>
          </w:p>
        </w:tc>
        <w:tc>
          <w:tcPr>
            <w:tcW w:w="1022" w:type="pct"/>
            <w:tcBorders>
              <w:bottom w:val="single" w:sz="6" w:space="0" w:color="auto"/>
            </w:tcBorders>
          </w:tcPr>
          <w:p w14:paraId="1543DD8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Turquie (rep)</w:t>
            </w:r>
          </w:p>
        </w:tc>
        <w:tc>
          <w:tcPr>
            <w:tcW w:w="580" w:type="pct"/>
            <w:tcBorders>
              <w:bottom w:val="single" w:sz="6" w:space="0" w:color="auto"/>
            </w:tcBorders>
            <w:shd w:val="clear" w:color="auto" w:fill="auto"/>
          </w:tcPr>
          <w:p w14:paraId="6795DF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7B99F3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5C27D4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7F0D39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396C967F"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30-60</w:t>
            </w:r>
          </w:p>
        </w:tc>
        <w:tc>
          <w:tcPr>
            <w:tcW w:w="600" w:type="pct"/>
            <w:tcBorders>
              <w:bottom w:val="single" w:sz="6" w:space="0" w:color="auto"/>
            </w:tcBorders>
            <w:vAlign w:val="center"/>
          </w:tcPr>
          <w:p w14:paraId="15D65EC8" w14:textId="77777777" w:rsidR="00886A3C" w:rsidRPr="001571EF" w:rsidRDefault="00886A3C" w:rsidP="00886A3C">
            <w:pPr>
              <w:spacing w:after="0" w:line="240" w:lineRule="auto"/>
              <w:jc w:val="center"/>
              <w:rPr>
                <w:rFonts w:ascii="Times New Roman" w:hAnsi="Times New Roman" w:cs="Times New Roman"/>
                <w:color w:val="000000"/>
              </w:rPr>
            </w:pPr>
            <w:r w:rsidRPr="00114976">
              <w:rPr>
                <w:rFonts w:ascii="Times New Roman" w:hAnsi="Times New Roman" w:cs="Times New Roman"/>
                <w:color w:val="000000"/>
                <w:lang w:val="fr-FR"/>
              </w:rPr>
              <w:t>déclin</w:t>
            </w:r>
          </w:p>
        </w:tc>
        <w:tc>
          <w:tcPr>
            <w:tcW w:w="602" w:type="pct"/>
            <w:tcBorders>
              <w:bottom w:val="single" w:sz="6" w:space="0" w:color="auto"/>
            </w:tcBorders>
          </w:tcPr>
          <w:p w14:paraId="5BFECD8F" w14:textId="77777777" w:rsidR="00886A3C" w:rsidRPr="001571EF" w:rsidRDefault="00886A3C" w:rsidP="00886A3C">
            <w:pPr>
              <w:spacing w:after="0" w:line="240" w:lineRule="auto"/>
              <w:jc w:val="center"/>
              <w:rPr>
                <w:rFonts w:ascii="Times New Roman" w:hAnsi="Times New Roman" w:cs="Times New Roman"/>
                <w:color w:val="000000"/>
              </w:rPr>
            </w:pPr>
            <w:r w:rsidRPr="00114976">
              <w:rPr>
                <w:rFonts w:ascii="Times New Roman" w:hAnsi="Times New Roman" w:cs="Times New Roman"/>
                <w:color w:val="000000"/>
                <w:lang w:val="fr-FR"/>
              </w:rPr>
              <w:t>Critique</w:t>
            </w:r>
          </w:p>
        </w:tc>
      </w:tr>
      <w:tr w:rsidR="00886A3C" w:rsidRPr="001571EF" w14:paraId="4E9DF7E9" w14:textId="77777777" w:rsidTr="00886A3C">
        <w:trPr>
          <w:trHeight w:val="20"/>
          <w:jc w:val="center"/>
        </w:trPr>
        <w:tc>
          <w:tcPr>
            <w:tcW w:w="213" w:type="pct"/>
          </w:tcPr>
          <w:p w14:paraId="5CA168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3728C9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Threskiornis aethiopicus aethiopicus</w:t>
            </w:r>
          </w:p>
        </w:tc>
        <w:tc>
          <w:tcPr>
            <w:tcW w:w="580" w:type="pct"/>
            <w:shd w:val="clear" w:color="auto" w:fill="auto"/>
          </w:tcPr>
          <w:p w14:paraId="32D638F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5F5385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229642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8F3B3E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2848DA2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0DE566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4918B6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FDEE09D" w14:textId="77777777" w:rsidTr="00886A3C">
        <w:trPr>
          <w:trHeight w:val="20"/>
          <w:jc w:val="center"/>
        </w:trPr>
        <w:tc>
          <w:tcPr>
            <w:tcW w:w="213" w:type="pct"/>
          </w:tcPr>
          <w:p w14:paraId="1D3C8B6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32</w:t>
            </w:r>
          </w:p>
        </w:tc>
        <w:tc>
          <w:tcPr>
            <w:tcW w:w="1022" w:type="pct"/>
          </w:tcPr>
          <w:p w14:paraId="36BC95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Iraq &amp; Iran</w:t>
            </w:r>
          </w:p>
        </w:tc>
        <w:tc>
          <w:tcPr>
            <w:tcW w:w="580" w:type="pct"/>
            <w:shd w:val="clear" w:color="auto" w:fill="auto"/>
          </w:tcPr>
          <w:p w14:paraId="7BB2F5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auto"/>
          </w:tcPr>
          <w:p w14:paraId="1B8E694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1690AA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5CB78C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9E5FDCF"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w:t>
            </w:r>
          </w:p>
        </w:tc>
        <w:tc>
          <w:tcPr>
            <w:tcW w:w="600" w:type="pct"/>
          </w:tcPr>
          <w:p w14:paraId="27469DA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5B1A028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Critique</w:t>
            </w:r>
          </w:p>
        </w:tc>
      </w:tr>
      <w:tr w:rsidR="00886A3C" w:rsidRPr="001571EF" w14:paraId="47BF7583" w14:textId="77777777" w:rsidTr="00886A3C">
        <w:trPr>
          <w:trHeight w:val="20"/>
          <w:jc w:val="center"/>
        </w:trPr>
        <w:tc>
          <w:tcPr>
            <w:tcW w:w="213" w:type="pct"/>
          </w:tcPr>
          <w:p w14:paraId="745BA1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7A3D7A0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vertAlign w:val="superscript"/>
              </w:rPr>
            </w:pPr>
            <w:r w:rsidRPr="00114976">
              <w:rPr>
                <w:rFonts w:ascii="Times New Roman" w:hAnsi="Times New Roman" w:cs="Times New Roman"/>
                <w:i/>
                <w:color w:val="000000"/>
                <w:spacing w:val="-2"/>
                <w:lang w:val="fr-FR"/>
              </w:rPr>
              <w:t>Anas capensis</w:t>
            </w:r>
          </w:p>
        </w:tc>
        <w:tc>
          <w:tcPr>
            <w:tcW w:w="580" w:type="pct"/>
            <w:shd w:val="clear" w:color="auto" w:fill="auto"/>
          </w:tcPr>
          <w:p w14:paraId="237E91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998B9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31AA38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FFFAB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7E59040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7FD3C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9100C9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FA76A60" w14:textId="77777777" w:rsidTr="00886A3C">
        <w:trPr>
          <w:trHeight w:val="20"/>
          <w:jc w:val="center"/>
        </w:trPr>
        <w:tc>
          <w:tcPr>
            <w:tcW w:w="213" w:type="pct"/>
          </w:tcPr>
          <w:p w14:paraId="170C04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33</w:t>
            </w:r>
          </w:p>
        </w:tc>
        <w:tc>
          <w:tcPr>
            <w:tcW w:w="1022" w:type="pct"/>
          </w:tcPr>
          <w:p w14:paraId="43050C7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Bassin du lac Tchad</w:t>
            </w:r>
          </w:p>
        </w:tc>
        <w:tc>
          <w:tcPr>
            <w:tcW w:w="580" w:type="pct"/>
            <w:shd w:val="clear" w:color="auto" w:fill="auto"/>
          </w:tcPr>
          <w:p w14:paraId="33BB261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auto"/>
          </w:tcPr>
          <w:p w14:paraId="2DB10E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C8376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A58174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0829EBF"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1-500</w:t>
            </w:r>
          </w:p>
        </w:tc>
        <w:tc>
          <w:tcPr>
            <w:tcW w:w="600" w:type="pct"/>
          </w:tcPr>
          <w:p w14:paraId="2E10BA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52D2E4F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Critique</w:t>
            </w:r>
          </w:p>
        </w:tc>
      </w:tr>
      <w:tr w:rsidR="00886A3C" w:rsidRPr="001571EF" w14:paraId="446E2909" w14:textId="77777777" w:rsidTr="00886A3C">
        <w:trPr>
          <w:trHeight w:val="20"/>
          <w:jc w:val="center"/>
        </w:trPr>
        <w:tc>
          <w:tcPr>
            <w:tcW w:w="213" w:type="pct"/>
          </w:tcPr>
          <w:p w14:paraId="54A8F0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70268E0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Grus grus</w:t>
            </w:r>
          </w:p>
        </w:tc>
        <w:tc>
          <w:tcPr>
            <w:tcW w:w="580" w:type="pct"/>
            <w:shd w:val="clear" w:color="auto" w:fill="auto"/>
          </w:tcPr>
          <w:p w14:paraId="12240A6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BAEB8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8E326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D43BD8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3ACB25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1E65062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4AAB8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DBE0499" w14:textId="77777777" w:rsidTr="00886A3C">
        <w:trPr>
          <w:trHeight w:val="20"/>
          <w:jc w:val="center"/>
        </w:trPr>
        <w:tc>
          <w:tcPr>
            <w:tcW w:w="213" w:type="pct"/>
          </w:tcPr>
          <w:p w14:paraId="512912C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34</w:t>
            </w:r>
          </w:p>
        </w:tc>
        <w:tc>
          <w:tcPr>
            <w:tcW w:w="1022" w:type="pct"/>
          </w:tcPr>
          <w:p w14:paraId="2FC2A5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Turquie &amp; Géorgie (rep)</w:t>
            </w:r>
          </w:p>
        </w:tc>
        <w:tc>
          <w:tcPr>
            <w:tcW w:w="580" w:type="pct"/>
            <w:shd w:val="clear" w:color="auto" w:fill="auto"/>
          </w:tcPr>
          <w:p w14:paraId="5941C8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auto"/>
          </w:tcPr>
          <w:p w14:paraId="4BBA55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67886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8C7489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3037D804"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200-500</w:t>
            </w:r>
          </w:p>
        </w:tc>
        <w:tc>
          <w:tcPr>
            <w:tcW w:w="600" w:type="pct"/>
          </w:tcPr>
          <w:p w14:paraId="6966D6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2932D2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Critique</w:t>
            </w:r>
          </w:p>
        </w:tc>
      </w:tr>
      <w:tr w:rsidR="00886A3C" w:rsidRPr="001571EF" w14:paraId="79638989" w14:textId="77777777" w:rsidTr="00886A3C">
        <w:trPr>
          <w:trHeight w:val="20"/>
          <w:jc w:val="center"/>
        </w:trPr>
        <w:tc>
          <w:tcPr>
            <w:tcW w:w="213" w:type="pct"/>
          </w:tcPr>
          <w:p w14:paraId="1DC312E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5FB855D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Anas hottentota</w:t>
            </w:r>
          </w:p>
        </w:tc>
        <w:tc>
          <w:tcPr>
            <w:tcW w:w="580" w:type="pct"/>
            <w:shd w:val="clear" w:color="auto" w:fill="auto"/>
          </w:tcPr>
          <w:p w14:paraId="3DC329D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32847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B3923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A09E39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086D99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F9C6A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EA19F2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92F2253" w14:textId="77777777" w:rsidTr="00886A3C">
        <w:trPr>
          <w:trHeight w:val="20"/>
          <w:jc w:val="center"/>
        </w:trPr>
        <w:tc>
          <w:tcPr>
            <w:tcW w:w="213" w:type="pct"/>
            <w:tcBorders>
              <w:bottom w:val="single" w:sz="6" w:space="0" w:color="auto"/>
            </w:tcBorders>
          </w:tcPr>
          <w:p w14:paraId="7AA03BF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35</w:t>
            </w:r>
          </w:p>
        </w:tc>
        <w:tc>
          <w:tcPr>
            <w:tcW w:w="1022" w:type="pct"/>
            <w:tcBorders>
              <w:bottom w:val="single" w:sz="6" w:space="0" w:color="auto"/>
            </w:tcBorders>
          </w:tcPr>
          <w:p w14:paraId="70293B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Bassin du lac Tchad</w:t>
            </w:r>
          </w:p>
        </w:tc>
        <w:tc>
          <w:tcPr>
            <w:tcW w:w="580" w:type="pct"/>
            <w:tcBorders>
              <w:bottom w:val="single" w:sz="6" w:space="0" w:color="auto"/>
            </w:tcBorders>
            <w:shd w:val="clear" w:color="auto" w:fill="auto"/>
          </w:tcPr>
          <w:p w14:paraId="78DBEC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280406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3D75A6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657059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222F0AF7"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01C469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Borders>
              <w:bottom w:val="single" w:sz="6" w:space="0" w:color="auto"/>
            </w:tcBorders>
          </w:tcPr>
          <w:p w14:paraId="671A5B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Élevée</w:t>
            </w:r>
          </w:p>
        </w:tc>
      </w:tr>
      <w:tr w:rsidR="00886A3C" w:rsidRPr="001571EF" w14:paraId="5E0B0C90" w14:textId="77777777" w:rsidTr="00886A3C">
        <w:trPr>
          <w:trHeight w:val="20"/>
          <w:jc w:val="center"/>
        </w:trPr>
        <w:tc>
          <w:tcPr>
            <w:tcW w:w="213" w:type="pct"/>
          </w:tcPr>
          <w:p w14:paraId="2044B57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06F1DAD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Vanellus melanopterus minor</w:t>
            </w:r>
          </w:p>
        </w:tc>
        <w:tc>
          <w:tcPr>
            <w:tcW w:w="580" w:type="pct"/>
            <w:shd w:val="clear" w:color="auto" w:fill="auto"/>
          </w:tcPr>
          <w:p w14:paraId="076435D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2A71DEC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6D7D680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F0D34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389E501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2C74464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3B8A7D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B550FA3" w14:textId="77777777" w:rsidTr="00886A3C">
        <w:trPr>
          <w:trHeight w:val="20"/>
          <w:jc w:val="center"/>
        </w:trPr>
        <w:tc>
          <w:tcPr>
            <w:tcW w:w="213" w:type="pct"/>
            <w:tcBorders>
              <w:bottom w:val="single" w:sz="6" w:space="0" w:color="auto"/>
            </w:tcBorders>
          </w:tcPr>
          <w:p w14:paraId="68EDD2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36</w:t>
            </w:r>
          </w:p>
        </w:tc>
        <w:tc>
          <w:tcPr>
            <w:tcW w:w="1022" w:type="pct"/>
            <w:tcBorders>
              <w:bottom w:val="single" w:sz="6" w:space="0" w:color="auto"/>
            </w:tcBorders>
          </w:tcPr>
          <w:p w14:paraId="069EDE4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Afrique australe</w:t>
            </w:r>
          </w:p>
        </w:tc>
        <w:tc>
          <w:tcPr>
            <w:tcW w:w="580" w:type="pct"/>
            <w:tcBorders>
              <w:bottom w:val="single" w:sz="6" w:space="0" w:color="auto"/>
            </w:tcBorders>
            <w:shd w:val="clear" w:color="auto" w:fill="auto"/>
          </w:tcPr>
          <w:p w14:paraId="17C17F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75328BA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2F245F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216830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35114646"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000-3</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72C1B8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Borders>
              <w:bottom w:val="single" w:sz="6" w:space="0" w:color="auto"/>
            </w:tcBorders>
          </w:tcPr>
          <w:p w14:paraId="0CD10F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Élevée</w:t>
            </w:r>
          </w:p>
        </w:tc>
      </w:tr>
      <w:tr w:rsidR="00886A3C" w:rsidRPr="001571EF" w14:paraId="0472ED74" w14:textId="77777777" w:rsidTr="00886A3C">
        <w:trPr>
          <w:trHeight w:val="20"/>
          <w:jc w:val="center"/>
        </w:trPr>
        <w:tc>
          <w:tcPr>
            <w:tcW w:w="213" w:type="pct"/>
          </w:tcPr>
          <w:p w14:paraId="1945BB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3361A4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Calidris alpina schinzii</w:t>
            </w:r>
          </w:p>
        </w:tc>
        <w:tc>
          <w:tcPr>
            <w:tcW w:w="580" w:type="pct"/>
            <w:shd w:val="clear" w:color="auto" w:fill="auto"/>
          </w:tcPr>
          <w:p w14:paraId="6D9BD3C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E18C1B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66CCD2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AA953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2CE4407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4B88E84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E447C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4829D2A" w14:textId="77777777" w:rsidTr="00886A3C">
        <w:trPr>
          <w:trHeight w:val="20"/>
          <w:jc w:val="center"/>
        </w:trPr>
        <w:tc>
          <w:tcPr>
            <w:tcW w:w="213" w:type="pct"/>
          </w:tcPr>
          <w:p w14:paraId="480C3F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37</w:t>
            </w:r>
          </w:p>
        </w:tc>
        <w:tc>
          <w:tcPr>
            <w:tcW w:w="1022" w:type="pct"/>
          </w:tcPr>
          <w:p w14:paraId="18FA57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en-US"/>
              </w:rPr>
            </w:pPr>
            <w:r w:rsidRPr="001571EF">
              <w:rPr>
                <w:rFonts w:ascii="Times New Roman" w:hAnsi="Times New Roman" w:cs="Times New Roman"/>
                <w:color w:val="000000"/>
                <w:spacing w:val="-2"/>
                <w:lang w:val="en-US"/>
              </w:rPr>
              <w:t xml:space="preserve">- </w:t>
            </w:r>
            <w:r w:rsidRPr="00114976">
              <w:rPr>
                <w:rFonts w:ascii="Times New Roman" w:hAnsi="Times New Roman" w:cs="Times New Roman"/>
                <w:color w:val="000000"/>
                <w:spacing w:val="-2"/>
                <w:lang w:val="fr-FR"/>
              </w:rPr>
              <w:t>Baltique/SO Europe &amp; NO Afrique</w:t>
            </w:r>
          </w:p>
        </w:tc>
        <w:tc>
          <w:tcPr>
            <w:tcW w:w="580" w:type="pct"/>
            <w:shd w:val="clear" w:color="auto" w:fill="auto"/>
          </w:tcPr>
          <w:p w14:paraId="56F4EFC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auto"/>
          </w:tcPr>
          <w:p w14:paraId="0D9FA35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0496E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C2341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4F9E9933"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w:t>
            </w:r>
            <w:r>
              <w:rPr>
                <w:rFonts w:ascii="Times New Roman" w:hAnsi="Times New Roman" w:cs="Times New Roman"/>
                <w:color w:val="000000"/>
              </w:rPr>
              <w:t> </w:t>
            </w:r>
            <w:r w:rsidRPr="001571EF">
              <w:rPr>
                <w:rFonts w:ascii="Times New Roman" w:hAnsi="Times New Roman" w:cs="Times New Roman"/>
                <w:color w:val="000000"/>
              </w:rPr>
              <w:t>300-4</w:t>
            </w:r>
            <w:r>
              <w:rPr>
                <w:rFonts w:ascii="Times New Roman" w:hAnsi="Times New Roman" w:cs="Times New Roman"/>
                <w:color w:val="000000"/>
              </w:rPr>
              <w:t> </w:t>
            </w:r>
            <w:r w:rsidRPr="001571EF">
              <w:rPr>
                <w:rFonts w:ascii="Times New Roman" w:hAnsi="Times New Roman" w:cs="Times New Roman"/>
                <w:color w:val="000000"/>
              </w:rPr>
              <w:t>100</w:t>
            </w:r>
          </w:p>
        </w:tc>
        <w:tc>
          <w:tcPr>
            <w:tcW w:w="600" w:type="pct"/>
          </w:tcPr>
          <w:p w14:paraId="12681E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3F6DDB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Élevée</w:t>
            </w:r>
          </w:p>
        </w:tc>
      </w:tr>
      <w:tr w:rsidR="00886A3C" w:rsidRPr="001571EF" w14:paraId="48841B46" w14:textId="77777777" w:rsidTr="00886A3C">
        <w:trPr>
          <w:trHeight w:val="20"/>
          <w:jc w:val="center"/>
        </w:trPr>
        <w:tc>
          <w:tcPr>
            <w:tcW w:w="213" w:type="pct"/>
          </w:tcPr>
          <w:p w14:paraId="51D45B0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5AB5F93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14976">
              <w:rPr>
                <w:rFonts w:ascii="Times New Roman" w:hAnsi="Times New Roman" w:cs="Times New Roman"/>
                <w:i/>
                <w:color w:val="000000"/>
                <w:spacing w:val="-2"/>
                <w:lang w:val="fr-FR"/>
              </w:rPr>
              <w:t>Botaurus stellaris capensis</w:t>
            </w:r>
          </w:p>
        </w:tc>
        <w:tc>
          <w:tcPr>
            <w:tcW w:w="580" w:type="pct"/>
            <w:shd w:val="clear" w:color="auto" w:fill="auto"/>
          </w:tcPr>
          <w:p w14:paraId="122741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7130D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0FF15B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4F0A5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2F0578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7FE3C1E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F93E9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6FB013C" w14:textId="77777777" w:rsidTr="00886A3C">
        <w:trPr>
          <w:trHeight w:val="20"/>
          <w:jc w:val="center"/>
        </w:trPr>
        <w:tc>
          <w:tcPr>
            <w:tcW w:w="213" w:type="pct"/>
          </w:tcPr>
          <w:p w14:paraId="0F17252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38</w:t>
            </w:r>
          </w:p>
        </w:tc>
        <w:tc>
          <w:tcPr>
            <w:tcW w:w="1022" w:type="pct"/>
          </w:tcPr>
          <w:p w14:paraId="05F8D8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Afrique australe</w:t>
            </w:r>
          </w:p>
        </w:tc>
        <w:tc>
          <w:tcPr>
            <w:tcW w:w="580" w:type="pct"/>
            <w:shd w:val="clear" w:color="auto" w:fill="auto"/>
          </w:tcPr>
          <w:p w14:paraId="369D55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auto"/>
          </w:tcPr>
          <w:p w14:paraId="4CED2F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253B1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FCD23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BCF92AB"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053A7A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2F6F96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Élevée</w:t>
            </w:r>
          </w:p>
        </w:tc>
      </w:tr>
      <w:tr w:rsidR="00886A3C" w:rsidRPr="001571EF" w14:paraId="6D00BC61" w14:textId="77777777" w:rsidTr="00886A3C">
        <w:trPr>
          <w:trHeight w:val="20"/>
          <w:jc w:val="center"/>
        </w:trPr>
        <w:tc>
          <w:tcPr>
            <w:tcW w:w="213" w:type="pct"/>
          </w:tcPr>
          <w:p w14:paraId="466B450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C44A6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 xml:space="preserve">Fulica cristata </w:t>
            </w:r>
            <w:r w:rsidRPr="00114976">
              <w:rPr>
                <w:rFonts w:ascii="Times New Roman" w:hAnsi="Times New Roman" w:cs="Times New Roman"/>
                <w:b/>
                <w:color w:val="FF0000"/>
                <w:spacing w:val="-2"/>
                <w:lang w:val="fr-FR"/>
              </w:rPr>
              <w:t>!!!</w:t>
            </w:r>
            <w:r w:rsidRPr="00114976">
              <w:rPr>
                <w:rStyle w:val="FootnoteReference"/>
                <w:rFonts w:ascii="Times New Roman" w:hAnsi="Times New Roman" w:cs="Times New Roman"/>
                <w:b/>
                <w:color w:val="FF0000"/>
                <w:spacing w:val="-2"/>
                <w:lang w:val="fr-FR"/>
              </w:rPr>
              <w:footnoteReference w:id="19"/>
            </w:r>
          </w:p>
        </w:tc>
        <w:tc>
          <w:tcPr>
            <w:tcW w:w="580" w:type="pct"/>
            <w:shd w:val="clear" w:color="auto" w:fill="auto"/>
          </w:tcPr>
          <w:p w14:paraId="10B6CDE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500637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9801A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288A0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2E7EFD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8E2B9E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D03FC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7B28F21" w14:textId="77777777" w:rsidTr="00886A3C">
        <w:trPr>
          <w:trHeight w:val="20"/>
          <w:jc w:val="center"/>
        </w:trPr>
        <w:tc>
          <w:tcPr>
            <w:tcW w:w="213" w:type="pct"/>
          </w:tcPr>
          <w:p w14:paraId="5047BF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39</w:t>
            </w:r>
          </w:p>
        </w:tc>
        <w:tc>
          <w:tcPr>
            <w:tcW w:w="1022" w:type="pct"/>
          </w:tcPr>
          <w:p w14:paraId="6B78A8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Espagne &amp; Maroc</w:t>
            </w:r>
          </w:p>
        </w:tc>
        <w:tc>
          <w:tcPr>
            <w:tcW w:w="580" w:type="pct"/>
            <w:shd w:val="clear" w:color="auto" w:fill="auto"/>
          </w:tcPr>
          <w:p w14:paraId="0EE0E2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shd w:val="clear" w:color="auto" w:fill="auto"/>
          </w:tcPr>
          <w:p w14:paraId="645602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2A43B5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186396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553E28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4E2545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06E484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Élevée</w:t>
            </w:r>
          </w:p>
        </w:tc>
      </w:tr>
      <w:tr w:rsidR="00886A3C" w:rsidRPr="001571EF" w14:paraId="27380C9C" w14:textId="77777777" w:rsidTr="00886A3C">
        <w:trPr>
          <w:trHeight w:val="20"/>
          <w:jc w:val="center"/>
        </w:trPr>
        <w:tc>
          <w:tcPr>
            <w:tcW w:w="213" w:type="pct"/>
          </w:tcPr>
          <w:p w14:paraId="68298C7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CFEF3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Sarothrura boehmi</w:t>
            </w:r>
          </w:p>
        </w:tc>
        <w:tc>
          <w:tcPr>
            <w:tcW w:w="580" w:type="pct"/>
            <w:shd w:val="clear" w:color="auto" w:fill="auto"/>
          </w:tcPr>
          <w:p w14:paraId="7BD3EE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C7D0D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47B0D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FCDAE2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409E832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1C1A54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92A4F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1A7CC12" w14:textId="77777777" w:rsidTr="00886A3C">
        <w:trPr>
          <w:trHeight w:val="20"/>
          <w:jc w:val="center"/>
        </w:trPr>
        <w:tc>
          <w:tcPr>
            <w:tcW w:w="213" w:type="pct"/>
            <w:tcBorders>
              <w:bottom w:val="single" w:sz="6" w:space="0" w:color="auto"/>
            </w:tcBorders>
          </w:tcPr>
          <w:p w14:paraId="2C4877D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40</w:t>
            </w:r>
          </w:p>
        </w:tc>
        <w:tc>
          <w:tcPr>
            <w:tcW w:w="1022" w:type="pct"/>
            <w:tcBorders>
              <w:bottom w:val="single" w:sz="6" w:space="0" w:color="auto"/>
            </w:tcBorders>
          </w:tcPr>
          <w:p w14:paraId="732B462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114976">
              <w:rPr>
                <w:rFonts w:ascii="Times New Roman" w:hAnsi="Times New Roman" w:cs="Times New Roman"/>
                <w:color w:val="000000"/>
                <w:spacing w:val="-2"/>
                <w:lang w:val="fr-FR"/>
              </w:rPr>
              <w:t>Afrique centrale</w:t>
            </w:r>
          </w:p>
        </w:tc>
        <w:tc>
          <w:tcPr>
            <w:tcW w:w="580" w:type="pct"/>
            <w:tcBorders>
              <w:bottom w:val="single" w:sz="6" w:space="0" w:color="auto"/>
            </w:tcBorders>
            <w:shd w:val="clear" w:color="auto" w:fill="auto"/>
          </w:tcPr>
          <w:p w14:paraId="5E2F437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563B613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3F0DCE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0FC09B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6B1C2BD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32CBAD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Borders>
              <w:bottom w:val="single" w:sz="6" w:space="0" w:color="auto"/>
            </w:tcBorders>
          </w:tcPr>
          <w:p w14:paraId="4ACFD1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Moyenne</w:t>
            </w:r>
          </w:p>
        </w:tc>
      </w:tr>
      <w:tr w:rsidR="00886A3C" w:rsidRPr="001571EF" w14:paraId="494066D4" w14:textId="77777777" w:rsidTr="00886A3C">
        <w:trPr>
          <w:trHeight w:val="20"/>
          <w:jc w:val="center"/>
        </w:trPr>
        <w:tc>
          <w:tcPr>
            <w:tcW w:w="213" w:type="pct"/>
          </w:tcPr>
          <w:p w14:paraId="3D4C95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3E2142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14976">
              <w:rPr>
                <w:rFonts w:ascii="Times New Roman" w:hAnsi="Times New Roman" w:cs="Times New Roman"/>
                <w:i/>
                <w:color w:val="000000"/>
                <w:spacing w:val="-2"/>
                <w:lang w:val="fr-FR"/>
              </w:rPr>
              <w:t>Thalassornis leuconotus leuconotus</w:t>
            </w:r>
          </w:p>
        </w:tc>
        <w:tc>
          <w:tcPr>
            <w:tcW w:w="580" w:type="pct"/>
            <w:shd w:val="clear" w:color="auto" w:fill="auto"/>
          </w:tcPr>
          <w:p w14:paraId="1D099CE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4D63B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9B9D81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9A4C7D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LC</w:t>
            </w:r>
          </w:p>
        </w:tc>
        <w:tc>
          <w:tcPr>
            <w:tcW w:w="533" w:type="pct"/>
          </w:tcPr>
          <w:p w14:paraId="7192A3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219FC1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8C6AF5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783BE55" w14:textId="77777777" w:rsidTr="00886A3C">
        <w:trPr>
          <w:trHeight w:val="20"/>
          <w:jc w:val="center"/>
        </w:trPr>
        <w:tc>
          <w:tcPr>
            <w:tcW w:w="213" w:type="pct"/>
          </w:tcPr>
          <w:p w14:paraId="46B5B9E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r w:rsidRPr="001571EF">
              <w:rPr>
                <w:rFonts w:ascii="Times New Roman" w:hAnsi="Times New Roman" w:cs="Times New Roman"/>
                <w:color w:val="000000"/>
                <w:spacing w:val="-2"/>
              </w:rPr>
              <w:lastRenderedPageBreak/>
              <w:t>1</w:t>
            </w:r>
          </w:p>
        </w:tc>
        <w:tc>
          <w:tcPr>
            <w:tcW w:w="1022" w:type="pct"/>
          </w:tcPr>
          <w:p w14:paraId="44A948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 xml:space="preserve">- </w:t>
            </w:r>
            <w:r w:rsidRPr="00114976">
              <w:rPr>
                <w:rFonts w:ascii="Times New Roman" w:hAnsi="Times New Roman" w:cs="Times New Roman"/>
                <w:color w:val="000000"/>
                <w:spacing w:val="-2"/>
                <w:lang w:val="fr-FR"/>
              </w:rPr>
              <w:t xml:space="preserve">Afrique de </w:t>
            </w:r>
            <w:r w:rsidRPr="00114976">
              <w:rPr>
                <w:rFonts w:ascii="Times New Roman" w:hAnsi="Times New Roman" w:cs="Times New Roman"/>
                <w:color w:val="000000"/>
                <w:spacing w:val="-2"/>
                <w:lang w:val="fr-FR"/>
              </w:rPr>
              <w:lastRenderedPageBreak/>
              <w:t>l</w:t>
            </w:r>
            <w:r>
              <w:rPr>
                <w:rFonts w:ascii="Times New Roman" w:hAnsi="Times New Roman" w:cs="Times New Roman"/>
                <w:color w:val="000000"/>
                <w:spacing w:val="-2"/>
                <w:lang w:val="fr-FR"/>
              </w:rPr>
              <w:t>’</w:t>
            </w:r>
            <w:r w:rsidRPr="00114976">
              <w:rPr>
                <w:rFonts w:ascii="Times New Roman" w:hAnsi="Times New Roman" w:cs="Times New Roman"/>
                <w:color w:val="000000"/>
                <w:spacing w:val="-2"/>
                <w:lang w:val="fr-FR"/>
              </w:rPr>
              <w:t>Ouest</w:t>
            </w:r>
          </w:p>
        </w:tc>
        <w:tc>
          <w:tcPr>
            <w:tcW w:w="580" w:type="pct"/>
            <w:shd w:val="clear" w:color="auto" w:fill="auto"/>
          </w:tcPr>
          <w:p w14:paraId="2D57ECC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lastRenderedPageBreak/>
              <w:t>1c</w:t>
            </w:r>
          </w:p>
        </w:tc>
        <w:tc>
          <w:tcPr>
            <w:tcW w:w="535" w:type="pct"/>
            <w:shd w:val="clear" w:color="auto" w:fill="auto"/>
          </w:tcPr>
          <w:p w14:paraId="212437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564EC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BD9497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29E4748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1-500</w:t>
            </w:r>
          </w:p>
        </w:tc>
        <w:tc>
          <w:tcPr>
            <w:tcW w:w="600" w:type="pct"/>
          </w:tcPr>
          <w:p w14:paraId="3C5678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14976">
              <w:rPr>
                <w:rFonts w:ascii="Times New Roman" w:hAnsi="Times New Roman" w:cs="Times New Roman"/>
                <w:color w:val="000000"/>
                <w:spacing w:val="-2"/>
                <w:lang w:val="fr-FR"/>
              </w:rPr>
              <w:t>déclin</w:t>
            </w:r>
          </w:p>
        </w:tc>
        <w:tc>
          <w:tcPr>
            <w:tcW w:w="602" w:type="pct"/>
          </w:tcPr>
          <w:p w14:paraId="5C6C72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69DEEDB" w14:textId="77777777" w:rsidTr="00886A3C">
        <w:trPr>
          <w:trHeight w:val="20"/>
          <w:jc w:val="center"/>
        </w:trPr>
        <w:tc>
          <w:tcPr>
            <w:tcW w:w="213" w:type="pct"/>
          </w:tcPr>
          <w:p w14:paraId="242990B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69A2253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Podiceps cristatus infuscatus</w:t>
            </w:r>
          </w:p>
        </w:tc>
        <w:tc>
          <w:tcPr>
            <w:tcW w:w="580" w:type="pct"/>
            <w:shd w:val="clear" w:color="auto" w:fill="auto"/>
          </w:tcPr>
          <w:p w14:paraId="0C7A42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962EA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2D4AD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41F5A5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21D8BD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12F07C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EE6C84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E68B8F0" w14:textId="77777777" w:rsidTr="00886A3C">
        <w:trPr>
          <w:trHeight w:val="20"/>
          <w:jc w:val="center"/>
        </w:trPr>
        <w:tc>
          <w:tcPr>
            <w:tcW w:w="213" w:type="pct"/>
          </w:tcPr>
          <w:p w14:paraId="53E148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42</w:t>
            </w:r>
          </w:p>
        </w:tc>
        <w:tc>
          <w:tcPr>
            <w:tcW w:w="1022" w:type="pct"/>
          </w:tcPr>
          <w:p w14:paraId="04965500"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50041">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050041">
              <w:rPr>
                <w:rFonts w:ascii="Times New Roman" w:hAnsi="Times New Roman" w:cs="Times New Roman"/>
                <w:color w:val="000000"/>
                <w:spacing w:val="-2"/>
                <w:lang w:val="fr-FR"/>
              </w:rPr>
              <w:t>Est (Éthiopie à N Zambie)</w:t>
            </w:r>
          </w:p>
        </w:tc>
        <w:tc>
          <w:tcPr>
            <w:tcW w:w="580" w:type="pct"/>
            <w:shd w:val="clear" w:color="auto" w:fill="auto"/>
          </w:tcPr>
          <w:p w14:paraId="164783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508E3B3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B82B7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0C1A4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7FC37B0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0954B0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Pr>
          <w:p w14:paraId="1110D9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96524BC" w14:textId="77777777" w:rsidTr="00886A3C">
        <w:trPr>
          <w:trHeight w:val="20"/>
          <w:jc w:val="center"/>
        </w:trPr>
        <w:tc>
          <w:tcPr>
            <w:tcW w:w="213" w:type="pct"/>
          </w:tcPr>
          <w:p w14:paraId="228BB95D"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022" w:type="pct"/>
          </w:tcPr>
          <w:p w14:paraId="6552E705"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050041">
              <w:rPr>
                <w:rFonts w:ascii="Times New Roman" w:hAnsi="Times New Roman" w:cs="Times New Roman"/>
                <w:i/>
                <w:lang w:val="fr-FR"/>
              </w:rPr>
              <w:t>Sterna anaethetus</w:t>
            </w:r>
            <w:r w:rsidRPr="00050041">
              <w:rPr>
                <w:rFonts w:ascii="Times New Roman" w:hAnsi="Times New Roman" w:cs="Times New Roman"/>
                <w:lang w:val="fr-FR"/>
              </w:rPr>
              <w:t xml:space="preserve"> </w:t>
            </w:r>
            <w:r w:rsidRPr="00050041">
              <w:rPr>
                <w:rFonts w:ascii="Times New Roman" w:hAnsi="Times New Roman" w:cs="Times New Roman"/>
                <w:i/>
                <w:lang w:val="fr-FR"/>
              </w:rPr>
              <w:t>melanopterus</w:t>
            </w:r>
          </w:p>
        </w:tc>
        <w:tc>
          <w:tcPr>
            <w:tcW w:w="580" w:type="pct"/>
            <w:shd w:val="clear" w:color="auto" w:fill="auto"/>
          </w:tcPr>
          <w:p w14:paraId="38759A8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2B64C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6B284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99F8E1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391ADB9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667753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A08A9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621A969" w14:textId="77777777" w:rsidTr="00886A3C">
        <w:trPr>
          <w:trHeight w:val="20"/>
          <w:jc w:val="center"/>
        </w:trPr>
        <w:tc>
          <w:tcPr>
            <w:tcW w:w="213" w:type="pct"/>
          </w:tcPr>
          <w:p w14:paraId="583F0F0C"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rPr>
            </w:pPr>
            <w:r w:rsidRPr="001571EF">
              <w:rPr>
                <w:rFonts w:ascii="Times New Roman" w:hAnsi="Times New Roman" w:cs="Times New Roman"/>
              </w:rPr>
              <w:t>43</w:t>
            </w:r>
          </w:p>
        </w:tc>
        <w:tc>
          <w:tcPr>
            <w:tcW w:w="1022" w:type="pct"/>
          </w:tcPr>
          <w:p w14:paraId="06311588"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w:t>
            </w:r>
            <w:r w:rsidRPr="001571EF">
              <w:rPr>
                <w:rFonts w:ascii="Times New Roman" w:hAnsi="Times New Roman" w:cs="Times New Roman"/>
              </w:rPr>
              <w:t xml:space="preserve"> </w:t>
            </w:r>
            <w:r w:rsidRPr="00050041">
              <w:rPr>
                <w:rFonts w:ascii="Times New Roman" w:hAnsi="Times New Roman" w:cs="Times New Roman"/>
                <w:lang w:val="fr-FR"/>
              </w:rPr>
              <w:t>Afrique de l</w:t>
            </w:r>
            <w:r>
              <w:rPr>
                <w:rFonts w:ascii="Times New Roman" w:hAnsi="Times New Roman" w:cs="Times New Roman"/>
                <w:lang w:val="fr-FR"/>
              </w:rPr>
              <w:t>’</w:t>
            </w:r>
            <w:r w:rsidRPr="00050041">
              <w:rPr>
                <w:rFonts w:ascii="Times New Roman" w:hAnsi="Times New Roman" w:cs="Times New Roman"/>
                <w:lang w:val="fr-FR"/>
              </w:rPr>
              <w:t>Ouest</w:t>
            </w:r>
          </w:p>
        </w:tc>
        <w:tc>
          <w:tcPr>
            <w:tcW w:w="580" w:type="pct"/>
            <w:shd w:val="clear" w:color="auto" w:fill="auto"/>
          </w:tcPr>
          <w:p w14:paraId="2413B18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228EB84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84037A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2A42D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5F68EEC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500</w:t>
            </w:r>
          </w:p>
        </w:tc>
        <w:tc>
          <w:tcPr>
            <w:tcW w:w="600" w:type="pct"/>
          </w:tcPr>
          <w:p w14:paraId="579E26A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Pr>
          <w:p w14:paraId="693DE2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2D901CB" w14:textId="77777777" w:rsidTr="00886A3C">
        <w:trPr>
          <w:trHeight w:val="20"/>
          <w:jc w:val="center"/>
        </w:trPr>
        <w:tc>
          <w:tcPr>
            <w:tcW w:w="213" w:type="pct"/>
          </w:tcPr>
          <w:p w14:paraId="546CC7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6C26007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Tadorna ferruginea</w:t>
            </w:r>
          </w:p>
        </w:tc>
        <w:tc>
          <w:tcPr>
            <w:tcW w:w="580" w:type="pct"/>
            <w:shd w:val="clear" w:color="auto" w:fill="auto"/>
          </w:tcPr>
          <w:p w14:paraId="08EC40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A66D6B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646FD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C7F74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70AEB0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78B54A8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DF81F6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285F48F" w14:textId="77777777" w:rsidTr="00886A3C">
        <w:trPr>
          <w:trHeight w:val="20"/>
          <w:jc w:val="center"/>
        </w:trPr>
        <w:tc>
          <w:tcPr>
            <w:tcW w:w="213" w:type="pct"/>
          </w:tcPr>
          <w:p w14:paraId="2A2680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44</w:t>
            </w:r>
          </w:p>
        </w:tc>
        <w:tc>
          <w:tcPr>
            <w:tcW w:w="1022" w:type="pct"/>
          </w:tcPr>
          <w:p w14:paraId="222200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50041">
              <w:rPr>
                <w:rFonts w:ascii="Times New Roman" w:hAnsi="Times New Roman"/>
                <w:color w:val="000000"/>
                <w:spacing w:val="-2"/>
                <w:lang w:val="fr-FR"/>
              </w:rPr>
              <w:t>Afrique du Nord-Oue</w:t>
            </w:r>
            <w:smartTag w:uri="urn:schemas-microsoft-com:office:smarttags" w:element="PersonName">
              <w:r w:rsidRPr="00050041">
                <w:rPr>
                  <w:rFonts w:ascii="Times New Roman" w:hAnsi="Times New Roman"/>
                  <w:color w:val="000000"/>
                  <w:spacing w:val="-2"/>
                  <w:lang w:val="fr-FR"/>
                </w:rPr>
                <w:t>s</w:t>
              </w:r>
            </w:smartTag>
            <w:r w:rsidRPr="00050041">
              <w:rPr>
                <w:rFonts w:ascii="Times New Roman" w:hAnsi="Times New Roman"/>
                <w:color w:val="000000"/>
                <w:spacing w:val="-2"/>
                <w:lang w:val="fr-FR"/>
              </w:rPr>
              <w:t>t</w:t>
            </w:r>
          </w:p>
        </w:tc>
        <w:tc>
          <w:tcPr>
            <w:tcW w:w="580" w:type="pct"/>
            <w:shd w:val="clear" w:color="auto" w:fill="auto"/>
          </w:tcPr>
          <w:p w14:paraId="0D8392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0B8BAC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86C4B0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D863D4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61E8C2EC"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398ACF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Pr>
          <w:p w14:paraId="1D48F25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3379200" w14:textId="77777777" w:rsidTr="00886A3C">
        <w:trPr>
          <w:trHeight w:val="20"/>
          <w:jc w:val="center"/>
        </w:trPr>
        <w:tc>
          <w:tcPr>
            <w:tcW w:w="213" w:type="pct"/>
          </w:tcPr>
          <w:p w14:paraId="3803DC9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0731F05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Anser fabalis fabalis</w:t>
            </w:r>
          </w:p>
        </w:tc>
        <w:tc>
          <w:tcPr>
            <w:tcW w:w="580" w:type="pct"/>
            <w:shd w:val="clear" w:color="auto" w:fill="auto"/>
          </w:tcPr>
          <w:p w14:paraId="21DCD8A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30710D6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C1B4C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E5A890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3246CFB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19A9B7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34AAF6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1714EC2" w14:textId="77777777" w:rsidTr="00886A3C">
        <w:trPr>
          <w:trHeight w:val="20"/>
          <w:jc w:val="center"/>
        </w:trPr>
        <w:tc>
          <w:tcPr>
            <w:tcW w:w="213" w:type="pct"/>
          </w:tcPr>
          <w:p w14:paraId="65E901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45</w:t>
            </w:r>
          </w:p>
        </w:tc>
        <w:tc>
          <w:tcPr>
            <w:tcW w:w="1022" w:type="pct"/>
          </w:tcPr>
          <w:p w14:paraId="36F7640D"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fr-FR"/>
              </w:rPr>
            </w:pPr>
            <w:r w:rsidRPr="00856FAD">
              <w:rPr>
                <w:rFonts w:ascii="Times New Roman" w:hAnsi="Times New Roman" w:cs="Times New Roman"/>
                <w:color w:val="000000"/>
                <w:spacing w:val="-2"/>
                <w:lang w:val="fr-FR"/>
              </w:rPr>
              <w:t xml:space="preserve">- </w:t>
            </w:r>
            <w:r w:rsidRPr="00050041">
              <w:rPr>
                <w:rFonts w:ascii="Times New Roman" w:hAnsi="Times New Roman"/>
                <w:color w:val="000000"/>
                <w:spacing w:val="-2"/>
                <w:lang w:val="fr-FR"/>
              </w:rPr>
              <w:t>Sibérie occidentale &amp; centrale/Turkménistan à l</w:t>
            </w:r>
            <w:r>
              <w:rPr>
                <w:rFonts w:ascii="Times New Roman" w:hAnsi="Times New Roman"/>
                <w:color w:val="000000"/>
                <w:spacing w:val="-2"/>
                <w:lang w:val="fr-FR"/>
              </w:rPr>
              <w:t>’</w:t>
            </w:r>
            <w:r w:rsidRPr="00050041">
              <w:rPr>
                <w:rFonts w:ascii="Times New Roman" w:hAnsi="Times New Roman"/>
                <w:color w:val="000000"/>
                <w:spacing w:val="-2"/>
                <w:lang w:val="fr-FR"/>
              </w:rPr>
              <w:t>ouest de la Chine</w:t>
            </w:r>
          </w:p>
        </w:tc>
        <w:tc>
          <w:tcPr>
            <w:tcW w:w="580" w:type="pct"/>
            <w:shd w:val="clear" w:color="auto" w:fill="auto"/>
          </w:tcPr>
          <w:p w14:paraId="4BC618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099CF4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6556841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63" w:type="pct"/>
          </w:tcPr>
          <w:p w14:paraId="431597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533" w:type="pct"/>
            <w:vAlign w:val="center"/>
          </w:tcPr>
          <w:p w14:paraId="2E71724E"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513AD7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 ?</w:t>
            </w:r>
          </w:p>
        </w:tc>
        <w:tc>
          <w:tcPr>
            <w:tcW w:w="602" w:type="pct"/>
          </w:tcPr>
          <w:p w14:paraId="5971E5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5CD6075" w14:textId="77777777" w:rsidTr="00886A3C">
        <w:trPr>
          <w:trHeight w:val="20"/>
          <w:jc w:val="center"/>
        </w:trPr>
        <w:tc>
          <w:tcPr>
            <w:tcW w:w="213" w:type="pct"/>
          </w:tcPr>
          <w:p w14:paraId="72E71B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71412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Nettapus auritus</w:t>
            </w:r>
          </w:p>
        </w:tc>
        <w:tc>
          <w:tcPr>
            <w:tcW w:w="580" w:type="pct"/>
            <w:shd w:val="clear" w:color="auto" w:fill="auto"/>
          </w:tcPr>
          <w:p w14:paraId="480BC9D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74AC1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9FD86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E18C0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46B028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F028C8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FD628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B7E5394" w14:textId="77777777" w:rsidTr="00886A3C">
        <w:trPr>
          <w:trHeight w:val="20"/>
          <w:jc w:val="center"/>
        </w:trPr>
        <w:tc>
          <w:tcPr>
            <w:tcW w:w="213" w:type="pct"/>
          </w:tcPr>
          <w:p w14:paraId="12FA61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46</w:t>
            </w:r>
          </w:p>
        </w:tc>
        <w:tc>
          <w:tcPr>
            <w:tcW w:w="1022" w:type="pct"/>
          </w:tcPr>
          <w:p w14:paraId="2A84657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50041">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050041">
              <w:rPr>
                <w:rFonts w:ascii="Times New Roman" w:hAnsi="Times New Roman" w:cs="Times New Roman"/>
                <w:color w:val="000000"/>
                <w:spacing w:val="-2"/>
                <w:lang w:val="fr-FR"/>
              </w:rPr>
              <w:t>Ouest</w:t>
            </w:r>
          </w:p>
        </w:tc>
        <w:tc>
          <w:tcPr>
            <w:tcW w:w="580" w:type="pct"/>
            <w:shd w:val="clear" w:color="auto" w:fill="auto"/>
          </w:tcPr>
          <w:p w14:paraId="3434EC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6D548C4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F96602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6F3826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66DF434C"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1E25A1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Pr>
          <w:p w14:paraId="24A57B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49C4334" w14:textId="77777777" w:rsidTr="00886A3C">
        <w:trPr>
          <w:trHeight w:val="20"/>
          <w:jc w:val="center"/>
        </w:trPr>
        <w:tc>
          <w:tcPr>
            <w:tcW w:w="213" w:type="pct"/>
          </w:tcPr>
          <w:p w14:paraId="38593C5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526BCA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Numenius phaeopus alboaxillaris</w:t>
            </w:r>
          </w:p>
        </w:tc>
        <w:tc>
          <w:tcPr>
            <w:tcW w:w="580" w:type="pct"/>
            <w:shd w:val="clear" w:color="auto" w:fill="auto"/>
          </w:tcPr>
          <w:p w14:paraId="0C43054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22F65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6F564D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CDB711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698F7E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40F36AA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54F77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B6041B5" w14:textId="77777777" w:rsidTr="00886A3C">
        <w:trPr>
          <w:trHeight w:val="20"/>
          <w:jc w:val="center"/>
        </w:trPr>
        <w:tc>
          <w:tcPr>
            <w:tcW w:w="213" w:type="pct"/>
            <w:tcBorders>
              <w:bottom w:val="single" w:sz="6" w:space="0" w:color="auto"/>
            </w:tcBorders>
          </w:tcPr>
          <w:p w14:paraId="59CB08C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47</w:t>
            </w:r>
          </w:p>
        </w:tc>
        <w:tc>
          <w:tcPr>
            <w:tcW w:w="1022" w:type="pct"/>
            <w:tcBorders>
              <w:bottom w:val="single" w:sz="6" w:space="0" w:color="auto"/>
            </w:tcBorders>
          </w:tcPr>
          <w:p w14:paraId="5D1C301A"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50041">
              <w:rPr>
                <w:rFonts w:ascii="Times New Roman" w:hAnsi="Times New Roman"/>
                <w:color w:val="000000"/>
                <w:spacing w:val="-2"/>
                <w:lang w:val="fr-FR"/>
              </w:rPr>
              <w:t>A</w:t>
            </w:r>
            <w:smartTag w:uri="urn:schemas-microsoft-com:office:smarttags" w:element="PersonName">
              <w:r w:rsidRPr="00050041">
                <w:rPr>
                  <w:rFonts w:ascii="Times New Roman" w:hAnsi="Times New Roman"/>
                  <w:color w:val="000000"/>
                  <w:spacing w:val="-2"/>
                  <w:lang w:val="fr-FR"/>
                </w:rPr>
                <w:t>s</w:t>
              </w:r>
            </w:smartTag>
            <w:r w:rsidRPr="00050041">
              <w:rPr>
                <w:rFonts w:ascii="Times New Roman" w:hAnsi="Times New Roman"/>
                <w:color w:val="000000"/>
                <w:spacing w:val="-2"/>
                <w:lang w:val="fr-FR"/>
              </w:rPr>
              <w:t>ie du Sud-Oue</w:t>
            </w:r>
            <w:smartTag w:uri="urn:schemas-microsoft-com:office:smarttags" w:element="PersonName">
              <w:r w:rsidRPr="00050041">
                <w:rPr>
                  <w:rFonts w:ascii="Times New Roman" w:hAnsi="Times New Roman"/>
                  <w:color w:val="000000"/>
                  <w:spacing w:val="-2"/>
                  <w:lang w:val="fr-FR"/>
                </w:rPr>
                <w:t>s</w:t>
              </w:r>
            </w:smartTag>
            <w:r w:rsidRPr="00050041">
              <w:rPr>
                <w:rFonts w:ascii="Times New Roman" w:hAnsi="Times New Roman"/>
                <w:color w:val="000000"/>
                <w:spacing w:val="-2"/>
                <w:lang w:val="fr-FR"/>
              </w:rPr>
              <w:t>t/Afrique de l</w:t>
            </w:r>
            <w:r>
              <w:rPr>
                <w:rFonts w:ascii="Times New Roman" w:hAnsi="Times New Roman"/>
                <w:color w:val="000000"/>
                <w:spacing w:val="-2"/>
                <w:lang w:val="fr-FR"/>
              </w:rPr>
              <w:t>’</w:t>
            </w:r>
            <w:r w:rsidRPr="00050041">
              <w:rPr>
                <w:rFonts w:ascii="Times New Roman" w:hAnsi="Times New Roman"/>
                <w:color w:val="000000"/>
                <w:spacing w:val="-2"/>
                <w:lang w:val="fr-FR"/>
              </w:rPr>
              <w:t>E</w:t>
            </w:r>
            <w:smartTag w:uri="urn:schemas-microsoft-com:office:smarttags" w:element="PersonName">
              <w:r w:rsidRPr="00050041">
                <w:rPr>
                  <w:rFonts w:ascii="Times New Roman" w:hAnsi="Times New Roman"/>
                  <w:color w:val="000000"/>
                  <w:spacing w:val="-2"/>
                  <w:lang w:val="fr-FR"/>
                </w:rPr>
                <w:t>s</w:t>
              </w:r>
            </w:smartTag>
            <w:r w:rsidRPr="00050041">
              <w:rPr>
                <w:rFonts w:ascii="Times New Roman" w:hAnsi="Times New Roman"/>
                <w:color w:val="000000"/>
                <w:spacing w:val="-2"/>
                <w:lang w:val="fr-FR"/>
              </w:rPr>
              <w:t>t</w:t>
            </w:r>
          </w:p>
        </w:tc>
        <w:tc>
          <w:tcPr>
            <w:tcW w:w="580" w:type="pct"/>
            <w:tcBorders>
              <w:bottom w:val="single" w:sz="6" w:space="0" w:color="auto"/>
            </w:tcBorders>
            <w:shd w:val="clear" w:color="auto" w:fill="auto"/>
          </w:tcPr>
          <w:p w14:paraId="1D6E3AA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28CDC18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788671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58BFCE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516F286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306D11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Borders>
              <w:bottom w:val="single" w:sz="6" w:space="0" w:color="auto"/>
            </w:tcBorders>
          </w:tcPr>
          <w:p w14:paraId="63400D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59F2D23" w14:textId="77777777" w:rsidTr="00886A3C">
        <w:trPr>
          <w:trHeight w:val="20"/>
          <w:jc w:val="center"/>
        </w:trPr>
        <w:tc>
          <w:tcPr>
            <w:tcW w:w="213" w:type="pct"/>
          </w:tcPr>
          <w:p w14:paraId="26C58A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03632B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 xml:space="preserve">Botaurus stellaris stellaris </w:t>
            </w:r>
            <w:r w:rsidRPr="00050041">
              <w:rPr>
                <w:rFonts w:ascii="Times New Roman" w:hAnsi="Times New Roman" w:cs="Times New Roman"/>
                <w:b/>
                <w:color w:val="FF0000"/>
                <w:spacing w:val="-2"/>
                <w:lang w:val="fr-FR"/>
              </w:rPr>
              <w:t>!!!</w:t>
            </w:r>
            <w:r w:rsidRPr="00050041">
              <w:rPr>
                <w:rStyle w:val="FootnoteReference"/>
                <w:rFonts w:ascii="Times New Roman" w:hAnsi="Times New Roman" w:cs="Times New Roman"/>
                <w:b/>
                <w:color w:val="FF0000"/>
                <w:spacing w:val="-2"/>
                <w:lang w:val="fr-FR"/>
              </w:rPr>
              <w:footnoteReference w:id="20"/>
            </w:r>
          </w:p>
        </w:tc>
        <w:tc>
          <w:tcPr>
            <w:tcW w:w="580" w:type="pct"/>
            <w:shd w:val="clear" w:color="auto" w:fill="auto"/>
          </w:tcPr>
          <w:p w14:paraId="0E8BD3B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2545CC2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1B4CD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0462EB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6F7A246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BD273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139992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399AF93" w14:textId="77777777" w:rsidTr="00886A3C">
        <w:trPr>
          <w:trHeight w:val="20"/>
          <w:jc w:val="center"/>
        </w:trPr>
        <w:tc>
          <w:tcPr>
            <w:tcW w:w="213" w:type="pct"/>
          </w:tcPr>
          <w:p w14:paraId="46934E56"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color w:val="000000"/>
              </w:rPr>
            </w:pPr>
            <w:r w:rsidRPr="001571EF">
              <w:rPr>
                <w:rFonts w:ascii="Times New Roman" w:hAnsi="Times New Roman" w:cs="Times New Roman"/>
                <w:color w:val="000000"/>
              </w:rPr>
              <w:t>48</w:t>
            </w:r>
          </w:p>
        </w:tc>
        <w:tc>
          <w:tcPr>
            <w:tcW w:w="1022" w:type="pct"/>
          </w:tcPr>
          <w:p w14:paraId="1C31230B" w14:textId="77777777" w:rsidR="00886A3C" w:rsidRPr="000D1EDD" w:rsidRDefault="00886A3C" w:rsidP="00886A3C">
            <w:pPr>
              <w:overflowPunct w:val="0"/>
              <w:autoSpaceDE w:val="0"/>
              <w:autoSpaceDN w:val="0"/>
              <w:adjustRightInd w:val="0"/>
              <w:spacing w:after="0" w:line="240" w:lineRule="auto"/>
              <w:jc w:val="both"/>
              <w:textAlignment w:val="baseline"/>
              <w:rPr>
                <w:rFonts w:ascii="Times New Roman" w:hAnsi="Times New Roman" w:cs="Times New Roman"/>
                <w:color w:val="000000"/>
                <w:lang w:val="en-US"/>
              </w:rPr>
            </w:pPr>
            <w:r w:rsidRPr="00856FAD">
              <w:rPr>
                <w:rFonts w:ascii="Times New Roman" w:hAnsi="Times New Roman"/>
                <w:color w:val="000000"/>
                <w:lang w:val="en-US"/>
              </w:rPr>
              <w:t>O Europe NO Afrique (rep)</w:t>
            </w:r>
          </w:p>
        </w:tc>
        <w:tc>
          <w:tcPr>
            <w:tcW w:w="580" w:type="pct"/>
            <w:shd w:val="clear" w:color="auto" w:fill="auto"/>
          </w:tcPr>
          <w:p w14:paraId="241A22C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19B424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ED8BE3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C05877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B29B685"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850-6</w:t>
            </w:r>
            <w:r>
              <w:rPr>
                <w:rFonts w:ascii="Times New Roman" w:hAnsi="Times New Roman" w:cs="Times New Roman"/>
                <w:color w:val="000000"/>
              </w:rPr>
              <w:t> </w:t>
            </w:r>
            <w:r w:rsidRPr="001571EF">
              <w:rPr>
                <w:rFonts w:ascii="Times New Roman" w:hAnsi="Times New Roman" w:cs="Times New Roman"/>
                <w:color w:val="000000"/>
              </w:rPr>
              <w:t>700</w:t>
            </w:r>
          </w:p>
        </w:tc>
        <w:tc>
          <w:tcPr>
            <w:tcW w:w="600" w:type="pct"/>
          </w:tcPr>
          <w:p w14:paraId="5A4BD6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Pr>
          <w:p w14:paraId="2A6519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0690663" w14:textId="77777777" w:rsidTr="00886A3C">
        <w:trPr>
          <w:trHeight w:val="20"/>
          <w:jc w:val="center"/>
        </w:trPr>
        <w:tc>
          <w:tcPr>
            <w:tcW w:w="213" w:type="pct"/>
          </w:tcPr>
          <w:p w14:paraId="39F13F31" w14:textId="77777777" w:rsidR="00886A3C" w:rsidRPr="001571EF" w:rsidRDefault="00886A3C" w:rsidP="00886A3C">
            <w:pPr>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i/>
                <w:color w:val="000000"/>
              </w:rPr>
            </w:pPr>
          </w:p>
        </w:tc>
        <w:tc>
          <w:tcPr>
            <w:tcW w:w="1022" w:type="pct"/>
          </w:tcPr>
          <w:p w14:paraId="77121BC1" w14:textId="77777777" w:rsidR="00886A3C" w:rsidRPr="001571EF" w:rsidRDefault="00886A3C" w:rsidP="00886A3C">
            <w:pPr>
              <w:tabs>
                <w:tab w:val="left" w:pos="578"/>
                <w:tab w:val="left" w:pos="1157"/>
                <w:tab w:val="left" w:pos="1735"/>
              </w:tabs>
              <w:overflowPunct w:val="0"/>
              <w:autoSpaceDE w:val="0"/>
              <w:autoSpaceDN w:val="0"/>
              <w:adjustRightInd w:val="0"/>
              <w:spacing w:after="0" w:line="240" w:lineRule="auto"/>
              <w:jc w:val="both"/>
              <w:textAlignment w:val="baseline"/>
              <w:outlineLvl w:val="0"/>
              <w:rPr>
                <w:rFonts w:ascii="Times New Roman" w:hAnsi="Times New Roman" w:cs="Times New Roman"/>
                <w:i/>
                <w:color w:val="000000"/>
              </w:rPr>
            </w:pPr>
            <w:r w:rsidRPr="00050041">
              <w:rPr>
                <w:rFonts w:ascii="Times New Roman" w:hAnsi="Times New Roman" w:cs="Times New Roman"/>
                <w:i/>
                <w:color w:val="000000"/>
                <w:lang w:val="fr-FR"/>
              </w:rPr>
              <w:t>Alopochen aegyptiacus</w:t>
            </w:r>
          </w:p>
        </w:tc>
        <w:tc>
          <w:tcPr>
            <w:tcW w:w="580" w:type="pct"/>
            <w:shd w:val="clear" w:color="auto" w:fill="auto"/>
          </w:tcPr>
          <w:p w14:paraId="0CBFBCF8"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right"/>
              <w:textAlignment w:val="baseline"/>
              <w:outlineLvl w:val="0"/>
              <w:rPr>
                <w:rFonts w:ascii="Times New Roman" w:hAnsi="Times New Roman" w:cs="Times New Roman"/>
                <w:color w:val="000000"/>
              </w:rPr>
            </w:pPr>
          </w:p>
        </w:tc>
        <w:tc>
          <w:tcPr>
            <w:tcW w:w="535" w:type="pct"/>
            <w:shd w:val="clear" w:color="auto" w:fill="auto"/>
          </w:tcPr>
          <w:p w14:paraId="32C12154"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right"/>
              <w:textAlignment w:val="baseline"/>
              <w:outlineLvl w:val="0"/>
              <w:rPr>
                <w:rFonts w:ascii="Times New Roman" w:hAnsi="Times New Roman" w:cs="Times New Roman"/>
                <w:color w:val="000000"/>
              </w:rPr>
            </w:pPr>
          </w:p>
        </w:tc>
        <w:tc>
          <w:tcPr>
            <w:tcW w:w="452" w:type="pct"/>
            <w:shd w:val="clear" w:color="auto" w:fill="auto"/>
          </w:tcPr>
          <w:p w14:paraId="362865F0"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right"/>
              <w:textAlignment w:val="baseline"/>
              <w:outlineLvl w:val="0"/>
              <w:rPr>
                <w:rFonts w:ascii="Times New Roman" w:hAnsi="Times New Roman" w:cs="Times New Roman"/>
                <w:color w:val="000000"/>
              </w:rPr>
            </w:pPr>
          </w:p>
        </w:tc>
        <w:tc>
          <w:tcPr>
            <w:tcW w:w="463" w:type="pct"/>
            <w:vAlign w:val="center"/>
          </w:tcPr>
          <w:p w14:paraId="46DB7A89"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both"/>
              <w:textAlignment w:val="baseline"/>
              <w:outlineLvl w:val="0"/>
              <w:rPr>
                <w:rFonts w:ascii="Times New Roman" w:hAnsi="Times New Roman" w:cs="Times New Roman"/>
                <w:color w:val="000000"/>
              </w:rPr>
            </w:pPr>
            <w:r w:rsidRPr="00050041">
              <w:rPr>
                <w:rFonts w:ascii="Times New Roman" w:hAnsi="Times New Roman" w:cs="Times New Roman"/>
                <w:color w:val="000000"/>
                <w:lang w:val="fr-FR"/>
              </w:rPr>
              <w:t>LC</w:t>
            </w:r>
          </w:p>
        </w:tc>
        <w:tc>
          <w:tcPr>
            <w:tcW w:w="533" w:type="pct"/>
          </w:tcPr>
          <w:p w14:paraId="6CF8A525"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color w:val="000000"/>
              </w:rPr>
            </w:pPr>
          </w:p>
        </w:tc>
        <w:tc>
          <w:tcPr>
            <w:tcW w:w="600" w:type="pct"/>
          </w:tcPr>
          <w:p w14:paraId="19E4724E"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color w:val="000000"/>
              </w:rPr>
            </w:pPr>
          </w:p>
        </w:tc>
        <w:tc>
          <w:tcPr>
            <w:tcW w:w="602" w:type="pct"/>
          </w:tcPr>
          <w:p w14:paraId="6C01E988"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color w:val="000000"/>
              </w:rPr>
            </w:pPr>
          </w:p>
        </w:tc>
      </w:tr>
      <w:tr w:rsidR="00886A3C" w:rsidRPr="001571EF" w14:paraId="40371839" w14:textId="77777777" w:rsidTr="00886A3C">
        <w:trPr>
          <w:trHeight w:val="20"/>
          <w:jc w:val="center"/>
        </w:trPr>
        <w:tc>
          <w:tcPr>
            <w:tcW w:w="213" w:type="pct"/>
          </w:tcPr>
          <w:p w14:paraId="7826C0B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49</w:t>
            </w:r>
          </w:p>
        </w:tc>
        <w:tc>
          <w:tcPr>
            <w:tcW w:w="1022" w:type="pct"/>
          </w:tcPr>
          <w:p w14:paraId="01BCAB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050041">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050041">
              <w:rPr>
                <w:rFonts w:ascii="Times New Roman" w:hAnsi="Times New Roman" w:cs="Times New Roman"/>
                <w:color w:val="000000"/>
                <w:spacing w:val="-2"/>
                <w:lang w:val="fr-FR"/>
              </w:rPr>
              <w:t>Ouest</w:t>
            </w:r>
          </w:p>
        </w:tc>
        <w:tc>
          <w:tcPr>
            <w:tcW w:w="580" w:type="pct"/>
            <w:shd w:val="clear" w:color="auto" w:fill="auto"/>
          </w:tcPr>
          <w:p w14:paraId="3E134C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1c</w:t>
            </w:r>
          </w:p>
        </w:tc>
        <w:tc>
          <w:tcPr>
            <w:tcW w:w="535" w:type="pct"/>
            <w:shd w:val="clear" w:color="auto" w:fill="auto"/>
          </w:tcPr>
          <w:p w14:paraId="055EB1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CD3C5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34C45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201B809B"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5A218F3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Pr>
          <w:p w14:paraId="547FA7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748BF1A" w14:textId="77777777" w:rsidTr="00886A3C">
        <w:trPr>
          <w:trHeight w:val="20"/>
          <w:jc w:val="center"/>
        </w:trPr>
        <w:tc>
          <w:tcPr>
            <w:tcW w:w="213" w:type="pct"/>
          </w:tcPr>
          <w:p w14:paraId="1CA91F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F2633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Pelecanus onocrotalus</w:t>
            </w:r>
          </w:p>
        </w:tc>
        <w:tc>
          <w:tcPr>
            <w:tcW w:w="580" w:type="pct"/>
            <w:shd w:val="clear" w:color="auto" w:fill="auto"/>
          </w:tcPr>
          <w:p w14:paraId="17970A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880120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440E9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93821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095917C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9F263F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2F1F4C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7A6E5CB" w14:textId="77777777" w:rsidTr="00886A3C">
        <w:trPr>
          <w:trHeight w:val="20"/>
          <w:jc w:val="center"/>
        </w:trPr>
        <w:tc>
          <w:tcPr>
            <w:tcW w:w="213" w:type="pct"/>
            <w:tcBorders>
              <w:bottom w:val="single" w:sz="6" w:space="0" w:color="auto"/>
            </w:tcBorders>
          </w:tcPr>
          <w:p w14:paraId="7CD81A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50</w:t>
            </w:r>
          </w:p>
        </w:tc>
        <w:tc>
          <w:tcPr>
            <w:tcW w:w="1022" w:type="pct"/>
            <w:tcBorders>
              <w:bottom w:val="single" w:sz="6" w:space="0" w:color="auto"/>
            </w:tcBorders>
          </w:tcPr>
          <w:p w14:paraId="097D29A5"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050041">
              <w:rPr>
                <w:rFonts w:ascii="Times New Roman" w:hAnsi="Times New Roman" w:cs="Times New Roman"/>
                <w:color w:val="000000"/>
                <w:spacing w:val="-2"/>
                <w:lang w:val="fr-FR"/>
              </w:rPr>
              <w:t>Europe &amp; Asie de l</w:t>
            </w:r>
            <w:r>
              <w:rPr>
                <w:rFonts w:ascii="Times New Roman" w:hAnsi="Times New Roman" w:cs="Times New Roman"/>
                <w:color w:val="000000"/>
                <w:spacing w:val="-2"/>
                <w:lang w:val="fr-FR"/>
              </w:rPr>
              <w:t>’</w:t>
            </w:r>
            <w:r w:rsidRPr="00050041">
              <w:rPr>
                <w:rFonts w:ascii="Times New Roman" w:hAnsi="Times New Roman" w:cs="Times New Roman"/>
                <w:color w:val="000000"/>
                <w:spacing w:val="-2"/>
                <w:lang w:val="fr-FR"/>
              </w:rPr>
              <w:t>Ouest (rep)</w:t>
            </w:r>
          </w:p>
        </w:tc>
        <w:tc>
          <w:tcPr>
            <w:tcW w:w="580" w:type="pct"/>
            <w:tcBorders>
              <w:bottom w:val="single" w:sz="6" w:space="0" w:color="auto"/>
            </w:tcBorders>
            <w:shd w:val="clear" w:color="auto" w:fill="auto"/>
          </w:tcPr>
          <w:p w14:paraId="21B358B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1a</w:t>
            </w:r>
            <w:r>
              <w:rPr>
                <w:rFonts w:ascii="Times New Roman" w:hAnsi="Times New Roman" w:cs="Times New Roman"/>
                <w:color w:val="000000"/>
                <w:spacing w:val="-2"/>
                <w:lang w:val="fr-FR"/>
              </w:rPr>
              <w:t xml:space="preserve"> </w:t>
            </w:r>
            <w:r w:rsidRPr="00050041">
              <w:rPr>
                <w:rFonts w:ascii="Times New Roman" w:hAnsi="Times New Roman" w:cs="Times New Roman"/>
                <w:color w:val="000000"/>
                <w:spacing w:val="-2"/>
                <w:lang w:val="fr-FR"/>
              </w:rPr>
              <w:t>3c</w:t>
            </w:r>
          </w:p>
        </w:tc>
        <w:tc>
          <w:tcPr>
            <w:tcW w:w="535" w:type="pct"/>
            <w:tcBorders>
              <w:bottom w:val="single" w:sz="6" w:space="0" w:color="auto"/>
            </w:tcBorders>
            <w:shd w:val="clear" w:color="auto" w:fill="auto"/>
          </w:tcPr>
          <w:p w14:paraId="785F19A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736900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1E4CC0C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018D3000"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w:t>
            </w:r>
            <w:r>
              <w:rPr>
                <w:rFonts w:ascii="Times New Roman" w:hAnsi="Times New Roman" w:cs="Times New Roman"/>
                <w:color w:val="000000"/>
              </w:rPr>
              <w:t> </w:t>
            </w:r>
            <w:r w:rsidRPr="001571EF">
              <w:rPr>
                <w:rFonts w:ascii="Times New Roman" w:hAnsi="Times New Roman" w:cs="Times New Roman"/>
                <w:color w:val="000000"/>
              </w:rPr>
              <w:t>000-33</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207713F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déclin</w:t>
            </w:r>
          </w:p>
        </w:tc>
        <w:tc>
          <w:tcPr>
            <w:tcW w:w="602" w:type="pct"/>
            <w:tcBorders>
              <w:bottom w:val="single" w:sz="6" w:space="0" w:color="auto"/>
            </w:tcBorders>
          </w:tcPr>
          <w:p w14:paraId="1345CBC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277285B" w14:textId="77777777" w:rsidTr="00886A3C">
        <w:trPr>
          <w:trHeight w:val="20"/>
          <w:jc w:val="center"/>
        </w:trPr>
        <w:tc>
          <w:tcPr>
            <w:tcW w:w="213" w:type="pct"/>
          </w:tcPr>
          <w:p w14:paraId="58CA9F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7048B4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050041">
              <w:rPr>
                <w:rFonts w:ascii="Times New Roman" w:hAnsi="Times New Roman" w:cs="Times New Roman"/>
                <w:i/>
                <w:color w:val="000000"/>
                <w:spacing w:val="-2"/>
                <w:lang w:val="fr-FR"/>
              </w:rPr>
              <w:t>Grus virgo</w:t>
            </w:r>
          </w:p>
        </w:tc>
        <w:tc>
          <w:tcPr>
            <w:tcW w:w="580" w:type="pct"/>
            <w:shd w:val="clear" w:color="auto" w:fill="auto"/>
          </w:tcPr>
          <w:p w14:paraId="3037B2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3BE015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B453F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AA282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050041">
              <w:rPr>
                <w:rFonts w:ascii="Times New Roman" w:hAnsi="Times New Roman" w:cs="Times New Roman"/>
                <w:color w:val="000000"/>
                <w:spacing w:val="-2"/>
                <w:lang w:val="fr-FR"/>
              </w:rPr>
              <w:t>LC</w:t>
            </w:r>
          </w:p>
        </w:tc>
        <w:tc>
          <w:tcPr>
            <w:tcW w:w="533" w:type="pct"/>
          </w:tcPr>
          <w:p w14:paraId="4776F54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9AD46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77805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000ABE3" w14:textId="77777777" w:rsidTr="00886A3C">
        <w:trPr>
          <w:trHeight w:val="20"/>
          <w:jc w:val="center"/>
        </w:trPr>
        <w:tc>
          <w:tcPr>
            <w:tcW w:w="213" w:type="pct"/>
          </w:tcPr>
          <w:p w14:paraId="105421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51</w:t>
            </w:r>
          </w:p>
        </w:tc>
        <w:tc>
          <w:tcPr>
            <w:tcW w:w="1022" w:type="pct"/>
          </w:tcPr>
          <w:p w14:paraId="069F6B71"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B701C6">
              <w:rPr>
                <w:rFonts w:ascii="Times New Roman" w:hAnsi="Times New Roman"/>
                <w:color w:val="000000"/>
                <w:spacing w:val="-2"/>
                <w:lang w:val="fr-FR"/>
              </w:rPr>
              <w:t>Mer Noire (Ukraine)/Afrique du Nord-E</w:t>
            </w:r>
            <w:smartTag w:uri="urn:schemas-microsoft-com:office:smarttags" w:element="PersonName">
              <w:r w:rsidRPr="00B701C6">
                <w:rPr>
                  <w:rFonts w:ascii="Times New Roman" w:hAnsi="Times New Roman"/>
                  <w:color w:val="000000"/>
                  <w:spacing w:val="-2"/>
                  <w:lang w:val="fr-FR"/>
                </w:rPr>
                <w:t>s</w:t>
              </w:r>
            </w:smartTag>
            <w:r w:rsidRPr="00B701C6">
              <w:rPr>
                <w:rFonts w:ascii="Times New Roman" w:hAnsi="Times New Roman"/>
                <w:color w:val="000000"/>
                <w:spacing w:val="-2"/>
                <w:lang w:val="fr-FR"/>
              </w:rPr>
              <w:t>t</w:t>
            </w:r>
          </w:p>
        </w:tc>
        <w:tc>
          <w:tcPr>
            <w:tcW w:w="580" w:type="pct"/>
            <w:shd w:val="clear" w:color="auto" w:fill="auto"/>
          </w:tcPr>
          <w:p w14:paraId="2CE973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1c</w:t>
            </w:r>
          </w:p>
        </w:tc>
        <w:tc>
          <w:tcPr>
            <w:tcW w:w="535" w:type="pct"/>
            <w:shd w:val="clear" w:color="auto" w:fill="auto"/>
          </w:tcPr>
          <w:p w14:paraId="12FBA2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A88BD8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ADC04E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75B55E2B"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600-750</w:t>
            </w:r>
          </w:p>
        </w:tc>
        <w:tc>
          <w:tcPr>
            <w:tcW w:w="600" w:type="pct"/>
          </w:tcPr>
          <w:p w14:paraId="49EA9D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Inconnue</w:t>
            </w:r>
          </w:p>
        </w:tc>
        <w:tc>
          <w:tcPr>
            <w:tcW w:w="602" w:type="pct"/>
          </w:tcPr>
          <w:p w14:paraId="48AF815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Critique</w:t>
            </w:r>
          </w:p>
        </w:tc>
      </w:tr>
      <w:tr w:rsidR="00886A3C" w:rsidRPr="001571EF" w14:paraId="27632601" w14:textId="77777777" w:rsidTr="00886A3C">
        <w:trPr>
          <w:trHeight w:val="20"/>
          <w:jc w:val="center"/>
        </w:trPr>
        <w:tc>
          <w:tcPr>
            <w:tcW w:w="213" w:type="pct"/>
          </w:tcPr>
          <w:p w14:paraId="04CEE46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01E15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B701C6">
              <w:rPr>
                <w:rFonts w:ascii="Times New Roman" w:hAnsi="Times New Roman" w:cs="Times New Roman"/>
                <w:i/>
                <w:color w:val="000000"/>
                <w:spacing w:val="-2"/>
                <w:lang w:val="fr-FR"/>
              </w:rPr>
              <w:t>Cygnus columbianus bewickii</w:t>
            </w:r>
          </w:p>
        </w:tc>
        <w:tc>
          <w:tcPr>
            <w:tcW w:w="580" w:type="pct"/>
            <w:shd w:val="clear" w:color="auto" w:fill="auto"/>
          </w:tcPr>
          <w:p w14:paraId="6D3CB1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C6F1A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D642ED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766F94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LC</w:t>
            </w:r>
          </w:p>
        </w:tc>
        <w:tc>
          <w:tcPr>
            <w:tcW w:w="533" w:type="pct"/>
          </w:tcPr>
          <w:p w14:paraId="7475F19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BC1C45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395DD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8015BA4" w14:textId="77777777" w:rsidTr="00886A3C">
        <w:trPr>
          <w:trHeight w:val="20"/>
          <w:jc w:val="center"/>
        </w:trPr>
        <w:tc>
          <w:tcPr>
            <w:tcW w:w="213" w:type="pct"/>
          </w:tcPr>
          <w:p w14:paraId="21B5AB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52</w:t>
            </w:r>
          </w:p>
        </w:tc>
        <w:tc>
          <w:tcPr>
            <w:tcW w:w="1022" w:type="pct"/>
          </w:tcPr>
          <w:p w14:paraId="51874E2E"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B701C6">
              <w:rPr>
                <w:rFonts w:ascii="Times New Roman" w:hAnsi="Times New Roman"/>
                <w:color w:val="000000"/>
                <w:spacing w:val="-2"/>
                <w:lang w:val="fr-FR"/>
              </w:rPr>
              <w:t>Sibérie du Nord/mer Ca</w:t>
            </w:r>
            <w:smartTag w:uri="urn:schemas-microsoft-com:office:smarttags" w:element="PersonName">
              <w:r w:rsidRPr="00B701C6">
                <w:rPr>
                  <w:rFonts w:ascii="Times New Roman" w:hAnsi="Times New Roman"/>
                  <w:color w:val="000000"/>
                  <w:spacing w:val="-2"/>
                  <w:lang w:val="fr-FR"/>
                </w:rPr>
                <w:t>s</w:t>
              </w:r>
            </w:smartTag>
            <w:r w:rsidRPr="00B701C6">
              <w:rPr>
                <w:rFonts w:ascii="Times New Roman" w:hAnsi="Times New Roman"/>
                <w:color w:val="000000"/>
                <w:spacing w:val="-2"/>
                <w:lang w:val="fr-FR"/>
              </w:rPr>
              <w:t>pienne</w:t>
            </w:r>
          </w:p>
        </w:tc>
        <w:tc>
          <w:tcPr>
            <w:tcW w:w="580" w:type="pct"/>
            <w:shd w:val="clear" w:color="auto" w:fill="auto"/>
          </w:tcPr>
          <w:p w14:paraId="4ECF281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1c</w:t>
            </w:r>
          </w:p>
        </w:tc>
        <w:tc>
          <w:tcPr>
            <w:tcW w:w="535" w:type="pct"/>
            <w:shd w:val="clear" w:color="auto" w:fill="auto"/>
          </w:tcPr>
          <w:p w14:paraId="7C4275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C94BE0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14B8F6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ACA23DD"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57CE91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Inconnue</w:t>
            </w:r>
          </w:p>
        </w:tc>
        <w:tc>
          <w:tcPr>
            <w:tcW w:w="602" w:type="pct"/>
          </w:tcPr>
          <w:p w14:paraId="2AC022B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Élevée</w:t>
            </w:r>
          </w:p>
        </w:tc>
      </w:tr>
      <w:tr w:rsidR="00886A3C" w:rsidRPr="001571EF" w14:paraId="7D3415D2" w14:textId="77777777" w:rsidTr="00886A3C">
        <w:trPr>
          <w:trHeight w:val="20"/>
          <w:jc w:val="center"/>
        </w:trPr>
        <w:tc>
          <w:tcPr>
            <w:tcW w:w="213" w:type="pct"/>
          </w:tcPr>
          <w:p w14:paraId="5725782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537F0DE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B701C6">
              <w:rPr>
                <w:rFonts w:ascii="Times New Roman" w:hAnsi="Times New Roman" w:cs="Times New Roman"/>
                <w:i/>
                <w:color w:val="000000"/>
                <w:spacing w:val="-2"/>
                <w:lang w:val="fr-FR"/>
              </w:rPr>
              <w:t>Sterna vittata tristanensis</w:t>
            </w:r>
          </w:p>
        </w:tc>
        <w:tc>
          <w:tcPr>
            <w:tcW w:w="580" w:type="pct"/>
            <w:shd w:val="clear" w:color="auto" w:fill="auto"/>
          </w:tcPr>
          <w:p w14:paraId="4C45A81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274F66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C0DFB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F63D26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LC</w:t>
            </w:r>
          </w:p>
        </w:tc>
        <w:tc>
          <w:tcPr>
            <w:tcW w:w="533" w:type="pct"/>
          </w:tcPr>
          <w:p w14:paraId="238B55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36AE6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71C21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E2E3658" w14:textId="77777777" w:rsidTr="00886A3C">
        <w:trPr>
          <w:trHeight w:val="20"/>
          <w:jc w:val="center"/>
        </w:trPr>
        <w:tc>
          <w:tcPr>
            <w:tcW w:w="213" w:type="pct"/>
          </w:tcPr>
          <w:p w14:paraId="523612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53</w:t>
            </w:r>
          </w:p>
        </w:tc>
        <w:tc>
          <w:tcPr>
            <w:tcW w:w="1022" w:type="pct"/>
          </w:tcPr>
          <w:p w14:paraId="7F6BB4BA"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B701C6">
              <w:rPr>
                <w:rFonts w:ascii="Times New Roman" w:hAnsi="Times New Roman" w:cs="Times New Roman"/>
                <w:color w:val="000000"/>
                <w:spacing w:val="-2"/>
                <w:lang w:val="fr-FR"/>
              </w:rPr>
              <w:t>Tristan da Cunha &amp; Gough/Afrique du Sud</w:t>
            </w:r>
          </w:p>
        </w:tc>
        <w:tc>
          <w:tcPr>
            <w:tcW w:w="580" w:type="pct"/>
            <w:shd w:val="clear" w:color="auto" w:fill="auto"/>
          </w:tcPr>
          <w:p w14:paraId="62014B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1c</w:t>
            </w:r>
          </w:p>
        </w:tc>
        <w:tc>
          <w:tcPr>
            <w:tcW w:w="535" w:type="pct"/>
            <w:shd w:val="clear" w:color="auto" w:fill="auto"/>
          </w:tcPr>
          <w:p w14:paraId="66AE67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BD6A4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46816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282D3749"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400-4</w:t>
            </w:r>
            <w:r>
              <w:rPr>
                <w:rFonts w:ascii="Times New Roman" w:hAnsi="Times New Roman" w:cs="Times New Roman"/>
                <w:color w:val="000000"/>
              </w:rPr>
              <w:t> </w:t>
            </w:r>
            <w:r w:rsidRPr="001571EF">
              <w:rPr>
                <w:rFonts w:ascii="Times New Roman" w:hAnsi="Times New Roman" w:cs="Times New Roman"/>
                <w:color w:val="000000"/>
              </w:rPr>
              <w:t>500</w:t>
            </w:r>
          </w:p>
        </w:tc>
        <w:tc>
          <w:tcPr>
            <w:tcW w:w="600" w:type="pct"/>
          </w:tcPr>
          <w:p w14:paraId="69AEA9C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Inconnue</w:t>
            </w:r>
          </w:p>
        </w:tc>
        <w:tc>
          <w:tcPr>
            <w:tcW w:w="602" w:type="pct"/>
          </w:tcPr>
          <w:p w14:paraId="6CB45B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Moyenne</w:t>
            </w:r>
          </w:p>
        </w:tc>
      </w:tr>
      <w:tr w:rsidR="00886A3C" w:rsidRPr="001571EF" w14:paraId="664D7611" w14:textId="77777777" w:rsidTr="00886A3C">
        <w:trPr>
          <w:trHeight w:val="20"/>
          <w:jc w:val="center"/>
        </w:trPr>
        <w:tc>
          <w:tcPr>
            <w:tcW w:w="213" w:type="pct"/>
          </w:tcPr>
          <w:p w14:paraId="2DE7ABD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BB8BAE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B701C6">
              <w:rPr>
                <w:rFonts w:ascii="Times New Roman" w:hAnsi="Times New Roman" w:cs="Times New Roman"/>
                <w:i/>
                <w:color w:val="000000"/>
                <w:spacing w:val="-2"/>
                <w:lang w:val="fr-FR"/>
              </w:rPr>
              <w:t>Sterna vittata vittata</w:t>
            </w:r>
          </w:p>
        </w:tc>
        <w:tc>
          <w:tcPr>
            <w:tcW w:w="580" w:type="pct"/>
            <w:shd w:val="clear" w:color="auto" w:fill="auto"/>
          </w:tcPr>
          <w:p w14:paraId="68E677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C83259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E46059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F5270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LC</w:t>
            </w:r>
          </w:p>
        </w:tc>
        <w:tc>
          <w:tcPr>
            <w:tcW w:w="533" w:type="pct"/>
          </w:tcPr>
          <w:p w14:paraId="78B903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CD195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F7428C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D7BE830" w14:textId="77777777" w:rsidTr="00886A3C">
        <w:trPr>
          <w:trHeight w:val="20"/>
          <w:jc w:val="center"/>
        </w:trPr>
        <w:tc>
          <w:tcPr>
            <w:tcW w:w="213" w:type="pct"/>
          </w:tcPr>
          <w:p w14:paraId="44B75C3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54</w:t>
            </w:r>
          </w:p>
        </w:tc>
        <w:tc>
          <w:tcPr>
            <w:tcW w:w="1022" w:type="pct"/>
          </w:tcPr>
          <w:p w14:paraId="4959955A"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B701C6">
              <w:rPr>
                <w:rFonts w:ascii="Times New Roman" w:hAnsi="Times New Roman"/>
                <w:color w:val="000000"/>
                <w:spacing w:val="-2"/>
                <w:lang w:val="fr-FR"/>
              </w:rPr>
              <w:t>P.Edward</w:t>
            </w:r>
            <w:r>
              <w:rPr>
                <w:rFonts w:ascii="Times New Roman" w:hAnsi="Times New Roman"/>
                <w:color w:val="000000"/>
                <w:spacing w:val="-2"/>
                <w:lang w:val="fr-FR"/>
              </w:rPr>
              <w:t xml:space="preserve"> </w:t>
            </w:r>
            <w:r w:rsidRPr="00B701C6">
              <w:rPr>
                <w:rFonts w:ascii="Times New Roman" w:hAnsi="Times New Roman"/>
                <w:color w:val="000000"/>
                <w:spacing w:val="-2"/>
                <w:lang w:val="fr-FR"/>
              </w:rPr>
              <w:t>Marion, Crozet &amp; Kerguelen/Afrique du Sud</w:t>
            </w:r>
          </w:p>
        </w:tc>
        <w:tc>
          <w:tcPr>
            <w:tcW w:w="580" w:type="pct"/>
            <w:shd w:val="clear" w:color="auto" w:fill="auto"/>
          </w:tcPr>
          <w:p w14:paraId="0CC382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1c</w:t>
            </w:r>
          </w:p>
        </w:tc>
        <w:tc>
          <w:tcPr>
            <w:tcW w:w="535" w:type="pct"/>
            <w:shd w:val="clear" w:color="auto" w:fill="auto"/>
          </w:tcPr>
          <w:p w14:paraId="4379E1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5C02E2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8B747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A3E5E87"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w:t>
            </w:r>
            <w:r>
              <w:rPr>
                <w:rFonts w:ascii="Times New Roman" w:hAnsi="Times New Roman" w:cs="Times New Roman"/>
                <w:color w:val="000000"/>
              </w:rPr>
              <w:t> </w:t>
            </w:r>
            <w:r w:rsidRPr="001571EF">
              <w:rPr>
                <w:rFonts w:ascii="Times New Roman" w:hAnsi="Times New Roman" w:cs="Times New Roman"/>
                <w:color w:val="000000"/>
              </w:rPr>
              <w:t>700-8</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65BD2B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Inconnue</w:t>
            </w:r>
          </w:p>
        </w:tc>
        <w:tc>
          <w:tcPr>
            <w:tcW w:w="602" w:type="pct"/>
          </w:tcPr>
          <w:p w14:paraId="2549DBA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B701C6">
              <w:rPr>
                <w:rFonts w:ascii="Times New Roman" w:hAnsi="Times New Roman" w:cs="Times New Roman"/>
                <w:color w:val="000000"/>
                <w:spacing w:val="-2"/>
                <w:lang w:val="fr-FR"/>
              </w:rPr>
              <w:t>Moyenne</w:t>
            </w:r>
          </w:p>
        </w:tc>
      </w:tr>
      <w:tr w:rsidR="00886A3C" w:rsidRPr="001571EF" w14:paraId="29778411" w14:textId="77777777" w:rsidTr="00886A3C">
        <w:trPr>
          <w:trHeight w:val="20"/>
          <w:jc w:val="center"/>
        </w:trPr>
        <w:tc>
          <w:tcPr>
            <w:tcW w:w="213" w:type="pct"/>
          </w:tcPr>
          <w:p w14:paraId="358749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21A0D6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E350C7">
              <w:rPr>
                <w:rFonts w:ascii="Times New Roman" w:hAnsi="Times New Roman" w:cs="Times New Roman"/>
                <w:i/>
                <w:color w:val="000000"/>
                <w:spacing w:val="-2"/>
                <w:lang w:val="fr-FR"/>
              </w:rPr>
              <w:t>Sterna dougallii bangsi</w:t>
            </w:r>
          </w:p>
        </w:tc>
        <w:tc>
          <w:tcPr>
            <w:tcW w:w="580" w:type="pct"/>
            <w:shd w:val="clear" w:color="auto" w:fill="auto"/>
          </w:tcPr>
          <w:p w14:paraId="5C812A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259496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662A7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1B9F4F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35F885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1A376E4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B8F74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3889179" w14:textId="77777777" w:rsidTr="00886A3C">
        <w:trPr>
          <w:trHeight w:val="20"/>
          <w:jc w:val="center"/>
        </w:trPr>
        <w:tc>
          <w:tcPr>
            <w:tcW w:w="213" w:type="pct"/>
          </w:tcPr>
          <w:p w14:paraId="69124C2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55</w:t>
            </w:r>
          </w:p>
        </w:tc>
        <w:tc>
          <w:tcPr>
            <w:tcW w:w="1022" w:type="pct"/>
          </w:tcPr>
          <w:p w14:paraId="7E00550C"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Nord de la mer d</w:t>
            </w:r>
            <w:r>
              <w:rPr>
                <w:rFonts w:ascii="Times New Roman" w:hAnsi="Times New Roman"/>
                <w:color w:val="000000"/>
                <w:spacing w:val="-2"/>
                <w:lang w:val="fr-FR"/>
              </w:rPr>
              <w:t>’</w:t>
            </w:r>
            <w:r w:rsidRPr="00E350C7">
              <w:rPr>
                <w:rFonts w:ascii="Times New Roman" w:hAnsi="Times New Roman"/>
                <w:color w:val="000000"/>
                <w:spacing w:val="-2"/>
                <w:lang w:val="fr-FR"/>
              </w:rPr>
              <w:t>Oman</w:t>
            </w:r>
          </w:p>
        </w:tc>
        <w:tc>
          <w:tcPr>
            <w:tcW w:w="580" w:type="pct"/>
            <w:shd w:val="clear" w:color="auto" w:fill="auto"/>
          </w:tcPr>
          <w:p w14:paraId="6DCBA8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3902282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2CBC4C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E48C0E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481C9FF4"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1-600</w:t>
            </w:r>
          </w:p>
        </w:tc>
        <w:tc>
          <w:tcPr>
            <w:tcW w:w="600" w:type="pct"/>
          </w:tcPr>
          <w:p w14:paraId="0D3125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316E679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Un peu</w:t>
            </w:r>
          </w:p>
        </w:tc>
      </w:tr>
      <w:tr w:rsidR="00886A3C" w:rsidRPr="001571EF" w14:paraId="683AEFD5" w14:textId="77777777" w:rsidTr="00886A3C">
        <w:trPr>
          <w:trHeight w:val="20"/>
          <w:jc w:val="center"/>
        </w:trPr>
        <w:tc>
          <w:tcPr>
            <w:tcW w:w="213" w:type="pct"/>
          </w:tcPr>
          <w:p w14:paraId="5941C0B2"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i/>
                <w:color w:val="000000"/>
              </w:rPr>
            </w:pPr>
          </w:p>
        </w:tc>
        <w:tc>
          <w:tcPr>
            <w:tcW w:w="1022" w:type="pct"/>
          </w:tcPr>
          <w:p w14:paraId="4A8A62AD"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textAlignment w:val="baseline"/>
              <w:outlineLvl w:val="0"/>
              <w:rPr>
                <w:rFonts w:ascii="Times New Roman" w:hAnsi="Times New Roman" w:cs="Times New Roman"/>
                <w:i/>
                <w:color w:val="000000"/>
              </w:rPr>
            </w:pPr>
            <w:r w:rsidRPr="00E350C7">
              <w:rPr>
                <w:rFonts w:ascii="Times New Roman" w:hAnsi="Times New Roman" w:cs="Times New Roman"/>
                <w:i/>
                <w:color w:val="000000"/>
                <w:lang w:val="fr-FR"/>
              </w:rPr>
              <w:t>Sterna bergii thalassina</w:t>
            </w:r>
          </w:p>
        </w:tc>
        <w:tc>
          <w:tcPr>
            <w:tcW w:w="580" w:type="pct"/>
            <w:shd w:val="clear" w:color="auto" w:fill="auto"/>
          </w:tcPr>
          <w:p w14:paraId="39F863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91DAC0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25E30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27217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6E063B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001BF4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B8FD71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83FFEBA" w14:textId="77777777" w:rsidTr="00886A3C">
        <w:trPr>
          <w:trHeight w:val="20"/>
          <w:jc w:val="center"/>
        </w:trPr>
        <w:tc>
          <w:tcPr>
            <w:tcW w:w="213" w:type="pct"/>
          </w:tcPr>
          <w:p w14:paraId="380FB7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56</w:t>
            </w:r>
          </w:p>
        </w:tc>
        <w:tc>
          <w:tcPr>
            <w:tcW w:w="1022" w:type="pct"/>
          </w:tcPr>
          <w:p w14:paraId="4DF5787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E350C7">
              <w:rPr>
                <w:rFonts w:ascii="Times New Roman" w:hAnsi="Times New Roman" w:cs="Times New Roman"/>
                <w:color w:val="000000"/>
                <w:spacing w:val="-2"/>
                <w:lang w:val="fr-FR"/>
              </w:rPr>
              <w:t>Est &amp; Seychelles</w:t>
            </w:r>
          </w:p>
        </w:tc>
        <w:tc>
          <w:tcPr>
            <w:tcW w:w="580" w:type="pct"/>
            <w:shd w:val="clear" w:color="auto" w:fill="auto"/>
          </w:tcPr>
          <w:p w14:paraId="5D1BA7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08F8A8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66A67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B05341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1AD25A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300-1</w:t>
            </w:r>
            <w:r>
              <w:rPr>
                <w:rFonts w:ascii="Times New Roman" w:hAnsi="Times New Roman" w:cs="Times New Roman"/>
                <w:color w:val="000000"/>
              </w:rPr>
              <w:t> </w:t>
            </w:r>
            <w:r w:rsidRPr="001571EF">
              <w:rPr>
                <w:rFonts w:ascii="Times New Roman" w:hAnsi="Times New Roman" w:cs="Times New Roman"/>
                <w:color w:val="000000"/>
              </w:rPr>
              <w:t>700</w:t>
            </w:r>
          </w:p>
        </w:tc>
        <w:tc>
          <w:tcPr>
            <w:tcW w:w="600" w:type="pct"/>
          </w:tcPr>
          <w:p w14:paraId="3A8A983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71FF3F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Un peu</w:t>
            </w:r>
          </w:p>
        </w:tc>
      </w:tr>
      <w:tr w:rsidR="00886A3C" w:rsidRPr="001571EF" w14:paraId="3D095034" w14:textId="77777777" w:rsidTr="00886A3C">
        <w:trPr>
          <w:trHeight w:val="20"/>
          <w:jc w:val="center"/>
        </w:trPr>
        <w:tc>
          <w:tcPr>
            <w:tcW w:w="213" w:type="pct"/>
          </w:tcPr>
          <w:p w14:paraId="7A1C22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46934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Calidris tenuirostris</w:t>
            </w:r>
          </w:p>
        </w:tc>
        <w:tc>
          <w:tcPr>
            <w:tcW w:w="580" w:type="pct"/>
            <w:shd w:val="clear" w:color="auto" w:fill="auto"/>
          </w:tcPr>
          <w:p w14:paraId="72FE03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5E97FF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9DE7A0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6FB1A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0A46E5E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CEDA2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37791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17364C9" w14:textId="77777777" w:rsidTr="00886A3C">
        <w:trPr>
          <w:trHeight w:val="20"/>
          <w:jc w:val="center"/>
        </w:trPr>
        <w:tc>
          <w:tcPr>
            <w:tcW w:w="213" w:type="pct"/>
          </w:tcPr>
          <w:p w14:paraId="2956A1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57</w:t>
            </w:r>
          </w:p>
        </w:tc>
        <w:tc>
          <w:tcPr>
            <w:tcW w:w="1022" w:type="pct"/>
          </w:tcPr>
          <w:p w14:paraId="7B6F1D7C"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Sibérie orientale/SO A</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ie &amp; partie occidentale de l</w:t>
            </w:r>
            <w:r>
              <w:rPr>
                <w:rFonts w:ascii="Times New Roman" w:hAnsi="Times New Roman"/>
                <w:color w:val="000000"/>
                <w:spacing w:val="-2"/>
                <w:lang w:val="fr-FR"/>
              </w:rPr>
              <w:t>’</w:t>
            </w:r>
            <w:r w:rsidRPr="00E350C7">
              <w:rPr>
                <w:rFonts w:ascii="Times New Roman" w:hAnsi="Times New Roman"/>
                <w:color w:val="000000"/>
                <w:spacing w:val="-2"/>
                <w:lang w:val="fr-FR"/>
              </w:rPr>
              <w:t>A</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ie du Sud</w:t>
            </w:r>
          </w:p>
        </w:tc>
        <w:tc>
          <w:tcPr>
            <w:tcW w:w="580" w:type="pct"/>
            <w:shd w:val="clear" w:color="auto" w:fill="auto"/>
          </w:tcPr>
          <w:p w14:paraId="70CB23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1b</w:t>
            </w:r>
            <w:r>
              <w:rPr>
                <w:rFonts w:ascii="Times New Roman" w:hAnsi="Times New Roman" w:cs="Times New Roman"/>
                <w:color w:val="000000"/>
                <w:spacing w:val="-2"/>
                <w:lang w:val="fr-FR"/>
              </w:rPr>
              <w:t xml:space="preserve"> </w:t>
            </w:r>
            <w:r w:rsidRPr="00E350C7">
              <w:rPr>
                <w:rFonts w:ascii="Times New Roman" w:hAnsi="Times New Roman" w:cs="Times New Roman"/>
                <w:color w:val="000000"/>
                <w:spacing w:val="-2"/>
                <w:lang w:val="fr-FR"/>
              </w:rPr>
              <w:t>1c</w:t>
            </w:r>
          </w:p>
        </w:tc>
        <w:tc>
          <w:tcPr>
            <w:tcW w:w="535" w:type="pct"/>
            <w:shd w:val="clear" w:color="auto" w:fill="auto"/>
          </w:tcPr>
          <w:p w14:paraId="3C17C63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71B8DA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7156A6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B9FB049"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000-5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083AA3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4C96D4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Un peu</w:t>
            </w:r>
          </w:p>
        </w:tc>
      </w:tr>
      <w:tr w:rsidR="00886A3C" w:rsidRPr="001571EF" w14:paraId="530C7C82" w14:textId="77777777" w:rsidTr="00886A3C">
        <w:trPr>
          <w:trHeight w:val="20"/>
          <w:jc w:val="center"/>
        </w:trPr>
        <w:tc>
          <w:tcPr>
            <w:tcW w:w="213" w:type="pct"/>
          </w:tcPr>
          <w:p w14:paraId="52EE40F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93E5A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Charadrius leschenaultii columbinus</w:t>
            </w:r>
          </w:p>
        </w:tc>
        <w:tc>
          <w:tcPr>
            <w:tcW w:w="580" w:type="pct"/>
            <w:shd w:val="clear" w:color="auto" w:fill="auto"/>
          </w:tcPr>
          <w:p w14:paraId="08158C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3DCECBA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167CEA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66F1E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2FF3F1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C77F8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618C00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96EFB00" w14:textId="77777777" w:rsidTr="00886A3C">
        <w:trPr>
          <w:trHeight w:val="20"/>
          <w:jc w:val="center"/>
        </w:trPr>
        <w:tc>
          <w:tcPr>
            <w:tcW w:w="213" w:type="pct"/>
          </w:tcPr>
          <w:p w14:paraId="21115D1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58</w:t>
            </w:r>
          </w:p>
        </w:tc>
        <w:tc>
          <w:tcPr>
            <w:tcW w:w="1022" w:type="pct"/>
          </w:tcPr>
          <w:p w14:paraId="322D41B4"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Turquie &amp; SO A</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ie/</w:t>
            </w: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Méditerranée orientale &amp; mer Rouge</w:t>
            </w:r>
          </w:p>
        </w:tc>
        <w:tc>
          <w:tcPr>
            <w:tcW w:w="580" w:type="pct"/>
            <w:shd w:val="clear" w:color="auto" w:fill="auto"/>
          </w:tcPr>
          <w:p w14:paraId="0D3E64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2D8FCE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0E5CE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B1D73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3EC8AB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2492A16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2845D0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Un peu</w:t>
            </w:r>
          </w:p>
        </w:tc>
      </w:tr>
      <w:tr w:rsidR="00886A3C" w:rsidRPr="001571EF" w14:paraId="6C67E794" w14:textId="77777777" w:rsidTr="00886A3C">
        <w:trPr>
          <w:trHeight w:val="20"/>
          <w:jc w:val="center"/>
        </w:trPr>
        <w:tc>
          <w:tcPr>
            <w:tcW w:w="213" w:type="pct"/>
          </w:tcPr>
          <w:p w14:paraId="519FE79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7E851B2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Porzana pusilla intermedia</w:t>
            </w:r>
          </w:p>
        </w:tc>
        <w:tc>
          <w:tcPr>
            <w:tcW w:w="580" w:type="pct"/>
            <w:shd w:val="clear" w:color="auto" w:fill="auto"/>
          </w:tcPr>
          <w:p w14:paraId="536EC6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5BB6DDF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16DDFC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F2E1A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66CBBCD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117FC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04B86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98291BC" w14:textId="77777777" w:rsidTr="00886A3C">
        <w:trPr>
          <w:trHeight w:val="20"/>
          <w:jc w:val="center"/>
        </w:trPr>
        <w:tc>
          <w:tcPr>
            <w:tcW w:w="213" w:type="pct"/>
          </w:tcPr>
          <w:p w14:paraId="692C1A8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59</w:t>
            </w:r>
          </w:p>
        </w:tc>
        <w:tc>
          <w:tcPr>
            <w:tcW w:w="1022" w:type="pct"/>
          </w:tcPr>
          <w:p w14:paraId="5C031F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Europe (rep)</w:t>
            </w:r>
          </w:p>
        </w:tc>
        <w:tc>
          <w:tcPr>
            <w:tcW w:w="580" w:type="pct"/>
            <w:shd w:val="clear" w:color="auto" w:fill="auto"/>
          </w:tcPr>
          <w:p w14:paraId="7ED9D6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060577B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ACE4A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71D165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31EF53A3"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000-10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45685F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5013FA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Un peu</w:t>
            </w:r>
          </w:p>
        </w:tc>
      </w:tr>
      <w:tr w:rsidR="00886A3C" w:rsidRPr="001571EF" w14:paraId="2A45D25C" w14:textId="77777777" w:rsidTr="00886A3C">
        <w:trPr>
          <w:trHeight w:val="20"/>
          <w:jc w:val="center"/>
        </w:trPr>
        <w:tc>
          <w:tcPr>
            <w:tcW w:w="213" w:type="pct"/>
          </w:tcPr>
          <w:p w14:paraId="111DA95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39F588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E350C7">
              <w:rPr>
                <w:rFonts w:ascii="Times New Roman" w:hAnsi="Times New Roman" w:cs="Times New Roman"/>
                <w:i/>
                <w:color w:val="000000"/>
                <w:spacing w:val="-2"/>
                <w:lang w:val="fr-FR"/>
              </w:rPr>
              <w:t>Sterna bergii enigma</w:t>
            </w:r>
          </w:p>
        </w:tc>
        <w:tc>
          <w:tcPr>
            <w:tcW w:w="580" w:type="pct"/>
            <w:shd w:val="clear" w:color="auto" w:fill="auto"/>
          </w:tcPr>
          <w:p w14:paraId="1B7BDA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798108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66386D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DDE43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72D6A2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2F222F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D7F5D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B1A444B" w14:textId="77777777" w:rsidTr="00886A3C">
        <w:trPr>
          <w:trHeight w:val="20"/>
          <w:jc w:val="center"/>
        </w:trPr>
        <w:tc>
          <w:tcPr>
            <w:tcW w:w="213" w:type="pct"/>
          </w:tcPr>
          <w:p w14:paraId="53A3DB4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60</w:t>
            </w:r>
          </w:p>
        </w:tc>
        <w:tc>
          <w:tcPr>
            <w:tcW w:w="1022" w:type="pct"/>
          </w:tcPr>
          <w:p w14:paraId="5020140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Madagascar &amp; Mozambique/Afrique australe</w:t>
            </w:r>
          </w:p>
        </w:tc>
        <w:tc>
          <w:tcPr>
            <w:tcW w:w="580" w:type="pct"/>
            <w:shd w:val="clear" w:color="auto" w:fill="auto"/>
          </w:tcPr>
          <w:p w14:paraId="79AE07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246B053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8B50E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507167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4BF67EB8"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w:t>
            </w:r>
            <w:r>
              <w:rPr>
                <w:rFonts w:ascii="Times New Roman" w:hAnsi="Times New Roman" w:cs="Times New Roman"/>
                <w:color w:val="000000"/>
              </w:rPr>
              <w:t> </w:t>
            </w:r>
            <w:r w:rsidRPr="001571EF">
              <w:rPr>
                <w:rFonts w:ascii="Times New Roman" w:hAnsi="Times New Roman" w:cs="Times New Roman"/>
                <w:color w:val="000000"/>
              </w:rPr>
              <w:t>500-10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4A6833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1A8714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Un peu</w:t>
            </w:r>
          </w:p>
        </w:tc>
      </w:tr>
      <w:tr w:rsidR="00886A3C" w:rsidRPr="001571EF" w14:paraId="1EE8B220" w14:textId="77777777" w:rsidTr="00886A3C">
        <w:trPr>
          <w:trHeight w:val="20"/>
          <w:jc w:val="center"/>
        </w:trPr>
        <w:tc>
          <w:tcPr>
            <w:tcW w:w="213" w:type="pct"/>
          </w:tcPr>
          <w:p w14:paraId="49BAC2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CD1AAE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Podiceps cristatus infuscatus</w:t>
            </w:r>
          </w:p>
        </w:tc>
        <w:tc>
          <w:tcPr>
            <w:tcW w:w="580" w:type="pct"/>
            <w:shd w:val="clear" w:color="auto" w:fill="auto"/>
          </w:tcPr>
          <w:p w14:paraId="3295BF2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35D3ECB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E2D6B1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F7160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4B962C6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B3252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49A4F8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AE7F2C5" w14:textId="77777777" w:rsidTr="00886A3C">
        <w:trPr>
          <w:trHeight w:val="20"/>
          <w:jc w:val="center"/>
        </w:trPr>
        <w:tc>
          <w:tcPr>
            <w:tcW w:w="213" w:type="pct"/>
          </w:tcPr>
          <w:p w14:paraId="60063A2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61</w:t>
            </w:r>
          </w:p>
        </w:tc>
        <w:tc>
          <w:tcPr>
            <w:tcW w:w="1022" w:type="pct"/>
          </w:tcPr>
          <w:p w14:paraId="69F2FEA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Afrique australe</w:t>
            </w:r>
          </w:p>
        </w:tc>
        <w:tc>
          <w:tcPr>
            <w:tcW w:w="580" w:type="pct"/>
            <w:shd w:val="clear" w:color="auto" w:fill="auto"/>
          </w:tcPr>
          <w:p w14:paraId="2A1F53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0ECDC7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76523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DFEB0B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3ECF4F00"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3216950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275F37A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0390CDD" w14:textId="77777777" w:rsidTr="00886A3C">
        <w:trPr>
          <w:trHeight w:val="20"/>
          <w:jc w:val="center"/>
        </w:trPr>
        <w:tc>
          <w:tcPr>
            <w:tcW w:w="213" w:type="pct"/>
          </w:tcPr>
          <w:p w14:paraId="7F5919E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8437E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Sterna albifrons guineae</w:t>
            </w:r>
          </w:p>
        </w:tc>
        <w:tc>
          <w:tcPr>
            <w:tcW w:w="580" w:type="pct"/>
            <w:shd w:val="clear" w:color="auto" w:fill="auto"/>
          </w:tcPr>
          <w:p w14:paraId="7056B8D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9FE4A1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B6CB4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46157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3560A5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7B0AA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F7A41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445B217" w14:textId="77777777" w:rsidTr="00886A3C">
        <w:trPr>
          <w:trHeight w:val="20"/>
          <w:jc w:val="center"/>
        </w:trPr>
        <w:tc>
          <w:tcPr>
            <w:tcW w:w="213" w:type="pct"/>
            <w:tcBorders>
              <w:bottom w:val="single" w:sz="6" w:space="0" w:color="auto"/>
            </w:tcBorders>
          </w:tcPr>
          <w:p w14:paraId="27AF30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62</w:t>
            </w:r>
          </w:p>
        </w:tc>
        <w:tc>
          <w:tcPr>
            <w:tcW w:w="1022" w:type="pct"/>
            <w:tcBorders>
              <w:bottom w:val="single" w:sz="6" w:space="0" w:color="auto"/>
            </w:tcBorders>
          </w:tcPr>
          <w:p w14:paraId="06F41E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E350C7">
              <w:rPr>
                <w:rFonts w:ascii="Times New Roman" w:hAnsi="Times New Roman" w:cs="Times New Roman"/>
                <w:color w:val="000000"/>
                <w:spacing w:val="-2"/>
                <w:lang w:val="fr-FR"/>
              </w:rPr>
              <w:t>Ouest( rep)</w:t>
            </w:r>
          </w:p>
        </w:tc>
        <w:tc>
          <w:tcPr>
            <w:tcW w:w="580" w:type="pct"/>
            <w:tcBorders>
              <w:bottom w:val="single" w:sz="6" w:space="0" w:color="auto"/>
            </w:tcBorders>
            <w:shd w:val="clear" w:color="auto" w:fill="auto"/>
          </w:tcPr>
          <w:p w14:paraId="5E32DF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60BF881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2ED4E06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37B1A78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3574FDA0"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000-3</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6432A83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Borders>
              <w:bottom w:val="single" w:sz="6" w:space="0" w:color="auto"/>
            </w:tcBorders>
          </w:tcPr>
          <w:p w14:paraId="066BE53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C751171" w14:textId="77777777" w:rsidTr="00886A3C">
        <w:trPr>
          <w:trHeight w:val="20"/>
          <w:jc w:val="center"/>
        </w:trPr>
        <w:tc>
          <w:tcPr>
            <w:tcW w:w="213" w:type="pct"/>
          </w:tcPr>
          <w:p w14:paraId="30CE1C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6E1EEC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Gavia immer</w:t>
            </w:r>
          </w:p>
        </w:tc>
        <w:tc>
          <w:tcPr>
            <w:tcW w:w="580" w:type="pct"/>
            <w:shd w:val="clear" w:color="auto" w:fill="auto"/>
          </w:tcPr>
          <w:p w14:paraId="3358C4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F75AB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045DAE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2EC09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1424A4A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CCD351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77B9E4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8A1828D" w14:textId="77777777" w:rsidTr="00886A3C">
        <w:trPr>
          <w:trHeight w:val="20"/>
          <w:jc w:val="center"/>
        </w:trPr>
        <w:tc>
          <w:tcPr>
            <w:tcW w:w="213" w:type="pct"/>
            <w:tcBorders>
              <w:bottom w:val="single" w:sz="6" w:space="0" w:color="auto"/>
            </w:tcBorders>
          </w:tcPr>
          <w:p w14:paraId="622B06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63</w:t>
            </w:r>
          </w:p>
        </w:tc>
        <w:tc>
          <w:tcPr>
            <w:tcW w:w="1022" w:type="pct"/>
            <w:tcBorders>
              <w:bottom w:val="single" w:sz="6" w:space="0" w:color="auto"/>
            </w:tcBorders>
          </w:tcPr>
          <w:p w14:paraId="27A900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Europe (hiv)</w:t>
            </w:r>
          </w:p>
        </w:tc>
        <w:tc>
          <w:tcPr>
            <w:tcW w:w="580" w:type="pct"/>
            <w:tcBorders>
              <w:bottom w:val="single" w:sz="6" w:space="0" w:color="auto"/>
            </w:tcBorders>
            <w:shd w:val="clear" w:color="auto" w:fill="auto"/>
          </w:tcPr>
          <w:p w14:paraId="1990EE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6810DA0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698A05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6F02FFF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612233C4"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bottom w:val="single" w:sz="6" w:space="0" w:color="auto"/>
            </w:tcBorders>
          </w:tcPr>
          <w:p w14:paraId="7828D7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Borders>
              <w:bottom w:val="single" w:sz="6" w:space="0" w:color="auto"/>
            </w:tcBorders>
          </w:tcPr>
          <w:p w14:paraId="51DD0F5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5BBB839" w14:textId="77777777" w:rsidTr="00886A3C">
        <w:trPr>
          <w:trHeight w:val="20"/>
          <w:jc w:val="center"/>
        </w:trPr>
        <w:tc>
          <w:tcPr>
            <w:tcW w:w="213" w:type="pct"/>
          </w:tcPr>
          <w:p w14:paraId="571A12D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E50D39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Mergus serrator serrator</w:t>
            </w:r>
          </w:p>
        </w:tc>
        <w:tc>
          <w:tcPr>
            <w:tcW w:w="580" w:type="pct"/>
            <w:shd w:val="clear" w:color="auto" w:fill="auto"/>
          </w:tcPr>
          <w:p w14:paraId="1DD1FE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C1998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CF299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1E964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11C430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2E7AC5D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70569E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40238C0" w14:textId="77777777" w:rsidTr="00886A3C">
        <w:trPr>
          <w:trHeight w:val="20"/>
          <w:jc w:val="center"/>
        </w:trPr>
        <w:tc>
          <w:tcPr>
            <w:tcW w:w="213" w:type="pct"/>
          </w:tcPr>
          <w:p w14:paraId="6D975A9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64</w:t>
            </w:r>
          </w:p>
        </w:tc>
        <w:tc>
          <w:tcPr>
            <w:tcW w:w="1022" w:type="pct"/>
          </w:tcPr>
          <w:p w14:paraId="627B44AB"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Sibérie occidentale/A</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ie du Sud-Oue</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t &amp; A</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ie centrale</w:t>
            </w:r>
          </w:p>
        </w:tc>
        <w:tc>
          <w:tcPr>
            <w:tcW w:w="580" w:type="pct"/>
            <w:shd w:val="clear" w:color="auto" w:fill="auto"/>
          </w:tcPr>
          <w:p w14:paraId="2E0651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435F4B8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9E0D5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178F04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7A7873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10FB79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1A82B9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B358FFF" w14:textId="77777777" w:rsidTr="00886A3C">
        <w:trPr>
          <w:trHeight w:val="20"/>
          <w:jc w:val="center"/>
        </w:trPr>
        <w:tc>
          <w:tcPr>
            <w:tcW w:w="213" w:type="pct"/>
          </w:tcPr>
          <w:p w14:paraId="0447D3BD" w14:textId="77777777" w:rsidR="00886A3C" w:rsidRPr="001571EF" w:rsidRDefault="00886A3C" w:rsidP="00886A3C">
            <w:pPr>
              <w:keepNext/>
              <w:widowControl w:val="0"/>
              <w:tabs>
                <w:tab w:val="left" w:pos="578"/>
                <w:tab w:val="left" w:pos="1157"/>
                <w:tab w:val="left" w:pos="1735"/>
              </w:tabs>
              <w:overflowPunct w:val="0"/>
              <w:autoSpaceDE w:val="0"/>
              <w:autoSpaceDN w:val="0"/>
              <w:adjustRightInd w:val="0"/>
              <w:spacing w:after="0" w:line="240" w:lineRule="auto"/>
              <w:jc w:val="center"/>
              <w:textAlignment w:val="baseline"/>
              <w:outlineLvl w:val="4"/>
              <w:rPr>
                <w:rFonts w:ascii="Times New Roman" w:hAnsi="Times New Roman" w:cs="Times New Roman"/>
                <w:i/>
                <w:color w:val="000000"/>
                <w:kern w:val="14"/>
              </w:rPr>
            </w:pPr>
          </w:p>
        </w:tc>
        <w:tc>
          <w:tcPr>
            <w:tcW w:w="1022" w:type="pct"/>
          </w:tcPr>
          <w:p w14:paraId="5292BB69" w14:textId="77777777" w:rsidR="00886A3C" w:rsidRPr="001571EF" w:rsidRDefault="00886A3C" w:rsidP="00886A3C">
            <w:pPr>
              <w:keepNext/>
              <w:widowControl w:val="0"/>
              <w:tabs>
                <w:tab w:val="left" w:pos="578"/>
                <w:tab w:val="left" w:pos="1157"/>
                <w:tab w:val="left" w:pos="1735"/>
              </w:tabs>
              <w:overflowPunct w:val="0"/>
              <w:autoSpaceDE w:val="0"/>
              <w:autoSpaceDN w:val="0"/>
              <w:adjustRightInd w:val="0"/>
              <w:spacing w:after="0" w:line="240" w:lineRule="auto"/>
              <w:textAlignment w:val="baseline"/>
              <w:outlineLvl w:val="4"/>
              <w:rPr>
                <w:rFonts w:ascii="Times New Roman" w:hAnsi="Times New Roman" w:cs="Times New Roman"/>
                <w:i/>
                <w:color w:val="000000"/>
                <w:kern w:val="14"/>
              </w:rPr>
            </w:pPr>
            <w:r w:rsidRPr="00E350C7">
              <w:rPr>
                <w:rFonts w:ascii="Times New Roman" w:hAnsi="Times New Roman" w:cs="Times New Roman"/>
                <w:i/>
                <w:color w:val="000000"/>
                <w:kern w:val="14"/>
                <w:lang w:val="fr-FR"/>
              </w:rPr>
              <w:t>Gavia stellata</w:t>
            </w:r>
          </w:p>
        </w:tc>
        <w:tc>
          <w:tcPr>
            <w:tcW w:w="580" w:type="pct"/>
            <w:shd w:val="clear" w:color="auto" w:fill="auto"/>
          </w:tcPr>
          <w:p w14:paraId="622C80C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054209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67213D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17036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38D4E4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A42C9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F437D9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45CC693" w14:textId="77777777" w:rsidTr="00886A3C">
        <w:trPr>
          <w:trHeight w:val="20"/>
          <w:jc w:val="center"/>
        </w:trPr>
        <w:tc>
          <w:tcPr>
            <w:tcW w:w="213" w:type="pct"/>
          </w:tcPr>
          <w:p w14:paraId="00E225C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65</w:t>
            </w:r>
          </w:p>
        </w:tc>
        <w:tc>
          <w:tcPr>
            <w:tcW w:w="1022" w:type="pct"/>
          </w:tcPr>
          <w:p w14:paraId="7ED0B5D5"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Mer Ca</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pienne, mer Noire &amp; Méditerranée orientale (hiv</w:t>
            </w:r>
            <w:r w:rsidRPr="00E350C7">
              <w:rPr>
                <w:rFonts w:ascii="Times New Roman" w:hAnsi="Times New Roman"/>
                <w:lang w:val="fr-FR"/>
              </w:rPr>
              <w:t>)</w:t>
            </w:r>
          </w:p>
        </w:tc>
        <w:tc>
          <w:tcPr>
            <w:tcW w:w="580" w:type="pct"/>
            <w:shd w:val="clear" w:color="auto" w:fill="auto"/>
          </w:tcPr>
          <w:p w14:paraId="27DCAB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57AA8F4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2" w:type="pct"/>
            <w:shd w:val="clear" w:color="auto" w:fill="auto"/>
          </w:tcPr>
          <w:p w14:paraId="454786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40302A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6288C808"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346ECA2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194EF0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FE0EF8B" w14:textId="77777777" w:rsidTr="00886A3C">
        <w:trPr>
          <w:trHeight w:val="20"/>
          <w:jc w:val="center"/>
        </w:trPr>
        <w:tc>
          <w:tcPr>
            <w:tcW w:w="213" w:type="pct"/>
          </w:tcPr>
          <w:p w14:paraId="763A955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407F532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Mergus merganser merganser</w:t>
            </w:r>
          </w:p>
        </w:tc>
        <w:tc>
          <w:tcPr>
            <w:tcW w:w="580" w:type="pct"/>
            <w:shd w:val="clear" w:color="auto" w:fill="auto"/>
          </w:tcPr>
          <w:p w14:paraId="6FA64D2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59EA6A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1158B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2A7A2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742245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1C86CD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61045F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36CBC32" w14:textId="77777777" w:rsidTr="00886A3C">
        <w:trPr>
          <w:trHeight w:val="20"/>
          <w:jc w:val="center"/>
        </w:trPr>
        <w:tc>
          <w:tcPr>
            <w:tcW w:w="213" w:type="pct"/>
          </w:tcPr>
          <w:p w14:paraId="7352AFA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66</w:t>
            </w:r>
          </w:p>
        </w:tc>
        <w:tc>
          <w:tcPr>
            <w:tcW w:w="1022" w:type="pct"/>
          </w:tcPr>
          <w:p w14:paraId="46290211"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E350C7">
              <w:rPr>
                <w:rFonts w:ascii="Times New Roman" w:hAnsi="Times New Roman"/>
                <w:color w:val="000000"/>
                <w:spacing w:val="-2"/>
                <w:lang w:val="fr-FR"/>
              </w:rPr>
              <w:t>Europe du Nord-E</w:t>
            </w:r>
            <w:smartTag w:uri="urn:schemas-microsoft-com:office:smarttags" w:element="PersonName">
              <w:r w:rsidRPr="00E350C7">
                <w:rPr>
                  <w:rFonts w:ascii="Times New Roman" w:hAnsi="Times New Roman"/>
                  <w:color w:val="000000"/>
                  <w:spacing w:val="-2"/>
                  <w:lang w:val="fr-FR"/>
                </w:rPr>
                <w:t>s</w:t>
              </w:r>
            </w:smartTag>
            <w:r w:rsidRPr="00E350C7">
              <w:rPr>
                <w:rFonts w:ascii="Times New Roman" w:hAnsi="Times New Roman"/>
                <w:color w:val="000000"/>
                <w:spacing w:val="-2"/>
                <w:lang w:val="fr-FR"/>
              </w:rPr>
              <w:t>t/mer Noire</w:t>
            </w:r>
          </w:p>
        </w:tc>
        <w:tc>
          <w:tcPr>
            <w:tcW w:w="580" w:type="pct"/>
            <w:shd w:val="clear" w:color="auto" w:fill="auto"/>
          </w:tcPr>
          <w:p w14:paraId="2E4117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1239D9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5054240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6F7856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20C48360"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2DF0C90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095BD7A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5C60F0B" w14:textId="77777777" w:rsidTr="00886A3C">
        <w:trPr>
          <w:trHeight w:val="20"/>
          <w:jc w:val="center"/>
        </w:trPr>
        <w:tc>
          <w:tcPr>
            <w:tcW w:w="213" w:type="pct"/>
          </w:tcPr>
          <w:p w14:paraId="1D7C892E"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022" w:type="pct"/>
          </w:tcPr>
          <w:p w14:paraId="4DA77A55"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E350C7">
              <w:rPr>
                <w:rFonts w:ascii="Times New Roman" w:hAnsi="Times New Roman" w:cs="Times New Roman"/>
                <w:i/>
                <w:lang w:val="fr-FR"/>
              </w:rPr>
              <w:t>Cepphus grylle faeroeensis</w:t>
            </w:r>
            <w:r w:rsidRPr="001571EF">
              <w:rPr>
                <w:rFonts w:ascii="Times New Roman" w:hAnsi="Times New Roman" w:cs="Times New Roman"/>
              </w:rPr>
              <w:t xml:space="preserve"> </w:t>
            </w:r>
          </w:p>
        </w:tc>
        <w:tc>
          <w:tcPr>
            <w:tcW w:w="580" w:type="pct"/>
            <w:shd w:val="clear" w:color="auto" w:fill="auto"/>
          </w:tcPr>
          <w:p w14:paraId="2D0CF9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5D80F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CC56C6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CDCF5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33C0250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D5A1E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53E656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018EA98" w14:textId="77777777" w:rsidTr="00886A3C">
        <w:trPr>
          <w:trHeight w:val="20"/>
          <w:jc w:val="center"/>
        </w:trPr>
        <w:tc>
          <w:tcPr>
            <w:tcW w:w="213" w:type="pct"/>
          </w:tcPr>
          <w:p w14:paraId="0A3BE9EC"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rPr>
            </w:pPr>
            <w:r w:rsidRPr="001571EF">
              <w:rPr>
                <w:rFonts w:ascii="Times New Roman" w:hAnsi="Times New Roman" w:cs="Times New Roman"/>
              </w:rPr>
              <w:t>67</w:t>
            </w:r>
          </w:p>
        </w:tc>
        <w:tc>
          <w:tcPr>
            <w:tcW w:w="1022" w:type="pct"/>
          </w:tcPr>
          <w:p w14:paraId="3789BCCE"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rPr>
              <w:t xml:space="preserve">- </w:t>
            </w:r>
            <w:r w:rsidRPr="00E350C7">
              <w:rPr>
                <w:rFonts w:ascii="Times New Roman" w:hAnsi="Times New Roman"/>
                <w:lang w:val="fr-FR"/>
              </w:rPr>
              <w:t>Féroé</w:t>
            </w:r>
          </w:p>
        </w:tc>
        <w:tc>
          <w:tcPr>
            <w:tcW w:w="580" w:type="pct"/>
            <w:shd w:val="clear" w:color="auto" w:fill="auto"/>
          </w:tcPr>
          <w:p w14:paraId="3A1CFBE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04F8E1A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2" w:type="pct"/>
            <w:shd w:val="clear" w:color="auto" w:fill="auto"/>
          </w:tcPr>
          <w:p w14:paraId="5AF58C7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191BD34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5B844CC3"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7D81C11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Inconnue</w:t>
            </w:r>
          </w:p>
        </w:tc>
        <w:tc>
          <w:tcPr>
            <w:tcW w:w="602" w:type="pct"/>
          </w:tcPr>
          <w:p w14:paraId="75DA3B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3A63B17" w14:textId="77777777" w:rsidTr="00886A3C">
        <w:trPr>
          <w:trHeight w:val="20"/>
          <w:jc w:val="center"/>
        </w:trPr>
        <w:tc>
          <w:tcPr>
            <w:tcW w:w="213" w:type="pct"/>
          </w:tcPr>
          <w:p w14:paraId="66ECA6F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FCDC16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Ciconia ciconia ciconia</w:t>
            </w:r>
          </w:p>
        </w:tc>
        <w:tc>
          <w:tcPr>
            <w:tcW w:w="580" w:type="pct"/>
            <w:shd w:val="clear" w:color="auto" w:fill="auto"/>
          </w:tcPr>
          <w:p w14:paraId="338128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7D0D6D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72C36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62585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28700C9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DA0B8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9D3F6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EBC9CDD" w14:textId="77777777" w:rsidTr="00886A3C">
        <w:trPr>
          <w:trHeight w:val="20"/>
          <w:jc w:val="center"/>
        </w:trPr>
        <w:tc>
          <w:tcPr>
            <w:tcW w:w="213" w:type="pct"/>
          </w:tcPr>
          <w:p w14:paraId="7B35C0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68</w:t>
            </w:r>
          </w:p>
        </w:tc>
        <w:tc>
          <w:tcPr>
            <w:tcW w:w="1022" w:type="pct"/>
          </w:tcPr>
          <w:p w14:paraId="581BD6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E350C7">
              <w:rPr>
                <w:rFonts w:ascii="Times New Roman" w:hAnsi="Times New Roman" w:cs="Times New Roman"/>
                <w:color w:val="000000"/>
                <w:spacing w:val="-2"/>
                <w:lang w:val="fr-FR"/>
              </w:rPr>
              <w:t>Afrique australe</w:t>
            </w:r>
          </w:p>
        </w:tc>
        <w:tc>
          <w:tcPr>
            <w:tcW w:w="580" w:type="pct"/>
            <w:shd w:val="clear" w:color="auto" w:fill="auto"/>
          </w:tcPr>
          <w:p w14:paraId="3EF427E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37AAD1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F2208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79ECD3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323411D9"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w:t>
            </w:r>
          </w:p>
        </w:tc>
        <w:tc>
          <w:tcPr>
            <w:tcW w:w="600" w:type="pct"/>
          </w:tcPr>
          <w:p w14:paraId="129D7B4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stable</w:t>
            </w:r>
          </w:p>
        </w:tc>
        <w:tc>
          <w:tcPr>
            <w:tcW w:w="602" w:type="pct"/>
          </w:tcPr>
          <w:p w14:paraId="3E8E93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Critique</w:t>
            </w:r>
          </w:p>
        </w:tc>
      </w:tr>
      <w:tr w:rsidR="00886A3C" w:rsidRPr="001571EF" w14:paraId="340510F9" w14:textId="77777777" w:rsidTr="00886A3C">
        <w:trPr>
          <w:trHeight w:val="20"/>
          <w:jc w:val="center"/>
        </w:trPr>
        <w:tc>
          <w:tcPr>
            <w:tcW w:w="213" w:type="pct"/>
          </w:tcPr>
          <w:p w14:paraId="24DAB98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760D4C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Ciconia nigra</w:t>
            </w:r>
          </w:p>
        </w:tc>
        <w:tc>
          <w:tcPr>
            <w:tcW w:w="580" w:type="pct"/>
            <w:shd w:val="clear" w:color="auto" w:fill="auto"/>
          </w:tcPr>
          <w:p w14:paraId="773836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293741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DDA18A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2EFDD1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670268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269C4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EA03B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3761FE1" w14:textId="77777777" w:rsidTr="00886A3C">
        <w:trPr>
          <w:trHeight w:val="20"/>
          <w:jc w:val="center"/>
        </w:trPr>
        <w:tc>
          <w:tcPr>
            <w:tcW w:w="213" w:type="pct"/>
          </w:tcPr>
          <w:p w14:paraId="4168F85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69</w:t>
            </w:r>
          </w:p>
        </w:tc>
        <w:tc>
          <w:tcPr>
            <w:tcW w:w="1022" w:type="pct"/>
          </w:tcPr>
          <w:p w14:paraId="730C4AA4" w14:textId="77777777" w:rsidR="00886A3C" w:rsidRPr="001571EF" w:rsidRDefault="00886A3C" w:rsidP="00886A3C">
            <w:pPr>
              <w:keepNext/>
              <w:widowControl w:val="0"/>
              <w:tabs>
                <w:tab w:val="left" w:pos="578"/>
                <w:tab w:val="left" w:pos="1157"/>
                <w:tab w:val="left" w:pos="1735"/>
              </w:tabs>
              <w:overflowPunct w:val="0"/>
              <w:autoSpaceDE w:val="0"/>
              <w:autoSpaceDN w:val="0"/>
              <w:adjustRightInd w:val="0"/>
              <w:spacing w:after="0" w:line="240" w:lineRule="auto"/>
              <w:textAlignment w:val="baseline"/>
              <w:outlineLvl w:val="5"/>
              <w:rPr>
                <w:rFonts w:ascii="Times New Roman" w:hAnsi="Times New Roman" w:cs="Times New Roman"/>
                <w:color w:val="000000"/>
                <w:kern w:val="14"/>
              </w:rPr>
            </w:pPr>
            <w:r w:rsidRPr="001571EF">
              <w:rPr>
                <w:rFonts w:ascii="Times New Roman" w:hAnsi="Times New Roman" w:cs="Times New Roman"/>
                <w:color w:val="000000"/>
                <w:kern w:val="14"/>
              </w:rPr>
              <w:t xml:space="preserve">- </w:t>
            </w:r>
            <w:r w:rsidRPr="00E350C7">
              <w:rPr>
                <w:rFonts w:ascii="Times New Roman" w:hAnsi="Times New Roman" w:cs="Times New Roman"/>
                <w:color w:val="000000"/>
                <w:kern w:val="14"/>
                <w:lang w:val="fr-FR"/>
              </w:rPr>
              <w:t>Afrique australe</w:t>
            </w:r>
          </w:p>
        </w:tc>
        <w:tc>
          <w:tcPr>
            <w:tcW w:w="580" w:type="pct"/>
            <w:shd w:val="clear" w:color="auto" w:fill="auto"/>
          </w:tcPr>
          <w:p w14:paraId="39986D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1c</w:t>
            </w:r>
          </w:p>
        </w:tc>
        <w:tc>
          <w:tcPr>
            <w:tcW w:w="535" w:type="pct"/>
            <w:shd w:val="clear" w:color="auto" w:fill="auto"/>
          </w:tcPr>
          <w:p w14:paraId="27A959E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6EA3B0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2E71B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771E05D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560-4</w:t>
            </w:r>
            <w:r>
              <w:rPr>
                <w:rFonts w:ascii="Times New Roman" w:hAnsi="Times New Roman" w:cs="Times New Roman"/>
                <w:color w:val="000000"/>
              </w:rPr>
              <w:t> </w:t>
            </w:r>
            <w:r w:rsidRPr="001571EF">
              <w:rPr>
                <w:rFonts w:ascii="Times New Roman" w:hAnsi="Times New Roman" w:cs="Times New Roman"/>
                <w:color w:val="000000"/>
              </w:rPr>
              <w:t>050</w:t>
            </w:r>
          </w:p>
        </w:tc>
        <w:tc>
          <w:tcPr>
            <w:tcW w:w="600" w:type="pct"/>
          </w:tcPr>
          <w:p w14:paraId="55D371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Stable ?</w:t>
            </w:r>
          </w:p>
        </w:tc>
        <w:tc>
          <w:tcPr>
            <w:tcW w:w="602" w:type="pct"/>
          </w:tcPr>
          <w:p w14:paraId="2BA3516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Élevée</w:t>
            </w:r>
          </w:p>
        </w:tc>
      </w:tr>
      <w:tr w:rsidR="00886A3C" w:rsidRPr="001571EF" w14:paraId="273F3058" w14:textId="77777777" w:rsidTr="00886A3C">
        <w:trPr>
          <w:trHeight w:val="20"/>
          <w:jc w:val="center"/>
        </w:trPr>
        <w:tc>
          <w:tcPr>
            <w:tcW w:w="213" w:type="pct"/>
          </w:tcPr>
          <w:p w14:paraId="55B1B73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1DCE362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E350C7">
              <w:rPr>
                <w:rFonts w:ascii="Times New Roman" w:hAnsi="Times New Roman" w:cs="Times New Roman"/>
                <w:i/>
                <w:color w:val="000000"/>
                <w:spacing w:val="-2"/>
                <w:lang w:val="fr-FR"/>
              </w:rPr>
              <w:t>Sterna bengalensis emigrata</w:t>
            </w:r>
          </w:p>
        </w:tc>
        <w:tc>
          <w:tcPr>
            <w:tcW w:w="580" w:type="pct"/>
            <w:shd w:val="clear" w:color="auto" w:fill="auto"/>
          </w:tcPr>
          <w:p w14:paraId="0AFF93F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9DB33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9409EE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F1BFE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E350C7">
              <w:rPr>
                <w:rFonts w:ascii="Times New Roman" w:hAnsi="Times New Roman" w:cs="Times New Roman"/>
                <w:color w:val="000000"/>
                <w:spacing w:val="-2"/>
                <w:lang w:val="fr-FR"/>
              </w:rPr>
              <w:t>LC</w:t>
            </w:r>
          </w:p>
        </w:tc>
        <w:tc>
          <w:tcPr>
            <w:tcW w:w="533" w:type="pct"/>
          </w:tcPr>
          <w:p w14:paraId="7006CE2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01F7FC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637554B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459B7DB" w14:textId="77777777" w:rsidTr="00886A3C">
        <w:trPr>
          <w:trHeight w:val="20"/>
          <w:jc w:val="center"/>
        </w:trPr>
        <w:tc>
          <w:tcPr>
            <w:tcW w:w="213" w:type="pct"/>
          </w:tcPr>
          <w:p w14:paraId="3E2E673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70</w:t>
            </w:r>
          </w:p>
        </w:tc>
        <w:tc>
          <w:tcPr>
            <w:tcW w:w="1022" w:type="pct"/>
          </w:tcPr>
          <w:p w14:paraId="153AEBF2"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7F639D">
              <w:rPr>
                <w:rFonts w:ascii="Times New Roman" w:hAnsi="Times New Roman"/>
                <w:color w:val="000000"/>
                <w:spacing w:val="-2"/>
                <w:lang w:val="fr-FR"/>
              </w:rPr>
              <w:t>S méditerranéen/côte</w:t>
            </w:r>
            <w:smartTag w:uri="urn:schemas-microsoft-com:office:smarttags" w:element="PersonName">
              <w:r w:rsidRPr="007F639D">
                <w:rPr>
                  <w:rFonts w:ascii="Times New Roman" w:hAnsi="Times New Roman"/>
                  <w:color w:val="000000"/>
                  <w:spacing w:val="-2"/>
                  <w:lang w:val="fr-FR"/>
                </w:rPr>
                <w:t>s</w:t>
              </w:r>
            </w:smartTag>
            <w:r w:rsidRPr="007F639D">
              <w:rPr>
                <w:rFonts w:ascii="Times New Roman" w:hAnsi="Times New Roman"/>
                <w:color w:val="000000"/>
                <w:spacing w:val="-2"/>
                <w:lang w:val="fr-FR"/>
              </w:rPr>
              <w:t xml:space="preserve"> NO &amp; Afrique de l</w:t>
            </w:r>
            <w:r>
              <w:rPr>
                <w:rFonts w:ascii="Times New Roman" w:hAnsi="Times New Roman"/>
                <w:color w:val="000000"/>
                <w:spacing w:val="-2"/>
                <w:lang w:val="fr-FR"/>
              </w:rPr>
              <w:t>’</w:t>
            </w:r>
            <w:r w:rsidRPr="007F639D">
              <w:rPr>
                <w:rFonts w:ascii="Times New Roman" w:hAnsi="Times New Roman"/>
                <w:color w:val="000000"/>
                <w:spacing w:val="-2"/>
                <w:lang w:val="fr-FR"/>
              </w:rPr>
              <w:t>Oue</w:t>
            </w:r>
            <w:smartTag w:uri="urn:schemas-microsoft-com:office:smarttags" w:element="PersonName">
              <w:r w:rsidRPr="007F639D">
                <w:rPr>
                  <w:rFonts w:ascii="Times New Roman" w:hAnsi="Times New Roman"/>
                  <w:color w:val="000000"/>
                  <w:spacing w:val="-2"/>
                  <w:lang w:val="fr-FR"/>
                </w:rPr>
                <w:t>s</w:t>
              </w:r>
            </w:smartTag>
            <w:r w:rsidRPr="007F639D">
              <w:rPr>
                <w:rFonts w:ascii="Times New Roman" w:hAnsi="Times New Roman"/>
                <w:color w:val="000000"/>
                <w:spacing w:val="-2"/>
                <w:lang w:val="fr-FR"/>
              </w:rPr>
              <w:t>t</w:t>
            </w:r>
          </w:p>
        </w:tc>
        <w:tc>
          <w:tcPr>
            <w:tcW w:w="580" w:type="pct"/>
            <w:shd w:val="clear" w:color="auto" w:fill="auto"/>
          </w:tcPr>
          <w:p w14:paraId="107A6E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43EEA2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4D7662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677ECD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1C5F729"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22A7877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stable</w:t>
            </w:r>
          </w:p>
        </w:tc>
        <w:tc>
          <w:tcPr>
            <w:tcW w:w="602" w:type="pct"/>
          </w:tcPr>
          <w:p w14:paraId="100469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Un peu</w:t>
            </w:r>
          </w:p>
        </w:tc>
      </w:tr>
      <w:tr w:rsidR="00886A3C" w:rsidRPr="001571EF" w14:paraId="4F7B5235" w14:textId="77777777" w:rsidTr="00886A3C">
        <w:trPr>
          <w:trHeight w:val="20"/>
          <w:jc w:val="center"/>
        </w:trPr>
        <w:tc>
          <w:tcPr>
            <w:tcW w:w="213" w:type="pct"/>
          </w:tcPr>
          <w:p w14:paraId="50EEFC83"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022" w:type="pct"/>
          </w:tcPr>
          <w:p w14:paraId="7B5A1104"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7F639D">
              <w:rPr>
                <w:rFonts w:ascii="Times New Roman" w:hAnsi="Times New Roman" w:cs="Times New Roman"/>
                <w:i/>
                <w:lang w:val="fr-FR"/>
              </w:rPr>
              <w:t>Phaethon aetherus aetherus</w:t>
            </w:r>
          </w:p>
        </w:tc>
        <w:tc>
          <w:tcPr>
            <w:tcW w:w="580" w:type="pct"/>
            <w:shd w:val="clear" w:color="auto" w:fill="auto"/>
          </w:tcPr>
          <w:p w14:paraId="494BC81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7B478A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2952A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F8A24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61AD72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5FBCF4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84BD0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508D03C" w14:textId="77777777" w:rsidTr="00886A3C">
        <w:trPr>
          <w:trHeight w:val="20"/>
          <w:jc w:val="center"/>
        </w:trPr>
        <w:tc>
          <w:tcPr>
            <w:tcW w:w="213" w:type="pct"/>
          </w:tcPr>
          <w:p w14:paraId="490D9026"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rPr>
            </w:pPr>
            <w:r w:rsidRPr="001571EF">
              <w:rPr>
                <w:rFonts w:ascii="Times New Roman" w:hAnsi="Times New Roman" w:cs="Times New Roman"/>
              </w:rPr>
              <w:t>71</w:t>
            </w:r>
          </w:p>
        </w:tc>
        <w:tc>
          <w:tcPr>
            <w:tcW w:w="1022" w:type="pct"/>
          </w:tcPr>
          <w:p w14:paraId="285FD3EE"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w:t>
            </w:r>
            <w:r>
              <w:rPr>
                <w:rFonts w:ascii="Times New Roman" w:hAnsi="Times New Roman" w:cs="Times New Roman"/>
                <w:i/>
              </w:rPr>
              <w:t xml:space="preserve"> </w:t>
            </w:r>
            <w:r w:rsidRPr="007F639D">
              <w:rPr>
                <w:rFonts w:ascii="Times New Roman" w:hAnsi="Times New Roman"/>
                <w:lang w:val="fr-FR"/>
              </w:rPr>
              <w:t>Atlantique Sud</w:t>
            </w:r>
          </w:p>
        </w:tc>
        <w:tc>
          <w:tcPr>
            <w:tcW w:w="580" w:type="pct"/>
            <w:shd w:val="clear" w:color="auto" w:fill="auto"/>
          </w:tcPr>
          <w:p w14:paraId="7F5207E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090737B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4F029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C651C2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DF56154"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750</w:t>
            </w:r>
          </w:p>
        </w:tc>
        <w:tc>
          <w:tcPr>
            <w:tcW w:w="600" w:type="pct"/>
          </w:tcPr>
          <w:p w14:paraId="19A39B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stable</w:t>
            </w:r>
          </w:p>
        </w:tc>
        <w:tc>
          <w:tcPr>
            <w:tcW w:w="602" w:type="pct"/>
          </w:tcPr>
          <w:p w14:paraId="34950C6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B684485" w14:textId="77777777" w:rsidTr="00886A3C">
        <w:trPr>
          <w:trHeight w:val="20"/>
          <w:jc w:val="center"/>
        </w:trPr>
        <w:tc>
          <w:tcPr>
            <w:tcW w:w="213" w:type="pct"/>
          </w:tcPr>
          <w:p w14:paraId="4E297652"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022" w:type="pct"/>
          </w:tcPr>
          <w:p w14:paraId="27AD108A" w14:textId="77777777" w:rsidR="00886A3C" w:rsidRPr="001571EF" w:rsidRDefault="00886A3C" w:rsidP="00886A3C">
            <w:pPr>
              <w:overflowPunct w:val="0"/>
              <w:autoSpaceDE w:val="0"/>
              <w:autoSpaceDN w:val="0"/>
              <w:adjustRightInd w:val="0"/>
              <w:spacing w:after="0" w:line="240" w:lineRule="auto"/>
              <w:textAlignment w:val="baseline"/>
              <w:rPr>
                <w:rFonts w:ascii="Times New Roman" w:hAnsi="Times New Roman" w:cs="Times New Roman"/>
              </w:rPr>
            </w:pPr>
            <w:r w:rsidRPr="007F639D">
              <w:rPr>
                <w:rFonts w:ascii="Times New Roman" w:hAnsi="Times New Roman" w:cs="Times New Roman"/>
                <w:i/>
                <w:lang w:val="fr-FR"/>
              </w:rPr>
              <w:t>Phaethon aetherus</w:t>
            </w:r>
            <w:r w:rsidRPr="007F639D">
              <w:rPr>
                <w:rFonts w:ascii="Times New Roman" w:hAnsi="Times New Roman" w:cs="Times New Roman"/>
                <w:b/>
                <w:i/>
                <w:lang w:val="fr-FR"/>
              </w:rPr>
              <w:t xml:space="preserve"> </w:t>
            </w:r>
            <w:r w:rsidRPr="007F639D">
              <w:rPr>
                <w:rFonts w:ascii="Times New Roman" w:hAnsi="Times New Roman" w:cs="Times New Roman"/>
                <w:i/>
                <w:lang w:val="fr-FR"/>
              </w:rPr>
              <w:t>indicus</w:t>
            </w:r>
          </w:p>
        </w:tc>
        <w:tc>
          <w:tcPr>
            <w:tcW w:w="580" w:type="pct"/>
            <w:shd w:val="clear" w:color="auto" w:fill="auto"/>
          </w:tcPr>
          <w:p w14:paraId="356055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BBA01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9D9641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3E1D4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69A4B5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6ED15FB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71516A4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4E918C1" w14:textId="77777777" w:rsidTr="00886A3C">
        <w:trPr>
          <w:trHeight w:val="20"/>
          <w:jc w:val="center"/>
        </w:trPr>
        <w:tc>
          <w:tcPr>
            <w:tcW w:w="213" w:type="pct"/>
          </w:tcPr>
          <w:p w14:paraId="4A198AD7" w14:textId="77777777" w:rsidR="00886A3C" w:rsidRPr="001571EF" w:rsidRDefault="00886A3C" w:rsidP="00886A3C">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rPr>
            </w:pPr>
            <w:r w:rsidRPr="001571EF">
              <w:rPr>
                <w:rFonts w:ascii="Times New Roman" w:hAnsi="Times New Roman" w:cs="Times New Roman"/>
              </w:rPr>
              <w:t>72</w:t>
            </w:r>
          </w:p>
        </w:tc>
        <w:tc>
          <w:tcPr>
            <w:tcW w:w="1022" w:type="pct"/>
          </w:tcPr>
          <w:p w14:paraId="50F042DB" w14:textId="77777777" w:rsidR="00886A3C" w:rsidRPr="00103E7F" w:rsidRDefault="00886A3C" w:rsidP="00886A3C">
            <w:pPr>
              <w:keepNext/>
              <w:tabs>
                <w:tab w:val="left" w:pos="578"/>
                <w:tab w:val="left" w:pos="1157"/>
                <w:tab w:val="left" w:pos="1735"/>
              </w:tabs>
              <w:overflowPunct w:val="0"/>
              <w:autoSpaceDE w:val="0"/>
              <w:autoSpaceDN w:val="0"/>
              <w:adjustRightInd w:val="0"/>
              <w:spacing w:after="0" w:line="240" w:lineRule="auto"/>
              <w:textAlignment w:val="baseline"/>
              <w:outlineLvl w:val="3"/>
              <w:rPr>
                <w:rFonts w:ascii="Times New Roman" w:hAnsi="Times New Roman" w:cs="Times New Roman"/>
                <w:color w:val="000000"/>
                <w:lang w:val="fr-FR"/>
              </w:rPr>
            </w:pPr>
            <w:r w:rsidRPr="00103E7F">
              <w:rPr>
                <w:rFonts w:ascii="Times New Roman" w:hAnsi="Times New Roman" w:cs="Times New Roman"/>
                <w:lang w:val="fr-FR"/>
              </w:rPr>
              <w:t xml:space="preserve">- </w:t>
            </w:r>
            <w:r w:rsidRPr="009C0DA2">
              <w:rPr>
                <w:rFonts w:ascii="Times New Roman" w:hAnsi="Times New Roman" w:cs="Times New Roman"/>
                <w:lang w:val="fr-FR"/>
              </w:rPr>
              <w:t>Golfe Per</w:t>
            </w:r>
            <w:smartTag w:uri="urn:schemas-microsoft-com:office:smarttags" w:element="PersonName">
              <w:r w:rsidRPr="009C0DA2">
                <w:rPr>
                  <w:rFonts w:ascii="Times New Roman" w:hAnsi="Times New Roman" w:cs="Times New Roman"/>
                  <w:lang w:val="fr-FR"/>
                </w:rPr>
                <w:t>s</w:t>
              </w:r>
            </w:smartTag>
            <w:r w:rsidRPr="009C0DA2">
              <w:rPr>
                <w:rFonts w:ascii="Times New Roman" w:hAnsi="Times New Roman" w:cs="Times New Roman"/>
                <w:lang w:val="fr-FR"/>
              </w:rPr>
              <w:t>ique</w:t>
            </w:r>
            <w:r>
              <w:rPr>
                <w:rFonts w:ascii="Times New Roman" w:hAnsi="Times New Roman" w:cs="Times New Roman"/>
                <w:lang w:val="fr-FR"/>
              </w:rPr>
              <w:t xml:space="preserve"> </w:t>
            </w:r>
            <w:r w:rsidRPr="009C0DA2">
              <w:rPr>
                <w:rFonts w:ascii="Times New Roman" w:hAnsi="Times New Roman" w:cs="Times New Roman"/>
                <w:lang w:val="fr-FR"/>
              </w:rPr>
              <w:t>golfe d’Aden, mer Rouge</w:t>
            </w:r>
          </w:p>
        </w:tc>
        <w:tc>
          <w:tcPr>
            <w:tcW w:w="580" w:type="pct"/>
            <w:shd w:val="clear" w:color="auto" w:fill="auto"/>
          </w:tcPr>
          <w:p w14:paraId="2C41A2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6D11501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C3BA7A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79C7FC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39DEA64C"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400</w:t>
            </w:r>
          </w:p>
        </w:tc>
        <w:tc>
          <w:tcPr>
            <w:tcW w:w="600" w:type="pct"/>
          </w:tcPr>
          <w:p w14:paraId="2D9E838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stable</w:t>
            </w:r>
          </w:p>
        </w:tc>
        <w:tc>
          <w:tcPr>
            <w:tcW w:w="602" w:type="pct"/>
          </w:tcPr>
          <w:p w14:paraId="3527DA2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CFE59DA" w14:textId="77777777" w:rsidTr="00886A3C">
        <w:trPr>
          <w:trHeight w:val="20"/>
          <w:jc w:val="center"/>
        </w:trPr>
        <w:tc>
          <w:tcPr>
            <w:tcW w:w="213" w:type="pct"/>
          </w:tcPr>
          <w:p w14:paraId="0D6797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5A263F7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Podiceps auritus auritus</w:t>
            </w:r>
          </w:p>
        </w:tc>
        <w:tc>
          <w:tcPr>
            <w:tcW w:w="580" w:type="pct"/>
            <w:shd w:val="clear" w:color="auto" w:fill="auto"/>
          </w:tcPr>
          <w:p w14:paraId="085DCE6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1C3861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4FC80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5ED59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6D8309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70DCB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73F28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36C0EB6" w14:textId="77777777" w:rsidTr="00886A3C">
        <w:trPr>
          <w:trHeight w:val="20"/>
          <w:jc w:val="center"/>
        </w:trPr>
        <w:tc>
          <w:tcPr>
            <w:tcW w:w="213" w:type="pct"/>
          </w:tcPr>
          <w:p w14:paraId="24C9D6E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73</w:t>
            </w:r>
          </w:p>
        </w:tc>
        <w:tc>
          <w:tcPr>
            <w:tcW w:w="1022" w:type="pct"/>
          </w:tcPr>
          <w:p w14:paraId="6E45A25F"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7F639D">
              <w:rPr>
                <w:rFonts w:ascii="Times New Roman" w:hAnsi="Times New Roman"/>
                <w:color w:val="000000"/>
                <w:spacing w:val="-2"/>
                <w:lang w:val="fr-FR"/>
              </w:rPr>
              <w:t>Europe du Nord-Oue</w:t>
            </w:r>
            <w:smartTag w:uri="urn:schemas-microsoft-com:office:smarttags" w:element="PersonName">
              <w:r w:rsidRPr="007F639D">
                <w:rPr>
                  <w:rFonts w:ascii="Times New Roman" w:hAnsi="Times New Roman"/>
                  <w:color w:val="000000"/>
                  <w:spacing w:val="-2"/>
                  <w:lang w:val="fr-FR"/>
                </w:rPr>
                <w:t>s</w:t>
              </w:r>
            </w:smartTag>
            <w:r w:rsidRPr="007F639D">
              <w:rPr>
                <w:rFonts w:ascii="Times New Roman" w:hAnsi="Times New Roman"/>
                <w:color w:val="000000"/>
                <w:spacing w:val="-2"/>
                <w:lang w:val="fr-FR"/>
              </w:rPr>
              <w:t>t (grand bec)</w:t>
            </w:r>
          </w:p>
        </w:tc>
        <w:tc>
          <w:tcPr>
            <w:tcW w:w="580" w:type="pct"/>
            <w:shd w:val="clear" w:color="auto" w:fill="auto"/>
          </w:tcPr>
          <w:p w14:paraId="0073038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575B5D5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671879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0F6E6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0AFA390F"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w:t>
            </w:r>
            <w:r>
              <w:rPr>
                <w:rFonts w:ascii="Times New Roman" w:hAnsi="Times New Roman" w:cs="Times New Roman"/>
                <w:color w:val="000000"/>
              </w:rPr>
              <w:t> </w:t>
            </w:r>
            <w:r w:rsidRPr="001571EF">
              <w:rPr>
                <w:rFonts w:ascii="Times New Roman" w:hAnsi="Times New Roman" w:cs="Times New Roman"/>
                <w:color w:val="000000"/>
              </w:rPr>
              <w:t>600-6</w:t>
            </w:r>
            <w:r>
              <w:rPr>
                <w:rFonts w:ascii="Times New Roman" w:hAnsi="Times New Roman" w:cs="Times New Roman"/>
                <w:color w:val="000000"/>
              </w:rPr>
              <w:t> </w:t>
            </w:r>
            <w:r w:rsidRPr="001571EF">
              <w:rPr>
                <w:rFonts w:ascii="Times New Roman" w:hAnsi="Times New Roman" w:cs="Times New Roman"/>
                <w:color w:val="000000"/>
              </w:rPr>
              <w:t>800</w:t>
            </w:r>
          </w:p>
        </w:tc>
        <w:tc>
          <w:tcPr>
            <w:tcW w:w="600" w:type="pct"/>
          </w:tcPr>
          <w:p w14:paraId="3C6B99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stable</w:t>
            </w:r>
          </w:p>
        </w:tc>
        <w:tc>
          <w:tcPr>
            <w:tcW w:w="602" w:type="pct"/>
          </w:tcPr>
          <w:p w14:paraId="06D9FA8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A5C3A8F" w14:textId="77777777" w:rsidTr="00886A3C">
        <w:trPr>
          <w:trHeight w:val="20"/>
          <w:jc w:val="center"/>
        </w:trPr>
        <w:tc>
          <w:tcPr>
            <w:tcW w:w="213" w:type="pct"/>
          </w:tcPr>
          <w:p w14:paraId="137D52E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49E157D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vertAlign w:val="superscript"/>
              </w:rPr>
            </w:pPr>
            <w:r w:rsidRPr="007F639D">
              <w:rPr>
                <w:rFonts w:ascii="Times New Roman" w:hAnsi="Times New Roman" w:cs="Times New Roman"/>
                <w:i/>
                <w:color w:val="000000"/>
                <w:spacing w:val="-2"/>
                <w:lang w:val="fr-FR"/>
              </w:rPr>
              <w:t>Anas capensis</w:t>
            </w:r>
          </w:p>
        </w:tc>
        <w:tc>
          <w:tcPr>
            <w:tcW w:w="580" w:type="pct"/>
            <w:shd w:val="clear" w:color="auto" w:fill="auto"/>
          </w:tcPr>
          <w:p w14:paraId="64F354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60D098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D33FB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E3E8E1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70DD5BB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7713B1F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99F96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C047253" w14:textId="77777777" w:rsidTr="00886A3C">
        <w:trPr>
          <w:trHeight w:val="20"/>
          <w:jc w:val="center"/>
        </w:trPr>
        <w:tc>
          <w:tcPr>
            <w:tcW w:w="213" w:type="pct"/>
          </w:tcPr>
          <w:p w14:paraId="0F3F45F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74</w:t>
            </w:r>
          </w:p>
        </w:tc>
        <w:tc>
          <w:tcPr>
            <w:tcW w:w="1022" w:type="pct"/>
          </w:tcPr>
          <w:p w14:paraId="096AAE54"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7F639D">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7F639D">
              <w:rPr>
                <w:rFonts w:ascii="Times New Roman" w:hAnsi="Times New Roman" w:cs="Times New Roman"/>
                <w:color w:val="000000"/>
                <w:spacing w:val="-2"/>
                <w:lang w:val="fr-FR"/>
              </w:rPr>
              <w:t>Est (vallée du Rift)</w:t>
            </w:r>
            <w:r w:rsidRPr="00856FAD">
              <w:rPr>
                <w:rFonts w:ascii="Times New Roman" w:hAnsi="Times New Roman" w:cs="Times New Roman"/>
                <w:color w:val="000000"/>
                <w:spacing w:val="-2"/>
                <w:vertAlign w:val="superscript"/>
                <w:lang w:val="fr-FR"/>
              </w:rPr>
              <w:t xml:space="preserve"> </w:t>
            </w:r>
          </w:p>
        </w:tc>
        <w:tc>
          <w:tcPr>
            <w:tcW w:w="580" w:type="pct"/>
            <w:shd w:val="clear" w:color="auto" w:fill="auto"/>
          </w:tcPr>
          <w:p w14:paraId="5CAE91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300EC6D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1EDF1D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0632A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576E040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750-7</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329DE05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stable</w:t>
            </w:r>
          </w:p>
        </w:tc>
        <w:tc>
          <w:tcPr>
            <w:tcW w:w="602" w:type="pct"/>
          </w:tcPr>
          <w:p w14:paraId="6DB4CC0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A4086AF" w14:textId="77777777" w:rsidTr="00886A3C">
        <w:trPr>
          <w:trHeight w:val="20"/>
          <w:jc w:val="center"/>
        </w:trPr>
        <w:tc>
          <w:tcPr>
            <w:tcW w:w="213" w:type="pct"/>
          </w:tcPr>
          <w:p w14:paraId="61A2BA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3ACB9E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Ciconia nigra</w:t>
            </w:r>
          </w:p>
        </w:tc>
        <w:tc>
          <w:tcPr>
            <w:tcW w:w="580" w:type="pct"/>
            <w:shd w:val="clear" w:color="auto" w:fill="auto"/>
          </w:tcPr>
          <w:p w14:paraId="308650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2BC4E03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AD96F5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2908D7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3E9088B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49D9B6F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404BE29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A141110" w14:textId="77777777" w:rsidTr="00886A3C">
        <w:trPr>
          <w:trHeight w:val="20"/>
          <w:jc w:val="center"/>
        </w:trPr>
        <w:tc>
          <w:tcPr>
            <w:tcW w:w="213" w:type="pct"/>
          </w:tcPr>
          <w:p w14:paraId="587BBA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75</w:t>
            </w:r>
          </w:p>
        </w:tc>
        <w:tc>
          <w:tcPr>
            <w:tcW w:w="1022" w:type="pct"/>
          </w:tcPr>
          <w:p w14:paraId="1DAF5D14"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7F639D">
              <w:rPr>
                <w:rFonts w:ascii="Times New Roman" w:hAnsi="Times New Roman"/>
                <w:color w:val="000000"/>
                <w:spacing w:val="-2"/>
                <w:lang w:val="fr-FR"/>
              </w:rPr>
              <w:t>Europe du Sud-Oue</w:t>
            </w:r>
            <w:smartTag w:uri="urn:schemas-microsoft-com:office:smarttags" w:element="PersonName">
              <w:r w:rsidRPr="007F639D">
                <w:rPr>
                  <w:rFonts w:ascii="Times New Roman" w:hAnsi="Times New Roman"/>
                  <w:color w:val="000000"/>
                  <w:spacing w:val="-2"/>
                  <w:lang w:val="fr-FR"/>
                </w:rPr>
                <w:t>s</w:t>
              </w:r>
            </w:smartTag>
            <w:r w:rsidRPr="007F639D">
              <w:rPr>
                <w:rFonts w:ascii="Times New Roman" w:hAnsi="Times New Roman"/>
                <w:color w:val="000000"/>
                <w:spacing w:val="-2"/>
                <w:lang w:val="fr-FR"/>
              </w:rPr>
              <w:t>t/Afrique de l</w:t>
            </w:r>
            <w:r>
              <w:rPr>
                <w:rFonts w:ascii="Times New Roman" w:hAnsi="Times New Roman"/>
                <w:color w:val="000000"/>
                <w:spacing w:val="-2"/>
                <w:lang w:val="fr-FR"/>
              </w:rPr>
              <w:t>’</w:t>
            </w:r>
            <w:r w:rsidRPr="007F639D">
              <w:rPr>
                <w:rFonts w:ascii="Times New Roman" w:hAnsi="Times New Roman"/>
                <w:color w:val="000000"/>
                <w:spacing w:val="-2"/>
                <w:lang w:val="fr-FR"/>
              </w:rPr>
              <w:t>Oue</w:t>
            </w:r>
            <w:smartTag w:uri="urn:schemas-microsoft-com:office:smarttags" w:element="PersonName">
              <w:r w:rsidRPr="007F639D">
                <w:rPr>
                  <w:rFonts w:ascii="Times New Roman" w:hAnsi="Times New Roman"/>
                  <w:color w:val="000000"/>
                  <w:spacing w:val="-2"/>
                  <w:lang w:val="fr-FR"/>
                </w:rPr>
                <w:t>s</w:t>
              </w:r>
            </w:smartTag>
            <w:r w:rsidRPr="007F639D">
              <w:rPr>
                <w:rFonts w:ascii="Times New Roman" w:hAnsi="Times New Roman"/>
                <w:color w:val="000000"/>
                <w:spacing w:val="-2"/>
                <w:lang w:val="fr-FR"/>
              </w:rPr>
              <w:t>t</w:t>
            </w:r>
          </w:p>
        </w:tc>
        <w:tc>
          <w:tcPr>
            <w:tcW w:w="580" w:type="pct"/>
            <w:shd w:val="clear" w:color="auto" w:fill="auto"/>
          </w:tcPr>
          <w:p w14:paraId="6B929D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72A400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18A1764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543D0D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5AEDD43"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w:t>
            </w:r>
            <w:r>
              <w:rPr>
                <w:rFonts w:ascii="Times New Roman" w:hAnsi="Times New Roman" w:cs="Times New Roman"/>
                <w:color w:val="000000"/>
              </w:rPr>
              <w:t> </w:t>
            </w:r>
            <w:r w:rsidRPr="001571EF">
              <w:rPr>
                <w:rFonts w:ascii="Times New Roman" w:hAnsi="Times New Roman" w:cs="Times New Roman"/>
                <w:color w:val="000000"/>
              </w:rPr>
              <w:t>300-1</w:t>
            </w:r>
            <w:r>
              <w:rPr>
                <w:rFonts w:ascii="Times New Roman" w:hAnsi="Times New Roman" w:cs="Times New Roman"/>
                <w:color w:val="000000"/>
              </w:rPr>
              <w:t> </w:t>
            </w:r>
            <w:r w:rsidRPr="001571EF">
              <w:rPr>
                <w:rFonts w:ascii="Times New Roman" w:hAnsi="Times New Roman" w:cs="Times New Roman"/>
                <w:color w:val="000000"/>
              </w:rPr>
              <w:t>370</w:t>
            </w:r>
          </w:p>
        </w:tc>
        <w:tc>
          <w:tcPr>
            <w:tcW w:w="600" w:type="pct"/>
          </w:tcPr>
          <w:p w14:paraId="706B06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Pr>
          <w:p w14:paraId="54D492E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Élevée</w:t>
            </w:r>
          </w:p>
        </w:tc>
      </w:tr>
      <w:tr w:rsidR="00886A3C" w:rsidRPr="001571EF" w14:paraId="359B81F6" w14:textId="77777777" w:rsidTr="00886A3C">
        <w:trPr>
          <w:trHeight w:val="20"/>
          <w:jc w:val="center"/>
        </w:trPr>
        <w:tc>
          <w:tcPr>
            <w:tcW w:w="213" w:type="pct"/>
          </w:tcPr>
          <w:p w14:paraId="6EDF83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0FCA8CC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Sterna dougallii dougallii</w:t>
            </w:r>
          </w:p>
        </w:tc>
        <w:tc>
          <w:tcPr>
            <w:tcW w:w="580" w:type="pct"/>
            <w:shd w:val="clear" w:color="auto" w:fill="auto"/>
          </w:tcPr>
          <w:p w14:paraId="6887E33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025B4C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019484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9B06AD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3FFF212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39A7CE2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759D7B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460E6AA" w14:textId="77777777" w:rsidTr="00886A3C">
        <w:trPr>
          <w:trHeight w:val="20"/>
          <w:jc w:val="center"/>
        </w:trPr>
        <w:tc>
          <w:tcPr>
            <w:tcW w:w="213" w:type="pct"/>
          </w:tcPr>
          <w:p w14:paraId="29D58B1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76</w:t>
            </w:r>
          </w:p>
        </w:tc>
        <w:tc>
          <w:tcPr>
            <w:tcW w:w="1022" w:type="pct"/>
          </w:tcPr>
          <w:p w14:paraId="0044D6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7F639D">
              <w:rPr>
                <w:rFonts w:ascii="Times New Roman" w:hAnsi="Times New Roman" w:cs="Times New Roman"/>
                <w:color w:val="000000"/>
                <w:spacing w:val="-2"/>
                <w:lang w:val="fr-FR"/>
              </w:rPr>
              <w:t>Afrique australe</w:t>
            </w:r>
          </w:p>
        </w:tc>
        <w:tc>
          <w:tcPr>
            <w:tcW w:w="580" w:type="pct"/>
            <w:shd w:val="clear" w:color="auto" w:fill="auto"/>
          </w:tcPr>
          <w:p w14:paraId="6BED94D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14734F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6CD0C5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235F1AA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128E6997"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750-780</w:t>
            </w:r>
          </w:p>
        </w:tc>
        <w:tc>
          <w:tcPr>
            <w:tcW w:w="600" w:type="pct"/>
          </w:tcPr>
          <w:p w14:paraId="7C756F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Pr>
          <w:p w14:paraId="4032B5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Un peu</w:t>
            </w:r>
          </w:p>
        </w:tc>
      </w:tr>
      <w:tr w:rsidR="00886A3C" w:rsidRPr="001571EF" w14:paraId="1FB273F2" w14:textId="77777777" w:rsidTr="00886A3C">
        <w:trPr>
          <w:trHeight w:val="20"/>
          <w:jc w:val="center"/>
        </w:trPr>
        <w:tc>
          <w:tcPr>
            <w:tcW w:w="213" w:type="pct"/>
          </w:tcPr>
          <w:p w14:paraId="447DF65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F60B86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 xml:space="preserve">Sterna dougallii dougallii </w:t>
            </w:r>
            <w:r w:rsidRPr="007F639D">
              <w:rPr>
                <w:rFonts w:ascii="Times New Roman" w:hAnsi="Times New Roman" w:cs="Times New Roman"/>
                <w:b/>
                <w:color w:val="FF0000"/>
                <w:spacing w:val="-2"/>
                <w:lang w:val="fr-FR"/>
              </w:rPr>
              <w:t>!!!</w:t>
            </w:r>
            <w:r w:rsidRPr="007F639D">
              <w:rPr>
                <w:rStyle w:val="FootnoteReference"/>
                <w:rFonts w:ascii="Times New Roman" w:hAnsi="Times New Roman" w:cs="Times New Roman"/>
                <w:b/>
                <w:color w:val="FF0000"/>
                <w:spacing w:val="-2"/>
                <w:lang w:val="fr-FR"/>
              </w:rPr>
              <w:footnoteReference w:id="21"/>
            </w:r>
          </w:p>
        </w:tc>
        <w:tc>
          <w:tcPr>
            <w:tcW w:w="580" w:type="pct"/>
            <w:shd w:val="clear" w:color="auto" w:fill="auto"/>
          </w:tcPr>
          <w:p w14:paraId="2C9036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338FF3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48714D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3D3690B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715B4AF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565801A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094463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4DBBCF3" w14:textId="77777777" w:rsidTr="00886A3C">
        <w:trPr>
          <w:trHeight w:val="20"/>
          <w:jc w:val="center"/>
        </w:trPr>
        <w:tc>
          <w:tcPr>
            <w:tcW w:w="213" w:type="pct"/>
          </w:tcPr>
          <w:p w14:paraId="1C16C62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77</w:t>
            </w:r>
          </w:p>
        </w:tc>
        <w:tc>
          <w:tcPr>
            <w:tcW w:w="1022" w:type="pct"/>
          </w:tcPr>
          <w:p w14:paraId="30BDC6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7F639D">
              <w:rPr>
                <w:rFonts w:ascii="Times New Roman" w:hAnsi="Times New Roman" w:cs="Times New Roman"/>
                <w:color w:val="000000"/>
                <w:spacing w:val="-2"/>
                <w:lang w:val="fr-FR"/>
              </w:rPr>
              <w:t>Europe (rep)</w:t>
            </w:r>
          </w:p>
        </w:tc>
        <w:tc>
          <w:tcPr>
            <w:tcW w:w="580" w:type="pct"/>
            <w:shd w:val="clear" w:color="auto" w:fill="auto"/>
          </w:tcPr>
          <w:p w14:paraId="7B76E20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1AC9A8A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55778B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7BED5D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7F1EF01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w:t>
            </w:r>
            <w:r>
              <w:rPr>
                <w:rFonts w:ascii="Times New Roman" w:hAnsi="Times New Roman" w:cs="Times New Roman"/>
                <w:color w:val="000000"/>
              </w:rPr>
              <w:t> </w:t>
            </w:r>
            <w:r w:rsidRPr="001571EF">
              <w:rPr>
                <w:rFonts w:ascii="Times New Roman" w:hAnsi="Times New Roman" w:cs="Times New Roman"/>
                <w:color w:val="000000"/>
              </w:rPr>
              <w:t>400-5</w:t>
            </w:r>
            <w:r>
              <w:rPr>
                <w:rFonts w:ascii="Times New Roman" w:hAnsi="Times New Roman" w:cs="Times New Roman"/>
                <w:color w:val="000000"/>
              </w:rPr>
              <w:t> </w:t>
            </w:r>
            <w:r w:rsidRPr="001571EF">
              <w:rPr>
                <w:rFonts w:ascii="Times New Roman" w:hAnsi="Times New Roman" w:cs="Times New Roman"/>
                <w:color w:val="000000"/>
              </w:rPr>
              <w:t>700</w:t>
            </w:r>
          </w:p>
        </w:tc>
        <w:tc>
          <w:tcPr>
            <w:tcW w:w="600" w:type="pct"/>
          </w:tcPr>
          <w:p w14:paraId="60ECE79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Pr>
          <w:p w14:paraId="7B7E3C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Un peu</w:t>
            </w:r>
          </w:p>
        </w:tc>
      </w:tr>
      <w:tr w:rsidR="00886A3C" w:rsidRPr="001571EF" w14:paraId="3F304B88" w14:textId="77777777" w:rsidTr="00886A3C">
        <w:trPr>
          <w:trHeight w:val="20"/>
          <w:jc w:val="center"/>
        </w:trPr>
        <w:tc>
          <w:tcPr>
            <w:tcW w:w="213" w:type="pct"/>
          </w:tcPr>
          <w:p w14:paraId="6CEC76A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46904C8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Sterna caspia caspia</w:t>
            </w:r>
          </w:p>
        </w:tc>
        <w:tc>
          <w:tcPr>
            <w:tcW w:w="580" w:type="pct"/>
            <w:shd w:val="clear" w:color="auto" w:fill="auto"/>
          </w:tcPr>
          <w:p w14:paraId="28D537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16C8B6F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2D20D38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5F5F2CF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614DF5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06CC1DD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5FA1045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98A8083" w14:textId="77777777" w:rsidTr="00886A3C">
        <w:trPr>
          <w:trHeight w:val="20"/>
          <w:jc w:val="center"/>
        </w:trPr>
        <w:tc>
          <w:tcPr>
            <w:tcW w:w="213" w:type="pct"/>
          </w:tcPr>
          <w:p w14:paraId="3ACE76A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78</w:t>
            </w:r>
          </w:p>
        </w:tc>
        <w:tc>
          <w:tcPr>
            <w:tcW w:w="1022" w:type="pct"/>
          </w:tcPr>
          <w:p w14:paraId="1DAA9AC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7F639D">
              <w:rPr>
                <w:rFonts w:ascii="Times New Roman" w:hAnsi="Times New Roman" w:cs="Times New Roman"/>
                <w:color w:val="000000"/>
                <w:spacing w:val="-2"/>
                <w:lang w:val="fr-FR"/>
              </w:rPr>
              <w:t>Afrique australe (rep)</w:t>
            </w:r>
          </w:p>
        </w:tc>
        <w:tc>
          <w:tcPr>
            <w:tcW w:w="580" w:type="pct"/>
            <w:shd w:val="clear" w:color="auto" w:fill="auto"/>
          </w:tcPr>
          <w:p w14:paraId="350030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6354CD1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474D13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72EED9D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vAlign w:val="center"/>
          </w:tcPr>
          <w:p w14:paraId="502720FC"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082939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Pr>
          <w:p w14:paraId="308997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1132438B" w14:textId="77777777" w:rsidTr="00886A3C">
        <w:trPr>
          <w:trHeight w:val="20"/>
          <w:jc w:val="center"/>
        </w:trPr>
        <w:tc>
          <w:tcPr>
            <w:tcW w:w="213" w:type="pct"/>
          </w:tcPr>
          <w:p w14:paraId="4170DB9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21A4D39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Ardeola ralloides ralloides</w:t>
            </w:r>
          </w:p>
        </w:tc>
        <w:tc>
          <w:tcPr>
            <w:tcW w:w="580" w:type="pct"/>
            <w:shd w:val="clear" w:color="auto" w:fill="auto"/>
          </w:tcPr>
          <w:p w14:paraId="4B5660B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4BC8EE9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67549A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0C986E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4ED7F4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4DC88A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21889E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A80E223" w14:textId="77777777" w:rsidTr="00886A3C">
        <w:trPr>
          <w:trHeight w:val="20"/>
          <w:jc w:val="center"/>
        </w:trPr>
        <w:tc>
          <w:tcPr>
            <w:tcW w:w="213" w:type="pct"/>
            <w:tcBorders>
              <w:bottom w:val="single" w:sz="6" w:space="0" w:color="auto"/>
            </w:tcBorders>
          </w:tcPr>
          <w:p w14:paraId="5055E8B6" w14:textId="77777777" w:rsidR="00886A3C" w:rsidRPr="001571EF" w:rsidRDefault="00886A3C" w:rsidP="00886A3C">
            <w:pPr>
              <w:overflowPunct w:val="0"/>
              <w:autoSpaceDE w:val="0"/>
              <w:autoSpaceDN w:val="0"/>
              <w:adjustRightInd w:val="0"/>
              <w:spacing w:after="0" w:line="240" w:lineRule="auto"/>
              <w:jc w:val="center"/>
              <w:textAlignment w:val="baseline"/>
              <w:rPr>
                <w:rFonts w:ascii="Times New Roman" w:hAnsi="Times New Roman" w:cs="Times New Roman"/>
                <w:color w:val="000000"/>
              </w:rPr>
            </w:pPr>
            <w:r w:rsidRPr="001571EF">
              <w:rPr>
                <w:rFonts w:ascii="Times New Roman" w:hAnsi="Times New Roman" w:cs="Times New Roman"/>
                <w:color w:val="000000"/>
              </w:rPr>
              <w:t>79</w:t>
            </w:r>
          </w:p>
        </w:tc>
        <w:tc>
          <w:tcPr>
            <w:tcW w:w="1022" w:type="pct"/>
            <w:tcBorders>
              <w:bottom w:val="single" w:sz="6" w:space="0" w:color="auto"/>
            </w:tcBorders>
          </w:tcPr>
          <w:p w14:paraId="0ACD7752" w14:textId="77777777" w:rsidR="00886A3C" w:rsidRPr="000D1EDD" w:rsidRDefault="00886A3C" w:rsidP="00886A3C">
            <w:pPr>
              <w:overflowPunct w:val="0"/>
              <w:autoSpaceDE w:val="0"/>
              <w:autoSpaceDN w:val="0"/>
              <w:adjustRightInd w:val="0"/>
              <w:spacing w:after="0" w:line="240" w:lineRule="auto"/>
              <w:jc w:val="both"/>
              <w:textAlignment w:val="baseline"/>
              <w:rPr>
                <w:rFonts w:ascii="Times New Roman" w:hAnsi="Times New Roman" w:cs="Times New Roman"/>
                <w:color w:val="000000"/>
                <w:lang w:val="en-US"/>
              </w:rPr>
            </w:pPr>
            <w:r w:rsidRPr="000D1EDD">
              <w:rPr>
                <w:rFonts w:ascii="Times New Roman" w:hAnsi="Times New Roman" w:cs="Times New Roman"/>
                <w:color w:val="000000"/>
                <w:lang w:val="en-US"/>
              </w:rPr>
              <w:t xml:space="preserve">- </w:t>
            </w:r>
            <w:r w:rsidRPr="00856FAD">
              <w:rPr>
                <w:rFonts w:ascii="Times New Roman" w:hAnsi="Times New Roman" w:cs="Times New Roman"/>
                <w:color w:val="000000"/>
                <w:lang w:val="en-US"/>
              </w:rPr>
              <w:t>SO Europe, NO Afrique (rep)</w:t>
            </w:r>
          </w:p>
        </w:tc>
        <w:tc>
          <w:tcPr>
            <w:tcW w:w="580" w:type="pct"/>
            <w:tcBorders>
              <w:bottom w:val="single" w:sz="6" w:space="0" w:color="auto"/>
            </w:tcBorders>
            <w:shd w:val="clear" w:color="auto" w:fill="auto"/>
          </w:tcPr>
          <w:p w14:paraId="0767392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1E08D8D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5472E4F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56C637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0D46B2A5"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w:t>
            </w:r>
            <w:r>
              <w:rPr>
                <w:rFonts w:ascii="Times New Roman" w:hAnsi="Times New Roman" w:cs="Times New Roman"/>
                <w:color w:val="000000"/>
              </w:rPr>
              <w:t> </w:t>
            </w:r>
            <w:r w:rsidRPr="001571EF">
              <w:rPr>
                <w:rFonts w:ascii="Times New Roman" w:hAnsi="Times New Roman" w:cs="Times New Roman"/>
                <w:color w:val="000000"/>
              </w:rPr>
              <w:t>700-5</w:t>
            </w:r>
            <w:r>
              <w:rPr>
                <w:rFonts w:ascii="Times New Roman" w:hAnsi="Times New Roman" w:cs="Times New Roman"/>
                <w:color w:val="000000"/>
              </w:rPr>
              <w:t> </w:t>
            </w:r>
            <w:r w:rsidRPr="001571EF">
              <w:rPr>
                <w:rFonts w:ascii="Times New Roman" w:hAnsi="Times New Roman" w:cs="Times New Roman"/>
                <w:color w:val="000000"/>
              </w:rPr>
              <w:t>600</w:t>
            </w:r>
          </w:p>
        </w:tc>
        <w:tc>
          <w:tcPr>
            <w:tcW w:w="600" w:type="pct"/>
            <w:tcBorders>
              <w:bottom w:val="single" w:sz="6" w:space="0" w:color="auto"/>
            </w:tcBorders>
          </w:tcPr>
          <w:p w14:paraId="6C401ED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Borders>
              <w:bottom w:val="single" w:sz="6" w:space="0" w:color="auto"/>
            </w:tcBorders>
          </w:tcPr>
          <w:p w14:paraId="72EBC8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EA1C715" w14:textId="77777777" w:rsidTr="00886A3C">
        <w:trPr>
          <w:trHeight w:val="20"/>
          <w:jc w:val="center"/>
        </w:trPr>
        <w:tc>
          <w:tcPr>
            <w:tcW w:w="213" w:type="pct"/>
          </w:tcPr>
          <w:p w14:paraId="1D702CB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73700D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Branta bernicla hrota</w:t>
            </w:r>
          </w:p>
        </w:tc>
        <w:tc>
          <w:tcPr>
            <w:tcW w:w="580" w:type="pct"/>
            <w:shd w:val="clear" w:color="auto" w:fill="auto"/>
          </w:tcPr>
          <w:p w14:paraId="2CBCD0E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62A6B8A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3105F7B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4CFD11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239B1C4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10984C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3DB89E6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44F7D22" w14:textId="77777777" w:rsidTr="00886A3C">
        <w:trPr>
          <w:trHeight w:val="20"/>
          <w:jc w:val="center"/>
        </w:trPr>
        <w:tc>
          <w:tcPr>
            <w:tcW w:w="213" w:type="pct"/>
            <w:tcBorders>
              <w:bottom w:val="single" w:sz="6" w:space="0" w:color="auto"/>
            </w:tcBorders>
          </w:tcPr>
          <w:p w14:paraId="4F5F5F8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80</w:t>
            </w:r>
          </w:p>
        </w:tc>
        <w:tc>
          <w:tcPr>
            <w:tcW w:w="1022" w:type="pct"/>
            <w:tcBorders>
              <w:bottom w:val="single" w:sz="6" w:space="0" w:color="auto"/>
            </w:tcBorders>
          </w:tcPr>
          <w:p w14:paraId="18E06AE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7F639D">
              <w:rPr>
                <w:rFonts w:ascii="Times New Roman" w:hAnsi="Times New Roman"/>
                <w:color w:val="000000"/>
                <w:spacing w:val="-2"/>
                <w:lang w:val="fr-FR"/>
              </w:rPr>
              <w:t>Svalbard, Danemark &amp; R-U</w:t>
            </w:r>
          </w:p>
        </w:tc>
        <w:tc>
          <w:tcPr>
            <w:tcW w:w="580" w:type="pct"/>
            <w:tcBorders>
              <w:bottom w:val="single" w:sz="6" w:space="0" w:color="auto"/>
            </w:tcBorders>
            <w:shd w:val="clear" w:color="auto" w:fill="auto"/>
          </w:tcPr>
          <w:p w14:paraId="7472D8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tcBorders>
              <w:bottom w:val="single" w:sz="6" w:space="0" w:color="auto"/>
            </w:tcBorders>
            <w:shd w:val="clear" w:color="auto" w:fill="auto"/>
          </w:tcPr>
          <w:p w14:paraId="74E378E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tcBorders>
              <w:bottom w:val="single" w:sz="6" w:space="0" w:color="auto"/>
            </w:tcBorders>
            <w:shd w:val="clear" w:color="auto" w:fill="auto"/>
          </w:tcPr>
          <w:p w14:paraId="55A2C96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bottom w:val="single" w:sz="6" w:space="0" w:color="auto"/>
            </w:tcBorders>
          </w:tcPr>
          <w:p w14:paraId="611656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bottom w:val="single" w:sz="6" w:space="0" w:color="auto"/>
            </w:tcBorders>
            <w:vAlign w:val="center"/>
          </w:tcPr>
          <w:p w14:paraId="310B0321"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w:t>
            </w:r>
            <w:r>
              <w:rPr>
                <w:rFonts w:ascii="Times New Roman" w:hAnsi="Times New Roman" w:cs="Times New Roman"/>
                <w:color w:val="000000"/>
              </w:rPr>
              <w:t> </w:t>
            </w:r>
            <w:r w:rsidRPr="001571EF">
              <w:rPr>
                <w:rFonts w:ascii="Times New Roman" w:hAnsi="Times New Roman" w:cs="Times New Roman"/>
                <w:color w:val="000000"/>
              </w:rPr>
              <w:t>600</w:t>
            </w:r>
          </w:p>
        </w:tc>
        <w:tc>
          <w:tcPr>
            <w:tcW w:w="600" w:type="pct"/>
            <w:tcBorders>
              <w:bottom w:val="single" w:sz="6" w:space="0" w:color="auto"/>
            </w:tcBorders>
          </w:tcPr>
          <w:p w14:paraId="0E83DA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Borders>
              <w:bottom w:val="single" w:sz="6" w:space="0" w:color="auto"/>
            </w:tcBorders>
          </w:tcPr>
          <w:p w14:paraId="736B3EA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8C9BE90" w14:textId="77777777" w:rsidTr="00886A3C">
        <w:trPr>
          <w:trHeight w:val="20"/>
          <w:jc w:val="center"/>
        </w:trPr>
        <w:tc>
          <w:tcPr>
            <w:tcW w:w="213" w:type="pct"/>
          </w:tcPr>
          <w:p w14:paraId="288073E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Pr>
          <w:p w14:paraId="62EBCDD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7F639D">
              <w:rPr>
                <w:rFonts w:ascii="Times New Roman" w:hAnsi="Times New Roman" w:cs="Times New Roman"/>
                <w:i/>
                <w:color w:val="000000"/>
                <w:spacing w:val="-2"/>
                <w:lang w:val="fr-FR"/>
              </w:rPr>
              <w:t>Sterna caspia caspia</w:t>
            </w:r>
          </w:p>
        </w:tc>
        <w:tc>
          <w:tcPr>
            <w:tcW w:w="580" w:type="pct"/>
            <w:shd w:val="clear" w:color="auto" w:fill="auto"/>
          </w:tcPr>
          <w:p w14:paraId="0B45B32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shd w:val="clear" w:color="auto" w:fill="auto"/>
          </w:tcPr>
          <w:p w14:paraId="0BF6185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2" w:type="pct"/>
            <w:shd w:val="clear" w:color="auto" w:fill="auto"/>
          </w:tcPr>
          <w:p w14:paraId="7B1168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Pr>
          <w:p w14:paraId="65E973D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Pr>
          <w:p w14:paraId="480EB5F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0" w:type="pct"/>
          </w:tcPr>
          <w:p w14:paraId="7768501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Pr>
          <w:p w14:paraId="77D4C65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0E80016B" w14:textId="77777777" w:rsidTr="00886A3C">
        <w:trPr>
          <w:trHeight w:val="20"/>
          <w:jc w:val="center"/>
        </w:trPr>
        <w:tc>
          <w:tcPr>
            <w:tcW w:w="213" w:type="pct"/>
          </w:tcPr>
          <w:p w14:paraId="2EA074C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81</w:t>
            </w:r>
          </w:p>
        </w:tc>
        <w:tc>
          <w:tcPr>
            <w:tcW w:w="1022" w:type="pct"/>
          </w:tcPr>
          <w:p w14:paraId="5CABCCC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7F639D">
              <w:rPr>
                <w:rFonts w:ascii="Times New Roman" w:hAnsi="Times New Roman" w:cs="Times New Roman"/>
                <w:color w:val="000000"/>
                <w:spacing w:val="-2"/>
                <w:lang w:val="fr-FR"/>
              </w:rPr>
              <w:t>Baltique (rep)</w:t>
            </w:r>
          </w:p>
        </w:tc>
        <w:tc>
          <w:tcPr>
            <w:tcW w:w="580" w:type="pct"/>
            <w:shd w:val="clear" w:color="auto" w:fill="auto"/>
          </w:tcPr>
          <w:p w14:paraId="45DCD99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shd w:val="clear" w:color="auto" w:fill="auto"/>
          </w:tcPr>
          <w:p w14:paraId="449579F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p>
        </w:tc>
        <w:tc>
          <w:tcPr>
            <w:tcW w:w="452" w:type="pct"/>
            <w:shd w:val="clear" w:color="auto" w:fill="auto"/>
          </w:tcPr>
          <w:p w14:paraId="35758E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p>
        </w:tc>
        <w:tc>
          <w:tcPr>
            <w:tcW w:w="463" w:type="pct"/>
          </w:tcPr>
          <w:p w14:paraId="79E8385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p>
        </w:tc>
        <w:tc>
          <w:tcPr>
            <w:tcW w:w="533" w:type="pct"/>
            <w:vAlign w:val="center"/>
          </w:tcPr>
          <w:p w14:paraId="5CC7114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w:t>
            </w:r>
            <w:r>
              <w:rPr>
                <w:rFonts w:ascii="Times New Roman" w:hAnsi="Times New Roman" w:cs="Times New Roman"/>
                <w:color w:val="000000"/>
              </w:rPr>
              <w:t> </w:t>
            </w:r>
            <w:r w:rsidRPr="001571EF">
              <w:rPr>
                <w:rFonts w:ascii="Times New Roman" w:hAnsi="Times New Roman" w:cs="Times New Roman"/>
                <w:color w:val="000000"/>
              </w:rPr>
              <w:t>000-11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Pr>
          <w:p w14:paraId="5BEF25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Pr>
          <w:p w14:paraId="006DC73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30AB1052" w14:textId="77777777" w:rsidTr="00886A3C">
        <w:trPr>
          <w:trHeight w:val="20"/>
          <w:jc w:val="center"/>
        </w:trPr>
        <w:tc>
          <w:tcPr>
            <w:tcW w:w="213" w:type="pct"/>
            <w:tcBorders>
              <w:top w:val="single" w:sz="6" w:space="0" w:color="auto"/>
              <w:left w:val="single" w:sz="6" w:space="0" w:color="auto"/>
              <w:bottom w:val="single" w:sz="6" w:space="0" w:color="auto"/>
              <w:right w:val="single" w:sz="6" w:space="0" w:color="auto"/>
            </w:tcBorders>
          </w:tcPr>
          <w:p w14:paraId="5FC30C1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022" w:type="pct"/>
            <w:tcBorders>
              <w:top w:val="single" w:sz="6" w:space="0" w:color="auto"/>
              <w:left w:val="single" w:sz="6" w:space="0" w:color="auto"/>
              <w:bottom w:val="single" w:sz="6" w:space="0" w:color="auto"/>
              <w:right w:val="single" w:sz="6" w:space="0" w:color="auto"/>
            </w:tcBorders>
          </w:tcPr>
          <w:p w14:paraId="58B37F6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7F639D">
              <w:rPr>
                <w:rFonts w:ascii="Times New Roman" w:hAnsi="Times New Roman" w:cs="Times New Roman"/>
                <w:i/>
                <w:color w:val="000000"/>
                <w:spacing w:val="-2"/>
                <w:lang w:val="fr-FR"/>
              </w:rPr>
              <w:t>Sterna caspia caspia</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792B2E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5" w:type="pct"/>
            <w:tcBorders>
              <w:top w:val="single" w:sz="6" w:space="0" w:color="auto"/>
              <w:left w:val="single" w:sz="6" w:space="0" w:color="auto"/>
              <w:bottom w:val="single" w:sz="6" w:space="0" w:color="auto"/>
              <w:right w:val="single" w:sz="6" w:space="0" w:color="auto"/>
            </w:tcBorders>
            <w:shd w:val="clear" w:color="auto" w:fill="auto"/>
          </w:tcPr>
          <w:p w14:paraId="089BBC9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2" w:type="pct"/>
            <w:tcBorders>
              <w:top w:val="single" w:sz="6" w:space="0" w:color="auto"/>
              <w:left w:val="single" w:sz="6" w:space="0" w:color="auto"/>
              <w:bottom w:val="single" w:sz="6" w:space="0" w:color="auto"/>
              <w:right w:val="single" w:sz="6" w:space="0" w:color="auto"/>
            </w:tcBorders>
            <w:shd w:val="clear" w:color="auto" w:fill="auto"/>
          </w:tcPr>
          <w:p w14:paraId="599F333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top w:val="single" w:sz="6" w:space="0" w:color="auto"/>
              <w:left w:val="single" w:sz="6" w:space="0" w:color="auto"/>
              <w:bottom w:val="single" w:sz="6" w:space="0" w:color="auto"/>
              <w:right w:val="single" w:sz="6" w:space="0" w:color="auto"/>
            </w:tcBorders>
          </w:tcPr>
          <w:p w14:paraId="4B7BB11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LC</w:t>
            </w:r>
          </w:p>
        </w:tc>
        <w:tc>
          <w:tcPr>
            <w:tcW w:w="533" w:type="pct"/>
            <w:tcBorders>
              <w:top w:val="single" w:sz="6" w:space="0" w:color="auto"/>
              <w:left w:val="single" w:sz="6" w:space="0" w:color="auto"/>
              <w:bottom w:val="single" w:sz="6" w:space="0" w:color="auto"/>
              <w:right w:val="single" w:sz="6" w:space="0" w:color="auto"/>
            </w:tcBorders>
            <w:vAlign w:val="center"/>
          </w:tcPr>
          <w:p w14:paraId="6344EA4F" w14:textId="77777777" w:rsidR="00886A3C" w:rsidRPr="001571EF" w:rsidRDefault="00886A3C" w:rsidP="00886A3C">
            <w:pPr>
              <w:spacing w:after="0" w:line="240" w:lineRule="auto"/>
              <w:jc w:val="center"/>
              <w:rPr>
                <w:rFonts w:ascii="Times New Roman" w:hAnsi="Times New Roman" w:cs="Times New Roman"/>
                <w:color w:val="000000"/>
              </w:rPr>
            </w:pPr>
          </w:p>
        </w:tc>
        <w:tc>
          <w:tcPr>
            <w:tcW w:w="600" w:type="pct"/>
            <w:tcBorders>
              <w:top w:val="single" w:sz="6" w:space="0" w:color="auto"/>
              <w:left w:val="single" w:sz="6" w:space="0" w:color="auto"/>
              <w:bottom w:val="single" w:sz="6" w:space="0" w:color="auto"/>
              <w:right w:val="single" w:sz="6" w:space="0" w:color="auto"/>
            </w:tcBorders>
          </w:tcPr>
          <w:p w14:paraId="65DDD2A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02" w:type="pct"/>
            <w:tcBorders>
              <w:top w:val="single" w:sz="6" w:space="0" w:color="auto"/>
              <w:left w:val="single" w:sz="6" w:space="0" w:color="auto"/>
              <w:bottom w:val="single" w:sz="6" w:space="0" w:color="auto"/>
              <w:right w:val="single" w:sz="6" w:space="0" w:color="auto"/>
            </w:tcBorders>
          </w:tcPr>
          <w:p w14:paraId="09E8525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6CA4E89" w14:textId="77777777" w:rsidTr="00886A3C">
        <w:trPr>
          <w:trHeight w:val="20"/>
          <w:jc w:val="center"/>
        </w:trPr>
        <w:tc>
          <w:tcPr>
            <w:tcW w:w="213" w:type="pct"/>
            <w:tcBorders>
              <w:top w:val="single" w:sz="6" w:space="0" w:color="auto"/>
              <w:left w:val="single" w:sz="6" w:space="0" w:color="auto"/>
              <w:bottom w:val="single" w:sz="6" w:space="0" w:color="auto"/>
              <w:right w:val="single" w:sz="6" w:space="0" w:color="auto"/>
            </w:tcBorders>
          </w:tcPr>
          <w:p w14:paraId="2D9DEF4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82</w:t>
            </w:r>
          </w:p>
        </w:tc>
        <w:tc>
          <w:tcPr>
            <w:tcW w:w="1022" w:type="pct"/>
            <w:tcBorders>
              <w:top w:val="single" w:sz="6" w:space="0" w:color="auto"/>
              <w:left w:val="single" w:sz="6" w:space="0" w:color="auto"/>
              <w:bottom w:val="single" w:sz="6" w:space="0" w:color="auto"/>
              <w:right w:val="single" w:sz="6" w:space="0" w:color="auto"/>
            </w:tcBorders>
          </w:tcPr>
          <w:p w14:paraId="1EF180A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7F639D">
              <w:rPr>
                <w:rFonts w:ascii="Times New Roman" w:hAnsi="Times New Roman" w:cs="Times New Roman"/>
                <w:color w:val="000000"/>
                <w:spacing w:val="-2"/>
                <w:lang w:val="fr-FR"/>
              </w:rPr>
              <w:t>Mer noire (rep)</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31E1B5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1c</w:t>
            </w:r>
          </w:p>
        </w:tc>
        <w:tc>
          <w:tcPr>
            <w:tcW w:w="535" w:type="pct"/>
            <w:tcBorders>
              <w:top w:val="single" w:sz="6" w:space="0" w:color="auto"/>
              <w:left w:val="single" w:sz="6" w:space="0" w:color="auto"/>
              <w:bottom w:val="single" w:sz="6" w:space="0" w:color="auto"/>
              <w:right w:val="single" w:sz="6" w:space="0" w:color="auto"/>
            </w:tcBorders>
            <w:shd w:val="clear" w:color="auto" w:fill="auto"/>
          </w:tcPr>
          <w:p w14:paraId="3B0199F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2" w:type="pct"/>
            <w:tcBorders>
              <w:top w:val="single" w:sz="6" w:space="0" w:color="auto"/>
              <w:left w:val="single" w:sz="6" w:space="0" w:color="auto"/>
              <w:bottom w:val="single" w:sz="6" w:space="0" w:color="auto"/>
              <w:right w:val="single" w:sz="6" w:space="0" w:color="auto"/>
            </w:tcBorders>
            <w:shd w:val="clear" w:color="auto" w:fill="auto"/>
          </w:tcPr>
          <w:p w14:paraId="477D30B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63" w:type="pct"/>
            <w:tcBorders>
              <w:top w:val="single" w:sz="6" w:space="0" w:color="auto"/>
              <w:left w:val="single" w:sz="6" w:space="0" w:color="auto"/>
              <w:bottom w:val="single" w:sz="6" w:space="0" w:color="auto"/>
              <w:right w:val="single" w:sz="6" w:space="0" w:color="auto"/>
            </w:tcBorders>
          </w:tcPr>
          <w:p w14:paraId="28C394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33" w:type="pct"/>
            <w:tcBorders>
              <w:top w:val="single" w:sz="6" w:space="0" w:color="auto"/>
              <w:left w:val="single" w:sz="6" w:space="0" w:color="auto"/>
              <w:bottom w:val="single" w:sz="6" w:space="0" w:color="auto"/>
              <w:right w:val="single" w:sz="6" w:space="0" w:color="auto"/>
            </w:tcBorders>
            <w:vAlign w:val="center"/>
          </w:tcPr>
          <w:p w14:paraId="72241A0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w:t>
            </w:r>
            <w:r>
              <w:rPr>
                <w:rFonts w:ascii="Times New Roman" w:hAnsi="Times New Roman" w:cs="Times New Roman"/>
                <w:color w:val="000000"/>
              </w:rPr>
              <w:t> </w:t>
            </w:r>
            <w:r w:rsidRPr="001571EF">
              <w:rPr>
                <w:rFonts w:ascii="Times New Roman" w:hAnsi="Times New Roman" w:cs="Times New Roman"/>
                <w:color w:val="000000"/>
              </w:rPr>
              <w:t>000-11</w:t>
            </w:r>
            <w:r>
              <w:rPr>
                <w:rFonts w:ascii="Times New Roman" w:hAnsi="Times New Roman" w:cs="Times New Roman"/>
                <w:color w:val="000000"/>
              </w:rPr>
              <w:t> </w:t>
            </w:r>
            <w:r w:rsidRPr="001571EF">
              <w:rPr>
                <w:rFonts w:ascii="Times New Roman" w:hAnsi="Times New Roman" w:cs="Times New Roman"/>
                <w:color w:val="000000"/>
              </w:rPr>
              <w:t>000</w:t>
            </w:r>
          </w:p>
        </w:tc>
        <w:tc>
          <w:tcPr>
            <w:tcW w:w="600" w:type="pct"/>
            <w:tcBorders>
              <w:top w:val="single" w:sz="6" w:space="0" w:color="auto"/>
              <w:left w:val="single" w:sz="6" w:space="0" w:color="auto"/>
              <w:bottom w:val="single" w:sz="6" w:space="0" w:color="auto"/>
              <w:right w:val="single" w:sz="6" w:space="0" w:color="auto"/>
            </w:tcBorders>
          </w:tcPr>
          <w:p w14:paraId="6E06AB1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7F639D">
              <w:rPr>
                <w:rFonts w:ascii="Times New Roman" w:hAnsi="Times New Roman" w:cs="Times New Roman"/>
                <w:color w:val="000000"/>
                <w:spacing w:val="-2"/>
                <w:lang w:val="fr-FR"/>
              </w:rPr>
              <w:t>augmentation</w:t>
            </w:r>
          </w:p>
        </w:tc>
        <w:tc>
          <w:tcPr>
            <w:tcW w:w="602" w:type="pct"/>
            <w:tcBorders>
              <w:top w:val="single" w:sz="6" w:space="0" w:color="auto"/>
              <w:left w:val="single" w:sz="6" w:space="0" w:color="auto"/>
              <w:bottom w:val="single" w:sz="6" w:space="0" w:color="auto"/>
              <w:right w:val="single" w:sz="6" w:space="0" w:color="auto"/>
            </w:tcBorders>
          </w:tcPr>
          <w:p w14:paraId="10DDC48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bl>
    <w:p w14:paraId="3A33942B" w14:textId="77777777" w:rsidR="00886A3C" w:rsidRPr="001571EF" w:rsidRDefault="00886A3C" w:rsidP="00886A3C">
      <w:pPr>
        <w:rPr>
          <w:rFonts w:ascii="Times New Roman" w:hAnsi="Times New Roman" w:cs="Times New Roman"/>
        </w:rPr>
      </w:pPr>
    </w:p>
    <w:p w14:paraId="67C80A83" w14:textId="77777777" w:rsidR="00886A3C" w:rsidRPr="001571EF" w:rsidRDefault="00886A3C" w:rsidP="00886A3C">
      <w:pPr>
        <w:pageBreakBefore/>
        <w:spacing w:after="0" w:line="240" w:lineRule="auto"/>
        <w:jc w:val="both"/>
        <w:rPr>
          <w:rFonts w:ascii="Times New Roman" w:hAnsi="Times New Roman" w:cs="Times New Roman"/>
          <w:b/>
        </w:rPr>
      </w:pPr>
      <w:r w:rsidRPr="00AF604C">
        <w:rPr>
          <w:rFonts w:ascii="Times New Roman" w:hAnsi="Times New Roman" w:cs="Times New Roman"/>
          <w:b/>
          <w:lang w:val="fr-FR"/>
        </w:rPr>
        <w:lastRenderedPageBreak/>
        <w:t>TABLEAU 3</w:t>
      </w:r>
    </w:p>
    <w:p w14:paraId="00483C14" w14:textId="77777777" w:rsidR="00886A3C" w:rsidRPr="00856FAD" w:rsidRDefault="00886A3C" w:rsidP="00886A3C">
      <w:pPr>
        <w:spacing w:after="0" w:line="240" w:lineRule="auto"/>
        <w:rPr>
          <w:rFonts w:ascii="Times New Roman" w:hAnsi="Times New Roman" w:cs="Times New Roman"/>
          <w:lang w:val="fr-FR"/>
        </w:rPr>
      </w:pPr>
      <w:r w:rsidRPr="00AF604C">
        <w:rPr>
          <w:rFonts w:ascii="Times New Roman" w:hAnsi="Times New Roman" w:cs="Times New Roman"/>
          <w:b/>
          <w:lang w:val="fr-FR"/>
        </w:rPr>
        <w:t>Liste prioritaire des populations d</w:t>
      </w:r>
      <w:r>
        <w:rPr>
          <w:rFonts w:ascii="Times New Roman" w:hAnsi="Times New Roman" w:cs="Times New Roman"/>
          <w:b/>
          <w:lang w:val="fr-FR"/>
        </w:rPr>
        <w:t>’</w:t>
      </w:r>
      <w:r w:rsidRPr="00AF604C">
        <w:rPr>
          <w:rFonts w:ascii="Times New Roman" w:hAnsi="Times New Roman" w:cs="Times New Roman"/>
          <w:b/>
          <w:lang w:val="fr-FR"/>
        </w:rPr>
        <w:t>oiseaux d</w:t>
      </w:r>
      <w:r>
        <w:rPr>
          <w:rFonts w:ascii="Times New Roman" w:hAnsi="Times New Roman" w:cs="Times New Roman"/>
          <w:b/>
          <w:lang w:val="fr-FR"/>
        </w:rPr>
        <w:t>’</w:t>
      </w:r>
      <w:r w:rsidRPr="00AF604C">
        <w:rPr>
          <w:rFonts w:ascii="Times New Roman" w:hAnsi="Times New Roman" w:cs="Times New Roman"/>
          <w:b/>
          <w:lang w:val="fr-FR"/>
        </w:rPr>
        <w:t xml:space="preserve">eau en vue du développement de plans de gestion par espèce - 2012-2015 </w:t>
      </w:r>
      <w:r w:rsidRPr="00AF604C">
        <w:rPr>
          <w:rFonts w:ascii="Times New Roman" w:hAnsi="Times New Roman" w:cs="Times New Roman"/>
          <w:lang w:val="fr-FR"/>
        </w:rPr>
        <w:t>(</w:t>
      </w:r>
      <w:r w:rsidRPr="00AF604C">
        <w:rPr>
          <w:rFonts w:ascii="Times New Roman" w:hAnsi="Times New Roman" w:cs="Times New Roman"/>
          <w:b/>
          <w:lang w:val="fr-FR"/>
        </w:rPr>
        <w:t>code des couleurs :</w:t>
      </w:r>
      <w:r w:rsidRPr="00856FAD">
        <w:rPr>
          <w:rFonts w:ascii="Times New Roman" w:hAnsi="Times New Roman" w:cs="Times New Roman"/>
          <w:lang w:val="fr-FR"/>
        </w:rPr>
        <w:t xml:space="preserve"> </w:t>
      </w:r>
      <w:r w:rsidRPr="00AF604C">
        <w:rPr>
          <w:rFonts w:ascii="Times New Roman" w:hAnsi="Times New Roman" w:cs="Times New Roman"/>
          <w:lang w:val="fr-FR"/>
        </w:rPr>
        <w:t>rose – EN, orange – VU, jaune – NT, blanc – LC).</w:t>
      </w:r>
    </w:p>
    <w:p w14:paraId="6E3581BC" w14:textId="77777777" w:rsidR="00886A3C" w:rsidRPr="00856FAD" w:rsidRDefault="00886A3C" w:rsidP="00886A3C">
      <w:pPr>
        <w:rPr>
          <w:rFonts w:ascii="Times New Roman" w:hAnsi="Times New Roman" w:cs="Times New Roman"/>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5"/>
        <w:gridCol w:w="2213"/>
        <w:gridCol w:w="999"/>
        <w:gridCol w:w="1201"/>
        <w:gridCol w:w="1213"/>
        <w:gridCol w:w="754"/>
        <w:gridCol w:w="1096"/>
        <w:gridCol w:w="1133"/>
      </w:tblGrid>
      <w:tr w:rsidR="00886A3C" w:rsidRPr="001571EF" w14:paraId="7641ABB3"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D9D9D9"/>
          </w:tcPr>
          <w:p w14:paraId="15BF0B87"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N</w:t>
            </w:r>
            <w:r w:rsidRPr="00886A3C">
              <w:rPr>
                <w:rFonts w:ascii="Times New Roman" w:hAnsi="Times New Roman" w:cs="Times New Roman"/>
                <w:b/>
                <w:vertAlign w:val="superscript"/>
                <w:lang w:val="fr-FR"/>
              </w:rPr>
              <w:t>o</w:t>
            </w:r>
          </w:p>
        </w:tc>
        <w:tc>
          <w:tcPr>
            <w:tcW w:w="1295" w:type="pct"/>
            <w:tcBorders>
              <w:top w:val="single" w:sz="6" w:space="0" w:color="auto"/>
              <w:left w:val="single" w:sz="6" w:space="0" w:color="auto"/>
              <w:bottom w:val="single" w:sz="6" w:space="0" w:color="auto"/>
              <w:right w:val="single" w:sz="6" w:space="0" w:color="auto"/>
            </w:tcBorders>
            <w:shd w:val="clear" w:color="auto" w:fill="D9D9D9"/>
          </w:tcPr>
          <w:p w14:paraId="5D29F011"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Populations</w:t>
            </w:r>
          </w:p>
        </w:tc>
        <w:tc>
          <w:tcPr>
            <w:tcW w:w="538" w:type="pct"/>
            <w:tcBorders>
              <w:top w:val="single" w:sz="6" w:space="0" w:color="auto"/>
              <w:left w:val="single" w:sz="6" w:space="0" w:color="auto"/>
              <w:bottom w:val="single" w:sz="6" w:space="0" w:color="auto"/>
              <w:right w:val="single" w:sz="6" w:space="0" w:color="auto"/>
            </w:tcBorders>
            <w:shd w:val="clear" w:color="auto" w:fill="D9D9D9"/>
          </w:tcPr>
          <w:p w14:paraId="2CEB9498" w14:textId="79F2B2B2"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Colonne</w:t>
            </w:r>
            <w:r>
              <w:rPr>
                <w:rFonts w:ascii="Times New Roman" w:hAnsi="Times New Roman" w:cs="Times New Roman"/>
                <w:b/>
                <w:lang w:val="fr-FR"/>
              </w:rPr>
              <w:t xml:space="preserve"> </w:t>
            </w:r>
            <w:r w:rsidRPr="00AF604C">
              <w:rPr>
                <w:rFonts w:ascii="Times New Roman" w:hAnsi="Times New Roman" w:cs="Times New Roman"/>
                <w:b/>
                <w:lang w:val="fr-FR"/>
              </w:rPr>
              <w:t>A</w:t>
            </w:r>
          </w:p>
        </w:tc>
        <w:tc>
          <w:tcPr>
            <w:tcW w:w="647" w:type="pct"/>
            <w:tcBorders>
              <w:top w:val="single" w:sz="6" w:space="0" w:color="auto"/>
              <w:left w:val="single" w:sz="6" w:space="0" w:color="auto"/>
              <w:bottom w:val="single" w:sz="6" w:space="0" w:color="auto"/>
              <w:right w:val="single" w:sz="6" w:space="0" w:color="auto"/>
            </w:tcBorders>
            <w:shd w:val="clear" w:color="auto" w:fill="D9D9D9"/>
          </w:tcPr>
          <w:p w14:paraId="64B04B95"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Colonne B</w:t>
            </w:r>
          </w:p>
        </w:tc>
        <w:tc>
          <w:tcPr>
            <w:tcW w:w="653" w:type="pct"/>
            <w:tcBorders>
              <w:top w:val="single" w:sz="6" w:space="0" w:color="auto"/>
              <w:left w:val="single" w:sz="6" w:space="0" w:color="auto"/>
              <w:bottom w:val="single" w:sz="6" w:space="0" w:color="auto"/>
              <w:right w:val="single" w:sz="6" w:space="0" w:color="auto"/>
            </w:tcBorders>
            <w:shd w:val="clear" w:color="auto" w:fill="D9D9D9"/>
          </w:tcPr>
          <w:p w14:paraId="5A506E17"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Colonne C</w:t>
            </w:r>
          </w:p>
        </w:tc>
        <w:tc>
          <w:tcPr>
            <w:tcW w:w="406" w:type="pct"/>
            <w:tcBorders>
              <w:top w:val="single" w:sz="6" w:space="0" w:color="auto"/>
              <w:left w:val="single" w:sz="6" w:space="0" w:color="auto"/>
              <w:bottom w:val="single" w:sz="6" w:space="0" w:color="auto"/>
              <w:right w:val="single" w:sz="6" w:space="0" w:color="auto"/>
            </w:tcBorders>
            <w:shd w:val="clear" w:color="auto" w:fill="D9D9D9"/>
          </w:tcPr>
          <w:p w14:paraId="5A9C55D3"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Liste rouge</w:t>
            </w:r>
          </w:p>
        </w:tc>
        <w:tc>
          <w:tcPr>
            <w:tcW w:w="590" w:type="pct"/>
            <w:tcBorders>
              <w:top w:val="single" w:sz="6" w:space="0" w:color="auto"/>
              <w:left w:val="single" w:sz="6" w:space="0" w:color="auto"/>
              <w:bottom w:val="single" w:sz="6" w:space="0" w:color="auto"/>
              <w:right w:val="single" w:sz="6" w:space="0" w:color="auto"/>
            </w:tcBorders>
            <w:shd w:val="clear" w:color="auto" w:fill="D9D9D9"/>
          </w:tcPr>
          <w:p w14:paraId="3A9567F4"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Taille pop.</w:t>
            </w:r>
          </w:p>
        </w:tc>
        <w:tc>
          <w:tcPr>
            <w:tcW w:w="610" w:type="pct"/>
            <w:tcBorders>
              <w:top w:val="single" w:sz="6" w:space="0" w:color="auto"/>
              <w:left w:val="single" w:sz="6" w:space="0" w:color="auto"/>
              <w:bottom w:val="single" w:sz="6" w:space="0" w:color="auto"/>
              <w:right w:val="single" w:sz="6" w:space="0" w:color="auto"/>
            </w:tcBorders>
            <w:shd w:val="clear" w:color="auto" w:fill="D9D9D9"/>
          </w:tcPr>
          <w:p w14:paraId="10C1CF7D" w14:textId="77777777" w:rsidR="00886A3C" w:rsidRPr="001571EF" w:rsidRDefault="00886A3C" w:rsidP="00886A3C">
            <w:pPr>
              <w:spacing w:after="0" w:line="240" w:lineRule="auto"/>
              <w:rPr>
                <w:rFonts w:ascii="Times New Roman" w:hAnsi="Times New Roman" w:cs="Times New Roman"/>
                <w:b/>
              </w:rPr>
            </w:pPr>
            <w:r w:rsidRPr="00AF604C">
              <w:rPr>
                <w:rFonts w:ascii="Times New Roman" w:hAnsi="Times New Roman" w:cs="Times New Roman"/>
                <w:b/>
                <w:lang w:val="fr-FR"/>
              </w:rPr>
              <w:t>Tendance pop.</w:t>
            </w:r>
          </w:p>
        </w:tc>
      </w:tr>
      <w:tr w:rsidR="00886A3C" w:rsidRPr="001571EF" w14:paraId="72D377B7"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FF7C80"/>
          </w:tcPr>
          <w:p w14:paraId="5064E2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295" w:type="pct"/>
            <w:tcBorders>
              <w:top w:val="single" w:sz="6" w:space="0" w:color="auto"/>
              <w:left w:val="single" w:sz="6" w:space="0" w:color="auto"/>
              <w:bottom w:val="single" w:sz="6" w:space="0" w:color="auto"/>
              <w:right w:val="single" w:sz="6" w:space="0" w:color="auto"/>
            </w:tcBorders>
            <w:shd w:val="clear" w:color="auto" w:fill="FF7C80"/>
          </w:tcPr>
          <w:p w14:paraId="49466ED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AF604C">
              <w:rPr>
                <w:rFonts w:ascii="Times New Roman" w:hAnsi="Times New Roman" w:cs="Times New Roman"/>
                <w:i/>
                <w:color w:val="000000"/>
                <w:spacing w:val="-2"/>
                <w:lang w:val="fr-FR"/>
              </w:rPr>
              <w:t>Melanitta fusca fusca</w:t>
            </w:r>
            <w:r w:rsidRPr="00AF604C">
              <w:rPr>
                <w:rFonts w:ascii="Times New Roman" w:hAnsi="Times New Roman" w:cs="Times New Roman"/>
                <w:i/>
                <w:color w:val="000000"/>
                <w:spacing w:val="-2"/>
                <w:vertAlign w:val="superscript"/>
                <w:lang w:val="fr-FR"/>
              </w:rPr>
              <w:footnoteReference w:id="22"/>
            </w:r>
          </w:p>
        </w:tc>
        <w:tc>
          <w:tcPr>
            <w:tcW w:w="538" w:type="pct"/>
            <w:tcBorders>
              <w:top w:val="single" w:sz="6" w:space="0" w:color="auto"/>
              <w:left w:val="single" w:sz="6" w:space="0" w:color="auto"/>
              <w:bottom w:val="single" w:sz="6" w:space="0" w:color="auto"/>
              <w:right w:val="single" w:sz="6" w:space="0" w:color="auto"/>
            </w:tcBorders>
            <w:shd w:val="clear" w:color="auto" w:fill="FF7C80"/>
          </w:tcPr>
          <w:p w14:paraId="2E17A77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tcBorders>
              <w:top w:val="single" w:sz="6" w:space="0" w:color="auto"/>
              <w:left w:val="single" w:sz="6" w:space="0" w:color="auto"/>
              <w:bottom w:val="single" w:sz="6" w:space="0" w:color="auto"/>
              <w:right w:val="single" w:sz="6" w:space="0" w:color="auto"/>
            </w:tcBorders>
            <w:shd w:val="clear" w:color="auto" w:fill="FF7C80"/>
          </w:tcPr>
          <w:p w14:paraId="5C806D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FF7C80"/>
          </w:tcPr>
          <w:p w14:paraId="45EC151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FF7C80"/>
          </w:tcPr>
          <w:p w14:paraId="0CF273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EN</w:t>
            </w:r>
          </w:p>
        </w:tc>
        <w:tc>
          <w:tcPr>
            <w:tcW w:w="590" w:type="pct"/>
            <w:tcBorders>
              <w:top w:val="single" w:sz="6" w:space="0" w:color="auto"/>
              <w:left w:val="single" w:sz="6" w:space="0" w:color="auto"/>
              <w:bottom w:val="single" w:sz="6" w:space="0" w:color="auto"/>
              <w:right w:val="single" w:sz="6" w:space="0" w:color="auto"/>
            </w:tcBorders>
            <w:shd w:val="clear" w:color="auto" w:fill="FF7C80"/>
          </w:tcPr>
          <w:p w14:paraId="4C3341D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10" w:type="pct"/>
            <w:tcBorders>
              <w:top w:val="single" w:sz="6" w:space="0" w:color="auto"/>
              <w:left w:val="single" w:sz="6" w:space="0" w:color="auto"/>
              <w:bottom w:val="single" w:sz="6" w:space="0" w:color="auto"/>
              <w:right w:val="single" w:sz="6" w:space="0" w:color="auto"/>
            </w:tcBorders>
            <w:shd w:val="clear" w:color="auto" w:fill="FF7C80"/>
          </w:tcPr>
          <w:p w14:paraId="657273D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75312328"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FF7C80"/>
          </w:tcPr>
          <w:p w14:paraId="35A49B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1295" w:type="pct"/>
            <w:tcBorders>
              <w:top w:val="single" w:sz="6" w:space="0" w:color="auto"/>
              <w:left w:val="single" w:sz="6" w:space="0" w:color="auto"/>
              <w:bottom w:val="single" w:sz="6" w:space="0" w:color="auto"/>
              <w:right w:val="single" w:sz="6" w:space="0" w:color="auto"/>
            </w:tcBorders>
            <w:shd w:val="clear" w:color="auto" w:fill="FF7C80"/>
          </w:tcPr>
          <w:p w14:paraId="06F00B47"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F604C">
              <w:rPr>
                <w:rFonts w:ascii="Times New Roman" w:hAnsi="Times New Roman"/>
                <w:color w:val="000000"/>
                <w:spacing w:val="-2"/>
                <w:lang w:val="fr-FR"/>
              </w:rPr>
              <w:t>Sibérie occidentale &amp; Europe du Nord/NO Europe</w:t>
            </w:r>
          </w:p>
        </w:tc>
        <w:tc>
          <w:tcPr>
            <w:tcW w:w="538" w:type="pct"/>
            <w:tcBorders>
              <w:top w:val="single" w:sz="6" w:space="0" w:color="auto"/>
              <w:left w:val="single" w:sz="6" w:space="0" w:color="auto"/>
              <w:bottom w:val="single" w:sz="6" w:space="0" w:color="auto"/>
              <w:right w:val="single" w:sz="6" w:space="0" w:color="auto"/>
            </w:tcBorders>
            <w:shd w:val="clear" w:color="auto" w:fill="FF7C80"/>
          </w:tcPr>
          <w:p w14:paraId="41ED45DC"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lang w:val="fr-FR"/>
              </w:rPr>
            </w:pPr>
          </w:p>
        </w:tc>
        <w:tc>
          <w:tcPr>
            <w:tcW w:w="647" w:type="pct"/>
            <w:tcBorders>
              <w:top w:val="single" w:sz="6" w:space="0" w:color="auto"/>
              <w:left w:val="single" w:sz="6" w:space="0" w:color="auto"/>
              <w:bottom w:val="single" w:sz="6" w:space="0" w:color="auto"/>
              <w:right w:val="single" w:sz="6" w:space="0" w:color="auto"/>
            </w:tcBorders>
            <w:shd w:val="clear" w:color="auto" w:fill="FF7C80"/>
          </w:tcPr>
          <w:p w14:paraId="469DE30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2a 2c</w:t>
            </w:r>
            <w:r w:rsidRPr="001571EF">
              <w:rPr>
                <w:rFonts w:ascii="Times New Roman" w:hAnsi="Times New Roman" w:cs="Times New Roman"/>
                <w:color w:val="000000"/>
                <w:spacing w:val="-2"/>
              </w:rPr>
              <w:t xml:space="preserve"> </w:t>
            </w:r>
          </w:p>
        </w:tc>
        <w:tc>
          <w:tcPr>
            <w:tcW w:w="653" w:type="pct"/>
            <w:tcBorders>
              <w:top w:val="single" w:sz="6" w:space="0" w:color="auto"/>
              <w:left w:val="single" w:sz="6" w:space="0" w:color="auto"/>
              <w:bottom w:val="single" w:sz="6" w:space="0" w:color="auto"/>
              <w:right w:val="single" w:sz="6" w:space="0" w:color="auto"/>
            </w:tcBorders>
            <w:shd w:val="clear" w:color="auto" w:fill="FF7C80"/>
          </w:tcPr>
          <w:p w14:paraId="321CA3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FF7C80"/>
          </w:tcPr>
          <w:p w14:paraId="0FCC368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90" w:type="pct"/>
            <w:tcBorders>
              <w:top w:val="single" w:sz="6" w:space="0" w:color="auto"/>
              <w:left w:val="single" w:sz="6" w:space="0" w:color="auto"/>
              <w:bottom w:val="single" w:sz="6" w:space="0" w:color="auto"/>
              <w:right w:val="single" w:sz="6" w:space="0" w:color="auto"/>
            </w:tcBorders>
            <w:shd w:val="clear" w:color="auto" w:fill="FF7C80"/>
          </w:tcPr>
          <w:p w14:paraId="285542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450</w:t>
            </w:r>
            <w:r>
              <w:rPr>
                <w:rFonts w:ascii="Times New Roman" w:hAnsi="Times New Roman" w:cs="Times New Roman"/>
                <w:color w:val="000000"/>
                <w:spacing w:val="-2"/>
              </w:rPr>
              <w:t> </w:t>
            </w:r>
            <w:r w:rsidRPr="001571EF">
              <w:rPr>
                <w:rFonts w:ascii="Times New Roman" w:hAnsi="Times New Roman" w:cs="Times New Roman"/>
                <w:color w:val="000000"/>
                <w:spacing w:val="-2"/>
              </w:rPr>
              <w:t>000</w:t>
            </w:r>
          </w:p>
        </w:tc>
        <w:tc>
          <w:tcPr>
            <w:tcW w:w="610" w:type="pct"/>
            <w:tcBorders>
              <w:top w:val="single" w:sz="6" w:space="0" w:color="auto"/>
              <w:left w:val="single" w:sz="6" w:space="0" w:color="auto"/>
              <w:bottom w:val="single" w:sz="6" w:space="0" w:color="auto"/>
              <w:right w:val="single" w:sz="6" w:space="0" w:color="auto"/>
            </w:tcBorders>
            <w:shd w:val="clear" w:color="auto" w:fill="FF7C80"/>
          </w:tcPr>
          <w:p w14:paraId="69DA42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déclin</w:t>
            </w:r>
          </w:p>
        </w:tc>
      </w:tr>
      <w:tr w:rsidR="00886A3C" w:rsidRPr="001571EF" w14:paraId="78CCA906"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FFC000"/>
          </w:tcPr>
          <w:p w14:paraId="791E9DE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295" w:type="pct"/>
            <w:tcBorders>
              <w:top w:val="single" w:sz="6" w:space="0" w:color="auto"/>
              <w:left w:val="single" w:sz="6" w:space="0" w:color="auto"/>
              <w:bottom w:val="single" w:sz="6" w:space="0" w:color="auto"/>
              <w:right w:val="single" w:sz="6" w:space="0" w:color="auto"/>
            </w:tcBorders>
            <w:shd w:val="clear" w:color="auto" w:fill="FFC000"/>
          </w:tcPr>
          <w:p w14:paraId="269CA82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AF604C">
              <w:rPr>
                <w:rFonts w:ascii="Times New Roman" w:hAnsi="Times New Roman" w:cs="Times New Roman"/>
                <w:i/>
                <w:color w:val="000000"/>
                <w:spacing w:val="-2"/>
                <w:lang w:val="fr-FR"/>
              </w:rPr>
              <w:t>Clangula hyemalis</w:t>
            </w:r>
            <w:r w:rsidRPr="00AF604C">
              <w:rPr>
                <w:rFonts w:ascii="Times New Roman" w:hAnsi="Times New Roman" w:cs="Times New Roman"/>
                <w:i/>
                <w:color w:val="000000"/>
                <w:spacing w:val="-2"/>
                <w:vertAlign w:val="superscript"/>
                <w:lang w:val="fr-FR"/>
              </w:rPr>
              <w:footnoteReference w:id="23"/>
            </w:r>
          </w:p>
        </w:tc>
        <w:tc>
          <w:tcPr>
            <w:tcW w:w="538" w:type="pct"/>
            <w:tcBorders>
              <w:top w:val="single" w:sz="6" w:space="0" w:color="auto"/>
              <w:left w:val="single" w:sz="6" w:space="0" w:color="auto"/>
              <w:bottom w:val="single" w:sz="6" w:space="0" w:color="auto"/>
              <w:right w:val="single" w:sz="6" w:space="0" w:color="auto"/>
            </w:tcBorders>
            <w:shd w:val="clear" w:color="auto" w:fill="FFC000"/>
          </w:tcPr>
          <w:p w14:paraId="62EC603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tcBorders>
              <w:top w:val="single" w:sz="6" w:space="0" w:color="auto"/>
              <w:left w:val="single" w:sz="6" w:space="0" w:color="auto"/>
              <w:bottom w:val="single" w:sz="6" w:space="0" w:color="auto"/>
              <w:right w:val="single" w:sz="6" w:space="0" w:color="auto"/>
            </w:tcBorders>
            <w:shd w:val="clear" w:color="auto" w:fill="FFC000"/>
          </w:tcPr>
          <w:p w14:paraId="2133518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FFC000"/>
          </w:tcPr>
          <w:p w14:paraId="48CC83E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FFC000"/>
          </w:tcPr>
          <w:p w14:paraId="68EE4F5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VU</w:t>
            </w:r>
          </w:p>
        </w:tc>
        <w:tc>
          <w:tcPr>
            <w:tcW w:w="590" w:type="pct"/>
            <w:tcBorders>
              <w:top w:val="single" w:sz="6" w:space="0" w:color="auto"/>
              <w:left w:val="single" w:sz="6" w:space="0" w:color="auto"/>
              <w:bottom w:val="single" w:sz="6" w:space="0" w:color="auto"/>
              <w:right w:val="single" w:sz="6" w:space="0" w:color="auto"/>
            </w:tcBorders>
            <w:shd w:val="clear" w:color="auto" w:fill="FFC000"/>
          </w:tcPr>
          <w:p w14:paraId="1967F0C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10" w:type="pct"/>
            <w:tcBorders>
              <w:top w:val="single" w:sz="6" w:space="0" w:color="auto"/>
              <w:left w:val="single" w:sz="6" w:space="0" w:color="auto"/>
              <w:bottom w:val="single" w:sz="6" w:space="0" w:color="auto"/>
              <w:right w:val="single" w:sz="6" w:space="0" w:color="auto"/>
            </w:tcBorders>
            <w:shd w:val="clear" w:color="auto" w:fill="FFC000"/>
          </w:tcPr>
          <w:p w14:paraId="438C4F5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24D0A9D5"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FFC000"/>
          </w:tcPr>
          <w:p w14:paraId="5E7D450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295" w:type="pct"/>
            <w:tcBorders>
              <w:top w:val="single" w:sz="6" w:space="0" w:color="auto"/>
              <w:left w:val="single" w:sz="6" w:space="0" w:color="auto"/>
              <w:bottom w:val="single" w:sz="6" w:space="0" w:color="auto"/>
              <w:right w:val="single" w:sz="6" w:space="0" w:color="auto"/>
            </w:tcBorders>
            <w:shd w:val="clear" w:color="auto" w:fill="FFC000"/>
          </w:tcPr>
          <w:p w14:paraId="06CD6B6B"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F604C">
              <w:rPr>
                <w:rFonts w:ascii="Times New Roman" w:hAnsi="Times New Roman" w:cs="Times New Roman"/>
                <w:color w:val="000000"/>
                <w:spacing w:val="-2"/>
                <w:lang w:val="fr-FR"/>
              </w:rPr>
              <w:t>Sibérie occidentale/Europe du Nord</w:t>
            </w:r>
          </w:p>
        </w:tc>
        <w:tc>
          <w:tcPr>
            <w:tcW w:w="538" w:type="pct"/>
            <w:tcBorders>
              <w:top w:val="single" w:sz="6" w:space="0" w:color="auto"/>
              <w:left w:val="single" w:sz="6" w:space="0" w:color="auto"/>
              <w:bottom w:val="single" w:sz="6" w:space="0" w:color="auto"/>
              <w:right w:val="single" w:sz="6" w:space="0" w:color="auto"/>
            </w:tcBorders>
            <w:shd w:val="clear" w:color="auto" w:fill="FFC000"/>
          </w:tcPr>
          <w:p w14:paraId="119EADDB"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lang w:val="fr-FR"/>
              </w:rPr>
            </w:pPr>
          </w:p>
        </w:tc>
        <w:tc>
          <w:tcPr>
            <w:tcW w:w="647" w:type="pct"/>
            <w:tcBorders>
              <w:top w:val="single" w:sz="6" w:space="0" w:color="auto"/>
              <w:left w:val="single" w:sz="6" w:space="0" w:color="auto"/>
              <w:bottom w:val="single" w:sz="6" w:space="0" w:color="auto"/>
              <w:right w:val="single" w:sz="6" w:space="0" w:color="auto"/>
            </w:tcBorders>
            <w:shd w:val="clear" w:color="auto" w:fill="FFC000"/>
          </w:tcPr>
          <w:p w14:paraId="0F80771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2c</w:t>
            </w:r>
          </w:p>
        </w:tc>
        <w:tc>
          <w:tcPr>
            <w:tcW w:w="653" w:type="pct"/>
            <w:tcBorders>
              <w:top w:val="single" w:sz="6" w:space="0" w:color="auto"/>
              <w:left w:val="single" w:sz="6" w:space="0" w:color="auto"/>
              <w:bottom w:val="single" w:sz="6" w:space="0" w:color="auto"/>
              <w:right w:val="single" w:sz="6" w:space="0" w:color="auto"/>
            </w:tcBorders>
            <w:shd w:val="clear" w:color="auto" w:fill="FFC000"/>
          </w:tcPr>
          <w:p w14:paraId="4E6465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FFC000"/>
          </w:tcPr>
          <w:p w14:paraId="7CA02E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90" w:type="pct"/>
            <w:tcBorders>
              <w:top w:val="single" w:sz="6" w:space="0" w:color="auto"/>
              <w:left w:val="single" w:sz="6" w:space="0" w:color="auto"/>
              <w:bottom w:val="single" w:sz="6" w:space="0" w:color="auto"/>
              <w:right w:val="single" w:sz="6" w:space="0" w:color="auto"/>
            </w:tcBorders>
            <w:shd w:val="clear" w:color="auto" w:fill="FFC000"/>
          </w:tcPr>
          <w:p w14:paraId="2821BD8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r>
              <w:rPr>
                <w:rFonts w:ascii="Times New Roman" w:hAnsi="Times New Roman" w:cs="Times New Roman"/>
                <w:color w:val="000000"/>
                <w:spacing w:val="-2"/>
              </w:rPr>
              <w:t> </w:t>
            </w:r>
            <w:r w:rsidRPr="001571EF">
              <w:rPr>
                <w:rFonts w:ascii="Times New Roman" w:hAnsi="Times New Roman" w:cs="Times New Roman"/>
                <w:color w:val="000000"/>
                <w:spacing w:val="-2"/>
              </w:rPr>
              <w:t>600</w:t>
            </w:r>
            <w:r>
              <w:rPr>
                <w:rFonts w:ascii="Times New Roman" w:hAnsi="Times New Roman" w:cs="Times New Roman"/>
                <w:color w:val="000000"/>
                <w:spacing w:val="-2"/>
              </w:rPr>
              <w:t> </w:t>
            </w:r>
            <w:r w:rsidRPr="001571EF">
              <w:rPr>
                <w:rFonts w:ascii="Times New Roman" w:hAnsi="Times New Roman" w:cs="Times New Roman"/>
                <w:color w:val="000000"/>
                <w:spacing w:val="-2"/>
              </w:rPr>
              <w:t>000</w:t>
            </w:r>
          </w:p>
        </w:tc>
        <w:tc>
          <w:tcPr>
            <w:tcW w:w="610" w:type="pct"/>
            <w:tcBorders>
              <w:top w:val="single" w:sz="6" w:space="0" w:color="auto"/>
              <w:left w:val="single" w:sz="6" w:space="0" w:color="auto"/>
              <w:bottom w:val="single" w:sz="6" w:space="0" w:color="auto"/>
              <w:right w:val="single" w:sz="6" w:space="0" w:color="auto"/>
            </w:tcBorders>
            <w:shd w:val="clear" w:color="auto" w:fill="FFC000"/>
          </w:tcPr>
          <w:p w14:paraId="316FB07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déclin</w:t>
            </w:r>
          </w:p>
        </w:tc>
      </w:tr>
      <w:tr w:rsidR="00886A3C" w:rsidRPr="001571EF" w14:paraId="4F0B5051"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FFC000"/>
          </w:tcPr>
          <w:p w14:paraId="74100E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295" w:type="pct"/>
            <w:tcBorders>
              <w:top w:val="single" w:sz="6" w:space="0" w:color="auto"/>
              <w:left w:val="single" w:sz="6" w:space="0" w:color="auto"/>
              <w:bottom w:val="single" w:sz="6" w:space="0" w:color="auto"/>
              <w:right w:val="single" w:sz="6" w:space="0" w:color="auto"/>
            </w:tcBorders>
            <w:shd w:val="clear" w:color="auto" w:fill="FFC000"/>
          </w:tcPr>
          <w:p w14:paraId="2708E7D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AF604C">
              <w:rPr>
                <w:rFonts w:ascii="Times New Roman" w:hAnsi="Times New Roman" w:cs="Times New Roman"/>
                <w:i/>
                <w:color w:val="000000"/>
                <w:spacing w:val="-2"/>
                <w:lang w:val="fr-FR"/>
              </w:rPr>
              <w:t>Clangula hyemalis</w:t>
            </w:r>
            <w:r w:rsidRPr="00AF604C">
              <w:rPr>
                <w:rFonts w:ascii="Times New Roman" w:hAnsi="Times New Roman" w:cs="Times New Roman"/>
                <w:i/>
                <w:color w:val="000000"/>
                <w:spacing w:val="-2"/>
                <w:vertAlign w:val="superscript"/>
                <w:lang w:val="fr-FR"/>
              </w:rPr>
              <w:footnoteReference w:id="24"/>
            </w:r>
          </w:p>
        </w:tc>
        <w:tc>
          <w:tcPr>
            <w:tcW w:w="538" w:type="pct"/>
            <w:tcBorders>
              <w:top w:val="single" w:sz="6" w:space="0" w:color="auto"/>
              <w:left w:val="single" w:sz="6" w:space="0" w:color="auto"/>
              <w:bottom w:val="single" w:sz="6" w:space="0" w:color="auto"/>
              <w:right w:val="single" w:sz="6" w:space="0" w:color="auto"/>
            </w:tcBorders>
            <w:shd w:val="clear" w:color="auto" w:fill="FFC000"/>
          </w:tcPr>
          <w:p w14:paraId="1BB3FF4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tcBorders>
              <w:top w:val="single" w:sz="6" w:space="0" w:color="auto"/>
              <w:left w:val="single" w:sz="6" w:space="0" w:color="auto"/>
              <w:bottom w:val="single" w:sz="6" w:space="0" w:color="auto"/>
              <w:right w:val="single" w:sz="6" w:space="0" w:color="auto"/>
            </w:tcBorders>
            <w:shd w:val="clear" w:color="auto" w:fill="FFC000"/>
          </w:tcPr>
          <w:p w14:paraId="6355E3A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FFC000"/>
          </w:tcPr>
          <w:p w14:paraId="710C07E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FFC000"/>
          </w:tcPr>
          <w:p w14:paraId="7597777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VU</w:t>
            </w:r>
          </w:p>
        </w:tc>
        <w:tc>
          <w:tcPr>
            <w:tcW w:w="590" w:type="pct"/>
            <w:tcBorders>
              <w:top w:val="single" w:sz="6" w:space="0" w:color="auto"/>
              <w:left w:val="single" w:sz="6" w:space="0" w:color="auto"/>
              <w:bottom w:val="single" w:sz="6" w:space="0" w:color="auto"/>
              <w:right w:val="single" w:sz="6" w:space="0" w:color="auto"/>
            </w:tcBorders>
            <w:shd w:val="clear" w:color="auto" w:fill="FFC000"/>
          </w:tcPr>
          <w:p w14:paraId="4ECEEE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10" w:type="pct"/>
            <w:tcBorders>
              <w:top w:val="single" w:sz="6" w:space="0" w:color="auto"/>
              <w:left w:val="single" w:sz="6" w:space="0" w:color="auto"/>
              <w:bottom w:val="single" w:sz="6" w:space="0" w:color="auto"/>
              <w:right w:val="single" w:sz="6" w:space="0" w:color="auto"/>
            </w:tcBorders>
            <w:shd w:val="clear" w:color="auto" w:fill="FFC000"/>
          </w:tcPr>
          <w:p w14:paraId="73A2FE8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133A2B6"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FFC000"/>
          </w:tcPr>
          <w:p w14:paraId="0015142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w:t>
            </w:r>
          </w:p>
        </w:tc>
        <w:tc>
          <w:tcPr>
            <w:tcW w:w="1295" w:type="pct"/>
            <w:tcBorders>
              <w:top w:val="single" w:sz="6" w:space="0" w:color="auto"/>
              <w:left w:val="single" w:sz="6" w:space="0" w:color="auto"/>
              <w:bottom w:val="single" w:sz="6" w:space="0" w:color="auto"/>
              <w:right w:val="single" w:sz="6" w:space="0" w:color="auto"/>
            </w:tcBorders>
            <w:shd w:val="clear" w:color="auto" w:fill="FFC000"/>
          </w:tcPr>
          <w:p w14:paraId="43B32F7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F604C">
              <w:rPr>
                <w:rFonts w:ascii="Times New Roman" w:hAnsi="Times New Roman" w:cs="Times New Roman"/>
                <w:color w:val="000000"/>
                <w:spacing w:val="-2"/>
                <w:lang w:val="fr-FR"/>
              </w:rPr>
              <w:t>Islande &amp; Groenland</w:t>
            </w:r>
          </w:p>
        </w:tc>
        <w:tc>
          <w:tcPr>
            <w:tcW w:w="538" w:type="pct"/>
            <w:tcBorders>
              <w:top w:val="single" w:sz="6" w:space="0" w:color="auto"/>
              <w:left w:val="single" w:sz="6" w:space="0" w:color="auto"/>
              <w:bottom w:val="single" w:sz="6" w:space="0" w:color="auto"/>
              <w:right w:val="single" w:sz="6" w:space="0" w:color="auto"/>
            </w:tcBorders>
            <w:shd w:val="clear" w:color="auto" w:fill="FFC000"/>
          </w:tcPr>
          <w:p w14:paraId="4C31393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tcBorders>
              <w:top w:val="single" w:sz="6" w:space="0" w:color="auto"/>
              <w:left w:val="single" w:sz="6" w:space="0" w:color="auto"/>
              <w:bottom w:val="single" w:sz="6" w:space="0" w:color="auto"/>
              <w:right w:val="single" w:sz="6" w:space="0" w:color="auto"/>
            </w:tcBorders>
            <w:shd w:val="clear" w:color="auto" w:fill="FFC000"/>
          </w:tcPr>
          <w:p w14:paraId="176C7E3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FFC000"/>
          </w:tcPr>
          <w:p w14:paraId="38330DA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06" w:type="pct"/>
            <w:tcBorders>
              <w:top w:val="single" w:sz="6" w:space="0" w:color="auto"/>
              <w:left w:val="single" w:sz="6" w:space="0" w:color="auto"/>
              <w:bottom w:val="single" w:sz="6" w:space="0" w:color="auto"/>
              <w:right w:val="single" w:sz="6" w:space="0" w:color="auto"/>
            </w:tcBorders>
            <w:shd w:val="clear" w:color="auto" w:fill="FFC000"/>
          </w:tcPr>
          <w:p w14:paraId="199E807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90" w:type="pct"/>
            <w:tcBorders>
              <w:top w:val="single" w:sz="6" w:space="0" w:color="auto"/>
              <w:left w:val="single" w:sz="6" w:space="0" w:color="auto"/>
              <w:bottom w:val="single" w:sz="6" w:space="0" w:color="auto"/>
              <w:right w:val="single" w:sz="6" w:space="0" w:color="auto"/>
            </w:tcBorders>
            <w:shd w:val="clear" w:color="auto" w:fill="FFC000"/>
          </w:tcPr>
          <w:p w14:paraId="70B2A6F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100</w:t>
            </w:r>
            <w:r>
              <w:rPr>
                <w:rFonts w:ascii="Times New Roman" w:hAnsi="Times New Roman" w:cs="Times New Roman"/>
                <w:color w:val="000000"/>
                <w:spacing w:val="-2"/>
              </w:rPr>
              <w:t> </w:t>
            </w:r>
            <w:r w:rsidRPr="001571EF">
              <w:rPr>
                <w:rFonts w:ascii="Times New Roman" w:hAnsi="Times New Roman" w:cs="Times New Roman"/>
                <w:color w:val="000000"/>
                <w:spacing w:val="-2"/>
              </w:rPr>
              <w:t>000-150</w:t>
            </w:r>
            <w:r>
              <w:rPr>
                <w:rFonts w:ascii="Times New Roman" w:hAnsi="Times New Roman" w:cs="Times New Roman"/>
                <w:color w:val="000000"/>
                <w:spacing w:val="-2"/>
              </w:rPr>
              <w:t> </w:t>
            </w:r>
            <w:r w:rsidRPr="001571EF">
              <w:rPr>
                <w:rFonts w:ascii="Times New Roman" w:hAnsi="Times New Roman" w:cs="Times New Roman"/>
                <w:color w:val="000000"/>
                <w:spacing w:val="-2"/>
              </w:rPr>
              <w:t>000</w:t>
            </w:r>
          </w:p>
        </w:tc>
        <w:tc>
          <w:tcPr>
            <w:tcW w:w="610" w:type="pct"/>
            <w:tcBorders>
              <w:top w:val="single" w:sz="6" w:space="0" w:color="auto"/>
              <w:left w:val="single" w:sz="6" w:space="0" w:color="auto"/>
              <w:bottom w:val="single" w:sz="6" w:space="0" w:color="auto"/>
              <w:right w:val="single" w:sz="6" w:space="0" w:color="auto"/>
            </w:tcBorders>
            <w:shd w:val="clear" w:color="auto" w:fill="FFC000"/>
          </w:tcPr>
          <w:p w14:paraId="10BD821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stable</w:t>
            </w:r>
          </w:p>
        </w:tc>
      </w:tr>
      <w:tr w:rsidR="00886A3C" w:rsidRPr="001571EF" w14:paraId="0BDB942E" w14:textId="77777777" w:rsidTr="00886A3C">
        <w:trPr>
          <w:trHeight w:val="20"/>
          <w:jc w:val="center"/>
        </w:trPr>
        <w:tc>
          <w:tcPr>
            <w:tcW w:w="261" w:type="pct"/>
            <w:shd w:val="clear" w:color="auto" w:fill="FFFF99"/>
          </w:tcPr>
          <w:p w14:paraId="44F6067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295" w:type="pct"/>
            <w:shd w:val="clear" w:color="auto" w:fill="FFFF99"/>
          </w:tcPr>
          <w:p w14:paraId="2D63081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AF604C">
              <w:rPr>
                <w:rFonts w:ascii="Times New Roman" w:hAnsi="Times New Roman" w:cs="Times New Roman"/>
                <w:i/>
                <w:color w:val="000000"/>
                <w:spacing w:val="-2"/>
                <w:lang w:val="fr-FR"/>
              </w:rPr>
              <w:t>Numenius arquata arquata</w:t>
            </w:r>
            <w:r w:rsidRPr="00AF604C">
              <w:rPr>
                <w:rFonts w:ascii="Times New Roman" w:hAnsi="Times New Roman" w:cs="Times New Roman"/>
                <w:i/>
                <w:color w:val="000000"/>
                <w:spacing w:val="-2"/>
                <w:vertAlign w:val="superscript"/>
                <w:lang w:val="fr-FR"/>
              </w:rPr>
              <w:footnoteReference w:id="25"/>
            </w:r>
          </w:p>
        </w:tc>
        <w:tc>
          <w:tcPr>
            <w:tcW w:w="538" w:type="pct"/>
            <w:shd w:val="clear" w:color="auto" w:fill="FFFF99"/>
          </w:tcPr>
          <w:p w14:paraId="4B39C2F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shd w:val="clear" w:color="auto" w:fill="FFFF99"/>
          </w:tcPr>
          <w:p w14:paraId="01F9D74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shd w:val="clear" w:color="auto" w:fill="FFFF99"/>
          </w:tcPr>
          <w:p w14:paraId="68C3715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06" w:type="pct"/>
            <w:shd w:val="clear" w:color="auto" w:fill="FFFF99"/>
          </w:tcPr>
          <w:p w14:paraId="2CDFEE3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NT</w:t>
            </w:r>
          </w:p>
        </w:tc>
        <w:tc>
          <w:tcPr>
            <w:tcW w:w="590" w:type="pct"/>
            <w:shd w:val="clear" w:color="auto" w:fill="FFFF99"/>
          </w:tcPr>
          <w:p w14:paraId="25C1F1F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10" w:type="pct"/>
            <w:shd w:val="clear" w:color="auto" w:fill="FFFF99"/>
          </w:tcPr>
          <w:p w14:paraId="1C6C8FF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51F8A157" w14:textId="77777777" w:rsidTr="00886A3C">
        <w:trPr>
          <w:trHeight w:val="20"/>
          <w:jc w:val="center"/>
        </w:trPr>
        <w:tc>
          <w:tcPr>
            <w:tcW w:w="261" w:type="pct"/>
            <w:tcBorders>
              <w:bottom w:val="single" w:sz="6" w:space="0" w:color="auto"/>
            </w:tcBorders>
            <w:shd w:val="clear" w:color="auto" w:fill="FFFF99"/>
          </w:tcPr>
          <w:p w14:paraId="01D06AF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295" w:type="pct"/>
            <w:tcBorders>
              <w:bottom w:val="single" w:sz="6" w:space="0" w:color="auto"/>
            </w:tcBorders>
            <w:shd w:val="clear" w:color="auto" w:fill="FFFF99"/>
          </w:tcPr>
          <w:p w14:paraId="33A3B5A2"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F604C">
              <w:rPr>
                <w:rFonts w:ascii="Times New Roman" w:hAnsi="Times New Roman"/>
                <w:color w:val="000000"/>
                <w:spacing w:val="-2"/>
                <w:lang w:val="fr-FR"/>
              </w:rPr>
              <w:t>Europe/Europe, Afrique du Nord et de l</w:t>
            </w:r>
            <w:r>
              <w:rPr>
                <w:rFonts w:ascii="Times New Roman" w:hAnsi="Times New Roman"/>
                <w:color w:val="000000"/>
                <w:spacing w:val="-2"/>
                <w:lang w:val="fr-FR"/>
              </w:rPr>
              <w:t>’</w:t>
            </w:r>
            <w:r w:rsidRPr="00AF604C">
              <w:rPr>
                <w:rFonts w:ascii="Times New Roman" w:hAnsi="Times New Roman"/>
                <w:color w:val="000000"/>
                <w:spacing w:val="-2"/>
                <w:lang w:val="fr-FR"/>
              </w:rPr>
              <w:t>Oue</w:t>
            </w:r>
            <w:smartTag w:uri="urn:schemas-microsoft-com:office:smarttags" w:element="PersonName">
              <w:r w:rsidRPr="00AF604C">
                <w:rPr>
                  <w:rFonts w:ascii="Times New Roman" w:hAnsi="Times New Roman"/>
                  <w:color w:val="000000"/>
                  <w:spacing w:val="-2"/>
                  <w:lang w:val="fr-FR"/>
                </w:rPr>
                <w:t>s</w:t>
              </w:r>
            </w:smartTag>
            <w:r w:rsidRPr="00AF604C">
              <w:rPr>
                <w:rFonts w:ascii="Times New Roman" w:hAnsi="Times New Roman"/>
                <w:color w:val="000000"/>
                <w:spacing w:val="-2"/>
                <w:lang w:val="fr-FR"/>
              </w:rPr>
              <w:t>t</w:t>
            </w:r>
          </w:p>
        </w:tc>
        <w:tc>
          <w:tcPr>
            <w:tcW w:w="538" w:type="pct"/>
            <w:tcBorders>
              <w:bottom w:val="single" w:sz="6" w:space="0" w:color="auto"/>
            </w:tcBorders>
            <w:shd w:val="clear" w:color="auto" w:fill="FFFF99"/>
          </w:tcPr>
          <w:p w14:paraId="2A7BDB0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647" w:type="pct"/>
            <w:tcBorders>
              <w:bottom w:val="single" w:sz="6" w:space="0" w:color="auto"/>
            </w:tcBorders>
            <w:shd w:val="clear" w:color="auto" w:fill="FFFF99"/>
          </w:tcPr>
          <w:p w14:paraId="6C8E577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bottom w:val="single" w:sz="6" w:space="0" w:color="auto"/>
            </w:tcBorders>
            <w:shd w:val="clear" w:color="auto" w:fill="FFFF99"/>
          </w:tcPr>
          <w:p w14:paraId="2BBF15E0"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06" w:type="pct"/>
            <w:tcBorders>
              <w:bottom w:val="single" w:sz="6" w:space="0" w:color="auto"/>
            </w:tcBorders>
            <w:shd w:val="clear" w:color="auto" w:fill="FFFF99"/>
          </w:tcPr>
          <w:p w14:paraId="5CB7068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590" w:type="pct"/>
            <w:tcBorders>
              <w:bottom w:val="single" w:sz="6" w:space="0" w:color="auto"/>
            </w:tcBorders>
            <w:shd w:val="clear" w:color="auto" w:fill="FFFF99"/>
            <w:vAlign w:val="center"/>
          </w:tcPr>
          <w:p w14:paraId="7481F57A"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700</w:t>
            </w:r>
            <w:r>
              <w:rPr>
                <w:rFonts w:ascii="Times New Roman" w:hAnsi="Times New Roman" w:cs="Times New Roman"/>
                <w:color w:val="000000"/>
              </w:rPr>
              <w:t> </w:t>
            </w:r>
            <w:r w:rsidRPr="001571EF">
              <w:rPr>
                <w:rFonts w:ascii="Times New Roman" w:hAnsi="Times New Roman" w:cs="Times New Roman"/>
                <w:color w:val="000000"/>
              </w:rPr>
              <w:t>000-1</w:t>
            </w:r>
            <w:r>
              <w:rPr>
                <w:rFonts w:ascii="Times New Roman" w:hAnsi="Times New Roman" w:cs="Times New Roman"/>
                <w:color w:val="000000"/>
              </w:rPr>
              <w:t> </w:t>
            </w:r>
            <w:r w:rsidRPr="001571EF">
              <w:rPr>
                <w:rFonts w:ascii="Times New Roman" w:hAnsi="Times New Roman" w:cs="Times New Roman"/>
                <w:color w:val="000000"/>
              </w:rPr>
              <w:t>000</w:t>
            </w:r>
            <w:r>
              <w:rPr>
                <w:rFonts w:ascii="Times New Roman" w:hAnsi="Times New Roman" w:cs="Times New Roman"/>
                <w:color w:val="000000"/>
              </w:rPr>
              <w:t> </w:t>
            </w:r>
            <w:r w:rsidRPr="001571EF">
              <w:rPr>
                <w:rFonts w:ascii="Times New Roman" w:hAnsi="Times New Roman" w:cs="Times New Roman"/>
                <w:color w:val="000000"/>
              </w:rPr>
              <w:t>000</w:t>
            </w:r>
          </w:p>
        </w:tc>
        <w:tc>
          <w:tcPr>
            <w:tcW w:w="610" w:type="pct"/>
            <w:tcBorders>
              <w:bottom w:val="single" w:sz="6" w:space="0" w:color="auto"/>
            </w:tcBorders>
            <w:shd w:val="clear" w:color="auto" w:fill="FFFF99"/>
          </w:tcPr>
          <w:p w14:paraId="38B34F5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déclin</w:t>
            </w:r>
          </w:p>
        </w:tc>
      </w:tr>
      <w:tr w:rsidR="00886A3C" w:rsidRPr="001571EF" w14:paraId="54078FC0"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A52586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295" w:type="pct"/>
            <w:tcBorders>
              <w:top w:val="single" w:sz="6" w:space="0" w:color="auto"/>
              <w:left w:val="single" w:sz="6" w:space="0" w:color="auto"/>
              <w:bottom w:val="single" w:sz="6" w:space="0" w:color="auto"/>
              <w:right w:val="single" w:sz="6" w:space="0" w:color="auto"/>
            </w:tcBorders>
            <w:shd w:val="clear" w:color="auto" w:fill="auto"/>
          </w:tcPr>
          <w:p w14:paraId="541734EC"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AF604C">
              <w:rPr>
                <w:rFonts w:ascii="Times New Roman" w:hAnsi="Times New Roman" w:cs="Times New Roman"/>
                <w:i/>
                <w:color w:val="000000"/>
                <w:spacing w:val="-2"/>
                <w:lang w:val="fr-FR"/>
              </w:rPr>
              <w:t>Anser fabalis fabalis</w:t>
            </w:r>
          </w:p>
        </w:tc>
        <w:tc>
          <w:tcPr>
            <w:tcW w:w="538" w:type="pct"/>
            <w:tcBorders>
              <w:top w:val="single" w:sz="6" w:space="0" w:color="auto"/>
              <w:left w:val="single" w:sz="6" w:space="0" w:color="auto"/>
              <w:bottom w:val="single" w:sz="6" w:space="0" w:color="auto"/>
              <w:right w:val="single" w:sz="6" w:space="0" w:color="auto"/>
            </w:tcBorders>
            <w:shd w:val="clear" w:color="auto" w:fill="auto"/>
          </w:tcPr>
          <w:p w14:paraId="19562E1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tcBorders>
              <w:top w:val="single" w:sz="6" w:space="0" w:color="auto"/>
              <w:left w:val="single" w:sz="6" w:space="0" w:color="auto"/>
              <w:bottom w:val="single" w:sz="6" w:space="0" w:color="auto"/>
              <w:right w:val="single" w:sz="6" w:space="0" w:color="auto"/>
            </w:tcBorders>
            <w:shd w:val="clear" w:color="auto" w:fill="auto"/>
          </w:tcPr>
          <w:p w14:paraId="1A32A822"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auto"/>
          </w:tcPr>
          <w:p w14:paraId="2468E54A"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14:paraId="6730FF8D"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LC</w:t>
            </w:r>
          </w:p>
        </w:tc>
        <w:tc>
          <w:tcPr>
            <w:tcW w:w="590" w:type="pct"/>
            <w:tcBorders>
              <w:top w:val="single" w:sz="6" w:space="0" w:color="auto"/>
              <w:left w:val="single" w:sz="6" w:space="0" w:color="auto"/>
              <w:bottom w:val="single" w:sz="6" w:space="0" w:color="auto"/>
              <w:right w:val="single" w:sz="6" w:space="0" w:color="auto"/>
            </w:tcBorders>
            <w:shd w:val="clear" w:color="auto" w:fill="auto"/>
            <w:vAlign w:val="center"/>
          </w:tcPr>
          <w:p w14:paraId="5DC8C2DA" w14:textId="77777777" w:rsidR="00886A3C" w:rsidRPr="001571EF" w:rsidRDefault="00886A3C" w:rsidP="00886A3C">
            <w:pPr>
              <w:spacing w:after="0" w:line="240" w:lineRule="auto"/>
              <w:jc w:val="center"/>
              <w:rPr>
                <w:rFonts w:ascii="Times New Roman" w:hAnsi="Times New Roman" w:cs="Times New Roman"/>
                <w:color w:val="000000"/>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79E7FDF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4EDC0ABD"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122A57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w:t>
            </w:r>
          </w:p>
        </w:tc>
        <w:tc>
          <w:tcPr>
            <w:tcW w:w="1295" w:type="pct"/>
            <w:tcBorders>
              <w:top w:val="single" w:sz="6" w:space="0" w:color="auto"/>
              <w:left w:val="single" w:sz="6" w:space="0" w:color="auto"/>
              <w:bottom w:val="single" w:sz="6" w:space="0" w:color="auto"/>
              <w:right w:val="single" w:sz="6" w:space="0" w:color="auto"/>
            </w:tcBorders>
            <w:shd w:val="clear" w:color="auto" w:fill="auto"/>
          </w:tcPr>
          <w:p w14:paraId="6932DBEF" w14:textId="77777777" w:rsidR="00886A3C" w:rsidRPr="00856FAD"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fr-FR"/>
              </w:rPr>
            </w:pPr>
            <w:r w:rsidRPr="00856FAD">
              <w:rPr>
                <w:rFonts w:ascii="Times New Roman" w:hAnsi="Times New Roman" w:cs="Times New Roman"/>
                <w:color w:val="000000"/>
                <w:spacing w:val="-2"/>
                <w:lang w:val="fr-FR"/>
              </w:rPr>
              <w:t xml:space="preserve">- </w:t>
            </w:r>
            <w:r w:rsidRPr="00AF604C">
              <w:rPr>
                <w:rFonts w:ascii="Times New Roman" w:hAnsi="Times New Roman"/>
                <w:color w:val="000000"/>
                <w:spacing w:val="-2"/>
                <w:lang w:val="fr-FR"/>
              </w:rPr>
              <w:t>Europe du Nord-E</w:t>
            </w:r>
            <w:smartTag w:uri="urn:schemas-microsoft-com:office:smarttags" w:element="PersonName">
              <w:r w:rsidRPr="00AF604C">
                <w:rPr>
                  <w:rFonts w:ascii="Times New Roman" w:hAnsi="Times New Roman"/>
                  <w:color w:val="000000"/>
                  <w:spacing w:val="-2"/>
                  <w:lang w:val="fr-FR"/>
                </w:rPr>
                <w:t>s</w:t>
              </w:r>
            </w:smartTag>
            <w:r w:rsidRPr="00AF604C">
              <w:rPr>
                <w:rFonts w:ascii="Times New Roman" w:hAnsi="Times New Roman"/>
                <w:color w:val="000000"/>
                <w:spacing w:val="-2"/>
                <w:lang w:val="fr-FR"/>
              </w:rPr>
              <w:t>t/Europe du Nord-Oue</w:t>
            </w:r>
            <w:smartTag w:uri="urn:schemas-microsoft-com:office:smarttags" w:element="PersonName">
              <w:r w:rsidRPr="00AF604C">
                <w:rPr>
                  <w:rFonts w:ascii="Times New Roman" w:hAnsi="Times New Roman"/>
                  <w:color w:val="000000"/>
                  <w:spacing w:val="-2"/>
                  <w:lang w:val="fr-FR"/>
                </w:rPr>
                <w:t>s</w:t>
              </w:r>
            </w:smartTag>
            <w:r w:rsidRPr="00AF604C">
              <w:rPr>
                <w:rFonts w:ascii="Times New Roman" w:hAnsi="Times New Roman"/>
                <w:color w:val="000000"/>
                <w:spacing w:val="-2"/>
                <w:lang w:val="fr-FR"/>
              </w:rPr>
              <w:t>t</w:t>
            </w:r>
          </w:p>
        </w:tc>
        <w:tc>
          <w:tcPr>
            <w:tcW w:w="538" w:type="pct"/>
            <w:tcBorders>
              <w:top w:val="single" w:sz="6" w:space="0" w:color="auto"/>
              <w:left w:val="single" w:sz="6" w:space="0" w:color="auto"/>
              <w:bottom w:val="single" w:sz="6" w:space="0" w:color="auto"/>
              <w:right w:val="single" w:sz="6" w:space="0" w:color="auto"/>
            </w:tcBorders>
            <w:shd w:val="clear" w:color="auto" w:fill="auto"/>
          </w:tcPr>
          <w:p w14:paraId="5F2C5CE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3c*</w:t>
            </w:r>
          </w:p>
        </w:tc>
        <w:tc>
          <w:tcPr>
            <w:tcW w:w="647" w:type="pct"/>
            <w:tcBorders>
              <w:top w:val="single" w:sz="6" w:space="0" w:color="auto"/>
              <w:left w:val="single" w:sz="6" w:space="0" w:color="auto"/>
              <w:bottom w:val="single" w:sz="6" w:space="0" w:color="auto"/>
              <w:right w:val="single" w:sz="6" w:space="0" w:color="auto"/>
            </w:tcBorders>
            <w:shd w:val="clear" w:color="auto" w:fill="auto"/>
          </w:tcPr>
          <w:p w14:paraId="43F403A6"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auto"/>
          </w:tcPr>
          <w:p w14:paraId="033CBDF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14:paraId="4C506B3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590" w:type="pct"/>
            <w:tcBorders>
              <w:top w:val="single" w:sz="6" w:space="0" w:color="auto"/>
              <w:left w:val="single" w:sz="6" w:space="0" w:color="auto"/>
              <w:bottom w:val="single" w:sz="6" w:space="0" w:color="auto"/>
              <w:right w:val="single" w:sz="6" w:space="0" w:color="auto"/>
            </w:tcBorders>
            <w:shd w:val="clear" w:color="auto" w:fill="auto"/>
            <w:vAlign w:val="center"/>
          </w:tcPr>
          <w:p w14:paraId="442E2FEB"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63</w:t>
            </w:r>
            <w:r>
              <w:rPr>
                <w:rFonts w:ascii="Times New Roman" w:hAnsi="Times New Roman" w:cs="Times New Roman"/>
                <w:color w:val="000000"/>
              </w:rPr>
              <w:t> </w:t>
            </w:r>
            <w:r w:rsidRPr="001571EF">
              <w:rPr>
                <w:rFonts w:ascii="Times New Roman" w:hAnsi="Times New Roman" w:cs="Times New Roman"/>
                <w:color w:val="000000"/>
              </w:rPr>
              <w:t>000</w:t>
            </w: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3AF11C6B"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déclin</w:t>
            </w:r>
          </w:p>
        </w:tc>
      </w:tr>
      <w:tr w:rsidR="00886A3C" w:rsidRPr="001571EF" w14:paraId="1F6A8E8D"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A94D4A4"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295" w:type="pct"/>
            <w:tcBorders>
              <w:top w:val="single" w:sz="6" w:space="0" w:color="auto"/>
              <w:left w:val="single" w:sz="6" w:space="0" w:color="auto"/>
              <w:bottom w:val="single" w:sz="6" w:space="0" w:color="auto"/>
              <w:right w:val="single" w:sz="6" w:space="0" w:color="auto"/>
            </w:tcBorders>
            <w:shd w:val="clear" w:color="auto" w:fill="auto"/>
          </w:tcPr>
          <w:p w14:paraId="6AAE8B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AF604C">
              <w:rPr>
                <w:rFonts w:ascii="Times New Roman" w:hAnsi="Times New Roman" w:cs="Times New Roman"/>
                <w:i/>
                <w:color w:val="000000"/>
                <w:spacing w:val="-2"/>
                <w:lang w:val="fr-FR"/>
              </w:rPr>
              <w:t>Thalassornis leuconotus leuconotus</w:t>
            </w:r>
          </w:p>
        </w:tc>
        <w:tc>
          <w:tcPr>
            <w:tcW w:w="538" w:type="pct"/>
            <w:tcBorders>
              <w:top w:val="single" w:sz="6" w:space="0" w:color="auto"/>
              <w:left w:val="single" w:sz="6" w:space="0" w:color="auto"/>
              <w:bottom w:val="single" w:sz="6" w:space="0" w:color="auto"/>
              <w:right w:val="single" w:sz="6" w:space="0" w:color="auto"/>
            </w:tcBorders>
            <w:shd w:val="clear" w:color="auto" w:fill="auto"/>
          </w:tcPr>
          <w:p w14:paraId="452D1A6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47" w:type="pct"/>
            <w:tcBorders>
              <w:top w:val="single" w:sz="6" w:space="0" w:color="auto"/>
              <w:left w:val="single" w:sz="6" w:space="0" w:color="auto"/>
              <w:bottom w:val="single" w:sz="6" w:space="0" w:color="auto"/>
              <w:right w:val="single" w:sz="6" w:space="0" w:color="auto"/>
            </w:tcBorders>
            <w:shd w:val="clear" w:color="auto" w:fill="auto"/>
          </w:tcPr>
          <w:p w14:paraId="6E5AF4B9"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auto"/>
          </w:tcPr>
          <w:p w14:paraId="326B617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14:paraId="5C868FE8"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LC</w:t>
            </w:r>
          </w:p>
        </w:tc>
        <w:tc>
          <w:tcPr>
            <w:tcW w:w="590" w:type="pct"/>
            <w:tcBorders>
              <w:top w:val="single" w:sz="6" w:space="0" w:color="auto"/>
              <w:left w:val="single" w:sz="6" w:space="0" w:color="auto"/>
              <w:bottom w:val="single" w:sz="6" w:space="0" w:color="auto"/>
              <w:right w:val="single" w:sz="6" w:space="0" w:color="auto"/>
            </w:tcBorders>
            <w:shd w:val="clear" w:color="auto" w:fill="auto"/>
            <w:vAlign w:val="center"/>
          </w:tcPr>
          <w:p w14:paraId="314B9F48" w14:textId="77777777" w:rsidR="00886A3C" w:rsidRPr="001571EF" w:rsidRDefault="00886A3C" w:rsidP="00886A3C">
            <w:pPr>
              <w:spacing w:after="0" w:line="240" w:lineRule="auto"/>
              <w:jc w:val="center"/>
              <w:rPr>
                <w:rFonts w:ascii="Times New Roman" w:hAnsi="Times New Roman" w:cs="Times New Roman"/>
                <w:color w:val="000000"/>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3D2A6B7E"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886A3C" w:rsidRPr="001571EF" w14:paraId="607E2188" w14:textId="77777777" w:rsidTr="00886A3C">
        <w:trPr>
          <w:trHeight w:val="20"/>
          <w:jc w:val="center"/>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5EB7F8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w:t>
            </w:r>
          </w:p>
        </w:tc>
        <w:tc>
          <w:tcPr>
            <w:tcW w:w="1295" w:type="pct"/>
            <w:tcBorders>
              <w:top w:val="single" w:sz="6" w:space="0" w:color="auto"/>
              <w:left w:val="single" w:sz="6" w:space="0" w:color="auto"/>
              <w:bottom w:val="single" w:sz="6" w:space="0" w:color="auto"/>
              <w:right w:val="single" w:sz="6" w:space="0" w:color="auto"/>
            </w:tcBorders>
            <w:shd w:val="clear" w:color="auto" w:fill="auto"/>
          </w:tcPr>
          <w:p w14:paraId="468842B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w:t>
            </w:r>
            <w:r w:rsidRPr="00AF604C">
              <w:rPr>
                <w:rFonts w:ascii="Times New Roman" w:hAnsi="Times New Roman" w:cs="Times New Roman"/>
                <w:color w:val="000000"/>
                <w:spacing w:val="-2"/>
                <w:lang w:val="fr-FR"/>
              </w:rPr>
              <w:t>Afrique de l</w:t>
            </w:r>
            <w:r>
              <w:rPr>
                <w:rFonts w:ascii="Times New Roman" w:hAnsi="Times New Roman" w:cs="Times New Roman"/>
                <w:color w:val="000000"/>
                <w:spacing w:val="-2"/>
                <w:lang w:val="fr-FR"/>
              </w:rPr>
              <w:t>’</w:t>
            </w:r>
            <w:r w:rsidRPr="00AF604C">
              <w:rPr>
                <w:rFonts w:ascii="Times New Roman" w:hAnsi="Times New Roman" w:cs="Times New Roman"/>
                <w:color w:val="000000"/>
                <w:spacing w:val="-2"/>
                <w:lang w:val="fr-FR"/>
              </w:rPr>
              <w:t>Est &amp; australe</w:t>
            </w:r>
          </w:p>
        </w:tc>
        <w:tc>
          <w:tcPr>
            <w:tcW w:w="538" w:type="pct"/>
            <w:tcBorders>
              <w:top w:val="single" w:sz="6" w:space="0" w:color="auto"/>
              <w:left w:val="single" w:sz="6" w:space="0" w:color="auto"/>
              <w:bottom w:val="single" w:sz="6" w:space="0" w:color="auto"/>
              <w:right w:val="single" w:sz="6" w:space="0" w:color="auto"/>
            </w:tcBorders>
            <w:shd w:val="clear" w:color="auto" w:fill="auto"/>
          </w:tcPr>
          <w:p w14:paraId="74757805"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647" w:type="pct"/>
            <w:tcBorders>
              <w:top w:val="single" w:sz="6" w:space="0" w:color="auto"/>
              <w:left w:val="single" w:sz="6" w:space="0" w:color="auto"/>
              <w:bottom w:val="single" w:sz="6" w:space="0" w:color="auto"/>
              <w:right w:val="single" w:sz="6" w:space="0" w:color="auto"/>
            </w:tcBorders>
            <w:shd w:val="clear" w:color="auto" w:fill="auto"/>
          </w:tcPr>
          <w:p w14:paraId="598A4177"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653" w:type="pct"/>
            <w:tcBorders>
              <w:top w:val="single" w:sz="6" w:space="0" w:color="auto"/>
              <w:left w:val="single" w:sz="6" w:space="0" w:color="auto"/>
              <w:bottom w:val="single" w:sz="6" w:space="0" w:color="auto"/>
              <w:right w:val="single" w:sz="6" w:space="0" w:color="auto"/>
            </w:tcBorders>
            <w:shd w:val="clear" w:color="auto" w:fill="auto"/>
          </w:tcPr>
          <w:p w14:paraId="27FE5091"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14:paraId="62659873"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590" w:type="pct"/>
            <w:tcBorders>
              <w:top w:val="single" w:sz="6" w:space="0" w:color="auto"/>
              <w:left w:val="single" w:sz="6" w:space="0" w:color="auto"/>
              <w:bottom w:val="single" w:sz="6" w:space="0" w:color="auto"/>
              <w:right w:val="single" w:sz="6" w:space="0" w:color="auto"/>
            </w:tcBorders>
            <w:shd w:val="clear" w:color="auto" w:fill="auto"/>
            <w:vAlign w:val="center"/>
          </w:tcPr>
          <w:p w14:paraId="6E966272" w14:textId="77777777" w:rsidR="00886A3C" w:rsidRPr="001571EF" w:rsidRDefault="00886A3C" w:rsidP="00886A3C">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w:t>
            </w:r>
            <w:r>
              <w:rPr>
                <w:rFonts w:ascii="Times New Roman" w:hAnsi="Times New Roman" w:cs="Times New Roman"/>
                <w:color w:val="000000"/>
              </w:rPr>
              <w:t> </w:t>
            </w:r>
            <w:r w:rsidRPr="001571EF">
              <w:rPr>
                <w:rFonts w:ascii="Times New Roman" w:hAnsi="Times New Roman" w:cs="Times New Roman"/>
                <w:color w:val="000000"/>
              </w:rPr>
              <w:t>000-25</w:t>
            </w:r>
            <w:r>
              <w:rPr>
                <w:rFonts w:ascii="Times New Roman" w:hAnsi="Times New Roman" w:cs="Times New Roman"/>
                <w:color w:val="000000"/>
              </w:rPr>
              <w:t> </w:t>
            </w:r>
            <w:r w:rsidRPr="001571EF">
              <w:rPr>
                <w:rFonts w:ascii="Times New Roman" w:hAnsi="Times New Roman" w:cs="Times New Roman"/>
                <w:color w:val="000000"/>
              </w:rPr>
              <w:t>000</w:t>
            </w: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1A4B941F" w14:textId="77777777" w:rsidR="00886A3C" w:rsidRPr="001571EF" w:rsidRDefault="00886A3C" w:rsidP="00886A3C">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AF604C">
              <w:rPr>
                <w:rFonts w:ascii="Times New Roman" w:hAnsi="Times New Roman" w:cs="Times New Roman"/>
                <w:color w:val="000000"/>
                <w:spacing w:val="-2"/>
                <w:lang w:val="fr-FR"/>
              </w:rPr>
              <w:t>stable</w:t>
            </w:r>
          </w:p>
        </w:tc>
      </w:tr>
    </w:tbl>
    <w:p w14:paraId="61D9480E" w14:textId="77777777" w:rsidR="00886A3C" w:rsidRPr="001571EF" w:rsidRDefault="00886A3C" w:rsidP="00886A3C">
      <w:pPr>
        <w:rPr>
          <w:rFonts w:ascii="Times New Roman" w:hAnsi="Times New Roman" w:cs="Times New Roman"/>
        </w:rPr>
      </w:pPr>
    </w:p>
    <w:p w14:paraId="67AE1F45" w14:textId="77777777" w:rsidR="00886A3C" w:rsidRPr="001571EF" w:rsidRDefault="00886A3C" w:rsidP="00886A3C">
      <w:pPr>
        <w:spacing w:after="0" w:line="240" w:lineRule="auto"/>
        <w:rPr>
          <w:rFonts w:ascii="Times New Roman" w:hAnsi="Times New Roman" w:cs="Times New Roman"/>
          <w:i/>
          <w:lang w:val="en-US"/>
        </w:rPr>
      </w:pPr>
    </w:p>
    <w:p w14:paraId="7D20E223" w14:textId="77777777" w:rsidR="006A4E7E" w:rsidRPr="00403C55" w:rsidRDefault="006A4E7E" w:rsidP="00822792">
      <w:pPr>
        <w:shd w:val="clear" w:color="auto" w:fill="FFFFFF" w:themeFill="background1"/>
        <w:spacing w:after="0" w:line="240" w:lineRule="auto"/>
        <w:jc w:val="both"/>
        <w:rPr>
          <w:rFonts w:ascii="Times New Roman" w:hAnsi="Times New Roman" w:cs="Times New Roman"/>
          <w:lang w:val="fr-FR"/>
        </w:rPr>
      </w:pPr>
    </w:p>
    <w:p w14:paraId="00A6C9F3" w14:textId="47EA2FAD" w:rsidR="004E1E63" w:rsidRPr="00403C55" w:rsidRDefault="004E1E63">
      <w:pPr>
        <w:rPr>
          <w:rFonts w:ascii="Times New Roman" w:hAnsi="Times New Roman" w:cs="Times New Roman"/>
          <w:lang w:val="fr-FR"/>
        </w:rPr>
      </w:pPr>
    </w:p>
    <w:sectPr w:rsidR="004E1E63" w:rsidRPr="00403C55" w:rsidSect="008D55FB">
      <w:headerReference w:type="default" r:id="rId136"/>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57EEE" w14:textId="77777777" w:rsidR="00DE4CF4" w:rsidRDefault="00DE4CF4" w:rsidP="00796A92">
      <w:pPr>
        <w:spacing w:after="0" w:line="240" w:lineRule="auto"/>
      </w:pPr>
      <w:r>
        <w:separator/>
      </w:r>
    </w:p>
  </w:endnote>
  <w:endnote w:type="continuationSeparator" w:id="0">
    <w:p w14:paraId="79CC9ADE" w14:textId="77777777" w:rsidR="00DE4CF4" w:rsidRDefault="00DE4CF4" w:rsidP="0079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FA73" w14:textId="77777777" w:rsidR="00DE4CF4" w:rsidRPr="00697C77" w:rsidRDefault="00DE4CF4">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A729" w14:textId="77777777" w:rsidR="00DE4CF4" w:rsidRPr="00697C77" w:rsidRDefault="00DE4CF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24346"/>
      <w:docPartObj>
        <w:docPartGallery w:val="Page Numbers (Bottom of Page)"/>
        <w:docPartUnique/>
      </w:docPartObj>
    </w:sdtPr>
    <w:sdtEndPr>
      <w:rPr>
        <w:rFonts w:ascii="Times New Roman" w:hAnsi="Times New Roman" w:cs="Times New Roman"/>
        <w:noProof/>
        <w:sz w:val="20"/>
        <w:szCs w:val="20"/>
      </w:rPr>
    </w:sdtEndPr>
    <w:sdtContent>
      <w:p w14:paraId="799A78C0" w14:textId="77777777" w:rsidR="00DE4CF4" w:rsidRPr="00697C77" w:rsidRDefault="00DE4CF4">
        <w:pPr>
          <w:pStyle w:val="Footer"/>
          <w:jc w:val="center"/>
          <w:rPr>
            <w:rFonts w:ascii="Times New Roman" w:hAnsi="Times New Roman" w:cs="Times New Roman"/>
            <w:sz w:val="20"/>
            <w:szCs w:val="20"/>
          </w:rPr>
        </w:pPr>
        <w:r w:rsidRPr="00697C77">
          <w:rPr>
            <w:rFonts w:ascii="Times New Roman" w:hAnsi="Times New Roman" w:cs="Times New Roman"/>
            <w:sz w:val="20"/>
            <w:szCs w:val="20"/>
          </w:rPr>
          <w:fldChar w:fldCharType="begin"/>
        </w:r>
        <w:r w:rsidRPr="00697C77">
          <w:rPr>
            <w:rFonts w:ascii="Times New Roman" w:hAnsi="Times New Roman" w:cs="Times New Roman"/>
            <w:sz w:val="20"/>
            <w:szCs w:val="20"/>
          </w:rPr>
          <w:instrText xml:space="preserve"> PAGE   \* MERGEFORMAT </w:instrText>
        </w:r>
        <w:r w:rsidRPr="00697C77">
          <w:rPr>
            <w:rFonts w:ascii="Times New Roman" w:hAnsi="Times New Roman" w:cs="Times New Roman"/>
            <w:sz w:val="20"/>
            <w:szCs w:val="20"/>
          </w:rPr>
          <w:fldChar w:fldCharType="separate"/>
        </w:r>
        <w:r w:rsidR="00686C3F">
          <w:rPr>
            <w:rFonts w:ascii="Times New Roman" w:hAnsi="Times New Roman" w:cs="Times New Roman"/>
            <w:noProof/>
            <w:sz w:val="20"/>
            <w:szCs w:val="20"/>
          </w:rPr>
          <w:t>28</w:t>
        </w:r>
        <w:r w:rsidRPr="00697C77">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347853"/>
      <w:docPartObj>
        <w:docPartGallery w:val="Page Numbers (Bottom of Page)"/>
        <w:docPartUnique/>
      </w:docPartObj>
    </w:sdtPr>
    <w:sdtEndPr>
      <w:rPr>
        <w:rFonts w:ascii="Times New Roman" w:hAnsi="Times New Roman" w:cs="Times New Roman"/>
        <w:noProof/>
        <w:sz w:val="20"/>
        <w:szCs w:val="20"/>
      </w:rPr>
    </w:sdtEndPr>
    <w:sdtContent>
      <w:p w14:paraId="6B55228F" w14:textId="77777777" w:rsidR="00DE4CF4" w:rsidRPr="00697C77" w:rsidRDefault="00DE4CF4">
        <w:pPr>
          <w:pStyle w:val="Footer"/>
          <w:jc w:val="center"/>
          <w:rPr>
            <w:rFonts w:ascii="Times New Roman" w:hAnsi="Times New Roman" w:cs="Times New Roman"/>
            <w:sz w:val="20"/>
            <w:szCs w:val="20"/>
          </w:rPr>
        </w:pPr>
        <w:r w:rsidRPr="00697C77">
          <w:rPr>
            <w:rFonts w:ascii="Times New Roman" w:hAnsi="Times New Roman" w:cs="Times New Roman"/>
            <w:sz w:val="20"/>
            <w:szCs w:val="20"/>
          </w:rPr>
          <w:fldChar w:fldCharType="begin"/>
        </w:r>
        <w:r w:rsidRPr="00697C77">
          <w:rPr>
            <w:rFonts w:ascii="Times New Roman" w:hAnsi="Times New Roman" w:cs="Times New Roman"/>
            <w:sz w:val="20"/>
            <w:szCs w:val="20"/>
          </w:rPr>
          <w:instrText xml:space="preserve"> PAGE   \* MERGEFORMAT </w:instrText>
        </w:r>
        <w:r w:rsidRPr="00697C77">
          <w:rPr>
            <w:rFonts w:ascii="Times New Roman" w:hAnsi="Times New Roman" w:cs="Times New Roman"/>
            <w:sz w:val="20"/>
            <w:szCs w:val="20"/>
          </w:rPr>
          <w:fldChar w:fldCharType="separate"/>
        </w:r>
        <w:r w:rsidR="00686C3F">
          <w:rPr>
            <w:rFonts w:ascii="Times New Roman" w:hAnsi="Times New Roman" w:cs="Times New Roman"/>
            <w:noProof/>
            <w:sz w:val="20"/>
            <w:szCs w:val="20"/>
          </w:rPr>
          <w:t>111</w:t>
        </w:r>
        <w:r w:rsidRPr="00697C77">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350" w14:textId="77777777" w:rsidR="00DE4CF4" w:rsidRPr="00830D8C" w:rsidRDefault="00DE4CF4" w:rsidP="00A31C8B">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59428"/>
      <w:docPartObj>
        <w:docPartGallery w:val="Page Numbers (Bottom of Page)"/>
        <w:docPartUnique/>
      </w:docPartObj>
    </w:sdtPr>
    <w:sdtEndPr>
      <w:rPr>
        <w:rFonts w:ascii="Times New Roman" w:hAnsi="Times New Roman" w:cs="Times New Roman"/>
        <w:noProof/>
        <w:sz w:val="20"/>
        <w:szCs w:val="20"/>
      </w:rPr>
    </w:sdtEndPr>
    <w:sdtContent>
      <w:p w14:paraId="59B180D7" w14:textId="77777777" w:rsidR="00DE4CF4" w:rsidRPr="00ED3261" w:rsidRDefault="00DE4CF4">
        <w:pPr>
          <w:pStyle w:val="Footer"/>
          <w:jc w:val="center"/>
          <w:rPr>
            <w:rFonts w:ascii="Times New Roman" w:hAnsi="Times New Roman" w:cs="Times New Roman"/>
            <w:sz w:val="20"/>
            <w:szCs w:val="20"/>
          </w:rPr>
        </w:pPr>
        <w:r w:rsidRPr="00ED3261">
          <w:rPr>
            <w:rFonts w:ascii="Times New Roman" w:hAnsi="Times New Roman" w:cs="Times New Roman"/>
            <w:sz w:val="20"/>
            <w:szCs w:val="20"/>
          </w:rPr>
          <w:fldChar w:fldCharType="begin"/>
        </w:r>
        <w:r w:rsidRPr="00ED3261">
          <w:rPr>
            <w:rFonts w:ascii="Times New Roman" w:hAnsi="Times New Roman" w:cs="Times New Roman"/>
            <w:sz w:val="20"/>
            <w:szCs w:val="20"/>
          </w:rPr>
          <w:instrText xml:space="preserve"> PAGE   \* MERGEFORMAT </w:instrText>
        </w:r>
        <w:r w:rsidRPr="00ED3261">
          <w:rPr>
            <w:rFonts w:ascii="Times New Roman" w:hAnsi="Times New Roman" w:cs="Times New Roman"/>
            <w:sz w:val="20"/>
            <w:szCs w:val="20"/>
          </w:rPr>
          <w:fldChar w:fldCharType="separate"/>
        </w:r>
        <w:r w:rsidR="00686C3F">
          <w:rPr>
            <w:rFonts w:ascii="Times New Roman" w:hAnsi="Times New Roman" w:cs="Times New Roman"/>
            <w:noProof/>
            <w:sz w:val="20"/>
            <w:szCs w:val="20"/>
          </w:rPr>
          <w:t>130</w:t>
        </w:r>
        <w:r w:rsidRPr="00ED3261">
          <w:rPr>
            <w:rFonts w:ascii="Times New Roman" w:hAnsi="Times New Roman" w:cs="Times New Roman"/>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C390" w14:textId="77777777" w:rsidR="00DE4CF4" w:rsidRDefault="00DE4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66AEA" w14:textId="77777777" w:rsidR="00DE4CF4" w:rsidRDefault="00DE4C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1564" w14:textId="77777777" w:rsidR="00DE4CF4" w:rsidRPr="004B3F60" w:rsidRDefault="00DE4CF4" w:rsidP="001571EF">
    <w:pPr>
      <w:pStyle w:val="Footer"/>
      <w:jc w:val="center"/>
    </w:pPr>
    <w:r w:rsidRPr="004B3F60">
      <w:rPr>
        <w:sz w:val="20"/>
      </w:rPr>
      <w:fldChar w:fldCharType="begin"/>
    </w:r>
    <w:r w:rsidRPr="004B3F60">
      <w:rPr>
        <w:sz w:val="20"/>
      </w:rPr>
      <w:instrText xml:space="preserve"> PAGE   \* MERGEFORMAT </w:instrText>
    </w:r>
    <w:r w:rsidRPr="004B3F60">
      <w:rPr>
        <w:sz w:val="20"/>
      </w:rPr>
      <w:fldChar w:fldCharType="separate"/>
    </w:r>
    <w:r w:rsidR="00686C3F">
      <w:rPr>
        <w:noProof/>
        <w:sz w:val="20"/>
      </w:rPr>
      <w:t>119</w:t>
    </w:r>
    <w:r w:rsidRPr="004B3F6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AB5E" w14:textId="77777777" w:rsidR="00DE4CF4" w:rsidRDefault="00DE4CF4" w:rsidP="00796A92">
      <w:pPr>
        <w:spacing w:after="0" w:line="240" w:lineRule="auto"/>
      </w:pPr>
      <w:r>
        <w:separator/>
      </w:r>
    </w:p>
  </w:footnote>
  <w:footnote w:type="continuationSeparator" w:id="0">
    <w:p w14:paraId="0452E444" w14:textId="77777777" w:rsidR="00DE4CF4" w:rsidRDefault="00DE4CF4" w:rsidP="00796A92">
      <w:pPr>
        <w:spacing w:after="0" w:line="240" w:lineRule="auto"/>
      </w:pPr>
      <w:r>
        <w:continuationSeparator/>
      </w:r>
    </w:p>
  </w:footnote>
  <w:footnote w:id="1">
    <w:p w14:paraId="302BA409" w14:textId="77777777" w:rsidR="00DE4CF4" w:rsidRPr="008E6909" w:rsidRDefault="00DE4CF4">
      <w:pPr>
        <w:pStyle w:val="FootnoteText"/>
        <w:rPr>
          <w:rFonts w:ascii="Times New Roman" w:hAnsi="Times New Roman" w:cs="Times New Roman"/>
          <w:sz w:val="18"/>
          <w:szCs w:val="18"/>
          <w:lang w:val="en-US"/>
        </w:rPr>
      </w:pPr>
      <w:r>
        <w:rPr>
          <w:rStyle w:val="FootnoteReference"/>
        </w:rPr>
        <w:footnoteRef/>
      </w:r>
      <w:r w:rsidRPr="008E6909">
        <w:rPr>
          <w:lang w:val="en-US"/>
        </w:rPr>
        <w:t xml:space="preserve"> </w:t>
      </w:r>
      <w:hyperlink r:id="rId1" w:history="1">
        <w:r w:rsidRPr="00206EBB">
          <w:rPr>
            <w:rStyle w:val="Hyperlink"/>
            <w:rFonts w:ascii="Times New Roman" w:hAnsi="Times New Roman" w:cs="Times New Roman"/>
            <w:sz w:val="18"/>
            <w:szCs w:val="18"/>
            <w:lang w:val="en-US"/>
          </w:rPr>
          <w:t>http://www.unep-aewa.org/en/publication/aewa-conservation-guidelines-no-1-guidelines-preparation-national-single-species-action</w:t>
        </w:r>
      </w:hyperlink>
      <w:r>
        <w:rPr>
          <w:rFonts w:ascii="Times New Roman" w:hAnsi="Times New Roman" w:cs="Times New Roman"/>
          <w:sz w:val="18"/>
          <w:szCs w:val="18"/>
          <w:lang w:val="en-US"/>
        </w:rPr>
        <w:t xml:space="preserve"> </w:t>
      </w:r>
    </w:p>
  </w:footnote>
  <w:footnote w:id="2">
    <w:p w14:paraId="10623000" w14:textId="1373FE4D" w:rsidR="00DE4CF4" w:rsidRPr="007334F4" w:rsidRDefault="00DE4CF4" w:rsidP="007202CA">
      <w:pPr>
        <w:pStyle w:val="FootnoteText"/>
        <w:rPr>
          <w:rFonts w:ascii="Times New Roman" w:hAnsi="Times New Roman" w:cs="Times New Roman"/>
          <w:sz w:val="18"/>
          <w:szCs w:val="18"/>
          <w:lang w:val="fr-FR"/>
        </w:rPr>
      </w:pPr>
      <w:r w:rsidRPr="007334F4">
        <w:rPr>
          <w:rStyle w:val="FootnoteReference"/>
          <w:lang w:val="fr-FR"/>
        </w:rPr>
        <w:footnoteRef/>
      </w:r>
      <w:r w:rsidRPr="007334F4">
        <w:rPr>
          <w:lang w:val="fr-FR"/>
        </w:rPr>
        <w:t xml:space="preserve"> </w:t>
      </w:r>
      <w:r>
        <w:rPr>
          <w:rFonts w:ascii="Times New Roman" w:hAnsi="Times New Roman" w:cs="Times New Roman"/>
          <w:sz w:val="18"/>
          <w:szCs w:val="18"/>
          <w:lang w:val="fr-FR"/>
        </w:rPr>
        <w:t>Le Plan d’action international par espèce de l’AEWA pour la</w:t>
      </w:r>
      <w:r w:rsidRPr="007334F4">
        <w:rPr>
          <w:rFonts w:ascii="Times New Roman" w:hAnsi="Times New Roman" w:cs="Times New Roman"/>
          <w:sz w:val="18"/>
          <w:szCs w:val="18"/>
          <w:lang w:val="fr-FR"/>
        </w:rPr>
        <w:t xml:space="preserve"> </w:t>
      </w:r>
      <w:r>
        <w:rPr>
          <w:rFonts w:ascii="Times New Roman" w:hAnsi="Times New Roman" w:cs="Times New Roman"/>
          <w:sz w:val="18"/>
          <w:szCs w:val="18"/>
          <w:lang w:val="fr-FR"/>
        </w:rPr>
        <w:t>c</w:t>
      </w:r>
      <w:r w:rsidRPr="007334F4">
        <w:rPr>
          <w:rFonts w:ascii="Times New Roman" w:hAnsi="Times New Roman" w:cs="Times New Roman"/>
          <w:sz w:val="18"/>
          <w:szCs w:val="18"/>
          <w:lang w:val="fr-FR"/>
        </w:rPr>
        <w:t xml:space="preserve">onservation </w:t>
      </w:r>
      <w:r>
        <w:rPr>
          <w:rFonts w:ascii="Times New Roman" w:hAnsi="Times New Roman" w:cs="Times New Roman"/>
          <w:sz w:val="18"/>
          <w:szCs w:val="18"/>
          <w:lang w:val="fr-FR"/>
        </w:rPr>
        <w:t>de l’Ibis chauve</w:t>
      </w:r>
      <w:r w:rsidRPr="007334F4">
        <w:rPr>
          <w:rFonts w:ascii="Times New Roman" w:hAnsi="Times New Roman" w:cs="Times New Roman"/>
          <w:sz w:val="18"/>
          <w:szCs w:val="18"/>
          <w:lang w:val="fr-FR"/>
        </w:rPr>
        <w:t xml:space="preserve"> </w:t>
      </w:r>
      <w:r>
        <w:rPr>
          <w:rFonts w:ascii="Times New Roman" w:hAnsi="Times New Roman" w:cs="Times New Roman"/>
          <w:sz w:val="18"/>
          <w:szCs w:val="18"/>
          <w:lang w:val="fr-FR"/>
        </w:rPr>
        <w:t>est disponible</w:t>
      </w:r>
      <w:r w:rsidRPr="007334F4">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sur le site Web de l’AEWA </w:t>
      </w:r>
      <w:r w:rsidRPr="007334F4">
        <w:rPr>
          <w:rFonts w:ascii="Times New Roman" w:hAnsi="Times New Roman" w:cs="Times New Roman"/>
          <w:sz w:val="18"/>
          <w:szCs w:val="18"/>
          <w:lang w:val="fr-FR"/>
        </w:rPr>
        <w:t xml:space="preserve">: </w:t>
      </w:r>
      <w:hyperlink r:id="rId2" w:history="1">
        <w:r w:rsidRPr="007334F4">
          <w:rPr>
            <w:rStyle w:val="Hyperlink"/>
            <w:rFonts w:ascii="Times New Roman" w:hAnsi="Times New Roman" w:cs="Times New Roman"/>
            <w:sz w:val="18"/>
            <w:szCs w:val="18"/>
            <w:lang w:val="fr-FR"/>
          </w:rPr>
          <w:t>http://www.unep-aewa.org/sites/default/files/publication/ts10_ssap_nbi_complete_0.pdf</w:t>
        </w:r>
      </w:hyperlink>
      <w:r w:rsidRPr="007334F4">
        <w:rPr>
          <w:rFonts w:ascii="Times New Roman" w:hAnsi="Times New Roman" w:cs="Times New Roman"/>
          <w:sz w:val="18"/>
          <w:szCs w:val="18"/>
          <w:lang w:val="fr-FR"/>
        </w:rPr>
        <w:t xml:space="preserve">. </w:t>
      </w:r>
    </w:p>
  </w:footnote>
  <w:footnote w:id="3">
    <w:p w14:paraId="5FD44C04" w14:textId="1332EB79" w:rsidR="00DE4CF4" w:rsidRPr="00856FAD" w:rsidRDefault="00DE4CF4" w:rsidP="00F13ED9">
      <w:pPr>
        <w:pStyle w:val="FootnoteText"/>
        <w:rPr>
          <w:rFonts w:ascii="Times New Roman" w:hAnsi="Times New Roman" w:cs="Times New Roman"/>
          <w:sz w:val="18"/>
          <w:szCs w:val="18"/>
          <w:lang w:val="fr-FR"/>
        </w:rPr>
      </w:pPr>
      <w:r w:rsidRPr="007334F4">
        <w:rPr>
          <w:rStyle w:val="FootnoteReference"/>
          <w:rFonts w:ascii="Times New Roman" w:hAnsi="Times New Roman" w:cs="Times New Roman"/>
          <w:sz w:val="18"/>
          <w:szCs w:val="18"/>
          <w:lang w:val="fr-FR"/>
        </w:rPr>
        <w:footnoteRef/>
      </w:r>
      <w:r>
        <w:rPr>
          <w:rFonts w:ascii="Times New Roman" w:hAnsi="Times New Roman" w:cs="Times New Roman"/>
          <w:sz w:val="18"/>
          <w:szCs w:val="18"/>
          <w:lang w:val="fr-FR"/>
        </w:rPr>
        <w:t xml:space="preserve"> Le plan d’action</w:t>
      </w:r>
      <w:r w:rsidRPr="007334F4">
        <w:rPr>
          <w:rFonts w:ascii="Times New Roman" w:hAnsi="Times New Roman" w:cs="Times New Roman"/>
          <w:sz w:val="18"/>
          <w:szCs w:val="18"/>
          <w:lang w:val="fr-FR"/>
        </w:rPr>
        <w:t xml:space="preserve"> </w:t>
      </w:r>
      <w:r>
        <w:rPr>
          <w:rFonts w:ascii="Times New Roman" w:hAnsi="Times New Roman" w:cs="Times New Roman"/>
          <w:sz w:val="18"/>
          <w:szCs w:val="18"/>
          <w:lang w:val="fr-FR"/>
        </w:rPr>
        <w:t>i</w:t>
      </w:r>
      <w:r w:rsidRPr="007334F4">
        <w:rPr>
          <w:rFonts w:ascii="Times New Roman" w:hAnsi="Times New Roman" w:cs="Times New Roman"/>
          <w:sz w:val="18"/>
          <w:szCs w:val="18"/>
          <w:lang w:val="fr-FR"/>
        </w:rPr>
        <w:t xml:space="preserve">nternational </w:t>
      </w:r>
      <w:r>
        <w:rPr>
          <w:rFonts w:ascii="Times New Roman" w:hAnsi="Times New Roman" w:cs="Times New Roman"/>
          <w:sz w:val="18"/>
          <w:szCs w:val="18"/>
          <w:lang w:val="fr-FR"/>
        </w:rPr>
        <w:t>par espèce de l’AEWA pour la</w:t>
      </w:r>
      <w:r w:rsidRPr="007334F4">
        <w:rPr>
          <w:rFonts w:ascii="Times New Roman" w:hAnsi="Times New Roman" w:cs="Times New Roman"/>
          <w:sz w:val="18"/>
          <w:szCs w:val="18"/>
          <w:lang w:val="fr-FR"/>
        </w:rPr>
        <w:t xml:space="preserve"> </w:t>
      </w:r>
      <w:r>
        <w:rPr>
          <w:rFonts w:ascii="Times New Roman" w:hAnsi="Times New Roman" w:cs="Times New Roman"/>
          <w:sz w:val="18"/>
          <w:szCs w:val="18"/>
          <w:lang w:val="fr-FR"/>
        </w:rPr>
        <w:t>c</w:t>
      </w:r>
      <w:r w:rsidRPr="007334F4">
        <w:rPr>
          <w:rFonts w:ascii="Times New Roman" w:hAnsi="Times New Roman" w:cs="Times New Roman"/>
          <w:sz w:val="18"/>
          <w:szCs w:val="18"/>
          <w:lang w:val="fr-FR"/>
        </w:rPr>
        <w:t xml:space="preserve">onservation </w:t>
      </w:r>
      <w:r>
        <w:rPr>
          <w:rFonts w:ascii="Times New Roman" w:hAnsi="Times New Roman" w:cs="Times New Roman"/>
          <w:sz w:val="18"/>
          <w:szCs w:val="18"/>
          <w:lang w:val="fr-FR"/>
        </w:rPr>
        <w:t>du Flamant nain</w:t>
      </w:r>
      <w:r w:rsidRPr="007334F4">
        <w:rPr>
          <w:rFonts w:ascii="Times New Roman" w:hAnsi="Times New Roman" w:cs="Times New Roman"/>
          <w:sz w:val="18"/>
          <w:szCs w:val="18"/>
          <w:lang w:val="fr-FR"/>
        </w:rPr>
        <w:t xml:space="preserve"> </w:t>
      </w:r>
      <w:r>
        <w:rPr>
          <w:rFonts w:ascii="Times New Roman" w:hAnsi="Times New Roman" w:cs="Times New Roman"/>
          <w:sz w:val="18"/>
          <w:szCs w:val="18"/>
          <w:lang w:val="fr-FR"/>
        </w:rPr>
        <w:t>est disponible sur le site de l’AEWA</w:t>
      </w:r>
      <w:r w:rsidRPr="007334F4">
        <w:rPr>
          <w:rFonts w:ascii="Times New Roman" w:hAnsi="Times New Roman" w:cs="Times New Roman"/>
          <w:sz w:val="18"/>
          <w:szCs w:val="18"/>
          <w:lang w:val="fr-FR"/>
        </w:rPr>
        <w:t xml:space="preserve"> : </w:t>
      </w:r>
      <w:hyperlink r:id="rId3" w:history="1">
        <w:r w:rsidRPr="007334F4">
          <w:rPr>
            <w:rStyle w:val="Hyperlink"/>
            <w:rFonts w:ascii="Times New Roman" w:hAnsi="Times New Roman" w:cs="Times New Roman"/>
            <w:sz w:val="18"/>
            <w:szCs w:val="18"/>
            <w:lang w:val="fr-FR"/>
          </w:rPr>
          <w:t>http://www.unep-aewa.org/en/publication/international-single-species-action-plan-conservation-lesser-flamingo</w:t>
        </w:r>
      </w:hyperlink>
      <w:r w:rsidRPr="00856FAD">
        <w:rPr>
          <w:rFonts w:ascii="Times New Roman" w:hAnsi="Times New Roman" w:cs="Times New Roman"/>
          <w:sz w:val="18"/>
          <w:szCs w:val="18"/>
          <w:lang w:val="fr-FR"/>
        </w:rPr>
        <w:t xml:space="preserve">. </w:t>
      </w:r>
    </w:p>
  </w:footnote>
  <w:footnote w:id="4">
    <w:p w14:paraId="763C23E1" w14:textId="35E4437C" w:rsidR="00DE4CF4" w:rsidRPr="00856FAD" w:rsidRDefault="00DE4CF4" w:rsidP="0083784F">
      <w:pPr>
        <w:pStyle w:val="FootnoteText"/>
        <w:rPr>
          <w:rFonts w:ascii="Times New Roman" w:hAnsi="Times New Roman" w:cs="Times New Roman"/>
          <w:sz w:val="18"/>
          <w:szCs w:val="18"/>
          <w:lang w:val="fr-FR"/>
        </w:rPr>
      </w:pPr>
      <w:r w:rsidRPr="00403C55">
        <w:rPr>
          <w:rStyle w:val="FootnoteReference"/>
          <w:rFonts w:ascii="Times New Roman" w:hAnsi="Times New Roman" w:cs="Times New Roman"/>
          <w:sz w:val="18"/>
          <w:szCs w:val="18"/>
          <w:lang w:val="fr-FR"/>
        </w:rPr>
        <w:footnoteRef/>
      </w:r>
      <w:r w:rsidRPr="00403C55">
        <w:rPr>
          <w:rFonts w:ascii="Times New Roman" w:hAnsi="Times New Roman" w:cs="Times New Roman"/>
          <w:sz w:val="18"/>
          <w:szCs w:val="18"/>
          <w:lang w:val="fr-FR"/>
        </w:rPr>
        <w:t xml:space="preserve"> </w:t>
      </w:r>
      <w:r>
        <w:rPr>
          <w:rFonts w:ascii="Times New Roman" w:hAnsi="Times New Roman" w:cs="Times New Roman"/>
          <w:sz w:val="18"/>
          <w:szCs w:val="18"/>
          <w:lang w:val="fr-FR"/>
        </w:rPr>
        <w:t>Le Plan d’action international par espèce de l’AEWA pour la</w:t>
      </w:r>
      <w:r w:rsidRPr="00403C55">
        <w:rPr>
          <w:rFonts w:ascii="Times New Roman" w:hAnsi="Times New Roman" w:cs="Times New Roman"/>
          <w:sz w:val="18"/>
          <w:szCs w:val="18"/>
          <w:lang w:val="fr-FR"/>
        </w:rPr>
        <w:t xml:space="preserve"> </w:t>
      </w:r>
      <w:r>
        <w:rPr>
          <w:rFonts w:ascii="Times New Roman" w:hAnsi="Times New Roman" w:cs="Times New Roman"/>
          <w:sz w:val="18"/>
          <w:szCs w:val="18"/>
          <w:lang w:val="fr-FR"/>
        </w:rPr>
        <w:t>c</w:t>
      </w:r>
      <w:r w:rsidRPr="00403C55">
        <w:rPr>
          <w:rFonts w:ascii="Times New Roman" w:hAnsi="Times New Roman" w:cs="Times New Roman"/>
          <w:sz w:val="18"/>
          <w:szCs w:val="18"/>
          <w:lang w:val="fr-FR"/>
        </w:rPr>
        <w:t xml:space="preserve">onservation </w:t>
      </w:r>
      <w:r>
        <w:rPr>
          <w:rFonts w:ascii="Times New Roman" w:hAnsi="Times New Roman" w:cs="Times New Roman"/>
          <w:sz w:val="18"/>
          <w:szCs w:val="18"/>
          <w:lang w:val="fr-FR"/>
        </w:rPr>
        <w:t>de</w:t>
      </w:r>
      <w:r w:rsidRPr="00403C55">
        <w:rPr>
          <w:rFonts w:ascii="Times New Roman" w:hAnsi="Times New Roman" w:cs="Times New Roman"/>
          <w:sz w:val="18"/>
          <w:szCs w:val="18"/>
          <w:lang w:val="fr-FR"/>
        </w:rPr>
        <w:t xml:space="preserve"> XX population </w:t>
      </w:r>
      <w:r>
        <w:rPr>
          <w:rFonts w:ascii="Times New Roman" w:hAnsi="Times New Roman" w:cs="Times New Roman"/>
          <w:sz w:val="18"/>
          <w:szCs w:val="18"/>
          <w:lang w:val="fr-FR"/>
        </w:rPr>
        <w:t>de cygnes de</w:t>
      </w:r>
      <w:r w:rsidRPr="00403C55">
        <w:rPr>
          <w:rFonts w:ascii="Times New Roman" w:hAnsi="Times New Roman" w:cs="Times New Roman"/>
          <w:sz w:val="18"/>
          <w:szCs w:val="18"/>
          <w:lang w:val="fr-FR"/>
        </w:rPr>
        <w:t xml:space="preserve"> Bewick</w:t>
      </w:r>
      <w:r>
        <w:rPr>
          <w:rFonts w:ascii="Times New Roman" w:hAnsi="Times New Roman" w:cs="Times New Roman"/>
          <w:sz w:val="18"/>
          <w:szCs w:val="18"/>
          <w:lang w:val="fr-FR"/>
        </w:rPr>
        <w:t xml:space="preserve"> est disponible sur le site Web de l’AEWA </w:t>
      </w:r>
      <w:r w:rsidRPr="00403C55">
        <w:rPr>
          <w:rFonts w:ascii="Times New Roman" w:hAnsi="Times New Roman" w:cs="Times New Roman"/>
          <w:sz w:val="18"/>
          <w:szCs w:val="18"/>
          <w:lang w:val="fr-FR"/>
        </w:rPr>
        <w:t xml:space="preserve">: </w:t>
      </w:r>
      <w:hyperlink r:id="rId4" w:history="1">
        <w:r w:rsidRPr="00403C55">
          <w:rPr>
            <w:rStyle w:val="Hyperlink"/>
            <w:rFonts w:ascii="Times New Roman" w:hAnsi="Times New Roman" w:cs="Times New Roman"/>
            <w:sz w:val="18"/>
            <w:szCs w:val="18"/>
            <w:lang w:val="fr-FR"/>
          </w:rPr>
          <w:t>http://www.unep-aewa.org/en/publication/international-single-species-action-plan-conservation-northwest-european-population</w:t>
        </w:r>
      </w:hyperlink>
      <w:r w:rsidRPr="00856FAD">
        <w:rPr>
          <w:rFonts w:ascii="Times New Roman" w:hAnsi="Times New Roman" w:cs="Times New Roman"/>
          <w:sz w:val="18"/>
          <w:szCs w:val="18"/>
          <w:lang w:val="fr-FR"/>
        </w:rPr>
        <w:t xml:space="preserve">. </w:t>
      </w:r>
    </w:p>
  </w:footnote>
  <w:footnote w:id="5">
    <w:p w14:paraId="18AA3172" w14:textId="77777777" w:rsidR="00DE4CF4" w:rsidRPr="00856FAD" w:rsidRDefault="00DE4CF4" w:rsidP="00886A3C">
      <w:pPr>
        <w:pStyle w:val="FootnoteText"/>
        <w:jc w:val="both"/>
        <w:rPr>
          <w:rFonts w:ascii="Times New Roman" w:hAnsi="Times New Roman" w:cs="Times New Roman"/>
          <w:sz w:val="18"/>
          <w:szCs w:val="18"/>
          <w:lang w:val="fr-FR"/>
        </w:rPr>
      </w:pPr>
      <w:r>
        <w:rPr>
          <w:rStyle w:val="FootnoteReference"/>
        </w:rPr>
        <w:footnoteRef/>
      </w:r>
      <w:r w:rsidRPr="00856FAD">
        <w:rPr>
          <w:lang w:val="fr-FR"/>
        </w:rPr>
        <w:t xml:space="preserve"> </w:t>
      </w:r>
      <w:r w:rsidRPr="00DB4159">
        <w:rPr>
          <w:rFonts w:ascii="Times New Roman" w:hAnsi="Times New Roman" w:cs="Times New Roman"/>
          <w:sz w:val="18"/>
          <w:szCs w:val="18"/>
          <w:lang w:val="fr-FR"/>
        </w:rPr>
        <w:t xml:space="preserve">Le </w:t>
      </w:r>
      <w:r>
        <w:rPr>
          <w:rFonts w:ascii="Times New Roman" w:hAnsi="Times New Roman" w:cs="Times New Roman"/>
          <w:sz w:val="18"/>
          <w:szCs w:val="18"/>
          <w:lang w:val="fr-FR"/>
        </w:rPr>
        <w:t>Plan</w:t>
      </w:r>
      <w:r w:rsidRPr="00DB4159">
        <w:rPr>
          <w:rFonts w:ascii="Times New Roman" w:hAnsi="Times New Roman" w:cs="Times New Roman"/>
          <w:sz w:val="18"/>
          <w:szCs w:val="18"/>
          <w:lang w:val="fr-FR"/>
        </w:rPr>
        <w:t xml:space="preserve"> d</w:t>
      </w:r>
      <w:r>
        <w:rPr>
          <w:rFonts w:ascii="Times New Roman" w:hAnsi="Times New Roman" w:cs="Times New Roman"/>
          <w:sz w:val="18"/>
          <w:szCs w:val="18"/>
          <w:lang w:val="fr-FR"/>
        </w:rPr>
        <w:t>e gestion</w:t>
      </w:r>
      <w:r w:rsidRPr="00DB4159">
        <w:rPr>
          <w:rFonts w:ascii="Times New Roman" w:hAnsi="Times New Roman" w:cs="Times New Roman"/>
          <w:sz w:val="18"/>
          <w:szCs w:val="18"/>
          <w:lang w:val="fr-FR"/>
        </w:rPr>
        <w:t xml:space="preserve"> international par espèce de l’AEWA pour l’Oie à bec court est </w:t>
      </w:r>
      <w:r>
        <w:rPr>
          <w:rFonts w:ascii="Times New Roman" w:hAnsi="Times New Roman" w:cs="Times New Roman"/>
          <w:sz w:val="18"/>
          <w:szCs w:val="18"/>
          <w:lang w:val="fr-FR"/>
        </w:rPr>
        <w:t>disponi</w:t>
      </w:r>
      <w:r w:rsidRPr="00DB4159">
        <w:rPr>
          <w:rFonts w:ascii="Times New Roman" w:hAnsi="Times New Roman" w:cs="Times New Roman"/>
          <w:sz w:val="18"/>
          <w:szCs w:val="18"/>
          <w:lang w:val="fr-FR"/>
        </w:rPr>
        <w:t>ble sur le site Web de l’AEWA :</w:t>
      </w:r>
      <w:r w:rsidRPr="00856FAD">
        <w:rPr>
          <w:rFonts w:ascii="Times New Roman" w:hAnsi="Times New Roman" w:cs="Times New Roman"/>
          <w:sz w:val="18"/>
          <w:szCs w:val="18"/>
          <w:lang w:val="fr-FR"/>
        </w:rPr>
        <w:t xml:space="preserve"> </w:t>
      </w:r>
      <w:hyperlink r:id="rId5" w:history="1">
        <w:r w:rsidRPr="00856FAD">
          <w:rPr>
            <w:rStyle w:val="Hyperlink"/>
            <w:rFonts w:ascii="Times New Roman" w:hAnsi="Times New Roman" w:cs="Times New Roman"/>
            <w:sz w:val="18"/>
            <w:szCs w:val="18"/>
            <w:lang w:val="fr-FR"/>
          </w:rPr>
          <w:t>http://www.unep-aewa.org/en/publication/international-species-management-plan-svalbard-population-pink-footed-goose-0</w:t>
        </w:r>
      </w:hyperlink>
      <w:r w:rsidRPr="00856FAD">
        <w:rPr>
          <w:rFonts w:ascii="Times New Roman" w:hAnsi="Times New Roman" w:cs="Times New Roman"/>
          <w:sz w:val="18"/>
          <w:szCs w:val="18"/>
          <w:lang w:val="fr-FR"/>
        </w:rPr>
        <w:t xml:space="preserve">. </w:t>
      </w:r>
    </w:p>
  </w:footnote>
  <w:footnote w:id="6">
    <w:p w14:paraId="54379BA9" w14:textId="77777777" w:rsidR="00DE4CF4" w:rsidRPr="00856FAD" w:rsidRDefault="00DE4CF4" w:rsidP="00886A3C">
      <w:pPr>
        <w:pStyle w:val="FootnoteText"/>
        <w:rPr>
          <w:rFonts w:ascii="Times New Roman" w:hAnsi="Times New Roman" w:cs="Times New Roman"/>
          <w:sz w:val="18"/>
          <w:szCs w:val="18"/>
          <w:lang w:val="fr-FR"/>
        </w:rPr>
      </w:pPr>
      <w:r>
        <w:rPr>
          <w:rStyle w:val="FootnoteReference"/>
        </w:rPr>
        <w:footnoteRef/>
      </w:r>
      <w:r w:rsidRPr="00856FAD">
        <w:rPr>
          <w:lang w:val="fr-FR"/>
        </w:rPr>
        <w:t xml:space="preserve"> </w:t>
      </w:r>
      <w:r w:rsidRPr="00DB4159">
        <w:rPr>
          <w:rFonts w:ascii="Times New Roman" w:hAnsi="Times New Roman" w:cs="Times New Roman"/>
          <w:sz w:val="18"/>
          <w:szCs w:val="18"/>
          <w:lang w:val="fr-FR"/>
        </w:rPr>
        <w:t xml:space="preserve">Le </w:t>
      </w:r>
      <w:r>
        <w:rPr>
          <w:rFonts w:ascii="Times New Roman" w:hAnsi="Times New Roman" w:cs="Times New Roman"/>
          <w:sz w:val="18"/>
          <w:szCs w:val="18"/>
          <w:lang w:val="fr-FR"/>
        </w:rPr>
        <w:t>Plan</w:t>
      </w:r>
      <w:r w:rsidRPr="00DB4159">
        <w:rPr>
          <w:rFonts w:ascii="Times New Roman" w:hAnsi="Times New Roman" w:cs="Times New Roman"/>
          <w:sz w:val="18"/>
          <w:szCs w:val="18"/>
          <w:lang w:val="fr-FR"/>
        </w:rPr>
        <w:t xml:space="preserve"> d’action international par espèce de l’AEWA pour la conservation de Oie rieuse du Groenland est disponible sur le site Web de l’AEWA :</w:t>
      </w:r>
      <w:r w:rsidRPr="00856FAD">
        <w:rPr>
          <w:rFonts w:ascii="Times New Roman" w:hAnsi="Times New Roman" w:cs="Times New Roman"/>
          <w:sz w:val="18"/>
          <w:szCs w:val="18"/>
          <w:lang w:val="fr-FR"/>
        </w:rPr>
        <w:t xml:space="preserve"> </w:t>
      </w:r>
      <w:hyperlink r:id="rId6" w:history="1">
        <w:r w:rsidRPr="00856FAD">
          <w:rPr>
            <w:rStyle w:val="Hyperlink"/>
            <w:rFonts w:ascii="Times New Roman" w:hAnsi="Times New Roman" w:cs="Times New Roman"/>
            <w:sz w:val="18"/>
            <w:szCs w:val="18"/>
            <w:lang w:val="fr-FR"/>
          </w:rPr>
          <w:t>http://www.unep-aewa.org/en/publication/international-single-species-action-plan-conservation-greenland-white-fronted-goose</w:t>
        </w:r>
      </w:hyperlink>
      <w:r w:rsidRPr="00856FAD">
        <w:rPr>
          <w:rFonts w:ascii="Times New Roman" w:hAnsi="Times New Roman" w:cs="Times New Roman"/>
          <w:sz w:val="18"/>
          <w:szCs w:val="18"/>
          <w:lang w:val="fr-FR"/>
        </w:rPr>
        <w:t xml:space="preserve">. </w:t>
      </w:r>
    </w:p>
  </w:footnote>
  <w:footnote w:id="7">
    <w:p w14:paraId="745B738A" w14:textId="77777777" w:rsidR="00DE4CF4" w:rsidRPr="00856FAD" w:rsidRDefault="00DE4CF4" w:rsidP="00886A3C">
      <w:pPr>
        <w:pStyle w:val="FootnoteText"/>
        <w:jc w:val="both"/>
        <w:rPr>
          <w:rFonts w:ascii="Times New Roman" w:hAnsi="Times New Roman" w:cs="Times New Roman"/>
          <w:sz w:val="18"/>
          <w:szCs w:val="18"/>
          <w:lang w:val="fr-FR"/>
        </w:rPr>
      </w:pPr>
      <w:r>
        <w:rPr>
          <w:rStyle w:val="FootnoteReference"/>
        </w:rPr>
        <w:footnoteRef/>
      </w:r>
      <w:r w:rsidRPr="00856FAD">
        <w:rPr>
          <w:lang w:val="fr-FR"/>
        </w:rPr>
        <w:t xml:space="preserve"> </w:t>
      </w:r>
      <w:r w:rsidRPr="00DB4159">
        <w:rPr>
          <w:rFonts w:ascii="Times New Roman" w:hAnsi="Times New Roman" w:cs="Times New Roman"/>
          <w:sz w:val="18"/>
          <w:szCs w:val="18"/>
          <w:lang w:val="fr-FR"/>
        </w:rPr>
        <w:t xml:space="preserve">Le </w:t>
      </w:r>
      <w:r>
        <w:rPr>
          <w:rFonts w:ascii="Times New Roman" w:hAnsi="Times New Roman" w:cs="Times New Roman"/>
          <w:sz w:val="18"/>
          <w:szCs w:val="18"/>
          <w:lang w:val="fr-FR"/>
        </w:rPr>
        <w:t>Plan</w:t>
      </w:r>
      <w:r w:rsidRPr="00DB4159">
        <w:rPr>
          <w:rFonts w:ascii="Times New Roman" w:hAnsi="Times New Roman" w:cs="Times New Roman"/>
          <w:sz w:val="18"/>
          <w:szCs w:val="18"/>
          <w:lang w:val="fr-FR"/>
        </w:rPr>
        <w:t xml:space="preserve"> d’action international par espèce de l’AEWA pour la conservation de l'Oie naine est disponible en anglais et en russe sur le site Web de l’AEWA :</w:t>
      </w:r>
      <w:r w:rsidRPr="00856FAD">
        <w:rPr>
          <w:rFonts w:ascii="Times New Roman" w:hAnsi="Times New Roman" w:cs="Times New Roman"/>
          <w:sz w:val="18"/>
          <w:szCs w:val="18"/>
          <w:lang w:val="fr-FR"/>
        </w:rPr>
        <w:t xml:space="preserve"> </w:t>
      </w:r>
      <w:hyperlink r:id="rId7" w:history="1">
        <w:r w:rsidRPr="00856FAD">
          <w:rPr>
            <w:rStyle w:val="Hyperlink"/>
            <w:rFonts w:ascii="Times New Roman" w:hAnsi="Times New Roman" w:cs="Times New Roman"/>
            <w:sz w:val="18"/>
            <w:szCs w:val="18"/>
            <w:lang w:val="fr-FR"/>
          </w:rPr>
          <w:t>http://www.unep-aewa.org/en/publication/international-single-species-action-plan-conservation-lesser-white-fronted-goose-western</w:t>
        </w:r>
      </w:hyperlink>
      <w:r w:rsidRPr="00856FAD">
        <w:rPr>
          <w:rFonts w:ascii="Times New Roman" w:hAnsi="Times New Roman" w:cs="Times New Roman"/>
          <w:sz w:val="18"/>
          <w:szCs w:val="18"/>
          <w:lang w:val="fr-FR"/>
        </w:rPr>
        <w:t xml:space="preserve">. </w:t>
      </w:r>
    </w:p>
  </w:footnote>
  <w:footnote w:id="8">
    <w:p w14:paraId="736C6A78" w14:textId="77777777" w:rsidR="00DE4CF4" w:rsidRPr="00856FAD" w:rsidRDefault="00DE4CF4" w:rsidP="00886A3C">
      <w:pPr>
        <w:pStyle w:val="FootnoteText"/>
        <w:rPr>
          <w:rFonts w:ascii="Times New Roman" w:hAnsi="Times New Roman" w:cs="Times New Roman"/>
          <w:sz w:val="18"/>
          <w:szCs w:val="18"/>
          <w:lang w:val="fr-FR"/>
        </w:rPr>
      </w:pPr>
      <w:r>
        <w:rPr>
          <w:rStyle w:val="FootnoteReference"/>
        </w:rPr>
        <w:footnoteRef/>
      </w:r>
      <w:r w:rsidRPr="00856FAD">
        <w:rPr>
          <w:lang w:val="fr-FR"/>
        </w:rPr>
        <w:t xml:space="preserve"> </w:t>
      </w:r>
      <w:r w:rsidRPr="001C227C">
        <w:rPr>
          <w:rFonts w:ascii="Times New Roman" w:hAnsi="Times New Roman" w:cs="Times New Roman"/>
          <w:sz w:val="18"/>
          <w:szCs w:val="18"/>
          <w:lang w:val="fr-FR"/>
        </w:rPr>
        <w:t xml:space="preserve">Le </w:t>
      </w:r>
      <w:r>
        <w:rPr>
          <w:rFonts w:ascii="Times New Roman" w:hAnsi="Times New Roman" w:cs="Times New Roman"/>
          <w:sz w:val="18"/>
          <w:szCs w:val="18"/>
          <w:lang w:val="fr-FR"/>
        </w:rPr>
        <w:t>Plan</w:t>
      </w:r>
      <w:r w:rsidRPr="001C227C">
        <w:rPr>
          <w:rFonts w:ascii="Times New Roman" w:hAnsi="Times New Roman" w:cs="Times New Roman"/>
          <w:sz w:val="18"/>
          <w:szCs w:val="18"/>
          <w:lang w:val="fr-FR"/>
        </w:rPr>
        <w:t xml:space="preserve"> d’action international par espèce de l’AEWA pour la conservation de la Bernache à cou roux est disponible sur le site Web de l’AEWA :</w:t>
      </w:r>
      <w:r w:rsidRPr="00856FAD">
        <w:rPr>
          <w:rFonts w:ascii="Times New Roman" w:hAnsi="Times New Roman" w:cs="Times New Roman"/>
          <w:sz w:val="18"/>
          <w:szCs w:val="18"/>
          <w:lang w:val="fr-FR"/>
        </w:rPr>
        <w:t xml:space="preserve"> </w:t>
      </w:r>
      <w:hyperlink r:id="rId8" w:history="1">
        <w:r w:rsidRPr="00856FAD">
          <w:rPr>
            <w:rStyle w:val="Hyperlink"/>
            <w:rFonts w:ascii="Times New Roman" w:hAnsi="Times New Roman" w:cs="Times New Roman"/>
            <w:sz w:val="18"/>
            <w:szCs w:val="18"/>
            <w:lang w:val="fr-FR"/>
          </w:rPr>
          <w:t>http://www.unep-aewa.org/en/publication/international-single-species-action-plan-conservation-red-breasted-goose</w:t>
        </w:r>
      </w:hyperlink>
      <w:r w:rsidRPr="00856FAD">
        <w:rPr>
          <w:rFonts w:ascii="Times New Roman" w:hAnsi="Times New Roman" w:cs="Times New Roman"/>
          <w:sz w:val="18"/>
          <w:szCs w:val="18"/>
          <w:lang w:val="fr-FR"/>
        </w:rPr>
        <w:t xml:space="preserve">. </w:t>
      </w:r>
    </w:p>
  </w:footnote>
  <w:footnote w:id="9">
    <w:p w14:paraId="213D68D1" w14:textId="77777777" w:rsidR="00DE4CF4" w:rsidRPr="00856FAD" w:rsidRDefault="00DE4CF4" w:rsidP="00886A3C">
      <w:pPr>
        <w:pStyle w:val="FootnoteText"/>
        <w:rPr>
          <w:rFonts w:ascii="Times New Roman" w:hAnsi="Times New Roman" w:cs="Times New Roman"/>
          <w:sz w:val="18"/>
          <w:szCs w:val="18"/>
          <w:lang w:val="fr-FR"/>
        </w:rPr>
      </w:pPr>
      <w:r>
        <w:rPr>
          <w:rStyle w:val="FootnoteReference"/>
        </w:rPr>
        <w:footnoteRef/>
      </w:r>
      <w:r w:rsidRPr="00856FAD">
        <w:rPr>
          <w:lang w:val="fr-FR"/>
        </w:rPr>
        <w:t xml:space="preserve"> </w:t>
      </w:r>
      <w:r w:rsidRPr="001C227C">
        <w:rPr>
          <w:rFonts w:ascii="Times New Roman" w:hAnsi="Times New Roman" w:cs="Times New Roman"/>
          <w:sz w:val="18"/>
          <w:szCs w:val="18"/>
          <w:lang w:val="fr-FR"/>
        </w:rPr>
        <w:t xml:space="preserve">Le </w:t>
      </w:r>
      <w:r>
        <w:rPr>
          <w:rFonts w:ascii="Times New Roman" w:hAnsi="Times New Roman" w:cs="Times New Roman"/>
          <w:sz w:val="18"/>
          <w:szCs w:val="18"/>
          <w:lang w:val="fr-FR"/>
        </w:rPr>
        <w:t>Plan</w:t>
      </w:r>
      <w:r w:rsidRPr="001C227C">
        <w:rPr>
          <w:rFonts w:ascii="Times New Roman" w:hAnsi="Times New Roman" w:cs="Times New Roman"/>
          <w:sz w:val="18"/>
          <w:szCs w:val="18"/>
          <w:lang w:val="fr-FR"/>
        </w:rPr>
        <w:t xml:space="preserve"> d’action international par espèce de l’AEWA pour la conservation du Vanneau sociable est disponible sur le site Web de l’AEWA :</w:t>
      </w:r>
      <w:r w:rsidRPr="00856FAD">
        <w:rPr>
          <w:rFonts w:ascii="Times New Roman" w:hAnsi="Times New Roman" w:cs="Times New Roman"/>
          <w:sz w:val="18"/>
          <w:szCs w:val="18"/>
          <w:lang w:val="fr-FR"/>
        </w:rPr>
        <w:t xml:space="preserve"> </w:t>
      </w:r>
      <w:hyperlink r:id="rId9" w:history="1">
        <w:r w:rsidRPr="00856FAD">
          <w:rPr>
            <w:rStyle w:val="Hyperlink"/>
            <w:rFonts w:ascii="Times New Roman" w:hAnsi="Times New Roman" w:cs="Times New Roman"/>
            <w:sz w:val="18"/>
            <w:szCs w:val="18"/>
            <w:lang w:val="fr-FR"/>
          </w:rPr>
          <w:t>http://www.unep-aewa.org/en/publication/international-single-species-action-plan-conservation-sociable-lapwing-new-version</w:t>
        </w:r>
      </w:hyperlink>
      <w:r w:rsidRPr="00856FAD">
        <w:rPr>
          <w:rFonts w:ascii="Times New Roman" w:hAnsi="Times New Roman" w:cs="Times New Roman"/>
          <w:sz w:val="18"/>
          <w:szCs w:val="18"/>
          <w:lang w:val="fr-FR"/>
        </w:rPr>
        <w:t xml:space="preserve">. </w:t>
      </w:r>
    </w:p>
  </w:footnote>
  <w:footnote w:id="10">
    <w:p w14:paraId="4BEAF111" w14:textId="77777777" w:rsidR="00DE4CF4" w:rsidRPr="00856FAD" w:rsidRDefault="00DE4CF4" w:rsidP="00886A3C">
      <w:pPr>
        <w:pStyle w:val="FootnoteText"/>
        <w:rPr>
          <w:rFonts w:ascii="Arial" w:hAnsi="Arial" w:cs="Arial"/>
          <w:lang w:val="fr-FR"/>
        </w:rPr>
      </w:pPr>
      <w:r>
        <w:rPr>
          <w:rStyle w:val="FootnoteReference"/>
        </w:rPr>
        <w:footnoteRef/>
      </w:r>
      <w:r w:rsidRPr="00856FAD">
        <w:rPr>
          <w:lang w:val="fr-FR"/>
        </w:rPr>
        <w:t xml:space="preserve"> </w:t>
      </w:r>
      <w:r w:rsidRPr="001C227C">
        <w:rPr>
          <w:rFonts w:ascii="Arial" w:hAnsi="Arial" w:cs="Arial"/>
          <w:lang w:val="fr-FR"/>
        </w:rPr>
        <w:t>http://www.unep-aewa.org/en/publication/aewa-conservation-guidelines-no-1-guidelines-preparation-national-single-species-action</w:t>
      </w:r>
    </w:p>
  </w:footnote>
  <w:footnote w:id="11">
    <w:p w14:paraId="0F2EFC89" w14:textId="77777777" w:rsidR="00DE4CF4" w:rsidRPr="00856FAD" w:rsidRDefault="00DE4CF4" w:rsidP="00886A3C">
      <w:pPr>
        <w:pStyle w:val="FootnoteText"/>
        <w:jc w:val="both"/>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1C227C">
        <w:rPr>
          <w:rFonts w:ascii="Times New Roman" w:hAnsi="Times New Roman" w:cs="Times New Roman"/>
          <w:lang w:val="fr-FR"/>
        </w:rPr>
        <w:t xml:space="preserve">L’Étude de 2008 sur le stade de préparation et de mise en œuvre des plans d’action par espèce recommandait la finalisation du </w:t>
      </w:r>
      <w:r>
        <w:rPr>
          <w:rFonts w:ascii="Times New Roman" w:hAnsi="Times New Roman" w:cs="Times New Roman"/>
          <w:lang w:val="fr-FR"/>
        </w:rPr>
        <w:t>plan</w:t>
      </w:r>
      <w:r w:rsidRPr="001C227C">
        <w:rPr>
          <w:rFonts w:ascii="Times New Roman" w:hAnsi="Times New Roman" w:cs="Times New Roman"/>
          <w:lang w:val="fr-FR"/>
        </w:rPr>
        <w:t xml:space="preserve"> d’action dans le cadre du MdE de la CMS pour le Courlis à bec grêle, mais le groupe de travail sur cette espèce a décidé lors de sa réunion de 2009 de ne pas s’embarquer dans la finalisation du plan d'action sans que cette espèce soit observée à nouveau (les dernièr</w:t>
      </w:r>
      <w:r>
        <w:rPr>
          <w:rFonts w:ascii="Times New Roman" w:hAnsi="Times New Roman" w:cs="Times New Roman"/>
          <w:lang w:val="fr-FR"/>
        </w:rPr>
        <w:t>e</w:t>
      </w:r>
      <w:r w:rsidRPr="001C227C">
        <w:rPr>
          <w:rFonts w:ascii="Times New Roman" w:hAnsi="Times New Roman" w:cs="Times New Roman"/>
          <w:lang w:val="fr-FR"/>
        </w:rPr>
        <w:t>s observations documentées datant de la fin des années 1990).</w:t>
      </w:r>
    </w:p>
  </w:footnote>
  <w:footnote w:id="12">
    <w:p w14:paraId="189AC1B4"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1C227C">
        <w:rPr>
          <w:rFonts w:ascii="Times New Roman" w:hAnsi="Times New Roman" w:cs="Times New Roman"/>
          <w:lang w:val="fr-FR"/>
        </w:rPr>
        <w:t xml:space="preserve">Passée dans la catégorie En danger après la MOP5, et donc ne figurant pas dans la catégorie 1b de la colonne A ; la Résolution 5.6 exhorte les Parties à soutenir l’élaboration d’un SSAP pour </w:t>
      </w:r>
      <w:r w:rsidRPr="001C227C">
        <w:rPr>
          <w:rFonts w:ascii="Times New Roman" w:hAnsi="Times New Roman" w:cs="Times New Roman"/>
          <w:i/>
          <w:lang w:val="fr-FR"/>
        </w:rPr>
        <w:t>Melanitta fusca</w:t>
      </w:r>
      <w:r w:rsidRPr="001C227C">
        <w:rPr>
          <w:rFonts w:ascii="Times New Roman" w:hAnsi="Times New Roman" w:cs="Times New Roman"/>
          <w:lang w:val="fr-FR"/>
        </w:rPr>
        <w:t>.</w:t>
      </w:r>
      <w:r w:rsidRPr="00856FAD">
        <w:rPr>
          <w:rFonts w:ascii="Times New Roman" w:hAnsi="Times New Roman" w:cs="Times New Roman"/>
          <w:lang w:val="fr-FR"/>
        </w:rPr>
        <w:t xml:space="preserve"> </w:t>
      </w:r>
      <w:r w:rsidRPr="001C227C">
        <w:rPr>
          <w:rFonts w:ascii="Times New Roman" w:hAnsi="Times New Roman" w:cs="Times New Roman"/>
          <w:lang w:val="fr-FR"/>
        </w:rPr>
        <w:t>Il existe un plan de gestion 2007-2009 de l’UE pour l’espèce.</w:t>
      </w:r>
    </w:p>
  </w:footnote>
  <w:footnote w:id="13">
    <w:p w14:paraId="0405D722" w14:textId="77777777" w:rsidR="00DE4CF4" w:rsidRPr="00856FAD" w:rsidRDefault="00DE4CF4" w:rsidP="00886A3C">
      <w:pPr>
        <w:pStyle w:val="FootnoteText"/>
        <w:rPr>
          <w:rFonts w:ascii="Times New Roman" w:hAnsi="Times New Roman" w:cs="Times New Roman"/>
          <w:lang w:val="fr-FR"/>
        </w:rPr>
      </w:pPr>
      <w:r w:rsidRPr="00ED3261">
        <w:rPr>
          <w:rStyle w:val="FootnoteReference"/>
          <w:rFonts w:ascii="Times New Roman" w:hAnsi="Times New Roman" w:cs="Times New Roman"/>
        </w:rPr>
        <w:footnoteRef/>
      </w:r>
      <w:r w:rsidRPr="00856FAD">
        <w:rPr>
          <w:rFonts w:ascii="Times New Roman" w:hAnsi="Times New Roman" w:cs="Times New Roman"/>
          <w:lang w:val="fr-FR"/>
        </w:rPr>
        <w:t xml:space="preserve"> </w:t>
      </w:r>
      <w:r>
        <w:rPr>
          <w:rFonts w:ascii="Times New Roman" w:hAnsi="Times New Roman" w:cs="Times New Roman"/>
          <w:lang w:val="fr-FR"/>
        </w:rPr>
        <w:t>Plan</w:t>
      </w:r>
      <w:r w:rsidRPr="00D16066">
        <w:rPr>
          <w:rFonts w:ascii="Times New Roman" w:hAnsi="Times New Roman" w:cs="Times New Roman"/>
          <w:lang w:val="fr-FR"/>
        </w:rPr>
        <w:t xml:space="preserve"> d'action de l’UE pour l’espèce de 2001 ; Stratégie de conservation et plan d'action de l’Eider circumpolaire de la CAFF, 1997.</w:t>
      </w:r>
    </w:p>
  </w:footnote>
  <w:footnote w:id="14">
    <w:p w14:paraId="6F1AE46D" w14:textId="77777777" w:rsidR="00DE4CF4" w:rsidRPr="00856FAD" w:rsidRDefault="00DE4CF4" w:rsidP="00886A3C">
      <w:pPr>
        <w:pStyle w:val="FootnoteText"/>
        <w:jc w:val="both"/>
        <w:rPr>
          <w:rFonts w:ascii="Times New Roman" w:hAnsi="Times New Roman" w:cs="Times New Roman"/>
          <w:lang w:val="fr-FR"/>
        </w:rPr>
      </w:pPr>
      <w:r w:rsidRPr="00ED3261">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Berne, CMS et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1996 ;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2008. L’Étude de 2008 sur le stade de préparation et de mise en œuvre des plans d’action par espèce recommandait la mise à jour/révision du SSAP pour </w:t>
      </w:r>
      <w:r w:rsidRPr="00604D91">
        <w:rPr>
          <w:rFonts w:ascii="Times New Roman" w:hAnsi="Times New Roman" w:cs="Times New Roman"/>
          <w:i/>
          <w:lang w:val="fr-FR"/>
        </w:rPr>
        <w:t>Marmaronetta angustirostris</w:t>
      </w:r>
      <w:r w:rsidRPr="00604D91">
        <w:rPr>
          <w:rFonts w:ascii="Times New Roman" w:hAnsi="Times New Roman" w:cs="Times New Roman"/>
          <w:lang w:val="fr-FR"/>
        </w:rPr>
        <w:t>.</w:t>
      </w:r>
    </w:p>
  </w:footnote>
  <w:footnote w:id="15">
    <w:p w14:paraId="75BA28D3" w14:textId="77777777" w:rsidR="00DE4CF4" w:rsidRPr="00856FAD" w:rsidRDefault="00DE4CF4" w:rsidP="00886A3C">
      <w:pPr>
        <w:pStyle w:val="FootnoteText"/>
        <w:jc w:val="both"/>
        <w:rPr>
          <w:rFonts w:ascii="Times New Roman" w:hAnsi="Times New Roman" w:cs="Times New Roman"/>
          <w:lang w:val="fr-FR"/>
        </w:rPr>
      </w:pPr>
      <w:r w:rsidRPr="00ED3261">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Berne, CMS et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1996. L’Étude de 2008 sur le stade de préparation et de mise en œuvre des plans d’action par espèce recommandait la mise à jour/révision du SSAP pour </w:t>
      </w:r>
      <w:r w:rsidRPr="00604D91">
        <w:rPr>
          <w:rFonts w:ascii="Times New Roman" w:hAnsi="Times New Roman" w:cs="Times New Roman"/>
          <w:i/>
          <w:lang w:val="fr-FR"/>
        </w:rPr>
        <w:t>Pelecanus cripus</w:t>
      </w:r>
      <w:r w:rsidRPr="00604D91">
        <w:rPr>
          <w:rFonts w:ascii="Times New Roman" w:hAnsi="Times New Roman" w:cs="Times New Roman"/>
          <w:lang w:val="fr-FR"/>
        </w:rPr>
        <w:t>.</w:t>
      </w:r>
    </w:p>
  </w:footnote>
  <w:footnote w:id="16">
    <w:p w14:paraId="01BD10FB" w14:textId="77777777" w:rsidR="00DE4CF4" w:rsidRPr="00856FAD" w:rsidRDefault="00DE4CF4" w:rsidP="00886A3C">
      <w:pPr>
        <w:pStyle w:val="FootnoteText"/>
        <w:jc w:val="both"/>
        <w:rPr>
          <w:rFonts w:ascii="Times New Roman" w:hAnsi="Times New Roman" w:cs="Times New Roman"/>
          <w:lang w:val="fr-FR"/>
        </w:rPr>
      </w:pPr>
      <w:r w:rsidRPr="00ED3261">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la Résolution 5.6 exhorte les Parties à soutenir l’élaboration d’un SSAP pour </w:t>
      </w:r>
      <w:r w:rsidRPr="00604D91">
        <w:rPr>
          <w:rFonts w:ascii="Times New Roman" w:hAnsi="Times New Roman" w:cs="Times New Roman"/>
          <w:i/>
          <w:lang w:val="fr-FR"/>
        </w:rPr>
        <w:t>Numenius arquata</w:t>
      </w:r>
      <w:r w:rsidRPr="00604D91">
        <w:rPr>
          <w:rFonts w:ascii="Times New Roman" w:hAnsi="Times New Roman" w:cs="Times New Roman"/>
          <w:lang w:val="fr-FR"/>
        </w:rPr>
        <w:t>.</w:t>
      </w:r>
    </w:p>
  </w:footnote>
  <w:footnote w:id="17">
    <w:p w14:paraId="4D411711"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La Résolution 5.6 exhorte les Parties à soutenir l’élaboration d’un SSAP pour </w:t>
      </w:r>
      <w:r w:rsidRPr="00604D91">
        <w:rPr>
          <w:rFonts w:ascii="Times New Roman" w:hAnsi="Times New Roman" w:cs="Times New Roman"/>
          <w:i/>
          <w:lang w:val="fr-FR"/>
        </w:rPr>
        <w:t>Numenius arquata</w:t>
      </w:r>
      <w:r w:rsidRPr="00604D91">
        <w:rPr>
          <w:rFonts w:ascii="Times New Roman" w:hAnsi="Times New Roman" w:cs="Times New Roman"/>
          <w:lang w:val="fr-FR"/>
        </w:rPr>
        <w:t>.</w:t>
      </w:r>
    </w:p>
  </w:footnote>
  <w:footnote w:id="18">
    <w:p w14:paraId="551ED59F"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Berne, CMS et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1996 ; </w:t>
      </w:r>
      <w:r>
        <w:rPr>
          <w:rFonts w:ascii="Times New Roman" w:hAnsi="Times New Roman" w:cs="Times New Roman"/>
          <w:lang w:val="fr-FR"/>
        </w:rPr>
        <w:t>plan</w:t>
      </w:r>
      <w:r w:rsidRPr="00604D91">
        <w:rPr>
          <w:rFonts w:ascii="Times New Roman" w:hAnsi="Times New Roman" w:cs="Times New Roman"/>
          <w:lang w:val="fr-FR"/>
        </w:rPr>
        <w:t xml:space="preserve"> d'action de la Convention de Barcelone pour les espèces d’oiseaux figurant à l’Annexe II, 2003. L’Étude de 2008 sur le stade de préparation et de mise en œuvre des plans d’action par espèce recommandait la mise à jour/révision du SSAP pour </w:t>
      </w:r>
      <w:r w:rsidRPr="00604D91">
        <w:rPr>
          <w:rFonts w:ascii="Times New Roman" w:hAnsi="Times New Roman" w:cs="Times New Roman"/>
          <w:i/>
          <w:lang w:val="fr-FR"/>
        </w:rPr>
        <w:t>Larus audouinii</w:t>
      </w:r>
      <w:r w:rsidRPr="00604D91">
        <w:rPr>
          <w:rFonts w:ascii="Times New Roman" w:hAnsi="Times New Roman" w:cs="Times New Roman"/>
          <w:lang w:val="fr-FR"/>
        </w:rPr>
        <w:t>.</w:t>
      </w:r>
    </w:p>
  </w:footnote>
  <w:footnote w:id="19">
    <w:p w14:paraId="1AF61B91"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1999.</w:t>
      </w:r>
    </w:p>
  </w:footnote>
  <w:footnote w:id="20">
    <w:p w14:paraId="6E8C453E"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2001.</w:t>
      </w:r>
    </w:p>
  </w:footnote>
  <w:footnote w:id="21">
    <w:p w14:paraId="164944E0"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Pr>
          <w:rFonts w:ascii="Times New Roman" w:hAnsi="Times New Roman" w:cs="Times New Roman"/>
          <w:lang w:val="fr-FR"/>
        </w:rPr>
        <w:t>Plan</w:t>
      </w:r>
      <w:r w:rsidRPr="00604D91">
        <w:rPr>
          <w:rFonts w:ascii="Times New Roman" w:hAnsi="Times New Roman" w:cs="Times New Roman"/>
          <w:lang w:val="fr-FR"/>
        </w:rPr>
        <w:t xml:space="preserve"> d'action de l’UE pour l’espèce de 1999.</w:t>
      </w:r>
    </w:p>
  </w:footnote>
  <w:footnote w:id="22">
    <w:p w14:paraId="13E407D7"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Passée dans la catégorie En danger après la MOP5, et donc ne figurant pas dans la catégorie 1b de la colonne A ; la Résolution 5.6 exhorte les Parties à soutenir l’élaboration d’un SSAP pour </w:t>
      </w:r>
      <w:r w:rsidRPr="00604D91">
        <w:rPr>
          <w:rFonts w:ascii="Times New Roman" w:hAnsi="Times New Roman" w:cs="Times New Roman"/>
          <w:i/>
          <w:lang w:val="fr-FR"/>
        </w:rPr>
        <w:t>Melanitta fusca</w:t>
      </w:r>
      <w:r w:rsidRPr="00604D91">
        <w:rPr>
          <w:rFonts w:ascii="Times New Roman" w:hAnsi="Times New Roman" w:cs="Times New Roman"/>
          <w:lang w:val="fr-FR"/>
        </w:rPr>
        <w:t>.</w:t>
      </w:r>
      <w:r w:rsidRPr="00856FAD">
        <w:rPr>
          <w:rFonts w:ascii="Times New Roman" w:hAnsi="Times New Roman" w:cs="Times New Roman"/>
          <w:lang w:val="fr-FR"/>
        </w:rPr>
        <w:t xml:space="preserve"> </w:t>
      </w:r>
      <w:r w:rsidRPr="00604D91">
        <w:rPr>
          <w:rFonts w:ascii="Times New Roman" w:hAnsi="Times New Roman" w:cs="Times New Roman"/>
          <w:lang w:val="fr-FR"/>
        </w:rPr>
        <w:t>Il existe un plan de gestion 2007-2009 de l’UE pour l’espèce.</w:t>
      </w:r>
    </w:p>
  </w:footnote>
  <w:footnote w:id="23">
    <w:p w14:paraId="2E0D7B01" w14:textId="77777777" w:rsidR="00DE4CF4" w:rsidRPr="00856FAD" w:rsidRDefault="00DE4CF4" w:rsidP="00886A3C">
      <w:pPr>
        <w:pStyle w:val="FootnoteText"/>
        <w:jc w:val="both"/>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Passée dans la catégorie En danger après la MOP5, et donc ne figurant pas dans la catégorie 1b de la colonne A ; la Résolution 5.6 exhorte les Parties à soutenir l’élaboration d’un SSAP pour </w:t>
      </w:r>
      <w:r w:rsidRPr="00604D91">
        <w:rPr>
          <w:rFonts w:ascii="Times New Roman" w:hAnsi="Times New Roman" w:cs="Times New Roman"/>
          <w:i/>
          <w:lang w:val="fr-FR"/>
        </w:rPr>
        <w:t xml:space="preserve">Clangula hyemalis </w:t>
      </w:r>
      <w:r w:rsidRPr="00604D91">
        <w:rPr>
          <w:rFonts w:ascii="Times New Roman" w:hAnsi="Times New Roman" w:cs="Times New Roman"/>
          <w:lang w:val="fr-FR"/>
        </w:rPr>
        <w:t>en priorité par rapport aux autres espèces mentionnées</w:t>
      </w:r>
      <w:r w:rsidRPr="00604D91">
        <w:rPr>
          <w:rFonts w:ascii="Times New Roman" w:hAnsi="Times New Roman" w:cs="Times New Roman"/>
          <w:i/>
          <w:lang w:val="fr-FR"/>
        </w:rPr>
        <w:t xml:space="preserve"> (Melanitta fusca</w:t>
      </w:r>
      <w:r w:rsidRPr="00604D91">
        <w:rPr>
          <w:rFonts w:ascii="Times New Roman" w:hAnsi="Times New Roman" w:cs="Times New Roman"/>
          <w:lang w:val="fr-FR"/>
        </w:rPr>
        <w:t xml:space="preserve"> et </w:t>
      </w:r>
      <w:r w:rsidRPr="00604D91">
        <w:rPr>
          <w:rFonts w:ascii="Times New Roman" w:hAnsi="Times New Roman" w:cs="Times New Roman"/>
          <w:i/>
          <w:lang w:val="fr-FR"/>
        </w:rPr>
        <w:t>Numenius arquata)</w:t>
      </w:r>
      <w:r w:rsidRPr="00604D91">
        <w:rPr>
          <w:rFonts w:ascii="Times New Roman" w:hAnsi="Times New Roman" w:cs="Times New Roman"/>
          <w:lang w:val="fr-FR"/>
        </w:rPr>
        <w:t>.</w:t>
      </w:r>
    </w:p>
  </w:footnote>
  <w:footnote w:id="24">
    <w:p w14:paraId="56349C2B" w14:textId="77777777" w:rsidR="00DE4CF4" w:rsidRPr="00856FAD" w:rsidRDefault="00DE4CF4" w:rsidP="00886A3C">
      <w:pPr>
        <w:pStyle w:val="FootnoteText"/>
        <w:jc w:val="both"/>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Passée dans la catégorie En danger après la MOP5, et donc ne figurant pas dans la catégorie 1b de la colonne A ; la Résolution 5.6 exhorte les Parties à soutenir l’élaboration d’un SSAP pour </w:t>
      </w:r>
      <w:r w:rsidRPr="00604D91">
        <w:rPr>
          <w:rFonts w:ascii="Times New Roman" w:hAnsi="Times New Roman" w:cs="Times New Roman"/>
          <w:i/>
          <w:lang w:val="fr-FR"/>
        </w:rPr>
        <w:t>Clangula hyemalis</w:t>
      </w:r>
      <w:r w:rsidRPr="00604D91">
        <w:rPr>
          <w:rFonts w:ascii="Times New Roman" w:hAnsi="Times New Roman" w:cs="Times New Roman"/>
          <w:lang w:val="fr-FR"/>
        </w:rPr>
        <w:t xml:space="preserve"> en priorité par rapport aux autres espèces mentionnées (</w:t>
      </w:r>
      <w:r w:rsidRPr="00604D91">
        <w:rPr>
          <w:rFonts w:ascii="Times New Roman" w:hAnsi="Times New Roman" w:cs="Times New Roman"/>
          <w:i/>
          <w:lang w:val="fr-FR"/>
        </w:rPr>
        <w:t>Melanitta fusca</w:t>
      </w:r>
      <w:r w:rsidRPr="00604D91">
        <w:rPr>
          <w:rFonts w:ascii="Times New Roman" w:hAnsi="Times New Roman" w:cs="Times New Roman"/>
          <w:lang w:val="fr-FR"/>
        </w:rPr>
        <w:t xml:space="preserve"> et </w:t>
      </w:r>
      <w:r w:rsidRPr="00604D91">
        <w:rPr>
          <w:rFonts w:ascii="Times New Roman" w:hAnsi="Times New Roman" w:cs="Times New Roman"/>
          <w:i/>
          <w:lang w:val="fr-FR"/>
        </w:rPr>
        <w:t>Numenius arquata</w:t>
      </w:r>
      <w:r w:rsidRPr="00604D91">
        <w:rPr>
          <w:rFonts w:ascii="Times New Roman" w:hAnsi="Times New Roman" w:cs="Times New Roman"/>
          <w:lang w:val="fr-FR"/>
        </w:rPr>
        <w:t>).</w:t>
      </w:r>
    </w:p>
  </w:footnote>
  <w:footnote w:id="25">
    <w:p w14:paraId="3B581069" w14:textId="77777777" w:rsidR="00DE4CF4" w:rsidRPr="00856FAD" w:rsidRDefault="00DE4CF4" w:rsidP="00886A3C">
      <w:pPr>
        <w:pStyle w:val="FootnoteText"/>
        <w:rPr>
          <w:rFonts w:ascii="Times New Roman" w:hAnsi="Times New Roman" w:cs="Times New Roman"/>
          <w:lang w:val="fr-FR"/>
        </w:rPr>
      </w:pPr>
      <w:r w:rsidRPr="001571EF">
        <w:rPr>
          <w:rStyle w:val="FootnoteReference"/>
          <w:rFonts w:ascii="Times New Roman" w:hAnsi="Times New Roman" w:cs="Times New Roman"/>
        </w:rPr>
        <w:footnoteRef/>
      </w:r>
      <w:r w:rsidRPr="00856FAD">
        <w:rPr>
          <w:rFonts w:ascii="Times New Roman" w:hAnsi="Times New Roman" w:cs="Times New Roman"/>
          <w:lang w:val="fr-FR"/>
        </w:rPr>
        <w:t xml:space="preserve"> </w:t>
      </w:r>
      <w:r w:rsidRPr="00604D91">
        <w:rPr>
          <w:rFonts w:ascii="Times New Roman" w:hAnsi="Times New Roman" w:cs="Times New Roman"/>
          <w:lang w:val="fr-FR"/>
        </w:rPr>
        <w:t xml:space="preserve">La Résolution 5.6 exhorte les Parties à soutenir l’élaboration d’un SSAP pour </w:t>
      </w:r>
      <w:r w:rsidRPr="00604D91">
        <w:rPr>
          <w:rFonts w:ascii="Times New Roman" w:hAnsi="Times New Roman" w:cs="Times New Roman"/>
          <w:i/>
          <w:lang w:val="fr-FR"/>
        </w:rPr>
        <w:t>Numenius arquata</w:t>
      </w:r>
      <w:r w:rsidRPr="00604D91">
        <w:rPr>
          <w:rFonts w:ascii="Times New Roman" w:hAnsi="Times New Roman" w:cs="Times New Roman"/>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E4CF4" w:rsidRPr="005858BD" w14:paraId="5F081A0D" w14:textId="77777777" w:rsidTr="00B33D52">
      <w:trPr>
        <w:trHeight w:val="1256"/>
      </w:trPr>
      <w:tc>
        <w:tcPr>
          <w:tcW w:w="1985" w:type="dxa"/>
          <w:shd w:val="clear" w:color="auto" w:fill="auto"/>
          <w:tcMar>
            <w:top w:w="0" w:type="dxa"/>
            <w:left w:w="108" w:type="dxa"/>
            <w:bottom w:w="0" w:type="dxa"/>
            <w:right w:w="108" w:type="dxa"/>
          </w:tcMar>
        </w:tcPr>
        <w:p w14:paraId="3D38B77E" w14:textId="77777777" w:rsidR="00DE4CF4" w:rsidRPr="005858BD" w:rsidRDefault="00DE4CF4" w:rsidP="005858BD">
          <w:pPr>
            <w:suppressAutoHyphens/>
            <w:autoSpaceDN w:val="0"/>
            <w:spacing w:after="0" w:line="240" w:lineRule="auto"/>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noProof/>
              <w:sz w:val="24"/>
              <w:szCs w:val="24"/>
              <w:lang w:val="en-US"/>
            </w:rPr>
            <w:drawing>
              <wp:inline distT="0" distB="0" distL="0" distR="0" wp14:anchorId="79DD6041" wp14:editId="3CC2A7B5">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3C84574" w14:textId="2A8BC25C" w:rsidR="00DE4CF4" w:rsidRPr="00A037E7" w:rsidRDefault="00DE4CF4" w:rsidP="005858BD">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A037E7">
            <w:rPr>
              <w:rFonts w:ascii="Times New Roman" w:eastAsia="Times New Roman" w:hAnsi="Times New Roman" w:cs="Times New Roman"/>
              <w:i/>
              <w:caps/>
              <w:lang w:val="fr-FR"/>
            </w:rPr>
            <w:t>ACCORD SUR LA CONSERVATION DES OISEAUX D’EAU MIGRATEURS D’AFRIQUE-EURASIE</w:t>
          </w:r>
        </w:p>
      </w:tc>
      <w:tc>
        <w:tcPr>
          <w:tcW w:w="2409" w:type="dxa"/>
          <w:shd w:val="clear" w:color="auto" w:fill="auto"/>
          <w:tcMar>
            <w:top w:w="0" w:type="dxa"/>
            <w:left w:w="108" w:type="dxa"/>
            <w:bottom w:w="0" w:type="dxa"/>
            <w:right w:w="108" w:type="dxa"/>
          </w:tcMar>
        </w:tcPr>
        <w:p w14:paraId="551D2F9B" w14:textId="2C2732CA" w:rsidR="00DE4CF4" w:rsidRPr="00DE4CF4" w:rsidRDefault="00DE4CF4" w:rsidP="005858BD">
          <w:pPr>
            <w:suppressAutoHyphens/>
            <w:autoSpaceDN w:val="0"/>
            <w:spacing w:after="0" w:line="240" w:lineRule="auto"/>
            <w:jc w:val="right"/>
            <w:textAlignment w:val="baseline"/>
            <w:rPr>
              <w:rFonts w:ascii="Times New Roman" w:eastAsia="Times New Roman" w:hAnsi="Times New Roman" w:cs="Times New Roman"/>
              <w:sz w:val="18"/>
              <w:szCs w:val="18"/>
              <w:lang w:val="fr-FR"/>
            </w:rPr>
          </w:pPr>
          <w:r w:rsidRPr="00DE4CF4">
            <w:rPr>
              <w:rFonts w:ascii="Times New Roman" w:eastAsia="Times New Roman" w:hAnsi="Times New Roman" w:cs="Times New Roman"/>
              <w:i/>
              <w:iCs/>
              <w:sz w:val="18"/>
              <w:szCs w:val="18"/>
              <w:lang w:val="fr-FR"/>
            </w:rPr>
            <w:t xml:space="preserve">Doc: </w:t>
          </w:r>
          <w:r w:rsidRPr="00DE4CF4">
            <w:rPr>
              <w:rFonts w:ascii="Times New Roman" w:eastAsia="Times New Roman" w:hAnsi="Times New Roman" w:cs="Times New Roman"/>
              <w:bCs/>
              <w:i/>
              <w:iCs/>
              <w:sz w:val="18"/>
              <w:szCs w:val="18"/>
              <w:lang w:val="fr-FR"/>
            </w:rPr>
            <w:t>AEWA/MOP 6.16 Rév.1</w:t>
          </w:r>
        </w:p>
        <w:p w14:paraId="61255D36" w14:textId="5C537710" w:rsidR="00DE4CF4" w:rsidRPr="00A037E7" w:rsidRDefault="00DE4CF4" w:rsidP="00A037E7">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A037E7">
            <w:rPr>
              <w:rFonts w:ascii="Times New Roman" w:eastAsia="Times New Roman" w:hAnsi="Times New Roman" w:cs="Times New Roman"/>
              <w:i/>
              <w:iCs/>
              <w:sz w:val="20"/>
              <w:szCs w:val="20"/>
              <w:lang w:val="fr-FR"/>
            </w:rPr>
            <w:t>Point 15 de l’ordre du jour</w:t>
          </w:r>
        </w:p>
        <w:p w14:paraId="0DEA0505" w14:textId="7175CE89" w:rsidR="00DE4CF4" w:rsidRPr="00A037E7" w:rsidRDefault="00DE4CF4" w:rsidP="00A037E7">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A037E7">
            <w:rPr>
              <w:rFonts w:ascii="Times New Roman" w:eastAsia="Times New Roman" w:hAnsi="Times New Roman" w:cs="Times New Roman"/>
              <w:i/>
              <w:iCs/>
              <w:sz w:val="20"/>
              <w:szCs w:val="20"/>
              <w:lang w:val="fr-FR"/>
            </w:rPr>
            <w:t>Original : anglais</w:t>
          </w:r>
        </w:p>
        <w:p w14:paraId="090B9B66" w14:textId="77777777" w:rsidR="00DE4CF4" w:rsidRPr="00A037E7" w:rsidRDefault="00DE4CF4" w:rsidP="00A037E7">
          <w:pPr>
            <w:suppressAutoHyphens/>
            <w:autoSpaceDN w:val="0"/>
            <w:spacing w:after="0" w:line="240" w:lineRule="auto"/>
            <w:jc w:val="right"/>
            <w:textAlignment w:val="baseline"/>
            <w:rPr>
              <w:rFonts w:ascii="Times New Roman" w:eastAsia="Times New Roman" w:hAnsi="Times New Roman" w:cs="Times New Roman"/>
              <w:bCs/>
              <w:i/>
              <w:iCs/>
              <w:sz w:val="20"/>
              <w:szCs w:val="20"/>
              <w:lang w:val="fr-FR"/>
            </w:rPr>
          </w:pPr>
        </w:p>
        <w:p w14:paraId="65CF5BF8" w14:textId="2DB9377C" w:rsidR="00DE4CF4" w:rsidRPr="005858BD" w:rsidRDefault="00DE4CF4" w:rsidP="00DE4CF4">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A037E7">
            <w:rPr>
              <w:rFonts w:ascii="Times New Roman" w:eastAsia="Times New Roman" w:hAnsi="Times New Roman" w:cs="Times New Roman"/>
              <w:i/>
              <w:iCs/>
              <w:sz w:val="20"/>
              <w:szCs w:val="20"/>
              <w:lang w:val="fr-FR"/>
            </w:rPr>
            <w:t xml:space="preserve">Date: </w:t>
          </w:r>
          <w:r>
            <w:rPr>
              <w:rFonts w:ascii="Times New Roman" w:eastAsia="Times New Roman" w:hAnsi="Times New Roman" w:cs="Times New Roman"/>
              <w:i/>
              <w:iCs/>
              <w:sz w:val="20"/>
              <w:szCs w:val="20"/>
              <w:lang w:val="fr-FR"/>
            </w:rPr>
            <w:t>3 novembre</w:t>
          </w:r>
          <w:r w:rsidRPr="00A037E7">
            <w:rPr>
              <w:rFonts w:ascii="Times New Roman" w:eastAsia="Times New Roman" w:hAnsi="Times New Roman" w:cs="Times New Roman"/>
              <w:i/>
              <w:iCs/>
              <w:sz w:val="20"/>
              <w:szCs w:val="20"/>
              <w:lang w:val="fr-FR"/>
            </w:rPr>
            <w:t xml:space="preserve"> 2015</w:t>
          </w:r>
        </w:p>
      </w:tc>
    </w:tr>
    <w:tr w:rsidR="00DE4CF4" w:rsidRPr="005858BD" w14:paraId="086F1589" w14:textId="77777777" w:rsidTr="00B33D52">
      <w:tc>
        <w:tcPr>
          <w:tcW w:w="9639" w:type="dxa"/>
          <w:gridSpan w:val="3"/>
          <w:shd w:val="clear" w:color="auto" w:fill="auto"/>
          <w:tcMar>
            <w:top w:w="0" w:type="dxa"/>
            <w:left w:w="108" w:type="dxa"/>
            <w:bottom w:w="0" w:type="dxa"/>
            <w:right w:w="108" w:type="dxa"/>
          </w:tcMar>
        </w:tcPr>
        <w:p w14:paraId="6233AE2C" w14:textId="77777777" w:rsidR="00DE4CF4" w:rsidRPr="00A037E7" w:rsidRDefault="00DE4CF4" w:rsidP="00F4288B">
          <w:pPr>
            <w:pStyle w:val="BodyText2"/>
            <w:jc w:val="center"/>
            <w:rPr>
              <w:b/>
              <w:bCs/>
              <w:caps/>
              <w:sz w:val="26"/>
              <w:szCs w:val="26"/>
              <w:lang w:val="fr-FR"/>
            </w:rPr>
          </w:pPr>
          <w:r w:rsidRPr="00A037E7">
            <w:rPr>
              <w:b/>
              <w:bCs/>
              <w:sz w:val="26"/>
              <w:szCs w:val="26"/>
              <w:lang w:val="fr-FR"/>
            </w:rPr>
            <w:t>6</w:t>
          </w:r>
          <w:r w:rsidRPr="00A037E7">
            <w:rPr>
              <w:b/>
              <w:bCs/>
              <w:sz w:val="26"/>
              <w:szCs w:val="26"/>
              <w:vertAlign w:val="superscript"/>
              <w:lang w:val="fr-FR"/>
            </w:rPr>
            <w:t>ème</w:t>
          </w:r>
          <w:r w:rsidRPr="00A037E7">
            <w:rPr>
              <w:b/>
              <w:bCs/>
              <w:sz w:val="26"/>
              <w:szCs w:val="26"/>
              <w:lang w:val="fr-FR"/>
            </w:rPr>
            <w:t xml:space="preserve"> </w:t>
          </w:r>
          <w:r w:rsidRPr="00A037E7">
            <w:rPr>
              <w:b/>
              <w:bCs/>
              <w:caps/>
              <w:sz w:val="26"/>
              <w:szCs w:val="26"/>
              <w:lang w:val="fr-FR"/>
            </w:rPr>
            <w:t>Session DE LA RÉUNION DES Parties</w:t>
          </w:r>
        </w:p>
        <w:p w14:paraId="20982924" w14:textId="73ADC5B8" w:rsidR="00DE4CF4" w:rsidRPr="00A037E7" w:rsidRDefault="00DE4CF4" w:rsidP="005858BD">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A037E7">
            <w:rPr>
              <w:rFonts w:ascii="Times New Roman" w:hAnsi="Times New Roman" w:cs="Times New Roman"/>
              <w:i/>
              <w:iCs/>
              <w:lang w:val="fr-FR"/>
            </w:rPr>
            <w:t>9-14 novembre 2015, Bonn, Allemagne</w:t>
          </w:r>
        </w:p>
      </w:tc>
    </w:tr>
    <w:tr w:rsidR="00DE4CF4" w:rsidRPr="00DE4CF4" w14:paraId="3121D461" w14:textId="77777777" w:rsidTr="00B33D52">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899D8E0" w14:textId="134022FF" w:rsidR="00DE4CF4" w:rsidRPr="00A037E7" w:rsidRDefault="00DE4CF4" w:rsidP="005858BD">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A037E7">
            <w:rPr>
              <w:rFonts w:ascii="Times New Roman" w:hAnsi="Times New Roman" w:cs="Times New Roman"/>
              <w:bCs/>
              <w:i/>
              <w:lang w:val="fr-FR"/>
            </w:rPr>
            <w:t>« Concrétiser la conservation au niveau de la voie de migration »</w:t>
          </w:r>
        </w:p>
      </w:tc>
    </w:tr>
  </w:tbl>
  <w:p w14:paraId="0B76E08B" w14:textId="77777777" w:rsidR="00DE4CF4" w:rsidRPr="00856FAD" w:rsidRDefault="00DE4CF4">
    <w:pPr>
      <w:pStyle w:val="Header"/>
      <w:rPr>
        <w:rFonts w:ascii="Arial" w:hAnsi="Arial" w:cs="Arial"/>
        <w:sz w:val="20"/>
        <w:szCs w:val="20"/>
        <w:lang w:val="fr-FR"/>
      </w:rPr>
    </w:pPr>
    <w:r w:rsidRPr="00856FAD">
      <w:rPr>
        <w:lang w:val="fr-FR"/>
      </w:rPr>
      <w:tab/>
    </w:r>
    <w:r w:rsidRPr="00856FAD">
      <w:rPr>
        <w:lang w:val="fr-F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51F8" w14:textId="77777777" w:rsidR="00DE4CF4" w:rsidRPr="00CB6100" w:rsidRDefault="00DE4CF4" w:rsidP="00CB61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FC43" w14:textId="77777777" w:rsidR="00DE4CF4" w:rsidRPr="001571EF" w:rsidRDefault="00DE4CF4" w:rsidP="001571EF">
    <w:pPr>
      <w:tabs>
        <w:tab w:val="left" w:pos="-720"/>
      </w:tabs>
      <w:overflowPunct w:val="0"/>
      <w:autoSpaceDE w:val="0"/>
      <w:autoSpaceDN w:val="0"/>
      <w:adjustRightInd w:val="0"/>
      <w:textAlignment w:val="baseline"/>
      <w:rPr>
        <w:i/>
        <w:kern w:val="2"/>
        <w:lang w:val="en-US"/>
      </w:rPr>
    </w:pPr>
    <w:r w:rsidRPr="001571EF">
      <w:rPr>
        <w:i/>
        <w:kern w:val="2"/>
        <w:lang w:val="en-US"/>
      </w:rPr>
      <w:t xml:space="preserve">Annex VI – List of species/populations prioritized by the AEWA Technical Committee for Action </w:t>
    </w:r>
    <w:r>
      <w:rPr>
        <w:i/>
        <w:kern w:val="2"/>
        <w:lang w:val="en-US"/>
      </w:rPr>
      <w:t>plan</w:t>
    </w:r>
    <w:r w:rsidRPr="001571EF">
      <w:rPr>
        <w:i/>
        <w:kern w:val="2"/>
        <w:lang w:val="en-US"/>
      </w:rPr>
      <w:t>ning 2012-2015</w:t>
    </w:r>
  </w:p>
  <w:p w14:paraId="69BC5D98" w14:textId="77777777" w:rsidR="00DE4CF4" w:rsidRPr="001571EF" w:rsidRDefault="00DE4CF4" w:rsidP="001571EF">
    <w:pPr>
      <w:tabs>
        <w:tab w:val="left" w:pos="-720"/>
      </w:tabs>
      <w:overflowPunct w:val="0"/>
      <w:autoSpaceDE w:val="0"/>
      <w:autoSpaceDN w:val="0"/>
      <w:adjustRightInd w:val="0"/>
      <w:jc w:val="center"/>
      <w:textAlignment w:val="baseline"/>
      <w:rPr>
        <w:rFonts w:ascii="Arial" w:hAnsi="Arial" w:cs="Arial"/>
        <w:i/>
        <w:kern w:val="2"/>
        <w:sz w:val="20"/>
        <w:szCs w:val="20"/>
        <w:lang w:val="en-US"/>
      </w:rPr>
    </w:pPr>
  </w:p>
  <w:p w14:paraId="7A5F8674" w14:textId="77777777" w:rsidR="00DE4CF4" w:rsidRPr="001571EF" w:rsidRDefault="00DE4CF4" w:rsidP="001571EF">
    <w:pPr>
      <w:pBdr>
        <w:bottom w:val="single" w:sz="4" w:space="9" w:color="auto"/>
      </w:pBdr>
      <w:tabs>
        <w:tab w:val="left" w:pos="-720"/>
      </w:tabs>
      <w:overflowPunct w:val="0"/>
      <w:autoSpaceDE w:val="0"/>
      <w:autoSpaceDN w:val="0"/>
      <w:adjustRightInd w:val="0"/>
      <w:jc w:val="center"/>
      <w:textAlignment w:val="baseline"/>
      <w:rPr>
        <w:rFonts w:ascii="Arial" w:hAnsi="Arial" w:cs="Arial"/>
        <w:i/>
        <w:kern w:val="2"/>
        <w:sz w:val="20"/>
        <w:szCs w:val="20"/>
        <w:lang w:val="en-US"/>
      </w:rPr>
    </w:pPr>
  </w:p>
  <w:p w14:paraId="3DB6021B" w14:textId="77777777" w:rsidR="00DE4CF4" w:rsidRPr="001571EF" w:rsidRDefault="00DE4CF4">
    <w:pPr>
      <w:jc w:val="cent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A29D" w14:textId="77777777" w:rsidR="00DE4CF4" w:rsidRPr="00316642" w:rsidRDefault="00DE4CF4" w:rsidP="00CB6100">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86A2" w14:textId="77777777" w:rsidR="00DE4CF4" w:rsidRPr="00434643" w:rsidRDefault="00DE4CF4" w:rsidP="00886A3C">
    <w:pPr>
      <w:tabs>
        <w:tab w:val="left" w:pos="-720"/>
      </w:tabs>
      <w:overflowPunct w:val="0"/>
      <w:autoSpaceDE w:val="0"/>
      <w:autoSpaceDN w:val="0"/>
      <w:adjustRightInd w:val="0"/>
      <w:textAlignment w:val="baseline"/>
      <w:rPr>
        <w:i/>
        <w:kern w:val="2"/>
        <w:lang w:val="fr-FR"/>
      </w:rPr>
    </w:pPr>
    <w:r w:rsidRPr="00434643">
      <w:rPr>
        <w:i/>
        <w:kern w:val="2"/>
        <w:lang w:val="fr-FR"/>
      </w:rPr>
      <w:t>Annexe VI – Liste des espèces/populations prioritaires établie par le Comité technique de l’AEWA pour l’élaboration de plans d’</w:t>
    </w:r>
    <w:r>
      <w:rPr>
        <w:i/>
        <w:kern w:val="2"/>
        <w:lang w:val="fr-FR"/>
      </w:rPr>
      <w:t>a</w:t>
    </w:r>
    <w:r w:rsidRPr="00434643">
      <w:rPr>
        <w:i/>
        <w:kern w:val="2"/>
        <w:lang w:val="fr-FR"/>
      </w:rPr>
      <w:t>ction</w:t>
    </w:r>
    <w:r>
      <w:rPr>
        <w:i/>
        <w:kern w:val="2"/>
        <w:lang w:val="fr-FR"/>
      </w:rPr>
      <w:t xml:space="preserve"> (</w:t>
    </w:r>
    <w:r w:rsidRPr="00434643">
      <w:rPr>
        <w:i/>
        <w:kern w:val="2"/>
        <w:lang w:val="fr-FR"/>
      </w:rPr>
      <w:t xml:space="preserve"> 2012-2015</w:t>
    </w:r>
    <w:r>
      <w:rPr>
        <w:i/>
        <w:kern w:val="2"/>
        <w:lang w:val="fr-FR"/>
      </w:rPr>
      <w:t>)</w:t>
    </w:r>
  </w:p>
  <w:p w14:paraId="7174E59E" w14:textId="77777777" w:rsidR="00DE4CF4" w:rsidRPr="00856FAD" w:rsidRDefault="00DE4CF4" w:rsidP="001571EF">
    <w:pPr>
      <w:pStyle w:val="Header"/>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90B5" w14:textId="4AD75CA0" w:rsidR="00DE4CF4" w:rsidRPr="00CB6100" w:rsidRDefault="00DE4CF4" w:rsidP="00CB6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0695" w14:textId="77777777" w:rsidR="00DE4CF4" w:rsidRPr="00EC2827" w:rsidRDefault="00DE4CF4">
    <w:pPr>
      <w:pStyle w:val="Header"/>
      <w:rPr>
        <w:rFonts w:ascii="Arial" w:hAnsi="Arial" w:cs="Arial"/>
        <w:sz w:val="20"/>
        <w:szCs w:val="20"/>
        <w:lang w:val="en-US"/>
      </w:rPr>
    </w:pPr>
    <w:r w:rsidRPr="00EC2827">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6257" w14:textId="2D3DB69C" w:rsidR="00DE4CF4" w:rsidRPr="008D46EE" w:rsidRDefault="00DE4CF4" w:rsidP="00EC2827">
    <w:pPr>
      <w:pStyle w:val="Header"/>
      <w:rPr>
        <w:rFonts w:ascii="Times New Roman" w:eastAsia="Times New Roman" w:hAnsi="Times New Roman" w:cs="Times New Roman"/>
        <w:i/>
        <w:lang w:val="fr-FR"/>
      </w:rPr>
    </w:pPr>
    <w:r w:rsidRPr="008D46EE">
      <w:rPr>
        <w:rFonts w:ascii="Times New Roman" w:eastAsia="Times New Roman" w:hAnsi="Times New Roman" w:cs="Times New Roman"/>
        <w:i/>
        <w:lang w:val="fr-FR"/>
      </w:rPr>
      <w:t>Annexe III –</w:t>
    </w:r>
    <w:r>
      <w:rPr>
        <w:rFonts w:ascii="Times New Roman" w:eastAsia="Times New Roman" w:hAnsi="Times New Roman" w:cs="Times New Roman"/>
        <w:i/>
        <w:lang w:val="fr-FR"/>
      </w:rPr>
      <w:t xml:space="preserve"> </w:t>
    </w:r>
    <w:r w:rsidRPr="008D46EE">
      <w:rPr>
        <w:rFonts w:ascii="Times New Roman" w:eastAsia="Times New Roman" w:hAnsi="Times New Roman" w:cs="Times New Roman"/>
        <w:i/>
        <w:lang w:val="fr-FR"/>
      </w:rPr>
      <w:t>Termes de R</w:t>
    </w:r>
    <w:r>
      <w:rPr>
        <w:rFonts w:ascii="Times New Roman" w:eastAsia="Times New Roman" w:hAnsi="Times New Roman" w:cs="Times New Roman"/>
        <w:i/>
        <w:lang w:val="fr-FR"/>
      </w:rPr>
      <w:t>é</w:t>
    </w:r>
    <w:r w:rsidRPr="008D46EE">
      <w:rPr>
        <w:rFonts w:ascii="Times New Roman" w:eastAsia="Times New Roman" w:hAnsi="Times New Roman" w:cs="Times New Roman"/>
        <w:i/>
        <w:lang w:val="fr-FR"/>
      </w:rPr>
      <w:t>f</w:t>
    </w:r>
    <w:r>
      <w:rPr>
        <w:rFonts w:ascii="Times New Roman" w:eastAsia="Times New Roman" w:hAnsi="Times New Roman" w:cs="Times New Roman"/>
        <w:i/>
        <w:lang w:val="fr-FR"/>
      </w:rPr>
      <w:t>é</w:t>
    </w:r>
    <w:r w:rsidRPr="008D46EE">
      <w:rPr>
        <w:rFonts w:ascii="Times New Roman" w:eastAsia="Times New Roman" w:hAnsi="Times New Roman" w:cs="Times New Roman"/>
        <w:i/>
        <w:lang w:val="fr-FR"/>
      </w:rPr>
      <w:t>rence</w:t>
    </w:r>
    <w:r>
      <w:rPr>
        <w:rFonts w:ascii="Times New Roman" w:eastAsia="Times New Roman" w:hAnsi="Times New Roman" w:cs="Times New Roman"/>
        <w:i/>
        <w:lang w:val="fr-FR"/>
      </w:rPr>
      <w:t xml:space="preserve"> génériques des groupes de travail internationaux par espèce de l’AEWA</w:t>
    </w:r>
  </w:p>
  <w:p w14:paraId="195D6180" w14:textId="77777777" w:rsidR="00DE4CF4" w:rsidRPr="00856FAD" w:rsidRDefault="00DE4CF4">
    <w:pPr>
      <w:pStyle w:val="Header"/>
      <w:rPr>
        <w:rFonts w:ascii="Arial" w:hAnsi="Arial" w:cs="Arial"/>
        <w:sz w:val="20"/>
        <w:szCs w:val="20"/>
        <w:lang w:val="fr-FR"/>
      </w:rPr>
    </w:pPr>
    <w:r w:rsidRPr="00856FAD">
      <w:rPr>
        <w:lang w:val="fr-F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EC29" w14:textId="77777777" w:rsidR="00DE4CF4" w:rsidRPr="00A31C8B" w:rsidRDefault="00DE4CF4" w:rsidP="00A31C8B">
    <w:pPr>
      <w:pStyle w:val="Header"/>
      <w:rPr>
        <w:i/>
        <w:lang w:val="en-US"/>
      </w:rPr>
    </w:pPr>
    <w:r w:rsidRPr="00A31C8B">
      <w:rPr>
        <w:i/>
        <w:lang w:val="en-US"/>
      </w:rPr>
      <w:t>Annex III – Generic Terms of Reference for AEWA International Species Working Groups</w:t>
    </w:r>
  </w:p>
  <w:p w14:paraId="4DC6E332" w14:textId="77777777" w:rsidR="00DE4CF4" w:rsidRPr="00A31C8B" w:rsidRDefault="00DE4CF4" w:rsidP="00A31C8B">
    <w:pPr>
      <w:tabs>
        <w:tab w:val="left" w:pos="-720"/>
        <w:tab w:val="left" w:pos="310"/>
        <w:tab w:val="left" w:pos="835"/>
      </w:tabs>
      <w:spacing w:line="155" w:lineRule="auto"/>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01A4" w14:textId="77777777" w:rsidR="00DE4CF4" w:rsidRPr="00CB6100" w:rsidRDefault="00DE4CF4" w:rsidP="00CB6100">
    <w:pPr>
      <w:pStyle w:val="Header"/>
      <w:jc w:val="both"/>
      <w:rPr>
        <w:rFonts w:ascii="Times New Roman" w:eastAsia="Times New Roman" w:hAnsi="Times New Roman" w:cs="Times New Roman"/>
        <w:i/>
        <w:lang w:val="en-US"/>
      </w:rPr>
    </w:pPr>
  </w:p>
  <w:p w14:paraId="3596DDE6" w14:textId="77777777" w:rsidR="00DE4CF4" w:rsidRPr="00EC2827" w:rsidRDefault="00DE4CF4">
    <w:pPr>
      <w:pStyle w:val="Header"/>
      <w:rPr>
        <w:rFonts w:ascii="Arial" w:hAnsi="Arial" w:cs="Arial"/>
        <w:sz w:val="20"/>
        <w:szCs w:val="20"/>
        <w:lang w:val="en-US"/>
      </w:rPr>
    </w:pPr>
    <w:r w:rsidRPr="00EC2827">
      <w:rPr>
        <w:lang w:val="en-U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0575" w14:textId="77777777" w:rsidR="00DE4CF4" w:rsidRPr="00856FAD" w:rsidRDefault="00DE4CF4" w:rsidP="00CB6100">
    <w:pPr>
      <w:tabs>
        <w:tab w:val="left" w:pos="-720"/>
      </w:tabs>
      <w:rPr>
        <w:rFonts w:ascii="Times New Roman" w:hAnsi="Times New Roman" w:cs="Times New Roman"/>
        <w:i/>
        <w:kern w:val="2"/>
        <w:lang w:val="fr-FR"/>
      </w:rPr>
    </w:pPr>
    <w:r w:rsidRPr="00856FAD">
      <w:rPr>
        <w:rFonts w:ascii="Times New Roman" w:hAnsi="Times New Roman" w:cs="Times New Roman"/>
        <w:i/>
        <w:kern w:val="2"/>
        <w:lang w:val="fr-FR"/>
      </w:rPr>
      <w:t xml:space="preserve">Annexe IV – </w:t>
    </w:r>
    <w:r w:rsidRPr="008D46EE">
      <w:rPr>
        <w:rFonts w:ascii="Times New Roman" w:eastAsia="Times New Roman" w:hAnsi="Times New Roman" w:cs="Times New Roman"/>
        <w:i/>
        <w:lang w:val="fr-FR"/>
      </w:rPr>
      <w:t>Termes de R</w:t>
    </w:r>
    <w:r>
      <w:rPr>
        <w:rFonts w:ascii="Times New Roman" w:eastAsia="Times New Roman" w:hAnsi="Times New Roman" w:cs="Times New Roman"/>
        <w:i/>
        <w:lang w:val="fr-FR"/>
      </w:rPr>
      <w:t>é</w:t>
    </w:r>
    <w:r w:rsidRPr="008D46EE">
      <w:rPr>
        <w:rFonts w:ascii="Times New Roman" w:eastAsia="Times New Roman" w:hAnsi="Times New Roman" w:cs="Times New Roman"/>
        <w:i/>
        <w:lang w:val="fr-FR"/>
      </w:rPr>
      <w:t>f</w:t>
    </w:r>
    <w:r>
      <w:rPr>
        <w:rFonts w:ascii="Times New Roman" w:eastAsia="Times New Roman" w:hAnsi="Times New Roman" w:cs="Times New Roman"/>
        <w:i/>
        <w:lang w:val="fr-FR"/>
      </w:rPr>
      <w:t>é</w:t>
    </w:r>
    <w:r w:rsidRPr="008D46EE">
      <w:rPr>
        <w:rFonts w:ascii="Times New Roman" w:eastAsia="Times New Roman" w:hAnsi="Times New Roman" w:cs="Times New Roman"/>
        <w:i/>
        <w:lang w:val="fr-FR"/>
      </w:rPr>
      <w:t>rence</w:t>
    </w:r>
    <w:r>
      <w:rPr>
        <w:rFonts w:ascii="Times New Roman" w:eastAsia="Times New Roman" w:hAnsi="Times New Roman" w:cs="Times New Roman"/>
        <w:i/>
        <w:lang w:val="fr-FR"/>
      </w:rPr>
      <w:t xml:space="preserve"> génériques des groupes d’experts internationaux par espèce de l’AEWA</w:t>
    </w:r>
  </w:p>
  <w:p w14:paraId="63F53C7B" w14:textId="77777777" w:rsidR="00DE4CF4" w:rsidRPr="00856FAD" w:rsidRDefault="00DE4CF4" w:rsidP="00CB6100">
    <w:pPr>
      <w:pStyle w:val="Header"/>
      <w:jc w:val="both"/>
      <w:rPr>
        <w:rFonts w:ascii="Times New Roman" w:eastAsia="Times New Roman" w:hAnsi="Times New Roman" w:cs="Times New Roman"/>
        <w:i/>
        <w:lang w:val="fr-FR"/>
      </w:rPr>
    </w:pPr>
  </w:p>
  <w:p w14:paraId="521E38DD" w14:textId="77777777" w:rsidR="00DE4CF4" w:rsidRPr="00856FAD" w:rsidRDefault="00DE4CF4">
    <w:pPr>
      <w:pStyle w:val="Header"/>
      <w:rPr>
        <w:rFonts w:ascii="Arial" w:hAnsi="Arial" w:cs="Arial"/>
        <w:sz w:val="20"/>
        <w:szCs w:val="20"/>
        <w:lang w:val="fr-FR"/>
      </w:rPr>
    </w:pPr>
    <w:r w:rsidRPr="00856FAD">
      <w:rPr>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A350E" w14:textId="77777777" w:rsidR="00DE4CF4" w:rsidRPr="00CB6100" w:rsidRDefault="00DE4CF4" w:rsidP="00CB6100">
    <w:pPr>
      <w:pStyle w:val="Header"/>
      <w:jc w:val="both"/>
      <w:rPr>
        <w:rFonts w:ascii="Times New Roman" w:eastAsia="Times New Roman" w:hAnsi="Times New Roman" w:cs="Times New Roman"/>
        <w:i/>
        <w:lang w:val="en-US"/>
      </w:rPr>
    </w:pPr>
  </w:p>
  <w:p w14:paraId="62D244B5" w14:textId="77777777" w:rsidR="00DE4CF4" w:rsidRPr="00EC2827" w:rsidRDefault="00DE4CF4">
    <w:pPr>
      <w:pStyle w:val="Header"/>
      <w:rPr>
        <w:rFonts w:ascii="Arial" w:hAnsi="Arial" w:cs="Arial"/>
        <w:sz w:val="20"/>
        <w:szCs w:val="20"/>
        <w:lang w:val="en-US"/>
      </w:rPr>
    </w:pPr>
    <w:r w:rsidRPr="00EC2827">
      <w:rPr>
        <w:lang w:val="en-US"/>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4F276" w14:textId="77777777" w:rsidR="00DE4CF4" w:rsidRPr="00DB4159" w:rsidRDefault="00DE4CF4" w:rsidP="001571EF">
    <w:pPr>
      <w:pStyle w:val="Header"/>
      <w:rPr>
        <w:rFonts w:ascii="Arial" w:hAnsi="Arial" w:cs="Arial"/>
        <w:sz w:val="20"/>
        <w:szCs w:val="20"/>
        <w:lang w:val="fr-FR"/>
      </w:rPr>
    </w:pPr>
    <w:r w:rsidRPr="00DB4159">
      <w:rPr>
        <w:rFonts w:ascii="Times New Roman" w:hAnsi="Times New Roman" w:cs="Times New Roman"/>
        <w:i/>
        <w:lang w:val="fr-FR"/>
      </w:rPr>
      <w:t>Annexe V – Conseils sur la coordination des group</w:t>
    </w:r>
    <w:r>
      <w:rPr>
        <w:rFonts w:ascii="Times New Roman" w:hAnsi="Times New Roman" w:cs="Times New Roman"/>
        <w:i/>
        <w:lang w:val="fr-FR"/>
      </w:rPr>
      <w:t>e</w:t>
    </w:r>
    <w:r w:rsidRPr="00DB4159">
      <w:rPr>
        <w:rFonts w:ascii="Times New Roman" w:hAnsi="Times New Roman" w:cs="Times New Roman"/>
        <w:i/>
        <w:lang w:val="fr-FR"/>
      </w:rPr>
      <w:t>s de travail internationaux par espèce</w:t>
    </w:r>
    <w:r>
      <w:rPr>
        <w:rFonts w:ascii="Times New Roman" w:hAnsi="Times New Roman" w:cs="Times New Roman"/>
        <w:i/>
        <w:lang w:val="fr-FR"/>
      </w:rPr>
      <w:t xml:space="preserve"> </w:t>
    </w:r>
    <w:r w:rsidRPr="00DB4159">
      <w:rPr>
        <w:rFonts w:ascii="Times New Roman" w:hAnsi="Times New Roman" w:cs="Times New Roman"/>
        <w:i/>
        <w:lang w:val="fr-FR"/>
      </w:rPr>
      <w:t>de l’AEWA</w:t>
    </w:r>
    <w:r w:rsidRPr="00DB4159">
      <w:rPr>
        <w:rFonts w:ascii="Arial" w:hAnsi="Arial" w:cs="Arial"/>
        <w:lang w:val="fr-F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CCFE" w14:textId="77777777" w:rsidR="00DE4CF4" w:rsidRDefault="00DE4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BE19F" w14:textId="77777777" w:rsidR="00DE4CF4" w:rsidRDefault="00DE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C86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E44"/>
    <w:multiLevelType w:val="hybridMultilevel"/>
    <w:tmpl w:val="D7D0D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855C69"/>
    <w:multiLevelType w:val="multilevel"/>
    <w:tmpl w:val="32CC29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D6883"/>
    <w:multiLevelType w:val="multilevel"/>
    <w:tmpl w:val="5ADAD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51FD2"/>
    <w:multiLevelType w:val="hybridMultilevel"/>
    <w:tmpl w:val="C1D24494"/>
    <w:lvl w:ilvl="0" w:tplc="EAA8D930">
      <w:start w:val="8"/>
      <w:numFmt w:val="bullet"/>
      <w:lvlText w:val="-"/>
      <w:lvlJc w:val="left"/>
      <w:pPr>
        <w:ind w:left="1214" w:hanging="360"/>
      </w:pPr>
      <w:rPr>
        <w:rFonts w:ascii="Times New Roman" w:eastAsiaTheme="minorHAnsi"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7" w15:restartNumberingAfterBreak="0">
    <w:nsid w:val="19423456"/>
    <w:multiLevelType w:val="hybridMultilevel"/>
    <w:tmpl w:val="069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C6D2A"/>
    <w:multiLevelType w:val="hybridMultilevel"/>
    <w:tmpl w:val="5AA00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127945"/>
    <w:multiLevelType w:val="hybridMultilevel"/>
    <w:tmpl w:val="52E222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371D1CF1"/>
    <w:multiLevelType w:val="hybridMultilevel"/>
    <w:tmpl w:val="E08295EC"/>
    <w:lvl w:ilvl="0" w:tplc="2554899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415C0"/>
    <w:multiLevelType w:val="hybridMultilevel"/>
    <w:tmpl w:val="75E070FA"/>
    <w:lvl w:ilvl="0" w:tplc="3126EE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48FB"/>
    <w:multiLevelType w:val="hybridMultilevel"/>
    <w:tmpl w:val="00E6F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0E0E1D"/>
    <w:multiLevelType w:val="hybridMultilevel"/>
    <w:tmpl w:val="34E803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66399"/>
    <w:multiLevelType w:val="hybridMultilevel"/>
    <w:tmpl w:val="3D08B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A55D23"/>
    <w:multiLevelType w:val="hybridMultilevel"/>
    <w:tmpl w:val="B2E824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F054D"/>
    <w:multiLevelType w:val="hybridMultilevel"/>
    <w:tmpl w:val="1B3E90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7497C"/>
    <w:multiLevelType w:val="multilevel"/>
    <w:tmpl w:val="EE1C4BA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161593"/>
    <w:multiLevelType w:val="hybridMultilevel"/>
    <w:tmpl w:val="B470CC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371AF"/>
    <w:multiLevelType w:val="hybridMultilevel"/>
    <w:tmpl w:val="A656E2AC"/>
    <w:lvl w:ilvl="0" w:tplc="D6F0450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A05998"/>
    <w:multiLevelType w:val="hybridMultilevel"/>
    <w:tmpl w:val="28629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96B29"/>
    <w:multiLevelType w:val="hybridMultilevel"/>
    <w:tmpl w:val="CF3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34F76"/>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10189"/>
    <w:multiLevelType w:val="hybridMultilevel"/>
    <w:tmpl w:val="8EAA74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3"/>
  </w:num>
  <w:num w:numId="4">
    <w:abstractNumId w:val="22"/>
  </w:num>
  <w:num w:numId="5">
    <w:abstractNumId w:val="26"/>
  </w:num>
  <w:num w:numId="6">
    <w:abstractNumId w:val="10"/>
  </w:num>
  <w:num w:numId="7">
    <w:abstractNumId w:val="25"/>
  </w:num>
  <w:num w:numId="8">
    <w:abstractNumId w:val="16"/>
  </w:num>
  <w:num w:numId="9">
    <w:abstractNumId w:val="6"/>
  </w:num>
  <w:num w:numId="10">
    <w:abstractNumId w:val="4"/>
  </w:num>
  <w:num w:numId="11">
    <w:abstractNumId w:val="0"/>
  </w:num>
  <w:num w:numId="12">
    <w:abstractNumId w:val="28"/>
  </w:num>
  <w:num w:numId="13">
    <w:abstractNumId w:val="23"/>
  </w:num>
  <w:num w:numId="14">
    <w:abstractNumId w:val="12"/>
  </w:num>
  <w:num w:numId="15">
    <w:abstractNumId w:val="20"/>
  </w:num>
  <w:num w:numId="16">
    <w:abstractNumId w:val="17"/>
  </w:num>
  <w:num w:numId="17">
    <w:abstractNumId w:val="14"/>
  </w:num>
  <w:num w:numId="18">
    <w:abstractNumId w:val="1"/>
  </w:num>
  <w:num w:numId="19">
    <w:abstractNumId w:val="9"/>
  </w:num>
  <w:num w:numId="20">
    <w:abstractNumId w:val="15"/>
  </w:num>
  <w:num w:numId="21">
    <w:abstractNumId w:val="18"/>
  </w:num>
  <w:num w:numId="22">
    <w:abstractNumId w:val="19"/>
  </w:num>
  <w:num w:numId="23">
    <w:abstractNumId w:val="21"/>
  </w:num>
  <w:num w:numId="24">
    <w:abstractNumId w:val="7"/>
  </w:num>
  <w:num w:numId="25">
    <w:abstractNumId w:val="8"/>
  </w:num>
  <w:num w:numId="26">
    <w:abstractNumId w:val="11"/>
  </w:num>
  <w:num w:numId="27">
    <w:abstractNumId w:val="24"/>
  </w:num>
  <w:num w:numId="28">
    <w:abstractNumId w:val="2"/>
  </w:num>
  <w:num w:numId="29">
    <w:abstractNumId w:val="0"/>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5E"/>
    <w:rsid w:val="000001E7"/>
    <w:rsid w:val="00002184"/>
    <w:rsid w:val="0000292D"/>
    <w:rsid w:val="0000315F"/>
    <w:rsid w:val="00003162"/>
    <w:rsid w:val="000037DC"/>
    <w:rsid w:val="000038D3"/>
    <w:rsid w:val="00003A37"/>
    <w:rsid w:val="00004C2A"/>
    <w:rsid w:val="0000596B"/>
    <w:rsid w:val="000078A3"/>
    <w:rsid w:val="00010148"/>
    <w:rsid w:val="0001284E"/>
    <w:rsid w:val="00013DAF"/>
    <w:rsid w:val="00014331"/>
    <w:rsid w:val="0001632F"/>
    <w:rsid w:val="00016CCA"/>
    <w:rsid w:val="00020461"/>
    <w:rsid w:val="000235F1"/>
    <w:rsid w:val="0002415E"/>
    <w:rsid w:val="00026A46"/>
    <w:rsid w:val="00026B1C"/>
    <w:rsid w:val="000279CF"/>
    <w:rsid w:val="00030AB6"/>
    <w:rsid w:val="0003282F"/>
    <w:rsid w:val="00032F9A"/>
    <w:rsid w:val="0003562F"/>
    <w:rsid w:val="00035F0B"/>
    <w:rsid w:val="00040FE5"/>
    <w:rsid w:val="00042486"/>
    <w:rsid w:val="00043283"/>
    <w:rsid w:val="00045FFC"/>
    <w:rsid w:val="00046D84"/>
    <w:rsid w:val="0005422A"/>
    <w:rsid w:val="000578E9"/>
    <w:rsid w:val="00062396"/>
    <w:rsid w:val="000623CB"/>
    <w:rsid w:val="00063642"/>
    <w:rsid w:val="00065488"/>
    <w:rsid w:val="0006656D"/>
    <w:rsid w:val="00070A6B"/>
    <w:rsid w:val="0007130E"/>
    <w:rsid w:val="0007182C"/>
    <w:rsid w:val="00073271"/>
    <w:rsid w:val="00073727"/>
    <w:rsid w:val="00082EDA"/>
    <w:rsid w:val="000868CC"/>
    <w:rsid w:val="000922B7"/>
    <w:rsid w:val="00092665"/>
    <w:rsid w:val="00092CB1"/>
    <w:rsid w:val="000937A0"/>
    <w:rsid w:val="0009408D"/>
    <w:rsid w:val="000944BF"/>
    <w:rsid w:val="00096C6E"/>
    <w:rsid w:val="000A1F2D"/>
    <w:rsid w:val="000A322A"/>
    <w:rsid w:val="000A5DE6"/>
    <w:rsid w:val="000A5F03"/>
    <w:rsid w:val="000B081C"/>
    <w:rsid w:val="000B2D13"/>
    <w:rsid w:val="000B4E38"/>
    <w:rsid w:val="000B53CB"/>
    <w:rsid w:val="000B67CC"/>
    <w:rsid w:val="000B7F73"/>
    <w:rsid w:val="000C2425"/>
    <w:rsid w:val="000C523C"/>
    <w:rsid w:val="000C5D61"/>
    <w:rsid w:val="000C65EE"/>
    <w:rsid w:val="000D08FE"/>
    <w:rsid w:val="000D0A7A"/>
    <w:rsid w:val="000D1810"/>
    <w:rsid w:val="000D1EDD"/>
    <w:rsid w:val="000D1F22"/>
    <w:rsid w:val="000D33EB"/>
    <w:rsid w:val="000D3B71"/>
    <w:rsid w:val="000D70B9"/>
    <w:rsid w:val="000E0420"/>
    <w:rsid w:val="000E13E0"/>
    <w:rsid w:val="000E3752"/>
    <w:rsid w:val="000E49F8"/>
    <w:rsid w:val="000E58B9"/>
    <w:rsid w:val="000E649A"/>
    <w:rsid w:val="000F0991"/>
    <w:rsid w:val="000F0B54"/>
    <w:rsid w:val="000F3528"/>
    <w:rsid w:val="000F462E"/>
    <w:rsid w:val="000F5B71"/>
    <w:rsid w:val="00101056"/>
    <w:rsid w:val="001024D8"/>
    <w:rsid w:val="001033EF"/>
    <w:rsid w:val="00103E7F"/>
    <w:rsid w:val="0011024C"/>
    <w:rsid w:val="00111130"/>
    <w:rsid w:val="00112F45"/>
    <w:rsid w:val="00121E02"/>
    <w:rsid w:val="00122EC8"/>
    <w:rsid w:val="00124D10"/>
    <w:rsid w:val="00125064"/>
    <w:rsid w:val="001253EB"/>
    <w:rsid w:val="001311B1"/>
    <w:rsid w:val="0013120C"/>
    <w:rsid w:val="0013195B"/>
    <w:rsid w:val="00131C4D"/>
    <w:rsid w:val="00136171"/>
    <w:rsid w:val="00140FF6"/>
    <w:rsid w:val="001420F2"/>
    <w:rsid w:val="00142E6C"/>
    <w:rsid w:val="00147031"/>
    <w:rsid w:val="001474A8"/>
    <w:rsid w:val="001474FC"/>
    <w:rsid w:val="00147F08"/>
    <w:rsid w:val="00147F72"/>
    <w:rsid w:val="001509D8"/>
    <w:rsid w:val="00151752"/>
    <w:rsid w:val="001571EF"/>
    <w:rsid w:val="00162BBA"/>
    <w:rsid w:val="00163148"/>
    <w:rsid w:val="00164976"/>
    <w:rsid w:val="00165383"/>
    <w:rsid w:val="0016732E"/>
    <w:rsid w:val="00167955"/>
    <w:rsid w:val="00167FF7"/>
    <w:rsid w:val="001723A5"/>
    <w:rsid w:val="00172EFF"/>
    <w:rsid w:val="00173496"/>
    <w:rsid w:val="00173705"/>
    <w:rsid w:val="00174C80"/>
    <w:rsid w:val="00183137"/>
    <w:rsid w:val="001831B7"/>
    <w:rsid w:val="001837B2"/>
    <w:rsid w:val="00183836"/>
    <w:rsid w:val="00184979"/>
    <w:rsid w:val="0018525F"/>
    <w:rsid w:val="00185392"/>
    <w:rsid w:val="00187112"/>
    <w:rsid w:val="00190032"/>
    <w:rsid w:val="00190B88"/>
    <w:rsid w:val="001911DD"/>
    <w:rsid w:val="001927A0"/>
    <w:rsid w:val="0019300D"/>
    <w:rsid w:val="001A15FF"/>
    <w:rsid w:val="001A16E9"/>
    <w:rsid w:val="001A18A4"/>
    <w:rsid w:val="001A2AD3"/>
    <w:rsid w:val="001A3008"/>
    <w:rsid w:val="001A39F3"/>
    <w:rsid w:val="001A48F9"/>
    <w:rsid w:val="001A530D"/>
    <w:rsid w:val="001A6B39"/>
    <w:rsid w:val="001B12A4"/>
    <w:rsid w:val="001B238B"/>
    <w:rsid w:val="001B2A96"/>
    <w:rsid w:val="001B2E5A"/>
    <w:rsid w:val="001B6DFC"/>
    <w:rsid w:val="001B7E97"/>
    <w:rsid w:val="001C29B4"/>
    <w:rsid w:val="001C29DF"/>
    <w:rsid w:val="001C2CE8"/>
    <w:rsid w:val="001C313C"/>
    <w:rsid w:val="001C3707"/>
    <w:rsid w:val="001C5031"/>
    <w:rsid w:val="001C5C23"/>
    <w:rsid w:val="001D0C51"/>
    <w:rsid w:val="001D212E"/>
    <w:rsid w:val="001D2DF2"/>
    <w:rsid w:val="001D623B"/>
    <w:rsid w:val="001D641F"/>
    <w:rsid w:val="001D7F39"/>
    <w:rsid w:val="001E048E"/>
    <w:rsid w:val="001E0A03"/>
    <w:rsid w:val="001E6A7E"/>
    <w:rsid w:val="001F0F8C"/>
    <w:rsid w:val="001F111C"/>
    <w:rsid w:val="001F1904"/>
    <w:rsid w:val="001F1EFE"/>
    <w:rsid w:val="001F47E4"/>
    <w:rsid w:val="001F58B3"/>
    <w:rsid w:val="001F7A25"/>
    <w:rsid w:val="00202D1A"/>
    <w:rsid w:val="002053E2"/>
    <w:rsid w:val="0020683D"/>
    <w:rsid w:val="002072EE"/>
    <w:rsid w:val="00207CF3"/>
    <w:rsid w:val="00211296"/>
    <w:rsid w:val="002117A3"/>
    <w:rsid w:val="00212A01"/>
    <w:rsid w:val="00212DF1"/>
    <w:rsid w:val="0021479F"/>
    <w:rsid w:val="002165B0"/>
    <w:rsid w:val="00221A7A"/>
    <w:rsid w:val="002225C4"/>
    <w:rsid w:val="0022297E"/>
    <w:rsid w:val="00223785"/>
    <w:rsid w:val="002248F5"/>
    <w:rsid w:val="0022502A"/>
    <w:rsid w:val="00227DD2"/>
    <w:rsid w:val="00230F91"/>
    <w:rsid w:val="00231422"/>
    <w:rsid w:val="002319E2"/>
    <w:rsid w:val="00233987"/>
    <w:rsid w:val="00235C1E"/>
    <w:rsid w:val="002368B3"/>
    <w:rsid w:val="00240050"/>
    <w:rsid w:val="0024022C"/>
    <w:rsid w:val="00242DEE"/>
    <w:rsid w:val="00243148"/>
    <w:rsid w:val="0024585B"/>
    <w:rsid w:val="00246E70"/>
    <w:rsid w:val="002471E0"/>
    <w:rsid w:val="0025160D"/>
    <w:rsid w:val="0025166A"/>
    <w:rsid w:val="002517E1"/>
    <w:rsid w:val="0025197E"/>
    <w:rsid w:val="00253514"/>
    <w:rsid w:val="00254332"/>
    <w:rsid w:val="00254787"/>
    <w:rsid w:val="002561AC"/>
    <w:rsid w:val="002568F3"/>
    <w:rsid w:val="002614FA"/>
    <w:rsid w:val="0026234B"/>
    <w:rsid w:val="00262C5E"/>
    <w:rsid w:val="002634A0"/>
    <w:rsid w:val="00265257"/>
    <w:rsid w:val="00270370"/>
    <w:rsid w:val="00272DB6"/>
    <w:rsid w:val="002739FC"/>
    <w:rsid w:val="0027463B"/>
    <w:rsid w:val="00281F80"/>
    <w:rsid w:val="002825F5"/>
    <w:rsid w:val="0028320E"/>
    <w:rsid w:val="002833D1"/>
    <w:rsid w:val="00285293"/>
    <w:rsid w:val="0029057A"/>
    <w:rsid w:val="002914F6"/>
    <w:rsid w:val="002918EA"/>
    <w:rsid w:val="00291A41"/>
    <w:rsid w:val="00292D9A"/>
    <w:rsid w:val="0029594D"/>
    <w:rsid w:val="002A1984"/>
    <w:rsid w:val="002A2CA0"/>
    <w:rsid w:val="002A37C6"/>
    <w:rsid w:val="002A495B"/>
    <w:rsid w:val="002A6C73"/>
    <w:rsid w:val="002A78E7"/>
    <w:rsid w:val="002B77B8"/>
    <w:rsid w:val="002C1B1F"/>
    <w:rsid w:val="002C2464"/>
    <w:rsid w:val="002C34D0"/>
    <w:rsid w:val="002C4673"/>
    <w:rsid w:val="002C4677"/>
    <w:rsid w:val="002C606C"/>
    <w:rsid w:val="002C78AE"/>
    <w:rsid w:val="002D060B"/>
    <w:rsid w:val="002D123B"/>
    <w:rsid w:val="002D3590"/>
    <w:rsid w:val="002D62FD"/>
    <w:rsid w:val="002E07FE"/>
    <w:rsid w:val="002E1349"/>
    <w:rsid w:val="002E27EF"/>
    <w:rsid w:val="002F0292"/>
    <w:rsid w:val="002F1DFB"/>
    <w:rsid w:val="002F3ECE"/>
    <w:rsid w:val="002F6120"/>
    <w:rsid w:val="002F7181"/>
    <w:rsid w:val="002F737E"/>
    <w:rsid w:val="002F7E3E"/>
    <w:rsid w:val="00300A91"/>
    <w:rsid w:val="0030450D"/>
    <w:rsid w:val="0030457F"/>
    <w:rsid w:val="0030586A"/>
    <w:rsid w:val="0030625D"/>
    <w:rsid w:val="00307CCB"/>
    <w:rsid w:val="003104DF"/>
    <w:rsid w:val="00311B10"/>
    <w:rsid w:val="00312551"/>
    <w:rsid w:val="00313A84"/>
    <w:rsid w:val="00313D10"/>
    <w:rsid w:val="00314074"/>
    <w:rsid w:val="0031589C"/>
    <w:rsid w:val="00316642"/>
    <w:rsid w:val="00317082"/>
    <w:rsid w:val="003172F4"/>
    <w:rsid w:val="00320372"/>
    <w:rsid w:val="003214D2"/>
    <w:rsid w:val="00322256"/>
    <w:rsid w:val="0032381F"/>
    <w:rsid w:val="00323B53"/>
    <w:rsid w:val="00323FD6"/>
    <w:rsid w:val="00324717"/>
    <w:rsid w:val="00325189"/>
    <w:rsid w:val="0032699C"/>
    <w:rsid w:val="00326DEB"/>
    <w:rsid w:val="003277BB"/>
    <w:rsid w:val="00332CB7"/>
    <w:rsid w:val="00334768"/>
    <w:rsid w:val="00334F8E"/>
    <w:rsid w:val="003356B2"/>
    <w:rsid w:val="00340703"/>
    <w:rsid w:val="00342971"/>
    <w:rsid w:val="0034424B"/>
    <w:rsid w:val="00345876"/>
    <w:rsid w:val="00346FDB"/>
    <w:rsid w:val="0034743B"/>
    <w:rsid w:val="00347B4B"/>
    <w:rsid w:val="00350533"/>
    <w:rsid w:val="00350822"/>
    <w:rsid w:val="00351688"/>
    <w:rsid w:val="00351CFB"/>
    <w:rsid w:val="0035561E"/>
    <w:rsid w:val="00357969"/>
    <w:rsid w:val="0036168D"/>
    <w:rsid w:val="0036316C"/>
    <w:rsid w:val="003635F9"/>
    <w:rsid w:val="00363676"/>
    <w:rsid w:val="0036491E"/>
    <w:rsid w:val="003651AD"/>
    <w:rsid w:val="00365542"/>
    <w:rsid w:val="0036577A"/>
    <w:rsid w:val="00370468"/>
    <w:rsid w:val="00370795"/>
    <w:rsid w:val="003722A5"/>
    <w:rsid w:val="003730E8"/>
    <w:rsid w:val="003734C9"/>
    <w:rsid w:val="00374A24"/>
    <w:rsid w:val="00374B05"/>
    <w:rsid w:val="003751D8"/>
    <w:rsid w:val="0037602B"/>
    <w:rsid w:val="00377274"/>
    <w:rsid w:val="00377A39"/>
    <w:rsid w:val="00381EB8"/>
    <w:rsid w:val="003857D0"/>
    <w:rsid w:val="0038684D"/>
    <w:rsid w:val="0038705F"/>
    <w:rsid w:val="00390F21"/>
    <w:rsid w:val="0039415D"/>
    <w:rsid w:val="0039555F"/>
    <w:rsid w:val="003955A6"/>
    <w:rsid w:val="003956F8"/>
    <w:rsid w:val="00397905"/>
    <w:rsid w:val="003A00CB"/>
    <w:rsid w:val="003A1D9C"/>
    <w:rsid w:val="003A2CDB"/>
    <w:rsid w:val="003A31E9"/>
    <w:rsid w:val="003A336A"/>
    <w:rsid w:val="003A3BA7"/>
    <w:rsid w:val="003A500D"/>
    <w:rsid w:val="003A536A"/>
    <w:rsid w:val="003A75B8"/>
    <w:rsid w:val="003B0077"/>
    <w:rsid w:val="003B2A4A"/>
    <w:rsid w:val="003B4305"/>
    <w:rsid w:val="003B70C8"/>
    <w:rsid w:val="003B72FC"/>
    <w:rsid w:val="003B7B65"/>
    <w:rsid w:val="003C1109"/>
    <w:rsid w:val="003C2137"/>
    <w:rsid w:val="003C24B7"/>
    <w:rsid w:val="003C3538"/>
    <w:rsid w:val="003C5766"/>
    <w:rsid w:val="003C6111"/>
    <w:rsid w:val="003C7066"/>
    <w:rsid w:val="003C7330"/>
    <w:rsid w:val="003D19CA"/>
    <w:rsid w:val="003D31AF"/>
    <w:rsid w:val="003D5EF3"/>
    <w:rsid w:val="003D5F64"/>
    <w:rsid w:val="003E3909"/>
    <w:rsid w:val="003E4C9D"/>
    <w:rsid w:val="003E7567"/>
    <w:rsid w:val="003F125D"/>
    <w:rsid w:val="003F4F93"/>
    <w:rsid w:val="003F50F9"/>
    <w:rsid w:val="003F55DE"/>
    <w:rsid w:val="003F5768"/>
    <w:rsid w:val="003F6407"/>
    <w:rsid w:val="003F7560"/>
    <w:rsid w:val="003F7DC9"/>
    <w:rsid w:val="004004E6"/>
    <w:rsid w:val="00400EAB"/>
    <w:rsid w:val="00403608"/>
    <w:rsid w:val="00403C55"/>
    <w:rsid w:val="004049E7"/>
    <w:rsid w:val="004060C1"/>
    <w:rsid w:val="004062B4"/>
    <w:rsid w:val="0040784D"/>
    <w:rsid w:val="00413735"/>
    <w:rsid w:val="004144DA"/>
    <w:rsid w:val="0041595E"/>
    <w:rsid w:val="004172F3"/>
    <w:rsid w:val="00420784"/>
    <w:rsid w:val="004232E5"/>
    <w:rsid w:val="0042590F"/>
    <w:rsid w:val="0042664C"/>
    <w:rsid w:val="00426A3A"/>
    <w:rsid w:val="00426C0B"/>
    <w:rsid w:val="004329C9"/>
    <w:rsid w:val="00433B4E"/>
    <w:rsid w:val="00433E0A"/>
    <w:rsid w:val="00437675"/>
    <w:rsid w:val="004379D0"/>
    <w:rsid w:val="00437A4E"/>
    <w:rsid w:val="00437F14"/>
    <w:rsid w:val="0044055C"/>
    <w:rsid w:val="00440771"/>
    <w:rsid w:val="004411F6"/>
    <w:rsid w:val="004412EA"/>
    <w:rsid w:val="0044447C"/>
    <w:rsid w:val="00444D8B"/>
    <w:rsid w:val="00446DAE"/>
    <w:rsid w:val="00447348"/>
    <w:rsid w:val="004511DB"/>
    <w:rsid w:val="0045320F"/>
    <w:rsid w:val="00453F2C"/>
    <w:rsid w:val="00454FFA"/>
    <w:rsid w:val="00455E43"/>
    <w:rsid w:val="00456493"/>
    <w:rsid w:val="004568C2"/>
    <w:rsid w:val="004600AA"/>
    <w:rsid w:val="004618C6"/>
    <w:rsid w:val="0046198F"/>
    <w:rsid w:val="0046382E"/>
    <w:rsid w:val="00465AC4"/>
    <w:rsid w:val="004671E4"/>
    <w:rsid w:val="0047016D"/>
    <w:rsid w:val="0047144A"/>
    <w:rsid w:val="004728B6"/>
    <w:rsid w:val="00473787"/>
    <w:rsid w:val="00476173"/>
    <w:rsid w:val="00477A28"/>
    <w:rsid w:val="00481AB5"/>
    <w:rsid w:val="004831AA"/>
    <w:rsid w:val="00483609"/>
    <w:rsid w:val="004848F5"/>
    <w:rsid w:val="00484A46"/>
    <w:rsid w:val="00485296"/>
    <w:rsid w:val="00486048"/>
    <w:rsid w:val="0048749C"/>
    <w:rsid w:val="004876C2"/>
    <w:rsid w:val="00490D9C"/>
    <w:rsid w:val="00492EA2"/>
    <w:rsid w:val="00492F49"/>
    <w:rsid w:val="00493082"/>
    <w:rsid w:val="0049401B"/>
    <w:rsid w:val="004945C7"/>
    <w:rsid w:val="00494695"/>
    <w:rsid w:val="0049747D"/>
    <w:rsid w:val="004A076D"/>
    <w:rsid w:val="004A0B3C"/>
    <w:rsid w:val="004A0E96"/>
    <w:rsid w:val="004A287B"/>
    <w:rsid w:val="004A2D94"/>
    <w:rsid w:val="004A55DB"/>
    <w:rsid w:val="004A5935"/>
    <w:rsid w:val="004A69EA"/>
    <w:rsid w:val="004A755E"/>
    <w:rsid w:val="004B0BB3"/>
    <w:rsid w:val="004B1407"/>
    <w:rsid w:val="004B356A"/>
    <w:rsid w:val="004B3BF4"/>
    <w:rsid w:val="004C07B7"/>
    <w:rsid w:val="004C16C3"/>
    <w:rsid w:val="004C5EAE"/>
    <w:rsid w:val="004C7FDE"/>
    <w:rsid w:val="004D09DD"/>
    <w:rsid w:val="004D7513"/>
    <w:rsid w:val="004D77FD"/>
    <w:rsid w:val="004E096E"/>
    <w:rsid w:val="004E1E63"/>
    <w:rsid w:val="004E2E2A"/>
    <w:rsid w:val="004E656E"/>
    <w:rsid w:val="004E7021"/>
    <w:rsid w:val="004F1D8F"/>
    <w:rsid w:val="004F271C"/>
    <w:rsid w:val="004F2C31"/>
    <w:rsid w:val="00504C3D"/>
    <w:rsid w:val="0051161F"/>
    <w:rsid w:val="00513454"/>
    <w:rsid w:val="0051384C"/>
    <w:rsid w:val="0051732A"/>
    <w:rsid w:val="005229F7"/>
    <w:rsid w:val="00522AE9"/>
    <w:rsid w:val="00522B2E"/>
    <w:rsid w:val="005245DE"/>
    <w:rsid w:val="00524878"/>
    <w:rsid w:val="005250C1"/>
    <w:rsid w:val="00526F11"/>
    <w:rsid w:val="0053039B"/>
    <w:rsid w:val="00530EDC"/>
    <w:rsid w:val="00531431"/>
    <w:rsid w:val="00533B92"/>
    <w:rsid w:val="0053586F"/>
    <w:rsid w:val="005428E4"/>
    <w:rsid w:val="00543939"/>
    <w:rsid w:val="005446EC"/>
    <w:rsid w:val="00544CDF"/>
    <w:rsid w:val="00547465"/>
    <w:rsid w:val="00552518"/>
    <w:rsid w:val="00552E4B"/>
    <w:rsid w:val="005560D2"/>
    <w:rsid w:val="005600ED"/>
    <w:rsid w:val="00561F65"/>
    <w:rsid w:val="005620E6"/>
    <w:rsid w:val="005638E2"/>
    <w:rsid w:val="00565689"/>
    <w:rsid w:val="0056616A"/>
    <w:rsid w:val="005701B3"/>
    <w:rsid w:val="00570CE8"/>
    <w:rsid w:val="005717A4"/>
    <w:rsid w:val="00572029"/>
    <w:rsid w:val="00574CD4"/>
    <w:rsid w:val="005751CB"/>
    <w:rsid w:val="0057555F"/>
    <w:rsid w:val="005765BB"/>
    <w:rsid w:val="00576872"/>
    <w:rsid w:val="00576995"/>
    <w:rsid w:val="00581516"/>
    <w:rsid w:val="005816A8"/>
    <w:rsid w:val="00585191"/>
    <w:rsid w:val="0058565B"/>
    <w:rsid w:val="005858BD"/>
    <w:rsid w:val="00587705"/>
    <w:rsid w:val="0058794F"/>
    <w:rsid w:val="00592161"/>
    <w:rsid w:val="0059229B"/>
    <w:rsid w:val="00593394"/>
    <w:rsid w:val="00595928"/>
    <w:rsid w:val="00595AD7"/>
    <w:rsid w:val="005978FB"/>
    <w:rsid w:val="005A0E79"/>
    <w:rsid w:val="005A2BB6"/>
    <w:rsid w:val="005A3383"/>
    <w:rsid w:val="005A4B1A"/>
    <w:rsid w:val="005A5C57"/>
    <w:rsid w:val="005A750F"/>
    <w:rsid w:val="005B167B"/>
    <w:rsid w:val="005B1832"/>
    <w:rsid w:val="005B2EA6"/>
    <w:rsid w:val="005B31CA"/>
    <w:rsid w:val="005B3667"/>
    <w:rsid w:val="005B4B40"/>
    <w:rsid w:val="005B4DB7"/>
    <w:rsid w:val="005B5A1B"/>
    <w:rsid w:val="005B7AC8"/>
    <w:rsid w:val="005C126E"/>
    <w:rsid w:val="005C2B77"/>
    <w:rsid w:val="005C44AB"/>
    <w:rsid w:val="005C4CB6"/>
    <w:rsid w:val="005C4FD0"/>
    <w:rsid w:val="005D040F"/>
    <w:rsid w:val="005D0534"/>
    <w:rsid w:val="005D3C1F"/>
    <w:rsid w:val="005D4EB1"/>
    <w:rsid w:val="005D6664"/>
    <w:rsid w:val="005D7986"/>
    <w:rsid w:val="005E1E00"/>
    <w:rsid w:val="005E36F7"/>
    <w:rsid w:val="005E6792"/>
    <w:rsid w:val="005F0C1F"/>
    <w:rsid w:val="005F2F7E"/>
    <w:rsid w:val="005F3DDE"/>
    <w:rsid w:val="005F6374"/>
    <w:rsid w:val="005F6773"/>
    <w:rsid w:val="006006CB"/>
    <w:rsid w:val="006015A7"/>
    <w:rsid w:val="00601894"/>
    <w:rsid w:val="0060430F"/>
    <w:rsid w:val="00606FB3"/>
    <w:rsid w:val="006079AD"/>
    <w:rsid w:val="00610EF5"/>
    <w:rsid w:val="00611ACD"/>
    <w:rsid w:val="00612011"/>
    <w:rsid w:val="00613801"/>
    <w:rsid w:val="00613BA4"/>
    <w:rsid w:val="00614C98"/>
    <w:rsid w:val="006166F5"/>
    <w:rsid w:val="006168E5"/>
    <w:rsid w:val="006179D8"/>
    <w:rsid w:val="00622300"/>
    <w:rsid w:val="0062289E"/>
    <w:rsid w:val="0063230B"/>
    <w:rsid w:val="00635444"/>
    <w:rsid w:val="00635F26"/>
    <w:rsid w:val="0063691E"/>
    <w:rsid w:val="006375C5"/>
    <w:rsid w:val="00642095"/>
    <w:rsid w:val="00642484"/>
    <w:rsid w:val="00642640"/>
    <w:rsid w:val="0064269E"/>
    <w:rsid w:val="00642991"/>
    <w:rsid w:val="00645EC8"/>
    <w:rsid w:val="00646F72"/>
    <w:rsid w:val="00647F84"/>
    <w:rsid w:val="006510BD"/>
    <w:rsid w:val="006537F7"/>
    <w:rsid w:val="00655AA4"/>
    <w:rsid w:val="0066226B"/>
    <w:rsid w:val="00663DB4"/>
    <w:rsid w:val="0066456D"/>
    <w:rsid w:val="00666B96"/>
    <w:rsid w:val="00670DE7"/>
    <w:rsid w:val="00671628"/>
    <w:rsid w:val="006764DD"/>
    <w:rsid w:val="00681566"/>
    <w:rsid w:val="006843D4"/>
    <w:rsid w:val="00685BCA"/>
    <w:rsid w:val="00686C3F"/>
    <w:rsid w:val="00691333"/>
    <w:rsid w:val="006923C3"/>
    <w:rsid w:val="00697C77"/>
    <w:rsid w:val="006A0702"/>
    <w:rsid w:val="006A084E"/>
    <w:rsid w:val="006A0A63"/>
    <w:rsid w:val="006A114F"/>
    <w:rsid w:val="006A1214"/>
    <w:rsid w:val="006A1ACC"/>
    <w:rsid w:val="006A4E7E"/>
    <w:rsid w:val="006A5CC6"/>
    <w:rsid w:val="006A61A8"/>
    <w:rsid w:val="006B1D90"/>
    <w:rsid w:val="006B3D1B"/>
    <w:rsid w:val="006B663F"/>
    <w:rsid w:val="006C59E0"/>
    <w:rsid w:val="006C7549"/>
    <w:rsid w:val="006D2839"/>
    <w:rsid w:val="006D2E2E"/>
    <w:rsid w:val="006D3283"/>
    <w:rsid w:val="006D3B18"/>
    <w:rsid w:val="006D51B7"/>
    <w:rsid w:val="006E0F0B"/>
    <w:rsid w:val="006E36D8"/>
    <w:rsid w:val="006E6E0C"/>
    <w:rsid w:val="006E7046"/>
    <w:rsid w:val="006E7AD8"/>
    <w:rsid w:val="006F034E"/>
    <w:rsid w:val="006F0FA2"/>
    <w:rsid w:val="006F118A"/>
    <w:rsid w:val="006F1D98"/>
    <w:rsid w:val="006F26B9"/>
    <w:rsid w:val="006F2F17"/>
    <w:rsid w:val="006F2F32"/>
    <w:rsid w:val="006F460A"/>
    <w:rsid w:val="006F4C3B"/>
    <w:rsid w:val="006F6B99"/>
    <w:rsid w:val="007016D7"/>
    <w:rsid w:val="00702005"/>
    <w:rsid w:val="00702DBA"/>
    <w:rsid w:val="0070384C"/>
    <w:rsid w:val="0070419B"/>
    <w:rsid w:val="0070459A"/>
    <w:rsid w:val="00705324"/>
    <w:rsid w:val="007066B9"/>
    <w:rsid w:val="00706E9A"/>
    <w:rsid w:val="007103DE"/>
    <w:rsid w:val="007112B5"/>
    <w:rsid w:val="00711618"/>
    <w:rsid w:val="00711E58"/>
    <w:rsid w:val="0071482D"/>
    <w:rsid w:val="00714CB2"/>
    <w:rsid w:val="00715FAD"/>
    <w:rsid w:val="007202CA"/>
    <w:rsid w:val="00720FD7"/>
    <w:rsid w:val="00721057"/>
    <w:rsid w:val="00722E66"/>
    <w:rsid w:val="0072321E"/>
    <w:rsid w:val="00725C34"/>
    <w:rsid w:val="00726929"/>
    <w:rsid w:val="007305C3"/>
    <w:rsid w:val="007334F4"/>
    <w:rsid w:val="00733AFA"/>
    <w:rsid w:val="00734796"/>
    <w:rsid w:val="00735403"/>
    <w:rsid w:val="00736687"/>
    <w:rsid w:val="0073770F"/>
    <w:rsid w:val="0074052E"/>
    <w:rsid w:val="007410BA"/>
    <w:rsid w:val="007417F9"/>
    <w:rsid w:val="007449F9"/>
    <w:rsid w:val="00745568"/>
    <w:rsid w:val="00745ED2"/>
    <w:rsid w:val="00747A31"/>
    <w:rsid w:val="00750340"/>
    <w:rsid w:val="007506DC"/>
    <w:rsid w:val="0075091C"/>
    <w:rsid w:val="00750B13"/>
    <w:rsid w:val="00752A35"/>
    <w:rsid w:val="00753B43"/>
    <w:rsid w:val="00756AA5"/>
    <w:rsid w:val="00756EA6"/>
    <w:rsid w:val="00760AEC"/>
    <w:rsid w:val="00761520"/>
    <w:rsid w:val="007616D6"/>
    <w:rsid w:val="0076200D"/>
    <w:rsid w:val="00762C8D"/>
    <w:rsid w:val="00763416"/>
    <w:rsid w:val="00764D97"/>
    <w:rsid w:val="007655FC"/>
    <w:rsid w:val="00765821"/>
    <w:rsid w:val="00767686"/>
    <w:rsid w:val="007677AA"/>
    <w:rsid w:val="00767876"/>
    <w:rsid w:val="00770BBC"/>
    <w:rsid w:val="0077267B"/>
    <w:rsid w:val="00774C3B"/>
    <w:rsid w:val="00775588"/>
    <w:rsid w:val="00776993"/>
    <w:rsid w:val="00782ED5"/>
    <w:rsid w:val="007848C4"/>
    <w:rsid w:val="00785301"/>
    <w:rsid w:val="007870A3"/>
    <w:rsid w:val="00787E47"/>
    <w:rsid w:val="00790D70"/>
    <w:rsid w:val="007913E0"/>
    <w:rsid w:val="007923E9"/>
    <w:rsid w:val="00792DDF"/>
    <w:rsid w:val="0079304F"/>
    <w:rsid w:val="00795DE3"/>
    <w:rsid w:val="00796A92"/>
    <w:rsid w:val="007A21CE"/>
    <w:rsid w:val="007A248B"/>
    <w:rsid w:val="007A2C2C"/>
    <w:rsid w:val="007A5342"/>
    <w:rsid w:val="007A5C04"/>
    <w:rsid w:val="007A6816"/>
    <w:rsid w:val="007A6C8D"/>
    <w:rsid w:val="007B03E8"/>
    <w:rsid w:val="007B0E9F"/>
    <w:rsid w:val="007B13EE"/>
    <w:rsid w:val="007B3A73"/>
    <w:rsid w:val="007B55BC"/>
    <w:rsid w:val="007B572B"/>
    <w:rsid w:val="007B5AD0"/>
    <w:rsid w:val="007B726E"/>
    <w:rsid w:val="007C24D5"/>
    <w:rsid w:val="007C3E7A"/>
    <w:rsid w:val="007C562F"/>
    <w:rsid w:val="007C744D"/>
    <w:rsid w:val="007D0E5A"/>
    <w:rsid w:val="007D1E84"/>
    <w:rsid w:val="007D35B4"/>
    <w:rsid w:val="007D632F"/>
    <w:rsid w:val="007D7054"/>
    <w:rsid w:val="007D7276"/>
    <w:rsid w:val="007D7E45"/>
    <w:rsid w:val="007E02AF"/>
    <w:rsid w:val="007E17B4"/>
    <w:rsid w:val="007E2EBA"/>
    <w:rsid w:val="007E3037"/>
    <w:rsid w:val="007E6178"/>
    <w:rsid w:val="007E7278"/>
    <w:rsid w:val="007E75FB"/>
    <w:rsid w:val="007F1154"/>
    <w:rsid w:val="007F143D"/>
    <w:rsid w:val="007F16E2"/>
    <w:rsid w:val="007F2A5D"/>
    <w:rsid w:val="007F2C5E"/>
    <w:rsid w:val="007F2E67"/>
    <w:rsid w:val="007F4059"/>
    <w:rsid w:val="007F5B93"/>
    <w:rsid w:val="007F6508"/>
    <w:rsid w:val="00802EDF"/>
    <w:rsid w:val="00803606"/>
    <w:rsid w:val="00807696"/>
    <w:rsid w:val="00810B7A"/>
    <w:rsid w:val="00810E27"/>
    <w:rsid w:val="00811B84"/>
    <w:rsid w:val="008122E1"/>
    <w:rsid w:val="008123DD"/>
    <w:rsid w:val="00812813"/>
    <w:rsid w:val="008141E3"/>
    <w:rsid w:val="00816B48"/>
    <w:rsid w:val="00821296"/>
    <w:rsid w:val="00821ACC"/>
    <w:rsid w:val="00822792"/>
    <w:rsid w:val="00822C76"/>
    <w:rsid w:val="00823976"/>
    <w:rsid w:val="0082520A"/>
    <w:rsid w:val="00825454"/>
    <w:rsid w:val="00827C33"/>
    <w:rsid w:val="00830F42"/>
    <w:rsid w:val="008310AE"/>
    <w:rsid w:val="00831B0F"/>
    <w:rsid w:val="00831DAD"/>
    <w:rsid w:val="00835D1E"/>
    <w:rsid w:val="00836C5A"/>
    <w:rsid w:val="0083784F"/>
    <w:rsid w:val="00840CC5"/>
    <w:rsid w:val="00840CF2"/>
    <w:rsid w:val="00841DA2"/>
    <w:rsid w:val="00844494"/>
    <w:rsid w:val="00846D6D"/>
    <w:rsid w:val="008505F1"/>
    <w:rsid w:val="00850C04"/>
    <w:rsid w:val="008524D6"/>
    <w:rsid w:val="0085255C"/>
    <w:rsid w:val="00854CE5"/>
    <w:rsid w:val="0085507B"/>
    <w:rsid w:val="00856FAD"/>
    <w:rsid w:val="0085708F"/>
    <w:rsid w:val="0085726D"/>
    <w:rsid w:val="0086278C"/>
    <w:rsid w:val="00862E31"/>
    <w:rsid w:val="00864090"/>
    <w:rsid w:val="008657AF"/>
    <w:rsid w:val="00866190"/>
    <w:rsid w:val="008667CF"/>
    <w:rsid w:val="00870983"/>
    <w:rsid w:val="00870B9D"/>
    <w:rsid w:val="00871D6B"/>
    <w:rsid w:val="00874632"/>
    <w:rsid w:val="008756D1"/>
    <w:rsid w:val="00880EFF"/>
    <w:rsid w:val="0088279E"/>
    <w:rsid w:val="00884435"/>
    <w:rsid w:val="008855A4"/>
    <w:rsid w:val="00886A3C"/>
    <w:rsid w:val="00887045"/>
    <w:rsid w:val="00892DFF"/>
    <w:rsid w:val="008946C5"/>
    <w:rsid w:val="00895DD1"/>
    <w:rsid w:val="008A0BE6"/>
    <w:rsid w:val="008A7115"/>
    <w:rsid w:val="008B1351"/>
    <w:rsid w:val="008B1F7C"/>
    <w:rsid w:val="008B2036"/>
    <w:rsid w:val="008B3B34"/>
    <w:rsid w:val="008B3BD1"/>
    <w:rsid w:val="008B483F"/>
    <w:rsid w:val="008B4C58"/>
    <w:rsid w:val="008B55ED"/>
    <w:rsid w:val="008B5AD6"/>
    <w:rsid w:val="008B67EA"/>
    <w:rsid w:val="008B6EC1"/>
    <w:rsid w:val="008B6F64"/>
    <w:rsid w:val="008B7447"/>
    <w:rsid w:val="008C0398"/>
    <w:rsid w:val="008C4973"/>
    <w:rsid w:val="008C570C"/>
    <w:rsid w:val="008C760B"/>
    <w:rsid w:val="008D0E09"/>
    <w:rsid w:val="008D1F22"/>
    <w:rsid w:val="008D234A"/>
    <w:rsid w:val="008D55FB"/>
    <w:rsid w:val="008D5877"/>
    <w:rsid w:val="008D6899"/>
    <w:rsid w:val="008E0349"/>
    <w:rsid w:val="008E334F"/>
    <w:rsid w:val="008E34E1"/>
    <w:rsid w:val="008E4B53"/>
    <w:rsid w:val="008E62FA"/>
    <w:rsid w:val="008E6909"/>
    <w:rsid w:val="008E7A01"/>
    <w:rsid w:val="008E7CDA"/>
    <w:rsid w:val="008F0017"/>
    <w:rsid w:val="008F29C1"/>
    <w:rsid w:val="008F309F"/>
    <w:rsid w:val="008F52CD"/>
    <w:rsid w:val="008F66CD"/>
    <w:rsid w:val="008F72DF"/>
    <w:rsid w:val="008F74C7"/>
    <w:rsid w:val="008F7800"/>
    <w:rsid w:val="0090618D"/>
    <w:rsid w:val="00906E19"/>
    <w:rsid w:val="00910B8D"/>
    <w:rsid w:val="00910D95"/>
    <w:rsid w:val="00916112"/>
    <w:rsid w:val="00917D1E"/>
    <w:rsid w:val="00920052"/>
    <w:rsid w:val="0092084F"/>
    <w:rsid w:val="009254BE"/>
    <w:rsid w:val="00925828"/>
    <w:rsid w:val="00926E13"/>
    <w:rsid w:val="009313D8"/>
    <w:rsid w:val="00932F4D"/>
    <w:rsid w:val="00934E5F"/>
    <w:rsid w:val="00935E3B"/>
    <w:rsid w:val="0094243C"/>
    <w:rsid w:val="00943832"/>
    <w:rsid w:val="00945227"/>
    <w:rsid w:val="00946380"/>
    <w:rsid w:val="0094786E"/>
    <w:rsid w:val="00950132"/>
    <w:rsid w:val="00952F4A"/>
    <w:rsid w:val="00953657"/>
    <w:rsid w:val="00954BD9"/>
    <w:rsid w:val="0095767E"/>
    <w:rsid w:val="00957E71"/>
    <w:rsid w:val="009610EF"/>
    <w:rsid w:val="009617D3"/>
    <w:rsid w:val="0096214F"/>
    <w:rsid w:val="0096267D"/>
    <w:rsid w:val="00962E35"/>
    <w:rsid w:val="00964A41"/>
    <w:rsid w:val="00965377"/>
    <w:rsid w:val="009673DD"/>
    <w:rsid w:val="00967B5C"/>
    <w:rsid w:val="00967C04"/>
    <w:rsid w:val="00972DF4"/>
    <w:rsid w:val="009730AD"/>
    <w:rsid w:val="009744DD"/>
    <w:rsid w:val="009746E3"/>
    <w:rsid w:val="009754B4"/>
    <w:rsid w:val="00981C81"/>
    <w:rsid w:val="009835E6"/>
    <w:rsid w:val="00985A4E"/>
    <w:rsid w:val="009904DD"/>
    <w:rsid w:val="00991F3D"/>
    <w:rsid w:val="009925B7"/>
    <w:rsid w:val="0099637A"/>
    <w:rsid w:val="00996C04"/>
    <w:rsid w:val="00996EBD"/>
    <w:rsid w:val="00996F18"/>
    <w:rsid w:val="009A0B1C"/>
    <w:rsid w:val="009A196F"/>
    <w:rsid w:val="009A58AA"/>
    <w:rsid w:val="009A71CD"/>
    <w:rsid w:val="009B1A1B"/>
    <w:rsid w:val="009B5471"/>
    <w:rsid w:val="009C025E"/>
    <w:rsid w:val="009C07DC"/>
    <w:rsid w:val="009C0F0B"/>
    <w:rsid w:val="009C1238"/>
    <w:rsid w:val="009C1FF8"/>
    <w:rsid w:val="009C2D50"/>
    <w:rsid w:val="009C2DE8"/>
    <w:rsid w:val="009C382A"/>
    <w:rsid w:val="009C5E48"/>
    <w:rsid w:val="009C6B11"/>
    <w:rsid w:val="009D0482"/>
    <w:rsid w:val="009D14DF"/>
    <w:rsid w:val="009D1A97"/>
    <w:rsid w:val="009D1F85"/>
    <w:rsid w:val="009D4CB9"/>
    <w:rsid w:val="009D5188"/>
    <w:rsid w:val="009D5496"/>
    <w:rsid w:val="009D54DD"/>
    <w:rsid w:val="009D5CAE"/>
    <w:rsid w:val="009D5E03"/>
    <w:rsid w:val="009E13D7"/>
    <w:rsid w:val="009E1A46"/>
    <w:rsid w:val="009E3213"/>
    <w:rsid w:val="009E71AE"/>
    <w:rsid w:val="009E7D76"/>
    <w:rsid w:val="009F027D"/>
    <w:rsid w:val="009F218E"/>
    <w:rsid w:val="009F2E47"/>
    <w:rsid w:val="009F402D"/>
    <w:rsid w:val="009F48D2"/>
    <w:rsid w:val="009F79F4"/>
    <w:rsid w:val="00A005EC"/>
    <w:rsid w:val="00A01A49"/>
    <w:rsid w:val="00A025CE"/>
    <w:rsid w:val="00A037E7"/>
    <w:rsid w:val="00A044F2"/>
    <w:rsid w:val="00A06178"/>
    <w:rsid w:val="00A07452"/>
    <w:rsid w:val="00A10F0F"/>
    <w:rsid w:val="00A11B9E"/>
    <w:rsid w:val="00A15443"/>
    <w:rsid w:val="00A1673E"/>
    <w:rsid w:val="00A21233"/>
    <w:rsid w:val="00A216B3"/>
    <w:rsid w:val="00A229A3"/>
    <w:rsid w:val="00A23749"/>
    <w:rsid w:val="00A24556"/>
    <w:rsid w:val="00A26874"/>
    <w:rsid w:val="00A30751"/>
    <w:rsid w:val="00A31652"/>
    <w:rsid w:val="00A31C8B"/>
    <w:rsid w:val="00A359A5"/>
    <w:rsid w:val="00A35C50"/>
    <w:rsid w:val="00A35C59"/>
    <w:rsid w:val="00A36878"/>
    <w:rsid w:val="00A379E2"/>
    <w:rsid w:val="00A37EA9"/>
    <w:rsid w:val="00A418D4"/>
    <w:rsid w:val="00A41C52"/>
    <w:rsid w:val="00A4225C"/>
    <w:rsid w:val="00A4235C"/>
    <w:rsid w:val="00A426FF"/>
    <w:rsid w:val="00A4293F"/>
    <w:rsid w:val="00A46CC2"/>
    <w:rsid w:val="00A51954"/>
    <w:rsid w:val="00A547C6"/>
    <w:rsid w:val="00A6279D"/>
    <w:rsid w:val="00A638B5"/>
    <w:rsid w:val="00A64B12"/>
    <w:rsid w:val="00A66AB1"/>
    <w:rsid w:val="00A67DED"/>
    <w:rsid w:val="00A709D7"/>
    <w:rsid w:val="00A7148F"/>
    <w:rsid w:val="00A75B96"/>
    <w:rsid w:val="00A77F80"/>
    <w:rsid w:val="00A80501"/>
    <w:rsid w:val="00A816E3"/>
    <w:rsid w:val="00A81E7F"/>
    <w:rsid w:val="00A822EA"/>
    <w:rsid w:val="00A82CAA"/>
    <w:rsid w:val="00A845BD"/>
    <w:rsid w:val="00A8537C"/>
    <w:rsid w:val="00A85CED"/>
    <w:rsid w:val="00A913FC"/>
    <w:rsid w:val="00A9397A"/>
    <w:rsid w:val="00A94E52"/>
    <w:rsid w:val="00A97D8F"/>
    <w:rsid w:val="00AA057C"/>
    <w:rsid w:val="00AA06FE"/>
    <w:rsid w:val="00AA0C6A"/>
    <w:rsid w:val="00AA2A6E"/>
    <w:rsid w:val="00AA45A0"/>
    <w:rsid w:val="00AA4E2E"/>
    <w:rsid w:val="00AA5FFE"/>
    <w:rsid w:val="00AB156D"/>
    <w:rsid w:val="00AB2A7E"/>
    <w:rsid w:val="00AB43A2"/>
    <w:rsid w:val="00AB62E3"/>
    <w:rsid w:val="00AB6362"/>
    <w:rsid w:val="00AB69AD"/>
    <w:rsid w:val="00AB76CF"/>
    <w:rsid w:val="00AC09AE"/>
    <w:rsid w:val="00AC512F"/>
    <w:rsid w:val="00AC6E6F"/>
    <w:rsid w:val="00AC79BF"/>
    <w:rsid w:val="00AD158D"/>
    <w:rsid w:val="00AD16C9"/>
    <w:rsid w:val="00AD262C"/>
    <w:rsid w:val="00AE19ED"/>
    <w:rsid w:val="00AE1D6E"/>
    <w:rsid w:val="00AE2B2E"/>
    <w:rsid w:val="00AE32AC"/>
    <w:rsid w:val="00AE4716"/>
    <w:rsid w:val="00AE4DA1"/>
    <w:rsid w:val="00AE617C"/>
    <w:rsid w:val="00AE7993"/>
    <w:rsid w:val="00AF000A"/>
    <w:rsid w:val="00AF2A2A"/>
    <w:rsid w:val="00AF2BAC"/>
    <w:rsid w:val="00AF2F90"/>
    <w:rsid w:val="00AF4332"/>
    <w:rsid w:val="00AF5182"/>
    <w:rsid w:val="00AF53C0"/>
    <w:rsid w:val="00AF552E"/>
    <w:rsid w:val="00AF7321"/>
    <w:rsid w:val="00AF7823"/>
    <w:rsid w:val="00B00D65"/>
    <w:rsid w:val="00B04CD3"/>
    <w:rsid w:val="00B055C1"/>
    <w:rsid w:val="00B05943"/>
    <w:rsid w:val="00B06754"/>
    <w:rsid w:val="00B06CAE"/>
    <w:rsid w:val="00B07197"/>
    <w:rsid w:val="00B11F25"/>
    <w:rsid w:val="00B1206B"/>
    <w:rsid w:val="00B1756F"/>
    <w:rsid w:val="00B20914"/>
    <w:rsid w:val="00B224DC"/>
    <w:rsid w:val="00B2254F"/>
    <w:rsid w:val="00B2598D"/>
    <w:rsid w:val="00B3048F"/>
    <w:rsid w:val="00B308B8"/>
    <w:rsid w:val="00B32888"/>
    <w:rsid w:val="00B32AD2"/>
    <w:rsid w:val="00B33D52"/>
    <w:rsid w:val="00B33FD7"/>
    <w:rsid w:val="00B34254"/>
    <w:rsid w:val="00B34832"/>
    <w:rsid w:val="00B34B25"/>
    <w:rsid w:val="00B36776"/>
    <w:rsid w:val="00B44D0E"/>
    <w:rsid w:val="00B46A08"/>
    <w:rsid w:val="00B47ADE"/>
    <w:rsid w:val="00B56D2D"/>
    <w:rsid w:val="00B61993"/>
    <w:rsid w:val="00B62751"/>
    <w:rsid w:val="00B63CF0"/>
    <w:rsid w:val="00B7070C"/>
    <w:rsid w:val="00B70BB1"/>
    <w:rsid w:val="00B7153C"/>
    <w:rsid w:val="00B71F51"/>
    <w:rsid w:val="00B72288"/>
    <w:rsid w:val="00B72BB2"/>
    <w:rsid w:val="00B75537"/>
    <w:rsid w:val="00B7719F"/>
    <w:rsid w:val="00B814F7"/>
    <w:rsid w:val="00B82B3C"/>
    <w:rsid w:val="00B8334F"/>
    <w:rsid w:val="00B8434D"/>
    <w:rsid w:val="00B8499E"/>
    <w:rsid w:val="00B9059D"/>
    <w:rsid w:val="00B93313"/>
    <w:rsid w:val="00B93593"/>
    <w:rsid w:val="00B958B8"/>
    <w:rsid w:val="00B9677E"/>
    <w:rsid w:val="00B97C16"/>
    <w:rsid w:val="00B97CEB"/>
    <w:rsid w:val="00BA1394"/>
    <w:rsid w:val="00BA1D47"/>
    <w:rsid w:val="00BA3F4D"/>
    <w:rsid w:val="00BA6BAD"/>
    <w:rsid w:val="00BB198A"/>
    <w:rsid w:val="00BB1F19"/>
    <w:rsid w:val="00BB3962"/>
    <w:rsid w:val="00BB421E"/>
    <w:rsid w:val="00BB49B7"/>
    <w:rsid w:val="00BB658A"/>
    <w:rsid w:val="00BC031F"/>
    <w:rsid w:val="00BC3D69"/>
    <w:rsid w:val="00BC4494"/>
    <w:rsid w:val="00BC7E52"/>
    <w:rsid w:val="00BD01EB"/>
    <w:rsid w:val="00BD2B73"/>
    <w:rsid w:val="00BD3692"/>
    <w:rsid w:val="00BD532A"/>
    <w:rsid w:val="00BD5557"/>
    <w:rsid w:val="00BD5D7B"/>
    <w:rsid w:val="00BD5E0A"/>
    <w:rsid w:val="00BD719E"/>
    <w:rsid w:val="00BD7D09"/>
    <w:rsid w:val="00BE3048"/>
    <w:rsid w:val="00BE41FA"/>
    <w:rsid w:val="00BE50A2"/>
    <w:rsid w:val="00BE5D13"/>
    <w:rsid w:val="00BE5DF0"/>
    <w:rsid w:val="00BE6A94"/>
    <w:rsid w:val="00BE6AF6"/>
    <w:rsid w:val="00BE6F32"/>
    <w:rsid w:val="00BF11A7"/>
    <w:rsid w:val="00BF1851"/>
    <w:rsid w:val="00BF4025"/>
    <w:rsid w:val="00BF494F"/>
    <w:rsid w:val="00BF7C2C"/>
    <w:rsid w:val="00C022CA"/>
    <w:rsid w:val="00C027FD"/>
    <w:rsid w:val="00C032BD"/>
    <w:rsid w:val="00C03669"/>
    <w:rsid w:val="00C05168"/>
    <w:rsid w:val="00C103BC"/>
    <w:rsid w:val="00C1092A"/>
    <w:rsid w:val="00C13271"/>
    <w:rsid w:val="00C23447"/>
    <w:rsid w:val="00C23615"/>
    <w:rsid w:val="00C23732"/>
    <w:rsid w:val="00C23751"/>
    <w:rsid w:val="00C238F0"/>
    <w:rsid w:val="00C26DD0"/>
    <w:rsid w:val="00C3032A"/>
    <w:rsid w:val="00C325A9"/>
    <w:rsid w:val="00C32BBF"/>
    <w:rsid w:val="00C32F20"/>
    <w:rsid w:val="00C3373F"/>
    <w:rsid w:val="00C400DF"/>
    <w:rsid w:val="00C40FD4"/>
    <w:rsid w:val="00C44AD8"/>
    <w:rsid w:val="00C46CE1"/>
    <w:rsid w:val="00C47503"/>
    <w:rsid w:val="00C51428"/>
    <w:rsid w:val="00C51F4F"/>
    <w:rsid w:val="00C5428E"/>
    <w:rsid w:val="00C54425"/>
    <w:rsid w:val="00C55326"/>
    <w:rsid w:val="00C55538"/>
    <w:rsid w:val="00C5735C"/>
    <w:rsid w:val="00C61AFC"/>
    <w:rsid w:val="00C64661"/>
    <w:rsid w:val="00C6595D"/>
    <w:rsid w:val="00C65C2E"/>
    <w:rsid w:val="00C66340"/>
    <w:rsid w:val="00C66671"/>
    <w:rsid w:val="00C66F76"/>
    <w:rsid w:val="00C6779D"/>
    <w:rsid w:val="00C70B15"/>
    <w:rsid w:val="00C70D11"/>
    <w:rsid w:val="00C7120A"/>
    <w:rsid w:val="00C718B0"/>
    <w:rsid w:val="00C7683B"/>
    <w:rsid w:val="00C76A6E"/>
    <w:rsid w:val="00C76C24"/>
    <w:rsid w:val="00C772C6"/>
    <w:rsid w:val="00C8023C"/>
    <w:rsid w:val="00C81870"/>
    <w:rsid w:val="00C8196A"/>
    <w:rsid w:val="00C820D1"/>
    <w:rsid w:val="00C82C8C"/>
    <w:rsid w:val="00C87476"/>
    <w:rsid w:val="00C87FA9"/>
    <w:rsid w:val="00C9066A"/>
    <w:rsid w:val="00C92BB4"/>
    <w:rsid w:val="00C934E0"/>
    <w:rsid w:val="00C9408C"/>
    <w:rsid w:val="00C9543F"/>
    <w:rsid w:val="00C9579F"/>
    <w:rsid w:val="00C96FB9"/>
    <w:rsid w:val="00CA066A"/>
    <w:rsid w:val="00CA1398"/>
    <w:rsid w:val="00CA51AE"/>
    <w:rsid w:val="00CB076D"/>
    <w:rsid w:val="00CB0D85"/>
    <w:rsid w:val="00CB1EEF"/>
    <w:rsid w:val="00CB2013"/>
    <w:rsid w:val="00CB243A"/>
    <w:rsid w:val="00CB416D"/>
    <w:rsid w:val="00CB57D6"/>
    <w:rsid w:val="00CB5C26"/>
    <w:rsid w:val="00CB6100"/>
    <w:rsid w:val="00CB6634"/>
    <w:rsid w:val="00CB706A"/>
    <w:rsid w:val="00CC24DA"/>
    <w:rsid w:val="00CC2C9A"/>
    <w:rsid w:val="00CC3347"/>
    <w:rsid w:val="00CC359F"/>
    <w:rsid w:val="00CC3E7A"/>
    <w:rsid w:val="00CC46D2"/>
    <w:rsid w:val="00CC5FE7"/>
    <w:rsid w:val="00CC6FAD"/>
    <w:rsid w:val="00CC767B"/>
    <w:rsid w:val="00CC7BC8"/>
    <w:rsid w:val="00CC7E60"/>
    <w:rsid w:val="00CD082C"/>
    <w:rsid w:val="00CD3D2A"/>
    <w:rsid w:val="00CD73F0"/>
    <w:rsid w:val="00CD7BC8"/>
    <w:rsid w:val="00CE3108"/>
    <w:rsid w:val="00CE4761"/>
    <w:rsid w:val="00CE4EE6"/>
    <w:rsid w:val="00CE7DAF"/>
    <w:rsid w:val="00CE7E44"/>
    <w:rsid w:val="00CF07DD"/>
    <w:rsid w:val="00CF0E12"/>
    <w:rsid w:val="00CF18BF"/>
    <w:rsid w:val="00CF3F1A"/>
    <w:rsid w:val="00CF48DA"/>
    <w:rsid w:val="00CF4A59"/>
    <w:rsid w:val="00CF4AEC"/>
    <w:rsid w:val="00CF622B"/>
    <w:rsid w:val="00D01070"/>
    <w:rsid w:val="00D04D99"/>
    <w:rsid w:val="00D10E17"/>
    <w:rsid w:val="00D129AB"/>
    <w:rsid w:val="00D155F4"/>
    <w:rsid w:val="00D159C8"/>
    <w:rsid w:val="00D1617B"/>
    <w:rsid w:val="00D16E6B"/>
    <w:rsid w:val="00D16F30"/>
    <w:rsid w:val="00D17ADD"/>
    <w:rsid w:val="00D20DE1"/>
    <w:rsid w:val="00D21E66"/>
    <w:rsid w:val="00D23086"/>
    <w:rsid w:val="00D24C98"/>
    <w:rsid w:val="00D25228"/>
    <w:rsid w:val="00D274A0"/>
    <w:rsid w:val="00D30588"/>
    <w:rsid w:val="00D32BFF"/>
    <w:rsid w:val="00D333FF"/>
    <w:rsid w:val="00D34A3B"/>
    <w:rsid w:val="00D34DCA"/>
    <w:rsid w:val="00D35073"/>
    <w:rsid w:val="00D36797"/>
    <w:rsid w:val="00D36B81"/>
    <w:rsid w:val="00D40E09"/>
    <w:rsid w:val="00D416A1"/>
    <w:rsid w:val="00D42D44"/>
    <w:rsid w:val="00D43212"/>
    <w:rsid w:val="00D45179"/>
    <w:rsid w:val="00D46B27"/>
    <w:rsid w:val="00D47DAB"/>
    <w:rsid w:val="00D51B4F"/>
    <w:rsid w:val="00D51EB1"/>
    <w:rsid w:val="00D52635"/>
    <w:rsid w:val="00D54775"/>
    <w:rsid w:val="00D557FA"/>
    <w:rsid w:val="00D57431"/>
    <w:rsid w:val="00D60D7E"/>
    <w:rsid w:val="00D6100D"/>
    <w:rsid w:val="00D61831"/>
    <w:rsid w:val="00D629E5"/>
    <w:rsid w:val="00D64E24"/>
    <w:rsid w:val="00D67093"/>
    <w:rsid w:val="00D678A3"/>
    <w:rsid w:val="00D70D49"/>
    <w:rsid w:val="00D71F17"/>
    <w:rsid w:val="00D72C88"/>
    <w:rsid w:val="00D75175"/>
    <w:rsid w:val="00D77717"/>
    <w:rsid w:val="00D77933"/>
    <w:rsid w:val="00D90AA8"/>
    <w:rsid w:val="00D929D9"/>
    <w:rsid w:val="00D93C29"/>
    <w:rsid w:val="00D94CDF"/>
    <w:rsid w:val="00D96BF6"/>
    <w:rsid w:val="00DA0B6D"/>
    <w:rsid w:val="00DA163E"/>
    <w:rsid w:val="00DA2EA3"/>
    <w:rsid w:val="00DA36A4"/>
    <w:rsid w:val="00DA5E6B"/>
    <w:rsid w:val="00DA75E9"/>
    <w:rsid w:val="00DA76E9"/>
    <w:rsid w:val="00DB3506"/>
    <w:rsid w:val="00DB4095"/>
    <w:rsid w:val="00DB44E3"/>
    <w:rsid w:val="00DB5424"/>
    <w:rsid w:val="00DB77BF"/>
    <w:rsid w:val="00DC09FC"/>
    <w:rsid w:val="00DC1952"/>
    <w:rsid w:val="00DC281D"/>
    <w:rsid w:val="00DC2978"/>
    <w:rsid w:val="00DC3B85"/>
    <w:rsid w:val="00DC410A"/>
    <w:rsid w:val="00DD4850"/>
    <w:rsid w:val="00DD4BA6"/>
    <w:rsid w:val="00DD585E"/>
    <w:rsid w:val="00DD5A77"/>
    <w:rsid w:val="00DD72D0"/>
    <w:rsid w:val="00DD77C1"/>
    <w:rsid w:val="00DE015A"/>
    <w:rsid w:val="00DE04CF"/>
    <w:rsid w:val="00DE1124"/>
    <w:rsid w:val="00DE342B"/>
    <w:rsid w:val="00DE3858"/>
    <w:rsid w:val="00DE48FC"/>
    <w:rsid w:val="00DE4CF4"/>
    <w:rsid w:val="00DE6D6A"/>
    <w:rsid w:val="00DE78C5"/>
    <w:rsid w:val="00DF3C0E"/>
    <w:rsid w:val="00DF41E0"/>
    <w:rsid w:val="00DF71A3"/>
    <w:rsid w:val="00DF740B"/>
    <w:rsid w:val="00DF7B5A"/>
    <w:rsid w:val="00E01213"/>
    <w:rsid w:val="00E013BB"/>
    <w:rsid w:val="00E0163F"/>
    <w:rsid w:val="00E02A63"/>
    <w:rsid w:val="00E03983"/>
    <w:rsid w:val="00E03FF3"/>
    <w:rsid w:val="00E11BB7"/>
    <w:rsid w:val="00E133EE"/>
    <w:rsid w:val="00E16030"/>
    <w:rsid w:val="00E23810"/>
    <w:rsid w:val="00E23ED1"/>
    <w:rsid w:val="00E2501A"/>
    <w:rsid w:val="00E25EE6"/>
    <w:rsid w:val="00E27897"/>
    <w:rsid w:val="00E2789B"/>
    <w:rsid w:val="00E3160E"/>
    <w:rsid w:val="00E420EE"/>
    <w:rsid w:val="00E434BD"/>
    <w:rsid w:val="00E437FD"/>
    <w:rsid w:val="00E45683"/>
    <w:rsid w:val="00E46449"/>
    <w:rsid w:val="00E4736C"/>
    <w:rsid w:val="00E50E0E"/>
    <w:rsid w:val="00E518AF"/>
    <w:rsid w:val="00E527D8"/>
    <w:rsid w:val="00E53E41"/>
    <w:rsid w:val="00E545DE"/>
    <w:rsid w:val="00E558C0"/>
    <w:rsid w:val="00E55909"/>
    <w:rsid w:val="00E568FC"/>
    <w:rsid w:val="00E6145E"/>
    <w:rsid w:val="00E629A6"/>
    <w:rsid w:val="00E65E17"/>
    <w:rsid w:val="00E70F16"/>
    <w:rsid w:val="00E72AFA"/>
    <w:rsid w:val="00E73BC9"/>
    <w:rsid w:val="00E73D38"/>
    <w:rsid w:val="00E75F85"/>
    <w:rsid w:val="00E76AFE"/>
    <w:rsid w:val="00E8420D"/>
    <w:rsid w:val="00E844BE"/>
    <w:rsid w:val="00E84778"/>
    <w:rsid w:val="00E86346"/>
    <w:rsid w:val="00E91C10"/>
    <w:rsid w:val="00E92DA5"/>
    <w:rsid w:val="00E94ED1"/>
    <w:rsid w:val="00E9574D"/>
    <w:rsid w:val="00EA153C"/>
    <w:rsid w:val="00EA4E2D"/>
    <w:rsid w:val="00EA76C5"/>
    <w:rsid w:val="00EB0057"/>
    <w:rsid w:val="00EB1E0E"/>
    <w:rsid w:val="00EB1FB2"/>
    <w:rsid w:val="00EB25EE"/>
    <w:rsid w:val="00EB318A"/>
    <w:rsid w:val="00EB3844"/>
    <w:rsid w:val="00EB3B66"/>
    <w:rsid w:val="00EB4B40"/>
    <w:rsid w:val="00EB4EB8"/>
    <w:rsid w:val="00EB66CE"/>
    <w:rsid w:val="00EC0BB1"/>
    <w:rsid w:val="00EC1C27"/>
    <w:rsid w:val="00EC2827"/>
    <w:rsid w:val="00EC2C28"/>
    <w:rsid w:val="00EC2F3A"/>
    <w:rsid w:val="00EC3CB7"/>
    <w:rsid w:val="00EC5764"/>
    <w:rsid w:val="00EC66FA"/>
    <w:rsid w:val="00EC78B7"/>
    <w:rsid w:val="00EC7C82"/>
    <w:rsid w:val="00ED0FE4"/>
    <w:rsid w:val="00ED14DA"/>
    <w:rsid w:val="00ED3261"/>
    <w:rsid w:val="00ED4B6C"/>
    <w:rsid w:val="00ED4CF9"/>
    <w:rsid w:val="00ED500F"/>
    <w:rsid w:val="00ED66B8"/>
    <w:rsid w:val="00ED745B"/>
    <w:rsid w:val="00EE0BAC"/>
    <w:rsid w:val="00EE1D7D"/>
    <w:rsid w:val="00EE20FA"/>
    <w:rsid w:val="00EE3BDB"/>
    <w:rsid w:val="00EE462F"/>
    <w:rsid w:val="00EE677D"/>
    <w:rsid w:val="00EE766F"/>
    <w:rsid w:val="00EF08A3"/>
    <w:rsid w:val="00EF0F5E"/>
    <w:rsid w:val="00EF13BE"/>
    <w:rsid w:val="00EF160C"/>
    <w:rsid w:val="00EF3535"/>
    <w:rsid w:val="00EF3C1F"/>
    <w:rsid w:val="00EF4100"/>
    <w:rsid w:val="00EF66D2"/>
    <w:rsid w:val="00EF7A05"/>
    <w:rsid w:val="00F05263"/>
    <w:rsid w:val="00F0651A"/>
    <w:rsid w:val="00F06699"/>
    <w:rsid w:val="00F106E2"/>
    <w:rsid w:val="00F10926"/>
    <w:rsid w:val="00F137FB"/>
    <w:rsid w:val="00F13E3E"/>
    <w:rsid w:val="00F13ED9"/>
    <w:rsid w:val="00F15769"/>
    <w:rsid w:val="00F1592C"/>
    <w:rsid w:val="00F20567"/>
    <w:rsid w:val="00F23C38"/>
    <w:rsid w:val="00F30178"/>
    <w:rsid w:val="00F305D1"/>
    <w:rsid w:val="00F30D6B"/>
    <w:rsid w:val="00F314D0"/>
    <w:rsid w:val="00F31A6A"/>
    <w:rsid w:val="00F33EB2"/>
    <w:rsid w:val="00F33F4D"/>
    <w:rsid w:val="00F40442"/>
    <w:rsid w:val="00F4288B"/>
    <w:rsid w:val="00F42B8F"/>
    <w:rsid w:val="00F44969"/>
    <w:rsid w:val="00F44F30"/>
    <w:rsid w:val="00F45AF6"/>
    <w:rsid w:val="00F50809"/>
    <w:rsid w:val="00F52A8F"/>
    <w:rsid w:val="00F5391D"/>
    <w:rsid w:val="00F55F10"/>
    <w:rsid w:val="00F56BA9"/>
    <w:rsid w:val="00F62BB6"/>
    <w:rsid w:val="00F62E6B"/>
    <w:rsid w:val="00F631DB"/>
    <w:rsid w:val="00F642D5"/>
    <w:rsid w:val="00F67037"/>
    <w:rsid w:val="00F74D2F"/>
    <w:rsid w:val="00F753C5"/>
    <w:rsid w:val="00F75C50"/>
    <w:rsid w:val="00F81CBC"/>
    <w:rsid w:val="00F82903"/>
    <w:rsid w:val="00F85EF0"/>
    <w:rsid w:val="00F92750"/>
    <w:rsid w:val="00F92ACF"/>
    <w:rsid w:val="00F94CF6"/>
    <w:rsid w:val="00F953DA"/>
    <w:rsid w:val="00F9658E"/>
    <w:rsid w:val="00F96BBC"/>
    <w:rsid w:val="00F973D7"/>
    <w:rsid w:val="00F97B0C"/>
    <w:rsid w:val="00F97D02"/>
    <w:rsid w:val="00FA5572"/>
    <w:rsid w:val="00FA5721"/>
    <w:rsid w:val="00FA6AFF"/>
    <w:rsid w:val="00FA6C4D"/>
    <w:rsid w:val="00FA6E10"/>
    <w:rsid w:val="00FB1878"/>
    <w:rsid w:val="00FB1BC7"/>
    <w:rsid w:val="00FB2F6B"/>
    <w:rsid w:val="00FB32AD"/>
    <w:rsid w:val="00FB350B"/>
    <w:rsid w:val="00FB37C0"/>
    <w:rsid w:val="00FB5CA7"/>
    <w:rsid w:val="00FC63E4"/>
    <w:rsid w:val="00FD041B"/>
    <w:rsid w:val="00FD3ECC"/>
    <w:rsid w:val="00FD41DF"/>
    <w:rsid w:val="00FD43D4"/>
    <w:rsid w:val="00FD4676"/>
    <w:rsid w:val="00FD57C5"/>
    <w:rsid w:val="00FD74CC"/>
    <w:rsid w:val="00FD79CD"/>
    <w:rsid w:val="00FE0EC5"/>
    <w:rsid w:val="00FE2933"/>
    <w:rsid w:val="00FE3F34"/>
    <w:rsid w:val="00FE55D4"/>
    <w:rsid w:val="00FE5D51"/>
    <w:rsid w:val="00FE6EE5"/>
    <w:rsid w:val="00FE6F62"/>
    <w:rsid w:val="00FF0B1E"/>
    <w:rsid w:val="00FF50F9"/>
    <w:rsid w:val="00FF571A"/>
    <w:rsid w:val="00FF6F2F"/>
    <w:rsid w:val="00FF7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BF87AC1"/>
  <w15:docId w15:val="{1F2B0936-1FF4-4E2D-B53E-C9612849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1C8B"/>
    <w:pPr>
      <w:keepNext/>
      <w:spacing w:after="0" w:line="240" w:lineRule="auto"/>
      <w:jc w:val="center"/>
      <w:outlineLvl w:val="0"/>
    </w:pPr>
    <w:rPr>
      <w:rFonts w:ascii="Times New Roman" w:eastAsia="Times New Roman" w:hAnsi="Times New Roman" w:cs="Times New Roman"/>
      <w:b/>
      <w:bCs/>
      <w:sz w:val="28"/>
      <w:szCs w:val="24"/>
      <w:lang w:val="en-GB"/>
    </w:rPr>
  </w:style>
  <w:style w:type="paragraph" w:styleId="Heading2">
    <w:name w:val="heading 2"/>
    <w:basedOn w:val="Normal"/>
    <w:next w:val="Normal"/>
    <w:link w:val="Heading2Char"/>
    <w:qFormat/>
    <w:rsid w:val="00A31C8B"/>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napToGrid w:val="0"/>
      <w:sz w:val="24"/>
      <w:szCs w:val="20"/>
    </w:rPr>
  </w:style>
  <w:style w:type="paragraph" w:styleId="Heading3">
    <w:name w:val="heading 3"/>
    <w:basedOn w:val="Normal"/>
    <w:next w:val="Normal"/>
    <w:link w:val="Heading3Char"/>
    <w:qFormat/>
    <w:rsid w:val="00CB6100"/>
    <w:pPr>
      <w:keepNext/>
      <w:spacing w:after="0" w:line="240" w:lineRule="auto"/>
      <w:ind w:left="720"/>
      <w:outlineLvl w:val="2"/>
    </w:pPr>
    <w:rPr>
      <w:rFonts w:ascii="Times New Roman" w:eastAsia="Times New Roman" w:hAnsi="Times New Roman" w:cs="Times New Roman"/>
      <w:i/>
      <w:iCs/>
      <w:sz w:val="24"/>
      <w:szCs w:val="24"/>
      <w:lang w:val="en-GB"/>
    </w:rPr>
  </w:style>
  <w:style w:type="paragraph" w:styleId="Heading4">
    <w:name w:val="heading 4"/>
    <w:basedOn w:val="Normal"/>
    <w:next w:val="Normal"/>
    <w:link w:val="Heading4Char"/>
    <w:qFormat/>
    <w:rsid w:val="00CB6100"/>
    <w:pPr>
      <w:keepNext/>
      <w:spacing w:after="0" w:line="240" w:lineRule="auto"/>
      <w:ind w:left="1440"/>
      <w:outlineLvl w:val="3"/>
    </w:pPr>
    <w:rPr>
      <w:rFonts w:ascii="Times New Roman" w:eastAsia="Times New Roman" w:hAnsi="Times New Roman" w:cs="Times New Roman"/>
      <w:i/>
      <w:iCs/>
      <w:sz w:val="24"/>
      <w:szCs w:val="24"/>
      <w:lang w:val="en-GB"/>
    </w:rPr>
  </w:style>
  <w:style w:type="paragraph" w:styleId="Heading5">
    <w:name w:val="heading 5"/>
    <w:basedOn w:val="Normal"/>
    <w:next w:val="Normal"/>
    <w:link w:val="Heading5Char"/>
    <w:qFormat/>
    <w:rsid w:val="00CB6100"/>
    <w:pPr>
      <w:keepNext/>
      <w:widowControl w:val="0"/>
      <w:overflowPunct w:val="0"/>
      <w:autoSpaceDE w:val="0"/>
      <w:autoSpaceDN w:val="0"/>
      <w:adjustRightInd w:val="0"/>
      <w:spacing w:after="0" w:line="260" w:lineRule="atLeast"/>
      <w:ind w:right="-425"/>
      <w:textAlignment w:val="baseline"/>
      <w:outlineLvl w:val="4"/>
    </w:pPr>
    <w:rPr>
      <w:rFonts w:ascii="CG Times" w:eastAsia="Times New Roman" w:hAnsi="CG Times" w:cs="Times New Roman"/>
      <w:i/>
      <w:kern w:val="14"/>
      <w:szCs w:val="20"/>
      <w:lang w:val="en-US"/>
    </w:rPr>
  </w:style>
  <w:style w:type="paragraph" w:styleId="Heading6">
    <w:name w:val="heading 6"/>
    <w:basedOn w:val="Normal"/>
    <w:next w:val="Normal"/>
    <w:link w:val="Heading6Char"/>
    <w:qFormat/>
    <w:rsid w:val="00CB6100"/>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cs="Times New Roman"/>
      <w:i/>
      <w:kern w:val="14"/>
      <w:szCs w:val="20"/>
      <w:lang w:val="en-US"/>
    </w:rPr>
  </w:style>
  <w:style w:type="paragraph" w:styleId="Heading7">
    <w:name w:val="heading 7"/>
    <w:basedOn w:val="Normal"/>
    <w:next w:val="Normal"/>
    <w:link w:val="Heading7Char"/>
    <w:qFormat/>
    <w:rsid w:val="00CB6100"/>
    <w:pPr>
      <w:keepNext/>
      <w:spacing w:after="0" w:line="360" w:lineRule="auto"/>
      <w:ind w:left="2198"/>
      <w:outlineLvl w:val="6"/>
    </w:pPr>
    <w:rPr>
      <w:rFonts w:ascii="Times New Roman" w:eastAsia="Times New Roman" w:hAnsi="Times New Roman" w:cs="Times New Roman"/>
      <w:b/>
      <w:bCs/>
      <w:szCs w:val="24"/>
      <w:lang w:val="en-GB"/>
    </w:rPr>
  </w:style>
  <w:style w:type="paragraph" w:styleId="Heading8">
    <w:name w:val="heading 8"/>
    <w:basedOn w:val="Normal"/>
    <w:next w:val="Normal"/>
    <w:link w:val="Heading8Char"/>
    <w:qFormat/>
    <w:rsid w:val="00CB6100"/>
    <w:pPr>
      <w:keepNext/>
      <w:spacing w:after="0" w:line="240" w:lineRule="auto"/>
      <w:ind w:firstLine="720"/>
      <w:jc w:val="center"/>
      <w:outlineLvl w:val="7"/>
    </w:pPr>
    <w:rPr>
      <w:rFonts w:ascii="Times New Roman" w:eastAsia="Times New Roman" w:hAnsi="Times New Roman" w:cs="Times New Roman"/>
      <w:b/>
      <w:bCs/>
      <w:i/>
      <w:iCs/>
      <w:szCs w:val="24"/>
      <w:lang w:val="en-GB"/>
    </w:rPr>
  </w:style>
  <w:style w:type="paragraph" w:styleId="Heading9">
    <w:name w:val="heading 9"/>
    <w:basedOn w:val="Normal"/>
    <w:next w:val="Normal"/>
    <w:link w:val="Heading9Char"/>
    <w:qFormat/>
    <w:rsid w:val="00CB6100"/>
    <w:pPr>
      <w:keepNext/>
      <w:widowControl w:val="0"/>
      <w:tabs>
        <w:tab w:val="left" w:pos="720"/>
      </w:tabs>
      <w:spacing w:after="0" w:line="260" w:lineRule="atLeast"/>
      <w:ind w:left="720" w:right="-427" w:hanging="720"/>
      <w:jc w:val="center"/>
      <w:outlineLvl w:val="8"/>
    </w:pPr>
    <w:rPr>
      <w:rFonts w:ascii="Times New Roman" w:eastAsia="Times New Roman" w:hAnsi="Times New Roman" w:cs="Times New Roman"/>
      <w:b/>
      <w:kern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A"/>
    <w:pPr>
      <w:ind w:left="720"/>
      <w:contextualSpacing/>
    </w:pPr>
  </w:style>
  <w:style w:type="paragraph" w:styleId="FootnoteText">
    <w:name w:val="footnote text"/>
    <w:basedOn w:val="Normal"/>
    <w:link w:val="FootnoteTextChar"/>
    <w:uiPriority w:val="99"/>
    <w:unhideWhenUsed/>
    <w:rsid w:val="00796A92"/>
    <w:pPr>
      <w:spacing w:after="0" w:line="240" w:lineRule="auto"/>
    </w:pPr>
    <w:rPr>
      <w:sz w:val="20"/>
      <w:szCs w:val="20"/>
    </w:rPr>
  </w:style>
  <w:style w:type="character" w:customStyle="1" w:styleId="FootnoteTextChar">
    <w:name w:val="Footnote Text Char"/>
    <w:basedOn w:val="DefaultParagraphFont"/>
    <w:link w:val="FootnoteText"/>
    <w:uiPriority w:val="99"/>
    <w:rsid w:val="00796A92"/>
    <w:rPr>
      <w:sz w:val="20"/>
      <w:szCs w:val="20"/>
    </w:rPr>
  </w:style>
  <w:style w:type="character" w:styleId="FootnoteReference">
    <w:name w:val="footnote reference"/>
    <w:basedOn w:val="DefaultParagraphFont"/>
    <w:uiPriority w:val="99"/>
    <w:unhideWhenUsed/>
    <w:rsid w:val="00796A92"/>
    <w:rPr>
      <w:vertAlign w:val="superscript"/>
    </w:rPr>
  </w:style>
  <w:style w:type="character" w:styleId="CommentReference">
    <w:name w:val="annotation reference"/>
    <w:basedOn w:val="DefaultParagraphFont"/>
    <w:unhideWhenUsed/>
    <w:rsid w:val="00AA0C6A"/>
    <w:rPr>
      <w:sz w:val="16"/>
      <w:szCs w:val="16"/>
    </w:rPr>
  </w:style>
  <w:style w:type="paragraph" w:styleId="CommentText">
    <w:name w:val="annotation text"/>
    <w:basedOn w:val="Normal"/>
    <w:link w:val="CommentTextChar"/>
    <w:unhideWhenUsed/>
    <w:rsid w:val="00AA0C6A"/>
    <w:pPr>
      <w:spacing w:line="240" w:lineRule="auto"/>
    </w:pPr>
    <w:rPr>
      <w:sz w:val="20"/>
      <w:szCs w:val="20"/>
    </w:rPr>
  </w:style>
  <w:style w:type="character" w:customStyle="1" w:styleId="CommentTextChar">
    <w:name w:val="Comment Text Char"/>
    <w:basedOn w:val="DefaultParagraphFont"/>
    <w:link w:val="CommentText"/>
    <w:rsid w:val="00AA0C6A"/>
    <w:rPr>
      <w:sz w:val="20"/>
      <w:szCs w:val="20"/>
    </w:rPr>
  </w:style>
  <w:style w:type="paragraph" w:styleId="CommentSubject">
    <w:name w:val="annotation subject"/>
    <w:basedOn w:val="CommentText"/>
    <w:next w:val="CommentText"/>
    <w:link w:val="CommentSubjectChar"/>
    <w:unhideWhenUsed/>
    <w:rsid w:val="00AA0C6A"/>
    <w:rPr>
      <w:b/>
      <w:bCs/>
    </w:rPr>
  </w:style>
  <w:style w:type="character" w:customStyle="1" w:styleId="CommentSubjectChar">
    <w:name w:val="Comment Subject Char"/>
    <w:basedOn w:val="CommentTextChar"/>
    <w:link w:val="CommentSubject"/>
    <w:rsid w:val="00AA0C6A"/>
    <w:rPr>
      <w:b/>
      <w:bCs/>
      <w:sz w:val="20"/>
      <w:szCs w:val="20"/>
    </w:rPr>
  </w:style>
  <w:style w:type="paragraph" w:styleId="BalloonText">
    <w:name w:val="Balloon Text"/>
    <w:basedOn w:val="Normal"/>
    <w:link w:val="BalloonTextChar"/>
    <w:unhideWhenUsed/>
    <w:rsid w:val="00AA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C6A"/>
    <w:rPr>
      <w:rFonts w:ascii="Tahoma" w:hAnsi="Tahoma" w:cs="Tahoma"/>
      <w:sz w:val="16"/>
      <w:szCs w:val="16"/>
    </w:rPr>
  </w:style>
  <w:style w:type="table" w:styleId="TableGrid">
    <w:name w:val="Table Grid"/>
    <w:basedOn w:val="TableNormal"/>
    <w:uiPriority w:val="39"/>
    <w:rsid w:val="002314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2A"/>
  </w:style>
  <w:style w:type="paragraph" w:styleId="Footer">
    <w:name w:val="footer"/>
    <w:basedOn w:val="Normal"/>
    <w:link w:val="FooterChar"/>
    <w:uiPriority w:val="99"/>
    <w:unhideWhenUsed/>
    <w:rsid w:val="009C3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2A"/>
  </w:style>
  <w:style w:type="character" w:styleId="Hyperlink">
    <w:name w:val="Hyperlink"/>
    <w:basedOn w:val="DefaultParagraphFont"/>
    <w:uiPriority w:val="99"/>
    <w:unhideWhenUsed/>
    <w:rsid w:val="00426A3A"/>
    <w:rPr>
      <w:color w:val="0000FF" w:themeColor="hyperlink"/>
      <w:u w:val="single"/>
    </w:rPr>
  </w:style>
  <w:style w:type="table" w:customStyle="1" w:styleId="PlainTable11">
    <w:name w:val="Plain Table 11"/>
    <w:basedOn w:val="TableNormal"/>
    <w:uiPriority w:val="41"/>
    <w:rsid w:val="00B63CF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A31C8B"/>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A31C8B"/>
    <w:rPr>
      <w:rFonts w:ascii="Times New Roman" w:eastAsia="Times New Roman" w:hAnsi="Times New Roman" w:cs="Times New Roman"/>
      <w:b/>
      <w:bCs/>
      <w:snapToGrid w:val="0"/>
      <w:sz w:val="24"/>
      <w:szCs w:val="20"/>
    </w:rPr>
  </w:style>
  <w:style w:type="paragraph" w:styleId="ListBullet">
    <w:name w:val="List Bullet"/>
    <w:basedOn w:val="Normal"/>
    <w:autoRedefine/>
    <w:rsid w:val="00316642"/>
    <w:pPr>
      <w:numPr>
        <w:numId w:val="11"/>
      </w:numPr>
      <w:spacing w:after="0" w:line="240" w:lineRule="auto"/>
      <w:jc w:val="both"/>
    </w:pPr>
    <w:rPr>
      <w:rFonts w:ascii="Garamond" w:eastAsia="Times New Roman" w:hAnsi="Garamond" w:cs="Times New Roman"/>
      <w:sz w:val="24"/>
      <w:lang w:val="en-GB"/>
    </w:rPr>
  </w:style>
  <w:style w:type="paragraph" w:styleId="Title">
    <w:name w:val="Title"/>
    <w:basedOn w:val="Normal"/>
    <w:link w:val="TitleChar"/>
    <w:qFormat/>
    <w:rsid w:val="00A31C8B"/>
    <w:pPr>
      <w:spacing w:after="0" w:line="240" w:lineRule="auto"/>
      <w:jc w:val="center"/>
      <w:outlineLvl w:val="0"/>
    </w:pPr>
    <w:rPr>
      <w:rFonts w:ascii="Garamond" w:eastAsia="Times New Roman" w:hAnsi="Garamond" w:cs="Arial"/>
      <w:b/>
      <w:bCs/>
      <w:caps/>
      <w:sz w:val="28"/>
      <w:szCs w:val="32"/>
      <w:lang w:val="en-GB"/>
    </w:rPr>
  </w:style>
  <w:style w:type="character" w:customStyle="1" w:styleId="TitleChar">
    <w:name w:val="Title Char"/>
    <w:basedOn w:val="DefaultParagraphFont"/>
    <w:link w:val="Title"/>
    <w:rsid w:val="00A31C8B"/>
    <w:rPr>
      <w:rFonts w:ascii="Garamond" w:eastAsia="Times New Roman" w:hAnsi="Garamond" w:cs="Arial"/>
      <w:b/>
      <w:bCs/>
      <w:caps/>
      <w:sz w:val="28"/>
      <w:szCs w:val="32"/>
      <w:lang w:val="en-GB"/>
    </w:rPr>
  </w:style>
  <w:style w:type="paragraph" w:styleId="BodyText">
    <w:name w:val="Body Text"/>
    <w:basedOn w:val="Normal"/>
    <w:link w:val="BodyTextChar"/>
    <w:rsid w:val="00A31C8B"/>
    <w:pPr>
      <w:spacing w:after="0" w:line="240" w:lineRule="auto"/>
      <w:jc w:val="both"/>
    </w:pPr>
    <w:rPr>
      <w:rFonts w:ascii="Garamond" w:eastAsia="Times New Roman" w:hAnsi="Garamond" w:cs="Arial"/>
      <w:sz w:val="24"/>
      <w:szCs w:val="20"/>
      <w:lang w:val="en-GB"/>
    </w:rPr>
  </w:style>
  <w:style w:type="character" w:customStyle="1" w:styleId="BodyTextChar">
    <w:name w:val="Body Text Char"/>
    <w:basedOn w:val="DefaultParagraphFont"/>
    <w:link w:val="BodyText"/>
    <w:rsid w:val="00A31C8B"/>
    <w:rPr>
      <w:rFonts w:ascii="Garamond" w:eastAsia="Times New Roman" w:hAnsi="Garamond" w:cs="Arial"/>
      <w:sz w:val="24"/>
      <w:szCs w:val="20"/>
      <w:lang w:val="en-GB"/>
    </w:rPr>
  </w:style>
  <w:style w:type="paragraph" w:styleId="ListNumber">
    <w:name w:val="List Number"/>
    <w:basedOn w:val="Normal"/>
    <w:next w:val="Normal"/>
    <w:rsid w:val="00EC2827"/>
    <w:pPr>
      <w:numPr>
        <w:numId w:val="13"/>
      </w:numPr>
      <w:spacing w:after="0" w:line="240" w:lineRule="auto"/>
    </w:pPr>
    <w:rPr>
      <w:rFonts w:ascii="Garamond" w:eastAsia="Times New Roman" w:hAnsi="Garamond" w:cs="Times New Roman"/>
      <w:sz w:val="24"/>
      <w:lang w:val="en-GB"/>
    </w:rPr>
  </w:style>
  <w:style w:type="character" w:customStyle="1" w:styleId="Heading3Char">
    <w:name w:val="Heading 3 Char"/>
    <w:basedOn w:val="DefaultParagraphFont"/>
    <w:link w:val="Heading3"/>
    <w:rsid w:val="00CB6100"/>
    <w:rPr>
      <w:rFonts w:ascii="Times New Roman" w:eastAsia="Times New Roman" w:hAnsi="Times New Roman" w:cs="Times New Roman"/>
      <w:i/>
      <w:iCs/>
      <w:sz w:val="24"/>
      <w:szCs w:val="24"/>
      <w:lang w:val="en-GB"/>
    </w:rPr>
  </w:style>
  <w:style w:type="character" w:customStyle="1" w:styleId="Heading4Char">
    <w:name w:val="Heading 4 Char"/>
    <w:basedOn w:val="DefaultParagraphFont"/>
    <w:link w:val="Heading4"/>
    <w:rsid w:val="00CB6100"/>
    <w:rPr>
      <w:rFonts w:ascii="Times New Roman" w:eastAsia="Times New Roman" w:hAnsi="Times New Roman" w:cs="Times New Roman"/>
      <w:i/>
      <w:iCs/>
      <w:sz w:val="24"/>
      <w:szCs w:val="24"/>
      <w:lang w:val="en-GB"/>
    </w:rPr>
  </w:style>
  <w:style w:type="character" w:customStyle="1" w:styleId="Heading5Char">
    <w:name w:val="Heading 5 Char"/>
    <w:basedOn w:val="DefaultParagraphFont"/>
    <w:link w:val="Heading5"/>
    <w:rsid w:val="00CB6100"/>
    <w:rPr>
      <w:rFonts w:ascii="CG Times" w:eastAsia="Times New Roman" w:hAnsi="CG Times" w:cs="Times New Roman"/>
      <w:i/>
      <w:kern w:val="14"/>
      <w:szCs w:val="20"/>
      <w:lang w:val="en-US"/>
    </w:rPr>
  </w:style>
  <w:style w:type="character" w:customStyle="1" w:styleId="Heading6Char">
    <w:name w:val="Heading 6 Char"/>
    <w:basedOn w:val="DefaultParagraphFont"/>
    <w:link w:val="Heading6"/>
    <w:rsid w:val="00CB6100"/>
    <w:rPr>
      <w:rFonts w:ascii="Times New Roman" w:eastAsia="Times New Roman" w:hAnsi="Times New Roman" w:cs="Times New Roman"/>
      <w:i/>
      <w:kern w:val="14"/>
      <w:szCs w:val="20"/>
      <w:lang w:val="en-US"/>
    </w:rPr>
  </w:style>
  <w:style w:type="character" w:customStyle="1" w:styleId="Heading7Char">
    <w:name w:val="Heading 7 Char"/>
    <w:basedOn w:val="DefaultParagraphFont"/>
    <w:link w:val="Heading7"/>
    <w:rsid w:val="00CB6100"/>
    <w:rPr>
      <w:rFonts w:ascii="Times New Roman" w:eastAsia="Times New Roman" w:hAnsi="Times New Roman" w:cs="Times New Roman"/>
      <w:b/>
      <w:bCs/>
      <w:szCs w:val="24"/>
      <w:lang w:val="en-GB"/>
    </w:rPr>
  </w:style>
  <w:style w:type="character" w:customStyle="1" w:styleId="Heading8Char">
    <w:name w:val="Heading 8 Char"/>
    <w:basedOn w:val="DefaultParagraphFont"/>
    <w:link w:val="Heading8"/>
    <w:rsid w:val="00CB6100"/>
    <w:rPr>
      <w:rFonts w:ascii="Times New Roman" w:eastAsia="Times New Roman" w:hAnsi="Times New Roman" w:cs="Times New Roman"/>
      <w:b/>
      <w:bCs/>
      <w:i/>
      <w:iCs/>
      <w:szCs w:val="24"/>
      <w:lang w:val="en-GB"/>
    </w:rPr>
  </w:style>
  <w:style w:type="character" w:customStyle="1" w:styleId="Heading9Char">
    <w:name w:val="Heading 9 Char"/>
    <w:basedOn w:val="DefaultParagraphFont"/>
    <w:link w:val="Heading9"/>
    <w:rsid w:val="00CB6100"/>
    <w:rPr>
      <w:rFonts w:ascii="Times New Roman" w:eastAsia="Times New Roman" w:hAnsi="Times New Roman" w:cs="Times New Roman"/>
      <w:b/>
      <w:kern w:val="14"/>
      <w:szCs w:val="24"/>
      <w:lang w:val="en-US"/>
    </w:rPr>
  </w:style>
  <w:style w:type="character" w:styleId="PageNumber">
    <w:name w:val="page number"/>
    <w:basedOn w:val="DefaultParagraphFont"/>
    <w:rsid w:val="00CB6100"/>
  </w:style>
  <w:style w:type="paragraph" w:styleId="Caption">
    <w:name w:val="caption"/>
    <w:basedOn w:val="Normal"/>
    <w:next w:val="Normal"/>
    <w:qFormat/>
    <w:rsid w:val="00CB6100"/>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rsid w:val="00CB6100"/>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rsid w:val="00CB6100"/>
    <w:rPr>
      <w:rFonts w:ascii="Times New Roman" w:eastAsia="Times New Roman" w:hAnsi="Times New Roman" w:cs="Times New Roman"/>
      <w:b/>
      <w:sz w:val="44"/>
      <w:szCs w:val="24"/>
      <w:lang w:val="en-GB"/>
    </w:rPr>
  </w:style>
  <w:style w:type="paragraph" w:styleId="BodyTextIndent2">
    <w:name w:val="Body Text Indent 2"/>
    <w:basedOn w:val="Normal"/>
    <w:link w:val="BodyTextIndent2Char"/>
    <w:rsid w:val="00CB6100"/>
    <w:pPr>
      <w:spacing w:after="0" w:line="240" w:lineRule="auto"/>
      <w:ind w:left="720"/>
    </w:pPr>
    <w:rPr>
      <w:rFonts w:ascii="Times New Roman" w:eastAsia="Times New Roman" w:hAnsi="Times New Roman" w:cs="Times New Roman"/>
      <w:i/>
      <w:iCs/>
      <w:sz w:val="24"/>
      <w:szCs w:val="24"/>
      <w:lang w:val="en-GB"/>
    </w:rPr>
  </w:style>
  <w:style w:type="character" w:customStyle="1" w:styleId="BodyTextIndent2Char">
    <w:name w:val="Body Text Indent 2 Char"/>
    <w:basedOn w:val="DefaultParagraphFont"/>
    <w:link w:val="BodyTextIndent2"/>
    <w:rsid w:val="00CB6100"/>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CB6100"/>
    <w:pPr>
      <w:spacing w:after="0" w:line="240" w:lineRule="auto"/>
      <w:ind w:left="1440"/>
    </w:pPr>
    <w:rPr>
      <w:rFonts w:ascii="Times New Roman" w:eastAsia="Times New Roman" w:hAnsi="Times New Roman" w:cs="Times New Roman"/>
      <w:i/>
      <w:iCs/>
      <w:sz w:val="24"/>
      <w:szCs w:val="24"/>
      <w:lang w:val="en-GB"/>
    </w:rPr>
  </w:style>
  <w:style w:type="character" w:customStyle="1" w:styleId="BodyTextIndent3Char">
    <w:name w:val="Body Text Indent 3 Char"/>
    <w:basedOn w:val="DefaultParagraphFont"/>
    <w:link w:val="BodyTextIndent3"/>
    <w:rsid w:val="00CB6100"/>
    <w:rPr>
      <w:rFonts w:ascii="Times New Roman" w:eastAsia="Times New Roman" w:hAnsi="Times New Roman" w:cs="Times New Roman"/>
      <w:i/>
      <w:iCs/>
      <w:sz w:val="24"/>
      <w:szCs w:val="24"/>
      <w:lang w:val="en-GB"/>
    </w:rPr>
  </w:style>
  <w:style w:type="paragraph" w:styleId="BodyText2">
    <w:name w:val="Body Text 2"/>
    <w:basedOn w:val="Normal"/>
    <w:link w:val="BodyText2Char"/>
    <w:rsid w:val="00CB6100"/>
    <w:pPr>
      <w:spacing w:after="0" w:line="240" w:lineRule="auto"/>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CB6100"/>
    <w:rPr>
      <w:rFonts w:ascii="Times New Roman" w:eastAsia="Times New Roman" w:hAnsi="Times New Roman" w:cs="Times New Roman"/>
      <w:szCs w:val="24"/>
      <w:lang w:val="en-GB"/>
    </w:rPr>
  </w:style>
  <w:style w:type="paragraph" w:customStyle="1" w:styleId="Level2">
    <w:name w:val="Level2"/>
    <w:basedOn w:val="Level1"/>
    <w:rsid w:val="00CB6100"/>
    <w:pPr>
      <w:numPr>
        <w:numId w:val="0"/>
      </w:numPr>
      <w:ind w:firstLine="578"/>
    </w:pPr>
  </w:style>
  <w:style w:type="paragraph" w:customStyle="1" w:styleId="Level1">
    <w:name w:val="Level1"/>
    <w:basedOn w:val="Normal"/>
    <w:rsid w:val="00CB6100"/>
    <w:pPr>
      <w:numPr>
        <w:numId w:val="28"/>
      </w:numPr>
      <w:tabs>
        <w:tab w:val="left" w:pos="578"/>
      </w:tabs>
      <w:spacing w:after="240" w:line="240" w:lineRule="auto"/>
    </w:pPr>
    <w:rPr>
      <w:rFonts w:ascii="Times New Roman" w:eastAsia="Times New Roman" w:hAnsi="Times New Roman" w:cs="Times New Roman"/>
      <w:szCs w:val="24"/>
      <w:lang w:val="en-GB"/>
    </w:rPr>
  </w:style>
  <w:style w:type="paragraph" w:customStyle="1" w:styleId="Level3">
    <w:name w:val="Level3"/>
    <w:basedOn w:val="Level2"/>
    <w:rsid w:val="00CB6100"/>
    <w:pPr>
      <w:tabs>
        <w:tab w:val="num" w:pos="360"/>
      </w:tabs>
    </w:pPr>
  </w:style>
  <w:style w:type="paragraph" w:styleId="TOC4">
    <w:name w:val="toc 4"/>
    <w:basedOn w:val="Normal"/>
    <w:next w:val="Normal"/>
    <w:autoRedefine/>
    <w:rsid w:val="00CB6100"/>
    <w:pPr>
      <w:numPr>
        <w:numId w:val="27"/>
      </w:numPr>
      <w:spacing w:after="0" w:line="240" w:lineRule="auto"/>
      <w:jc w:val="both"/>
    </w:pPr>
    <w:rPr>
      <w:rFonts w:ascii="Times New Roman" w:eastAsia="Times New Roman" w:hAnsi="Times New Roman" w:cs="Times New Roman"/>
      <w:szCs w:val="24"/>
      <w:lang w:val="en-US"/>
    </w:rPr>
  </w:style>
  <w:style w:type="paragraph" w:styleId="Subtitle">
    <w:name w:val="Subtitle"/>
    <w:basedOn w:val="Normal"/>
    <w:link w:val="SubtitleChar"/>
    <w:qFormat/>
    <w:rsid w:val="00CB6100"/>
    <w:pPr>
      <w:spacing w:after="0" w:line="240" w:lineRule="auto"/>
      <w:jc w:val="center"/>
    </w:pPr>
    <w:rPr>
      <w:rFonts w:ascii="Arial" w:eastAsia="Times New Roman" w:hAnsi="Arial" w:cs="Times New Roman"/>
      <w:sz w:val="28"/>
      <w:szCs w:val="24"/>
      <w:lang w:val="en-GB"/>
    </w:rPr>
  </w:style>
  <w:style w:type="character" w:customStyle="1" w:styleId="SubtitleChar">
    <w:name w:val="Subtitle Char"/>
    <w:basedOn w:val="DefaultParagraphFont"/>
    <w:link w:val="Subtitle"/>
    <w:rsid w:val="00CB6100"/>
    <w:rPr>
      <w:rFonts w:ascii="Arial" w:eastAsia="Times New Roman" w:hAnsi="Arial" w:cs="Times New Roman"/>
      <w:sz w:val="28"/>
      <w:szCs w:val="24"/>
      <w:lang w:val="en-GB"/>
    </w:rPr>
  </w:style>
  <w:style w:type="paragraph" w:styleId="PlainText">
    <w:name w:val="Plain Text"/>
    <w:basedOn w:val="Normal"/>
    <w:link w:val="PlainTextChar"/>
    <w:rsid w:val="00CB6100"/>
    <w:pPr>
      <w:spacing w:after="0" w:line="240" w:lineRule="auto"/>
    </w:pPr>
    <w:rPr>
      <w:rFonts w:ascii="Courier New" w:eastAsia="Times New Roman" w:hAnsi="Courier New" w:cs="Times New Roman"/>
      <w:sz w:val="20"/>
      <w:szCs w:val="24"/>
      <w:lang w:val="en-GB"/>
    </w:rPr>
  </w:style>
  <w:style w:type="character" w:customStyle="1" w:styleId="PlainTextChar">
    <w:name w:val="Plain Text Char"/>
    <w:basedOn w:val="DefaultParagraphFont"/>
    <w:link w:val="PlainText"/>
    <w:rsid w:val="00CB6100"/>
    <w:rPr>
      <w:rFonts w:ascii="Courier New" w:eastAsia="Times New Roman" w:hAnsi="Courier New" w:cs="Times New Roman"/>
      <w:sz w:val="20"/>
      <w:szCs w:val="24"/>
      <w:lang w:val="en-GB"/>
    </w:rPr>
  </w:style>
  <w:style w:type="paragraph" w:styleId="BodyText3">
    <w:name w:val="Body Text 3"/>
    <w:basedOn w:val="Normal"/>
    <w:link w:val="BodyText3Char"/>
    <w:rsid w:val="00CB6100"/>
    <w:pPr>
      <w:spacing w:after="0" w:line="24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CB6100"/>
    <w:rPr>
      <w:rFonts w:ascii="Times New Roman" w:eastAsia="Times New Roman" w:hAnsi="Times New Roman" w:cs="Times New Roman"/>
      <w:sz w:val="24"/>
      <w:szCs w:val="24"/>
      <w:lang w:val="en-US"/>
    </w:rPr>
  </w:style>
  <w:style w:type="character" w:styleId="FollowedHyperlink">
    <w:name w:val="FollowedHyperlink"/>
    <w:rsid w:val="00CB6100"/>
    <w:rPr>
      <w:color w:val="800080"/>
      <w:u w:val="single"/>
    </w:rPr>
  </w:style>
  <w:style w:type="paragraph" w:customStyle="1" w:styleId="Level10">
    <w:name w:val="Level 1"/>
    <w:basedOn w:val="Normal"/>
    <w:rsid w:val="00CB6100"/>
    <w:pPr>
      <w:widowControl w:val="0"/>
      <w:numPr>
        <w:numId w:val="26"/>
      </w:numPr>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customStyle="1" w:styleId="Level20">
    <w:name w:val="Level 2"/>
    <w:basedOn w:val="Normal"/>
    <w:rsid w:val="00CB6100"/>
    <w:pPr>
      <w:widowControl w:val="0"/>
      <w:spacing w:after="0" w:line="240" w:lineRule="auto"/>
      <w:ind w:left="1440" w:hanging="720"/>
      <w:outlineLvl w:val="1"/>
    </w:pPr>
    <w:rPr>
      <w:rFonts w:ascii="Times New Roman" w:eastAsia="Times New Roman" w:hAnsi="Times New Roman" w:cs="Times New Roman"/>
      <w:snapToGrid w:val="0"/>
      <w:sz w:val="24"/>
      <w:szCs w:val="20"/>
      <w:lang w:val="en-US"/>
    </w:rPr>
  </w:style>
  <w:style w:type="paragraph" w:customStyle="1" w:styleId="Level30">
    <w:name w:val="Level 3"/>
    <w:basedOn w:val="Normal"/>
    <w:rsid w:val="00CB6100"/>
    <w:pPr>
      <w:widowControl w:val="0"/>
      <w:spacing w:after="0" w:line="240" w:lineRule="auto"/>
      <w:ind w:left="2160" w:hanging="720"/>
      <w:outlineLvl w:val="2"/>
    </w:pPr>
    <w:rPr>
      <w:rFonts w:ascii="Times New Roman" w:eastAsia="Times New Roman" w:hAnsi="Times New Roman" w:cs="Times New Roman"/>
      <w:snapToGrid w:val="0"/>
      <w:sz w:val="24"/>
      <w:szCs w:val="20"/>
      <w:lang w:val="en-US"/>
    </w:rPr>
  </w:style>
  <w:style w:type="paragraph" w:customStyle="1" w:styleId="Level4">
    <w:name w:val="Level 4"/>
    <w:basedOn w:val="Normal"/>
    <w:rsid w:val="00CB6100"/>
    <w:pPr>
      <w:widowControl w:val="0"/>
      <w:spacing w:after="0" w:line="240" w:lineRule="auto"/>
      <w:ind w:left="2880" w:hanging="720"/>
      <w:outlineLvl w:val="3"/>
    </w:pPr>
    <w:rPr>
      <w:rFonts w:ascii="Times New Roman" w:eastAsia="Times New Roman" w:hAnsi="Times New Roman" w:cs="Times New Roman"/>
      <w:snapToGrid w:val="0"/>
      <w:sz w:val="24"/>
      <w:szCs w:val="20"/>
      <w:lang w:val="en-US"/>
    </w:rPr>
  </w:style>
  <w:style w:type="paragraph" w:customStyle="1" w:styleId="Level5">
    <w:name w:val="Level 5"/>
    <w:basedOn w:val="Normal"/>
    <w:rsid w:val="00CB6100"/>
    <w:pPr>
      <w:widowControl w:val="0"/>
      <w:spacing w:after="0" w:line="240" w:lineRule="auto"/>
      <w:ind w:left="3600" w:hanging="720"/>
      <w:outlineLvl w:val="4"/>
    </w:pPr>
    <w:rPr>
      <w:rFonts w:ascii="Times New Roman" w:eastAsia="Times New Roman" w:hAnsi="Times New Roman" w:cs="Times New Roman"/>
      <w:snapToGrid w:val="0"/>
      <w:sz w:val="24"/>
      <w:szCs w:val="20"/>
      <w:lang w:val="en-US"/>
    </w:rPr>
  </w:style>
  <w:style w:type="paragraph" w:customStyle="1" w:styleId="Level6">
    <w:name w:val="Level 6"/>
    <w:basedOn w:val="Normal"/>
    <w:rsid w:val="00CB6100"/>
    <w:pPr>
      <w:widowControl w:val="0"/>
      <w:spacing w:after="0" w:line="240" w:lineRule="auto"/>
      <w:ind w:left="4320" w:hanging="720"/>
      <w:outlineLvl w:val="5"/>
    </w:pPr>
    <w:rPr>
      <w:rFonts w:ascii="Times New Roman" w:eastAsia="Times New Roman" w:hAnsi="Times New Roman" w:cs="Times New Roman"/>
      <w:snapToGrid w:val="0"/>
      <w:sz w:val="24"/>
      <w:szCs w:val="20"/>
      <w:lang w:val="en-US"/>
    </w:rPr>
  </w:style>
  <w:style w:type="paragraph" w:customStyle="1" w:styleId="Level7">
    <w:name w:val="Level 7"/>
    <w:basedOn w:val="Normal"/>
    <w:rsid w:val="00CB6100"/>
    <w:pPr>
      <w:widowControl w:val="0"/>
      <w:spacing w:after="0" w:line="240" w:lineRule="auto"/>
      <w:ind w:left="5040" w:hanging="720"/>
      <w:outlineLvl w:val="6"/>
    </w:pPr>
    <w:rPr>
      <w:rFonts w:ascii="Times New Roman" w:eastAsia="Times New Roman" w:hAnsi="Times New Roman" w:cs="Times New Roman"/>
      <w:snapToGrid w:val="0"/>
      <w:sz w:val="24"/>
      <w:szCs w:val="20"/>
      <w:lang w:val="en-US"/>
    </w:rPr>
  </w:style>
  <w:style w:type="paragraph" w:customStyle="1" w:styleId="Text15">
    <w:name w:val="Text15"/>
    <w:basedOn w:val="Normal"/>
    <w:rsid w:val="00CB6100"/>
    <w:pPr>
      <w:spacing w:after="0" w:line="360" w:lineRule="auto"/>
    </w:pPr>
    <w:rPr>
      <w:rFonts w:ascii="Tahoma" w:eastAsia="Times New Roman" w:hAnsi="Tahoma" w:cs="Times New Roman"/>
      <w:sz w:val="24"/>
      <w:szCs w:val="20"/>
      <w:lang w:eastAsia="de-DE"/>
    </w:rPr>
  </w:style>
  <w:style w:type="character" w:styleId="Strong">
    <w:name w:val="Strong"/>
    <w:qFormat/>
    <w:rsid w:val="00CB6100"/>
    <w:rPr>
      <w:b/>
      <w:bCs/>
    </w:rPr>
  </w:style>
  <w:style w:type="paragraph" w:styleId="BlockText">
    <w:name w:val="Block Text"/>
    <w:basedOn w:val="Normal"/>
    <w:rsid w:val="00CB6100"/>
    <w:pPr>
      <w:spacing w:after="0" w:line="240" w:lineRule="auto"/>
      <w:ind w:left="851" w:right="624"/>
    </w:pPr>
    <w:rPr>
      <w:rFonts w:ascii="Times New Roman" w:eastAsia="Times New Roman" w:hAnsi="Times New Roman" w:cs="Times New Roman"/>
      <w:sz w:val="24"/>
      <w:szCs w:val="24"/>
      <w:lang w:val="en-US"/>
    </w:rPr>
  </w:style>
  <w:style w:type="paragraph" w:styleId="MessageHeader">
    <w:name w:val="Message Header"/>
    <w:basedOn w:val="Normal"/>
    <w:link w:val="MessageHeaderChar"/>
    <w:rsid w:val="00CB6100"/>
    <w:pPr>
      <w:overflowPunct w:val="0"/>
      <w:autoSpaceDE w:val="0"/>
      <w:autoSpaceDN w:val="0"/>
      <w:adjustRightInd w:val="0"/>
      <w:spacing w:before="120" w:after="0" w:line="260" w:lineRule="atLeast"/>
      <w:textAlignment w:val="baseline"/>
    </w:pPr>
    <w:rPr>
      <w:rFonts w:ascii="Agrofont" w:eastAsia="Times New Roman" w:hAnsi="Agrofont" w:cs="Times New Roman"/>
      <w:b/>
      <w:kern w:val="14"/>
      <w:sz w:val="24"/>
      <w:szCs w:val="20"/>
      <w:lang w:val="nl-NL"/>
    </w:rPr>
  </w:style>
  <w:style w:type="character" w:customStyle="1" w:styleId="MessageHeaderChar">
    <w:name w:val="Message Header Char"/>
    <w:basedOn w:val="DefaultParagraphFont"/>
    <w:link w:val="MessageHeader"/>
    <w:rsid w:val="00CB6100"/>
    <w:rPr>
      <w:rFonts w:ascii="Agrofont" w:eastAsia="Times New Roman" w:hAnsi="Agrofont" w:cs="Times New Roman"/>
      <w:b/>
      <w:kern w:val="14"/>
      <w:sz w:val="24"/>
      <w:szCs w:val="20"/>
      <w:lang w:val="nl-NL"/>
    </w:rPr>
  </w:style>
  <w:style w:type="paragraph" w:styleId="NormalIndent">
    <w:name w:val="Normal Indent"/>
    <w:basedOn w:val="Normal"/>
    <w:rsid w:val="00CB6100"/>
    <w:pPr>
      <w:overflowPunct w:val="0"/>
      <w:autoSpaceDE w:val="0"/>
      <w:autoSpaceDN w:val="0"/>
      <w:adjustRightInd w:val="0"/>
      <w:spacing w:after="0" w:line="260" w:lineRule="atLeast"/>
      <w:ind w:left="708"/>
      <w:textAlignment w:val="baseline"/>
    </w:pPr>
    <w:rPr>
      <w:rFonts w:ascii="Agrofont" w:eastAsia="Times New Roman" w:hAnsi="Agrofont" w:cs="Times New Roman"/>
      <w:kern w:val="14"/>
      <w:sz w:val="20"/>
      <w:szCs w:val="20"/>
      <w:lang w:val="nl-NL"/>
    </w:rPr>
  </w:style>
  <w:style w:type="paragraph" w:styleId="NormalWeb">
    <w:name w:val="Normal (Web)"/>
    <w:basedOn w:val="Normal"/>
    <w:rsid w:val="00CB6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aultParagraphFo">
    <w:name w:val="Default Paragraph Fo"/>
    <w:rsid w:val="00CB6100"/>
  </w:style>
  <w:style w:type="paragraph" w:customStyle="1" w:styleId="indenta">
    <w:name w:val="indent a"/>
    <w:rsid w:val="00CB6100"/>
    <w:pPr>
      <w:tabs>
        <w:tab w:val="left" w:pos="0"/>
        <w:tab w:val="left" w:pos="851"/>
        <w:tab w:val="left" w:pos="1417"/>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pacing w:val="-3"/>
      <w:sz w:val="24"/>
      <w:szCs w:val="20"/>
      <w:lang w:val="en-US"/>
    </w:rPr>
  </w:style>
  <w:style w:type="paragraph" w:customStyle="1" w:styleId="inhopg1">
    <w:name w:val="inhopg 1"/>
    <w:basedOn w:val="Normal"/>
    <w:rsid w:val="00CB6100"/>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cs="Times New Roman"/>
      <w:sz w:val="24"/>
      <w:szCs w:val="20"/>
      <w:lang w:val="en-US"/>
    </w:rPr>
  </w:style>
  <w:style w:type="paragraph" w:customStyle="1" w:styleId="inhopg2">
    <w:name w:val="inhopg 2"/>
    <w:basedOn w:val="Normal"/>
    <w:rsid w:val="00CB6100"/>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cs="Times New Roman"/>
      <w:sz w:val="24"/>
      <w:szCs w:val="20"/>
      <w:lang w:val="en-US"/>
    </w:rPr>
  </w:style>
  <w:style w:type="paragraph" w:customStyle="1" w:styleId="inhopg3">
    <w:name w:val="inhopg 3"/>
    <w:basedOn w:val="Normal"/>
    <w:rsid w:val="00CB6100"/>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cs="Times New Roman"/>
      <w:sz w:val="24"/>
      <w:szCs w:val="20"/>
      <w:lang w:val="en-US"/>
    </w:rPr>
  </w:style>
  <w:style w:type="paragraph" w:customStyle="1" w:styleId="inhopg4">
    <w:name w:val="inhopg 4"/>
    <w:basedOn w:val="Normal"/>
    <w:rsid w:val="00CB6100"/>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cs="Times New Roman"/>
      <w:sz w:val="24"/>
      <w:szCs w:val="20"/>
      <w:lang w:val="en-US"/>
    </w:rPr>
  </w:style>
  <w:style w:type="paragraph" w:customStyle="1" w:styleId="inhopg5">
    <w:name w:val="inhopg 5"/>
    <w:basedOn w:val="Normal"/>
    <w:rsid w:val="00CB6100"/>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cs="Times New Roman"/>
      <w:sz w:val="24"/>
      <w:szCs w:val="20"/>
      <w:lang w:val="en-US"/>
    </w:rPr>
  </w:style>
  <w:style w:type="paragraph" w:customStyle="1" w:styleId="inhopg6">
    <w:name w:val="inhopg 6"/>
    <w:basedOn w:val="Normal"/>
    <w:rsid w:val="00CB6100"/>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inhopg7">
    <w:name w:val="inhopg 7"/>
    <w:basedOn w:val="Normal"/>
    <w:rsid w:val="00CB6100"/>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inhopg8">
    <w:name w:val="inhopg 8"/>
    <w:basedOn w:val="Normal"/>
    <w:rsid w:val="00CB6100"/>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inhopg9">
    <w:name w:val="inhopg 9"/>
    <w:basedOn w:val="Normal"/>
    <w:rsid w:val="00CB6100"/>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bronvermelding">
    <w:name w:val="bronvermelding"/>
    <w:basedOn w:val="Normal"/>
    <w:rsid w:val="00CB6100"/>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rPr>
  </w:style>
  <w:style w:type="paragraph" w:customStyle="1" w:styleId="bijschrift">
    <w:name w:val="bijschrift"/>
    <w:basedOn w:val="Normal"/>
    <w:rsid w:val="00CB6100"/>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nl-NL"/>
    </w:rPr>
  </w:style>
  <w:style w:type="character" w:customStyle="1" w:styleId="EquationCaption">
    <w:name w:val="_Equation Caption"/>
    <w:rsid w:val="00CB6100"/>
  </w:style>
  <w:style w:type="paragraph" w:styleId="Index1">
    <w:name w:val="index 1"/>
    <w:basedOn w:val="Normal"/>
    <w:next w:val="Normal"/>
    <w:autoRedefine/>
    <w:unhideWhenUsed/>
    <w:rsid w:val="00CB6100"/>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cs="Times New Roman"/>
      <w:sz w:val="24"/>
      <w:szCs w:val="20"/>
      <w:lang w:val="en-US"/>
    </w:rPr>
  </w:style>
  <w:style w:type="paragraph" w:styleId="Index2">
    <w:name w:val="index 2"/>
    <w:basedOn w:val="Normal"/>
    <w:next w:val="Normal"/>
    <w:autoRedefine/>
    <w:unhideWhenUsed/>
    <w:rsid w:val="00CB6100"/>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cs="Times New Roman"/>
      <w:sz w:val="24"/>
      <w:szCs w:val="20"/>
      <w:lang w:val="en-US"/>
    </w:rPr>
  </w:style>
  <w:style w:type="paragraph" w:styleId="EndnoteText">
    <w:name w:val="endnote text"/>
    <w:basedOn w:val="Normal"/>
    <w:link w:val="EndnoteTextChar"/>
    <w:unhideWhenUsed/>
    <w:rsid w:val="00CB6100"/>
    <w:pPr>
      <w:overflowPunct w:val="0"/>
      <w:autoSpaceDE w:val="0"/>
      <w:autoSpaceDN w:val="0"/>
      <w:adjustRightInd w:val="0"/>
      <w:spacing w:after="0" w:line="240" w:lineRule="auto"/>
    </w:pPr>
    <w:rPr>
      <w:rFonts w:ascii="Courier New" w:eastAsia="Times New Roman" w:hAnsi="Courier New" w:cs="Times New Roman"/>
      <w:sz w:val="24"/>
      <w:szCs w:val="20"/>
      <w:lang w:val="nl-NL"/>
    </w:rPr>
  </w:style>
  <w:style w:type="character" w:customStyle="1" w:styleId="EndnoteTextChar">
    <w:name w:val="Endnote Text Char"/>
    <w:basedOn w:val="DefaultParagraphFont"/>
    <w:link w:val="EndnoteText"/>
    <w:rsid w:val="00CB6100"/>
    <w:rPr>
      <w:rFonts w:ascii="Courier New" w:eastAsia="Times New Roman" w:hAnsi="Courier New" w:cs="Times New Roman"/>
      <w:sz w:val="24"/>
      <w:szCs w:val="20"/>
      <w:lang w:val="nl-NL"/>
    </w:rPr>
  </w:style>
  <w:style w:type="character" w:styleId="EndnoteReference">
    <w:name w:val="endnote reference"/>
    <w:unhideWhenUsed/>
    <w:rsid w:val="00CB6100"/>
    <w:rPr>
      <w:vertAlign w:val="superscript"/>
    </w:rPr>
  </w:style>
  <w:style w:type="numbering" w:customStyle="1" w:styleId="NoList1">
    <w:name w:val="No List1"/>
    <w:next w:val="NoList"/>
    <w:uiPriority w:val="99"/>
    <w:semiHidden/>
    <w:unhideWhenUsed/>
    <w:rsid w:val="00CB6100"/>
  </w:style>
  <w:style w:type="table" w:customStyle="1" w:styleId="TableGrid1">
    <w:name w:val="Table Grid1"/>
    <w:basedOn w:val="TableNormal"/>
    <w:next w:val="TableGrid"/>
    <w:uiPriority w:val="59"/>
    <w:rsid w:val="00CB610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B6100"/>
    <w:pPr>
      <w:keepLines/>
      <w:spacing w:before="480" w:line="276" w:lineRule="auto"/>
      <w:jc w:val="left"/>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CB6100"/>
    <w:pPr>
      <w:tabs>
        <w:tab w:val="right" w:leader="dot" w:pos="9026"/>
      </w:tabs>
      <w:spacing w:after="100"/>
    </w:pPr>
    <w:rPr>
      <w:rFonts w:ascii="Times New Roman" w:eastAsia="MS Mincho" w:hAnsi="Times New Roman" w:cs="Times New Roman"/>
      <w:b/>
      <w:spacing w:val="-3"/>
      <w:lang w:val="en-GB"/>
    </w:rPr>
  </w:style>
  <w:style w:type="paragraph" w:styleId="TOC1">
    <w:name w:val="toc 1"/>
    <w:basedOn w:val="Normal"/>
    <w:next w:val="Normal"/>
    <w:autoRedefine/>
    <w:uiPriority w:val="39"/>
    <w:unhideWhenUsed/>
    <w:qFormat/>
    <w:rsid w:val="00CB6100"/>
    <w:pPr>
      <w:spacing w:after="100"/>
    </w:pPr>
    <w:rPr>
      <w:rFonts w:ascii="Calibri" w:eastAsia="Times New Roman" w:hAnsi="Calibri" w:cs="Times New Roman"/>
      <w:lang w:val="en-US"/>
    </w:rPr>
  </w:style>
  <w:style w:type="paragraph" w:styleId="TOC3">
    <w:name w:val="toc 3"/>
    <w:basedOn w:val="Normal"/>
    <w:next w:val="Normal"/>
    <w:autoRedefine/>
    <w:uiPriority w:val="39"/>
    <w:unhideWhenUsed/>
    <w:qFormat/>
    <w:rsid w:val="00CB6100"/>
    <w:pPr>
      <w:spacing w:after="100"/>
      <w:ind w:left="440"/>
    </w:pPr>
    <w:rPr>
      <w:rFonts w:ascii="Calibri" w:eastAsia="Times New Roman" w:hAnsi="Calibri" w:cs="Times New Roman"/>
      <w:lang w:val="en-US"/>
    </w:rPr>
  </w:style>
  <w:style w:type="character" w:styleId="Emphasis">
    <w:name w:val="Emphasis"/>
    <w:qFormat/>
    <w:rsid w:val="00CB6100"/>
    <w:rPr>
      <w:i/>
      <w:iCs/>
    </w:rPr>
  </w:style>
  <w:style w:type="table" w:customStyle="1" w:styleId="PlainTable110">
    <w:name w:val="Plain Table 11"/>
    <w:basedOn w:val="TableNormal"/>
    <w:next w:val="PlainTable11"/>
    <w:uiPriority w:val="41"/>
    <w:rsid w:val="004E1E6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957">
      <w:bodyDiv w:val="1"/>
      <w:marLeft w:val="0"/>
      <w:marRight w:val="0"/>
      <w:marTop w:val="0"/>
      <w:marBottom w:val="0"/>
      <w:divBdr>
        <w:top w:val="none" w:sz="0" w:space="0" w:color="auto"/>
        <w:left w:val="none" w:sz="0" w:space="0" w:color="auto"/>
        <w:bottom w:val="none" w:sz="0" w:space="0" w:color="auto"/>
        <w:right w:val="none" w:sz="0" w:space="0" w:color="auto"/>
      </w:divBdr>
    </w:div>
    <w:div w:id="309864659">
      <w:bodyDiv w:val="1"/>
      <w:marLeft w:val="0"/>
      <w:marRight w:val="0"/>
      <w:marTop w:val="0"/>
      <w:marBottom w:val="0"/>
      <w:divBdr>
        <w:top w:val="none" w:sz="0" w:space="0" w:color="auto"/>
        <w:left w:val="none" w:sz="0" w:space="0" w:color="auto"/>
        <w:bottom w:val="none" w:sz="0" w:space="0" w:color="auto"/>
        <w:right w:val="none" w:sz="0" w:space="0" w:color="auto"/>
      </w:divBdr>
      <w:divsChild>
        <w:div w:id="1974365511">
          <w:marLeft w:val="0"/>
          <w:marRight w:val="0"/>
          <w:marTop w:val="0"/>
          <w:marBottom w:val="0"/>
          <w:divBdr>
            <w:top w:val="none" w:sz="0" w:space="0" w:color="auto"/>
            <w:left w:val="none" w:sz="0" w:space="0" w:color="auto"/>
            <w:bottom w:val="none" w:sz="0" w:space="0" w:color="auto"/>
            <w:right w:val="none" w:sz="0" w:space="0" w:color="auto"/>
          </w:divBdr>
        </w:div>
        <w:div w:id="1859201061">
          <w:marLeft w:val="0"/>
          <w:marRight w:val="0"/>
          <w:marTop w:val="0"/>
          <w:marBottom w:val="0"/>
          <w:divBdr>
            <w:top w:val="none" w:sz="0" w:space="0" w:color="auto"/>
            <w:left w:val="none" w:sz="0" w:space="0" w:color="auto"/>
            <w:bottom w:val="none" w:sz="0" w:space="0" w:color="auto"/>
            <w:right w:val="none" w:sz="0" w:space="0" w:color="auto"/>
          </w:divBdr>
        </w:div>
        <w:div w:id="730275142">
          <w:marLeft w:val="0"/>
          <w:marRight w:val="0"/>
          <w:marTop w:val="0"/>
          <w:marBottom w:val="0"/>
          <w:divBdr>
            <w:top w:val="none" w:sz="0" w:space="0" w:color="auto"/>
            <w:left w:val="none" w:sz="0" w:space="0" w:color="auto"/>
            <w:bottom w:val="none" w:sz="0" w:space="0" w:color="auto"/>
            <w:right w:val="none" w:sz="0" w:space="0" w:color="auto"/>
          </w:divBdr>
        </w:div>
        <w:div w:id="455878107">
          <w:marLeft w:val="0"/>
          <w:marRight w:val="0"/>
          <w:marTop w:val="0"/>
          <w:marBottom w:val="0"/>
          <w:divBdr>
            <w:top w:val="none" w:sz="0" w:space="0" w:color="auto"/>
            <w:left w:val="none" w:sz="0" w:space="0" w:color="auto"/>
            <w:bottom w:val="none" w:sz="0" w:space="0" w:color="auto"/>
            <w:right w:val="none" w:sz="0" w:space="0" w:color="auto"/>
          </w:divBdr>
        </w:div>
        <w:div w:id="1720858730">
          <w:marLeft w:val="0"/>
          <w:marRight w:val="0"/>
          <w:marTop w:val="0"/>
          <w:marBottom w:val="0"/>
          <w:divBdr>
            <w:top w:val="none" w:sz="0" w:space="0" w:color="auto"/>
            <w:left w:val="none" w:sz="0" w:space="0" w:color="auto"/>
            <w:bottom w:val="none" w:sz="0" w:space="0" w:color="auto"/>
            <w:right w:val="none" w:sz="0" w:space="0" w:color="auto"/>
          </w:divBdr>
        </w:div>
        <w:div w:id="1175071125">
          <w:marLeft w:val="0"/>
          <w:marRight w:val="0"/>
          <w:marTop w:val="0"/>
          <w:marBottom w:val="0"/>
          <w:divBdr>
            <w:top w:val="none" w:sz="0" w:space="0" w:color="auto"/>
            <w:left w:val="none" w:sz="0" w:space="0" w:color="auto"/>
            <w:bottom w:val="none" w:sz="0" w:space="0" w:color="auto"/>
            <w:right w:val="none" w:sz="0" w:space="0" w:color="auto"/>
          </w:divBdr>
        </w:div>
        <w:div w:id="1259145432">
          <w:marLeft w:val="0"/>
          <w:marRight w:val="0"/>
          <w:marTop w:val="0"/>
          <w:marBottom w:val="0"/>
          <w:divBdr>
            <w:top w:val="none" w:sz="0" w:space="0" w:color="auto"/>
            <w:left w:val="none" w:sz="0" w:space="0" w:color="auto"/>
            <w:bottom w:val="none" w:sz="0" w:space="0" w:color="auto"/>
            <w:right w:val="none" w:sz="0" w:space="0" w:color="auto"/>
          </w:divBdr>
        </w:div>
        <w:div w:id="1353796061">
          <w:marLeft w:val="0"/>
          <w:marRight w:val="0"/>
          <w:marTop w:val="0"/>
          <w:marBottom w:val="0"/>
          <w:divBdr>
            <w:top w:val="none" w:sz="0" w:space="0" w:color="auto"/>
            <w:left w:val="none" w:sz="0" w:space="0" w:color="auto"/>
            <w:bottom w:val="none" w:sz="0" w:space="0" w:color="auto"/>
            <w:right w:val="none" w:sz="0" w:space="0" w:color="auto"/>
          </w:divBdr>
        </w:div>
        <w:div w:id="947927478">
          <w:marLeft w:val="0"/>
          <w:marRight w:val="0"/>
          <w:marTop w:val="0"/>
          <w:marBottom w:val="0"/>
          <w:divBdr>
            <w:top w:val="none" w:sz="0" w:space="0" w:color="auto"/>
            <w:left w:val="none" w:sz="0" w:space="0" w:color="auto"/>
            <w:bottom w:val="none" w:sz="0" w:space="0" w:color="auto"/>
            <w:right w:val="none" w:sz="0" w:space="0" w:color="auto"/>
          </w:divBdr>
        </w:div>
        <w:div w:id="154928561">
          <w:marLeft w:val="0"/>
          <w:marRight w:val="0"/>
          <w:marTop w:val="0"/>
          <w:marBottom w:val="0"/>
          <w:divBdr>
            <w:top w:val="none" w:sz="0" w:space="0" w:color="auto"/>
            <w:left w:val="none" w:sz="0" w:space="0" w:color="auto"/>
            <w:bottom w:val="none" w:sz="0" w:space="0" w:color="auto"/>
            <w:right w:val="none" w:sz="0" w:space="0" w:color="auto"/>
          </w:divBdr>
        </w:div>
        <w:div w:id="1815951614">
          <w:marLeft w:val="0"/>
          <w:marRight w:val="0"/>
          <w:marTop w:val="0"/>
          <w:marBottom w:val="0"/>
          <w:divBdr>
            <w:top w:val="none" w:sz="0" w:space="0" w:color="auto"/>
            <w:left w:val="none" w:sz="0" w:space="0" w:color="auto"/>
            <w:bottom w:val="none" w:sz="0" w:space="0" w:color="auto"/>
            <w:right w:val="none" w:sz="0" w:space="0" w:color="auto"/>
          </w:divBdr>
        </w:div>
        <w:div w:id="66004023">
          <w:marLeft w:val="0"/>
          <w:marRight w:val="0"/>
          <w:marTop w:val="0"/>
          <w:marBottom w:val="0"/>
          <w:divBdr>
            <w:top w:val="none" w:sz="0" w:space="0" w:color="auto"/>
            <w:left w:val="none" w:sz="0" w:space="0" w:color="auto"/>
            <w:bottom w:val="none" w:sz="0" w:space="0" w:color="auto"/>
            <w:right w:val="none" w:sz="0" w:space="0" w:color="auto"/>
          </w:divBdr>
        </w:div>
        <w:div w:id="1415785896">
          <w:marLeft w:val="0"/>
          <w:marRight w:val="0"/>
          <w:marTop w:val="0"/>
          <w:marBottom w:val="0"/>
          <w:divBdr>
            <w:top w:val="none" w:sz="0" w:space="0" w:color="auto"/>
            <w:left w:val="none" w:sz="0" w:space="0" w:color="auto"/>
            <w:bottom w:val="none" w:sz="0" w:space="0" w:color="auto"/>
            <w:right w:val="none" w:sz="0" w:space="0" w:color="auto"/>
          </w:divBdr>
        </w:div>
      </w:divsChild>
    </w:div>
    <w:div w:id="672031182">
      <w:bodyDiv w:val="1"/>
      <w:marLeft w:val="0"/>
      <w:marRight w:val="0"/>
      <w:marTop w:val="0"/>
      <w:marBottom w:val="0"/>
      <w:divBdr>
        <w:top w:val="none" w:sz="0" w:space="0" w:color="auto"/>
        <w:left w:val="none" w:sz="0" w:space="0" w:color="auto"/>
        <w:bottom w:val="none" w:sz="0" w:space="0" w:color="auto"/>
        <w:right w:val="none" w:sz="0" w:space="0" w:color="auto"/>
      </w:divBdr>
    </w:div>
    <w:div w:id="707724658">
      <w:bodyDiv w:val="1"/>
      <w:marLeft w:val="0"/>
      <w:marRight w:val="0"/>
      <w:marTop w:val="0"/>
      <w:marBottom w:val="0"/>
      <w:divBdr>
        <w:top w:val="none" w:sz="0" w:space="0" w:color="auto"/>
        <w:left w:val="none" w:sz="0" w:space="0" w:color="auto"/>
        <w:bottom w:val="none" w:sz="0" w:space="0" w:color="auto"/>
        <w:right w:val="none" w:sz="0" w:space="0" w:color="auto"/>
      </w:divBdr>
      <w:divsChild>
        <w:div w:id="1644581750">
          <w:marLeft w:val="0"/>
          <w:marRight w:val="0"/>
          <w:marTop w:val="0"/>
          <w:marBottom w:val="0"/>
          <w:divBdr>
            <w:top w:val="none" w:sz="0" w:space="0" w:color="auto"/>
            <w:left w:val="none" w:sz="0" w:space="0" w:color="auto"/>
            <w:bottom w:val="none" w:sz="0" w:space="0" w:color="auto"/>
            <w:right w:val="none" w:sz="0" w:space="0" w:color="auto"/>
          </w:divBdr>
        </w:div>
        <w:div w:id="2071414776">
          <w:marLeft w:val="0"/>
          <w:marRight w:val="0"/>
          <w:marTop w:val="0"/>
          <w:marBottom w:val="0"/>
          <w:divBdr>
            <w:top w:val="none" w:sz="0" w:space="0" w:color="auto"/>
            <w:left w:val="none" w:sz="0" w:space="0" w:color="auto"/>
            <w:bottom w:val="none" w:sz="0" w:space="0" w:color="auto"/>
            <w:right w:val="none" w:sz="0" w:space="0" w:color="auto"/>
          </w:divBdr>
        </w:div>
        <w:div w:id="492836671">
          <w:marLeft w:val="0"/>
          <w:marRight w:val="0"/>
          <w:marTop w:val="0"/>
          <w:marBottom w:val="0"/>
          <w:divBdr>
            <w:top w:val="none" w:sz="0" w:space="0" w:color="auto"/>
            <w:left w:val="none" w:sz="0" w:space="0" w:color="auto"/>
            <w:bottom w:val="none" w:sz="0" w:space="0" w:color="auto"/>
            <w:right w:val="none" w:sz="0" w:space="0" w:color="auto"/>
          </w:divBdr>
        </w:div>
        <w:div w:id="1361710385">
          <w:marLeft w:val="0"/>
          <w:marRight w:val="0"/>
          <w:marTop w:val="0"/>
          <w:marBottom w:val="0"/>
          <w:divBdr>
            <w:top w:val="none" w:sz="0" w:space="0" w:color="auto"/>
            <w:left w:val="none" w:sz="0" w:space="0" w:color="auto"/>
            <w:bottom w:val="none" w:sz="0" w:space="0" w:color="auto"/>
            <w:right w:val="none" w:sz="0" w:space="0" w:color="auto"/>
          </w:divBdr>
        </w:div>
      </w:divsChild>
    </w:div>
    <w:div w:id="925579577">
      <w:bodyDiv w:val="1"/>
      <w:marLeft w:val="0"/>
      <w:marRight w:val="0"/>
      <w:marTop w:val="0"/>
      <w:marBottom w:val="0"/>
      <w:divBdr>
        <w:top w:val="none" w:sz="0" w:space="0" w:color="auto"/>
        <w:left w:val="none" w:sz="0" w:space="0" w:color="auto"/>
        <w:bottom w:val="none" w:sz="0" w:space="0" w:color="auto"/>
        <w:right w:val="none" w:sz="0" w:space="0" w:color="auto"/>
      </w:divBdr>
      <w:divsChild>
        <w:div w:id="2108884679">
          <w:marLeft w:val="0"/>
          <w:marRight w:val="0"/>
          <w:marTop w:val="0"/>
          <w:marBottom w:val="0"/>
          <w:divBdr>
            <w:top w:val="none" w:sz="0" w:space="0" w:color="auto"/>
            <w:left w:val="none" w:sz="0" w:space="0" w:color="auto"/>
            <w:bottom w:val="none" w:sz="0" w:space="0" w:color="auto"/>
            <w:right w:val="none" w:sz="0" w:space="0" w:color="auto"/>
          </w:divBdr>
        </w:div>
        <w:div w:id="2020428055">
          <w:marLeft w:val="0"/>
          <w:marRight w:val="0"/>
          <w:marTop w:val="0"/>
          <w:marBottom w:val="0"/>
          <w:divBdr>
            <w:top w:val="none" w:sz="0" w:space="0" w:color="auto"/>
            <w:left w:val="none" w:sz="0" w:space="0" w:color="auto"/>
            <w:bottom w:val="none" w:sz="0" w:space="0" w:color="auto"/>
            <w:right w:val="none" w:sz="0" w:space="0" w:color="auto"/>
          </w:divBdr>
        </w:div>
        <w:div w:id="396131693">
          <w:marLeft w:val="0"/>
          <w:marRight w:val="0"/>
          <w:marTop w:val="0"/>
          <w:marBottom w:val="0"/>
          <w:divBdr>
            <w:top w:val="none" w:sz="0" w:space="0" w:color="auto"/>
            <w:left w:val="none" w:sz="0" w:space="0" w:color="auto"/>
            <w:bottom w:val="none" w:sz="0" w:space="0" w:color="auto"/>
            <w:right w:val="none" w:sz="0" w:space="0" w:color="auto"/>
          </w:divBdr>
        </w:div>
        <w:div w:id="1726560581">
          <w:marLeft w:val="0"/>
          <w:marRight w:val="0"/>
          <w:marTop w:val="0"/>
          <w:marBottom w:val="0"/>
          <w:divBdr>
            <w:top w:val="none" w:sz="0" w:space="0" w:color="auto"/>
            <w:left w:val="none" w:sz="0" w:space="0" w:color="auto"/>
            <w:bottom w:val="none" w:sz="0" w:space="0" w:color="auto"/>
            <w:right w:val="none" w:sz="0" w:space="0" w:color="auto"/>
          </w:divBdr>
        </w:div>
      </w:divsChild>
    </w:div>
    <w:div w:id="1336155152">
      <w:bodyDiv w:val="1"/>
      <w:marLeft w:val="0"/>
      <w:marRight w:val="0"/>
      <w:marTop w:val="0"/>
      <w:marBottom w:val="0"/>
      <w:divBdr>
        <w:top w:val="none" w:sz="0" w:space="0" w:color="auto"/>
        <w:left w:val="none" w:sz="0" w:space="0" w:color="auto"/>
        <w:bottom w:val="none" w:sz="0" w:space="0" w:color="auto"/>
        <w:right w:val="none" w:sz="0" w:space="0" w:color="auto"/>
      </w:divBdr>
    </w:div>
    <w:div w:id="1337612488">
      <w:bodyDiv w:val="1"/>
      <w:marLeft w:val="0"/>
      <w:marRight w:val="0"/>
      <w:marTop w:val="0"/>
      <w:marBottom w:val="0"/>
      <w:divBdr>
        <w:top w:val="none" w:sz="0" w:space="0" w:color="auto"/>
        <w:left w:val="none" w:sz="0" w:space="0" w:color="auto"/>
        <w:bottom w:val="none" w:sz="0" w:space="0" w:color="auto"/>
        <w:right w:val="none" w:sz="0" w:space="0" w:color="auto"/>
      </w:divBdr>
      <w:divsChild>
        <w:div w:id="49698728">
          <w:marLeft w:val="0"/>
          <w:marRight w:val="0"/>
          <w:marTop w:val="0"/>
          <w:marBottom w:val="0"/>
          <w:divBdr>
            <w:top w:val="none" w:sz="0" w:space="0" w:color="auto"/>
            <w:left w:val="none" w:sz="0" w:space="0" w:color="auto"/>
            <w:bottom w:val="none" w:sz="0" w:space="0" w:color="auto"/>
            <w:right w:val="none" w:sz="0" w:space="0" w:color="auto"/>
          </w:divBdr>
        </w:div>
        <w:div w:id="1983122046">
          <w:marLeft w:val="0"/>
          <w:marRight w:val="0"/>
          <w:marTop w:val="0"/>
          <w:marBottom w:val="0"/>
          <w:divBdr>
            <w:top w:val="none" w:sz="0" w:space="0" w:color="auto"/>
            <w:left w:val="none" w:sz="0" w:space="0" w:color="auto"/>
            <w:bottom w:val="none" w:sz="0" w:space="0" w:color="auto"/>
            <w:right w:val="none" w:sz="0" w:space="0" w:color="auto"/>
          </w:divBdr>
        </w:div>
        <w:div w:id="135225753">
          <w:marLeft w:val="0"/>
          <w:marRight w:val="0"/>
          <w:marTop w:val="0"/>
          <w:marBottom w:val="0"/>
          <w:divBdr>
            <w:top w:val="none" w:sz="0" w:space="0" w:color="auto"/>
            <w:left w:val="none" w:sz="0" w:space="0" w:color="auto"/>
            <w:bottom w:val="none" w:sz="0" w:space="0" w:color="auto"/>
            <w:right w:val="none" w:sz="0" w:space="0" w:color="auto"/>
          </w:divBdr>
        </w:div>
        <w:div w:id="1048803508">
          <w:marLeft w:val="0"/>
          <w:marRight w:val="0"/>
          <w:marTop w:val="0"/>
          <w:marBottom w:val="0"/>
          <w:divBdr>
            <w:top w:val="none" w:sz="0" w:space="0" w:color="auto"/>
            <w:left w:val="none" w:sz="0" w:space="0" w:color="auto"/>
            <w:bottom w:val="none" w:sz="0" w:space="0" w:color="auto"/>
            <w:right w:val="none" w:sz="0" w:space="0" w:color="auto"/>
          </w:divBdr>
        </w:div>
      </w:divsChild>
    </w:div>
    <w:div w:id="1503274598">
      <w:bodyDiv w:val="1"/>
      <w:marLeft w:val="0"/>
      <w:marRight w:val="0"/>
      <w:marTop w:val="0"/>
      <w:marBottom w:val="0"/>
      <w:divBdr>
        <w:top w:val="none" w:sz="0" w:space="0" w:color="auto"/>
        <w:left w:val="none" w:sz="0" w:space="0" w:color="auto"/>
        <w:bottom w:val="none" w:sz="0" w:space="0" w:color="auto"/>
        <w:right w:val="none" w:sz="0" w:space="0" w:color="auto"/>
      </w:divBdr>
    </w:div>
    <w:div w:id="1544558628">
      <w:bodyDiv w:val="1"/>
      <w:marLeft w:val="0"/>
      <w:marRight w:val="0"/>
      <w:marTop w:val="0"/>
      <w:marBottom w:val="0"/>
      <w:divBdr>
        <w:top w:val="none" w:sz="0" w:space="0" w:color="auto"/>
        <w:left w:val="none" w:sz="0" w:space="0" w:color="auto"/>
        <w:bottom w:val="none" w:sz="0" w:space="0" w:color="auto"/>
        <w:right w:val="none" w:sz="0" w:space="0" w:color="auto"/>
      </w:divBdr>
      <w:divsChild>
        <w:div w:id="863637599">
          <w:marLeft w:val="0"/>
          <w:marRight w:val="0"/>
          <w:marTop w:val="0"/>
          <w:marBottom w:val="0"/>
          <w:divBdr>
            <w:top w:val="none" w:sz="0" w:space="0" w:color="auto"/>
            <w:left w:val="none" w:sz="0" w:space="0" w:color="auto"/>
            <w:bottom w:val="none" w:sz="0" w:space="0" w:color="auto"/>
            <w:right w:val="none" w:sz="0" w:space="0" w:color="auto"/>
          </w:divBdr>
        </w:div>
        <w:div w:id="343749119">
          <w:marLeft w:val="0"/>
          <w:marRight w:val="0"/>
          <w:marTop w:val="0"/>
          <w:marBottom w:val="0"/>
          <w:divBdr>
            <w:top w:val="none" w:sz="0" w:space="0" w:color="auto"/>
            <w:left w:val="none" w:sz="0" w:space="0" w:color="auto"/>
            <w:bottom w:val="none" w:sz="0" w:space="0" w:color="auto"/>
            <w:right w:val="none" w:sz="0" w:space="0" w:color="auto"/>
          </w:divBdr>
        </w:div>
        <w:div w:id="733049213">
          <w:marLeft w:val="0"/>
          <w:marRight w:val="0"/>
          <w:marTop w:val="0"/>
          <w:marBottom w:val="0"/>
          <w:divBdr>
            <w:top w:val="none" w:sz="0" w:space="0" w:color="auto"/>
            <w:left w:val="none" w:sz="0" w:space="0" w:color="auto"/>
            <w:bottom w:val="none" w:sz="0" w:space="0" w:color="auto"/>
            <w:right w:val="none" w:sz="0" w:space="0" w:color="auto"/>
          </w:divBdr>
        </w:div>
        <w:div w:id="1709645081">
          <w:marLeft w:val="0"/>
          <w:marRight w:val="0"/>
          <w:marTop w:val="0"/>
          <w:marBottom w:val="0"/>
          <w:divBdr>
            <w:top w:val="none" w:sz="0" w:space="0" w:color="auto"/>
            <w:left w:val="none" w:sz="0" w:space="0" w:color="auto"/>
            <w:bottom w:val="none" w:sz="0" w:space="0" w:color="auto"/>
            <w:right w:val="none" w:sz="0" w:space="0" w:color="auto"/>
          </w:divBdr>
        </w:div>
      </w:divsChild>
    </w:div>
    <w:div w:id="1612928669">
      <w:bodyDiv w:val="1"/>
      <w:marLeft w:val="0"/>
      <w:marRight w:val="0"/>
      <w:marTop w:val="0"/>
      <w:marBottom w:val="0"/>
      <w:divBdr>
        <w:top w:val="none" w:sz="0" w:space="0" w:color="auto"/>
        <w:left w:val="none" w:sz="0" w:space="0" w:color="auto"/>
        <w:bottom w:val="none" w:sz="0" w:space="0" w:color="auto"/>
        <w:right w:val="none" w:sz="0" w:space="0" w:color="auto"/>
      </w:divBdr>
      <w:divsChild>
        <w:div w:id="992100070">
          <w:marLeft w:val="0"/>
          <w:marRight w:val="0"/>
          <w:marTop w:val="0"/>
          <w:marBottom w:val="0"/>
          <w:divBdr>
            <w:top w:val="none" w:sz="0" w:space="0" w:color="auto"/>
            <w:left w:val="none" w:sz="0" w:space="0" w:color="auto"/>
            <w:bottom w:val="none" w:sz="0" w:space="0" w:color="auto"/>
            <w:right w:val="none" w:sz="0" w:space="0" w:color="auto"/>
          </w:divBdr>
        </w:div>
        <w:div w:id="285820282">
          <w:marLeft w:val="0"/>
          <w:marRight w:val="0"/>
          <w:marTop w:val="0"/>
          <w:marBottom w:val="0"/>
          <w:divBdr>
            <w:top w:val="none" w:sz="0" w:space="0" w:color="auto"/>
            <w:left w:val="none" w:sz="0" w:space="0" w:color="auto"/>
            <w:bottom w:val="none" w:sz="0" w:space="0" w:color="auto"/>
            <w:right w:val="none" w:sz="0" w:space="0" w:color="auto"/>
          </w:divBdr>
        </w:div>
        <w:div w:id="2090731130">
          <w:marLeft w:val="0"/>
          <w:marRight w:val="0"/>
          <w:marTop w:val="0"/>
          <w:marBottom w:val="0"/>
          <w:divBdr>
            <w:top w:val="none" w:sz="0" w:space="0" w:color="auto"/>
            <w:left w:val="none" w:sz="0" w:space="0" w:color="auto"/>
            <w:bottom w:val="none" w:sz="0" w:space="0" w:color="auto"/>
            <w:right w:val="none" w:sz="0" w:space="0" w:color="auto"/>
          </w:divBdr>
        </w:div>
        <w:div w:id="153690897">
          <w:marLeft w:val="0"/>
          <w:marRight w:val="0"/>
          <w:marTop w:val="0"/>
          <w:marBottom w:val="0"/>
          <w:divBdr>
            <w:top w:val="none" w:sz="0" w:space="0" w:color="auto"/>
            <w:left w:val="none" w:sz="0" w:space="0" w:color="auto"/>
            <w:bottom w:val="none" w:sz="0" w:space="0" w:color="auto"/>
            <w:right w:val="none" w:sz="0" w:space="0" w:color="auto"/>
          </w:divBdr>
        </w:div>
      </w:divsChild>
    </w:div>
    <w:div w:id="1709599392">
      <w:bodyDiv w:val="1"/>
      <w:marLeft w:val="0"/>
      <w:marRight w:val="0"/>
      <w:marTop w:val="0"/>
      <w:marBottom w:val="0"/>
      <w:divBdr>
        <w:top w:val="none" w:sz="0" w:space="0" w:color="auto"/>
        <w:left w:val="none" w:sz="0" w:space="0" w:color="auto"/>
        <w:bottom w:val="none" w:sz="0" w:space="0" w:color="auto"/>
        <w:right w:val="none" w:sz="0" w:space="0" w:color="auto"/>
      </w:divBdr>
    </w:div>
    <w:div w:id="1768191179">
      <w:bodyDiv w:val="1"/>
      <w:marLeft w:val="0"/>
      <w:marRight w:val="0"/>
      <w:marTop w:val="0"/>
      <w:marBottom w:val="0"/>
      <w:divBdr>
        <w:top w:val="none" w:sz="0" w:space="0" w:color="auto"/>
        <w:left w:val="none" w:sz="0" w:space="0" w:color="auto"/>
        <w:bottom w:val="none" w:sz="0" w:space="0" w:color="auto"/>
        <w:right w:val="none" w:sz="0" w:space="0" w:color="auto"/>
      </w:divBdr>
    </w:div>
    <w:div w:id="1785421056">
      <w:bodyDiv w:val="1"/>
      <w:marLeft w:val="0"/>
      <w:marRight w:val="0"/>
      <w:marTop w:val="0"/>
      <w:marBottom w:val="0"/>
      <w:divBdr>
        <w:top w:val="none" w:sz="0" w:space="0" w:color="auto"/>
        <w:left w:val="none" w:sz="0" w:space="0" w:color="auto"/>
        <w:bottom w:val="none" w:sz="0" w:space="0" w:color="auto"/>
        <w:right w:val="none" w:sz="0" w:space="0" w:color="auto"/>
      </w:divBdr>
    </w:div>
    <w:div w:id="18192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xml"/><Relationship Id="rId21" Type="http://schemas.openxmlformats.org/officeDocument/2006/relationships/chart" Target="charts/chart9.xml"/><Relationship Id="rId42" Type="http://schemas.openxmlformats.org/officeDocument/2006/relationships/chart" Target="charts/chart30.xml"/><Relationship Id="rId63" Type="http://schemas.openxmlformats.org/officeDocument/2006/relationships/chart" Target="charts/chart51.xml"/><Relationship Id="rId84" Type="http://schemas.openxmlformats.org/officeDocument/2006/relationships/chart" Target="charts/chart72.xml"/><Relationship Id="rId138" Type="http://schemas.openxmlformats.org/officeDocument/2006/relationships/theme" Target="theme/theme1.xml"/><Relationship Id="rId16" Type="http://schemas.openxmlformats.org/officeDocument/2006/relationships/chart" Target="charts/chart4.xml"/><Relationship Id="rId107" Type="http://schemas.openxmlformats.org/officeDocument/2006/relationships/chart" Target="charts/chart95.xml"/><Relationship Id="rId11" Type="http://schemas.openxmlformats.org/officeDocument/2006/relationships/footer" Target="footer2.xml"/><Relationship Id="rId32" Type="http://schemas.openxmlformats.org/officeDocument/2006/relationships/chart" Target="charts/chart20.xml"/><Relationship Id="rId37" Type="http://schemas.openxmlformats.org/officeDocument/2006/relationships/chart" Target="charts/chart25.xml"/><Relationship Id="rId53" Type="http://schemas.openxmlformats.org/officeDocument/2006/relationships/chart" Target="charts/chart41.xml"/><Relationship Id="rId58" Type="http://schemas.openxmlformats.org/officeDocument/2006/relationships/chart" Target="charts/chart46.xml"/><Relationship Id="rId74" Type="http://schemas.openxmlformats.org/officeDocument/2006/relationships/chart" Target="charts/chart62.xml"/><Relationship Id="rId79" Type="http://schemas.openxmlformats.org/officeDocument/2006/relationships/chart" Target="charts/chart67.xml"/><Relationship Id="rId102" Type="http://schemas.openxmlformats.org/officeDocument/2006/relationships/chart" Target="charts/chart90.xml"/><Relationship Id="rId123" Type="http://schemas.openxmlformats.org/officeDocument/2006/relationships/footer" Target="footer6.xml"/><Relationship Id="rId128" Type="http://schemas.openxmlformats.org/officeDocument/2006/relationships/hyperlink" Target="http://www.unep-aewa.org/meetings/en/mop/mop4_docs/meeting_docs_pdf/mop4_10_ssap_review.pdf" TargetMode="External"/><Relationship Id="rId5" Type="http://schemas.openxmlformats.org/officeDocument/2006/relationships/webSettings" Target="webSettings.xml"/><Relationship Id="rId90" Type="http://schemas.openxmlformats.org/officeDocument/2006/relationships/chart" Target="charts/chart78.xml"/><Relationship Id="rId95" Type="http://schemas.openxmlformats.org/officeDocument/2006/relationships/chart" Target="charts/chart83.xml"/><Relationship Id="rId22" Type="http://schemas.openxmlformats.org/officeDocument/2006/relationships/chart" Target="charts/chart10.xml"/><Relationship Id="rId27" Type="http://schemas.openxmlformats.org/officeDocument/2006/relationships/chart" Target="charts/chart15.xml"/><Relationship Id="rId43" Type="http://schemas.openxmlformats.org/officeDocument/2006/relationships/chart" Target="charts/chart31.xml"/><Relationship Id="rId48" Type="http://schemas.openxmlformats.org/officeDocument/2006/relationships/chart" Target="charts/chart36.xml"/><Relationship Id="rId64" Type="http://schemas.openxmlformats.org/officeDocument/2006/relationships/chart" Target="charts/chart52.xml"/><Relationship Id="rId69" Type="http://schemas.openxmlformats.org/officeDocument/2006/relationships/chart" Target="charts/chart57.xml"/><Relationship Id="rId113" Type="http://schemas.openxmlformats.org/officeDocument/2006/relationships/chart" Target="charts/chart101.xml"/><Relationship Id="rId118" Type="http://schemas.openxmlformats.org/officeDocument/2006/relationships/footer" Target="footer5.xml"/><Relationship Id="rId134" Type="http://schemas.openxmlformats.org/officeDocument/2006/relationships/header" Target="header13.xml"/><Relationship Id="rId80" Type="http://schemas.openxmlformats.org/officeDocument/2006/relationships/chart" Target="charts/chart68.xml"/><Relationship Id="rId85" Type="http://schemas.openxmlformats.org/officeDocument/2006/relationships/chart" Target="charts/chart73.xml"/><Relationship Id="rId12" Type="http://schemas.openxmlformats.org/officeDocument/2006/relationships/footer" Target="footer3.xml"/><Relationship Id="rId17" Type="http://schemas.openxmlformats.org/officeDocument/2006/relationships/chart" Target="charts/chart5.xml"/><Relationship Id="rId33" Type="http://schemas.openxmlformats.org/officeDocument/2006/relationships/chart" Target="charts/chart21.xml"/><Relationship Id="rId38" Type="http://schemas.openxmlformats.org/officeDocument/2006/relationships/chart" Target="charts/chart26.xml"/><Relationship Id="rId59" Type="http://schemas.openxmlformats.org/officeDocument/2006/relationships/chart" Target="charts/chart47.xml"/><Relationship Id="rId103" Type="http://schemas.openxmlformats.org/officeDocument/2006/relationships/chart" Target="charts/chart91.xml"/><Relationship Id="rId108" Type="http://schemas.openxmlformats.org/officeDocument/2006/relationships/chart" Target="charts/chart96.xml"/><Relationship Id="rId124" Type="http://schemas.openxmlformats.org/officeDocument/2006/relationships/header" Target="header9.xml"/><Relationship Id="rId129" Type="http://schemas.openxmlformats.org/officeDocument/2006/relationships/hyperlink" Target="http://www.unep-aewa.org/meetings/en/mop/mop4_docs/final_res_pdf/res4_4_ssap_re-establishments_final.pdf" TargetMode="External"/><Relationship Id="rId54" Type="http://schemas.openxmlformats.org/officeDocument/2006/relationships/chart" Target="charts/chart42.xml"/><Relationship Id="rId70" Type="http://schemas.openxmlformats.org/officeDocument/2006/relationships/chart" Target="charts/chart58.xml"/><Relationship Id="rId75" Type="http://schemas.openxmlformats.org/officeDocument/2006/relationships/chart" Target="charts/chart63.xml"/><Relationship Id="rId91" Type="http://schemas.openxmlformats.org/officeDocument/2006/relationships/chart" Target="charts/chart79.xml"/><Relationship Id="rId96" Type="http://schemas.openxmlformats.org/officeDocument/2006/relationships/chart" Target="charts/chart8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1.xml"/><Relationship Id="rId28" Type="http://schemas.openxmlformats.org/officeDocument/2006/relationships/chart" Target="charts/chart16.xml"/><Relationship Id="rId49" Type="http://schemas.openxmlformats.org/officeDocument/2006/relationships/chart" Target="charts/chart37.xml"/><Relationship Id="rId114" Type="http://schemas.openxmlformats.org/officeDocument/2006/relationships/chart" Target="charts/chart102.xml"/><Relationship Id="rId119" Type="http://schemas.openxmlformats.org/officeDocument/2006/relationships/header" Target="header5.xml"/><Relationship Id="rId44" Type="http://schemas.openxmlformats.org/officeDocument/2006/relationships/chart" Target="charts/chart32.xml"/><Relationship Id="rId60" Type="http://schemas.openxmlformats.org/officeDocument/2006/relationships/chart" Target="charts/chart48.xml"/><Relationship Id="rId65" Type="http://schemas.openxmlformats.org/officeDocument/2006/relationships/chart" Target="charts/chart53.xml"/><Relationship Id="rId81" Type="http://schemas.openxmlformats.org/officeDocument/2006/relationships/chart" Target="charts/chart69.xml"/><Relationship Id="rId86" Type="http://schemas.openxmlformats.org/officeDocument/2006/relationships/chart" Target="charts/chart74.xml"/><Relationship Id="rId130" Type="http://schemas.openxmlformats.org/officeDocument/2006/relationships/hyperlink" Target="http://www.unep-aewa.org/meetings/en/mop/mop5_docs/pdf/mop5_24_ssap_smp_progress.pdf" TargetMode="External"/><Relationship Id="rId135" Type="http://schemas.openxmlformats.org/officeDocument/2006/relationships/footer" Target="footer8.xm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7.xml"/><Relationship Id="rId109" Type="http://schemas.openxmlformats.org/officeDocument/2006/relationships/chart" Target="charts/chart97.xm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3.xml"/><Relationship Id="rId76" Type="http://schemas.openxmlformats.org/officeDocument/2006/relationships/chart" Target="charts/chart64.xml"/><Relationship Id="rId97" Type="http://schemas.openxmlformats.org/officeDocument/2006/relationships/chart" Target="charts/chart85.xml"/><Relationship Id="rId104" Type="http://schemas.openxmlformats.org/officeDocument/2006/relationships/chart" Target="charts/chart92.xml"/><Relationship Id="rId120" Type="http://schemas.openxmlformats.org/officeDocument/2006/relationships/header" Target="header6.xml"/><Relationship Id="rId125"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chart" Target="charts/chart59.xml"/><Relationship Id="rId92" Type="http://schemas.openxmlformats.org/officeDocument/2006/relationships/chart" Target="charts/chart80.xml"/><Relationship Id="rId2" Type="http://schemas.openxmlformats.org/officeDocument/2006/relationships/numbering" Target="numbering.xml"/><Relationship Id="rId29" Type="http://schemas.openxmlformats.org/officeDocument/2006/relationships/chart" Target="charts/chart17.xml"/><Relationship Id="rId24" Type="http://schemas.openxmlformats.org/officeDocument/2006/relationships/chart" Target="charts/chart12.xml"/><Relationship Id="rId40" Type="http://schemas.openxmlformats.org/officeDocument/2006/relationships/chart" Target="charts/chart28.xml"/><Relationship Id="rId45" Type="http://schemas.openxmlformats.org/officeDocument/2006/relationships/chart" Target="charts/chart33.xml"/><Relationship Id="rId66" Type="http://schemas.openxmlformats.org/officeDocument/2006/relationships/chart" Target="charts/chart54.xml"/><Relationship Id="rId87" Type="http://schemas.openxmlformats.org/officeDocument/2006/relationships/chart" Target="charts/chart75.xml"/><Relationship Id="rId110" Type="http://schemas.openxmlformats.org/officeDocument/2006/relationships/chart" Target="charts/chart98.xml"/><Relationship Id="rId115" Type="http://schemas.openxmlformats.org/officeDocument/2006/relationships/footer" Target="footer4.xml"/><Relationship Id="rId131" Type="http://schemas.openxmlformats.org/officeDocument/2006/relationships/hyperlink" Target="http://www.unep-aewa.org/meetings/en/mop/mop5_docs/pdf/mop5_14_csr5.pdf" TargetMode="External"/><Relationship Id="rId136" Type="http://schemas.openxmlformats.org/officeDocument/2006/relationships/header" Target="header14.xml"/><Relationship Id="rId61" Type="http://schemas.openxmlformats.org/officeDocument/2006/relationships/chart" Target="charts/chart49.xml"/><Relationship Id="rId82" Type="http://schemas.openxmlformats.org/officeDocument/2006/relationships/chart" Target="charts/chart70.xml"/><Relationship Id="rId19" Type="http://schemas.openxmlformats.org/officeDocument/2006/relationships/chart" Target="charts/chart7.xml"/><Relationship Id="rId14" Type="http://schemas.openxmlformats.org/officeDocument/2006/relationships/chart" Target="charts/chart2.xml"/><Relationship Id="rId30" Type="http://schemas.openxmlformats.org/officeDocument/2006/relationships/chart" Target="charts/chart18.xml"/><Relationship Id="rId35" Type="http://schemas.openxmlformats.org/officeDocument/2006/relationships/chart" Target="charts/chart23.xml"/><Relationship Id="rId56" Type="http://schemas.openxmlformats.org/officeDocument/2006/relationships/chart" Target="charts/chart44.xml"/><Relationship Id="rId77" Type="http://schemas.openxmlformats.org/officeDocument/2006/relationships/chart" Target="charts/chart65.xml"/><Relationship Id="rId100" Type="http://schemas.openxmlformats.org/officeDocument/2006/relationships/chart" Target="charts/chart88.xml"/><Relationship Id="rId105" Type="http://schemas.openxmlformats.org/officeDocument/2006/relationships/chart" Target="charts/chart93.xml"/><Relationship Id="rId126" Type="http://schemas.openxmlformats.org/officeDocument/2006/relationships/footer" Target="footer7.xml"/><Relationship Id="rId8" Type="http://schemas.openxmlformats.org/officeDocument/2006/relationships/header" Target="header1.xml"/><Relationship Id="rId51" Type="http://schemas.openxmlformats.org/officeDocument/2006/relationships/chart" Target="charts/chart39.xml"/><Relationship Id="rId72" Type="http://schemas.openxmlformats.org/officeDocument/2006/relationships/chart" Target="charts/chart60.xml"/><Relationship Id="rId93" Type="http://schemas.openxmlformats.org/officeDocument/2006/relationships/chart" Target="charts/chart81.xml"/><Relationship Id="rId98" Type="http://schemas.openxmlformats.org/officeDocument/2006/relationships/chart" Target="charts/chart86.xml"/><Relationship Id="rId121" Type="http://schemas.openxmlformats.org/officeDocument/2006/relationships/header" Target="header7.xml"/><Relationship Id="rId3" Type="http://schemas.openxmlformats.org/officeDocument/2006/relationships/styles" Target="styles.xml"/><Relationship Id="rId25" Type="http://schemas.openxmlformats.org/officeDocument/2006/relationships/chart" Target="charts/chart13.xml"/><Relationship Id="rId46" Type="http://schemas.openxmlformats.org/officeDocument/2006/relationships/chart" Target="charts/chart34.xml"/><Relationship Id="rId67" Type="http://schemas.openxmlformats.org/officeDocument/2006/relationships/chart" Target="charts/chart55.xml"/><Relationship Id="rId116" Type="http://schemas.openxmlformats.org/officeDocument/2006/relationships/header" Target="header3.xml"/><Relationship Id="rId137" Type="http://schemas.openxmlformats.org/officeDocument/2006/relationships/fontTable" Target="fontTable.xml"/><Relationship Id="rId20" Type="http://schemas.openxmlformats.org/officeDocument/2006/relationships/chart" Target="charts/chart8.xml"/><Relationship Id="rId41" Type="http://schemas.openxmlformats.org/officeDocument/2006/relationships/chart" Target="charts/chart29.xml"/><Relationship Id="rId62" Type="http://schemas.openxmlformats.org/officeDocument/2006/relationships/chart" Target="charts/chart50.xml"/><Relationship Id="rId83" Type="http://schemas.openxmlformats.org/officeDocument/2006/relationships/chart" Target="charts/chart71.xml"/><Relationship Id="rId88" Type="http://schemas.openxmlformats.org/officeDocument/2006/relationships/chart" Target="charts/chart76.xml"/><Relationship Id="rId111" Type="http://schemas.openxmlformats.org/officeDocument/2006/relationships/chart" Target="charts/chart99.xml"/><Relationship Id="rId132" Type="http://schemas.openxmlformats.org/officeDocument/2006/relationships/hyperlink" Target="http://www.unep-aewa.org/meetings/en/mop/mop5_docs/final_res_pdf/res_5_8_ssap_and_mp.pdf" TargetMode="External"/><Relationship Id="rId15" Type="http://schemas.openxmlformats.org/officeDocument/2006/relationships/chart" Target="charts/chart3.xml"/><Relationship Id="rId36" Type="http://schemas.openxmlformats.org/officeDocument/2006/relationships/chart" Target="charts/chart24.xml"/><Relationship Id="rId57" Type="http://schemas.openxmlformats.org/officeDocument/2006/relationships/chart" Target="charts/chart45.xml"/><Relationship Id="rId106" Type="http://schemas.openxmlformats.org/officeDocument/2006/relationships/chart" Target="charts/chart94.xml"/><Relationship Id="rId127" Type="http://schemas.openxmlformats.org/officeDocument/2006/relationships/header" Target="header11.xml"/><Relationship Id="rId10" Type="http://schemas.openxmlformats.org/officeDocument/2006/relationships/header" Target="header2.xml"/><Relationship Id="rId31" Type="http://schemas.openxmlformats.org/officeDocument/2006/relationships/chart" Target="charts/chart19.xml"/><Relationship Id="rId52" Type="http://schemas.openxmlformats.org/officeDocument/2006/relationships/chart" Target="charts/chart40.xml"/><Relationship Id="rId73" Type="http://schemas.openxmlformats.org/officeDocument/2006/relationships/chart" Target="charts/chart61.xml"/><Relationship Id="rId78" Type="http://schemas.openxmlformats.org/officeDocument/2006/relationships/chart" Target="charts/chart66.xml"/><Relationship Id="rId94" Type="http://schemas.openxmlformats.org/officeDocument/2006/relationships/chart" Target="charts/chart82.xml"/><Relationship Id="rId99" Type="http://schemas.openxmlformats.org/officeDocument/2006/relationships/chart" Target="charts/chart87.xml"/><Relationship Id="rId101" Type="http://schemas.openxmlformats.org/officeDocument/2006/relationships/chart" Target="charts/chart89.xml"/><Relationship Id="rId12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chart" Target="charts/chart14.xml"/><Relationship Id="rId47" Type="http://schemas.openxmlformats.org/officeDocument/2006/relationships/chart" Target="charts/chart35.xml"/><Relationship Id="rId68" Type="http://schemas.openxmlformats.org/officeDocument/2006/relationships/chart" Target="charts/chart56.xml"/><Relationship Id="rId89" Type="http://schemas.openxmlformats.org/officeDocument/2006/relationships/chart" Target="charts/chart77.xml"/><Relationship Id="rId112" Type="http://schemas.openxmlformats.org/officeDocument/2006/relationships/chart" Target="charts/chart100.xml"/><Relationship Id="rId133" Type="http://schemas.openxmlformats.org/officeDocument/2006/relationships/header" Target="header12.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publication/international-single-species-action-plan-conservation-red-breasted-goose" TargetMode="External"/><Relationship Id="rId3" Type="http://schemas.openxmlformats.org/officeDocument/2006/relationships/hyperlink" Target="http://www.unep-aewa.org/en/publication/international-single-species-action-plan-conservation-lesser-flamingo" TargetMode="External"/><Relationship Id="rId7" Type="http://schemas.openxmlformats.org/officeDocument/2006/relationships/hyperlink" Target="http://www.unep-aewa.org/en/publication/international-single-species-action-plan-conservation-lesser-white-fronted-goose-western" TargetMode="External"/><Relationship Id="rId2" Type="http://schemas.openxmlformats.org/officeDocument/2006/relationships/hyperlink" Target="http://www.unep-aewa.org/sites/default/files/publication/ts10_ssap_nbi_complete_0.pdf" TargetMode="External"/><Relationship Id="rId1" Type="http://schemas.openxmlformats.org/officeDocument/2006/relationships/hyperlink" Target="http://www.unep-aewa.org/en/publication/aewa-conservation-guidelines-no-1-guidelines-preparation-national-single-species-action" TargetMode="External"/><Relationship Id="rId6" Type="http://schemas.openxmlformats.org/officeDocument/2006/relationships/hyperlink" Target="http://www.unep-aewa.org/en/publication/international-single-species-action-plan-conservation-greenland-white-fronted-goose" TargetMode="External"/><Relationship Id="rId5" Type="http://schemas.openxmlformats.org/officeDocument/2006/relationships/hyperlink" Target="http://www.unep-aewa.org/en/publication/international-species-management-plan-svalbard-population-pink-footed-goose-0" TargetMode="External"/><Relationship Id="rId4" Type="http://schemas.openxmlformats.org/officeDocument/2006/relationships/hyperlink" Target="http://www.unep-aewa.org/en/publication/international-single-species-action-plan-conservation-northwest-european-population" TargetMode="External"/><Relationship Id="rId9" Type="http://schemas.openxmlformats.org/officeDocument/2006/relationships/hyperlink" Target="http://www.unep-aewa.org/en/publication/international-single-species-action-plan-conservation-sociable-lapwing-new-ver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K:\MOP6%20ISSAP%20review\overview_pros_cons_issapreview.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MOP6%20ISSAP%20review\overview_pros_cons_issapreview.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K:\MOP6%20ISSAP%20review\flamingo_issap_review.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M:\MOP6\ssap%20review\MOP%20version\flamingo_issap_review.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M:\MOP6\ssap%20review\MOP%20version\flamingo_issap_review.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K:\MOP6%20ISSAP%20review\MOP%20version\bewicks_swan_issap_review.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M:\MOP6\ssap%20review\MOP%20version\bewicks_swan_issap_review.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M:\MOP6\ssap%20review\MOP%20version\bewicks_swan_issap_review.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K:\MOP6%20ISSAP%20review\MOP%20version\pfg_issap_review.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K:\MOP6%20ISSAP%20review\MOP%20version\pfg_issap_review.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K:\MOP6%20ISSAP%20review\MOP%20version\pfg_issap_review.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K:\MOP6%20ISSAP%20review\MOP%20version\pfg_issap_review.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K:\MOP6%20ISSAP%20review\MOP%20version\pfg_issap_review.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K:\MOP6%20ISSAP%20review\MOP%20version\pfg_issap_review.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M:\MOP6\ssap%20review\MOP%20version\gwfg_issap_review.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K:\MOP6%20ISSAP%20review\lwfg_analysis.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K:\MOP6%20ISSAP%20review\lwfg_analysis.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K:\MOP6%20ISSAP%20review\lwfg_analysis.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K:\MOP6%20ISSAP%20review\lwfg_analysis.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K:\MOP6%20ISSAP%20review\lwfg_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K:\MOP6%20ISSAP%20review\lwfg_analysis.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K:\MOP6%20ISSAP%20review\nbi_analysis.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M:\MOP6\ssap%20review\MOP%20version\rbg_issap_review.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M:\MOP6\ssap%20review\MOP%20version\sola_issap_revi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00"/>
              <a:t>Les</a:t>
            </a:r>
            <a:r>
              <a:rPr lang="en-US" sz="1400" baseline="0"/>
              <a:t> cinq premiers facteurs favorisant la mise en oeuvre des plans </a:t>
            </a:r>
            <a:r>
              <a:rPr lang="en-US" sz="1400" b="0" i="0" u="none" strike="noStrike" kern="1200" spc="0" baseline="0">
                <a:solidFill>
                  <a:sysClr val="windowText" lastClr="000000">
                    <a:lumMod val="65000"/>
                    <a:lumOff val="35000"/>
                  </a:sysClr>
                </a:solidFill>
                <a:latin typeface="+mn-lt"/>
                <a:ea typeface="+mn-ea"/>
                <a:cs typeface="+mn-cs"/>
              </a:rPr>
              <a:t>d’action</a:t>
            </a:r>
            <a:r>
              <a:rPr lang="en-US" sz="1400" baseline="0"/>
              <a:t>/de gestion</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[overview_pros_cons_issapreview.xlsx]Sheet1!$I$15:$I$19</c:f>
              <c:strCache>
                <c:ptCount val="5"/>
                <c:pt idx="0">
                  <c:v>Increased public awareness</c:v>
                </c:pt>
                <c:pt idx="1">
                  <c:v>Identification of key sites and adequate site protection</c:v>
                </c:pt>
                <c:pt idx="2">
                  <c:v>Improved international/national coordination, cooperation and action</c:v>
                </c:pt>
                <c:pt idx="3">
                  <c:v>Improved monitoring: int. network/national teams etc.</c:v>
                </c:pt>
                <c:pt idx="4">
                  <c:v>Implementation of international/national conservation or management plans</c:v>
                </c:pt>
              </c:strCache>
            </c:strRef>
          </c:cat>
          <c:val>
            <c:numRef>
              <c:f>[overview_pros_cons_issapreview.xlsx]Sheet1!$J$15:$J$19</c:f>
              <c:numCache>
                <c:formatCode>General</c:formatCode>
                <c:ptCount val="5"/>
                <c:pt idx="0">
                  <c:v>6</c:v>
                </c:pt>
                <c:pt idx="1">
                  <c:v>11</c:v>
                </c:pt>
                <c:pt idx="2">
                  <c:v>12</c:v>
                </c:pt>
                <c:pt idx="3">
                  <c:v>15</c:v>
                </c:pt>
                <c:pt idx="4">
                  <c:v>15</c:v>
                </c:pt>
              </c:numCache>
            </c:numRef>
          </c:val>
        </c:ser>
        <c:dLbls>
          <c:showLegendKey val="0"/>
          <c:showVal val="0"/>
          <c:showCatName val="0"/>
          <c:showSerName val="0"/>
          <c:showPercent val="0"/>
          <c:showBubbleSize val="0"/>
        </c:dLbls>
        <c:gapWidth val="182"/>
        <c:axId val="327419888"/>
        <c:axId val="327420448"/>
      </c:barChart>
      <c:catAx>
        <c:axId val="327419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420448"/>
        <c:crosses val="autoZero"/>
        <c:auto val="1"/>
        <c:lblAlgn val="ctr"/>
        <c:lblOffset val="100"/>
        <c:noMultiLvlLbl val="0"/>
      </c:catAx>
      <c:valAx>
        <c:axId val="327420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41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nettoyage et entretien réguliers pour les sites  d'approvisionnement en eau</a:t>
            </a:r>
          </a:p>
        </c:rich>
      </c:tx>
      <c:layout/>
      <c:overlay val="0"/>
      <c:spPr>
        <a:noFill/>
        <a:ln>
          <a:noFill/>
        </a:ln>
        <a:effectLst/>
      </c:spPr>
    </c:title>
    <c:autoTitleDeleted val="0"/>
    <c:plotArea>
      <c:layout/>
      <c:pieChart>
        <c:varyColors val="1"/>
        <c:ser>
          <c:idx val="0"/>
          <c:order val="0"/>
          <c:tx>
            <c:strRef>
              <c:f>Sheet1!$A$73</c:f>
              <c:strCache>
                <c:ptCount val="1"/>
                <c:pt idx="0">
                  <c:v>Regular cleaning and maintenance achieved for the water provisioning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Sheet1!$B$72:$C$72</c:f>
              <c:strCache>
                <c:ptCount val="2"/>
                <c:pt idx="0">
                  <c:v>YES</c:v>
                </c:pt>
                <c:pt idx="1">
                  <c:v>Not applicable</c:v>
                </c:pt>
              </c:strCache>
            </c:strRef>
          </c:cat>
          <c:val>
            <c:numRef>
              <c:f>Sheet1!$B$73:$C$73</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le vanneau sociable dÉclaré espèce prioritaire dans la lÉgislation</a:t>
            </a:r>
          </a:p>
        </c:rich>
      </c:tx>
      <c:layout/>
      <c:overlay val="0"/>
      <c:spPr>
        <a:noFill/>
        <a:ln>
          <a:noFill/>
        </a:ln>
        <a:effectLst/>
      </c:spPr>
    </c:title>
    <c:autoTitleDeleted val="0"/>
    <c:plotArea>
      <c:layout/>
      <c:pieChart>
        <c:varyColors val="1"/>
        <c:ser>
          <c:idx val="0"/>
          <c:order val="0"/>
          <c:tx>
            <c:strRef>
              <c:f>Sheet1!$A$59</c:f>
              <c:strCache>
                <c:ptCount val="1"/>
                <c:pt idx="0">
                  <c:v>Sociable lapwing declared as priority species in legislation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Sheet1!$B$58:$E$58</c:f>
              <c:strCache>
                <c:ptCount val="4"/>
                <c:pt idx="0">
                  <c:v>Yes</c:v>
                </c:pt>
                <c:pt idx="1">
                  <c:v>No </c:v>
                </c:pt>
                <c:pt idx="2">
                  <c:v>Partially</c:v>
                </c:pt>
                <c:pt idx="3">
                  <c:v>No information</c:v>
                </c:pt>
              </c:strCache>
            </c:strRef>
          </c:cat>
          <c:val>
            <c:numRef>
              <c:f>Sheet1!$B$59:$E$59</c:f>
              <c:numCache>
                <c:formatCode>General</c:formatCode>
                <c:ptCount val="4"/>
                <c:pt idx="0">
                  <c:v>2</c:v>
                </c:pt>
                <c:pt idx="1">
                  <c:v>1</c:v>
                </c:pt>
                <c:pt idx="2">
                  <c:v>1</c:v>
                </c:pt>
                <c:pt idx="3">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Principales activités favorisant la mise en oeuvre</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Sheet1!$A$77:$A$81</c:f>
              <c:strCache>
                <c:ptCount val="5"/>
                <c:pt idx="0">
                  <c:v>Annual nest monitoring</c:v>
                </c:pt>
                <c:pt idx="1">
                  <c:v>Surveys of breeding and migrating population</c:v>
                </c:pt>
                <c:pt idx="2">
                  <c:v>Detailed study of breeding biology of  species in Kazakhstan</c:v>
                </c:pt>
                <c:pt idx="3">
                  <c:v>Survey and monitoring at staging area in Russia 2005-2014</c:v>
                </c:pt>
                <c:pt idx="4">
                  <c:v>Colour-ringing and satellite -tracking</c:v>
                </c:pt>
              </c:strCache>
            </c:strRef>
          </c:cat>
          <c:val>
            <c:numRef>
              <c:f>Sheet1!$B$77:$B$81</c:f>
              <c:numCache>
                <c:formatCode>General</c:formatCode>
                <c:ptCount val="5"/>
                <c:pt idx="0">
                  <c:v>1</c:v>
                </c:pt>
                <c:pt idx="1">
                  <c:v>1</c:v>
                </c:pt>
                <c:pt idx="2">
                  <c:v>1</c:v>
                </c:pt>
                <c:pt idx="3">
                  <c:v>1</c:v>
                </c:pt>
                <c:pt idx="4">
                  <c:v>2</c:v>
                </c:pt>
              </c:numCache>
            </c:numRef>
          </c:val>
        </c:ser>
        <c:dLbls>
          <c:showLegendKey val="0"/>
          <c:showVal val="0"/>
          <c:showCatName val="0"/>
          <c:showSerName val="0"/>
          <c:showPercent val="0"/>
          <c:showBubbleSize val="0"/>
        </c:dLbls>
        <c:gapWidth val="182"/>
        <c:axId val="479337264"/>
        <c:axId val="479337824"/>
      </c:barChart>
      <c:catAx>
        <c:axId val="47933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337824"/>
        <c:crosses val="autoZero"/>
        <c:auto val="1"/>
        <c:lblAlgn val="ctr"/>
        <c:lblOffset val="100"/>
        <c:noMultiLvlLbl val="0"/>
      </c:catAx>
      <c:valAx>
        <c:axId val="479337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33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 entravant la mise en oeuvre</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Sheet1!$F$72:$F$75</c:f>
              <c:strCache>
                <c:ptCount val="4"/>
                <c:pt idx="0">
                  <c:v>Biodiversity not considered in land-use policy (livestock and grazing).</c:v>
                </c:pt>
                <c:pt idx="1">
                  <c:v>No efforts to organize protected areas </c:v>
                </c:pt>
                <c:pt idx="2">
                  <c:v>No surveys for additional stop-over sites on the Western flyway </c:v>
                </c:pt>
                <c:pt idx="3">
                  <c:v>No coordinated counts in Russian breeding grounds</c:v>
                </c:pt>
              </c:strCache>
            </c:strRef>
          </c:cat>
          <c:val>
            <c:numRef>
              <c:f>Sheet1!$G$72:$G$75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82"/>
        <c:axId val="479340064"/>
        <c:axId val="479340624"/>
      </c:barChart>
      <c:catAx>
        <c:axId val="47934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340624"/>
        <c:crosses val="autoZero"/>
        <c:auto val="1"/>
        <c:lblAlgn val="ctr"/>
        <c:lblOffset val="100"/>
        <c:noMultiLvlLbl val="0"/>
      </c:catAx>
      <c:valAx>
        <c:axId val="479340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34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Principaux facteurs contribuant à la réalisation des objectifs du plan </a:t>
            </a:r>
            <a:r>
              <a:rPr lang="en-US" sz="1100" b="0" i="0" u="none" strike="noStrike" kern="1200" spc="0" baseline="0">
                <a:solidFill>
                  <a:sysClr val="windowText" lastClr="000000">
                    <a:lumMod val="65000"/>
                    <a:lumOff val="35000"/>
                  </a:sysClr>
                </a:solidFill>
                <a:latin typeface="+mn-lt"/>
                <a:ea typeface="+mn-ea"/>
                <a:cs typeface="+mn-cs"/>
              </a:rPr>
              <a:t>d’action</a:t>
            </a:r>
            <a:r>
              <a:rPr lang="en-US" sz="1100"/>
              <a:t> </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Sheet1!$A$28:$A$33</c:f>
              <c:strCache>
                <c:ptCount val="6"/>
                <c:pt idx="0">
                  <c:v>Improved coordination/cooperation</c:v>
                </c:pt>
                <c:pt idx="1">
                  <c:v>Increased public awareness</c:v>
                </c:pt>
                <c:pt idx="2">
                  <c:v>Implementation of conservation schemes/NSSAP</c:v>
                </c:pt>
                <c:pt idx="3">
                  <c:v>Adequate protection of key wintering sites </c:v>
                </c:pt>
                <c:pt idx="4">
                  <c:v>Local initiatives </c:v>
                </c:pt>
                <c:pt idx="5">
                  <c:v>Establishment of breeding programs</c:v>
                </c:pt>
              </c:strCache>
            </c:strRef>
          </c:cat>
          <c:val>
            <c:numRef>
              <c:f>Sheet1!$B$28:$B$33</c:f>
              <c:numCache>
                <c:formatCode>General</c:formatCode>
                <c:ptCount val="6"/>
                <c:pt idx="0">
                  <c:v>1</c:v>
                </c:pt>
                <c:pt idx="1">
                  <c:v>1</c:v>
                </c:pt>
                <c:pt idx="2">
                  <c:v>1</c:v>
                </c:pt>
                <c:pt idx="3">
                  <c:v>1</c:v>
                </c:pt>
                <c:pt idx="4">
                  <c:v>1</c:v>
                </c:pt>
                <c:pt idx="5">
                  <c:v>1</c:v>
                </c:pt>
              </c:numCache>
            </c:numRef>
          </c:val>
        </c:ser>
        <c:dLbls>
          <c:showLegendKey val="0"/>
          <c:showVal val="0"/>
          <c:showCatName val="0"/>
          <c:showSerName val="0"/>
          <c:showPercent val="0"/>
          <c:showBubbleSize val="0"/>
        </c:dLbls>
        <c:gapWidth val="182"/>
        <c:axId val="627738656"/>
        <c:axId val="627739216"/>
      </c:barChart>
      <c:catAx>
        <c:axId val="62773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39216"/>
        <c:crosses val="autoZero"/>
        <c:auto val="1"/>
        <c:lblAlgn val="ctr"/>
        <c:lblOffset val="100"/>
        <c:noMultiLvlLbl val="0"/>
      </c:catAx>
      <c:valAx>
        <c:axId val="62773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3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Principaux obstacles à la réalisation des objectifs du plan </a:t>
            </a:r>
            <a:r>
              <a:rPr lang="en-US" sz="1100" b="0" i="0" u="none" strike="noStrike" kern="1200" spc="0" baseline="0">
                <a:solidFill>
                  <a:sysClr val="windowText" lastClr="000000">
                    <a:lumMod val="65000"/>
                    <a:lumOff val="35000"/>
                  </a:sysClr>
                </a:solidFill>
                <a:latin typeface="+mn-lt"/>
                <a:ea typeface="+mn-ea"/>
                <a:cs typeface="+mn-cs"/>
              </a:rPr>
              <a:t>d’action</a:t>
            </a:r>
            <a:endParaRPr lang="en-US" sz="11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Sheet1!$A$37:$A$40</c:f>
              <c:strCache>
                <c:ptCount val="4"/>
                <c:pt idx="0">
                  <c:v>Civil unrest </c:v>
                </c:pt>
                <c:pt idx="1">
                  <c:v>Lack of technical capacity </c:v>
                </c:pt>
                <c:pt idx="2">
                  <c:v>Lack of interest/motivation </c:v>
                </c:pt>
                <c:pt idx="3">
                  <c:v>Lack of financial capacity </c:v>
                </c:pt>
              </c:strCache>
            </c:strRef>
          </c:cat>
          <c:val>
            <c:numRef>
              <c:f>Sheet1!$B$37:$B$40</c:f>
              <c:numCache>
                <c:formatCode>General</c:formatCode>
                <c:ptCount val="4"/>
                <c:pt idx="0">
                  <c:v>1</c:v>
                </c:pt>
                <c:pt idx="1">
                  <c:v>1</c:v>
                </c:pt>
                <c:pt idx="2">
                  <c:v>1</c:v>
                </c:pt>
                <c:pt idx="3">
                  <c:v>2</c:v>
                </c:pt>
              </c:numCache>
            </c:numRef>
          </c:val>
        </c:ser>
        <c:dLbls>
          <c:showLegendKey val="0"/>
          <c:showVal val="0"/>
          <c:showCatName val="0"/>
          <c:showSerName val="0"/>
          <c:showPercent val="0"/>
          <c:showBubbleSize val="0"/>
        </c:dLbls>
        <c:gapWidth val="182"/>
        <c:axId val="627741456"/>
        <c:axId val="627742016"/>
      </c:barChart>
      <c:catAx>
        <c:axId val="62774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42016"/>
        <c:crosses val="autoZero"/>
        <c:auto val="1"/>
        <c:lblAlgn val="ctr"/>
        <c:lblOffset val="100"/>
        <c:noMultiLvlLbl val="0"/>
      </c:catAx>
      <c:valAx>
        <c:axId val="62774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4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plans </a:t>
            </a:r>
            <a:r>
              <a:rPr lang="nl-NL" sz="1050" b="1" i="0" u="none" strike="noStrike" kern="1200" cap="all" spc="50" baseline="0">
                <a:solidFill>
                  <a:sysClr val="windowText" lastClr="000000">
                    <a:lumMod val="65000"/>
                    <a:lumOff val="35000"/>
                  </a:sysClr>
                </a:solidFill>
                <a:latin typeface="+mn-lt"/>
                <a:ea typeface="+mn-ea"/>
                <a:cs typeface="+mn-cs"/>
              </a:rPr>
              <a:t>d’action</a:t>
            </a:r>
            <a:r>
              <a:rPr lang="nl-NL"/>
              <a:t> nationaux adoptés pour l'espèce</a:t>
            </a:r>
          </a:p>
        </c:rich>
      </c:tx>
      <c:layout/>
      <c:overlay val="0"/>
      <c:spPr>
        <a:noFill/>
        <a:ln>
          <a:noFill/>
        </a:ln>
        <a:effectLst/>
      </c:spPr>
    </c:title>
    <c:autoTitleDeleted val="0"/>
    <c:plotArea>
      <c:layout/>
      <c:pieChart>
        <c:varyColors val="1"/>
        <c:ser>
          <c:idx val="0"/>
          <c:order val="0"/>
          <c:tx>
            <c:strRef>
              <c:f>Sheet1!$A$2</c:f>
              <c:strCache>
                <c:ptCount val="1"/>
                <c:pt idx="0">
                  <c:v>National Action Plans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Sheet1!$B$1:$D$1</c:f>
              <c:strCache>
                <c:ptCount val="3"/>
                <c:pt idx="0">
                  <c:v>Yes</c:v>
                </c:pt>
                <c:pt idx="1">
                  <c:v>No</c:v>
                </c:pt>
                <c:pt idx="2">
                  <c:v>No information provided</c:v>
                </c:pt>
              </c:strCache>
            </c:strRef>
          </c:cat>
          <c:val>
            <c:numRef>
              <c:f>Sheet1!$B$2:$D$2</c:f>
              <c:numCache>
                <c:formatCode>General</c:formatCode>
                <c:ptCount val="3"/>
                <c:pt idx="0">
                  <c:v>2</c:v>
                </c:pt>
                <c:pt idx="1">
                  <c:v>5</c:v>
                </c:pt>
                <c:pt idx="2">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groupes de travail nationaux établis pour l'espèce</a:t>
            </a:r>
          </a:p>
        </c:rich>
      </c:tx>
      <c:layout/>
      <c:overlay val="0"/>
      <c:spPr>
        <a:noFill/>
        <a:ln>
          <a:noFill/>
        </a:ln>
        <a:effectLst/>
      </c:spPr>
    </c:title>
    <c:autoTitleDeleted val="0"/>
    <c:plotArea>
      <c:layout/>
      <c:pieChart>
        <c:varyColors val="1"/>
        <c:ser>
          <c:idx val="0"/>
          <c:order val="0"/>
          <c:tx>
            <c:strRef>
              <c:f>Sheet1!$A$5</c:f>
              <c:strCache>
                <c:ptCount val="1"/>
                <c:pt idx="0">
                  <c:v>National Working Groups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Sheet1!$B$4:$D$4</c:f>
              <c:strCache>
                <c:ptCount val="3"/>
                <c:pt idx="0">
                  <c:v>Yes</c:v>
                </c:pt>
                <c:pt idx="1">
                  <c:v>No</c:v>
                </c:pt>
                <c:pt idx="2">
                  <c:v>No information provided</c:v>
                </c:pt>
              </c:strCache>
            </c:strRef>
          </c:cat>
          <c:val>
            <c:numRef>
              <c:f>Sheet1!$B$5:$D$5</c:f>
              <c:numCache>
                <c:formatCode>General</c:formatCode>
                <c:ptCount val="3"/>
                <c:pt idx="0">
                  <c:v>2</c:v>
                </c:pt>
                <c:pt idx="1">
                  <c:v>5</c:v>
                </c:pt>
                <c:pt idx="2">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 sites clés de reproduction et d'alimentation désignés aires PrOTégées, sites Ramsar, zico BirdLife, ou sites du patrimoine mondial</a:t>
            </a:r>
          </a:p>
        </c:rich>
      </c:tx>
      <c:layout/>
      <c:overlay val="0"/>
      <c:spPr>
        <a:noFill/>
        <a:ln>
          <a:noFill/>
        </a:ln>
        <a:effectLst/>
      </c:spPr>
    </c:title>
    <c:autoTitleDeleted val="0"/>
    <c:plotArea>
      <c:layout/>
      <c:pieChart>
        <c:varyColors val="1"/>
        <c:ser>
          <c:idx val="0"/>
          <c:order val="0"/>
          <c:tx>
            <c:strRef>
              <c:f>Sheet1!$A$43</c:f>
              <c:strCache>
                <c:ptCount val="1"/>
                <c:pt idx="0">
                  <c:v> Key breeding and feeding sites designated as protected areas, Ramsar sites, BirdLife IBAs, or World Heritage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Sheet1!$B$42:$E$42</c:f>
              <c:strCache>
                <c:ptCount val="4"/>
                <c:pt idx="0">
                  <c:v>Yes</c:v>
                </c:pt>
                <c:pt idx="1">
                  <c:v>No</c:v>
                </c:pt>
                <c:pt idx="2">
                  <c:v>Partially</c:v>
                </c:pt>
                <c:pt idx="3">
                  <c:v>No information</c:v>
                </c:pt>
              </c:strCache>
            </c:strRef>
          </c:cat>
          <c:val>
            <c:numRef>
              <c:f>Sheet1!$B$43:$E$43</c:f>
              <c:numCache>
                <c:formatCode>General</c:formatCode>
                <c:ptCount val="4"/>
                <c:pt idx="0">
                  <c:v>6</c:v>
                </c:pt>
                <c:pt idx="2">
                  <c:v>1</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sites clés maintenus dans un état écologique favorable</a:t>
            </a:r>
          </a:p>
        </c:rich>
      </c:tx>
      <c:layout/>
      <c:overlay val="0"/>
      <c:spPr>
        <a:noFill/>
        <a:ln>
          <a:noFill/>
        </a:ln>
        <a:effectLst/>
      </c:spPr>
    </c:title>
    <c:autoTitleDeleted val="0"/>
    <c:plotArea>
      <c:layout/>
      <c:pieChart>
        <c:varyColors val="1"/>
        <c:ser>
          <c:idx val="0"/>
          <c:order val="0"/>
          <c:tx>
            <c:strRef>
              <c:f>Sheet1!$A$59</c:f>
              <c:strCache>
                <c:ptCount val="1"/>
                <c:pt idx="0">
                  <c:v>Key sites are maintained in a favourable ecological status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Sheet1!$B$58:$E$58</c:f>
              <c:strCache>
                <c:ptCount val="4"/>
                <c:pt idx="0">
                  <c:v>Yes</c:v>
                </c:pt>
                <c:pt idx="1">
                  <c:v>No</c:v>
                </c:pt>
                <c:pt idx="2">
                  <c:v>Partially</c:v>
                </c:pt>
                <c:pt idx="3">
                  <c:v>No information provided</c:v>
                </c:pt>
              </c:strCache>
            </c:strRef>
          </c:cat>
          <c:val>
            <c:numRef>
              <c:f>Sheet1!$B$59:$E$59</c:f>
              <c:numCache>
                <c:formatCode>General</c:formatCode>
                <c:ptCount val="4"/>
                <c:pt idx="0">
                  <c:v>6</c:v>
                </c:pt>
                <c:pt idx="3">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perturbations</a:t>
            </a:r>
            <a:r>
              <a:rPr lang="nl-NL" baseline="0"/>
              <a:t> </a:t>
            </a:r>
            <a:r>
              <a:rPr lang="nl-NL"/>
              <a:t>Humaines ÉVITÉES</a:t>
            </a:r>
            <a:r>
              <a:rPr lang="nl-NL" baseline="0"/>
              <a:t> </a:t>
            </a:r>
            <a:r>
              <a:rPr lang="nl-NL"/>
              <a:t>sur les sites de reproduction </a:t>
            </a:r>
          </a:p>
        </c:rich>
      </c:tx>
      <c:layout/>
      <c:overlay val="0"/>
      <c:spPr>
        <a:noFill/>
        <a:ln>
          <a:noFill/>
        </a:ln>
        <a:effectLst/>
      </c:spPr>
    </c:title>
    <c:autoTitleDeleted val="0"/>
    <c:plotArea>
      <c:layout/>
      <c:pieChart>
        <c:varyColors val="1"/>
        <c:ser>
          <c:idx val="0"/>
          <c:order val="0"/>
          <c:tx>
            <c:strRef>
              <c:f>Sheet1!$A$82</c:f>
              <c:strCache>
                <c:ptCount val="1"/>
                <c:pt idx="0">
                  <c:v>Human disturbance at breeding sites prevented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Sheet1!$B$81:$D$81</c:f>
              <c:strCache>
                <c:ptCount val="3"/>
                <c:pt idx="0">
                  <c:v>Yes</c:v>
                </c:pt>
                <c:pt idx="1">
                  <c:v>No</c:v>
                </c:pt>
                <c:pt idx="2">
                  <c:v>No information</c:v>
                </c:pt>
              </c:strCache>
            </c:strRef>
          </c:cat>
          <c:val>
            <c:numRef>
              <c:f>Sheet1!$B$82:$D$82</c:f>
              <c:numCache>
                <c:formatCode>General</c:formatCode>
                <c:ptCount val="3"/>
                <c:pt idx="0">
                  <c:v>2</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programme de surveillance sanitaire des flamants établi</a:t>
            </a:r>
          </a:p>
        </c:rich>
      </c:tx>
      <c:layout/>
      <c:overlay val="0"/>
      <c:spPr>
        <a:noFill/>
        <a:ln>
          <a:noFill/>
        </a:ln>
        <a:effectLst/>
      </c:spPr>
    </c:title>
    <c:autoTitleDeleted val="0"/>
    <c:plotArea>
      <c:layout/>
      <c:pieChart>
        <c:varyColors val="1"/>
        <c:ser>
          <c:idx val="0"/>
          <c:order val="0"/>
          <c:tx>
            <c:strRef>
              <c:f>Sheet1!$A$90</c:f>
              <c:strCache>
                <c:ptCount val="1"/>
                <c:pt idx="0">
                  <c:v>Flamingo health surveillance programme has been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Sheet1!$B$89:$E$89</c:f>
              <c:strCache>
                <c:ptCount val="4"/>
                <c:pt idx="0">
                  <c:v>Yes</c:v>
                </c:pt>
                <c:pt idx="1">
                  <c:v>No</c:v>
                </c:pt>
                <c:pt idx="2">
                  <c:v>Partially</c:v>
                </c:pt>
                <c:pt idx="3">
                  <c:v>No information</c:v>
                </c:pt>
              </c:strCache>
            </c:strRef>
          </c:cat>
          <c:val>
            <c:numRef>
              <c:f>Sheet1!$B$90:$E$90</c:f>
              <c:numCache>
                <c:formatCode>General</c:formatCode>
                <c:ptCount val="4"/>
                <c:pt idx="0">
                  <c:v>2</c:v>
                </c:pt>
                <c:pt idx="1">
                  <c:v>4</c:v>
                </c:pt>
                <c:pt idx="2">
                  <c:v>1</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interdiction du commerce de spécimens, parties du corps, oeufs etc. maintenue</a:t>
            </a:r>
          </a:p>
        </c:rich>
      </c:tx>
      <c:layout/>
      <c:overlay val="0"/>
      <c:spPr>
        <a:noFill/>
        <a:ln>
          <a:noFill/>
        </a:ln>
        <a:effectLst/>
      </c:spPr>
    </c:title>
    <c:autoTitleDeleted val="0"/>
    <c:plotArea>
      <c:layout/>
      <c:pieChart>
        <c:varyColors val="1"/>
        <c:ser>
          <c:idx val="0"/>
          <c:order val="0"/>
          <c:tx>
            <c:strRef>
              <c:f>Sheet1!$A$87</c:f>
              <c:strCache>
                <c:ptCount val="1"/>
                <c:pt idx="0">
                  <c:v>Ban on trade in speciments, body parts, eggs etc. maintained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0"/>
              <c:layout/>
              <c:tx>
                <c:rich>
                  <a:bodyPr/>
                  <a:lstStyle/>
                  <a:p>
                    <a:r>
                      <a:rPr lang="en-US"/>
                      <a:t>33%</a:t>
                    </a:r>
                  </a:p>
                </c:rich>
              </c:tx>
              <c:dLblPos val="inEnd"/>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59%</a:t>
                    </a:r>
                  </a:p>
                </c:rich>
              </c:tx>
              <c:dLblPos val="inEnd"/>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Sheet1!$B$86:$D$86</c:f>
              <c:strCache>
                <c:ptCount val="3"/>
                <c:pt idx="0">
                  <c:v>Yes</c:v>
                </c:pt>
                <c:pt idx="1">
                  <c:v>No</c:v>
                </c:pt>
                <c:pt idx="2">
                  <c:v>No information</c:v>
                </c:pt>
              </c:strCache>
            </c:strRef>
          </c:cat>
          <c:val>
            <c:numRef>
              <c:f>Sheet1!$B$87:$D$87</c:f>
              <c:numCache>
                <c:formatCode>General</c:formatCode>
                <c:ptCount val="3"/>
                <c:pt idx="0">
                  <c:v>4</c:v>
                </c:pt>
                <c:pt idx="1">
                  <c:v>1</c:v>
                </c:pt>
                <c:pt idx="2">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Les cinq premiers obstacles entravant la mise en oeuvre des plans </a:t>
            </a:r>
            <a:r>
              <a:rPr lang="en-US" sz="1400" b="0" i="0" u="none" strike="noStrike" kern="1200" spc="0" baseline="0">
                <a:solidFill>
                  <a:sysClr val="windowText" lastClr="000000">
                    <a:lumMod val="65000"/>
                    <a:lumOff val="35000"/>
                  </a:sysClr>
                </a:solidFill>
                <a:latin typeface="+mn-lt"/>
                <a:ea typeface="+mn-ea"/>
                <a:cs typeface="+mn-cs"/>
              </a:rPr>
              <a:t>d’action</a:t>
            </a:r>
            <a:r>
              <a:rPr lang="en-US"/>
              <a:t>/de gestion</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Sheet1!$A$25:$A$29</c:f>
              <c:strCache>
                <c:ptCount val="5"/>
                <c:pt idx="0">
                  <c:v>Lack of hunting regulation, enforcement etc. </c:v>
                </c:pt>
                <c:pt idx="1">
                  <c:v>Lack of cooperation </c:v>
                </c:pt>
                <c:pt idx="2">
                  <c:v>Lack of human and technical capacity </c:v>
                </c:pt>
                <c:pt idx="3">
                  <c:v>Lack of government by-in and lack of management </c:v>
                </c:pt>
                <c:pt idx="4">
                  <c:v>Lack of adequate funding </c:v>
                </c:pt>
              </c:strCache>
            </c:strRef>
          </c:cat>
          <c:val>
            <c:numRef>
              <c:f>Sheet1!$B$25:$B$29</c:f>
              <c:numCache>
                <c:formatCode>General</c:formatCode>
                <c:ptCount val="5"/>
                <c:pt idx="0">
                  <c:v>3</c:v>
                </c:pt>
                <c:pt idx="1">
                  <c:v>4</c:v>
                </c:pt>
                <c:pt idx="2">
                  <c:v>7</c:v>
                </c:pt>
                <c:pt idx="3">
                  <c:v>15</c:v>
                </c:pt>
                <c:pt idx="4">
                  <c:v>24</c:v>
                </c:pt>
              </c:numCache>
            </c:numRef>
          </c:val>
        </c:ser>
        <c:dLbls>
          <c:showLegendKey val="0"/>
          <c:showVal val="0"/>
          <c:showCatName val="0"/>
          <c:showSerName val="0"/>
          <c:showPercent val="0"/>
          <c:showBubbleSize val="0"/>
        </c:dLbls>
        <c:gapWidth val="182"/>
        <c:axId val="628629168"/>
        <c:axId val="628629728"/>
      </c:barChart>
      <c:catAx>
        <c:axId val="62862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629728"/>
        <c:crosses val="autoZero"/>
        <c:auto val="1"/>
        <c:lblAlgn val="ctr"/>
        <c:lblOffset val="100"/>
        <c:noMultiLvlLbl val="0"/>
      </c:catAx>
      <c:valAx>
        <c:axId val="62862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62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mécanismes stricts d'autorisation du commerce réglés et appliqués au niveau national</a:t>
            </a:r>
          </a:p>
        </c:rich>
      </c:tx>
      <c:layout/>
      <c:overlay val="0"/>
      <c:spPr>
        <a:noFill/>
        <a:ln>
          <a:noFill/>
        </a:ln>
        <a:effectLst/>
      </c:spPr>
    </c:title>
    <c:autoTitleDeleted val="0"/>
    <c:plotArea>
      <c:layout/>
      <c:pieChart>
        <c:varyColors val="1"/>
        <c:ser>
          <c:idx val="0"/>
          <c:order val="0"/>
          <c:tx>
            <c:strRef>
              <c:f>Sheet1!$A$102</c:f>
              <c:strCache>
                <c:ptCount val="1"/>
                <c:pt idx="0">
                  <c:v>Stringent trade licensing mechanisms are regulated and enforced at the national level</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Sheet1!$B$101:$C$101</c:f>
              <c:strCache>
                <c:ptCount val="2"/>
                <c:pt idx="0">
                  <c:v>Yes</c:v>
                </c:pt>
                <c:pt idx="1">
                  <c:v>No information</c:v>
                </c:pt>
              </c:strCache>
            </c:strRef>
          </c:cat>
          <c:val>
            <c:numRef>
              <c:f>Sheet1!$B$102:$C$102</c:f>
              <c:numCache>
                <c:formatCode>General</c:formatCode>
                <c:ptCount val="2"/>
                <c:pt idx="0">
                  <c:v>4</c:v>
                </c:pt>
                <c:pt idx="1">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50" b="1" i="0" u="none" strike="noStrike" kern="1200" cap="all" spc="50" baseline="0">
                <a:solidFill>
                  <a:schemeClr val="tx1">
                    <a:lumMod val="65000"/>
                    <a:lumOff val="35000"/>
                  </a:schemeClr>
                </a:solidFill>
                <a:latin typeface="+mn-lt"/>
                <a:ea typeface="+mn-ea"/>
                <a:cs typeface="+mn-cs"/>
              </a:defRPr>
            </a:pPr>
            <a:r>
              <a:rPr lang="nl-NL"/>
              <a:t>les nouvelles lignes à haute tension et Téléphoniques/ clôtures/ mâts/câbles guides évitent de traverser les habitats importants et les voies</a:t>
            </a:r>
            <a:r>
              <a:rPr lang="nl-NL" baseline="0"/>
              <a:t> de migration</a:t>
            </a:r>
            <a:endParaRPr lang="nl-NL"/>
          </a:p>
        </c:rich>
      </c:tx>
      <c:layout/>
      <c:overlay val="0"/>
      <c:spPr>
        <a:noFill/>
        <a:ln>
          <a:noFill/>
        </a:ln>
        <a:effectLst/>
      </c:spPr>
    </c:title>
    <c:autoTitleDeleted val="0"/>
    <c:plotArea>
      <c:layout/>
      <c:pieChart>
        <c:varyColors val="1"/>
        <c:ser>
          <c:idx val="0"/>
          <c:order val="0"/>
          <c:tx>
            <c:strRef>
              <c:f>Sheet1!$A$107</c:f>
              <c:strCache>
                <c:ptCount val="1"/>
                <c:pt idx="0">
                  <c:v>New power lines/telephone lines/fences/light masts/guide wires avoid crossing important habitats and flyways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Sheet1!$B$106:$D$106</c:f>
              <c:strCache>
                <c:ptCount val="3"/>
                <c:pt idx="0">
                  <c:v>Yes</c:v>
                </c:pt>
                <c:pt idx="1">
                  <c:v>No</c:v>
                </c:pt>
                <c:pt idx="2">
                  <c:v>No information</c:v>
                </c:pt>
              </c:strCache>
            </c:strRef>
          </c:cat>
          <c:val>
            <c:numRef>
              <c:f>Sheet1!$B$107:$D$107</c:f>
              <c:numCache>
                <c:formatCode>General</c:formatCode>
                <c:ptCount val="3"/>
                <c:pt idx="0">
                  <c:v>2</c:v>
                </c:pt>
                <c:pt idx="1">
                  <c:v>4</c:v>
                </c:pt>
                <c:pt idx="2">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prévention des perturbations humaines (notamment avions volant à basse altitude) sur sites de non-reproduction</a:t>
            </a:r>
          </a:p>
        </c:rich>
      </c:tx>
      <c:layout/>
      <c:overlay val="0"/>
      <c:spPr>
        <a:noFill/>
        <a:ln>
          <a:noFill/>
        </a:ln>
        <a:effectLst/>
      </c:spPr>
    </c:title>
    <c:autoTitleDeleted val="0"/>
    <c:plotArea>
      <c:layout/>
      <c:pieChart>
        <c:varyColors val="1"/>
        <c:ser>
          <c:idx val="0"/>
          <c:order val="0"/>
          <c:tx>
            <c:strRef>
              <c:f>Sheet1!$A$116</c:f>
              <c:strCache>
                <c:ptCount val="1"/>
                <c:pt idx="0">
                  <c:v>Human disturbances are prevented (especially from low flying aircrafts) at non-breeding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Sheet1!$B$115:$E$115</c:f>
              <c:strCache>
                <c:ptCount val="4"/>
                <c:pt idx="0">
                  <c:v>Yes</c:v>
                </c:pt>
                <c:pt idx="1">
                  <c:v>No</c:v>
                </c:pt>
                <c:pt idx="2">
                  <c:v>Partially</c:v>
                </c:pt>
                <c:pt idx="3">
                  <c:v>No Information</c:v>
                </c:pt>
              </c:strCache>
            </c:strRef>
          </c:cat>
          <c:val>
            <c:numRef>
              <c:f>Sheet1!$B$116:$E$116</c:f>
              <c:numCache>
                <c:formatCode>General</c:formatCode>
                <c:ptCount val="4"/>
                <c:pt idx="0">
                  <c:v>3</c:v>
                </c:pt>
                <c:pt idx="1">
                  <c:v>2</c:v>
                </c:pt>
                <c:pt idx="2">
                  <c:v>1</c:v>
                </c:pt>
                <c:pt idx="3">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Principales activités contribuant à</a:t>
            </a:r>
            <a:r>
              <a:rPr lang="en-US" baseline="0"/>
              <a:t> une mise en oeuvre réussie du plan </a:t>
            </a:r>
            <a:r>
              <a:rPr lang="en-US" sz="1400" b="0" i="0" u="none" strike="noStrike" kern="1200" spc="0" baseline="0">
                <a:solidFill>
                  <a:sysClr val="windowText" lastClr="000000">
                    <a:lumMod val="65000"/>
                    <a:lumOff val="35000"/>
                  </a:sysClr>
                </a:solidFill>
                <a:latin typeface="+mn-lt"/>
                <a:ea typeface="+mn-ea"/>
                <a:cs typeface="+mn-cs"/>
              </a:rPr>
              <a:t>d’action</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Sheet1!$A$16:$A$23</c:f>
              <c:strCache>
                <c:ptCount val="8"/>
                <c:pt idx="0">
                  <c:v>Successful coordination/cooperation </c:v>
                </c:pt>
                <c:pt idx="1">
                  <c:v>Implementation of conservation schemes/NSSAP</c:v>
                </c:pt>
                <c:pt idx="2">
                  <c:v>Establishment of breeding programs</c:v>
                </c:pt>
                <c:pt idx="3">
                  <c:v>Adequate government support </c:v>
                </c:pt>
                <c:pt idx="4">
                  <c:v>Funding ensured/increased  </c:v>
                </c:pt>
                <c:pt idx="5">
                  <c:v>Local community participation</c:v>
                </c:pt>
                <c:pt idx="6">
                  <c:v>Identification of key sites and adequate site protection</c:v>
                </c:pt>
                <c:pt idx="7">
                  <c:v>Increased public awareness</c:v>
                </c:pt>
              </c:strCache>
            </c:strRef>
          </c:cat>
          <c:val>
            <c:numRef>
              <c:f>Sheet1!$B$16:$B$23</c:f>
              <c:numCache>
                <c:formatCode>General</c:formatCode>
                <c:ptCount val="8"/>
                <c:pt idx="0">
                  <c:v>1</c:v>
                </c:pt>
                <c:pt idx="1">
                  <c:v>1</c:v>
                </c:pt>
                <c:pt idx="2">
                  <c:v>1</c:v>
                </c:pt>
                <c:pt idx="3">
                  <c:v>1</c:v>
                </c:pt>
                <c:pt idx="4">
                  <c:v>1</c:v>
                </c:pt>
                <c:pt idx="5">
                  <c:v>1</c:v>
                </c:pt>
                <c:pt idx="6">
                  <c:v>2</c:v>
                </c:pt>
                <c:pt idx="7">
                  <c:v>2</c:v>
                </c:pt>
              </c:numCache>
            </c:numRef>
          </c:val>
        </c:ser>
        <c:dLbls>
          <c:showLegendKey val="0"/>
          <c:showVal val="0"/>
          <c:showCatName val="0"/>
          <c:showSerName val="0"/>
          <c:showPercent val="0"/>
          <c:showBubbleSize val="0"/>
        </c:dLbls>
        <c:gapWidth val="182"/>
        <c:axId val="617791088"/>
        <c:axId val="617791648"/>
      </c:barChart>
      <c:catAx>
        <c:axId val="61779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791648"/>
        <c:crosses val="autoZero"/>
        <c:auto val="1"/>
        <c:lblAlgn val="ctr"/>
        <c:lblOffset val="100"/>
        <c:noMultiLvlLbl val="0"/>
      </c:catAx>
      <c:valAx>
        <c:axId val="617791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79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a:t>
            </a:r>
            <a:r>
              <a:rPr lang="en-US" baseline="0"/>
              <a:t> à une mise en oeuvre efficiente du plan </a:t>
            </a:r>
            <a:r>
              <a:rPr lang="en-US" sz="1400" b="0" i="0" u="none" strike="noStrike" kern="1200" spc="0" baseline="0">
                <a:solidFill>
                  <a:sysClr val="windowText" lastClr="000000">
                    <a:lumMod val="65000"/>
                    <a:lumOff val="35000"/>
                  </a:sysClr>
                </a:solidFill>
                <a:latin typeface="+mn-lt"/>
                <a:ea typeface="+mn-ea"/>
                <a:cs typeface="+mn-cs"/>
              </a:rPr>
              <a:t>d’action</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Sheet1!$A$27:$A$32</c:f>
              <c:strCache>
                <c:ptCount val="6"/>
                <c:pt idx="0">
                  <c:v>Lack of management </c:v>
                </c:pt>
                <c:pt idx="1">
                  <c:v>Lack of cooperation </c:v>
                </c:pt>
                <c:pt idx="2">
                  <c:v>Site knowledge gaps</c:v>
                </c:pt>
                <c:pt idx="3">
                  <c:v>Lack of interest/motivation </c:v>
                </c:pt>
                <c:pt idx="4">
                  <c:v>Lack of human and technical capacity </c:v>
                </c:pt>
                <c:pt idx="5">
                  <c:v>Lack of financial capacity </c:v>
                </c:pt>
              </c:strCache>
            </c:strRef>
          </c:cat>
          <c:val>
            <c:numRef>
              <c:f>Sheet1!$B$27:$B$32</c:f>
              <c:numCache>
                <c:formatCode>General</c:formatCode>
                <c:ptCount val="6"/>
                <c:pt idx="0">
                  <c:v>1</c:v>
                </c:pt>
                <c:pt idx="1">
                  <c:v>1</c:v>
                </c:pt>
                <c:pt idx="2">
                  <c:v>1</c:v>
                </c:pt>
                <c:pt idx="3">
                  <c:v>2</c:v>
                </c:pt>
                <c:pt idx="4">
                  <c:v>3</c:v>
                </c:pt>
                <c:pt idx="5">
                  <c:v>4</c:v>
                </c:pt>
              </c:numCache>
            </c:numRef>
          </c:val>
        </c:ser>
        <c:dLbls>
          <c:showLegendKey val="0"/>
          <c:showVal val="0"/>
          <c:showCatName val="0"/>
          <c:showSerName val="0"/>
          <c:showPercent val="0"/>
          <c:showBubbleSize val="0"/>
        </c:dLbls>
        <c:gapWidth val="182"/>
        <c:axId val="627647888"/>
        <c:axId val="627648448"/>
      </c:barChart>
      <c:catAx>
        <c:axId val="62764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648448"/>
        <c:crosses val="autoZero"/>
        <c:auto val="1"/>
        <c:lblAlgn val="ctr"/>
        <c:lblOffset val="100"/>
        <c:noMultiLvlLbl val="0"/>
      </c:catAx>
      <c:valAx>
        <c:axId val="627648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64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tendance à court terme du cygne de Bewick</a:t>
            </a:r>
          </a:p>
        </c:rich>
      </c:tx>
      <c:layout/>
      <c:overlay val="0"/>
      <c:spPr>
        <a:noFill/>
        <a:ln>
          <a:noFill/>
        </a:ln>
        <a:effectLst/>
      </c:spPr>
    </c:title>
    <c:autoTitleDeleted val="0"/>
    <c:plotArea>
      <c:layout/>
      <c:pieChart>
        <c:varyColors val="1"/>
        <c:ser>
          <c:idx val="0"/>
          <c:order val="0"/>
          <c:tx>
            <c:strRef>
              <c:f>Sheet1!$A$26</c:f>
              <c:strCache>
                <c:ptCount val="1"/>
                <c:pt idx="0">
                  <c:v>Bewick's Swan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Sheet1!$B$25:$G$25</c:f>
              <c:strCache>
                <c:ptCount val="6"/>
                <c:pt idx="0">
                  <c:v>decreasing</c:v>
                </c:pt>
                <c:pt idx="1">
                  <c:v>stable</c:v>
                </c:pt>
                <c:pt idx="2">
                  <c:v>fluctuating</c:v>
                </c:pt>
                <c:pt idx="3">
                  <c:v>increasing</c:v>
                </c:pt>
                <c:pt idx="4">
                  <c:v>unknown</c:v>
                </c:pt>
                <c:pt idx="5">
                  <c:v>no information provided</c:v>
                </c:pt>
              </c:strCache>
            </c:strRef>
          </c:cat>
          <c:val>
            <c:numRef>
              <c:f>Sheet1!$B$26:$G$26</c:f>
              <c:numCache>
                <c:formatCode>General</c:formatCode>
                <c:ptCount val="6"/>
                <c:pt idx="0">
                  <c:v>2</c:v>
                </c:pt>
                <c:pt idx="1">
                  <c:v>1</c:v>
                </c:pt>
                <c:pt idx="2">
                  <c:v>1</c:v>
                </c:pt>
                <c:pt idx="3">
                  <c:v>1</c:v>
                </c:pt>
                <c:pt idx="4">
                  <c:v>5</c:v>
                </c:pt>
                <c:pt idx="5">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tendance à long terme du cygne</a:t>
            </a:r>
            <a:r>
              <a:rPr lang="nl-NL" baseline="0"/>
              <a:t> de bewick</a:t>
            </a:r>
            <a:endParaRPr lang="nl-NL"/>
          </a:p>
        </c:rich>
      </c:tx>
      <c:layout/>
      <c:overlay val="0"/>
      <c:spPr>
        <a:noFill/>
        <a:ln>
          <a:noFill/>
        </a:ln>
        <a:effectLst/>
      </c:spPr>
    </c:title>
    <c:autoTitleDeleted val="0"/>
    <c:plotArea>
      <c:layout/>
      <c:pieChart>
        <c:varyColors val="1"/>
        <c:ser>
          <c:idx val="0"/>
          <c:order val="0"/>
          <c:tx>
            <c:strRef>
              <c:f>Sheet1!$A$29</c:f>
              <c:strCache>
                <c:ptCount val="1"/>
                <c:pt idx="0">
                  <c:v>Bewick's Swan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Sheet1!$B$28:$F$28</c:f>
              <c:strCache>
                <c:ptCount val="5"/>
                <c:pt idx="0">
                  <c:v>decreasing</c:v>
                </c:pt>
                <c:pt idx="1">
                  <c:v>stable</c:v>
                </c:pt>
                <c:pt idx="2">
                  <c:v>increasing</c:v>
                </c:pt>
                <c:pt idx="3">
                  <c:v>unknown</c:v>
                </c:pt>
                <c:pt idx="4">
                  <c:v>no information provided</c:v>
                </c:pt>
              </c:strCache>
            </c:strRef>
          </c:cat>
          <c:val>
            <c:numRef>
              <c:f>Sheet1!$B$29:$F$29</c:f>
              <c:numCache>
                <c:formatCode>General</c:formatCode>
                <c:ptCount val="5"/>
                <c:pt idx="0">
                  <c:v>3</c:v>
                </c:pt>
                <c:pt idx="1">
                  <c:v>1</c:v>
                </c:pt>
                <c:pt idx="2">
                  <c:v>2</c:v>
                </c:pt>
                <c:pt idx="3">
                  <c:v>4</c:v>
                </c:pt>
                <c:pt idx="4">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plans </a:t>
            </a:r>
            <a:r>
              <a:rPr lang="nl-NL" sz="1100" b="1" i="0" u="none" strike="noStrike" kern="1200" cap="all" spc="50" baseline="0">
                <a:solidFill>
                  <a:sysClr val="windowText" lastClr="000000">
                    <a:lumMod val="65000"/>
                    <a:lumOff val="35000"/>
                  </a:sysClr>
                </a:solidFill>
                <a:latin typeface="+mn-lt"/>
                <a:ea typeface="+mn-ea"/>
                <a:cs typeface="+mn-cs"/>
              </a:rPr>
              <a:t>d’action</a:t>
            </a:r>
            <a:r>
              <a:rPr lang="nl-NL"/>
              <a:t> nationaux adoptés pour l'espèce</a:t>
            </a:r>
          </a:p>
        </c:rich>
      </c:tx>
      <c:layout/>
      <c:overlay val="0"/>
      <c:spPr>
        <a:noFill/>
        <a:ln>
          <a:noFill/>
        </a:ln>
        <a:effectLst/>
      </c:spPr>
    </c:title>
    <c:autoTitleDeleted val="0"/>
    <c:plotArea>
      <c:layout/>
      <c:pieChart>
        <c:varyColors val="1"/>
        <c:ser>
          <c:idx val="0"/>
          <c:order val="0"/>
          <c:tx>
            <c:strRef>
              <c:f>Sheet1!$A$2</c:f>
              <c:strCache>
                <c:ptCount val="1"/>
                <c:pt idx="0">
                  <c:v>National Action Plans adopted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Sheet1!$B$1:$D$1</c:f>
              <c:strCache>
                <c:ptCount val="3"/>
                <c:pt idx="0">
                  <c:v>YES</c:v>
                </c:pt>
                <c:pt idx="1">
                  <c:v>No</c:v>
                </c:pt>
                <c:pt idx="2">
                  <c:v>No information</c:v>
                </c:pt>
              </c:strCache>
            </c:strRef>
          </c:cat>
          <c:val>
            <c:numRef>
              <c:f>Sheet1!$B$2:$D$2</c:f>
              <c:numCache>
                <c:formatCode>General</c:formatCode>
                <c:ptCount val="3"/>
                <c:pt idx="0">
                  <c:v>3</c:v>
                </c:pt>
                <c:pt idx="1">
                  <c:v>7</c:v>
                </c:pt>
                <c:pt idx="2">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groupes de travail nationaux établis pour l'espèce species</a:t>
            </a:r>
          </a:p>
        </c:rich>
      </c:tx>
      <c:layout/>
      <c:overlay val="0"/>
      <c:spPr>
        <a:noFill/>
        <a:ln>
          <a:noFill/>
        </a:ln>
        <a:effectLst/>
      </c:spPr>
    </c:title>
    <c:autoTitleDeleted val="0"/>
    <c:plotArea>
      <c:layout/>
      <c:pieChart>
        <c:varyColors val="1"/>
        <c:ser>
          <c:idx val="0"/>
          <c:order val="0"/>
          <c:tx>
            <c:strRef>
              <c:f>Sheet1!$A$7</c:f>
              <c:strCache>
                <c:ptCount val="1"/>
                <c:pt idx="0">
                  <c:v>National Working Groups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Sheet1!$B$6:$C$6</c:f>
              <c:strCache>
                <c:ptCount val="2"/>
                <c:pt idx="0">
                  <c:v>No</c:v>
                </c:pt>
                <c:pt idx="1">
                  <c:v>No information provided</c:v>
                </c:pt>
              </c:strCache>
            </c:strRef>
          </c:cat>
          <c:val>
            <c:numRef>
              <c:f>Sheet1!$B$7:$C$7</c:f>
              <c:numCache>
                <c:formatCode>General</c:formatCode>
                <c:ptCount val="2"/>
                <c:pt idx="0">
                  <c:v>10</c:v>
                </c:pt>
                <c:pt idx="1">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sites clés</a:t>
            </a:r>
            <a:r>
              <a:rPr lang="nl-NL" baseline="0"/>
              <a:t> de perchage et d'alimentaion des aires de halte et d'hivernage maintenus dans des conditions</a:t>
            </a:r>
            <a:r>
              <a:rPr lang="nl-NL"/>
              <a:t> favorables </a:t>
            </a:r>
          </a:p>
        </c:rich>
      </c:tx>
      <c:layout/>
      <c:overlay val="0"/>
      <c:spPr>
        <a:noFill/>
        <a:ln>
          <a:noFill/>
        </a:ln>
        <a:effectLst/>
      </c:spPr>
    </c:title>
    <c:autoTitleDeleted val="0"/>
    <c:plotArea>
      <c:layout/>
      <c:pieChart>
        <c:varyColors val="1"/>
        <c:ser>
          <c:idx val="0"/>
          <c:order val="0"/>
          <c:tx>
            <c:strRef>
              <c:f>Sheet1!$A$62</c:f>
              <c:strCache>
                <c:ptCount val="1"/>
                <c:pt idx="0">
                  <c:v>Key roosting and foraging sites at staging and wintering areas  maintained in favourable conditions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Sheet1!$B$61:$D$61</c:f>
              <c:strCache>
                <c:ptCount val="3"/>
                <c:pt idx="0">
                  <c:v>Yes</c:v>
                </c:pt>
                <c:pt idx="1">
                  <c:v>Partially</c:v>
                </c:pt>
                <c:pt idx="2">
                  <c:v>No information</c:v>
                </c:pt>
              </c:strCache>
            </c:strRef>
          </c:cat>
          <c:val>
            <c:numRef>
              <c:f>Sheet1!$B$62:$D$62</c:f>
              <c:numCache>
                <c:formatCode>General</c:formatCode>
                <c:ptCount val="3"/>
                <c:pt idx="0">
                  <c:v>3</c:v>
                </c:pt>
                <c:pt idx="1">
                  <c:v>4</c:v>
                </c:pt>
                <c:pt idx="2">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TENDANCE</a:t>
            </a:r>
            <a:r>
              <a:rPr lang="nl-NL" baseline="0"/>
              <a:t> À COURT TERME IBIS CHAUVE</a:t>
            </a:r>
            <a:endParaRPr lang="nl-NL"/>
          </a:p>
        </c:rich>
      </c:tx>
      <c:layout/>
      <c:overlay val="0"/>
      <c:spPr>
        <a:noFill/>
        <a:ln>
          <a:noFill/>
        </a:ln>
        <a:effectLst/>
      </c:spPr>
    </c:title>
    <c:autoTitleDeleted val="0"/>
    <c:plotArea>
      <c:layout/>
      <c:pieChart>
        <c:varyColors val="1"/>
        <c:ser>
          <c:idx val="0"/>
          <c:order val="0"/>
          <c:tx>
            <c:strRef>
              <c:f>Sheet1!$A$13</c:f>
              <c:strCache>
                <c:ptCount val="1"/>
                <c:pt idx="0">
                  <c:v>NBI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Sheet1!$B$12:$C$12</c:f>
              <c:strCache>
                <c:ptCount val="2"/>
                <c:pt idx="0">
                  <c:v>decreasing</c:v>
                </c:pt>
                <c:pt idx="1">
                  <c:v>unknown</c:v>
                </c:pt>
              </c:strCache>
            </c:strRef>
          </c:cat>
          <c:val>
            <c:numRef>
              <c:f>Sheet1!$B$13:$C$13</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perturbations</a:t>
            </a:r>
            <a:r>
              <a:rPr lang="nl-NL" baseline="0"/>
              <a:t> sur les sites clés réduites et maintenues à un minimum</a:t>
            </a:r>
            <a:endParaRPr lang="nl-NL"/>
          </a:p>
        </c:rich>
      </c:tx>
      <c:layout/>
      <c:overlay val="0"/>
      <c:spPr>
        <a:noFill/>
        <a:ln>
          <a:noFill/>
        </a:ln>
        <a:effectLst/>
      </c:spPr>
    </c:title>
    <c:autoTitleDeleted val="0"/>
    <c:plotArea>
      <c:layout/>
      <c:pieChart>
        <c:varyColors val="1"/>
        <c:ser>
          <c:idx val="0"/>
          <c:order val="0"/>
          <c:tx>
            <c:strRef>
              <c:f>Sheet1!$A$70</c:f>
              <c:strCache>
                <c:ptCount val="1"/>
                <c:pt idx="0">
                  <c:v>Disturbance at key sites is being reduced and kept to a minimum</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Sheet1!$B$69:$E$69</c:f>
              <c:strCache>
                <c:ptCount val="4"/>
                <c:pt idx="0">
                  <c:v>Yes</c:v>
                </c:pt>
                <c:pt idx="1">
                  <c:v>No</c:v>
                </c:pt>
                <c:pt idx="2">
                  <c:v>Partially</c:v>
                </c:pt>
                <c:pt idx="3">
                  <c:v>No information</c:v>
                </c:pt>
              </c:strCache>
            </c:strRef>
          </c:cat>
          <c:val>
            <c:numRef>
              <c:f>Sheet1!$B$70:$E$70</c:f>
              <c:numCache>
                <c:formatCode>General</c:formatCode>
                <c:ptCount val="4"/>
                <c:pt idx="0">
                  <c:v>4</c:v>
                </c:pt>
                <c:pt idx="1">
                  <c:v>1</c:v>
                </c:pt>
                <c:pt idx="2">
                  <c:v>3</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impact négatif du développement infrastructurel</a:t>
            </a:r>
            <a:r>
              <a:rPr lang="nl-NL" baseline="0"/>
              <a:t> et industriel évité/atténué sur les sites clés</a:t>
            </a:r>
            <a:endParaRPr lang="nl-NL"/>
          </a:p>
        </c:rich>
      </c:tx>
      <c:layout/>
      <c:overlay val="0"/>
      <c:spPr>
        <a:noFill/>
        <a:ln>
          <a:noFill/>
        </a:ln>
        <a:effectLst/>
      </c:spPr>
    </c:title>
    <c:autoTitleDeleted val="0"/>
    <c:plotArea>
      <c:layout/>
      <c:pieChart>
        <c:varyColors val="1"/>
        <c:ser>
          <c:idx val="0"/>
          <c:order val="0"/>
          <c:tx>
            <c:strRef>
              <c:f>Sheet1!$A$76</c:f>
              <c:strCache>
                <c:ptCount val="1"/>
                <c:pt idx="0">
                  <c:v>Negative impact of infrastructure and industrial development avoided/mitigated at key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Sheet1!$B$75:$E$75</c:f>
              <c:strCache>
                <c:ptCount val="4"/>
                <c:pt idx="0">
                  <c:v>Yes</c:v>
                </c:pt>
                <c:pt idx="1">
                  <c:v>No</c:v>
                </c:pt>
                <c:pt idx="2">
                  <c:v>Partially</c:v>
                </c:pt>
                <c:pt idx="3">
                  <c:v>No information</c:v>
                </c:pt>
              </c:strCache>
            </c:strRef>
          </c:cat>
          <c:val>
            <c:numRef>
              <c:f>Sheet1!$B$76:$E$76</c:f>
              <c:numCache>
                <c:formatCode>General</c:formatCode>
                <c:ptCount val="4"/>
                <c:pt idx="0">
                  <c:v>5</c:v>
                </c:pt>
                <c:pt idx="1">
                  <c:v>1</c:v>
                </c:pt>
                <c:pt idx="2">
                  <c:v>2</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Décideurs informés des aires les plus sensibles pour le développement industriel </a:t>
            </a:r>
          </a:p>
        </c:rich>
      </c:tx>
      <c:layout/>
      <c:overlay val="0"/>
      <c:spPr>
        <a:noFill/>
        <a:ln>
          <a:noFill/>
        </a:ln>
        <a:effectLst/>
      </c:spPr>
    </c:title>
    <c:autoTitleDeleted val="0"/>
    <c:plotArea>
      <c:layout/>
      <c:pieChart>
        <c:varyColors val="1"/>
        <c:ser>
          <c:idx val="0"/>
          <c:order val="0"/>
          <c:tx>
            <c:strRef>
              <c:f>Sheet1!$A$80</c:f>
              <c:strCache>
                <c:ptCount val="1"/>
                <c:pt idx="0">
                  <c:v>Decision makers informed about most sensitive areas for infrastructure development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Sheet1!$B$79:$E$79</c:f>
              <c:strCache>
                <c:ptCount val="4"/>
                <c:pt idx="0">
                  <c:v>Yes</c:v>
                </c:pt>
                <c:pt idx="1">
                  <c:v>No</c:v>
                </c:pt>
                <c:pt idx="2">
                  <c:v>Partially</c:v>
                </c:pt>
                <c:pt idx="3">
                  <c:v>No information</c:v>
                </c:pt>
              </c:strCache>
            </c:strRef>
          </c:cat>
          <c:val>
            <c:numRef>
              <c:f>Sheet1!$B$80:$E$80</c:f>
              <c:numCache>
                <c:formatCode>General</c:formatCode>
                <c:ptCount val="4"/>
                <c:pt idx="0">
                  <c:v>6</c:v>
                </c:pt>
                <c:pt idx="1">
                  <c:v>1</c:v>
                </c:pt>
                <c:pt idx="2">
                  <c:v>1</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statut Protégé de l'espèce maintenu</a:t>
            </a:r>
          </a:p>
        </c:rich>
      </c:tx>
      <c:layout/>
      <c:overlay val="0"/>
      <c:spPr>
        <a:noFill/>
        <a:ln>
          <a:noFill/>
        </a:ln>
        <a:effectLst/>
      </c:spPr>
    </c:title>
    <c:autoTitleDeleted val="0"/>
    <c:plotArea>
      <c:layout/>
      <c:pieChart>
        <c:varyColors val="1"/>
        <c:ser>
          <c:idx val="0"/>
          <c:order val="0"/>
          <c:tx>
            <c:strRef>
              <c:f>Sheet1!$A$83</c:f>
              <c:strCache>
                <c:ptCount val="1"/>
                <c:pt idx="0">
                  <c:v>Protected status of the species is being maintained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Sheet1!$B$82:$C$82</c:f>
              <c:strCache>
                <c:ptCount val="2"/>
                <c:pt idx="0">
                  <c:v>Yes</c:v>
                </c:pt>
                <c:pt idx="1">
                  <c:v>No information</c:v>
                </c:pt>
              </c:strCache>
            </c:strRef>
          </c:cat>
          <c:val>
            <c:numRef>
              <c:f>Sheet1!$B$83:$C$83</c:f>
              <c:numCache>
                <c:formatCode>General</c:formatCode>
                <c:ptCount val="2"/>
                <c:pt idx="0">
                  <c:v>9</c:v>
                </c:pt>
                <c:pt idx="1">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l'application</a:t>
            </a:r>
            <a:r>
              <a:rPr lang="nl-NL" baseline="0"/>
              <a:t> de la législation interdisant la chasse du cygne de</a:t>
            </a:r>
            <a:r>
              <a:rPr lang="nl-NL"/>
              <a:t> Bewick est efficace</a:t>
            </a:r>
          </a:p>
        </c:rich>
      </c:tx>
      <c:layout/>
      <c:overlay val="0"/>
      <c:spPr>
        <a:noFill/>
        <a:ln>
          <a:noFill/>
        </a:ln>
        <a:effectLst/>
      </c:spPr>
    </c:title>
    <c:autoTitleDeleted val="0"/>
    <c:plotArea>
      <c:layout/>
      <c:pieChart>
        <c:varyColors val="1"/>
        <c:ser>
          <c:idx val="0"/>
          <c:order val="0"/>
          <c:tx>
            <c:strRef>
              <c:f>Sheet1!$A$87</c:f>
              <c:strCache>
                <c:ptCount val="1"/>
                <c:pt idx="0">
                  <c:v>Enforcement of legislation banning hunting of Bewick's Swans is effective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Sheet1!$B$86:$E$86</c:f>
              <c:strCache>
                <c:ptCount val="4"/>
                <c:pt idx="0">
                  <c:v>Yes</c:v>
                </c:pt>
                <c:pt idx="1">
                  <c:v>Partially</c:v>
                </c:pt>
                <c:pt idx="2">
                  <c:v>No</c:v>
                </c:pt>
                <c:pt idx="3">
                  <c:v>No information</c:v>
                </c:pt>
              </c:strCache>
            </c:strRef>
          </c:cat>
          <c:val>
            <c:numRef>
              <c:f>Sheet1!$B$87:$E$87</c:f>
              <c:numCache>
                <c:formatCode>General</c:formatCode>
                <c:ptCount val="4"/>
                <c:pt idx="0">
                  <c:v>7</c:v>
                </c:pt>
                <c:pt idx="1">
                  <c:v>1</c:v>
                </c:pt>
                <c:pt idx="2">
                  <c:v>1</c:v>
                </c:pt>
                <c:pt idx="3">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 programme de sensibilisation du public en place sur le</a:t>
            </a:r>
            <a:r>
              <a:rPr lang="nl-NL" baseline="0"/>
              <a:t> statut protégé du cygne</a:t>
            </a:r>
            <a:r>
              <a:rPr lang="nl-NL"/>
              <a:t> </a:t>
            </a:r>
          </a:p>
        </c:rich>
      </c:tx>
      <c:layout/>
      <c:overlay val="0"/>
      <c:spPr>
        <a:noFill/>
        <a:ln>
          <a:noFill/>
        </a:ln>
        <a:effectLst/>
      </c:spPr>
    </c:title>
    <c:autoTitleDeleted val="0"/>
    <c:plotArea>
      <c:layout/>
      <c:pieChart>
        <c:varyColors val="1"/>
        <c:ser>
          <c:idx val="0"/>
          <c:order val="0"/>
          <c:tx>
            <c:strRef>
              <c:f>Sheet1!$A$91</c:f>
              <c:strCache>
                <c:ptCount val="1"/>
                <c:pt idx="0">
                  <c:v> Awareness-raising programme in place on the Swans' protected status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Sheet1!$B$90:$E$90</c:f>
              <c:strCache>
                <c:ptCount val="4"/>
                <c:pt idx="0">
                  <c:v>Yes</c:v>
                </c:pt>
                <c:pt idx="1">
                  <c:v>No</c:v>
                </c:pt>
                <c:pt idx="2">
                  <c:v>Partially</c:v>
                </c:pt>
                <c:pt idx="3">
                  <c:v>No information</c:v>
                </c:pt>
              </c:strCache>
            </c:strRef>
          </c:cat>
          <c:val>
            <c:numRef>
              <c:f>Sheet1!$B$91:$E$91</c:f>
              <c:numCache>
                <c:formatCode>General</c:formatCode>
                <c:ptCount val="4"/>
                <c:pt idx="0">
                  <c:v>2</c:v>
                </c:pt>
                <c:pt idx="1">
                  <c:v>5</c:v>
                </c:pt>
                <c:pt idx="2">
                  <c:v>1</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niveau</a:t>
            </a:r>
            <a:r>
              <a:rPr lang="nl-NL" baseline="0"/>
              <a:t> de tirs à l'encontre du cygne de</a:t>
            </a:r>
            <a:r>
              <a:rPr lang="nl-NL"/>
              <a:t> Bewick surveillé</a:t>
            </a:r>
          </a:p>
        </c:rich>
      </c:tx>
      <c:layout/>
      <c:overlay val="0"/>
      <c:spPr>
        <a:noFill/>
        <a:ln>
          <a:noFill/>
        </a:ln>
        <a:effectLst/>
      </c:spPr>
    </c:title>
    <c:autoTitleDeleted val="0"/>
    <c:plotArea>
      <c:layout/>
      <c:pieChart>
        <c:varyColors val="1"/>
        <c:ser>
          <c:idx val="0"/>
          <c:order val="0"/>
          <c:tx>
            <c:strRef>
              <c:f>Sheet1!$A$95</c:f>
              <c:strCache>
                <c:ptCount val="1"/>
                <c:pt idx="0">
                  <c:v>Level of shooting of Bewick's Swans is being monitored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Sheet1!$B$94:$E$94</c:f>
              <c:strCache>
                <c:ptCount val="4"/>
                <c:pt idx="0">
                  <c:v>Yes</c:v>
                </c:pt>
                <c:pt idx="1">
                  <c:v>No</c:v>
                </c:pt>
                <c:pt idx="2">
                  <c:v>Partially</c:v>
                </c:pt>
                <c:pt idx="3">
                  <c:v>No Information</c:v>
                </c:pt>
              </c:strCache>
            </c:strRef>
          </c:cat>
          <c:val>
            <c:numRef>
              <c:f>Sheet1!$B$95:$E$95</c:f>
              <c:numCache>
                <c:formatCode>General</c:formatCode>
                <c:ptCount val="4"/>
                <c:pt idx="0">
                  <c:v>1</c:v>
                </c:pt>
                <c:pt idx="1">
                  <c:v>3</c:v>
                </c:pt>
                <c:pt idx="2">
                  <c:v>1</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sites et lignes de vol clés évités lors du développement de nouvelles lignes à haute</a:t>
            </a:r>
            <a:r>
              <a:rPr lang="nl-NL" baseline="0"/>
              <a:t> tension et fermes éoliennes</a:t>
            </a:r>
            <a:endParaRPr lang="nl-NL"/>
          </a:p>
        </c:rich>
      </c:tx>
      <c:layout/>
      <c:overlay val="0"/>
      <c:spPr>
        <a:noFill/>
        <a:ln>
          <a:noFill/>
        </a:ln>
        <a:effectLst/>
      </c:spPr>
    </c:title>
    <c:autoTitleDeleted val="0"/>
    <c:plotArea>
      <c:layout/>
      <c:pieChart>
        <c:varyColors val="1"/>
        <c:ser>
          <c:idx val="0"/>
          <c:order val="0"/>
          <c:tx>
            <c:strRef>
              <c:f>Sheet1!$A$98</c:f>
              <c:strCache>
                <c:ptCount val="1"/>
                <c:pt idx="0">
                  <c:v>Key sites and flightlines avoided when developing new powerlines and wind farms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Sheet1!$B$97:$E$97</c:f>
              <c:strCache>
                <c:ptCount val="4"/>
                <c:pt idx="0">
                  <c:v>Yes</c:v>
                </c:pt>
                <c:pt idx="1">
                  <c:v>No</c:v>
                </c:pt>
                <c:pt idx="2">
                  <c:v>Partially</c:v>
                </c:pt>
                <c:pt idx="3">
                  <c:v>No information</c:v>
                </c:pt>
              </c:strCache>
            </c:strRef>
          </c:cat>
          <c:val>
            <c:numRef>
              <c:f>Sheet1!$B$98:$E$98</c:f>
              <c:numCache>
                <c:formatCode>General</c:formatCode>
                <c:ptCount val="4"/>
                <c:pt idx="0">
                  <c:v>2</c:v>
                </c:pt>
                <c:pt idx="1">
                  <c:v>1</c:v>
                </c:pt>
                <c:pt idx="2">
                  <c:v>6</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lignes à haute tension enterrées</a:t>
            </a:r>
            <a:r>
              <a:rPr lang="nl-NL" baseline="0"/>
              <a:t> et marqueurs visuels installés sutour des sites clés et le long des voies de migration</a:t>
            </a:r>
            <a:endParaRPr lang="nl-NL"/>
          </a:p>
        </c:rich>
      </c:tx>
      <c:layout/>
      <c:overlay val="0"/>
      <c:spPr>
        <a:noFill/>
        <a:ln>
          <a:noFill/>
        </a:ln>
        <a:effectLst/>
      </c:spPr>
    </c:title>
    <c:autoTitleDeleted val="0"/>
    <c:plotArea>
      <c:layout/>
      <c:pieChart>
        <c:varyColors val="1"/>
        <c:ser>
          <c:idx val="0"/>
          <c:order val="0"/>
          <c:tx>
            <c:strRef>
              <c:f>Sheet1!$A$102</c:f>
              <c:strCache>
                <c:ptCount val="1"/>
                <c:pt idx="0">
                  <c:v>Powerlines being buried or visual markers fitted around key sites and along flightlines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Sheet1!$B$101:$E$101</c:f>
              <c:strCache>
                <c:ptCount val="4"/>
                <c:pt idx="0">
                  <c:v>Yes</c:v>
                </c:pt>
                <c:pt idx="1">
                  <c:v>No</c:v>
                </c:pt>
                <c:pt idx="2">
                  <c:v>Partially</c:v>
                </c:pt>
                <c:pt idx="3">
                  <c:v>No information</c:v>
                </c:pt>
              </c:strCache>
            </c:strRef>
          </c:cat>
          <c:val>
            <c:numRef>
              <c:f>Sheet1!$B$102:$E$102</c:f>
              <c:numCache>
                <c:formatCode>General</c:formatCode>
                <c:ptCount val="4"/>
                <c:pt idx="0">
                  <c:v>2</c:v>
                </c:pt>
                <c:pt idx="1">
                  <c:v>3</c:v>
                </c:pt>
                <c:pt idx="2">
                  <c:v>5</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suppression Complète de</a:t>
            </a:r>
            <a:r>
              <a:rPr lang="nl-NL" baseline="0"/>
              <a:t> la grenaille de plomb sur les sites d'alimentation du cygne de </a:t>
            </a:r>
            <a:r>
              <a:rPr lang="nl-NL"/>
              <a:t>Bewick et autour des sites clés, et application de la législation</a:t>
            </a:r>
          </a:p>
        </c:rich>
      </c:tx>
      <c:layout/>
      <c:overlay val="0"/>
      <c:spPr>
        <a:noFill/>
        <a:ln>
          <a:noFill/>
        </a:ln>
        <a:effectLst/>
      </c:spPr>
    </c:title>
    <c:autoTitleDeleted val="0"/>
    <c:plotArea>
      <c:layout/>
      <c:pieChart>
        <c:varyColors val="1"/>
        <c:ser>
          <c:idx val="0"/>
          <c:order val="0"/>
          <c:tx>
            <c:strRef>
              <c:f>Sheet1!$A$109</c:f>
              <c:strCache>
                <c:ptCount val="1"/>
                <c:pt idx="0">
                  <c:v>Complete phase out of lead shot on Bewick's Swan feeding areas around key sites, and enforcement of legislation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Sheet1!$B$108:$E$108</c:f>
              <c:strCache>
                <c:ptCount val="4"/>
                <c:pt idx="0">
                  <c:v>Yes</c:v>
                </c:pt>
                <c:pt idx="1">
                  <c:v>No</c:v>
                </c:pt>
                <c:pt idx="2">
                  <c:v>Partially</c:v>
                </c:pt>
                <c:pt idx="3">
                  <c:v>No information</c:v>
                </c:pt>
              </c:strCache>
            </c:strRef>
          </c:cat>
          <c:val>
            <c:numRef>
              <c:f>Sheet1!$B$109:$E$109</c:f>
              <c:numCache>
                <c:formatCode>General</c:formatCode>
                <c:ptCount val="4"/>
                <c:pt idx="0">
                  <c:v>3</c:v>
                </c:pt>
                <c:pt idx="1">
                  <c:v>2</c:v>
                </c:pt>
                <c:pt idx="2">
                  <c:v>5</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TENDANCE À LONG TERME IBIS CHAUVE</a:t>
            </a:r>
          </a:p>
        </c:rich>
      </c:tx>
      <c:layout/>
      <c:overlay val="0"/>
      <c:spPr>
        <a:noFill/>
        <a:ln>
          <a:noFill/>
        </a:ln>
        <a:effectLst/>
      </c:spPr>
    </c:title>
    <c:autoTitleDeleted val="0"/>
    <c:plotArea>
      <c:layout/>
      <c:pieChart>
        <c:varyColors val="1"/>
        <c:ser>
          <c:idx val="0"/>
          <c:order val="0"/>
          <c:tx>
            <c:strRef>
              <c:f>Sheet1!$A$17</c:f>
              <c:strCache>
                <c:ptCount val="1"/>
                <c:pt idx="0">
                  <c:v>NBI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Sheet1!$B$16:$D$16</c:f>
              <c:strCache>
                <c:ptCount val="3"/>
                <c:pt idx="0">
                  <c:v>increasing</c:v>
                </c:pt>
                <c:pt idx="1">
                  <c:v>decreasing</c:v>
                </c:pt>
                <c:pt idx="2">
                  <c:v>unknown</c:v>
                </c:pt>
              </c:strCache>
            </c:strRef>
          </c:cat>
          <c:val>
            <c:numRef>
              <c:f>Sheet1!$B$17:$D$17</c:f>
              <c:numCache>
                <c:formatCode>General</c:formatCode>
                <c:ptCount val="3"/>
                <c:pt idx="0">
                  <c:v>1</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Mesures prises pour</a:t>
            </a:r>
            <a:r>
              <a:rPr lang="nl-NL" baseline="0"/>
              <a:t> supprimer les plombs de pêche</a:t>
            </a:r>
            <a:endParaRPr lang="nl-NL"/>
          </a:p>
        </c:rich>
      </c:tx>
      <c:layout/>
      <c:overlay val="0"/>
      <c:spPr>
        <a:noFill/>
        <a:ln>
          <a:noFill/>
        </a:ln>
        <a:effectLst/>
      </c:spPr>
    </c:title>
    <c:autoTitleDeleted val="0"/>
    <c:plotArea>
      <c:layout/>
      <c:pieChart>
        <c:varyColors val="1"/>
        <c:ser>
          <c:idx val="0"/>
          <c:order val="0"/>
          <c:tx>
            <c:strRef>
              <c:f>Sheet1!$A$117</c:f>
              <c:strCache>
                <c:ptCount val="1"/>
                <c:pt idx="0">
                  <c:v>Measures undertaken to phase out lead fishing weights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Sheet1!$B$116:$E$116</c:f>
              <c:strCache>
                <c:ptCount val="4"/>
                <c:pt idx="0">
                  <c:v>Yes</c:v>
                </c:pt>
                <c:pt idx="1">
                  <c:v>No</c:v>
                </c:pt>
                <c:pt idx="2">
                  <c:v>Partially</c:v>
                </c:pt>
                <c:pt idx="3">
                  <c:v>No information</c:v>
                </c:pt>
              </c:strCache>
            </c:strRef>
          </c:cat>
          <c:val>
            <c:numRef>
              <c:f>Sheet1!$B$117:$E$117</c:f>
              <c:numCache>
                <c:formatCode>General</c:formatCode>
                <c:ptCount val="4"/>
                <c:pt idx="0">
                  <c:v>2</c:v>
                </c:pt>
                <c:pt idx="1">
                  <c:v>6</c:v>
                </c:pt>
                <c:pt idx="2">
                  <c:v>2</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facteurs contribuant à atteindre les objectifs du plan </a:t>
            </a:r>
            <a:r>
              <a:rPr lang="en-US" sz="1400" b="0" i="0" u="none" strike="noStrike" kern="1200" spc="0" baseline="0">
                <a:solidFill>
                  <a:sysClr val="windowText" lastClr="000000">
                    <a:lumMod val="65000"/>
                    <a:lumOff val="35000"/>
                  </a:sysClr>
                </a:solidFill>
                <a:latin typeface="+mn-lt"/>
                <a:ea typeface="+mn-ea"/>
                <a:cs typeface="+mn-cs"/>
              </a:rPr>
              <a:t>d’action</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Sheet1!$A$34:$A$42</c:f>
              <c:strCache>
                <c:ptCount val="9"/>
                <c:pt idx="0">
                  <c:v>Joining AEWA </c:v>
                </c:pt>
                <c:pt idx="1">
                  <c:v>Filling key knowledge gaps</c:v>
                </c:pt>
                <c:pt idx="2">
                  <c:v>Funding insured/increased  </c:v>
                </c:pt>
                <c:pt idx="3">
                  <c:v>Establishment of coordinated counts</c:v>
                </c:pt>
                <c:pt idx="4">
                  <c:v>Conducting EIA</c:v>
                </c:pt>
                <c:pt idx="5">
                  <c:v>Improved coordination/cooperation</c:v>
                </c:pt>
                <c:pt idx="6">
                  <c:v>Minimization of hunting pressure</c:v>
                </c:pt>
                <c:pt idx="7">
                  <c:v>Adequate protection of key wintering sites </c:v>
                </c:pt>
                <c:pt idx="8">
                  <c:v>Implementation of conservation plan/NSSAP</c:v>
                </c:pt>
              </c:strCache>
            </c:strRef>
          </c:cat>
          <c:val>
            <c:numRef>
              <c:f>Sheet1!$B$34:$B$42</c:f>
              <c:numCache>
                <c:formatCode>General</c:formatCode>
                <c:ptCount val="9"/>
                <c:pt idx="0">
                  <c:v>1</c:v>
                </c:pt>
                <c:pt idx="1">
                  <c:v>1</c:v>
                </c:pt>
                <c:pt idx="2">
                  <c:v>1</c:v>
                </c:pt>
                <c:pt idx="3">
                  <c:v>1</c:v>
                </c:pt>
                <c:pt idx="4">
                  <c:v>1</c:v>
                </c:pt>
                <c:pt idx="5">
                  <c:v>1</c:v>
                </c:pt>
                <c:pt idx="6">
                  <c:v>2</c:v>
                </c:pt>
                <c:pt idx="7">
                  <c:v>4</c:v>
                </c:pt>
                <c:pt idx="8">
                  <c:v>5</c:v>
                </c:pt>
              </c:numCache>
            </c:numRef>
          </c:val>
        </c:ser>
        <c:dLbls>
          <c:showLegendKey val="0"/>
          <c:showVal val="0"/>
          <c:showCatName val="0"/>
          <c:showSerName val="0"/>
          <c:showPercent val="0"/>
          <c:showBubbleSize val="0"/>
        </c:dLbls>
        <c:gapWidth val="182"/>
        <c:axId val="473924992"/>
        <c:axId val="473925552"/>
      </c:barChart>
      <c:catAx>
        <c:axId val="47392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925552"/>
        <c:crosses val="autoZero"/>
        <c:auto val="1"/>
        <c:lblAlgn val="ctr"/>
        <c:lblOffset val="100"/>
        <c:noMultiLvlLbl val="0"/>
      </c:catAx>
      <c:valAx>
        <c:axId val="473925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92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 à la réalisation des objectifs du plan </a:t>
            </a:r>
            <a:r>
              <a:rPr lang="en-US" sz="1400" b="0" i="0" u="none" strike="noStrike" kern="1200" spc="0" baseline="0">
                <a:solidFill>
                  <a:sysClr val="windowText" lastClr="000000">
                    <a:lumMod val="65000"/>
                    <a:lumOff val="35000"/>
                  </a:sysClr>
                </a:solidFill>
                <a:latin typeface="+mn-lt"/>
                <a:ea typeface="+mn-ea"/>
                <a:cs typeface="+mn-cs"/>
              </a:rPr>
              <a:t>d’action</a:t>
            </a:r>
            <a:r>
              <a:rPr lang="en-US"/>
              <a:t> </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Sheet1!$A$49:$A$56</c:f>
              <c:strCache>
                <c:ptCount val="8"/>
                <c:pt idx="0">
                  <c:v>Dominance of hunting lobby </c:v>
                </c:pt>
                <c:pt idx="1">
                  <c:v>Decreasing number of wintering sites</c:v>
                </c:pt>
                <c:pt idx="2">
                  <c:v>Lack of government support</c:v>
                </c:pt>
                <c:pt idx="3">
                  <c:v>Lack of management </c:v>
                </c:pt>
                <c:pt idx="4">
                  <c:v>Use of leadshot </c:v>
                </c:pt>
                <c:pt idx="5">
                  <c:v>Changing environment</c:v>
                </c:pt>
                <c:pt idx="6">
                  <c:v>Increased human disturbance</c:v>
                </c:pt>
                <c:pt idx="7">
                  <c:v>Lack of financial capacity </c:v>
                </c:pt>
              </c:strCache>
            </c:strRef>
          </c:cat>
          <c:val>
            <c:numRef>
              <c:f>Sheet1!$B$49:$B$56</c:f>
              <c:numCache>
                <c:formatCode>General</c:formatCode>
                <c:ptCount val="8"/>
                <c:pt idx="0">
                  <c:v>1</c:v>
                </c:pt>
                <c:pt idx="1">
                  <c:v>1</c:v>
                </c:pt>
                <c:pt idx="2">
                  <c:v>1</c:v>
                </c:pt>
                <c:pt idx="3">
                  <c:v>1</c:v>
                </c:pt>
                <c:pt idx="4">
                  <c:v>1</c:v>
                </c:pt>
                <c:pt idx="5">
                  <c:v>1</c:v>
                </c:pt>
                <c:pt idx="6">
                  <c:v>2</c:v>
                </c:pt>
                <c:pt idx="7">
                  <c:v>2</c:v>
                </c:pt>
              </c:numCache>
            </c:numRef>
          </c:val>
        </c:ser>
        <c:dLbls>
          <c:showLegendKey val="0"/>
          <c:showVal val="0"/>
          <c:showCatName val="0"/>
          <c:showSerName val="0"/>
          <c:showPercent val="0"/>
          <c:showBubbleSize val="0"/>
        </c:dLbls>
        <c:gapWidth val="182"/>
        <c:axId val="473927792"/>
        <c:axId val="630038512"/>
      </c:barChart>
      <c:catAx>
        <c:axId val="47392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038512"/>
        <c:crosses val="autoZero"/>
        <c:auto val="1"/>
        <c:lblAlgn val="ctr"/>
        <c:lblOffset val="100"/>
        <c:noMultiLvlLbl val="0"/>
      </c:catAx>
      <c:valAx>
        <c:axId val="630038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92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en-US"/>
              <a:t>Tendance à court terme</a:t>
            </a:r>
          </a:p>
        </c:rich>
      </c:tx>
      <c:layout>
        <c:manualLayout>
          <c:xMode val="edge"/>
          <c:yMode val="edge"/>
          <c:x val="0.28418237062723284"/>
          <c:y val="3.4782608695652174E-2"/>
        </c:manualLayout>
      </c:layout>
      <c:overlay val="0"/>
      <c:spPr>
        <a:noFill/>
        <a:ln>
          <a:noFill/>
        </a:ln>
        <a:effectLst/>
      </c:spPr>
    </c:title>
    <c:autoTitleDeleted val="0"/>
    <c:plotArea>
      <c:layout/>
      <c:pieChart>
        <c:varyColors val="1"/>
        <c:ser>
          <c:idx val="0"/>
          <c:order val="0"/>
          <c:tx>
            <c:strRef>
              <c:f>Sheet1!$A$13</c:f>
              <c:strCache>
                <c:ptCount val="1"/>
                <c:pt idx="0">
                  <c:v>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Sheet1!$B$12:$D$12</c:f>
              <c:strCache>
                <c:ptCount val="3"/>
                <c:pt idx="0">
                  <c:v>decreasing </c:v>
                </c:pt>
                <c:pt idx="1">
                  <c:v>stable</c:v>
                </c:pt>
                <c:pt idx="2">
                  <c:v>increasing</c:v>
                </c:pt>
              </c:strCache>
            </c:strRef>
          </c:cat>
          <c:val>
            <c:numRef>
              <c:f>Sheet1!$B$13:$D$13</c:f>
              <c:numCache>
                <c:formatCode>General</c:formatCode>
                <c:ptCount val="3"/>
                <c:pt idx="0">
                  <c:v>2</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Tendance à long terme</a:t>
            </a:r>
          </a:p>
        </c:rich>
      </c:tx>
      <c:layout/>
      <c:overlay val="0"/>
      <c:spPr>
        <a:noFill/>
        <a:ln>
          <a:noFill/>
        </a:ln>
        <a:effectLst/>
      </c:spPr>
    </c:title>
    <c:autoTitleDeleted val="0"/>
    <c:plotArea>
      <c:layout/>
      <c:pieChart>
        <c:varyColors val="1"/>
        <c:ser>
          <c:idx val="0"/>
          <c:order val="0"/>
          <c:tx>
            <c:strRef>
              <c:f>Sheet1!$A$16</c:f>
              <c:strCache>
                <c:ptCount val="1"/>
                <c:pt idx="0">
                  <c:v>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Sheet1!$B$15:$D$15</c:f>
              <c:strCache>
                <c:ptCount val="3"/>
                <c:pt idx="0">
                  <c:v>decreasing</c:v>
                </c:pt>
                <c:pt idx="1">
                  <c:v>stable</c:v>
                </c:pt>
                <c:pt idx="2">
                  <c:v>increasing</c:v>
                </c:pt>
              </c:strCache>
            </c:strRef>
          </c:cat>
          <c:val>
            <c:numRef>
              <c:f>Sheet1!$B$16:$D$16</c:f>
              <c:numCache>
                <c:formatCode>General</c:formatCode>
                <c:ptCount val="3"/>
                <c:pt idx="0">
                  <c:v>1</c:v>
                </c:pt>
                <c:pt idx="1">
                  <c:v>1</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en-US" sz="1050"/>
              <a:t>plans d’action/de gestion nationaux adoptés pour l'espèce</a:t>
            </a:r>
          </a:p>
        </c:rich>
      </c:tx>
      <c:layout/>
      <c:overlay val="0"/>
      <c:spPr>
        <a:noFill/>
        <a:ln>
          <a:noFill/>
        </a:ln>
        <a:effectLst/>
      </c:spPr>
    </c:title>
    <c:autoTitleDeleted val="0"/>
    <c:plotArea>
      <c:layout/>
      <c:pieChart>
        <c:varyColors val="1"/>
        <c:ser>
          <c:idx val="0"/>
          <c:order val="0"/>
          <c:tx>
            <c:strRef>
              <c:f>Sheet1!$A$2</c:f>
              <c:strCache>
                <c:ptCount val="1"/>
                <c:pt idx="0">
                  <c:v>National Management Plans adopted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Sheet1!$B$1:$C$1</c:f>
              <c:strCache>
                <c:ptCount val="2"/>
                <c:pt idx="0">
                  <c:v>Yes</c:v>
                </c:pt>
                <c:pt idx="1">
                  <c:v>No</c:v>
                </c:pt>
              </c:strCache>
            </c:strRef>
          </c:cat>
          <c:val>
            <c:numRef>
              <c:f>Sheet1!$B$2:$C$2</c:f>
              <c:numCache>
                <c:formatCode>General</c:formatCode>
                <c:ptCount val="2"/>
                <c:pt idx="0">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groupeS de travail nationaUX établiS pour l'ESPÈCE</a:t>
            </a:r>
          </a:p>
        </c:rich>
      </c:tx>
      <c:layout/>
      <c:overlay val="0"/>
      <c:spPr>
        <a:noFill/>
        <a:ln>
          <a:noFill/>
        </a:ln>
        <a:effectLst/>
      </c:spPr>
    </c:title>
    <c:autoTitleDeleted val="0"/>
    <c:plotArea>
      <c:layout/>
      <c:pieChart>
        <c:varyColors val="1"/>
        <c:ser>
          <c:idx val="0"/>
          <c:order val="0"/>
          <c:tx>
            <c:strRef>
              <c:f>Sheet1!$A$7</c:f>
              <c:strCache>
                <c:ptCount val="1"/>
                <c:pt idx="0">
                  <c:v>National Working Groups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Sheet1!$B$6:$C$6</c:f>
              <c:strCache>
                <c:ptCount val="2"/>
                <c:pt idx="0">
                  <c:v>YES</c:v>
                </c:pt>
                <c:pt idx="1">
                  <c:v>NO</c:v>
                </c:pt>
              </c:strCache>
            </c:strRef>
          </c:cat>
          <c:val>
            <c:numRef>
              <c:f>Sheet1!$B$7:$C$7</c:f>
              <c:numCache>
                <c:formatCode>General</c:formatCode>
                <c:ptCount val="2"/>
                <c:pt idx="0">
                  <c:v>2</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Principales activités favorisant la mise en oeuvre </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Sheet1!$A$20:$A$30</c:f>
              <c:strCache>
                <c:ptCount val="11"/>
                <c:pt idx="0">
                  <c:v>Implementation of management scheme</c:v>
                </c:pt>
                <c:pt idx="1">
                  <c:v>Hunting pressure minimized </c:v>
                </c:pt>
                <c:pt idx="2">
                  <c:v>Establishment of national monitoring team </c:v>
                </c:pt>
                <c:pt idx="3">
                  <c:v>Restoration actions </c:v>
                </c:pt>
                <c:pt idx="4">
                  <c:v>Adequate protection of key wintering sites </c:v>
                </c:pt>
                <c:pt idx="5">
                  <c:v>Filling key knowledge gaps</c:v>
                </c:pt>
                <c:pt idx="6">
                  <c:v>Increased public awareness</c:v>
                </c:pt>
                <c:pt idx="7">
                  <c:v>Funding secured/increased  </c:v>
                </c:pt>
                <c:pt idx="8">
                  <c:v>Compensation schemes</c:v>
                </c:pt>
                <c:pt idx="9">
                  <c:v>Establishment of local initiatives </c:v>
                </c:pt>
                <c:pt idx="10">
                  <c:v>Successful coordination/cooperation </c:v>
                </c:pt>
              </c:strCache>
            </c:strRef>
          </c:cat>
          <c:val>
            <c:numRef>
              <c:f>Sheet1!$B$20:$B$30</c:f>
              <c:numCache>
                <c:formatCode>General</c:formatCode>
                <c:ptCount val="11"/>
                <c:pt idx="0">
                  <c:v>1</c:v>
                </c:pt>
                <c:pt idx="1">
                  <c:v>1</c:v>
                </c:pt>
                <c:pt idx="2">
                  <c:v>1</c:v>
                </c:pt>
                <c:pt idx="3">
                  <c:v>1</c:v>
                </c:pt>
                <c:pt idx="4">
                  <c:v>1</c:v>
                </c:pt>
                <c:pt idx="5">
                  <c:v>1</c:v>
                </c:pt>
                <c:pt idx="6">
                  <c:v>1</c:v>
                </c:pt>
                <c:pt idx="7">
                  <c:v>1</c:v>
                </c:pt>
                <c:pt idx="8">
                  <c:v>1</c:v>
                </c:pt>
                <c:pt idx="9">
                  <c:v>1</c:v>
                </c:pt>
                <c:pt idx="10">
                  <c:v>2</c:v>
                </c:pt>
              </c:numCache>
            </c:numRef>
          </c:val>
        </c:ser>
        <c:dLbls>
          <c:showLegendKey val="0"/>
          <c:showVal val="0"/>
          <c:showCatName val="0"/>
          <c:showSerName val="0"/>
          <c:showPercent val="0"/>
          <c:showBubbleSize val="0"/>
        </c:dLbls>
        <c:gapWidth val="182"/>
        <c:axId val="474723200"/>
        <c:axId val="474723760"/>
      </c:barChart>
      <c:catAx>
        <c:axId val="47472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723760"/>
        <c:crosses val="autoZero"/>
        <c:auto val="1"/>
        <c:lblAlgn val="ctr"/>
        <c:lblOffset val="100"/>
        <c:noMultiLvlLbl val="0"/>
      </c:catAx>
      <c:valAx>
        <c:axId val="474723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72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 entravant la mise en oeuvre</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Sheet1!$A$32:$A$35</c:f>
              <c:strCache>
                <c:ptCount val="4"/>
                <c:pt idx="0">
                  <c:v>Cultural differences </c:v>
                </c:pt>
                <c:pt idx="1">
                  <c:v>Decreasing wintering sites</c:v>
                </c:pt>
                <c:pt idx="2">
                  <c:v>Scientific knowledge challenged </c:v>
                </c:pt>
                <c:pt idx="3">
                  <c:v>Lack of hunting regulation </c:v>
                </c:pt>
              </c:strCache>
            </c:strRef>
          </c:cat>
          <c:val>
            <c:numRef>
              <c:f>Sheet1!$B$32:$B$35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82"/>
        <c:axId val="474726000"/>
        <c:axId val="474726560"/>
      </c:barChart>
      <c:catAx>
        <c:axId val="474726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726560"/>
        <c:crosses val="autoZero"/>
        <c:auto val="1"/>
        <c:lblAlgn val="ctr"/>
        <c:lblOffset val="100"/>
        <c:noMultiLvlLbl val="0"/>
      </c:catAx>
      <c:valAx>
        <c:axId val="47472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72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plans d’action adopté</a:t>
            </a:r>
          </a:p>
        </c:rich>
      </c:tx>
      <c:layout/>
      <c:overlay val="0"/>
      <c:spPr>
        <a:noFill/>
        <a:ln>
          <a:noFill/>
        </a:ln>
        <a:effectLst/>
      </c:spPr>
    </c:title>
    <c:autoTitleDeleted val="0"/>
    <c:plotArea>
      <c:layout/>
      <c:pieChart>
        <c:varyColors val="1"/>
        <c:ser>
          <c:idx val="0"/>
          <c:order val="0"/>
          <c:tx>
            <c:strRef>
              <c:f>Sheet1!$A$22</c:f>
              <c:strCache>
                <c:ptCount val="1"/>
                <c:pt idx="0">
                  <c:v>National Action Plan adopted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Sheet1!$B$21:$C$21</c:f>
              <c:strCache>
                <c:ptCount val="2"/>
                <c:pt idx="0">
                  <c:v>No</c:v>
                </c:pt>
                <c:pt idx="1">
                  <c:v>No information</c:v>
                </c:pt>
              </c:strCache>
            </c:strRef>
          </c:cat>
          <c:val>
            <c:numRef>
              <c:f>Sheet1!$B$22:$C$22</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plans </a:t>
            </a:r>
            <a:r>
              <a:rPr lang="nl-NL" sz="1100" b="1" i="0" u="none" strike="noStrike" kern="1200" cap="all" spc="50" baseline="0">
                <a:solidFill>
                  <a:sysClr val="windowText" lastClr="000000">
                    <a:lumMod val="65000"/>
                    <a:lumOff val="35000"/>
                  </a:sysClr>
                </a:solidFill>
                <a:latin typeface="+mn-lt"/>
                <a:ea typeface="+mn-ea"/>
                <a:cs typeface="+mn-cs"/>
              </a:rPr>
              <a:t>d’action</a:t>
            </a:r>
            <a:r>
              <a:rPr lang="nl-NL"/>
              <a:t> nationaux adoptés pour l'ibis</a:t>
            </a:r>
            <a:r>
              <a:rPr lang="nl-NL" baseline="0"/>
              <a:t> chauve</a:t>
            </a:r>
          </a:p>
        </c:rich>
      </c:tx>
      <c:layout/>
      <c:overlay val="0"/>
      <c:spPr>
        <a:noFill/>
        <a:ln>
          <a:noFill/>
        </a:ln>
        <a:effectLst/>
      </c:spPr>
    </c:title>
    <c:autoTitleDeleted val="0"/>
    <c:plotArea>
      <c:layout/>
      <c:pieChart>
        <c:varyColors val="1"/>
        <c:ser>
          <c:idx val="0"/>
          <c:order val="0"/>
          <c:tx>
            <c:strRef>
              <c:f>Sheet1!$A$2</c:f>
              <c:strCache>
                <c:ptCount val="1"/>
                <c:pt idx="0">
                  <c:v>National Action Plans adopted for the NBI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Sheet1!$B$1:$C$1</c:f>
              <c:strCache>
                <c:ptCount val="2"/>
                <c:pt idx="0">
                  <c:v>Yes</c:v>
                </c:pt>
                <c:pt idx="1">
                  <c:v>No</c:v>
                </c:pt>
              </c:strCache>
            </c:strRef>
          </c:cat>
          <c:val>
            <c:numRef>
              <c:f>Sheet1!$B$2:$C$2</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groupe de travail national établi </a:t>
            </a:r>
          </a:p>
        </c:rich>
      </c:tx>
      <c:layout/>
      <c:overlay val="0"/>
      <c:spPr>
        <a:noFill/>
        <a:ln>
          <a:noFill/>
        </a:ln>
        <a:effectLst/>
      </c:spPr>
    </c:title>
    <c:autoTitleDeleted val="0"/>
    <c:plotArea>
      <c:layout/>
      <c:pieChart>
        <c:varyColors val="1"/>
        <c:ser>
          <c:idx val="0"/>
          <c:order val="0"/>
          <c:tx>
            <c:strRef>
              <c:f>Sheet1!$A$25</c:f>
              <c:strCache>
                <c:ptCount val="1"/>
                <c:pt idx="0">
                  <c:v>National Working Group established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Sheet1!$B$24:$D$24</c:f>
              <c:strCache>
                <c:ptCount val="3"/>
                <c:pt idx="0">
                  <c:v>Yes</c:v>
                </c:pt>
                <c:pt idx="1">
                  <c:v>No</c:v>
                </c:pt>
                <c:pt idx="2">
                  <c:v>No information</c:v>
                </c:pt>
              </c:strCache>
            </c:strRef>
          </c:cat>
          <c:val>
            <c:numRef>
              <c:f>Sheet1!$B$25:$D$25</c:f>
              <c:numCache>
                <c:formatCode>General</c:formatCode>
                <c:ptCount val="3"/>
                <c:pt idx="0">
                  <c:v>1</c:v>
                </c:pt>
                <c:pt idx="1">
                  <c:v>2</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 Recherches entreprises pour Évaluer les facteurs</a:t>
            </a:r>
            <a:r>
              <a:rPr lang="en-US" sz="1100" b="1" i="0" u="none" strike="noStrike" kern="1200" cap="all" spc="50" baseline="0">
                <a:solidFill>
                  <a:sysClr val="windowText" lastClr="000000">
                    <a:lumMod val="65000"/>
                    <a:lumOff val="35000"/>
                  </a:sysClr>
                </a:solidFill>
                <a:latin typeface="+mn-lt"/>
                <a:ea typeface="+mn-ea"/>
                <a:cs typeface="+mn-cs"/>
              </a:rPr>
              <a:t> </a:t>
            </a:r>
            <a:r>
              <a:rPr lang="en-US"/>
              <a:t>influant sur l'oie rieuse du groenland</a:t>
            </a:r>
          </a:p>
        </c:rich>
      </c:tx>
      <c:layout/>
      <c:overlay val="0"/>
      <c:spPr>
        <a:noFill/>
        <a:ln>
          <a:noFill/>
        </a:ln>
        <a:effectLst/>
      </c:spPr>
    </c:title>
    <c:autoTitleDeleted val="0"/>
    <c:plotArea>
      <c:layout/>
      <c:pieChart>
        <c:varyColors val="1"/>
        <c:ser>
          <c:idx val="0"/>
          <c:order val="0"/>
          <c:tx>
            <c:strRef>
              <c:f>Sheet1!$A$30</c:f>
              <c:strCache>
                <c:ptCount val="1"/>
                <c:pt idx="0">
                  <c:v> Research undertaken to assess factors impacting GWfG</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Sheet1!$B$29:$E$29</c:f>
              <c:strCache>
                <c:ptCount val="4"/>
                <c:pt idx="0">
                  <c:v>Yes</c:v>
                </c:pt>
                <c:pt idx="1">
                  <c:v>No</c:v>
                </c:pt>
                <c:pt idx="2">
                  <c:v>Partially</c:v>
                </c:pt>
                <c:pt idx="3">
                  <c:v>No information</c:v>
                </c:pt>
              </c:strCache>
            </c:strRef>
          </c:cat>
          <c:val>
            <c:numRef>
              <c:f>Sheet1!$B$30:$E$30</c:f>
              <c:numCache>
                <c:formatCode>General</c:formatCode>
                <c:ptCount val="4"/>
                <c:pt idx="2">
                  <c:v>3</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surveillance de la distribution</a:t>
            </a:r>
            <a:r>
              <a:rPr lang="en-US" sz="1100" b="1" i="0" u="none" strike="noStrike" kern="1200" cap="all" spc="50" baseline="0">
                <a:solidFill>
                  <a:sysClr val="windowText" lastClr="000000">
                    <a:lumMod val="65000"/>
                    <a:lumOff val="35000"/>
                  </a:sysClr>
                </a:solidFill>
                <a:latin typeface="+mn-lt"/>
                <a:ea typeface="+mn-ea"/>
                <a:cs typeface="+mn-cs"/>
              </a:rPr>
              <a:t> </a:t>
            </a:r>
            <a:r>
              <a:rPr lang="en-US" sz="1100"/>
              <a:t>et des effectifs de la population</a:t>
            </a:r>
            <a:r>
              <a:rPr lang="en-US" sz="1100" b="1" i="0" u="none" strike="noStrike" kern="1200" cap="all" spc="50" baseline="0">
                <a:solidFill>
                  <a:sysClr val="windowText" lastClr="000000">
                    <a:lumMod val="65000"/>
                    <a:lumOff val="35000"/>
                  </a:sysClr>
                </a:solidFill>
                <a:latin typeface="+mn-lt"/>
                <a:ea typeface="+mn-ea"/>
                <a:cs typeface="+mn-cs"/>
              </a:rPr>
              <a:t> </a:t>
            </a:r>
            <a:r>
              <a:rPr lang="en-US" sz="1100"/>
              <a:t>du</a:t>
            </a:r>
            <a:r>
              <a:rPr lang="en-US" sz="1100" b="1" i="0" u="none" strike="noStrike" kern="1200" cap="all" spc="50" baseline="0">
                <a:solidFill>
                  <a:sysClr val="windowText" lastClr="000000">
                    <a:lumMod val="65000"/>
                    <a:lumOff val="35000"/>
                  </a:sysClr>
                </a:solidFill>
                <a:latin typeface="+mn-lt"/>
                <a:ea typeface="+mn-ea"/>
                <a:cs typeface="+mn-cs"/>
              </a:rPr>
              <a:t> </a:t>
            </a:r>
            <a:r>
              <a:rPr lang="en-US" sz="1100"/>
              <a:t>Groenland</a:t>
            </a:r>
          </a:p>
          <a:p>
            <a:pPr>
              <a:defRPr sz="1100" b="1" i="0" u="none" strike="noStrike" kern="1200" cap="all" spc="50" baseline="0">
                <a:solidFill>
                  <a:schemeClr val="tx1">
                    <a:lumMod val="65000"/>
                    <a:lumOff val="35000"/>
                  </a:schemeClr>
                </a:solidFill>
                <a:latin typeface="+mn-lt"/>
                <a:ea typeface="+mn-ea"/>
                <a:cs typeface="+mn-cs"/>
              </a:defRPr>
            </a:pPr>
            <a:r>
              <a:rPr lang="en-US" sz="1100"/>
              <a:t> </a:t>
            </a:r>
          </a:p>
        </c:rich>
      </c:tx>
      <c:layout/>
      <c:overlay val="0"/>
      <c:spPr>
        <a:noFill/>
        <a:ln>
          <a:noFill/>
        </a:ln>
        <a:effectLst/>
      </c:spPr>
    </c:title>
    <c:autoTitleDeleted val="0"/>
    <c:plotArea>
      <c:layout/>
      <c:pieChart>
        <c:varyColors val="1"/>
        <c:ser>
          <c:idx val="0"/>
          <c:order val="0"/>
          <c:tx>
            <c:strRef>
              <c:f>Sheet1!$A$32</c:f>
              <c:strCache>
                <c:ptCount val="1"/>
                <c:pt idx="0">
                  <c:v>Has there been monitoring of distribution and numbers of the population in Greenland?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Sheet1!$B$31:$E$31</c:f>
              <c:strCache>
                <c:ptCount val="4"/>
                <c:pt idx="0">
                  <c:v>Yes</c:v>
                </c:pt>
                <c:pt idx="1">
                  <c:v>No</c:v>
                </c:pt>
                <c:pt idx="2">
                  <c:v>Partially</c:v>
                </c:pt>
                <c:pt idx="3">
                  <c:v>No information</c:v>
                </c:pt>
              </c:strCache>
            </c:strRef>
          </c:cat>
          <c:val>
            <c:numRef>
              <c:f>Sheet1!$B$32:$E$32</c:f>
              <c:numCache>
                <c:formatCode>General</c:formatCode>
                <c:ptCount val="4"/>
                <c:pt idx="2">
                  <c:v>3</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soutenir le maintien du modèle</a:t>
            </a:r>
            <a:r>
              <a:rPr lang="en-US" sz="1100" b="1" i="0" u="none" strike="noStrike" kern="1200" cap="all" spc="50" baseline="0">
                <a:solidFill>
                  <a:sysClr val="windowText" lastClr="000000">
                    <a:lumMod val="65000"/>
                    <a:lumOff val="35000"/>
                  </a:sysClr>
                </a:solidFill>
                <a:latin typeface="+mn-lt"/>
                <a:ea typeface="+mn-ea"/>
                <a:cs typeface="+mn-cs"/>
              </a:rPr>
              <a:t> </a:t>
            </a:r>
            <a:r>
              <a:rPr lang="en-US" sz="1100"/>
              <a:t>international de population</a:t>
            </a:r>
          </a:p>
        </c:rich>
      </c:tx>
      <c:layout/>
      <c:overlay val="0"/>
      <c:spPr>
        <a:noFill/>
        <a:ln>
          <a:noFill/>
        </a:ln>
        <a:effectLst/>
      </c:spPr>
    </c:title>
    <c:autoTitleDeleted val="0"/>
    <c:plotArea>
      <c:layout/>
      <c:pieChart>
        <c:varyColors val="1"/>
        <c:ser>
          <c:idx val="0"/>
          <c:order val="0"/>
          <c:tx>
            <c:strRef>
              <c:f>Sheet1!$A$46</c:f>
              <c:strCache>
                <c:ptCount val="1"/>
                <c:pt idx="0">
                  <c:v>support maintenance international population model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Sheet1!$B$45:$C$45</c:f>
              <c:strCache>
                <c:ptCount val="2"/>
                <c:pt idx="0">
                  <c:v>Yes</c:v>
                </c:pt>
                <c:pt idx="1">
                  <c:v>No information</c:v>
                </c:pt>
              </c:strCache>
            </c:strRef>
          </c:cat>
          <c:val>
            <c:numRef>
              <c:f>Sheet1!$B$46:$C$46</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surveillance des taux de survie et de productivité</a:t>
            </a:r>
          </a:p>
        </c:rich>
      </c:tx>
      <c:layout/>
      <c:overlay val="0"/>
      <c:spPr>
        <a:noFill/>
        <a:ln>
          <a:noFill/>
        </a:ln>
        <a:effectLst/>
      </c:spPr>
    </c:title>
    <c:autoTitleDeleted val="0"/>
    <c:plotArea>
      <c:layout/>
      <c:pieChart>
        <c:varyColors val="1"/>
        <c:ser>
          <c:idx val="0"/>
          <c:order val="0"/>
          <c:tx>
            <c:strRef>
              <c:f>Sheet1!$A$49</c:f>
              <c:strCache>
                <c:ptCount val="1"/>
                <c:pt idx="0">
                  <c:v>monitoring of survival rates and productivity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Sheet1!$B$48:$C$48</c:f>
              <c:strCache>
                <c:ptCount val="2"/>
                <c:pt idx="0">
                  <c:v>Yes</c:v>
                </c:pt>
                <c:pt idx="1">
                  <c:v>No information</c:v>
                </c:pt>
              </c:strCache>
            </c:strRef>
          </c:cat>
          <c:val>
            <c:numRef>
              <c:f>Sheet1!$B$49:$C$49</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maintien du recensement international</a:t>
            </a:r>
            <a:r>
              <a:rPr lang="en-US" sz="1100" b="1" i="0" u="none" strike="noStrike" kern="1200" cap="all" spc="50" baseline="0">
                <a:solidFill>
                  <a:sysClr val="windowText" lastClr="000000">
                    <a:lumMod val="65000"/>
                    <a:lumOff val="35000"/>
                  </a:sysClr>
                </a:solidFill>
                <a:latin typeface="+mn-lt"/>
                <a:ea typeface="+mn-ea"/>
                <a:cs typeface="+mn-cs"/>
              </a:rPr>
              <a:t> </a:t>
            </a:r>
            <a:r>
              <a:rPr lang="en-US"/>
              <a:t>d'hiver deux fois par an</a:t>
            </a:r>
          </a:p>
        </c:rich>
      </c:tx>
      <c:layout/>
      <c:overlay val="0"/>
      <c:spPr>
        <a:noFill/>
        <a:ln>
          <a:noFill/>
        </a:ln>
        <a:effectLst/>
      </c:spPr>
    </c:title>
    <c:autoTitleDeleted val="0"/>
    <c:plotArea>
      <c:layout/>
      <c:pieChart>
        <c:varyColors val="1"/>
        <c:ser>
          <c:idx val="0"/>
          <c:order val="0"/>
          <c:tx>
            <c:strRef>
              <c:f>Sheet1!$A$52</c:f>
              <c:strCache>
                <c:ptCount val="1"/>
                <c:pt idx="0">
                  <c:v>maintain the twice-annual international winter census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Sheet1!$B$51:$C$51</c:f>
              <c:strCache>
                <c:ptCount val="2"/>
                <c:pt idx="0">
                  <c:v>yes</c:v>
                </c:pt>
                <c:pt idx="1">
                  <c:v>No</c:v>
                </c:pt>
              </c:strCache>
            </c:strRef>
          </c:cat>
          <c:val>
            <c:numRef>
              <c:f>Sheet1!$B$52:$C$52</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études des sites de halte et de reproduction pour identifier d'autres sites clés</a:t>
            </a:r>
          </a:p>
        </c:rich>
      </c:tx>
      <c:layout/>
      <c:overlay val="0"/>
      <c:spPr>
        <a:noFill/>
        <a:ln>
          <a:noFill/>
        </a:ln>
        <a:effectLst/>
      </c:spPr>
    </c:title>
    <c:autoTitleDeleted val="0"/>
    <c:plotArea>
      <c:layout/>
      <c:pieChart>
        <c:varyColors val="1"/>
        <c:ser>
          <c:idx val="0"/>
          <c:order val="0"/>
          <c:tx>
            <c:strRef>
              <c:f>Sheet1!$A$55</c:f>
              <c:strCache>
                <c:ptCount val="1"/>
                <c:pt idx="0">
                  <c:v>Surveys of staging and breeding areas to identify further key sites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Sheet1!$B$54:$C$54</c:f>
              <c:strCache>
                <c:ptCount val="2"/>
                <c:pt idx="0">
                  <c:v>Yes</c:v>
                </c:pt>
                <c:pt idx="1">
                  <c:v>No</c:v>
                </c:pt>
              </c:strCache>
            </c:strRef>
          </c:cat>
          <c:val>
            <c:numRef>
              <c:f>Sheet1!$B$55:$C$55</c:f>
              <c:numCache>
                <c:formatCode>General</c:formatCode>
                <c:ptCount val="2"/>
                <c:pt idx="0">
                  <c:v>1</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maintien des inventaires nationaux des sites importants</a:t>
            </a:r>
          </a:p>
        </c:rich>
      </c:tx>
      <c:layout/>
      <c:overlay val="0"/>
      <c:spPr>
        <a:noFill/>
        <a:ln>
          <a:noFill/>
        </a:ln>
        <a:effectLst/>
      </c:spPr>
    </c:title>
    <c:autoTitleDeleted val="0"/>
    <c:plotArea>
      <c:layout/>
      <c:pieChart>
        <c:varyColors val="1"/>
        <c:ser>
          <c:idx val="0"/>
          <c:order val="0"/>
          <c:tx>
            <c:strRef>
              <c:f>Sheet1!$A$61</c:f>
              <c:strCache>
                <c:ptCount val="1"/>
                <c:pt idx="0">
                  <c:v>National inventories of important sites maintained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Sheet1!$B$60:$C$60</c:f>
              <c:strCache>
                <c:ptCount val="2"/>
                <c:pt idx="0">
                  <c:v>Yes</c:v>
                </c:pt>
                <c:pt idx="1">
                  <c:v>No information</c:v>
                </c:pt>
              </c:strCache>
            </c:strRef>
          </c:cat>
          <c:val>
            <c:numRef>
              <c:f>Sheet1!$B$61:$C$61</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Recherches/surveillance sur les maladies et les effets de la pollution</a:t>
            </a:r>
          </a:p>
        </c:rich>
      </c:tx>
      <c:layout/>
      <c:overlay val="0"/>
      <c:spPr>
        <a:noFill/>
        <a:ln>
          <a:noFill/>
        </a:ln>
        <a:effectLst/>
      </c:spPr>
    </c:title>
    <c:autoTitleDeleted val="0"/>
    <c:plotArea>
      <c:layout/>
      <c:pieChart>
        <c:varyColors val="1"/>
        <c:ser>
          <c:idx val="0"/>
          <c:order val="0"/>
          <c:tx>
            <c:strRef>
              <c:f>Sheet1!$A$64</c:f>
              <c:strCache>
                <c:ptCount val="1"/>
                <c:pt idx="0">
                  <c:v>Research/monitoring  on disease and effects of pollution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Sheet1!$B$63:$C$63</c:f>
              <c:strCache>
                <c:ptCount val="2"/>
                <c:pt idx="0">
                  <c:v>Partially</c:v>
                </c:pt>
                <c:pt idx="1">
                  <c:v>No information</c:v>
                </c:pt>
              </c:strCache>
            </c:strRef>
          </c:cat>
          <c:val>
            <c:numRef>
              <c:f>Sheet1!$B$64:$C$64</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crÉation de zones refuges sans perturbations</a:t>
            </a:r>
          </a:p>
        </c:rich>
      </c:tx>
      <c:layout/>
      <c:overlay val="0"/>
      <c:spPr>
        <a:noFill/>
        <a:ln>
          <a:noFill/>
        </a:ln>
        <a:effectLst/>
      </c:spPr>
    </c:title>
    <c:autoTitleDeleted val="0"/>
    <c:plotArea>
      <c:layout/>
      <c:pieChart>
        <c:varyColors val="1"/>
        <c:ser>
          <c:idx val="0"/>
          <c:order val="0"/>
          <c:tx>
            <c:strRef>
              <c:f>Sheet1!$A$67</c:f>
              <c:strCache>
                <c:ptCount val="1"/>
                <c:pt idx="0">
                  <c:v>creation of disturbance-free refuge zones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Sheet1!$B$66:$D$66</c:f>
              <c:strCache>
                <c:ptCount val="3"/>
                <c:pt idx="0">
                  <c:v>Yes</c:v>
                </c:pt>
                <c:pt idx="1">
                  <c:v>No</c:v>
                </c:pt>
                <c:pt idx="2">
                  <c:v>No information</c:v>
                </c:pt>
              </c:strCache>
            </c:strRef>
          </c:cat>
          <c:val>
            <c:numRef>
              <c:f>Sheet1!$B$67:$D$67</c:f>
              <c:numCache>
                <c:formatCode>General</c:formatCode>
                <c:ptCount val="3"/>
                <c:pt idx="0">
                  <c:v>2</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100"/>
              <a:t>groupe de travail national établi pour l'ibis chauve</a:t>
            </a:r>
          </a:p>
        </c:rich>
      </c:tx>
      <c:layout/>
      <c:overlay val="0"/>
      <c:spPr>
        <a:noFill/>
        <a:ln>
          <a:noFill/>
        </a:ln>
        <a:effectLst/>
      </c:spPr>
    </c:title>
    <c:autoTitleDeleted val="0"/>
    <c:plotArea>
      <c:layout/>
      <c:pieChart>
        <c:varyColors val="1"/>
        <c:ser>
          <c:idx val="0"/>
          <c:order val="0"/>
          <c:tx>
            <c:strRef>
              <c:f>Sheet1!$A$5</c:f>
              <c:strCache>
                <c:ptCount val="1"/>
                <c:pt idx="0">
                  <c:v>National Working Group established for the NBI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Sheet1!$B$4:$C$4</c:f>
              <c:strCache>
                <c:ptCount val="2"/>
                <c:pt idx="0">
                  <c:v>Yes</c:v>
                </c:pt>
                <c:pt idx="1">
                  <c:v>No</c:v>
                </c:pt>
              </c:strCache>
            </c:strRef>
          </c:cat>
          <c:val>
            <c:numRef>
              <c:f>Sheet1!$B$5:$C$5</c:f>
              <c:numCache>
                <c:formatCode>General</c:formatCode>
                <c:ptCount val="2"/>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stratégies pour effaroucher les oiseaux et les éloigner des terres agricoles sensibles, y compris zones refuges sans perturbations</a:t>
            </a:r>
          </a:p>
        </c:rich>
      </c:tx>
      <c:layout>
        <c:manualLayout>
          <c:xMode val="edge"/>
          <c:yMode val="edge"/>
          <c:x val="0.16021243988796702"/>
          <c:y val="1.7094017094017096E-2"/>
        </c:manualLayout>
      </c:layout>
      <c:overlay val="0"/>
      <c:spPr>
        <a:noFill/>
        <a:ln>
          <a:noFill/>
        </a:ln>
        <a:effectLst/>
      </c:spPr>
    </c:title>
    <c:autoTitleDeleted val="0"/>
    <c:plotArea>
      <c:layout/>
      <c:pieChart>
        <c:varyColors val="1"/>
        <c:ser>
          <c:idx val="0"/>
          <c:order val="0"/>
          <c:tx>
            <c:strRef>
              <c:f>Sheet1!$A$70</c:f>
              <c:strCache>
                <c:ptCount val="1"/>
                <c:pt idx="0">
                  <c:v>strategies to scare birds from sensitive farmland include disturbance-free refuges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Sheet1!$B$69:$C$69</c:f>
              <c:strCache>
                <c:ptCount val="2"/>
                <c:pt idx="0">
                  <c:v>Yes</c:v>
                </c:pt>
                <c:pt idx="1">
                  <c:v>No</c:v>
                </c:pt>
              </c:strCache>
            </c:strRef>
          </c:cat>
          <c:val>
            <c:numRef>
              <c:f>Sheet1!$B$70:$C$70</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production et diffusion de DOCUMENTS D'INFORMATION sur LEs dommages aUX RECOLTES</a:t>
            </a:r>
          </a:p>
        </c:rich>
      </c:tx>
      <c:layout>
        <c:manualLayout>
          <c:xMode val="edge"/>
          <c:yMode val="edge"/>
          <c:x val="0.12279163774493203"/>
          <c:y val="3.5398230088495575E-2"/>
        </c:manualLayout>
      </c:layout>
      <c:overlay val="0"/>
      <c:spPr>
        <a:noFill/>
        <a:ln>
          <a:noFill/>
        </a:ln>
        <a:effectLst/>
      </c:spPr>
    </c:title>
    <c:autoTitleDeleted val="0"/>
    <c:plotArea>
      <c:layout/>
      <c:pieChart>
        <c:varyColors val="1"/>
        <c:ser>
          <c:idx val="0"/>
          <c:order val="0"/>
          <c:tx>
            <c:strRef>
              <c:f>Sheet1!$A$74</c:f>
              <c:strCache>
                <c:ptCount val="1"/>
                <c:pt idx="0">
                  <c:v>Advisory materials on crop damage produced and disseminated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Sheet1!$B$73:$C$73</c:f>
              <c:strCache>
                <c:ptCount val="2"/>
                <c:pt idx="0">
                  <c:v>Yes</c:v>
                </c:pt>
                <c:pt idx="1">
                  <c:v>No</c:v>
                </c:pt>
              </c:strCache>
            </c:strRef>
          </c:cat>
          <c:val>
            <c:numRef>
              <c:f>Sheet1!$B$74:$C$74</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TRAVAIL EN COOPÉRATION AVEC LES COMMUNAUTÉS AGRICOLES POUR RÉDUIRE LES PROBLÈMES</a:t>
            </a:r>
            <a:r>
              <a:rPr lang="en-US" sz="1100" b="1" i="0" u="none" strike="noStrike" kern="1200" cap="all" spc="50" baseline="0">
                <a:solidFill>
                  <a:sysClr val="windowText" lastClr="000000">
                    <a:lumMod val="65000"/>
                    <a:lumOff val="35000"/>
                  </a:sysClr>
                </a:solidFill>
                <a:latin typeface="+mn-lt"/>
                <a:ea typeface="+mn-ea"/>
                <a:cs typeface="+mn-cs"/>
              </a:rPr>
              <a:t> </a:t>
            </a:r>
            <a:r>
              <a:rPr lang="en-US"/>
              <a:t>DE DOMMAGES AUX RÉCOLTES</a:t>
            </a:r>
          </a:p>
        </c:rich>
      </c:tx>
      <c:layout/>
      <c:overlay val="0"/>
      <c:spPr>
        <a:noFill/>
        <a:ln>
          <a:noFill/>
        </a:ln>
        <a:effectLst/>
      </c:spPr>
    </c:title>
    <c:autoTitleDeleted val="0"/>
    <c:plotArea>
      <c:layout/>
      <c:pieChart>
        <c:varyColors val="1"/>
        <c:ser>
          <c:idx val="0"/>
          <c:order val="0"/>
          <c:tx>
            <c:strRef>
              <c:f>Sheet1!$A$78</c:f>
              <c:strCache>
                <c:ptCount val="1"/>
                <c:pt idx="0">
                  <c:v>Work with farming communities to alleviate crop-damage problems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Sheet1!$B$77:$C$77</c:f>
              <c:strCache>
                <c:ptCount val="2"/>
                <c:pt idx="0">
                  <c:v>No</c:v>
                </c:pt>
                <c:pt idx="1">
                  <c:v>Partially</c:v>
                </c:pt>
              </c:strCache>
            </c:strRef>
          </c:cat>
          <c:val>
            <c:numRef>
              <c:f>Sheet1!$B$78:$C$78</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Principales activités favorisant la mise en oeuvre</a:t>
            </a:r>
            <a:r>
              <a:rPr lang="en-US"/>
              <a:t> </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[gwfg_issap_review.xlsx]Sheet1!$A$1:$A$8</c:f>
              <c:strCache>
                <c:ptCount val="8"/>
                <c:pt idx="0">
                  <c:v>International actions </c:v>
                </c:pt>
                <c:pt idx="1">
                  <c:v>Successful coordination/cooperation </c:v>
                </c:pt>
                <c:pt idx="2">
                  <c:v>NGO actions </c:v>
                </c:pt>
                <c:pt idx="3">
                  <c:v>Identification of key sites</c:v>
                </c:pt>
                <c:pt idx="4">
                  <c:v>Monitoring scheme</c:v>
                </c:pt>
                <c:pt idx="5">
                  <c:v>Increased public awareness</c:v>
                </c:pt>
                <c:pt idx="6">
                  <c:v>Key knowledge gaps filled</c:v>
                </c:pt>
                <c:pt idx="7">
                  <c:v>Implementation of conservation schemes/NSSAP</c:v>
                </c:pt>
              </c:strCache>
            </c:strRef>
          </c:cat>
          <c:val>
            <c:numRef>
              <c:f>[gwfg_issap_review.xlsx]Sheet1!$B$1:$B$8</c:f>
              <c:numCache>
                <c:formatCode>General</c:formatCode>
                <c:ptCount val="8"/>
                <c:pt idx="0">
                  <c:v>1</c:v>
                </c:pt>
                <c:pt idx="1">
                  <c:v>1</c:v>
                </c:pt>
                <c:pt idx="2">
                  <c:v>1</c:v>
                </c:pt>
                <c:pt idx="3">
                  <c:v>1</c:v>
                </c:pt>
                <c:pt idx="4">
                  <c:v>1</c:v>
                </c:pt>
                <c:pt idx="5">
                  <c:v>1</c:v>
                </c:pt>
                <c:pt idx="6">
                  <c:v>1</c:v>
                </c:pt>
                <c:pt idx="7">
                  <c:v>2</c:v>
                </c:pt>
              </c:numCache>
            </c:numRef>
          </c:val>
        </c:ser>
        <c:dLbls>
          <c:showLegendKey val="0"/>
          <c:showVal val="0"/>
          <c:showCatName val="0"/>
          <c:showSerName val="0"/>
          <c:showPercent val="0"/>
          <c:showBubbleSize val="0"/>
        </c:dLbls>
        <c:gapWidth val="182"/>
        <c:axId val="476342384"/>
        <c:axId val="476342944"/>
      </c:barChart>
      <c:catAx>
        <c:axId val="47634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342944"/>
        <c:crosses val="autoZero"/>
        <c:auto val="1"/>
        <c:lblAlgn val="ctr"/>
        <c:lblOffset val="100"/>
        <c:noMultiLvlLbl val="0"/>
      </c:catAx>
      <c:valAx>
        <c:axId val="476342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34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 entravant la mise en oeuvre</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[gwfg_issap_review.xlsx]Sheet1!$A$10:$A$14</c:f>
              <c:strCache>
                <c:ptCount val="5"/>
                <c:pt idx="0">
                  <c:v>Lack of financial capacity </c:v>
                </c:pt>
                <c:pt idx="1">
                  <c:v>Decreasing policy focus</c:v>
                </c:pt>
                <c:pt idx="2">
                  <c:v>Lack of time</c:v>
                </c:pt>
                <c:pt idx="3">
                  <c:v>Lack of management </c:v>
                </c:pt>
                <c:pt idx="4">
                  <c:v>Lack of research</c:v>
                </c:pt>
              </c:strCache>
            </c:strRef>
          </c:cat>
          <c:val>
            <c:numRef>
              <c:f>[gwfg_issap_review.xlsx]Sheet1!$B$10:$B$14</c:f>
              <c:numCache>
                <c:formatCode>General</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82"/>
        <c:axId val="476345184"/>
        <c:axId val="476345744"/>
      </c:barChart>
      <c:catAx>
        <c:axId val="47634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345744"/>
        <c:crosses val="autoZero"/>
        <c:auto val="1"/>
        <c:lblAlgn val="ctr"/>
        <c:lblOffset val="100"/>
        <c:noMultiLvlLbl val="0"/>
      </c:catAx>
      <c:valAx>
        <c:axId val="476345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34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Tendance à court terme</a:t>
            </a:r>
          </a:p>
          <a:p>
            <a:pPr>
              <a:defRPr sz="1100" b="1" i="0" u="none" strike="noStrike" kern="1200" cap="all" spc="50" baseline="0">
                <a:solidFill>
                  <a:schemeClr val="tx1">
                    <a:lumMod val="65000"/>
                    <a:lumOff val="35000"/>
                  </a:schemeClr>
                </a:solidFill>
                <a:latin typeface="+mn-lt"/>
                <a:ea typeface="+mn-ea"/>
                <a:cs typeface="+mn-cs"/>
              </a:defRPr>
            </a:pPr>
            <a:r>
              <a:rPr lang="en-US"/>
              <a:t>OIE NAINE</a:t>
            </a:r>
          </a:p>
        </c:rich>
      </c:tx>
      <c:layout/>
      <c:overlay val="0"/>
      <c:spPr>
        <a:noFill/>
        <a:ln>
          <a:noFill/>
        </a:ln>
        <a:effectLst/>
      </c:spPr>
    </c:title>
    <c:autoTitleDeleted val="0"/>
    <c:plotArea>
      <c:layout/>
      <c:pieChart>
        <c:varyColors val="1"/>
        <c:ser>
          <c:idx val="0"/>
          <c:order val="0"/>
          <c:tx>
            <c:strRef>
              <c:f>Sheet1!$A$34</c:f>
              <c:strCache>
                <c:ptCount val="1"/>
                <c:pt idx="0">
                  <c:v>LWfG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Sheet1!$B$33:$F$33</c:f>
              <c:strCache>
                <c:ptCount val="5"/>
                <c:pt idx="0">
                  <c:v>stable</c:v>
                </c:pt>
                <c:pt idx="1">
                  <c:v>increasing</c:v>
                </c:pt>
                <c:pt idx="2">
                  <c:v>fluctuating</c:v>
                </c:pt>
                <c:pt idx="3">
                  <c:v>unknown</c:v>
                </c:pt>
                <c:pt idx="4">
                  <c:v>no information</c:v>
                </c:pt>
              </c:strCache>
            </c:strRef>
          </c:cat>
          <c:val>
            <c:numRef>
              <c:f>Sheet1!$B$34:$F$34</c:f>
              <c:numCache>
                <c:formatCode>General</c:formatCode>
                <c:ptCount val="5"/>
                <c:pt idx="0">
                  <c:v>7</c:v>
                </c:pt>
                <c:pt idx="1">
                  <c:v>4</c:v>
                </c:pt>
                <c:pt idx="2">
                  <c:v>2</c:v>
                </c:pt>
                <c:pt idx="3">
                  <c:v>2</c:v>
                </c:pt>
                <c:pt idx="4">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Tendance à LONG terme</a:t>
            </a:r>
          </a:p>
          <a:p>
            <a:pPr>
              <a:defRPr sz="1100" b="1" i="0" u="none" strike="noStrike" kern="1200" cap="all" spc="50" baseline="0">
                <a:solidFill>
                  <a:schemeClr val="tx1">
                    <a:lumMod val="65000"/>
                    <a:lumOff val="35000"/>
                  </a:schemeClr>
                </a:solidFill>
                <a:latin typeface="+mn-lt"/>
                <a:ea typeface="+mn-ea"/>
                <a:cs typeface="+mn-cs"/>
              </a:defRPr>
            </a:pPr>
            <a:r>
              <a:rPr lang="en-US"/>
              <a:t>OIE NAINE</a:t>
            </a:r>
          </a:p>
        </c:rich>
      </c:tx>
      <c:layout>
        <c:manualLayout>
          <c:xMode val="edge"/>
          <c:yMode val="edge"/>
          <c:x val="0.19141589638435461"/>
          <c:y val="3.3613445378151259E-2"/>
        </c:manualLayout>
      </c:layout>
      <c:overlay val="0"/>
      <c:spPr>
        <a:noFill/>
        <a:ln>
          <a:noFill/>
        </a:ln>
        <a:effectLst/>
      </c:spPr>
    </c:title>
    <c:autoTitleDeleted val="0"/>
    <c:plotArea>
      <c:layout/>
      <c:pieChart>
        <c:varyColors val="1"/>
        <c:ser>
          <c:idx val="0"/>
          <c:order val="0"/>
          <c:tx>
            <c:strRef>
              <c:f>Sheet1!$A$48</c:f>
              <c:strCache>
                <c:ptCount val="1"/>
                <c:pt idx="0">
                  <c:v>LWfG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Sheet1!$B$47:$G$47</c:f>
              <c:strCache>
                <c:ptCount val="6"/>
                <c:pt idx="0">
                  <c:v>decreasing</c:v>
                </c:pt>
                <c:pt idx="1">
                  <c:v>stable</c:v>
                </c:pt>
                <c:pt idx="2">
                  <c:v>increasing</c:v>
                </c:pt>
                <c:pt idx="3">
                  <c:v>fluctuating</c:v>
                </c:pt>
                <c:pt idx="4">
                  <c:v>unknown</c:v>
                </c:pt>
                <c:pt idx="5">
                  <c:v>no information</c:v>
                </c:pt>
              </c:strCache>
            </c:strRef>
          </c:cat>
          <c:val>
            <c:numRef>
              <c:f>Sheet1!$B$48:$G$48</c:f>
              <c:numCache>
                <c:formatCode>General</c:formatCode>
                <c:ptCount val="6"/>
                <c:pt idx="0">
                  <c:v>4</c:v>
                </c:pt>
                <c:pt idx="1">
                  <c:v>4</c:v>
                </c:pt>
                <c:pt idx="2">
                  <c:v>2</c:v>
                </c:pt>
                <c:pt idx="3">
                  <c:v>4</c:v>
                </c:pt>
                <c:pt idx="4">
                  <c:v>1</c:v>
                </c:pt>
                <c:pt idx="5">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plans d’action adoptés pour l'oie naine</a:t>
            </a:r>
          </a:p>
        </c:rich>
      </c:tx>
      <c:layout>
        <c:manualLayout>
          <c:xMode val="edge"/>
          <c:yMode val="edge"/>
          <c:x val="6.581642343447619E-2"/>
          <c:y val="2.976190476190476E-2"/>
        </c:manualLayout>
      </c:layout>
      <c:overlay val="0"/>
      <c:spPr>
        <a:noFill/>
        <a:ln>
          <a:noFill/>
        </a:ln>
        <a:effectLst/>
      </c:spPr>
    </c:title>
    <c:autoTitleDeleted val="0"/>
    <c:plotArea>
      <c:layout/>
      <c:pieChart>
        <c:varyColors val="1"/>
        <c:ser>
          <c:idx val="0"/>
          <c:order val="0"/>
          <c:tx>
            <c:strRef>
              <c:f>Sheet1!$A$4</c:f>
              <c:strCache>
                <c:ptCount val="1"/>
                <c:pt idx="0">
                  <c:v>Adoption of LWfG National Action Plans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Sheet1!$B$3:$E$3</c:f>
              <c:strCache>
                <c:ptCount val="4"/>
                <c:pt idx="0">
                  <c:v>Yes</c:v>
                </c:pt>
                <c:pt idx="1">
                  <c:v>No</c:v>
                </c:pt>
                <c:pt idx="2">
                  <c:v>In progress</c:v>
                </c:pt>
                <c:pt idx="3">
                  <c:v>No information</c:v>
                </c:pt>
              </c:strCache>
            </c:strRef>
          </c:cat>
          <c:val>
            <c:numRef>
              <c:f>Sheet1!$B$4:$E$4</c:f>
              <c:numCache>
                <c:formatCode>General</c:formatCode>
                <c:ptCount val="4"/>
                <c:pt idx="0">
                  <c:v>8</c:v>
                </c:pt>
                <c:pt idx="1">
                  <c:v>5</c:v>
                </c:pt>
                <c:pt idx="2">
                  <c:v>2</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groupes de travail nationaux établis pour l'oie naine</a:t>
            </a:r>
          </a:p>
        </c:rich>
      </c:tx>
      <c:layout/>
      <c:overlay val="0"/>
      <c:spPr>
        <a:noFill/>
        <a:ln>
          <a:noFill/>
        </a:ln>
        <a:effectLst/>
      </c:spPr>
    </c:title>
    <c:autoTitleDeleted val="0"/>
    <c:plotArea>
      <c:layout/>
      <c:pieChart>
        <c:varyColors val="1"/>
        <c:ser>
          <c:idx val="0"/>
          <c:order val="0"/>
          <c:tx>
            <c:strRef>
              <c:f>Sheet1!$A$18</c:f>
              <c:strCache>
                <c:ptCount val="1"/>
                <c:pt idx="0">
                  <c:v>LWfG National Working Groups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Sheet1!$B$17:$D$17</c:f>
              <c:strCache>
                <c:ptCount val="3"/>
                <c:pt idx="0">
                  <c:v>Yes</c:v>
                </c:pt>
                <c:pt idx="1">
                  <c:v>No</c:v>
                </c:pt>
                <c:pt idx="2">
                  <c:v>No information</c:v>
                </c:pt>
              </c:strCache>
            </c:strRef>
          </c:cat>
          <c:val>
            <c:numRef>
              <c:f>Sheet1!$B$18:$D$18</c:f>
              <c:numCache>
                <c:formatCode>General</c:formatCode>
                <c:ptCount val="3"/>
                <c:pt idx="0">
                  <c:v>10</c:v>
                </c:pt>
                <c:pt idx="1">
                  <c:v>5</c:v>
                </c:pt>
                <c:pt idx="2">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Principaux facteurs favorisant la mise en oeuvre</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Sheet1!$C$109:$C$123</c:f>
              <c:strCache>
                <c:ptCount val="15"/>
                <c:pt idx="0">
                  <c:v>Consistent management</c:v>
                </c:pt>
                <c:pt idx="1">
                  <c:v>Establishment of management authorities</c:v>
                </c:pt>
                <c:pt idx="2">
                  <c:v>Culling of predators</c:v>
                </c:pt>
                <c:pt idx="3">
                  <c:v>Establishment of breeding programme</c:v>
                </c:pt>
                <c:pt idx="4">
                  <c:v>Minimized hunting pressure</c:v>
                </c:pt>
                <c:pt idx="5">
                  <c:v>Filling key knowledge gaps</c:v>
                </c:pt>
                <c:pt idx="6">
                  <c:v>Adequate protection of key wintering sites </c:v>
                </c:pt>
                <c:pt idx="7">
                  <c:v>Amendment of legislation/inclusion in Red Data book</c:v>
                </c:pt>
                <c:pt idx="8">
                  <c:v>Satellite tracking/surveys</c:v>
                </c:pt>
                <c:pt idx="9">
                  <c:v>Identification of key sites</c:v>
                </c:pt>
                <c:pt idx="10">
                  <c:v>Sufficient funding</c:v>
                </c:pt>
                <c:pt idx="11">
                  <c:v>Increased public awareness</c:v>
                </c:pt>
                <c:pt idx="12">
                  <c:v>Implementation of conservation schemes/NSSAP</c:v>
                </c:pt>
                <c:pt idx="13">
                  <c:v>Improved monitoring: int. network/national teams</c:v>
                </c:pt>
                <c:pt idx="14">
                  <c:v>Improved international coordination/cooperation</c:v>
                </c:pt>
              </c:strCache>
            </c:strRef>
          </c:cat>
          <c:val>
            <c:numRef>
              <c:f>Sheet1!$D$109:$D$123</c:f>
              <c:numCache>
                <c:formatCode>General</c:formatCode>
                <c:ptCount val="15"/>
              </c:numCache>
            </c:numRef>
          </c:val>
        </c:ser>
        <c:ser>
          <c:idx val="1"/>
          <c:order val="1"/>
          <c:spPr>
            <a:solidFill>
              <a:schemeClr val="accent2"/>
            </a:solidFill>
            <a:ln>
              <a:noFill/>
            </a:ln>
            <a:effectLst/>
          </c:spPr>
          <c:invertIfNegative val="0"/>
          <c:cat>
            <c:strRef>
              <c:f>Sheet1!$C$109:$C$123</c:f>
              <c:strCache>
                <c:ptCount val="15"/>
                <c:pt idx="0">
                  <c:v>Consistent management</c:v>
                </c:pt>
                <c:pt idx="1">
                  <c:v>Establishment of management authorities</c:v>
                </c:pt>
                <c:pt idx="2">
                  <c:v>Culling of predators</c:v>
                </c:pt>
                <c:pt idx="3">
                  <c:v>Establishment of breeding programme</c:v>
                </c:pt>
                <c:pt idx="4">
                  <c:v>Minimized hunting pressure</c:v>
                </c:pt>
                <c:pt idx="5">
                  <c:v>Filling key knowledge gaps</c:v>
                </c:pt>
                <c:pt idx="6">
                  <c:v>Adequate protection of key wintering sites </c:v>
                </c:pt>
                <c:pt idx="7">
                  <c:v>Amendment of legislation/inclusion in Red Data book</c:v>
                </c:pt>
                <c:pt idx="8">
                  <c:v>Satellite tracking/surveys</c:v>
                </c:pt>
                <c:pt idx="9">
                  <c:v>Identification of key sites</c:v>
                </c:pt>
                <c:pt idx="10">
                  <c:v>Sufficient funding</c:v>
                </c:pt>
                <c:pt idx="11">
                  <c:v>Increased public awareness</c:v>
                </c:pt>
                <c:pt idx="12">
                  <c:v>Implementation of conservation schemes/NSSAP</c:v>
                </c:pt>
                <c:pt idx="13">
                  <c:v>Improved monitoring: int. network/national teams</c:v>
                </c:pt>
                <c:pt idx="14">
                  <c:v>Improved international coordination/cooperation</c:v>
                </c:pt>
              </c:strCache>
            </c:strRef>
          </c:cat>
          <c:val>
            <c:numRef>
              <c:f>Sheet1!$E$109:$E$123</c:f>
              <c:numCache>
                <c:formatCode>General</c:formatCode>
                <c:ptCount val="15"/>
                <c:pt idx="0">
                  <c:v>1</c:v>
                </c:pt>
                <c:pt idx="1">
                  <c:v>1</c:v>
                </c:pt>
                <c:pt idx="2">
                  <c:v>1</c:v>
                </c:pt>
                <c:pt idx="3">
                  <c:v>1</c:v>
                </c:pt>
                <c:pt idx="4">
                  <c:v>1</c:v>
                </c:pt>
                <c:pt idx="5">
                  <c:v>2</c:v>
                </c:pt>
                <c:pt idx="6">
                  <c:v>2</c:v>
                </c:pt>
                <c:pt idx="7">
                  <c:v>2</c:v>
                </c:pt>
                <c:pt idx="8">
                  <c:v>2</c:v>
                </c:pt>
                <c:pt idx="9">
                  <c:v>2</c:v>
                </c:pt>
                <c:pt idx="10">
                  <c:v>3</c:v>
                </c:pt>
                <c:pt idx="11">
                  <c:v>3</c:v>
                </c:pt>
                <c:pt idx="12">
                  <c:v>5</c:v>
                </c:pt>
                <c:pt idx="13">
                  <c:v>6</c:v>
                </c:pt>
                <c:pt idx="14">
                  <c:v>6</c:v>
                </c:pt>
              </c:numCache>
            </c:numRef>
          </c:val>
        </c:ser>
        <c:dLbls>
          <c:showLegendKey val="0"/>
          <c:showVal val="0"/>
          <c:showCatName val="0"/>
          <c:showSerName val="0"/>
          <c:showPercent val="0"/>
          <c:showBubbleSize val="0"/>
        </c:dLbls>
        <c:gapWidth val="182"/>
        <c:axId val="476593392"/>
        <c:axId val="476593952"/>
      </c:barChart>
      <c:catAx>
        <c:axId val="47659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593952"/>
        <c:crosses val="autoZero"/>
        <c:auto val="1"/>
        <c:lblAlgn val="ctr"/>
        <c:lblOffset val="100"/>
        <c:noMultiLvlLbl val="0"/>
      </c:catAx>
      <c:valAx>
        <c:axId val="476593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59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réseau de gardes pour surveiller les colonies de reproduction entrAînés et établis </a:t>
            </a:r>
          </a:p>
        </c:rich>
      </c:tx>
      <c:layout/>
      <c:overlay val="0"/>
      <c:spPr>
        <a:noFill/>
        <a:ln>
          <a:noFill/>
        </a:ln>
        <a:effectLst/>
      </c:spPr>
    </c:title>
    <c:autoTitleDeleted val="0"/>
    <c:plotArea>
      <c:layout/>
      <c:pieChart>
        <c:varyColors val="1"/>
        <c:ser>
          <c:idx val="0"/>
          <c:order val="0"/>
          <c:tx>
            <c:strRef>
              <c:f>Sheet1!$A$56</c:f>
              <c:strCache>
                <c:ptCount val="1"/>
                <c:pt idx="0">
                  <c:v>Network of wardens to monitor breeding colonies trained and established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Sheet1!$B$55:$C$55</c:f>
              <c:strCache>
                <c:ptCount val="2"/>
                <c:pt idx="0">
                  <c:v>Yes</c:v>
                </c:pt>
                <c:pt idx="1">
                  <c:v>No</c:v>
                </c:pt>
              </c:strCache>
            </c:strRef>
          </c:cat>
          <c:val>
            <c:numRef>
              <c:f>Sheet1!$B$56:$C$56</c:f>
              <c:numCache>
                <c:formatCode>General</c:formatCode>
                <c:ptCount val="2"/>
                <c:pt idx="0">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 entravant la mise en oeuvre</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Sheet1!$A$135:$A$149</c:f>
              <c:strCache>
                <c:ptCount val="15"/>
                <c:pt idx="1">
                  <c:v>Overgrazing</c:v>
                </c:pt>
                <c:pt idx="2">
                  <c:v>Nest trampling </c:v>
                </c:pt>
                <c:pt idx="3">
                  <c:v>Inadequate EIA:s</c:v>
                </c:pt>
                <c:pt idx="4">
                  <c:v>Habitat loss</c:v>
                </c:pt>
                <c:pt idx="5">
                  <c:v>Increased human disturbance</c:v>
                </c:pt>
                <c:pt idx="6">
                  <c:v>Lack of implementation of hunting regulations </c:v>
                </c:pt>
                <c:pt idx="7">
                  <c:v>Strength of hunting lobby </c:v>
                </c:pt>
                <c:pt idx="8">
                  <c:v>Illegal releases of captive LWfG</c:v>
                </c:pt>
                <c:pt idx="9">
                  <c:v>Habitat changes</c:v>
                </c:pt>
                <c:pt idx="10">
                  <c:v>Gaps in knowledge of critical sites</c:v>
                </c:pt>
                <c:pt idx="11">
                  <c:v>Insufficient governance, enforcement, management etc.</c:v>
                </c:pt>
                <c:pt idx="12">
                  <c:v>Lack of human and technical capacity </c:v>
                </c:pt>
                <c:pt idx="13">
                  <c:v>Lack of cooperation </c:v>
                </c:pt>
                <c:pt idx="14">
                  <c:v>Lack of adequate funding </c:v>
                </c:pt>
              </c:strCache>
            </c:strRef>
          </c:cat>
          <c:val>
            <c:numRef>
              <c:f>Sheet1!$B$135:$B$149</c:f>
              <c:numCache>
                <c:formatCode>General</c:formatCode>
                <c:ptCount val="15"/>
                <c:pt idx="1">
                  <c:v>1</c:v>
                </c:pt>
                <c:pt idx="2">
                  <c:v>1</c:v>
                </c:pt>
                <c:pt idx="3">
                  <c:v>1</c:v>
                </c:pt>
                <c:pt idx="4">
                  <c:v>1</c:v>
                </c:pt>
                <c:pt idx="5">
                  <c:v>2</c:v>
                </c:pt>
                <c:pt idx="6">
                  <c:v>2</c:v>
                </c:pt>
                <c:pt idx="7">
                  <c:v>2</c:v>
                </c:pt>
                <c:pt idx="8">
                  <c:v>2</c:v>
                </c:pt>
                <c:pt idx="9">
                  <c:v>2</c:v>
                </c:pt>
                <c:pt idx="10">
                  <c:v>2</c:v>
                </c:pt>
                <c:pt idx="11">
                  <c:v>3</c:v>
                </c:pt>
                <c:pt idx="12">
                  <c:v>4</c:v>
                </c:pt>
                <c:pt idx="13">
                  <c:v>4</c:v>
                </c:pt>
                <c:pt idx="14">
                  <c:v>12</c:v>
                </c:pt>
              </c:numCache>
            </c:numRef>
          </c:val>
        </c:ser>
        <c:dLbls>
          <c:showLegendKey val="0"/>
          <c:showVal val="0"/>
          <c:showCatName val="0"/>
          <c:showSerName val="0"/>
          <c:showPercent val="0"/>
          <c:showBubbleSize val="0"/>
        </c:dLbls>
        <c:gapWidth val="182"/>
        <c:axId val="476596192"/>
        <c:axId val="476596752"/>
      </c:barChart>
      <c:catAx>
        <c:axId val="476596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596752"/>
        <c:crosses val="autoZero"/>
        <c:auto val="1"/>
        <c:lblAlgn val="ctr"/>
        <c:lblOffset val="100"/>
        <c:noMultiLvlLbl val="0"/>
      </c:catAx>
      <c:valAx>
        <c:axId val="47659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59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Tendance à court terme de l'espèce</a:t>
            </a:r>
          </a:p>
        </c:rich>
      </c:tx>
      <c:layout/>
      <c:overlay val="0"/>
      <c:spPr>
        <a:noFill/>
        <a:ln>
          <a:noFill/>
        </a:ln>
        <a:effectLst/>
      </c:spPr>
    </c:title>
    <c:autoTitleDeleted val="0"/>
    <c:plotArea>
      <c:layout/>
      <c:pieChart>
        <c:varyColors val="1"/>
        <c:ser>
          <c:idx val="0"/>
          <c:order val="0"/>
          <c:tx>
            <c:strRef>
              <c:f>Sheet1!$A$16</c:f>
              <c:strCache>
                <c:ptCount val="1"/>
                <c:pt idx="0">
                  <c:v>Species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Sheet1!$B$15:$E$15</c:f>
              <c:strCache>
                <c:ptCount val="4"/>
                <c:pt idx="0">
                  <c:v>Increasing</c:v>
                </c:pt>
                <c:pt idx="1">
                  <c:v>Stable</c:v>
                </c:pt>
                <c:pt idx="2">
                  <c:v>Declining</c:v>
                </c:pt>
                <c:pt idx="3">
                  <c:v>Fluctuating</c:v>
                </c:pt>
              </c:strCache>
            </c:strRef>
          </c:cat>
          <c:val>
            <c:numRef>
              <c:f>Sheet1!$B$16:$E$16</c:f>
              <c:numCache>
                <c:formatCode>General</c:formatCode>
                <c:ptCount val="4"/>
                <c:pt idx="0">
                  <c:v>1</c:v>
                </c:pt>
                <c:pt idx="1">
                  <c:v>1</c:v>
                </c:pt>
                <c:pt idx="2">
                  <c:v>1</c:v>
                </c:pt>
                <c:pt idx="3">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Tendance à LONG terme</a:t>
            </a:r>
          </a:p>
          <a:p>
            <a:pPr>
              <a:defRPr sz="1050" b="1" i="0" u="none" strike="noStrike" kern="1200" cap="all" spc="50" baseline="0">
                <a:solidFill>
                  <a:schemeClr val="tx1">
                    <a:lumMod val="65000"/>
                    <a:lumOff val="35000"/>
                  </a:schemeClr>
                </a:solidFill>
                <a:latin typeface="+mn-lt"/>
                <a:ea typeface="+mn-ea"/>
                <a:cs typeface="+mn-cs"/>
              </a:defRPr>
            </a:pPr>
            <a:r>
              <a:rPr lang="nl-NL"/>
              <a:t>DE L'ESPÈCE</a:t>
            </a:r>
          </a:p>
        </c:rich>
      </c:tx>
      <c:layout/>
      <c:overlay val="0"/>
      <c:spPr>
        <a:noFill/>
        <a:ln>
          <a:noFill/>
        </a:ln>
        <a:effectLst/>
      </c:spPr>
    </c:title>
    <c:autoTitleDeleted val="0"/>
    <c:plotArea>
      <c:layout/>
      <c:pieChart>
        <c:varyColors val="1"/>
        <c:ser>
          <c:idx val="0"/>
          <c:order val="0"/>
          <c:tx>
            <c:strRef>
              <c:f>Sheet1!$A$20</c:f>
              <c:strCache>
                <c:ptCount val="1"/>
                <c:pt idx="0">
                  <c:v>Species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Sheet1!$B$19:$C$19</c:f>
              <c:strCache>
                <c:ptCount val="2"/>
                <c:pt idx="0">
                  <c:v>Increasing</c:v>
                </c:pt>
                <c:pt idx="1">
                  <c:v>Declining</c:v>
                </c:pt>
              </c:strCache>
            </c:strRef>
          </c:cat>
          <c:val>
            <c:numRef>
              <c:f>Sheet1!$B$20:$C$20</c:f>
              <c:numCache>
                <c:formatCode>General</c:formatCode>
                <c:ptCount val="2"/>
                <c:pt idx="0">
                  <c:v>2</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plan d’action adopté</a:t>
            </a:r>
          </a:p>
        </c:rich>
      </c:tx>
      <c:layout/>
      <c:overlay val="0"/>
      <c:spPr>
        <a:noFill/>
        <a:ln>
          <a:noFill/>
        </a:ln>
        <a:effectLst/>
      </c:spPr>
    </c:title>
    <c:autoTitleDeleted val="0"/>
    <c:plotArea>
      <c:layout/>
      <c:pieChart>
        <c:varyColors val="1"/>
        <c:ser>
          <c:idx val="0"/>
          <c:order val="0"/>
          <c:tx>
            <c:strRef>
              <c:f>Sheet1!$A$2</c:f>
              <c:strCache>
                <c:ptCount val="1"/>
                <c:pt idx="0">
                  <c:v>National Action Plan adopted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Sheet1!$B$1:$C$1</c:f>
              <c:strCache>
                <c:ptCount val="2"/>
                <c:pt idx="0">
                  <c:v>No</c:v>
                </c:pt>
                <c:pt idx="1">
                  <c:v>In progress</c:v>
                </c:pt>
              </c:strCache>
            </c:strRef>
          </c:cat>
          <c:val>
            <c:numRef>
              <c:f>Sheet1!$B$2:$C$2</c:f>
              <c:numCache>
                <c:formatCode>General</c:formatCode>
                <c:ptCount val="2"/>
                <c:pt idx="0">
                  <c:v>2</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groupe de travail national établi </a:t>
            </a:r>
          </a:p>
        </c:rich>
      </c:tx>
      <c:layout/>
      <c:overlay val="0"/>
      <c:spPr>
        <a:noFill/>
        <a:ln>
          <a:noFill/>
        </a:ln>
        <a:effectLst/>
      </c:spPr>
    </c:title>
    <c:autoTitleDeleted val="0"/>
    <c:plotArea>
      <c:layout/>
      <c:pieChart>
        <c:varyColors val="1"/>
        <c:ser>
          <c:idx val="0"/>
          <c:order val="0"/>
          <c:tx>
            <c:strRef>
              <c:f>Sheet1!$A$6</c:f>
              <c:strCache>
                <c:ptCount val="1"/>
                <c:pt idx="0">
                  <c:v>National Working Group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Sheet1!$B$5:$C$5</c:f>
              <c:strCache>
                <c:ptCount val="2"/>
                <c:pt idx="0">
                  <c:v>No</c:v>
                </c:pt>
                <c:pt idx="1">
                  <c:v>Informal group </c:v>
                </c:pt>
              </c:strCache>
            </c:strRef>
          </c:cat>
          <c:val>
            <c:numRef>
              <c:f>Sheet1!$B$6:$C$6</c:f>
              <c:numCache>
                <c:formatCode>General</c:formatCode>
                <c:ptCount val="2"/>
                <c:pt idx="0">
                  <c:v>3</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modélisation de l'impact Potentiel</a:t>
            </a:r>
            <a:r>
              <a:rPr lang="nl-NL" sz="1100" b="1" i="0" u="none" strike="noStrike" kern="1200" cap="all" spc="50" baseline="0">
                <a:solidFill>
                  <a:sysClr val="windowText" lastClr="000000">
                    <a:lumMod val="65000"/>
                    <a:lumOff val="35000"/>
                  </a:sysClr>
                </a:solidFill>
                <a:latin typeface="+mn-lt"/>
                <a:ea typeface="+mn-ea"/>
                <a:cs typeface="+mn-cs"/>
              </a:rPr>
              <a:t> </a:t>
            </a:r>
            <a:r>
              <a:rPr lang="nl-NL"/>
              <a:t>des fermes éoliennes</a:t>
            </a:r>
          </a:p>
        </c:rich>
      </c:tx>
      <c:layout/>
      <c:overlay val="0"/>
      <c:spPr>
        <a:noFill/>
        <a:ln>
          <a:noFill/>
        </a:ln>
        <a:effectLst/>
      </c:spPr>
    </c:title>
    <c:autoTitleDeleted val="0"/>
    <c:plotArea>
      <c:layout/>
      <c:pieChart>
        <c:varyColors val="1"/>
        <c:ser>
          <c:idx val="0"/>
          <c:order val="0"/>
          <c:tx>
            <c:strRef>
              <c:f>Sheet1!$A$58</c:f>
              <c:strCache>
                <c:ptCount val="1"/>
                <c:pt idx="0">
                  <c:v>Potential impact of windfarms modelled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Sheet1!$B$57:$C$57</c:f>
              <c:strCache>
                <c:ptCount val="2"/>
                <c:pt idx="0">
                  <c:v>Yes</c:v>
                </c:pt>
                <c:pt idx="1">
                  <c:v>No</c:v>
                </c:pt>
              </c:strCache>
            </c:strRef>
          </c:cat>
          <c:val>
            <c:numRef>
              <c:f>Sheet1!$B$58:$C$58</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carte de sensibilité pour la bernache à cou roux élaborée et distribuée</a:t>
            </a:r>
          </a:p>
        </c:rich>
      </c:tx>
      <c:layout/>
      <c:overlay val="0"/>
      <c:spPr>
        <a:noFill/>
        <a:ln>
          <a:noFill/>
        </a:ln>
        <a:effectLst/>
      </c:spPr>
    </c:title>
    <c:autoTitleDeleted val="0"/>
    <c:plotArea>
      <c:layout/>
      <c:pieChart>
        <c:varyColors val="1"/>
        <c:ser>
          <c:idx val="0"/>
          <c:order val="0"/>
          <c:tx>
            <c:strRef>
              <c:f>Sheet1!$A$60</c:f>
              <c:strCache>
                <c:ptCount val="1"/>
                <c:pt idx="0">
                  <c:v>Sensitivity map for RbG developed and distributed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Sheet1!$B$59:$C$59</c:f>
              <c:strCache>
                <c:ptCount val="2"/>
                <c:pt idx="0">
                  <c:v>Yes</c:v>
                </c:pt>
                <c:pt idx="1">
                  <c:v>No</c:v>
                </c:pt>
              </c:strCache>
            </c:strRef>
          </c:cat>
          <c:val>
            <c:numRef>
              <c:f>Sheet1!$B$60:$C$60</c:f>
              <c:numCache>
                <c:formatCode>General</c:formatCode>
                <c:ptCount val="2"/>
                <c:pt idx="0">
                  <c:v>1</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Évaluation environnementale stratégique le long du littoral de la mer noire</a:t>
            </a:r>
          </a:p>
        </c:rich>
      </c:tx>
      <c:layout/>
      <c:overlay val="0"/>
      <c:spPr>
        <a:noFill/>
        <a:ln>
          <a:noFill/>
        </a:ln>
        <a:effectLst/>
      </c:spPr>
    </c:title>
    <c:autoTitleDeleted val="0"/>
    <c:plotArea>
      <c:layout/>
      <c:pieChart>
        <c:varyColors val="1"/>
        <c:ser>
          <c:idx val="0"/>
          <c:order val="0"/>
          <c:tx>
            <c:strRef>
              <c:f>Sheet1!$A$62</c:f>
              <c:strCache>
                <c:ptCount val="1"/>
                <c:pt idx="0">
                  <c:v>Strategic Environmental Assessment along Black Sea Coast conducted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Sheet1!$B$61:$D$61</c:f>
              <c:strCache>
                <c:ptCount val="3"/>
                <c:pt idx="0">
                  <c:v>Yes</c:v>
                </c:pt>
                <c:pt idx="1">
                  <c:v>No</c:v>
                </c:pt>
                <c:pt idx="2">
                  <c:v>Partially</c:v>
                </c:pt>
              </c:strCache>
            </c:strRef>
          </c:cat>
          <c:val>
            <c:numRef>
              <c:f>Sheet1!$B$62:$D$62</c:f>
              <c:numCache>
                <c:formatCode>General</c:formatCode>
                <c:ptCount val="3"/>
                <c:pt idx="1">
                  <c:v>2</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a:t>EIE entreprises</a:t>
            </a:r>
            <a:r>
              <a:rPr lang="en-US" sz="1100" b="1" i="0" u="none" strike="noStrike" kern="1200" cap="all" spc="50" baseline="0">
                <a:solidFill>
                  <a:sysClr val="windowText" lastClr="000000">
                    <a:lumMod val="65000"/>
                    <a:lumOff val="35000"/>
                  </a:sysClr>
                </a:solidFill>
                <a:latin typeface="+mn-lt"/>
                <a:ea typeface="+mn-ea"/>
                <a:cs typeface="+mn-cs"/>
              </a:rPr>
              <a:t> </a:t>
            </a:r>
            <a:r>
              <a:rPr lang="en-US"/>
              <a:t>pour projets de développement individuels</a:t>
            </a:r>
          </a:p>
        </c:rich>
      </c:tx>
      <c:layout/>
      <c:overlay val="0"/>
      <c:spPr>
        <a:noFill/>
        <a:ln>
          <a:noFill/>
        </a:ln>
        <a:effectLst/>
      </c:spPr>
    </c:title>
    <c:autoTitleDeleted val="0"/>
    <c:plotArea>
      <c:layout/>
      <c:pieChart>
        <c:varyColors val="1"/>
        <c:ser>
          <c:idx val="0"/>
          <c:order val="0"/>
          <c:tx>
            <c:strRef>
              <c:f>Sheet1!$A$64</c:f>
              <c:strCache>
                <c:ptCount val="1"/>
                <c:pt idx="0">
                  <c:v>EIA:s undertaken for individual developments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Sheet1!$B$63:$D$63</c:f>
              <c:strCache>
                <c:ptCount val="3"/>
                <c:pt idx="0">
                  <c:v>Yes</c:v>
                </c:pt>
                <c:pt idx="1">
                  <c:v>No</c:v>
                </c:pt>
                <c:pt idx="2">
                  <c:v>Partially</c:v>
                </c:pt>
              </c:strCache>
            </c:strRef>
          </c:cat>
          <c:val>
            <c:numRef>
              <c:f>Sheet1!$B$64:$D$64</c:f>
              <c:numCache>
                <c:formatCode>General</c:formatCode>
                <c:ptCount val="3"/>
                <c:pt idx="0">
                  <c:v>2</c:v>
                </c:pt>
                <c:pt idx="1">
                  <c:v>2</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conseils sur les dangers courus par la </a:t>
            </a:r>
            <a:r>
              <a:rPr lang="nl-NL" sz="1100" b="1" i="0" u="none" strike="noStrike" cap="all" baseline="0">
                <a:effectLst/>
              </a:rPr>
              <a:t>bernache à cou roux </a:t>
            </a:r>
            <a:endParaRPr lang="nl-NL"/>
          </a:p>
        </c:rich>
      </c:tx>
      <c:layout/>
      <c:overlay val="0"/>
      <c:spPr>
        <a:noFill/>
        <a:ln>
          <a:noFill/>
        </a:ln>
        <a:effectLst/>
      </c:spPr>
    </c:title>
    <c:autoTitleDeleted val="0"/>
    <c:plotArea>
      <c:layout/>
      <c:pieChart>
        <c:varyColors val="1"/>
        <c:ser>
          <c:idx val="0"/>
          <c:order val="0"/>
          <c:tx>
            <c:strRef>
              <c:f>Sheet1!$A$66</c:f>
              <c:strCache>
                <c:ptCount val="1"/>
                <c:pt idx="0">
                  <c:v>Guidance developed on risks to RBG</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Sheet1!$B$65:$D$65</c:f>
              <c:strCache>
                <c:ptCount val="3"/>
                <c:pt idx="0">
                  <c:v>Yes</c:v>
                </c:pt>
                <c:pt idx="1">
                  <c:v>No</c:v>
                </c:pt>
                <c:pt idx="2">
                  <c:v>Partially</c:v>
                </c:pt>
              </c:strCache>
            </c:strRef>
          </c:cat>
          <c:val>
            <c:numRef>
              <c:f>Sheet1!$B$66:$D$66</c:f>
              <c:numCache>
                <c:formatCode>General</c:formatCode>
                <c:ptCount val="3"/>
                <c:pt idx="0">
                  <c:v>2</c:v>
                </c:pt>
                <c:pt idx="1">
                  <c:v>2</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équipement de surveillance et véhicules, etc</a:t>
            </a:r>
            <a:r>
              <a:rPr lang="en-US" sz="1100" baseline="0"/>
              <a:t>.</a:t>
            </a:r>
            <a:r>
              <a:rPr lang="en-US" sz="1100"/>
              <a:t> assurés pour les gardes</a:t>
            </a:r>
          </a:p>
        </c:rich>
      </c:tx>
      <c:layout/>
      <c:overlay val="0"/>
      <c:spPr>
        <a:noFill/>
        <a:ln>
          <a:noFill/>
        </a:ln>
        <a:effectLst/>
      </c:spPr>
    </c:title>
    <c:autoTitleDeleted val="0"/>
    <c:plotArea>
      <c:layout/>
      <c:pieChart>
        <c:varyColors val="1"/>
        <c:ser>
          <c:idx val="0"/>
          <c:order val="0"/>
          <c:tx>
            <c:strRef>
              <c:f>Sheet1!$A$61</c:f>
              <c:strCache>
                <c:ptCount val="1"/>
                <c:pt idx="0">
                  <c:v>Funding and monitoring equipment secured for wardens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Sheet1!$B$60:$C$60</c:f>
              <c:strCache>
                <c:ptCount val="2"/>
                <c:pt idx="0">
                  <c:v>Yes</c:v>
                </c:pt>
                <c:pt idx="1">
                  <c:v>Partially</c:v>
                </c:pt>
              </c:strCache>
            </c:strRef>
          </c:cat>
          <c:val>
            <c:numRef>
              <c:f>Sheet1!$B$61:$C$61</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meilleures</a:t>
            </a:r>
            <a:r>
              <a:rPr lang="nl-NL" sz="1100" b="1" i="0" u="none" strike="noStrike" kern="1200" cap="all" spc="50" baseline="0">
                <a:solidFill>
                  <a:sysClr val="windowText" lastClr="000000">
                    <a:lumMod val="65000"/>
                    <a:lumOff val="35000"/>
                  </a:sysClr>
                </a:solidFill>
                <a:latin typeface="+mn-lt"/>
                <a:ea typeface="+mn-ea"/>
                <a:cs typeface="+mn-cs"/>
              </a:rPr>
              <a:t> </a:t>
            </a:r>
            <a:r>
              <a:rPr lang="nl-NL"/>
              <a:t>pratiques pour les EIE et mesures d'atténuation documentées et diffusées</a:t>
            </a:r>
          </a:p>
        </c:rich>
      </c:tx>
      <c:layout/>
      <c:overlay val="0"/>
      <c:spPr>
        <a:noFill/>
        <a:ln>
          <a:noFill/>
        </a:ln>
        <a:effectLst/>
      </c:spPr>
    </c:title>
    <c:autoTitleDeleted val="0"/>
    <c:plotArea>
      <c:layout/>
      <c:pieChart>
        <c:varyColors val="1"/>
        <c:ser>
          <c:idx val="0"/>
          <c:order val="0"/>
          <c:tx>
            <c:strRef>
              <c:f>Sheet1!$A$68</c:f>
              <c:strCache>
                <c:ptCount val="1"/>
                <c:pt idx="0">
                  <c:v>Best practice for EIA and mitigation documented and disseminated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Sheet1!$B$67:$D$67</c:f>
              <c:strCache>
                <c:ptCount val="3"/>
                <c:pt idx="0">
                  <c:v>Yes</c:v>
                </c:pt>
                <c:pt idx="1">
                  <c:v>No</c:v>
                </c:pt>
                <c:pt idx="2">
                  <c:v>Partially</c:v>
                </c:pt>
              </c:strCache>
            </c:strRef>
          </c:cat>
          <c:val>
            <c:numRef>
              <c:f>Sheet1!$B$68:$D$68</c:f>
              <c:numCache>
                <c:formatCode>General</c:formatCode>
                <c:ptCount val="3"/>
                <c:pt idx="0">
                  <c:v>3</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les sites clés ont été désignés aires protégées</a:t>
            </a:r>
          </a:p>
        </c:rich>
      </c:tx>
      <c:layout/>
      <c:overlay val="0"/>
      <c:spPr>
        <a:noFill/>
        <a:ln>
          <a:noFill/>
        </a:ln>
        <a:effectLst/>
      </c:spPr>
    </c:title>
    <c:autoTitleDeleted val="0"/>
    <c:plotArea>
      <c:layout/>
      <c:pieChart>
        <c:varyColors val="1"/>
        <c:ser>
          <c:idx val="0"/>
          <c:order val="0"/>
          <c:tx>
            <c:strRef>
              <c:f>Sheet1!$A$70</c:f>
              <c:strCache>
                <c:ptCount val="1"/>
                <c:pt idx="0">
                  <c:v>Key sites have been designated as protected areas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Sheet1!$B$69:$D$69</c:f>
              <c:strCache>
                <c:ptCount val="3"/>
                <c:pt idx="0">
                  <c:v>Yes</c:v>
                </c:pt>
                <c:pt idx="1">
                  <c:v>No</c:v>
                </c:pt>
                <c:pt idx="2">
                  <c:v>Partially</c:v>
                </c:pt>
              </c:strCache>
            </c:strRef>
          </c:cat>
          <c:val>
            <c:numRef>
              <c:f>Sheet1!$B$70:$D$70</c:f>
              <c:numCache>
                <c:formatCode>General</c:formatCode>
                <c:ptCount val="3"/>
                <c:pt idx="0">
                  <c:v>3</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Alignement et mise en vigueur de la lÉgislation sur l'interdiction de pesticide s</a:t>
            </a:r>
          </a:p>
        </c:rich>
      </c:tx>
      <c:layout/>
      <c:overlay val="0"/>
      <c:spPr>
        <a:noFill/>
        <a:ln>
          <a:noFill/>
        </a:ln>
        <a:effectLst/>
      </c:spPr>
    </c:title>
    <c:autoTitleDeleted val="0"/>
    <c:plotArea>
      <c:layout/>
      <c:pieChart>
        <c:varyColors val="1"/>
        <c:ser>
          <c:idx val="0"/>
          <c:order val="0"/>
          <c:tx>
            <c:strRef>
              <c:f>Sheet1!$A$36</c:f>
              <c:strCache>
                <c:ptCount val="1"/>
                <c:pt idx="0">
                  <c:v>Alignment and enforcement of banned pesticide legislation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Sheet1!$B$35</c:f>
              <c:strCache>
                <c:ptCount val="1"/>
                <c:pt idx="0">
                  <c:v>Yes</c:v>
                </c:pt>
              </c:strCache>
            </c:strRef>
          </c:cat>
          <c:val>
            <c:numRef>
              <c:f>Sheet1!$B$36</c:f>
              <c:numCache>
                <c:formatCode>General</c:formatCode>
                <c:ptCount val="1"/>
                <c:pt idx="0">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développement et diffusion de lignes directrices relatives aux substances toxiques</a:t>
            </a:r>
          </a:p>
        </c:rich>
      </c:tx>
      <c:layout/>
      <c:overlay val="0"/>
      <c:spPr>
        <a:noFill/>
        <a:ln>
          <a:noFill/>
        </a:ln>
        <a:effectLst/>
      </c:spPr>
    </c:title>
    <c:autoTitleDeleted val="0"/>
    <c:plotArea>
      <c:layout/>
      <c:pieChart>
        <c:varyColors val="1"/>
        <c:ser>
          <c:idx val="0"/>
          <c:order val="0"/>
          <c:tx>
            <c:strRef>
              <c:f>Sheet1!$A$39</c:f>
              <c:strCache>
                <c:ptCount val="1"/>
                <c:pt idx="0">
                  <c:v>develop and distribute guidelines on use of toxic substances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Sheet1!$B$38:$D$38</c:f>
              <c:strCache>
                <c:ptCount val="2"/>
                <c:pt idx="0">
                  <c:v>Yes</c:v>
                </c:pt>
                <c:pt idx="1">
                  <c:v>No</c:v>
                </c:pt>
              </c:strCache>
            </c:strRef>
          </c:cat>
          <c:val>
            <c:numRef>
              <c:f>Sheet1!$B$39:$D$39</c:f>
              <c:numCache>
                <c:formatCode>General</c:formatCode>
                <c:ptCount val="3"/>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Suivi satellitaire afin d'identifier des sites clés supplémentaires</a:t>
            </a:r>
          </a:p>
        </c:rich>
      </c:tx>
      <c:layout/>
      <c:overlay val="0"/>
      <c:spPr>
        <a:noFill/>
        <a:ln>
          <a:noFill/>
        </a:ln>
        <a:effectLst/>
      </c:spPr>
    </c:title>
    <c:autoTitleDeleted val="0"/>
    <c:plotArea>
      <c:layout/>
      <c:pieChart>
        <c:varyColors val="1"/>
        <c:ser>
          <c:idx val="0"/>
          <c:order val="0"/>
          <c:tx>
            <c:strRef>
              <c:f>Sheet1!$A$43</c:f>
              <c:strCache>
                <c:ptCount val="1"/>
                <c:pt idx="0">
                  <c:v>Satellite-tracking to identify additional key sites undertaken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Sheet1!$B$42:$E$42</c:f>
              <c:strCache>
                <c:ptCount val="4"/>
                <c:pt idx="0">
                  <c:v>Yes</c:v>
                </c:pt>
                <c:pt idx="1">
                  <c:v>No</c:v>
                </c:pt>
                <c:pt idx="3">
                  <c:v>No information</c:v>
                </c:pt>
              </c:strCache>
            </c:strRef>
          </c:cat>
          <c:val>
            <c:numRef>
              <c:f>Sheet1!$B$43:$E$43</c:f>
              <c:numCache>
                <c:formatCode>General</c:formatCode>
                <c:ptCount val="4"/>
                <c:pt idx="0">
                  <c:v>2</c:v>
                </c:pt>
                <c:pt idx="1">
                  <c:v>2</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050"/>
              <a:t>sites clés désignés en tant qu'aires protégées</a:t>
            </a:r>
          </a:p>
        </c:rich>
      </c:tx>
      <c:layout/>
      <c:overlay val="0"/>
      <c:spPr>
        <a:noFill/>
        <a:ln>
          <a:noFill/>
        </a:ln>
        <a:effectLst/>
      </c:spPr>
    </c:title>
    <c:autoTitleDeleted val="0"/>
    <c:plotArea>
      <c:layout/>
      <c:pieChart>
        <c:varyColors val="1"/>
        <c:ser>
          <c:idx val="0"/>
          <c:order val="0"/>
          <c:tx>
            <c:strRef>
              <c:f>Sheet1!$A$45</c:f>
              <c:strCache>
                <c:ptCount val="1"/>
                <c:pt idx="0">
                  <c:v>designate key sites as protected areas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Sheet1!$B$44:$E$44</c:f>
              <c:strCache>
                <c:ptCount val="4"/>
                <c:pt idx="0">
                  <c:v>Yes</c:v>
                </c:pt>
                <c:pt idx="1">
                  <c:v>No</c:v>
                </c:pt>
                <c:pt idx="2">
                  <c:v>Partially</c:v>
                </c:pt>
                <c:pt idx="3">
                  <c:v>No information</c:v>
                </c:pt>
              </c:strCache>
            </c:strRef>
          </c:cat>
          <c:val>
            <c:numRef>
              <c:f>Sheet1!$B$45:$E$45</c:f>
              <c:numCache>
                <c:formatCode>General</c:formatCode>
                <c:ptCount val="4"/>
                <c:pt idx="0">
                  <c:v>3</c:v>
                </c:pt>
                <c:pt idx="1">
                  <c:v>1</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identification et surveillance des menaces sur tous les sites clés</a:t>
            </a:r>
          </a:p>
        </c:rich>
      </c:tx>
      <c:layout/>
      <c:overlay val="0"/>
      <c:spPr>
        <a:noFill/>
        <a:ln>
          <a:noFill/>
        </a:ln>
        <a:effectLst/>
      </c:spPr>
    </c:title>
    <c:autoTitleDeleted val="0"/>
    <c:plotArea>
      <c:layout/>
      <c:pieChart>
        <c:varyColors val="1"/>
        <c:ser>
          <c:idx val="0"/>
          <c:order val="0"/>
          <c:tx>
            <c:strRef>
              <c:f>Sheet1!$A$47</c:f>
              <c:strCache>
                <c:ptCount val="1"/>
                <c:pt idx="0">
                  <c:v>Threats at all key sites identified and monitored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Sheet1!$B$46:$E$46</c:f>
              <c:strCache>
                <c:ptCount val="4"/>
                <c:pt idx="0">
                  <c:v>Yes</c:v>
                </c:pt>
                <c:pt idx="1">
                  <c:v>No</c:v>
                </c:pt>
                <c:pt idx="2">
                  <c:v>Partially</c:v>
                </c:pt>
                <c:pt idx="3">
                  <c:v>No information</c:v>
                </c:pt>
              </c:strCache>
            </c:strRef>
          </c:cat>
          <c:val>
            <c:numRef>
              <c:f>Sheet1!$B$47:$E$47</c:f>
              <c:numCache>
                <c:formatCode>General</c:formatCode>
                <c:ptCount val="4"/>
                <c:pt idx="0">
                  <c:v>1</c:v>
                </c:pt>
                <c:pt idx="2">
                  <c:v>3</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50" b="1" i="0" u="none" strike="noStrike" kern="1200" cap="all" spc="50" baseline="0">
                <a:solidFill>
                  <a:schemeClr val="tx1">
                    <a:lumMod val="65000"/>
                    <a:lumOff val="35000"/>
                  </a:schemeClr>
                </a:solidFill>
                <a:latin typeface="+mn-lt"/>
                <a:ea typeface="+mn-ea"/>
                <a:cs typeface="+mn-cs"/>
              </a:defRPr>
            </a:pPr>
            <a:r>
              <a:rPr lang="nl-NL"/>
              <a:t>préparation et mise en oeuvre de plans de gestion pour les sites clés</a:t>
            </a:r>
          </a:p>
        </c:rich>
      </c:tx>
      <c:layout>
        <c:manualLayout>
          <c:xMode val="edge"/>
          <c:yMode val="edge"/>
          <c:x val="0.13184180790960454"/>
          <c:y val="2.1333333333333333E-2"/>
        </c:manualLayout>
      </c:layout>
      <c:overlay val="0"/>
      <c:spPr>
        <a:noFill/>
        <a:ln>
          <a:noFill/>
        </a:ln>
        <a:effectLst/>
      </c:spPr>
    </c:title>
    <c:autoTitleDeleted val="0"/>
    <c:plotArea>
      <c:layout/>
      <c:pieChart>
        <c:varyColors val="1"/>
        <c:ser>
          <c:idx val="0"/>
          <c:order val="0"/>
          <c:tx>
            <c:strRef>
              <c:f>Sheet1!$A$49</c:f>
              <c:strCache>
                <c:ptCount val="1"/>
                <c:pt idx="0">
                  <c:v>Management plans for key sites prepared and implemented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Sheet1!$B$48:$E$48</c:f>
              <c:strCache>
                <c:ptCount val="4"/>
                <c:pt idx="0">
                  <c:v>Yes</c:v>
                </c:pt>
                <c:pt idx="1">
                  <c:v>No</c:v>
                </c:pt>
                <c:pt idx="2">
                  <c:v>Partially</c:v>
                </c:pt>
                <c:pt idx="3">
                  <c:v>No information</c:v>
                </c:pt>
              </c:strCache>
            </c:strRef>
          </c:cat>
          <c:val>
            <c:numRef>
              <c:f>Sheet1!$B$49:$E$49</c:f>
              <c:numCache>
                <c:formatCode>General</c:formatCode>
                <c:ptCount val="4"/>
                <c:pt idx="1">
                  <c:v>4</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mise en oeuvre de réglementations sur la pêche sur les sites de repos</a:t>
            </a:r>
          </a:p>
        </c:rich>
      </c:tx>
      <c:layout/>
      <c:overlay val="0"/>
      <c:spPr>
        <a:noFill/>
        <a:ln>
          <a:noFill/>
        </a:ln>
        <a:effectLst/>
      </c:spPr>
    </c:title>
    <c:autoTitleDeleted val="0"/>
    <c:plotArea>
      <c:layout/>
      <c:pieChart>
        <c:varyColors val="1"/>
        <c:ser>
          <c:idx val="0"/>
          <c:order val="0"/>
          <c:tx>
            <c:strRef>
              <c:f>Sheet1!$A$51</c:f>
              <c:strCache>
                <c:ptCount val="1"/>
                <c:pt idx="0">
                  <c:v>Regulations for fishing at roost sites implemented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Sheet1!$B$50:$E$50</c:f>
              <c:strCache>
                <c:ptCount val="4"/>
                <c:pt idx="0">
                  <c:v>Yes</c:v>
                </c:pt>
                <c:pt idx="1">
                  <c:v>No</c:v>
                </c:pt>
                <c:pt idx="2">
                  <c:v>Partially</c:v>
                </c:pt>
                <c:pt idx="3">
                  <c:v>No information</c:v>
                </c:pt>
              </c:strCache>
            </c:strRef>
          </c:cat>
          <c:val>
            <c:numRef>
              <c:f>Sheet1!$B$51:$E$51</c:f>
              <c:numCache>
                <c:formatCode>General</c:formatCode>
                <c:ptCount val="4"/>
                <c:pt idx="0">
                  <c:v>1</c:v>
                </c:pt>
                <c:pt idx="1">
                  <c:v>2</c:v>
                </c:pt>
                <c:pt idx="2">
                  <c:v>1</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Étude sur l'achat /la location de terres sur les sites clés</a:t>
            </a:r>
          </a:p>
        </c:rich>
      </c:tx>
      <c:layout/>
      <c:overlay val="0"/>
      <c:spPr>
        <a:noFill/>
        <a:ln>
          <a:noFill/>
        </a:ln>
        <a:effectLst/>
      </c:spPr>
    </c:title>
    <c:autoTitleDeleted val="0"/>
    <c:plotArea>
      <c:layout/>
      <c:pieChart>
        <c:varyColors val="1"/>
        <c:ser>
          <c:idx val="0"/>
          <c:order val="0"/>
          <c:tx>
            <c:strRef>
              <c:f>Sheet1!$A$53</c:f>
              <c:strCache>
                <c:ptCount val="1"/>
                <c:pt idx="0">
                  <c:v>Review need for land/lease purchase at key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Sheet1!$B$52:$F$52</c:f>
              <c:strCache>
                <c:ptCount val="5"/>
                <c:pt idx="0">
                  <c:v>Yes</c:v>
                </c:pt>
                <c:pt idx="1">
                  <c:v>No</c:v>
                </c:pt>
                <c:pt idx="2">
                  <c:v>Partially</c:v>
                </c:pt>
                <c:pt idx="3">
                  <c:v>Not applicable</c:v>
                </c:pt>
                <c:pt idx="4">
                  <c:v>No information</c:v>
                </c:pt>
              </c:strCache>
            </c:strRef>
          </c:cat>
          <c:val>
            <c:numRef>
              <c:f>Sheet1!$B$53:$F$53</c:f>
              <c:numCache>
                <c:formatCode>General</c:formatCode>
                <c:ptCount val="5"/>
                <c:pt idx="0">
                  <c:v>1</c:v>
                </c:pt>
                <c:pt idx="1">
                  <c:v>2</c:v>
                </c:pt>
                <c:pt idx="3">
                  <c:v>1</c:v>
                </c:pt>
                <c:pt idx="4">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Nouveaux points d'eau créés / étude Hydrologie sources d'eau</a:t>
            </a:r>
          </a:p>
        </c:rich>
      </c:tx>
      <c:layout>
        <c:manualLayout>
          <c:xMode val="edge"/>
          <c:yMode val="edge"/>
          <c:x val="0.16360060860324657"/>
          <c:y val="3.5589613798275216E-2"/>
        </c:manualLayout>
      </c:layout>
      <c:overlay val="0"/>
      <c:spPr>
        <a:noFill/>
        <a:ln>
          <a:noFill/>
        </a:ln>
        <a:effectLst/>
      </c:spPr>
    </c:title>
    <c:autoTitleDeleted val="0"/>
    <c:plotArea>
      <c:layout/>
      <c:pieChart>
        <c:varyColors val="1"/>
        <c:ser>
          <c:idx val="0"/>
          <c:order val="0"/>
          <c:tx>
            <c:strRef>
              <c:f>Sheet1!$A$69</c:f>
              <c:strCache>
                <c:ptCount val="1"/>
                <c:pt idx="0">
                  <c:v>New water points created / Hydrology of water sources investigated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Sheet1!$B$68:$C$68</c:f>
              <c:strCache>
                <c:ptCount val="2"/>
                <c:pt idx="0">
                  <c:v>Yes</c:v>
                </c:pt>
                <c:pt idx="1">
                  <c:v>Not applicable</c:v>
                </c:pt>
              </c:strCache>
            </c:strRef>
          </c:cat>
          <c:val>
            <c:numRef>
              <c:f>Sheet1!$B$69:$C$69</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campagnes de sensibilisation aux alentours des sites clés</a:t>
            </a:r>
          </a:p>
        </c:rich>
      </c:tx>
      <c:layout/>
      <c:overlay val="0"/>
      <c:spPr>
        <a:noFill/>
        <a:ln>
          <a:noFill/>
        </a:ln>
        <a:effectLst/>
      </c:spPr>
    </c:title>
    <c:autoTitleDeleted val="0"/>
    <c:plotArea>
      <c:layout/>
      <c:pieChart>
        <c:varyColors val="1"/>
        <c:ser>
          <c:idx val="0"/>
          <c:order val="0"/>
          <c:tx>
            <c:strRef>
              <c:f>Sheet1!$A$55</c:f>
              <c:strCache>
                <c:ptCount val="1"/>
                <c:pt idx="0">
                  <c:v>Awareness campaigns around key sites implemented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Sheet1!$B$54:$E$54</c:f>
              <c:strCache>
                <c:ptCount val="4"/>
                <c:pt idx="0">
                  <c:v>Yes</c:v>
                </c:pt>
                <c:pt idx="1">
                  <c:v>No</c:v>
                </c:pt>
                <c:pt idx="2">
                  <c:v>Partially</c:v>
                </c:pt>
                <c:pt idx="3">
                  <c:v>No information</c:v>
                </c:pt>
              </c:strCache>
            </c:strRef>
          </c:cat>
          <c:val>
            <c:numRef>
              <c:f>Sheet1!$B$55:$E$55</c:f>
              <c:numCache>
                <c:formatCode>General</c:formatCode>
                <c:ptCount val="4"/>
                <c:pt idx="0">
                  <c:v>4</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Principales activités favorisant la mise en oeuvre</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Sheet1!$A$85:$A$92</c:f>
              <c:strCache>
                <c:ptCount val="8"/>
                <c:pt idx="0">
                  <c:v>Conservation projects (EU LIFE etc.)</c:v>
                </c:pt>
                <c:pt idx="1">
                  <c:v>Establishment on no-hunting zones</c:v>
                </c:pt>
                <c:pt idx="2">
                  <c:v>Agri-environment schemes</c:v>
                </c:pt>
                <c:pt idx="3">
                  <c:v>protection of key sites</c:v>
                </c:pt>
                <c:pt idx="4">
                  <c:v>Improvement of hunting legislation</c:v>
                </c:pt>
                <c:pt idx="5">
                  <c:v>Active NGOs</c:v>
                </c:pt>
                <c:pt idx="6">
                  <c:v>International cooperation</c:v>
                </c:pt>
                <c:pt idx="7">
                  <c:v>Long-term monitoring and research programmes (incl. Satellite-tagging)</c:v>
                </c:pt>
              </c:strCache>
            </c:strRef>
          </c:cat>
          <c:val>
            <c:numRef>
              <c:f>Sheet1!$B$85:$B$92</c:f>
              <c:numCache>
                <c:formatCode>General</c:formatCode>
                <c:ptCount val="8"/>
                <c:pt idx="0">
                  <c:v>1</c:v>
                </c:pt>
                <c:pt idx="1">
                  <c:v>1</c:v>
                </c:pt>
                <c:pt idx="2">
                  <c:v>1</c:v>
                </c:pt>
                <c:pt idx="3">
                  <c:v>1</c:v>
                </c:pt>
                <c:pt idx="4">
                  <c:v>1</c:v>
                </c:pt>
                <c:pt idx="5">
                  <c:v>2</c:v>
                </c:pt>
                <c:pt idx="6">
                  <c:v>2</c:v>
                </c:pt>
                <c:pt idx="7">
                  <c:v>5</c:v>
                </c:pt>
              </c:numCache>
            </c:numRef>
          </c:val>
        </c:ser>
        <c:dLbls>
          <c:showLegendKey val="0"/>
          <c:showVal val="0"/>
          <c:showCatName val="0"/>
          <c:showSerName val="0"/>
          <c:showPercent val="0"/>
          <c:showBubbleSize val="0"/>
        </c:dLbls>
        <c:gapWidth val="182"/>
        <c:axId val="478057680"/>
        <c:axId val="478058240"/>
      </c:barChart>
      <c:catAx>
        <c:axId val="478057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58240"/>
        <c:crosses val="autoZero"/>
        <c:auto val="1"/>
        <c:lblAlgn val="ctr"/>
        <c:lblOffset val="100"/>
        <c:noMultiLvlLbl val="0"/>
      </c:catAx>
      <c:valAx>
        <c:axId val="47805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5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Principaux obstacles entravant la mise en oeuvre</a:t>
            </a:r>
          </a:p>
          <a:p>
            <a:pP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16621356438154555"/>
          <c:y val="2.925809822361546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Sheet1!$A$99:$A$104</c:f>
              <c:strCache>
                <c:ptCount val="6"/>
                <c:pt idx="0">
                  <c:v>Abscence of NAP</c:v>
                </c:pt>
                <c:pt idx="1">
                  <c:v>Low conservation priority nationally </c:v>
                </c:pt>
                <c:pt idx="2">
                  <c:v>Stong lobbies negatively influencing decision-makers (investors, hunters)</c:v>
                </c:pt>
                <c:pt idx="3">
                  <c:v>Lack of funding</c:v>
                </c:pt>
                <c:pt idx="4">
                  <c:v>Insufficient law enforcement (hunting regulations etc.)</c:v>
                </c:pt>
                <c:pt idx="5">
                  <c:v>Lack of government support and funding</c:v>
                </c:pt>
              </c:strCache>
            </c:strRef>
          </c:cat>
          <c:val>
            <c:numRef>
              <c:f>Sheet1!$B$99:$B$104</c:f>
              <c:numCache>
                <c:formatCode>General</c:formatCode>
                <c:ptCount val="6"/>
                <c:pt idx="0">
                  <c:v>1</c:v>
                </c:pt>
                <c:pt idx="1">
                  <c:v>2</c:v>
                </c:pt>
                <c:pt idx="2">
                  <c:v>2</c:v>
                </c:pt>
                <c:pt idx="3">
                  <c:v>2</c:v>
                </c:pt>
                <c:pt idx="4">
                  <c:v>4</c:v>
                </c:pt>
                <c:pt idx="5">
                  <c:v>5</c:v>
                </c:pt>
              </c:numCache>
            </c:numRef>
          </c:val>
        </c:ser>
        <c:dLbls>
          <c:showLegendKey val="0"/>
          <c:showVal val="0"/>
          <c:showCatName val="0"/>
          <c:showSerName val="0"/>
          <c:showPercent val="0"/>
          <c:showBubbleSize val="0"/>
        </c:dLbls>
        <c:gapWidth val="182"/>
        <c:axId val="478060480"/>
        <c:axId val="478061040"/>
      </c:barChart>
      <c:catAx>
        <c:axId val="47806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61040"/>
        <c:crosses val="autoZero"/>
        <c:auto val="1"/>
        <c:lblAlgn val="ctr"/>
        <c:lblOffset val="100"/>
        <c:noMultiLvlLbl val="0"/>
      </c:catAx>
      <c:valAx>
        <c:axId val="478061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6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Tendance à court terme</a:t>
            </a:r>
          </a:p>
        </c:rich>
      </c:tx>
      <c:layout/>
      <c:overlay val="0"/>
      <c:spPr>
        <a:noFill/>
        <a:ln>
          <a:noFill/>
        </a:ln>
        <a:effectLst/>
      </c:spPr>
    </c:title>
    <c:autoTitleDeleted val="0"/>
    <c:plotArea>
      <c:layout/>
      <c:pieChart>
        <c:varyColors val="1"/>
        <c:ser>
          <c:idx val="0"/>
          <c:order val="0"/>
          <c:tx>
            <c:strRef>
              <c:f>Sheet1!$A$21</c:f>
              <c:strCache>
                <c:ptCount val="1"/>
                <c:pt idx="0">
                  <c:v>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Sheet1!$B$20:$D$20</c:f>
              <c:strCache>
                <c:ptCount val="3"/>
                <c:pt idx="0">
                  <c:v>Fluctuating</c:v>
                </c:pt>
                <c:pt idx="1">
                  <c:v>Unknown</c:v>
                </c:pt>
                <c:pt idx="2">
                  <c:v>No information</c:v>
                </c:pt>
              </c:strCache>
            </c:strRef>
          </c:cat>
          <c:val>
            <c:numRef>
              <c:f>Sheet1!$B$21:$D$21</c:f>
              <c:numCache>
                <c:formatCode>General</c:formatCode>
                <c:ptCount val="3"/>
                <c:pt idx="0">
                  <c:v>1</c:v>
                </c:pt>
                <c:pt idx="1">
                  <c:v>3</c:v>
                </c:pt>
                <c:pt idx="2">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nl-NL"/>
              <a:t>Tendance à long terme</a:t>
            </a:r>
          </a:p>
        </c:rich>
      </c:tx>
      <c:layout/>
      <c:overlay val="0"/>
      <c:spPr>
        <a:noFill/>
        <a:ln>
          <a:noFill/>
        </a:ln>
        <a:effectLst/>
      </c:spPr>
    </c:title>
    <c:autoTitleDeleted val="0"/>
    <c:plotArea>
      <c:layout/>
      <c:pieChart>
        <c:varyColors val="1"/>
        <c:ser>
          <c:idx val="0"/>
          <c:order val="0"/>
          <c:tx>
            <c:strRef>
              <c:f>Sheet1!$A$17</c:f>
              <c:strCache>
                <c:ptCount val="1"/>
                <c:pt idx="0">
                  <c:v>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Sheet1!$B$16:$E$16</c:f>
              <c:strCache>
                <c:ptCount val="4"/>
                <c:pt idx="0">
                  <c:v>Stable</c:v>
                </c:pt>
                <c:pt idx="1">
                  <c:v>Declining</c:v>
                </c:pt>
                <c:pt idx="2">
                  <c:v>Unknown</c:v>
                </c:pt>
                <c:pt idx="3">
                  <c:v>No information</c:v>
                </c:pt>
              </c:strCache>
            </c:strRef>
          </c:cat>
          <c:val>
            <c:numRef>
              <c:f>Sheet1!$B$17:$E$17</c:f>
              <c:numCache>
                <c:formatCode>General</c:formatCode>
                <c:ptCount val="4"/>
                <c:pt idx="0">
                  <c:v>1</c:v>
                </c:pt>
                <c:pt idx="1">
                  <c:v>1</c:v>
                </c:pt>
                <c:pt idx="2">
                  <c:v>2</c:v>
                </c:pt>
                <c:pt idx="3">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plan d’action national adopté</a:t>
            </a:r>
          </a:p>
        </c:rich>
      </c:tx>
      <c:layout/>
      <c:overlay val="0"/>
      <c:spPr>
        <a:noFill/>
        <a:ln>
          <a:noFill/>
        </a:ln>
        <a:effectLst/>
      </c:spPr>
    </c:title>
    <c:autoTitleDeleted val="0"/>
    <c:plotArea>
      <c:layout/>
      <c:pieChart>
        <c:varyColors val="1"/>
        <c:ser>
          <c:idx val="0"/>
          <c:order val="0"/>
          <c:tx>
            <c:strRef>
              <c:f>Sheet1!$F$29</c:f>
              <c:strCache>
                <c:ptCount val="1"/>
                <c:pt idx="0">
                  <c:v>National Action Plan adopted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Sheet1!$G$28:$H$28</c:f>
              <c:strCache>
                <c:ptCount val="2"/>
                <c:pt idx="0">
                  <c:v>Yes</c:v>
                </c:pt>
                <c:pt idx="1">
                  <c:v>No</c:v>
                </c:pt>
              </c:strCache>
            </c:strRef>
          </c:cat>
          <c:val>
            <c:numRef>
              <c:f>Sheet1!$G$29:$H$29</c:f>
              <c:numCache>
                <c:formatCode>General</c:formatCode>
                <c:ptCount val="2"/>
                <c:pt idx="0">
                  <c:v>1</c:v>
                </c:pt>
                <c:pt idx="1">
                  <c:v>12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groupe de travail national établi </a:t>
            </a:r>
          </a:p>
        </c:rich>
      </c:tx>
      <c:layout/>
      <c:overlay val="0"/>
      <c:spPr>
        <a:noFill/>
        <a:ln>
          <a:noFill/>
        </a:ln>
        <a:effectLst/>
      </c:spPr>
    </c:title>
    <c:autoTitleDeleted val="0"/>
    <c:plotArea>
      <c:layout/>
      <c:pieChart>
        <c:varyColors val="1"/>
        <c:ser>
          <c:idx val="0"/>
          <c:order val="0"/>
          <c:tx>
            <c:strRef>
              <c:f>Sheet1!$F$32</c:f>
              <c:strCache>
                <c:ptCount val="1"/>
                <c:pt idx="0">
                  <c:v>National Working Group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Sheet1!$G$31:$H$31</c:f>
              <c:strCache>
                <c:ptCount val="2"/>
                <c:pt idx="0">
                  <c:v>Yes</c:v>
                </c:pt>
                <c:pt idx="1">
                  <c:v>No</c:v>
                </c:pt>
              </c:strCache>
            </c:strRef>
          </c:cat>
          <c:val>
            <c:numRef>
              <c:f>Sheet1!$G$32:$H$32</c:f>
              <c:numCache>
                <c:formatCode>General</c:formatCode>
                <c:ptCount val="2"/>
                <c:pt idx="0">
                  <c:v>0</c:v>
                </c:pt>
                <c:pt idx="1">
                  <c:v>13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en-US"/>
              <a:t>protection et gestion des sites de halte clés</a:t>
            </a:r>
          </a:p>
        </c:rich>
      </c:tx>
      <c:layout>
        <c:manualLayout>
          <c:xMode val="edge"/>
          <c:yMode val="edge"/>
          <c:x val="0.1200523949508448"/>
          <c:y val="3.9051603905160388E-2"/>
        </c:manualLayout>
      </c:layout>
      <c:overlay val="0"/>
      <c:spPr>
        <a:noFill/>
        <a:ln>
          <a:noFill/>
        </a:ln>
        <a:effectLst/>
      </c:spPr>
    </c:title>
    <c:autoTitleDeleted val="0"/>
    <c:plotArea>
      <c:layout/>
      <c:pieChart>
        <c:varyColors val="1"/>
        <c:ser>
          <c:idx val="0"/>
          <c:order val="0"/>
          <c:tx>
            <c:strRef>
              <c:f>Sheet1!$A$45</c:f>
              <c:strCache>
                <c:ptCount val="1"/>
                <c:pt idx="0">
                  <c:v>Key staging areas protected and managed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Sheet1!$B$44:$D$44</c:f>
              <c:strCache>
                <c:ptCount val="3"/>
                <c:pt idx="0">
                  <c:v>No</c:v>
                </c:pt>
                <c:pt idx="1">
                  <c:v>Partially</c:v>
                </c:pt>
                <c:pt idx="2">
                  <c:v>No information</c:v>
                </c:pt>
              </c:strCache>
            </c:strRef>
          </c:cat>
          <c:val>
            <c:numRef>
              <c:f>Sheet1!$B$45:$D$45</c:f>
              <c:numCache>
                <c:formatCode>General</c:formatCode>
                <c:ptCount val="3"/>
                <c:pt idx="0">
                  <c:v>4</c:v>
                </c:pt>
                <c:pt idx="1">
                  <c:v>1</c:v>
                </c:pt>
                <c:pt idx="2">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exigences en matière d'habitats incluses dans les politiques d'utilisation des sols pour les sites de reproduction et d'hivernage</a:t>
            </a:r>
          </a:p>
        </c:rich>
      </c:tx>
      <c:layout/>
      <c:overlay val="0"/>
      <c:spPr>
        <a:noFill/>
        <a:ln>
          <a:noFill/>
        </a:ln>
        <a:effectLst/>
      </c:spPr>
    </c:title>
    <c:autoTitleDeleted val="0"/>
    <c:plotArea>
      <c:layout/>
      <c:pieChart>
        <c:varyColors val="1"/>
        <c:ser>
          <c:idx val="0"/>
          <c:order val="0"/>
          <c:tx>
            <c:strRef>
              <c:f>Sheet1!$A$51</c:f>
              <c:strCache>
                <c:ptCount val="1"/>
                <c:pt idx="0">
                  <c:v>habitat requirements included in land-use policies in breeding and wintering areas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Sheet1!$B$50:$C$50</c:f>
              <c:strCache>
                <c:ptCount val="2"/>
                <c:pt idx="0">
                  <c:v>No</c:v>
                </c:pt>
                <c:pt idx="1">
                  <c:v>No information</c:v>
                </c:pt>
              </c:strCache>
            </c:strRef>
          </c:cat>
          <c:val>
            <c:numRef>
              <c:f>Sheet1!$B$51:$C$51</c:f>
              <c:numCache>
                <c:formatCode>General</c:formatCode>
                <c:ptCount val="2"/>
                <c:pt idx="0">
                  <c:v>4</c:v>
                </c:pt>
                <c:pt idx="1">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nl-NL"/>
              <a:t>évaluation de l'efficacité du réseau de sites protégés existant</a:t>
            </a:r>
          </a:p>
        </c:rich>
      </c:tx>
      <c:layout/>
      <c:overlay val="0"/>
      <c:spPr>
        <a:noFill/>
        <a:ln>
          <a:noFill/>
        </a:ln>
        <a:effectLst/>
      </c:spPr>
    </c:title>
    <c:autoTitleDeleted val="0"/>
    <c:plotArea>
      <c:layout/>
      <c:pieChart>
        <c:varyColors val="1"/>
        <c:ser>
          <c:idx val="0"/>
          <c:order val="0"/>
          <c:tx>
            <c:strRef>
              <c:f>Sheet1!$A$55</c:f>
              <c:strCache>
                <c:ptCount val="1"/>
                <c:pt idx="0">
                  <c:v>Effectiveness of the existing protected area network assessed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Sheet1!$B$54:$E$54</c:f>
              <c:strCache>
                <c:ptCount val="4"/>
                <c:pt idx="0">
                  <c:v>Yes</c:v>
                </c:pt>
                <c:pt idx="1">
                  <c:v>No </c:v>
                </c:pt>
                <c:pt idx="2">
                  <c:v>Partially</c:v>
                </c:pt>
                <c:pt idx="3">
                  <c:v>No information</c:v>
                </c:pt>
              </c:strCache>
            </c:strRef>
          </c:cat>
          <c:val>
            <c:numRef>
              <c:f>Sheet1!$B$55:$E$55</c:f>
              <c:numCache>
                <c:formatCode>General</c:formatCode>
                <c:ptCount val="4"/>
                <c:pt idx="0">
                  <c:v>1</c:v>
                </c:pt>
                <c:pt idx="1">
                  <c:v>4</c:v>
                </c:pt>
                <c:pt idx="3">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17BB-8CBA-4CA1-8976-158435EC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42433</Words>
  <Characters>241874</Characters>
  <Application>Microsoft Office Word</Application>
  <DocSecurity>0</DocSecurity>
  <Lines>2015</Lines>
  <Paragraphs>567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DELLNBX</Company>
  <LinksUpToDate>false</LinksUpToDate>
  <CharactersWithSpaces>283740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aewa_lwfg</dc:creator>
  <cp:lastModifiedBy>Jolanta Kremer (UNEP/AEWA Secretariat)</cp:lastModifiedBy>
  <cp:revision>2</cp:revision>
  <cp:lastPrinted>2015-10-26T14:39:00Z</cp:lastPrinted>
  <dcterms:created xsi:type="dcterms:W3CDTF">2015-11-05T08:21:00Z</dcterms:created>
  <dcterms:modified xsi:type="dcterms:W3CDTF">2015-11-05T08:21:00Z</dcterms:modified>
</cp:coreProperties>
</file>