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780B5" w14:textId="77777777" w:rsidR="006537A2" w:rsidRDefault="006537A2" w:rsidP="00496DC6">
      <w:pPr>
        <w:jc w:val="center"/>
        <w:rPr>
          <w:b/>
          <w:sz w:val="24"/>
          <w:szCs w:val="24"/>
          <w:lang w:val="fr-FR"/>
        </w:rPr>
      </w:pPr>
      <w:bookmarkStart w:id="0" w:name="_GoBack"/>
      <w:bookmarkEnd w:id="0"/>
    </w:p>
    <w:p w14:paraId="59AEF21E" w14:textId="2050BD91" w:rsidR="00F82A75" w:rsidRPr="00ED7695" w:rsidRDefault="00F82A75" w:rsidP="00496DC6">
      <w:pPr>
        <w:jc w:val="center"/>
        <w:rPr>
          <w:b/>
          <w:sz w:val="24"/>
          <w:szCs w:val="24"/>
          <w:lang w:val="fr-FR"/>
        </w:rPr>
      </w:pPr>
      <w:r>
        <w:rPr>
          <w:b/>
          <w:sz w:val="24"/>
          <w:szCs w:val="24"/>
          <w:lang w:val="fr-FR"/>
        </w:rPr>
        <w:t>RAPPORT DE LA 5</w:t>
      </w:r>
      <w:r w:rsidRPr="00ED7695">
        <w:rPr>
          <w:b/>
          <w:sz w:val="24"/>
          <w:szCs w:val="24"/>
          <w:vertAlign w:val="superscript"/>
          <w:lang w:val="fr-FR"/>
        </w:rPr>
        <w:t>ème</w:t>
      </w:r>
      <w:r>
        <w:rPr>
          <w:b/>
          <w:sz w:val="24"/>
          <w:szCs w:val="24"/>
          <w:lang w:val="fr-FR"/>
        </w:rPr>
        <w:t xml:space="preserve"> </w:t>
      </w:r>
      <w:r w:rsidRPr="00B74F01">
        <w:rPr>
          <w:b/>
          <w:sz w:val="24"/>
          <w:szCs w:val="24"/>
          <w:lang w:val="fr-FR"/>
        </w:rPr>
        <w:t>SESSION DE LA R</w:t>
      </w:r>
      <w:r>
        <w:rPr>
          <w:b/>
          <w:bCs/>
          <w:caps/>
          <w:sz w:val="24"/>
          <w:lang w:val="fr-FR"/>
        </w:rPr>
        <w:t>É</w:t>
      </w:r>
      <w:r w:rsidRPr="00B74F01">
        <w:rPr>
          <w:b/>
          <w:sz w:val="24"/>
          <w:szCs w:val="24"/>
          <w:lang w:val="fr-FR"/>
        </w:rPr>
        <w:t>UNION DES PARTIES</w:t>
      </w:r>
      <w:r>
        <w:rPr>
          <w:b/>
          <w:sz w:val="24"/>
          <w:szCs w:val="24"/>
          <w:lang w:val="fr-FR"/>
        </w:rPr>
        <w:t xml:space="preserve"> </w:t>
      </w:r>
      <w:r w:rsidRPr="00B74F01">
        <w:rPr>
          <w:b/>
          <w:sz w:val="24"/>
          <w:szCs w:val="24"/>
          <w:lang w:val="fr-FR"/>
        </w:rPr>
        <w:t>(MOP</w:t>
      </w:r>
      <w:r>
        <w:rPr>
          <w:b/>
          <w:sz w:val="24"/>
          <w:szCs w:val="24"/>
          <w:lang w:val="fr-FR"/>
        </w:rPr>
        <w:t>5</w:t>
      </w:r>
      <w:r w:rsidRPr="00B74F01">
        <w:rPr>
          <w:b/>
          <w:sz w:val="24"/>
          <w:szCs w:val="24"/>
          <w:lang w:val="fr-FR"/>
        </w:rPr>
        <w:t xml:space="preserve">) </w:t>
      </w:r>
      <w:r w:rsidRPr="00731CFE">
        <w:rPr>
          <w:b/>
          <w:bCs/>
          <w:sz w:val="24"/>
          <w:lang w:val="fr-FR"/>
        </w:rPr>
        <w:t>À</w:t>
      </w:r>
      <w:r>
        <w:rPr>
          <w:b/>
          <w:bCs/>
          <w:i/>
          <w:sz w:val="24"/>
          <w:lang w:val="fr-FR"/>
        </w:rPr>
        <w:t xml:space="preserve"> </w:t>
      </w:r>
      <w:r w:rsidRPr="00B74F01">
        <w:rPr>
          <w:b/>
          <w:sz w:val="24"/>
          <w:szCs w:val="24"/>
          <w:lang w:val="fr-FR"/>
        </w:rPr>
        <w:t>L</w:t>
      </w:r>
      <w:r>
        <w:rPr>
          <w:b/>
          <w:sz w:val="24"/>
          <w:szCs w:val="24"/>
          <w:lang w:val="fr-FR"/>
        </w:rPr>
        <w:t>’</w:t>
      </w:r>
      <w:r w:rsidRPr="00B74F01">
        <w:rPr>
          <w:b/>
          <w:sz w:val="24"/>
          <w:szCs w:val="24"/>
          <w:lang w:val="fr-FR"/>
        </w:rPr>
        <w:t>ACCORD SUR LA CONSERVATION DES OISEAUX D</w:t>
      </w:r>
      <w:r>
        <w:rPr>
          <w:b/>
          <w:sz w:val="24"/>
          <w:szCs w:val="24"/>
          <w:lang w:val="fr-FR"/>
        </w:rPr>
        <w:t>’</w:t>
      </w:r>
      <w:r w:rsidRPr="00B74F01">
        <w:rPr>
          <w:b/>
          <w:sz w:val="24"/>
          <w:szCs w:val="24"/>
          <w:lang w:val="fr-FR"/>
        </w:rPr>
        <w:t xml:space="preserve">EAU MIGRATEURS </w:t>
      </w:r>
      <w:r>
        <w:rPr>
          <w:b/>
          <w:sz w:val="24"/>
          <w:szCs w:val="24"/>
          <w:lang w:val="fr-FR"/>
        </w:rPr>
        <w:t>D’</w:t>
      </w:r>
      <w:r w:rsidRPr="00B74F01">
        <w:rPr>
          <w:b/>
          <w:sz w:val="24"/>
          <w:szCs w:val="24"/>
          <w:lang w:val="fr-FR"/>
        </w:rPr>
        <w:t xml:space="preserve">AFRIQUE-EURASIE </w:t>
      </w:r>
      <w:r>
        <w:rPr>
          <w:b/>
          <w:sz w:val="24"/>
          <w:szCs w:val="24"/>
          <w:lang w:val="fr-FR"/>
        </w:rPr>
        <w:t>(AEWA</w:t>
      </w:r>
      <w:r w:rsidRPr="00ED7695">
        <w:rPr>
          <w:b/>
          <w:sz w:val="24"/>
          <w:szCs w:val="24"/>
          <w:lang w:val="fr-FR"/>
        </w:rPr>
        <w:t>)</w:t>
      </w:r>
      <w:r w:rsidR="000958DA">
        <w:rPr>
          <w:b/>
          <w:sz w:val="24"/>
          <w:szCs w:val="24"/>
          <w:lang w:val="fr-FR"/>
        </w:rPr>
        <w:t xml:space="preserve">, </w:t>
      </w:r>
      <w:r w:rsidRPr="00ED7695">
        <w:rPr>
          <w:b/>
          <w:sz w:val="24"/>
          <w:szCs w:val="24"/>
          <w:lang w:val="fr-FR"/>
        </w:rPr>
        <w:t xml:space="preserve">14 </w:t>
      </w:r>
      <w:r>
        <w:rPr>
          <w:b/>
          <w:sz w:val="24"/>
          <w:szCs w:val="24"/>
          <w:lang w:val="fr-FR"/>
        </w:rPr>
        <w:t>-</w:t>
      </w:r>
      <w:r w:rsidRPr="00ED7695">
        <w:rPr>
          <w:b/>
          <w:sz w:val="24"/>
          <w:szCs w:val="24"/>
          <w:lang w:val="fr-FR"/>
        </w:rPr>
        <w:t xml:space="preserve">18 </w:t>
      </w:r>
      <w:r>
        <w:rPr>
          <w:b/>
          <w:sz w:val="24"/>
          <w:szCs w:val="24"/>
          <w:lang w:val="fr-FR"/>
        </w:rPr>
        <w:t xml:space="preserve">MAI </w:t>
      </w:r>
      <w:r w:rsidRPr="00ED7695">
        <w:rPr>
          <w:b/>
          <w:sz w:val="24"/>
          <w:szCs w:val="24"/>
          <w:lang w:val="fr-FR"/>
        </w:rPr>
        <w:t>2012, LA ROCHELLE, FRANCE</w:t>
      </w:r>
    </w:p>
    <w:p w14:paraId="278B3BFF" w14:textId="77777777" w:rsidR="00F82A75" w:rsidRPr="00ED7695" w:rsidRDefault="00F82A75" w:rsidP="00BA154F">
      <w:pPr>
        <w:jc w:val="both"/>
        <w:rPr>
          <w:b/>
          <w:lang w:val="fr-FR"/>
        </w:rPr>
      </w:pPr>
    </w:p>
    <w:p w14:paraId="238969F9" w14:textId="77777777" w:rsidR="00F82A75" w:rsidRPr="00ED7695" w:rsidRDefault="00F82A75" w:rsidP="00BA154F">
      <w:pPr>
        <w:jc w:val="both"/>
        <w:rPr>
          <w:b/>
          <w:szCs w:val="22"/>
          <w:lang w:val="fr-FR"/>
        </w:rPr>
      </w:pPr>
    </w:p>
    <w:p w14:paraId="69B3421B" w14:textId="503F19BE" w:rsidR="00F82A75" w:rsidRPr="009E14EA" w:rsidRDefault="00F82A75" w:rsidP="00BA154F">
      <w:pPr>
        <w:jc w:val="both"/>
        <w:rPr>
          <w:b/>
          <w:szCs w:val="22"/>
          <w:lang w:val="fr-FR"/>
        </w:rPr>
      </w:pPr>
      <w:r>
        <w:rPr>
          <w:b/>
          <w:szCs w:val="22"/>
          <w:lang w:val="fr-FR"/>
        </w:rPr>
        <w:t>Point 1 de l’</w:t>
      </w:r>
      <w:r w:rsidRPr="009E14EA">
        <w:rPr>
          <w:b/>
          <w:szCs w:val="22"/>
          <w:lang w:val="fr-FR"/>
        </w:rPr>
        <w:t>ordre du jour - Ouverture de la session</w:t>
      </w:r>
    </w:p>
    <w:p w14:paraId="1CFBFF0C" w14:textId="77777777" w:rsidR="00F82A75" w:rsidRPr="009E14EA" w:rsidRDefault="00F82A75" w:rsidP="00BA154F">
      <w:pPr>
        <w:jc w:val="both"/>
        <w:rPr>
          <w:szCs w:val="22"/>
          <w:lang w:val="fr-FR"/>
        </w:rPr>
      </w:pPr>
    </w:p>
    <w:p w14:paraId="0A741ECB" w14:textId="37B95499" w:rsidR="00F82A75" w:rsidRPr="009E14EA" w:rsidRDefault="00F82A75" w:rsidP="00BA154F">
      <w:pPr>
        <w:jc w:val="both"/>
        <w:rPr>
          <w:szCs w:val="22"/>
          <w:lang w:val="fr-FR"/>
        </w:rPr>
      </w:pPr>
      <w:r w:rsidRPr="009E14EA">
        <w:rPr>
          <w:szCs w:val="22"/>
          <w:lang w:val="fr-FR"/>
        </w:rPr>
        <w:t xml:space="preserve">1. </w:t>
      </w:r>
      <w:r w:rsidRPr="00D92B3D">
        <w:rPr>
          <w:szCs w:val="22"/>
          <w:lang w:val="fr-FR"/>
        </w:rPr>
        <w:t>Le</w:t>
      </w:r>
      <w:r w:rsidRPr="009E14EA">
        <w:rPr>
          <w:szCs w:val="22"/>
          <w:lang w:val="fr-FR"/>
        </w:rPr>
        <w:t xml:space="preserve"> </w:t>
      </w:r>
      <w:r w:rsidRPr="009E14EA">
        <w:rPr>
          <w:b/>
          <w:szCs w:val="22"/>
          <w:lang w:val="fr-FR"/>
        </w:rPr>
        <w:t>Maître de cérémonie</w:t>
      </w:r>
      <w:r w:rsidRPr="009E14EA">
        <w:rPr>
          <w:szCs w:val="22"/>
          <w:lang w:val="fr-FR"/>
        </w:rPr>
        <w:t xml:space="preserve"> a introduit les discours de bienvenue prononcés par </w:t>
      </w:r>
      <w:r>
        <w:rPr>
          <w:szCs w:val="22"/>
          <w:lang w:val="fr-FR"/>
        </w:rPr>
        <w:t>la</w:t>
      </w:r>
      <w:r w:rsidRPr="009E14EA">
        <w:rPr>
          <w:szCs w:val="22"/>
          <w:lang w:val="fr-FR"/>
        </w:rPr>
        <w:t xml:space="preserve"> Député</w:t>
      </w:r>
      <w:r>
        <w:rPr>
          <w:szCs w:val="22"/>
          <w:lang w:val="fr-FR"/>
        </w:rPr>
        <w:t>e-m</w:t>
      </w:r>
      <w:r w:rsidRPr="009E14EA">
        <w:rPr>
          <w:szCs w:val="22"/>
          <w:lang w:val="fr-FR"/>
        </w:rPr>
        <w:t>aire de La</w:t>
      </w:r>
      <w:r>
        <w:rPr>
          <w:szCs w:val="22"/>
          <w:lang w:val="fr-FR"/>
        </w:rPr>
        <w:t xml:space="preserve"> </w:t>
      </w:r>
      <w:r w:rsidRPr="009E14EA">
        <w:rPr>
          <w:szCs w:val="22"/>
          <w:lang w:val="fr-FR"/>
        </w:rPr>
        <w:t>Rochelle, le Préfet de la Charente-Maritime, le Directeur exécutif du Programme des Nations Unies pour l</w:t>
      </w:r>
      <w:r>
        <w:rPr>
          <w:szCs w:val="22"/>
          <w:lang w:val="fr-FR"/>
        </w:rPr>
        <w:t>’</w:t>
      </w:r>
      <w:r w:rsidRPr="009E14EA">
        <w:rPr>
          <w:szCs w:val="22"/>
          <w:lang w:val="fr-FR"/>
        </w:rPr>
        <w:t xml:space="preserve">environnement (PNUE), </w:t>
      </w:r>
      <w:r>
        <w:rPr>
          <w:szCs w:val="22"/>
          <w:lang w:val="fr-FR"/>
        </w:rPr>
        <w:t>la</w:t>
      </w:r>
      <w:r w:rsidRPr="009E14EA">
        <w:rPr>
          <w:szCs w:val="22"/>
          <w:lang w:val="fr-FR"/>
        </w:rPr>
        <w:t xml:space="preserve"> Secrétaire exécuti</w:t>
      </w:r>
      <w:r>
        <w:rPr>
          <w:szCs w:val="22"/>
          <w:lang w:val="fr-FR"/>
        </w:rPr>
        <w:t>ve</w:t>
      </w:r>
      <w:r w:rsidRPr="009E14EA">
        <w:rPr>
          <w:szCs w:val="22"/>
          <w:lang w:val="fr-FR"/>
        </w:rPr>
        <w:t xml:space="preserve"> de la Convention sur les espèces migratrices (CMS)</w:t>
      </w:r>
      <w:r>
        <w:rPr>
          <w:szCs w:val="22"/>
          <w:lang w:val="fr-FR"/>
        </w:rPr>
        <w:t>,</w:t>
      </w:r>
      <w:r w:rsidRPr="009E14EA">
        <w:rPr>
          <w:szCs w:val="22"/>
          <w:lang w:val="fr-FR"/>
        </w:rPr>
        <w:t xml:space="preserve"> le Secrétaire exécutif par intérim de l</w:t>
      </w:r>
      <w:r>
        <w:rPr>
          <w:szCs w:val="22"/>
          <w:lang w:val="fr-FR"/>
        </w:rPr>
        <w:t>’</w:t>
      </w:r>
      <w:r w:rsidRPr="009E14EA">
        <w:rPr>
          <w:szCs w:val="22"/>
          <w:lang w:val="fr-FR"/>
        </w:rPr>
        <w:t>AEWA et l</w:t>
      </w:r>
      <w:r>
        <w:rPr>
          <w:szCs w:val="22"/>
          <w:lang w:val="fr-FR"/>
        </w:rPr>
        <w:t>’</w:t>
      </w:r>
      <w:r w:rsidRPr="009E14EA">
        <w:rPr>
          <w:szCs w:val="22"/>
          <w:lang w:val="fr-FR"/>
        </w:rPr>
        <w:t>Ambassadeur chargé de l</w:t>
      </w:r>
      <w:r>
        <w:rPr>
          <w:szCs w:val="22"/>
          <w:lang w:val="fr-FR"/>
        </w:rPr>
        <w:t>’</w:t>
      </w:r>
      <w:r w:rsidRPr="009E14EA">
        <w:rPr>
          <w:szCs w:val="22"/>
          <w:lang w:val="fr-FR"/>
        </w:rPr>
        <w:t>environnement de la République française.</w:t>
      </w:r>
    </w:p>
    <w:p w14:paraId="23CE0466" w14:textId="77777777" w:rsidR="00F82A75" w:rsidRPr="009E14EA" w:rsidRDefault="00F82A75" w:rsidP="00BA154F">
      <w:pPr>
        <w:jc w:val="both"/>
        <w:rPr>
          <w:szCs w:val="22"/>
          <w:lang w:val="fr-FR"/>
        </w:rPr>
      </w:pPr>
    </w:p>
    <w:p w14:paraId="318B8ECD" w14:textId="1E595624" w:rsidR="00F82A75" w:rsidRPr="009E14EA" w:rsidRDefault="00F82A75" w:rsidP="00BA154F">
      <w:pPr>
        <w:jc w:val="both"/>
        <w:rPr>
          <w:szCs w:val="22"/>
          <w:lang w:val="fr-FR"/>
        </w:rPr>
      </w:pPr>
      <w:r w:rsidRPr="009E14EA">
        <w:rPr>
          <w:szCs w:val="22"/>
          <w:lang w:val="fr-FR"/>
        </w:rPr>
        <w:t>2. L</w:t>
      </w:r>
      <w:r>
        <w:rPr>
          <w:szCs w:val="22"/>
          <w:lang w:val="fr-FR"/>
        </w:rPr>
        <w:t>a</w:t>
      </w:r>
      <w:r w:rsidRPr="009E14EA">
        <w:rPr>
          <w:szCs w:val="22"/>
          <w:lang w:val="fr-FR"/>
        </w:rPr>
        <w:t xml:space="preserve"> </w:t>
      </w:r>
      <w:r w:rsidRPr="009E14EA">
        <w:rPr>
          <w:b/>
          <w:szCs w:val="22"/>
          <w:lang w:val="fr-FR"/>
        </w:rPr>
        <w:t>Député</w:t>
      </w:r>
      <w:r>
        <w:rPr>
          <w:b/>
          <w:szCs w:val="22"/>
          <w:lang w:val="fr-FR"/>
        </w:rPr>
        <w:t>e</w:t>
      </w:r>
      <w:r w:rsidRPr="009E14EA">
        <w:rPr>
          <w:b/>
          <w:szCs w:val="22"/>
          <w:lang w:val="fr-FR"/>
        </w:rPr>
        <w:t>-maire de La Rochelle</w:t>
      </w:r>
      <w:r w:rsidR="005012AF">
        <w:rPr>
          <w:szCs w:val="22"/>
          <w:lang w:val="fr-FR"/>
        </w:rPr>
        <w:t xml:space="preserve"> (Mme Sabrina </w:t>
      </w:r>
      <w:proofErr w:type="spellStart"/>
      <w:r w:rsidR="005012AF">
        <w:rPr>
          <w:szCs w:val="22"/>
          <w:lang w:val="fr-FR"/>
        </w:rPr>
        <w:t>Laconi</w:t>
      </w:r>
      <w:proofErr w:type="spellEnd"/>
      <w:r w:rsidR="005012AF">
        <w:rPr>
          <w:szCs w:val="22"/>
          <w:lang w:val="fr-FR"/>
        </w:rPr>
        <w:t xml:space="preserve">), </w:t>
      </w:r>
      <w:r w:rsidRPr="009E14EA">
        <w:rPr>
          <w:szCs w:val="22"/>
          <w:lang w:val="fr-FR"/>
        </w:rPr>
        <w:t>parlant au nom d</w:t>
      </w:r>
      <w:r>
        <w:rPr>
          <w:szCs w:val="22"/>
          <w:lang w:val="fr-FR"/>
        </w:rPr>
        <w:t>u Maire,</w:t>
      </w:r>
      <w:r w:rsidRPr="009E14EA">
        <w:rPr>
          <w:szCs w:val="22"/>
          <w:lang w:val="fr-FR"/>
        </w:rPr>
        <w:t xml:space="preserve"> M. Maxime Bono,</w:t>
      </w:r>
      <w:r>
        <w:rPr>
          <w:szCs w:val="22"/>
          <w:lang w:val="fr-FR"/>
        </w:rPr>
        <w:t xml:space="preserve"> </w:t>
      </w:r>
      <w:r w:rsidRPr="009E14EA">
        <w:rPr>
          <w:szCs w:val="22"/>
          <w:lang w:val="fr-FR"/>
        </w:rPr>
        <w:t xml:space="preserve">a souhaité la bienvenue aux participants dans cette </w:t>
      </w:r>
      <w:r w:rsidRPr="00D14341">
        <w:rPr>
          <w:szCs w:val="22"/>
          <w:lang w:val="fr-FR"/>
        </w:rPr>
        <w:t>petite ville</w:t>
      </w:r>
      <w:r w:rsidRPr="009E14EA">
        <w:rPr>
          <w:szCs w:val="22"/>
          <w:lang w:val="fr-FR"/>
        </w:rPr>
        <w:t xml:space="preserve"> de la côte Atlantique, </w:t>
      </w:r>
      <w:r>
        <w:rPr>
          <w:szCs w:val="22"/>
          <w:lang w:val="fr-FR"/>
        </w:rPr>
        <w:t xml:space="preserve">qui </w:t>
      </w:r>
      <w:r w:rsidRPr="009E14EA">
        <w:rPr>
          <w:szCs w:val="22"/>
          <w:lang w:val="fr-FR"/>
        </w:rPr>
        <w:t>compt</w:t>
      </w:r>
      <w:r>
        <w:rPr>
          <w:szCs w:val="22"/>
          <w:lang w:val="fr-FR"/>
        </w:rPr>
        <w:t>e</w:t>
      </w:r>
      <w:r w:rsidRPr="009E14EA">
        <w:rPr>
          <w:szCs w:val="22"/>
          <w:lang w:val="fr-FR"/>
        </w:rPr>
        <w:t xml:space="preserve"> 80 000 habitants. La Rochelle </w:t>
      </w:r>
      <w:r>
        <w:rPr>
          <w:szCs w:val="22"/>
          <w:lang w:val="fr-FR"/>
        </w:rPr>
        <w:t xml:space="preserve">se voulait </w:t>
      </w:r>
      <w:r w:rsidRPr="009E14EA">
        <w:rPr>
          <w:szCs w:val="22"/>
          <w:lang w:val="fr-FR"/>
        </w:rPr>
        <w:t>innovatrice en matière d</w:t>
      </w:r>
      <w:r>
        <w:rPr>
          <w:szCs w:val="22"/>
          <w:lang w:val="fr-FR"/>
        </w:rPr>
        <w:t>’</w:t>
      </w:r>
      <w:r w:rsidRPr="009E14EA">
        <w:rPr>
          <w:szCs w:val="22"/>
          <w:lang w:val="fr-FR"/>
        </w:rPr>
        <w:t>environnement</w:t>
      </w:r>
      <w:r>
        <w:rPr>
          <w:szCs w:val="22"/>
          <w:lang w:val="fr-FR"/>
        </w:rPr>
        <w:t xml:space="preserve"> et</w:t>
      </w:r>
      <w:r w:rsidRPr="009E14EA">
        <w:rPr>
          <w:szCs w:val="22"/>
          <w:lang w:val="fr-FR"/>
        </w:rPr>
        <w:t xml:space="preserve"> de protection de la nature, et </w:t>
      </w:r>
      <w:r>
        <w:rPr>
          <w:szCs w:val="22"/>
          <w:lang w:val="fr-FR"/>
        </w:rPr>
        <w:t xml:space="preserve">la </w:t>
      </w:r>
      <w:r w:rsidRPr="009E14EA">
        <w:rPr>
          <w:szCs w:val="22"/>
          <w:lang w:val="fr-FR"/>
        </w:rPr>
        <w:t>conservation de la flore et de la faune occupait une place prédominante dans l</w:t>
      </w:r>
      <w:r>
        <w:rPr>
          <w:szCs w:val="22"/>
          <w:lang w:val="fr-FR"/>
        </w:rPr>
        <w:t>’</w:t>
      </w:r>
      <w:r w:rsidRPr="009E14EA">
        <w:rPr>
          <w:szCs w:val="22"/>
          <w:lang w:val="fr-FR"/>
        </w:rPr>
        <w:t>agenda de la région.</w:t>
      </w:r>
    </w:p>
    <w:p w14:paraId="51F22ED4" w14:textId="77777777" w:rsidR="00F82A75" w:rsidRPr="009E14EA" w:rsidRDefault="00F82A75" w:rsidP="00BA154F">
      <w:pPr>
        <w:jc w:val="both"/>
        <w:rPr>
          <w:szCs w:val="22"/>
          <w:lang w:val="fr-FR"/>
        </w:rPr>
      </w:pPr>
    </w:p>
    <w:p w14:paraId="52FB6B7B" w14:textId="455E05B5" w:rsidR="00F82A75" w:rsidRPr="009E14EA" w:rsidRDefault="00F82A75" w:rsidP="00BA154F">
      <w:pPr>
        <w:jc w:val="both"/>
        <w:rPr>
          <w:szCs w:val="22"/>
          <w:lang w:val="fr-FR"/>
        </w:rPr>
      </w:pPr>
      <w:r w:rsidRPr="009E14EA">
        <w:rPr>
          <w:szCs w:val="22"/>
          <w:lang w:val="fr-FR"/>
        </w:rPr>
        <w:t xml:space="preserve">3. Le </w:t>
      </w:r>
      <w:r w:rsidRPr="009E14EA">
        <w:rPr>
          <w:b/>
          <w:szCs w:val="22"/>
          <w:lang w:val="fr-FR"/>
        </w:rPr>
        <w:t>Préfet du</w:t>
      </w:r>
      <w:r>
        <w:rPr>
          <w:b/>
          <w:szCs w:val="22"/>
          <w:lang w:val="fr-FR"/>
        </w:rPr>
        <w:t xml:space="preserve"> </w:t>
      </w:r>
      <w:r w:rsidRPr="009E14EA">
        <w:rPr>
          <w:b/>
          <w:szCs w:val="22"/>
          <w:lang w:val="fr-FR"/>
        </w:rPr>
        <w:t>département de la Charente–Maritime</w:t>
      </w:r>
      <w:r w:rsidR="005012AF">
        <w:rPr>
          <w:szCs w:val="22"/>
          <w:lang w:val="fr-FR"/>
        </w:rPr>
        <w:t xml:space="preserve"> (</w:t>
      </w:r>
      <w:r w:rsidRPr="009E14EA">
        <w:rPr>
          <w:szCs w:val="22"/>
          <w:lang w:val="fr-FR"/>
        </w:rPr>
        <w:t xml:space="preserve">Mme Béatrice </w:t>
      </w:r>
      <w:proofErr w:type="spellStart"/>
      <w:r w:rsidRPr="009E14EA">
        <w:rPr>
          <w:szCs w:val="22"/>
          <w:lang w:val="fr-FR"/>
        </w:rPr>
        <w:t>Abollivier</w:t>
      </w:r>
      <w:proofErr w:type="spellEnd"/>
      <w:r w:rsidR="005012AF">
        <w:rPr>
          <w:szCs w:val="22"/>
          <w:lang w:val="fr-FR"/>
        </w:rPr>
        <w:t>)</w:t>
      </w:r>
      <w:r w:rsidRPr="009E14EA">
        <w:rPr>
          <w:szCs w:val="22"/>
          <w:lang w:val="fr-FR"/>
        </w:rPr>
        <w:t xml:space="preserve"> a </w:t>
      </w:r>
      <w:r>
        <w:rPr>
          <w:szCs w:val="22"/>
          <w:lang w:val="fr-FR"/>
        </w:rPr>
        <w:t>mis en avant</w:t>
      </w:r>
      <w:r w:rsidRPr="009E14EA">
        <w:rPr>
          <w:szCs w:val="22"/>
          <w:lang w:val="fr-FR"/>
        </w:rPr>
        <w:t xml:space="preserve"> la position stratégique de la Charente-Maritime sur l</w:t>
      </w:r>
      <w:r>
        <w:rPr>
          <w:szCs w:val="22"/>
          <w:lang w:val="fr-FR"/>
        </w:rPr>
        <w:t>’</w:t>
      </w:r>
      <w:r w:rsidRPr="009E14EA">
        <w:rPr>
          <w:szCs w:val="22"/>
          <w:lang w:val="fr-FR"/>
        </w:rPr>
        <w:t>itinéraire de migration Est-</w:t>
      </w:r>
      <w:r>
        <w:rPr>
          <w:szCs w:val="22"/>
          <w:lang w:val="fr-FR"/>
        </w:rPr>
        <w:t>A</w:t>
      </w:r>
      <w:r w:rsidRPr="009E14EA">
        <w:rPr>
          <w:szCs w:val="22"/>
          <w:lang w:val="fr-FR"/>
        </w:rPr>
        <w:t>tlantique, faisant observer que les marais littoraux couvrent un-cinquième de la superficie du département. Elle a rappelé que le siège de la Ligue française pour la protection des oiseaux (LPO) ainsi que le Conservatoire du Littoral étaient situés en Charente-Maritime</w:t>
      </w:r>
      <w:r>
        <w:rPr>
          <w:szCs w:val="22"/>
          <w:lang w:val="fr-FR"/>
        </w:rPr>
        <w:t>,</w:t>
      </w:r>
      <w:r w:rsidRPr="009E14EA">
        <w:rPr>
          <w:szCs w:val="22"/>
          <w:lang w:val="fr-FR"/>
        </w:rPr>
        <w:t xml:space="preserve"> et elle a </w:t>
      </w:r>
      <w:r>
        <w:rPr>
          <w:szCs w:val="22"/>
          <w:lang w:val="fr-FR"/>
        </w:rPr>
        <w:t>souligné l’</w:t>
      </w:r>
      <w:r w:rsidRPr="009E14EA">
        <w:rPr>
          <w:szCs w:val="22"/>
          <w:lang w:val="fr-FR"/>
        </w:rPr>
        <w:t>étroite coopération avec la Fédération départementale de</w:t>
      </w:r>
      <w:r>
        <w:rPr>
          <w:szCs w:val="22"/>
          <w:lang w:val="fr-FR"/>
        </w:rPr>
        <w:t>s chasseurs</w:t>
      </w:r>
      <w:r w:rsidRPr="009E14EA">
        <w:rPr>
          <w:szCs w:val="22"/>
          <w:lang w:val="fr-FR"/>
        </w:rPr>
        <w:t>. Du fait de l</w:t>
      </w:r>
      <w:r>
        <w:rPr>
          <w:szCs w:val="22"/>
          <w:lang w:val="fr-FR"/>
        </w:rPr>
        <w:t>’</w:t>
      </w:r>
      <w:r w:rsidRPr="009E14EA">
        <w:rPr>
          <w:szCs w:val="22"/>
          <w:lang w:val="fr-FR"/>
        </w:rPr>
        <w:t xml:space="preserve">augmentation de la population humaine dans les </w:t>
      </w:r>
      <w:r>
        <w:rPr>
          <w:szCs w:val="22"/>
          <w:lang w:val="fr-FR"/>
        </w:rPr>
        <w:t>zones</w:t>
      </w:r>
      <w:r w:rsidRPr="009E14EA">
        <w:rPr>
          <w:szCs w:val="22"/>
          <w:lang w:val="fr-FR"/>
        </w:rPr>
        <w:t xml:space="preserve"> côtières du département, qui sont d</w:t>
      </w:r>
      <w:r>
        <w:rPr>
          <w:szCs w:val="22"/>
          <w:lang w:val="fr-FR"/>
        </w:rPr>
        <w:t>’</w:t>
      </w:r>
      <w:r w:rsidRPr="009E14EA">
        <w:rPr>
          <w:szCs w:val="22"/>
          <w:lang w:val="fr-FR"/>
        </w:rPr>
        <w:t>une grande valeur pour la conservation des oiseaux d</w:t>
      </w:r>
      <w:r>
        <w:rPr>
          <w:szCs w:val="22"/>
          <w:lang w:val="fr-FR"/>
        </w:rPr>
        <w:t>’</w:t>
      </w:r>
      <w:r w:rsidRPr="009E14EA">
        <w:rPr>
          <w:szCs w:val="22"/>
          <w:lang w:val="fr-FR"/>
        </w:rPr>
        <w:t xml:space="preserve">eau, le thème de la MOP5 </w:t>
      </w:r>
      <w:r>
        <w:rPr>
          <w:szCs w:val="22"/>
          <w:lang w:val="fr-FR"/>
        </w:rPr>
        <w:t xml:space="preserve">lui semblait </w:t>
      </w:r>
      <w:r w:rsidRPr="009E14EA">
        <w:rPr>
          <w:szCs w:val="22"/>
          <w:lang w:val="fr-FR"/>
        </w:rPr>
        <w:t xml:space="preserve">particulièrement </w:t>
      </w:r>
      <w:r>
        <w:rPr>
          <w:szCs w:val="22"/>
          <w:lang w:val="fr-FR"/>
        </w:rPr>
        <w:t>pertinent</w:t>
      </w:r>
      <w:r w:rsidRPr="009E14EA">
        <w:rPr>
          <w:szCs w:val="22"/>
          <w:lang w:val="fr-FR"/>
        </w:rPr>
        <w:t>.</w:t>
      </w:r>
    </w:p>
    <w:p w14:paraId="1257402D" w14:textId="77777777" w:rsidR="00F82A75" w:rsidRPr="009E14EA" w:rsidRDefault="00F82A75" w:rsidP="00BA154F">
      <w:pPr>
        <w:jc w:val="both"/>
        <w:rPr>
          <w:szCs w:val="22"/>
          <w:lang w:val="fr-FR"/>
        </w:rPr>
      </w:pPr>
    </w:p>
    <w:p w14:paraId="3845C6CE" w14:textId="65DEC7C0" w:rsidR="00F82A75" w:rsidRPr="0001755D" w:rsidRDefault="00F82A75" w:rsidP="00BA154F">
      <w:pPr>
        <w:jc w:val="both"/>
        <w:rPr>
          <w:szCs w:val="22"/>
          <w:lang w:val="fr-FR"/>
        </w:rPr>
      </w:pPr>
      <w:r w:rsidRPr="0001755D">
        <w:rPr>
          <w:szCs w:val="22"/>
          <w:lang w:val="fr-FR"/>
        </w:rPr>
        <w:t>4. S</w:t>
      </w:r>
      <w:r>
        <w:rPr>
          <w:szCs w:val="22"/>
          <w:lang w:val="fr-FR"/>
        </w:rPr>
        <w:t>’</w:t>
      </w:r>
      <w:r w:rsidRPr="0001755D">
        <w:rPr>
          <w:szCs w:val="22"/>
          <w:lang w:val="fr-FR"/>
        </w:rPr>
        <w:t xml:space="preserve">adressant à la réunion </w:t>
      </w:r>
      <w:r>
        <w:rPr>
          <w:szCs w:val="22"/>
          <w:lang w:val="fr-FR"/>
        </w:rPr>
        <w:t xml:space="preserve">dans </w:t>
      </w:r>
      <w:r w:rsidRPr="0001755D">
        <w:rPr>
          <w:szCs w:val="22"/>
          <w:lang w:val="fr-FR"/>
        </w:rPr>
        <w:t xml:space="preserve">un message vidéo préenregistré, le </w:t>
      </w:r>
      <w:r w:rsidRPr="0001755D">
        <w:rPr>
          <w:b/>
          <w:szCs w:val="22"/>
          <w:lang w:val="fr-FR"/>
        </w:rPr>
        <w:t>Directeur exécutif</w:t>
      </w:r>
      <w:r>
        <w:rPr>
          <w:b/>
          <w:szCs w:val="22"/>
          <w:lang w:val="fr-FR"/>
        </w:rPr>
        <w:t xml:space="preserve"> </w:t>
      </w:r>
      <w:r w:rsidRPr="0001755D">
        <w:rPr>
          <w:b/>
          <w:szCs w:val="22"/>
          <w:lang w:val="fr-FR"/>
        </w:rPr>
        <w:t>du PNUE</w:t>
      </w:r>
      <w:r w:rsidR="005012AF">
        <w:rPr>
          <w:szCs w:val="22"/>
          <w:lang w:val="fr-FR"/>
        </w:rPr>
        <w:t xml:space="preserve"> (</w:t>
      </w:r>
      <w:r w:rsidRPr="0001755D">
        <w:rPr>
          <w:szCs w:val="22"/>
          <w:lang w:val="fr-FR"/>
        </w:rPr>
        <w:t>M. Achim Steiner</w:t>
      </w:r>
      <w:r w:rsidR="005012AF">
        <w:rPr>
          <w:szCs w:val="22"/>
          <w:lang w:val="fr-FR"/>
        </w:rPr>
        <w:t>)</w:t>
      </w:r>
      <w:r w:rsidRPr="0001755D">
        <w:rPr>
          <w:szCs w:val="22"/>
          <w:lang w:val="fr-FR"/>
        </w:rPr>
        <w:t xml:space="preserve"> a remercié les autorités française</w:t>
      </w:r>
      <w:r>
        <w:rPr>
          <w:szCs w:val="22"/>
          <w:lang w:val="fr-FR"/>
        </w:rPr>
        <w:t>s</w:t>
      </w:r>
      <w:r w:rsidRPr="0001755D">
        <w:rPr>
          <w:szCs w:val="22"/>
          <w:lang w:val="fr-FR"/>
        </w:rPr>
        <w:t xml:space="preserve"> d</w:t>
      </w:r>
      <w:r>
        <w:rPr>
          <w:szCs w:val="22"/>
          <w:lang w:val="fr-FR"/>
        </w:rPr>
        <w:t>’</w:t>
      </w:r>
      <w:r w:rsidRPr="0001755D">
        <w:rPr>
          <w:szCs w:val="22"/>
          <w:lang w:val="fr-FR"/>
        </w:rPr>
        <w:t>accueillir la MOP5. Il a rappelé la coopération de longue date entre le PNUE et l</w:t>
      </w:r>
      <w:r>
        <w:rPr>
          <w:szCs w:val="22"/>
          <w:lang w:val="fr-FR"/>
        </w:rPr>
        <w:t>’</w:t>
      </w:r>
      <w:r w:rsidRPr="0001755D">
        <w:rPr>
          <w:szCs w:val="22"/>
          <w:lang w:val="fr-FR"/>
        </w:rPr>
        <w:t xml:space="preserve">AEWA et a noté que </w:t>
      </w:r>
      <w:r>
        <w:rPr>
          <w:szCs w:val="22"/>
          <w:lang w:val="fr-FR"/>
        </w:rPr>
        <w:t>l’AEWA,</w:t>
      </w:r>
      <w:r w:rsidRPr="0001755D">
        <w:rPr>
          <w:szCs w:val="22"/>
          <w:lang w:val="fr-FR"/>
        </w:rPr>
        <w:t xml:space="preserve"> était le premier Accord environnemental multilatéral (AEM) à avoir utilisé le système de rapport en ligne élaboré en collaboration avec le PNUE/Centre mondial de surveillance pour la conservation de la nature</w:t>
      </w:r>
      <w:r>
        <w:rPr>
          <w:szCs w:val="22"/>
          <w:lang w:val="fr-FR"/>
        </w:rPr>
        <w:t xml:space="preserve"> </w:t>
      </w:r>
      <w:r w:rsidRPr="0001755D">
        <w:rPr>
          <w:szCs w:val="22"/>
          <w:lang w:val="fr-FR"/>
        </w:rPr>
        <w:t>(PNUE/CMSC). Il a souligné l</w:t>
      </w:r>
      <w:r>
        <w:rPr>
          <w:szCs w:val="22"/>
          <w:lang w:val="fr-FR"/>
        </w:rPr>
        <w:t>’</w:t>
      </w:r>
      <w:r w:rsidRPr="0001755D">
        <w:rPr>
          <w:szCs w:val="22"/>
          <w:lang w:val="fr-FR"/>
        </w:rPr>
        <w:t>importance, juste que</w:t>
      </w:r>
      <w:r>
        <w:rPr>
          <w:szCs w:val="22"/>
          <w:lang w:val="fr-FR"/>
        </w:rPr>
        <w:t>lques</w:t>
      </w:r>
      <w:r w:rsidRPr="0001755D">
        <w:rPr>
          <w:szCs w:val="22"/>
          <w:lang w:val="fr-FR"/>
        </w:rPr>
        <w:t xml:space="preserve"> semaines avant le Sommet </w:t>
      </w:r>
      <w:r>
        <w:rPr>
          <w:szCs w:val="22"/>
          <w:lang w:val="fr-FR"/>
        </w:rPr>
        <w:t xml:space="preserve">de </w:t>
      </w:r>
      <w:r w:rsidRPr="0001755D">
        <w:rPr>
          <w:szCs w:val="22"/>
          <w:lang w:val="fr-FR"/>
        </w:rPr>
        <w:t>Rio+20</w:t>
      </w:r>
      <w:r>
        <w:rPr>
          <w:szCs w:val="22"/>
          <w:lang w:val="fr-FR"/>
        </w:rPr>
        <w:t>,</w:t>
      </w:r>
      <w:r w:rsidRPr="0001755D">
        <w:rPr>
          <w:szCs w:val="22"/>
          <w:lang w:val="fr-FR"/>
        </w:rPr>
        <w:t xml:space="preserve"> de r</w:t>
      </w:r>
      <w:r>
        <w:rPr>
          <w:szCs w:val="22"/>
          <w:lang w:val="fr-FR"/>
        </w:rPr>
        <w:t>e</w:t>
      </w:r>
      <w:r w:rsidRPr="0001755D">
        <w:rPr>
          <w:szCs w:val="22"/>
          <w:lang w:val="fr-FR"/>
        </w:rPr>
        <w:t>ndre le plus clair</w:t>
      </w:r>
      <w:r>
        <w:rPr>
          <w:szCs w:val="22"/>
          <w:lang w:val="fr-FR"/>
        </w:rPr>
        <w:t>s</w:t>
      </w:r>
      <w:r w:rsidRPr="0001755D">
        <w:rPr>
          <w:szCs w:val="22"/>
          <w:lang w:val="fr-FR"/>
        </w:rPr>
        <w:t xml:space="preserve"> possible les liens existants entre la conservation des e</w:t>
      </w:r>
      <w:r>
        <w:rPr>
          <w:szCs w:val="22"/>
          <w:lang w:val="fr-FR"/>
        </w:rPr>
        <w:t>s</w:t>
      </w:r>
      <w:r w:rsidRPr="0001755D">
        <w:rPr>
          <w:szCs w:val="22"/>
          <w:lang w:val="fr-FR"/>
        </w:rPr>
        <w:t xml:space="preserve">pèces migratrices et le développement durable. Il était notamment </w:t>
      </w:r>
      <w:r>
        <w:rPr>
          <w:szCs w:val="22"/>
          <w:lang w:val="fr-FR"/>
        </w:rPr>
        <w:t xml:space="preserve">essentiel </w:t>
      </w:r>
      <w:r w:rsidRPr="0001755D">
        <w:rPr>
          <w:szCs w:val="22"/>
          <w:lang w:val="fr-FR"/>
        </w:rPr>
        <w:t>de montrer le rôle que pouvait jouer des</w:t>
      </w:r>
      <w:r>
        <w:rPr>
          <w:szCs w:val="22"/>
          <w:lang w:val="fr-FR"/>
        </w:rPr>
        <w:t xml:space="preserve"> </w:t>
      </w:r>
      <w:r w:rsidRPr="0001755D">
        <w:rPr>
          <w:szCs w:val="22"/>
          <w:lang w:val="fr-FR"/>
        </w:rPr>
        <w:t>instruments multilatéraux comme l</w:t>
      </w:r>
      <w:r>
        <w:rPr>
          <w:szCs w:val="22"/>
          <w:lang w:val="fr-FR"/>
        </w:rPr>
        <w:t>’</w:t>
      </w:r>
      <w:r w:rsidRPr="0001755D">
        <w:rPr>
          <w:szCs w:val="22"/>
          <w:lang w:val="fr-FR"/>
        </w:rPr>
        <w:t>AEWA dans le cadre d</w:t>
      </w:r>
      <w:r>
        <w:rPr>
          <w:szCs w:val="22"/>
          <w:lang w:val="fr-FR"/>
        </w:rPr>
        <w:t>’</w:t>
      </w:r>
      <w:r w:rsidRPr="0001755D">
        <w:rPr>
          <w:szCs w:val="22"/>
          <w:lang w:val="fr-FR"/>
        </w:rPr>
        <w:t>une gouvernance et d</w:t>
      </w:r>
      <w:r>
        <w:rPr>
          <w:szCs w:val="22"/>
          <w:lang w:val="fr-FR"/>
        </w:rPr>
        <w:t>’</w:t>
      </w:r>
      <w:r w:rsidRPr="0001755D">
        <w:rPr>
          <w:szCs w:val="22"/>
          <w:lang w:val="fr-FR"/>
        </w:rPr>
        <w:t>une coopération environnementale</w:t>
      </w:r>
      <w:r>
        <w:rPr>
          <w:szCs w:val="22"/>
          <w:lang w:val="fr-FR"/>
        </w:rPr>
        <w:t>s</w:t>
      </w:r>
      <w:r w:rsidRPr="0001755D">
        <w:rPr>
          <w:szCs w:val="22"/>
          <w:lang w:val="fr-FR"/>
        </w:rPr>
        <w:t xml:space="preserve"> mondiale</w:t>
      </w:r>
      <w:r>
        <w:rPr>
          <w:szCs w:val="22"/>
          <w:lang w:val="fr-FR"/>
        </w:rPr>
        <w:t>s</w:t>
      </w:r>
      <w:r w:rsidRPr="0001755D">
        <w:rPr>
          <w:szCs w:val="22"/>
          <w:lang w:val="fr-FR"/>
        </w:rPr>
        <w:t>. L</w:t>
      </w:r>
      <w:r>
        <w:rPr>
          <w:szCs w:val="22"/>
          <w:lang w:val="fr-FR"/>
        </w:rPr>
        <w:t>’</w:t>
      </w:r>
      <w:r w:rsidRPr="0001755D">
        <w:rPr>
          <w:szCs w:val="22"/>
          <w:lang w:val="fr-FR"/>
        </w:rPr>
        <w:t>accent mis sur l</w:t>
      </w:r>
      <w:r>
        <w:rPr>
          <w:szCs w:val="22"/>
          <w:lang w:val="fr-FR"/>
        </w:rPr>
        <w:t>’</w:t>
      </w:r>
      <w:r w:rsidRPr="0001755D">
        <w:rPr>
          <w:szCs w:val="22"/>
          <w:lang w:val="fr-FR"/>
        </w:rPr>
        <w:t>Afrique lors de cette MOP5 contribuera à souligner les liens existants entre les bénéfices</w:t>
      </w:r>
      <w:r>
        <w:rPr>
          <w:szCs w:val="22"/>
          <w:lang w:val="fr-FR"/>
        </w:rPr>
        <w:t xml:space="preserve"> </w:t>
      </w:r>
      <w:r w:rsidRPr="0001755D">
        <w:rPr>
          <w:szCs w:val="22"/>
          <w:lang w:val="fr-FR"/>
        </w:rPr>
        <w:t>de la conservation de la biodiversité, la conservation des espèces et le bien</w:t>
      </w:r>
      <w:r>
        <w:rPr>
          <w:szCs w:val="22"/>
          <w:lang w:val="fr-FR"/>
        </w:rPr>
        <w:t>-</w:t>
      </w:r>
      <w:r w:rsidRPr="0001755D">
        <w:rPr>
          <w:szCs w:val="22"/>
          <w:lang w:val="fr-FR"/>
        </w:rPr>
        <w:t xml:space="preserve">être des humains – un </w:t>
      </w:r>
      <w:r>
        <w:rPr>
          <w:szCs w:val="22"/>
          <w:lang w:val="fr-FR"/>
        </w:rPr>
        <w:t xml:space="preserve">ensemble </w:t>
      </w:r>
      <w:r w:rsidRPr="0001755D">
        <w:rPr>
          <w:szCs w:val="22"/>
          <w:lang w:val="fr-FR"/>
        </w:rPr>
        <w:t>qui fait le lien avec</w:t>
      </w:r>
      <w:r>
        <w:rPr>
          <w:szCs w:val="22"/>
          <w:lang w:val="fr-FR"/>
        </w:rPr>
        <w:t xml:space="preserve"> </w:t>
      </w:r>
      <w:r w:rsidRPr="0001755D">
        <w:rPr>
          <w:szCs w:val="22"/>
          <w:lang w:val="fr-FR"/>
        </w:rPr>
        <w:t xml:space="preserve">Rio+20. </w:t>
      </w:r>
    </w:p>
    <w:p w14:paraId="67E8991C" w14:textId="77777777" w:rsidR="00F82A75" w:rsidRPr="0001755D" w:rsidRDefault="00F82A75" w:rsidP="00BA154F">
      <w:pPr>
        <w:jc w:val="both"/>
        <w:rPr>
          <w:szCs w:val="22"/>
          <w:lang w:val="fr-FR"/>
        </w:rPr>
      </w:pPr>
    </w:p>
    <w:p w14:paraId="6146C3ED" w14:textId="3C5B09A5" w:rsidR="00F82A75" w:rsidRPr="0001755D" w:rsidRDefault="00F82A75" w:rsidP="00BA154F">
      <w:pPr>
        <w:jc w:val="both"/>
        <w:rPr>
          <w:szCs w:val="22"/>
          <w:lang w:val="fr-FR"/>
        </w:rPr>
      </w:pPr>
      <w:r w:rsidRPr="0001755D">
        <w:rPr>
          <w:szCs w:val="22"/>
          <w:lang w:val="fr-FR"/>
        </w:rPr>
        <w:t xml:space="preserve">5. </w:t>
      </w:r>
      <w:r>
        <w:rPr>
          <w:szCs w:val="22"/>
          <w:lang w:val="fr-FR"/>
        </w:rPr>
        <w:t>La</w:t>
      </w:r>
      <w:r w:rsidRPr="0001755D">
        <w:rPr>
          <w:b/>
          <w:szCs w:val="22"/>
          <w:lang w:val="fr-FR"/>
        </w:rPr>
        <w:t xml:space="preserve"> Secrétaire exécuti</w:t>
      </w:r>
      <w:r>
        <w:rPr>
          <w:b/>
          <w:szCs w:val="22"/>
          <w:lang w:val="fr-FR"/>
        </w:rPr>
        <w:t>ve</w:t>
      </w:r>
      <w:r w:rsidRPr="0001755D">
        <w:rPr>
          <w:b/>
          <w:szCs w:val="22"/>
          <w:lang w:val="fr-FR"/>
        </w:rPr>
        <w:t xml:space="preserve"> de la Convention su</w:t>
      </w:r>
      <w:r w:rsidR="005012AF">
        <w:rPr>
          <w:b/>
          <w:szCs w:val="22"/>
          <w:lang w:val="fr-FR"/>
        </w:rPr>
        <w:t>r les espèces migratrices (CMS)</w:t>
      </w:r>
      <w:r w:rsidRPr="0001755D">
        <w:rPr>
          <w:b/>
          <w:szCs w:val="22"/>
          <w:lang w:val="fr-FR"/>
        </w:rPr>
        <w:t xml:space="preserve"> </w:t>
      </w:r>
      <w:r w:rsidR="005012AF" w:rsidRPr="005012AF">
        <w:rPr>
          <w:szCs w:val="22"/>
          <w:lang w:val="fr-FR"/>
        </w:rPr>
        <w:t>(</w:t>
      </w:r>
      <w:r w:rsidR="005012AF">
        <w:rPr>
          <w:szCs w:val="22"/>
          <w:lang w:val="fr-FR"/>
        </w:rPr>
        <w:t xml:space="preserve">Mme Elisabeth </w:t>
      </w:r>
      <w:proofErr w:type="spellStart"/>
      <w:r w:rsidR="005012AF">
        <w:rPr>
          <w:szCs w:val="22"/>
          <w:lang w:val="fr-FR"/>
        </w:rPr>
        <w:t>Maruma</w:t>
      </w:r>
      <w:proofErr w:type="spellEnd"/>
      <w:r w:rsidR="005012AF">
        <w:rPr>
          <w:szCs w:val="22"/>
          <w:lang w:val="fr-FR"/>
        </w:rPr>
        <w:t xml:space="preserve"> </w:t>
      </w:r>
      <w:proofErr w:type="spellStart"/>
      <w:r w:rsidR="005012AF">
        <w:rPr>
          <w:szCs w:val="22"/>
          <w:lang w:val="fr-FR"/>
        </w:rPr>
        <w:t>Mrema</w:t>
      </w:r>
      <w:proofErr w:type="spellEnd"/>
      <w:r w:rsidR="005012AF">
        <w:rPr>
          <w:szCs w:val="22"/>
          <w:lang w:val="fr-FR"/>
        </w:rPr>
        <w:t>)</w:t>
      </w:r>
      <w:r w:rsidRPr="0001755D">
        <w:rPr>
          <w:szCs w:val="22"/>
          <w:lang w:val="fr-FR"/>
        </w:rPr>
        <w:t xml:space="preserve"> a remerci</w:t>
      </w:r>
      <w:r>
        <w:rPr>
          <w:szCs w:val="22"/>
          <w:lang w:val="fr-FR"/>
        </w:rPr>
        <w:t>é</w:t>
      </w:r>
      <w:r w:rsidRPr="0001755D">
        <w:rPr>
          <w:szCs w:val="22"/>
          <w:lang w:val="fr-FR"/>
        </w:rPr>
        <w:t xml:space="preserve"> le gouvernement et le peuple de France d</w:t>
      </w:r>
      <w:r>
        <w:rPr>
          <w:szCs w:val="22"/>
          <w:lang w:val="fr-FR"/>
        </w:rPr>
        <w:t xml:space="preserve">e bien vouloir </w:t>
      </w:r>
      <w:r w:rsidRPr="0001755D">
        <w:rPr>
          <w:szCs w:val="22"/>
          <w:lang w:val="fr-FR"/>
        </w:rPr>
        <w:t xml:space="preserve">accueillir la MOP. Elle a </w:t>
      </w:r>
      <w:r>
        <w:rPr>
          <w:szCs w:val="22"/>
          <w:lang w:val="fr-FR"/>
        </w:rPr>
        <w:t>noté que</w:t>
      </w:r>
      <w:r w:rsidRPr="0001755D">
        <w:rPr>
          <w:szCs w:val="22"/>
          <w:lang w:val="fr-FR"/>
        </w:rPr>
        <w:t xml:space="preserve"> l</w:t>
      </w:r>
      <w:r>
        <w:rPr>
          <w:szCs w:val="22"/>
          <w:lang w:val="fr-FR"/>
        </w:rPr>
        <w:t>’</w:t>
      </w:r>
      <w:r w:rsidRPr="0001755D">
        <w:rPr>
          <w:szCs w:val="22"/>
          <w:lang w:val="fr-FR"/>
        </w:rPr>
        <w:t>AEWA était un instrument qui continuait à</w:t>
      </w:r>
      <w:r>
        <w:rPr>
          <w:szCs w:val="22"/>
          <w:lang w:val="fr-FR"/>
        </w:rPr>
        <w:t xml:space="preserve"> être le grand exemple à suivre/ en matière de</w:t>
      </w:r>
      <w:r w:rsidRPr="0001755D">
        <w:rPr>
          <w:szCs w:val="22"/>
          <w:lang w:val="fr-FR"/>
        </w:rPr>
        <w:t xml:space="preserve"> conservation inter</w:t>
      </w:r>
      <w:r>
        <w:rPr>
          <w:szCs w:val="22"/>
          <w:lang w:val="fr-FR"/>
        </w:rPr>
        <w:t>nationale</w:t>
      </w:r>
      <w:r w:rsidRPr="0001755D">
        <w:rPr>
          <w:szCs w:val="22"/>
          <w:lang w:val="fr-FR"/>
        </w:rPr>
        <w:t xml:space="preserve"> au niveau de la voie de migration. L</w:t>
      </w:r>
      <w:r>
        <w:rPr>
          <w:szCs w:val="22"/>
          <w:lang w:val="fr-FR"/>
        </w:rPr>
        <w:t>’</w:t>
      </w:r>
      <w:r w:rsidRPr="0001755D">
        <w:rPr>
          <w:szCs w:val="22"/>
          <w:lang w:val="fr-FR"/>
        </w:rPr>
        <w:t>Accord a parcouru un long chemin, bien que le besoin de protéger les oiseaux d</w:t>
      </w:r>
      <w:r>
        <w:rPr>
          <w:szCs w:val="22"/>
          <w:lang w:val="fr-FR"/>
        </w:rPr>
        <w:t>’</w:t>
      </w:r>
      <w:r w:rsidRPr="0001755D">
        <w:rPr>
          <w:szCs w:val="22"/>
          <w:lang w:val="fr-FR"/>
        </w:rPr>
        <w:t xml:space="preserve">eau migrateurs </w:t>
      </w:r>
      <w:r>
        <w:rPr>
          <w:szCs w:val="22"/>
          <w:lang w:val="fr-FR"/>
        </w:rPr>
        <w:t xml:space="preserve">soit aussi pressant que jamais, menant à un ordre du jour chargé pour la </w:t>
      </w:r>
      <w:r w:rsidRPr="0001755D">
        <w:rPr>
          <w:szCs w:val="22"/>
          <w:lang w:val="fr-FR"/>
        </w:rPr>
        <w:t xml:space="preserve">MOP. </w:t>
      </w:r>
      <w:r>
        <w:rPr>
          <w:szCs w:val="22"/>
          <w:lang w:val="fr-FR"/>
        </w:rPr>
        <w:t xml:space="preserve">Parmi les sujets clés, il y aura le Système de rapport en ligne, les nouvelles lignes directrices de </w:t>
      </w:r>
      <w:r>
        <w:rPr>
          <w:szCs w:val="22"/>
          <w:lang w:val="fr-FR"/>
        </w:rPr>
        <w:lastRenderedPageBreak/>
        <w:t>conservation et les Plans d’action par espèce, les rapports sur les problèmes affectant les espèces d’oiseaux d’eau migrateurs,</w:t>
      </w:r>
      <w:r w:rsidRPr="0001755D">
        <w:rPr>
          <w:szCs w:val="22"/>
          <w:lang w:val="fr-FR"/>
        </w:rPr>
        <w:t xml:space="preserve"> </w:t>
      </w:r>
      <w:r>
        <w:rPr>
          <w:szCs w:val="22"/>
          <w:lang w:val="fr-FR"/>
        </w:rPr>
        <w:t>et les progrès de la conservation des oiseaux d’eau</w:t>
      </w:r>
      <w:r w:rsidRPr="0001755D">
        <w:rPr>
          <w:szCs w:val="22"/>
          <w:lang w:val="fr-FR"/>
        </w:rPr>
        <w:t xml:space="preserve"> </w:t>
      </w:r>
      <w:r>
        <w:rPr>
          <w:szCs w:val="22"/>
          <w:lang w:val="fr-FR"/>
        </w:rPr>
        <w:t xml:space="preserve">le long de la Voie de migration d’Asie centrale. Mme </w:t>
      </w:r>
      <w:proofErr w:type="spellStart"/>
      <w:r w:rsidRPr="0001755D">
        <w:rPr>
          <w:szCs w:val="22"/>
          <w:lang w:val="fr-FR"/>
        </w:rPr>
        <w:t>Mrema</w:t>
      </w:r>
      <w:proofErr w:type="spellEnd"/>
      <w:r w:rsidRPr="0001755D">
        <w:rPr>
          <w:szCs w:val="22"/>
          <w:lang w:val="fr-FR"/>
        </w:rPr>
        <w:t xml:space="preserve"> </w:t>
      </w:r>
      <w:r>
        <w:rPr>
          <w:szCs w:val="22"/>
          <w:lang w:val="fr-FR"/>
        </w:rPr>
        <w:t>a tout particulièrement souligné le travail réalisé par le groupe des pays africains au cours de deux journées précédant la MOP, afin de finaliser un avant-projet de Plan d’action pour la mise en œuvre de l’AEWA en Afrique par le biais de l’Initiative africaine de l’Accord. Elle désirait remercier les gouvernements de la France, de l’Allemagne et de la Suisse, ainsi que l’Union européenne, pour leur précieux soutien à l’</w:t>
      </w:r>
      <w:r w:rsidRPr="0001755D">
        <w:rPr>
          <w:szCs w:val="22"/>
          <w:lang w:val="fr-FR"/>
        </w:rPr>
        <w:t>Initiative.</w:t>
      </w:r>
    </w:p>
    <w:p w14:paraId="72D7457E" w14:textId="77777777" w:rsidR="00F82A75" w:rsidRPr="0001755D" w:rsidRDefault="00F82A75" w:rsidP="00BA154F">
      <w:pPr>
        <w:jc w:val="both"/>
        <w:rPr>
          <w:szCs w:val="22"/>
          <w:lang w:val="fr-FR"/>
        </w:rPr>
      </w:pPr>
    </w:p>
    <w:p w14:paraId="4791F047" w14:textId="5699330F" w:rsidR="00F82A75" w:rsidRPr="0001755D" w:rsidRDefault="00F82A75" w:rsidP="00BA154F">
      <w:pPr>
        <w:jc w:val="both"/>
        <w:rPr>
          <w:szCs w:val="22"/>
          <w:lang w:val="fr-FR"/>
        </w:rPr>
      </w:pPr>
      <w:r w:rsidRPr="0001755D">
        <w:rPr>
          <w:szCs w:val="22"/>
          <w:lang w:val="fr-FR"/>
        </w:rPr>
        <w:t xml:space="preserve">6. </w:t>
      </w:r>
      <w:r>
        <w:rPr>
          <w:szCs w:val="22"/>
          <w:lang w:val="fr-FR"/>
        </w:rPr>
        <w:t>Un second domaine requérant une attention particulière était le besoin de renforcer l’approche basée sur les connaissances de l’AEWA en soutenant le Recensement</w:t>
      </w:r>
      <w:r w:rsidRPr="0001755D">
        <w:rPr>
          <w:szCs w:val="22"/>
          <w:lang w:val="fr-FR"/>
        </w:rPr>
        <w:t xml:space="preserve"> International </w:t>
      </w:r>
      <w:r>
        <w:rPr>
          <w:szCs w:val="22"/>
          <w:lang w:val="fr-FR"/>
        </w:rPr>
        <w:t>des oiseaux d’eau</w:t>
      </w:r>
      <w:r w:rsidRPr="0001755D">
        <w:rPr>
          <w:szCs w:val="22"/>
          <w:lang w:val="fr-FR"/>
        </w:rPr>
        <w:t xml:space="preserve"> (IWC). </w:t>
      </w:r>
      <w:r>
        <w:rPr>
          <w:szCs w:val="22"/>
          <w:lang w:val="fr-FR"/>
        </w:rPr>
        <w:t xml:space="preserve">Un programme solide, coordonné au niveau international, assorti d’un financement prévisible à long terme, était nécessaire. Il faut espérer que les Parties arriveront à un </w:t>
      </w:r>
      <w:r w:rsidRPr="0001755D">
        <w:rPr>
          <w:szCs w:val="22"/>
          <w:lang w:val="fr-FR"/>
        </w:rPr>
        <w:t xml:space="preserve">consensus </w:t>
      </w:r>
      <w:r>
        <w:rPr>
          <w:szCs w:val="22"/>
          <w:lang w:val="fr-FR"/>
        </w:rPr>
        <w:t>sur ce point</w:t>
      </w:r>
      <w:r w:rsidRPr="0001755D">
        <w:rPr>
          <w:szCs w:val="22"/>
          <w:lang w:val="fr-FR"/>
        </w:rPr>
        <w:t>.</w:t>
      </w:r>
    </w:p>
    <w:p w14:paraId="44BBB739" w14:textId="77777777" w:rsidR="00F82A75" w:rsidRPr="0001755D" w:rsidRDefault="00F82A75" w:rsidP="00BA154F">
      <w:pPr>
        <w:jc w:val="both"/>
        <w:rPr>
          <w:szCs w:val="22"/>
          <w:lang w:val="fr-FR"/>
        </w:rPr>
      </w:pPr>
    </w:p>
    <w:p w14:paraId="7070E0F8" w14:textId="415959F9" w:rsidR="00F82A75" w:rsidRPr="0001755D" w:rsidRDefault="00F82A75" w:rsidP="00BA154F">
      <w:pPr>
        <w:jc w:val="both"/>
        <w:rPr>
          <w:szCs w:val="22"/>
          <w:lang w:val="fr-FR"/>
        </w:rPr>
      </w:pPr>
      <w:r w:rsidRPr="0001755D">
        <w:rPr>
          <w:szCs w:val="22"/>
          <w:lang w:val="fr-FR"/>
        </w:rPr>
        <w:t>7.</w:t>
      </w:r>
      <w:r w:rsidRPr="0001755D">
        <w:rPr>
          <w:b/>
          <w:szCs w:val="22"/>
          <w:lang w:val="fr-FR"/>
        </w:rPr>
        <w:t xml:space="preserve"> M</w:t>
      </w:r>
      <w:r>
        <w:rPr>
          <w:b/>
          <w:szCs w:val="22"/>
          <w:lang w:val="fr-FR"/>
        </w:rPr>
        <w:t>me</w:t>
      </w:r>
      <w:r w:rsidRPr="0001755D">
        <w:rPr>
          <w:b/>
          <w:szCs w:val="22"/>
          <w:lang w:val="fr-FR"/>
        </w:rPr>
        <w:t xml:space="preserve"> </w:t>
      </w:r>
      <w:proofErr w:type="spellStart"/>
      <w:r w:rsidRPr="0001755D">
        <w:rPr>
          <w:b/>
          <w:szCs w:val="22"/>
          <w:lang w:val="fr-FR"/>
        </w:rPr>
        <w:t>Mrema</w:t>
      </w:r>
      <w:proofErr w:type="spellEnd"/>
      <w:r w:rsidRPr="0001755D">
        <w:rPr>
          <w:szCs w:val="22"/>
          <w:lang w:val="fr-FR"/>
        </w:rPr>
        <w:t xml:space="preserve"> </w:t>
      </w:r>
      <w:r>
        <w:rPr>
          <w:szCs w:val="22"/>
          <w:lang w:val="fr-FR"/>
        </w:rPr>
        <w:t>a mis en avant des exemples de</w:t>
      </w:r>
      <w:r w:rsidRPr="0001755D">
        <w:rPr>
          <w:szCs w:val="22"/>
          <w:lang w:val="fr-FR"/>
        </w:rPr>
        <w:t xml:space="preserve"> synergies </w:t>
      </w:r>
      <w:r>
        <w:rPr>
          <w:szCs w:val="22"/>
          <w:lang w:val="fr-FR"/>
        </w:rPr>
        <w:t>entre l’</w:t>
      </w:r>
      <w:r w:rsidRPr="0001755D">
        <w:rPr>
          <w:szCs w:val="22"/>
          <w:lang w:val="fr-FR"/>
        </w:rPr>
        <w:t xml:space="preserve">AEWA </w:t>
      </w:r>
      <w:r>
        <w:rPr>
          <w:szCs w:val="22"/>
          <w:lang w:val="fr-FR"/>
        </w:rPr>
        <w:t>et</w:t>
      </w:r>
      <w:r w:rsidRPr="0001755D">
        <w:rPr>
          <w:szCs w:val="22"/>
          <w:lang w:val="fr-FR"/>
        </w:rPr>
        <w:t xml:space="preserve"> </w:t>
      </w:r>
      <w:r>
        <w:rPr>
          <w:szCs w:val="22"/>
          <w:lang w:val="fr-FR"/>
        </w:rPr>
        <w:t xml:space="preserve">la </w:t>
      </w:r>
      <w:r w:rsidRPr="0001755D">
        <w:rPr>
          <w:szCs w:val="22"/>
          <w:lang w:val="fr-FR"/>
        </w:rPr>
        <w:t>CMS</w:t>
      </w:r>
      <w:r>
        <w:rPr>
          <w:szCs w:val="22"/>
          <w:lang w:val="fr-FR"/>
        </w:rPr>
        <w:t>, et a fait part à la MOP des derniers développements du recrutement d’un nouveau Secrétaire exécutif</w:t>
      </w:r>
      <w:r w:rsidRPr="0001755D">
        <w:rPr>
          <w:szCs w:val="22"/>
          <w:lang w:val="fr-FR"/>
        </w:rPr>
        <w:t xml:space="preserve"> </w:t>
      </w:r>
      <w:r>
        <w:rPr>
          <w:szCs w:val="22"/>
          <w:lang w:val="fr-FR"/>
        </w:rPr>
        <w:t>pour l’</w:t>
      </w:r>
      <w:r w:rsidRPr="0001755D">
        <w:rPr>
          <w:szCs w:val="22"/>
          <w:lang w:val="fr-FR"/>
        </w:rPr>
        <w:t xml:space="preserve">AEWA. </w:t>
      </w:r>
      <w:r>
        <w:rPr>
          <w:szCs w:val="22"/>
          <w:lang w:val="fr-FR"/>
        </w:rPr>
        <w:t>Elle a souligné son engagement à garantir un processus de recrutement méthodique et transparent pour ce nouveau</w:t>
      </w:r>
      <w:r w:rsidRPr="0001755D">
        <w:rPr>
          <w:szCs w:val="22"/>
          <w:lang w:val="fr-FR"/>
        </w:rPr>
        <w:t xml:space="preserve"> </w:t>
      </w:r>
      <w:r>
        <w:rPr>
          <w:szCs w:val="22"/>
          <w:lang w:val="fr-FR"/>
        </w:rPr>
        <w:t xml:space="preserve">Secrétaire et a déploré le retard pris, dû à la </w:t>
      </w:r>
      <w:r w:rsidRPr="0001755D">
        <w:rPr>
          <w:szCs w:val="22"/>
          <w:lang w:val="fr-FR"/>
        </w:rPr>
        <w:t xml:space="preserve">reclassification </w:t>
      </w:r>
      <w:r>
        <w:rPr>
          <w:szCs w:val="22"/>
          <w:lang w:val="fr-FR"/>
        </w:rPr>
        <w:t>de ce poste à un échelon plus élevé au sein du système onusien</w:t>
      </w:r>
      <w:r w:rsidRPr="0001755D">
        <w:rPr>
          <w:szCs w:val="22"/>
          <w:lang w:val="fr-FR"/>
        </w:rPr>
        <w:t xml:space="preserve">. </w:t>
      </w:r>
    </w:p>
    <w:p w14:paraId="35736D13" w14:textId="77777777" w:rsidR="00F82A75" w:rsidRPr="0001755D" w:rsidRDefault="00F82A75" w:rsidP="00BA154F">
      <w:pPr>
        <w:jc w:val="both"/>
        <w:rPr>
          <w:szCs w:val="22"/>
          <w:lang w:val="fr-FR"/>
        </w:rPr>
      </w:pPr>
    </w:p>
    <w:p w14:paraId="282C49CC" w14:textId="18C26CDD" w:rsidR="00F82A75" w:rsidRPr="0001755D" w:rsidRDefault="00F82A75" w:rsidP="00BA154F">
      <w:pPr>
        <w:jc w:val="both"/>
        <w:rPr>
          <w:szCs w:val="22"/>
          <w:lang w:val="fr-FR"/>
        </w:rPr>
      </w:pPr>
      <w:r w:rsidRPr="0001755D">
        <w:rPr>
          <w:szCs w:val="22"/>
          <w:lang w:val="fr-FR"/>
        </w:rPr>
        <w:t xml:space="preserve">8. </w:t>
      </w:r>
      <w:r>
        <w:rPr>
          <w:szCs w:val="22"/>
          <w:lang w:val="fr-FR"/>
        </w:rPr>
        <w:t>Pour finir</w:t>
      </w:r>
      <w:r w:rsidRPr="0001755D">
        <w:rPr>
          <w:szCs w:val="22"/>
          <w:lang w:val="fr-FR"/>
        </w:rPr>
        <w:t xml:space="preserve">, </w:t>
      </w:r>
      <w:r w:rsidRPr="0001755D">
        <w:rPr>
          <w:b/>
          <w:szCs w:val="22"/>
          <w:lang w:val="fr-FR"/>
        </w:rPr>
        <w:t>M</w:t>
      </w:r>
      <w:r>
        <w:rPr>
          <w:b/>
          <w:szCs w:val="22"/>
          <w:lang w:val="fr-FR"/>
        </w:rPr>
        <w:t>me</w:t>
      </w:r>
      <w:r w:rsidRPr="0001755D">
        <w:rPr>
          <w:b/>
          <w:szCs w:val="22"/>
          <w:lang w:val="fr-FR"/>
        </w:rPr>
        <w:t xml:space="preserve"> </w:t>
      </w:r>
      <w:proofErr w:type="spellStart"/>
      <w:r w:rsidRPr="0001755D">
        <w:rPr>
          <w:b/>
          <w:szCs w:val="22"/>
          <w:lang w:val="fr-FR"/>
        </w:rPr>
        <w:t>Mrema</w:t>
      </w:r>
      <w:proofErr w:type="spellEnd"/>
      <w:r w:rsidRPr="0001755D">
        <w:rPr>
          <w:szCs w:val="22"/>
          <w:lang w:val="fr-FR"/>
        </w:rPr>
        <w:t xml:space="preserve"> </w:t>
      </w:r>
      <w:r>
        <w:rPr>
          <w:szCs w:val="22"/>
          <w:lang w:val="fr-FR"/>
        </w:rPr>
        <w:t xml:space="preserve">a rappelé aux </w:t>
      </w:r>
      <w:r w:rsidRPr="0001755D">
        <w:rPr>
          <w:szCs w:val="22"/>
          <w:lang w:val="fr-FR"/>
        </w:rPr>
        <w:t xml:space="preserve">Parties </w:t>
      </w:r>
      <w:r>
        <w:rPr>
          <w:szCs w:val="22"/>
          <w:lang w:val="fr-FR"/>
        </w:rPr>
        <w:t>que toutes les nouvelles tâches attribuées au Secrétariat de l’AEWA</w:t>
      </w:r>
      <w:r w:rsidRPr="0001755D">
        <w:rPr>
          <w:szCs w:val="22"/>
          <w:lang w:val="fr-FR"/>
        </w:rPr>
        <w:t xml:space="preserve"> </w:t>
      </w:r>
      <w:r>
        <w:rPr>
          <w:szCs w:val="22"/>
          <w:lang w:val="fr-FR"/>
        </w:rPr>
        <w:t>devront être dotées de ressources adéquates afin de pouvoir être efficacement mises en œuvre</w:t>
      </w:r>
      <w:r w:rsidRPr="0001755D">
        <w:rPr>
          <w:szCs w:val="22"/>
          <w:lang w:val="fr-FR"/>
        </w:rPr>
        <w:t>.</w:t>
      </w:r>
    </w:p>
    <w:p w14:paraId="4617CD0F" w14:textId="77777777" w:rsidR="00F82A75" w:rsidRPr="003A523D" w:rsidRDefault="00F82A75" w:rsidP="00BA154F">
      <w:pPr>
        <w:jc w:val="both"/>
        <w:rPr>
          <w:szCs w:val="22"/>
          <w:lang w:val="fr-FR"/>
        </w:rPr>
      </w:pPr>
    </w:p>
    <w:p w14:paraId="1A2289E6" w14:textId="67A65ABD" w:rsidR="00F82A75" w:rsidRPr="003A523D" w:rsidRDefault="00F82A75" w:rsidP="00BA154F">
      <w:pPr>
        <w:jc w:val="both"/>
        <w:rPr>
          <w:szCs w:val="22"/>
          <w:lang w:val="fr-FR"/>
        </w:rPr>
      </w:pPr>
      <w:r w:rsidRPr="003A523D">
        <w:rPr>
          <w:szCs w:val="22"/>
          <w:lang w:val="fr-FR"/>
        </w:rPr>
        <w:t>9. S</w:t>
      </w:r>
      <w:r>
        <w:rPr>
          <w:szCs w:val="22"/>
          <w:lang w:val="fr-FR"/>
        </w:rPr>
        <w:t>ou</w:t>
      </w:r>
      <w:r w:rsidRPr="003A523D">
        <w:rPr>
          <w:szCs w:val="22"/>
          <w:lang w:val="fr-FR"/>
        </w:rPr>
        <w:t xml:space="preserve">haitant la bienvenue à tous les participants, </w:t>
      </w:r>
      <w:r>
        <w:rPr>
          <w:szCs w:val="22"/>
          <w:lang w:val="fr-FR"/>
        </w:rPr>
        <w:t xml:space="preserve">le </w:t>
      </w:r>
      <w:r w:rsidRPr="003A523D">
        <w:rPr>
          <w:b/>
          <w:szCs w:val="22"/>
          <w:lang w:val="fr-FR"/>
        </w:rPr>
        <w:t xml:space="preserve">Secrétaire </w:t>
      </w:r>
      <w:r>
        <w:rPr>
          <w:b/>
          <w:szCs w:val="22"/>
          <w:lang w:val="fr-FR"/>
        </w:rPr>
        <w:t>e</w:t>
      </w:r>
      <w:r w:rsidRPr="003A523D">
        <w:rPr>
          <w:b/>
          <w:szCs w:val="22"/>
          <w:lang w:val="fr-FR"/>
        </w:rPr>
        <w:t xml:space="preserve">xécutif </w:t>
      </w:r>
      <w:r>
        <w:rPr>
          <w:b/>
          <w:szCs w:val="22"/>
          <w:lang w:val="fr-FR"/>
        </w:rPr>
        <w:t>de l’</w:t>
      </w:r>
      <w:r w:rsidRPr="003A523D">
        <w:rPr>
          <w:b/>
          <w:szCs w:val="22"/>
          <w:lang w:val="fr-FR"/>
        </w:rPr>
        <w:t>AEWA</w:t>
      </w:r>
      <w:r w:rsidRPr="003A523D">
        <w:rPr>
          <w:szCs w:val="22"/>
          <w:lang w:val="fr-FR"/>
        </w:rPr>
        <w:t xml:space="preserve"> </w:t>
      </w:r>
      <w:r>
        <w:rPr>
          <w:b/>
          <w:szCs w:val="22"/>
          <w:lang w:val="fr-FR"/>
        </w:rPr>
        <w:t xml:space="preserve">par intérim </w:t>
      </w:r>
      <w:r w:rsidRPr="003A523D">
        <w:rPr>
          <w:szCs w:val="22"/>
          <w:lang w:val="fr-FR"/>
        </w:rPr>
        <w:t>(M</w:t>
      </w:r>
      <w:r>
        <w:rPr>
          <w:szCs w:val="22"/>
          <w:lang w:val="fr-FR"/>
        </w:rPr>
        <w:t>.</w:t>
      </w:r>
      <w:r w:rsidRPr="003A523D">
        <w:rPr>
          <w:szCs w:val="22"/>
          <w:lang w:val="fr-FR"/>
        </w:rPr>
        <w:t xml:space="preserve"> Marco Barbieri) </w:t>
      </w:r>
      <w:r>
        <w:rPr>
          <w:szCs w:val="22"/>
          <w:lang w:val="fr-FR"/>
        </w:rPr>
        <w:t>a remercié les hôtes français pour le remarquable support qu’ils ont offert dans l’</w:t>
      </w:r>
      <w:r w:rsidRPr="003A523D">
        <w:rPr>
          <w:szCs w:val="22"/>
          <w:lang w:val="fr-FR"/>
        </w:rPr>
        <w:t xml:space="preserve">organisation </w:t>
      </w:r>
      <w:r>
        <w:rPr>
          <w:szCs w:val="22"/>
          <w:lang w:val="fr-FR"/>
        </w:rPr>
        <w:t xml:space="preserve">de la réunion, soulignant en particulier le rôle du </w:t>
      </w:r>
      <w:r w:rsidRPr="0008790A">
        <w:rPr>
          <w:lang w:val="fr-FR"/>
        </w:rPr>
        <w:t>ministère de l</w:t>
      </w:r>
      <w:r>
        <w:rPr>
          <w:lang w:val="fr-FR"/>
        </w:rPr>
        <w:t>’</w:t>
      </w:r>
      <w:r w:rsidRPr="0008790A">
        <w:rPr>
          <w:lang w:val="fr-FR"/>
        </w:rPr>
        <w:t>Écologie, du Développement durable, des Transports et du Logement</w:t>
      </w:r>
      <w:r>
        <w:rPr>
          <w:lang w:val="fr-FR"/>
        </w:rPr>
        <w:t xml:space="preserve">, de la Municipalité de </w:t>
      </w:r>
      <w:r w:rsidRPr="003A523D">
        <w:rPr>
          <w:szCs w:val="22"/>
          <w:lang w:val="fr-FR"/>
        </w:rPr>
        <w:t xml:space="preserve">La Rochelle </w:t>
      </w:r>
      <w:r>
        <w:rPr>
          <w:szCs w:val="22"/>
          <w:lang w:val="fr-FR"/>
        </w:rPr>
        <w:t xml:space="preserve">et celui de la </w:t>
      </w:r>
      <w:r w:rsidRPr="003A523D">
        <w:rPr>
          <w:szCs w:val="22"/>
          <w:lang w:val="fr-FR"/>
        </w:rPr>
        <w:t xml:space="preserve">LPO. </w:t>
      </w:r>
      <w:r w:rsidR="005012AF">
        <w:rPr>
          <w:szCs w:val="22"/>
          <w:lang w:val="fr-FR"/>
        </w:rPr>
        <w:t>Il a également remercié l</w:t>
      </w:r>
      <w:r>
        <w:rPr>
          <w:szCs w:val="22"/>
          <w:lang w:val="fr-FR"/>
        </w:rPr>
        <w:t xml:space="preserve">e gouvernement de l’Allemagne pour la généreuse contribution versée à la </w:t>
      </w:r>
      <w:r w:rsidRPr="003A523D">
        <w:rPr>
          <w:szCs w:val="22"/>
          <w:lang w:val="fr-FR"/>
        </w:rPr>
        <w:t xml:space="preserve">MOP5. </w:t>
      </w:r>
      <w:r>
        <w:rPr>
          <w:szCs w:val="22"/>
          <w:lang w:val="fr-FR"/>
        </w:rPr>
        <w:t>Il a tout spécialement souhaité la bienvenue à quatre nouvelles Parties contractantes,</w:t>
      </w:r>
      <w:r w:rsidRPr="003A523D">
        <w:rPr>
          <w:szCs w:val="22"/>
          <w:lang w:val="fr-FR"/>
        </w:rPr>
        <w:t xml:space="preserve"> </w:t>
      </w:r>
      <w:r>
        <w:rPr>
          <w:szCs w:val="22"/>
          <w:lang w:val="fr-FR"/>
        </w:rPr>
        <w:t>l’</w:t>
      </w:r>
      <w:r w:rsidRPr="003A523D">
        <w:rPr>
          <w:szCs w:val="22"/>
          <w:lang w:val="fr-FR"/>
        </w:rPr>
        <w:t>Éthiopie,</w:t>
      </w:r>
      <w:r>
        <w:rPr>
          <w:szCs w:val="22"/>
          <w:lang w:val="fr-FR"/>
        </w:rPr>
        <w:t xml:space="preserve"> le </w:t>
      </w:r>
      <w:r w:rsidRPr="003A523D">
        <w:rPr>
          <w:szCs w:val="22"/>
          <w:lang w:val="fr-FR"/>
        </w:rPr>
        <w:t>Monténégro</w:t>
      </w:r>
      <w:r>
        <w:rPr>
          <w:szCs w:val="22"/>
          <w:lang w:val="fr-FR"/>
        </w:rPr>
        <w:t xml:space="preserve">, le Tchad et le </w:t>
      </w:r>
      <w:r w:rsidRPr="003A523D">
        <w:rPr>
          <w:szCs w:val="22"/>
          <w:lang w:val="fr-FR"/>
        </w:rPr>
        <w:t>Zimbabwe, a</w:t>
      </w:r>
      <w:r>
        <w:rPr>
          <w:szCs w:val="22"/>
          <w:lang w:val="fr-FR"/>
        </w:rPr>
        <w:t xml:space="preserve">insi qu’à deux futures </w:t>
      </w:r>
      <w:r w:rsidRPr="003A523D">
        <w:rPr>
          <w:szCs w:val="22"/>
          <w:lang w:val="fr-FR"/>
        </w:rPr>
        <w:t xml:space="preserve">Parties, </w:t>
      </w:r>
      <w:r>
        <w:rPr>
          <w:szCs w:val="22"/>
          <w:lang w:val="fr-FR"/>
        </w:rPr>
        <w:t xml:space="preserve">le </w:t>
      </w:r>
      <w:r w:rsidRPr="003A523D">
        <w:rPr>
          <w:szCs w:val="22"/>
          <w:lang w:val="fr-FR"/>
        </w:rPr>
        <w:t xml:space="preserve">Gabon </w:t>
      </w:r>
      <w:r>
        <w:rPr>
          <w:szCs w:val="22"/>
          <w:lang w:val="fr-FR"/>
        </w:rPr>
        <w:t>et la</w:t>
      </w:r>
      <w:r w:rsidRPr="003A523D">
        <w:rPr>
          <w:szCs w:val="22"/>
          <w:lang w:val="fr-FR"/>
        </w:rPr>
        <w:t xml:space="preserve"> Mauritanie, </w:t>
      </w:r>
      <w:r>
        <w:rPr>
          <w:szCs w:val="22"/>
          <w:lang w:val="fr-FR"/>
        </w:rPr>
        <w:t>qui ont tous deux achevé toutes les formalités nécessaires et deviendront Parties contractantes dans quelques semaines</w:t>
      </w:r>
      <w:r w:rsidRPr="003A523D">
        <w:rPr>
          <w:szCs w:val="22"/>
          <w:lang w:val="fr-FR"/>
        </w:rPr>
        <w:t>.</w:t>
      </w:r>
    </w:p>
    <w:p w14:paraId="3A11010A" w14:textId="77777777" w:rsidR="00F82A75" w:rsidRPr="003A523D" w:rsidRDefault="00F82A75" w:rsidP="00BA154F">
      <w:pPr>
        <w:jc w:val="both"/>
        <w:rPr>
          <w:szCs w:val="22"/>
          <w:lang w:val="fr-FR"/>
        </w:rPr>
      </w:pPr>
    </w:p>
    <w:p w14:paraId="3961B739" w14:textId="7EB4209C" w:rsidR="00F82A75" w:rsidRPr="003A523D" w:rsidRDefault="00F82A75" w:rsidP="00BA154F">
      <w:pPr>
        <w:jc w:val="both"/>
        <w:rPr>
          <w:szCs w:val="22"/>
          <w:lang w:val="fr-FR"/>
        </w:rPr>
      </w:pPr>
      <w:r w:rsidRPr="003A523D">
        <w:rPr>
          <w:szCs w:val="22"/>
          <w:lang w:val="fr-FR"/>
        </w:rPr>
        <w:t xml:space="preserve">10. </w:t>
      </w:r>
      <w:r w:rsidRPr="003A523D">
        <w:rPr>
          <w:b/>
          <w:szCs w:val="22"/>
          <w:lang w:val="fr-FR"/>
        </w:rPr>
        <w:t>M</w:t>
      </w:r>
      <w:r>
        <w:rPr>
          <w:b/>
          <w:szCs w:val="22"/>
          <w:lang w:val="fr-FR"/>
        </w:rPr>
        <w:t>.</w:t>
      </w:r>
      <w:r w:rsidRPr="003A523D">
        <w:rPr>
          <w:b/>
          <w:szCs w:val="22"/>
          <w:lang w:val="fr-FR"/>
        </w:rPr>
        <w:t xml:space="preserve"> Barbieri</w:t>
      </w:r>
      <w:r w:rsidRPr="003A523D">
        <w:rPr>
          <w:szCs w:val="22"/>
          <w:lang w:val="fr-FR"/>
        </w:rPr>
        <w:t xml:space="preserve"> </w:t>
      </w:r>
      <w:r>
        <w:rPr>
          <w:szCs w:val="22"/>
          <w:lang w:val="fr-FR"/>
        </w:rPr>
        <w:t xml:space="preserve">a </w:t>
      </w:r>
      <w:r w:rsidRPr="003A523D">
        <w:rPr>
          <w:szCs w:val="22"/>
          <w:lang w:val="fr-FR"/>
        </w:rPr>
        <w:t>observ</w:t>
      </w:r>
      <w:r>
        <w:rPr>
          <w:szCs w:val="22"/>
          <w:lang w:val="fr-FR"/>
        </w:rPr>
        <w:t>é que la</w:t>
      </w:r>
      <w:r w:rsidRPr="003A523D">
        <w:rPr>
          <w:szCs w:val="22"/>
          <w:lang w:val="fr-FR"/>
        </w:rPr>
        <w:t xml:space="preserve"> MOP5 </w:t>
      </w:r>
      <w:r>
        <w:rPr>
          <w:szCs w:val="22"/>
          <w:lang w:val="fr-FR"/>
        </w:rPr>
        <w:t>se déroulait à un moment crucial pour l’avenir de l’</w:t>
      </w:r>
      <w:r w:rsidRPr="003A523D">
        <w:rPr>
          <w:szCs w:val="22"/>
          <w:lang w:val="fr-FR"/>
        </w:rPr>
        <w:t xml:space="preserve">AEWA, </w:t>
      </w:r>
      <w:r>
        <w:rPr>
          <w:szCs w:val="22"/>
          <w:lang w:val="fr-FR"/>
        </w:rPr>
        <w:t>y compris le premier réel changement dans sa direction depuis la création de l’Accord. Personnellement, il invitait chaleureusement tous ceux qui étaient intéressés par le poste</w:t>
      </w:r>
      <w:r w:rsidRPr="003A523D">
        <w:rPr>
          <w:szCs w:val="22"/>
          <w:lang w:val="fr-FR"/>
        </w:rPr>
        <w:t xml:space="preserve"> </w:t>
      </w:r>
      <w:r>
        <w:rPr>
          <w:szCs w:val="22"/>
          <w:lang w:val="fr-FR"/>
        </w:rPr>
        <w:t xml:space="preserve">de </w:t>
      </w:r>
      <w:r w:rsidRPr="003A523D">
        <w:rPr>
          <w:szCs w:val="22"/>
          <w:lang w:val="fr-FR"/>
        </w:rPr>
        <w:t xml:space="preserve">Secrétaire </w:t>
      </w:r>
      <w:r>
        <w:rPr>
          <w:szCs w:val="22"/>
          <w:lang w:val="fr-FR"/>
        </w:rPr>
        <w:t>e</w:t>
      </w:r>
      <w:r w:rsidRPr="003A523D">
        <w:rPr>
          <w:szCs w:val="22"/>
          <w:lang w:val="fr-FR"/>
        </w:rPr>
        <w:t xml:space="preserve">xécutif </w:t>
      </w:r>
      <w:r>
        <w:rPr>
          <w:szCs w:val="22"/>
          <w:lang w:val="fr-FR"/>
        </w:rPr>
        <w:t xml:space="preserve">à poser leur candidature. La </w:t>
      </w:r>
      <w:r w:rsidRPr="003A523D">
        <w:rPr>
          <w:szCs w:val="22"/>
          <w:lang w:val="fr-FR"/>
        </w:rPr>
        <w:t xml:space="preserve">MOP5 </w:t>
      </w:r>
      <w:r w:rsidRPr="00411364">
        <w:rPr>
          <w:szCs w:val="22"/>
          <w:lang w:val="fr-FR"/>
        </w:rPr>
        <w:t>offrait également une occasion de réflexion</w:t>
      </w:r>
      <w:r>
        <w:rPr>
          <w:szCs w:val="22"/>
          <w:lang w:val="fr-FR"/>
        </w:rPr>
        <w:t xml:space="preserve"> </w:t>
      </w:r>
      <w:r w:rsidRPr="003A523D">
        <w:rPr>
          <w:szCs w:val="22"/>
          <w:lang w:val="fr-FR"/>
        </w:rPr>
        <w:t xml:space="preserve">; </w:t>
      </w:r>
      <w:r>
        <w:rPr>
          <w:szCs w:val="22"/>
          <w:lang w:val="fr-FR"/>
        </w:rPr>
        <w:t xml:space="preserve">on comptait à présent </w:t>
      </w:r>
      <w:r w:rsidRPr="003A523D">
        <w:rPr>
          <w:szCs w:val="22"/>
          <w:lang w:val="fr-FR"/>
        </w:rPr>
        <w:t xml:space="preserve">66 </w:t>
      </w:r>
      <w:r>
        <w:rPr>
          <w:szCs w:val="22"/>
          <w:lang w:val="fr-FR"/>
        </w:rPr>
        <w:t>Parties contractantes</w:t>
      </w:r>
      <w:r w:rsidRPr="003A523D">
        <w:rPr>
          <w:szCs w:val="22"/>
          <w:lang w:val="fr-FR"/>
        </w:rPr>
        <w:t xml:space="preserve"> </w:t>
      </w:r>
      <w:r>
        <w:rPr>
          <w:szCs w:val="22"/>
          <w:lang w:val="fr-FR"/>
        </w:rPr>
        <w:t xml:space="preserve">et l’Accord couvrait </w:t>
      </w:r>
      <w:r w:rsidRPr="003A523D">
        <w:rPr>
          <w:szCs w:val="22"/>
          <w:lang w:val="fr-FR"/>
        </w:rPr>
        <w:t xml:space="preserve">255 </w:t>
      </w:r>
      <w:r>
        <w:rPr>
          <w:szCs w:val="22"/>
          <w:lang w:val="fr-FR"/>
        </w:rPr>
        <w:t>espèces d’</w:t>
      </w:r>
      <w:r w:rsidRPr="003A523D">
        <w:rPr>
          <w:szCs w:val="22"/>
          <w:lang w:val="fr-FR"/>
        </w:rPr>
        <w:t>oiseaux d</w:t>
      </w:r>
      <w:r>
        <w:rPr>
          <w:szCs w:val="22"/>
          <w:lang w:val="fr-FR"/>
        </w:rPr>
        <w:t>’</w:t>
      </w:r>
      <w:r w:rsidRPr="003A523D">
        <w:rPr>
          <w:szCs w:val="22"/>
          <w:lang w:val="fr-FR"/>
        </w:rPr>
        <w:t>eau</w:t>
      </w:r>
      <w:r>
        <w:rPr>
          <w:szCs w:val="22"/>
          <w:lang w:val="fr-FR"/>
        </w:rPr>
        <w:t>. L’</w:t>
      </w:r>
      <w:r w:rsidRPr="003A523D">
        <w:rPr>
          <w:szCs w:val="22"/>
          <w:lang w:val="fr-FR"/>
        </w:rPr>
        <w:t xml:space="preserve">AEWA </w:t>
      </w:r>
      <w:r>
        <w:rPr>
          <w:szCs w:val="22"/>
          <w:lang w:val="fr-FR"/>
        </w:rPr>
        <w:t>avait accumulé au cours des ans une profusion de connaissances et de mesures prises, notamment les Plans d’action par espèce</w:t>
      </w:r>
      <w:r w:rsidRPr="003A523D">
        <w:rPr>
          <w:szCs w:val="22"/>
          <w:lang w:val="fr-FR"/>
        </w:rPr>
        <w:t xml:space="preserve"> (SSAP), </w:t>
      </w:r>
      <w:r>
        <w:rPr>
          <w:szCs w:val="22"/>
          <w:lang w:val="fr-FR"/>
        </w:rPr>
        <w:t>les Lignes directrices de c</w:t>
      </w:r>
      <w:r w:rsidRPr="003A523D">
        <w:rPr>
          <w:szCs w:val="22"/>
          <w:lang w:val="fr-FR"/>
        </w:rPr>
        <w:t xml:space="preserve">onservation </w:t>
      </w:r>
      <w:r>
        <w:rPr>
          <w:szCs w:val="22"/>
          <w:lang w:val="fr-FR"/>
        </w:rPr>
        <w:t xml:space="preserve">et les Rapports sur l’état de conservation. Toutefois les déclins des populations des espèces se poursuivaient : sur les populations dont les tendances étaient connues, 38 % étaient en déclin. Il était donc indispensable de mettre bien plus fortement l’accent sur la mise en œuvre </w:t>
      </w:r>
      <w:r w:rsidRPr="003A523D">
        <w:rPr>
          <w:szCs w:val="22"/>
          <w:lang w:val="fr-FR"/>
        </w:rPr>
        <w:t>national</w:t>
      </w:r>
      <w:r>
        <w:rPr>
          <w:szCs w:val="22"/>
          <w:lang w:val="fr-FR"/>
        </w:rPr>
        <w:t>e. L’</w:t>
      </w:r>
      <w:r w:rsidRPr="003A523D">
        <w:rPr>
          <w:szCs w:val="22"/>
          <w:lang w:val="fr-FR"/>
        </w:rPr>
        <w:t xml:space="preserve">Initiative </w:t>
      </w:r>
      <w:r>
        <w:rPr>
          <w:szCs w:val="22"/>
          <w:lang w:val="fr-FR"/>
        </w:rPr>
        <w:t xml:space="preserve">africaine était une </w:t>
      </w:r>
      <w:r w:rsidRPr="003A523D">
        <w:rPr>
          <w:szCs w:val="22"/>
          <w:lang w:val="fr-FR"/>
        </w:rPr>
        <w:t xml:space="preserve">réponse </w:t>
      </w:r>
      <w:r>
        <w:rPr>
          <w:szCs w:val="22"/>
          <w:lang w:val="fr-FR"/>
        </w:rPr>
        <w:t xml:space="preserve">à ce défi. Grâce à la coopération, au cours des 17 dernières années, l’AEWA avait fait progresser la conservation des </w:t>
      </w:r>
      <w:r w:rsidRPr="003A523D">
        <w:rPr>
          <w:szCs w:val="22"/>
          <w:lang w:val="fr-FR"/>
        </w:rPr>
        <w:t>oiseaux d</w:t>
      </w:r>
      <w:r>
        <w:rPr>
          <w:szCs w:val="22"/>
          <w:lang w:val="fr-FR"/>
        </w:rPr>
        <w:t>’</w:t>
      </w:r>
      <w:r w:rsidRPr="003A523D">
        <w:rPr>
          <w:szCs w:val="22"/>
          <w:lang w:val="fr-FR"/>
        </w:rPr>
        <w:t>eau</w:t>
      </w:r>
      <w:r>
        <w:rPr>
          <w:szCs w:val="22"/>
          <w:lang w:val="fr-FR"/>
        </w:rPr>
        <w:t xml:space="preserve"> migrateurs à l’aide de ressources très limitées, mais était à présent confronté à une charge de travail grandissante dans un contexte de </w:t>
      </w:r>
      <w:r w:rsidRPr="003A523D">
        <w:rPr>
          <w:szCs w:val="22"/>
          <w:lang w:val="fr-FR"/>
        </w:rPr>
        <w:t>difficult</w:t>
      </w:r>
      <w:r>
        <w:rPr>
          <w:szCs w:val="22"/>
          <w:lang w:val="fr-FR"/>
        </w:rPr>
        <w:t>és économiques et de restrictions des budgets</w:t>
      </w:r>
      <w:r w:rsidRPr="003A523D">
        <w:rPr>
          <w:szCs w:val="22"/>
          <w:lang w:val="fr-FR"/>
        </w:rPr>
        <w:t xml:space="preserve"> nationa</w:t>
      </w:r>
      <w:r>
        <w:rPr>
          <w:szCs w:val="22"/>
          <w:lang w:val="fr-FR"/>
        </w:rPr>
        <w:t xml:space="preserve">ux. Le </w:t>
      </w:r>
      <w:r w:rsidRPr="003A523D">
        <w:rPr>
          <w:szCs w:val="22"/>
          <w:lang w:val="fr-FR"/>
        </w:rPr>
        <w:t>Secrétariat continu</w:t>
      </w:r>
      <w:r>
        <w:rPr>
          <w:szCs w:val="22"/>
          <w:lang w:val="fr-FR"/>
        </w:rPr>
        <w:t>ait à être prêt et à vouloir soutenir la mise en œuvre de l’</w:t>
      </w:r>
      <w:r w:rsidRPr="003A523D">
        <w:rPr>
          <w:szCs w:val="22"/>
          <w:lang w:val="fr-FR"/>
        </w:rPr>
        <w:t xml:space="preserve">AEWA </w:t>
      </w:r>
      <w:r>
        <w:rPr>
          <w:szCs w:val="22"/>
          <w:lang w:val="fr-FR"/>
        </w:rPr>
        <w:t xml:space="preserve">dans les limites de son mandat et de ses </w:t>
      </w:r>
      <w:r w:rsidRPr="003A523D">
        <w:rPr>
          <w:szCs w:val="22"/>
          <w:lang w:val="fr-FR"/>
        </w:rPr>
        <w:t>ressources.</w:t>
      </w:r>
    </w:p>
    <w:p w14:paraId="74BED055" w14:textId="77777777" w:rsidR="00F82A75" w:rsidRPr="001D3E9B" w:rsidRDefault="00F82A75" w:rsidP="00BA154F">
      <w:pPr>
        <w:jc w:val="both"/>
        <w:rPr>
          <w:szCs w:val="22"/>
          <w:lang w:val="fr-FR"/>
        </w:rPr>
      </w:pPr>
    </w:p>
    <w:p w14:paraId="574B49C9" w14:textId="41878E79" w:rsidR="00F82A75" w:rsidRPr="009D1245" w:rsidRDefault="00F82A75" w:rsidP="00BA154F">
      <w:pPr>
        <w:jc w:val="both"/>
        <w:rPr>
          <w:szCs w:val="22"/>
          <w:lang w:val="fr-FR"/>
        </w:rPr>
      </w:pPr>
      <w:r w:rsidRPr="009D1245">
        <w:rPr>
          <w:szCs w:val="22"/>
          <w:lang w:val="fr-FR"/>
        </w:rPr>
        <w:t>11. La MOP5 a été officiellement ouverte par l</w:t>
      </w:r>
      <w:r>
        <w:rPr>
          <w:szCs w:val="22"/>
          <w:lang w:val="fr-FR"/>
        </w:rPr>
        <w:t>’</w:t>
      </w:r>
      <w:r w:rsidRPr="009D1245">
        <w:rPr>
          <w:b/>
          <w:szCs w:val="22"/>
          <w:lang w:val="fr-FR"/>
        </w:rPr>
        <w:t>Ambassadeur chargé de l</w:t>
      </w:r>
      <w:r>
        <w:rPr>
          <w:b/>
          <w:szCs w:val="22"/>
          <w:lang w:val="fr-FR"/>
        </w:rPr>
        <w:t>’e</w:t>
      </w:r>
      <w:r w:rsidRPr="009D1245">
        <w:rPr>
          <w:b/>
          <w:szCs w:val="22"/>
          <w:lang w:val="fr-FR"/>
        </w:rPr>
        <w:t xml:space="preserve">nvironnement de la République </w:t>
      </w:r>
      <w:r>
        <w:rPr>
          <w:b/>
          <w:szCs w:val="22"/>
          <w:lang w:val="fr-FR"/>
        </w:rPr>
        <w:t>française</w:t>
      </w:r>
      <w:r w:rsidRPr="009D1245">
        <w:rPr>
          <w:szCs w:val="22"/>
          <w:lang w:val="fr-FR"/>
        </w:rPr>
        <w:t xml:space="preserve"> </w:t>
      </w:r>
      <w:r w:rsidR="005012AF">
        <w:rPr>
          <w:szCs w:val="22"/>
          <w:lang w:val="fr-FR"/>
        </w:rPr>
        <w:t>(</w:t>
      </w:r>
      <w:r w:rsidRPr="009D1245">
        <w:rPr>
          <w:szCs w:val="22"/>
          <w:lang w:val="fr-FR"/>
        </w:rPr>
        <w:t>M</w:t>
      </w:r>
      <w:r>
        <w:rPr>
          <w:szCs w:val="22"/>
          <w:lang w:val="fr-FR"/>
        </w:rPr>
        <w:t>.</w:t>
      </w:r>
      <w:r w:rsidRPr="009D1245">
        <w:rPr>
          <w:szCs w:val="22"/>
          <w:lang w:val="fr-FR"/>
        </w:rPr>
        <w:t xml:space="preserve"> Jean-Pierre </w:t>
      </w:r>
      <w:proofErr w:type="spellStart"/>
      <w:r w:rsidRPr="009D1245">
        <w:rPr>
          <w:szCs w:val="22"/>
          <w:lang w:val="fr-FR"/>
        </w:rPr>
        <w:t>Thébault</w:t>
      </w:r>
      <w:proofErr w:type="spellEnd"/>
      <w:r w:rsidR="005012AF">
        <w:rPr>
          <w:szCs w:val="22"/>
          <w:lang w:val="fr-FR"/>
        </w:rPr>
        <w:t>)</w:t>
      </w:r>
      <w:r>
        <w:rPr>
          <w:szCs w:val="22"/>
          <w:lang w:val="fr-FR"/>
        </w:rPr>
        <w:t xml:space="preserve">, qui a évoqué le rôle de l’AEWA en tant qu’instrument contribuant à répondre au Plan d’action ambitieux s’étalant sur 10 ans convenu lors de la </w:t>
      </w:r>
      <w:r w:rsidRPr="009D1245">
        <w:rPr>
          <w:szCs w:val="22"/>
          <w:lang w:val="fr-FR"/>
        </w:rPr>
        <w:t xml:space="preserve">COP10 </w:t>
      </w:r>
      <w:r>
        <w:rPr>
          <w:szCs w:val="22"/>
          <w:lang w:val="fr-FR"/>
        </w:rPr>
        <w:t xml:space="preserve">de la </w:t>
      </w:r>
      <w:r w:rsidRPr="009D1245">
        <w:rPr>
          <w:szCs w:val="22"/>
          <w:lang w:val="fr-FR"/>
        </w:rPr>
        <w:t xml:space="preserve">Convention </w:t>
      </w:r>
      <w:r>
        <w:rPr>
          <w:szCs w:val="22"/>
          <w:lang w:val="fr-FR"/>
        </w:rPr>
        <w:t>sur la d</w:t>
      </w:r>
      <w:r w:rsidRPr="009D1245">
        <w:rPr>
          <w:szCs w:val="22"/>
          <w:lang w:val="fr-FR"/>
        </w:rPr>
        <w:t>iversi</w:t>
      </w:r>
      <w:r>
        <w:rPr>
          <w:szCs w:val="22"/>
          <w:lang w:val="fr-FR"/>
        </w:rPr>
        <w:t>té biologique</w:t>
      </w:r>
      <w:r w:rsidRPr="009D1245">
        <w:rPr>
          <w:szCs w:val="22"/>
          <w:lang w:val="fr-FR"/>
        </w:rPr>
        <w:t xml:space="preserve"> (C</w:t>
      </w:r>
      <w:r>
        <w:rPr>
          <w:szCs w:val="22"/>
          <w:lang w:val="fr-FR"/>
        </w:rPr>
        <w:t>DB</w:t>
      </w:r>
      <w:r w:rsidRPr="009D1245">
        <w:rPr>
          <w:szCs w:val="22"/>
          <w:lang w:val="fr-FR"/>
        </w:rPr>
        <w:t>)</w:t>
      </w:r>
      <w:r>
        <w:rPr>
          <w:szCs w:val="22"/>
          <w:lang w:val="fr-FR"/>
        </w:rPr>
        <w:t>,</w:t>
      </w:r>
      <w:r w:rsidRPr="009D1245">
        <w:rPr>
          <w:szCs w:val="22"/>
          <w:lang w:val="fr-FR"/>
        </w:rPr>
        <w:t xml:space="preserve"> </w:t>
      </w:r>
      <w:r>
        <w:rPr>
          <w:szCs w:val="22"/>
          <w:lang w:val="fr-FR"/>
        </w:rPr>
        <w:t>à</w:t>
      </w:r>
      <w:r w:rsidRPr="009D1245">
        <w:rPr>
          <w:szCs w:val="22"/>
          <w:lang w:val="fr-FR"/>
        </w:rPr>
        <w:t xml:space="preserve"> Nagoya </w:t>
      </w:r>
      <w:r>
        <w:rPr>
          <w:szCs w:val="22"/>
          <w:lang w:val="fr-FR"/>
        </w:rPr>
        <w:t>en</w:t>
      </w:r>
      <w:r w:rsidRPr="009D1245">
        <w:rPr>
          <w:szCs w:val="22"/>
          <w:lang w:val="fr-FR"/>
        </w:rPr>
        <w:t xml:space="preserve"> 2011, </w:t>
      </w:r>
      <w:r>
        <w:rPr>
          <w:szCs w:val="22"/>
          <w:lang w:val="fr-FR"/>
        </w:rPr>
        <w:t>y compris les Objectifs d’</w:t>
      </w:r>
      <w:r w:rsidRPr="009D1245">
        <w:rPr>
          <w:szCs w:val="22"/>
          <w:lang w:val="fr-FR"/>
        </w:rPr>
        <w:t>Aichi</w:t>
      </w:r>
      <w:r>
        <w:rPr>
          <w:szCs w:val="22"/>
          <w:lang w:val="fr-FR"/>
        </w:rPr>
        <w:t>.</w:t>
      </w:r>
      <w:r w:rsidRPr="009D1245">
        <w:rPr>
          <w:szCs w:val="22"/>
          <w:lang w:val="fr-FR"/>
        </w:rPr>
        <w:t xml:space="preserve"> </w:t>
      </w:r>
      <w:r>
        <w:rPr>
          <w:szCs w:val="22"/>
          <w:lang w:val="fr-FR"/>
        </w:rPr>
        <w:t xml:space="preserve">Il était ravi que la </w:t>
      </w:r>
      <w:r w:rsidRPr="009D1245">
        <w:rPr>
          <w:szCs w:val="22"/>
          <w:lang w:val="fr-FR"/>
        </w:rPr>
        <w:t xml:space="preserve">MOP </w:t>
      </w:r>
      <w:r>
        <w:rPr>
          <w:szCs w:val="22"/>
          <w:lang w:val="fr-FR"/>
        </w:rPr>
        <w:t xml:space="preserve">se déroule à </w:t>
      </w:r>
      <w:r w:rsidRPr="009D1245">
        <w:rPr>
          <w:szCs w:val="22"/>
          <w:lang w:val="fr-FR"/>
        </w:rPr>
        <w:t xml:space="preserve">La Rochelle, </w:t>
      </w:r>
      <w:r>
        <w:rPr>
          <w:szCs w:val="22"/>
          <w:lang w:val="fr-FR"/>
        </w:rPr>
        <w:t xml:space="preserve">emplacement emblématique pour la conservation des </w:t>
      </w:r>
      <w:r w:rsidRPr="009D1245">
        <w:rPr>
          <w:szCs w:val="22"/>
          <w:lang w:val="fr-FR"/>
        </w:rPr>
        <w:t>oiseaux d</w:t>
      </w:r>
      <w:r>
        <w:rPr>
          <w:szCs w:val="22"/>
          <w:lang w:val="fr-FR"/>
        </w:rPr>
        <w:t>’</w:t>
      </w:r>
      <w:r w:rsidRPr="009D1245">
        <w:rPr>
          <w:szCs w:val="22"/>
          <w:lang w:val="fr-FR"/>
        </w:rPr>
        <w:t>eau migrateurs</w:t>
      </w:r>
      <w:r>
        <w:rPr>
          <w:szCs w:val="22"/>
          <w:lang w:val="fr-FR"/>
        </w:rPr>
        <w:t>. Il a souligné l’importance que le gouvernement de la France attachait au travail déjà réalisé sur l’</w:t>
      </w:r>
      <w:r w:rsidRPr="009D1245">
        <w:rPr>
          <w:szCs w:val="22"/>
          <w:lang w:val="fr-FR"/>
        </w:rPr>
        <w:t>Initiative</w:t>
      </w:r>
      <w:r>
        <w:rPr>
          <w:szCs w:val="22"/>
          <w:lang w:val="fr-FR"/>
        </w:rPr>
        <w:t xml:space="preserve"> africaine de l’AEWA. On ne pourra jamais trop souligner l’</w:t>
      </w:r>
      <w:r w:rsidRPr="009D1245">
        <w:rPr>
          <w:szCs w:val="22"/>
          <w:lang w:val="fr-FR"/>
        </w:rPr>
        <w:t xml:space="preserve">importance </w:t>
      </w:r>
      <w:r>
        <w:rPr>
          <w:szCs w:val="22"/>
          <w:lang w:val="fr-FR"/>
        </w:rPr>
        <w:t xml:space="preserve">de l’Afrique pour la </w:t>
      </w:r>
      <w:r w:rsidRPr="009D1245">
        <w:rPr>
          <w:szCs w:val="22"/>
          <w:lang w:val="fr-FR"/>
        </w:rPr>
        <w:t xml:space="preserve">conservation </w:t>
      </w:r>
      <w:r>
        <w:rPr>
          <w:szCs w:val="22"/>
          <w:lang w:val="fr-FR"/>
        </w:rPr>
        <w:t xml:space="preserve">de la biodiversité et l’avant-projet de Plan d’action offrait l’occasion de faire preuve de solidarité avec le </w:t>
      </w:r>
      <w:r w:rsidRPr="009D1245">
        <w:rPr>
          <w:szCs w:val="22"/>
          <w:lang w:val="fr-FR"/>
        </w:rPr>
        <w:t>continent</w:t>
      </w:r>
      <w:r>
        <w:rPr>
          <w:szCs w:val="22"/>
          <w:lang w:val="fr-FR"/>
        </w:rPr>
        <w:t xml:space="preserve"> africain. À</w:t>
      </w:r>
      <w:r w:rsidRPr="009D1245">
        <w:rPr>
          <w:szCs w:val="22"/>
          <w:lang w:val="fr-FR"/>
        </w:rPr>
        <w:t xml:space="preserve"> Rio+20, </w:t>
      </w:r>
      <w:r>
        <w:rPr>
          <w:szCs w:val="22"/>
          <w:lang w:val="fr-FR"/>
        </w:rPr>
        <w:t xml:space="preserve">l’Afrique obtiendrait encore une plus grande reconnaissance de son rôle de pilier de la </w:t>
      </w:r>
      <w:r w:rsidRPr="009D1245">
        <w:rPr>
          <w:szCs w:val="22"/>
          <w:lang w:val="fr-FR"/>
        </w:rPr>
        <w:t>biodiversité</w:t>
      </w:r>
      <w:r>
        <w:rPr>
          <w:szCs w:val="22"/>
          <w:lang w:val="fr-FR"/>
        </w:rPr>
        <w:t xml:space="preserve"> mondiale</w:t>
      </w:r>
      <w:r w:rsidRPr="009D1245">
        <w:rPr>
          <w:szCs w:val="22"/>
          <w:lang w:val="fr-FR"/>
        </w:rPr>
        <w:t>.</w:t>
      </w:r>
    </w:p>
    <w:p w14:paraId="7E5A7610" w14:textId="6F94D75B" w:rsidR="00F82A75" w:rsidRPr="009D1245" w:rsidRDefault="00F82A75" w:rsidP="00BA154F">
      <w:pPr>
        <w:jc w:val="both"/>
        <w:rPr>
          <w:szCs w:val="22"/>
          <w:lang w:val="fr-FR"/>
        </w:rPr>
      </w:pPr>
      <w:r>
        <w:rPr>
          <w:szCs w:val="22"/>
          <w:lang w:val="fr-FR"/>
        </w:rPr>
        <w:t>En concluant</w:t>
      </w:r>
      <w:r w:rsidRPr="009D1245">
        <w:rPr>
          <w:szCs w:val="22"/>
          <w:lang w:val="fr-FR"/>
        </w:rPr>
        <w:t xml:space="preserve">, </w:t>
      </w:r>
      <w:r w:rsidRPr="009D1245">
        <w:rPr>
          <w:b/>
          <w:szCs w:val="22"/>
          <w:lang w:val="fr-FR"/>
        </w:rPr>
        <w:t>M</w:t>
      </w:r>
      <w:r>
        <w:rPr>
          <w:b/>
          <w:szCs w:val="22"/>
          <w:lang w:val="fr-FR"/>
        </w:rPr>
        <w:t>.</w:t>
      </w:r>
      <w:r w:rsidRPr="009D1245">
        <w:rPr>
          <w:b/>
          <w:szCs w:val="22"/>
          <w:lang w:val="fr-FR"/>
        </w:rPr>
        <w:t xml:space="preserve"> </w:t>
      </w:r>
      <w:proofErr w:type="spellStart"/>
      <w:r w:rsidRPr="009D1245">
        <w:rPr>
          <w:b/>
          <w:szCs w:val="22"/>
          <w:lang w:val="fr-FR"/>
        </w:rPr>
        <w:t>Thébault</w:t>
      </w:r>
      <w:proofErr w:type="spellEnd"/>
      <w:r w:rsidRPr="009D1245">
        <w:rPr>
          <w:szCs w:val="22"/>
          <w:lang w:val="fr-FR"/>
        </w:rPr>
        <w:t xml:space="preserve"> </w:t>
      </w:r>
      <w:r>
        <w:rPr>
          <w:szCs w:val="22"/>
          <w:lang w:val="fr-FR"/>
        </w:rPr>
        <w:t xml:space="preserve">a remercié les ONG qui ont joué jusqu’à ce jour un rôle essentiel dans les efforts de conservation des </w:t>
      </w:r>
      <w:r w:rsidRPr="009D1245">
        <w:rPr>
          <w:szCs w:val="22"/>
          <w:lang w:val="fr-FR"/>
        </w:rPr>
        <w:t>oiseaux d</w:t>
      </w:r>
      <w:r>
        <w:rPr>
          <w:szCs w:val="22"/>
          <w:lang w:val="fr-FR"/>
        </w:rPr>
        <w:t>’</w:t>
      </w:r>
      <w:r w:rsidRPr="009D1245">
        <w:rPr>
          <w:szCs w:val="22"/>
          <w:lang w:val="fr-FR"/>
        </w:rPr>
        <w:t>eau migrateurs.</w:t>
      </w:r>
    </w:p>
    <w:p w14:paraId="4055C5FB" w14:textId="4DE19548" w:rsidR="00F82A75" w:rsidRPr="000B5930" w:rsidRDefault="00F82A75" w:rsidP="00BA154F">
      <w:pPr>
        <w:jc w:val="both"/>
        <w:rPr>
          <w:szCs w:val="22"/>
          <w:u w:val="single"/>
          <w:lang w:val="fr-FR"/>
        </w:rPr>
      </w:pPr>
      <w:r w:rsidRPr="000B5930">
        <w:rPr>
          <w:szCs w:val="22"/>
          <w:u w:val="single"/>
          <w:lang w:val="fr-FR"/>
        </w:rPr>
        <w:lastRenderedPageBreak/>
        <w:t xml:space="preserve">Cérémonie de signature – </w:t>
      </w:r>
      <w:r w:rsidRPr="000B5930">
        <w:rPr>
          <w:bCs/>
          <w:szCs w:val="22"/>
          <w:u w:val="single"/>
          <w:lang w:val="fr-FR"/>
        </w:rPr>
        <w:t>Mémorandum d’Accord sur la Conservation des oiseaux de proie migrateurs en Afrique et en Eurasie (</w:t>
      </w:r>
      <w:proofErr w:type="spellStart"/>
      <w:r w:rsidRPr="000B5930">
        <w:rPr>
          <w:bCs/>
          <w:szCs w:val="22"/>
          <w:u w:val="single"/>
          <w:lang w:val="fr-FR"/>
        </w:rPr>
        <w:t>MdA</w:t>
      </w:r>
      <w:proofErr w:type="spellEnd"/>
      <w:r w:rsidRPr="000B5930">
        <w:rPr>
          <w:bCs/>
          <w:szCs w:val="22"/>
          <w:u w:val="single"/>
          <w:lang w:val="fr-FR"/>
        </w:rPr>
        <w:t xml:space="preserve"> sur les Rapaces)</w:t>
      </w:r>
    </w:p>
    <w:p w14:paraId="3598FBE3" w14:textId="77777777" w:rsidR="00F82A75" w:rsidRPr="009D1245" w:rsidRDefault="00F82A75" w:rsidP="00BA154F">
      <w:pPr>
        <w:jc w:val="both"/>
        <w:rPr>
          <w:szCs w:val="22"/>
          <w:lang w:val="fr-FR"/>
        </w:rPr>
      </w:pPr>
    </w:p>
    <w:p w14:paraId="4903F4CD" w14:textId="51119CB2" w:rsidR="00F82A75" w:rsidRDefault="00F82A75" w:rsidP="00BA154F">
      <w:pPr>
        <w:jc w:val="both"/>
        <w:rPr>
          <w:szCs w:val="22"/>
          <w:lang w:val="fr-FR"/>
        </w:rPr>
      </w:pPr>
      <w:r w:rsidRPr="009D1245">
        <w:rPr>
          <w:szCs w:val="22"/>
          <w:lang w:val="fr-FR"/>
        </w:rPr>
        <w:t xml:space="preserve">12. </w:t>
      </w:r>
      <w:r>
        <w:rPr>
          <w:szCs w:val="22"/>
          <w:lang w:val="fr-FR"/>
        </w:rPr>
        <w:t xml:space="preserve">Le </w:t>
      </w:r>
      <w:r w:rsidRPr="009D1245">
        <w:rPr>
          <w:b/>
          <w:szCs w:val="22"/>
          <w:lang w:val="fr-FR"/>
        </w:rPr>
        <w:t>représenta</w:t>
      </w:r>
      <w:r>
        <w:rPr>
          <w:b/>
          <w:szCs w:val="22"/>
          <w:lang w:val="fr-FR"/>
        </w:rPr>
        <w:t>nt de l’Unité de c</w:t>
      </w:r>
      <w:r w:rsidRPr="009D1245">
        <w:rPr>
          <w:b/>
          <w:szCs w:val="22"/>
          <w:lang w:val="fr-FR"/>
        </w:rPr>
        <w:t xml:space="preserve">oordination </w:t>
      </w:r>
      <w:r>
        <w:rPr>
          <w:b/>
          <w:szCs w:val="22"/>
          <w:lang w:val="fr-FR"/>
        </w:rPr>
        <w:t xml:space="preserve">intérimaire du </w:t>
      </w:r>
      <w:proofErr w:type="spellStart"/>
      <w:r>
        <w:rPr>
          <w:b/>
          <w:szCs w:val="22"/>
          <w:lang w:val="fr-FR"/>
        </w:rPr>
        <w:t>MdA</w:t>
      </w:r>
      <w:proofErr w:type="spellEnd"/>
      <w:r>
        <w:rPr>
          <w:b/>
          <w:szCs w:val="22"/>
          <w:lang w:val="fr-FR"/>
        </w:rPr>
        <w:t xml:space="preserve"> sur les Rapaces </w:t>
      </w:r>
      <w:r w:rsidRPr="009D1245">
        <w:rPr>
          <w:szCs w:val="22"/>
          <w:lang w:val="fr-FR"/>
        </w:rPr>
        <w:t>(M</w:t>
      </w:r>
      <w:r>
        <w:rPr>
          <w:szCs w:val="22"/>
          <w:lang w:val="fr-FR"/>
        </w:rPr>
        <w:t>.</w:t>
      </w:r>
      <w:r w:rsidRPr="009D1245">
        <w:rPr>
          <w:szCs w:val="22"/>
          <w:lang w:val="fr-FR"/>
        </w:rPr>
        <w:t xml:space="preserve"> Nick Williams) </w:t>
      </w:r>
      <w:r>
        <w:rPr>
          <w:szCs w:val="22"/>
          <w:lang w:val="fr-FR"/>
        </w:rPr>
        <w:t xml:space="preserve">a invité </w:t>
      </w:r>
      <w:r w:rsidRPr="00693762">
        <w:rPr>
          <w:b/>
          <w:szCs w:val="22"/>
          <w:lang w:val="fr-FR"/>
        </w:rPr>
        <w:t>M.</w:t>
      </w:r>
      <w:r w:rsidRPr="009D1245">
        <w:rPr>
          <w:b/>
          <w:szCs w:val="22"/>
          <w:lang w:val="fr-FR"/>
        </w:rPr>
        <w:t xml:space="preserve"> </w:t>
      </w:r>
      <w:proofErr w:type="spellStart"/>
      <w:r w:rsidRPr="009D1245">
        <w:rPr>
          <w:b/>
          <w:szCs w:val="22"/>
          <w:lang w:val="fr-FR"/>
        </w:rPr>
        <w:t>Thébault</w:t>
      </w:r>
      <w:proofErr w:type="spellEnd"/>
      <w:r>
        <w:rPr>
          <w:b/>
          <w:szCs w:val="22"/>
          <w:lang w:val="fr-FR"/>
        </w:rPr>
        <w:t xml:space="preserve"> </w:t>
      </w:r>
      <w:r w:rsidRPr="00693762">
        <w:rPr>
          <w:szCs w:val="22"/>
          <w:lang w:val="fr-FR"/>
        </w:rPr>
        <w:t>à signer</w:t>
      </w:r>
      <w:r>
        <w:rPr>
          <w:szCs w:val="22"/>
          <w:lang w:val="fr-FR"/>
        </w:rPr>
        <w:t xml:space="preserve"> le </w:t>
      </w:r>
      <w:proofErr w:type="spellStart"/>
      <w:r>
        <w:rPr>
          <w:szCs w:val="22"/>
          <w:lang w:val="fr-FR"/>
        </w:rPr>
        <w:t>MdA</w:t>
      </w:r>
      <w:proofErr w:type="spellEnd"/>
      <w:r>
        <w:rPr>
          <w:szCs w:val="22"/>
          <w:lang w:val="fr-FR"/>
        </w:rPr>
        <w:t xml:space="preserve"> au nom du gouvernement de la </w:t>
      </w:r>
      <w:r w:rsidRPr="009D1245">
        <w:rPr>
          <w:szCs w:val="22"/>
          <w:lang w:val="fr-FR"/>
        </w:rPr>
        <w:t>France.</w:t>
      </w:r>
      <w:r>
        <w:rPr>
          <w:szCs w:val="22"/>
          <w:lang w:val="fr-FR"/>
        </w:rPr>
        <w:t xml:space="preserve"> Les participants ont chaleureusement applaudi cette </w:t>
      </w:r>
      <w:r w:rsidRPr="009D1245">
        <w:rPr>
          <w:szCs w:val="22"/>
          <w:lang w:val="fr-FR"/>
        </w:rPr>
        <w:t>signature.</w:t>
      </w:r>
    </w:p>
    <w:p w14:paraId="07CC1063" w14:textId="77777777" w:rsidR="00C86381" w:rsidRDefault="00C86381" w:rsidP="00BA154F">
      <w:pPr>
        <w:jc w:val="both"/>
        <w:rPr>
          <w:szCs w:val="22"/>
          <w:lang w:val="fr-FR"/>
        </w:rPr>
      </w:pPr>
    </w:p>
    <w:p w14:paraId="6829DF1D" w14:textId="5EFF6155" w:rsidR="007E1B81" w:rsidRPr="00E87605" w:rsidRDefault="007E1B81" w:rsidP="00BA154F">
      <w:pPr>
        <w:jc w:val="both"/>
        <w:rPr>
          <w:szCs w:val="22"/>
          <w:lang w:val="fr-FR"/>
        </w:rPr>
      </w:pPr>
      <w:r>
        <w:rPr>
          <w:szCs w:val="22"/>
          <w:lang w:val="fr-FR"/>
        </w:rPr>
        <w:t>13</w:t>
      </w:r>
      <w:r w:rsidRPr="00E87605">
        <w:rPr>
          <w:szCs w:val="22"/>
          <w:lang w:val="fr-FR"/>
        </w:rPr>
        <w:t>. Le représentant de l’</w:t>
      </w:r>
      <w:r w:rsidRPr="00E87605">
        <w:rPr>
          <w:b/>
          <w:szCs w:val="22"/>
          <w:lang w:val="fr-FR"/>
        </w:rPr>
        <w:t>unité de coordination par intérim pour le</w:t>
      </w:r>
      <w:r w:rsidRPr="00E87605">
        <w:rPr>
          <w:szCs w:val="22"/>
          <w:lang w:val="fr-FR"/>
        </w:rPr>
        <w:t xml:space="preserve"> </w:t>
      </w:r>
      <w:r w:rsidRPr="00E87605">
        <w:rPr>
          <w:b/>
          <w:szCs w:val="22"/>
          <w:lang w:val="fr-FR"/>
        </w:rPr>
        <w:t>Protocole d'accord sur les rapaces</w:t>
      </w:r>
      <w:r w:rsidRPr="00E87605">
        <w:rPr>
          <w:szCs w:val="22"/>
          <w:lang w:val="fr-FR"/>
        </w:rPr>
        <w:t xml:space="preserve"> (M. Nick Williams) a invité le </w:t>
      </w:r>
      <w:r w:rsidRPr="00E87605">
        <w:rPr>
          <w:b/>
          <w:szCs w:val="22"/>
          <w:lang w:val="fr-FR"/>
        </w:rPr>
        <w:t xml:space="preserve">Directeur général du Département de la Protection de la nature et du Développement spatial du Ministère de l’Environnement de Slovaquie </w:t>
      </w:r>
      <w:r w:rsidRPr="00E87605">
        <w:rPr>
          <w:szCs w:val="22"/>
          <w:lang w:val="fr-FR"/>
        </w:rPr>
        <w:t xml:space="preserve">(M. </w:t>
      </w:r>
      <w:proofErr w:type="spellStart"/>
      <w:r w:rsidRPr="00E87605">
        <w:rPr>
          <w:szCs w:val="22"/>
          <w:lang w:val="fr-FR"/>
        </w:rPr>
        <w:t>Ratislav</w:t>
      </w:r>
      <w:proofErr w:type="spellEnd"/>
      <w:r w:rsidRPr="00E87605">
        <w:rPr>
          <w:szCs w:val="22"/>
          <w:lang w:val="fr-FR"/>
        </w:rPr>
        <w:t xml:space="preserve"> </w:t>
      </w:r>
      <w:proofErr w:type="spellStart"/>
      <w:r w:rsidRPr="00E87605">
        <w:rPr>
          <w:szCs w:val="22"/>
          <w:lang w:val="fr-FR"/>
        </w:rPr>
        <w:t>Rybanič</w:t>
      </w:r>
      <w:proofErr w:type="spellEnd"/>
      <w:r w:rsidRPr="00E87605">
        <w:rPr>
          <w:szCs w:val="22"/>
          <w:lang w:val="fr-FR"/>
        </w:rPr>
        <w:t>),</w:t>
      </w:r>
      <w:r w:rsidRPr="00E87605">
        <w:rPr>
          <w:b/>
          <w:szCs w:val="22"/>
          <w:lang w:val="fr-FR"/>
        </w:rPr>
        <w:t xml:space="preserve"> </w:t>
      </w:r>
      <w:r w:rsidRPr="00E87605">
        <w:rPr>
          <w:szCs w:val="22"/>
          <w:lang w:val="fr-FR"/>
        </w:rPr>
        <w:t>à signer le</w:t>
      </w:r>
      <w:r w:rsidRPr="00E87605">
        <w:rPr>
          <w:b/>
          <w:szCs w:val="22"/>
          <w:lang w:val="fr-FR"/>
        </w:rPr>
        <w:t xml:space="preserve"> </w:t>
      </w:r>
      <w:r w:rsidRPr="00E87605">
        <w:rPr>
          <w:szCs w:val="22"/>
          <w:lang w:val="fr-FR"/>
        </w:rPr>
        <w:t xml:space="preserve">Protocole d'accord au nom du gouvernement de la Slovaquie. La signature a été chaleureusement applaudie par les participants. M. </w:t>
      </w:r>
      <w:proofErr w:type="spellStart"/>
      <w:r w:rsidRPr="00E87605">
        <w:rPr>
          <w:szCs w:val="22"/>
          <w:lang w:val="fr-FR"/>
        </w:rPr>
        <w:t>Rybanič</w:t>
      </w:r>
      <w:proofErr w:type="spellEnd"/>
      <w:r w:rsidRPr="00E87605">
        <w:rPr>
          <w:szCs w:val="22"/>
          <w:lang w:val="fr-FR"/>
        </w:rPr>
        <w:t xml:space="preserve"> a remercié l’AEWA d’avoir permis à cette cérémonie d’avoir lieu et a déclaré avoir hâte de renforcer les mesures de conservation prises dans son pays pour les espèces migratrices telles que le Faucon kobez </w:t>
      </w:r>
      <w:r w:rsidRPr="00E87605">
        <w:rPr>
          <w:i/>
          <w:szCs w:val="22"/>
          <w:lang w:val="fr-FR"/>
        </w:rPr>
        <w:t xml:space="preserve">Falco </w:t>
      </w:r>
      <w:proofErr w:type="spellStart"/>
      <w:r w:rsidRPr="00E87605">
        <w:rPr>
          <w:i/>
          <w:szCs w:val="22"/>
          <w:lang w:val="fr-FR"/>
        </w:rPr>
        <w:t>vespertinus</w:t>
      </w:r>
      <w:proofErr w:type="spellEnd"/>
      <w:r w:rsidRPr="00E87605">
        <w:rPr>
          <w:szCs w:val="22"/>
          <w:lang w:val="fr-FR"/>
        </w:rPr>
        <w:t>.</w:t>
      </w:r>
    </w:p>
    <w:p w14:paraId="3A9D541F" w14:textId="40B0FEE8" w:rsidR="00C86381" w:rsidRPr="009D1245" w:rsidRDefault="00C86381" w:rsidP="00BA154F">
      <w:pPr>
        <w:jc w:val="both"/>
        <w:rPr>
          <w:szCs w:val="22"/>
          <w:lang w:val="fr-FR"/>
        </w:rPr>
      </w:pPr>
    </w:p>
    <w:p w14:paraId="3F1652DF" w14:textId="19FB2734" w:rsidR="00F82A75" w:rsidRPr="000B5930" w:rsidRDefault="00F82A75" w:rsidP="00BA154F">
      <w:pPr>
        <w:jc w:val="both"/>
        <w:rPr>
          <w:szCs w:val="22"/>
          <w:u w:val="single"/>
          <w:lang w:val="fr-FR"/>
        </w:rPr>
      </w:pPr>
      <w:r w:rsidRPr="000B5930">
        <w:rPr>
          <w:szCs w:val="22"/>
          <w:u w:val="single"/>
          <w:lang w:val="fr-FR"/>
        </w:rPr>
        <w:t xml:space="preserve">Cérémonie de signature – </w:t>
      </w:r>
      <w:r w:rsidR="005012AF">
        <w:rPr>
          <w:bCs/>
          <w:szCs w:val="22"/>
          <w:u w:val="single"/>
          <w:lang w:val="fr-FR"/>
        </w:rPr>
        <w:t xml:space="preserve">Mémorandum </w:t>
      </w:r>
      <w:r w:rsidRPr="000B5930">
        <w:rPr>
          <w:bCs/>
          <w:szCs w:val="22"/>
          <w:u w:val="single"/>
          <w:lang w:val="fr-FR"/>
        </w:rPr>
        <w:t>de C</w:t>
      </w:r>
      <w:r w:rsidRPr="000B5930">
        <w:rPr>
          <w:szCs w:val="22"/>
          <w:u w:val="single"/>
          <w:lang w:val="fr-FR"/>
        </w:rPr>
        <w:t xml:space="preserve">oopération </w:t>
      </w:r>
      <w:r w:rsidR="005012AF">
        <w:rPr>
          <w:szCs w:val="22"/>
          <w:u w:val="single"/>
          <w:lang w:val="fr-FR"/>
        </w:rPr>
        <w:t xml:space="preserve">révisé </w:t>
      </w:r>
      <w:r w:rsidRPr="000B5930">
        <w:rPr>
          <w:szCs w:val="22"/>
          <w:u w:val="single"/>
          <w:lang w:val="fr-FR"/>
        </w:rPr>
        <w:t xml:space="preserve">entre la CMS et Convention de </w:t>
      </w:r>
      <w:proofErr w:type="spellStart"/>
      <w:r w:rsidRPr="000B5930">
        <w:rPr>
          <w:szCs w:val="22"/>
          <w:u w:val="single"/>
          <w:lang w:val="fr-FR"/>
        </w:rPr>
        <w:t>Ramsar</w:t>
      </w:r>
      <w:proofErr w:type="spellEnd"/>
      <w:r w:rsidRPr="000B5930">
        <w:rPr>
          <w:szCs w:val="22"/>
          <w:u w:val="single"/>
          <w:lang w:val="fr-FR"/>
        </w:rPr>
        <w:t>.</w:t>
      </w:r>
    </w:p>
    <w:p w14:paraId="5675FBD1" w14:textId="77777777" w:rsidR="00F82A75" w:rsidRPr="009D1245" w:rsidRDefault="00F82A75" w:rsidP="00BA154F">
      <w:pPr>
        <w:jc w:val="both"/>
        <w:rPr>
          <w:szCs w:val="22"/>
          <w:lang w:val="fr-FR"/>
        </w:rPr>
      </w:pPr>
    </w:p>
    <w:p w14:paraId="074A73B8" w14:textId="2556326C" w:rsidR="00F82A75" w:rsidRPr="009D1245" w:rsidRDefault="00F82A75" w:rsidP="00BA154F">
      <w:pPr>
        <w:jc w:val="both"/>
        <w:rPr>
          <w:szCs w:val="22"/>
          <w:lang w:val="fr-FR"/>
        </w:rPr>
      </w:pPr>
      <w:r w:rsidRPr="009D1245">
        <w:rPr>
          <w:szCs w:val="22"/>
          <w:lang w:val="fr-FR"/>
        </w:rPr>
        <w:t>1</w:t>
      </w:r>
      <w:r w:rsidR="000B5930">
        <w:rPr>
          <w:szCs w:val="22"/>
          <w:lang w:val="fr-FR"/>
        </w:rPr>
        <w:t>4</w:t>
      </w:r>
      <w:r w:rsidRPr="009D1245">
        <w:rPr>
          <w:szCs w:val="22"/>
          <w:lang w:val="fr-FR"/>
        </w:rPr>
        <w:t xml:space="preserve">. </w:t>
      </w:r>
      <w:r>
        <w:rPr>
          <w:szCs w:val="22"/>
          <w:lang w:val="fr-FR"/>
        </w:rPr>
        <w:t xml:space="preserve">Le </w:t>
      </w:r>
      <w:proofErr w:type="spellStart"/>
      <w:r>
        <w:rPr>
          <w:szCs w:val="22"/>
          <w:lang w:val="fr-FR"/>
        </w:rPr>
        <w:t>MdC</w:t>
      </w:r>
      <w:proofErr w:type="spellEnd"/>
      <w:r w:rsidR="005012AF">
        <w:rPr>
          <w:szCs w:val="22"/>
          <w:lang w:val="fr-FR"/>
        </w:rPr>
        <w:t xml:space="preserve"> révisé</w:t>
      </w:r>
      <w:r>
        <w:rPr>
          <w:szCs w:val="22"/>
          <w:lang w:val="fr-FR"/>
        </w:rPr>
        <w:t xml:space="preserve"> a été signé par</w:t>
      </w:r>
      <w:r w:rsidR="005012AF">
        <w:rPr>
          <w:szCs w:val="22"/>
          <w:lang w:val="fr-FR"/>
        </w:rPr>
        <w:t xml:space="preserve"> le</w:t>
      </w:r>
      <w:r>
        <w:rPr>
          <w:szCs w:val="22"/>
          <w:lang w:val="fr-FR"/>
        </w:rPr>
        <w:t xml:space="preserve"> </w:t>
      </w:r>
      <w:r w:rsidRPr="009D1245">
        <w:rPr>
          <w:b/>
          <w:szCs w:val="22"/>
          <w:lang w:val="fr-FR"/>
        </w:rPr>
        <w:t xml:space="preserve">Secrétaire </w:t>
      </w:r>
      <w:r>
        <w:rPr>
          <w:b/>
          <w:szCs w:val="22"/>
          <w:lang w:val="fr-FR"/>
        </w:rPr>
        <w:t>exécutif</w:t>
      </w:r>
      <w:r w:rsidRPr="009D1245">
        <w:rPr>
          <w:b/>
          <w:szCs w:val="22"/>
          <w:lang w:val="fr-FR"/>
        </w:rPr>
        <w:t xml:space="preserve"> </w:t>
      </w:r>
      <w:r>
        <w:rPr>
          <w:b/>
          <w:szCs w:val="22"/>
          <w:lang w:val="fr-FR"/>
        </w:rPr>
        <w:t>adjoint de la</w:t>
      </w:r>
      <w:r w:rsidRPr="009D1245">
        <w:rPr>
          <w:b/>
          <w:szCs w:val="22"/>
          <w:lang w:val="fr-FR"/>
        </w:rPr>
        <w:t xml:space="preserve"> CMS</w:t>
      </w:r>
      <w:r w:rsidRPr="009D1245">
        <w:rPr>
          <w:szCs w:val="22"/>
          <w:lang w:val="fr-FR"/>
        </w:rPr>
        <w:t xml:space="preserve"> (M</w:t>
      </w:r>
      <w:r>
        <w:rPr>
          <w:szCs w:val="22"/>
          <w:lang w:val="fr-FR"/>
        </w:rPr>
        <w:t xml:space="preserve">. </w:t>
      </w:r>
      <w:r w:rsidRPr="009D1245">
        <w:rPr>
          <w:szCs w:val="22"/>
          <w:lang w:val="fr-FR"/>
        </w:rPr>
        <w:t xml:space="preserve">Bert Lenten) </w:t>
      </w:r>
      <w:r>
        <w:rPr>
          <w:szCs w:val="22"/>
          <w:lang w:val="fr-FR"/>
        </w:rPr>
        <w:t xml:space="preserve">et le </w:t>
      </w:r>
      <w:r w:rsidRPr="00BA01FE">
        <w:rPr>
          <w:b/>
          <w:szCs w:val="22"/>
          <w:lang w:val="fr-FR"/>
        </w:rPr>
        <w:t>S</w:t>
      </w:r>
      <w:r w:rsidRPr="009D1245">
        <w:rPr>
          <w:b/>
          <w:szCs w:val="22"/>
          <w:lang w:val="fr-FR"/>
        </w:rPr>
        <w:t>ecréta</w:t>
      </w:r>
      <w:r>
        <w:rPr>
          <w:b/>
          <w:szCs w:val="22"/>
          <w:lang w:val="fr-FR"/>
        </w:rPr>
        <w:t>ire</w:t>
      </w:r>
      <w:r w:rsidRPr="009D1245">
        <w:rPr>
          <w:b/>
          <w:szCs w:val="22"/>
          <w:lang w:val="fr-FR"/>
        </w:rPr>
        <w:t xml:space="preserve"> </w:t>
      </w:r>
      <w:r>
        <w:rPr>
          <w:b/>
          <w:szCs w:val="22"/>
          <w:lang w:val="fr-FR"/>
        </w:rPr>
        <w:t>gé</w:t>
      </w:r>
      <w:r w:rsidRPr="009D1245">
        <w:rPr>
          <w:b/>
          <w:szCs w:val="22"/>
          <w:lang w:val="fr-FR"/>
        </w:rPr>
        <w:t xml:space="preserve">néral </w:t>
      </w:r>
      <w:r>
        <w:rPr>
          <w:b/>
          <w:szCs w:val="22"/>
          <w:lang w:val="fr-FR"/>
        </w:rPr>
        <w:t xml:space="preserve">adjoint de la Convention de </w:t>
      </w:r>
      <w:proofErr w:type="spellStart"/>
      <w:r>
        <w:rPr>
          <w:b/>
          <w:szCs w:val="22"/>
          <w:lang w:val="fr-FR"/>
        </w:rPr>
        <w:t>Ramsar</w:t>
      </w:r>
      <w:proofErr w:type="spellEnd"/>
      <w:r w:rsidRPr="009D1245">
        <w:rPr>
          <w:szCs w:val="22"/>
          <w:lang w:val="fr-FR"/>
        </w:rPr>
        <w:t xml:space="preserve"> (M</w:t>
      </w:r>
      <w:r>
        <w:rPr>
          <w:szCs w:val="22"/>
          <w:lang w:val="fr-FR"/>
        </w:rPr>
        <w:t>.</w:t>
      </w:r>
      <w:r w:rsidRPr="009D1245">
        <w:rPr>
          <w:szCs w:val="22"/>
          <w:lang w:val="fr-FR"/>
        </w:rPr>
        <w:t xml:space="preserve"> Nick Davidson).</w:t>
      </w:r>
    </w:p>
    <w:p w14:paraId="4E4617CF" w14:textId="77777777" w:rsidR="00F82A75" w:rsidRPr="009D1245" w:rsidRDefault="00F82A75" w:rsidP="00BA154F">
      <w:pPr>
        <w:jc w:val="both"/>
        <w:rPr>
          <w:szCs w:val="22"/>
          <w:lang w:val="fr-FR"/>
        </w:rPr>
      </w:pPr>
    </w:p>
    <w:p w14:paraId="720C425A" w14:textId="16FEE07C" w:rsidR="00F82A75" w:rsidRPr="009D1245" w:rsidRDefault="00F82A75" w:rsidP="00BA154F">
      <w:pPr>
        <w:jc w:val="both"/>
        <w:rPr>
          <w:szCs w:val="22"/>
          <w:lang w:val="fr-FR"/>
        </w:rPr>
      </w:pPr>
      <w:r w:rsidRPr="009D1245">
        <w:rPr>
          <w:szCs w:val="22"/>
          <w:lang w:val="fr-FR"/>
        </w:rPr>
        <w:t>1</w:t>
      </w:r>
      <w:r w:rsidR="000B5930">
        <w:rPr>
          <w:szCs w:val="22"/>
          <w:lang w:val="fr-FR"/>
        </w:rPr>
        <w:t>5</w:t>
      </w:r>
      <w:r w:rsidRPr="009D1245">
        <w:rPr>
          <w:szCs w:val="22"/>
          <w:lang w:val="fr-FR"/>
        </w:rPr>
        <w:t xml:space="preserve">. </w:t>
      </w:r>
      <w:r w:rsidRPr="009D1245">
        <w:rPr>
          <w:b/>
          <w:szCs w:val="22"/>
          <w:lang w:val="fr-FR"/>
        </w:rPr>
        <w:t>M</w:t>
      </w:r>
      <w:r>
        <w:rPr>
          <w:b/>
          <w:szCs w:val="22"/>
          <w:lang w:val="fr-FR"/>
        </w:rPr>
        <w:t>.</w:t>
      </w:r>
      <w:r w:rsidRPr="009D1245">
        <w:rPr>
          <w:b/>
          <w:szCs w:val="22"/>
          <w:lang w:val="fr-FR"/>
        </w:rPr>
        <w:t xml:space="preserve"> Davidson</w:t>
      </w:r>
      <w:r w:rsidRPr="009D1245">
        <w:rPr>
          <w:szCs w:val="22"/>
          <w:lang w:val="fr-FR"/>
        </w:rPr>
        <w:t xml:space="preserve"> </w:t>
      </w:r>
      <w:r>
        <w:rPr>
          <w:szCs w:val="22"/>
          <w:lang w:val="fr-FR"/>
        </w:rPr>
        <w:t xml:space="preserve">a noté que la prochaine étape devrait être tout naturellement le développement d’un plan de travail conjoint entre </w:t>
      </w:r>
      <w:proofErr w:type="spellStart"/>
      <w:r w:rsidRPr="009D1245">
        <w:rPr>
          <w:szCs w:val="22"/>
          <w:lang w:val="fr-FR"/>
        </w:rPr>
        <w:t>Ramsar</w:t>
      </w:r>
      <w:proofErr w:type="spellEnd"/>
      <w:r w:rsidRPr="009D1245">
        <w:rPr>
          <w:szCs w:val="22"/>
          <w:lang w:val="fr-FR"/>
        </w:rPr>
        <w:t xml:space="preserve"> </w:t>
      </w:r>
      <w:r>
        <w:rPr>
          <w:szCs w:val="22"/>
          <w:lang w:val="fr-FR"/>
        </w:rPr>
        <w:t>et</w:t>
      </w:r>
      <w:r w:rsidRPr="009D1245">
        <w:rPr>
          <w:szCs w:val="22"/>
          <w:lang w:val="fr-FR"/>
        </w:rPr>
        <w:t xml:space="preserve"> </w:t>
      </w:r>
      <w:r>
        <w:rPr>
          <w:szCs w:val="22"/>
          <w:lang w:val="fr-FR"/>
        </w:rPr>
        <w:t>l’</w:t>
      </w:r>
      <w:r w:rsidRPr="009D1245">
        <w:rPr>
          <w:szCs w:val="22"/>
          <w:lang w:val="fr-FR"/>
        </w:rPr>
        <w:t>AEWA. M</w:t>
      </w:r>
      <w:r>
        <w:rPr>
          <w:szCs w:val="22"/>
          <w:lang w:val="fr-FR"/>
        </w:rPr>
        <w:t>.</w:t>
      </w:r>
      <w:r w:rsidRPr="009D1245">
        <w:rPr>
          <w:szCs w:val="22"/>
          <w:lang w:val="fr-FR"/>
        </w:rPr>
        <w:t xml:space="preserve"> Lenten</w:t>
      </w:r>
      <w:r>
        <w:rPr>
          <w:szCs w:val="22"/>
          <w:lang w:val="fr-FR"/>
        </w:rPr>
        <w:t xml:space="preserve"> a approuvé, rappelant que les deux </w:t>
      </w:r>
      <w:r w:rsidRPr="009D1245">
        <w:rPr>
          <w:szCs w:val="22"/>
          <w:lang w:val="fr-FR"/>
        </w:rPr>
        <w:t xml:space="preserve">instruments </w:t>
      </w:r>
      <w:r>
        <w:rPr>
          <w:szCs w:val="22"/>
          <w:lang w:val="fr-FR"/>
        </w:rPr>
        <w:t xml:space="preserve">avaient déjà bénéficié d’une </w:t>
      </w:r>
      <w:r w:rsidRPr="009D1245">
        <w:rPr>
          <w:szCs w:val="22"/>
          <w:lang w:val="fr-FR"/>
        </w:rPr>
        <w:t xml:space="preserve">coopération </w:t>
      </w:r>
      <w:r>
        <w:rPr>
          <w:szCs w:val="22"/>
          <w:lang w:val="fr-FR"/>
        </w:rPr>
        <w:t>à long terme sur plusieurs décennies</w:t>
      </w:r>
      <w:r w:rsidRPr="009D1245">
        <w:rPr>
          <w:szCs w:val="22"/>
          <w:lang w:val="fr-FR"/>
        </w:rPr>
        <w:t>.</w:t>
      </w:r>
    </w:p>
    <w:p w14:paraId="5B5A74F3" w14:textId="77777777" w:rsidR="00F82A75" w:rsidRPr="001D3E9B" w:rsidRDefault="00F82A75" w:rsidP="00BA154F">
      <w:pPr>
        <w:jc w:val="both"/>
        <w:rPr>
          <w:szCs w:val="22"/>
          <w:lang w:val="fr-FR"/>
        </w:rPr>
      </w:pPr>
    </w:p>
    <w:p w14:paraId="38456AAA" w14:textId="7098FEB7" w:rsidR="00F82A75" w:rsidRPr="000B5930" w:rsidRDefault="00F82A75" w:rsidP="00BA154F">
      <w:pPr>
        <w:jc w:val="both"/>
        <w:rPr>
          <w:szCs w:val="22"/>
          <w:u w:val="single"/>
          <w:lang w:val="fr-FR"/>
        </w:rPr>
      </w:pPr>
      <w:r w:rsidRPr="000B5930">
        <w:rPr>
          <w:iCs/>
          <w:szCs w:val="22"/>
          <w:u w:val="single"/>
          <w:lang w:val="fr-FR"/>
        </w:rPr>
        <w:t xml:space="preserve">Cérémonie de remise du Prix de l’AEWA pour la conservation des oiseaux d’eau </w:t>
      </w:r>
      <w:r w:rsidRPr="000B5930">
        <w:rPr>
          <w:szCs w:val="22"/>
          <w:u w:val="single"/>
          <w:lang w:val="fr-FR"/>
        </w:rPr>
        <w:t>(Point 8 de l’ordre du jour)</w:t>
      </w:r>
    </w:p>
    <w:p w14:paraId="5A19D42C" w14:textId="77777777" w:rsidR="00F82A75" w:rsidRPr="00144C10" w:rsidRDefault="00F82A75" w:rsidP="00BA154F">
      <w:pPr>
        <w:jc w:val="both"/>
        <w:rPr>
          <w:szCs w:val="22"/>
          <w:lang w:val="fr-FR"/>
        </w:rPr>
      </w:pPr>
    </w:p>
    <w:p w14:paraId="2BED82B6" w14:textId="4294C3A0" w:rsidR="00F82A75" w:rsidRPr="00144C10" w:rsidRDefault="00F82A75" w:rsidP="00BA154F">
      <w:pPr>
        <w:jc w:val="both"/>
        <w:rPr>
          <w:szCs w:val="22"/>
          <w:lang w:val="fr-FR"/>
        </w:rPr>
      </w:pPr>
      <w:r w:rsidRPr="00144C10">
        <w:rPr>
          <w:szCs w:val="22"/>
          <w:lang w:val="fr-FR"/>
        </w:rPr>
        <w:t>1</w:t>
      </w:r>
      <w:r w:rsidR="000B5930">
        <w:rPr>
          <w:szCs w:val="22"/>
          <w:lang w:val="fr-FR"/>
        </w:rPr>
        <w:t>6</w:t>
      </w:r>
      <w:r w:rsidRPr="00144C10">
        <w:rPr>
          <w:szCs w:val="22"/>
          <w:lang w:val="fr-FR"/>
        </w:rPr>
        <w:t xml:space="preserve">. </w:t>
      </w:r>
      <w:r>
        <w:rPr>
          <w:szCs w:val="22"/>
          <w:lang w:val="fr-FR"/>
        </w:rPr>
        <w:t>L’</w:t>
      </w:r>
      <w:r w:rsidRPr="00144C10">
        <w:rPr>
          <w:b/>
          <w:szCs w:val="22"/>
          <w:lang w:val="fr-FR"/>
        </w:rPr>
        <w:t>Administrateur techni</w:t>
      </w:r>
      <w:r>
        <w:rPr>
          <w:b/>
          <w:szCs w:val="22"/>
          <w:lang w:val="fr-FR"/>
        </w:rPr>
        <w:t>que de l’AEWA</w:t>
      </w:r>
      <w:r w:rsidRPr="00144C10">
        <w:rPr>
          <w:b/>
          <w:szCs w:val="22"/>
          <w:lang w:val="fr-FR"/>
        </w:rPr>
        <w:t xml:space="preserve"> </w:t>
      </w:r>
      <w:r w:rsidRPr="00144C10">
        <w:rPr>
          <w:szCs w:val="22"/>
          <w:lang w:val="fr-FR"/>
        </w:rPr>
        <w:t>(M</w:t>
      </w:r>
      <w:r>
        <w:rPr>
          <w:szCs w:val="22"/>
          <w:lang w:val="fr-FR"/>
        </w:rPr>
        <w:t>.</w:t>
      </w:r>
      <w:r w:rsidRPr="00144C10">
        <w:rPr>
          <w:szCs w:val="22"/>
          <w:lang w:val="fr-FR"/>
        </w:rPr>
        <w:t xml:space="preserve"> Sergey Dereliev) </w:t>
      </w:r>
      <w:r>
        <w:rPr>
          <w:szCs w:val="22"/>
          <w:lang w:val="fr-FR"/>
        </w:rPr>
        <w:t xml:space="preserve">a rappelé aux </w:t>
      </w:r>
      <w:r w:rsidRPr="00144C10">
        <w:rPr>
          <w:szCs w:val="22"/>
          <w:lang w:val="fr-FR"/>
        </w:rPr>
        <w:t xml:space="preserve">participants </w:t>
      </w:r>
      <w:r>
        <w:rPr>
          <w:szCs w:val="22"/>
          <w:lang w:val="fr-FR"/>
        </w:rPr>
        <w:t xml:space="preserve">que le </w:t>
      </w:r>
      <w:r w:rsidRPr="00A4666F">
        <w:rPr>
          <w:iCs/>
          <w:szCs w:val="22"/>
          <w:lang w:val="fr-FR"/>
        </w:rPr>
        <w:t>Prix de l</w:t>
      </w:r>
      <w:r>
        <w:rPr>
          <w:iCs/>
          <w:szCs w:val="22"/>
          <w:lang w:val="fr-FR"/>
        </w:rPr>
        <w:t>’</w:t>
      </w:r>
      <w:r w:rsidRPr="00A4666F">
        <w:rPr>
          <w:iCs/>
          <w:szCs w:val="22"/>
          <w:lang w:val="fr-FR"/>
        </w:rPr>
        <w:t>AEWA pour la conservation des oiseaux d</w:t>
      </w:r>
      <w:r>
        <w:rPr>
          <w:iCs/>
          <w:szCs w:val="22"/>
          <w:lang w:val="fr-FR"/>
        </w:rPr>
        <w:t>’</w:t>
      </w:r>
      <w:r w:rsidRPr="00A4666F">
        <w:rPr>
          <w:iCs/>
          <w:szCs w:val="22"/>
          <w:lang w:val="fr-FR"/>
        </w:rPr>
        <w:t>eau</w:t>
      </w:r>
      <w:r>
        <w:rPr>
          <w:iCs/>
          <w:szCs w:val="22"/>
          <w:lang w:val="fr-FR"/>
        </w:rPr>
        <w:t xml:space="preserve"> </w:t>
      </w:r>
      <w:r>
        <w:rPr>
          <w:szCs w:val="22"/>
          <w:lang w:val="fr-FR"/>
        </w:rPr>
        <w:t xml:space="preserve">avait été mis en place par le Comité permanent en </w:t>
      </w:r>
      <w:r w:rsidRPr="00144C10">
        <w:rPr>
          <w:szCs w:val="22"/>
          <w:lang w:val="fr-FR"/>
        </w:rPr>
        <w:t xml:space="preserve">2005 </w:t>
      </w:r>
      <w:r>
        <w:rPr>
          <w:szCs w:val="22"/>
          <w:lang w:val="fr-FR"/>
        </w:rPr>
        <w:t>afin de récompenser les</w:t>
      </w:r>
      <w:r w:rsidRPr="00144C10">
        <w:rPr>
          <w:szCs w:val="22"/>
          <w:lang w:val="fr-FR"/>
        </w:rPr>
        <w:t xml:space="preserve"> individus</w:t>
      </w:r>
      <w:r>
        <w:rPr>
          <w:szCs w:val="22"/>
          <w:lang w:val="fr-FR"/>
        </w:rPr>
        <w:t xml:space="preserve"> et les</w:t>
      </w:r>
      <w:r w:rsidRPr="00144C10">
        <w:rPr>
          <w:szCs w:val="22"/>
          <w:lang w:val="fr-FR"/>
        </w:rPr>
        <w:t xml:space="preserve"> organisations </w:t>
      </w:r>
      <w:r>
        <w:rPr>
          <w:szCs w:val="22"/>
          <w:lang w:val="fr-FR"/>
        </w:rPr>
        <w:t xml:space="preserve">qui avaient contribué de manière exceptionnelle à la </w:t>
      </w:r>
      <w:r w:rsidRPr="00144C10">
        <w:rPr>
          <w:szCs w:val="22"/>
          <w:lang w:val="fr-FR"/>
        </w:rPr>
        <w:t xml:space="preserve">conservation </w:t>
      </w:r>
      <w:r>
        <w:rPr>
          <w:szCs w:val="22"/>
          <w:lang w:val="fr-FR"/>
        </w:rPr>
        <w:t xml:space="preserve">et à l’utilisation durable des </w:t>
      </w:r>
      <w:r w:rsidRPr="00144C10">
        <w:rPr>
          <w:szCs w:val="22"/>
          <w:lang w:val="fr-FR"/>
        </w:rPr>
        <w:t>oiseaux d</w:t>
      </w:r>
      <w:r>
        <w:rPr>
          <w:szCs w:val="22"/>
          <w:lang w:val="fr-FR"/>
        </w:rPr>
        <w:t>’</w:t>
      </w:r>
      <w:r w:rsidRPr="00144C10">
        <w:rPr>
          <w:szCs w:val="22"/>
          <w:lang w:val="fr-FR"/>
        </w:rPr>
        <w:t>eau migrateurs</w:t>
      </w:r>
      <w:r>
        <w:rPr>
          <w:szCs w:val="22"/>
          <w:lang w:val="fr-FR"/>
        </w:rPr>
        <w:t xml:space="preserve"> dans la région d’Afrique-Eurasie. Le prix offert consistait en une peinture du célèbre artiste belge </w:t>
      </w:r>
      <w:r w:rsidRPr="00144C10">
        <w:rPr>
          <w:szCs w:val="22"/>
          <w:lang w:val="fr-FR"/>
        </w:rPr>
        <w:t xml:space="preserve">Yves </w:t>
      </w:r>
      <w:proofErr w:type="spellStart"/>
      <w:r w:rsidRPr="00144C10">
        <w:rPr>
          <w:szCs w:val="22"/>
          <w:lang w:val="fr-FR"/>
        </w:rPr>
        <w:t>Fagniart</w:t>
      </w:r>
      <w:proofErr w:type="spellEnd"/>
      <w:r w:rsidRPr="00144C10">
        <w:rPr>
          <w:szCs w:val="22"/>
          <w:lang w:val="fr-FR"/>
        </w:rPr>
        <w:t>, compl</w:t>
      </w:r>
      <w:r>
        <w:rPr>
          <w:szCs w:val="22"/>
          <w:lang w:val="fr-FR"/>
        </w:rPr>
        <w:t xml:space="preserve">étée par une somme de </w:t>
      </w:r>
      <w:r w:rsidRPr="00144C10">
        <w:rPr>
          <w:szCs w:val="22"/>
          <w:lang w:val="fr-FR"/>
        </w:rPr>
        <w:t>5</w:t>
      </w:r>
      <w:r>
        <w:rPr>
          <w:szCs w:val="22"/>
          <w:lang w:val="fr-FR"/>
        </w:rPr>
        <w:t> </w:t>
      </w:r>
      <w:r w:rsidRPr="00144C10">
        <w:rPr>
          <w:szCs w:val="22"/>
          <w:lang w:val="fr-FR"/>
        </w:rPr>
        <w:t>000 USD.</w:t>
      </w:r>
    </w:p>
    <w:p w14:paraId="51BC5B14" w14:textId="77777777" w:rsidR="00F82A75" w:rsidRPr="00144C10" w:rsidRDefault="00F82A75" w:rsidP="00BA154F">
      <w:pPr>
        <w:jc w:val="both"/>
        <w:rPr>
          <w:szCs w:val="22"/>
          <w:lang w:val="fr-FR"/>
        </w:rPr>
      </w:pPr>
    </w:p>
    <w:p w14:paraId="41FEFBBC" w14:textId="0407F5AB" w:rsidR="00F82A75" w:rsidRPr="00A82550" w:rsidRDefault="00F82A75" w:rsidP="00BA154F">
      <w:pPr>
        <w:jc w:val="both"/>
        <w:rPr>
          <w:szCs w:val="22"/>
          <w:lang w:val="fr-FR"/>
        </w:rPr>
      </w:pPr>
      <w:r w:rsidRPr="00A82550">
        <w:rPr>
          <w:szCs w:val="22"/>
          <w:lang w:val="fr-FR"/>
        </w:rPr>
        <w:t>1</w:t>
      </w:r>
      <w:r w:rsidR="000B5930">
        <w:rPr>
          <w:szCs w:val="22"/>
          <w:lang w:val="fr-FR"/>
        </w:rPr>
        <w:t>7</w:t>
      </w:r>
      <w:r w:rsidRPr="00A82550">
        <w:rPr>
          <w:szCs w:val="22"/>
          <w:lang w:val="fr-FR"/>
        </w:rPr>
        <w:t>. Les Prix</w:t>
      </w:r>
      <w:r>
        <w:rPr>
          <w:szCs w:val="22"/>
          <w:lang w:val="fr-FR"/>
        </w:rPr>
        <w:t xml:space="preserve"> </w:t>
      </w:r>
      <w:r w:rsidRPr="00A82550">
        <w:rPr>
          <w:szCs w:val="22"/>
          <w:lang w:val="fr-FR"/>
        </w:rPr>
        <w:t>2012, off</w:t>
      </w:r>
      <w:r>
        <w:rPr>
          <w:szCs w:val="22"/>
          <w:lang w:val="fr-FR"/>
        </w:rPr>
        <w:t>e</w:t>
      </w:r>
      <w:r w:rsidRPr="00A82550">
        <w:rPr>
          <w:szCs w:val="22"/>
          <w:lang w:val="fr-FR"/>
        </w:rPr>
        <w:t xml:space="preserve">rts par le </w:t>
      </w:r>
      <w:r w:rsidRPr="005012AF">
        <w:rPr>
          <w:b/>
          <w:szCs w:val="22"/>
          <w:lang w:val="fr-FR"/>
        </w:rPr>
        <w:t>Président du Comité permanent</w:t>
      </w:r>
      <w:r w:rsidRPr="00A82550">
        <w:rPr>
          <w:szCs w:val="22"/>
          <w:lang w:val="fr-FR"/>
        </w:rPr>
        <w:t xml:space="preserve"> (M. </w:t>
      </w:r>
      <w:proofErr w:type="spellStart"/>
      <w:r w:rsidRPr="00A82550">
        <w:rPr>
          <w:szCs w:val="22"/>
          <w:lang w:val="fr-FR"/>
        </w:rPr>
        <w:t>Øystein</w:t>
      </w:r>
      <w:proofErr w:type="spellEnd"/>
      <w:r w:rsidRPr="00A82550">
        <w:rPr>
          <w:szCs w:val="22"/>
          <w:lang w:val="fr-FR"/>
        </w:rPr>
        <w:t xml:space="preserve"> </w:t>
      </w:r>
      <w:proofErr w:type="spellStart"/>
      <w:r w:rsidRPr="00A82550">
        <w:rPr>
          <w:szCs w:val="22"/>
          <w:lang w:val="fr-FR"/>
        </w:rPr>
        <w:t>Størkersen</w:t>
      </w:r>
      <w:proofErr w:type="spellEnd"/>
      <w:r w:rsidRPr="00A82550">
        <w:rPr>
          <w:szCs w:val="22"/>
          <w:lang w:val="fr-FR"/>
        </w:rPr>
        <w:t>, Norvège), sous les applaudissements des participants, ont été remis</w:t>
      </w:r>
      <w:r>
        <w:rPr>
          <w:szCs w:val="22"/>
          <w:lang w:val="fr-FR"/>
        </w:rPr>
        <w:t xml:space="preserve"> dans les deux catégories suivantes :</w:t>
      </w:r>
    </w:p>
    <w:p w14:paraId="6E0C4398" w14:textId="77777777" w:rsidR="00F82A75" w:rsidRPr="00A82550" w:rsidRDefault="00F82A75" w:rsidP="00BA154F">
      <w:pPr>
        <w:jc w:val="both"/>
        <w:rPr>
          <w:szCs w:val="22"/>
          <w:lang w:val="fr-FR"/>
        </w:rPr>
      </w:pPr>
    </w:p>
    <w:p w14:paraId="678A186D" w14:textId="77777777" w:rsidR="00F82A75" w:rsidRPr="000B5930" w:rsidRDefault="00F82A75" w:rsidP="00BA154F">
      <w:pPr>
        <w:jc w:val="both"/>
        <w:rPr>
          <w:szCs w:val="22"/>
          <w:lang w:val="fr-FR"/>
        </w:rPr>
      </w:pPr>
      <w:r w:rsidRPr="000B5930">
        <w:rPr>
          <w:szCs w:val="22"/>
          <w:lang w:val="fr-FR"/>
        </w:rPr>
        <w:t>Catégorie individuelle</w:t>
      </w:r>
    </w:p>
    <w:p w14:paraId="37D7F154" w14:textId="77777777" w:rsidR="00F82A75" w:rsidRPr="00A82550" w:rsidRDefault="00F82A75" w:rsidP="00BA154F">
      <w:pPr>
        <w:jc w:val="both"/>
        <w:rPr>
          <w:szCs w:val="22"/>
          <w:lang w:val="fr-FR"/>
        </w:rPr>
      </w:pPr>
    </w:p>
    <w:p w14:paraId="7251F449" w14:textId="000B90D2" w:rsidR="00F82A75" w:rsidRPr="00A82550" w:rsidRDefault="00F82A75" w:rsidP="00BA154F">
      <w:pPr>
        <w:jc w:val="both"/>
        <w:rPr>
          <w:szCs w:val="22"/>
          <w:lang w:val="fr-FR"/>
        </w:rPr>
      </w:pPr>
      <w:r w:rsidRPr="00A82550">
        <w:rPr>
          <w:szCs w:val="22"/>
          <w:lang w:val="fr-FR"/>
        </w:rPr>
        <w:t>1</w:t>
      </w:r>
      <w:r w:rsidR="000B5930">
        <w:rPr>
          <w:szCs w:val="22"/>
          <w:lang w:val="fr-FR"/>
        </w:rPr>
        <w:t>8</w:t>
      </w:r>
      <w:r w:rsidRPr="00A82550">
        <w:rPr>
          <w:szCs w:val="22"/>
          <w:lang w:val="fr-FR"/>
        </w:rPr>
        <w:t xml:space="preserve">. </w:t>
      </w:r>
      <w:r w:rsidRPr="00D96ACC">
        <w:rPr>
          <w:szCs w:val="22"/>
          <w:lang w:val="fr-FR"/>
        </w:rPr>
        <w:t xml:space="preserve">Au feu </w:t>
      </w:r>
      <w:r w:rsidRPr="000B5930">
        <w:rPr>
          <w:b/>
          <w:szCs w:val="22"/>
          <w:lang w:val="fr-FR"/>
        </w:rPr>
        <w:t xml:space="preserve">Dr Brooks </w:t>
      </w:r>
      <w:proofErr w:type="spellStart"/>
      <w:r w:rsidRPr="000B5930">
        <w:rPr>
          <w:b/>
          <w:szCs w:val="22"/>
          <w:lang w:val="fr-FR"/>
        </w:rPr>
        <w:t>Childress</w:t>
      </w:r>
      <w:proofErr w:type="spellEnd"/>
      <w:r w:rsidRPr="00A82550">
        <w:rPr>
          <w:szCs w:val="22"/>
          <w:lang w:val="fr-FR"/>
        </w:rPr>
        <w:t xml:space="preserve"> </w:t>
      </w:r>
      <w:r>
        <w:rPr>
          <w:szCs w:val="22"/>
          <w:lang w:val="fr-FR"/>
        </w:rPr>
        <w:t xml:space="preserve">en récompense de son remarquable travail de recherche et de conservation effectué pour les </w:t>
      </w:r>
      <w:r w:rsidRPr="00A82550">
        <w:rPr>
          <w:szCs w:val="22"/>
          <w:lang w:val="fr-FR"/>
        </w:rPr>
        <w:t>oiseaux d</w:t>
      </w:r>
      <w:r>
        <w:rPr>
          <w:szCs w:val="22"/>
          <w:lang w:val="fr-FR"/>
        </w:rPr>
        <w:t>’</w:t>
      </w:r>
      <w:r w:rsidRPr="00A82550">
        <w:rPr>
          <w:szCs w:val="22"/>
          <w:lang w:val="fr-FR"/>
        </w:rPr>
        <w:t>eau</w:t>
      </w:r>
      <w:r>
        <w:rPr>
          <w:szCs w:val="22"/>
          <w:lang w:val="fr-FR"/>
        </w:rPr>
        <w:t xml:space="preserve"> des lacs de la Vallée du Rift, tout spécialement pour les Flamants nains </w:t>
      </w:r>
      <w:proofErr w:type="spellStart"/>
      <w:r w:rsidRPr="00A82550">
        <w:rPr>
          <w:i/>
          <w:szCs w:val="22"/>
          <w:lang w:val="fr-FR"/>
        </w:rPr>
        <w:t>Phoenicopterus</w:t>
      </w:r>
      <w:proofErr w:type="spellEnd"/>
      <w:r w:rsidRPr="00A82550">
        <w:rPr>
          <w:i/>
          <w:szCs w:val="22"/>
          <w:lang w:val="fr-FR"/>
        </w:rPr>
        <w:t xml:space="preserve"> </w:t>
      </w:r>
      <w:proofErr w:type="spellStart"/>
      <w:r w:rsidRPr="00A82550">
        <w:rPr>
          <w:i/>
          <w:szCs w:val="22"/>
          <w:lang w:val="fr-FR"/>
        </w:rPr>
        <w:t>minor</w:t>
      </w:r>
      <w:proofErr w:type="spellEnd"/>
      <w:r w:rsidRPr="00A82550">
        <w:rPr>
          <w:szCs w:val="22"/>
          <w:lang w:val="fr-FR"/>
        </w:rPr>
        <w:t xml:space="preserve"> </w:t>
      </w:r>
      <w:r>
        <w:rPr>
          <w:szCs w:val="22"/>
          <w:lang w:val="fr-FR"/>
        </w:rPr>
        <w:t xml:space="preserve">du lac </w:t>
      </w:r>
      <w:proofErr w:type="spellStart"/>
      <w:r>
        <w:rPr>
          <w:szCs w:val="22"/>
          <w:lang w:val="fr-FR"/>
        </w:rPr>
        <w:t>B</w:t>
      </w:r>
      <w:r w:rsidRPr="00A82550">
        <w:rPr>
          <w:szCs w:val="22"/>
          <w:lang w:val="fr-FR"/>
        </w:rPr>
        <w:t>ogoria</w:t>
      </w:r>
      <w:proofErr w:type="spellEnd"/>
      <w:r w:rsidRPr="00A82550">
        <w:rPr>
          <w:szCs w:val="22"/>
          <w:lang w:val="fr-FR"/>
        </w:rPr>
        <w:t xml:space="preserve"> </w:t>
      </w:r>
      <w:r>
        <w:rPr>
          <w:szCs w:val="22"/>
          <w:lang w:val="fr-FR"/>
        </w:rPr>
        <w:t>et du lac</w:t>
      </w:r>
      <w:r w:rsidRPr="00A82550">
        <w:rPr>
          <w:szCs w:val="22"/>
          <w:lang w:val="fr-FR"/>
        </w:rPr>
        <w:t xml:space="preserve"> Natron, </w:t>
      </w:r>
      <w:r>
        <w:rPr>
          <w:szCs w:val="22"/>
          <w:lang w:val="fr-FR"/>
        </w:rPr>
        <w:t>notamment dans son rôle de Président du groupe d’e</w:t>
      </w:r>
      <w:r w:rsidR="005012AF">
        <w:rPr>
          <w:szCs w:val="22"/>
          <w:lang w:val="fr-FR"/>
        </w:rPr>
        <w:t>xperts internationaux de l’UICN</w:t>
      </w:r>
      <w:r w:rsidRPr="00A82550">
        <w:rPr>
          <w:szCs w:val="22"/>
          <w:lang w:val="fr-FR"/>
        </w:rPr>
        <w:t xml:space="preserve">/SSC/WI </w:t>
      </w:r>
      <w:r>
        <w:rPr>
          <w:szCs w:val="22"/>
          <w:lang w:val="fr-FR"/>
        </w:rPr>
        <w:t>sur les Flamants</w:t>
      </w:r>
      <w:r w:rsidRPr="00A82550">
        <w:rPr>
          <w:szCs w:val="22"/>
          <w:lang w:val="fr-FR"/>
        </w:rPr>
        <w:t>.</w:t>
      </w:r>
    </w:p>
    <w:p w14:paraId="4D158D61" w14:textId="77777777" w:rsidR="00F82A75" w:rsidRPr="00A82550" w:rsidRDefault="00F82A75" w:rsidP="00BA154F">
      <w:pPr>
        <w:jc w:val="both"/>
        <w:rPr>
          <w:szCs w:val="22"/>
          <w:lang w:val="fr-FR"/>
        </w:rPr>
      </w:pPr>
    </w:p>
    <w:p w14:paraId="4EDD9BA1" w14:textId="2C7A3673" w:rsidR="00F82A75" w:rsidRPr="00A82550" w:rsidRDefault="00F82A75" w:rsidP="00BA154F">
      <w:pPr>
        <w:jc w:val="both"/>
        <w:rPr>
          <w:szCs w:val="22"/>
          <w:lang w:val="fr-FR"/>
        </w:rPr>
      </w:pPr>
      <w:r w:rsidRPr="00A82550">
        <w:rPr>
          <w:szCs w:val="22"/>
          <w:lang w:val="fr-FR"/>
        </w:rPr>
        <w:t>1</w:t>
      </w:r>
      <w:r w:rsidR="000B5930">
        <w:rPr>
          <w:szCs w:val="22"/>
          <w:lang w:val="fr-FR"/>
        </w:rPr>
        <w:t>9</w:t>
      </w:r>
      <w:r w:rsidRPr="00A82550">
        <w:rPr>
          <w:szCs w:val="22"/>
          <w:lang w:val="fr-FR"/>
        </w:rPr>
        <w:t xml:space="preserve">. </w:t>
      </w:r>
      <w:r w:rsidR="005012AF">
        <w:rPr>
          <w:szCs w:val="22"/>
          <w:lang w:val="fr-FR"/>
        </w:rPr>
        <w:t xml:space="preserve">M. </w:t>
      </w:r>
      <w:proofErr w:type="spellStart"/>
      <w:r w:rsidR="005012AF" w:rsidRPr="00A82550">
        <w:rPr>
          <w:szCs w:val="22"/>
          <w:lang w:val="fr-FR"/>
        </w:rPr>
        <w:t>Størkersen</w:t>
      </w:r>
      <w:proofErr w:type="spellEnd"/>
      <w:r w:rsidR="005012AF">
        <w:rPr>
          <w:szCs w:val="22"/>
          <w:lang w:val="fr-FR"/>
        </w:rPr>
        <w:t xml:space="preserve"> </w:t>
      </w:r>
      <w:r>
        <w:rPr>
          <w:szCs w:val="22"/>
          <w:lang w:val="fr-FR"/>
        </w:rPr>
        <w:t xml:space="preserve">a invité les participants à se lever pour un instant de recueillement en sa mémoire et a invité la femme de M. </w:t>
      </w:r>
      <w:r w:rsidRPr="00A82550">
        <w:rPr>
          <w:szCs w:val="22"/>
          <w:lang w:val="fr-FR"/>
        </w:rPr>
        <w:t xml:space="preserve">Brooks, </w:t>
      </w:r>
      <w:r w:rsidRPr="00A82550">
        <w:rPr>
          <w:b/>
          <w:szCs w:val="22"/>
          <w:lang w:val="fr-FR"/>
        </w:rPr>
        <w:t>M</w:t>
      </w:r>
      <w:r>
        <w:rPr>
          <w:b/>
          <w:szCs w:val="22"/>
          <w:lang w:val="fr-FR"/>
        </w:rPr>
        <w:t>me</w:t>
      </w:r>
      <w:r w:rsidRPr="00A82550">
        <w:rPr>
          <w:b/>
          <w:szCs w:val="22"/>
          <w:lang w:val="fr-FR"/>
        </w:rPr>
        <w:t xml:space="preserve"> Sandra </w:t>
      </w:r>
      <w:proofErr w:type="spellStart"/>
      <w:r w:rsidRPr="00A82550">
        <w:rPr>
          <w:b/>
          <w:szCs w:val="22"/>
          <w:lang w:val="fr-FR"/>
        </w:rPr>
        <w:t>Childress</w:t>
      </w:r>
      <w:proofErr w:type="spellEnd"/>
      <w:r w:rsidRPr="00A82550">
        <w:rPr>
          <w:szCs w:val="22"/>
          <w:lang w:val="fr-FR"/>
        </w:rPr>
        <w:t xml:space="preserve">, </w:t>
      </w:r>
      <w:r>
        <w:rPr>
          <w:szCs w:val="22"/>
          <w:lang w:val="fr-FR"/>
        </w:rPr>
        <w:t xml:space="preserve">à recevoir le prix. Remerciant l’AEWA pour cet honneur fait à son mari défunt, Mme </w:t>
      </w:r>
      <w:proofErr w:type="spellStart"/>
      <w:r w:rsidRPr="00A82550">
        <w:rPr>
          <w:szCs w:val="22"/>
          <w:lang w:val="fr-FR"/>
        </w:rPr>
        <w:t>Childress</w:t>
      </w:r>
      <w:proofErr w:type="spellEnd"/>
      <w:r w:rsidRPr="00A82550">
        <w:rPr>
          <w:szCs w:val="22"/>
          <w:lang w:val="fr-FR"/>
        </w:rPr>
        <w:t xml:space="preserve"> </w:t>
      </w:r>
      <w:r>
        <w:rPr>
          <w:szCs w:val="22"/>
          <w:lang w:val="fr-FR"/>
        </w:rPr>
        <w:t>a indiqué que le Dr Brooks avait ressenti comme un privilège de pouvoir consacrer la fin de sa vie à la conservation des flamants, ce qui lui avait permis d’apprécier profondém</w:t>
      </w:r>
      <w:r w:rsidR="005012AF">
        <w:rPr>
          <w:szCs w:val="22"/>
          <w:lang w:val="fr-FR"/>
        </w:rPr>
        <w:t>ent à la fois l</w:t>
      </w:r>
      <w:r>
        <w:rPr>
          <w:szCs w:val="22"/>
          <w:lang w:val="fr-FR"/>
        </w:rPr>
        <w:t>es oiseaux eux-mêmes et les gens de tous les horizons participant à leur conservation. Ce prix l’aurait vraiment comblé</w:t>
      </w:r>
      <w:r w:rsidRPr="00A82550">
        <w:rPr>
          <w:szCs w:val="22"/>
          <w:lang w:val="fr-FR"/>
        </w:rPr>
        <w:t>.</w:t>
      </w:r>
    </w:p>
    <w:p w14:paraId="26A83DB7" w14:textId="77777777" w:rsidR="00F82A75" w:rsidRPr="00A82550" w:rsidRDefault="00F82A75" w:rsidP="00BA154F">
      <w:pPr>
        <w:jc w:val="both"/>
        <w:rPr>
          <w:szCs w:val="22"/>
          <w:lang w:val="fr-FR"/>
        </w:rPr>
      </w:pPr>
    </w:p>
    <w:p w14:paraId="1F54613C" w14:textId="77777777" w:rsidR="00F82A75" w:rsidRPr="00A82550" w:rsidRDefault="00F82A75" w:rsidP="00BA154F">
      <w:pPr>
        <w:jc w:val="both"/>
        <w:rPr>
          <w:szCs w:val="22"/>
          <w:u w:val="single"/>
          <w:lang w:val="fr-FR"/>
        </w:rPr>
      </w:pPr>
      <w:r>
        <w:rPr>
          <w:szCs w:val="22"/>
          <w:u w:val="single"/>
          <w:lang w:val="fr-FR"/>
        </w:rPr>
        <w:t>C</w:t>
      </w:r>
      <w:r w:rsidRPr="00A82550">
        <w:rPr>
          <w:szCs w:val="22"/>
          <w:u w:val="single"/>
          <w:lang w:val="fr-FR"/>
        </w:rPr>
        <w:t>atégor</w:t>
      </w:r>
      <w:r>
        <w:rPr>
          <w:szCs w:val="22"/>
          <w:u w:val="single"/>
          <w:lang w:val="fr-FR"/>
        </w:rPr>
        <w:t>ie institutionnelle</w:t>
      </w:r>
    </w:p>
    <w:p w14:paraId="032306C7" w14:textId="77777777" w:rsidR="00F82A75" w:rsidRPr="00A82550" w:rsidRDefault="00F82A75" w:rsidP="00BA154F">
      <w:pPr>
        <w:jc w:val="both"/>
        <w:rPr>
          <w:szCs w:val="22"/>
          <w:lang w:val="fr-FR"/>
        </w:rPr>
      </w:pPr>
    </w:p>
    <w:p w14:paraId="71C7BACF" w14:textId="62B8F546" w:rsidR="00F82A75" w:rsidRPr="00A82550" w:rsidRDefault="000B5930" w:rsidP="00BA154F">
      <w:pPr>
        <w:jc w:val="both"/>
        <w:rPr>
          <w:szCs w:val="22"/>
          <w:lang w:val="fr-FR"/>
        </w:rPr>
      </w:pPr>
      <w:r>
        <w:rPr>
          <w:szCs w:val="22"/>
          <w:lang w:val="fr-FR"/>
        </w:rPr>
        <w:t>20</w:t>
      </w:r>
      <w:r w:rsidR="00F82A75" w:rsidRPr="00A82550">
        <w:rPr>
          <w:szCs w:val="22"/>
          <w:lang w:val="fr-FR"/>
        </w:rPr>
        <w:t xml:space="preserve">. </w:t>
      </w:r>
      <w:r w:rsidR="00F82A75" w:rsidRPr="005012AF">
        <w:rPr>
          <w:b/>
          <w:szCs w:val="22"/>
          <w:lang w:val="fr-FR"/>
        </w:rPr>
        <w:t>Le groupe d’étude international sur les échassiers</w:t>
      </w:r>
      <w:r w:rsidR="00F82A75">
        <w:rPr>
          <w:szCs w:val="22"/>
          <w:lang w:val="fr-FR"/>
        </w:rPr>
        <w:t xml:space="preserve"> </w:t>
      </w:r>
      <w:r w:rsidR="00F82A75" w:rsidRPr="00A82550">
        <w:rPr>
          <w:szCs w:val="22"/>
          <w:lang w:val="fr-FR"/>
        </w:rPr>
        <w:t xml:space="preserve">(IWSG) </w:t>
      </w:r>
      <w:r w:rsidR="00F82A75">
        <w:rPr>
          <w:szCs w:val="22"/>
          <w:lang w:val="fr-FR"/>
        </w:rPr>
        <w:t xml:space="preserve">a été récompensé pour sa </w:t>
      </w:r>
      <w:r w:rsidR="00F82A75" w:rsidRPr="00A82550">
        <w:rPr>
          <w:szCs w:val="22"/>
          <w:lang w:val="fr-FR"/>
        </w:rPr>
        <w:t xml:space="preserve">contribution </w:t>
      </w:r>
      <w:r w:rsidR="00F82A75">
        <w:rPr>
          <w:szCs w:val="22"/>
          <w:lang w:val="fr-FR"/>
        </w:rPr>
        <w:t>majeure à la mise en œuvre de l’</w:t>
      </w:r>
      <w:r w:rsidR="00F82A75" w:rsidRPr="00A82550">
        <w:rPr>
          <w:szCs w:val="22"/>
          <w:lang w:val="fr-FR"/>
        </w:rPr>
        <w:t>AEWA,</w:t>
      </w:r>
      <w:r w:rsidR="00F82A75">
        <w:rPr>
          <w:szCs w:val="22"/>
          <w:lang w:val="fr-FR"/>
        </w:rPr>
        <w:t xml:space="preserve"> notamment le développement de son approche stratégique de la conservation à l’échelle de la voie de migration dans les années </w:t>
      </w:r>
      <w:r w:rsidR="00F82A75" w:rsidRPr="00A82550">
        <w:rPr>
          <w:szCs w:val="22"/>
          <w:lang w:val="fr-FR"/>
        </w:rPr>
        <w:t>199</w:t>
      </w:r>
      <w:r w:rsidR="00F82A75">
        <w:rPr>
          <w:szCs w:val="22"/>
          <w:lang w:val="fr-FR"/>
        </w:rPr>
        <w:t>0 et ses recherches, synthèses de données et activités éducatives actuelles</w:t>
      </w:r>
      <w:r w:rsidR="00F82A75" w:rsidRPr="00A82550">
        <w:rPr>
          <w:szCs w:val="22"/>
          <w:lang w:val="fr-FR"/>
        </w:rPr>
        <w:t>.</w:t>
      </w:r>
    </w:p>
    <w:p w14:paraId="16569216" w14:textId="77777777" w:rsidR="00F82A75" w:rsidRPr="00A82550" w:rsidRDefault="00F82A75" w:rsidP="00BA154F">
      <w:pPr>
        <w:jc w:val="both"/>
        <w:rPr>
          <w:szCs w:val="22"/>
          <w:lang w:val="fr-FR"/>
        </w:rPr>
      </w:pPr>
    </w:p>
    <w:p w14:paraId="122F1C34" w14:textId="59BB0052" w:rsidR="00F82A75" w:rsidRPr="00A82550" w:rsidRDefault="00F82A75" w:rsidP="00BA154F">
      <w:pPr>
        <w:jc w:val="both"/>
        <w:rPr>
          <w:szCs w:val="22"/>
          <w:lang w:val="fr-FR"/>
        </w:rPr>
      </w:pPr>
      <w:r w:rsidRPr="00A82550">
        <w:rPr>
          <w:szCs w:val="22"/>
          <w:lang w:val="fr-FR"/>
        </w:rPr>
        <w:lastRenderedPageBreak/>
        <w:t>2</w:t>
      </w:r>
      <w:r w:rsidR="000B5930">
        <w:rPr>
          <w:szCs w:val="22"/>
          <w:lang w:val="fr-FR"/>
        </w:rPr>
        <w:t>1</w:t>
      </w:r>
      <w:r w:rsidRPr="00A82550">
        <w:rPr>
          <w:szCs w:val="22"/>
          <w:lang w:val="fr-FR"/>
        </w:rPr>
        <w:t xml:space="preserve">. </w:t>
      </w:r>
      <w:r w:rsidRPr="00A82550">
        <w:rPr>
          <w:b/>
          <w:szCs w:val="22"/>
          <w:lang w:val="fr-FR"/>
        </w:rPr>
        <w:t>M</w:t>
      </w:r>
      <w:r>
        <w:rPr>
          <w:b/>
          <w:szCs w:val="22"/>
          <w:lang w:val="fr-FR"/>
        </w:rPr>
        <w:t>.</w:t>
      </w:r>
      <w:r w:rsidRPr="00A82550">
        <w:rPr>
          <w:b/>
          <w:szCs w:val="22"/>
          <w:lang w:val="fr-FR"/>
        </w:rPr>
        <w:t xml:space="preserve"> Gregor </w:t>
      </w:r>
      <w:proofErr w:type="spellStart"/>
      <w:r w:rsidRPr="00A82550">
        <w:rPr>
          <w:rStyle w:val="st"/>
          <w:b/>
          <w:szCs w:val="22"/>
          <w:lang w:val="fr-FR"/>
        </w:rPr>
        <w:t>Scheiffarth</w:t>
      </w:r>
      <w:proofErr w:type="spellEnd"/>
      <w:r>
        <w:rPr>
          <w:rStyle w:val="st"/>
          <w:b/>
          <w:szCs w:val="22"/>
          <w:lang w:val="fr-FR"/>
        </w:rPr>
        <w:t xml:space="preserve"> </w:t>
      </w:r>
      <w:r w:rsidRPr="001D6E5E">
        <w:rPr>
          <w:rStyle w:val="st"/>
          <w:szCs w:val="22"/>
          <w:lang w:val="fr-FR"/>
        </w:rPr>
        <w:t>a reçu le prix au nom de l</w:t>
      </w:r>
      <w:r>
        <w:rPr>
          <w:rStyle w:val="st"/>
          <w:szCs w:val="22"/>
          <w:lang w:val="fr-FR"/>
        </w:rPr>
        <w:t>’</w:t>
      </w:r>
      <w:r w:rsidRPr="001D6E5E">
        <w:rPr>
          <w:rStyle w:val="st"/>
          <w:szCs w:val="22"/>
          <w:lang w:val="fr-FR"/>
        </w:rPr>
        <w:t>IWS</w:t>
      </w:r>
      <w:r w:rsidR="005012AF">
        <w:rPr>
          <w:rStyle w:val="st"/>
          <w:szCs w:val="22"/>
          <w:lang w:val="fr-FR"/>
        </w:rPr>
        <w:t>G</w:t>
      </w:r>
      <w:r>
        <w:rPr>
          <w:rStyle w:val="st"/>
          <w:szCs w:val="22"/>
          <w:lang w:val="fr-FR"/>
        </w:rPr>
        <w:t xml:space="preserve">. Il a rappelé que le Groupe avait travaillé pendant plus de 40 ans à rassembler des informations sur les </w:t>
      </w:r>
      <w:r w:rsidRPr="00A82550">
        <w:rPr>
          <w:szCs w:val="22"/>
          <w:lang w:val="fr-FR"/>
        </w:rPr>
        <w:t xml:space="preserve">populations </w:t>
      </w:r>
      <w:r>
        <w:rPr>
          <w:szCs w:val="22"/>
          <w:lang w:val="fr-FR"/>
        </w:rPr>
        <w:t xml:space="preserve">et leurs mouvements pour soutenir la </w:t>
      </w:r>
      <w:r w:rsidRPr="00A82550">
        <w:rPr>
          <w:szCs w:val="22"/>
          <w:lang w:val="fr-FR"/>
        </w:rPr>
        <w:t>conservation</w:t>
      </w:r>
      <w:r>
        <w:rPr>
          <w:szCs w:val="22"/>
          <w:lang w:val="fr-FR"/>
        </w:rPr>
        <w:t xml:space="preserve"> des habitats. Une conservation efficace ne peut se faire que sur la base d’informations de haute qualité,</w:t>
      </w:r>
      <w:r w:rsidRPr="00A82550">
        <w:rPr>
          <w:szCs w:val="22"/>
          <w:lang w:val="fr-FR"/>
        </w:rPr>
        <w:t xml:space="preserve"> accessible</w:t>
      </w:r>
      <w:r>
        <w:rPr>
          <w:szCs w:val="22"/>
          <w:lang w:val="fr-FR"/>
        </w:rPr>
        <w:t>s à toutes les parties prenantes. Le Prix de l’</w:t>
      </w:r>
      <w:r w:rsidRPr="00A82550">
        <w:rPr>
          <w:szCs w:val="22"/>
          <w:lang w:val="fr-FR"/>
        </w:rPr>
        <w:t xml:space="preserve">AEWA </w:t>
      </w:r>
      <w:r>
        <w:rPr>
          <w:szCs w:val="22"/>
          <w:lang w:val="fr-FR"/>
        </w:rPr>
        <w:t>encouragera les membres de l’</w:t>
      </w:r>
      <w:r w:rsidRPr="00A82550">
        <w:rPr>
          <w:szCs w:val="22"/>
          <w:lang w:val="fr-FR"/>
        </w:rPr>
        <w:t xml:space="preserve">IWSG </w:t>
      </w:r>
      <w:r>
        <w:rPr>
          <w:szCs w:val="22"/>
          <w:lang w:val="fr-FR"/>
        </w:rPr>
        <w:t>à continuer à travailler avec enthousiasme vers leur but commun</w:t>
      </w:r>
      <w:r w:rsidRPr="00A82550">
        <w:rPr>
          <w:szCs w:val="22"/>
          <w:lang w:val="fr-FR"/>
        </w:rPr>
        <w:t>.</w:t>
      </w:r>
    </w:p>
    <w:p w14:paraId="2BA559F7" w14:textId="77777777" w:rsidR="000B5930" w:rsidRDefault="000B5930" w:rsidP="00BA154F">
      <w:pPr>
        <w:jc w:val="both"/>
        <w:rPr>
          <w:b/>
          <w:szCs w:val="22"/>
          <w:lang w:val="fr-FR"/>
        </w:rPr>
      </w:pPr>
    </w:p>
    <w:p w14:paraId="700BFCC1" w14:textId="77777777" w:rsidR="00F82A75" w:rsidRPr="000B5930" w:rsidRDefault="00F82A75" w:rsidP="00BA154F">
      <w:pPr>
        <w:jc w:val="both"/>
        <w:rPr>
          <w:szCs w:val="22"/>
          <w:u w:val="single"/>
          <w:lang w:val="fr-FR"/>
        </w:rPr>
      </w:pPr>
      <w:r w:rsidRPr="000B5930">
        <w:rPr>
          <w:szCs w:val="22"/>
          <w:u w:val="single"/>
          <w:lang w:val="fr-FR"/>
        </w:rPr>
        <w:t>Exposé liminaire</w:t>
      </w:r>
    </w:p>
    <w:p w14:paraId="16EC7DA3" w14:textId="77777777" w:rsidR="00F82A75" w:rsidRPr="00852763" w:rsidRDefault="00F82A75" w:rsidP="00BA154F">
      <w:pPr>
        <w:jc w:val="both"/>
        <w:rPr>
          <w:szCs w:val="22"/>
          <w:lang w:val="fr-FR"/>
        </w:rPr>
      </w:pPr>
    </w:p>
    <w:p w14:paraId="099CA3EB" w14:textId="7608421F" w:rsidR="00F82A75" w:rsidRPr="00852763" w:rsidRDefault="000B5930" w:rsidP="00BA154F">
      <w:pPr>
        <w:jc w:val="both"/>
        <w:rPr>
          <w:szCs w:val="22"/>
          <w:lang w:val="fr-FR"/>
        </w:rPr>
      </w:pPr>
      <w:r>
        <w:rPr>
          <w:szCs w:val="22"/>
          <w:lang w:val="fr-FR"/>
        </w:rPr>
        <w:t>22</w:t>
      </w:r>
      <w:r w:rsidR="00F82A75" w:rsidRPr="00852763">
        <w:rPr>
          <w:szCs w:val="22"/>
          <w:lang w:val="fr-FR"/>
        </w:rPr>
        <w:t>.</w:t>
      </w:r>
      <w:r w:rsidR="00F82A75" w:rsidRPr="00852763">
        <w:rPr>
          <w:b/>
          <w:szCs w:val="22"/>
          <w:lang w:val="fr-FR"/>
        </w:rPr>
        <w:t xml:space="preserve"> Dr Bart </w:t>
      </w:r>
      <w:proofErr w:type="spellStart"/>
      <w:r w:rsidR="00F82A75" w:rsidRPr="00852763">
        <w:rPr>
          <w:b/>
          <w:szCs w:val="22"/>
          <w:lang w:val="fr-FR"/>
        </w:rPr>
        <w:t>Ebbinge</w:t>
      </w:r>
      <w:proofErr w:type="spellEnd"/>
      <w:r w:rsidR="00F82A75" w:rsidRPr="00852763">
        <w:rPr>
          <w:szCs w:val="22"/>
          <w:lang w:val="fr-FR"/>
        </w:rPr>
        <w:t xml:space="preserve">, </w:t>
      </w:r>
      <w:r w:rsidR="00F82A75">
        <w:rPr>
          <w:szCs w:val="22"/>
          <w:lang w:val="fr-FR"/>
        </w:rPr>
        <w:t>Président du groupe des spécialistes de l’Oie (GSG) de l’</w:t>
      </w:r>
      <w:r w:rsidR="00F82A75" w:rsidRPr="00852763">
        <w:rPr>
          <w:szCs w:val="22"/>
          <w:lang w:val="fr-FR"/>
        </w:rPr>
        <w:t>U</w:t>
      </w:r>
      <w:r w:rsidR="00F82A75">
        <w:rPr>
          <w:szCs w:val="22"/>
          <w:lang w:val="fr-FR"/>
        </w:rPr>
        <w:t>I</w:t>
      </w:r>
      <w:r w:rsidR="00F82A75" w:rsidRPr="00852763">
        <w:rPr>
          <w:szCs w:val="22"/>
          <w:lang w:val="fr-FR"/>
        </w:rPr>
        <w:t xml:space="preserve">CN/SSC/WI </w:t>
      </w:r>
      <w:r w:rsidR="00F82A75">
        <w:rPr>
          <w:szCs w:val="22"/>
          <w:lang w:val="fr-FR"/>
        </w:rPr>
        <w:t>a fait un exposé intitulé « </w:t>
      </w:r>
      <w:r w:rsidR="00F82A75" w:rsidRPr="00AC5D4B">
        <w:rPr>
          <w:i/>
          <w:szCs w:val="22"/>
          <w:lang w:val="fr-FR"/>
        </w:rPr>
        <w:t>Comment faire face aux populations croissantes d</w:t>
      </w:r>
      <w:r w:rsidR="00F82A75">
        <w:rPr>
          <w:i/>
          <w:szCs w:val="22"/>
          <w:lang w:val="fr-FR"/>
        </w:rPr>
        <w:t>’</w:t>
      </w:r>
      <w:r w:rsidR="00F82A75" w:rsidRPr="00AC5D4B">
        <w:rPr>
          <w:i/>
          <w:szCs w:val="22"/>
          <w:lang w:val="fr-FR"/>
        </w:rPr>
        <w:t>oies ?</w:t>
      </w:r>
      <w:r w:rsidR="00F82A75">
        <w:rPr>
          <w:szCs w:val="22"/>
          <w:lang w:val="fr-FR"/>
        </w:rPr>
        <w:t xml:space="preserve"> »</w:t>
      </w:r>
      <w:r w:rsidR="00F82A75" w:rsidRPr="00852763">
        <w:rPr>
          <w:szCs w:val="22"/>
          <w:lang w:val="fr-FR"/>
        </w:rPr>
        <w:t xml:space="preserve"> </w:t>
      </w:r>
      <w:r w:rsidR="00F82A75">
        <w:rPr>
          <w:szCs w:val="22"/>
          <w:lang w:val="fr-FR"/>
        </w:rPr>
        <w:t xml:space="preserve">Il a présenté brièvement le </w:t>
      </w:r>
      <w:r w:rsidR="00F82A75" w:rsidRPr="00852763">
        <w:rPr>
          <w:szCs w:val="22"/>
          <w:lang w:val="fr-FR"/>
        </w:rPr>
        <w:t>GSG</w:t>
      </w:r>
      <w:r w:rsidR="00F82A75">
        <w:rPr>
          <w:szCs w:val="22"/>
          <w:lang w:val="fr-FR"/>
        </w:rPr>
        <w:t xml:space="preserve"> et l’histoire de ses réunions, de celle qui s’est déroulée en Pologne en 1995 jusqu’à celle qui s’est déroulé en Russie en 2011. Il a abordé ensuite divers aspects de la </w:t>
      </w:r>
      <w:r w:rsidR="00F82A75" w:rsidRPr="00852763">
        <w:rPr>
          <w:szCs w:val="22"/>
          <w:lang w:val="fr-FR"/>
        </w:rPr>
        <w:t>migration</w:t>
      </w:r>
      <w:r w:rsidR="00F82A75">
        <w:rPr>
          <w:szCs w:val="22"/>
          <w:lang w:val="fr-FR"/>
        </w:rPr>
        <w:t xml:space="preserve"> des oie, de la chasse, des </w:t>
      </w:r>
      <w:r w:rsidR="00F82A75" w:rsidRPr="00852763">
        <w:rPr>
          <w:szCs w:val="22"/>
          <w:lang w:val="fr-FR"/>
        </w:rPr>
        <w:t>dynami</w:t>
      </w:r>
      <w:r w:rsidR="00F82A75">
        <w:rPr>
          <w:szCs w:val="22"/>
          <w:lang w:val="fr-FR"/>
        </w:rPr>
        <w:t xml:space="preserve">ques de population, des méthodes de recherche et des </w:t>
      </w:r>
      <w:r w:rsidR="00F82A75" w:rsidRPr="00852763">
        <w:rPr>
          <w:szCs w:val="22"/>
          <w:lang w:val="fr-FR"/>
        </w:rPr>
        <w:t xml:space="preserve">conflits </w:t>
      </w:r>
      <w:r w:rsidR="00F82A75">
        <w:rPr>
          <w:szCs w:val="22"/>
          <w:lang w:val="fr-FR"/>
        </w:rPr>
        <w:t>avec l’</w:t>
      </w:r>
      <w:r w:rsidR="00F82A75" w:rsidRPr="00852763">
        <w:rPr>
          <w:szCs w:val="22"/>
          <w:lang w:val="fr-FR"/>
        </w:rPr>
        <w:t xml:space="preserve">agriculture, </w:t>
      </w:r>
      <w:r w:rsidR="00F82A75">
        <w:rPr>
          <w:szCs w:val="22"/>
          <w:lang w:val="fr-FR"/>
        </w:rPr>
        <w:t>suivis par des études de cas se concentrant sur la Bernache cravant à ventre sombre</w:t>
      </w:r>
      <w:r w:rsidR="00F82A75" w:rsidRPr="00852763">
        <w:rPr>
          <w:szCs w:val="22"/>
          <w:lang w:val="fr-FR"/>
        </w:rPr>
        <w:t xml:space="preserve"> </w:t>
      </w:r>
      <w:proofErr w:type="spellStart"/>
      <w:r w:rsidR="00F82A75" w:rsidRPr="00852763">
        <w:rPr>
          <w:i/>
          <w:szCs w:val="22"/>
          <w:lang w:val="fr-FR"/>
        </w:rPr>
        <w:t>Branta</w:t>
      </w:r>
      <w:proofErr w:type="spellEnd"/>
      <w:r w:rsidR="00F82A75" w:rsidRPr="00852763">
        <w:rPr>
          <w:i/>
          <w:szCs w:val="22"/>
          <w:lang w:val="fr-FR"/>
        </w:rPr>
        <w:t xml:space="preserve"> </w:t>
      </w:r>
      <w:proofErr w:type="spellStart"/>
      <w:r w:rsidR="00F82A75" w:rsidRPr="00852763">
        <w:rPr>
          <w:i/>
          <w:szCs w:val="22"/>
          <w:lang w:val="fr-FR"/>
        </w:rPr>
        <w:t>bernicla</w:t>
      </w:r>
      <w:proofErr w:type="spellEnd"/>
      <w:r w:rsidR="00F82A75" w:rsidRPr="00852763">
        <w:rPr>
          <w:i/>
          <w:szCs w:val="22"/>
          <w:lang w:val="fr-FR"/>
        </w:rPr>
        <w:t xml:space="preserve"> </w:t>
      </w:r>
      <w:proofErr w:type="spellStart"/>
      <w:r w:rsidR="00F82A75" w:rsidRPr="00852763">
        <w:rPr>
          <w:i/>
          <w:szCs w:val="22"/>
          <w:lang w:val="fr-FR"/>
        </w:rPr>
        <w:t>bernicla</w:t>
      </w:r>
      <w:proofErr w:type="spellEnd"/>
      <w:r w:rsidR="00F82A75" w:rsidRPr="00852763">
        <w:rPr>
          <w:szCs w:val="22"/>
          <w:lang w:val="fr-FR"/>
        </w:rPr>
        <w:t xml:space="preserve">, </w:t>
      </w:r>
      <w:r w:rsidR="00F82A75">
        <w:rPr>
          <w:szCs w:val="22"/>
          <w:lang w:val="fr-FR"/>
        </w:rPr>
        <w:t>l’Oie rieuse</w:t>
      </w:r>
      <w:r w:rsidR="00F82A75" w:rsidRPr="00852763">
        <w:rPr>
          <w:szCs w:val="22"/>
          <w:lang w:val="fr-FR"/>
        </w:rPr>
        <w:t xml:space="preserve"> </w:t>
      </w:r>
      <w:r w:rsidR="00F82A75" w:rsidRPr="00852763">
        <w:rPr>
          <w:i/>
          <w:szCs w:val="22"/>
          <w:lang w:val="fr-FR"/>
        </w:rPr>
        <w:t xml:space="preserve">Anser </w:t>
      </w:r>
      <w:proofErr w:type="spellStart"/>
      <w:r w:rsidR="00F82A75" w:rsidRPr="00852763">
        <w:rPr>
          <w:i/>
          <w:szCs w:val="22"/>
          <w:lang w:val="fr-FR"/>
        </w:rPr>
        <w:t>albifrons</w:t>
      </w:r>
      <w:proofErr w:type="spellEnd"/>
      <w:r w:rsidR="00F82A75" w:rsidRPr="00852763">
        <w:rPr>
          <w:szCs w:val="22"/>
          <w:lang w:val="fr-FR"/>
        </w:rPr>
        <w:t xml:space="preserve">, </w:t>
      </w:r>
      <w:r w:rsidR="00F82A75">
        <w:rPr>
          <w:szCs w:val="22"/>
          <w:lang w:val="fr-FR"/>
        </w:rPr>
        <w:t xml:space="preserve">et l’Oie à bec court </w:t>
      </w:r>
      <w:r w:rsidR="00F82A75" w:rsidRPr="00852763">
        <w:rPr>
          <w:i/>
          <w:szCs w:val="22"/>
          <w:lang w:val="fr-FR"/>
        </w:rPr>
        <w:t xml:space="preserve">A. </w:t>
      </w:r>
      <w:proofErr w:type="spellStart"/>
      <w:r w:rsidR="00F82A75" w:rsidRPr="00852763">
        <w:rPr>
          <w:i/>
          <w:szCs w:val="22"/>
          <w:lang w:val="fr-FR"/>
        </w:rPr>
        <w:t>brachyrhynchus</w:t>
      </w:r>
      <w:proofErr w:type="spellEnd"/>
      <w:r w:rsidR="00F82A75" w:rsidRPr="00852763">
        <w:rPr>
          <w:i/>
          <w:szCs w:val="22"/>
          <w:lang w:val="fr-FR"/>
        </w:rPr>
        <w:t>.</w:t>
      </w:r>
      <w:r w:rsidR="00F82A75" w:rsidRPr="00852763">
        <w:rPr>
          <w:szCs w:val="22"/>
          <w:lang w:val="fr-FR"/>
        </w:rPr>
        <w:t xml:space="preserve"> </w:t>
      </w:r>
      <w:r w:rsidR="00F82A75">
        <w:rPr>
          <w:szCs w:val="22"/>
          <w:lang w:val="fr-FR"/>
        </w:rPr>
        <w:t xml:space="preserve">Il a conclu que des réglementations de chasse plus souples pourraient être utiles, mais il a souligné que cette gestion devrait toujours se faire dans un contexte </w:t>
      </w:r>
      <w:r w:rsidR="00F82A75" w:rsidRPr="00852763">
        <w:rPr>
          <w:szCs w:val="22"/>
          <w:lang w:val="fr-FR"/>
        </w:rPr>
        <w:t xml:space="preserve">international </w:t>
      </w:r>
      <w:r w:rsidR="00F82A75">
        <w:rPr>
          <w:szCs w:val="22"/>
          <w:lang w:val="fr-FR"/>
        </w:rPr>
        <w:t xml:space="preserve">et qu’un accord international sur les taux de prélèvement ainsi qu’une surveillance de ces derniers seraient indispensables. Les </w:t>
      </w:r>
      <w:r w:rsidR="00F82A75" w:rsidRPr="00852763">
        <w:rPr>
          <w:szCs w:val="22"/>
          <w:lang w:val="fr-FR"/>
        </w:rPr>
        <w:t xml:space="preserve">Parties </w:t>
      </w:r>
      <w:r w:rsidR="00F82A75">
        <w:rPr>
          <w:szCs w:val="22"/>
          <w:lang w:val="fr-FR"/>
        </w:rPr>
        <w:t>n’avaient pas suffisamment investi dans des recherches sur les dynamiques de populations à long terme et il était nécessaire de remédier à cette insuffisance</w:t>
      </w:r>
      <w:r w:rsidR="00F82A75" w:rsidRPr="00852763">
        <w:rPr>
          <w:szCs w:val="22"/>
          <w:lang w:val="fr-FR"/>
        </w:rPr>
        <w:t>.</w:t>
      </w:r>
    </w:p>
    <w:p w14:paraId="59492FB5" w14:textId="77777777" w:rsidR="00F82A75" w:rsidRPr="00852763" w:rsidRDefault="00F82A75" w:rsidP="00BA154F">
      <w:pPr>
        <w:jc w:val="both"/>
        <w:rPr>
          <w:szCs w:val="22"/>
          <w:lang w:val="fr-FR"/>
        </w:rPr>
      </w:pPr>
    </w:p>
    <w:p w14:paraId="67B81B94" w14:textId="77777777" w:rsidR="00F82A75" w:rsidRPr="000B5930" w:rsidRDefault="00F82A75" w:rsidP="00BA154F">
      <w:pPr>
        <w:jc w:val="both"/>
        <w:rPr>
          <w:szCs w:val="22"/>
          <w:u w:val="single"/>
          <w:lang w:val="fr-FR"/>
        </w:rPr>
      </w:pPr>
      <w:r w:rsidRPr="000B5930">
        <w:rPr>
          <w:szCs w:val="22"/>
          <w:u w:val="single"/>
          <w:lang w:val="fr-FR"/>
        </w:rPr>
        <w:t xml:space="preserve">Début du programme de la MOP5 </w:t>
      </w:r>
    </w:p>
    <w:p w14:paraId="1D06DB07" w14:textId="77777777" w:rsidR="00F82A75" w:rsidRPr="00852763" w:rsidRDefault="00F82A75" w:rsidP="00BA154F">
      <w:pPr>
        <w:jc w:val="both"/>
        <w:rPr>
          <w:szCs w:val="22"/>
          <w:lang w:val="fr-FR"/>
        </w:rPr>
      </w:pPr>
    </w:p>
    <w:p w14:paraId="2B0D625A" w14:textId="28351825" w:rsidR="00F82A75" w:rsidRPr="00852763" w:rsidRDefault="00F82A75" w:rsidP="00BA154F">
      <w:pPr>
        <w:jc w:val="both"/>
        <w:rPr>
          <w:szCs w:val="22"/>
          <w:lang w:val="fr-FR"/>
        </w:rPr>
      </w:pPr>
      <w:r w:rsidRPr="00852763">
        <w:rPr>
          <w:szCs w:val="22"/>
          <w:lang w:val="fr-FR"/>
        </w:rPr>
        <w:t>2</w:t>
      </w:r>
      <w:r w:rsidR="000B5930">
        <w:rPr>
          <w:szCs w:val="22"/>
          <w:lang w:val="fr-FR"/>
        </w:rPr>
        <w:t>3</w:t>
      </w:r>
      <w:r w:rsidRPr="00852763">
        <w:rPr>
          <w:szCs w:val="22"/>
          <w:lang w:val="fr-FR"/>
        </w:rPr>
        <w:t xml:space="preserve">. </w:t>
      </w:r>
      <w:r>
        <w:rPr>
          <w:szCs w:val="22"/>
          <w:lang w:val="fr-FR"/>
        </w:rPr>
        <w:t xml:space="preserve">Le </w:t>
      </w:r>
      <w:r w:rsidRPr="00852763">
        <w:rPr>
          <w:b/>
          <w:szCs w:val="22"/>
          <w:lang w:val="fr-FR"/>
        </w:rPr>
        <w:t xml:space="preserve">Secrétaire </w:t>
      </w:r>
      <w:r>
        <w:rPr>
          <w:b/>
          <w:szCs w:val="22"/>
          <w:lang w:val="fr-FR"/>
        </w:rPr>
        <w:t>exécutif</w:t>
      </w:r>
      <w:r w:rsidRPr="00852763">
        <w:rPr>
          <w:b/>
          <w:szCs w:val="22"/>
          <w:lang w:val="fr-FR"/>
        </w:rPr>
        <w:t xml:space="preserve"> </w:t>
      </w:r>
      <w:r>
        <w:rPr>
          <w:b/>
          <w:szCs w:val="22"/>
          <w:lang w:val="fr-FR"/>
        </w:rPr>
        <w:t>par intérim de l’A</w:t>
      </w:r>
      <w:r w:rsidRPr="00852763">
        <w:rPr>
          <w:b/>
          <w:szCs w:val="22"/>
          <w:lang w:val="fr-FR"/>
        </w:rPr>
        <w:t>EWA</w:t>
      </w:r>
      <w:r>
        <w:rPr>
          <w:b/>
          <w:szCs w:val="22"/>
          <w:lang w:val="fr-FR"/>
        </w:rPr>
        <w:t xml:space="preserve"> </w:t>
      </w:r>
      <w:r w:rsidR="005012AF" w:rsidRPr="005012AF">
        <w:rPr>
          <w:szCs w:val="22"/>
          <w:lang w:val="fr-FR"/>
        </w:rPr>
        <w:t>(M. Marco Barbieri)</w:t>
      </w:r>
      <w:r w:rsidR="005012AF">
        <w:rPr>
          <w:b/>
          <w:szCs w:val="22"/>
          <w:lang w:val="fr-FR"/>
        </w:rPr>
        <w:t xml:space="preserve"> </w:t>
      </w:r>
      <w:r>
        <w:rPr>
          <w:szCs w:val="22"/>
          <w:lang w:val="fr-FR"/>
        </w:rPr>
        <w:t xml:space="preserve">a invité </w:t>
      </w:r>
      <w:r w:rsidRPr="000B5930">
        <w:rPr>
          <w:b/>
          <w:szCs w:val="22"/>
          <w:lang w:val="fr-FR"/>
        </w:rPr>
        <w:t>le Président du Comité permanent de l’AEWA</w:t>
      </w:r>
      <w:r>
        <w:rPr>
          <w:szCs w:val="22"/>
          <w:lang w:val="fr-FR"/>
        </w:rPr>
        <w:t xml:space="preserve"> </w:t>
      </w:r>
      <w:r w:rsidRPr="00852763">
        <w:rPr>
          <w:szCs w:val="22"/>
          <w:lang w:val="fr-FR"/>
        </w:rPr>
        <w:t>(</w:t>
      </w:r>
      <w:r>
        <w:rPr>
          <w:szCs w:val="22"/>
          <w:lang w:val="fr-FR"/>
        </w:rPr>
        <w:t>M.</w:t>
      </w:r>
      <w:r w:rsidR="005012AF">
        <w:rPr>
          <w:szCs w:val="22"/>
          <w:lang w:val="fr-FR"/>
        </w:rPr>
        <w:t xml:space="preserve"> </w:t>
      </w:r>
      <w:proofErr w:type="spellStart"/>
      <w:r w:rsidRPr="00852763">
        <w:rPr>
          <w:szCs w:val="22"/>
          <w:lang w:val="fr-FR"/>
        </w:rPr>
        <w:t>Øystein</w:t>
      </w:r>
      <w:proofErr w:type="spellEnd"/>
      <w:r w:rsidRPr="00852763">
        <w:rPr>
          <w:szCs w:val="22"/>
          <w:lang w:val="fr-FR"/>
        </w:rPr>
        <w:t xml:space="preserve"> </w:t>
      </w:r>
      <w:proofErr w:type="spellStart"/>
      <w:r w:rsidRPr="00852763">
        <w:rPr>
          <w:szCs w:val="22"/>
          <w:lang w:val="fr-FR"/>
        </w:rPr>
        <w:t>Størkersen</w:t>
      </w:r>
      <w:proofErr w:type="spellEnd"/>
      <w:r w:rsidRPr="00852763">
        <w:rPr>
          <w:szCs w:val="22"/>
          <w:lang w:val="fr-FR"/>
        </w:rPr>
        <w:t>, Nor</w:t>
      </w:r>
      <w:r>
        <w:rPr>
          <w:szCs w:val="22"/>
          <w:lang w:val="fr-FR"/>
        </w:rPr>
        <w:t>vège</w:t>
      </w:r>
      <w:r w:rsidRPr="00852763">
        <w:rPr>
          <w:szCs w:val="22"/>
          <w:lang w:val="fr-FR"/>
        </w:rPr>
        <w:t xml:space="preserve">) </w:t>
      </w:r>
      <w:r>
        <w:rPr>
          <w:szCs w:val="22"/>
          <w:lang w:val="fr-FR"/>
        </w:rPr>
        <w:t>à remplir temporairement la fonction de Président, conformément aux dispositions du Règlement intérieur</w:t>
      </w:r>
      <w:r w:rsidRPr="00852763">
        <w:rPr>
          <w:szCs w:val="22"/>
          <w:lang w:val="fr-FR"/>
        </w:rPr>
        <w:t xml:space="preserve">, </w:t>
      </w:r>
      <w:r>
        <w:rPr>
          <w:szCs w:val="22"/>
          <w:lang w:val="fr-FR"/>
        </w:rPr>
        <w:t xml:space="preserve">jusqu’à ce que le Président de la </w:t>
      </w:r>
      <w:r w:rsidRPr="00852763">
        <w:rPr>
          <w:szCs w:val="22"/>
          <w:lang w:val="fr-FR"/>
        </w:rPr>
        <w:t xml:space="preserve">MOP5 </w:t>
      </w:r>
      <w:r>
        <w:rPr>
          <w:szCs w:val="22"/>
          <w:lang w:val="fr-FR"/>
        </w:rPr>
        <w:t>soit élu</w:t>
      </w:r>
      <w:r w:rsidRPr="00852763">
        <w:rPr>
          <w:szCs w:val="22"/>
          <w:lang w:val="fr-FR"/>
        </w:rPr>
        <w:t>.</w:t>
      </w:r>
    </w:p>
    <w:p w14:paraId="3B82E31F" w14:textId="77777777" w:rsidR="00F82A75" w:rsidRPr="00852763" w:rsidRDefault="00F82A75" w:rsidP="00BA154F">
      <w:pPr>
        <w:jc w:val="both"/>
        <w:rPr>
          <w:szCs w:val="22"/>
          <w:lang w:val="fr-FR"/>
        </w:rPr>
      </w:pPr>
    </w:p>
    <w:p w14:paraId="27500098" w14:textId="17EBFD37" w:rsidR="00F82A75" w:rsidRPr="00852763" w:rsidRDefault="00F82A75" w:rsidP="00BA154F">
      <w:pPr>
        <w:jc w:val="both"/>
        <w:rPr>
          <w:szCs w:val="22"/>
          <w:lang w:val="fr-FR"/>
        </w:rPr>
      </w:pPr>
      <w:r w:rsidRPr="00852763">
        <w:rPr>
          <w:szCs w:val="22"/>
          <w:lang w:val="fr-FR"/>
        </w:rPr>
        <w:t>2</w:t>
      </w:r>
      <w:r w:rsidR="000B5930">
        <w:rPr>
          <w:szCs w:val="22"/>
          <w:lang w:val="fr-FR"/>
        </w:rPr>
        <w:t>4</w:t>
      </w:r>
      <w:r w:rsidRPr="00852763">
        <w:rPr>
          <w:szCs w:val="22"/>
          <w:lang w:val="fr-FR"/>
        </w:rPr>
        <w:t>.</w:t>
      </w:r>
      <w:r w:rsidRPr="00852763">
        <w:rPr>
          <w:b/>
          <w:szCs w:val="22"/>
          <w:lang w:val="fr-FR"/>
        </w:rPr>
        <w:t xml:space="preserve"> M</w:t>
      </w:r>
      <w:r>
        <w:rPr>
          <w:b/>
          <w:szCs w:val="22"/>
          <w:lang w:val="fr-FR"/>
        </w:rPr>
        <w:t>.</w:t>
      </w:r>
      <w:r w:rsidRPr="00852763">
        <w:rPr>
          <w:b/>
          <w:szCs w:val="22"/>
          <w:lang w:val="fr-FR"/>
        </w:rPr>
        <w:t xml:space="preserve"> </w:t>
      </w:r>
      <w:proofErr w:type="spellStart"/>
      <w:r w:rsidRPr="00852763">
        <w:rPr>
          <w:b/>
          <w:szCs w:val="22"/>
          <w:lang w:val="fr-FR"/>
        </w:rPr>
        <w:t>Størkersen</w:t>
      </w:r>
      <w:proofErr w:type="spellEnd"/>
      <w:r w:rsidRPr="00852763">
        <w:rPr>
          <w:szCs w:val="22"/>
          <w:lang w:val="fr-FR"/>
        </w:rPr>
        <w:t xml:space="preserve"> </w:t>
      </w:r>
      <w:r>
        <w:rPr>
          <w:szCs w:val="22"/>
          <w:lang w:val="fr-FR"/>
        </w:rPr>
        <w:t xml:space="preserve">a souhaité la bienvenue aux </w:t>
      </w:r>
      <w:r w:rsidRPr="00852763">
        <w:rPr>
          <w:szCs w:val="22"/>
          <w:lang w:val="fr-FR"/>
        </w:rPr>
        <w:t xml:space="preserve">participants </w:t>
      </w:r>
      <w:r>
        <w:rPr>
          <w:szCs w:val="22"/>
          <w:lang w:val="fr-FR"/>
        </w:rPr>
        <w:t xml:space="preserve">et a remercié la </w:t>
      </w:r>
      <w:r w:rsidRPr="00852763">
        <w:rPr>
          <w:szCs w:val="22"/>
          <w:lang w:val="fr-FR"/>
        </w:rPr>
        <w:t xml:space="preserve">France </w:t>
      </w:r>
      <w:r>
        <w:rPr>
          <w:szCs w:val="22"/>
          <w:lang w:val="fr-FR"/>
        </w:rPr>
        <w:t xml:space="preserve">en tant que pays d’accueil, ainsi que le </w:t>
      </w:r>
      <w:r w:rsidRPr="00852763">
        <w:rPr>
          <w:szCs w:val="22"/>
          <w:lang w:val="fr-FR"/>
        </w:rPr>
        <w:t>Com</w:t>
      </w:r>
      <w:r>
        <w:rPr>
          <w:szCs w:val="22"/>
          <w:lang w:val="fr-FR"/>
        </w:rPr>
        <w:t>ité technique et le</w:t>
      </w:r>
      <w:r w:rsidRPr="00852763">
        <w:rPr>
          <w:szCs w:val="22"/>
          <w:lang w:val="fr-FR"/>
        </w:rPr>
        <w:t xml:space="preserve"> Secrétariat </w:t>
      </w:r>
      <w:r>
        <w:rPr>
          <w:szCs w:val="22"/>
          <w:lang w:val="fr-FR"/>
        </w:rPr>
        <w:t xml:space="preserve">pour la </w:t>
      </w:r>
      <w:r w:rsidRPr="00852763">
        <w:rPr>
          <w:szCs w:val="22"/>
          <w:lang w:val="fr-FR"/>
        </w:rPr>
        <w:t xml:space="preserve">préparation </w:t>
      </w:r>
      <w:r>
        <w:rPr>
          <w:szCs w:val="22"/>
          <w:lang w:val="fr-FR"/>
        </w:rPr>
        <w:t xml:space="preserve">efficace de la réunion. Il a rappelé que la </w:t>
      </w:r>
      <w:r w:rsidRPr="00852763">
        <w:rPr>
          <w:szCs w:val="22"/>
          <w:lang w:val="fr-FR"/>
        </w:rPr>
        <w:t xml:space="preserve">COP10 </w:t>
      </w:r>
      <w:r>
        <w:rPr>
          <w:szCs w:val="22"/>
          <w:lang w:val="fr-FR"/>
        </w:rPr>
        <w:t xml:space="preserve">de la CMS s’était déroulée en Norvège en novembre </w:t>
      </w:r>
      <w:r w:rsidRPr="00852763">
        <w:rPr>
          <w:szCs w:val="22"/>
          <w:lang w:val="fr-FR"/>
        </w:rPr>
        <w:t xml:space="preserve">2011 </w:t>
      </w:r>
      <w:r>
        <w:rPr>
          <w:szCs w:val="22"/>
          <w:lang w:val="fr-FR"/>
        </w:rPr>
        <w:t xml:space="preserve">et que plusieurs décisions de cette réunion seraient rappelées durant la </w:t>
      </w:r>
      <w:r w:rsidRPr="00852763">
        <w:rPr>
          <w:szCs w:val="22"/>
          <w:lang w:val="fr-FR"/>
        </w:rPr>
        <w:t xml:space="preserve">MOP5. </w:t>
      </w:r>
      <w:r>
        <w:rPr>
          <w:szCs w:val="22"/>
          <w:lang w:val="fr-FR"/>
        </w:rPr>
        <w:t xml:space="preserve">En pensant à la tâche qui l’attendait, il estimait qu’il était facile de se perdre dans la </w:t>
      </w:r>
      <w:r w:rsidRPr="00852763">
        <w:rPr>
          <w:szCs w:val="22"/>
          <w:lang w:val="fr-FR"/>
        </w:rPr>
        <w:t>bureaucrat</w:t>
      </w:r>
      <w:r>
        <w:rPr>
          <w:szCs w:val="22"/>
          <w:lang w:val="fr-FR"/>
        </w:rPr>
        <w:t>ie et que la réunion approfondirait certainement des questions a</w:t>
      </w:r>
      <w:r w:rsidRPr="00852763">
        <w:rPr>
          <w:szCs w:val="22"/>
          <w:lang w:val="fr-FR"/>
        </w:rPr>
        <w:t xml:space="preserve">dministratives </w:t>
      </w:r>
      <w:r>
        <w:rPr>
          <w:szCs w:val="22"/>
          <w:lang w:val="fr-FR"/>
        </w:rPr>
        <w:t>importantes</w:t>
      </w:r>
      <w:r w:rsidRPr="00852763">
        <w:rPr>
          <w:szCs w:val="22"/>
          <w:lang w:val="fr-FR"/>
        </w:rPr>
        <w:t xml:space="preserve">. </w:t>
      </w:r>
      <w:r>
        <w:rPr>
          <w:szCs w:val="22"/>
          <w:lang w:val="fr-FR"/>
        </w:rPr>
        <w:t xml:space="preserve">Toutefois, la plupart des </w:t>
      </w:r>
      <w:r w:rsidRPr="00852763">
        <w:rPr>
          <w:szCs w:val="22"/>
          <w:lang w:val="fr-FR"/>
        </w:rPr>
        <w:t xml:space="preserve">participants </w:t>
      </w:r>
      <w:r>
        <w:rPr>
          <w:szCs w:val="22"/>
          <w:lang w:val="fr-FR"/>
        </w:rPr>
        <w:t>désiraient voir une conservation efficace sur le terrain. L’</w:t>
      </w:r>
      <w:r w:rsidRPr="00852763">
        <w:rPr>
          <w:szCs w:val="22"/>
          <w:lang w:val="fr-FR"/>
        </w:rPr>
        <w:t xml:space="preserve">Initiative </w:t>
      </w:r>
      <w:r>
        <w:rPr>
          <w:szCs w:val="22"/>
          <w:lang w:val="fr-FR"/>
        </w:rPr>
        <w:t xml:space="preserve">africaine était probablement le point de l’ordre du jour le plus important. Tandis que les réalisations avaient été nombreuses en Europe, il y avait encore beaucoup à faire en Afrique s’agissant de la conservation et de la gestion appropriée des sites clés. D’autres questions particulièrement importantes étaient le Système de rapport en ligne, la procédure de recrutement du </w:t>
      </w:r>
      <w:r w:rsidRPr="00852763">
        <w:rPr>
          <w:szCs w:val="22"/>
          <w:lang w:val="fr-FR"/>
        </w:rPr>
        <w:t xml:space="preserve">Secrétaire </w:t>
      </w:r>
      <w:r>
        <w:rPr>
          <w:szCs w:val="22"/>
          <w:lang w:val="fr-FR"/>
        </w:rPr>
        <w:t>exécutif</w:t>
      </w:r>
      <w:r w:rsidRPr="00852763">
        <w:rPr>
          <w:szCs w:val="22"/>
          <w:lang w:val="fr-FR"/>
        </w:rPr>
        <w:t xml:space="preserve"> </w:t>
      </w:r>
      <w:r>
        <w:rPr>
          <w:szCs w:val="22"/>
          <w:lang w:val="fr-FR"/>
        </w:rPr>
        <w:t xml:space="preserve">de </w:t>
      </w:r>
      <w:r w:rsidRPr="000B5930">
        <w:rPr>
          <w:szCs w:val="22"/>
          <w:lang w:val="fr-FR"/>
        </w:rPr>
        <w:t>l’AEWA – que le Comité permanent de l’AEWA suivait de près, la voie de migration d’Asie centrale,</w:t>
      </w:r>
      <w:r>
        <w:rPr>
          <w:szCs w:val="22"/>
          <w:lang w:val="fr-FR"/>
        </w:rPr>
        <w:t xml:space="preserve"> l’avenir de l’</w:t>
      </w:r>
      <w:r w:rsidRPr="00852763">
        <w:rPr>
          <w:szCs w:val="22"/>
          <w:lang w:val="fr-FR"/>
        </w:rPr>
        <w:t xml:space="preserve">IWC, </w:t>
      </w:r>
      <w:r>
        <w:rPr>
          <w:szCs w:val="22"/>
          <w:lang w:val="fr-FR"/>
        </w:rPr>
        <w:t>et les révisions proposées à l’Annexe I</w:t>
      </w:r>
      <w:r w:rsidR="005012AF">
        <w:rPr>
          <w:szCs w:val="22"/>
          <w:lang w:val="fr-FR"/>
        </w:rPr>
        <w:t>II</w:t>
      </w:r>
      <w:r>
        <w:rPr>
          <w:szCs w:val="22"/>
          <w:lang w:val="fr-FR"/>
        </w:rPr>
        <w:t xml:space="preserve"> de l’</w:t>
      </w:r>
      <w:r w:rsidRPr="00852763">
        <w:rPr>
          <w:szCs w:val="22"/>
          <w:lang w:val="fr-FR"/>
        </w:rPr>
        <w:t>AEWA.</w:t>
      </w:r>
    </w:p>
    <w:p w14:paraId="01E1E737" w14:textId="77777777" w:rsidR="005079C2" w:rsidRDefault="005079C2" w:rsidP="00BA154F">
      <w:pPr>
        <w:jc w:val="both"/>
        <w:rPr>
          <w:szCs w:val="22"/>
          <w:lang w:val="fr-FR"/>
        </w:rPr>
      </w:pPr>
    </w:p>
    <w:p w14:paraId="57DB90D3" w14:textId="77777777" w:rsidR="000958DA" w:rsidRPr="001D3E9B" w:rsidRDefault="000958DA" w:rsidP="00BA154F">
      <w:pPr>
        <w:jc w:val="both"/>
        <w:rPr>
          <w:szCs w:val="22"/>
          <w:lang w:val="fr-FR"/>
        </w:rPr>
      </w:pPr>
    </w:p>
    <w:p w14:paraId="56F61AB6" w14:textId="3A956E23" w:rsidR="009F0423" w:rsidRPr="005A7014" w:rsidRDefault="00150C57" w:rsidP="00BA154F">
      <w:pPr>
        <w:jc w:val="both"/>
        <w:rPr>
          <w:b/>
          <w:szCs w:val="22"/>
          <w:lang w:val="fr-FR"/>
        </w:rPr>
      </w:pPr>
      <w:r w:rsidRPr="005A7014">
        <w:rPr>
          <w:b/>
          <w:szCs w:val="22"/>
          <w:lang w:val="fr-FR"/>
        </w:rPr>
        <w:t>Point 2 de l</w:t>
      </w:r>
      <w:r w:rsidR="00F82A75">
        <w:rPr>
          <w:b/>
          <w:szCs w:val="22"/>
          <w:lang w:val="fr-FR"/>
        </w:rPr>
        <w:t>’</w:t>
      </w:r>
      <w:r w:rsidRPr="005A7014">
        <w:rPr>
          <w:b/>
          <w:szCs w:val="22"/>
          <w:lang w:val="fr-FR"/>
        </w:rPr>
        <w:t>ordre du jour - Adoption du Règlement intérieur</w:t>
      </w:r>
    </w:p>
    <w:p w14:paraId="0CE39535" w14:textId="77777777" w:rsidR="009F0423" w:rsidRPr="005A7014" w:rsidRDefault="009F0423" w:rsidP="00BA154F">
      <w:pPr>
        <w:jc w:val="both"/>
        <w:rPr>
          <w:szCs w:val="22"/>
          <w:lang w:val="fr-FR"/>
        </w:rPr>
      </w:pPr>
    </w:p>
    <w:p w14:paraId="70C4D440" w14:textId="52D4A933" w:rsidR="0082027A" w:rsidRPr="005A7014" w:rsidRDefault="00FB7B81" w:rsidP="00BA154F">
      <w:pPr>
        <w:jc w:val="both"/>
        <w:rPr>
          <w:szCs w:val="22"/>
          <w:lang w:val="fr-FR"/>
        </w:rPr>
      </w:pPr>
      <w:r w:rsidRPr="005A7014">
        <w:rPr>
          <w:szCs w:val="22"/>
          <w:lang w:val="fr-FR"/>
        </w:rPr>
        <w:t>2</w:t>
      </w:r>
      <w:r w:rsidR="000B5930">
        <w:rPr>
          <w:szCs w:val="22"/>
          <w:lang w:val="fr-FR"/>
        </w:rPr>
        <w:t>5</w:t>
      </w:r>
      <w:r w:rsidRPr="005A7014">
        <w:rPr>
          <w:szCs w:val="22"/>
          <w:lang w:val="fr-FR"/>
        </w:rPr>
        <w:t xml:space="preserve">. </w:t>
      </w:r>
      <w:r w:rsidR="00150C57" w:rsidRPr="005A7014">
        <w:rPr>
          <w:szCs w:val="22"/>
          <w:lang w:val="fr-FR"/>
        </w:rPr>
        <w:t xml:space="preserve">Le </w:t>
      </w:r>
      <w:r w:rsidR="00150C57" w:rsidRPr="005A7014">
        <w:rPr>
          <w:b/>
          <w:szCs w:val="22"/>
          <w:lang w:val="fr-FR"/>
        </w:rPr>
        <w:t>Secrétaire exécutif</w:t>
      </w:r>
      <w:r w:rsidR="00150C57" w:rsidRPr="005A7014">
        <w:rPr>
          <w:szCs w:val="22"/>
          <w:lang w:val="fr-FR"/>
        </w:rPr>
        <w:t xml:space="preserve"> </w:t>
      </w:r>
      <w:r w:rsidR="00150C57" w:rsidRPr="005A7014">
        <w:rPr>
          <w:b/>
          <w:szCs w:val="22"/>
          <w:lang w:val="fr-FR"/>
        </w:rPr>
        <w:t>par intérim</w:t>
      </w:r>
      <w:r w:rsidR="00150C57" w:rsidRPr="005A7014">
        <w:rPr>
          <w:szCs w:val="22"/>
          <w:lang w:val="fr-FR"/>
        </w:rPr>
        <w:t xml:space="preserve"> </w:t>
      </w:r>
      <w:r w:rsidR="005012AF">
        <w:rPr>
          <w:szCs w:val="22"/>
          <w:lang w:val="fr-FR"/>
        </w:rPr>
        <w:t xml:space="preserve">(M. Marco Barbieri) </w:t>
      </w:r>
      <w:r w:rsidR="00150C57" w:rsidRPr="005A7014">
        <w:rPr>
          <w:szCs w:val="22"/>
          <w:lang w:val="fr-FR"/>
        </w:rPr>
        <w:t>s</w:t>
      </w:r>
      <w:r w:rsidR="00F82A75">
        <w:rPr>
          <w:szCs w:val="22"/>
          <w:lang w:val="fr-FR"/>
        </w:rPr>
        <w:t>’</w:t>
      </w:r>
      <w:r w:rsidR="00150C57" w:rsidRPr="005A7014">
        <w:rPr>
          <w:szCs w:val="22"/>
          <w:lang w:val="fr-FR"/>
        </w:rPr>
        <w:t xml:space="preserve">est référé au document AEWA/MOP 5.2 </w:t>
      </w:r>
      <w:r w:rsidR="00150C57" w:rsidRPr="005A7014">
        <w:rPr>
          <w:i/>
          <w:szCs w:val="22"/>
          <w:lang w:val="fr-FR"/>
        </w:rPr>
        <w:t>Règlement intérieur</w:t>
      </w:r>
      <w:r w:rsidR="00150C57" w:rsidRPr="005A7014">
        <w:rPr>
          <w:szCs w:val="22"/>
          <w:lang w:val="fr-FR"/>
        </w:rPr>
        <w:t>, confirmant qu</w:t>
      </w:r>
      <w:r w:rsidR="00F82A75">
        <w:rPr>
          <w:szCs w:val="22"/>
          <w:lang w:val="fr-FR"/>
        </w:rPr>
        <w:t>’</w:t>
      </w:r>
      <w:r w:rsidR="00150C57" w:rsidRPr="005A7014">
        <w:rPr>
          <w:szCs w:val="22"/>
          <w:lang w:val="fr-FR"/>
        </w:rPr>
        <w:t xml:space="preserve">il </w:t>
      </w:r>
      <w:r w:rsidR="00A1380F">
        <w:rPr>
          <w:szCs w:val="22"/>
          <w:lang w:val="fr-FR"/>
        </w:rPr>
        <w:t>était entièrement identique</w:t>
      </w:r>
      <w:r w:rsidR="00150C57" w:rsidRPr="005A7014">
        <w:rPr>
          <w:szCs w:val="22"/>
          <w:lang w:val="fr-FR"/>
        </w:rPr>
        <w:t xml:space="preserve"> </w:t>
      </w:r>
      <w:r w:rsidR="00A1380F">
        <w:rPr>
          <w:szCs w:val="22"/>
          <w:lang w:val="fr-FR"/>
        </w:rPr>
        <w:t>à celui</w:t>
      </w:r>
      <w:r w:rsidR="00150C57" w:rsidRPr="005A7014">
        <w:rPr>
          <w:szCs w:val="22"/>
          <w:lang w:val="fr-FR"/>
        </w:rPr>
        <w:t xml:space="preserve"> adopté à la MOP4, à l</w:t>
      </w:r>
      <w:r w:rsidR="00F82A75">
        <w:rPr>
          <w:szCs w:val="22"/>
          <w:lang w:val="fr-FR"/>
        </w:rPr>
        <w:t>’</w:t>
      </w:r>
      <w:r w:rsidR="00150C57" w:rsidRPr="005A7014">
        <w:rPr>
          <w:szCs w:val="22"/>
          <w:lang w:val="fr-FR"/>
        </w:rPr>
        <w:t>exception de deux amendements :</w:t>
      </w:r>
    </w:p>
    <w:p w14:paraId="4A0F7F35" w14:textId="77777777" w:rsidR="0082027A" w:rsidRPr="005A7014" w:rsidRDefault="0082027A" w:rsidP="00BA154F">
      <w:pPr>
        <w:jc w:val="both"/>
        <w:rPr>
          <w:szCs w:val="22"/>
          <w:lang w:val="fr-FR"/>
        </w:rPr>
      </w:pPr>
    </w:p>
    <w:p w14:paraId="2CC2C6C8" w14:textId="1931DEA0" w:rsidR="00EB2AC1" w:rsidRPr="005A7014" w:rsidRDefault="00150C57" w:rsidP="00465E08">
      <w:pPr>
        <w:pStyle w:val="ListParagraph"/>
        <w:numPr>
          <w:ilvl w:val="0"/>
          <w:numId w:val="3"/>
        </w:numPr>
        <w:tabs>
          <w:tab w:val="left" w:pos="567"/>
        </w:tabs>
        <w:ind w:left="567" w:hanging="567"/>
        <w:jc w:val="both"/>
        <w:rPr>
          <w:i/>
          <w:sz w:val="22"/>
          <w:szCs w:val="22"/>
          <w:lang w:val="fr-FR"/>
        </w:rPr>
      </w:pPr>
      <w:r w:rsidRPr="005A7014">
        <w:rPr>
          <w:sz w:val="22"/>
          <w:szCs w:val="22"/>
          <w:lang w:val="fr-FR"/>
        </w:rPr>
        <w:t>Règle 40, paragraphe 1 : amendement réalisé de façon à ce que ce paragraphe soit entièrement aligné sur les dispositions de l</w:t>
      </w:r>
      <w:r w:rsidR="00F82A75">
        <w:rPr>
          <w:sz w:val="22"/>
          <w:szCs w:val="22"/>
          <w:lang w:val="fr-FR"/>
        </w:rPr>
        <w:t>’</w:t>
      </w:r>
      <w:r w:rsidRPr="005A7014">
        <w:rPr>
          <w:sz w:val="22"/>
          <w:szCs w:val="22"/>
          <w:lang w:val="fr-FR"/>
        </w:rPr>
        <w:t>Article VI paragraphe 2 du texte de l</w:t>
      </w:r>
      <w:r w:rsidR="00F82A75">
        <w:rPr>
          <w:sz w:val="22"/>
          <w:szCs w:val="22"/>
          <w:lang w:val="fr-FR"/>
        </w:rPr>
        <w:t>’</w:t>
      </w:r>
      <w:r w:rsidRPr="005A7014">
        <w:rPr>
          <w:sz w:val="22"/>
          <w:szCs w:val="22"/>
          <w:lang w:val="fr-FR"/>
        </w:rPr>
        <w:t>Accord.</w:t>
      </w:r>
      <w:r w:rsidR="00EB2AC1" w:rsidRPr="005A7014">
        <w:rPr>
          <w:sz w:val="22"/>
          <w:szCs w:val="22"/>
          <w:lang w:val="fr-FR"/>
        </w:rPr>
        <w:t xml:space="preserve"> </w:t>
      </w:r>
      <w:r w:rsidRPr="005A7014">
        <w:rPr>
          <w:sz w:val="22"/>
          <w:szCs w:val="22"/>
          <w:lang w:val="fr-FR"/>
        </w:rPr>
        <w:t>La version amendée de la Règle 40, paragraphe 1 se lira comme suit :</w:t>
      </w:r>
      <w:r w:rsidR="00EB2AC1" w:rsidRPr="005A7014">
        <w:rPr>
          <w:sz w:val="22"/>
          <w:szCs w:val="22"/>
          <w:lang w:val="fr-FR"/>
        </w:rPr>
        <w:t xml:space="preserve"> </w:t>
      </w:r>
      <w:r w:rsidRPr="005A7014">
        <w:rPr>
          <w:sz w:val="22"/>
          <w:szCs w:val="22"/>
          <w:lang w:val="fr-FR"/>
        </w:rPr>
        <w:t>« </w:t>
      </w:r>
      <w:r w:rsidRPr="005A7014">
        <w:rPr>
          <w:i/>
          <w:sz w:val="22"/>
          <w:szCs w:val="22"/>
          <w:lang w:val="fr-FR"/>
        </w:rPr>
        <w:t>Les Parties mettent tout en œuvre pour parvenir à un consensus sur toutes les questions de fond.</w:t>
      </w:r>
      <w:r w:rsidRPr="005A7014">
        <w:rPr>
          <w:sz w:val="22"/>
          <w:szCs w:val="22"/>
          <w:lang w:val="fr-FR"/>
        </w:rPr>
        <w:t xml:space="preserve"> </w:t>
      </w:r>
      <w:r w:rsidR="00EB2AC1" w:rsidRPr="005A7014">
        <w:rPr>
          <w:i/>
          <w:sz w:val="22"/>
          <w:szCs w:val="22"/>
          <w:lang w:val="fr-FR"/>
        </w:rPr>
        <w:t xml:space="preserve"> </w:t>
      </w:r>
      <w:r w:rsidRPr="005A7014">
        <w:rPr>
          <w:i/>
          <w:sz w:val="22"/>
          <w:szCs w:val="22"/>
          <w:lang w:val="fr-FR"/>
        </w:rPr>
        <w:t>Si malgré tous leurs efforts elles ne parviennent pas à atteindre un consensus, elles décident en dernier recours à la majorité des deux tiers des voix des Parties présentes et votantes, sauf disposition contraire de l</w:t>
      </w:r>
      <w:r w:rsidR="00F82A75">
        <w:rPr>
          <w:i/>
          <w:sz w:val="22"/>
          <w:szCs w:val="22"/>
          <w:lang w:val="fr-FR"/>
        </w:rPr>
        <w:t>’</w:t>
      </w:r>
      <w:r w:rsidRPr="005A7014">
        <w:rPr>
          <w:i/>
          <w:sz w:val="22"/>
          <w:szCs w:val="22"/>
          <w:lang w:val="fr-FR"/>
        </w:rPr>
        <w:t>Accord, notamment pour ce qui est de</w:t>
      </w:r>
      <w:r w:rsidR="008A7072" w:rsidRPr="005A7014">
        <w:rPr>
          <w:i/>
          <w:sz w:val="22"/>
          <w:szCs w:val="22"/>
          <w:lang w:val="fr-FR"/>
        </w:rPr>
        <w:t xml:space="preserve"> </w:t>
      </w:r>
      <w:r w:rsidRPr="005A7014">
        <w:rPr>
          <w:i/>
          <w:sz w:val="22"/>
          <w:szCs w:val="22"/>
          <w:lang w:val="fr-FR"/>
        </w:rPr>
        <w:t>:</w:t>
      </w:r>
    </w:p>
    <w:p w14:paraId="4750B7F4" w14:textId="77777777" w:rsidR="00EB2AC1" w:rsidRPr="005A7014" w:rsidRDefault="00EB2AC1" w:rsidP="00465E08">
      <w:pPr>
        <w:tabs>
          <w:tab w:val="left" w:pos="567"/>
        </w:tabs>
        <w:ind w:left="567" w:hanging="567"/>
        <w:jc w:val="both"/>
        <w:rPr>
          <w:i/>
          <w:szCs w:val="22"/>
          <w:lang w:val="fr-FR"/>
        </w:rPr>
      </w:pPr>
    </w:p>
    <w:p w14:paraId="3D902647" w14:textId="2452E123" w:rsidR="00C2421A" w:rsidRPr="005A7014" w:rsidRDefault="00A1380F" w:rsidP="00465E08">
      <w:pPr>
        <w:tabs>
          <w:tab w:val="left" w:pos="567"/>
        </w:tabs>
        <w:ind w:left="567" w:hanging="567"/>
        <w:jc w:val="both"/>
        <w:rPr>
          <w:szCs w:val="22"/>
          <w:lang w:val="fr-FR"/>
        </w:rPr>
      </w:pPr>
      <w:proofErr w:type="gramStart"/>
      <w:r>
        <w:rPr>
          <w:i/>
          <w:szCs w:val="22"/>
          <w:lang w:val="fr-FR"/>
        </w:rPr>
        <w:t>l</w:t>
      </w:r>
      <w:r w:rsidR="00F82A75">
        <w:rPr>
          <w:i/>
          <w:szCs w:val="22"/>
          <w:lang w:val="fr-FR"/>
        </w:rPr>
        <w:t>’</w:t>
      </w:r>
      <w:r w:rsidR="008A7072" w:rsidRPr="005A7014">
        <w:rPr>
          <w:i/>
          <w:szCs w:val="22"/>
          <w:lang w:val="fr-FR"/>
        </w:rPr>
        <w:t>adoption</w:t>
      </w:r>
      <w:proofErr w:type="gramEnd"/>
      <w:r w:rsidR="008A7072" w:rsidRPr="005A7014">
        <w:rPr>
          <w:i/>
          <w:szCs w:val="22"/>
          <w:lang w:val="fr-FR"/>
        </w:rPr>
        <w:t xml:space="preserve"> du budget de l</w:t>
      </w:r>
      <w:r w:rsidR="00F82A75">
        <w:rPr>
          <w:i/>
          <w:szCs w:val="22"/>
          <w:lang w:val="fr-FR"/>
        </w:rPr>
        <w:t>’</w:t>
      </w:r>
      <w:r w:rsidR="008A7072" w:rsidRPr="005A7014">
        <w:rPr>
          <w:i/>
          <w:szCs w:val="22"/>
          <w:lang w:val="fr-FR"/>
        </w:rPr>
        <w:t>exercice financier suivant et des modifications du barème des contributions qui nécessitent l</w:t>
      </w:r>
      <w:r w:rsidR="00F82A75">
        <w:rPr>
          <w:i/>
          <w:szCs w:val="22"/>
          <w:lang w:val="fr-FR"/>
        </w:rPr>
        <w:t>’</w:t>
      </w:r>
      <w:r w:rsidR="008A7072" w:rsidRPr="005A7014">
        <w:rPr>
          <w:i/>
          <w:szCs w:val="22"/>
          <w:lang w:val="fr-FR"/>
        </w:rPr>
        <w:t>unanimité (article V).</w:t>
      </w:r>
      <w:r w:rsidR="008A7072" w:rsidRPr="005A7014">
        <w:rPr>
          <w:szCs w:val="22"/>
          <w:lang w:val="fr-FR"/>
        </w:rPr>
        <w:t> »</w:t>
      </w:r>
    </w:p>
    <w:p w14:paraId="4F0EA168" w14:textId="77777777" w:rsidR="00EB2AC1" w:rsidRPr="005A7014" w:rsidRDefault="00EB2AC1" w:rsidP="00BA154F">
      <w:pPr>
        <w:ind w:left="720"/>
        <w:jc w:val="both"/>
        <w:rPr>
          <w:szCs w:val="22"/>
          <w:lang w:val="fr-FR"/>
        </w:rPr>
      </w:pPr>
    </w:p>
    <w:p w14:paraId="20DA3473" w14:textId="33D38180" w:rsidR="00EB2AC1" w:rsidRPr="005A7014" w:rsidRDefault="008A7072" w:rsidP="00465E08">
      <w:pPr>
        <w:pStyle w:val="ListParagraph"/>
        <w:numPr>
          <w:ilvl w:val="0"/>
          <w:numId w:val="3"/>
        </w:numPr>
        <w:ind w:left="567" w:hanging="567"/>
        <w:jc w:val="both"/>
        <w:rPr>
          <w:sz w:val="22"/>
          <w:szCs w:val="22"/>
          <w:lang w:val="fr-FR"/>
        </w:rPr>
      </w:pPr>
      <w:r w:rsidRPr="005A7014">
        <w:rPr>
          <w:sz w:val="22"/>
          <w:szCs w:val="22"/>
          <w:lang w:val="fr-FR"/>
        </w:rPr>
        <w:lastRenderedPageBreak/>
        <w:t xml:space="preserve">Règle 40, paragraphe 2 : </w:t>
      </w:r>
      <w:r w:rsidR="00A1380F">
        <w:rPr>
          <w:sz w:val="22"/>
          <w:szCs w:val="22"/>
          <w:lang w:val="fr-FR"/>
        </w:rPr>
        <w:t>suppression</w:t>
      </w:r>
      <w:r w:rsidRPr="005A7014">
        <w:rPr>
          <w:sz w:val="22"/>
          <w:szCs w:val="22"/>
          <w:lang w:val="fr-FR"/>
        </w:rPr>
        <w:t xml:space="preserve"> de la phrase  « </w:t>
      </w:r>
      <w:r w:rsidRPr="005A7014">
        <w:rPr>
          <w:i/>
          <w:sz w:val="22"/>
          <w:szCs w:val="22"/>
          <w:lang w:val="fr-FR"/>
        </w:rPr>
        <w:t xml:space="preserve">Lorsque sur des questions autres que les élections il y a </w:t>
      </w:r>
      <w:proofErr w:type="spellStart"/>
      <w:r w:rsidRPr="005A7014">
        <w:rPr>
          <w:i/>
          <w:sz w:val="22"/>
          <w:szCs w:val="22"/>
          <w:lang w:val="fr-FR"/>
        </w:rPr>
        <w:t>partage</w:t>
      </w:r>
      <w:proofErr w:type="spellEnd"/>
      <w:r w:rsidRPr="005A7014">
        <w:rPr>
          <w:i/>
          <w:sz w:val="22"/>
          <w:szCs w:val="22"/>
          <w:lang w:val="fr-FR"/>
        </w:rPr>
        <w:t xml:space="preserve"> égal des voix, il est procédé à un deuxième vote.</w:t>
      </w:r>
      <w:r w:rsidR="00EB2AC1" w:rsidRPr="005A7014">
        <w:rPr>
          <w:i/>
          <w:sz w:val="22"/>
          <w:szCs w:val="22"/>
          <w:lang w:val="fr-FR"/>
        </w:rPr>
        <w:t xml:space="preserve"> </w:t>
      </w:r>
      <w:r w:rsidRPr="005A7014">
        <w:rPr>
          <w:i/>
          <w:sz w:val="22"/>
          <w:szCs w:val="22"/>
          <w:lang w:val="fr-FR"/>
        </w:rPr>
        <w:t>Si à l</w:t>
      </w:r>
      <w:r w:rsidR="00F82A75">
        <w:rPr>
          <w:i/>
          <w:sz w:val="22"/>
          <w:szCs w:val="22"/>
          <w:lang w:val="fr-FR"/>
        </w:rPr>
        <w:t>’</w:t>
      </w:r>
      <w:r w:rsidRPr="005A7014">
        <w:rPr>
          <w:i/>
          <w:sz w:val="22"/>
          <w:szCs w:val="22"/>
          <w:lang w:val="fr-FR"/>
        </w:rPr>
        <w:t>issue de ce deuxième vote les voix sont de nouveau partagées en nombre égal, la proposition est réputée rejetée.</w:t>
      </w:r>
      <w:r w:rsidRPr="005A7014">
        <w:rPr>
          <w:sz w:val="22"/>
          <w:szCs w:val="22"/>
          <w:lang w:val="fr-FR"/>
        </w:rPr>
        <w:t> »</w:t>
      </w:r>
    </w:p>
    <w:p w14:paraId="5D6EFA41" w14:textId="77777777" w:rsidR="0082027A" w:rsidRPr="005A7014" w:rsidRDefault="0082027A" w:rsidP="00BA154F">
      <w:pPr>
        <w:jc w:val="both"/>
        <w:rPr>
          <w:szCs w:val="22"/>
          <w:lang w:val="fr-FR"/>
        </w:rPr>
      </w:pPr>
    </w:p>
    <w:p w14:paraId="20954577" w14:textId="0C027625" w:rsidR="00E855EE" w:rsidRPr="005A7014" w:rsidRDefault="00FB7B81" w:rsidP="00BA154F">
      <w:pPr>
        <w:jc w:val="both"/>
        <w:rPr>
          <w:szCs w:val="22"/>
          <w:lang w:val="fr-FR"/>
        </w:rPr>
      </w:pPr>
      <w:r w:rsidRPr="005A7014">
        <w:rPr>
          <w:szCs w:val="22"/>
          <w:lang w:val="fr-FR"/>
        </w:rPr>
        <w:t>2</w:t>
      </w:r>
      <w:r w:rsidR="000B5930">
        <w:rPr>
          <w:szCs w:val="22"/>
          <w:lang w:val="fr-FR"/>
        </w:rPr>
        <w:t>6</w:t>
      </w:r>
      <w:r w:rsidRPr="005A7014">
        <w:rPr>
          <w:szCs w:val="22"/>
          <w:lang w:val="fr-FR"/>
        </w:rPr>
        <w:t xml:space="preserve">. </w:t>
      </w:r>
      <w:r w:rsidR="008A7072" w:rsidRPr="005A7014">
        <w:rPr>
          <w:szCs w:val="22"/>
          <w:lang w:val="fr-FR"/>
        </w:rPr>
        <w:t>Les raisons de ces deux amendements sont exposées dans le document AEWA/MOP 5.2.</w:t>
      </w:r>
      <w:r w:rsidR="00E855EE" w:rsidRPr="005A7014">
        <w:rPr>
          <w:szCs w:val="22"/>
          <w:lang w:val="fr-FR"/>
        </w:rPr>
        <w:t xml:space="preserve"> </w:t>
      </w:r>
    </w:p>
    <w:p w14:paraId="46B80B32" w14:textId="77777777" w:rsidR="00E855EE" w:rsidRPr="005A7014" w:rsidRDefault="00E855EE" w:rsidP="00BA154F">
      <w:pPr>
        <w:jc w:val="both"/>
        <w:rPr>
          <w:szCs w:val="22"/>
          <w:lang w:val="fr-FR"/>
        </w:rPr>
      </w:pPr>
    </w:p>
    <w:p w14:paraId="60EF989A" w14:textId="6DF1C1F9" w:rsidR="00284682" w:rsidRPr="005A7014" w:rsidRDefault="00FB7B81" w:rsidP="00BA154F">
      <w:pPr>
        <w:jc w:val="both"/>
        <w:rPr>
          <w:szCs w:val="22"/>
          <w:highlight w:val="yellow"/>
          <w:lang w:val="fr-FR"/>
        </w:rPr>
      </w:pPr>
      <w:r w:rsidRPr="005A7014">
        <w:rPr>
          <w:szCs w:val="22"/>
          <w:lang w:val="fr-FR"/>
        </w:rPr>
        <w:t>2</w:t>
      </w:r>
      <w:r w:rsidR="000B5930">
        <w:rPr>
          <w:szCs w:val="22"/>
          <w:lang w:val="fr-FR"/>
        </w:rPr>
        <w:t>7</w:t>
      </w:r>
      <w:r w:rsidRPr="005A7014">
        <w:rPr>
          <w:szCs w:val="22"/>
          <w:lang w:val="fr-FR"/>
        </w:rPr>
        <w:t xml:space="preserve">. </w:t>
      </w:r>
      <w:r w:rsidR="008A7072" w:rsidRPr="005A7014">
        <w:rPr>
          <w:szCs w:val="22"/>
          <w:lang w:val="fr-FR"/>
        </w:rPr>
        <w:t xml:space="preserve">En réponse à une question soulevée par le </w:t>
      </w:r>
      <w:r w:rsidR="008A7072" w:rsidRPr="005A7014">
        <w:rPr>
          <w:b/>
          <w:szCs w:val="22"/>
          <w:lang w:val="fr-FR"/>
        </w:rPr>
        <w:t>représentant de l</w:t>
      </w:r>
      <w:r w:rsidR="00F82A75">
        <w:rPr>
          <w:b/>
          <w:szCs w:val="22"/>
          <w:lang w:val="fr-FR"/>
        </w:rPr>
        <w:t>’</w:t>
      </w:r>
      <w:r w:rsidR="008A7072" w:rsidRPr="005A7014">
        <w:rPr>
          <w:b/>
          <w:szCs w:val="22"/>
          <w:lang w:val="fr-FR"/>
        </w:rPr>
        <w:t>UE et de ses États membres</w:t>
      </w:r>
      <w:r w:rsidR="008A7072" w:rsidRPr="005A7014">
        <w:rPr>
          <w:szCs w:val="22"/>
          <w:lang w:val="fr-FR"/>
        </w:rPr>
        <w:t xml:space="preserve">, le </w:t>
      </w:r>
      <w:r w:rsidR="008A7072" w:rsidRPr="005A7014">
        <w:rPr>
          <w:b/>
          <w:szCs w:val="22"/>
          <w:lang w:val="fr-FR"/>
        </w:rPr>
        <w:t>Secrétaire exécutif</w:t>
      </w:r>
      <w:r w:rsidR="008A7072" w:rsidRPr="005A7014">
        <w:rPr>
          <w:szCs w:val="22"/>
          <w:lang w:val="fr-FR"/>
        </w:rPr>
        <w:t xml:space="preserve"> </w:t>
      </w:r>
      <w:r w:rsidR="008A7072" w:rsidRPr="005A7014">
        <w:rPr>
          <w:b/>
          <w:szCs w:val="22"/>
          <w:lang w:val="fr-FR"/>
        </w:rPr>
        <w:t>par intérim</w:t>
      </w:r>
      <w:r w:rsidR="008A7072" w:rsidRPr="005A7014">
        <w:rPr>
          <w:szCs w:val="22"/>
          <w:lang w:val="fr-FR"/>
        </w:rPr>
        <w:t xml:space="preserve"> a confirmé qu</w:t>
      </w:r>
      <w:r w:rsidR="00F82A75">
        <w:rPr>
          <w:szCs w:val="22"/>
          <w:lang w:val="fr-FR"/>
        </w:rPr>
        <w:t>’</w:t>
      </w:r>
      <w:r w:rsidR="008A7072" w:rsidRPr="005A7014">
        <w:rPr>
          <w:szCs w:val="22"/>
          <w:lang w:val="fr-FR"/>
        </w:rPr>
        <w:t>il n</w:t>
      </w:r>
      <w:r w:rsidR="00F82A75">
        <w:rPr>
          <w:szCs w:val="22"/>
          <w:lang w:val="fr-FR"/>
        </w:rPr>
        <w:t>’</w:t>
      </w:r>
      <w:r w:rsidR="008A7072" w:rsidRPr="005A7014">
        <w:rPr>
          <w:szCs w:val="22"/>
          <w:lang w:val="fr-FR"/>
        </w:rPr>
        <w:t>était pas habituel pour l</w:t>
      </w:r>
      <w:r w:rsidR="00F82A75">
        <w:rPr>
          <w:szCs w:val="22"/>
          <w:lang w:val="fr-FR"/>
        </w:rPr>
        <w:t>’</w:t>
      </w:r>
      <w:r w:rsidR="008A7072" w:rsidRPr="005A7014">
        <w:rPr>
          <w:szCs w:val="22"/>
          <w:lang w:val="fr-FR"/>
        </w:rPr>
        <w:t>AEWA d</w:t>
      </w:r>
      <w:r w:rsidR="00F82A75">
        <w:rPr>
          <w:szCs w:val="22"/>
          <w:lang w:val="fr-FR"/>
        </w:rPr>
        <w:t>’</w:t>
      </w:r>
      <w:r w:rsidR="008A7072" w:rsidRPr="005A7014">
        <w:rPr>
          <w:szCs w:val="22"/>
          <w:lang w:val="fr-FR"/>
        </w:rPr>
        <w:t>adopter des amendements aux Règlement intérieur à travers des Résolutions de la MOP, mais que toutes ces décisions devaient être clairement enregistrées dans le rapport de la Réunion.</w:t>
      </w:r>
    </w:p>
    <w:p w14:paraId="6CBF21D6" w14:textId="77777777" w:rsidR="004A62D9" w:rsidRPr="005A7014" w:rsidRDefault="004A62D9" w:rsidP="00BA154F">
      <w:pPr>
        <w:jc w:val="both"/>
        <w:rPr>
          <w:szCs w:val="22"/>
          <w:lang w:val="fr-FR"/>
        </w:rPr>
      </w:pPr>
    </w:p>
    <w:p w14:paraId="67FFB5C9" w14:textId="400E0FFD" w:rsidR="003141D3" w:rsidRPr="005A7014" w:rsidRDefault="00FB7B81" w:rsidP="00BA154F">
      <w:pPr>
        <w:jc w:val="both"/>
        <w:rPr>
          <w:szCs w:val="22"/>
          <w:lang w:val="fr-FR"/>
        </w:rPr>
      </w:pPr>
      <w:r w:rsidRPr="005A7014">
        <w:rPr>
          <w:szCs w:val="22"/>
          <w:lang w:val="fr-FR"/>
        </w:rPr>
        <w:t>2</w:t>
      </w:r>
      <w:r w:rsidR="000B5930">
        <w:rPr>
          <w:szCs w:val="22"/>
          <w:lang w:val="fr-FR"/>
        </w:rPr>
        <w:t>8</w:t>
      </w:r>
      <w:r w:rsidRPr="005A7014">
        <w:rPr>
          <w:szCs w:val="22"/>
          <w:lang w:val="fr-FR"/>
        </w:rPr>
        <w:t xml:space="preserve">. </w:t>
      </w:r>
      <w:r w:rsidR="008A7072" w:rsidRPr="005A7014">
        <w:rPr>
          <w:szCs w:val="22"/>
          <w:lang w:val="fr-FR"/>
        </w:rPr>
        <w:t>L</w:t>
      </w:r>
      <w:r w:rsidR="00F82A75">
        <w:rPr>
          <w:szCs w:val="22"/>
          <w:lang w:val="fr-FR"/>
        </w:rPr>
        <w:t>’</w:t>
      </w:r>
      <w:r w:rsidR="008A7072" w:rsidRPr="005A7014">
        <w:rPr>
          <w:b/>
          <w:szCs w:val="22"/>
          <w:lang w:val="fr-FR"/>
        </w:rPr>
        <w:t>Ouganda</w:t>
      </w:r>
      <w:r w:rsidR="008A7072" w:rsidRPr="005A7014">
        <w:rPr>
          <w:szCs w:val="22"/>
          <w:lang w:val="fr-FR"/>
        </w:rPr>
        <w:t xml:space="preserve">, secondé par le </w:t>
      </w:r>
      <w:r w:rsidR="008A7072" w:rsidRPr="005A7014">
        <w:rPr>
          <w:b/>
          <w:szCs w:val="22"/>
          <w:lang w:val="fr-FR"/>
        </w:rPr>
        <w:t>Sénégal</w:t>
      </w:r>
      <w:r w:rsidR="008A7072" w:rsidRPr="005A7014">
        <w:rPr>
          <w:szCs w:val="22"/>
          <w:lang w:val="fr-FR"/>
        </w:rPr>
        <w:t xml:space="preserve">, </w:t>
      </w:r>
      <w:r w:rsidR="005C11A5" w:rsidRPr="005A7014">
        <w:rPr>
          <w:szCs w:val="22"/>
          <w:lang w:val="fr-FR"/>
        </w:rPr>
        <w:t>a</w:t>
      </w:r>
      <w:r w:rsidR="008A7072" w:rsidRPr="005A7014">
        <w:rPr>
          <w:szCs w:val="22"/>
          <w:lang w:val="fr-FR"/>
        </w:rPr>
        <w:t xml:space="preserve"> proposé d</w:t>
      </w:r>
      <w:r w:rsidR="00F82A75">
        <w:rPr>
          <w:szCs w:val="22"/>
          <w:lang w:val="fr-FR"/>
        </w:rPr>
        <w:t>’</w:t>
      </w:r>
      <w:r w:rsidR="008A7072" w:rsidRPr="005A7014">
        <w:rPr>
          <w:szCs w:val="22"/>
          <w:lang w:val="fr-FR"/>
        </w:rPr>
        <w:t>adopter les amendements présentés.</w:t>
      </w:r>
    </w:p>
    <w:p w14:paraId="49B934D9" w14:textId="77777777" w:rsidR="00284682" w:rsidRPr="005A7014" w:rsidRDefault="00284682" w:rsidP="00BA154F">
      <w:pPr>
        <w:jc w:val="both"/>
        <w:rPr>
          <w:szCs w:val="22"/>
          <w:lang w:val="fr-FR"/>
        </w:rPr>
      </w:pPr>
    </w:p>
    <w:p w14:paraId="03CF3175" w14:textId="62A375AE" w:rsidR="0082027A" w:rsidRPr="005A7014" w:rsidRDefault="00E14F6E" w:rsidP="00BA154F">
      <w:pPr>
        <w:jc w:val="both"/>
        <w:rPr>
          <w:szCs w:val="22"/>
          <w:lang w:val="fr-FR"/>
        </w:rPr>
      </w:pPr>
      <w:r w:rsidRPr="005A7014">
        <w:rPr>
          <w:szCs w:val="22"/>
          <w:lang w:val="fr-FR"/>
        </w:rPr>
        <w:t>2</w:t>
      </w:r>
      <w:r w:rsidR="000B5930">
        <w:rPr>
          <w:szCs w:val="22"/>
          <w:lang w:val="fr-FR"/>
        </w:rPr>
        <w:t>9</w:t>
      </w:r>
      <w:r w:rsidRPr="005A7014">
        <w:rPr>
          <w:szCs w:val="22"/>
          <w:lang w:val="fr-FR"/>
        </w:rPr>
        <w:t xml:space="preserve">. </w:t>
      </w:r>
      <w:r w:rsidR="008A7072" w:rsidRPr="005A7014">
        <w:rPr>
          <w:szCs w:val="22"/>
          <w:lang w:val="fr-FR"/>
        </w:rPr>
        <w:t>Sur l</w:t>
      </w:r>
      <w:r w:rsidR="00F82A75">
        <w:rPr>
          <w:szCs w:val="22"/>
          <w:lang w:val="fr-FR"/>
        </w:rPr>
        <w:t>’</w:t>
      </w:r>
      <w:r w:rsidR="008A7072" w:rsidRPr="005A7014">
        <w:rPr>
          <w:szCs w:val="22"/>
          <w:lang w:val="fr-FR"/>
        </w:rPr>
        <w:t xml:space="preserve">invitation du </w:t>
      </w:r>
      <w:r w:rsidR="008A7072" w:rsidRPr="005A7014">
        <w:rPr>
          <w:b/>
          <w:szCs w:val="22"/>
          <w:lang w:val="fr-FR"/>
        </w:rPr>
        <w:t>Président du Comité permanent</w:t>
      </w:r>
      <w:r w:rsidR="008A7072" w:rsidRPr="005A7014">
        <w:rPr>
          <w:szCs w:val="22"/>
          <w:lang w:val="fr-FR"/>
        </w:rPr>
        <w:t>, la MOP a adopté les amendements par consensus.</w:t>
      </w:r>
    </w:p>
    <w:p w14:paraId="03EEA1D7" w14:textId="77777777" w:rsidR="00CC2318" w:rsidRDefault="00CC2318" w:rsidP="00BA154F">
      <w:pPr>
        <w:jc w:val="both"/>
        <w:rPr>
          <w:szCs w:val="22"/>
          <w:lang w:val="fr-FR"/>
        </w:rPr>
      </w:pPr>
    </w:p>
    <w:p w14:paraId="1D4FCA84" w14:textId="77777777" w:rsidR="000958DA" w:rsidRPr="005A7014" w:rsidRDefault="000958DA" w:rsidP="00BA154F">
      <w:pPr>
        <w:jc w:val="both"/>
        <w:rPr>
          <w:szCs w:val="22"/>
          <w:lang w:val="fr-FR"/>
        </w:rPr>
      </w:pPr>
    </w:p>
    <w:p w14:paraId="3EA8FD5E" w14:textId="1E7EE901" w:rsidR="0082027A" w:rsidRPr="005A7014" w:rsidRDefault="008A7072" w:rsidP="00BA154F">
      <w:pPr>
        <w:jc w:val="both"/>
        <w:rPr>
          <w:b/>
          <w:szCs w:val="22"/>
          <w:lang w:val="fr-FR"/>
        </w:rPr>
      </w:pPr>
      <w:r w:rsidRPr="005A7014">
        <w:rPr>
          <w:b/>
          <w:szCs w:val="22"/>
          <w:lang w:val="fr-FR"/>
        </w:rPr>
        <w:t>Point 3 de l</w:t>
      </w:r>
      <w:r w:rsidR="00F82A75">
        <w:rPr>
          <w:b/>
          <w:szCs w:val="22"/>
          <w:lang w:val="fr-FR"/>
        </w:rPr>
        <w:t>’</w:t>
      </w:r>
      <w:r w:rsidRPr="005A7014">
        <w:rPr>
          <w:b/>
          <w:szCs w:val="22"/>
          <w:lang w:val="fr-FR"/>
        </w:rPr>
        <w:t>ordre du jour – Élection des membres du bureau</w:t>
      </w:r>
    </w:p>
    <w:p w14:paraId="740CCAE6" w14:textId="77777777" w:rsidR="0082027A" w:rsidRPr="005A7014" w:rsidRDefault="0082027A" w:rsidP="00BA154F">
      <w:pPr>
        <w:jc w:val="both"/>
        <w:rPr>
          <w:szCs w:val="22"/>
          <w:lang w:val="fr-FR"/>
        </w:rPr>
      </w:pPr>
    </w:p>
    <w:p w14:paraId="29D0CBE6" w14:textId="6732E0AF" w:rsidR="0082027A" w:rsidRPr="005A7014" w:rsidRDefault="00E62B43" w:rsidP="00BA154F">
      <w:pPr>
        <w:jc w:val="both"/>
        <w:rPr>
          <w:szCs w:val="22"/>
          <w:lang w:val="fr-FR"/>
        </w:rPr>
      </w:pPr>
      <w:r>
        <w:rPr>
          <w:szCs w:val="22"/>
          <w:lang w:val="fr-FR"/>
        </w:rPr>
        <w:t>30</w:t>
      </w:r>
      <w:r w:rsidR="00E14F6E" w:rsidRPr="005A7014">
        <w:rPr>
          <w:szCs w:val="22"/>
          <w:lang w:val="fr-FR"/>
        </w:rPr>
        <w:t xml:space="preserve">. </w:t>
      </w:r>
      <w:r w:rsidR="008A7072" w:rsidRPr="005A7014">
        <w:rPr>
          <w:szCs w:val="22"/>
          <w:lang w:val="fr-FR"/>
        </w:rPr>
        <w:t xml:space="preserve">Le </w:t>
      </w:r>
      <w:r w:rsidR="008A7072" w:rsidRPr="005A7014">
        <w:rPr>
          <w:b/>
          <w:szCs w:val="22"/>
          <w:lang w:val="fr-FR"/>
        </w:rPr>
        <w:t>Président du Comité permanent</w:t>
      </w:r>
      <w:r w:rsidR="008A7072" w:rsidRPr="005A7014">
        <w:rPr>
          <w:szCs w:val="22"/>
          <w:lang w:val="fr-FR"/>
        </w:rPr>
        <w:t xml:space="preserve"> a rappelé que conformément à la Règle 21 du Règlement intérieur, un Président et un ou plusieurs Vice-Présidents devaient être élus.</w:t>
      </w:r>
      <w:r w:rsidR="00021451" w:rsidRPr="005A7014">
        <w:rPr>
          <w:szCs w:val="22"/>
          <w:lang w:val="fr-FR"/>
        </w:rPr>
        <w:t xml:space="preserve"> </w:t>
      </w:r>
      <w:r w:rsidR="00AC5900" w:rsidRPr="005A7014">
        <w:rPr>
          <w:szCs w:val="22"/>
          <w:lang w:val="fr-FR"/>
        </w:rPr>
        <w:t>Le fait qu</w:t>
      </w:r>
      <w:r w:rsidR="00F82A75">
        <w:rPr>
          <w:szCs w:val="22"/>
          <w:lang w:val="fr-FR"/>
        </w:rPr>
        <w:t>’</w:t>
      </w:r>
      <w:r w:rsidR="00AC5900" w:rsidRPr="005A7014">
        <w:rPr>
          <w:szCs w:val="22"/>
          <w:lang w:val="fr-FR"/>
        </w:rPr>
        <w:t>un représentant du pays d</w:t>
      </w:r>
      <w:r w:rsidR="00F82A75">
        <w:rPr>
          <w:szCs w:val="22"/>
          <w:lang w:val="fr-FR"/>
        </w:rPr>
        <w:t>’</w:t>
      </w:r>
      <w:r w:rsidR="00AC5900" w:rsidRPr="005A7014">
        <w:rPr>
          <w:szCs w:val="22"/>
          <w:lang w:val="fr-FR"/>
        </w:rPr>
        <w:t>accueil préside la Réunion des Parties était une pratique établie</w:t>
      </w:r>
      <w:r w:rsidR="008A7072" w:rsidRPr="005A7014">
        <w:rPr>
          <w:szCs w:val="22"/>
          <w:lang w:val="fr-FR"/>
        </w:rPr>
        <w:t xml:space="preserve">, </w:t>
      </w:r>
      <w:r w:rsidR="00AC5900" w:rsidRPr="005A7014">
        <w:rPr>
          <w:szCs w:val="22"/>
          <w:lang w:val="fr-FR"/>
        </w:rPr>
        <w:t>mais ceci nécessiterait une proposition officielle</w:t>
      </w:r>
      <w:r w:rsidR="008A7072" w:rsidRPr="005A7014">
        <w:rPr>
          <w:szCs w:val="22"/>
          <w:lang w:val="fr-FR"/>
        </w:rPr>
        <w:t>.</w:t>
      </w:r>
    </w:p>
    <w:p w14:paraId="364FBE4B" w14:textId="77777777" w:rsidR="00021451" w:rsidRPr="005A7014" w:rsidRDefault="00021451" w:rsidP="00BA154F">
      <w:pPr>
        <w:jc w:val="both"/>
        <w:rPr>
          <w:szCs w:val="22"/>
          <w:lang w:val="fr-FR"/>
        </w:rPr>
      </w:pPr>
    </w:p>
    <w:p w14:paraId="4A1A1DD0" w14:textId="7FED6793" w:rsidR="00021451" w:rsidRPr="005A7014" w:rsidRDefault="00E14F6E" w:rsidP="00BA154F">
      <w:pPr>
        <w:jc w:val="both"/>
        <w:rPr>
          <w:szCs w:val="22"/>
          <w:lang w:val="fr-FR"/>
        </w:rPr>
      </w:pPr>
      <w:r w:rsidRPr="005A7014">
        <w:rPr>
          <w:szCs w:val="22"/>
          <w:lang w:val="fr-FR"/>
        </w:rPr>
        <w:t>3</w:t>
      </w:r>
      <w:r w:rsidR="00E62B43">
        <w:rPr>
          <w:szCs w:val="22"/>
          <w:lang w:val="fr-FR"/>
        </w:rPr>
        <w:t>1</w:t>
      </w:r>
      <w:r w:rsidRPr="005A7014">
        <w:rPr>
          <w:szCs w:val="22"/>
          <w:lang w:val="fr-FR"/>
        </w:rPr>
        <w:t xml:space="preserve">. </w:t>
      </w:r>
      <w:r w:rsidR="00AC5900" w:rsidRPr="005A7014">
        <w:rPr>
          <w:szCs w:val="22"/>
          <w:lang w:val="fr-FR"/>
        </w:rPr>
        <w:t xml:space="preserve">La </w:t>
      </w:r>
      <w:r w:rsidR="00AC5900" w:rsidRPr="005A7014">
        <w:rPr>
          <w:b/>
          <w:szCs w:val="22"/>
          <w:lang w:val="fr-FR"/>
        </w:rPr>
        <w:t>Suisse</w:t>
      </w:r>
      <w:r w:rsidR="00AC5900" w:rsidRPr="005A7014">
        <w:rPr>
          <w:szCs w:val="22"/>
          <w:lang w:val="fr-FR"/>
        </w:rPr>
        <w:t xml:space="preserve">, secondée par le </w:t>
      </w:r>
      <w:r w:rsidR="00AC5900" w:rsidRPr="005A7014">
        <w:rPr>
          <w:b/>
          <w:szCs w:val="22"/>
          <w:lang w:val="fr-FR"/>
        </w:rPr>
        <w:t>Tchad</w:t>
      </w:r>
      <w:r w:rsidR="00AC5900" w:rsidRPr="005A7014">
        <w:rPr>
          <w:szCs w:val="22"/>
          <w:lang w:val="fr-FR"/>
        </w:rPr>
        <w:t>, a proposé que la France soit élue pour présider la MOP5.</w:t>
      </w:r>
    </w:p>
    <w:p w14:paraId="27FCBFEA" w14:textId="77777777" w:rsidR="00A64C49" w:rsidRPr="005A7014" w:rsidRDefault="00A64C49" w:rsidP="00BA154F">
      <w:pPr>
        <w:jc w:val="both"/>
        <w:rPr>
          <w:szCs w:val="22"/>
          <w:lang w:val="fr-FR"/>
        </w:rPr>
      </w:pPr>
    </w:p>
    <w:p w14:paraId="15340D1F" w14:textId="3A134D93" w:rsidR="00A64C49" w:rsidRPr="005A7014" w:rsidRDefault="00E14F6E" w:rsidP="00BA154F">
      <w:pPr>
        <w:jc w:val="both"/>
        <w:rPr>
          <w:szCs w:val="22"/>
          <w:lang w:val="fr-FR"/>
        </w:rPr>
      </w:pPr>
      <w:r w:rsidRPr="005A7014">
        <w:rPr>
          <w:szCs w:val="22"/>
          <w:lang w:val="fr-FR"/>
        </w:rPr>
        <w:t>3</w:t>
      </w:r>
      <w:r w:rsidR="00E62B43">
        <w:rPr>
          <w:szCs w:val="22"/>
          <w:lang w:val="fr-FR"/>
        </w:rPr>
        <w:t>2</w:t>
      </w:r>
      <w:r w:rsidRPr="005A7014">
        <w:rPr>
          <w:szCs w:val="22"/>
          <w:lang w:val="fr-FR"/>
        </w:rPr>
        <w:t xml:space="preserve">. </w:t>
      </w:r>
      <w:r w:rsidR="00AC5900" w:rsidRPr="005A7014">
        <w:rPr>
          <w:szCs w:val="22"/>
          <w:lang w:val="fr-FR"/>
        </w:rPr>
        <w:t>Sur l</w:t>
      </w:r>
      <w:r w:rsidR="00F82A75">
        <w:rPr>
          <w:szCs w:val="22"/>
          <w:lang w:val="fr-FR"/>
        </w:rPr>
        <w:t>’</w:t>
      </w:r>
      <w:r w:rsidR="00AC5900" w:rsidRPr="005A7014">
        <w:rPr>
          <w:szCs w:val="22"/>
          <w:lang w:val="fr-FR"/>
        </w:rPr>
        <w:t xml:space="preserve">invitation du </w:t>
      </w:r>
      <w:r w:rsidR="00AC5900" w:rsidRPr="005A7014">
        <w:rPr>
          <w:b/>
          <w:szCs w:val="22"/>
          <w:lang w:val="fr-FR"/>
        </w:rPr>
        <w:t>Président du Comité permanent</w:t>
      </w:r>
      <w:r w:rsidR="00AC5900" w:rsidRPr="005A7014">
        <w:rPr>
          <w:szCs w:val="22"/>
          <w:lang w:val="fr-FR"/>
        </w:rPr>
        <w:t>, la France a été élue par acclamation pour présider la MOP5.</w:t>
      </w:r>
    </w:p>
    <w:p w14:paraId="2C128953" w14:textId="77777777" w:rsidR="00A64C49" w:rsidRPr="005A7014" w:rsidRDefault="00A64C49" w:rsidP="00BA154F">
      <w:pPr>
        <w:jc w:val="both"/>
        <w:rPr>
          <w:szCs w:val="22"/>
          <w:lang w:val="fr-FR"/>
        </w:rPr>
      </w:pPr>
    </w:p>
    <w:p w14:paraId="34EDD7D1" w14:textId="7030EDCE" w:rsidR="00A64C49" w:rsidRPr="005A7014" w:rsidRDefault="00E14F6E" w:rsidP="00BA154F">
      <w:pPr>
        <w:jc w:val="both"/>
        <w:rPr>
          <w:szCs w:val="22"/>
          <w:lang w:val="fr-FR"/>
        </w:rPr>
      </w:pPr>
      <w:r w:rsidRPr="005A7014">
        <w:rPr>
          <w:szCs w:val="22"/>
          <w:lang w:val="fr-FR"/>
        </w:rPr>
        <w:t>3</w:t>
      </w:r>
      <w:r w:rsidR="00E62B43">
        <w:rPr>
          <w:szCs w:val="22"/>
          <w:lang w:val="fr-FR"/>
        </w:rPr>
        <w:t>3</w:t>
      </w:r>
      <w:r w:rsidRPr="005A7014">
        <w:rPr>
          <w:szCs w:val="22"/>
          <w:lang w:val="fr-FR"/>
        </w:rPr>
        <w:t>.</w:t>
      </w:r>
      <w:r w:rsidRPr="005A7014">
        <w:rPr>
          <w:b/>
          <w:szCs w:val="22"/>
          <w:lang w:val="fr-FR"/>
        </w:rPr>
        <w:t xml:space="preserve"> </w:t>
      </w:r>
      <w:r w:rsidR="00AC5900" w:rsidRPr="005A7014">
        <w:rPr>
          <w:szCs w:val="22"/>
          <w:lang w:val="fr-FR"/>
        </w:rPr>
        <w:t xml:space="preserve">Le </w:t>
      </w:r>
      <w:r w:rsidR="00AC5900" w:rsidRPr="005A7014">
        <w:rPr>
          <w:b/>
          <w:szCs w:val="22"/>
          <w:lang w:val="fr-FR"/>
        </w:rPr>
        <w:t>Bénin</w:t>
      </w:r>
      <w:r w:rsidR="00AC5900" w:rsidRPr="005A7014">
        <w:rPr>
          <w:szCs w:val="22"/>
          <w:lang w:val="fr-FR"/>
        </w:rPr>
        <w:t xml:space="preserve"> (au nom du groupe de l</w:t>
      </w:r>
      <w:r w:rsidR="00F82A75">
        <w:rPr>
          <w:szCs w:val="22"/>
          <w:lang w:val="fr-FR"/>
        </w:rPr>
        <w:t>’</w:t>
      </w:r>
      <w:r w:rsidR="00AC5900" w:rsidRPr="005A7014">
        <w:rPr>
          <w:szCs w:val="22"/>
          <w:lang w:val="fr-FR"/>
        </w:rPr>
        <w:t xml:space="preserve">Afrique) et appuyé par le </w:t>
      </w:r>
      <w:r w:rsidR="00AC5900" w:rsidRPr="005A7014">
        <w:rPr>
          <w:b/>
          <w:szCs w:val="22"/>
          <w:lang w:val="fr-FR"/>
        </w:rPr>
        <w:t>Ghana</w:t>
      </w:r>
      <w:r w:rsidR="00AC5900" w:rsidRPr="005A7014">
        <w:rPr>
          <w:szCs w:val="22"/>
          <w:lang w:val="fr-FR"/>
        </w:rPr>
        <w:t xml:space="preserve">, </w:t>
      </w:r>
      <w:r w:rsidR="00AC5900" w:rsidRPr="005A7014">
        <w:rPr>
          <w:b/>
          <w:szCs w:val="22"/>
          <w:lang w:val="fr-FR"/>
        </w:rPr>
        <w:t>Madagascar</w:t>
      </w:r>
      <w:r w:rsidR="00AC5900" w:rsidRPr="005A7014">
        <w:rPr>
          <w:szCs w:val="22"/>
          <w:lang w:val="fr-FR"/>
        </w:rPr>
        <w:t xml:space="preserve">, le </w:t>
      </w:r>
      <w:r w:rsidR="00AC5900" w:rsidRPr="005A7014">
        <w:rPr>
          <w:b/>
          <w:szCs w:val="22"/>
          <w:lang w:val="fr-FR"/>
        </w:rPr>
        <w:t xml:space="preserve">Mali </w:t>
      </w:r>
      <w:r w:rsidR="00AC5900" w:rsidRPr="005A7014">
        <w:rPr>
          <w:szCs w:val="22"/>
          <w:lang w:val="fr-FR"/>
        </w:rPr>
        <w:t xml:space="preserve">et la </w:t>
      </w:r>
      <w:r w:rsidR="00AC5900" w:rsidRPr="005A7014">
        <w:rPr>
          <w:b/>
          <w:szCs w:val="22"/>
          <w:lang w:val="fr-FR"/>
        </w:rPr>
        <w:t>Mauritanie</w:t>
      </w:r>
      <w:r w:rsidR="00AC5900" w:rsidRPr="005A7014">
        <w:rPr>
          <w:szCs w:val="22"/>
          <w:lang w:val="fr-FR"/>
        </w:rPr>
        <w:t xml:space="preserve">, ont proposé le </w:t>
      </w:r>
      <w:r w:rsidR="00AC5900" w:rsidRPr="005A7014">
        <w:rPr>
          <w:b/>
          <w:szCs w:val="22"/>
          <w:lang w:val="fr-FR"/>
        </w:rPr>
        <w:t>Kenya</w:t>
      </w:r>
      <w:r w:rsidR="00AC5900" w:rsidRPr="005A7014">
        <w:rPr>
          <w:szCs w:val="22"/>
          <w:lang w:val="fr-FR"/>
        </w:rPr>
        <w:t xml:space="preserve"> en tant que Vice-Président de la MOP5.</w:t>
      </w:r>
    </w:p>
    <w:p w14:paraId="2E5E1C73" w14:textId="77777777" w:rsidR="00CD5EAC" w:rsidRPr="005A7014" w:rsidRDefault="00CD5EAC" w:rsidP="00BA154F">
      <w:pPr>
        <w:jc w:val="both"/>
        <w:rPr>
          <w:szCs w:val="22"/>
          <w:lang w:val="fr-FR"/>
        </w:rPr>
      </w:pPr>
    </w:p>
    <w:p w14:paraId="2FB23F40" w14:textId="038FDF6C" w:rsidR="00CD5EAC" w:rsidRPr="005A7014" w:rsidRDefault="00E14F6E" w:rsidP="00BA154F">
      <w:pPr>
        <w:jc w:val="both"/>
        <w:rPr>
          <w:szCs w:val="22"/>
          <w:lang w:val="fr-FR"/>
        </w:rPr>
      </w:pPr>
      <w:r w:rsidRPr="005A7014">
        <w:rPr>
          <w:szCs w:val="22"/>
          <w:lang w:val="fr-FR"/>
        </w:rPr>
        <w:t>3</w:t>
      </w:r>
      <w:r w:rsidR="00E62B43">
        <w:rPr>
          <w:szCs w:val="22"/>
          <w:lang w:val="fr-FR"/>
        </w:rPr>
        <w:t>4</w:t>
      </w:r>
      <w:r w:rsidRPr="005A7014">
        <w:rPr>
          <w:szCs w:val="22"/>
          <w:lang w:val="fr-FR"/>
        </w:rPr>
        <w:t xml:space="preserve">. </w:t>
      </w:r>
      <w:r w:rsidR="00AC5900" w:rsidRPr="005A7014">
        <w:rPr>
          <w:szCs w:val="22"/>
          <w:lang w:val="fr-FR"/>
        </w:rPr>
        <w:t xml:space="preserve">Le </w:t>
      </w:r>
      <w:r w:rsidR="00AC5900" w:rsidRPr="005A7014">
        <w:rPr>
          <w:b/>
          <w:szCs w:val="22"/>
          <w:lang w:val="fr-FR"/>
        </w:rPr>
        <w:t xml:space="preserve">Président du Comité permanent </w:t>
      </w:r>
      <w:r w:rsidR="00AC5900" w:rsidRPr="005A7014">
        <w:rPr>
          <w:szCs w:val="22"/>
          <w:lang w:val="fr-FR"/>
        </w:rPr>
        <w:t>a félicité la France et le Kenya, et a invité l</w:t>
      </w:r>
      <w:r w:rsidR="00AC5900" w:rsidRPr="005A7014">
        <w:rPr>
          <w:b/>
          <w:szCs w:val="22"/>
          <w:lang w:val="fr-FR"/>
        </w:rPr>
        <w:t>e représentant de la France</w:t>
      </w:r>
      <w:r w:rsidR="00AC5900" w:rsidRPr="005A7014">
        <w:rPr>
          <w:szCs w:val="22"/>
          <w:lang w:val="fr-FR"/>
        </w:rPr>
        <w:t xml:space="preserve"> (M. Paul </w:t>
      </w:r>
      <w:proofErr w:type="spellStart"/>
      <w:r w:rsidR="00AC5900" w:rsidRPr="005A7014">
        <w:rPr>
          <w:szCs w:val="22"/>
          <w:lang w:val="fr-FR"/>
        </w:rPr>
        <w:t>Delduc</w:t>
      </w:r>
      <w:proofErr w:type="spellEnd"/>
      <w:r w:rsidR="00AC5900" w:rsidRPr="005A7014">
        <w:rPr>
          <w:szCs w:val="22"/>
          <w:lang w:val="fr-FR"/>
        </w:rPr>
        <w:t xml:space="preserve">) </w:t>
      </w:r>
      <w:r w:rsidR="005C11A5" w:rsidRPr="005A7014">
        <w:rPr>
          <w:szCs w:val="22"/>
          <w:lang w:val="fr-FR"/>
        </w:rPr>
        <w:t xml:space="preserve">à se rendre </w:t>
      </w:r>
      <w:r w:rsidR="00AC5900" w:rsidRPr="005A7014">
        <w:rPr>
          <w:szCs w:val="22"/>
          <w:lang w:val="fr-FR"/>
        </w:rPr>
        <w:t>sur le podium pour assumer ses responsabilités.</w:t>
      </w:r>
    </w:p>
    <w:p w14:paraId="4A2AF139" w14:textId="77777777" w:rsidR="0082027A" w:rsidRPr="005A7014" w:rsidRDefault="0082027A" w:rsidP="00BA154F">
      <w:pPr>
        <w:jc w:val="both"/>
        <w:rPr>
          <w:szCs w:val="22"/>
          <w:lang w:val="fr-FR"/>
        </w:rPr>
      </w:pPr>
    </w:p>
    <w:p w14:paraId="76C98CD7" w14:textId="24D95120" w:rsidR="0082027A" w:rsidRPr="005A7014" w:rsidRDefault="00E14F6E" w:rsidP="00BA154F">
      <w:pPr>
        <w:jc w:val="both"/>
        <w:rPr>
          <w:szCs w:val="22"/>
          <w:lang w:val="fr-FR"/>
        </w:rPr>
      </w:pPr>
      <w:r w:rsidRPr="005A7014">
        <w:rPr>
          <w:szCs w:val="22"/>
          <w:lang w:val="fr-FR"/>
        </w:rPr>
        <w:t>3</w:t>
      </w:r>
      <w:r w:rsidR="00E62B43">
        <w:rPr>
          <w:szCs w:val="22"/>
          <w:lang w:val="fr-FR"/>
        </w:rPr>
        <w:t>5</w:t>
      </w:r>
      <w:r w:rsidRPr="005A7014">
        <w:rPr>
          <w:szCs w:val="22"/>
          <w:lang w:val="fr-FR"/>
        </w:rPr>
        <w:t xml:space="preserve">. </w:t>
      </w:r>
      <w:r w:rsidR="00AC5900" w:rsidRPr="005A7014">
        <w:rPr>
          <w:b/>
          <w:szCs w:val="22"/>
          <w:lang w:val="fr-FR"/>
        </w:rPr>
        <w:t xml:space="preserve">M. </w:t>
      </w:r>
      <w:proofErr w:type="spellStart"/>
      <w:r w:rsidR="00AC5900" w:rsidRPr="005A7014">
        <w:rPr>
          <w:b/>
          <w:szCs w:val="22"/>
          <w:lang w:val="fr-FR"/>
        </w:rPr>
        <w:t>Delduc</w:t>
      </w:r>
      <w:proofErr w:type="spellEnd"/>
      <w:r w:rsidR="00AC5900" w:rsidRPr="005A7014">
        <w:rPr>
          <w:szCs w:val="22"/>
          <w:lang w:val="fr-FR"/>
        </w:rPr>
        <w:t xml:space="preserve"> a remercié les Parties pour l</w:t>
      </w:r>
      <w:r w:rsidR="00F82A75">
        <w:rPr>
          <w:szCs w:val="22"/>
          <w:lang w:val="fr-FR"/>
        </w:rPr>
        <w:t>’</w:t>
      </w:r>
      <w:r w:rsidR="00AC5900" w:rsidRPr="005A7014">
        <w:rPr>
          <w:szCs w:val="22"/>
          <w:lang w:val="fr-FR"/>
        </w:rPr>
        <w:t>honneur d</w:t>
      </w:r>
      <w:r w:rsidR="00F82A75">
        <w:rPr>
          <w:szCs w:val="22"/>
          <w:lang w:val="fr-FR"/>
        </w:rPr>
        <w:t>’</w:t>
      </w:r>
      <w:r w:rsidR="00AC5900" w:rsidRPr="005A7014">
        <w:rPr>
          <w:szCs w:val="22"/>
          <w:lang w:val="fr-FR"/>
        </w:rPr>
        <w:t>avoir été élu Président de la MOP5 avec le Kenya ; la France ferait de tout son mieux pour assurer le succès de la réunion.</w:t>
      </w:r>
    </w:p>
    <w:p w14:paraId="2D2D1895" w14:textId="77777777" w:rsidR="0082027A" w:rsidRDefault="0082027A" w:rsidP="00BA154F">
      <w:pPr>
        <w:jc w:val="both"/>
        <w:rPr>
          <w:szCs w:val="22"/>
          <w:lang w:val="fr-FR"/>
        </w:rPr>
      </w:pPr>
    </w:p>
    <w:p w14:paraId="1918F7F5" w14:textId="77777777" w:rsidR="000958DA" w:rsidRPr="005A7014" w:rsidRDefault="000958DA" w:rsidP="00BA154F">
      <w:pPr>
        <w:jc w:val="both"/>
        <w:rPr>
          <w:szCs w:val="22"/>
          <w:lang w:val="fr-FR"/>
        </w:rPr>
      </w:pPr>
    </w:p>
    <w:p w14:paraId="3614C500" w14:textId="40D01A38" w:rsidR="0082027A" w:rsidRPr="005A7014" w:rsidRDefault="00AC5900" w:rsidP="00BA154F">
      <w:pPr>
        <w:jc w:val="both"/>
        <w:rPr>
          <w:b/>
          <w:szCs w:val="22"/>
          <w:lang w:val="fr-FR"/>
        </w:rPr>
      </w:pPr>
      <w:r w:rsidRPr="005A7014">
        <w:rPr>
          <w:b/>
          <w:szCs w:val="22"/>
          <w:lang w:val="fr-FR"/>
        </w:rPr>
        <w:t>Point 4 de l</w:t>
      </w:r>
      <w:r w:rsidR="00F82A75">
        <w:rPr>
          <w:b/>
          <w:szCs w:val="22"/>
          <w:lang w:val="fr-FR"/>
        </w:rPr>
        <w:t>’</w:t>
      </w:r>
      <w:r w:rsidRPr="005A7014">
        <w:rPr>
          <w:b/>
          <w:szCs w:val="22"/>
          <w:lang w:val="fr-FR"/>
        </w:rPr>
        <w:t>ordre du jour. Adoption de l</w:t>
      </w:r>
      <w:r w:rsidR="00F82A75">
        <w:rPr>
          <w:b/>
          <w:szCs w:val="22"/>
          <w:lang w:val="fr-FR"/>
        </w:rPr>
        <w:t>’</w:t>
      </w:r>
      <w:r w:rsidRPr="005A7014">
        <w:rPr>
          <w:b/>
          <w:szCs w:val="22"/>
          <w:lang w:val="fr-FR"/>
        </w:rPr>
        <w:t>ordre du jour et du programme de travail</w:t>
      </w:r>
    </w:p>
    <w:p w14:paraId="55D665AB" w14:textId="77777777" w:rsidR="0082027A" w:rsidRPr="005A7014" w:rsidRDefault="0082027A" w:rsidP="00BA154F">
      <w:pPr>
        <w:jc w:val="both"/>
        <w:rPr>
          <w:szCs w:val="22"/>
          <w:lang w:val="fr-FR"/>
        </w:rPr>
      </w:pPr>
    </w:p>
    <w:p w14:paraId="1D0734B4" w14:textId="59993D43" w:rsidR="0082027A" w:rsidRPr="005A7014" w:rsidRDefault="00E14F6E" w:rsidP="00BA154F">
      <w:pPr>
        <w:jc w:val="both"/>
        <w:rPr>
          <w:szCs w:val="22"/>
          <w:lang w:val="fr-FR"/>
        </w:rPr>
      </w:pPr>
      <w:r w:rsidRPr="005A7014">
        <w:rPr>
          <w:szCs w:val="22"/>
          <w:lang w:val="fr-FR"/>
        </w:rPr>
        <w:t>3</w:t>
      </w:r>
      <w:r w:rsidR="00E62B43">
        <w:rPr>
          <w:szCs w:val="22"/>
          <w:lang w:val="fr-FR"/>
        </w:rPr>
        <w:t>6</w:t>
      </w:r>
      <w:r w:rsidRPr="005A7014">
        <w:rPr>
          <w:szCs w:val="22"/>
          <w:lang w:val="fr-FR"/>
        </w:rPr>
        <w:t xml:space="preserve">. </w:t>
      </w:r>
      <w:r w:rsidR="00AC5900" w:rsidRPr="005A7014">
        <w:rPr>
          <w:szCs w:val="22"/>
          <w:lang w:val="fr-FR"/>
        </w:rPr>
        <w:t xml:space="preserve">Le </w:t>
      </w:r>
      <w:r w:rsidR="00AC5900" w:rsidRPr="005A7014">
        <w:rPr>
          <w:b/>
          <w:szCs w:val="22"/>
          <w:lang w:val="fr-FR"/>
        </w:rPr>
        <w:t>Président</w:t>
      </w:r>
      <w:r w:rsidR="00AC5900" w:rsidRPr="005A7014">
        <w:rPr>
          <w:szCs w:val="22"/>
          <w:lang w:val="fr-FR"/>
        </w:rPr>
        <w:t xml:space="preserve"> a introduit les documents AEWA/MOP 5.3 Rev.1 </w:t>
      </w:r>
      <w:r w:rsidR="00AC5900" w:rsidRPr="005A7014">
        <w:rPr>
          <w:i/>
          <w:szCs w:val="22"/>
          <w:lang w:val="fr-FR"/>
        </w:rPr>
        <w:t xml:space="preserve">Ordre du jour </w:t>
      </w:r>
      <w:r w:rsidR="009D6EBC" w:rsidRPr="005A7014">
        <w:rPr>
          <w:i/>
          <w:szCs w:val="22"/>
          <w:lang w:val="fr-FR"/>
        </w:rPr>
        <w:t>provisoire</w:t>
      </w:r>
      <w:r w:rsidR="00AC5900" w:rsidRPr="005A7014">
        <w:rPr>
          <w:szCs w:val="22"/>
          <w:lang w:val="fr-FR"/>
        </w:rPr>
        <w:t xml:space="preserve"> </w:t>
      </w:r>
      <w:r w:rsidR="009D6EBC" w:rsidRPr="005A7014">
        <w:rPr>
          <w:szCs w:val="22"/>
          <w:lang w:val="fr-FR"/>
        </w:rPr>
        <w:t>et</w:t>
      </w:r>
      <w:r w:rsidR="00AC5900" w:rsidRPr="005A7014">
        <w:rPr>
          <w:szCs w:val="22"/>
          <w:lang w:val="fr-FR"/>
        </w:rPr>
        <w:t xml:space="preserve"> AEWA/MOP 5.4 </w:t>
      </w:r>
      <w:r w:rsidR="009D6EBC" w:rsidRPr="005A7014">
        <w:rPr>
          <w:i/>
          <w:szCs w:val="22"/>
          <w:lang w:val="fr-FR"/>
        </w:rPr>
        <w:t>Ordre du jour provisoire annoté</w:t>
      </w:r>
      <w:r w:rsidR="00AC5900" w:rsidRPr="005A7014">
        <w:rPr>
          <w:szCs w:val="22"/>
          <w:lang w:val="fr-FR"/>
        </w:rPr>
        <w:t xml:space="preserve"> </w:t>
      </w:r>
      <w:r w:rsidR="009D6EBC" w:rsidRPr="005A7014">
        <w:rPr>
          <w:szCs w:val="22"/>
          <w:lang w:val="fr-FR"/>
        </w:rPr>
        <w:t>et a invité à faire des commentaires</w:t>
      </w:r>
      <w:r w:rsidR="00AC5900" w:rsidRPr="005A7014">
        <w:rPr>
          <w:szCs w:val="22"/>
          <w:lang w:val="fr-FR"/>
        </w:rPr>
        <w:t>.</w:t>
      </w:r>
      <w:r w:rsidR="00244388" w:rsidRPr="005A7014">
        <w:rPr>
          <w:szCs w:val="22"/>
          <w:lang w:val="fr-FR"/>
        </w:rPr>
        <w:t xml:space="preserve"> </w:t>
      </w:r>
      <w:r w:rsidR="009D6EBC" w:rsidRPr="005A7014">
        <w:rPr>
          <w:szCs w:val="22"/>
          <w:lang w:val="fr-FR"/>
        </w:rPr>
        <w:t>Il n</w:t>
      </w:r>
      <w:r w:rsidR="00F82A75">
        <w:rPr>
          <w:szCs w:val="22"/>
          <w:lang w:val="fr-FR"/>
        </w:rPr>
        <w:t>’</w:t>
      </w:r>
      <w:r w:rsidR="009D6EBC" w:rsidRPr="005A7014">
        <w:rPr>
          <w:szCs w:val="22"/>
          <w:lang w:val="fr-FR"/>
        </w:rPr>
        <w:t>y en a pas eu et l</w:t>
      </w:r>
      <w:r w:rsidR="00F82A75">
        <w:rPr>
          <w:szCs w:val="22"/>
          <w:lang w:val="fr-FR"/>
        </w:rPr>
        <w:t>’</w:t>
      </w:r>
      <w:r w:rsidR="009D6EBC" w:rsidRPr="005A7014">
        <w:rPr>
          <w:szCs w:val="22"/>
          <w:lang w:val="fr-FR"/>
        </w:rPr>
        <w:t>ordre du jour et l</w:t>
      </w:r>
      <w:r w:rsidR="00F82A75">
        <w:rPr>
          <w:szCs w:val="22"/>
          <w:lang w:val="fr-FR"/>
        </w:rPr>
        <w:t>’</w:t>
      </w:r>
      <w:r w:rsidR="009D6EBC" w:rsidRPr="005A7014">
        <w:rPr>
          <w:szCs w:val="22"/>
          <w:lang w:val="fr-FR"/>
        </w:rPr>
        <w:t>ordre du jour provisoire annoté ont été adoptés par consensus.</w:t>
      </w:r>
    </w:p>
    <w:p w14:paraId="387DA03A" w14:textId="77777777" w:rsidR="0082027A" w:rsidRPr="005A7014" w:rsidRDefault="0082027A" w:rsidP="00BA154F">
      <w:pPr>
        <w:jc w:val="both"/>
        <w:rPr>
          <w:szCs w:val="22"/>
          <w:lang w:val="fr-FR"/>
        </w:rPr>
      </w:pPr>
    </w:p>
    <w:p w14:paraId="6DB5CAB8" w14:textId="55A21A60" w:rsidR="00DA2E3A" w:rsidRPr="005A7014" w:rsidRDefault="00E14F6E" w:rsidP="00BA154F">
      <w:pPr>
        <w:jc w:val="both"/>
        <w:rPr>
          <w:szCs w:val="22"/>
          <w:lang w:val="fr-FR"/>
        </w:rPr>
      </w:pPr>
      <w:r w:rsidRPr="005A7014">
        <w:rPr>
          <w:szCs w:val="22"/>
          <w:lang w:val="fr-FR"/>
        </w:rPr>
        <w:t>3</w:t>
      </w:r>
      <w:r w:rsidR="00E62B43">
        <w:rPr>
          <w:szCs w:val="22"/>
          <w:lang w:val="fr-FR"/>
        </w:rPr>
        <w:t>7</w:t>
      </w:r>
      <w:r w:rsidRPr="005A7014">
        <w:rPr>
          <w:szCs w:val="22"/>
          <w:lang w:val="fr-FR"/>
        </w:rPr>
        <w:t xml:space="preserve">. </w:t>
      </w:r>
      <w:r w:rsidR="009D6EBC" w:rsidRPr="005A7014">
        <w:rPr>
          <w:szCs w:val="22"/>
          <w:lang w:val="fr-FR"/>
        </w:rPr>
        <w:t xml:space="preserve">Afin de faciliter le planning, le </w:t>
      </w:r>
      <w:r w:rsidR="009D6EBC" w:rsidRPr="005A7014">
        <w:rPr>
          <w:b/>
          <w:szCs w:val="22"/>
          <w:lang w:val="fr-FR"/>
        </w:rPr>
        <w:t>Président</w:t>
      </w:r>
      <w:r w:rsidR="009D6EBC" w:rsidRPr="005A7014">
        <w:rPr>
          <w:szCs w:val="22"/>
          <w:lang w:val="fr-FR"/>
        </w:rPr>
        <w:t xml:space="preserve"> a invité tout participant désirant soulever une question au point Questions diverses (Point 33 de l</w:t>
      </w:r>
      <w:r w:rsidR="00F82A75">
        <w:rPr>
          <w:szCs w:val="22"/>
          <w:lang w:val="fr-FR"/>
        </w:rPr>
        <w:t>’</w:t>
      </w:r>
      <w:r w:rsidR="009D6EBC" w:rsidRPr="005A7014">
        <w:rPr>
          <w:szCs w:val="22"/>
          <w:lang w:val="fr-FR"/>
        </w:rPr>
        <w:t>ordre du jour), de le faire savoir le plus vite possible, bien qu</w:t>
      </w:r>
      <w:r w:rsidR="00F82A75">
        <w:rPr>
          <w:szCs w:val="22"/>
          <w:lang w:val="fr-FR"/>
        </w:rPr>
        <w:t>’</w:t>
      </w:r>
      <w:r w:rsidR="009D6EBC" w:rsidRPr="005A7014">
        <w:rPr>
          <w:szCs w:val="22"/>
          <w:lang w:val="fr-FR"/>
        </w:rPr>
        <w:t>il soit bien sûr également possible de soulever ces questions au moment approprié de l</w:t>
      </w:r>
      <w:r w:rsidR="00F82A75">
        <w:rPr>
          <w:szCs w:val="22"/>
          <w:lang w:val="fr-FR"/>
        </w:rPr>
        <w:t>’</w:t>
      </w:r>
      <w:r w:rsidR="009D6EBC" w:rsidRPr="005A7014">
        <w:rPr>
          <w:szCs w:val="22"/>
          <w:lang w:val="fr-FR"/>
        </w:rPr>
        <w:t>ordre du jour.</w:t>
      </w:r>
    </w:p>
    <w:p w14:paraId="78C5FBAD" w14:textId="77777777" w:rsidR="00244388" w:rsidRDefault="00244388" w:rsidP="00BA154F">
      <w:pPr>
        <w:jc w:val="both"/>
        <w:rPr>
          <w:szCs w:val="22"/>
          <w:lang w:val="fr-FR"/>
        </w:rPr>
      </w:pPr>
    </w:p>
    <w:p w14:paraId="6DED28D9" w14:textId="77777777" w:rsidR="000958DA" w:rsidRPr="005A7014" w:rsidRDefault="000958DA" w:rsidP="00BA154F">
      <w:pPr>
        <w:jc w:val="both"/>
        <w:rPr>
          <w:szCs w:val="22"/>
          <w:lang w:val="fr-FR"/>
        </w:rPr>
      </w:pPr>
    </w:p>
    <w:p w14:paraId="722EE037" w14:textId="731BDB73" w:rsidR="00663E5D" w:rsidRPr="005A7014" w:rsidRDefault="009D6EBC" w:rsidP="00BA154F">
      <w:pPr>
        <w:jc w:val="both"/>
        <w:rPr>
          <w:b/>
          <w:szCs w:val="22"/>
          <w:lang w:val="fr-FR"/>
        </w:rPr>
      </w:pPr>
      <w:r w:rsidRPr="005A7014">
        <w:rPr>
          <w:b/>
          <w:szCs w:val="22"/>
          <w:lang w:val="fr-FR"/>
        </w:rPr>
        <w:t>Point 5 de l</w:t>
      </w:r>
      <w:r w:rsidR="00F82A75">
        <w:rPr>
          <w:b/>
          <w:szCs w:val="22"/>
          <w:lang w:val="fr-FR"/>
        </w:rPr>
        <w:t>’</w:t>
      </w:r>
      <w:r w:rsidRPr="005A7014">
        <w:rPr>
          <w:b/>
          <w:szCs w:val="22"/>
          <w:lang w:val="fr-FR"/>
        </w:rPr>
        <w:t xml:space="preserve">ordre du jour. </w:t>
      </w:r>
      <w:r w:rsidR="007E352A" w:rsidRPr="005A7014">
        <w:rPr>
          <w:b/>
          <w:szCs w:val="22"/>
          <w:lang w:val="fr-FR"/>
        </w:rPr>
        <w:t>Constitution du Comité de vérification des pouvoirs et des Comités de session</w:t>
      </w:r>
    </w:p>
    <w:p w14:paraId="0B5C8310" w14:textId="77777777" w:rsidR="00663E5D" w:rsidRPr="005A7014" w:rsidRDefault="00663E5D" w:rsidP="00BA154F">
      <w:pPr>
        <w:jc w:val="both"/>
        <w:rPr>
          <w:szCs w:val="22"/>
          <w:lang w:val="fr-FR"/>
        </w:rPr>
      </w:pPr>
    </w:p>
    <w:p w14:paraId="22D7963B" w14:textId="4F1CCC43" w:rsidR="0082027A" w:rsidRPr="005A7014" w:rsidRDefault="00E14F6E" w:rsidP="00BA154F">
      <w:pPr>
        <w:jc w:val="both"/>
        <w:rPr>
          <w:szCs w:val="22"/>
          <w:lang w:val="fr-FR"/>
        </w:rPr>
      </w:pPr>
      <w:r w:rsidRPr="005A7014">
        <w:rPr>
          <w:szCs w:val="22"/>
          <w:lang w:val="fr-FR"/>
        </w:rPr>
        <w:t>3</w:t>
      </w:r>
      <w:r w:rsidR="00E62B43">
        <w:rPr>
          <w:szCs w:val="22"/>
          <w:lang w:val="fr-FR"/>
        </w:rPr>
        <w:t>8</w:t>
      </w:r>
      <w:r w:rsidRPr="005A7014">
        <w:rPr>
          <w:szCs w:val="22"/>
          <w:lang w:val="fr-FR"/>
        </w:rPr>
        <w:t xml:space="preserve">. </w:t>
      </w:r>
      <w:r w:rsidR="007E352A" w:rsidRPr="005A7014">
        <w:rPr>
          <w:szCs w:val="22"/>
          <w:lang w:val="fr-FR"/>
        </w:rPr>
        <w:t xml:space="preserve">Le </w:t>
      </w:r>
      <w:r w:rsidR="007E352A" w:rsidRPr="005A7014">
        <w:rPr>
          <w:b/>
          <w:szCs w:val="22"/>
          <w:lang w:val="fr-FR"/>
        </w:rPr>
        <w:t>Président</w:t>
      </w:r>
      <w:r w:rsidR="007E352A" w:rsidRPr="005A7014">
        <w:rPr>
          <w:szCs w:val="22"/>
          <w:lang w:val="fr-FR"/>
        </w:rPr>
        <w:t xml:space="preserve"> a invité aux nominations pour le Comité de vérification des pouvoirs.</w:t>
      </w:r>
    </w:p>
    <w:p w14:paraId="74A9288F" w14:textId="77777777" w:rsidR="00244388" w:rsidRPr="005A7014" w:rsidRDefault="00244388" w:rsidP="00BA154F">
      <w:pPr>
        <w:jc w:val="both"/>
        <w:rPr>
          <w:szCs w:val="22"/>
          <w:lang w:val="fr-FR"/>
        </w:rPr>
      </w:pPr>
    </w:p>
    <w:p w14:paraId="1885FEEC" w14:textId="6EF5B98A" w:rsidR="00244388" w:rsidRPr="005A7014" w:rsidRDefault="00E14F6E" w:rsidP="00BA154F">
      <w:pPr>
        <w:jc w:val="both"/>
        <w:rPr>
          <w:szCs w:val="22"/>
          <w:lang w:val="fr-FR"/>
        </w:rPr>
      </w:pPr>
      <w:r w:rsidRPr="005A7014">
        <w:rPr>
          <w:szCs w:val="22"/>
          <w:lang w:val="fr-FR"/>
        </w:rPr>
        <w:t>3</w:t>
      </w:r>
      <w:r w:rsidR="00E62B43">
        <w:rPr>
          <w:szCs w:val="22"/>
          <w:lang w:val="fr-FR"/>
        </w:rPr>
        <w:t>9</w:t>
      </w:r>
      <w:r w:rsidRPr="005A7014">
        <w:rPr>
          <w:szCs w:val="22"/>
          <w:lang w:val="fr-FR"/>
        </w:rPr>
        <w:t xml:space="preserve">. </w:t>
      </w:r>
      <w:r w:rsidR="007E352A" w:rsidRPr="005A7014">
        <w:rPr>
          <w:szCs w:val="22"/>
          <w:lang w:val="fr-FR"/>
        </w:rPr>
        <w:t>Le</w:t>
      </w:r>
      <w:r w:rsidR="007E352A" w:rsidRPr="005A7014">
        <w:rPr>
          <w:b/>
          <w:szCs w:val="22"/>
          <w:lang w:val="fr-FR"/>
        </w:rPr>
        <w:t xml:space="preserve"> représentant de l</w:t>
      </w:r>
      <w:r w:rsidR="00F82A75">
        <w:rPr>
          <w:b/>
          <w:szCs w:val="22"/>
          <w:lang w:val="fr-FR"/>
        </w:rPr>
        <w:t>’</w:t>
      </w:r>
      <w:r w:rsidR="007E352A" w:rsidRPr="005A7014">
        <w:rPr>
          <w:b/>
          <w:szCs w:val="22"/>
          <w:lang w:val="fr-FR"/>
        </w:rPr>
        <w:t>UE et de ses États membres</w:t>
      </w:r>
      <w:r w:rsidR="007E352A" w:rsidRPr="005A7014">
        <w:rPr>
          <w:szCs w:val="22"/>
          <w:lang w:val="fr-FR"/>
        </w:rPr>
        <w:t>, parlant au nom des régions d</w:t>
      </w:r>
      <w:r w:rsidR="00F82A75">
        <w:rPr>
          <w:szCs w:val="22"/>
          <w:lang w:val="fr-FR"/>
        </w:rPr>
        <w:t>’</w:t>
      </w:r>
      <w:r w:rsidR="007E352A" w:rsidRPr="005A7014">
        <w:rPr>
          <w:szCs w:val="22"/>
          <w:lang w:val="fr-FR"/>
        </w:rPr>
        <w:t>Europe et d</w:t>
      </w:r>
      <w:r w:rsidR="00F82A75">
        <w:rPr>
          <w:szCs w:val="22"/>
          <w:lang w:val="fr-FR"/>
        </w:rPr>
        <w:t>’</w:t>
      </w:r>
      <w:r w:rsidR="007E352A" w:rsidRPr="005A7014">
        <w:rPr>
          <w:szCs w:val="22"/>
          <w:lang w:val="fr-FR"/>
        </w:rPr>
        <w:t xml:space="preserve">Asie centrale, a </w:t>
      </w:r>
      <w:r w:rsidR="00A1380F">
        <w:rPr>
          <w:szCs w:val="22"/>
          <w:lang w:val="fr-FR"/>
        </w:rPr>
        <w:t>désigné</w:t>
      </w:r>
      <w:r w:rsidR="007E352A" w:rsidRPr="005A7014">
        <w:rPr>
          <w:szCs w:val="22"/>
          <w:lang w:val="fr-FR"/>
        </w:rPr>
        <w:t xml:space="preserve"> l</w:t>
      </w:r>
      <w:r w:rsidR="00F82A75">
        <w:rPr>
          <w:szCs w:val="22"/>
          <w:lang w:val="fr-FR"/>
        </w:rPr>
        <w:t>’</w:t>
      </w:r>
      <w:r w:rsidR="007E352A" w:rsidRPr="005A7014">
        <w:rPr>
          <w:b/>
          <w:szCs w:val="22"/>
          <w:lang w:val="fr-FR"/>
        </w:rPr>
        <w:t>Ukraine</w:t>
      </w:r>
      <w:r w:rsidR="007E352A" w:rsidRPr="005A7014">
        <w:rPr>
          <w:szCs w:val="22"/>
          <w:lang w:val="fr-FR"/>
        </w:rPr>
        <w:t xml:space="preserve"> et le </w:t>
      </w:r>
      <w:r w:rsidR="007E352A" w:rsidRPr="005A7014">
        <w:rPr>
          <w:b/>
          <w:szCs w:val="22"/>
          <w:lang w:val="fr-FR"/>
        </w:rPr>
        <w:t>Royaume-Uni</w:t>
      </w:r>
      <w:r w:rsidR="007E352A" w:rsidRPr="005A7014">
        <w:rPr>
          <w:szCs w:val="22"/>
          <w:lang w:val="fr-FR"/>
        </w:rPr>
        <w:t>.</w:t>
      </w:r>
    </w:p>
    <w:p w14:paraId="60760FB0" w14:textId="77777777" w:rsidR="00F005D4" w:rsidRPr="005A7014" w:rsidRDefault="00F005D4" w:rsidP="00BA154F">
      <w:pPr>
        <w:jc w:val="both"/>
        <w:rPr>
          <w:szCs w:val="22"/>
          <w:lang w:val="fr-FR"/>
        </w:rPr>
      </w:pPr>
    </w:p>
    <w:p w14:paraId="4C450178" w14:textId="3227918A" w:rsidR="00F005D4" w:rsidRPr="005A7014" w:rsidRDefault="00E62B43" w:rsidP="00BA154F">
      <w:pPr>
        <w:jc w:val="both"/>
        <w:rPr>
          <w:szCs w:val="22"/>
          <w:lang w:val="fr-FR"/>
        </w:rPr>
      </w:pPr>
      <w:r>
        <w:rPr>
          <w:szCs w:val="22"/>
          <w:lang w:val="fr-FR"/>
        </w:rPr>
        <w:t>40</w:t>
      </w:r>
      <w:r w:rsidR="00E14F6E" w:rsidRPr="005A7014">
        <w:rPr>
          <w:szCs w:val="22"/>
          <w:lang w:val="fr-FR"/>
        </w:rPr>
        <w:t xml:space="preserve">. </w:t>
      </w:r>
      <w:r w:rsidR="007E352A" w:rsidRPr="005A7014">
        <w:rPr>
          <w:szCs w:val="22"/>
          <w:lang w:val="fr-FR"/>
        </w:rPr>
        <w:t xml:space="preserve">Le </w:t>
      </w:r>
      <w:r w:rsidR="007E352A" w:rsidRPr="005A7014">
        <w:rPr>
          <w:b/>
          <w:szCs w:val="22"/>
          <w:lang w:val="fr-FR"/>
        </w:rPr>
        <w:t>Bénin, au nom du Groupe de l</w:t>
      </w:r>
      <w:r w:rsidR="00F82A75">
        <w:rPr>
          <w:b/>
          <w:szCs w:val="22"/>
          <w:lang w:val="fr-FR"/>
        </w:rPr>
        <w:t>’</w:t>
      </w:r>
      <w:r w:rsidR="007E352A" w:rsidRPr="005A7014">
        <w:rPr>
          <w:b/>
          <w:szCs w:val="22"/>
          <w:lang w:val="fr-FR"/>
        </w:rPr>
        <w:t>Afrique</w:t>
      </w:r>
      <w:r w:rsidR="007E352A" w:rsidRPr="005A7014">
        <w:rPr>
          <w:szCs w:val="22"/>
          <w:lang w:val="fr-FR"/>
        </w:rPr>
        <w:t xml:space="preserve">, a </w:t>
      </w:r>
      <w:r w:rsidR="00A1380F">
        <w:rPr>
          <w:szCs w:val="22"/>
          <w:lang w:val="fr-FR"/>
        </w:rPr>
        <w:t>désigné</w:t>
      </w:r>
      <w:r w:rsidR="007E352A" w:rsidRPr="005A7014">
        <w:rPr>
          <w:szCs w:val="22"/>
          <w:lang w:val="fr-FR"/>
        </w:rPr>
        <w:t xml:space="preserve"> le </w:t>
      </w:r>
      <w:r w:rsidR="007E352A" w:rsidRPr="005A7014">
        <w:rPr>
          <w:b/>
          <w:szCs w:val="22"/>
          <w:lang w:val="fr-FR"/>
        </w:rPr>
        <w:t>Togo</w:t>
      </w:r>
      <w:r w:rsidR="007E352A" w:rsidRPr="005A7014">
        <w:rPr>
          <w:szCs w:val="22"/>
          <w:lang w:val="fr-FR"/>
        </w:rPr>
        <w:t xml:space="preserve"> et le </w:t>
      </w:r>
      <w:r w:rsidR="007E352A" w:rsidRPr="005A7014">
        <w:rPr>
          <w:b/>
          <w:szCs w:val="22"/>
          <w:lang w:val="fr-FR"/>
        </w:rPr>
        <w:t>Kenya</w:t>
      </w:r>
      <w:r w:rsidR="007E352A" w:rsidRPr="005A7014">
        <w:rPr>
          <w:szCs w:val="22"/>
          <w:lang w:val="fr-FR"/>
        </w:rPr>
        <w:t>.</w:t>
      </w:r>
    </w:p>
    <w:p w14:paraId="3F1B4642" w14:textId="35BECF2F" w:rsidR="00244388" w:rsidRPr="005A7014" w:rsidRDefault="00822C50" w:rsidP="00BA154F">
      <w:pPr>
        <w:jc w:val="both"/>
        <w:rPr>
          <w:szCs w:val="22"/>
          <w:lang w:val="fr-FR"/>
        </w:rPr>
      </w:pPr>
      <w:r w:rsidRPr="005A7014">
        <w:rPr>
          <w:szCs w:val="22"/>
          <w:lang w:val="fr-FR"/>
        </w:rPr>
        <w:lastRenderedPageBreak/>
        <w:t>4</w:t>
      </w:r>
      <w:r w:rsidR="00E62B43">
        <w:rPr>
          <w:szCs w:val="22"/>
          <w:lang w:val="fr-FR"/>
        </w:rPr>
        <w:t>1</w:t>
      </w:r>
      <w:r w:rsidRPr="005A7014">
        <w:rPr>
          <w:szCs w:val="22"/>
          <w:lang w:val="fr-FR"/>
        </w:rPr>
        <w:t xml:space="preserve">. </w:t>
      </w:r>
      <w:r w:rsidR="007E352A" w:rsidRPr="005A7014">
        <w:rPr>
          <w:szCs w:val="22"/>
          <w:lang w:val="fr-FR"/>
        </w:rPr>
        <w:t>Ces nominations ont été acceptées par consensus et le Comité de vérification des pouvoirs a dûment été constitué.</w:t>
      </w:r>
    </w:p>
    <w:p w14:paraId="43AB0B02" w14:textId="77777777" w:rsidR="0082027A" w:rsidRPr="005A7014" w:rsidRDefault="0082027A" w:rsidP="00BA154F">
      <w:pPr>
        <w:jc w:val="both"/>
        <w:rPr>
          <w:szCs w:val="22"/>
          <w:lang w:val="fr-FR"/>
        </w:rPr>
      </w:pPr>
    </w:p>
    <w:p w14:paraId="0D895444" w14:textId="6510DE45" w:rsidR="00574932" w:rsidRPr="005A7014" w:rsidRDefault="00822C50" w:rsidP="00BA154F">
      <w:pPr>
        <w:jc w:val="both"/>
        <w:rPr>
          <w:szCs w:val="22"/>
          <w:lang w:val="fr-FR"/>
        </w:rPr>
      </w:pPr>
      <w:r w:rsidRPr="005A7014">
        <w:rPr>
          <w:szCs w:val="22"/>
          <w:lang w:val="fr-FR"/>
        </w:rPr>
        <w:t>4</w:t>
      </w:r>
      <w:r w:rsidR="00E62B43">
        <w:rPr>
          <w:szCs w:val="22"/>
          <w:lang w:val="fr-FR"/>
        </w:rPr>
        <w:t>2</w:t>
      </w:r>
      <w:r w:rsidRPr="005A7014">
        <w:rPr>
          <w:szCs w:val="22"/>
          <w:lang w:val="fr-FR"/>
        </w:rPr>
        <w:t xml:space="preserve">. </w:t>
      </w:r>
      <w:r w:rsidR="007E352A" w:rsidRPr="005A7014">
        <w:rPr>
          <w:szCs w:val="22"/>
          <w:lang w:val="fr-FR"/>
        </w:rPr>
        <w:t xml:space="preserve">Le </w:t>
      </w:r>
      <w:r w:rsidR="007E352A" w:rsidRPr="005A7014">
        <w:rPr>
          <w:b/>
          <w:szCs w:val="22"/>
          <w:lang w:val="fr-FR"/>
        </w:rPr>
        <w:t>Président</w:t>
      </w:r>
      <w:r w:rsidR="007E352A" w:rsidRPr="005A7014">
        <w:rPr>
          <w:szCs w:val="22"/>
          <w:lang w:val="fr-FR"/>
        </w:rPr>
        <w:t xml:space="preserve"> a noté qu</w:t>
      </w:r>
      <w:r w:rsidR="00F82A75">
        <w:rPr>
          <w:szCs w:val="22"/>
          <w:lang w:val="fr-FR"/>
        </w:rPr>
        <w:t>’</w:t>
      </w:r>
      <w:r w:rsidR="007E352A" w:rsidRPr="005A7014">
        <w:rPr>
          <w:szCs w:val="22"/>
          <w:lang w:val="fr-FR"/>
        </w:rPr>
        <w:t xml:space="preserve">il a été proposé </w:t>
      </w:r>
      <w:r w:rsidR="00A1380F">
        <w:rPr>
          <w:szCs w:val="22"/>
          <w:lang w:val="fr-FR"/>
        </w:rPr>
        <w:t>de former</w:t>
      </w:r>
      <w:r w:rsidR="007E352A" w:rsidRPr="005A7014">
        <w:rPr>
          <w:szCs w:val="22"/>
          <w:lang w:val="fr-FR"/>
        </w:rPr>
        <w:t xml:space="preserve"> deux groupes de travail </w:t>
      </w:r>
      <w:proofErr w:type="spellStart"/>
      <w:r w:rsidR="007E352A" w:rsidRPr="005A7014">
        <w:rPr>
          <w:szCs w:val="22"/>
          <w:lang w:val="fr-FR"/>
        </w:rPr>
        <w:t>sessionnels</w:t>
      </w:r>
      <w:proofErr w:type="spellEnd"/>
      <w:r w:rsidR="007E352A" w:rsidRPr="005A7014">
        <w:rPr>
          <w:szCs w:val="22"/>
          <w:lang w:val="fr-FR"/>
        </w:rPr>
        <w:t> : un chargé des questions financières et administratives, et l</w:t>
      </w:r>
      <w:r w:rsidR="00F82A75">
        <w:rPr>
          <w:szCs w:val="22"/>
          <w:lang w:val="fr-FR"/>
        </w:rPr>
        <w:t>’</w:t>
      </w:r>
      <w:r w:rsidR="007E352A" w:rsidRPr="005A7014">
        <w:rPr>
          <w:szCs w:val="22"/>
          <w:lang w:val="fr-FR"/>
        </w:rPr>
        <w:t>autre chargé des questions scientifiques et techniques.</w:t>
      </w:r>
      <w:r w:rsidR="00574932" w:rsidRPr="005A7014">
        <w:rPr>
          <w:szCs w:val="22"/>
          <w:lang w:val="fr-FR"/>
        </w:rPr>
        <w:t xml:space="preserve"> </w:t>
      </w:r>
      <w:r w:rsidR="007E352A" w:rsidRPr="005A7014">
        <w:rPr>
          <w:szCs w:val="22"/>
          <w:lang w:val="fr-FR"/>
        </w:rPr>
        <w:t>Il a invité à faire des propositions pour des groupes de travail supplémentaires si nécessaire, mais il n</w:t>
      </w:r>
      <w:r w:rsidR="00F82A75">
        <w:rPr>
          <w:szCs w:val="22"/>
          <w:lang w:val="fr-FR"/>
        </w:rPr>
        <w:t>’</w:t>
      </w:r>
      <w:r w:rsidR="007E352A" w:rsidRPr="005A7014">
        <w:rPr>
          <w:szCs w:val="22"/>
          <w:lang w:val="fr-FR"/>
        </w:rPr>
        <w:t>y en a pas eu.</w:t>
      </w:r>
    </w:p>
    <w:p w14:paraId="0BCBB277" w14:textId="77777777" w:rsidR="000D4432" w:rsidRPr="005A7014" w:rsidRDefault="000D4432" w:rsidP="00BA154F">
      <w:pPr>
        <w:jc w:val="both"/>
        <w:rPr>
          <w:szCs w:val="22"/>
          <w:lang w:val="fr-FR"/>
        </w:rPr>
      </w:pPr>
    </w:p>
    <w:p w14:paraId="0F6AE3B3" w14:textId="53129542" w:rsidR="000D4432" w:rsidRPr="005A7014" w:rsidRDefault="00822C50" w:rsidP="00BA154F">
      <w:pPr>
        <w:jc w:val="both"/>
        <w:rPr>
          <w:szCs w:val="22"/>
          <w:lang w:val="fr-FR"/>
        </w:rPr>
      </w:pPr>
      <w:r w:rsidRPr="005A7014">
        <w:rPr>
          <w:szCs w:val="22"/>
          <w:lang w:val="fr-FR"/>
        </w:rPr>
        <w:t>4</w:t>
      </w:r>
      <w:r w:rsidR="0016026F">
        <w:rPr>
          <w:szCs w:val="22"/>
          <w:lang w:val="fr-FR"/>
        </w:rPr>
        <w:t>3</w:t>
      </w:r>
      <w:r w:rsidRPr="005A7014">
        <w:rPr>
          <w:szCs w:val="22"/>
          <w:lang w:val="fr-FR"/>
        </w:rPr>
        <w:t xml:space="preserve">. </w:t>
      </w:r>
      <w:r w:rsidR="007E352A" w:rsidRPr="005A7014">
        <w:rPr>
          <w:szCs w:val="22"/>
          <w:lang w:val="fr-FR"/>
        </w:rPr>
        <w:t>Le</w:t>
      </w:r>
      <w:r w:rsidR="007E352A" w:rsidRPr="005A7014">
        <w:rPr>
          <w:b/>
          <w:szCs w:val="22"/>
          <w:lang w:val="fr-FR"/>
        </w:rPr>
        <w:t xml:space="preserve"> représentant de l</w:t>
      </w:r>
      <w:r w:rsidR="00F82A75">
        <w:rPr>
          <w:b/>
          <w:szCs w:val="22"/>
          <w:lang w:val="fr-FR"/>
        </w:rPr>
        <w:t>’</w:t>
      </w:r>
      <w:r w:rsidR="007E352A" w:rsidRPr="005A7014">
        <w:rPr>
          <w:b/>
          <w:szCs w:val="22"/>
          <w:lang w:val="fr-FR"/>
        </w:rPr>
        <w:t>UE et de ses États membres</w:t>
      </w:r>
      <w:r w:rsidR="007E352A" w:rsidRPr="005A7014">
        <w:rPr>
          <w:szCs w:val="22"/>
          <w:lang w:val="fr-FR"/>
        </w:rPr>
        <w:t xml:space="preserve"> a </w:t>
      </w:r>
      <w:r w:rsidR="00A1380F">
        <w:rPr>
          <w:szCs w:val="22"/>
          <w:lang w:val="fr-FR"/>
        </w:rPr>
        <w:t>désigné</w:t>
      </w:r>
      <w:r w:rsidR="007E352A" w:rsidRPr="005A7014">
        <w:rPr>
          <w:szCs w:val="22"/>
          <w:lang w:val="fr-FR"/>
        </w:rPr>
        <w:t xml:space="preserve"> la </w:t>
      </w:r>
      <w:r w:rsidR="007E352A" w:rsidRPr="005A7014">
        <w:rPr>
          <w:b/>
          <w:szCs w:val="22"/>
          <w:lang w:val="fr-FR"/>
        </w:rPr>
        <w:t>Norvège</w:t>
      </w:r>
      <w:r w:rsidR="007E352A" w:rsidRPr="005A7014">
        <w:rPr>
          <w:szCs w:val="22"/>
          <w:lang w:val="fr-FR"/>
        </w:rPr>
        <w:t xml:space="preserve"> pour présider le </w:t>
      </w:r>
      <w:r w:rsidR="00121780" w:rsidRPr="005A7014">
        <w:rPr>
          <w:szCs w:val="22"/>
          <w:lang w:val="fr-FR"/>
        </w:rPr>
        <w:t>g</w:t>
      </w:r>
      <w:r w:rsidR="007E352A" w:rsidRPr="005A7014">
        <w:rPr>
          <w:szCs w:val="22"/>
          <w:lang w:val="fr-FR"/>
        </w:rPr>
        <w:t>roupe de travail sur les questions financières et administratives.</w:t>
      </w:r>
    </w:p>
    <w:p w14:paraId="3F09F960" w14:textId="77777777" w:rsidR="00574932" w:rsidRPr="005A7014" w:rsidRDefault="00574932" w:rsidP="00BA154F">
      <w:pPr>
        <w:jc w:val="both"/>
        <w:rPr>
          <w:szCs w:val="22"/>
          <w:lang w:val="fr-FR"/>
        </w:rPr>
      </w:pPr>
    </w:p>
    <w:p w14:paraId="7EC0A1BE" w14:textId="705C7ADA" w:rsidR="00574932" w:rsidRPr="005A7014" w:rsidRDefault="00822C50" w:rsidP="00BA154F">
      <w:pPr>
        <w:jc w:val="both"/>
        <w:rPr>
          <w:szCs w:val="22"/>
          <w:lang w:val="fr-FR"/>
        </w:rPr>
      </w:pPr>
      <w:r w:rsidRPr="005A7014">
        <w:rPr>
          <w:szCs w:val="22"/>
          <w:lang w:val="fr-FR"/>
        </w:rPr>
        <w:t>4</w:t>
      </w:r>
      <w:r w:rsidR="0016026F">
        <w:rPr>
          <w:szCs w:val="22"/>
          <w:lang w:val="fr-FR"/>
        </w:rPr>
        <w:t>4</w:t>
      </w:r>
      <w:r w:rsidRPr="005A7014">
        <w:rPr>
          <w:szCs w:val="22"/>
          <w:lang w:val="fr-FR"/>
        </w:rPr>
        <w:t xml:space="preserve">. </w:t>
      </w:r>
      <w:r w:rsidR="007E352A" w:rsidRPr="005A7014">
        <w:rPr>
          <w:szCs w:val="22"/>
          <w:lang w:val="fr-FR"/>
        </w:rPr>
        <w:t xml:space="preserve">Le </w:t>
      </w:r>
      <w:r w:rsidR="007E352A" w:rsidRPr="005A7014">
        <w:rPr>
          <w:b/>
          <w:szCs w:val="22"/>
          <w:lang w:val="fr-FR"/>
        </w:rPr>
        <w:t>Bénin, au nom du Groupe de l</w:t>
      </w:r>
      <w:r w:rsidR="00F82A75">
        <w:rPr>
          <w:b/>
          <w:szCs w:val="22"/>
          <w:lang w:val="fr-FR"/>
        </w:rPr>
        <w:t>’</w:t>
      </w:r>
      <w:r w:rsidR="007E352A" w:rsidRPr="005A7014">
        <w:rPr>
          <w:b/>
          <w:szCs w:val="22"/>
          <w:lang w:val="fr-FR"/>
        </w:rPr>
        <w:t>Afrique</w:t>
      </w:r>
      <w:r w:rsidR="007E352A" w:rsidRPr="005A7014">
        <w:rPr>
          <w:szCs w:val="22"/>
          <w:lang w:val="fr-FR"/>
        </w:rPr>
        <w:t xml:space="preserve">, a </w:t>
      </w:r>
      <w:r w:rsidR="00A1380F">
        <w:rPr>
          <w:szCs w:val="22"/>
          <w:lang w:val="fr-FR"/>
        </w:rPr>
        <w:t>désigné</w:t>
      </w:r>
      <w:r w:rsidR="007E352A" w:rsidRPr="005A7014">
        <w:rPr>
          <w:szCs w:val="22"/>
          <w:lang w:val="fr-FR"/>
        </w:rPr>
        <w:t xml:space="preserve"> l</w:t>
      </w:r>
      <w:r w:rsidR="00F82A75">
        <w:rPr>
          <w:szCs w:val="22"/>
          <w:lang w:val="fr-FR"/>
        </w:rPr>
        <w:t>’</w:t>
      </w:r>
      <w:r w:rsidR="007E352A" w:rsidRPr="005A7014">
        <w:rPr>
          <w:b/>
          <w:szCs w:val="22"/>
          <w:lang w:val="fr-FR"/>
        </w:rPr>
        <w:t>Algérie</w:t>
      </w:r>
      <w:r w:rsidR="007E352A" w:rsidRPr="005A7014">
        <w:rPr>
          <w:szCs w:val="22"/>
          <w:lang w:val="fr-FR"/>
        </w:rPr>
        <w:t xml:space="preserve"> en tant que Vice-Président du </w:t>
      </w:r>
      <w:r w:rsidR="00121780" w:rsidRPr="005A7014">
        <w:rPr>
          <w:szCs w:val="22"/>
          <w:lang w:val="fr-FR"/>
        </w:rPr>
        <w:t>g</w:t>
      </w:r>
      <w:r w:rsidR="007E352A" w:rsidRPr="005A7014">
        <w:rPr>
          <w:szCs w:val="22"/>
          <w:lang w:val="fr-FR"/>
        </w:rPr>
        <w:t>roupe de travail sur les questions financières et administratives, avec l</w:t>
      </w:r>
      <w:r w:rsidR="00F82A75">
        <w:rPr>
          <w:szCs w:val="22"/>
          <w:lang w:val="fr-FR"/>
        </w:rPr>
        <w:t>’</w:t>
      </w:r>
      <w:r w:rsidR="007E352A" w:rsidRPr="005A7014">
        <w:rPr>
          <w:b/>
          <w:szCs w:val="22"/>
          <w:lang w:val="fr-FR"/>
        </w:rPr>
        <w:t>Ouganda</w:t>
      </w:r>
      <w:r w:rsidR="007E352A" w:rsidRPr="005A7014">
        <w:rPr>
          <w:szCs w:val="22"/>
          <w:lang w:val="fr-FR"/>
        </w:rPr>
        <w:t xml:space="preserve"> comme Vice-Président </w:t>
      </w:r>
      <w:r w:rsidR="00A1380F">
        <w:rPr>
          <w:szCs w:val="22"/>
          <w:lang w:val="fr-FR"/>
        </w:rPr>
        <w:t>suppléant</w:t>
      </w:r>
      <w:r w:rsidR="007E352A" w:rsidRPr="005A7014">
        <w:rPr>
          <w:szCs w:val="22"/>
          <w:lang w:val="fr-FR"/>
        </w:rPr>
        <w:t>.</w:t>
      </w:r>
    </w:p>
    <w:p w14:paraId="610EEF2F" w14:textId="77777777" w:rsidR="00CC5A03" w:rsidRPr="005A7014" w:rsidRDefault="00CC5A03" w:rsidP="00BA154F">
      <w:pPr>
        <w:jc w:val="both"/>
        <w:rPr>
          <w:szCs w:val="22"/>
          <w:lang w:val="fr-FR"/>
        </w:rPr>
      </w:pPr>
    </w:p>
    <w:p w14:paraId="6ADE45BE" w14:textId="6E90EF85" w:rsidR="004569DC" w:rsidRPr="005A7014" w:rsidRDefault="00822C50" w:rsidP="00BA154F">
      <w:pPr>
        <w:jc w:val="both"/>
        <w:rPr>
          <w:szCs w:val="22"/>
          <w:lang w:val="fr-FR"/>
        </w:rPr>
      </w:pPr>
      <w:r w:rsidRPr="005A7014">
        <w:rPr>
          <w:szCs w:val="22"/>
          <w:lang w:val="fr-FR"/>
        </w:rPr>
        <w:t>4</w:t>
      </w:r>
      <w:r w:rsidR="0016026F">
        <w:rPr>
          <w:szCs w:val="22"/>
          <w:lang w:val="fr-FR"/>
        </w:rPr>
        <w:t>5</w:t>
      </w:r>
      <w:r w:rsidRPr="005A7014">
        <w:rPr>
          <w:szCs w:val="22"/>
          <w:lang w:val="fr-FR"/>
        </w:rPr>
        <w:t xml:space="preserve">. </w:t>
      </w:r>
      <w:r w:rsidR="007E352A" w:rsidRPr="005A7014">
        <w:rPr>
          <w:szCs w:val="22"/>
          <w:lang w:val="fr-FR"/>
        </w:rPr>
        <w:t xml:space="preserve">Le </w:t>
      </w:r>
      <w:r w:rsidR="007E352A" w:rsidRPr="005A7014">
        <w:rPr>
          <w:b/>
          <w:szCs w:val="22"/>
          <w:lang w:val="fr-FR"/>
        </w:rPr>
        <w:t>Bénin, au nom du Groupe de l</w:t>
      </w:r>
      <w:r w:rsidR="00F82A75">
        <w:rPr>
          <w:b/>
          <w:szCs w:val="22"/>
          <w:lang w:val="fr-FR"/>
        </w:rPr>
        <w:t>’</w:t>
      </w:r>
      <w:r w:rsidR="007E352A" w:rsidRPr="005A7014">
        <w:rPr>
          <w:b/>
          <w:szCs w:val="22"/>
          <w:lang w:val="fr-FR"/>
        </w:rPr>
        <w:t>Afrique</w:t>
      </w:r>
      <w:r w:rsidR="007E352A" w:rsidRPr="005A7014">
        <w:rPr>
          <w:szCs w:val="22"/>
          <w:lang w:val="fr-FR"/>
        </w:rPr>
        <w:t xml:space="preserve">, a </w:t>
      </w:r>
      <w:r w:rsidR="00A1380F">
        <w:rPr>
          <w:szCs w:val="22"/>
          <w:lang w:val="fr-FR"/>
        </w:rPr>
        <w:t>désigné</w:t>
      </w:r>
      <w:r w:rsidR="007E352A" w:rsidRPr="005A7014">
        <w:rPr>
          <w:szCs w:val="22"/>
          <w:lang w:val="fr-FR"/>
        </w:rPr>
        <w:t xml:space="preserve"> l</w:t>
      </w:r>
      <w:r w:rsidR="00F82A75">
        <w:rPr>
          <w:szCs w:val="22"/>
          <w:lang w:val="fr-FR"/>
        </w:rPr>
        <w:t>’</w:t>
      </w:r>
      <w:r w:rsidR="007E352A" w:rsidRPr="005A7014">
        <w:rPr>
          <w:b/>
          <w:szCs w:val="22"/>
          <w:lang w:val="fr-FR"/>
        </w:rPr>
        <w:t>Afrique du Sud</w:t>
      </w:r>
      <w:r w:rsidR="00A1380F">
        <w:rPr>
          <w:szCs w:val="22"/>
          <w:lang w:val="fr-FR"/>
        </w:rPr>
        <w:t xml:space="preserve"> en tant que P</w:t>
      </w:r>
      <w:r w:rsidR="007E352A" w:rsidRPr="005A7014">
        <w:rPr>
          <w:szCs w:val="22"/>
          <w:lang w:val="fr-FR"/>
        </w:rPr>
        <w:t xml:space="preserve">résident et le </w:t>
      </w:r>
      <w:r w:rsidR="007E352A" w:rsidRPr="005A7014">
        <w:rPr>
          <w:b/>
          <w:szCs w:val="22"/>
          <w:lang w:val="fr-FR"/>
        </w:rPr>
        <w:t>Sénégal</w:t>
      </w:r>
      <w:r w:rsidR="007E352A" w:rsidRPr="005A7014">
        <w:rPr>
          <w:szCs w:val="22"/>
          <w:lang w:val="fr-FR"/>
        </w:rPr>
        <w:t xml:space="preserve"> </w:t>
      </w:r>
      <w:r w:rsidR="005012AF">
        <w:rPr>
          <w:szCs w:val="22"/>
          <w:lang w:val="fr-FR"/>
        </w:rPr>
        <w:t xml:space="preserve">(point focal africain pour les questions </w:t>
      </w:r>
      <w:r w:rsidR="007E352A" w:rsidRPr="005A7014">
        <w:rPr>
          <w:szCs w:val="22"/>
          <w:lang w:val="fr-FR"/>
        </w:rPr>
        <w:t>scientifique</w:t>
      </w:r>
      <w:r w:rsidR="005C11A5" w:rsidRPr="005A7014">
        <w:rPr>
          <w:szCs w:val="22"/>
          <w:lang w:val="fr-FR"/>
        </w:rPr>
        <w:t>s et technique</w:t>
      </w:r>
      <w:r w:rsidR="007E352A" w:rsidRPr="005A7014">
        <w:rPr>
          <w:szCs w:val="22"/>
          <w:lang w:val="fr-FR"/>
        </w:rPr>
        <w:t>s</w:t>
      </w:r>
      <w:r w:rsidR="005012AF">
        <w:rPr>
          <w:szCs w:val="22"/>
          <w:lang w:val="fr-FR"/>
        </w:rPr>
        <w:t>)</w:t>
      </w:r>
      <w:r w:rsidR="00967C2C">
        <w:rPr>
          <w:szCs w:val="22"/>
          <w:lang w:val="fr-FR"/>
        </w:rPr>
        <w:t xml:space="preserve"> en tant que Vice-Président du groupe de travail sur les questions scientifiques et techniques</w:t>
      </w:r>
      <w:r w:rsidR="007E352A" w:rsidRPr="005A7014">
        <w:rPr>
          <w:szCs w:val="22"/>
          <w:lang w:val="fr-FR"/>
        </w:rPr>
        <w:t>.</w:t>
      </w:r>
    </w:p>
    <w:p w14:paraId="184BAE39" w14:textId="77777777" w:rsidR="00574932" w:rsidRPr="005A7014" w:rsidRDefault="00574932" w:rsidP="00BA154F">
      <w:pPr>
        <w:jc w:val="both"/>
        <w:rPr>
          <w:szCs w:val="22"/>
          <w:lang w:val="fr-FR"/>
        </w:rPr>
      </w:pPr>
    </w:p>
    <w:p w14:paraId="602B665D" w14:textId="048DEDB9" w:rsidR="00574932" w:rsidRPr="005A7014" w:rsidRDefault="00822C50" w:rsidP="00BA154F">
      <w:pPr>
        <w:jc w:val="both"/>
        <w:rPr>
          <w:szCs w:val="22"/>
          <w:lang w:val="fr-FR"/>
        </w:rPr>
      </w:pPr>
      <w:r w:rsidRPr="005A7014">
        <w:rPr>
          <w:szCs w:val="22"/>
          <w:lang w:val="fr-FR"/>
        </w:rPr>
        <w:t>4</w:t>
      </w:r>
      <w:r w:rsidR="0016026F">
        <w:rPr>
          <w:szCs w:val="22"/>
          <w:lang w:val="fr-FR"/>
        </w:rPr>
        <w:t>6</w:t>
      </w:r>
      <w:r w:rsidRPr="005A7014">
        <w:rPr>
          <w:szCs w:val="22"/>
          <w:lang w:val="fr-FR"/>
        </w:rPr>
        <w:t xml:space="preserve">. </w:t>
      </w:r>
      <w:r w:rsidR="005C11A5" w:rsidRPr="005A7014">
        <w:rPr>
          <w:szCs w:val="22"/>
          <w:lang w:val="fr-FR"/>
        </w:rPr>
        <w:t>Les nominations ont été acceptées par acclamation et les Présidents et Vice-Présidents des groupes de travail ont été dûment élus.</w:t>
      </w:r>
    </w:p>
    <w:p w14:paraId="67DE35D4" w14:textId="77777777" w:rsidR="0082027A" w:rsidRDefault="0082027A" w:rsidP="00BA154F">
      <w:pPr>
        <w:jc w:val="both"/>
        <w:rPr>
          <w:szCs w:val="22"/>
          <w:lang w:val="fr-FR"/>
        </w:rPr>
      </w:pPr>
    </w:p>
    <w:p w14:paraId="3E450B89" w14:textId="77777777" w:rsidR="000958DA" w:rsidRPr="005A7014" w:rsidRDefault="000958DA" w:rsidP="00BA154F">
      <w:pPr>
        <w:jc w:val="both"/>
        <w:rPr>
          <w:szCs w:val="22"/>
          <w:lang w:val="fr-FR"/>
        </w:rPr>
      </w:pPr>
    </w:p>
    <w:p w14:paraId="52C3E240" w14:textId="1906B3F1" w:rsidR="0082027A" w:rsidRPr="005A7014" w:rsidRDefault="0032602C" w:rsidP="00BA154F">
      <w:pPr>
        <w:jc w:val="both"/>
        <w:rPr>
          <w:b/>
          <w:szCs w:val="22"/>
          <w:lang w:val="fr-FR"/>
        </w:rPr>
      </w:pPr>
      <w:r w:rsidRPr="005A7014">
        <w:rPr>
          <w:b/>
          <w:szCs w:val="22"/>
          <w:lang w:val="fr-FR"/>
        </w:rPr>
        <w:t>Point 6 de l</w:t>
      </w:r>
      <w:r w:rsidR="00F82A75">
        <w:rPr>
          <w:b/>
          <w:szCs w:val="22"/>
          <w:lang w:val="fr-FR"/>
        </w:rPr>
        <w:t>’</w:t>
      </w:r>
      <w:r w:rsidRPr="005A7014">
        <w:rPr>
          <w:b/>
          <w:szCs w:val="22"/>
          <w:lang w:val="fr-FR"/>
        </w:rPr>
        <w:t>ordre du jour - Admission des observateurs</w:t>
      </w:r>
    </w:p>
    <w:p w14:paraId="3FCBA218" w14:textId="77777777" w:rsidR="0082027A" w:rsidRPr="005A7014" w:rsidRDefault="0082027A" w:rsidP="00BA154F">
      <w:pPr>
        <w:jc w:val="both"/>
        <w:rPr>
          <w:szCs w:val="22"/>
          <w:lang w:val="fr-FR"/>
        </w:rPr>
      </w:pPr>
    </w:p>
    <w:p w14:paraId="02163B54" w14:textId="25E4CC28" w:rsidR="0082027A" w:rsidRPr="008C3393" w:rsidRDefault="00822C50" w:rsidP="00BA154F">
      <w:pPr>
        <w:jc w:val="both"/>
        <w:rPr>
          <w:szCs w:val="22"/>
          <w:lang w:val="fr-FR"/>
        </w:rPr>
      </w:pPr>
      <w:r w:rsidRPr="008C3393">
        <w:rPr>
          <w:szCs w:val="22"/>
          <w:lang w:val="fr-FR"/>
        </w:rPr>
        <w:t>4</w:t>
      </w:r>
      <w:r w:rsidR="0016026F">
        <w:rPr>
          <w:szCs w:val="22"/>
          <w:lang w:val="fr-FR"/>
        </w:rPr>
        <w:t>7</w:t>
      </w:r>
      <w:r w:rsidRPr="008C3393">
        <w:rPr>
          <w:szCs w:val="22"/>
          <w:lang w:val="fr-FR"/>
        </w:rPr>
        <w:t xml:space="preserve">. </w:t>
      </w:r>
      <w:r w:rsidR="0032602C" w:rsidRPr="008C3393">
        <w:rPr>
          <w:lang w:val="fr-FR"/>
        </w:rPr>
        <w:t xml:space="preserve">Le </w:t>
      </w:r>
      <w:r w:rsidR="0032602C" w:rsidRPr="00967C2C">
        <w:rPr>
          <w:b/>
          <w:lang w:val="fr-FR"/>
        </w:rPr>
        <w:t xml:space="preserve">Président </w:t>
      </w:r>
      <w:r w:rsidR="0032602C" w:rsidRPr="008C3393">
        <w:rPr>
          <w:lang w:val="fr-FR"/>
        </w:rPr>
        <w:t xml:space="preserve">a introduit le document </w:t>
      </w:r>
      <w:r w:rsidR="0032602C" w:rsidRPr="008C3393">
        <w:rPr>
          <w:szCs w:val="22"/>
          <w:lang w:val="fr-FR"/>
        </w:rPr>
        <w:t xml:space="preserve">AEWA/MOP 5.5 </w:t>
      </w:r>
      <w:r w:rsidR="0032602C" w:rsidRPr="008C3393">
        <w:rPr>
          <w:i/>
          <w:szCs w:val="22"/>
          <w:lang w:val="fr-FR"/>
        </w:rPr>
        <w:t>Admission des observateurs</w:t>
      </w:r>
      <w:r w:rsidR="0032602C" w:rsidRPr="008C3393">
        <w:rPr>
          <w:szCs w:val="22"/>
          <w:lang w:val="fr-FR"/>
        </w:rPr>
        <w:t xml:space="preserve"> </w:t>
      </w:r>
      <w:r w:rsidR="0032602C" w:rsidRPr="008C3393">
        <w:rPr>
          <w:lang w:val="fr-FR"/>
        </w:rPr>
        <w:t xml:space="preserve">et a lu la liste des observateurs </w:t>
      </w:r>
      <w:r w:rsidR="00A1380F">
        <w:rPr>
          <w:lang w:val="fr-FR"/>
        </w:rPr>
        <w:t>inscrits</w:t>
      </w:r>
      <w:r w:rsidR="0032602C" w:rsidRPr="008C3393">
        <w:rPr>
          <w:lang w:val="fr-FR"/>
        </w:rPr>
        <w:t>, issus de Parties non contractantes, des organisations intergouvernementales, des agences internationales, des organisations non gouvernementales internationales et nationales.</w:t>
      </w:r>
      <w:r w:rsidR="0082027A" w:rsidRPr="008C3393">
        <w:rPr>
          <w:szCs w:val="22"/>
          <w:lang w:val="fr-FR"/>
        </w:rPr>
        <w:t xml:space="preserve"> </w:t>
      </w:r>
    </w:p>
    <w:p w14:paraId="0A1D0140" w14:textId="77777777" w:rsidR="007278F5" w:rsidRPr="008C3393" w:rsidRDefault="007278F5" w:rsidP="00BA154F">
      <w:pPr>
        <w:jc w:val="both"/>
        <w:rPr>
          <w:szCs w:val="22"/>
          <w:lang w:val="fr-FR"/>
        </w:rPr>
      </w:pPr>
    </w:p>
    <w:p w14:paraId="163A244E" w14:textId="17AC0715" w:rsidR="00936749" w:rsidRPr="008C3393" w:rsidRDefault="00822C50" w:rsidP="00BA154F">
      <w:pPr>
        <w:jc w:val="both"/>
        <w:rPr>
          <w:szCs w:val="22"/>
          <w:lang w:val="fr-FR"/>
        </w:rPr>
      </w:pPr>
      <w:r w:rsidRPr="008C3393">
        <w:rPr>
          <w:szCs w:val="22"/>
          <w:lang w:val="fr-FR"/>
        </w:rPr>
        <w:t>4</w:t>
      </w:r>
      <w:r w:rsidR="0016026F">
        <w:rPr>
          <w:szCs w:val="22"/>
          <w:lang w:val="fr-FR"/>
        </w:rPr>
        <w:t>8</w:t>
      </w:r>
      <w:r w:rsidRPr="008C3393">
        <w:rPr>
          <w:szCs w:val="22"/>
          <w:lang w:val="fr-FR"/>
        </w:rPr>
        <w:t xml:space="preserve">. </w:t>
      </w:r>
      <w:r w:rsidR="0032602C" w:rsidRPr="008C3393">
        <w:rPr>
          <w:lang w:val="fr-FR"/>
        </w:rPr>
        <w:t>Il a invité la Réunion à décider de l</w:t>
      </w:r>
      <w:r w:rsidR="00F82A75">
        <w:rPr>
          <w:lang w:val="fr-FR"/>
        </w:rPr>
        <w:t>’</w:t>
      </w:r>
      <w:r w:rsidR="0032602C" w:rsidRPr="008C3393">
        <w:rPr>
          <w:lang w:val="fr-FR"/>
        </w:rPr>
        <w:t>admission des pays et organisations cités.</w:t>
      </w:r>
    </w:p>
    <w:p w14:paraId="15C59AFE" w14:textId="77777777" w:rsidR="007278F5" w:rsidRPr="008C3393" w:rsidRDefault="007278F5" w:rsidP="00BA154F">
      <w:pPr>
        <w:jc w:val="both"/>
        <w:rPr>
          <w:szCs w:val="22"/>
          <w:lang w:val="fr-FR"/>
        </w:rPr>
      </w:pPr>
    </w:p>
    <w:p w14:paraId="0C7613A5" w14:textId="19D51687" w:rsidR="0082027A" w:rsidRPr="008C3393" w:rsidRDefault="00822C50" w:rsidP="00BA154F">
      <w:pPr>
        <w:jc w:val="both"/>
        <w:rPr>
          <w:lang w:val="fr-FR"/>
        </w:rPr>
      </w:pPr>
      <w:r w:rsidRPr="008C3393">
        <w:rPr>
          <w:szCs w:val="22"/>
          <w:lang w:val="fr-FR"/>
        </w:rPr>
        <w:t>4</w:t>
      </w:r>
      <w:r w:rsidR="0016026F">
        <w:rPr>
          <w:szCs w:val="22"/>
          <w:lang w:val="fr-FR"/>
        </w:rPr>
        <w:t>9</w:t>
      </w:r>
      <w:r w:rsidRPr="008C3393">
        <w:rPr>
          <w:szCs w:val="22"/>
          <w:lang w:val="fr-FR"/>
        </w:rPr>
        <w:t xml:space="preserve">. </w:t>
      </w:r>
      <w:r w:rsidR="0032602C" w:rsidRPr="008C3393">
        <w:rPr>
          <w:lang w:val="fr-FR"/>
        </w:rPr>
        <w:t>La Réunion a décidé par consensus d</w:t>
      </w:r>
      <w:r w:rsidR="00F82A75">
        <w:rPr>
          <w:lang w:val="fr-FR"/>
        </w:rPr>
        <w:t>’</w:t>
      </w:r>
      <w:r w:rsidR="0032602C" w:rsidRPr="008C3393">
        <w:rPr>
          <w:lang w:val="fr-FR"/>
        </w:rPr>
        <w:t>admettre à titre d</w:t>
      </w:r>
      <w:r w:rsidR="00F82A75">
        <w:rPr>
          <w:lang w:val="fr-FR"/>
        </w:rPr>
        <w:t>’</w:t>
      </w:r>
      <w:r w:rsidR="0032602C" w:rsidRPr="008C3393">
        <w:rPr>
          <w:lang w:val="fr-FR"/>
        </w:rPr>
        <w:t xml:space="preserve">observateurs tous les pays et organisations figurant dans le document </w:t>
      </w:r>
      <w:r w:rsidR="0032602C" w:rsidRPr="008C3393">
        <w:rPr>
          <w:szCs w:val="22"/>
          <w:lang w:val="fr-FR"/>
        </w:rPr>
        <w:t>AEWA/MOP 5.5, en ajoutant l</w:t>
      </w:r>
      <w:r w:rsidR="00F82A75">
        <w:rPr>
          <w:szCs w:val="22"/>
          <w:lang w:val="fr-FR"/>
        </w:rPr>
        <w:t>’</w:t>
      </w:r>
      <w:r w:rsidR="0032602C" w:rsidRPr="008C3393">
        <w:rPr>
          <w:szCs w:val="22"/>
          <w:lang w:val="fr-FR"/>
        </w:rPr>
        <w:t>Arabie Saoudite, qui a été exclue par inadvertance de la liste des observateurs d</w:t>
      </w:r>
      <w:r w:rsidR="00F82A75">
        <w:rPr>
          <w:szCs w:val="22"/>
          <w:lang w:val="fr-FR"/>
        </w:rPr>
        <w:t>’</w:t>
      </w:r>
      <w:r w:rsidR="0032602C" w:rsidRPr="008C3393">
        <w:rPr>
          <w:szCs w:val="22"/>
          <w:lang w:val="fr-FR"/>
        </w:rPr>
        <w:t>États de l</w:t>
      </w:r>
      <w:r w:rsidR="00F82A75">
        <w:rPr>
          <w:szCs w:val="22"/>
          <w:lang w:val="fr-FR"/>
        </w:rPr>
        <w:t>’</w:t>
      </w:r>
      <w:r w:rsidR="0032602C" w:rsidRPr="008C3393">
        <w:rPr>
          <w:szCs w:val="22"/>
          <w:lang w:val="fr-FR"/>
        </w:rPr>
        <w:t xml:space="preserve">aire de répartition </w:t>
      </w:r>
      <w:r w:rsidR="00A1380F">
        <w:rPr>
          <w:szCs w:val="22"/>
          <w:lang w:val="fr-FR"/>
        </w:rPr>
        <w:t xml:space="preserve">étant Parties </w:t>
      </w:r>
      <w:r w:rsidR="0032602C" w:rsidRPr="008C3393">
        <w:rPr>
          <w:szCs w:val="22"/>
          <w:lang w:val="fr-FR"/>
        </w:rPr>
        <w:t>non contractant</w:t>
      </w:r>
      <w:r w:rsidR="00A1380F">
        <w:rPr>
          <w:szCs w:val="22"/>
          <w:lang w:val="fr-FR"/>
        </w:rPr>
        <w:t>e</w:t>
      </w:r>
      <w:r w:rsidR="0032602C" w:rsidRPr="008C3393">
        <w:rPr>
          <w:szCs w:val="22"/>
          <w:lang w:val="fr-FR"/>
        </w:rPr>
        <w:t>s</w:t>
      </w:r>
      <w:r w:rsidR="0032602C" w:rsidRPr="008C3393">
        <w:rPr>
          <w:lang w:val="fr-FR"/>
        </w:rPr>
        <w:t>.</w:t>
      </w:r>
    </w:p>
    <w:p w14:paraId="195AFBE0" w14:textId="77777777" w:rsidR="00271397" w:rsidRDefault="00271397" w:rsidP="00BA154F">
      <w:pPr>
        <w:jc w:val="both"/>
        <w:rPr>
          <w:lang w:val="fr-FR"/>
        </w:rPr>
      </w:pPr>
    </w:p>
    <w:p w14:paraId="79D8669A" w14:textId="77777777" w:rsidR="000958DA" w:rsidRPr="008C3393" w:rsidRDefault="000958DA" w:rsidP="00BA154F">
      <w:pPr>
        <w:jc w:val="both"/>
        <w:rPr>
          <w:lang w:val="fr-FR"/>
        </w:rPr>
      </w:pPr>
    </w:p>
    <w:p w14:paraId="740F2F9E" w14:textId="6FDDB713" w:rsidR="00851BAD" w:rsidRPr="008C3393" w:rsidRDefault="0032602C" w:rsidP="00BA154F">
      <w:pPr>
        <w:jc w:val="both"/>
        <w:rPr>
          <w:b/>
          <w:szCs w:val="22"/>
          <w:lang w:val="fr-FR"/>
        </w:rPr>
      </w:pPr>
      <w:r w:rsidRPr="008C3393">
        <w:rPr>
          <w:b/>
          <w:szCs w:val="22"/>
          <w:lang w:val="fr-FR"/>
        </w:rPr>
        <w:t>Point 7 de l</w:t>
      </w:r>
      <w:r w:rsidR="00F82A75">
        <w:rPr>
          <w:b/>
          <w:szCs w:val="22"/>
          <w:lang w:val="fr-FR"/>
        </w:rPr>
        <w:t>’</w:t>
      </w:r>
      <w:r w:rsidRPr="008C3393">
        <w:rPr>
          <w:b/>
          <w:szCs w:val="22"/>
          <w:lang w:val="fr-FR"/>
        </w:rPr>
        <w:t>ordre du jour – Déclarations liminaires</w:t>
      </w:r>
    </w:p>
    <w:p w14:paraId="05A2C879" w14:textId="77777777" w:rsidR="00851BAD" w:rsidRPr="008C3393" w:rsidRDefault="00851BAD" w:rsidP="00BA154F">
      <w:pPr>
        <w:jc w:val="both"/>
        <w:rPr>
          <w:szCs w:val="22"/>
          <w:lang w:val="fr-FR"/>
        </w:rPr>
      </w:pPr>
    </w:p>
    <w:p w14:paraId="50F1780A" w14:textId="50641659" w:rsidR="00851BAD" w:rsidRPr="008C3393" w:rsidRDefault="0016026F" w:rsidP="00BA154F">
      <w:pPr>
        <w:jc w:val="both"/>
        <w:rPr>
          <w:szCs w:val="22"/>
          <w:lang w:val="fr-FR"/>
        </w:rPr>
      </w:pPr>
      <w:r>
        <w:rPr>
          <w:szCs w:val="22"/>
          <w:lang w:val="fr-FR"/>
        </w:rPr>
        <w:t>50</w:t>
      </w:r>
      <w:r w:rsidR="00822C50" w:rsidRPr="008C3393">
        <w:rPr>
          <w:szCs w:val="22"/>
          <w:lang w:val="fr-FR"/>
        </w:rPr>
        <w:t xml:space="preserve">. </w:t>
      </w:r>
      <w:r w:rsidR="0032602C" w:rsidRPr="008C3393">
        <w:rPr>
          <w:lang w:val="fr-FR"/>
        </w:rPr>
        <w:t xml:space="preserve">Le </w:t>
      </w:r>
      <w:r w:rsidR="0032602C" w:rsidRPr="00967C2C">
        <w:rPr>
          <w:b/>
          <w:lang w:val="fr-FR"/>
        </w:rPr>
        <w:t xml:space="preserve">Président </w:t>
      </w:r>
      <w:r w:rsidR="0032602C" w:rsidRPr="008C3393">
        <w:rPr>
          <w:lang w:val="fr-FR"/>
        </w:rPr>
        <w:t>a rappelé que les déclarations écrites des Parties contractantes, des OIG et des ONG seraient incluses dans le rapport final de la Réunion.</w:t>
      </w:r>
      <w:r w:rsidR="00851BAD" w:rsidRPr="008C3393">
        <w:rPr>
          <w:szCs w:val="22"/>
          <w:lang w:val="fr-FR"/>
        </w:rPr>
        <w:t xml:space="preserve"> </w:t>
      </w:r>
      <w:r w:rsidR="00303CE2" w:rsidRPr="008C3393">
        <w:rPr>
          <w:szCs w:val="22"/>
          <w:lang w:val="fr-FR"/>
        </w:rPr>
        <w:t xml:space="preserve">Les pays devenus Parties contractantes depuis la MOP4 ou </w:t>
      </w:r>
      <w:r w:rsidR="001D0E85" w:rsidRPr="008C3393">
        <w:rPr>
          <w:szCs w:val="22"/>
          <w:lang w:val="fr-FR"/>
        </w:rPr>
        <w:t>n</w:t>
      </w:r>
      <w:r w:rsidR="00F82A75">
        <w:rPr>
          <w:szCs w:val="22"/>
          <w:lang w:val="fr-FR"/>
        </w:rPr>
        <w:t>’</w:t>
      </w:r>
      <w:r w:rsidR="001D0E85" w:rsidRPr="008C3393">
        <w:rPr>
          <w:szCs w:val="22"/>
          <w:lang w:val="fr-FR"/>
        </w:rPr>
        <w:t>étant pas Parties</w:t>
      </w:r>
      <w:r w:rsidR="00303CE2" w:rsidRPr="008C3393">
        <w:rPr>
          <w:szCs w:val="22"/>
          <w:lang w:val="fr-FR"/>
        </w:rPr>
        <w:t xml:space="preserve"> contractants </w:t>
      </w:r>
      <w:r w:rsidR="001D0E85" w:rsidRPr="008C3393">
        <w:rPr>
          <w:szCs w:val="22"/>
          <w:lang w:val="fr-FR"/>
        </w:rPr>
        <w:t xml:space="preserve">et </w:t>
      </w:r>
      <w:r w:rsidR="00303CE2" w:rsidRPr="008C3393">
        <w:rPr>
          <w:szCs w:val="22"/>
          <w:lang w:val="fr-FR"/>
        </w:rPr>
        <w:t>étant dans le processus d</w:t>
      </w:r>
      <w:r w:rsidR="00F82A75">
        <w:rPr>
          <w:szCs w:val="22"/>
          <w:lang w:val="fr-FR"/>
        </w:rPr>
        <w:t>’</w:t>
      </w:r>
      <w:r w:rsidR="00303CE2" w:rsidRPr="008C3393">
        <w:rPr>
          <w:szCs w:val="22"/>
          <w:lang w:val="fr-FR"/>
        </w:rPr>
        <w:t>adhé</w:t>
      </w:r>
      <w:r w:rsidR="001D0E85" w:rsidRPr="008C3393">
        <w:rPr>
          <w:szCs w:val="22"/>
          <w:lang w:val="fr-FR"/>
        </w:rPr>
        <w:t>s</w:t>
      </w:r>
      <w:r w:rsidR="00303CE2" w:rsidRPr="008C3393">
        <w:rPr>
          <w:szCs w:val="22"/>
          <w:lang w:val="fr-FR"/>
        </w:rPr>
        <w:t>ion à l</w:t>
      </w:r>
      <w:r w:rsidR="00F82A75">
        <w:rPr>
          <w:szCs w:val="22"/>
          <w:lang w:val="fr-FR"/>
        </w:rPr>
        <w:t>’</w:t>
      </w:r>
      <w:r w:rsidR="00303CE2" w:rsidRPr="008C3393">
        <w:rPr>
          <w:szCs w:val="22"/>
          <w:lang w:val="fr-FR"/>
        </w:rPr>
        <w:t>AEWA qui étaient désireux</w:t>
      </w:r>
      <w:r w:rsidR="00303CE2" w:rsidRPr="008C3393">
        <w:rPr>
          <w:lang w:val="fr-FR"/>
        </w:rPr>
        <w:t xml:space="preserve"> de prendre la parole ont été invités à faire de brèves déclarations</w:t>
      </w:r>
      <w:r w:rsidR="00303CE2" w:rsidRPr="008C3393">
        <w:rPr>
          <w:szCs w:val="22"/>
          <w:lang w:val="fr-FR"/>
        </w:rPr>
        <w:t>.</w:t>
      </w:r>
    </w:p>
    <w:p w14:paraId="5A96E64E" w14:textId="77777777" w:rsidR="00851BAD" w:rsidRPr="008C3393" w:rsidRDefault="00851BAD" w:rsidP="00BA154F">
      <w:pPr>
        <w:jc w:val="both"/>
        <w:rPr>
          <w:szCs w:val="22"/>
          <w:lang w:val="fr-FR"/>
        </w:rPr>
      </w:pPr>
    </w:p>
    <w:p w14:paraId="6A0E33E5" w14:textId="46E878DC" w:rsidR="00851BAD" w:rsidRPr="008C3393" w:rsidRDefault="00822C50" w:rsidP="00BA154F">
      <w:pPr>
        <w:jc w:val="both"/>
        <w:rPr>
          <w:szCs w:val="22"/>
          <w:lang w:val="fr-FR"/>
        </w:rPr>
      </w:pPr>
      <w:r w:rsidRPr="008C3393">
        <w:rPr>
          <w:szCs w:val="22"/>
          <w:lang w:val="fr-FR"/>
        </w:rPr>
        <w:t>5</w:t>
      </w:r>
      <w:r w:rsidR="0016026F">
        <w:rPr>
          <w:szCs w:val="22"/>
          <w:lang w:val="fr-FR"/>
        </w:rPr>
        <w:t>1</w:t>
      </w:r>
      <w:r w:rsidRPr="008C3393">
        <w:rPr>
          <w:szCs w:val="22"/>
          <w:lang w:val="fr-FR"/>
        </w:rPr>
        <w:t xml:space="preserve">. </w:t>
      </w:r>
      <w:r w:rsidR="00303CE2" w:rsidRPr="008C3393">
        <w:rPr>
          <w:szCs w:val="22"/>
          <w:lang w:val="fr-FR"/>
        </w:rPr>
        <w:t>Des déclarations ont été faites par les pays suivants, devenus Parties contractantes depuis la MOP4 :</w:t>
      </w:r>
    </w:p>
    <w:p w14:paraId="3DE9D82B" w14:textId="77777777" w:rsidR="00851BAD" w:rsidRPr="008C3393" w:rsidRDefault="00851BAD" w:rsidP="00BA154F">
      <w:pPr>
        <w:jc w:val="both"/>
        <w:rPr>
          <w:szCs w:val="22"/>
          <w:lang w:val="fr-FR"/>
        </w:rPr>
      </w:pPr>
    </w:p>
    <w:p w14:paraId="54D7D233" w14:textId="77777777" w:rsidR="008C3393" w:rsidRPr="008C3393" w:rsidRDefault="008C3393" w:rsidP="00BA154F">
      <w:pPr>
        <w:pStyle w:val="ListParagraph"/>
        <w:numPr>
          <w:ilvl w:val="0"/>
          <w:numId w:val="2"/>
        </w:numPr>
        <w:tabs>
          <w:tab w:val="clear" w:pos="720"/>
        </w:tabs>
        <w:jc w:val="both"/>
        <w:rPr>
          <w:b/>
          <w:sz w:val="22"/>
          <w:szCs w:val="22"/>
          <w:lang w:val="fr-FR"/>
        </w:rPr>
      </w:pPr>
      <w:r w:rsidRPr="008C3393">
        <w:rPr>
          <w:b/>
          <w:sz w:val="22"/>
          <w:szCs w:val="22"/>
          <w:lang w:val="fr-FR"/>
        </w:rPr>
        <w:t xml:space="preserve">Éthiopie </w:t>
      </w:r>
    </w:p>
    <w:p w14:paraId="4F16CCC0" w14:textId="5C101618" w:rsidR="00851BAD" w:rsidRPr="008C3393" w:rsidRDefault="00303CE2" w:rsidP="00BA154F">
      <w:pPr>
        <w:pStyle w:val="ListParagraph"/>
        <w:numPr>
          <w:ilvl w:val="0"/>
          <w:numId w:val="2"/>
        </w:numPr>
        <w:tabs>
          <w:tab w:val="clear" w:pos="720"/>
        </w:tabs>
        <w:jc w:val="both"/>
        <w:rPr>
          <w:b/>
          <w:sz w:val="22"/>
          <w:szCs w:val="22"/>
          <w:lang w:val="fr-FR"/>
        </w:rPr>
      </w:pPr>
      <w:r w:rsidRPr="008C3393">
        <w:rPr>
          <w:b/>
          <w:sz w:val="22"/>
          <w:szCs w:val="22"/>
          <w:lang w:val="fr-FR"/>
        </w:rPr>
        <w:t>Tchad</w:t>
      </w:r>
    </w:p>
    <w:p w14:paraId="4A276CF7" w14:textId="761951B6" w:rsidR="00851BAD" w:rsidRPr="008C3393" w:rsidRDefault="00303CE2" w:rsidP="00BA154F">
      <w:pPr>
        <w:pStyle w:val="ListParagraph"/>
        <w:numPr>
          <w:ilvl w:val="0"/>
          <w:numId w:val="2"/>
        </w:numPr>
        <w:tabs>
          <w:tab w:val="clear" w:pos="720"/>
        </w:tabs>
        <w:jc w:val="both"/>
        <w:rPr>
          <w:b/>
          <w:sz w:val="22"/>
          <w:szCs w:val="22"/>
          <w:lang w:val="fr-FR"/>
        </w:rPr>
      </w:pPr>
      <w:r w:rsidRPr="008C3393">
        <w:rPr>
          <w:b/>
          <w:sz w:val="22"/>
          <w:szCs w:val="22"/>
          <w:lang w:val="fr-FR"/>
        </w:rPr>
        <w:t>Zimbabwe</w:t>
      </w:r>
      <w:r w:rsidR="00851BAD" w:rsidRPr="008C3393">
        <w:rPr>
          <w:b/>
          <w:sz w:val="22"/>
          <w:szCs w:val="22"/>
          <w:lang w:val="fr-FR"/>
        </w:rPr>
        <w:t xml:space="preserve"> </w:t>
      </w:r>
    </w:p>
    <w:p w14:paraId="658C160C" w14:textId="77777777" w:rsidR="00851BAD" w:rsidRPr="008C3393" w:rsidRDefault="00851BAD" w:rsidP="00BA154F">
      <w:pPr>
        <w:jc w:val="both"/>
        <w:rPr>
          <w:szCs w:val="22"/>
          <w:lang w:val="fr-FR"/>
        </w:rPr>
      </w:pPr>
    </w:p>
    <w:p w14:paraId="4A36ADCA" w14:textId="1B947F4B" w:rsidR="00851BAD" w:rsidRPr="008C3393" w:rsidRDefault="00822C50" w:rsidP="00BA154F">
      <w:pPr>
        <w:jc w:val="both"/>
        <w:rPr>
          <w:szCs w:val="22"/>
          <w:lang w:val="fr-FR"/>
        </w:rPr>
      </w:pPr>
      <w:r w:rsidRPr="008C3393">
        <w:rPr>
          <w:szCs w:val="22"/>
          <w:lang w:val="fr-FR"/>
        </w:rPr>
        <w:t>5</w:t>
      </w:r>
      <w:r w:rsidR="0016026F">
        <w:rPr>
          <w:szCs w:val="22"/>
          <w:lang w:val="fr-FR"/>
        </w:rPr>
        <w:t>2</w:t>
      </w:r>
      <w:r w:rsidRPr="008C3393">
        <w:rPr>
          <w:szCs w:val="22"/>
          <w:lang w:val="fr-FR"/>
        </w:rPr>
        <w:t xml:space="preserve">. </w:t>
      </w:r>
      <w:r w:rsidR="00303CE2" w:rsidRPr="008C3393">
        <w:rPr>
          <w:szCs w:val="22"/>
          <w:lang w:val="fr-FR"/>
        </w:rPr>
        <w:t xml:space="preserve">Le </w:t>
      </w:r>
      <w:r w:rsidR="00303CE2" w:rsidRPr="008C3393">
        <w:rPr>
          <w:b/>
          <w:szCs w:val="22"/>
          <w:lang w:val="fr-FR"/>
        </w:rPr>
        <w:t xml:space="preserve">Gabon </w:t>
      </w:r>
      <w:r w:rsidR="00303CE2" w:rsidRPr="008C3393">
        <w:rPr>
          <w:szCs w:val="22"/>
          <w:lang w:val="fr-FR"/>
        </w:rPr>
        <w:t>et la</w:t>
      </w:r>
      <w:r w:rsidR="00303CE2" w:rsidRPr="008C3393">
        <w:rPr>
          <w:b/>
          <w:szCs w:val="22"/>
          <w:lang w:val="fr-FR"/>
        </w:rPr>
        <w:t xml:space="preserve"> Mauritanie</w:t>
      </w:r>
      <w:r w:rsidR="00303CE2" w:rsidRPr="008C3393">
        <w:rPr>
          <w:szCs w:val="22"/>
          <w:lang w:val="fr-FR"/>
        </w:rPr>
        <w:t>, qui ont récemment terminé les formalités d</w:t>
      </w:r>
      <w:r w:rsidR="00F82A75">
        <w:rPr>
          <w:szCs w:val="22"/>
          <w:lang w:val="fr-FR"/>
        </w:rPr>
        <w:t>’</w:t>
      </w:r>
      <w:r w:rsidR="00303CE2" w:rsidRPr="008C3393">
        <w:rPr>
          <w:szCs w:val="22"/>
          <w:lang w:val="fr-FR"/>
        </w:rPr>
        <w:t>adhésion, ont également fait de brèves déclarations.</w:t>
      </w:r>
    </w:p>
    <w:p w14:paraId="2EB5F9A6" w14:textId="77777777" w:rsidR="00851BAD" w:rsidRPr="008C3393" w:rsidRDefault="00851BAD" w:rsidP="00BA154F">
      <w:pPr>
        <w:jc w:val="both"/>
        <w:rPr>
          <w:szCs w:val="22"/>
          <w:lang w:val="fr-FR"/>
        </w:rPr>
      </w:pPr>
    </w:p>
    <w:p w14:paraId="163711ED" w14:textId="0B5F6BAD" w:rsidR="00851BAD" w:rsidRPr="008C3393" w:rsidRDefault="00822C50" w:rsidP="00BA154F">
      <w:pPr>
        <w:jc w:val="both"/>
        <w:rPr>
          <w:szCs w:val="22"/>
          <w:lang w:val="fr-FR"/>
        </w:rPr>
      </w:pPr>
      <w:r w:rsidRPr="008C3393">
        <w:rPr>
          <w:szCs w:val="22"/>
          <w:lang w:val="fr-FR"/>
        </w:rPr>
        <w:t>5</w:t>
      </w:r>
      <w:r w:rsidR="0016026F">
        <w:rPr>
          <w:szCs w:val="22"/>
          <w:lang w:val="fr-FR"/>
        </w:rPr>
        <w:t>3</w:t>
      </w:r>
      <w:r w:rsidRPr="008C3393">
        <w:rPr>
          <w:szCs w:val="22"/>
          <w:lang w:val="fr-FR"/>
        </w:rPr>
        <w:t xml:space="preserve">. </w:t>
      </w:r>
      <w:r w:rsidR="00303CE2" w:rsidRPr="008C3393">
        <w:rPr>
          <w:lang w:val="fr-FR"/>
        </w:rPr>
        <w:t>Les Parties non contractantes suivantes ont exprimé leur intention d</w:t>
      </w:r>
      <w:r w:rsidR="00F82A75">
        <w:rPr>
          <w:lang w:val="fr-FR"/>
        </w:rPr>
        <w:t>’</w:t>
      </w:r>
      <w:r w:rsidR="00303CE2" w:rsidRPr="008C3393">
        <w:rPr>
          <w:lang w:val="fr-FR"/>
        </w:rPr>
        <w:t>adhérer à l</w:t>
      </w:r>
      <w:r w:rsidR="00F82A75">
        <w:rPr>
          <w:lang w:val="fr-FR"/>
        </w:rPr>
        <w:t>’</w:t>
      </w:r>
      <w:r w:rsidR="00303CE2" w:rsidRPr="008C3393">
        <w:rPr>
          <w:lang w:val="fr-FR"/>
        </w:rPr>
        <w:t>Accord aussi rapidement que possible et ont fourni des détails sur l</w:t>
      </w:r>
      <w:r w:rsidR="00F82A75">
        <w:rPr>
          <w:lang w:val="fr-FR"/>
        </w:rPr>
        <w:t>’</w:t>
      </w:r>
      <w:r w:rsidR="00303CE2" w:rsidRPr="008C3393">
        <w:rPr>
          <w:lang w:val="fr-FR"/>
        </w:rPr>
        <w:t>avancement actuel des processus juridiques et administratifs exigés :</w:t>
      </w:r>
    </w:p>
    <w:p w14:paraId="59B7628D" w14:textId="77777777" w:rsidR="00851BAD" w:rsidRPr="008C3393" w:rsidRDefault="00851BAD" w:rsidP="00BA154F">
      <w:pPr>
        <w:jc w:val="both"/>
        <w:rPr>
          <w:szCs w:val="22"/>
          <w:lang w:val="fr-FR"/>
        </w:rPr>
      </w:pPr>
    </w:p>
    <w:p w14:paraId="6B4C9090" w14:textId="2685F222" w:rsidR="00851BAD" w:rsidRPr="008C3393" w:rsidRDefault="00303CE2" w:rsidP="00BA154F">
      <w:pPr>
        <w:pStyle w:val="ListParagraph"/>
        <w:numPr>
          <w:ilvl w:val="0"/>
          <w:numId w:val="2"/>
        </w:numPr>
        <w:tabs>
          <w:tab w:val="clear" w:pos="720"/>
        </w:tabs>
        <w:jc w:val="both"/>
        <w:rPr>
          <w:sz w:val="22"/>
          <w:szCs w:val="22"/>
          <w:lang w:val="fr-FR"/>
        </w:rPr>
      </w:pPr>
      <w:r w:rsidRPr="008C3393">
        <w:rPr>
          <w:b/>
          <w:sz w:val="22"/>
          <w:szCs w:val="22"/>
          <w:lang w:val="fr-FR"/>
        </w:rPr>
        <w:t>Côte d</w:t>
      </w:r>
      <w:r w:rsidR="00F82A75">
        <w:rPr>
          <w:b/>
          <w:sz w:val="22"/>
          <w:szCs w:val="22"/>
          <w:lang w:val="fr-FR"/>
        </w:rPr>
        <w:t>’</w:t>
      </w:r>
      <w:r w:rsidRPr="008C3393">
        <w:rPr>
          <w:b/>
          <w:sz w:val="22"/>
          <w:szCs w:val="22"/>
          <w:lang w:val="fr-FR"/>
        </w:rPr>
        <w:t xml:space="preserve">Ivoire </w:t>
      </w:r>
      <w:r w:rsidRPr="008C3393">
        <w:rPr>
          <w:sz w:val="22"/>
          <w:szCs w:val="22"/>
          <w:lang w:val="fr-FR"/>
        </w:rPr>
        <w:t>– en train de terminer la phase finale de l</w:t>
      </w:r>
      <w:r w:rsidR="00F82A75">
        <w:rPr>
          <w:sz w:val="22"/>
          <w:szCs w:val="22"/>
          <w:lang w:val="fr-FR"/>
        </w:rPr>
        <w:t>’</w:t>
      </w:r>
      <w:r w:rsidRPr="008C3393">
        <w:rPr>
          <w:sz w:val="22"/>
          <w:szCs w:val="22"/>
          <w:lang w:val="fr-FR"/>
        </w:rPr>
        <w:t>adhésion ;</w:t>
      </w:r>
    </w:p>
    <w:p w14:paraId="1DCA0F4E" w14:textId="297B2CE9" w:rsidR="008C3393" w:rsidRPr="008C3393" w:rsidRDefault="008C3393" w:rsidP="00BA154F">
      <w:pPr>
        <w:pStyle w:val="ListParagraph"/>
        <w:numPr>
          <w:ilvl w:val="0"/>
          <w:numId w:val="2"/>
        </w:numPr>
        <w:tabs>
          <w:tab w:val="clear" w:pos="720"/>
        </w:tabs>
        <w:jc w:val="both"/>
        <w:rPr>
          <w:sz w:val="22"/>
          <w:szCs w:val="22"/>
          <w:lang w:val="fr-FR"/>
        </w:rPr>
      </w:pPr>
      <w:r w:rsidRPr="008C3393">
        <w:rPr>
          <w:b/>
          <w:sz w:val="22"/>
          <w:szCs w:val="22"/>
          <w:lang w:val="fr-FR"/>
        </w:rPr>
        <w:t>Fédération de Russie</w:t>
      </w:r>
      <w:r w:rsidRPr="008C3393">
        <w:rPr>
          <w:sz w:val="22"/>
          <w:szCs w:val="22"/>
          <w:lang w:val="fr-FR"/>
        </w:rPr>
        <w:t xml:space="preserve"> </w:t>
      </w:r>
      <w:r w:rsidRPr="008C3393">
        <w:rPr>
          <w:sz w:val="22"/>
          <w:szCs w:val="22"/>
          <w:lang w:val="fr-FR"/>
        </w:rPr>
        <w:softHyphen/>
        <w:t xml:space="preserve">– après la formation du nouveau gouvernement de la Fédération de Russie, les consultations nécessaires, </w:t>
      </w:r>
      <w:r w:rsidR="00A1380F">
        <w:rPr>
          <w:sz w:val="22"/>
          <w:szCs w:val="22"/>
          <w:lang w:val="fr-FR"/>
        </w:rPr>
        <w:t>précédant le démarrage</w:t>
      </w:r>
      <w:r w:rsidRPr="008C3393">
        <w:rPr>
          <w:sz w:val="22"/>
          <w:szCs w:val="22"/>
          <w:lang w:val="fr-FR"/>
        </w:rPr>
        <w:t xml:space="preserve"> du processus d</w:t>
      </w:r>
      <w:r w:rsidR="00F82A75">
        <w:rPr>
          <w:sz w:val="22"/>
          <w:szCs w:val="22"/>
          <w:lang w:val="fr-FR"/>
        </w:rPr>
        <w:t>’</w:t>
      </w:r>
      <w:r w:rsidRPr="008C3393">
        <w:rPr>
          <w:sz w:val="22"/>
          <w:szCs w:val="22"/>
          <w:lang w:val="fr-FR"/>
        </w:rPr>
        <w:t>adhésion à l</w:t>
      </w:r>
      <w:r w:rsidR="00F82A75">
        <w:rPr>
          <w:sz w:val="22"/>
          <w:szCs w:val="22"/>
          <w:lang w:val="fr-FR"/>
        </w:rPr>
        <w:t>’</w:t>
      </w:r>
      <w:r w:rsidRPr="008C3393">
        <w:rPr>
          <w:sz w:val="22"/>
          <w:szCs w:val="22"/>
          <w:lang w:val="fr-FR"/>
        </w:rPr>
        <w:t>AEWA, auront lieu.</w:t>
      </w:r>
    </w:p>
    <w:p w14:paraId="7352E03E" w14:textId="1FBB900C" w:rsidR="00851BAD" w:rsidRPr="008C3393" w:rsidRDefault="00303CE2" w:rsidP="00BA154F">
      <w:pPr>
        <w:numPr>
          <w:ilvl w:val="0"/>
          <w:numId w:val="2"/>
        </w:numPr>
        <w:tabs>
          <w:tab w:val="clear" w:pos="720"/>
        </w:tabs>
        <w:jc w:val="both"/>
        <w:rPr>
          <w:szCs w:val="22"/>
          <w:lang w:val="fr-FR"/>
        </w:rPr>
      </w:pPr>
      <w:r w:rsidRPr="008C3393">
        <w:rPr>
          <w:b/>
          <w:szCs w:val="22"/>
          <w:lang w:val="fr-FR"/>
        </w:rPr>
        <w:lastRenderedPageBreak/>
        <w:t xml:space="preserve">Islande – </w:t>
      </w:r>
      <w:r w:rsidRPr="008C3393">
        <w:rPr>
          <w:szCs w:val="22"/>
          <w:lang w:val="fr-FR"/>
        </w:rPr>
        <w:t>le Parlement de l</w:t>
      </w:r>
      <w:r w:rsidR="00F82A75">
        <w:rPr>
          <w:szCs w:val="22"/>
          <w:lang w:val="fr-FR"/>
        </w:rPr>
        <w:t>’</w:t>
      </w:r>
      <w:r w:rsidRPr="008C3393">
        <w:rPr>
          <w:szCs w:val="22"/>
          <w:lang w:val="fr-FR"/>
        </w:rPr>
        <w:t>Islande a approuvé l</w:t>
      </w:r>
      <w:r w:rsidR="00F82A75">
        <w:rPr>
          <w:szCs w:val="22"/>
          <w:lang w:val="fr-FR"/>
        </w:rPr>
        <w:t>’</w:t>
      </w:r>
      <w:r w:rsidRPr="008C3393">
        <w:rPr>
          <w:szCs w:val="22"/>
          <w:lang w:val="fr-FR"/>
        </w:rPr>
        <w:t>adhésion à l</w:t>
      </w:r>
      <w:r w:rsidR="00F82A75">
        <w:rPr>
          <w:szCs w:val="22"/>
          <w:lang w:val="fr-FR"/>
        </w:rPr>
        <w:t>’</w:t>
      </w:r>
      <w:r w:rsidRPr="008C3393">
        <w:rPr>
          <w:szCs w:val="22"/>
          <w:lang w:val="fr-FR"/>
        </w:rPr>
        <w:t>AEWA et le processus sera achevé fin 2012 ;</w:t>
      </w:r>
    </w:p>
    <w:p w14:paraId="4D719525" w14:textId="6BAB01B8" w:rsidR="00851BAD" w:rsidRPr="008C3393" w:rsidRDefault="00303CE2" w:rsidP="00BA154F">
      <w:pPr>
        <w:numPr>
          <w:ilvl w:val="0"/>
          <w:numId w:val="2"/>
        </w:numPr>
        <w:tabs>
          <w:tab w:val="clear" w:pos="720"/>
        </w:tabs>
        <w:jc w:val="both"/>
        <w:rPr>
          <w:szCs w:val="22"/>
          <w:lang w:val="fr-FR"/>
        </w:rPr>
      </w:pPr>
      <w:r w:rsidRPr="008C3393">
        <w:rPr>
          <w:b/>
          <w:szCs w:val="22"/>
          <w:lang w:val="fr-FR"/>
        </w:rPr>
        <w:t>Pologne</w:t>
      </w:r>
      <w:r w:rsidRPr="008C3393">
        <w:rPr>
          <w:szCs w:val="22"/>
          <w:lang w:val="fr-FR"/>
        </w:rPr>
        <w:t xml:space="preserve"> – la procédure d</w:t>
      </w:r>
      <w:r w:rsidR="00F82A75">
        <w:rPr>
          <w:szCs w:val="22"/>
          <w:lang w:val="fr-FR"/>
        </w:rPr>
        <w:t>’</w:t>
      </w:r>
      <w:r w:rsidRPr="008C3393">
        <w:rPr>
          <w:szCs w:val="22"/>
          <w:lang w:val="fr-FR"/>
        </w:rPr>
        <w:t xml:space="preserve">adhésion a été </w:t>
      </w:r>
      <w:r w:rsidR="00A1380F">
        <w:rPr>
          <w:szCs w:val="22"/>
          <w:lang w:val="fr-FR"/>
        </w:rPr>
        <w:t>lancée</w:t>
      </w:r>
      <w:r w:rsidRPr="008C3393">
        <w:rPr>
          <w:szCs w:val="22"/>
          <w:lang w:val="fr-FR"/>
        </w:rPr>
        <w:t xml:space="preserve"> et devrait être terminée en 2013 ;</w:t>
      </w:r>
    </w:p>
    <w:p w14:paraId="02B0AA47" w14:textId="77777777" w:rsidR="00851BAD" w:rsidRPr="008C3393" w:rsidRDefault="00851BAD" w:rsidP="00BA154F">
      <w:pPr>
        <w:pStyle w:val="ListParagraph"/>
        <w:jc w:val="both"/>
        <w:rPr>
          <w:sz w:val="22"/>
          <w:szCs w:val="22"/>
          <w:lang w:val="fr-FR"/>
        </w:rPr>
      </w:pPr>
    </w:p>
    <w:p w14:paraId="4E8110BA" w14:textId="67D42FF2" w:rsidR="00851BAD" w:rsidRPr="008C3393" w:rsidRDefault="00822C50" w:rsidP="00BA154F">
      <w:pPr>
        <w:pStyle w:val="ListParagraph"/>
        <w:ind w:left="0"/>
        <w:jc w:val="both"/>
        <w:rPr>
          <w:b/>
          <w:sz w:val="22"/>
          <w:szCs w:val="22"/>
          <w:lang w:val="fr-FR"/>
        </w:rPr>
      </w:pPr>
      <w:r w:rsidRPr="008C3393">
        <w:rPr>
          <w:sz w:val="22"/>
          <w:szCs w:val="22"/>
          <w:lang w:val="fr-FR"/>
        </w:rPr>
        <w:t>5</w:t>
      </w:r>
      <w:r w:rsidR="0016026F">
        <w:rPr>
          <w:sz w:val="22"/>
          <w:szCs w:val="22"/>
          <w:lang w:val="fr-FR"/>
        </w:rPr>
        <w:t>4</w:t>
      </w:r>
      <w:r w:rsidRPr="008C3393">
        <w:rPr>
          <w:sz w:val="22"/>
          <w:szCs w:val="22"/>
          <w:lang w:val="fr-FR"/>
        </w:rPr>
        <w:t xml:space="preserve">. </w:t>
      </w:r>
      <w:r w:rsidR="008C7A8F" w:rsidRPr="008C3393">
        <w:rPr>
          <w:sz w:val="22"/>
          <w:szCs w:val="22"/>
          <w:lang w:val="fr-FR"/>
        </w:rPr>
        <w:t xml:space="preserve">Le </w:t>
      </w:r>
      <w:r w:rsidR="008C7A8F" w:rsidRPr="008C3393">
        <w:rPr>
          <w:b/>
          <w:sz w:val="22"/>
          <w:szCs w:val="22"/>
          <w:lang w:val="fr-FR"/>
        </w:rPr>
        <w:t>Bénin, au nom du Groupe africain</w:t>
      </w:r>
      <w:r w:rsidR="008C7A8F" w:rsidRPr="008C3393">
        <w:rPr>
          <w:sz w:val="22"/>
          <w:szCs w:val="22"/>
          <w:lang w:val="fr-FR"/>
        </w:rPr>
        <w:t xml:space="preserve"> et avec l</w:t>
      </w:r>
      <w:r w:rsidR="00F82A75">
        <w:rPr>
          <w:sz w:val="22"/>
          <w:szCs w:val="22"/>
          <w:lang w:val="fr-FR"/>
        </w:rPr>
        <w:t>’</w:t>
      </w:r>
      <w:r w:rsidR="008C7A8F" w:rsidRPr="008C3393">
        <w:rPr>
          <w:sz w:val="22"/>
          <w:szCs w:val="22"/>
          <w:lang w:val="fr-FR"/>
        </w:rPr>
        <w:t xml:space="preserve">appui du </w:t>
      </w:r>
      <w:r w:rsidR="008C7A8F" w:rsidRPr="008C3393">
        <w:rPr>
          <w:b/>
          <w:sz w:val="22"/>
          <w:szCs w:val="22"/>
          <w:lang w:val="fr-FR"/>
        </w:rPr>
        <w:t>Togo</w:t>
      </w:r>
      <w:r w:rsidR="008C7A8F" w:rsidRPr="008C3393">
        <w:rPr>
          <w:sz w:val="22"/>
          <w:szCs w:val="22"/>
          <w:lang w:val="fr-FR"/>
        </w:rPr>
        <w:t xml:space="preserve">, a appelé tous les participants </w:t>
      </w:r>
      <w:r w:rsidR="001D0E85" w:rsidRPr="008C3393">
        <w:rPr>
          <w:sz w:val="22"/>
          <w:szCs w:val="22"/>
          <w:lang w:val="fr-FR"/>
        </w:rPr>
        <w:t>à</w:t>
      </w:r>
      <w:r w:rsidR="008C7A8F" w:rsidRPr="008C3393">
        <w:rPr>
          <w:sz w:val="22"/>
          <w:szCs w:val="22"/>
          <w:lang w:val="fr-FR"/>
        </w:rPr>
        <w:t xml:space="preserve"> soutenir l</w:t>
      </w:r>
      <w:r w:rsidR="00F82A75">
        <w:rPr>
          <w:sz w:val="22"/>
          <w:szCs w:val="22"/>
          <w:lang w:val="fr-FR"/>
        </w:rPr>
        <w:t>’</w:t>
      </w:r>
      <w:r w:rsidR="008C7A8F" w:rsidRPr="008C3393">
        <w:rPr>
          <w:sz w:val="22"/>
          <w:szCs w:val="22"/>
          <w:lang w:val="fr-FR"/>
        </w:rPr>
        <w:t>avant-projet de Plan d</w:t>
      </w:r>
      <w:r w:rsidR="00F82A75">
        <w:rPr>
          <w:sz w:val="22"/>
          <w:szCs w:val="22"/>
          <w:lang w:val="fr-FR"/>
        </w:rPr>
        <w:t>’</w:t>
      </w:r>
      <w:r w:rsidR="008C7A8F" w:rsidRPr="008C3393">
        <w:rPr>
          <w:sz w:val="22"/>
          <w:szCs w:val="22"/>
          <w:lang w:val="fr-FR"/>
        </w:rPr>
        <w:t>action pour l</w:t>
      </w:r>
      <w:r w:rsidR="00F82A75">
        <w:rPr>
          <w:sz w:val="22"/>
          <w:szCs w:val="22"/>
          <w:lang w:val="fr-FR"/>
        </w:rPr>
        <w:t>’</w:t>
      </w:r>
      <w:r w:rsidR="008C7A8F" w:rsidRPr="008C3393">
        <w:rPr>
          <w:sz w:val="22"/>
          <w:szCs w:val="22"/>
          <w:lang w:val="fr-FR"/>
        </w:rPr>
        <w:t>Afrique.</w:t>
      </w:r>
    </w:p>
    <w:p w14:paraId="486B8C7C" w14:textId="77777777" w:rsidR="00851BAD" w:rsidRPr="008C3393" w:rsidRDefault="00851BAD" w:rsidP="00BA154F">
      <w:pPr>
        <w:jc w:val="both"/>
        <w:rPr>
          <w:szCs w:val="22"/>
          <w:lang w:val="fr-FR"/>
        </w:rPr>
      </w:pPr>
    </w:p>
    <w:p w14:paraId="60F94484" w14:textId="04E89ECA" w:rsidR="00851BAD" w:rsidRPr="008C3393" w:rsidRDefault="00822C50" w:rsidP="00BA154F">
      <w:pPr>
        <w:jc w:val="both"/>
        <w:rPr>
          <w:szCs w:val="22"/>
          <w:lang w:val="fr-FR"/>
        </w:rPr>
      </w:pPr>
      <w:r w:rsidRPr="008C3393">
        <w:rPr>
          <w:szCs w:val="22"/>
          <w:lang w:val="fr-FR"/>
        </w:rPr>
        <w:t>5</w:t>
      </w:r>
      <w:r w:rsidR="0016026F">
        <w:rPr>
          <w:szCs w:val="22"/>
          <w:lang w:val="fr-FR"/>
        </w:rPr>
        <w:t>5</w:t>
      </w:r>
      <w:r w:rsidRPr="008C3393">
        <w:rPr>
          <w:szCs w:val="22"/>
          <w:lang w:val="fr-FR"/>
        </w:rPr>
        <w:t xml:space="preserve">. </w:t>
      </w:r>
      <w:r w:rsidR="008C7A8F" w:rsidRPr="008C3393">
        <w:rPr>
          <w:szCs w:val="22"/>
          <w:lang w:val="fr-FR"/>
        </w:rPr>
        <w:t xml:space="preserve">Le </w:t>
      </w:r>
      <w:r w:rsidR="008C7A8F" w:rsidRPr="008C3393">
        <w:rPr>
          <w:b/>
          <w:szCs w:val="22"/>
          <w:lang w:val="fr-FR"/>
        </w:rPr>
        <w:t>Président</w:t>
      </w:r>
      <w:r w:rsidR="008C7A8F" w:rsidRPr="008C3393">
        <w:rPr>
          <w:szCs w:val="22"/>
          <w:lang w:val="fr-FR"/>
        </w:rPr>
        <w:t xml:space="preserve"> était très encouragé de voir que beaucoup de nouvelles Parties avaient, soit adhéré à l</w:t>
      </w:r>
      <w:r w:rsidR="00F82A75">
        <w:rPr>
          <w:szCs w:val="22"/>
          <w:lang w:val="fr-FR"/>
        </w:rPr>
        <w:t>’</w:t>
      </w:r>
      <w:r w:rsidR="008C7A8F" w:rsidRPr="008C3393">
        <w:rPr>
          <w:szCs w:val="22"/>
          <w:lang w:val="fr-FR"/>
        </w:rPr>
        <w:t>Accord, soit étaient engagées dans le processus d</w:t>
      </w:r>
      <w:r w:rsidR="00F82A75">
        <w:rPr>
          <w:szCs w:val="22"/>
          <w:lang w:val="fr-FR"/>
        </w:rPr>
        <w:t>’</w:t>
      </w:r>
      <w:r w:rsidR="008C7A8F" w:rsidRPr="008C3393">
        <w:rPr>
          <w:szCs w:val="22"/>
          <w:lang w:val="fr-FR"/>
        </w:rPr>
        <w:t xml:space="preserve">adhésion, à une époque où </w:t>
      </w:r>
      <w:r w:rsidR="001D0E85" w:rsidRPr="008C3393">
        <w:rPr>
          <w:szCs w:val="22"/>
          <w:lang w:val="fr-FR"/>
        </w:rPr>
        <w:t xml:space="preserve">il y a </w:t>
      </w:r>
      <w:r w:rsidR="008C7A8F" w:rsidRPr="008C3393">
        <w:rPr>
          <w:szCs w:val="22"/>
          <w:lang w:val="fr-FR"/>
        </w:rPr>
        <w:t>tant d</w:t>
      </w:r>
      <w:r w:rsidR="00F82A75">
        <w:rPr>
          <w:szCs w:val="22"/>
          <w:lang w:val="fr-FR"/>
        </w:rPr>
        <w:t>’</w:t>
      </w:r>
      <w:r w:rsidR="008C7A8F" w:rsidRPr="008C3393">
        <w:rPr>
          <w:szCs w:val="22"/>
          <w:lang w:val="fr-FR"/>
        </w:rPr>
        <w:t xml:space="preserve">autres </w:t>
      </w:r>
      <w:r w:rsidR="00A1380F">
        <w:rPr>
          <w:szCs w:val="22"/>
          <w:lang w:val="fr-FR"/>
        </w:rPr>
        <w:t>problèmes</w:t>
      </w:r>
      <w:r w:rsidR="008C7A8F" w:rsidRPr="008C3393">
        <w:rPr>
          <w:szCs w:val="22"/>
          <w:lang w:val="fr-FR"/>
        </w:rPr>
        <w:t xml:space="preserve"> dans le monde.</w:t>
      </w:r>
      <w:r w:rsidR="00851BAD" w:rsidRPr="008C3393">
        <w:rPr>
          <w:szCs w:val="22"/>
          <w:lang w:val="fr-FR"/>
        </w:rPr>
        <w:t xml:space="preserve"> </w:t>
      </w:r>
      <w:r w:rsidR="008C7A8F" w:rsidRPr="008C3393">
        <w:rPr>
          <w:szCs w:val="22"/>
          <w:lang w:val="fr-FR"/>
        </w:rPr>
        <w:t xml:space="preserve">Ceci a </w:t>
      </w:r>
      <w:r w:rsidR="00AE11F6" w:rsidRPr="008C3393">
        <w:rPr>
          <w:szCs w:val="22"/>
          <w:lang w:val="fr-FR"/>
        </w:rPr>
        <w:t>reflété</w:t>
      </w:r>
      <w:r w:rsidR="008C7A8F" w:rsidRPr="008C3393">
        <w:rPr>
          <w:szCs w:val="22"/>
          <w:lang w:val="fr-FR"/>
        </w:rPr>
        <w:t xml:space="preserve"> la conviction que l</w:t>
      </w:r>
      <w:r w:rsidR="00F82A75">
        <w:rPr>
          <w:szCs w:val="22"/>
          <w:lang w:val="fr-FR"/>
        </w:rPr>
        <w:t>’</w:t>
      </w:r>
      <w:r w:rsidR="008C7A8F" w:rsidRPr="008C3393">
        <w:rPr>
          <w:szCs w:val="22"/>
          <w:lang w:val="fr-FR"/>
        </w:rPr>
        <w:t>AEWA pouvait faire une différence.</w:t>
      </w:r>
    </w:p>
    <w:p w14:paraId="55C66321" w14:textId="77777777" w:rsidR="00851BAD" w:rsidRDefault="00851BAD" w:rsidP="00BA154F">
      <w:pPr>
        <w:jc w:val="both"/>
        <w:rPr>
          <w:szCs w:val="22"/>
          <w:lang w:val="fr-FR"/>
        </w:rPr>
      </w:pPr>
    </w:p>
    <w:p w14:paraId="756F3A0B" w14:textId="77777777" w:rsidR="000B5930" w:rsidRDefault="000B5930" w:rsidP="00BA154F">
      <w:pPr>
        <w:jc w:val="both"/>
        <w:rPr>
          <w:szCs w:val="22"/>
          <w:lang w:val="fr-FR"/>
        </w:rPr>
      </w:pPr>
    </w:p>
    <w:p w14:paraId="34E6660D" w14:textId="5FCA6753" w:rsidR="000B5930" w:rsidRPr="00144C10" w:rsidRDefault="000B5930" w:rsidP="00BA154F">
      <w:pPr>
        <w:jc w:val="both"/>
        <w:rPr>
          <w:b/>
          <w:szCs w:val="22"/>
          <w:lang w:val="fr-FR"/>
        </w:rPr>
      </w:pPr>
      <w:r w:rsidRPr="000B5930">
        <w:rPr>
          <w:b/>
          <w:szCs w:val="22"/>
          <w:lang w:val="fr-FR"/>
        </w:rPr>
        <w:t xml:space="preserve">Point 8 de l’ordre du jour - </w:t>
      </w:r>
      <w:r w:rsidRPr="000B5930">
        <w:rPr>
          <w:b/>
          <w:iCs/>
          <w:szCs w:val="22"/>
          <w:lang w:val="fr-FR"/>
        </w:rPr>
        <w:t>Cérémonie de remise du Prix de l’AEWA pour la conservation des oiseaux</w:t>
      </w:r>
      <w:r w:rsidRPr="00DE684B">
        <w:rPr>
          <w:b/>
          <w:iCs/>
          <w:szCs w:val="22"/>
          <w:lang w:val="fr-FR"/>
        </w:rPr>
        <w:t xml:space="preserve"> d</w:t>
      </w:r>
      <w:r>
        <w:rPr>
          <w:b/>
          <w:iCs/>
          <w:szCs w:val="22"/>
          <w:lang w:val="fr-FR"/>
        </w:rPr>
        <w:t>’</w:t>
      </w:r>
      <w:r w:rsidRPr="00DE684B">
        <w:rPr>
          <w:b/>
          <w:iCs/>
          <w:szCs w:val="22"/>
          <w:lang w:val="fr-FR"/>
        </w:rPr>
        <w:t>eau</w:t>
      </w:r>
    </w:p>
    <w:p w14:paraId="4712BCEB" w14:textId="77777777" w:rsidR="000B5930" w:rsidRDefault="000B5930" w:rsidP="00BA154F">
      <w:pPr>
        <w:jc w:val="both"/>
        <w:rPr>
          <w:szCs w:val="22"/>
          <w:lang w:val="fr-FR"/>
        </w:rPr>
      </w:pPr>
    </w:p>
    <w:p w14:paraId="4941ACFD" w14:textId="5C6B418A" w:rsidR="00967C2C" w:rsidRDefault="00967C2C" w:rsidP="00BA154F">
      <w:pPr>
        <w:jc w:val="both"/>
        <w:rPr>
          <w:szCs w:val="22"/>
          <w:lang w:val="fr-FR"/>
        </w:rPr>
      </w:pPr>
      <w:r>
        <w:rPr>
          <w:szCs w:val="22"/>
          <w:lang w:val="fr-FR"/>
        </w:rPr>
        <w:t>Ce point de l’ordre du jour</w:t>
      </w:r>
      <w:r w:rsidR="00C35ADA">
        <w:rPr>
          <w:szCs w:val="22"/>
          <w:lang w:val="fr-FR"/>
        </w:rPr>
        <w:t xml:space="preserve"> a été couvert pendant la cérémonie d’ouverture de la MOP5 (voir paragraphes 16 à 21).</w:t>
      </w:r>
    </w:p>
    <w:p w14:paraId="7796407F" w14:textId="77777777" w:rsidR="00967C2C" w:rsidRDefault="00967C2C" w:rsidP="00BA154F">
      <w:pPr>
        <w:jc w:val="both"/>
        <w:rPr>
          <w:szCs w:val="22"/>
          <w:lang w:val="fr-FR"/>
        </w:rPr>
      </w:pPr>
    </w:p>
    <w:p w14:paraId="0BA3D649" w14:textId="77777777" w:rsidR="00792FC9" w:rsidRPr="0065286D" w:rsidRDefault="00792FC9" w:rsidP="00BA154F">
      <w:pPr>
        <w:jc w:val="both"/>
        <w:rPr>
          <w:szCs w:val="22"/>
          <w:lang w:val="fr-FR"/>
        </w:rPr>
      </w:pPr>
    </w:p>
    <w:p w14:paraId="6E3BA338" w14:textId="77777777" w:rsidR="00792FC9" w:rsidRPr="00E87605" w:rsidRDefault="00792FC9" w:rsidP="00BA154F">
      <w:pPr>
        <w:jc w:val="both"/>
        <w:outlineLvl w:val="0"/>
        <w:rPr>
          <w:b/>
          <w:szCs w:val="22"/>
          <w:lang w:val="fr-FR"/>
        </w:rPr>
      </w:pPr>
      <w:r w:rsidRPr="00E87605">
        <w:rPr>
          <w:b/>
          <w:szCs w:val="22"/>
          <w:lang w:val="fr-FR"/>
        </w:rPr>
        <w:t>Point 9 de l’ordre du jour - Rapports</w:t>
      </w:r>
    </w:p>
    <w:p w14:paraId="00F189CB" w14:textId="77777777" w:rsidR="00792FC9" w:rsidRPr="00E87605" w:rsidRDefault="00792FC9" w:rsidP="00BA154F">
      <w:pPr>
        <w:jc w:val="both"/>
        <w:rPr>
          <w:szCs w:val="22"/>
          <w:lang w:val="fr-FR"/>
        </w:rPr>
      </w:pPr>
    </w:p>
    <w:p w14:paraId="4D3FDA2E" w14:textId="77777777" w:rsidR="00792FC9" w:rsidRPr="00E87605" w:rsidRDefault="00792FC9" w:rsidP="00BA154F">
      <w:pPr>
        <w:jc w:val="both"/>
        <w:outlineLvl w:val="0"/>
        <w:rPr>
          <w:b/>
          <w:szCs w:val="22"/>
          <w:lang w:val="fr-FR"/>
        </w:rPr>
      </w:pPr>
      <w:r w:rsidRPr="00E87605">
        <w:rPr>
          <w:b/>
          <w:szCs w:val="22"/>
          <w:lang w:val="fr-FR"/>
        </w:rPr>
        <w:t>a. Comité permanent</w:t>
      </w:r>
    </w:p>
    <w:p w14:paraId="25A201B6" w14:textId="77777777" w:rsidR="00792FC9" w:rsidRPr="00E87605" w:rsidRDefault="00792FC9" w:rsidP="00BA154F">
      <w:pPr>
        <w:jc w:val="both"/>
        <w:rPr>
          <w:szCs w:val="22"/>
          <w:lang w:val="fr-FR"/>
        </w:rPr>
      </w:pPr>
    </w:p>
    <w:p w14:paraId="532870BE" w14:textId="191B24D5" w:rsidR="00792FC9" w:rsidRPr="00E87605" w:rsidRDefault="0016026F" w:rsidP="00BA154F">
      <w:pPr>
        <w:jc w:val="both"/>
        <w:rPr>
          <w:szCs w:val="22"/>
          <w:lang w:val="fr-FR"/>
        </w:rPr>
      </w:pPr>
      <w:r>
        <w:rPr>
          <w:szCs w:val="22"/>
          <w:lang w:val="fr-FR"/>
        </w:rPr>
        <w:t>57</w:t>
      </w:r>
      <w:r w:rsidR="00792FC9" w:rsidRPr="00E87605">
        <w:rPr>
          <w:szCs w:val="22"/>
          <w:lang w:val="fr-FR"/>
        </w:rPr>
        <w:t xml:space="preserve">. Le </w:t>
      </w:r>
      <w:r w:rsidR="00792FC9" w:rsidRPr="00E87605">
        <w:rPr>
          <w:b/>
          <w:szCs w:val="22"/>
          <w:lang w:val="fr-FR"/>
        </w:rPr>
        <w:t>Président du Comité permanent</w:t>
      </w:r>
      <w:r w:rsidR="00792FC9" w:rsidRPr="00E87605">
        <w:rPr>
          <w:szCs w:val="22"/>
          <w:lang w:val="fr-FR"/>
        </w:rPr>
        <w:t xml:space="preserve"> (M. </w:t>
      </w:r>
      <w:proofErr w:type="spellStart"/>
      <w:r w:rsidR="00792FC9" w:rsidRPr="00E87605">
        <w:rPr>
          <w:szCs w:val="22"/>
          <w:lang w:val="fr-FR"/>
        </w:rPr>
        <w:t>Øystein</w:t>
      </w:r>
      <w:proofErr w:type="spellEnd"/>
      <w:r w:rsidR="00792FC9" w:rsidRPr="00E87605">
        <w:rPr>
          <w:szCs w:val="22"/>
          <w:lang w:val="fr-FR"/>
        </w:rPr>
        <w:t xml:space="preserve"> </w:t>
      </w:r>
      <w:proofErr w:type="spellStart"/>
      <w:r w:rsidR="00792FC9" w:rsidRPr="00E87605">
        <w:rPr>
          <w:szCs w:val="22"/>
          <w:lang w:val="fr-FR"/>
        </w:rPr>
        <w:t>Størkersen</w:t>
      </w:r>
      <w:proofErr w:type="spellEnd"/>
      <w:r w:rsidR="00792FC9" w:rsidRPr="00E87605">
        <w:rPr>
          <w:szCs w:val="22"/>
          <w:lang w:val="fr-FR"/>
        </w:rPr>
        <w:t xml:space="preserve">, Norvège) a présenté le document AEWA/MOP 5.6 </w:t>
      </w:r>
      <w:r w:rsidR="00792FC9" w:rsidRPr="00E87605">
        <w:rPr>
          <w:i/>
          <w:szCs w:val="22"/>
          <w:lang w:val="fr-FR"/>
        </w:rPr>
        <w:t>Rapport du Comité permanent</w:t>
      </w:r>
      <w:r w:rsidR="00792FC9" w:rsidRPr="00E87605">
        <w:rPr>
          <w:szCs w:val="22"/>
          <w:lang w:val="fr-FR"/>
        </w:rPr>
        <w:t>.</w:t>
      </w:r>
    </w:p>
    <w:p w14:paraId="517A09C1" w14:textId="77777777" w:rsidR="00792FC9" w:rsidRPr="00E87605" w:rsidRDefault="00792FC9" w:rsidP="00BA154F">
      <w:pPr>
        <w:jc w:val="both"/>
        <w:rPr>
          <w:szCs w:val="22"/>
          <w:lang w:val="fr-FR"/>
        </w:rPr>
      </w:pPr>
    </w:p>
    <w:p w14:paraId="51D51E0F" w14:textId="560C6210" w:rsidR="00792FC9" w:rsidRPr="00E87605" w:rsidRDefault="0016026F" w:rsidP="00BA154F">
      <w:pPr>
        <w:jc w:val="both"/>
        <w:outlineLvl w:val="0"/>
        <w:rPr>
          <w:szCs w:val="22"/>
          <w:lang w:val="fr-FR"/>
        </w:rPr>
      </w:pPr>
      <w:r>
        <w:rPr>
          <w:szCs w:val="22"/>
          <w:lang w:val="fr-FR"/>
        </w:rPr>
        <w:t>58</w:t>
      </w:r>
      <w:r w:rsidR="00792FC9" w:rsidRPr="00E87605">
        <w:rPr>
          <w:szCs w:val="22"/>
          <w:lang w:val="fr-FR"/>
        </w:rPr>
        <w:t xml:space="preserve">. Le </w:t>
      </w:r>
      <w:r w:rsidR="00792FC9" w:rsidRPr="00E87605">
        <w:rPr>
          <w:b/>
          <w:szCs w:val="22"/>
          <w:lang w:val="fr-FR"/>
        </w:rPr>
        <w:t>Président</w:t>
      </w:r>
      <w:r w:rsidR="00792FC9" w:rsidRPr="00E87605">
        <w:rPr>
          <w:szCs w:val="22"/>
          <w:lang w:val="fr-FR"/>
        </w:rPr>
        <w:t xml:space="preserve"> </w:t>
      </w:r>
      <w:r w:rsidR="00792FC9" w:rsidRPr="00E87605">
        <w:rPr>
          <w:b/>
          <w:szCs w:val="22"/>
          <w:lang w:val="fr-FR"/>
        </w:rPr>
        <w:t>de la MOP</w:t>
      </w:r>
      <w:r w:rsidR="00792FC9" w:rsidRPr="00E87605">
        <w:rPr>
          <w:szCs w:val="22"/>
          <w:lang w:val="fr-FR"/>
        </w:rPr>
        <w:t xml:space="preserve"> a </w:t>
      </w:r>
      <w:r w:rsidR="00792FC9">
        <w:rPr>
          <w:szCs w:val="22"/>
          <w:lang w:val="fr-FR"/>
        </w:rPr>
        <w:t>félicité</w:t>
      </w:r>
      <w:r w:rsidR="00792FC9" w:rsidRPr="00E87605">
        <w:rPr>
          <w:szCs w:val="22"/>
          <w:lang w:val="fr-FR"/>
        </w:rPr>
        <w:t xml:space="preserve"> le Président et les membres du TC pour leur travail.</w:t>
      </w:r>
    </w:p>
    <w:p w14:paraId="77EF0355" w14:textId="77777777" w:rsidR="00792FC9" w:rsidRPr="00E87605" w:rsidRDefault="00792FC9" w:rsidP="00BA154F">
      <w:pPr>
        <w:jc w:val="both"/>
        <w:rPr>
          <w:szCs w:val="22"/>
          <w:lang w:val="fr-FR"/>
        </w:rPr>
      </w:pPr>
    </w:p>
    <w:p w14:paraId="275FC493" w14:textId="2FC9BE5F" w:rsidR="00792FC9" w:rsidRPr="00E87605" w:rsidRDefault="0016026F" w:rsidP="00BA154F">
      <w:pPr>
        <w:jc w:val="both"/>
        <w:rPr>
          <w:szCs w:val="22"/>
          <w:lang w:val="fr-FR"/>
        </w:rPr>
      </w:pPr>
      <w:r>
        <w:rPr>
          <w:szCs w:val="22"/>
          <w:lang w:val="fr-FR"/>
        </w:rPr>
        <w:t>59</w:t>
      </w:r>
      <w:r w:rsidR="00792FC9" w:rsidRPr="00E87605">
        <w:rPr>
          <w:szCs w:val="22"/>
          <w:lang w:val="fr-FR"/>
        </w:rPr>
        <w:t xml:space="preserve">. Le </w:t>
      </w:r>
      <w:r w:rsidR="00792FC9" w:rsidRPr="00E87605">
        <w:rPr>
          <w:b/>
          <w:szCs w:val="22"/>
          <w:lang w:val="fr-FR"/>
        </w:rPr>
        <w:t>Danemark</w:t>
      </w:r>
      <w:r w:rsidR="00792FC9" w:rsidRPr="00E87605">
        <w:rPr>
          <w:szCs w:val="22"/>
          <w:lang w:val="fr-FR"/>
        </w:rPr>
        <w:t>, parlant au nom de</w:t>
      </w:r>
      <w:r w:rsidR="00792FC9" w:rsidRPr="00E87605">
        <w:rPr>
          <w:b/>
          <w:szCs w:val="22"/>
          <w:lang w:val="fr-FR"/>
        </w:rPr>
        <w:t xml:space="preserve"> l’Union européenne et de ses États membres</w:t>
      </w:r>
      <w:r w:rsidR="00792FC9" w:rsidRPr="00E87605">
        <w:rPr>
          <w:szCs w:val="22"/>
          <w:lang w:val="fr-FR"/>
        </w:rPr>
        <w:t xml:space="preserve">, a remercié le </w:t>
      </w:r>
      <w:proofErr w:type="spellStart"/>
      <w:r w:rsidR="00792FC9" w:rsidRPr="00E87605">
        <w:rPr>
          <w:szCs w:val="22"/>
          <w:lang w:val="fr-FR"/>
        </w:rPr>
        <w:t>StC</w:t>
      </w:r>
      <w:proofErr w:type="spellEnd"/>
      <w:r w:rsidR="00792FC9" w:rsidRPr="00E87605">
        <w:rPr>
          <w:szCs w:val="22"/>
          <w:lang w:val="fr-FR"/>
        </w:rPr>
        <w:t xml:space="preserve"> pour son travail durant la période triennale, y compris la conduite des préparati</w:t>
      </w:r>
      <w:r w:rsidR="00792FC9">
        <w:rPr>
          <w:szCs w:val="22"/>
          <w:lang w:val="fr-FR"/>
        </w:rPr>
        <w:t>fs</w:t>
      </w:r>
      <w:r w:rsidR="00792FC9" w:rsidRPr="00E87605">
        <w:rPr>
          <w:szCs w:val="22"/>
          <w:lang w:val="fr-FR"/>
        </w:rPr>
        <w:t xml:space="preserve"> de la MOP5. Des remerciements étaient également </w:t>
      </w:r>
      <w:r w:rsidR="00792FC9">
        <w:rPr>
          <w:szCs w:val="22"/>
          <w:lang w:val="fr-FR"/>
        </w:rPr>
        <w:t>adressés</w:t>
      </w:r>
      <w:r w:rsidR="00792FC9" w:rsidRPr="00E87605">
        <w:rPr>
          <w:szCs w:val="22"/>
          <w:lang w:val="fr-FR"/>
        </w:rPr>
        <w:t xml:space="preserve"> à l’Allemagne, qui héberge le Secrétariat. Un </w:t>
      </w:r>
      <w:proofErr w:type="spellStart"/>
      <w:r w:rsidR="00792FC9" w:rsidRPr="00E87605">
        <w:rPr>
          <w:szCs w:val="22"/>
          <w:lang w:val="fr-FR"/>
        </w:rPr>
        <w:t>StC</w:t>
      </w:r>
      <w:proofErr w:type="spellEnd"/>
      <w:r w:rsidR="00792FC9" w:rsidRPr="00E87605">
        <w:rPr>
          <w:szCs w:val="22"/>
          <w:lang w:val="fr-FR"/>
        </w:rPr>
        <w:t xml:space="preserve"> fonctionnant bien était vital pour l’efficacité de l’Accord : il était un moyen pour le Secrétariat et le TC d’être reliés aux Parties et de gérer les affaires de l’Accord entre les MOP. L’UE et ses États membres chercheraient activement des candidats pour le nouveau </w:t>
      </w:r>
      <w:proofErr w:type="spellStart"/>
      <w:r w:rsidR="00792FC9" w:rsidRPr="00E87605">
        <w:rPr>
          <w:szCs w:val="22"/>
          <w:lang w:val="fr-FR"/>
        </w:rPr>
        <w:t>StC</w:t>
      </w:r>
      <w:proofErr w:type="spellEnd"/>
      <w:r w:rsidR="00792FC9" w:rsidRPr="00E87605">
        <w:rPr>
          <w:szCs w:val="22"/>
          <w:lang w:val="fr-FR"/>
        </w:rPr>
        <w:t>.</w:t>
      </w:r>
    </w:p>
    <w:p w14:paraId="2004F613" w14:textId="77777777" w:rsidR="00792FC9" w:rsidRPr="00E87605" w:rsidRDefault="00792FC9" w:rsidP="00BA154F">
      <w:pPr>
        <w:jc w:val="both"/>
        <w:rPr>
          <w:szCs w:val="22"/>
          <w:lang w:val="fr-FR"/>
        </w:rPr>
      </w:pPr>
    </w:p>
    <w:p w14:paraId="7960F2FE" w14:textId="77777777" w:rsidR="00792FC9" w:rsidRPr="00E87605" w:rsidRDefault="00792FC9" w:rsidP="00BA154F">
      <w:pPr>
        <w:jc w:val="both"/>
        <w:outlineLvl w:val="0"/>
        <w:rPr>
          <w:b/>
          <w:szCs w:val="22"/>
          <w:lang w:val="fr-FR"/>
        </w:rPr>
      </w:pPr>
      <w:r w:rsidRPr="00E87605">
        <w:rPr>
          <w:b/>
          <w:szCs w:val="22"/>
          <w:lang w:val="fr-FR"/>
        </w:rPr>
        <w:t>b. Comité technique</w:t>
      </w:r>
    </w:p>
    <w:p w14:paraId="1756EE0A" w14:textId="77777777" w:rsidR="00792FC9" w:rsidRPr="00E87605" w:rsidRDefault="00792FC9" w:rsidP="00BA154F">
      <w:pPr>
        <w:jc w:val="both"/>
        <w:rPr>
          <w:szCs w:val="22"/>
          <w:lang w:val="fr-FR"/>
        </w:rPr>
      </w:pPr>
    </w:p>
    <w:p w14:paraId="7CF6C188" w14:textId="6750F741" w:rsidR="00792FC9" w:rsidRPr="00E87605" w:rsidRDefault="0016026F" w:rsidP="00BA154F">
      <w:pPr>
        <w:jc w:val="both"/>
        <w:rPr>
          <w:szCs w:val="22"/>
          <w:lang w:val="fr-FR"/>
        </w:rPr>
      </w:pPr>
      <w:r>
        <w:rPr>
          <w:szCs w:val="22"/>
          <w:lang w:val="fr-FR"/>
        </w:rPr>
        <w:t>60</w:t>
      </w:r>
      <w:r w:rsidR="00792FC9" w:rsidRPr="00E87605">
        <w:rPr>
          <w:szCs w:val="22"/>
          <w:lang w:val="fr-FR"/>
        </w:rPr>
        <w:t xml:space="preserve">. Le </w:t>
      </w:r>
      <w:r w:rsidR="00792FC9" w:rsidRPr="00E87605">
        <w:rPr>
          <w:b/>
          <w:szCs w:val="22"/>
          <w:lang w:val="fr-FR"/>
        </w:rPr>
        <w:t>Président du TC</w:t>
      </w:r>
      <w:r w:rsidR="00792FC9" w:rsidRPr="00E87605">
        <w:rPr>
          <w:szCs w:val="22"/>
          <w:lang w:val="fr-FR"/>
        </w:rPr>
        <w:t xml:space="preserve"> (Dr Jelena </w:t>
      </w:r>
      <w:proofErr w:type="spellStart"/>
      <w:r w:rsidR="00792FC9" w:rsidRPr="00E87605">
        <w:rPr>
          <w:szCs w:val="22"/>
          <w:lang w:val="fr-FR"/>
        </w:rPr>
        <w:t>Kralj</w:t>
      </w:r>
      <w:proofErr w:type="spellEnd"/>
      <w:r w:rsidR="00792FC9" w:rsidRPr="00E87605">
        <w:rPr>
          <w:szCs w:val="22"/>
          <w:lang w:val="fr-FR"/>
        </w:rPr>
        <w:t xml:space="preserve">) a présenté le document AEWA/MOP 5.7 </w:t>
      </w:r>
      <w:r w:rsidR="00792FC9" w:rsidRPr="00E87605">
        <w:rPr>
          <w:i/>
          <w:szCs w:val="22"/>
          <w:lang w:val="fr-FR"/>
        </w:rPr>
        <w:t>Rapport du Comité technique</w:t>
      </w:r>
      <w:r w:rsidR="00792FC9" w:rsidRPr="00E87605">
        <w:rPr>
          <w:szCs w:val="22"/>
          <w:lang w:val="fr-FR"/>
        </w:rPr>
        <w:t>. La MOP4 a donné au TC une longue liste de tâches et le TC a ensuite développé un plan de travail pour 2009-2012, et des groupes de travail ont été établis. L’espace de travail du Comité technique de l'AEWA, lancé en janvier 2009, a grandement facilité le</w:t>
      </w:r>
      <w:r w:rsidR="00792FC9">
        <w:rPr>
          <w:szCs w:val="22"/>
          <w:lang w:val="fr-FR"/>
        </w:rPr>
        <w:t xml:space="preserve"> fonctionnement</w:t>
      </w:r>
      <w:r w:rsidR="00792FC9" w:rsidRPr="00E87605">
        <w:rPr>
          <w:szCs w:val="22"/>
          <w:lang w:val="fr-FR"/>
        </w:rPr>
        <w:t xml:space="preserve"> </w:t>
      </w:r>
      <w:r w:rsidR="00792FC9">
        <w:rPr>
          <w:szCs w:val="22"/>
          <w:lang w:val="fr-FR"/>
        </w:rPr>
        <w:t>d</w:t>
      </w:r>
      <w:r w:rsidR="00792FC9" w:rsidRPr="00E87605">
        <w:rPr>
          <w:szCs w:val="22"/>
          <w:lang w:val="fr-FR"/>
        </w:rPr>
        <w:t>es groupes de travail.</w:t>
      </w:r>
    </w:p>
    <w:p w14:paraId="216B7EB0" w14:textId="77777777" w:rsidR="00792FC9" w:rsidRPr="00E87605" w:rsidRDefault="00792FC9" w:rsidP="00BA154F">
      <w:pPr>
        <w:jc w:val="both"/>
        <w:rPr>
          <w:szCs w:val="22"/>
          <w:lang w:val="fr-FR"/>
        </w:rPr>
      </w:pPr>
    </w:p>
    <w:p w14:paraId="33E7D837" w14:textId="4241C6CE" w:rsidR="00792FC9" w:rsidRPr="00E87605" w:rsidRDefault="0016026F" w:rsidP="00BA154F">
      <w:pPr>
        <w:jc w:val="both"/>
        <w:rPr>
          <w:szCs w:val="22"/>
          <w:lang w:val="fr-FR"/>
        </w:rPr>
      </w:pPr>
      <w:r>
        <w:rPr>
          <w:szCs w:val="22"/>
          <w:lang w:val="fr-FR"/>
        </w:rPr>
        <w:t>61</w:t>
      </w:r>
      <w:r w:rsidR="00792FC9" w:rsidRPr="00E87605">
        <w:rPr>
          <w:szCs w:val="22"/>
          <w:lang w:val="fr-FR"/>
        </w:rPr>
        <w:t>. Le</w:t>
      </w:r>
      <w:r w:rsidR="00792FC9" w:rsidRPr="00E87605">
        <w:rPr>
          <w:b/>
          <w:szCs w:val="22"/>
          <w:lang w:val="fr-FR"/>
        </w:rPr>
        <w:t xml:space="preserve"> Dr </w:t>
      </w:r>
      <w:proofErr w:type="spellStart"/>
      <w:r w:rsidR="00792FC9" w:rsidRPr="00E87605">
        <w:rPr>
          <w:b/>
          <w:szCs w:val="22"/>
          <w:lang w:val="fr-FR"/>
        </w:rPr>
        <w:t>Kralj</w:t>
      </w:r>
      <w:proofErr w:type="spellEnd"/>
      <w:r w:rsidR="00792FC9" w:rsidRPr="00E87605">
        <w:rPr>
          <w:szCs w:val="22"/>
          <w:lang w:val="fr-FR"/>
        </w:rPr>
        <w:t xml:space="preserve"> a brièvement résumé les progrès réalisés au niveau des questions et des tâches traitées par le TC et ses groupes de travail dans le cadre du plan de travail 2009-2012. Toutes celles-ci ont été effectuées à l’exception de deux : (a) les directives sur la chasse des espèces dites « sosies » et (b) le caractère adéquat des réseaux de sites pour la protection des oiseaux d'eau migrateurs en relation avec les impacts du changement climatique. Un certain nombre de tâches a donné lieu à la préparation de documents et d’avant-projets de résolutions pour la MOP5, qui ser</w:t>
      </w:r>
      <w:r w:rsidR="00792FC9">
        <w:rPr>
          <w:szCs w:val="22"/>
          <w:lang w:val="fr-FR"/>
        </w:rPr>
        <w:t>o</w:t>
      </w:r>
      <w:r w:rsidR="00792FC9" w:rsidRPr="00E87605">
        <w:rPr>
          <w:szCs w:val="22"/>
          <w:lang w:val="fr-FR"/>
        </w:rPr>
        <w:t xml:space="preserve">nt examinés par le WG1. Des remerciements étaient </w:t>
      </w:r>
      <w:r w:rsidR="00792FC9">
        <w:rPr>
          <w:szCs w:val="22"/>
          <w:lang w:val="fr-FR"/>
        </w:rPr>
        <w:t>adressés</w:t>
      </w:r>
      <w:r w:rsidR="00792FC9" w:rsidRPr="00E87605">
        <w:rPr>
          <w:szCs w:val="22"/>
          <w:lang w:val="fr-FR"/>
        </w:rPr>
        <w:t xml:space="preserve"> aux gouvernements de la Croatie et du Kenya qui ont accueilli les réunions du TC, ainsi qu’à tous les membres du TC et du Secrétariat.</w:t>
      </w:r>
    </w:p>
    <w:p w14:paraId="605E8B3F" w14:textId="77777777" w:rsidR="00792FC9" w:rsidRPr="00E87605" w:rsidRDefault="00792FC9" w:rsidP="00BA154F">
      <w:pPr>
        <w:jc w:val="both"/>
        <w:rPr>
          <w:szCs w:val="22"/>
          <w:lang w:val="fr-FR"/>
        </w:rPr>
      </w:pPr>
    </w:p>
    <w:p w14:paraId="2610E4DA" w14:textId="1CBD7C77" w:rsidR="00792FC9" w:rsidRPr="00E87605" w:rsidRDefault="0016026F" w:rsidP="00BA154F">
      <w:pPr>
        <w:jc w:val="both"/>
        <w:outlineLvl w:val="0"/>
        <w:rPr>
          <w:szCs w:val="22"/>
          <w:lang w:val="fr-FR"/>
        </w:rPr>
      </w:pPr>
      <w:r>
        <w:rPr>
          <w:szCs w:val="22"/>
          <w:lang w:val="fr-FR"/>
        </w:rPr>
        <w:t>62</w:t>
      </w:r>
      <w:r w:rsidR="00792FC9" w:rsidRPr="00E87605">
        <w:rPr>
          <w:szCs w:val="22"/>
          <w:lang w:val="fr-FR"/>
        </w:rPr>
        <w:t xml:space="preserve">. Le </w:t>
      </w:r>
      <w:r w:rsidR="00792FC9" w:rsidRPr="00E87605">
        <w:rPr>
          <w:b/>
          <w:szCs w:val="22"/>
          <w:lang w:val="fr-FR"/>
        </w:rPr>
        <w:t>Président</w:t>
      </w:r>
      <w:r w:rsidR="00792FC9" w:rsidRPr="00E87605">
        <w:rPr>
          <w:szCs w:val="22"/>
          <w:lang w:val="fr-FR"/>
        </w:rPr>
        <w:t xml:space="preserve"> a complimenté le TC sur la qualité remarquable de son travail.</w:t>
      </w:r>
    </w:p>
    <w:p w14:paraId="7128476C" w14:textId="77777777" w:rsidR="00792FC9" w:rsidRPr="00E87605" w:rsidRDefault="00792FC9" w:rsidP="00BA154F">
      <w:pPr>
        <w:jc w:val="both"/>
        <w:rPr>
          <w:szCs w:val="22"/>
          <w:lang w:val="fr-FR"/>
        </w:rPr>
      </w:pPr>
    </w:p>
    <w:p w14:paraId="3148FE56" w14:textId="4DDEDDE7" w:rsidR="00792FC9" w:rsidRPr="00E87605" w:rsidRDefault="0016026F" w:rsidP="00BA154F">
      <w:pPr>
        <w:jc w:val="both"/>
        <w:rPr>
          <w:szCs w:val="22"/>
          <w:lang w:val="fr-FR"/>
        </w:rPr>
      </w:pPr>
      <w:r>
        <w:rPr>
          <w:szCs w:val="22"/>
          <w:lang w:val="fr-FR"/>
        </w:rPr>
        <w:t>63</w:t>
      </w:r>
      <w:r w:rsidR="00792FC9" w:rsidRPr="00E87605">
        <w:rPr>
          <w:szCs w:val="22"/>
          <w:lang w:val="fr-FR"/>
        </w:rPr>
        <w:t xml:space="preserve">. Le </w:t>
      </w:r>
      <w:r w:rsidR="00792FC9" w:rsidRPr="00E87605">
        <w:rPr>
          <w:b/>
          <w:szCs w:val="22"/>
          <w:lang w:val="fr-FR"/>
        </w:rPr>
        <w:t>Danemark</w:t>
      </w:r>
      <w:r w:rsidR="00792FC9" w:rsidRPr="00E87605">
        <w:rPr>
          <w:szCs w:val="22"/>
          <w:lang w:val="fr-FR"/>
        </w:rPr>
        <w:t>, parlant au nom de</w:t>
      </w:r>
      <w:r w:rsidR="00792FC9" w:rsidRPr="00E87605">
        <w:rPr>
          <w:b/>
          <w:szCs w:val="22"/>
          <w:lang w:val="fr-FR"/>
        </w:rPr>
        <w:t xml:space="preserve"> l’Union européenne et de ses États membres</w:t>
      </w:r>
      <w:r w:rsidR="00792FC9" w:rsidRPr="00E87605">
        <w:rPr>
          <w:szCs w:val="22"/>
          <w:lang w:val="fr-FR"/>
        </w:rPr>
        <w:t>, a remercié le Président et les membres du TC pour leur travail, et a exprimé sa satisfaction de voir que le TC avait achevé la plupart des nombreuses tâches qui lui avaient été assignées par la MOP4. L’AEWA continuerait à avoir besoin d'une documentation technique et de conseils scientifiques solides, et l'UE continuerait à apporter son soutien au travail du TC au cours des prochaines années.</w:t>
      </w:r>
    </w:p>
    <w:p w14:paraId="58E640FF" w14:textId="3ADED145" w:rsidR="00792FC9" w:rsidRPr="00E87605" w:rsidRDefault="0016026F" w:rsidP="00BA154F">
      <w:pPr>
        <w:jc w:val="both"/>
        <w:rPr>
          <w:szCs w:val="22"/>
          <w:lang w:val="fr-FR"/>
        </w:rPr>
      </w:pPr>
      <w:r>
        <w:rPr>
          <w:szCs w:val="22"/>
          <w:lang w:val="fr-FR"/>
        </w:rPr>
        <w:lastRenderedPageBreak/>
        <w:t>64</w:t>
      </w:r>
      <w:r w:rsidR="00792FC9" w:rsidRPr="00E87605">
        <w:rPr>
          <w:szCs w:val="22"/>
          <w:lang w:val="fr-FR"/>
        </w:rPr>
        <w:t>. L’</w:t>
      </w:r>
      <w:r w:rsidR="00792FC9" w:rsidRPr="00E87605">
        <w:rPr>
          <w:b/>
          <w:szCs w:val="22"/>
          <w:lang w:val="fr-FR"/>
        </w:rPr>
        <w:t>Administrateur technique</w:t>
      </w:r>
      <w:r w:rsidR="00792FC9" w:rsidRPr="00E87605">
        <w:rPr>
          <w:szCs w:val="22"/>
          <w:lang w:val="fr-FR"/>
        </w:rPr>
        <w:t xml:space="preserve"> a noté que le </w:t>
      </w:r>
      <w:r w:rsidR="00792FC9" w:rsidRPr="00E87605">
        <w:rPr>
          <w:b/>
          <w:szCs w:val="22"/>
          <w:lang w:val="fr-FR"/>
        </w:rPr>
        <w:t>Président du TC</w:t>
      </w:r>
      <w:r w:rsidR="00792FC9" w:rsidRPr="00E87605">
        <w:rPr>
          <w:szCs w:val="22"/>
          <w:lang w:val="fr-FR"/>
        </w:rPr>
        <w:t xml:space="preserve"> se retirerait de ses fonctions à la fin de la MOP5. Au nom du Secrétariat, il a remercié le Dr </w:t>
      </w:r>
      <w:proofErr w:type="spellStart"/>
      <w:r w:rsidR="00792FC9" w:rsidRPr="00E87605">
        <w:rPr>
          <w:szCs w:val="22"/>
          <w:lang w:val="fr-FR"/>
        </w:rPr>
        <w:t>Kralj</w:t>
      </w:r>
      <w:proofErr w:type="spellEnd"/>
      <w:r w:rsidR="00792FC9" w:rsidRPr="00E87605">
        <w:rPr>
          <w:szCs w:val="22"/>
          <w:lang w:val="fr-FR"/>
        </w:rPr>
        <w:t xml:space="preserve"> pour son travail.</w:t>
      </w:r>
    </w:p>
    <w:p w14:paraId="0B2C2845" w14:textId="77777777" w:rsidR="0016026F" w:rsidRPr="00E87605" w:rsidRDefault="0016026F" w:rsidP="00BA154F">
      <w:pPr>
        <w:jc w:val="both"/>
        <w:rPr>
          <w:szCs w:val="22"/>
          <w:lang w:val="fr-FR"/>
        </w:rPr>
      </w:pPr>
    </w:p>
    <w:p w14:paraId="1BA3E387" w14:textId="77777777" w:rsidR="00792FC9" w:rsidRPr="00E87605" w:rsidRDefault="00792FC9" w:rsidP="00BA154F">
      <w:pPr>
        <w:jc w:val="both"/>
        <w:outlineLvl w:val="0"/>
        <w:rPr>
          <w:b/>
          <w:szCs w:val="22"/>
          <w:lang w:val="fr-FR"/>
        </w:rPr>
      </w:pPr>
      <w:r w:rsidRPr="00E87605">
        <w:rPr>
          <w:b/>
          <w:szCs w:val="22"/>
          <w:lang w:val="fr-FR"/>
        </w:rPr>
        <w:t>c. Dépositaire</w:t>
      </w:r>
    </w:p>
    <w:p w14:paraId="795C7D31" w14:textId="77777777" w:rsidR="00792FC9" w:rsidRPr="00E87605" w:rsidRDefault="00792FC9" w:rsidP="00BA154F">
      <w:pPr>
        <w:jc w:val="both"/>
        <w:rPr>
          <w:szCs w:val="22"/>
          <w:lang w:val="fr-FR"/>
        </w:rPr>
      </w:pPr>
    </w:p>
    <w:p w14:paraId="6C3BC81E" w14:textId="213E3386" w:rsidR="00792FC9" w:rsidRPr="00E87605" w:rsidRDefault="0016026F" w:rsidP="00BA154F">
      <w:pPr>
        <w:jc w:val="both"/>
        <w:rPr>
          <w:szCs w:val="22"/>
          <w:lang w:val="fr-FR"/>
        </w:rPr>
      </w:pPr>
      <w:r>
        <w:rPr>
          <w:szCs w:val="22"/>
          <w:lang w:val="fr-FR"/>
        </w:rPr>
        <w:t>65</w:t>
      </w:r>
      <w:r w:rsidR="00792FC9" w:rsidRPr="00E87605">
        <w:rPr>
          <w:szCs w:val="22"/>
          <w:lang w:val="fr-FR"/>
        </w:rPr>
        <w:t xml:space="preserve">. </w:t>
      </w:r>
      <w:r w:rsidR="00792FC9" w:rsidRPr="00E87605">
        <w:rPr>
          <w:b/>
          <w:szCs w:val="22"/>
          <w:lang w:val="fr-FR"/>
        </w:rPr>
        <w:t xml:space="preserve">Les Pays-Bas </w:t>
      </w:r>
      <w:r w:rsidR="00792FC9" w:rsidRPr="00E87605">
        <w:rPr>
          <w:szCs w:val="22"/>
          <w:lang w:val="fr-FR"/>
        </w:rPr>
        <w:t xml:space="preserve">ont introduit le document AEWA/MOP 5.8 </w:t>
      </w:r>
      <w:r w:rsidR="00792FC9" w:rsidRPr="00E87605">
        <w:rPr>
          <w:i/>
          <w:szCs w:val="22"/>
          <w:lang w:val="fr-FR"/>
        </w:rPr>
        <w:t>Rapport du Dépositaire</w:t>
      </w:r>
      <w:r w:rsidR="00792FC9" w:rsidRPr="00E87605">
        <w:rPr>
          <w:szCs w:val="22"/>
          <w:lang w:val="fr-FR"/>
        </w:rPr>
        <w:t xml:space="preserve">. Actuellement, 65 Parties, parmi lesquelles l’Éthiopie, le Monténégro et le Tchad, sont devenues Parties au cours de la dernière période triennale. Aucune de ces nouvelles </w:t>
      </w:r>
      <w:r w:rsidR="00792FC9" w:rsidRPr="00FE3F49">
        <w:rPr>
          <w:szCs w:val="22"/>
          <w:lang w:val="fr-FR"/>
        </w:rPr>
        <w:t>Parties n’a exprimé de réserves. Le</w:t>
      </w:r>
      <w:r w:rsidR="00792FC9" w:rsidRPr="00E87605">
        <w:rPr>
          <w:szCs w:val="22"/>
          <w:lang w:val="fr-FR"/>
        </w:rPr>
        <w:t xml:space="preserve"> 1</w:t>
      </w:r>
      <w:r w:rsidR="00792FC9" w:rsidRPr="00E87605">
        <w:rPr>
          <w:szCs w:val="22"/>
          <w:vertAlign w:val="superscript"/>
          <w:lang w:val="fr-FR"/>
        </w:rPr>
        <w:t>er</w:t>
      </w:r>
      <w:r w:rsidR="00792FC9" w:rsidRPr="00E87605">
        <w:rPr>
          <w:szCs w:val="22"/>
          <w:lang w:val="fr-FR"/>
        </w:rPr>
        <w:t xml:space="preserve"> juin 2012, l’Accord entrera en vigueur au Zimbabwe, </w:t>
      </w:r>
      <w:r w:rsidR="00792FC9">
        <w:rPr>
          <w:szCs w:val="22"/>
          <w:lang w:val="fr-FR"/>
        </w:rPr>
        <w:t>qui deviendra</w:t>
      </w:r>
      <w:r w:rsidR="00792FC9" w:rsidRPr="00E87605">
        <w:rPr>
          <w:szCs w:val="22"/>
          <w:lang w:val="fr-FR"/>
        </w:rPr>
        <w:t xml:space="preserve"> la 66</w:t>
      </w:r>
      <w:r w:rsidR="00792FC9" w:rsidRPr="00E87605">
        <w:rPr>
          <w:szCs w:val="22"/>
          <w:vertAlign w:val="superscript"/>
          <w:lang w:val="fr-FR"/>
        </w:rPr>
        <w:t>ème</w:t>
      </w:r>
      <w:r w:rsidR="00792FC9" w:rsidRPr="00E87605">
        <w:rPr>
          <w:szCs w:val="22"/>
          <w:lang w:val="fr-FR"/>
        </w:rPr>
        <w:t xml:space="preserve"> Partie contractante. Le jour de l’ouverture de la MOP5, les participants ont reçu des nouvelles encourageantes du Gabon et de la Mauritanie concernant leur adhésion imminente, ainsi que de la Côte d’Ivoire, de la Fédération de Russie, de l’Islande et de la Pologne concernant le stade de leurs préparatifs nationaux. Les ratifications de la Grèce et du Maroc sont toujours prévues. </w:t>
      </w:r>
    </w:p>
    <w:p w14:paraId="4C7928C0" w14:textId="77777777" w:rsidR="00792FC9" w:rsidRPr="00E87605" w:rsidRDefault="00792FC9" w:rsidP="00BA154F">
      <w:pPr>
        <w:jc w:val="both"/>
        <w:rPr>
          <w:szCs w:val="22"/>
          <w:lang w:val="fr-FR"/>
        </w:rPr>
      </w:pPr>
    </w:p>
    <w:p w14:paraId="5F1D1F58" w14:textId="77777777" w:rsidR="00792FC9" w:rsidRPr="00E87605" w:rsidRDefault="00792FC9" w:rsidP="00BA154F">
      <w:pPr>
        <w:jc w:val="both"/>
        <w:outlineLvl w:val="0"/>
        <w:rPr>
          <w:b/>
          <w:szCs w:val="22"/>
          <w:lang w:val="fr-FR"/>
        </w:rPr>
      </w:pPr>
      <w:r w:rsidRPr="00E87605">
        <w:rPr>
          <w:b/>
          <w:szCs w:val="22"/>
          <w:lang w:val="fr-FR"/>
        </w:rPr>
        <w:t>d. Secrétariat</w:t>
      </w:r>
    </w:p>
    <w:p w14:paraId="7B486BC0" w14:textId="77777777" w:rsidR="00792FC9" w:rsidRPr="00E87605" w:rsidRDefault="00792FC9" w:rsidP="00BA154F">
      <w:pPr>
        <w:jc w:val="both"/>
        <w:rPr>
          <w:szCs w:val="22"/>
          <w:lang w:val="fr-FR"/>
        </w:rPr>
      </w:pPr>
    </w:p>
    <w:p w14:paraId="245A9D76" w14:textId="1A78465E" w:rsidR="00792FC9" w:rsidRPr="00E87605" w:rsidRDefault="0016026F" w:rsidP="00BA154F">
      <w:pPr>
        <w:jc w:val="both"/>
        <w:rPr>
          <w:szCs w:val="22"/>
          <w:lang w:val="fr-FR"/>
        </w:rPr>
      </w:pPr>
      <w:r>
        <w:rPr>
          <w:szCs w:val="22"/>
          <w:lang w:val="fr-FR"/>
        </w:rPr>
        <w:t>66</w:t>
      </w:r>
      <w:r w:rsidR="00792FC9" w:rsidRPr="00E87605">
        <w:rPr>
          <w:szCs w:val="22"/>
          <w:lang w:val="fr-FR"/>
        </w:rPr>
        <w:t xml:space="preserve">. Le </w:t>
      </w:r>
      <w:r w:rsidR="00792FC9" w:rsidRPr="00E87605">
        <w:rPr>
          <w:b/>
          <w:szCs w:val="22"/>
          <w:lang w:val="fr-FR"/>
        </w:rPr>
        <w:t>Secrétaire exécutif par intérim</w:t>
      </w:r>
      <w:r w:rsidR="00792FC9" w:rsidRPr="00E87605">
        <w:rPr>
          <w:szCs w:val="22"/>
          <w:lang w:val="fr-FR"/>
        </w:rPr>
        <w:t xml:space="preserve"> </w:t>
      </w:r>
      <w:r w:rsidR="00C35ADA">
        <w:rPr>
          <w:szCs w:val="22"/>
          <w:lang w:val="fr-FR"/>
        </w:rPr>
        <w:t xml:space="preserve">(M. Marco Barbieri) </w:t>
      </w:r>
      <w:r w:rsidR="00792FC9" w:rsidRPr="00E87605">
        <w:rPr>
          <w:szCs w:val="22"/>
          <w:lang w:val="fr-FR"/>
        </w:rPr>
        <w:t xml:space="preserve">a fait une présentation introduisant le document AEWA/MOP 5.9 </w:t>
      </w:r>
      <w:r w:rsidR="00792FC9" w:rsidRPr="00E87605">
        <w:rPr>
          <w:i/>
          <w:szCs w:val="22"/>
          <w:lang w:val="fr-FR"/>
        </w:rPr>
        <w:t>Rapport du Secrétariat</w:t>
      </w:r>
      <w:r w:rsidR="00792FC9" w:rsidRPr="00E87605">
        <w:rPr>
          <w:szCs w:val="22"/>
          <w:lang w:val="fr-FR"/>
        </w:rPr>
        <w:t>, résumant les activités sous les rubriques suivantes :</w:t>
      </w:r>
    </w:p>
    <w:p w14:paraId="43578352" w14:textId="77777777" w:rsidR="00792FC9" w:rsidRPr="00E87605" w:rsidRDefault="00792FC9" w:rsidP="00BA154F">
      <w:pPr>
        <w:jc w:val="both"/>
        <w:rPr>
          <w:szCs w:val="22"/>
          <w:lang w:val="fr-FR"/>
        </w:rPr>
      </w:pPr>
    </w:p>
    <w:p w14:paraId="0F55B742" w14:textId="77777777" w:rsidR="00792FC9" w:rsidRPr="00E87605" w:rsidRDefault="00792FC9" w:rsidP="00BA154F">
      <w:pPr>
        <w:pStyle w:val="ListParagraph"/>
        <w:numPr>
          <w:ilvl w:val="0"/>
          <w:numId w:val="9"/>
        </w:numPr>
        <w:jc w:val="both"/>
        <w:rPr>
          <w:sz w:val="22"/>
          <w:szCs w:val="22"/>
          <w:lang w:val="fr-FR"/>
        </w:rPr>
      </w:pPr>
      <w:r w:rsidRPr="00E87605">
        <w:rPr>
          <w:sz w:val="22"/>
          <w:szCs w:val="22"/>
          <w:lang w:val="fr-FR"/>
        </w:rPr>
        <w:t>Gestion générale</w:t>
      </w:r>
    </w:p>
    <w:p w14:paraId="666429FA" w14:textId="77777777" w:rsidR="00792FC9" w:rsidRPr="00E87605" w:rsidRDefault="00792FC9" w:rsidP="00BA154F">
      <w:pPr>
        <w:pStyle w:val="ListParagraph"/>
        <w:numPr>
          <w:ilvl w:val="0"/>
          <w:numId w:val="9"/>
        </w:numPr>
        <w:jc w:val="both"/>
        <w:rPr>
          <w:sz w:val="22"/>
          <w:szCs w:val="22"/>
          <w:lang w:val="fr-FR"/>
        </w:rPr>
      </w:pPr>
      <w:r w:rsidRPr="00E87605">
        <w:rPr>
          <w:sz w:val="22"/>
          <w:szCs w:val="22"/>
          <w:lang w:val="fr-FR"/>
        </w:rPr>
        <w:t>Recrutement de nouvelles Parties</w:t>
      </w:r>
    </w:p>
    <w:p w14:paraId="2BAB5535" w14:textId="77777777" w:rsidR="00792FC9" w:rsidRPr="00E87605" w:rsidRDefault="00792FC9" w:rsidP="00BA154F">
      <w:pPr>
        <w:pStyle w:val="ListParagraph"/>
        <w:numPr>
          <w:ilvl w:val="0"/>
          <w:numId w:val="9"/>
        </w:numPr>
        <w:jc w:val="both"/>
        <w:rPr>
          <w:sz w:val="22"/>
          <w:szCs w:val="22"/>
          <w:lang w:val="fr-FR"/>
        </w:rPr>
      </w:pPr>
      <w:r w:rsidRPr="00E87605">
        <w:rPr>
          <w:sz w:val="22"/>
          <w:szCs w:val="22"/>
          <w:lang w:val="fr-FR"/>
        </w:rPr>
        <w:t>Ateliers et réunions de promotion</w:t>
      </w:r>
    </w:p>
    <w:p w14:paraId="66F08F9E" w14:textId="77777777" w:rsidR="00792FC9" w:rsidRPr="00E87605" w:rsidRDefault="00792FC9" w:rsidP="00BA154F">
      <w:pPr>
        <w:pStyle w:val="ListParagraph"/>
        <w:numPr>
          <w:ilvl w:val="0"/>
          <w:numId w:val="9"/>
        </w:numPr>
        <w:jc w:val="both"/>
        <w:rPr>
          <w:sz w:val="22"/>
          <w:szCs w:val="22"/>
          <w:lang w:val="fr-FR"/>
        </w:rPr>
      </w:pPr>
      <w:r w:rsidRPr="00E87605">
        <w:rPr>
          <w:sz w:val="22"/>
          <w:szCs w:val="22"/>
          <w:lang w:val="fr-FR"/>
        </w:rPr>
        <w:t>Coopération stratégique avec d’autres organisations</w:t>
      </w:r>
    </w:p>
    <w:p w14:paraId="35C29789" w14:textId="77777777" w:rsidR="00792FC9" w:rsidRPr="00E87605" w:rsidRDefault="00792FC9" w:rsidP="00BA154F">
      <w:pPr>
        <w:pStyle w:val="ListParagraph"/>
        <w:numPr>
          <w:ilvl w:val="0"/>
          <w:numId w:val="9"/>
        </w:numPr>
        <w:jc w:val="both"/>
        <w:rPr>
          <w:sz w:val="22"/>
          <w:szCs w:val="22"/>
          <w:lang w:val="fr-FR"/>
        </w:rPr>
      </w:pPr>
      <w:r w:rsidRPr="00E87605">
        <w:rPr>
          <w:sz w:val="22"/>
          <w:szCs w:val="22"/>
          <w:lang w:val="fr-FR"/>
        </w:rPr>
        <w:t>Gestion de l’information</w:t>
      </w:r>
    </w:p>
    <w:p w14:paraId="053C3545" w14:textId="77777777" w:rsidR="00792FC9" w:rsidRPr="00E87605" w:rsidRDefault="00792FC9" w:rsidP="00BA154F">
      <w:pPr>
        <w:pStyle w:val="ListParagraph"/>
        <w:numPr>
          <w:ilvl w:val="0"/>
          <w:numId w:val="9"/>
        </w:numPr>
        <w:jc w:val="both"/>
        <w:rPr>
          <w:sz w:val="22"/>
          <w:szCs w:val="22"/>
          <w:lang w:val="fr-FR"/>
        </w:rPr>
      </w:pPr>
      <w:r w:rsidRPr="00E87605">
        <w:rPr>
          <w:sz w:val="22"/>
          <w:szCs w:val="22"/>
          <w:lang w:val="fr-FR"/>
        </w:rPr>
        <w:t>Sites Web</w:t>
      </w:r>
    </w:p>
    <w:p w14:paraId="71D44B04" w14:textId="77777777" w:rsidR="00792FC9" w:rsidRPr="00E87605" w:rsidRDefault="00792FC9" w:rsidP="00BA154F">
      <w:pPr>
        <w:pStyle w:val="ListParagraph"/>
        <w:numPr>
          <w:ilvl w:val="0"/>
          <w:numId w:val="9"/>
        </w:numPr>
        <w:jc w:val="both"/>
        <w:rPr>
          <w:sz w:val="22"/>
          <w:szCs w:val="22"/>
          <w:lang w:val="fr-FR"/>
        </w:rPr>
      </w:pPr>
      <w:r w:rsidRPr="00E87605">
        <w:rPr>
          <w:sz w:val="22"/>
          <w:szCs w:val="22"/>
          <w:lang w:val="fr-FR"/>
        </w:rPr>
        <w:t>Publications sur papier</w:t>
      </w:r>
    </w:p>
    <w:p w14:paraId="784EC612" w14:textId="77777777" w:rsidR="00792FC9" w:rsidRPr="00E87605" w:rsidRDefault="00792FC9" w:rsidP="00BA154F">
      <w:pPr>
        <w:pStyle w:val="ListParagraph"/>
        <w:numPr>
          <w:ilvl w:val="0"/>
          <w:numId w:val="9"/>
        </w:numPr>
        <w:jc w:val="both"/>
        <w:rPr>
          <w:sz w:val="22"/>
          <w:szCs w:val="22"/>
          <w:lang w:val="fr-FR"/>
        </w:rPr>
      </w:pPr>
      <w:r w:rsidRPr="00E87605">
        <w:rPr>
          <w:sz w:val="22"/>
          <w:szCs w:val="22"/>
          <w:lang w:val="fr-FR"/>
        </w:rPr>
        <w:t>Publications électroniques</w:t>
      </w:r>
    </w:p>
    <w:p w14:paraId="011196DB" w14:textId="77777777" w:rsidR="00792FC9" w:rsidRPr="00E87605" w:rsidRDefault="00792FC9" w:rsidP="00BA154F">
      <w:pPr>
        <w:pStyle w:val="ListParagraph"/>
        <w:numPr>
          <w:ilvl w:val="0"/>
          <w:numId w:val="9"/>
        </w:numPr>
        <w:jc w:val="both"/>
        <w:rPr>
          <w:sz w:val="22"/>
          <w:szCs w:val="22"/>
          <w:lang w:val="fr-FR"/>
        </w:rPr>
      </w:pPr>
      <w:r w:rsidRPr="00E87605">
        <w:rPr>
          <w:sz w:val="22"/>
          <w:szCs w:val="22"/>
          <w:lang w:val="fr-FR"/>
        </w:rPr>
        <w:t>Autres activités (y compris la Journée Mondiale des Oiseaux Migrateurs, le Système de rapport national en ligne, etc.)</w:t>
      </w:r>
    </w:p>
    <w:p w14:paraId="1AD4FBD8" w14:textId="77777777" w:rsidR="00792FC9" w:rsidRPr="00E87605" w:rsidRDefault="00792FC9" w:rsidP="00BA154F">
      <w:pPr>
        <w:pStyle w:val="ListParagraph"/>
        <w:numPr>
          <w:ilvl w:val="0"/>
          <w:numId w:val="9"/>
        </w:numPr>
        <w:jc w:val="both"/>
        <w:rPr>
          <w:sz w:val="22"/>
          <w:szCs w:val="22"/>
          <w:lang w:val="fr-FR"/>
        </w:rPr>
      </w:pPr>
      <w:r w:rsidRPr="00E87605">
        <w:rPr>
          <w:sz w:val="22"/>
          <w:szCs w:val="22"/>
          <w:lang w:val="fr-FR"/>
        </w:rPr>
        <w:t xml:space="preserve">Mise en œuvre et conformité (y compris les IIT, le WOW, </w:t>
      </w:r>
      <w:proofErr w:type="spellStart"/>
      <w:r w:rsidRPr="00E87605">
        <w:rPr>
          <w:sz w:val="22"/>
          <w:szCs w:val="22"/>
          <w:lang w:val="fr-FR"/>
        </w:rPr>
        <w:t>WetCap</w:t>
      </w:r>
      <w:proofErr w:type="spellEnd"/>
      <w:r w:rsidRPr="00E87605">
        <w:rPr>
          <w:sz w:val="22"/>
          <w:szCs w:val="22"/>
          <w:lang w:val="fr-FR"/>
        </w:rPr>
        <w:t>, les Plans d’action par espèce, les IRP et les études internationales)</w:t>
      </w:r>
    </w:p>
    <w:p w14:paraId="77CE4E5B" w14:textId="77777777" w:rsidR="00792FC9" w:rsidRPr="00E87605" w:rsidRDefault="00792FC9" w:rsidP="00BA154F">
      <w:pPr>
        <w:pStyle w:val="ListParagraph"/>
        <w:numPr>
          <w:ilvl w:val="0"/>
          <w:numId w:val="9"/>
        </w:numPr>
        <w:jc w:val="both"/>
        <w:rPr>
          <w:sz w:val="22"/>
          <w:szCs w:val="22"/>
          <w:lang w:val="fr-FR"/>
        </w:rPr>
      </w:pPr>
      <w:r w:rsidRPr="00E87605">
        <w:rPr>
          <w:sz w:val="22"/>
          <w:szCs w:val="22"/>
          <w:lang w:val="fr-FR"/>
        </w:rPr>
        <w:t>Les développements stratégiques (y compris la Voie de migration d’Asie centrale et la procédure de structure future de la CMS)</w:t>
      </w:r>
    </w:p>
    <w:p w14:paraId="40A0E9F0" w14:textId="77777777" w:rsidR="00792FC9" w:rsidRPr="00E87605" w:rsidRDefault="00792FC9" w:rsidP="00BA154F">
      <w:pPr>
        <w:jc w:val="both"/>
        <w:rPr>
          <w:szCs w:val="22"/>
          <w:lang w:val="fr-FR"/>
        </w:rPr>
      </w:pPr>
    </w:p>
    <w:p w14:paraId="783B7B6B" w14:textId="603EE5CC" w:rsidR="00792FC9" w:rsidRPr="00E87605" w:rsidRDefault="0016026F" w:rsidP="00BA154F">
      <w:pPr>
        <w:jc w:val="both"/>
        <w:rPr>
          <w:szCs w:val="22"/>
          <w:lang w:val="fr-FR"/>
        </w:rPr>
      </w:pPr>
      <w:r>
        <w:rPr>
          <w:szCs w:val="22"/>
          <w:lang w:val="fr-FR"/>
        </w:rPr>
        <w:t>67</w:t>
      </w:r>
      <w:r w:rsidR="00792FC9" w:rsidRPr="00E87605">
        <w:rPr>
          <w:szCs w:val="22"/>
          <w:lang w:val="fr-FR"/>
        </w:rPr>
        <w:t xml:space="preserve">. </w:t>
      </w:r>
      <w:r w:rsidR="00792FC9" w:rsidRPr="00E87605">
        <w:rPr>
          <w:b/>
          <w:szCs w:val="22"/>
          <w:lang w:val="fr-FR"/>
        </w:rPr>
        <w:t>L’administrateur chargé de l'information</w:t>
      </w:r>
      <w:r w:rsidR="00792FC9" w:rsidRPr="00E87605">
        <w:rPr>
          <w:szCs w:val="22"/>
          <w:lang w:val="fr-FR"/>
        </w:rPr>
        <w:t xml:space="preserve"> (M. Florian Keil) a fait une présentation introduisant le document AEWA/MOP 5.10 </w:t>
      </w:r>
      <w:r w:rsidR="00792FC9" w:rsidRPr="00E87605">
        <w:rPr>
          <w:i/>
          <w:szCs w:val="22"/>
          <w:lang w:val="fr-FR"/>
        </w:rPr>
        <w:t>Présentation d’ensemble des technologies de l’information et de la communication (TIC) de l’AEWA</w:t>
      </w:r>
      <w:r w:rsidR="00792FC9" w:rsidRPr="00E87605">
        <w:rPr>
          <w:szCs w:val="22"/>
          <w:lang w:val="fr-FR"/>
        </w:rPr>
        <w:t>.</w:t>
      </w:r>
    </w:p>
    <w:p w14:paraId="1CFAB2E8" w14:textId="77777777" w:rsidR="00792FC9" w:rsidRPr="00E87605" w:rsidRDefault="00792FC9" w:rsidP="00BA154F">
      <w:pPr>
        <w:jc w:val="both"/>
        <w:rPr>
          <w:szCs w:val="22"/>
          <w:lang w:val="fr-FR"/>
        </w:rPr>
      </w:pPr>
    </w:p>
    <w:p w14:paraId="58AE2B7F" w14:textId="1697B2F3" w:rsidR="00792FC9" w:rsidRPr="00E87605" w:rsidRDefault="0016026F" w:rsidP="00BA154F">
      <w:pPr>
        <w:jc w:val="both"/>
        <w:outlineLvl w:val="0"/>
        <w:rPr>
          <w:szCs w:val="22"/>
          <w:lang w:val="fr-FR"/>
        </w:rPr>
      </w:pPr>
      <w:r>
        <w:rPr>
          <w:szCs w:val="22"/>
          <w:lang w:val="fr-FR"/>
        </w:rPr>
        <w:t>68</w:t>
      </w:r>
      <w:r w:rsidR="00792FC9" w:rsidRPr="00E87605">
        <w:rPr>
          <w:szCs w:val="22"/>
          <w:lang w:val="fr-FR"/>
        </w:rPr>
        <w:t xml:space="preserve">. Le </w:t>
      </w:r>
      <w:r w:rsidR="00792FC9" w:rsidRPr="00E87605">
        <w:rPr>
          <w:b/>
          <w:szCs w:val="22"/>
          <w:lang w:val="fr-FR"/>
        </w:rPr>
        <w:t>Président</w:t>
      </w:r>
      <w:r w:rsidR="00792FC9" w:rsidRPr="00E87605">
        <w:rPr>
          <w:szCs w:val="22"/>
          <w:lang w:val="fr-FR"/>
        </w:rPr>
        <w:t xml:space="preserve"> a invité à faire des commentaires sur les deux présentations faites par le Secrétariat.</w:t>
      </w:r>
    </w:p>
    <w:p w14:paraId="2CC79056" w14:textId="77777777" w:rsidR="00792FC9" w:rsidRPr="00E87605" w:rsidRDefault="00792FC9" w:rsidP="00BA154F">
      <w:pPr>
        <w:jc w:val="both"/>
        <w:rPr>
          <w:szCs w:val="22"/>
          <w:lang w:val="fr-FR"/>
        </w:rPr>
      </w:pPr>
    </w:p>
    <w:p w14:paraId="7EF90DFA" w14:textId="4CCADE3E" w:rsidR="00792FC9" w:rsidRPr="00E87605" w:rsidRDefault="0016026F" w:rsidP="00BA154F">
      <w:pPr>
        <w:jc w:val="both"/>
        <w:rPr>
          <w:szCs w:val="22"/>
          <w:lang w:val="fr-FR"/>
        </w:rPr>
      </w:pPr>
      <w:r>
        <w:rPr>
          <w:szCs w:val="22"/>
          <w:lang w:val="fr-FR"/>
        </w:rPr>
        <w:t>69</w:t>
      </w:r>
      <w:r w:rsidR="00792FC9" w:rsidRPr="00E87605">
        <w:rPr>
          <w:szCs w:val="22"/>
          <w:lang w:val="fr-FR"/>
        </w:rPr>
        <w:t>. En réponse</w:t>
      </w:r>
      <w:r w:rsidR="00C35ADA">
        <w:rPr>
          <w:szCs w:val="22"/>
          <w:lang w:val="fr-FR"/>
        </w:rPr>
        <w:t xml:space="preserve"> à une question de l’Égypte, </w:t>
      </w:r>
      <w:r w:rsidR="00C35ADA" w:rsidRPr="00C35ADA">
        <w:rPr>
          <w:b/>
          <w:szCs w:val="22"/>
          <w:lang w:val="fr-FR"/>
        </w:rPr>
        <w:t>M. Barbieri</w:t>
      </w:r>
      <w:r w:rsidR="00C35ADA">
        <w:rPr>
          <w:szCs w:val="22"/>
          <w:lang w:val="fr-FR"/>
        </w:rPr>
        <w:t xml:space="preserve"> </w:t>
      </w:r>
      <w:r w:rsidR="00792FC9" w:rsidRPr="00E87605">
        <w:rPr>
          <w:szCs w:val="22"/>
          <w:lang w:val="fr-FR"/>
        </w:rPr>
        <w:t>a fait savoir qu’il n’avait malheureusement pas été possible pour le donateur concerné d’élargir son financement aux fins de « </w:t>
      </w:r>
      <w:proofErr w:type="spellStart"/>
      <w:r w:rsidR="00792FC9" w:rsidRPr="00E87605">
        <w:rPr>
          <w:szCs w:val="22"/>
          <w:lang w:val="fr-FR"/>
        </w:rPr>
        <w:t>WetCap</w:t>
      </w:r>
      <w:proofErr w:type="spellEnd"/>
      <w:r w:rsidR="00792FC9" w:rsidRPr="00E87605">
        <w:rPr>
          <w:szCs w:val="22"/>
          <w:lang w:val="fr-FR"/>
        </w:rPr>
        <w:t xml:space="preserve"> », et </w:t>
      </w:r>
      <w:r w:rsidR="00792FC9">
        <w:rPr>
          <w:szCs w:val="22"/>
          <w:lang w:val="fr-FR"/>
        </w:rPr>
        <w:t>c’est pourquoi</w:t>
      </w:r>
      <w:r w:rsidR="00792FC9" w:rsidRPr="00E87605">
        <w:rPr>
          <w:szCs w:val="22"/>
          <w:lang w:val="fr-FR"/>
        </w:rPr>
        <w:t xml:space="preserve"> ce projet était à présent clos.</w:t>
      </w:r>
    </w:p>
    <w:p w14:paraId="339A2EC0" w14:textId="77777777" w:rsidR="00792FC9" w:rsidRPr="00E87605" w:rsidRDefault="00792FC9" w:rsidP="00BA154F">
      <w:pPr>
        <w:jc w:val="both"/>
        <w:rPr>
          <w:szCs w:val="22"/>
          <w:lang w:val="fr-FR"/>
        </w:rPr>
      </w:pPr>
    </w:p>
    <w:p w14:paraId="3D004A0D" w14:textId="20F93A51" w:rsidR="00792FC9" w:rsidRPr="00E87605" w:rsidRDefault="0016026F" w:rsidP="00BA154F">
      <w:pPr>
        <w:jc w:val="both"/>
        <w:rPr>
          <w:szCs w:val="22"/>
          <w:lang w:val="fr-FR"/>
        </w:rPr>
      </w:pPr>
      <w:r>
        <w:rPr>
          <w:szCs w:val="22"/>
          <w:lang w:val="fr-FR"/>
        </w:rPr>
        <w:t>70</w:t>
      </w:r>
      <w:r w:rsidR="00792FC9" w:rsidRPr="00E87605">
        <w:rPr>
          <w:szCs w:val="22"/>
          <w:lang w:val="fr-FR"/>
        </w:rPr>
        <w:t xml:space="preserve">. Le </w:t>
      </w:r>
      <w:r w:rsidR="00792FC9" w:rsidRPr="00E87605">
        <w:rPr>
          <w:b/>
          <w:szCs w:val="22"/>
          <w:lang w:val="fr-FR"/>
        </w:rPr>
        <w:t>Danemark</w:t>
      </w:r>
      <w:r w:rsidR="00792FC9" w:rsidRPr="00E87605">
        <w:rPr>
          <w:szCs w:val="22"/>
          <w:lang w:val="fr-FR"/>
        </w:rPr>
        <w:t>, parlant au nom de l’</w:t>
      </w:r>
      <w:r w:rsidR="00792FC9" w:rsidRPr="00E87605">
        <w:rPr>
          <w:b/>
          <w:szCs w:val="22"/>
          <w:lang w:val="fr-FR"/>
        </w:rPr>
        <w:t>Union européenne et de ses États membres</w:t>
      </w:r>
      <w:r w:rsidR="00792FC9" w:rsidRPr="00E87605">
        <w:rPr>
          <w:szCs w:val="22"/>
          <w:lang w:val="fr-FR"/>
        </w:rPr>
        <w:t>,</w:t>
      </w:r>
      <w:r w:rsidR="00792FC9" w:rsidRPr="00E87605">
        <w:rPr>
          <w:b/>
          <w:szCs w:val="22"/>
          <w:lang w:val="fr-FR"/>
        </w:rPr>
        <w:t xml:space="preserve"> </w:t>
      </w:r>
      <w:r w:rsidR="00792FC9" w:rsidRPr="00E87605">
        <w:rPr>
          <w:szCs w:val="22"/>
          <w:lang w:val="fr-FR"/>
        </w:rPr>
        <w:t>a considéré que le Secrétariat avait obtenu des résultats impressionnants et il a remercié ses membres pour leur engagement professionnel et personnel, et pour les précieuses activités de réseautage effectuées. L’UE et ses États membres ont également apprécié l’aide fournie au Secrétariat par un petit groupe de pays donateurs. L’UE participerait activement aux discussions de la MOP5 relatives au budget, en gardant à l’esprit le besoin d’un Secrétariat efficace.</w:t>
      </w:r>
    </w:p>
    <w:p w14:paraId="4F25A771" w14:textId="77777777" w:rsidR="00792FC9" w:rsidRPr="00E87605" w:rsidRDefault="00792FC9" w:rsidP="00BA154F">
      <w:pPr>
        <w:jc w:val="both"/>
        <w:rPr>
          <w:szCs w:val="22"/>
          <w:lang w:val="fr-FR"/>
        </w:rPr>
      </w:pPr>
    </w:p>
    <w:p w14:paraId="72958844" w14:textId="0D1BC50E" w:rsidR="00792FC9" w:rsidRPr="00E87605" w:rsidRDefault="0016026F" w:rsidP="00BA154F">
      <w:pPr>
        <w:jc w:val="both"/>
        <w:rPr>
          <w:szCs w:val="22"/>
          <w:lang w:val="fr-FR"/>
        </w:rPr>
      </w:pPr>
      <w:r>
        <w:rPr>
          <w:szCs w:val="22"/>
          <w:lang w:val="fr-FR"/>
        </w:rPr>
        <w:t>71</w:t>
      </w:r>
      <w:r w:rsidR="00792FC9" w:rsidRPr="00E87605">
        <w:rPr>
          <w:szCs w:val="22"/>
          <w:lang w:val="fr-FR"/>
        </w:rPr>
        <w:t xml:space="preserve">. </w:t>
      </w:r>
      <w:r w:rsidR="00792FC9" w:rsidRPr="00E87605">
        <w:rPr>
          <w:b/>
          <w:szCs w:val="22"/>
          <w:lang w:val="fr-FR"/>
        </w:rPr>
        <w:t>Madagascar</w:t>
      </w:r>
      <w:r w:rsidR="00792FC9" w:rsidRPr="00E87605">
        <w:rPr>
          <w:szCs w:val="22"/>
          <w:lang w:val="fr-FR"/>
        </w:rPr>
        <w:t xml:space="preserve"> était reconnaissante pour le financement alloué pour aider à la mise en place de plans d’action par espèce et a fait remarquer qu’un Plan d’action national pour le Crabier blanc </w:t>
      </w:r>
      <w:proofErr w:type="spellStart"/>
      <w:r w:rsidR="00792FC9" w:rsidRPr="00E87605">
        <w:rPr>
          <w:i/>
          <w:szCs w:val="22"/>
          <w:lang w:val="fr-FR"/>
        </w:rPr>
        <w:t>Ardeola</w:t>
      </w:r>
      <w:proofErr w:type="spellEnd"/>
      <w:r w:rsidR="00792FC9" w:rsidRPr="00E87605">
        <w:rPr>
          <w:i/>
          <w:szCs w:val="22"/>
          <w:lang w:val="fr-FR"/>
        </w:rPr>
        <w:t xml:space="preserve"> </w:t>
      </w:r>
      <w:proofErr w:type="spellStart"/>
      <w:r w:rsidR="00792FC9" w:rsidRPr="00E87605">
        <w:rPr>
          <w:i/>
          <w:szCs w:val="22"/>
          <w:lang w:val="fr-FR"/>
        </w:rPr>
        <w:t>idae</w:t>
      </w:r>
      <w:proofErr w:type="spellEnd"/>
      <w:r w:rsidR="00792FC9" w:rsidRPr="00E87605">
        <w:rPr>
          <w:szCs w:val="22"/>
          <w:lang w:val="fr-FR"/>
        </w:rPr>
        <w:t xml:space="preserve"> avait été développé pour compléter le Plan d’action élaboré pour cette espèce.</w:t>
      </w:r>
    </w:p>
    <w:p w14:paraId="6D99A052" w14:textId="77777777" w:rsidR="00792FC9" w:rsidRPr="00E87605" w:rsidRDefault="00792FC9" w:rsidP="00BA154F">
      <w:pPr>
        <w:jc w:val="both"/>
        <w:rPr>
          <w:szCs w:val="22"/>
          <w:lang w:val="fr-FR"/>
        </w:rPr>
      </w:pPr>
    </w:p>
    <w:p w14:paraId="39A86127" w14:textId="0ACE58F8" w:rsidR="00792FC9" w:rsidRPr="00E87605" w:rsidRDefault="0016026F" w:rsidP="00BA154F">
      <w:pPr>
        <w:jc w:val="both"/>
        <w:rPr>
          <w:szCs w:val="22"/>
          <w:lang w:val="fr-FR"/>
        </w:rPr>
      </w:pPr>
      <w:r>
        <w:rPr>
          <w:szCs w:val="22"/>
          <w:lang w:val="fr-FR"/>
        </w:rPr>
        <w:t>72</w:t>
      </w:r>
      <w:r w:rsidR="00792FC9" w:rsidRPr="00E87605">
        <w:rPr>
          <w:szCs w:val="22"/>
          <w:lang w:val="fr-FR"/>
        </w:rPr>
        <w:t xml:space="preserve">. Le </w:t>
      </w:r>
      <w:r w:rsidR="00792FC9" w:rsidRPr="00E87605">
        <w:rPr>
          <w:b/>
          <w:szCs w:val="22"/>
          <w:lang w:val="fr-FR"/>
        </w:rPr>
        <w:t>Sénégal</w:t>
      </w:r>
      <w:r w:rsidR="00792FC9" w:rsidRPr="00E87605">
        <w:rPr>
          <w:szCs w:val="22"/>
          <w:lang w:val="fr-FR"/>
        </w:rPr>
        <w:t xml:space="preserve"> a </w:t>
      </w:r>
      <w:r w:rsidR="00792FC9">
        <w:rPr>
          <w:szCs w:val="22"/>
          <w:lang w:val="fr-FR"/>
        </w:rPr>
        <w:t>demandé</w:t>
      </w:r>
      <w:r w:rsidR="00792FC9" w:rsidRPr="00E87605">
        <w:rPr>
          <w:szCs w:val="22"/>
          <w:lang w:val="fr-FR"/>
        </w:rPr>
        <w:t xml:space="preserve"> à ce que le portail Web pour l'Afrique soit disponible tant en français qu'en anglais. Le Projet WOW a permis la désignation d’un site protégé transfrontalier entre le Sénégal et la Gambie, mais de l’aide était maintenant nécessaire pour mettre en œuvre la gestion du site.</w:t>
      </w:r>
    </w:p>
    <w:p w14:paraId="7DE507FF" w14:textId="77777777" w:rsidR="000958DA" w:rsidRDefault="000958DA" w:rsidP="00BA154F">
      <w:pPr>
        <w:jc w:val="both"/>
        <w:rPr>
          <w:szCs w:val="22"/>
          <w:lang w:val="fr-FR"/>
        </w:rPr>
      </w:pPr>
    </w:p>
    <w:p w14:paraId="27605C14" w14:textId="77777777" w:rsidR="00792FC9" w:rsidRPr="008C3393" w:rsidRDefault="00792FC9" w:rsidP="00BA154F">
      <w:pPr>
        <w:jc w:val="both"/>
        <w:rPr>
          <w:szCs w:val="22"/>
          <w:lang w:val="fr-FR"/>
        </w:rPr>
      </w:pPr>
    </w:p>
    <w:p w14:paraId="36D5C766" w14:textId="21B2C310" w:rsidR="00851BAD" w:rsidRPr="008C3393" w:rsidRDefault="008C7A8F" w:rsidP="00BA154F">
      <w:pPr>
        <w:jc w:val="both"/>
        <w:rPr>
          <w:szCs w:val="22"/>
          <w:lang w:val="fr-FR"/>
        </w:rPr>
      </w:pPr>
      <w:r w:rsidRPr="008C3393">
        <w:rPr>
          <w:b/>
          <w:szCs w:val="22"/>
          <w:lang w:val="fr-FR"/>
        </w:rPr>
        <w:t>Point 10 de l</w:t>
      </w:r>
      <w:r w:rsidR="00F82A75">
        <w:rPr>
          <w:b/>
          <w:szCs w:val="22"/>
          <w:lang w:val="fr-FR"/>
        </w:rPr>
        <w:t>’</w:t>
      </w:r>
      <w:r w:rsidRPr="008C3393">
        <w:rPr>
          <w:b/>
          <w:szCs w:val="22"/>
          <w:lang w:val="fr-FR"/>
        </w:rPr>
        <w:t>ordre du jour – Résultats de la COP10 de la CMS et autres développements importants pour l</w:t>
      </w:r>
      <w:r w:rsidR="00F82A75">
        <w:rPr>
          <w:b/>
          <w:szCs w:val="22"/>
          <w:lang w:val="fr-FR"/>
        </w:rPr>
        <w:t>’</w:t>
      </w:r>
      <w:r w:rsidRPr="008C3393">
        <w:rPr>
          <w:b/>
          <w:szCs w:val="22"/>
          <w:lang w:val="fr-FR"/>
        </w:rPr>
        <w:t>AEWA</w:t>
      </w:r>
    </w:p>
    <w:p w14:paraId="424F68CC" w14:textId="77777777" w:rsidR="00851BAD" w:rsidRPr="008C3393" w:rsidRDefault="00851BAD" w:rsidP="00BA154F">
      <w:pPr>
        <w:jc w:val="both"/>
        <w:rPr>
          <w:szCs w:val="22"/>
          <w:lang w:val="fr-FR"/>
        </w:rPr>
      </w:pPr>
    </w:p>
    <w:p w14:paraId="7B7444A7" w14:textId="7A30319B" w:rsidR="00851BAD" w:rsidRPr="008C3393" w:rsidRDefault="0016026F" w:rsidP="00BA154F">
      <w:pPr>
        <w:jc w:val="both"/>
        <w:rPr>
          <w:szCs w:val="22"/>
          <w:lang w:val="fr-FR"/>
        </w:rPr>
      </w:pPr>
      <w:r>
        <w:rPr>
          <w:szCs w:val="22"/>
          <w:lang w:val="fr-FR"/>
        </w:rPr>
        <w:t>73</w:t>
      </w:r>
      <w:r w:rsidR="00822C50" w:rsidRPr="008C3393">
        <w:rPr>
          <w:szCs w:val="22"/>
          <w:lang w:val="fr-FR"/>
        </w:rPr>
        <w:t xml:space="preserve">. </w:t>
      </w:r>
      <w:r w:rsidR="008C7A8F" w:rsidRPr="008C3393">
        <w:rPr>
          <w:szCs w:val="22"/>
          <w:lang w:val="fr-FR"/>
        </w:rPr>
        <w:t xml:space="preserve">La </w:t>
      </w:r>
      <w:r w:rsidR="008C7A8F" w:rsidRPr="008C3393">
        <w:rPr>
          <w:b/>
          <w:szCs w:val="22"/>
          <w:lang w:val="fr-FR"/>
        </w:rPr>
        <w:t>Secrétaire exécutive de la CMS</w:t>
      </w:r>
      <w:r w:rsidR="008C7A8F" w:rsidRPr="008C3393">
        <w:rPr>
          <w:szCs w:val="22"/>
          <w:lang w:val="fr-FR"/>
        </w:rPr>
        <w:t xml:space="preserve"> (Mme Elisabeth </w:t>
      </w:r>
      <w:proofErr w:type="spellStart"/>
      <w:r w:rsidR="008C7A8F" w:rsidRPr="008C3393">
        <w:rPr>
          <w:szCs w:val="22"/>
          <w:lang w:val="fr-FR"/>
        </w:rPr>
        <w:t>Maruma</w:t>
      </w:r>
      <w:proofErr w:type="spellEnd"/>
      <w:r w:rsidR="008C7A8F" w:rsidRPr="008C3393">
        <w:rPr>
          <w:szCs w:val="22"/>
          <w:lang w:val="fr-FR"/>
        </w:rPr>
        <w:t xml:space="preserve"> </w:t>
      </w:r>
      <w:proofErr w:type="spellStart"/>
      <w:r w:rsidR="008C7A8F" w:rsidRPr="008C3393">
        <w:rPr>
          <w:szCs w:val="22"/>
          <w:lang w:val="fr-FR"/>
        </w:rPr>
        <w:t>Mrema</w:t>
      </w:r>
      <w:proofErr w:type="spellEnd"/>
      <w:r w:rsidR="008C7A8F" w:rsidRPr="008C3393">
        <w:rPr>
          <w:szCs w:val="22"/>
          <w:lang w:val="fr-FR"/>
        </w:rPr>
        <w:t>) a commenté le fait qu</w:t>
      </w:r>
      <w:r w:rsidR="001D0E85" w:rsidRPr="008C3393">
        <w:rPr>
          <w:szCs w:val="22"/>
          <w:lang w:val="fr-FR"/>
        </w:rPr>
        <w:t>e</w:t>
      </w:r>
      <w:r w:rsidR="008C7A8F" w:rsidRPr="008C3393">
        <w:rPr>
          <w:szCs w:val="22"/>
          <w:lang w:val="fr-FR"/>
        </w:rPr>
        <w:t xml:space="preserve"> de plus en plus de correspondants locaux a</w:t>
      </w:r>
      <w:r w:rsidR="001D0E85" w:rsidRPr="008C3393">
        <w:rPr>
          <w:szCs w:val="22"/>
          <w:lang w:val="fr-FR"/>
        </w:rPr>
        <w:t>vaient</w:t>
      </w:r>
      <w:r w:rsidR="008C7A8F" w:rsidRPr="008C3393">
        <w:rPr>
          <w:szCs w:val="22"/>
          <w:lang w:val="fr-FR"/>
        </w:rPr>
        <w:t xml:space="preserve"> des responsabilités </w:t>
      </w:r>
      <w:r w:rsidR="0004796E" w:rsidRPr="008C3393">
        <w:rPr>
          <w:szCs w:val="22"/>
          <w:lang w:val="fr-FR"/>
        </w:rPr>
        <w:t>à</w:t>
      </w:r>
      <w:r w:rsidR="008C7A8F" w:rsidRPr="008C3393">
        <w:rPr>
          <w:szCs w:val="22"/>
          <w:lang w:val="fr-FR"/>
        </w:rPr>
        <w:t xml:space="preserve"> la fois pour la CMS et l</w:t>
      </w:r>
      <w:r w:rsidR="00F82A75">
        <w:rPr>
          <w:szCs w:val="22"/>
          <w:lang w:val="fr-FR"/>
        </w:rPr>
        <w:t>’</w:t>
      </w:r>
      <w:r w:rsidR="008C7A8F" w:rsidRPr="008C3393">
        <w:rPr>
          <w:szCs w:val="22"/>
          <w:lang w:val="fr-FR"/>
        </w:rPr>
        <w:t>AEWA.</w:t>
      </w:r>
      <w:r w:rsidR="00851BAD" w:rsidRPr="008C3393">
        <w:rPr>
          <w:szCs w:val="22"/>
          <w:lang w:val="fr-FR"/>
        </w:rPr>
        <w:t xml:space="preserve"> </w:t>
      </w:r>
      <w:r w:rsidR="00AE11F6" w:rsidRPr="008C3393">
        <w:rPr>
          <w:szCs w:val="22"/>
          <w:lang w:val="fr-FR"/>
        </w:rPr>
        <w:t>Ceci reflète de plus grandes synergies au niveau national et signifie que b</w:t>
      </w:r>
      <w:r w:rsidR="001D0E85" w:rsidRPr="008C3393">
        <w:rPr>
          <w:szCs w:val="22"/>
          <w:lang w:val="fr-FR"/>
        </w:rPr>
        <w:t>eaucoup de</w:t>
      </w:r>
      <w:r w:rsidR="00AE11F6" w:rsidRPr="008C3393">
        <w:rPr>
          <w:szCs w:val="22"/>
          <w:lang w:val="fr-FR"/>
        </w:rPr>
        <w:t xml:space="preserve"> participants à la </w:t>
      </w:r>
      <w:r w:rsidR="008C7A8F" w:rsidRPr="008C3393">
        <w:rPr>
          <w:szCs w:val="22"/>
          <w:lang w:val="fr-FR"/>
        </w:rPr>
        <w:t xml:space="preserve">MOP5 </w:t>
      </w:r>
      <w:r w:rsidR="00AE11F6" w:rsidRPr="008C3393">
        <w:rPr>
          <w:szCs w:val="22"/>
          <w:lang w:val="fr-FR"/>
        </w:rPr>
        <w:t>avaient également assisté à la</w:t>
      </w:r>
      <w:r w:rsidR="008C7A8F" w:rsidRPr="008C3393">
        <w:rPr>
          <w:szCs w:val="22"/>
          <w:lang w:val="fr-FR"/>
        </w:rPr>
        <w:t xml:space="preserve"> COP10 </w:t>
      </w:r>
      <w:r w:rsidR="00AE11F6" w:rsidRPr="008C3393">
        <w:rPr>
          <w:szCs w:val="22"/>
          <w:lang w:val="fr-FR"/>
        </w:rPr>
        <w:t>de la CMS en Norvège, en novembre</w:t>
      </w:r>
      <w:r w:rsidR="008C7A8F" w:rsidRPr="008C3393">
        <w:rPr>
          <w:szCs w:val="22"/>
          <w:lang w:val="fr-FR"/>
        </w:rPr>
        <w:t xml:space="preserve"> 2011.</w:t>
      </w:r>
    </w:p>
    <w:p w14:paraId="367AC61C" w14:textId="77777777" w:rsidR="00851BAD" w:rsidRPr="008C3393" w:rsidRDefault="00851BAD" w:rsidP="00BA154F">
      <w:pPr>
        <w:jc w:val="both"/>
        <w:rPr>
          <w:szCs w:val="22"/>
          <w:lang w:val="fr-FR"/>
        </w:rPr>
      </w:pPr>
    </w:p>
    <w:p w14:paraId="1F0EFB5D" w14:textId="2D0A5419" w:rsidR="00851BAD" w:rsidRPr="008C3393" w:rsidRDefault="0016026F" w:rsidP="00BA154F">
      <w:pPr>
        <w:jc w:val="both"/>
        <w:rPr>
          <w:szCs w:val="22"/>
          <w:lang w:val="fr-FR"/>
        </w:rPr>
      </w:pPr>
      <w:r>
        <w:rPr>
          <w:szCs w:val="22"/>
          <w:lang w:val="fr-FR"/>
        </w:rPr>
        <w:t>74</w:t>
      </w:r>
      <w:r w:rsidR="00822C50" w:rsidRPr="008C3393">
        <w:rPr>
          <w:szCs w:val="22"/>
          <w:lang w:val="fr-FR"/>
        </w:rPr>
        <w:t xml:space="preserve">. </w:t>
      </w:r>
      <w:r w:rsidR="00AE11F6" w:rsidRPr="008C3393">
        <w:rPr>
          <w:szCs w:val="22"/>
          <w:lang w:val="fr-FR"/>
        </w:rPr>
        <w:t>Elle a souligné des exemples de décisions de la COP10 qui étaient spécialement importantes pour la MOP5 et dont beaucoup faisaient déjà l</w:t>
      </w:r>
      <w:r w:rsidR="00F82A75">
        <w:rPr>
          <w:szCs w:val="22"/>
          <w:lang w:val="fr-FR"/>
        </w:rPr>
        <w:t>’</w:t>
      </w:r>
      <w:r w:rsidR="00AE11F6" w:rsidRPr="008C3393">
        <w:rPr>
          <w:szCs w:val="22"/>
          <w:lang w:val="fr-FR"/>
        </w:rPr>
        <w:t>objet d</w:t>
      </w:r>
      <w:r w:rsidR="00F82A75">
        <w:rPr>
          <w:szCs w:val="22"/>
          <w:lang w:val="fr-FR"/>
        </w:rPr>
        <w:t>’</w:t>
      </w:r>
      <w:r w:rsidR="00AE11F6" w:rsidRPr="008C3393">
        <w:rPr>
          <w:szCs w:val="22"/>
          <w:lang w:val="fr-FR"/>
        </w:rPr>
        <w:t>un suivi actif, incluant :</w:t>
      </w:r>
    </w:p>
    <w:p w14:paraId="1CCDD470" w14:textId="77777777" w:rsidR="00851BAD" w:rsidRPr="008C3393" w:rsidRDefault="00851BAD" w:rsidP="00BA154F">
      <w:pPr>
        <w:jc w:val="both"/>
        <w:rPr>
          <w:szCs w:val="22"/>
          <w:lang w:val="fr-FR"/>
        </w:rPr>
      </w:pPr>
    </w:p>
    <w:p w14:paraId="1F5B8243" w14:textId="6F2488DE" w:rsidR="00851BAD" w:rsidRPr="008C3393" w:rsidRDefault="00AE11F6" w:rsidP="00BA154F">
      <w:pPr>
        <w:pStyle w:val="ListParagraph"/>
        <w:numPr>
          <w:ilvl w:val="0"/>
          <w:numId w:val="4"/>
        </w:numPr>
        <w:jc w:val="both"/>
        <w:rPr>
          <w:sz w:val="22"/>
          <w:szCs w:val="22"/>
          <w:lang w:val="fr-FR"/>
        </w:rPr>
      </w:pPr>
      <w:r w:rsidRPr="008C3393">
        <w:rPr>
          <w:sz w:val="22"/>
          <w:szCs w:val="22"/>
          <w:lang w:val="fr-FR"/>
        </w:rPr>
        <w:t>La conservation des oiseaux migrateurs terrestres d</w:t>
      </w:r>
      <w:r w:rsidR="00F82A75">
        <w:rPr>
          <w:sz w:val="22"/>
          <w:szCs w:val="22"/>
          <w:lang w:val="fr-FR"/>
        </w:rPr>
        <w:t>’</w:t>
      </w:r>
      <w:r w:rsidRPr="008C3393">
        <w:rPr>
          <w:sz w:val="22"/>
          <w:szCs w:val="22"/>
          <w:lang w:val="fr-FR"/>
        </w:rPr>
        <w:t>Afrique-Eurasie</w:t>
      </w:r>
    </w:p>
    <w:p w14:paraId="14A11950" w14:textId="5B3BE325" w:rsidR="00851BAD" w:rsidRPr="008C3393" w:rsidRDefault="00AE11F6" w:rsidP="00BA154F">
      <w:pPr>
        <w:pStyle w:val="ListParagraph"/>
        <w:numPr>
          <w:ilvl w:val="0"/>
          <w:numId w:val="4"/>
        </w:numPr>
        <w:jc w:val="both"/>
        <w:rPr>
          <w:sz w:val="22"/>
          <w:szCs w:val="22"/>
          <w:lang w:val="fr-FR"/>
        </w:rPr>
      </w:pPr>
      <w:r w:rsidRPr="008C3393">
        <w:rPr>
          <w:sz w:val="22"/>
          <w:szCs w:val="22"/>
          <w:lang w:val="fr-FR"/>
        </w:rPr>
        <w:t>Les voies de migration</w:t>
      </w:r>
    </w:p>
    <w:p w14:paraId="0354C4CB" w14:textId="650F5D68" w:rsidR="00851BAD" w:rsidRPr="008C3393" w:rsidRDefault="00AE11F6" w:rsidP="00BA154F">
      <w:pPr>
        <w:pStyle w:val="ListParagraph"/>
        <w:numPr>
          <w:ilvl w:val="0"/>
          <w:numId w:val="4"/>
        </w:numPr>
        <w:jc w:val="both"/>
        <w:rPr>
          <w:sz w:val="22"/>
          <w:szCs w:val="22"/>
          <w:lang w:val="fr-FR"/>
        </w:rPr>
      </w:pPr>
      <w:r w:rsidRPr="008C3393">
        <w:rPr>
          <w:sz w:val="22"/>
          <w:szCs w:val="22"/>
          <w:lang w:val="fr-FR"/>
        </w:rPr>
        <w:t>Les oiseaux migrateurs et les lignes électriques</w:t>
      </w:r>
    </w:p>
    <w:p w14:paraId="660E5219" w14:textId="08DE0A67" w:rsidR="00851BAD" w:rsidRPr="008C3393" w:rsidRDefault="00AE11F6" w:rsidP="00BA154F">
      <w:pPr>
        <w:pStyle w:val="ListParagraph"/>
        <w:numPr>
          <w:ilvl w:val="0"/>
          <w:numId w:val="4"/>
        </w:numPr>
        <w:jc w:val="both"/>
        <w:rPr>
          <w:sz w:val="22"/>
          <w:szCs w:val="22"/>
          <w:lang w:val="fr-FR"/>
        </w:rPr>
      </w:pPr>
      <w:r w:rsidRPr="008C3393">
        <w:rPr>
          <w:sz w:val="22"/>
          <w:szCs w:val="22"/>
          <w:lang w:val="fr-FR"/>
        </w:rPr>
        <w:t>La réduction des risques d</w:t>
      </w:r>
      <w:r w:rsidR="00F82A75">
        <w:rPr>
          <w:sz w:val="22"/>
          <w:szCs w:val="22"/>
          <w:lang w:val="fr-FR"/>
        </w:rPr>
        <w:t>’</w:t>
      </w:r>
      <w:r w:rsidRPr="008C3393">
        <w:rPr>
          <w:sz w:val="22"/>
          <w:szCs w:val="22"/>
          <w:lang w:val="fr-FR"/>
        </w:rPr>
        <w:t>empoisonnement encourus par les oiseaux migrateurs</w:t>
      </w:r>
    </w:p>
    <w:p w14:paraId="4E706552" w14:textId="52037CF9" w:rsidR="00851BAD" w:rsidRPr="008C3393" w:rsidRDefault="00AE11F6" w:rsidP="00BA154F">
      <w:pPr>
        <w:pStyle w:val="ListParagraph"/>
        <w:numPr>
          <w:ilvl w:val="0"/>
          <w:numId w:val="4"/>
        </w:numPr>
        <w:jc w:val="both"/>
        <w:rPr>
          <w:sz w:val="22"/>
          <w:szCs w:val="22"/>
          <w:lang w:val="fr-FR"/>
        </w:rPr>
      </w:pPr>
      <w:r w:rsidRPr="008C3393">
        <w:rPr>
          <w:sz w:val="22"/>
          <w:szCs w:val="22"/>
          <w:lang w:val="fr-FR"/>
        </w:rPr>
        <w:t>Les espèce</w:t>
      </w:r>
      <w:r w:rsidR="001D0E85" w:rsidRPr="008C3393">
        <w:rPr>
          <w:sz w:val="22"/>
          <w:szCs w:val="22"/>
          <w:lang w:val="fr-FR"/>
        </w:rPr>
        <w:t>s</w:t>
      </w:r>
      <w:r w:rsidRPr="008C3393">
        <w:rPr>
          <w:sz w:val="22"/>
          <w:szCs w:val="22"/>
          <w:lang w:val="fr-FR"/>
        </w:rPr>
        <w:t xml:space="preserve"> non indigène</w:t>
      </w:r>
      <w:r w:rsidR="001D0E85" w:rsidRPr="008C3393">
        <w:rPr>
          <w:sz w:val="22"/>
          <w:szCs w:val="22"/>
          <w:lang w:val="fr-FR"/>
        </w:rPr>
        <w:t>s</w:t>
      </w:r>
      <w:r w:rsidRPr="008C3393">
        <w:rPr>
          <w:sz w:val="22"/>
          <w:szCs w:val="22"/>
          <w:lang w:val="fr-FR"/>
        </w:rPr>
        <w:t xml:space="preserve"> envahissantes</w:t>
      </w:r>
    </w:p>
    <w:p w14:paraId="48EBDC45" w14:textId="7BEBEE32" w:rsidR="00851BAD" w:rsidRPr="008C3393" w:rsidRDefault="00AE11F6" w:rsidP="00BA154F">
      <w:pPr>
        <w:pStyle w:val="ListParagraph"/>
        <w:numPr>
          <w:ilvl w:val="0"/>
          <w:numId w:val="4"/>
        </w:numPr>
        <w:jc w:val="both"/>
        <w:rPr>
          <w:sz w:val="22"/>
          <w:szCs w:val="22"/>
          <w:lang w:val="fr-FR"/>
        </w:rPr>
      </w:pPr>
      <w:r w:rsidRPr="008C3393">
        <w:rPr>
          <w:sz w:val="22"/>
          <w:szCs w:val="22"/>
          <w:lang w:val="fr-FR"/>
        </w:rPr>
        <w:t>L</w:t>
      </w:r>
      <w:r w:rsidR="00F82A75">
        <w:rPr>
          <w:sz w:val="22"/>
          <w:szCs w:val="22"/>
          <w:lang w:val="fr-FR"/>
        </w:rPr>
        <w:t>’</w:t>
      </w:r>
      <w:r w:rsidRPr="008C3393">
        <w:rPr>
          <w:sz w:val="22"/>
          <w:szCs w:val="22"/>
          <w:lang w:val="fr-FR"/>
        </w:rPr>
        <w:t>atténuation d</w:t>
      </w:r>
      <w:r w:rsidR="00A1380F">
        <w:rPr>
          <w:sz w:val="22"/>
          <w:szCs w:val="22"/>
          <w:lang w:val="fr-FR"/>
        </w:rPr>
        <w:t>es effets d</w:t>
      </w:r>
      <w:r w:rsidRPr="008C3393">
        <w:rPr>
          <w:sz w:val="22"/>
          <w:szCs w:val="22"/>
          <w:lang w:val="fr-FR"/>
        </w:rPr>
        <w:t>u changement climatique</w:t>
      </w:r>
    </w:p>
    <w:p w14:paraId="1B6E28F9" w14:textId="27FB9FD8" w:rsidR="00851BAD" w:rsidRPr="008C3393" w:rsidRDefault="00AE11F6" w:rsidP="00BA154F">
      <w:pPr>
        <w:pStyle w:val="ListParagraph"/>
        <w:numPr>
          <w:ilvl w:val="0"/>
          <w:numId w:val="4"/>
        </w:numPr>
        <w:jc w:val="both"/>
        <w:rPr>
          <w:sz w:val="22"/>
          <w:szCs w:val="22"/>
          <w:lang w:val="fr-FR"/>
        </w:rPr>
      </w:pPr>
      <w:r w:rsidRPr="008C3393">
        <w:rPr>
          <w:sz w:val="22"/>
          <w:szCs w:val="22"/>
          <w:lang w:val="fr-FR"/>
        </w:rPr>
        <w:t>Le processus de la structure future de la CMS</w:t>
      </w:r>
    </w:p>
    <w:p w14:paraId="6C268D21" w14:textId="77777777" w:rsidR="00851BAD" w:rsidRPr="008C3393" w:rsidRDefault="00851BAD" w:rsidP="00BA154F">
      <w:pPr>
        <w:ind w:left="360"/>
        <w:jc w:val="both"/>
        <w:rPr>
          <w:szCs w:val="22"/>
          <w:lang w:val="fr-FR"/>
        </w:rPr>
      </w:pPr>
    </w:p>
    <w:p w14:paraId="2C1F7CEE" w14:textId="0CB4DDA3" w:rsidR="00851BAD" w:rsidRDefault="0016026F" w:rsidP="00BA154F">
      <w:pPr>
        <w:jc w:val="both"/>
        <w:rPr>
          <w:szCs w:val="22"/>
          <w:lang w:val="fr-FR"/>
        </w:rPr>
      </w:pPr>
      <w:r>
        <w:rPr>
          <w:szCs w:val="22"/>
          <w:lang w:val="fr-FR"/>
        </w:rPr>
        <w:t>75</w:t>
      </w:r>
      <w:r w:rsidR="00822C50" w:rsidRPr="008C3393">
        <w:rPr>
          <w:szCs w:val="22"/>
          <w:lang w:val="fr-FR"/>
        </w:rPr>
        <w:t xml:space="preserve">. </w:t>
      </w:r>
      <w:r w:rsidR="00AE11F6" w:rsidRPr="008C3393">
        <w:rPr>
          <w:szCs w:val="22"/>
          <w:lang w:val="fr-FR"/>
        </w:rPr>
        <w:t>Concernant les synergies entre la CMS et l</w:t>
      </w:r>
      <w:r w:rsidR="00F82A75">
        <w:rPr>
          <w:szCs w:val="22"/>
          <w:lang w:val="fr-FR"/>
        </w:rPr>
        <w:t>’</w:t>
      </w:r>
      <w:r w:rsidR="00AE11F6" w:rsidRPr="008C3393">
        <w:rPr>
          <w:szCs w:val="22"/>
          <w:lang w:val="fr-FR"/>
        </w:rPr>
        <w:t xml:space="preserve">AEWA, </w:t>
      </w:r>
      <w:r w:rsidR="00AE11F6" w:rsidRPr="00C35ADA">
        <w:rPr>
          <w:b/>
          <w:szCs w:val="22"/>
          <w:lang w:val="fr-FR"/>
        </w:rPr>
        <w:t xml:space="preserve">Mme </w:t>
      </w:r>
      <w:proofErr w:type="spellStart"/>
      <w:r w:rsidR="00AE11F6" w:rsidRPr="00C35ADA">
        <w:rPr>
          <w:b/>
          <w:szCs w:val="22"/>
          <w:lang w:val="fr-FR"/>
        </w:rPr>
        <w:t>Mrema</w:t>
      </w:r>
      <w:proofErr w:type="spellEnd"/>
      <w:r w:rsidR="00AE11F6" w:rsidRPr="008C3393">
        <w:rPr>
          <w:szCs w:val="22"/>
          <w:lang w:val="fr-FR"/>
        </w:rPr>
        <w:t xml:space="preserve"> a noté qu</w:t>
      </w:r>
      <w:r w:rsidR="00F82A75">
        <w:rPr>
          <w:szCs w:val="22"/>
          <w:lang w:val="fr-FR"/>
        </w:rPr>
        <w:t>’</w:t>
      </w:r>
      <w:r w:rsidR="00AE11F6" w:rsidRPr="008C3393">
        <w:rPr>
          <w:szCs w:val="22"/>
          <w:lang w:val="fr-FR"/>
        </w:rPr>
        <w:t>en étroite coopération avec l</w:t>
      </w:r>
      <w:r w:rsidR="00F82A75">
        <w:rPr>
          <w:szCs w:val="22"/>
          <w:lang w:val="fr-FR"/>
        </w:rPr>
        <w:t>’</w:t>
      </w:r>
      <w:r w:rsidR="00AE11F6" w:rsidRPr="008C3393">
        <w:rPr>
          <w:szCs w:val="22"/>
          <w:lang w:val="fr-FR"/>
        </w:rPr>
        <w:t>AEWA, le Secrétariat de la CMS a commencé à organiser une réunion des États de l</w:t>
      </w:r>
      <w:r w:rsidR="00F82A75">
        <w:rPr>
          <w:szCs w:val="22"/>
          <w:lang w:val="fr-FR"/>
        </w:rPr>
        <w:t>’</w:t>
      </w:r>
      <w:r w:rsidR="00AE11F6" w:rsidRPr="008C3393">
        <w:rPr>
          <w:szCs w:val="22"/>
          <w:lang w:val="fr-FR"/>
        </w:rPr>
        <w:t>aire de répartition de la voie de migration d</w:t>
      </w:r>
      <w:r w:rsidR="00F82A75">
        <w:rPr>
          <w:szCs w:val="22"/>
          <w:lang w:val="fr-FR"/>
        </w:rPr>
        <w:t>’</w:t>
      </w:r>
      <w:r w:rsidR="00AE11F6" w:rsidRPr="008C3393">
        <w:rPr>
          <w:szCs w:val="22"/>
          <w:lang w:val="fr-FR"/>
        </w:rPr>
        <w:t>Asie centrale (CAF), qui se tiendra consécutivement à la réunion du Protocole d</w:t>
      </w:r>
      <w:r w:rsidR="00F82A75">
        <w:rPr>
          <w:szCs w:val="22"/>
          <w:lang w:val="fr-FR"/>
        </w:rPr>
        <w:t>’</w:t>
      </w:r>
      <w:r w:rsidR="00AE11F6" w:rsidRPr="008C3393">
        <w:rPr>
          <w:szCs w:val="22"/>
          <w:lang w:val="fr-FR"/>
        </w:rPr>
        <w:t>accord sur les rapaces, en décembre 2012. L</w:t>
      </w:r>
      <w:r w:rsidR="00F82A75">
        <w:rPr>
          <w:szCs w:val="22"/>
          <w:lang w:val="fr-FR"/>
        </w:rPr>
        <w:t>’</w:t>
      </w:r>
      <w:r w:rsidR="00AE11F6" w:rsidRPr="008C3393">
        <w:rPr>
          <w:szCs w:val="22"/>
          <w:lang w:val="fr-FR"/>
        </w:rPr>
        <w:t>extension possible de l</w:t>
      </w:r>
      <w:r w:rsidR="00F82A75">
        <w:rPr>
          <w:szCs w:val="22"/>
          <w:lang w:val="fr-FR"/>
        </w:rPr>
        <w:t>’</w:t>
      </w:r>
      <w:r w:rsidR="00AE11F6" w:rsidRPr="008C3393">
        <w:rPr>
          <w:szCs w:val="22"/>
          <w:lang w:val="fr-FR"/>
        </w:rPr>
        <w:t>Aire de l</w:t>
      </w:r>
      <w:r w:rsidR="00F82A75">
        <w:rPr>
          <w:szCs w:val="22"/>
          <w:lang w:val="fr-FR"/>
        </w:rPr>
        <w:t>’</w:t>
      </w:r>
      <w:r w:rsidR="00AE11F6" w:rsidRPr="008C3393">
        <w:rPr>
          <w:szCs w:val="22"/>
          <w:lang w:val="fr-FR"/>
        </w:rPr>
        <w:t>Accord aux fins d</w:t>
      </w:r>
      <w:r w:rsidR="00F82A75">
        <w:rPr>
          <w:szCs w:val="22"/>
          <w:lang w:val="fr-FR"/>
        </w:rPr>
        <w:t>’</w:t>
      </w:r>
      <w:r w:rsidR="00AE11F6" w:rsidRPr="008C3393">
        <w:rPr>
          <w:szCs w:val="22"/>
          <w:lang w:val="fr-FR"/>
        </w:rPr>
        <w:t>inclusion de la CAF sera une des questions à examiner.</w:t>
      </w:r>
      <w:r w:rsidR="00851BAD" w:rsidRPr="008C3393">
        <w:rPr>
          <w:szCs w:val="22"/>
          <w:lang w:val="fr-FR"/>
        </w:rPr>
        <w:t xml:space="preserve"> </w:t>
      </w:r>
      <w:r w:rsidR="0004796E" w:rsidRPr="008C3393">
        <w:rPr>
          <w:szCs w:val="22"/>
          <w:lang w:val="fr-FR"/>
        </w:rPr>
        <w:t>D</w:t>
      </w:r>
      <w:r w:rsidR="00F82A75">
        <w:rPr>
          <w:szCs w:val="22"/>
          <w:lang w:val="fr-FR"/>
        </w:rPr>
        <w:t>’</w:t>
      </w:r>
      <w:r w:rsidR="0004796E" w:rsidRPr="008C3393">
        <w:rPr>
          <w:szCs w:val="22"/>
          <w:lang w:val="fr-FR"/>
        </w:rPr>
        <w:t xml:space="preserve">autres domaines de coopération sont le site Web de la famille de la CMS et la Journée Mondiale des </w:t>
      </w:r>
      <w:r w:rsidR="00A1380F">
        <w:rPr>
          <w:szCs w:val="22"/>
          <w:lang w:val="fr-FR"/>
        </w:rPr>
        <w:t>O</w:t>
      </w:r>
      <w:r w:rsidR="0004796E" w:rsidRPr="008C3393">
        <w:rPr>
          <w:szCs w:val="22"/>
          <w:lang w:val="fr-FR"/>
        </w:rPr>
        <w:t>iseaux Migrateurs, la CMS ayant joué un rôle supplémentaire pour permettre à l</w:t>
      </w:r>
      <w:r w:rsidR="00F82A75">
        <w:rPr>
          <w:szCs w:val="22"/>
          <w:lang w:val="fr-FR"/>
        </w:rPr>
        <w:t>’</w:t>
      </w:r>
      <w:r w:rsidR="0004796E" w:rsidRPr="008C3393">
        <w:rPr>
          <w:szCs w:val="22"/>
          <w:lang w:val="fr-FR"/>
        </w:rPr>
        <w:t>AEWA de se concentrer sur la MOP5.</w:t>
      </w:r>
    </w:p>
    <w:p w14:paraId="37F02D6D" w14:textId="77777777" w:rsidR="0016026F" w:rsidRPr="008C3393" w:rsidRDefault="0016026F" w:rsidP="00BA154F">
      <w:pPr>
        <w:jc w:val="both"/>
        <w:rPr>
          <w:szCs w:val="22"/>
          <w:lang w:val="fr-FR"/>
        </w:rPr>
      </w:pPr>
    </w:p>
    <w:p w14:paraId="1213FF82" w14:textId="750E12B2" w:rsidR="00851BAD" w:rsidRPr="008C3393" w:rsidRDefault="0016026F" w:rsidP="00BA154F">
      <w:pPr>
        <w:jc w:val="both"/>
        <w:rPr>
          <w:szCs w:val="22"/>
          <w:lang w:val="fr-FR"/>
        </w:rPr>
      </w:pPr>
      <w:r>
        <w:rPr>
          <w:szCs w:val="22"/>
          <w:lang w:val="fr-FR"/>
        </w:rPr>
        <w:t>76</w:t>
      </w:r>
      <w:r w:rsidR="00822C50" w:rsidRPr="008C3393">
        <w:rPr>
          <w:szCs w:val="22"/>
          <w:lang w:val="fr-FR"/>
        </w:rPr>
        <w:t xml:space="preserve">. </w:t>
      </w:r>
      <w:r w:rsidR="0004796E" w:rsidRPr="008C3393">
        <w:rPr>
          <w:szCs w:val="22"/>
          <w:lang w:val="fr-FR"/>
        </w:rPr>
        <w:t xml:space="preserve">Le </w:t>
      </w:r>
      <w:r w:rsidR="0004796E" w:rsidRPr="008C3393">
        <w:rPr>
          <w:b/>
          <w:szCs w:val="22"/>
          <w:lang w:val="fr-FR"/>
        </w:rPr>
        <w:t xml:space="preserve">Président </w:t>
      </w:r>
      <w:r w:rsidR="0004796E" w:rsidRPr="008C3393">
        <w:rPr>
          <w:szCs w:val="22"/>
          <w:lang w:val="fr-FR"/>
        </w:rPr>
        <w:t xml:space="preserve"> a invité à faire des commentaires sur la présentation de Mme </w:t>
      </w:r>
      <w:proofErr w:type="spellStart"/>
      <w:r w:rsidR="0004796E" w:rsidRPr="008C3393">
        <w:rPr>
          <w:szCs w:val="22"/>
          <w:lang w:val="fr-FR"/>
        </w:rPr>
        <w:t>Mrema</w:t>
      </w:r>
      <w:proofErr w:type="spellEnd"/>
      <w:r w:rsidR="0004796E" w:rsidRPr="008C3393">
        <w:rPr>
          <w:szCs w:val="22"/>
          <w:lang w:val="fr-FR"/>
        </w:rPr>
        <w:t>.</w:t>
      </w:r>
    </w:p>
    <w:p w14:paraId="243DD42D" w14:textId="77777777" w:rsidR="00851BAD" w:rsidRPr="008C3393" w:rsidRDefault="00851BAD" w:rsidP="00BA154F">
      <w:pPr>
        <w:jc w:val="both"/>
        <w:rPr>
          <w:szCs w:val="22"/>
          <w:lang w:val="fr-FR"/>
        </w:rPr>
      </w:pPr>
    </w:p>
    <w:p w14:paraId="730193CB" w14:textId="4ECE2DCE" w:rsidR="00851BAD" w:rsidRPr="008C3393" w:rsidRDefault="0016026F" w:rsidP="00BA154F">
      <w:pPr>
        <w:jc w:val="both"/>
        <w:rPr>
          <w:szCs w:val="22"/>
          <w:lang w:val="fr-FR"/>
        </w:rPr>
      </w:pPr>
      <w:r>
        <w:rPr>
          <w:szCs w:val="22"/>
          <w:lang w:val="fr-FR"/>
        </w:rPr>
        <w:t>77</w:t>
      </w:r>
      <w:r w:rsidR="00822C50" w:rsidRPr="008C3393">
        <w:rPr>
          <w:szCs w:val="22"/>
          <w:lang w:val="fr-FR"/>
        </w:rPr>
        <w:t xml:space="preserve">. </w:t>
      </w:r>
      <w:r w:rsidR="0004796E" w:rsidRPr="008C3393">
        <w:rPr>
          <w:szCs w:val="22"/>
          <w:lang w:val="fr-FR"/>
        </w:rPr>
        <w:t>L</w:t>
      </w:r>
      <w:r w:rsidR="00F82A75">
        <w:rPr>
          <w:szCs w:val="22"/>
          <w:lang w:val="fr-FR"/>
        </w:rPr>
        <w:t>’</w:t>
      </w:r>
      <w:r w:rsidR="0004796E" w:rsidRPr="008C3393">
        <w:rPr>
          <w:b/>
          <w:szCs w:val="22"/>
          <w:lang w:val="fr-FR"/>
        </w:rPr>
        <w:t>Allemagne, parlant au nom de l</w:t>
      </w:r>
      <w:r w:rsidR="00F82A75">
        <w:rPr>
          <w:b/>
          <w:szCs w:val="22"/>
          <w:lang w:val="fr-FR"/>
        </w:rPr>
        <w:t>’</w:t>
      </w:r>
      <w:r w:rsidR="0004796E" w:rsidRPr="008C3393">
        <w:rPr>
          <w:b/>
          <w:szCs w:val="22"/>
          <w:lang w:val="fr-FR"/>
        </w:rPr>
        <w:t>UE et de ses États membres</w:t>
      </w:r>
      <w:r w:rsidR="0004796E" w:rsidRPr="008C3393">
        <w:rPr>
          <w:szCs w:val="22"/>
          <w:lang w:val="fr-FR"/>
        </w:rPr>
        <w:t xml:space="preserve">, a fait part de son appréciation pour la </w:t>
      </w:r>
      <w:r w:rsidR="00A1380F">
        <w:rPr>
          <w:szCs w:val="22"/>
          <w:lang w:val="fr-FR"/>
        </w:rPr>
        <w:t>solide</w:t>
      </w:r>
      <w:r w:rsidR="0004796E" w:rsidRPr="008C3393">
        <w:rPr>
          <w:szCs w:val="22"/>
          <w:lang w:val="fr-FR"/>
        </w:rPr>
        <w:t xml:space="preserve"> coopération entre la CMS et l</w:t>
      </w:r>
      <w:r w:rsidR="00F82A75">
        <w:rPr>
          <w:szCs w:val="22"/>
          <w:lang w:val="fr-FR"/>
        </w:rPr>
        <w:t>’</w:t>
      </w:r>
      <w:r w:rsidR="0004796E" w:rsidRPr="008C3393">
        <w:rPr>
          <w:szCs w:val="22"/>
          <w:lang w:val="fr-FR"/>
        </w:rPr>
        <w:t>AEWA, notamment concernant le processus et le développe</w:t>
      </w:r>
      <w:r w:rsidR="00C35ADA">
        <w:rPr>
          <w:szCs w:val="22"/>
          <w:lang w:val="fr-FR"/>
        </w:rPr>
        <w:t>ment de la structure future du P</w:t>
      </w:r>
      <w:r w:rsidR="0004796E" w:rsidRPr="008C3393">
        <w:rPr>
          <w:szCs w:val="22"/>
          <w:lang w:val="fr-FR"/>
        </w:rPr>
        <w:t>lan stratégique de la CMS.</w:t>
      </w:r>
      <w:r w:rsidR="00851BAD" w:rsidRPr="008C3393">
        <w:rPr>
          <w:szCs w:val="22"/>
          <w:lang w:val="fr-FR"/>
        </w:rPr>
        <w:t xml:space="preserve"> </w:t>
      </w:r>
      <w:r w:rsidR="0004796E" w:rsidRPr="008C3393">
        <w:rPr>
          <w:szCs w:val="22"/>
          <w:lang w:val="fr-FR"/>
        </w:rPr>
        <w:t>Il serait utile que la participation actuelle de l</w:t>
      </w:r>
      <w:r w:rsidR="00F82A75">
        <w:rPr>
          <w:szCs w:val="22"/>
          <w:lang w:val="fr-FR"/>
        </w:rPr>
        <w:t>’</w:t>
      </w:r>
      <w:r w:rsidR="0004796E" w:rsidRPr="008C3393">
        <w:rPr>
          <w:szCs w:val="22"/>
          <w:lang w:val="fr-FR"/>
        </w:rPr>
        <w:t>AEWA à ce travail puisse être rendue explicite au moyen d</w:t>
      </w:r>
      <w:r w:rsidR="00F82A75">
        <w:rPr>
          <w:szCs w:val="22"/>
          <w:lang w:val="fr-FR"/>
        </w:rPr>
        <w:t>’</w:t>
      </w:r>
      <w:r w:rsidR="0004796E" w:rsidRPr="008C3393">
        <w:rPr>
          <w:szCs w:val="22"/>
          <w:lang w:val="fr-FR"/>
        </w:rPr>
        <w:t>un mandat au Comité permanent</w:t>
      </w:r>
      <w:r w:rsidR="001D0E85" w:rsidRPr="008C3393">
        <w:rPr>
          <w:szCs w:val="22"/>
          <w:lang w:val="fr-FR"/>
        </w:rPr>
        <w:t>,</w:t>
      </w:r>
      <w:r w:rsidR="0004796E" w:rsidRPr="008C3393">
        <w:rPr>
          <w:szCs w:val="22"/>
          <w:lang w:val="fr-FR"/>
        </w:rPr>
        <w:t xml:space="preserve"> pour travailler sur le suivi du processus de la structure future et renforcer les synergies.</w:t>
      </w:r>
      <w:r w:rsidR="00851BAD" w:rsidRPr="008C3393">
        <w:rPr>
          <w:szCs w:val="22"/>
          <w:lang w:val="fr-FR"/>
        </w:rPr>
        <w:t xml:space="preserve"> </w:t>
      </w:r>
      <w:r w:rsidR="0004796E" w:rsidRPr="008C3393">
        <w:rPr>
          <w:szCs w:val="22"/>
          <w:lang w:val="fr-FR"/>
        </w:rPr>
        <w:t>L</w:t>
      </w:r>
      <w:r w:rsidR="00F82A75">
        <w:rPr>
          <w:szCs w:val="22"/>
          <w:lang w:val="fr-FR"/>
        </w:rPr>
        <w:t>’</w:t>
      </w:r>
      <w:r w:rsidR="0004796E" w:rsidRPr="008C3393">
        <w:rPr>
          <w:szCs w:val="22"/>
          <w:lang w:val="fr-FR"/>
        </w:rPr>
        <w:t>UE et ses États membres présenteront une proposition pour ce mandat au point 26 de l</w:t>
      </w:r>
      <w:r w:rsidR="00F82A75">
        <w:rPr>
          <w:szCs w:val="22"/>
          <w:lang w:val="fr-FR"/>
        </w:rPr>
        <w:t>’</w:t>
      </w:r>
      <w:r w:rsidR="0004796E" w:rsidRPr="008C3393">
        <w:rPr>
          <w:szCs w:val="22"/>
          <w:lang w:val="fr-FR"/>
        </w:rPr>
        <w:t>ordre du jour, relatif à l</w:t>
      </w:r>
      <w:r w:rsidR="00F82A75">
        <w:rPr>
          <w:szCs w:val="22"/>
          <w:lang w:val="fr-FR"/>
        </w:rPr>
        <w:t>’</w:t>
      </w:r>
      <w:r w:rsidR="0004796E" w:rsidRPr="008C3393">
        <w:rPr>
          <w:szCs w:val="22"/>
          <w:lang w:val="fr-FR"/>
        </w:rPr>
        <w:t>avant-projet de R</w:t>
      </w:r>
      <w:r w:rsidR="001D0E85" w:rsidRPr="008C3393">
        <w:rPr>
          <w:szCs w:val="22"/>
          <w:lang w:val="fr-FR"/>
        </w:rPr>
        <w:t>é</w:t>
      </w:r>
      <w:r w:rsidR="0004796E" w:rsidRPr="008C3393">
        <w:rPr>
          <w:szCs w:val="22"/>
          <w:lang w:val="fr-FR"/>
        </w:rPr>
        <w:t>solution 5.17.</w:t>
      </w:r>
    </w:p>
    <w:p w14:paraId="1E8FBD99" w14:textId="77777777" w:rsidR="00851BAD" w:rsidRPr="008C3393" w:rsidRDefault="00851BAD" w:rsidP="00BA154F">
      <w:pPr>
        <w:jc w:val="both"/>
        <w:rPr>
          <w:szCs w:val="22"/>
          <w:lang w:val="fr-FR"/>
        </w:rPr>
      </w:pPr>
    </w:p>
    <w:p w14:paraId="0B694AF6" w14:textId="6C62735E" w:rsidR="00851BAD" w:rsidRPr="008C3393" w:rsidRDefault="0016026F" w:rsidP="00BA154F">
      <w:pPr>
        <w:jc w:val="both"/>
        <w:rPr>
          <w:szCs w:val="22"/>
          <w:lang w:val="fr-FR"/>
        </w:rPr>
      </w:pPr>
      <w:r>
        <w:rPr>
          <w:szCs w:val="22"/>
          <w:lang w:val="fr-FR"/>
        </w:rPr>
        <w:t>78</w:t>
      </w:r>
      <w:r w:rsidR="001664FE" w:rsidRPr="008C3393">
        <w:rPr>
          <w:szCs w:val="22"/>
          <w:lang w:val="fr-FR"/>
        </w:rPr>
        <w:t xml:space="preserve">. </w:t>
      </w:r>
      <w:r w:rsidR="0004796E" w:rsidRPr="008C3393">
        <w:rPr>
          <w:szCs w:val="22"/>
          <w:lang w:val="fr-FR"/>
        </w:rPr>
        <w:t>Sur l</w:t>
      </w:r>
      <w:r w:rsidR="00F82A75">
        <w:rPr>
          <w:szCs w:val="22"/>
          <w:lang w:val="fr-FR"/>
        </w:rPr>
        <w:t>’</w:t>
      </w:r>
      <w:r w:rsidR="0004796E" w:rsidRPr="008C3393">
        <w:rPr>
          <w:szCs w:val="22"/>
          <w:lang w:val="fr-FR"/>
        </w:rPr>
        <w:t xml:space="preserve">invitation du </w:t>
      </w:r>
      <w:r w:rsidR="0004796E" w:rsidRPr="008C3393">
        <w:rPr>
          <w:b/>
          <w:szCs w:val="22"/>
          <w:lang w:val="fr-FR"/>
        </w:rPr>
        <w:t>Président</w:t>
      </w:r>
      <w:r w:rsidR="0004796E" w:rsidRPr="008C3393">
        <w:rPr>
          <w:szCs w:val="22"/>
          <w:lang w:val="fr-FR"/>
        </w:rPr>
        <w:t>, la Réunion a indiqué qu</w:t>
      </w:r>
      <w:r w:rsidR="00F82A75">
        <w:rPr>
          <w:szCs w:val="22"/>
          <w:lang w:val="fr-FR"/>
        </w:rPr>
        <w:t>’</w:t>
      </w:r>
      <w:r w:rsidR="0004796E" w:rsidRPr="008C3393">
        <w:rPr>
          <w:szCs w:val="22"/>
          <w:lang w:val="fr-FR"/>
        </w:rPr>
        <w:t>elle consentait à ce que cette proposition soit faite.</w:t>
      </w:r>
    </w:p>
    <w:p w14:paraId="616D7191" w14:textId="77777777" w:rsidR="00851BAD" w:rsidRDefault="00851BAD" w:rsidP="00BA154F">
      <w:pPr>
        <w:jc w:val="both"/>
        <w:rPr>
          <w:szCs w:val="22"/>
          <w:lang w:val="fr-FR"/>
        </w:rPr>
      </w:pPr>
    </w:p>
    <w:p w14:paraId="5670AA9C" w14:textId="77777777" w:rsidR="000958DA" w:rsidRPr="008C3393" w:rsidRDefault="000958DA" w:rsidP="00BA154F">
      <w:pPr>
        <w:jc w:val="both"/>
        <w:rPr>
          <w:szCs w:val="22"/>
          <w:lang w:val="fr-FR"/>
        </w:rPr>
      </w:pPr>
    </w:p>
    <w:p w14:paraId="3EAABC57" w14:textId="275C1415" w:rsidR="00851BAD" w:rsidRPr="008C3393" w:rsidRDefault="0004796E" w:rsidP="00BA154F">
      <w:pPr>
        <w:jc w:val="both"/>
        <w:rPr>
          <w:b/>
          <w:szCs w:val="22"/>
          <w:lang w:val="fr-FR"/>
        </w:rPr>
      </w:pPr>
      <w:r w:rsidRPr="008C3393">
        <w:rPr>
          <w:b/>
          <w:szCs w:val="22"/>
          <w:lang w:val="fr-FR"/>
        </w:rPr>
        <w:t>Point 11 de l</w:t>
      </w:r>
      <w:r w:rsidR="00F82A75">
        <w:rPr>
          <w:b/>
          <w:szCs w:val="22"/>
          <w:lang w:val="fr-FR"/>
        </w:rPr>
        <w:t>’</w:t>
      </w:r>
      <w:r w:rsidRPr="008C3393">
        <w:rPr>
          <w:b/>
          <w:szCs w:val="22"/>
          <w:lang w:val="fr-FR"/>
        </w:rPr>
        <w:t>ordre d</w:t>
      </w:r>
      <w:r w:rsidR="00C35ADA">
        <w:rPr>
          <w:b/>
          <w:szCs w:val="22"/>
          <w:lang w:val="fr-FR"/>
        </w:rPr>
        <w:t>u jour – Mise en œuvre du Plan s</w:t>
      </w:r>
      <w:r w:rsidRPr="008C3393">
        <w:rPr>
          <w:b/>
          <w:szCs w:val="22"/>
          <w:lang w:val="fr-FR"/>
        </w:rPr>
        <w:t>tratégique de l</w:t>
      </w:r>
      <w:r w:rsidR="00F82A75">
        <w:rPr>
          <w:b/>
          <w:szCs w:val="22"/>
          <w:lang w:val="fr-FR"/>
        </w:rPr>
        <w:t>’</w:t>
      </w:r>
      <w:r w:rsidRPr="008C3393">
        <w:rPr>
          <w:b/>
          <w:szCs w:val="22"/>
          <w:lang w:val="fr-FR"/>
        </w:rPr>
        <w:t>AEWA</w:t>
      </w:r>
    </w:p>
    <w:p w14:paraId="37082854" w14:textId="77777777" w:rsidR="00851BAD" w:rsidRPr="008C3393" w:rsidRDefault="00851BAD" w:rsidP="00BA154F">
      <w:pPr>
        <w:jc w:val="both"/>
        <w:rPr>
          <w:b/>
          <w:szCs w:val="22"/>
          <w:lang w:val="fr-FR"/>
        </w:rPr>
      </w:pPr>
    </w:p>
    <w:p w14:paraId="4EFFE65F" w14:textId="65968F4F" w:rsidR="00851BAD" w:rsidRPr="008C3393" w:rsidRDefault="0016026F" w:rsidP="00BA154F">
      <w:pPr>
        <w:jc w:val="both"/>
        <w:rPr>
          <w:szCs w:val="22"/>
          <w:lang w:val="fr-FR"/>
        </w:rPr>
      </w:pPr>
      <w:r>
        <w:rPr>
          <w:szCs w:val="22"/>
          <w:lang w:val="fr-FR"/>
        </w:rPr>
        <w:t>79</w:t>
      </w:r>
      <w:r w:rsidR="001664FE" w:rsidRPr="008C3393">
        <w:rPr>
          <w:szCs w:val="22"/>
          <w:lang w:val="fr-FR"/>
        </w:rPr>
        <w:t xml:space="preserve">. </w:t>
      </w:r>
      <w:r w:rsidR="0004796E" w:rsidRPr="008C3393">
        <w:rPr>
          <w:szCs w:val="22"/>
          <w:lang w:val="fr-FR"/>
        </w:rPr>
        <w:t>L</w:t>
      </w:r>
      <w:r w:rsidR="00F82A75">
        <w:rPr>
          <w:szCs w:val="22"/>
          <w:lang w:val="fr-FR"/>
        </w:rPr>
        <w:t>’</w:t>
      </w:r>
      <w:r w:rsidR="0004796E" w:rsidRPr="008C3393">
        <w:rPr>
          <w:b/>
          <w:szCs w:val="22"/>
          <w:lang w:val="fr-FR"/>
        </w:rPr>
        <w:t>Administrateur technique</w:t>
      </w:r>
      <w:r w:rsidR="0004796E" w:rsidRPr="008C3393">
        <w:rPr>
          <w:szCs w:val="22"/>
          <w:lang w:val="fr-FR"/>
        </w:rPr>
        <w:t xml:space="preserve"> (M. Sergey Dereliev) a fait une présentation introduisant le document AEWA/MOP 5.11 </w:t>
      </w:r>
      <w:r w:rsidR="00C35ADA">
        <w:rPr>
          <w:i/>
          <w:szCs w:val="22"/>
          <w:lang w:val="fr-FR"/>
        </w:rPr>
        <w:t>Mise en œuvre du Plan s</w:t>
      </w:r>
      <w:r w:rsidR="0004796E" w:rsidRPr="008C3393">
        <w:rPr>
          <w:i/>
          <w:szCs w:val="22"/>
          <w:lang w:val="fr-FR"/>
        </w:rPr>
        <w:t>tratégique de l</w:t>
      </w:r>
      <w:r w:rsidR="00F82A75">
        <w:rPr>
          <w:i/>
          <w:szCs w:val="22"/>
          <w:lang w:val="fr-FR"/>
        </w:rPr>
        <w:t>’</w:t>
      </w:r>
      <w:r w:rsidR="0004796E" w:rsidRPr="008C3393">
        <w:rPr>
          <w:i/>
          <w:szCs w:val="22"/>
          <w:lang w:val="fr-FR"/>
        </w:rPr>
        <w:t>AEWA 2009 – 2017</w:t>
      </w:r>
      <w:r w:rsidR="00C35ADA">
        <w:rPr>
          <w:szCs w:val="22"/>
          <w:lang w:val="fr-FR"/>
        </w:rPr>
        <w:t>. Il a rappelé que le Plan s</w:t>
      </w:r>
      <w:r w:rsidR="0004796E" w:rsidRPr="008C3393">
        <w:rPr>
          <w:szCs w:val="22"/>
          <w:lang w:val="fr-FR"/>
        </w:rPr>
        <w:t>tratégique 2009-2017 de l</w:t>
      </w:r>
      <w:r w:rsidR="00F82A75">
        <w:rPr>
          <w:szCs w:val="22"/>
          <w:lang w:val="fr-FR"/>
        </w:rPr>
        <w:t>’</w:t>
      </w:r>
      <w:r w:rsidR="0004796E" w:rsidRPr="008C3393">
        <w:rPr>
          <w:szCs w:val="22"/>
          <w:lang w:val="fr-FR"/>
        </w:rPr>
        <w:t>AEWA avait été approuvé par la MOP4 en 2008 et que le Comité permanent (</w:t>
      </w:r>
      <w:proofErr w:type="spellStart"/>
      <w:r w:rsidR="0004796E" w:rsidRPr="008C3393">
        <w:rPr>
          <w:szCs w:val="22"/>
          <w:lang w:val="fr-FR"/>
        </w:rPr>
        <w:t>S</w:t>
      </w:r>
      <w:r w:rsidR="00AC58BD" w:rsidRPr="008C3393">
        <w:rPr>
          <w:szCs w:val="22"/>
          <w:lang w:val="fr-FR"/>
        </w:rPr>
        <w:t>t</w:t>
      </w:r>
      <w:r w:rsidR="0004796E" w:rsidRPr="008C3393">
        <w:rPr>
          <w:szCs w:val="22"/>
          <w:lang w:val="fr-FR"/>
        </w:rPr>
        <w:t>C</w:t>
      </w:r>
      <w:proofErr w:type="spellEnd"/>
      <w:r w:rsidR="0004796E" w:rsidRPr="008C3393">
        <w:rPr>
          <w:szCs w:val="22"/>
          <w:lang w:val="fr-FR"/>
        </w:rPr>
        <w:t xml:space="preserve">) </w:t>
      </w:r>
      <w:r w:rsidR="00AC58BD" w:rsidRPr="008C3393">
        <w:rPr>
          <w:szCs w:val="22"/>
          <w:lang w:val="fr-FR"/>
        </w:rPr>
        <w:t>avait été chargé de surveiller la mise en œuvre et de présenter son rapport à ce sujet à la</w:t>
      </w:r>
      <w:r w:rsidR="0004796E" w:rsidRPr="008C3393">
        <w:rPr>
          <w:szCs w:val="22"/>
          <w:lang w:val="fr-FR"/>
        </w:rPr>
        <w:t xml:space="preserve"> MOP.</w:t>
      </w:r>
      <w:r w:rsidR="00851BAD" w:rsidRPr="008C3393">
        <w:rPr>
          <w:szCs w:val="22"/>
          <w:lang w:val="fr-FR"/>
        </w:rPr>
        <w:t xml:space="preserve"> </w:t>
      </w:r>
      <w:r w:rsidR="00AC58BD" w:rsidRPr="008C3393">
        <w:rPr>
          <w:szCs w:val="22"/>
          <w:lang w:val="fr-FR"/>
        </w:rPr>
        <w:t>Les progrès en di</w:t>
      </w:r>
      <w:r w:rsidR="00C35ADA">
        <w:rPr>
          <w:szCs w:val="22"/>
          <w:lang w:val="fr-FR"/>
        </w:rPr>
        <w:t>rection du But général du Plan s</w:t>
      </w:r>
      <w:r w:rsidR="00AC58BD" w:rsidRPr="008C3393">
        <w:rPr>
          <w:szCs w:val="22"/>
          <w:lang w:val="fr-FR"/>
        </w:rPr>
        <w:t xml:space="preserve">tratégique </w:t>
      </w:r>
      <w:r w:rsidR="00AC58BD" w:rsidRPr="00A1380F">
        <w:rPr>
          <w:szCs w:val="22"/>
          <w:lang w:val="fr-FR"/>
        </w:rPr>
        <w:t>(PS)</w:t>
      </w:r>
      <w:r w:rsidR="00AC58BD" w:rsidRPr="008C3393">
        <w:rPr>
          <w:szCs w:val="22"/>
          <w:lang w:val="fr-FR"/>
        </w:rPr>
        <w:t xml:space="preserve"> ont été évalués comme étant très insuffisants, sur la base des 12 indicateurs (8 indicateurs à l</w:t>
      </w:r>
      <w:r w:rsidR="00F82A75">
        <w:rPr>
          <w:szCs w:val="22"/>
          <w:lang w:val="fr-FR"/>
        </w:rPr>
        <w:t>’</w:t>
      </w:r>
      <w:r w:rsidR="00AC58BD" w:rsidRPr="008C3393">
        <w:rPr>
          <w:szCs w:val="22"/>
          <w:lang w:val="fr-FR"/>
        </w:rPr>
        <w:t>échelle de l</w:t>
      </w:r>
      <w:r w:rsidR="00F82A75">
        <w:rPr>
          <w:szCs w:val="22"/>
          <w:lang w:val="fr-FR"/>
        </w:rPr>
        <w:t>’</w:t>
      </w:r>
      <w:r w:rsidR="00AC58BD" w:rsidRPr="008C3393">
        <w:rPr>
          <w:szCs w:val="22"/>
          <w:lang w:val="fr-FR"/>
        </w:rPr>
        <w:t>Accord et 4 indicateurs nationaux).</w:t>
      </w:r>
      <w:r w:rsidR="00851BAD" w:rsidRPr="008C3393">
        <w:rPr>
          <w:szCs w:val="22"/>
          <w:lang w:val="fr-FR"/>
        </w:rPr>
        <w:t xml:space="preserve"> </w:t>
      </w:r>
      <w:r w:rsidR="00C35ADA">
        <w:rPr>
          <w:szCs w:val="22"/>
          <w:lang w:val="fr-FR"/>
        </w:rPr>
        <w:t>Le Plan stratégique avait 5 o</w:t>
      </w:r>
      <w:r w:rsidR="00AC58BD" w:rsidRPr="008C3393">
        <w:rPr>
          <w:szCs w:val="22"/>
          <w:lang w:val="fr-FR"/>
        </w:rPr>
        <w:t xml:space="preserve">bjectifs </w:t>
      </w:r>
      <w:r w:rsidR="00A1380F">
        <w:rPr>
          <w:szCs w:val="22"/>
          <w:lang w:val="fr-FR"/>
        </w:rPr>
        <w:t>assortis de</w:t>
      </w:r>
      <w:r w:rsidR="00AC58BD" w:rsidRPr="008C3393">
        <w:rPr>
          <w:szCs w:val="22"/>
          <w:lang w:val="fr-FR"/>
        </w:rPr>
        <w:t xml:space="preserve"> 26 cibles.</w:t>
      </w:r>
      <w:r w:rsidR="00851BAD" w:rsidRPr="008C3393">
        <w:rPr>
          <w:szCs w:val="22"/>
          <w:lang w:val="fr-FR"/>
        </w:rPr>
        <w:t xml:space="preserve"> </w:t>
      </w:r>
      <w:r w:rsidR="00AC58BD" w:rsidRPr="008C3393">
        <w:rPr>
          <w:szCs w:val="22"/>
          <w:lang w:val="fr-FR"/>
        </w:rPr>
        <w:t>Les pro</w:t>
      </w:r>
      <w:r w:rsidR="00C35ADA">
        <w:rPr>
          <w:szCs w:val="22"/>
          <w:lang w:val="fr-FR"/>
        </w:rPr>
        <w:t>grès généraux en direction des o</w:t>
      </w:r>
      <w:r w:rsidR="00AC58BD" w:rsidRPr="008C3393">
        <w:rPr>
          <w:szCs w:val="22"/>
          <w:lang w:val="fr-FR"/>
        </w:rPr>
        <w:t>bjectifs ont été évalués comme étant de moyens à insuffisants, le plus de progrès ayant été réalisés au niveau de l</w:t>
      </w:r>
      <w:r w:rsidR="00F82A75">
        <w:rPr>
          <w:szCs w:val="22"/>
          <w:lang w:val="fr-FR"/>
        </w:rPr>
        <w:t>’</w:t>
      </w:r>
      <w:r w:rsidR="00C35ADA">
        <w:rPr>
          <w:szCs w:val="22"/>
          <w:lang w:val="fr-FR"/>
        </w:rPr>
        <w:t>o</w:t>
      </w:r>
      <w:r w:rsidR="00AC58BD" w:rsidRPr="008C3393">
        <w:rPr>
          <w:szCs w:val="22"/>
          <w:lang w:val="fr-FR"/>
        </w:rPr>
        <w:t>bjectif 2 (utilisation durable des oiseaux d</w:t>
      </w:r>
      <w:r w:rsidR="00F82A75">
        <w:rPr>
          <w:szCs w:val="22"/>
          <w:lang w:val="fr-FR"/>
        </w:rPr>
        <w:t>’</w:t>
      </w:r>
      <w:r w:rsidR="00AC58BD" w:rsidRPr="008C3393">
        <w:rPr>
          <w:szCs w:val="22"/>
          <w:lang w:val="fr-FR"/>
        </w:rPr>
        <w:t>eau) et le moins de progrès au niveau de l</w:t>
      </w:r>
      <w:r w:rsidR="00F82A75">
        <w:rPr>
          <w:szCs w:val="22"/>
          <w:lang w:val="fr-FR"/>
        </w:rPr>
        <w:t>’</w:t>
      </w:r>
      <w:r w:rsidR="00C35ADA">
        <w:rPr>
          <w:szCs w:val="22"/>
          <w:lang w:val="fr-FR"/>
        </w:rPr>
        <w:t>o</w:t>
      </w:r>
      <w:r w:rsidR="00AC58BD" w:rsidRPr="008C3393">
        <w:rPr>
          <w:szCs w:val="22"/>
          <w:lang w:val="fr-FR"/>
        </w:rPr>
        <w:t xml:space="preserve">bjectif 1 (mesures pour améliorer </w:t>
      </w:r>
      <w:r w:rsidR="00A1380F">
        <w:rPr>
          <w:szCs w:val="22"/>
          <w:lang w:val="fr-FR"/>
        </w:rPr>
        <w:t xml:space="preserve">ou maintenir </w:t>
      </w:r>
      <w:r w:rsidR="00AC58BD" w:rsidRPr="008C3393">
        <w:rPr>
          <w:szCs w:val="22"/>
          <w:lang w:val="fr-FR"/>
        </w:rPr>
        <w:t>l</w:t>
      </w:r>
      <w:r w:rsidR="00F82A75">
        <w:rPr>
          <w:szCs w:val="22"/>
          <w:lang w:val="fr-FR"/>
        </w:rPr>
        <w:t>’</w:t>
      </w:r>
      <w:r w:rsidR="00AC58BD" w:rsidRPr="008C3393">
        <w:rPr>
          <w:szCs w:val="22"/>
          <w:lang w:val="fr-FR"/>
        </w:rPr>
        <w:t>état de conservation des espèces d</w:t>
      </w:r>
      <w:r w:rsidR="00F82A75">
        <w:rPr>
          <w:szCs w:val="22"/>
          <w:lang w:val="fr-FR"/>
        </w:rPr>
        <w:t>’</w:t>
      </w:r>
      <w:r w:rsidR="00AC58BD" w:rsidRPr="008C3393">
        <w:rPr>
          <w:szCs w:val="22"/>
          <w:lang w:val="fr-FR"/>
        </w:rPr>
        <w:t>oiseaux d</w:t>
      </w:r>
      <w:r w:rsidR="00F82A75">
        <w:rPr>
          <w:szCs w:val="22"/>
          <w:lang w:val="fr-FR"/>
        </w:rPr>
        <w:t>’</w:t>
      </w:r>
      <w:r w:rsidR="00AC58BD" w:rsidRPr="008C3393">
        <w:rPr>
          <w:szCs w:val="22"/>
          <w:lang w:val="fr-FR"/>
        </w:rPr>
        <w:t>eau et de leurs populations).</w:t>
      </w:r>
    </w:p>
    <w:p w14:paraId="4A35ABC5" w14:textId="77777777" w:rsidR="00851BAD" w:rsidRPr="008C3393" w:rsidRDefault="00851BAD" w:rsidP="00BA154F">
      <w:pPr>
        <w:jc w:val="both"/>
        <w:rPr>
          <w:szCs w:val="22"/>
          <w:lang w:val="fr-FR"/>
        </w:rPr>
      </w:pPr>
    </w:p>
    <w:p w14:paraId="080B7591" w14:textId="68F95C81" w:rsidR="00851BAD" w:rsidRPr="008C3393" w:rsidRDefault="0016026F" w:rsidP="00BA154F">
      <w:pPr>
        <w:jc w:val="both"/>
        <w:rPr>
          <w:szCs w:val="22"/>
          <w:lang w:val="fr-FR"/>
        </w:rPr>
      </w:pPr>
      <w:r>
        <w:rPr>
          <w:szCs w:val="22"/>
          <w:lang w:val="fr-FR"/>
        </w:rPr>
        <w:t>80</w:t>
      </w:r>
      <w:r w:rsidR="001664FE" w:rsidRPr="008C3393">
        <w:rPr>
          <w:szCs w:val="22"/>
          <w:lang w:val="fr-FR"/>
        </w:rPr>
        <w:t xml:space="preserve">. </w:t>
      </w:r>
      <w:r w:rsidR="00AC58BD" w:rsidRPr="008C3393">
        <w:rPr>
          <w:b/>
          <w:szCs w:val="22"/>
          <w:lang w:val="fr-FR"/>
        </w:rPr>
        <w:t>M. Dereliev</w:t>
      </w:r>
      <w:r w:rsidR="00AC58BD" w:rsidRPr="008C3393">
        <w:rPr>
          <w:szCs w:val="22"/>
          <w:lang w:val="fr-FR"/>
        </w:rPr>
        <w:t xml:space="preserve"> a brièvement </w:t>
      </w:r>
      <w:r w:rsidR="00A1380F">
        <w:rPr>
          <w:szCs w:val="22"/>
          <w:lang w:val="fr-FR"/>
        </w:rPr>
        <w:t>décrit</w:t>
      </w:r>
      <w:r w:rsidR="00AC58BD" w:rsidRPr="008C3393">
        <w:rPr>
          <w:szCs w:val="22"/>
          <w:lang w:val="fr-FR"/>
        </w:rPr>
        <w:t xml:space="preserve"> les cibles et les indicateurs </w:t>
      </w:r>
      <w:r w:rsidR="00A1380F">
        <w:rPr>
          <w:szCs w:val="22"/>
          <w:lang w:val="fr-FR"/>
        </w:rPr>
        <w:t xml:space="preserve">du PS </w:t>
      </w:r>
      <w:r w:rsidR="00AC58BD" w:rsidRPr="008C3393">
        <w:rPr>
          <w:szCs w:val="22"/>
          <w:lang w:val="fr-FR"/>
        </w:rPr>
        <w:t>qui ont été atteints.</w:t>
      </w:r>
    </w:p>
    <w:p w14:paraId="3AA9FCB7" w14:textId="77777777" w:rsidR="00851BAD" w:rsidRPr="008C3393" w:rsidRDefault="00851BAD" w:rsidP="00BA154F">
      <w:pPr>
        <w:jc w:val="both"/>
        <w:rPr>
          <w:szCs w:val="22"/>
          <w:lang w:val="fr-FR"/>
        </w:rPr>
      </w:pPr>
    </w:p>
    <w:p w14:paraId="2650C56F" w14:textId="005D8132" w:rsidR="00851BAD" w:rsidRPr="008C3393" w:rsidRDefault="0016026F" w:rsidP="00BA154F">
      <w:pPr>
        <w:jc w:val="both"/>
        <w:rPr>
          <w:b/>
          <w:szCs w:val="22"/>
          <w:lang w:val="fr-FR"/>
        </w:rPr>
      </w:pPr>
      <w:r>
        <w:rPr>
          <w:szCs w:val="22"/>
          <w:lang w:val="fr-FR"/>
        </w:rPr>
        <w:t>81</w:t>
      </w:r>
      <w:r w:rsidR="001664FE" w:rsidRPr="008C3393">
        <w:rPr>
          <w:szCs w:val="22"/>
          <w:lang w:val="fr-FR"/>
        </w:rPr>
        <w:t xml:space="preserve">. </w:t>
      </w:r>
      <w:r w:rsidR="00AC58BD" w:rsidRPr="008C3393">
        <w:rPr>
          <w:szCs w:val="22"/>
          <w:lang w:val="fr-FR"/>
        </w:rPr>
        <w:t>Le Comité permanent a fait un certain nombre de recommandations pour améliorer la mise en œuvre, y compris une sélection de 12 cibles nécessitant une attention et un renforcement particuliers – dont 4 sous l</w:t>
      </w:r>
      <w:r w:rsidR="00F82A75">
        <w:rPr>
          <w:szCs w:val="22"/>
          <w:lang w:val="fr-FR"/>
        </w:rPr>
        <w:t>’</w:t>
      </w:r>
      <w:r w:rsidR="00C35ADA">
        <w:rPr>
          <w:szCs w:val="22"/>
          <w:lang w:val="fr-FR"/>
        </w:rPr>
        <w:t>o</w:t>
      </w:r>
      <w:r w:rsidR="00AC58BD" w:rsidRPr="008C3393">
        <w:rPr>
          <w:szCs w:val="22"/>
          <w:lang w:val="fr-FR"/>
        </w:rPr>
        <w:t>bjectif 1.</w:t>
      </w:r>
    </w:p>
    <w:p w14:paraId="5C04BE49" w14:textId="77777777" w:rsidR="00C35ADA" w:rsidRDefault="00C35ADA" w:rsidP="00BA154F">
      <w:pPr>
        <w:jc w:val="both"/>
        <w:rPr>
          <w:szCs w:val="22"/>
          <w:lang w:val="fr-FR"/>
        </w:rPr>
      </w:pPr>
    </w:p>
    <w:p w14:paraId="046F1411" w14:textId="4F188C02" w:rsidR="00851BAD" w:rsidRPr="008C3393" w:rsidRDefault="0016026F" w:rsidP="00BA154F">
      <w:pPr>
        <w:jc w:val="both"/>
        <w:rPr>
          <w:szCs w:val="22"/>
          <w:lang w:val="fr-FR"/>
        </w:rPr>
      </w:pPr>
      <w:r>
        <w:rPr>
          <w:szCs w:val="22"/>
          <w:lang w:val="fr-FR"/>
        </w:rPr>
        <w:t>82</w:t>
      </w:r>
      <w:r w:rsidR="001664FE" w:rsidRPr="008C3393">
        <w:rPr>
          <w:szCs w:val="22"/>
          <w:lang w:val="fr-FR"/>
        </w:rPr>
        <w:t xml:space="preserve">. </w:t>
      </w:r>
      <w:r w:rsidR="005279A3" w:rsidRPr="008C3393">
        <w:rPr>
          <w:szCs w:val="22"/>
          <w:lang w:val="fr-FR"/>
        </w:rPr>
        <w:t>Parmi les autres recommandations exposées dans le document, il a été proposé qu</w:t>
      </w:r>
      <w:r w:rsidR="00F82A75">
        <w:rPr>
          <w:szCs w:val="22"/>
          <w:lang w:val="fr-FR"/>
        </w:rPr>
        <w:t>’</w:t>
      </w:r>
      <w:r w:rsidR="005279A3" w:rsidRPr="008C3393">
        <w:rPr>
          <w:szCs w:val="22"/>
          <w:lang w:val="fr-FR"/>
        </w:rPr>
        <w:t>avant la MOP6, le Comité technique et le Secrétariat travaillent sur les cibles et indicateurs restants, n</w:t>
      </w:r>
      <w:r w:rsidR="00F82A75">
        <w:rPr>
          <w:szCs w:val="22"/>
          <w:lang w:val="fr-FR"/>
        </w:rPr>
        <w:t>’</w:t>
      </w:r>
      <w:r w:rsidR="005279A3" w:rsidRPr="008C3393">
        <w:rPr>
          <w:szCs w:val="22"/>
          <w:lang w:val="fr-FR"/>
        </w:rPr>
        <w:t>ayant pas été évalués.</w:t>
      </w:r>
    </w:p>
    <w:p w14:paraId="34618454" w14:textId="77777777" w:rsidR="00851BAD" w:rsidRPr="008C3393" w:rsidRDefault="00851BAD" w:rsidP="00BA154F">
      <w:pPr>
        <w:jc w:val="both"/>
        <w:rPr>
          <w:szCs w:val="22"/>
          <w:lang w:val="fr-FR"/>
        </w:rPr>
      </w:pPr>
    </w:p>
    <w:p w14:paraId="1C1E4E2E" w14:textId="126433E9" w:rsidR="00851BAD" w:rsidRPr="008C3393" w:rsidRDefault="0016026F" w:rsidP="00BA154F">
      <w:pPr>
        <w:jc w:val="both"/>
        <w:rPr>
          <w:szCs w:val="22"/>
          <w:lang w:val="fr-FR"/>
        </w:rPr>
      </w:pPr>
      <w:r>
        <w:rPr>
          <w:szCs w:val="22"/>
          <w:lang w:val="fr-FR"/>
        </w:rPr>
        <w:t>83</w:t>
      </w:r>
      <w:r w:rsidR="001664FE" w:rsidRPr="008C3393">
        <w:rPr>
          <w:szCs w:val="22"/>
          <w:lang w:val="fr-FR"/>
        </w:rPr>
        <w:t xml:space="preserve">. </w:t>
      </w:r>
      <w:r w:rsidR="005279A3" w:rsidRPr="008C3393">
        <w:rPr>
          <w:szCs w:val="22"/>
          <w:lang w:val="fr-FR"/>
        </w:rPr>
        <w:t xml:space="preserve">Le </w:t>
      </w:r>
      <w:r w:rsidR="005279A3" w:rsidRPr="008C3393">
        <w:rPr>
          <w:b/>
          <w:szCs w:val="22"/>
          <w:lang w:val="fr-FR"/>
        </w:rPr>
        <w:t>Président</w:t>
      </w:r>
      <w:r w:rsidR="005279A3" w:rsidRPr="008C3393">
        <w:rPr>
          <w:szCs w:val="22"/>
          <w:lang w:val="fr-FR"/>
        </w:rPr>
        <w:t xml:space="preserve"> a invité le groupe de travail</w:t>
      </w:r>
      <w:r w:rsidR="005C11A5">
        <w:rPr>
          <w:szCs w:val="22"/>
          <w:lang w:val="fr-FR"/>
        </w:rPr>
        <w:t xml:space="preserve"> sur les questions </w:t>
      </w:r>
      <w:r w:rsidR="005279A3" w:rsidRPr="008C3393">
        <w:rPr>
          <w:szCs w:val="22"/>
          <w:lang w:val="fr-FR"/>
        </w:rPr>
        <w:t>scientifique</w:t>
      </w:r>
      <w:r w:rsidR="005C11A5">
        <w:rPr>
          <w:szCs w:val="22"/>
          <w:lang w:val="fr-FR"/>
        </w:rPr>
        <w:t>s</w:t>
      </w:r>
      <w:r w:rsidR="005279A3" w:rsidRPr="008C3393">
        <w:rPr>
          <w:szCs w:val="22"/>
          <w:lang w:val="fr-FR"/>
        </w:rPr>
        <w:t xml:space="preserve"> et technique</w:t>
      </w:r>
      <w:r w:rsidR="005C11A5">
        <w:rPr>
          <w:szCs w:val="22"/>
          <w:lang w:val="fr-FR"/>
        </w:rPr>
        <w:t>s</w:t>
      </w:r>
      <w:r w:rsidR="005279A3" w:rsidRPr="008C3393">
        <w:rPr>
          <w:szCs w:val="22"/>
          <w:lang w:val="fr-FR"/>
        </w:rPr>
        <w:t xml:space="preserve"> à reprendre les recommandations du rapport en vue de leur éventuelle incorporation aux avant-projets de Résolutions.</w:t>
      </w:r>
    </w:p>
    <w:p w14:paraId="51A9EF03" w14:textId="77777777" w:rsidR="00851BAD" w:rsidRPr="008C3393" w:rsidRDefault="00851BAD" w:rsidP="00BA154F">
      <w:pPr>
        <w:jc w:val="both"/>
        <w:rPr>
          <w:szCs w:val="22"/>
          <w:lang w:val="fr-FR"/>
        </w:rPr>
      </w:pPr>
    </w:p>
    <w:p w14:paraId="7F4317AF" w14:textId="3A74DE8A" w:rsidR="00851BAD" w:rsidRPr="008C3393" w:rsidRDefault="0016026F" w:rsidP="00BA154F">
      <w:pPr>
        <w:jc w:val="both"/>
        <w:rPr>
          <w:szCs w:val="22"/>
          <w:lang w:val="fr-FR"/>
        </w:rPr>
      </w:pPr>
      <w:r>
        <w:rPr>
          <w:szCs w:val="22"/>
          <w:lang w:val="fr-FR"/>
        </w:rPr>
        <w:t>84</w:t>
      </w:r>
      <w:r w:rsidR="001664FE" w:rsidRPr="008C3393">
        <w:rPr>
          <w:szCs w:val="22"/>
          <w:lang w:val="fr-FR"/>
        </w:rPr>
        <w:t xml:space="preserve">. </w:t>
      </w:r>
      <w:r w:rsidR="005279A3" w:rsidRPr="008C3393">
        <w:rPr>
          <w:szCs w:val="22"/>
          <w:lang w:val="fr-FR"/>
        </w:rPr>
        <w:t xml:space="preserve">Le </w:t>
      </w:r>
      <w:r w:rsidR="005279A3" w:rsidRPr="008C3393">
        <w:rPr>
          <w:b/>
          <w:szCs w:val="22"/>
          <w:lang w:val="fr-FR"/>
        </w:rPr>
        <w:t>Sénégal</w:t>
      </w:r>
      <w:r w:rsidR="005279A3" w:rsidRPr="008C3393">
        <w:rPr>
          <w:szCs w:val="22"/>
          <w:lang w:val="fr-FR"/>
        </w:rPr>
        <w:t xml:space="preserve"> a indiqué que beaucoup des recommandations avaient été prises en compte au cours du développement du Plan d</w:t>
      </w:r>
      <w:r w:rsidR="00F82A75">
        <w:rPr>
          <w:szCs w:val="22"/>
          <w:lang w:val="fr-FR"/>
        </w:rPr>
        <w:t>’</w:t>
      </w:r>
      <w:r w:rsidR="005279A3" w:rsidRPr="008C3393">
        <w:rPr>
          <w:szCs w:val="22"/>
          <w:lang w:val="fr-FR"/>
        </w:rPr>
        <w:t>action pour l</w:t>
      </w:r>
      <w:r w:rsidR="00F82A75">
        <w:rPr>
          <w:szCs w:val="22"/>
          <w:lang w:val="fr-FR"/>
        </w:rPr>
        <w:t>’</w:t>
      </w:r>
      <w:r w:rsidR="005279A3" w:rsidRPr="008C3393">
        <w:rPr>
          <w:szCs w:val="22"/>
          <w:lang w:val="fr-FR"/>
        </w:rPr>
        <w:t>Afrique.</w:t>
      </w:r>
    </w:p>
    <w:p w14:paraId="4BF08D5C" w14:textId="77777777" w:rsidR="00851BAD" w:rsidRDefault="00851BAD" w:rsidP="00BA154F">
      <w:pPr>
        <w:jc w:val="both"/>
        <w:rPr>
          <w:szCs w:val="22"/>
          <w:lang w:val="fr-FR"/>
        </w:rPr>
      </w:pPr>
    </w:p>
    <w:p w14:paraId="3B4E0EF2" w14:textId="77777777" w:rsidR="000958DA" w:rsidRPr="008C3393" w:rsidRDefault="000958DA" w:rsidP="00BA154F">
      <w:pPr>
        <w:jc w:val="both"/>
        <w:rPr>
          <w:szCs w:val="22"/>
          <w:lang w:val="fr-FR"/>
        </w:rPr>
      </w:pPr>
    </w:p>
    <w:p w14:paraId="666BD4C4" w14:textId="65EF2783" w:rsidR="00851BAD" w:rsidRPr="008C3393" w:rsidRDefault="005279A3" w:rsidP="00BA154F">
      <w:pPr>
        <w:jc w:val="both"/>
        <w:rPr>
          <w:szCs w:val="22"/>
          <w:lang w:val="fr-FR"/>
        </w:rPr>
      </w:pPr>
      <w:r w:rsidRPr="008C3393">
        <w:rPr>
          <w:b/>
          <w:szCs w:val="22"/>
          <w:lang w:val="fr-FR"/>
        </w:rPr>
        <w:t>Point 12 de l</w:t>
      </w:r>
      <w:r w:rsidR="00F82A75">
        <w:rPr>
          <w:b/>
          <w:szCs w:val="22"/>
          <w:lang w:val="fr-FR"/>
        </w:rPr>
        <w:t>’</w:t>
      </w:r>
      <w:r w:rsidRPr="008C3393">
        <w:rPr>
          <w:b/>
          <w:szCs w:val="22"/>
          <w:lang w:val="fr-FR"/>
        </w:rPr>
        <w:t>ordre du jour. Rapports nationaux et processus de Rapport en ligne</w:t>
      </w:r>
    </w:p>
    <w:p w14:paraId="51CE54F2" w14:textId="77777777" w:rsidR="00851BAD" w:rsidRPr="008C3393" w:rsidRDefault="00851BAD" w:rsidP="00BA154F">
      <w:pPr>
        <w:jc w:val="both"/>
        <w:rPr>
          <w:szCs w:val="22"/>
          <w:lang w:val="fr-FR"/>
        </w:rPr>
      </w:pPr>
    </w:p>
    <w:p w14:paraId="739D9769" w14:textId="1A1793FA" w:rsidR="00851BAD" w:rsidRPr="008C3393" w:rsidRDefault="0016026F" w:rsidP="00BA154F">
      <w:pPr>
        <w:jc w:val="both"/>
        <w:rPr>
          <w:szCs w:val="22"/>
          <w:lang w:val="fr-FR"/>
        </w:rPr>
      </w:pPr>
      <w:r>
        <w:rPr>
          <w:szCs w:val="22"/>
          <w:lang w:val="fr-FR"/>
        </w:rPr>
        <w:t>85</w:t>
      </w:r>
      <w:r w:rsidR="001664FE" w:rsidRPr="008C3393">
        <w:rPr>
          <w:szCs w:val="22"/>
          <w:lang w:val="fr-FR"/>
        </w:rPr>
        <w:t xml:space="preserve">. </w:t>
      </w:r>
      <w:r w:rsidR="005279A3" w:rsidRPr="008C3393">
        <w:rPr>
          <w:szCs w:val="22"/>
          <w:lang w:val="fr-FR"/>
        </w:rPr>
        <w:t>L</w:t>
      </w:r>
      <w:r w:rsidR="00F82A75">
        <w:rPr>
          <w:szCs w:val="22"/>
          <w:lang w:val="fr-FR"/>
        </w:rPr>
        <w:t>’</w:t>
      </w:r>
      <w:r w:rsidR="005279A3" w:rsidRPr="008C3393">
        <w:rPr>
          <w:b/>
          <w:szCs w:val="22"/>
          <w:lang w:val="fr-FR"/>
        </w:rPr>
        <w:t>Administrateur technique</w:t>
      </w:r>
      <w:r w:rsidR="005279A3" w:rsidRPr="008C3393">
        <w:rPr>
          <w:szCs w:val="22"/>
          <w:lang w:val="fr-FR"/>
        </w:rPr>
        <w:t xml:space="preserve"> (M. Sergey Dereliev) a fait une présentation introduisant le document AEWA/MOP 5.12 </w:t>
      </w:r>
      <w:r w:rsidR="005279A3" w:rsidRPr="008C3393">
        <w:rPr>
          <w:i/>
          <w:szCs w:val="22"/>
          <w:lang w:val="fr-FR"/>
        </w:rPr>
        <w:t>Synthèse des informations fournies par les Parties à l</w:t>
      </w:r>
      <w:r w:rsidR="00F82A75">
        <w:rPr>
          <w:i/>
          <w:szCs w:val="22"/>
          <w:lang w:val="fr-FR"/>
        </w:rPr>
        <w:t>’</w:t>
      </w:r>
      <w:r w:rsidR="005279A3" w:rsidRPr="008C3393">
        <w:rPr>
          <w:i/>
          <w:szCs w:val="22"/>
          <w:lang w:val="fr-FR"/>
        </w:rPr>
        <w:t>AEWA dans les rapports nationaux sur la mise en œuvre de l</w:t>
      </w:r>
      <w:r w:rsidR="00F82A75">
        <w:rPr>
          <w:i/>
          <w:szCs w:val="22"/>
          <w:lang w:val="fr-FR"/>
        </w:rPr>
        <w:t>’</w:t>
      </w:r>
      <w:r w:rsidR="005279A3" w:rsidRPr="008C3393">
        <w:rPr>
          <w:i/>
          <w:szCs w:val="22"/>
          <w:lang w:val="fr-FR"/>
        </w:rPr>
        <w:t>Accord pour la période 2009-2011</w:t>
      </w:r>
      <w:r w:rsidR="005279A3" w:rsidRPr="008C3393">
        <w:rPr>
          <w:szCs w:val="22"/>
          <w:lang w:val="fr-FR"/>
        </w:rPr>
        <w:t xml:space="preserve">. Il a rappelé que la soumission des rapports nationaux était exigée </w:t>
      </w:r>
      <w:r w:rsidR="001D0E85" w:rsidRPr="008C3393">
        <w:rPr>
          <w:szCs w:val="22"/>
          <w:lang w:val="fr-FR"/>
        </w:rPr>
        <w:t>par</w:t>
      </w:r>
      <w:r w:rsidR="005279A3" w:rsidRPr="008C3393">
        <w:rPr>
          <w:szCs w:val="22"/>
          <w:lang w:val="fr-FR"/>
        </w:rPr>
        <w:t xml:space="preserve"> l</w:t>
      </w:r>
      <w:r w:rsidR="00F82A75">
        <w:rPr>
          <w:szCs w:val="22"/>
          <w:lang w:val="fr-FR"/>
        </w:rPr>
        <w:t>’</w:t>
      </w:r>
      <w:r w:rsidR="005279A3" w:rsidRPr="008C3393">
        <w:rPr>
          <w:szCs w:val="22"/>
          <w:lang w:val="fr-FR"/>
        </w:rPr>
        <w:t>Article V.1 (c) de l</w:t>
      </w:r>
      <w:r w:rsidR="00F82A75">
        <w:rPr>
          <w:szCs w:val="22"/>
          <w:lang w:val="fr-FR"/>
        </w:rPr>
        <w:t>’</w:t>
      </w:r>
      <w:r w:rsidR="005279A3" w:rsidRPr="008C3393">
        <w:rPr>
          <w:szCs w:val="22"/>
          <w:lang w:val="fr-FR"/>
        </w:rPr>
        <w:t>Accord.</w:t>
      </w:r>
      <w:r w:rsidR="00851BAD" w:rsidRPr="008C3393">
        <w:rPr>
          <w:szCs w:val="22"/>
          <w:lang w:val="fr-FR"/>
        </w:rPr>
        <w:t xml:space="preserve"> </w:t>
      </w:r>
      <w:r w:rsidR="005279A3" w:rsidRPr="008C3393">
        <w:rPr>
          <w:szCs w:val="22"/>
          <w:lang w:val="fr-FR"/>
        </w:rPr>
        <w:t xml:space="preserve">La date limite de soumission à la MOP5 avait été fixée au 14 janvier 2012. Le format a été </w:t>
      </w:r>
      <w:proofErr w:type="gramStart"/>
      <w:r w:rsidR="005279A3" w:rsidRPr="008C3393">
        <w:rPr>
          <w:szCs w:val="22"/>
          <w:lang w:val="fr-FR"/>
        </w:rPr>
        <w:t>approuvé</w:t>
      </w:r>
      <w:proofErr w:type="gramEnd"/>
      <w:r w:rsidR="005279A3" w:rsidRPr="008C3393">
        <w:rPr>
          <w:szCs w:val="22"/>
          <w:lang w:val="fr-FR"/>
        </w:rPr>
        <w:t xml:space="preserve"> par la MOP4 et les rapports ont été compilés et soumis par le biais du Système de rapport national en ligne de la Famille de la CMS.</w:t>
      </w:r>
      <w:r w:rsidR="00851BAD" w:rsidRPr="008C3393">
        <w:rPr>
          <w:szCs w:val="22"/>
          <w:lang w:val="fr-FR"/>
        </w:rPr>
        <w:t xml:space="preserve"> </w:t>
      </w:r>
      <w:r w:rsidR="005279A3" w:rsidRPr="008C3393">
        <w:rPr>
          <w:szCs w:val="22"/>
          <w:lang w:val="fr-FR"/>
        </w:rPr>
        <w:t>Seuls 30 % des rapports reçus étaient arrivés à la date fixée et le délai a</w:t>
      </w:r>
      <w:r w:rsidR="00A1380F">
        <w:rPr>
          <w:szCs w:val="22"/>
          <w:lang w:val="fr-FR"/>
        </w:rPr>
        <w:t>vait</w:t>
      </w:r>
      <w:r w:rsidR="005279A3" w:rsidRPr="008C3393">
        <w:rPr>
          <w:szCs w:val="22"/>
          <w:lang w:val="fr-FR"/>
        </w:rPr>
        <w:t xml:space="preserve"> donc été prolongé de six semaines.</w:t>
      </w:r>
      <w:r w:rsidR="00851BAD" w:rsidRPr="008C3393">
        <w:rPr>
          <w:szCs w:val="22"/>
          <w:lang w:val="fr-FR"/>
        </w:rPr>
        <w:t xml:space="preserve"> </w:t>
      </w:r>
      <w:r w:rsidR="005279A3" w:rsidRPr="008C3393">
        <w:rPr>
          <w:szCs w:val="22"/>
          <w:lang w:val="fr-FR"/>
        </w:rPr>
        <w:t>Des analyses ont été effectuées par le PNUE/CMSC</w:t>
      </w:r>
      <w:r w:rsidR="009B1A13" w:rsidRPr="008C3393">
        <w:rPr>
          <w:szCs w:val="22"/>
          <w:lang w:val="fr-FR"/>
        </w:rPr>
        <w:t>, auquel nous devons de vifs remerciements pour avoir entrepris ce travail dans un si bref délai</w:t>
      </w:r>
      <w:r w:rsidR="005279A3" w:rsidRPr="008C3393">
        <w:rPr>
          <w:szCs w:val="22"/>
          <w:lang w:val="fr-FR"/>
        </w:rPr>
        <w:t>.</w:t>
      </w:r>
    </w:p>
    <w:p w14:paraId="7FC68CA1" w14:textId="77777777" w:rsidR="00851BAD" w:rsidRPr="008C3393" w:rsidRDefault="00851BAD" w:rsidP="00BA154F">
      <w:pPr>
        <w:jc w:val="both"/>
        <w:rPr>
          <w:szCs w:val="22"/>
          <w:lang w:val="fr-FR"/>
        </w:rPr>
      </w:pPr>
    </w:p>
    <w:p w14:paraId="7F0DF57E" w14:textId="78132076" w:rsidR="00851BAD" w:rsidRPr="008C3393" w:rsidRDefault="0016026F" w:rsidP="00BA154F">
      <w:pPr>
        <w:jc w:val="both"/>
        <w:rPr>
          <w:szCs w:val="22"/>
          <w:lang w:val="fr-FR"/>
        </w:rPr>
      </w:pPr>
      <w:r>
        <w:rPr>
          <w:szCs w:val="22"/>
          <w:lang w:val="fr-FR"/>
        </w:rPr>
        <w:t>86</w:t>
      </w:r>
      <w:r w:rsidR="001664FE" w:rsidRPr="008C3393">
        <w:rPr>
          <w:szCs w:val="22"/>
          <w:lang w:val="fr-FR"/>
        </w:rPr>
        <w:t xml:space="preserve">. </w:t>
      </w:r>
      <w:r w:rsidR="009B1A13" w:rsidRPr="008C3393">
        <w:rPr>
          <w:szCs w:val="22"/>
          <w:lang w:val="fr-FR"/>
        </w:rPr>
        <w:t>De bons progrès ont été réalisés dans la soumission des rapports :</w:t>
      </w:r>
      <w:r w:rsidR="00851BAD" w:rsidRPr="008C3393">
        <w:rPr>
          <w:szCs w:val="22"/>
          <w:lang w:val="fr-FR"/>
        </w:rPr>
        <w:t xml:space="preserve"> </w:t>
      </w:r>
      <w:r w:rsidR="009B1A13" w:rsidRPr="008C3393">
        <w:rPr>
          <w:szCs w:val="22"/>
          <w:lang w:val="fr-FR"/>
        </w:rPr>
        <w:t>69 % pour la MOP5 versus 24 % pour la MOP2. Les lacunes sont principalement à déplorer dans la région d</w:t>
      </w:r>
      <w:r w:rsidR="00F82A75">
        <w:rPr>
          <w:szCs w:val="22"/>
          <w:lang w:val="fr-FR"/>
        </w:rPr>
        <w:t>’</w:t>
      </w:r>
      <w:r w:rsidR="009B1A13" w:rsidRPr="008C3393">
        <w:rPr>
          <w:szCs w:val="22"/>
          <w:lang w:val="fr-FR"/>
        </w:rPr>
        <w:t>Afrique et les raisons à cela ont été activement débattues au cours des deux derniers jours.</w:t>
      </w:r>
    </w:p>
    <w:p w14:paraId="558FF076" w14:textId="77777777" w:rsidR="00851BAD" w:rsidRPr="008C3393" w:rsidRDefault="00851BAD" w:rsidP="00BA154F">
      <w:pPr>
        <w:jc w:val="both"/>
        <w:rPr>
          <w:szCs w:val="22"/>
          <w:lang w:val="fr-FR"/>
        </w:rPr>
      </w:pPr>
    </w:p>
    <w:p w14:paraId="0E08CB4B" w14:textId="464B6572" w:rsidR="00851BAD" w:rsidRPr="008C3393" w:rsidRDefault="0016026F" w:rsidP="00BA154F">
      <w:pPr>
        <w:jc w:val="both"/>
        <w:rPr>
          <w:szCs w:val="22"/>
          <w:lang w:val="fr-FR"/>
        </w:rPr>
      </w:pPr>
      <w:r>
        <w:rPr>
          <w:szCs w:val="22"/>
          <w:lang w:val="fr-FR"/>
        </w:rPr>
        <w:t>87</w:t>
      </w:r>
      <w:r w:rsidR="001664FE" w:rsidRPr="008C3393">
        <w:rPr>
          <w:szCs w:val="22"/>
          <w:lang w:val="fr-FR"/>
        </w:rPr>
        <w:t xml:space="preserve">. </w:t>
      </w:r>
      <w:r w:rsidR="009B1A13" w:rsidRPr="008C3393">
        <w:rPr>
          <w:b/>
          <w:szCs w:val="22"/>
          <w:lang w:val="fr-FR"/>
        </w:rPr>
        <w:t>M. Dereliev</w:t>
      </w:r>
      <w:r w:rsidR="009B1A13" w:rsidRPr="008C3393">
        <w:rPr>
          <w:szCs w:val="22"/>
          <w:lang w:val="fr-FR"/>
        </w:rPr>
        <w:t xml:space="preserve"> a résumé les progrès réalisés pour chaque But/Cible de Plan stratégique et pour les indicateurs correspondants :</w:t>
      </w:r>
    </w:p>
    <w:p w14:paraId="026BA95B" w14:textId="77777777" w:rsidR="00851BAD" w:rsidRPr="008C3393" w:rsidRDefault="00851BAD" w:rsidP="00BA154F">
      <w:pPr>
        <w:jc w:val="both"/>
        <w:rPr>
          <w:szCs w:val="22"/>
          <w:lang w:val="fr-FR"/>
        </w:rPr>
      </w:pPr>
    </w:p>
    <w:p w14:paraId="774CC8DE" w14:textId="68BE3B98" w:rsidR="00851BAD" w:rsidRPr="008C3393" w:rsidRDefault="009B1A13" w:rsidP="00BA154F">
      <w:pPr>
        <w:pStyle w:val="ListParagraph"/>
        <w:numPr>
          <w:ilvl w:val="0"/>
          <w:numId w:val="5"/>
        </w:numPr>
        <w:jc w:val="both"/>
        <w:rPr>
          <w:sz w:val="22"/>
          <w:szCs w:val="22"/>
          <w:lang w:val="fr-FR"/>
        </w:rPr>
      </w:pPr>
      <w:r w:rsidRPr="008C3393">
        <w:rPr>
          <w:sz w:val="22"/>
          <w:szCs w:val="22"/>
          <w:lang w:val="fr-FR"/>
        </w:rPr>
        <w:t xml:space="preserve">Protection juridique (Cible PS 1.1) </w:t>
      </w:r>
      <w:r w:rsidRPr="008C3393">
        <w:rPr>
          <w:b/>
          <w:sz w:val="22"/>
          <w:szCs w:val="22"/>
          <w:lang w:val="fr-FR"/>
        </w:rPr>
        <w:t>– progrès limités</w:t>
      </w:r>
    </w:p>
    <w:p w14:paraId="57C2F16C" w14:textId="502231C2" w:rsidR="00851BAD" w:rsidRPr="008C3393" w:rsidRDefault="009B1A13" w:rsidP="00BA154F">
      <w:pPr>
        <w:pStyle w:val="ListParagraph"/>
        <w:numPr>
          <w:ilvl w:val="0"/>
          <w:numId w:val="5"/>
        </w:numPr>
        <w:autoSpaceDE w:val="0"/>
        <w:autoSpaceDN w:val="0"/>
        <w:adjustRightInd w:val="0"/>
        <w:jc w:val="both"/>
        <w:rPr>
          <w:sz w:val="22"/>
          <w:szCs w:val="22"/>
          <w:lang w:val="fr-FR"/>
        </w:rPr>
      </w:pPr>
      <w:r w:rsidRPr="008C3393">
        <w:rPr>
          <w:sz w:val="22"/>
          <w:szCs w:val="22"/>
          <w:lang w:val="fr-FR"/>
        </w:rPr>
        <w:t>État des espèces (But PS : maintenir ou rétablir les espèces d</w:t>
      </w:r>
      <w:r w:rsidR="00F82A75">
        <w:rPr>
          <w:sz w:val="22"/>
          <w:szCs w:val="22"/>
          <w:lang w:val="fr-FR"/>
        </w:rPr>
        <w:t>’</w:t>
      </w:r>
      <w:r w:rsidRPr="008C3393">
        <w:rPr>
          <w:sz w:val="22"/>
          <w:szCs w:val="22"/>
          <w:lang w:val="fr-FR"/>
        </w:rPr>
        <w:t>oiseaux d</w:t>
      </w:r>
      <w:r w:rsidR="00F82A75">
        <w:rPr>
          <w:sz w:val="22"/>
          <w:szCs w:val="22"/>
          <w:lang w:val="fr-FR"/>
        </w:rPr>
        <w:t>’</w:t>
      </w:r>
      <w:r w:rsidRPr="008C3393">
        <w:rPr>
          <w:sz w:val="22"/>
          <w:szCs w:val="22"/>
          <w:lang w:val="fr-FR"/>
        </w:rPr>
        <w:t xml:space="preserve">eau migrateurs et leurs populations dans un état de conservation favorable tout au long de leurs voies de migration) - </w:t>
      </w:r>
      <w:r w:rsidRPr="008C3393">
        <w:rPr>
          <w:b/>
          <w:sz w:val="22"/>
          <w:szCs w:val="22"/>
          <w:lang w:val="fr-FR"/>
        </w:rPr>
        <w:t>pas atteint/ pas de progrès</w:t>
      </w:r>
    </w:p>
    <w:p w14:paraId="6CB4A80E" w14:textId="6F5001BD" w:rsidR="00851BAD" w:rsidRPr="008C3393" w:rsidRDefault="009B1A13" w:rsidP="00BA154F">
      <w:pPr>
        <w:pStyle w:val="ListParagraph"/>
        <w:numPr>
          <w:ilvl w:val="0"/>
          <w:numId w:val="5"/>
        </w:numPr>
        <w:jc w:val="both"/>
        <w:rPr>
          <w:sz w:val="22"/>
          <w:szCs w:val="22"/>
          <w:lang w:val="fr-FR"/>
        </w:rPr>
      </w:pPr>
      <w:r w:rsidRPr="008C3393">
        <w:rPr>
          <w:sz w:val="22"/>
          <w:szCs w:val="22"/>
          <w:lang w:val="fr-FR"/>
        </w:rPr>
        <w:t>Tendances des populations : (But PS : maintenir ou rétablir les espèces d</w:t>
      </w:r>
      <w:r w:rsidR="00F82A75">
        <w:rPr>
          <w:sz w:val="22"/>
          <w:szCs w:val="22"/>
          <w:lang w:val="fr-FR"/>
        </w:rPr>
        <w:t>’</w:t>
      </w:r>
      <w:r w:rsidRPr="008C3393">
        <w:rPr>
          <w:sz w:val="22"/>
          <w:szCs w:val="22"/>
          <w:lang w:val="fr-FR"/>
        </w:rPr>
        <w:t>oiseaux d</w:t>
      </w:r>
      <w:r w:rsidR="00F82A75">
        <w:rPr>
          <w:sz w:val="22"/>
          <w:szCs w:val="22"/>
          <w:lang w:val="fr-FR"/>
        </w:rPr>
        <w:t>’</w:t>
      </w:r>
      <w:r w:rsidRPr="008C3393">
        <w:rPr>
          <w:sz w:val="22"/>
          <w:szCs w:val="22"/>
          <w:lang w:val="fr-FR"/>
        </w:rPr>
        <w:t xml:space="preserve">eau migrateurs et leurs populations dans un état de conservation favorable tout au long de leurs voies de migration) – </w:t>
      </w:r>
      <w:r w:rsidRPr="008C3393">
        <w:rPr>
          <w:b/>
          <w:sz w:val="22"/>
          <w:szCs w:val="22"/>
          <w:lang w:val="fr-FR"/>
        </w:rPr>
        <w:t>progrès limités</w:t>
      </w:r>
      <w:r w:rsidRPr="008C3393">
        <w:rPr>
          <w:sz w:val="22"/>
          <w:szCs w:val="22"/>
          <w:lang w:val="fr-FR"/>
        </w:rPr>
        <w:t> </w:t>
      </w:r>
      <w:r w:rsidR="00851BAD" w:rsidRPr="008C3393">
        <w:rPr>
          <w:sz w:val="22"/>
          <w:szCs w:val="22"/>
          <w:lang w:val="fr-FR"/>
        </w:rPr>
        <w:t xml:space="preserve"> </w:t>
      </w:r>
    </w:p>
    <w:p w14:paraId="69A00989" w14:textId="7223961D" w:rsidR="00851BAD" w:rsidRPr="008C3393" w:rsidRDefault="009B1A13" w:rsidP="00BA154F">
      <w:pPr>
        <w:pStyle w:val="ListParagraph"/>
        <w:numPr>
          <w:ilvl w:val="0"/>
          <w:numId w:val="5"/>
        </w:numPr>
        <w:jc w:val="both"/>
        <w:rPr>
          <w:sz w:val="22"/>
          <w:szCs w:val="22"/>
          <w:lang w:val="fr-FR"/>
        </w:rPr>
      </w:pPr>
      <w:r w:rsidRPr="008C3393">
        <w:rPr>
          <w:sz w:val="22"/>
          <w:szCs w:val="22"/>
          <w:lang w:val="fr-FR"/>
        </w:rPr>
        <w:t>État à la Liste rouge (But du PS : maintenir ou rétablir les espèces d</w:t>
      </w:r>
      <w:r w:rsidR="00F82A75">
        <w:rPr>
          <w:sz w:val="22"/>
          <w:szCs w:val="22"/>
          <w:lang w:val="fr-FR"/>
        </w:rPr>
        <w:t>’</w:t>
      </w:r>
      <w:r w:rsidRPr="008C3393">
        <w:rPr>
          <w:sz w:val="22"/>
          <w:szCs w:val="22"/>
          <w:lang w:val="fr-FR"/>
        </w:rPr>
        <w:t>oiseaux d</w:t>
      </w:r>
      <w:r w:rsidR="00F82A75">
        <w:rPr>
          <w:sz w:val="22"/>
          <w:szCs w:val="22"/>
          <w:lang w:val="fr-FR"/>
        </w:rPr>
        <w:t>’</w:t>
      </w:r>
      <w:r w:rsidRPr="008C3393">
        <w:rPr>
          <w:sz w:val="22"/>
          <w:szCs w:val="22"/>
          <w:lang w:val="fr-FR"/>
        </w:rPr>
        <w:t xml:space="preserve">eau migrateurs et leurs populations dans un état de conservation favorable tout au long de leurs voies de migration) - </w:t>
      </w:r>
      <w:r w:rsidRPr="008C3393">
        <w:rPr>
          <w:b/>
          <w:sz w:val="22"/>
          <w:szCs w:val="22"/>
          <w:lang w:val="fr-FR"/>
        </w:rPr>
        <w:t>pas atteint/ pas de progrès</w:t>
      </w:r>
      <w:r w:rsidRPr="008C3393">
        <w:rPr>
          <w:sz w:val="22"/>
          <w:szCs w:val="22"/>
          <w:lang w:val="fr-FR"/>
        </w:rPr>
        <w:t xml:space="preserve"> </w:t>
      </w:r>
    </w:p>
    <w:p w14:paraId="3B9AAEB4" w14:textId="4E3844CF" w:rsidR="00851BAD" w:rsidRPr="008C3393" w:rsidRDefault="009B1A13" w:rsidP="00BA154F">
      <w:pPr>
        <w:pStyle w:val="ListParagraph"/>
        <w:numPr>
          <w:ilvl w:val="0"/>
          <w:numId w:val="5"/>
        </w:numPr>
        <w:jc w:val="both"/>
        <w:rPr>
          <w:sz w:val="22"/>
          <w:szCs w:val="22"/>
          <w:lang w:val="fr-FR"/>
        </w:rPr>
      </w:pPr>
      <w:r w:rsidRPr="008C3393">
        <w:rPr>
          <w:sz w:val="22"/>
          <w:szCs w:val="22"/>
          <w:lang w:val="fr-FR"/>
        </w:rPr>
        <w:t>Plans d</w:t>
      </w:r>
      <w:r w:rsidR="00F82A75">
        <w:rPr>
          <w:sz w:val="22"/>
          <w:szCs w:val="22"/>
          <w:lang w:val="fr-FR"/>
        </w:rPr>
        <w:t>’</w:t>
      </w:r>
      <w:r w:rsidRPr="008C3393">
        <w:rPr>
          <w:sz w:val="22"/>
          <w:szCs w:val="22"/>
          <w:lang w:val="fr-FR"/>
        </w:rPr>
        <w:t xml:space="preserve">action par espèce (Cible PS 1.4) – </w:t>
      </w:r>
      <w:r w:rsidRPr="008C3393">
        <w:rPr>
          <w:b/>
          <w:sz w:val="22"/>
          <w:szCs w:val="22"/>
          <w:lang w:val="fr-FR"/>
        </w:rPr>
        <w:t>progrès limités</w:t>
      </w:r>
      <w:r w:rsidR="00851BAD" w:rsidRPr="008C3393">
        <w:rPr>
          <w:sz w:val="22"/>
          <w:szCs w:val="22"/>
          <w:lang w:val="fr-FR"/>
        </w:rPr>
        <w:t xml:space="preserve"> </w:t>
      </w:r>
    </w:p>
    <w:p w14:paraId="382CF261" w14:textId="4924AE1C" w:rsidR="00851BAD" w:rsidRPr="008C3393" w:rsidRDefault="009B1A13" w:rsidP="00BA154F">
      <w:pPr>
        <w:pStyle w:val="ListParagraph"/>
        <w:numPr>
          <w:ilvl w:val="0"/>
          <w:numId w:val="5"/>
        </w:numPr>
        <w:jc w:val="both"/>
        <w:rPr>
          <w:sz w:val="22"/>
          <w:szCs w:val="22"/>
          <w:lang w:val="fr-FR"/>
        </w:rPr>
      </w:pPr>
      <w:r w:rsidRPr="008C3393">
        <w:rPr>
          <w:sz w:val="22"/>
          <w:szCs w:val="22"/>
          <w:lang w:val="fr-FR"/>
        </w:rPr>
        <w:t xml:space="preserve">Espèces non indigènes (Cible PS 1.5) – </w:t>
      </w:r>
      <w:r w:rsidRPr="008C3393">
        <w:rPr>
          <w:b/>
          <w:sz w:val="22"/>
          <w:szCs w:val="22"/>
          <w:lang w:val="fr-FR"/>
        </w:rPr>
        <w:t>progrès limités</w:t>
      </w:r>
    </w:p>
    <w:p w14:paraId="2F5B358D" w14:textId="4AD38F93" w:rsidR="00851BAD" w:rsidRPr="008C3393" w:rsidRDefault="009B1A13" w:rsidP="00BA154F">
      <w:pPr>
        <w:pStyle w:val="ListParagraph"/>
        <w:numPr>
          <w:ilvl w:val="0"/>
          <w:numId w:val="5"/>
        </w:numPr>
        <w:jc w:val="both"/>
        <w:rPr>
          <w:sz w:val="22"/>
          <w:szCs w:val="22"/>
          <w:lang w:val="fr-FR"/>
        </w:rPr>
      </w:pPr>
      <w:r w:rsidRPr="008C3393">
        <w:rPr>
          <w:sz w:val="22"/>
          <w:szCs w:val="22"/>
          <w:lang w:val="fr-FR"/>
        </w:rPr>
        <w:t xml:space="preserve">Réseaux de sites (Cible PS 1.2) – </w:t>
      </w:r>
      <w:r w:rsidRPr="008C3393">
        <w:rPr>
          <w:b/>
          <w:sz w:val="22"/>
          <w:szCs w:val="22"/>
          <w:lang w:val="fr-FR"/>
        </w:rPr>
        <w:t>bon avancement</w:t>
      </w:r>
    </w:p>
    <w:p w14:paraId="5922328B" w14:textId="4591234D" w:rsidR="00851BAD" w:rsidRPr="008C3393" w:rsidRDefault="009B1A13" w:rsidP="00BA154F">
      <w:pPr>
        <w:pStyle w:val="ListParagraph"/>
        <w:numPr>
          <w:ilvl w:val="0"/>
          <w:numId w:val="5"/>
        </w:numPr>
        <w:jc w:val="both"/>
        <w:rPr>
          <w:sz w:val="22"/>
          <w:szCs w:val="22"/>
          <w:lang w:val="fr-FR"/>
        </w:rPr>
      </w:pPr>
      <w:r w:rsidRPr="008C3393">
        <w:rPr>
          <w:sz w:val="22"/>
          <w:szCs w:val="22"/>
          <w:lang w:val="fr-FR"/>
        </w:rPr>
        <w:t xml:space="preserve">Recueil des données de prélèvement (Cible PS 2.2) </w:t>
      </w:r>
      <w:r w:rsidRPr="008C3393">
        <w:rPr>
          <w:b/>
          <w:sz w:val="22"/>
          <w:szCs w:val="22"/>
          <w:lang w:val="fr-FR"/>
        </w:rPr>
        <w:t>– bon avancement</w:t>
      </w:r>
    </w:p>
    <w:p w14:paraId="0FF9F3E9" w14:textId="72074BF1" w:rsidR="00851BAD" w:rsidRPr="008C3393" w:rsidRDefault="009B1A13" w:rsidP="00BA154F">
      <w:pPr>
        <w:pStyle w:val="ListParagraph"/>
        <w:numPr>
          <w:ilvl w:val="0"/>
          <w:numId w:val="5"/>
        </w:numPr>
        <w:jc w:val="both"/>
        <w:rPr>
          <w:sz w:val="22"/>
          <w:szCs w:val="22"/>
          <w:lang w:val="fr-FR"/>
        </w:rPr>
      </w:pPr>
      <w:r w:rsidRPr="008C3393">
        <w:rPr>
          <w:sz w:val="22"/>
          <w:szCs w:val="22"/>
          <w:lang w:val="fr-FR"/>
        </w:rPr>
        <w:t>Suppre</w:t>
      </w:r>
      <w:r w:rsidR="00D92607" w:rsidRPr="008C3393">
        <w:rPr>
          <w:sz w:val="22"/>
          <w:szCs w:val="22"/>
          <w:lang w:val="fr-FR"/>
        </w:rPr>
        <w:t>s</w:t>
      </w:r>
      <w:r w:rsidRPr="008C3393">
        <w:rPr>
          <w:sz w:val="22"/>
          <w:szCs w:val="22"/>
          <w:lang w:val="fr-FR"/>
        </w:rPr>
        <w:t xml:space="preserve">sion de la grenaille de plomb (Cible PS 2.1) – </w:t>
      </w:r>
      <w:r w:rsidRPr="008C3393">
        <w:rPr>
          <w:b/>
          <w:sz w:val="22"/>
          <w:szCs w:val="22"/>
          <w:lang w:val="fr-FR"/>
        </w:rPr>
        <w:t>bon avancement</w:t>
      </w:r>
    </w:p>
    <w:p w14:paraId="030EFD53" w14:textId="2C01293F" w:rsidR="00851BAD" w:rsidRPr="008C3393" w:rsidRDefault="009B1A13" w:rsidP="00BA154F">
      <w:pPr>
        <w:pStyle w:val="ListParagraph"/>
        <w:numPr>
          <w:ilvl w:val="0"/>
          <w:numId w:val="5"/>
        </w:numPr>
        <w:jc w:val="both"/>
        <w:rPr>
          <w:sz w:val="22"/>
          <w:szCs w:val="22"/>
          <w:lang w:val="fr-FR"/>
        </w:rPr>
      </w:pPr>
      <w:r w:rsidRPr="008C3393">
        <w:rPr>
          <w:sz w:val="22"/>
          <w:szCs w:val="22"/>
          <w:lang w:val="fr-FR"/>
        </w:rPr>
        <w:t>Capture illégale des oiseaux d</w:t>
      </w:r>
      <w:r w:rsidR="00F82A75">
        <w:rPr>
          <w:sz w:val="22"/>
          <w:szCs w:val="22"/>
          <w:lang w:val="fr-FR"/>
        </w:rPr>
        <w:t>’</w:t>
      </w:r>
      <w:r w:rsidRPr="008C3393">
        <w:rPr>
          <w:sz w:val="22"/>
          <w:szCs w:val="22"/>
          <w:lang w:val="fr-FR"/>
        </w:rPr>
        <w:t>eau – </w:t>
      </w:r>
      <w:r w:rsidRPr="008C3393">
        <w:rPr>
          <w:b/>
          <w:sz w:val="22"/>
          <w:szCs w:val="22"/>
          <w:lang w:val="fr-FR"/>
        </w:rPr>
        <w:t>bon avancement</w:t>
      </w:r>
    </w:p>
    <w:p w14:paraId="71191E29" w14:textId="01FB3086" w:rsidR="00851BAD" w:rsidRPr="008C3393" w:rsidRDefault="009B1A13" w:rsidP="00BA154F">
      <w:pPr>
        <w:pStyle w:val="ListParagraph"/>
        <w:numPr>
          <w:ilvl w:val="0"/>
          <w:numId w:val="5"/>
        </w:numPr>
        <w:jc w:val="both"/>
        <w:rPr>
          <w:sz w:val="22"/>
          <w:szCs w:val="22"/>
          <w:lang w:val="fr-FR"/>
        </w:rPr>
      </w:pPr>
      <w:r w:rsidRPr="008C3393">
        <w:rPr>
          <w:sz w:val="22"/>
          <w:szCs w:val="22"/>
          <w:lang w:val="fr-FR"/>
        </w:rPr>
        <w:t>Évaluation d</w:t>
      </w:r>
      <w:r w:rsidR="00F82A75">
        <w:rPr>
          <w:sz w:val="22"/>
          <w:szCs w:val="22"/>
          <w:lang w:val="fr-FR"/>
        </w:rPr>
        <w:t>’</w:t>
      </w:r>
      <w:r w:rsidRPr="008C3393">
        <w:rPr>
          <w:sz w:val="22"/>
          <w:szCs w:val="22"/>
          <w:lang w:val="fr-FR"/>
        </w:rPr>
        <w:t>impact environnemental/Évaluation stratégique de l</w:t>
      </w:r>
      <w:r w:rsidR="00F82A75">
        <w:rPr>
          <w:sz w:val="22"/>
          <w:szCs w:val="22"/>
          <w:lang w:val="fr-FR"/>
        </w:rPr>
        <w:t>’</w:t>
      </w:r>
      <w:r w:rsidRPr="008C3393">
        <w:rPr>
          <w:sz w:val="22"/>
          <w:szCs w:val="22"/>
          <w:lang w:val="fr-FR"/>
        </w:rPr>
        <w:t xml:space="preserve">environnement (Cible SP 1.3) – </w:t>
      </w:r>
      <w:r w:rsidRPr="008C3393">
        <w:rPr>
          <w:b/>
          <w:sz w:val="22"/>
          <w:szCs w:val="22"/>
          <w:lang w:val="fr-FR"/>
        </w:rPr>
        <w:t>bon avancement</w:t>
      </w:r>
    </w:p>
    <w:p w14:paraId="6BA6EFE6" w14:textId="231AD64E" w:rsidR="00851BAD" w:rsidRPr="008C3393" w:rsidRDefault="009B1A13" w:rsidP="00BA154F">
      <w:pPr>
        <w:pStyle w:val="ListParagraph"/>
        <w:numPr>
          <w:ilvl w:val="0"/>
          <w:numId w:val="5"/>
        </w:numPr>
        <w:jc w:val="both"/>
        <w:rPr>
          <w:sz w:val="22"/>
          <w:szCs w:val="22"/>
          <w:lang w:val="fr-FR"/>
        </w:rPr>
      </w:pPr>
      <w:r w:rsidRPr="008C3393">
        <w:rPr>
          <w:sz w:val="22"/>
          <w:szCs w:val="22"/>
          <w:lang w:val="fr-FR"/>
        </w:rPr>
        <w:t>Surveillance des oiseaux d</w:t>
      </w:r>
      <w:r w:rsidR="00F82A75">
        <w:rPr>
          <w:sz w:val="22"/>
          <w:szCs w:val="22"/>
          <w:lang w:val="fr-FR"/>
        </w:rPr>
        <w:t>’</w:t>
      </w:r>
      <w:r w:rsidRPr="008C3393">
        <w:rPr>
          <w:sz w:val="22"/>
          <w:szCs w:val="22"/>
          <w:lang w:val="fr-FR"/>
        </w:rPr>
        <w:t xml:space="preserve">eau (Cible PS 3.2) – </w:t>
      </w:r>
      <w:r w:rsidRPr="008C3393">
        <w:rPr>
          <w:b/>
          <w:sz w:val="22"/>
          <w:szCs w:val="22"/>
          <w:lang w:val="fr-FR"/>
        </w:rPr>
        <w:t>progrès significatifs</w:t>
      </w:r>
    </w:p>
    <w:p w14:paraId="7E4E35C6" w14:textId="1D7EE694" w:rsidR="00851BAD" w:rsidRPr="008C3393" w:rsidRDefault="009B1A13" w:rsidP="00BA154F">
      <w:pPr>
        <w:pStyle w:val="ListParagraph"/>
        <w:numPr>
          <w:ilvl w:val="0"/>
          <w:numId w:val="5"/>
        </w:numPr>
        <w:jc w:val="both"/>
        <w:rPr>
          <w:sz w:val="22"/>
          <w:szCs w:val="22"/>
          <w:lang w:val="fr-FR"/>
        </w:rPr>
      </w:pPr>
      <w:r w:rsidRPr="008C3393">
        <w:rPr>
          <w:sz w:val="22"/>
          <w:szCs w:val="22"/>
          <w:lang w:val="fr-FR"/>
        </w:rPr>
        <w:t>Recherche sur les oiseaux d</w:t>
      </w:r>
      <w:r w:rsidR="00F82A75">
        <w:rPr>
          <w:sz w:val="22"/>
          <w:szCs w:val="22"/>
          <w:lang w:val="fr-FR"/>
        </w:rPr>
        <w:t>’</w:t>
      </w:r>
      <w:r w:rsidRPr="008C3393">
        <w:rPr>
          <w:sz w:val="22"/>
          <w:szCs w:val="22"/>
          <w:lang w:val="fr-FR"/>
        </w:rPr>
        <w:t xml:space="preserve">eau (Cibles PS 3.1 et 3.5) – </w:t>
      </w:r>
      <w:r w:rsidR="00E074EA" w:rsidRPr="008C3393">
        <w:rPr>
          <w:b/>
          <w:sz w:val="22"/>
          <w:szCs w:val="22"/>
          <w:lang w:val="fr-FR"/>
        </w:rPr>
        <w:t>pas évalué</w:t>
      </w:r>
      <w:r w:rsidRPr="008C3393">
        <w:rPr>
          <w:b/>
          <w:sz w:val="22"/>
          <w:szCs w:val="22"/>
          <w:lang w:val="fr-FR"/>
        </w:rPr>
        <w:t>/</w:t>
      </w:r>
      <w:r w:rsidR="00E074EA" w:rsidRPr="008C3393">
        <w:rPr>
          <w:b/>
          <w:sz w:val="22"/>
          <w:szCs w:val="22"/>
          <w:lang w:val="fr-FR"/>
        </w:rPr>
        <w:t>progrès limités</w:t>
      </w:r>
    </w:p>
    <w:p w14:paraId="1971EA70" w14:textId="1A64037C" w:rsidR="00851BAD" w:rsidRPr="008C3393" w:rsidRDefault="00E074EA" w:rsidP="00BA154F">
      <w:pPr>
        <w:pStyle w:val="ListParagraph"/>
        <w:numPr>
          <w:ilvl w:val="0"/>
          <w:numId w:val="5"/>
        </w:numPr>
        <w:jc w:val="both"/>
        <w:rPr>
          <w:sz w:val="22"/>
          <w:szCs w:val="22"/>
          <w:lang w:val="fr-FR"/>
        </w:rPr>
      </w:pPr>
      <w:r w:rsidRPr="008C3393">
        <w:rPr>
          <w:sz w:val="22"/>
          <w:szCs w:val="22"/>
          <w:lang w:val="fr-FR"/>
        </w:rPr>
        <w:t>Recensement international des oiseaux d</w:t>
      </w:r>
      <w:r w:rsidR="00F82A75">
        <w:rPr>
          <w:sz w:val="22"/>
          <w:szCs w:val="22"/>
          <w:lang w:val="fr-FR"/>
        </w:rPr>
        <w:t>’</w:t>
      </w:r>
      <w:r w:rsidRPr="008C3393">
        <w:rPr>
          <w:sz w:val="22"/>
          <w:szCs w:val="22"/>
          <w:lang w:val="fr-FR"/>
        </w:rPr>
        <w:t xml:space="preserve">eau (Cible PS 3.1) – </w:t>
      </w:r>
      <w:r w:rsidRPr="008C3393">
        <w:rPr>
          <w:b/>
          <w:sz w:val="22"/>
          <w:szCs w:val="22"/>
          <w:lang w:val="fr-FR"/>
        </w:rPr>
        <w:t>progrès limités</w:t>
      </w:r>
    </w:p>
    <w:p w14:paraId="423B87C1" w14:textId="795CD585" w:rsidR="00851BAD" w:rsidRPr="008C3393" w:rsidRDefault="00E074EA" w:rsidP="00BA154F">
      <w:pPr>
        <w:pStyle w:val="ListParagraph"/>
        <w:numPr>
          <w:ilvl w:val="0"/>
          <w:numId w:val="5"/>
        </w:numPr>
        <w:jc w:val="both"/>
        <w:rPr>
          <w:sz w:val="22"/>
          <w:szCs w:val="22"/>
          <w:lang w:val="fr-FR"/>
        </w:rPr>
      </w:pPr>
      <w:r w:rsidRPr="008C3393">
        <w:rPr>
          <w:sz w:val="22"/>
          <w:szCs w:val="22"/>
          <w:lang w:val="fr-FR"/>
        </w:rPr>
        <w:t>Sensibilisation (Cible PS 4.3) – </w:t>
      </w:r>
      <w:r w:rsidRPr="008C3393">
        <w:rPr>
          <w:b/>
          <w:sz w:val="22"/>
          <w:szCs w:val="22"/>
          <w:lang w:val="fr-FR"/>
        </w:rPr>
        <w:t>Cible atteinte</w:t>
      </w:r>
    </w:p>
    <w:p w14:paraId="00D3D261" w14:textId="14B58FB7" w:rsidR="00851BAD" w:rsidRPr="008C3393" w:rsidRDefault="00E074EA" w:rsidP="00BA154F">
      <w:pPr>
        <w:pStyle w:val="ListParagraph"/>
        <w:numPr>
          <w:ilvl w:val="0"/>
          <w:numId w:val="5"/>
        </w:numPr>
        <w:jc w:val="both"/>
        <w:rPr>
          <w:sz w:val="22"/>
          <w:szCs w:val="22"/>
          <w:lang w:val="fr-FR"/>
        </w:rPr>
      </w:pPr>
      <w:r w:rsidRPr="008C3393">
        <w:rPr>
          <w:sz w:val="22"/>
          <w:szCs w:val="22"/>
          <w:lang w:val="fr-FR"/>
        </w:rPr>
        <w:t xml:space="preserve">Accroissement </w:t>
      </w:r>
      <w:r w:rsidR="008C3393" w:rsidRPr="008C3393">
        <w:rPr>
          <w:sz w:val="22"/>
          <w:szCs w:val="22"/>
          <w:lang w:val="fr-FR"/>
        </w:rPr>
        <w:t>du nombre</w:t>
      </w:r>
      <w:r w:rsidRPr="008C3393">
        <w:rPr>
          <w:sz w:val="22"/>
          <w:szCs w:val="22"/>
          <w:lang w:val="fr-FR"/>
        </w:rPr>
        <w:t xml:space="preserve"> de Parties (Cible PS 5.1) – </w:t>
      </w:r>
      <w:r w:rsidRPr="008C3393">
        <w:rPr>
          <w:b/>
          <w:sz w:val="22"/>
          <w:szCs w:val="22"/>
          <w:lang w:val="fr-FR"/>
        </w:rPr>
        <w:t>progrès limités</w:t>
      </w:r>
    </w:p>
    <w:p w14:paraId="593A8FDB" w14:textId="350A6788" w:rsidR="00851BAD" w:rsidRPr="008C3393" w:rsidRDefault="00E074EA" w:rsidP="00BA154F">
      <w:pPr>
        <w:pStyle w:val="ListParagraph"/>
        <w:numPr>
          <w:ilvl w:val="0"/>
          <w:numId w:val="5"/>
        </w:numPr>
        <w:jc w:val="both"/>
        <w:rPr>
          <w:sz w:val="22"/>
          <w:szCs w:val="22"/>
          <w:lang w:val="fr-FR"/>
        </w:rPr>
      </w:pPr>
      <w:r w:rsidRPr="008C3393">
        <w:rPr>
          <w:sz w:val="22"/>
          <w:szCs w:val="22"/>
          <w:lang w:val="fr-FR"/>
        </w:rPr>
        <w:t xml:space="preserve">Fonds de petites subventions (Cible PS 5.4) – </w:t>
      </w:r>
      <w:r w:rsidRPr="008C3393">
        <w:rPr>
          <w:b/>
          <w:sz w:val="22"/>
          <w:szCs w:val="22"/>
          <w:lang w:val="fr-FR"/>
        </w:rPr>
        <w:t>bon avancement</w:t>
      </w:r>
    </w:p>
    <w:p w14:paraId="36AD9C60" w14:textId="103A9AE8" w:rsidR="00851BAD" w:rsidRPr="008C3393" w:rsidRDefault="00E074EA" w:rsidP="00BA154F">
      <w:pPr>
        <w:pStyle w:val="ListParagraph"/>
        <w:numPr>
          <w:ilvl w:val="0"/>
          <w:numId w:val="5"/>
        </w:numPr>
        <w:jc w:val="both"/>
        <w:rPr>
          <w:sz w:val="22"/>
          <w:szCs w:val="22"/>
          <w:lang w:val="fr-FR"/>
        </w:rPr>
      </w:pPr>
      <w:r w:rsidRPr="008C3393">
        <w:rPr>
          <w:sz w:val="22"/>
          <w:szCs w:val="22"/>
          <w:lang w:val="fr-FR"/>
        </w:rPr>
        <w:t xml:space="preserve">Mécanismes nationaux de coordination (Cible PS 5.7) – </w:t>
      </w:r>
      <w:r w:rsidRPr="008C3393">
        <w:rPr>
          <w:b/>
          <w:sz w:val="22"/>
          <w:szCs w:val="22"/>
          <w:lang w:val="fr-FR"/>
        </w:rPr>
        <w:t>progrès significatifs</w:t>
      </w:r>
    </w:p>
    <w:p w14:paraId="3D54EFAF" w14:textId="77777777" w:rsidR="00851BAD" w:rsidRPr="008C3393" w:rsidRDefault="00851BAD" w:rsidP="00BA154F">
      <w:pPr>
        <w:jc w:val="both"/>
        <w:rPr>
          <w:szCs w:val="22"/>
          <w:lang w:val="fr-FR"/>
        </w:rPr>
      </w:pPr>
    </w:p>
    <w:p w14:paraId="7E7BDA1F" w14:textId="6CAC21E2" w:rsidR="00851BAD" w:rsidRPr="008C3393" w:rsidRDefault="007E1B81" w:rsidP="00BA154F">
      <w:pPr>
        <w:jc w:val="both"/>
        <w:rPr>
          <w:szCs w:val="22"/>
          <w:lang w:val="fr-FR"/>
        </w:rPr>
      </w:pPr>
      <w:r>
        <w:rPr>
          <w:szCs w:val="22"/>
          <w:lang w:val="fr-FR"/>
        </w:rPr>
        <w:t>88</w:t>
      </w:r>
      <w:r w:rsidR="001664FE" w:rsidRPr="008C3393">
        <w:rPr>
          <w:szCs w:val="22"/>
          <w:lang w:val="fr-FR"/>
        </w:rPr>
        <w:t xml:space="preserve">. </w:t>
      </w:r>
      <w:r w:rsidR="00E074EA" w:rsidRPr="008C3393">
        <w:rPr>
          <w:szCs w:val="22"/>
          <w:lang w:val="fr-FR"/>
        </w:rPr>
        <w:t>À partir de ces résultats, le PNUE/CMSC a</w:t>
      </w:r>
      <w:r w:rsidR="00A1380F">
        <w:rPr>
          <w:szCs w:val="22"/>
          <w:lang w:val="fr-FR"/>
        </w:rPr>
        <w:t>vait</w:t>
      </w:r>
      <w:r w:rsidR="00E074EA" w:rsidRPr="008C3393">
        <w:rPr>
          <w:szCs w:val="22"/>
          <w:lang w:val="fr-FR"/>
        </w:rPr>
        <w:t xml:space="preserve"> recommandé ce qui suit :</w:t>
      </w:r>
    </w:p>
    <w:p w14:paraId="706BD763" w14:textId="77777777" w:rsidR="00851BAD" w:rsidRPr="008C3393" w:rsidRDefault="00851BAD" w:rsidP="00BA154F">
      <w:pPr>
        <w:jc w:val="both"/>
        <w:rPr>
          <w:szCs w:val="22"/>
          <w:lang w:val="fr-FR"/>
        </w:rPr>
      </w:pPr>
    </w:p>
    <w:p w14:paraId="7432E22E" w14:textId="2B3338E4" w:rsidR="00851BAD" w:rsidRPr="00A1380F" w:rsidRDefault="00E074EA" w:rsidP="00BA154F">
      <w:pPr>
        <w:pStyle w:val="ListParagraph"/>
        <w:numPr>
          <w:ilvl w:val="0"/>
          <w:numId w:val="7"/>
        </w:numPr>
        <w:jc w:val="both"/>
        <w:rPr>
          <w:sz w:val="22"/>
          <w:szCs w:val="22"/>
          <w:lang w:val="fr-FR"/>
        </w:rPr>
      </w:pPr>
      <w:r w:rsidRPr="00A1380F">
        <w:rPr>
          <w:sz w:val="22"/>
          <w:szCs w:val="22"/>
          <w:lang w:val="fr-FR"/>
        </w:rPr>
        <w:t>Les Parties doivent concentrer leurs efforts sur la mise en œuvre du But et des Cibles du PS.</w:t>
      </w:r>
      <w:r w:rsidR="00851BAD" w:rsidRPr="00A1380F">
        <w:rPr>
          <w:sz w:val="22"/>
          <w:szCs w:val="22"/>
          <w:lang w:val="fr-FR"/>
        </w:rPr>
        <w:t xml:space="preserve"> </w:t>
      </w:r>
    </w:p>
    <w:p w14:paraId="5F1BEA3B" w14:textId="7645A19D" w:rsidR="00851BAD" w:rsidRPr="00A1380F" w:rsidRDefault="00E074EA" w:rsidP="00BA154F">
      <w:pPr>
        <w:pStyle w:val="ListParagraph"/>
        <w:numPr>
          <w:ilvl w:val="0"/>
          <w:numId w:val="7"/>
        </w:numPr>
        <w:jc w:val="both"/>
        <w:rPr>
          <w:sz w:val="22"/>
          <w:szCs w:val="22"/>
          <w:lang w:val="fr-FR"/>
        </w:rPr>
      </w:pPr>
      <w:r w:rsidRPr="00A1380F">
        <w:rPr>
          <w:sz w:val="22"/>
          <w:szCs w:val="22"/>
          <w:lang w:val="fr-FR"/>
        </w:rPr>
        <w:t>Un soutien financier, logistique et technique à la mise en œuvre sera apporté par les Parties.</w:t>
      </w:r>
    </w:p>
    <w:p w14:paraId="4CF5CC73" w14:textId="4574DAC6" w:rsidR="00851BAD" w:rsidRPr="00A1380F" w:rsidRDefault="00E074EA" w:rsidP="00BA154F">
      <w:pPr>
        <w:pStyle w:val="ListParagraph"/>
        <w:numPr>
          <w:ilvl w:val="0"/>
          <w:numId w:val="7"/>
        </w:numPr>
        <w:jc w:val="both"/>
        <w:rPr>
          <w:sz w:val="22"/>
          <w:szCs w:val="22"/>
          <w:lang w:val="fr-FR"/>
        </w:rPr>
      </w:pPr>
      <w:r w:rsidRPr="00A1380F">
        <w:rPr>
          <w:sz w:val="22"/>
          <w:szCs w:val="22"/>
          <w:lang w:val="fr-FR"/>
        </w:rPr>
        <w:t>La coopération entre les Parties doit être renforcée.</w:t>
      </w:r>
    </w:p>
    <w:p w14:paraId="0CB12AA7" w14:textId="3D64EE3B" w:rsidR="00851BAD" w:rsidRPr="00A1380F" w:rsidRDefault="00E074EA" w:rsidP="00BA154F">
      <w:pPr>
        <w:pStyle w:val="ListParagraph"/>
        <w:numPr>
          <w:ilvl w:val="0"/>
          <w:numId w:val="7"/>
        </w:numPr>
        <w:jc w:val="both"/>
        <w:rPr>
          <w:sz w:val="22"/>
          <w:szCs w:val="22"/>
          <w:lang w:val="fr-FR"/>
        </w:rPr>
      </w:pPr>
      <w:r w:rsidRPr="00A1380F">
        <w:rPr>
          <w:sz w:val="22"/>
          <w:szCs w:val="22"/>
          <w:lang w:val="fr-FR"/>
        </w:rPr>
        <w:t>Plusieurs améliorations devront être apportées au Système de rapport national en ligne (ORS) et au format de rapport.</w:t>
      </w:r>
    </w:p>
    <w:p w14:paraId="03BDF81A" w14:textId="77777777" w:rsidR="00851BAD" w:rsidRPr="00A1380F" w:rsidRDefault="00851BAD" w:rsidP="00BA154F">
      <w:pPr>
        <w:jc w:val="both"/>
        <w:rPr>
          <w:szCs w:val="22"/>
          <w:lang w:val="fr-FR"/>
        </w:rPr>
      </w:pPr>
    </w:p>
    <w:p w14:paraId="29E3B019" w14:textId="1B908082" w:rsidR="00851BAD" w:rsidRPr="00A1380F" w:rsidRDefault="007E1B81" w:rsidP="00BA154F">
      <w:pPr>
        <w:jc w:val="both"/>
        <w:rPr>
          <w:szCs w:val="22"/>
          <w:lang w:val="fr-FR"/>
        </w:rPr>
      </w:pPr>
      <w:r>
        <w:rPr>
          <w:szCs w:val="22"/>
          <w:lang w:val="fr-FR"/>
        </w:rPr>
        <w:t>89</w:t>
      </w:r>
      <w:r w:rsidR="001664FE" w:rsidRPr="00A1380F">
        <w:rPr>
          <w:szCs w:val="22"/>
          <w:lang w:val="fr-FR"/>
        </w:rPr>
        <w:t xml:space="preserve">. </w:t>
      </w:r>
      <w:r w:rsidR="00E074EA" w:rsidRPr="00A1380F">
        <w:rPr>
          <w:szCs w:val="22"/>
          <w:lang w:val="fr-FR"/>
        </w:rPr>
        <w:t xml:space="preserve">Le </w:t>
      </w:r>
      <w:r w:rsidR="00E074EA" w:rsidRPr="00A1380F">
        <w:rPr>
          <w:b/>
          <w:szCs w:val="22"/>
          <w:lang w:val="fr-FR"/>
        </w:rPr>
        <w:t>Président</w:t>
      </w:r>
      <w:r w:rsidR="00E074EA" w:rsidRPr="00A1380F">
        <w:rPr>
          <w:szCs w:val="22"/>
          <w:lang w:val="fr-FR"/>
        </w:rPr>
        <w:t xml:space="preserve"> a </w:t>
      </w:r>
      <w:r w:rsidR="004D3242" w:rsidRPr="00A1380F">
        <w:rPr>
          <w:szCs w:val="22"/>
          <w:lang w:val="fr-FR"/>
        </w:rPr>
        <w:t>invité à faire des</w:t>
      </w:r>
      <w:r w:rsidR="00E074EA" w:rsidRPr="00A1380F">
        <w:rPr>
          <w:szCs w:val="22"/>
          <w:lang w:val="fr-FR"/>
        </w:rPr>
        <w:t xml:space="preserve"> commentaires.</w:t>
      </w:r>
    </w:p>
    <w:p w14:paraId="1EE780D5" w14:textId="77777777" w:rsidR="00851BAD" w:rsidRPr="008C3393" w:rsidRDefault="00851BAD" w:rsidP="00BA154F">
      <w:pPr>
        <w:jc w:val="both"/>
        <w:rPr>
          <w:szCs w:val="22"/>
          <w:lang w:val="fr-FR"/>
        </w:rPr>
      </w:pPr>
    </w:p>
    <w:p w14:paraId="32462560" w14:textId="32422A1E" w:rsidR="00851BAD" w:rsidRPr="008C3393" w:rsidRDefault="007E1B81" w:rsidP="00BA154F">
      <w:pPr>
        <w:jc w:val="both"/>
        <w:rPr>
          <w:szCs w:val="22"/>
          <w:lang w:val="fr-FR"/>
        </w:rPr>
      </w:pPr>
      <w:r>
        <w:rPr>
          <w:szCs w:val="22"/>
          <w:lang w:val="fr-FR"/>
        </w:rPr>
        <w:t>90</w:t>
      </w:r>
      <w:r w:rsidR="001664FE" w:rsidRPr="008C3393">
        <w:rPr>
          <w:szCs w:val="22"/>
          <w:lang w:val="fr-FR"/>
        </w:rPr>
        <w:t xml:space="preserve">. </w:t>
      </w:r>
      <w:r w:rsidR="00E074EA" w:rsidRPr="008C3393">
        <w:rPr>
          <w:szCs w:val="22"/>
          <w:lang w:val="fr-FR"/>
        </w:rPr>
        <w:t xml:space="preserve">Le représentant du </w:t>
      </w:r>
      <w:r w:rsidR="00E074EA" w:rsidRPr="008C3393">
        <w:rPr>
          <w:b/>
          <w:szCs w:val="22"/>
          <w:lang w:val="fr-FR"/>
        </w:rPr>
        <w:t>Mali</w:t>
      </w:r>
      <w:r w:rsidR="00E074EA" w:rsidRPr="008C3393">
        <w:rPr>
          <w:szCs w:val="22"/>
          <w:lang w:val="fr-FR"/>
        </w:rPr>
        <w:t xml:space="preserve"> a fait remarquer qu</w:t>
      </w:r>
      <w:r w:rsidR="00F82A75">
        <w:rPr>
          <w:szCs w:val="22"/>
          <w:lang w:val="fr-FR"/>
        </w:rPr>
        <w:t>’</w:t>
      </w:r>
      <w:r w:rsidR="00E074EA" w:rsidRPr="008C3393">
        <w:rPr>
          <w:szCs w:val="22"/>
          <w:lang w:val="fr-FR"/>
        </w:rPr>
        <w:t>il n</w:t>
      </w:r>
      <w:r w:rsidR="00F82A75">
        <w:rPr>
          <w:szCs w:val="22"/>
          <w:lang w:val="fr-FR"/>
        </w:rPr>
        <w:t>’</w:t>
      </w:r>
      <w:r w:rsidR="00E074EA" w:rsidRPr="008C3393">
        <w:rPr>
          <w:szCs w:val="22"/>
          <w:lang w:val="fr-FR"/>
        </w:rPr>
        <w:t>avait pas été possible de soumettre un rapport national en raison des c</w:t>
      </w:r>
      <w:r w:rsidR="00D92607" w:rsidRPr="008C3393">
        <w:rPr>
          <w:szCs w:val="22"/>
          <w:lang w:val="fr-FR"/>
        </w:rPr>
        <w:t>onditions</w:t>
      </w:r>
      <w:r w:rsidR="00E074EA" w:rsidRPr="008C3393">
        <w:rPr>
          <w:szCs w:val="22"/>
          <w:lang w:val="fr-FR"/>
        </w:rPr>
        <w:t xml:space="preserve"> </w:t>
      </w:r>
      <w:r w:rsidR="00D92607" w:rsidRPr="008C3393">
        <w:rPr>
          <w:szCs w:val="22"/>
          <w:lang w:val="fr-FR"/>
        </w:rPr>
        <w:t xml:space="preserve">récentes </w:t>
      </w:r>
      <w:r w:rsidR="00E074EA" w:rsidRPr="008C3393">
        <w:rPr>
          <w:szCs w:val="22"/>
          <w:lang w:val="fr-FR"/>
        </w:rPr>
        <w:t>très difficiles</w:t>
      </w:r>
      <w:r w:rsidR="00A65C6F" w:rsidRPr="008C3393">
        <w:rPr>
          <w:szCs w:val="22"/>
          <w:lang w:val="fr-FR"/>
        </w:rPr>
        <w:t xml:space="preserve"> dans son pays</w:t>
      </w:r>
      <w:r w:rsidR="00E074EA" w:rsidRPr="008C3393">
        <w:rPr>
          <w:szCs w:val="22"/>
          <w:lang w:val="fr-FR"/>
        </w:rPr>
        <w:t>.</w:t>
      </w:r>
    </w:p>
    <w:p w14:paraId="48149DFB" w14:textId="77777777" w:rsidR="00851BAD" w:rsidRPr="008C3393" w:rsidRDefault="00851BAD" w:rsidP="00BA154F">
      <w:pPr>
        <w:jc w:val="both"/>
        <w:rPr>
          <w:szCs w:val="22"/>
          <w:lang w:val="fr-FR"/>
        </w:rPr>
      </w:pPr>
    </w:p>
    <w:p w14:paraId="59FD724F" w14:textId="4898ACBF" w:rsidR="00851BAD" w:rsidRPr="008C3393" w:rsidRDefault="007E1B81" w:rsidP="00BA154F">
      <w:pPr>
        <w:jc w:val="both"/>
        <w:rPr>
          <w:szCs w:val="22"/>
          <w:lang w:val="fr-FR"/>
        </w:rPr>
      </w:pPr>
      <w:r>
        <w:rPr>
          <w:szCs w:val="22"/>
          <w:lang w:val="fr-FR"/>
        </w:rPr>
        <w:t>91</w:t>
      </w:r>
      <w:r w:rsidR="001664FE" w:rsidRPr="008C3393">
        <w:rPr>
          <w:szCs w:val="22"/>
          <w:lang w:val="fr-FR"/>
        </w:rPr>
        <w:t xml:space="preserve">. </w:t>
      </w:r>
      <w:r w:rsidR="00A65C6F" w:rsidRPr="008C3393">
        <w:rPr>
          <w:szCs w:val="22"/>
          <w:lang w:val="fr-FR"/>
        </w:rPr>
        <w:t xml:space="preserve">Le </w:t>
      </w:r>
      <w:r w:rsidR="00A65C6F" w:rsidRPr="008C3393">
        <w:rPr>
          <w:b/>
          <w:szCs w:val="22"/>
          <w:lang w:val="fr-FR"/>
        </w:rPr>
        <w:t>Sénégal</w:t>
      </w:r>
      <w:r w:rsidR="00A65C6F" w:rsidRPr="008C3393">
        <w:rPr>
          <w:szCs w:val="22"/>
          <w:lang w:val="fr-FR"/>
        </w:rPr>
        <w:t xml:space="preserve"> a suggéré qu</w:t>
      </w:r>
      <w:r w:rsidR="00F82A75">
        <w:rPr>
          <w:szCs w:val="22"/>
          <w:lang w:val="fr-FR"/>
        </w:rPr>
        <w:t>’</w:t>
      </w:r>
      <w:r w:rsidR="00A65C6F" w:rsidRPr="008C3393">
        <w:rPr>
          <w:szCs w:val="22"/>
          <w:lang w:val="fr-FR"/>
        </w:rPr>
        <w:t>il serait utile de constituer un petit groupe pour fournir un feedback au Secrétariat et au PNUE/CMSC sur l</w:t>
      </w:r>
      <w:r w:rsidR="00F82A75">
        <w:rPr>
          <w:szCs w:val="22"/>
          <w:lang w:val="fr-FR"/>
        </w:rPr>
        <w:t>’</w:t>
      </w:r>
      <w:r w:rsidR="00A65C6F" w:rsidRPr="008C3393">
        <w:rPr>
          <w:szCs w:val="22"/>
          <w:lang w:val="fr-FR"/>
        </w:rPr>
        <w:t xml:space="preserve">expérience </w:t>
      </w:r>
      <w:r w:rsidR="00D92607" w:rsidRPr="008C3393">
        <w:rPr>
          <w:szCs w:val="22"/>
          <w:lang w:val="fr-FR"/>
        </w:rPr>
        <w:t>qu</w:t>
      </w:r>
      <w:r w:rsidR="00F82A75">
        <w:rPr>
          <w:szCs w:val="22"/>
          <w:lang w:val="fr-FR"/>
        </w:rPr>
        <w:t>’</w:t>
      </w:r>
      <w:r w:rsidR="00D92607" w:rsidRPr="008C3393">
        <w:rPr>
          <w:szCs w:val="22"/>
          <w:lang w:val="fr-FR"/>
        </w:rPr>
        <w:t>ont l</w:t>
      </w:r>
      <w:r w:rsidR="00A65C6F" w:rsidRPr="008C3393">
        <w:rPr>
          <w:szCs w:val="22"/>
          <w:lang w:val="fr-FR"/>
        </w:rPr>
        <w:t xml:space="preserve">es Parties </w:t>
      </w:r>
      <w:r w:rsidR="00D92607" w:rsidRPr="008C3393">
        <w:rPr>
          <w:szCs w:val="22"/>
          <w:lang w:val="fr-FR"/>
        </w:rPr>
        <w:t>de</w:t>
      </w:r>
      <w:r w:rsidR="00A65C6F" w:rsidRPr="008C3393">
        <w:rPr>
          <w:szCs w:val="22"/>
          <w:lang w:val="fr-FR"/>
        </w:rPr>
        <w:t xml:space="preserve"> l</w:t>
      </w:r>
      <w:r w:rsidR="00F82A75">
        <w:rPr>
          <w:szCs w:val="22"/>
          <w:lang w:val="fr-FR"/>
        </w:rPr>
        <w:t>’</w:t>
      </w:r>
      <w:r w:rsidR="00A65C6F" w:rsidRPr="008C3393">
        <w:rPr>
          <w:szCs w:val="22"/>
          <w:lang w:val="fr-FR"/>
        </w:rPr>
        <w:t>utilisation de l</w:t>
      </w:r>
      <w:r w:rsidR="00F82A75">
        <w:rPr>
          <w:szCs w:val="22"/>
          <w:lang w:val="fr-FR"/>
        </w:rPr>
        <w:t>’</w:t>
      </w:r>
      <w:r w:rsidR="00A65C6F" w:rsidRPr="008C3393">
        <w:rPr>
          <w:szCs w:val="22"/>
          <w:lang w:val="fr-FR"/>
        </w:rPr>
        <w:t>ORS.</w:t>
      </w:r>
    </w:p>
    <w:p w14:paraId="6B172F84" w14:textId="77777777" w:rsidR="00851BAD" w:rsidRPr="008C3393" w:rsidRDefault="00851BAD" w:rsidP="00BA154F">
      <w:pPr>
        <w:jc w:val="both"/>
        <w:rPr>
          <w:szCs w:val="22"/>
          <w:lang w:val="fr-FR"/>
        </w:rPr>
      </w:pPr>
    </w:p>
    <w:p w14:paraId="7386CD97" w14:textId="4485C4A3" w:rsidR="00851BAD" w:rsidRPr="008C3393" w:rsidRDefault="007E1B81" w:rsidP="00BA154F">
      <w:pPr>
        <w:jc w:val="both"/>
        <w:rPr>
          <w:szCs w:val="22"/>
          <w:lang w:val="fr-FR"/>
        </w:rPr>
      </w:pPr>
      <w:r>
        <w:rPr>
          <w:szCs w:val="22"/>
          <w:lang w:val="fr-FR"/>
        </w:rPr>
        <w:t>92</w:t>
      </w:r>
      <w:r w:rsidR="001664FE" w:rsidRPr="008C3393">
        <w:rPr>
          <w:szCs w:val="22"/>
          <w:lang w:val="fr-FR"/>
        </w:rPr>
        <w:t xml:space="preserve">. </w:t>
      </w:r>
      <w:r w:rsidR="00C35ADA" w:rsidRPr="00C35ADA">
        <w:rPr>
          <w:b/>
          <w:szCs w:val="22"/>
          <w:lang w:val="fr-FR"/>
        </w:rPr>
        <w:t>M. Dereliev</w:t>
      </w:r>
      <w:r w:rsidR="00A65C6F" w:rsidRPr="008C3393">
        <w:rPr>
          <w:szCs w:val="22"/>
          <w:lang w:val="fr-FR"/>
        </w:rPr>
        <w:t xml:space="preserve"> a indiqué que le Secrétariat prévoyait de distribuer une brève enquête à toutes les Parties </w:t>
      </w:r>
      <w:r w:rsidR="00D92607" w:rsidRPr="008C3393">
        <w:rPr>
          <w:szCs w:val="22"/>
          <w:lang w:val="fr-FR"/>
        </w:rPr>
        <w:t>en vue d</w:t>
      </w:r>
      <w:r w:rsidR="00F82A75">
        <w:rPr>
          <w:szCs w:val="22"/>
          <w:lang w:val="fr-FR"/>
        </w:rPr>
        <w:t>’</w:t>
      </w:r>
      <w:r w:rsidR="00A65C6F" w:rsidRPr="008C3393">
        <w:rPr>
          <w:szCs w:val="22"/>
          <w:lang w:val="fr-FR"/>
        </w:rPr>
        <w:t>un feedback structuré</w:t>
      </w:r>
      <w:r w:rsidR="00D92607" w:rsidRPr="008C3393">
        <w:rPr>
          <w:szCs w:val="22"/>
          <w:lang w:val="fr-FR"/>
        </w:rPr>
        <w:t>,</w:t>
      </w:r>
      <w:r w:rsidR="00A65C6F" w:rsidRPr="008C3393">
        <w:rPr>
          <w:szCs w:val="22"/>
          <w:lang w:val="fr-FR"/>
        </w:rPr>
        <w:t xml:space="preserve"> pour que le format de rapport puisse être amélioré dans l</w:t>
      </w:r>
      <w:r w:rsidR="00F82A75">
        <w:rPr>
          <w:szCs w:val="22"/>
          <w:lang w:val="fr-FR"/>
        </w:rPr>
        <w:t>’</w:t>
      </w:r>
      <w:r w:rsidR="00A65C6F" w:rsidRPr="008C3393">
        <w:rPr>
          <w:szCs w:val="22"/>
          <w:lang w:val="fr-FR"/>
        </w:rPr>
        <w:t>avenir.</w:t>
      </w:r>
    </w:p>
    <w:p w14:paraId="158A16C4" w14:textId="77777777" w:rsidR="00851BAD" w:rsidRPr="008C3393" w:rsidRDefault="00851BAD" w:rsidP="00BA154F">
      <w:pPr>
        <w:jc w:val="both"/>
        <w:rPr>
          <w:szCs w:val="22"/>
          <w:lang w:val="fr-FR"/>
        </w:rPr>
      </w:pPr>
    </w:p>
    <w:p w14:paraId="6D9808E2" w14:textId="5F72D974" w:rsidR="00851BAD" w:rsidRPr="008C3393" w:rsidRDefault="007E1B81" w:rsidP="00BA154F">
      <w:pPr>
        <w:jc w:val="both"/>
        <w:rPr>
          <w:szCs w:val="22"/>
          <w:lang w:val="fr-FR"/>
        </w:rPr>
      </w:pPr>
      <w:r>
        <w:rPr>
          <w:szCs w:val="22"/>
          <w:lang w:val="fr-FR"/>
        </w:rPr>
        <w:t>93</w:t>
      </w:r>
      <w:r w:rsidR="001664FE" w:rsidRPr="008C3393">
        <w:rPr>
          <w:szCs w:val="22"/>
          <w:lang w:val="fr-FR"/>
        </w:rPr>
        <w:t xml:space="preserve">. </w:t>
      </w:r>
      <w:r w:rsidR="00A65C6F" w:rsidRPr="008C3393">
        <w:rPr>
          <w:szCs w:val="22"/>
          <w:lang w:val="fr-FR"/>
        </w:rPr>
        <w:t xml:space="preserve">Le </w:t>
      </w:r>
      <w:r w:rsidR="00A65C6F" w:rsidRPr="008C3393">
        <w:rPr>
          <w:b/>
          <w:szCs w:val="22"/>
          <w:lang w:val="fr-FR"/>
        </w:rPr>
        <w:t>Secrétariat de la</w:t>
      </w:r>
      <w:r w:rsidR="00A65C6F" w:rsidRPr="008C3393">
        <w:rPr>
          <w:szCs w:val="22"/>
          <w:lang w:val="fr-FR"/>
        </w:rPr>
        <w:t xml:space="preserve"> </w:t>
      </w:r>
      <w:r w:rsidR="00A65C6F" w:rsidRPr="008C3393">
        <w:rPr>
          <w:b/>
          <w:szCs w:val="22"/>
          <w:lang w:val="fr-FR"/>
        </w:rPr>
        <w:t xml:space="preserve">Convention de </w:t>
      </w:r>
      <w:proofErr w:type="spellStart"/>
      <w:r w:rsidR="00A65C6F" w:rsidRPr="008C3393">
        <w:rPr>
          <w:b/>
          <w:szCs w:val="22"/>
          <w:lang w:val="fr-FR"/>
        </w:rPr>
        <w:t>Ramsar</w:t>
      </w:r>
      <w:proofErr w:type="spellEnd"/>
      <w:r w:rsidR="00A65C6F" w:rsidRPr="008C3393">
        <w:rPr>
          <w:szCs w:val="22"/>
          <w:lang w:val="fr-FR"/>
        </w:rPr>
        <w:t xml:space="preserve"> a confirmé qu</w:t>
      </w:r>
      <w:r w:rsidR="00F82A75">
        <w:rPr>
          <w:szCs w:val="22"/>
          <w:lang w:val="fr-FR"/>
        </w:rPr>
        <w:t>’</w:t>
      </w:r>
      <w:r w:rsidR="00A65C6F" w:rsidRPr="008C3393">
        <w:rPr>
          <w:szCs w:val="22"/>
          <w:lang w:val="fr-FR"/>
        </w:rPr>
        <w:t>il était déjà en train d</w:t>
      </w:r>
      <w:r w:rsidR="00F82A75">
        <w:rPr>
          <w:szCs w:val="22"/>
          <w:lang w:val="fr-FR"/>
        </w:rPr>
        <w:t>’</w:t>
      </w:r>
      <w:r w:rsidR="00A65C6F" w:rsidRPr="008C3393">
        <w:rPr>
          <w:szCs w:val="22"/>
          <w:lang w:val="fr-FR"/>
        </w:rPr>
        <w:t>examiner la possibilité d</w:t>
      </w:r>
      <w:r w:rsidR="00F82A75">
        <w:rPr>
          <w:szCs w:val="22"/>
          <w:lang w:val="fr-FR"/>
        </w:rPr>
        <w:t>’</w:t>
      </w:r>
      <w:r w:rsidR="00A65C6F" w:rsidRPr="008C3393">
        <w:rPr>
          <w:szCs w:val="22"/>
          <w:lang w:val="fr-FR"/>
        </w:rPr>
        <w:t xml:space="preserve">utiliser la plateforme en ligne flexible dans le cadre de la présentation des rapports nationaux à la COP12 de </w:t>
      </w:r>
      <w:proofErr w:type="spellStart"/>
      <w:r w:rsidR="00A65C6F" w:rsidRPr="008C3393">
        <w:rPr>
          <w:szCs w:val="22"/>
          <w:lang w:val="fr-FR"/>
        </w:rPr>
        <w:t>Ramsar</w:t>
      </w:r>
      <w:proofErr w:type="spellEnd"/>
      <w:r w:rsidR="00A65C6F" w:rsidRPr="008C3393">
        <w:rPr>
          <w:szCs w:val="22"/>
          <w:lang w:val="fr-FR"/>
        </w:rPr>
        <w:t>, en 2015. Si ce devait être le cas, le passage potentiel à un rapport permettant la recherche croisée et devenant plus simple et plus harmonisé pourrait être réalisé.</w:t>
      </w:r>
    </w:p>
    <w:p w14:paraId="7C99C254" w14:textId="77777777" w:rsidR="00851BAD" w:rsidRPr="008C3393" w:rsidRDefault="00851BAD" w:rsidP="00BA154F">
      <w:pPr>
        <w:jc w:val="both"/>
        <w:rPr>
          <w:szCs w:val="22"/>
          <w:lang w:val="fr-FR"/>
        </w:rPr>
      </w:pPr>
    </w:p>
    <w:p w14:paraId="31C11703" w14:textId="71F4790C" w:rsidR="00851BAD" w:rsidRPr="008C3393" w:rsidRDefault="007E1B81" w:rsidP="00BA154F">
      <w:pPr>
        <w:jc w:val="both"/>
        <w:rPr>
          <w:szCs w:val="22"/>
          <w:lang w:val="fr-FR"/>
        </w:rPr>
      </w:pPr>
      <w:r>
        <w:rPr>
          <w:szCs w:val="22"/>
          <w:lang w:val="fr-FR"/>
        </w:rPr>
        <w:t>94</w:t>
      </w:r>
      <w:r w:rsidR="001664FE" w:rsidRPr="008C3393">
        <w:rPr>
          <w:szCs w:val="22"/>
          <w:lang w:val="fr-FR"/>
        </w:rPr>
        <w:t xml:space="preserve">. </w:t>
      </w:r>
      <w:r w:rsidR="00A65C6F" w:rsidRPr="008C3393">
        <w:rPr>
          <w:szCs w:val="22"/>
          <w:lang w:val="fr-FR"/>
        </w:rPr>
        <w:t>L</w:t>
      </w:r>
      <w:r w:rsidR="00F82A75">
        <w:rPr>
          <w:szCs w:val="22"/>
          <w:lang w:val="fr-FR"/>
        </w:rPr>
        <w:t>’</w:t>
      </w:r>
      <w:r w:rsidR="00A65C6F" w:rsidRPr="008C3393">
        <w:rPr>
          <w:b/>
          <w:szCs w:val="22"/>
          <w:lang w:val="fr-FR"/>
        </w:rPr>
        <w:t>administrateur chargé de l</w:t>
      </w:r>
      <w:r w:rsidR="00F82A75">
        <w:rPr>
          <w:b/>
          <w:szCs w:val="22"/>
          <w:lang w:val="fr-FR"/>
        </w:rPr>
        <w:t>’</w:t>
      </w:r>
      <w:r w:rsidR="00A65C6F" w:rsidRPr="008C3393">
        <w:rPr>
          <w:b/>
          <w:szCs w:val="22"/>
          <w:lang w:val="fr-FR"/>
        </w:rPr>
        <w:t>information</w:t>
      </w:r>
      <w:r w:rsidR="00A65C6F" w:rsidRPr="008C3393">
        <w:rPr>
          <w:szCs w:val="22"/>
          <w:lang w:val="fr-FR"/>
        </w:rPr>
        <w:t xml:space="preserve"> (M. Florian Keil) a fait une présentation introduisant le document AEWA/MOP 5.13 </w:t>
      </w:r>
      <w:r w:rsidR="00A65C6F" w:rsidRPr="008C3393">
        <w:rPr>
          <w:i/>
          <w:szCs w:val="22"/>
          <w:lang w:val="fr-FR"/>
        </w:rPr>
        <w:t>Rapport d</w:t>
      </w:r>
      <w:r w:rsidR="00F82A75">
        <w:rPr>
          <w:i/>
          <w:szCs w:val="22"/>
          <w:lang w:val="fr-FR"/>
        </w:rPr>
        <w:t>’</w:t>
      </w:r>
      <w:r w:rsidR="00A65C6F" w:rsidRPr="008C3393">
        <w:rPr>
          <w:i/>
          <w:szCs w:val="22"/>
          <w:lang w:val="fr-FR"/>
        </w:rPr>
        <w:t>étape sur les rapports nationaux et le système de rapport en ligne</w:t>
      </w:r>
      <w:r w:rsidR="00A65C6F" w:rsidRPr="008C3393">
        <w:rPr>
          <w:szCs w:val="22"/>
          <w:lang w:val="fr-FR"/>
        </w:rPr>
        <w:t>.</w:t>
      </w:r>
      <w:r w:rsidR="00851BAD" w:rsidRPr="008C3393">
        <w:rPr>
          <w:szCs w:val="22"/>
          <w:lang w:val="fr-FR"/>
        </w:rPr>
        <w:t xml:space="preserve"> </w:t>
      </w:r>
      <w:r w:rsidR="00A65C6F" w:rsidRPr="008C3393">
        <w:rPr>
          <w:szCs w:val="22"/>
          <w:lang w:val="fr-FR"/>
        </w:rPr>
        <w:t>Il a noté que</w:t>
      </w:r>
      <w:r w:rsidR="00851BAD" w:rsidRPr="008C3393">
        <w:rPr>
          <w:szCs w:val="22"/>
          <w:lang w:val="fr-FR"/>
        </w:rPr>
        <w:t xml:space="preserve"> </w:t>
      </w:r>
      <w:r w:rsidR="00A65C6F" w:rsidRPr="008C3393">
        <w:rPr>
          <w:szCs w:val="22"/>
          <w:lang w:val="fr-FR"/>
        </w:rPr>
        <w:t>le développement de l</w:t>
      </w:r>
      <w:r w:rsidR="00F82A75">
        <w:rPr>
          <w:szCs w:val="22"/>
          <w:lang w:val="fr-FR"/>
        </w:rPr>
        <w:t>’</w:t>
      </w:r>
      <w:r w:rsidR="00A65C6F" w:rsidRPr="008C3393">
        <w:rPr>
          <w:szCs w:val="22"/>
          <w:lang w:val="fr-FR"/>
        </w:rPr>
        <w:t xml:space="preserve">ORS avait </w:t>
      </w:r>
      <w:r w:rsidR="00364377" w:rsidRPr="008C3393">
        <w:rPr>
          <w:szCs w:val="22"/>
          <w:lang w:val="fr-FR"/>
        </w:rPr>
        <w:t>uniquement été possible grâce à un projet de la Division du droit et des conventions relatifs à l</w:t>
      </w:r>
      <w:r w:rsidR="00F82A75">
        <w:rPr>
          <w:szCs w:val="22"/>
          <w:lang w:val="fr-FR"/>
        </w:rPr>
        <w:t>’</w:t>
      </w:r>
      <w:r w:rsidR="00364377" w:rsidRPr="008C3393">
        <w:rPr>
          <w:szCs w:val="22"/>
          <w:lang w:val="fr-FR"/>
        </w:rPr>
        <w:t>environnement (DELC) du PNUE, financé par le gouvernement de Norvège</w:t>
      </w:r>
      <w:r w:rsidR="00A65C6F" w:rsidRPr="008C3393">
        <w:rPr>
          <w:szCs w:val="22"/>
          <w:lang w:val="fr-FR"/>
        </w:rPr>
        <w:t>.</w:t>
      </w:r>
      <w:r w:rsidR="00851BAD" w:rsidRPr="008C3393">
        <w:rPr>
          <w:szCs w:val="22"/>
          <w:lang w:val="fr-FR"/>
        </w:rPr>
        <w:t xml:space="preserve"> </w:t>
      </w:r>
      <w:r w:rsidR="00364377" w:rsidRPr="008C3393">
        <w:rPr>
          <w:szCs w:val="22"/>
          <w:lang w:val="fr-FR"/>
        </w:rPr>
        <w:t>Le système était très flexible, ce qui signifie qu</w:t>
      </w:r>
      <w:r w:rsidR="00F82A75">
        <w:rPr>
          <w:szCs w:val="22"/>
          <w:lang w:val="fr-FR"/>
        </w:rPr>
        <w:t>’</w:t>
      </w:r>
      <w:r w:rsidR="00364377" w:rsidRPr="008C3393">
        <w:rPr>
          <w:szCs w:val="22"/>
          <w:lang w:val="fr-FR"/>
        </w:rPr>
        <w:t xml:space="preserve">il pourrait </w:t>
      </w:r>
      <w:r w:rsidR="00D92607" w:rsidRPr="008C3393">
        <w:rPr>
          <w:szCs w:val="22"/>
          <w:lang w:val="fr-FR"/>
        </w:rPr>
        <w:t>ê</w:t>
      </w:r>
      <w:r w:rsidR="00364377" w:rsidRPr="008C3393">
        <w:rPr>
          <w:szCs w:val="22"/>
          <w:lang w:val="fr-FR"/>
        </w:rPr>
        <w:t>tre utilisé par d</w:t>
      </w:r>
      <w:r w:rsidR="00F82A75">
        <w:rPr>
          <w:szCs w:val="22"/>
          <w:lang w:val="fr-FR"/>
        </w:rPr>
        <w:t>’</w:t>
      </w:r>
      <w:r w:rsidR="00364377" w:rsidRPr="008C3393">
        <w:rPr>
          <w:szCs w:val="22"/>
          <w:lang w:val="fr-FR"/>
        </w:rPr>
        <w:t>autres AEM.</w:t>
      </w:r>
      <w:r w:rsidR="00851BAD" w:rsidRPr="008C3393">
        <w:rPr>
          <w:szCs w:val="22"/>
          <w:lang w:val="fr-FR"/>
        </w:rPr>
        <w:t xml:space="preserve"> </w:t>
      </w:r>
      <w:r w:rsidR="00A1380F" w:rsidRPr="008C3393">
        <w:rPr>
          <w:szCs w:val="22"/>
          <w:lang w:val="fr-FR"/>
        </w:rPr>
        <w:t>Toutefois,</w:t>
      </w:r>
      <w:r w:rsidR="00A1380F">
        <w:rPr>
          <w:szCs w:val="22"/>
          <w:lang w:val="fr-FR"/>
        </w:rPr>
        <w:t xml:space="preserve"> on notait toujours</w:t>
      </w:r>
      <w:r w:rsidR="00364377" w:rsidRPr="008C3393">
        <w:rPr>
          <w:szCs w:val="22"/>
          <w:lang w:val="fr-FR"/>
        </w:rPr>
        <w:t xml:space="preserve"> : </w:t>
      </w:r>
    </w:p>
    <w:p w14:paraId="22CF0AC2" w14:textId="77777777" w:rsidR="001664FE" w:rsidRPr="008C3393" w:rsidRDefault="001664FE" w:rsidP="00BA154F">
      <w:pPr>
        <w:jc w:val="both"/>
        <w:rPr>
          <w:szCs w:val="22"/>
          <w:lang w:val="fr-FR"/>
        </w:rPr>
      </w:pPr>
    </w:p>
    <w:p w14:paraId="579CA9BA" w14:textId="4B23730F" w:rsidR="00851BAD" w:rsidRPr="008C3393" w:rsidRDefault="00A1380F" w:rsidP="00BA154F">
      <w:pPr>
        <w:pStyle w:val="ListParagraph"/>
        <w:numPr>
          <w:ilvl w:val="0"/>
          <w:numId w:val="6"/>
        </w:numPr>
        <w:jc w:val="both"/>
        <w:rPr>
          <w:sz w:val="22"/>
          <w:szCs w:val="22"/>
          <w:lang w:val="fr-FR"/>
        </w:rPr>
      </w:pPr>
      <w:r>
        <w:rPr>
          <w:sz w:val="22"/>
          <w:szCs w:val="22"/>
          <w:lang w:val="fr-FR"/>
        </w:rPr>
        <w:t>L</w:t>
      </w:r>
      <w:r w:rsidR="00F82A75">
        <w:rPr>
          <w:sz w:val="22"/>
          <w:szCs w:val="22"/>
          <w:lang w:val="fr-FR"/>
        </w:rPr>
        <w:t>’</w:t>
      </w:r>
      <w:r>
        <w:rPr>
          <w:sz w:val="22"/>
          <w:szCs w:val="22"/>
          <w:lang w:val="fr-FR"/>
        </w:rPr>
        <w:t>insuffisance des</w:t>
      </w:r>
      <w:r w:rsidR="00364377" w:rsidRPr="008C3393">
        <w:rPr>
          <w:sz w:val="22"/>
          <w:szCs w:val="22"/>
          <w:lang w:val="fr-FR"/>
        </w:rPr>
        <w:t xml:space="preserve"> fonds de base pour l</w:t>
      </w:r>
      <w:r w:rsidR="00F82A75">
        <w:rPr>
          <w:sz w:val="22"/>
          <w:szCs w:val="22"/>
          <w:lang w:val="fr-FR"/>
        </w:rPr>
        <w:t>’</w:t>
      </w:r>
      <w:r w:rsidR="00364377" w:rsidRPr="008C3393">
        <w:rPr>
          <w:sz w:val="22"/>
          <w:szCs w:val="22"/>
          <w:lang w:val="fr-FR"/>
        </w:rPr>
        <w:t>hébergement de l</w:t>
      </w:r>
      <w:r w:rsidR="00F82A75">
        <w:rPr>
          <w:sz w:val="22"/>
          <w:szCs w:val="22"/>
          <w:lang w:val="fr-FR"/>
        </w:rPr>
        <w:t>’</w:t>
      </w:r>
      <w:r w:rsidR="00364377" w:rsidRPr="008C3393">
        <w:rPr>
          <w:sz w:val="22"/>
          <w:szCs w:val="22"/>
          <w:lang w:val="fr-FR"/>
        </w:rPr>
        <w:t>ORS (maintenance à long terme par le PNUE /CMSC)</w:t>
      </w:r>
    </w:p>
    <w:p w14:paraId="30282408" w14:textId="25A46172" w:rsidR="00851BAD" w:rsidRPr="008C3393" w:rsidRDefault="00A1380F" w:rsidP="00BA154F">
      <w:pPr>
        <w:pStyle w:val="ListParagraph"/>
        <w:numPr>
          <w:ilvl w:val="0"/>
          <w:numId w:val="6"/>
        </w:numPr>
        <w:jc w:val="both"/>
        <w:rPr>
          <w:sz w:val="22"/>
          <w:szCs w:val="22"/>
          <w:lang w:val="fr-FR"/>
        </w:rPr>
      </w:pPr>
      <w:r>
        <w:rPr>
          <w:sz w:val="22"/>
          <w:szCs w:val="22"/>
          <w:lang w:val="fr-FR"/>
        </w:rPr>
        <w:t>Le manque d</w:t>
      </w:r>
      <w:r w:rsidR="00F82A75">
        <w:rPr>
          <w:sz w:val="22"/>
          <w:szCs w:val="22"/>
          <w:lang w:val="fr-FR"/>
        </w:rPr>
        <w:t>’</w:t>
      </w:r>
      <w:r>
        <w:rPr>
          <w:sz w:val="22"/>
          <w:szCs w:val="22"/>
          <w:lang w:val="fr-FR"/>
        </w:rPr>
        <w:t>un</w:t>
      </w:r>
      <w:r w:rsidR="00364377" w:rsidRPr="008C3393">
        <w:rPr>
          <w:sz w:val="22"/>
          <w:szCs w:val="22"/>
          <w:lang w:val="fr-FR"/>
        </w:rPr>
        <w:t xml:space="preserve"> outil analytique (basé sur le Web)</w:t>
      </w:r>
    </w:p>
    <w:p w14:paraId="0EFB0A1F" w14:textId="6C13515D" w:rsidR="00851BAD" w:rsidRPr="008C3393" w:rsidRDefault="00A1380F" w:rsidP="00BA154F">
      <w:pPr>
        <w:pStyle w:val="ListParagraph"/>
        <w:numPr>
          <w:ilvl w:val="0"/>
          <w:numId w:val="6"/>
        </w:numPr>
        <w:jc w:val="both"/>
        <w:rPr>
          <w:sz w:val="22"/>
          <w:szCs w:val="22"/>
          <w:lang w:val="fr-FR"/>
        </w:rPr>
      </w:pPr>
      <w:r>
        <w:rPr>
          <w:sz w:val="22"/>
          <w:szCs w:val="22"/>
          <w:lang w:val="fr-FR"/>
        </w:rPr>
        <w:t>La nécessité que d</w:t>
      </w:r>
      <w:r w:rsidR="00364377" w:rsidRPr="008C3393">
        <w:rPr>
          <w:sz w:val="22"/>
          <w:szCs w:val="22"/>
          <w:lang w:val="fr-FR"/>
        </w:rPr>
        <w:t>avantage d</w:t>
      </w:r>
      <w:r w:rsidR="00F82A75">
        <w:rPr>
          <w:sz w:val="22"/>
          <w:szCs w:val="22"/>
          <w:lang w:val="fr-FR"/>
        </w:rPr>
        <w:t>’</w:t>
      </w:r>
      <w:r w:rsidR="00364377" w:rsidRPr="008C3393">
        <w:rPr>
          <w:sz w:val="22"/>
          <w:szCs w:val="22"/>
          <w:lang w:val="fr-FR"/>
        </w:rPr>
        <w:t>AEM l</w:t>
      </w:r>
      <w:r w:rsidR="00F82A75">
        <w:rPr>
          <w:sz w:val="22"/>
          <w:szCs w:val="22"/>
          <w:lang w:val="fr-FR"/>
        </w:rPr>
        <w:t>’</w:t>
      </w:r>
      <w:r w:rsidR="00364377" w:rsidRPr="008C3393">
        <w:rPr>
          <w:sz w:val="22"/>
          <w:szCs w:val="22"/>
          <w:lang w:val="fr-FR"/>
        </w:rPr>
        <w:t>utilise</w:t>
      </w:r>
      <w:r>
        <w:rPr>
          <w:sz w:val="22"/>
          <w:szCs w:val="22"/>
          <w:lang w:val="fr-FR"/>
        </w:rPr>
        <w:t>nt</w:t>
      </w:r>
      <w:r w:rsidR="00364377" w:rsidRPr="008C3393">
        <w:rPr>
          <w:sz w:val="22"/>
          <w:szCs w:val="22"/>
          <w:lang w:val="fr-FR"/>
        </w:rPr>
        <w:t xml:space="preserve">, à commencer par la famille de la CMS </w:t>
      </w:r>
    </w:p>
    <w:p w14:paraId="2B82DA11" w14:textId="77777777" w:rsidR="001664FE" w:rsidRPr="008C3393" w:rsidRDefault="001664FE" w:rsidP="00BA154F">
      <w:pPr>
        <w:jc w:val="both"/>
        <w:rPr>
          <w:szCs w:val="22"/>
          <w:lang w:val="fr-FR"/>
        </w:rPr>
      </w:pPr>
    </w:p>
    <w:p w14:paraId="4FBFF81D" w14:textId="043A925A" w:rsidR="00851BAD" w:rsidRPr="008C3393" w:rsidRDefault="007E1B81" w:rsidP="00BA154F">
      <w:pPr>
        <w:jc w:val="both"/>
        <w:rPr>
          <w:szCs w:val="22"/>
          <w:lang w:val="fr-FR"/>
        </w:rPr>
      </w:pPr>
      <w:r>
        <w:rPr>
          <w:szCs w:val="22"/>
          <w:lang w:val="fr-FR"/>
        </w:rPr>
        <w:t>95</w:t>
      </w:r>
      <w:r w:rsidR="001664FE" w:rsidRPr="008C3393">
        <w:rPr>
          <w:szCs w:val="22"/>
          <w:lang w:val="fr-FR"/>
        </w:rPr>
        <w:t xml:space="preserve">. </w:t>
      </w:r>
      <w:r w:rsidR="00364377" w:rsidRPr="008C3393">
        <w:rPr>
          <w:szCs w:val="22"/>
          <w:lang w:val="fr-FR"/>
        </w:rPr>
        <w:t>En outre, le format devait être amélioré et il fallait maximiser l</w:t>
      </w:r>
      <w:r w:rsidR="00F82A75">
        <w:rPr>
          <w:szCs w:val="22"/>
          <w:lang w:val="fr-FR"/>
        </w:rPr>
        <w:t>’</w:t>
      </w:r>
      <w:r w:rsidR="00364377" w:rsidRPr="008C3393">
        <w:rPr>
          <w:szCs w:val="22"/>
          <w:lang w:val="fr-FR"/>
        </w:rPr>
        <w:t>utilisation des informations soumises, ainsi qu</w:t>
      </w:r>
      <w:r w:rsidR="00F82A75">
        <w:rPr>
          <w:szCs w:val="22"/>
          <w:lang w:val="fr-FR"/>
        </w:rPr>
        <w:t>’</w:t>
      </w:r>
      <w:r w:rsidR="00364377" w:rsidRPr="008C3393">
        <w:rPr>
          <w:szCs w:val="22"/>
          <w:lang w:val="fr-FR"/>
        </w:rPr>
        <w:t>investir dans la formation pour assurer que les Parties étaient en position d</w:t>
      </w:r>
      <w:r w:rsidR="00F82A75">
        <w:rPr>
          <w:szCs w:val="22"/>
          <w:lang w:val="fr-FR"/>
        </w:rPr>
        <w:t>’</w:t>
      </w:r>
      <w:r w:rsidR="00364377" w:rsidRPr="008C3393">
        <w:rPr>
          <w:szCs w:val="22"/>
          <w:lang w:val="fr-FR"/>
        </w:rPr>
        <w:t>employer l</w:t>
      </w:r>
      <w:r w:rsidR="00F82A75">
        <w:rPr>
          <w:szCs w:val="22"/>
          <w:lang w:val="fr-FR"/>
        </w:rPr>
        <w:t>’</w:t>
      </w:r>
      <w:r w:rsidR="00364377" w:rsidRPr="008C3393">
        <w:rPr>
          <w:szCs w:val="22"/>
          <w:lang w:val="fr-FR"/>
        </w:rPr>
        <w:t>ORS.</w:t>
      </w:r>
      <w:r w:rsidR="00851BAD" w:rsidRPr="008C3393">
        <w:rPr>
          <w:szCs w:val="22"/>
          <w:lang w:val="fr-FR"/>
        </w:rPr>
        <w:t xml:space="preserve"> </w:t>
      </w:r>
      <w:r w:rsidR="00364377" w:rsidRPr="008C3393">
        <w:rPr>
          <w:szCs w:val="22"/>
          <w:lang w:val="fr-FR"/>
        </w:rPr>
        <w:t>Il a également brièvement expliqué l</w:t>
      </w:r>
      <w:r w:rsidR="00F82A75">
        <w:rPr>
          <w:szCs w:val="22"/>
          <w:lang w:val="fr-FR"/>
        </w:rPr>
        <w:t>’</w:t>
      </w:r>
      <w:r w:rsidR="00364377" w:rsidRPr="008C3393">
        <w:rPr>
          <w:szCs w:val="22"/>
          <w:lang w:val="fr-FR"/>
        </w:rPr>
        <w:t>Initiative du PNUE sur la gestion de l</w:t>
      </w:r>
      <w:r w:rsidR="00F82A75">
        <w:rPr>
          <w:szCs w:val="22"/>
          <w:lang w:val="fr-FR"/>
        </w:rPr>
        <w:t>’</w:t>
      </w:r>
      <w:r w:rsidR="00364377" w:rsidRPr="008C3393">
        <w:rPr>
          <w:szCs w:val="22"/>
          <w:lang w:val="fr-FR"/>
        </w:rPr>
        <w:t xml:space="preserve">information et des connaissances (IKM) pour les Accords environnementaux multilatéraux (AEM), y compris </w:t>
      </w:r>
      <w:proofErr w:type="spellStart"/>
      <w:r w:rsidR="00364377" w:rsidRPr="008C3393">
        <w:rPr>
          <w:szCs w:val="22"/>
          <w:lang w:val="fr-FR"/>
        </w:rPr>
        <w:t>InforMEA</w:t>
      </w:r>
      <w:proofErr w:type="spellEnd"/>
      <w:r w:rsidR="00364377" w:rsidRPr="008C3393">
        <w:rPr>
          <w:szCs w:val="22"/>
          <w:lang w:val="fr-FR"/>
        </w:rPr>
        <w:t>.</w:t>
      </w:r>
    </w:p>
    <w:p w14:paraId="129E5ADD" w14:textId="77777777" w:rsidR="00851BAD" w:rsidRPr="008C3393" w:rsidRDefault="00851BAD" w:rsidP="00BA154F">
      <w:pPr>
        <w:jc w:val="both"/>
        <w:rPr>
          <w:szCs w:val="22"/>
          <w:lang w:val="fr-FR"/>
        </w:rPr>
      </w:pPr>
    </w:p>
    <w:p w14:paraId="60107A18" w14:textId="6EE4997B" w:rsidR="00851BAD" w:rsidRPr="008C3393" w:rsidRDefault="007E1B81" w:rsidP="00BA154F">
      <w:pPr>
        <w:jc w:val="both"/>
        <w:rPr>
          <w:szCs w:val="22"/>
          <w:lang w:val="fr-FR"/>
        </w:rPr>
      </w:pPr>
      <w:r>
        <w:rPr>
          <w:szCs w:val="22"/>
          <w:lang w:val="fr-FR"/>
        </w:rPr>
        <w:t>96</w:t>
      </w:r>
      <w:r w:rsidR="001664FE" w:rsidRPr="008C3393">
        <w:rPr>
          <w:szCs w:val="22"/>
          <w:lang w:val="fr-FR"/>
        </w:rPr>
        <w:t xml:space="preserve">. </w:t>
      </w:r>
      <w:r w:rsidR="00364377" w:rsidRPr="008C3393">
        <w:rPr>
          <w:b/>
          <w:szCs w:val="22"/>
          <w:lang w:val="fr-FR"/>
        </w:rPr>
        <w:t>M. Keil</w:t>
      </w:r>
      <w:r w:rsidR="00364377" w:rsidRPr="008C3393">
        <w:rPr>
          <w:szCs w:val="22"/>
          <w:lang w:val="fr-FR"/>
        </w:rPr>
        <w:t xml:space="preserve"> a poursuivi en introduisant l</w:t>
      </w:r>
      <w:r w:rsidR="00F82A75">
        <w:rPr>
          <w:szCs w:val="22"/>
          <w:lang w:val="fr-FR"/>
        </w:rPr>
        <w:t>’</w:t>
      </w:r>
      <w:r w:rsidR="00364377" w:rsidRPr="008C3393">
        <w:rPr>
          <w:szCs w:val="22"/>
          <w:lang w:val="fr-FR"/>
        </w:rPr>
        <w:t xml:space="preserve">avant-projet de Résolution 5.1 </w:t>
      </w:r>
      <w:r w:rsidR="00364377" w:rsidRPr="008C3393">
        <w:rPr>
          <w:i/>
          <w:szCs w:val="22"/>
          <w:lang w:val="fr-FR"/>
        </w:rPr>
        <w:t>Rapports nationaux et système de rapport en ligne</w:t>
      </w:r>
      <w:r w:rsidR="00364377" w:rsidRPr="008C3393">
        <w:rPr>
          <w:szCs w:val="22"/>
          <w:lang w:val="fr-FR"/>
        </w:rPr>
        <w:t>.</w:t>
      </w:r>
    </w:p>
    <w:p w14:paraId="7328D231" w14:textId="77777777" w:rsidR="00851BAD" w:rsidRPr="008C3393" w:rsidRDefault="00851BAD" w:rsidP="00BA154F">
      <w:pPr>
        <w:jc w:val="both"/>
        <w:rPr>
          <w:szCs w:val="22"/>
          <w:lang w:val="fr-FR"/>
        </w:rPr>
      </w:pPr>
    </w:p>
    <w:p w14:paraId="00149C17" w14:textId="229C885F" w:rsidR="00851BAD" w:rsidRPr="008C3393" w:rsidRDefault="007E1B81" w:rsidP="00BA154F">
      <w:pPr>
        <w:jc w:val="both"/>
        <w:rPr>
          <w:szCs w:val="22"/>
          <w:lang w:val="fr-FR"/>
        </w:rPr>
      </w:pPr>
      <w:r>
        <w:rPr>
          <w:szCs w:val="22"/>
          <w:lang w:val="fr-FR"/>
        </w:rPr>
        <w:t>97</w:t>
      </w:r>
      <w:r w:rsidR="001664FE" w:rsidRPr="008C3393">
        <w:rPr>
          <w:szCs w:val="22"/>
          <w:lang w:val="fr-FR"/>
        </w:rPr>
        <w:t xml:space="preserve">. </w:t>
      </w:r>
      <w:r w:rsidR="00364377" w:rsidRPr="008C3393">
        <w:rPr>
          <w:szCs w:val="22"/>
          <w:lang w:val="fr-FR"/>
        </w:rPr>
        <w:t xml:space="preserve">Le </w:t>
      </w:r>
      <w:r w:rsidR="00364377" w:rsidRPr="00C35ADA">
        <w:rPr>
          <w:b/>
          <w:szCs w:val="22"/>
          <w:lang w:val="fr-FR"/>
        </w:rPr>
        <w:t>Président</w:t>
      </w:r>
      <w:r w:rsidR="00364377" w:rsidRPr="008C3393">
        <w:rPr>
          <w:szCs w:val="22"/>
          <w:lang w:val="fr-FR"/>
        </w:rPr>
        <w:t xml:space="preserve"> a </w:t>
      </w:r>
      <w:r w:rsidR="004D3242" w:rsidRPr="008C3393">
        <w:rPr>
          <w:szCs w:val="22"/>
          <w:lang w:val="fr-FR"/>
        </w:rPr>
        <w:t>invité à faire des</w:t>
      </w:r>
      <w:r w:rsidR="00364377" w:rsidRPr="008C3393">
        <w:rPr>
          <w:szCs w:val="22"/>
          <w:lang w:val="fr-FR"/>
        </w:rPr>
        <w:t xml:space="preserve"> commentaires.</w:t>
      </w:r>
    </w:p>
    <w:p w14:paraId="31B4BC41" w14:textId="77777777" w:rsidR="00851BAD" w:rsidRPr="008C3393" w:rsidRDefault="00851BAD" w:rsidP="00BA154F">
      <w:pPr>
        <w:jc w:val="both"/>
        <w:rPr>
          <w:szCs w:val="22"/>
          <w:lang w:val="fr-FR"/>
        </w:rPr>
      </w:pPr>
    </w:p>
    <w:p w14:paraId="7DA6CF4B" w14:textId="2FCDCAD2" w:rsidR="00851BAD" w:rsidRPr="008C3393" w:rsidRDefault="007E1B81" w:rsidP="00BA154F">
      <w:pPr>
        <w:jc w:val="both"/>
        <w:rPr>
          <w:szCs w:val="22"/>
          <w:lang w:val="fr-FR"/>
        </w:rPr>
      </w:pPr>
      <w:r>
        <w:rPr>
          <w:szCs w:val="22"/>
          <w:lang w:val="fr-FR"/>
        </w:rPr>
        <w:t>98</w:t>
      </w:r>
      <w:r w:rsidR="001664FE" w:rsidRPr="008C3393">
        <w:rPr>
          <w:szCs w:val="22"/>
          <w:lang w:val="fr-FR"/>
        </w:rPr>
        <w:t xml:space="preserve">. </w:t>
      </w:r>
      <w:r w:rsidR="00364377" w:rsidRPr="008C3393">
        <w:rPr>
          <w:szCs w:val="22"/>
          <w:lang w:val="fr-FR"/>
        </w:rPr>
        <w:t xml:space="preserve">La </w:t>
      </w:r>
      <w:r w:rsidR="00364377" w:rsidRPr="008C3393">
        <w:rPr>
          <w:b/>
          <w:szCs w:val="22"/>
          <w:lang w:val="fr-FR"/>
        </w:rPr>
        <w:t>Suisse</w:t>
      </w:r>
      <w:r w:rsidR="00364377" w:rsidRPr="008C3393">
        <w:rPr>
          <w:szCs w:val="22"/>
          <w:lang w:val="fr-FR"/>
        </w:rPr>
        <w:t xml:space="preserve"> a félicité le Secrétariat du PNUE/CMSC pour le développement de l</w:t>
      </w:r>
      <w:r w:rsidR="00F82A75">
        <w:rPr>
          <w:szCs w:val="22"/>
          <w:lang w:val="fr-FR"/>
        </w:rPr>
        <w:t>’</w:t>
      </w:r>
      <w:r w:rsidR="00364377" w:rsidRPr="008C3393">
        <w:rPr>
          <w:szCs w:val="22"/>
          <w:lang w:val="fr-FR"/>
        </w:rPr>
        <w:t>ORS, mais a noté deux problèmes majeurs qui avaient été rencontrés, à savoir, premièrement, la taille considérable des fichiers des rapports, qui rendait difficile de les diffuser largement et, deuxièmement, la difficulté à extraire les sections pour traduction dans les langues nationales afin de les poster sur le Web.</w:t>
      </w:r>
      <w:r w:rsidR="00851BAD" w:rsidRPr="008C3393">
        <w:rPr>
          <w:szCs w:val="22"/>
          <w:lang w:val="fr-FR"/>
        </w:rPr>
        <w:t xml:space="preserve"> </w:t>
      </w:r>
      <w:r w:rsidR="00364377" w:rsidRPr="008C3393">
        <w:rPr>
          <w:szCs w:val="22"/>
          <w:lang w:val="fr-FR"/>
        </w:rPr>
        <w:t>Concernant l</w:t>
      </w:r>
      <w:r w:rsidR="00F82A75">
        <w:rPr>
          <w:szCs w:val="22"/>
          <w:lang w:val="fr-FR"/>
        </w:rPr>
        <w:t>’</w:t>
      </w:r>
      <w:r w:rsidR="00364377" w:rsidRPr="008C3393">
        <w:rPr>
          <w:szCs w:val="22"/>
          <w:lang w:val="fr-FR"/>
        </w:rPr>
        <w:t>avant-projet de Résolution 5.1, la Suisse a présenté des amendements spécifiques aux paragraphes 6 et 7.</w:t>
      </w:r>
    </w:p>
    <w:p w14:paraId="036B7B3E" w14:textId="77777777" w:rsidR="00851BAD" w:rsidRPr="008C3393" w:rsidRDefault="00851BAD" w:rsidP="00BA154F">
      <w:pPr>
        <w:jc w:val="both"/>
        <w:rPr>
          <w:szCs w:val="22"/>
          <w:lang w:val="fr-FR"/>
        </w:rPr>
      </w:pPr>
    </w:p>
    <w:p w14:paraId="4D63AAE7" w14:textId="20D32F22" w:rsidR="00851BAD" w:rsidRPr="008C3393" w:rsidRDefault="007E1B81" w:rsidP="00BA154F">
      <w:pPr>
        <w:jc w:val="both"/>
        <w:rPr>
          <w:szCs w:val="22"/>
          <w:lang w:val="fr-FR"/>
        </w:rPr>
      </w:pPr>
      <w:r>
        <w:rPr>
          <w:szCs w:val="22"/>
          <w:lang w:val="fr-FR"/>
        </w:rPr>
        <w:t>99</w:t>
      </w:r>
      <w:r w:rsidR="001664FE" w:rsidRPr="008C3393">
        <w:rPr>
          <w:szCs w:val="22"/>
          <w:lang w:val="fr-FR"/>
        </w:rPr>
        <w:t xml:space="preserve">. </w:t>
      </w:r>
      <w:r w:rsidR="00364377" w:rsidRPr="008C3393">
        <w:rPr>
          <w:szCs w:val="22"/>
          <w:lang w:val="fr-FR"/>
        </w:rPr>
        <w:t xml:space="preserve">Suite à de plus amples discussions, avec la contribution du </w:t>
      </w:r>
      <w:r w:rsidR="00364377" w:rsidRPr="008C3393">
        <w:rPr>
          <w:b/>
          <w:szCs w:val="22"/>
          <w:lang w:val="fr-FR"/>
        </w:rPr>
        <w:t>Danemark</w:t>
      </w:r>
      <w:r w:rsidR="00364377" w:rsidRPr="008C3393">
        <w:rPr>
          <w:szCs w:val="22"/>
          <w:lang w:val="fr-FR"/>
        </w:rPr>
        <w:t xml:space="preserve">, du </w:t>
      </w:r>
      <w:r w:rsidR="00364377" w:rsidRPr="008C3393">
        <w:rPr>
          <w:b/>
          <w:szCs w:val="22"/>
          <w:lang w:val="fr-FR"/>
        </w:rPr>
        <w:t>Mali</w:t>
      </w:r>
      <w:r w:rsidR="00364377" w:rsidRPr="008C3393">
        <w:rPr>
          <w:szCs w:val="22"/>
          <w:lang w:val="fr-FR"/>
        </w:rPr>
        <w:t xml:space="preserve">, du </w:t>
      </w:r>
      <w:r w:rsidR="00364377" w:rsidRPr="008C3393">
        <w:rPr>
          <w:b/>
          <w:szCs w:val="22"/>
          <w:lang w:val="fr-FR"/>
        </w:rPr>
        <w:t>Sénégal</w:t>
      </w:r>
      <w:r w:rsidR="00364377" w:rsidRPr="008C3393">
        <w:rPr>
          <w:szCs w:val="22"/>
          <w:lang w:val="fr-FR"/>
        </w:rPr>
        <w:t xml:space="preserve"> et de la </w:t>
      </w:r>
      <w:r w:rsidR="00364377" w:rsidRPr="008C3393">
        <w:rPr>
          <w:b/>
          <w:szCs w:val="22"/>
          <w:lang w:val="fr-FR"/>
        </w:rPr>
        <w:t>Tunisie</w:t>
      </w:r>
      <w:r w:rsidR="00364377" w:rsidRPr="008C3393">
        <w:rPr>
          <w:szCs w:val="22"/>
          <w:lang w:val="fr-FR"/>
        </w:rPr>
        <w:t xml:space="preserve">, </w:t>
      </w:r>
      <w:r w:rsidR="00DF5063" w:rsidRPr="008C3393">
        <w:rPr>
          <w:szCs w:val="22"/>
          <w:lang w:val="fr-FR"/>
        </w:rPr>
        <w:t>qui ont mis en lumière plusieurs difficultés éprouvées dans l</w:t>
      </w:r>
      <w:r w:rsidR="00F82A75">
        <w:rPr>
          <w:szCs w:val="22"/>
          <w:lang w:val="fr-FR"/>
        </w:rPr>
        <w:t>’</w:t>
      </w:r>
      <w:r w:rsidR="00DF5063" w:rsidRPr="008C3393">
        <w:rPr>
          <w:szCs w:val="22"/>
          <w:lang w:val="fr-FR"/>
        </w:rPr>
        <w:t>utilisation de l</w:t>
      </w:r>
      <w:r w:rsidR="00F82A75">
        <w:rPr>
          <w:szCs w:val="22"/>
          <w:lang w:val="fr-FR"/>
        </w:rPr>
        <w:t>’</w:t>
      </w:r>
      <w:r w:rsidR="00364377" w:rsidRPr="008C3393">
        <w:rPr>
          <w:szCs w:val="22"/>
          <w:lang w:val="fr-FR"/>
        </w:rPr>
        <w:t xml:space="preserve">ORS, </w:t>
      </w:r>
      <w:r w:rsidR="00DF5063" w:rsidRPr="008C3393">
        <w:rPr>
          <w:szCs w:val="22"/>
          <w:lang w:val="fr-FR"/>
        </w:rPr>
        <w:t xml:space="preserve">le </w:t>
      </w:r>
      <w:r w:rsidR="00DF5063" w:rsidRPr="008C3393">
        <w:rPr>
          <w:b/>
          <w:szCs w:val="22"/>
          <w:lang w:val="fr-FR"/>
        </w:rPr>
        <w:t>Président</w:t>
      </w:r>
      <w:r w:rsidR="00364377" w:rsidRPr="008C3393">
        <w:rPr>
          <w:szCs w:val="22"/>
          <w:lang w:val="fr-FR"/>
        </w:rPr>
        <w:t xml:space="preserve"> </w:t>
      </w:r>
      <w:r w:rsidR="00DF5063" w:rsidRPr="008C3393">
        <w:rPr>
          <w:szCs w:val="22"/>
          <w:lang w:val="fr-FR"/>
        </w:rPr>
        <w:t>a demandé au groupe de travail</w:t>
      </w:r>
      <w:r w:rsidR="005C11A5">
        <w:rPr>
          <w:szCs w:val="22"/>
          <w:lang w:val="fr-FR"/>
        </w:rPr>
        <w:t xml:space="preserve"> sur les questions</w:t>
      </w:r>
      <w:r w:rsidR="00DF5063" w:rsidRPr="008C3393">
        <w:rPr>
          <w:szCs w:val="22"/>
          <w:lang w:val="fr-FR"/>
        </w:rPr>
        <w:t xml:space="preserve"> scientifique</w:t>
      </w:r>
      <w:r w:rsidR="005C11A5">
        <w:rPr>
          <w:szCs w:val="22"/>
          <w:lang w:val="fr-FR"/>
        </w:rPr>
        <w:t>s</w:t>
      </w:r>
      <w:r w:rsidR="00DF5063" w:rsidRPr="008C3393">
        <w:rPr>
          <w:szCs w:val="22"/>
          <w:lang w:val="fr-FR"/>
        </w:rPr>
        <w:t xml:space="preserve"> et technique</w:t>
      </w:r>
      <w:r w:rsidR="005C11A5">
        <w:rPr>
          <w:szCs w:val="22"/>
          <w:lang w:val="fr-FR"/>
        </w:rPr>
        <w:t>s</w:t>
      </w:r>
      <w:r w:rsidR="00DF5063" w:rsidRPr="008C3393">
        <w:rPr>
          <w:szCs w:val="22"/>
          <w:lang w:val="fr-FR"/>
        </w:rPr>
        <w:t xml:space="preserve"> de reprendre les questions soulevées</w:t>
      </w:r>
      <w:r w:rsidR="00364377" w:rsidRPr="008C3393">
        <w:rPr>
          <w:szCs w:val="22"/>
          <w:lang w:val="fr-FR"/>
        </w:rPr>
        <w:t xml:space="preserve">, </w:t>
      </w:r>
      <w:r w:rsidR="00DF5063" w:rsidRPr="008C3393">
        <w:rPr>
          <w:szCs w:val="22"/>
          <w:lang w:val="fr-FR"/>
        </w:rPr>
        <w:t>y compris amendements éventuels à l</w:t>
      </w:r>
      <w:r w:rsidR="00F82A75">
        <w:rPr>
          <w:szCs w:val="22"/>
          <w:lang w:val="fr-FR"/>
        </w:rPr>
        <w:t>’</w:t>
      </w:r>
      <w:r w:rsidR="00DF5063" w:rsidRPr="008C3393">
        <w:rPr>
          <w:szCs w:val="22"/>
          <w:lang w:val="fr-FR"/>
        </w:rPr>
        <w:t>avant-projet de Résolution</w:t>
      </w:r>
      <w:r w:rsidR="00364377" w:rsidRPr="008C3393">
        <w:rPr>
          <w:szCs w:val="22"/>
          <w:lang w:val="fr-FR"/>
        </w:rPr>
        <w:t>.</w:t>
      </w:r>
      <w:r w:rsidR="00851BAD" w:rsidRPr="008C3393">
        <w:rPr>
          <w:szCs w:val="22"/>
          <w:lang w:val="fr-FR"/>
        </w:rPr>
        <w:t xml:space="preserve"> </w:t>
      </w:r>
      <w:r w:rsidR="00DF5063" w:rsidRPr="008C3393">
        <w:rPr>
          <w:szCs w:val="22"/>
          <w:lang w:val="fr-FR"/>
        </w:rPr>
        <w:t>La marche à suivre pourrait être d</w:t>
      </w:r>
      <w:r w:rsidR="00F82A75">
        <w:rPr>
          <w:szCs w:val="22"/>
          <w:lang w:val="fr-FR"/>
        </w:rPr>
        <w:t>’</w:t>
      </w:r>
      <w:r w:rsidR="00DF5063" w:rsidRPr="008C3393">
        <w:rPr>
          <w:szCs w:val="22"/>
          <w:lang w:val="fr-FR"/>
        </w:rPr>
        <w:t>établir un « groupe d</w:t>
      </w:r>
      <w:r w:rsidR="00F82A75">
        <w:rPr>
          <w:szCs w:val="22"/>
          <w:lang w:val="fr-FR"/>
        </w:rPr>
        <w:t>’</w:t>
      </w:r>
      <w:r w:rsidR="00DF5063" w:rsidRPr="008C3393">
        <w:rPr>
          <w:szCs w:val="22"/>
          <w:lang w:val="fr-FR"/>
        </w:rPr>
        <w:t>utilisateurs » de l</w:t>
      </w:r>
      <w:r w:rsidR="00F82A75">
        <w:rPr>
          <w:szCs w:val="22"/>
          <w:lang w:val="fr-FR"/>
        </w:rPr>
        <w:t>’</w:t>
      </w:r>
      <w:r w:rsidR="00DF5063" w:rsidRPr="008C3393">
        <w:rPr>
          <w:szCs w:val="22"/>
          <w:lang w:val="fr-FR"/>
        </w:rPr>
        <w:t>ORS ou autre forum similaire.</w:t>
      </w:r>
    </w:p>
    <w:p w14:paraId="03A02E4C" w14:textId="77777777" w:rsidR="00851BAD" w:rsidRDefault="00851BAD" w:rsidP="00BA154F">
      <w:pPr>
        <w:jc w:val="both"/>
        <w:rPr>
          <w:szCs w:val="22"/>
          <w:lang w:val="fr-FR"/>
        </w:rPr>
      </w:pPr>
    </w:p>
    <w:p w14:paraId="57703FAB" w14:textId="77777777" w:rsidR="006537A2" w:rsidRDefault="006537A2" w:rsidP="00BA154F">
      <w:pPr>
        <w:jc w:val="both"/>
        <w:rPr>
          <w:szCs w:val="22"/>
          <w:lang w:val="fr-FR"/>
        </w:rPr>
      </w:pPr>
    </w:p>
    <w:p w14:paraId="331CCCF0" w14:textId="188F5004" w:rsidR="00851BAD" w:rsidRPr="008C3393" w:rsidRDefault="00DF5063" w:rsidP="00BA154F">
      <w:pPr>
        <w:jc w:val="both"/>
        <w:rPr>
          <w:b/>
          <w:szCs w:val="22"/>
          <w:lang w:val="fr-FR"/>
        </w:rPr>
      </w:pPr>
      <w:r w:rsidRPr="008C3393">
        <w:rPr>
          <w:b/>
          <w:szCs w:val="22"/>
          <w:lang w:val="fr-FR"/>
        </w:rPr>
        <w:t>Point 13 de l</w:t>
      </w:r>
      <w:r w:rsidR="00F82A75">
        <w:rPr>
          <w:b/>
          <w:szCs w:val="22"/>
          <w:lang w:val="fr-FR"/>
        </w:rPr>
        <w:t>’</w:t>
      </w:r>
      <w:r w:rsidRPr="008C3393">
        <w:rPr>
          <w:b/>
          <w:szCs w:val="22"/>
          <w:lang w:val="fr-FR"/>
        </w:rPr>
        <w:t xml:space="preserve">ordre du jour – Études internationales </w:t>
      </w:r>
    </w:p>
    <w:p w14:paraId="72EED6EB" w14:textId="77777777" w:rsidR="00851BAD" w:rsidRPr="008C3393" w:rsidRDefault="00851BAD" w:rsidP="00BA154F">
      <w:pPr>
        <w:jc w:val="both"/>
        <w:rPr>
          <w:szCs w:val="22"/>
          <w:lang w:val="fr-FR"/>
        </w:rPr>
      </w:pPr>
    </w:p>
    <w:p w14:paraId="4FB7FD5E" w14:textId="54853D17" w:rsidR="00851BAD" w:rsidRPr="008C3393" w:rsidRDefault="007E1B81" w:rsidP="00BA154F">
      <w:pPr>
        <w:jc w:val="both"/>
        <w:rPr>
          <w:szCs w:val="22"/>
          <w:lang w:val="fr-FR"/>
        </w:rPr>
      </w:pPr>
      <w:r>
        <w:rPr>
          <w:szCs w:val="22"/>
          <w:lang w:val="fr-FR"/>
        </w:rPr>
        <w:t>100</w:t>
      </w:r>
      <w:r w:rsidR="001664FE" w:rsidRPr="008C3393">
        <w:rPr>
          <w:szCs w:val="22"/>
          <w:lang w:val="fr-FR"/>
        </w:rPr>
        <w:t xml:space="preserve">. </w:t>
      </w:r>
      <w:r w:rsidR="00DF5063" w:rsidRPr="008C3393">
        <w:rPr>
          <w:szCs w:val="22"/>
          <w:lang w:val="fr-FR"/>
        </w:rPr>
        <w:t xml:space="preserve">Le représentant de </w:t>
      </w:r>
      <w:proofErr w:type="spellStart"/>
      <w:r w:rsidR="00DF5063" w:rsidRPr="008C3393">
        <w:rPr>
          <w:b/>
          <w:szCs w:val="22"/>
          <w:lang w:val="fr-FR"/>
        </w:rPr>
        <w:t>Wetlands</w:t>
      </w:r>
      <w:proofErr w:type="spellEnd"/>
      <w:r w:rsidR="00DF5063" w:rsidRPr="008C3393">
        <w:rPr>
          <w:b/>
          <w:szCs w:val="22"/>
          <w:lang w:val="fr-FR"/>
        </w:rPr>
        <w:t xml:space="preserve"> International</w:t>
      </w:r>
      <w:r w:rsidR="00DF5063" w:rsidRPr="008C3393">
        <w:rPr>
          <w:szCs w:val="22"/>
          <w:lang w:val="fr-FR"/>
        </w:rPr>
        <w:t xml:space="preserve"> (M. </w:t>
      </w:r>
      <w:proofErr w:type="spellStart"/>
      <w:r w:rsidR="00DF5063" w:rsidRPr="008C3393">
        <w:rPr>
          <w:szCs w:val="22"/>
          <w:lang w:val="fr-FR"/>
        </w:rPr>
        <w:t>Szabolcs</w:t>
      </w:r>
      <w:proofErr w:type="spellEnd"/>
      <w:r w:rsidR="00DF5063" w:rsidRPr="008C3393">
        <w:rPr>
          <w:szCs w:val="22"/>
          <w:lang w:val="fr-FR"/>
        </w:rPr>
        <w:t xml:space="preserve"> Nagy) a fait une présentation introduisant le document AEWA/MOP 5.14 </w:t>
      </w:r>
      <w:r w:rsidR="00DF5063" w:rsidRPr="008C3393">
        <w:rPr>
          <w:i/>
          <w:szCs w:val="22"/>
          <w:lang w:val="fr-FR"/>
        </w:rPr>
        <w:t>Rapport sur l</w:t>
      </w:r>
      <w:r w:rsidR="00F82A75">
        <w:rPr>
          <w:i/>
          <w:szCs w:val="22"/>
          <w:lang w:val="fr-FR"/>
        </w:rPr>
        <w:t>’</w:t>
      </w:r>
      <w:r w:rsidR="00DF5063" w:rsidRPr="008C3393">
        <w:rPr>
          <w:i/>
          <w:szCs w:val="22"/>
          <w:lang w:val="fr-FR"/>
        </w:rPr>
        <w:t>état de conservation des oiseaux d</w:t>
      </w:r>
      <w:r w:rsidR="00F82A75">
        <w:rPr>
          <w:i/>
          <w:szCs w:val="22"/>
          <w:lang w:val="fr-FR"/>
        </w:rPr>
        <w:t>’</w:t>
      </w:r>
      <w:r w:rsidR="00DF5063" w:rsidRPr="008C3393">
        <w:rPr>
          <w:i/>
          <w:szCs w:val="22"/>
          <w:lang w:val="fr-FR"/>
        </w:rPr>
        <w:t>eau migrateurs dans la zone de l</w:t>
      </w:r>
      <w:r w:rsidR="00F82A75">
        <w:rPr>
          <w:i/>
          <w:szCs w:val="22"/>
          <w:lang w:val="fr-FR"/>
        </w:rPr>
        <w:t>’</w:t>
      </w:r>
      <w:r w:rsidR="00DF5063" w:rsidRPr="008C3393">
        <w:rPr>
          <w:i/>
          <w:szCs w:val="22"/>
          <w:lang w:val="fr-FR"/>
        </w:rPr>
        <w:t>Accord – 5</w:t>
      </w:r>
      <w:r w:rsidR="00DF5063" w:rsidRPr="008C3393">
        <w:rPr>
          <w:i/>
          <w:szCs w:val="22"/>
          <w:vertAlign w:val="superscript"/>
          <w:lang w:val="fr-FR"/>
        </w:rPr>
        <w:t>ème</w:t>
      </w:r>
      <w:r w:rsidR="00DF5063" w:rsidRPr="008C3393">
        <w:rPr>
          <w:i/>
          <w:szCs w:val="22"/>
          <w:lang w:val="fr-FR"/>
        </w:rPr>
        <w:t xml:space="preserve"> Édition  (CSR5)</w:t>
      </w:r>
      <w:r w:rsidR="00DF5063" w:rsidRPr="008C3393">
        <w:rPr>
          <w:szCs w:val="22"/>
          <w:lang w:val="fr-FR"/>
        </w:rPr>
        <w:t>. Plusieurs améliorations ont été réalisées à la fois au niveau de l</w:t>
      </w:r>
      <w:r w:rsidR="00F82A75">
        <w:rPr>
          <w:szCs w:val="22"/>
          <w:lang w:val="fr-FR"/>
        </w:rPr>
        <w:t>’</w:t>
      </w:r>
      <w:r w:rsidR="00DF5063" w:rsidRPr="008C3393">
        <w:rPr>
          <w:szCs w:val="22"/>
          <w:lang w:val="fr-FR"/>
        </w:rPr>
        <w:t>analyse et de la présentation, cette dernière se concentrant sur un format « fiche » plus facile à lire.</w:t>
      </w:r>
      <w:r w:rsidR="00851BAD" w:rsidRPr="008C3393">
        <w:rPr>
          <w:szCs w:val="22"/>
          <w:lang w:val="fr-FR"/>
        </w:rPr>
        <w:t xml:space="preserve"> </w:t>
      </w:r>
      <w:r w:rsidR="00DF5063" w:rsidRPr="008C3393">
        <w:rPr>
          <w:szCs w:val="22"/>
          <w:lang w:val="fr-FR"/>
        </w:rPr>
        <w:t xml:space="preserve">Concernant la qualité des estimations de populations, seuls 5 % des estimations des tailles des populations étaient basés sur un </w:t>
      </w:r>
      <w:r w:rsidR="00D92607" w:rsidRPr="008C3393">
        <w:rPr>
          <w:szCs w:val="22"/>
          <w:lang w:val="fr-FR"/>
        </w:rPr>
        <w:t>recensement</w:t>
      </w:r>
      <w:r w:rsidR="00DF5063" w:rsidRPr="008C3393">
        <w:rPr>
          <w:szCs w:val="22"/>
          <w:lang w:val="fr-FR"/>
        </w:rPr>
        <w:t xml:space="preserve"> complet ou un échantillonnage statistique adéquat.</w:t>
      </w:r>
      <w:r w:rsidR="00851BAD" w:rsidRPr="008C3393">
        <w:rPr>
          <w:szCs w:val="22"/>
          <w:lang w:val="fr-FR"/>
        </w:rPr>
        <w:t xml:space="preserve"> </w:t>
      </w:r>
      <w:r w:rsidR="00DF5063" w:rsidRPr="008C3393">
        <w:rPr>
          <w:szCs w:val="22"/>
          <w:lang w:val="fr-FR"/>
        </w:rPr>
        <w:t>Les tendances demeurent inconnues pour 37 % des populations de l</w:t>
      </w:r>
      <w:r w:rsidR="00F82A75">
        <w:rPr>
          <w:szCs w:val="22"/>
          <w:lang w:val="fr-FR"/>
        </w:rPr>
        <w:t>’</w:t>
      </w:r>
      <w:r w:rsidR="00DF5063" w:rsidRPr="008C3393">
        <w:rPr>
          <w:szCs w:val="22"/>
          <w:lang w:val="fr-FR"/>
        </w:rPr>
        <w:t>AEWA et médiocres pour encore 45 % d</w:t>
      </w:r>
      <w:r w:rsidR="00F82A75">
        <w:rPr>
          <w:szCs w:val="22"/>
          <w:lang w:val="fr-FR"/>
        </w:rPr>
        <w:t>’</w:t>
      </w:r>
      <w:r w:rsidR="00DF5063" w:rsidRPr="008C3393">
        <w:rPr>
          <w:szCs w:val="22"/>
          <w:lang w:val="fr-FR"/>
        </w:rPr>
        <w:t>entre elles.</w:t>
      </w:r>
      <w:r w:rsidR="00851BAD" w:rsidRPr="008C3393">
        <w:rPr>
          <w:szCs w:val="22"/>
          <w:lang w:val="fr-FR"/>
        </w:rPr>
        <w:t xml:space="preserve"> </w:t>
      </w:r>
      <w:r w:rsidR="00DF5063" w:rsidRPr="008C3393">
        <w:rPr>
          <w:szCs w:val="22"/>
          <w:lang w:val="fr-FR"/>
        </w:rPr>
        <w:t>La qualité des estimations des tailles et tendances des populations vari</w:t>
      </w:r>
      <w:r w:rsidR="00A1380F">
        <w:rPr>
          <w:szCs w:val="22"/>
          <w:lang w:val="fr-FR"/>
        </w:rPr>
        <w:t>ait</w:t>
      </w:r>
      <w:r w:rsidR="00DF5063" w:rsidRPr="008C3393">
        <w:rPr>
          <w:szCs w:val="22"/>
          <w:lang w:val="fr-FR"/>
        </w:rPr>
        <w:t xml:space="preserve"> géographiquement, étant plus mauvaise pour </w:t>
      </w:r>
      <w:r w:rsidR="00A1380F">
        <w:rPr>
          <w:szCs w:val="22"/>
          <w:lang w:val="fr-FR"/>
        </w:rPr>
        <w:t xml:space="preserve">la voie de migration </w:t>
      </w:r>
      <w:r w:rsidR="00D92607" w:rsidRPr="008C3393">
        <w:rPr>
          <w:szCs w:val="22"/>
          <w:lang w:val="fr-FR"/>
        </w:rPr>
        <w:t>Asie centrale et</w:t>
      </w:r>
      <w:r w:rsidR="00A1380F">
        <w:rPr>
          <w:szCs w:val="22"/>
          <w:lang w:val="fr-FR"/>
        </w:rPr>
        <w:t xml:space="preserve"> </w:t>
      </w:r>
      <w:r w:rsidR="00DF5063" w:rsidRPr="008C3393">
        <w:rPr>
          <w:szCs w:val="22"/>
          <w:lang w:val="fr-FR"/>
        </w:rPr>
        <w:t>Asie de l</w:t>
      </w:r>
      <w:r w:rsidR="00F82A75">
        <w:rPr>
          <w:szCs w:val="22"/>
          <w:lang w:val="fr-FR"/>
        </w:rPr>
        <w:t>’</w:t>
      </w:r>
      <w:r w:rsidR="00DF5063" w:rsidRPr="008C3393">
        <w:rPr>
          <w:szCs w:val="22"/>
          <w:lang w:val="fr-FR"/>
        </w:rPr>
        <w:t>Ouest/Afrique de l</w:t>
      </w:r>
      <w:r w:rsidR="00F82A75">
        <w:rPr>
          <w:szCs w:val="22"/>
          <w:lang w:val="fr-FR"/>
        </w:rPr>
        <w:t>’</w:t>
      </w:r>
      <w:r w:rsidR="00DF5063" w:rsidRPr="008C3393">
        <w:rPr>
          <w:szCs w:val="22"/>
          <w:lang w:val="fr-FR"/>
        </w:rPr>
        <w:t>Est.</w:t>
      </w:r>
      <w:r w:rsidR="00851BAD" w:rsidRPr="008C3393">
        <w:rPr>
          <w:szCs w:val="22"/>
          <w:lang w:val="fr-FR"/>
        </w:rPr>
        <w:t xml:space="preserve"> </w:t>
      </w:r>
      <w:r w:rsidR="00DF5063" w:rsidRPr="008C3393">
        <w:rPr>
          <w:szCs w:val="22"/>
          <w:lang w:val="fr-FR"/>
        </w:rPr>
        <w:t xml:space="preserve">40 % en plus de populations dont les tendances sont connues </w:t>
      </w:r>
      <w:r w:rsidR="00D92607" w:rsidRPr="008C3393">
        <w:rPr>
          <w:szCs w:val="22"/>
          <w:lang w:val="fr-FR"/>
        </w:rPr>
        <w:t xml:space="preserve">tendent </w:t>
      </w:r>
      <w:r w:rsidR="00DF5063" w:rsidRPr="008C3393">
        <w:rPr>
          <w:szCs w:val="22"/>
          <w:lang w:val="fr-FR"/>
        </w:rPr>
        <w:t>davantage à être en déclin qu</w:t>
      </w:r>
      <w:r w:rsidR="00F82A75">
        <w:rPr>
          <w:szCs w:val="22"/>
          <w:lang w:val="fr-FR"/>
        </w:rPr>
        <w:t>’</w:t>
      </w:r>
      <w:r w:rsidR="00DF5063" w:rsidRPr="008C3393">
        <w:rPr>
          <w:szCs w:val="22"/>
          <w:lang w:val="fr-FR"/>
        </w:rPr>
        <w:t xml:space="preserve">à </w:t>
      </w:r>
      <w:r w:rsidR="00D92607" w:rsidRPr="008C3393">
        <w:rPr>
          <w:szCs w:val="22"/>
          <w:lang w:val="fr-FR"/>
        </w:rPr>
        <w:t>s</w:t>
      </w:r>
      <w:r w:rsidR="00F82A75">
        <w:rPr>
          <w:szCs w:val="22"/>
          <w:lang w:val="fr-FR"/>
        </w:rPr>
        <w:t>’</w:t>
      </w:r>
      <w:r w:rsidR="00D92607" w:rsidRPr="008C3393">
        <w:rPr>
          <w:szCs w:val="22"/>
          <w:lang w:val="fr-FR"/>
        </w:rPr>
        <w:t>accroître</w:t>
      </w:r>
      <w:r w:rsidR="00DF5063" w:rsidRPr="008C3393">
        <w:rPr>
          <w:szCs w:val="22"/>
          <w:lang w:val="fr-FR"/>
        </w:rPr>
        <w:t>.</w:t>
      </w:r>
      <w:r w:rsidR="00851BAD" w:rsidRPr="008C3393">
        <w:rPr>
          <w:szCs w:val="22"/>
          <w:lang w:val="fr-FR"/>
        </w:rPr>
        <w:t xml:space="preserve"> </w:t>
      </w:r>
      <w:r w:rsidR="00DF5063" w:rsidRPr="008C3393">
        <w:rPr>
          <w:szCs w:val="22"/>
          <w:lang w:val="fr-FR"/>
        </w:rPr>
        <w:t>L</w:t>
      </w:r>
      <w:r w:rsidR="00A1380F">
        <w:rPr>
          <w:szCs w:val="22"/>
          <w:lang w:val="fr-FR"/>
        </w:rPr>
        <w:t xml:space="preserve">a voie de migration </w:t>
      </w:r>
      <w:r w:rsidR="00DF5063" w:rsidRPr="008C3393">
        <w:rPr>
          <w:szCs w:val="22"/>
          <w:lang w:val="fr-FR"/>
        </w:rPr>
        <w:t xml:space="preserve">Asie centrale </w:t>
      </w:r>
      <w:r w:rsidR="00A1380F">
        <w:rPr>
          <w:szCs w:val="22"/>
          <w:lang w:val="fr-FR"/>
        </w:rPr>
        <w:t>et</w:t>
      </w:r>
      <w:r w:rsidR="00DF5063" w:rsidRPr="008C3393">
        <w:rPr>
          <w:szCs w:val="22"/>
          <w:lang w:val="fr-FR"/>
        </w:rPr>
        <w:t xml:space="preserve"> Asie de l</w:t>
      </w:r>
      <w:r w:rsidR="00F82A75">
        <w:rPr>
          <w:szCs w:val="22"/>
          <w:lang w:val="fr-FR"/>
        </w:rPr>
        <w:t>’</w:t>
      </w:r>
      <w:r w:rsidR="00DF5063" w:rsidRPr="008C3393">
        <w:rPr>
          <w:szCs w:val="22"/>
          <w:lang w:val="fr-FR"/>
        </w:rPr>
        <w:t>Ouest/Afrique de l</w:t>
      </w:r>
      <w:r w:rsidR="00F82A75">
        <w:rPr>
          <w:szCs w:val="22"/>
          <w:lang w:val="fr-FR"/>
        </w:rPr>
        <w:t>’</w:t>
      </w:r>
      <w:r w:rsidR="00DF5063" w:rsidRPr="008C3393">
        <w:rPr>
          <w:szCs w:val="22"/>
          <w:lang w:val="fr-FR"/>
        </w:rPr>
        <w:t xml:space="preserve">Est </w:t>
      </w:r>
      <w:r w:rsidR="00450B29" w:rsidRPr="008C3393">
        <w:rPr>
          <w:szCs w:val="22"/>
          <w:lang w:val="fr-FR"/>
        </w:rPr>
        <w:t>avait également la plus forte proportion d</w:t>
      </w:r>
      <w:r w:rsidR="00F82A75">
        <w:rPr>
          <w:szCs w:val="22"/>
          <w:lang w:val="fr-FR"/>
        </w:rPr>
        <w:t>’</w:t>
      </w:r>
      <w:r w:rsidR="00450B29" w:rsidRPr="008C3393">
        <w:rPr>
          <w:szCs w:val="22"/>
          <w:lang w:val="fr-FR"/>
        </w:rPr>
        <w:t>espèces en déclin</w:t>
      </w:r>
      <w:r w:rsidR="00DF5063" w:rsidRPr="008C3393">
        <w:rPr>
          <w:szCs w:val="22"/>
          <w:lang w:val="fr-FR"/>
        </w:rPr>
        <w:t>.</w:t>
      </w:r>
      <w:r w:rsidR="00851BAD" w:rsidRPr="008C3393">
        <w:rPr>
          <w:szCs w:val="22"/>
          <w:lang w:val="fr-FR"/>
        </w:rPr>
        <w:t xml:space="preserve"> </w:t>
      </w:r>
      <w:r w:rsidR="00450B29" w:rsidRPr="008C3393">
        <w:rPr>
          <w:szCs w:val="22"/>
          <w:lang w:val="fr-FR"/>
        </w:rPr>
        <w:t>En termes de menaces et de leurs impacts, le changement climatique, l</w:t>
      </w:r>
      <w:r w:rsidR="00F82A75">
        <w:rPr>
          <w:szCs w:val="22"/>
          <w:lang w:val="fr-FR"/>
        </w:rPr>
        <w:t>’</w:t>
      </w:r>
      <w:r w:rsidR="00450B29" w:rsidRPr="008C3393">
        <w:rPr>
          <w:szCs w:val="22"/>
          <w:lang w:val="fr-FR"/>
        </w:rPr>
        <w:t xml:space="preserve">utilisation des ressources biologiques et les modifications du système naturel </w:t>
      </w:r>
      <w:r w:rsidR="00D92607" w:rsidRPr="008C3393">
        <w:rPr>
          <w:szCs w:val="22"/>
          <w:lang w:val="fr-FR"/>
        </w:rPr>
        <w:t xml:space="preserve">sont celles qui ont </w:t>
      </w:r>
      <w:r w:rsidR="00450B29" w:rsidRPr="008C3393">
        <w:rPr>
          <w:szCs w:val="22"/>
          <w:lang w:val="fr-FR"/>
        </w:rPr>
        <w:t xml:space="preserve">affecté </w:t>
      </w:r>
      <w:r w:rsidR="00D92607" w:rsidRPr="008C3393">
        <w:rPr>
          <w:szCs w:val="22"/>
          <w:lang w:val="fr-FR"/>
        </w:rPr>
        <w:t>le plus d</w:t>
      </w:r>
      <w:r w:rsidR="00F82A75">
        <w:rPr>
          <w:szCs w:val="22"/>
          <w:lang w:val="fr-FR"/>
        </w:rPr>
        <w:t>’</w:t>
      </w:r>
      <w:r w:rsidR="00450B29" w:rsidRPr="008C3393">
        <w:rPr>
          <w:szCs w:val="22"/>
          <w:lang w:val="fr-FR"/>
        </w:rPr>
        <w:t>espèces de l</w:t>
      </w:r>
      <w:r w:rsidR="00F82A75">
        <w:rPr>
          <w:szCs w:val="22"/>
          <w:lang w:val="fr-FR"/>
        </w:rPr>
        <w:t>’</w:t>
      </w:r>
      <w:r w:rsidR="00450B29" w:rsidRPr="008C3393">
        <w:rPr>
          <w:szCs w:val="22"/>
          <w:lang w:val="fr-FR"/>
        </w:rPr>
        <w:t>AEWA.</w:t>
      </w:r>
    </w:p>
    <w:p w14:paraId="607FCCB3" w14:textId="77777777" w:rsidR="00851BAD" w:rsidRPr="008C3393" w:rsidRDefault="00851BAD" w:rsidP="00BA154F">
      <w:pPr>
        <w:jc w:val="both"/>
        <w:rPr>
          <w:szCs w:val="22"/>
          <w:lang w:val="fr-FR"/>
        </w:rPr>
      </w:pPr>
    </w:p>
    <w:p w14:paraId="21DCC8CB" w14:textId="590D2E35" w:rsidR="00851BAD" w:rsidRPr="008C3393" w:rsidRDefault="007E1B81" w:rsidP="00BA154F">
      <w:pPr>
        <w:jc w:val="both"/>
        <w:rPr>
          <w:szCs w:val="22"/>
          <w:lang w:val="fr-FR"/>
        </w:rPr>
      </w:pPr>
      <w:r>
        <w:rPr>
          <w:szCs w:val="22"/>
          <w:lang w:val="fr-FR"/>
        </w:rPr>
        <w:t>101</w:t>
      </w:r>
      <w:r w:rsidR="001664FE" w:rsidRPr="008C3393">
        <w:rPr>
          <w:szCs w:val="22"/>
          <w:lang w:val="fr-FR"/>
        </w:rPr>
        <w:t xml:space="preserve">. </w:t>
      </w:r>
      <w:r w:rsidR="00450B29" w:rsidRPr="008C3393">
        <w:rPr>
          <w:b/>
          <w:szCs w:val="22"/>
          <w:lang w:val="fr-FR"/>
        </w:rPr>
        <w:t>M.</w:t>
      </w:r>
      <w:r w:rsidR="00450B29" w:rsidRPr="008C3393">
        <w:rPr>
          <w:szCs w:val="22"/>
          <w:lang w:val="fr-FR"/>
        </w:rPr>
        <w:t xml:space="preserve"> </w:t>
      </w:r>
      <w:r w:rsidR="00450B29" w:rsidRPr="008C3393">
        <w:rPr>
          <w:b/>
          <w:szCs w:val="22"/>
          <w:lang w:val="fr-FR"/>
        </w:rPr>
        <w:t>Nagy</w:t>
      </w:r>
      <w:r w:rsidR="00450B29" w:rsidRPr="008C3393">
        <w:rPr>
          <w:szCs w:val="22"/>
          <w:lang w:val="fr-FR"/>
        </w:rPr>
        <w:t xml:space="preserve"> a résumé les résultats liés </w:t>
      </w:r>
      <w:r w:rsidR="00C35ADA">
        <w:rPr>
          <w:szCs w:val="22"/>
          <w:lang w:val="fr-FR"/>
        </w:rPr>
        <w:t>aux indicateurs du Plan s</w:t>
      </w:r>
      <w:r w:rsidR="00450B29" w:rsidRPr="008C3393">
        <w:rPr>
          <w:szCs w:val="22"/>
          <w:lang w:val="fr-FR"/>
        </w:rPr>
        <w:t>tratégique de l</w:t>
      </w:r>
      <w:r w:rsidR="00F82A75">
        <w:rPr>
          <w:szCs w:val="22"/>
          <w:lang w:val="fr-FR"/>
        </w:rPr>
        <w:t>’</w:t>
      </w:r>
      <w:r w:rsidR="00450B29" w:rsidRPr="008C3393">
        <w:rPr>
          <w:szCs w:val="22"/>
          <w:lang w:val="fr-FR"/>
        </w:rPr>
        <w:t>AEWA – seuls deux indicateurs affichaient un bon avancement.</w:t>
      </w:r>
      <w:r w:rsidR="00851BAD" w:rsidRPr="008C3393">
        <w:rPr>
          <w:szCs w:val="22"/>
          <w:lang w:val="fr-FR"/>
        </w:rPr>
        <w:t xml:space="preserve"> </w:t>
      </w:r>
      <w:r w:rsidR="00450B29" w:rsidRPr="008C3393">
        <w:rPr>
          <w:szCs w:val="22"/>
          <w:lang w:val="fr-FR"/>
        </w:rPr>
        <w:t>Les recommandations du rapport étaient liées aux actions pour l</w:t>
      </w:r>
      <w:r w:rsidR="00F82A75">
        <w:rPr>
          <w:szCs w:val="22"/>
          <w:lang w:val="fr-FR"/>
        </w:rPr>
        <w:t>’</w:t>
      </w:r>
      <w:r w:rsidR="00450B29" w:rsidRPr="008C3393">
        <w:rPr>
          <w:szCs w:val="22"/>
          <w:lang w:val="fr-FR"/>
        </w:rPr>
        <w:t>amélioration de la surveillance, la facilitation de l</w:t>
      </w:r>
      <w:r w:rsidR="00F82A75">
        <w:rPr>
          <w:szCs w:val="22"/>
          <w:lang w:val="fr-FR"/>
        </w:rPr>
        <w:t>’</w:t>
      </w:r>
      <w:r w:rsidR="00450B29" w:rsidRPr="008C3393">
        <w:rPr>
          <w:szCs w:val="22"/>
          <w:lang w:val="fr-FR"/>
        </w:rPr>
        <w:t>échange des connaissances sur l</w:t>
      </w:r>
      <w:r w:rsidR="00F82A75">
        <w:rPr>
          <w:szCs w:val="22"/>
          <w:lang w:val="fr-FR"/>
        </w:rPr>
        <w:t>’</w:t>
      </w:r>
      <w:r w:rsidR="00450B29" w:rsidRPr="008C3393">
        <w:rPr>
          <w:szCs w:val="22"/>
          <w:lang w:val="fr-FR"/>
        </w:rPr>
        <w:t>adaptation au changement climatique et l</w:t>
      </w:r>
      <w:r w:rsidR="00F82A75">
        <w:rPr>
          <w:szCs w:val="22"/>
          <w:lang w:val="fr-FR"/>
        </w:rPr>
        <w:t>’</w:t>
      </w:r>
      <w:r w:rsidR="00450B29" w:rsidRPr="008C3393">
        <w:rPr>
          <w:szCs w:val="22"/>
          <w:lang w:val="fr-FR"/>
        </w:rPr>
        <w:t xml:space="preserve">atténuation de </w:t>
      </w:r>
      <w:r w:rsidR="00D92607" w:rsidRPr="008C3393">
        <w:rPr>
          <w:szCs w:val="22"/>
          <w:lang w:val="fr-FR"/>
        </w:rPr>
        <w:t>s</w:t>
      </w:r>
      <w:r w:rsidR="00450B29" w:rsidRPr="008C3393">
        <w:rPr>
          <w:szCs w:val="22"/>
          <w:lang w:val="fr-FR"/>
        </w:rPr>
        <w:t>es impacts, la réduction des impacts de l</w:t>
      </w:r>
      <w:r w:rsidR="00F82A75">
        <w:rPr>
          <w:szCs w:val="22"/>
          <w:lang w:val="fr-FR"/>
        </w:rPr>
        <w:t>’</w:t>
      </w:r>
      <w:r w:rsidR="00450B29" w:rsidRPr="008C3393">
        <w:rPr>
          <w:szCs w:val="22"/>
          <w:lang w:val="fr-FR"/>
        </w:rPr>
        <w:t>utilisation des ressources biologiques, la réduction des impacts négati</w:t>
      </w:r>
      <w:r w:rsidR="00D92607" w:rsidRPr="008C3393">
        <w:rPr>
          <w:szCs w:val="22"/>
          <w:lang w:val="fr-FR"/>
        </w:rPr>
        <w:t>f</w:t>
      </w:r>
      <w:r w:rsidR="00450B29" w:rsidRPr="008C3393">
        <w:rPr>
          <w:szCs w:val="22"/>
          <w:lang w:val="fr-FR"/>
        </w:rPr>
        <w:t>s des activités de gestion de l</w:t>
      </w:r>
      <w:r w:rsidR="00F82A75">
        <w:rPr>
          <w:szCs w:val="22"/>
          <w:lang w:val="fr-FR"/>
        </w:rPr>
        <w:t>’</w:t>
      </w:r>
      <w:r w:rsidR="00450B29" w:rsidRPr="008C3393">
        <w:rPr>
          <w:szCs w:val="22"/>
          <w:lang w:val="fr-FR"/>
        </w:rPr>
        <w:t>eau, la prise en compte des exigences de l</w:t>
      </w:r>
      <w:r w:rsidR="00F82A75">
        <w:rPr>
          <w:szCs w:val="22"/>
          <w:lang w:val="fr-FR"/>
        </w:rPr>
        <w:t>’</w:t>
      </w:r>
      <w:r w:rsidR="00450B29" w:rsidRPr="008C3393">
        <w:rPr>
          <w:szCs w:val="22"/>
          <w:lang w:val="fr-FR"/>
        </w:rPr>
        <w:t>AEWA dans les politiques d</w:t>
      </w:r>
      <w:r w:rsidR="00F82A75">
        <w:rPr>
          <w:szCs w:val="22"/>
          <w:lang w:val="fr-FR"/>
        </w:rPr>
        <w:t>’</w:t>
      </w:r>
      <w:r w:rsidR="00450B29" w:rsidRPr="008C3393">
        <w:rPr>
          <w:szCs w:val="22"/>
          <w:lang w:val="fr-FR"/>
        </w:rPr>
        <w:t>aide externes, l</w:t>
      </w:r>
      <w:r w:rsidR="00F82A75">
        <w:rPr>
          <w:szCs w:val="22"/>
          <w:lang w:val="fr-FR"/>
        </w:rPr>
        <w:t>’</w:t>
      </w:r>
      <w:r w:rsidR="00450B29" w:rsidRPr="008C3393">
        <w:rPr>
          <w:szCs w:val="22"/>
          <w:lang w:val="fr-FR"/>
        </w:rPr>
        <w:t>aide à la gestion de l</w:t>
      </w:r>
      <w:r w:rsidR="00F82A75">
        <w:rPr>
          <w:szCs w:val="22"/>
          <w:lang w:val="fr-FR"/>
        </w:rPr>
        <w:t>’</w:t>
      </w:r>
      <w:r w:rsidR="00450B29" w:rsidRPr="008C3393">
        <w:rPr>
          <w:szCs w:val="22"/>
          <w:lang w:val="fr-FR"/>
        </w:rPr>
        <w:t>eau, les développements agricoles et aquacoles, le recrutement de Parties d</w:t>
      </w:r>
      <w:r w:rsidR="00F82A75">
        <w:rPr>
          <w:szCs w:val="22"/>
          <w:lang w:val="fr-FR"/>
        </w:rPr>
        <w:t>’</w:t>
      </w:r>
      <w:r w:rsidR="00450B29" w:rsidRPr="008C3393">
        <w:rPr>
          <w:szCs w:val="22"/>
          <w:lang w:val="fr-FR"/>
        </w:rPr>
        <w:t>Afrique et d</w:t>
      </w:r>
      <w:r w:rsidR="00F82A75">
        <w:rPr>
          <w:szCs w:val="22"/>
          <w:lang w:val="fr-FR"/>
        </w:rPr>
        <w:t>’</w:t>
      </w:r>
      <w:r w:rsidR="00450B29" w:rsidRPr="008C3393">
        <w:rPr>
          <w:szCs w:val="22"/>
          <w:lang w:val="fr-FR"/>
        </w:rPr>
        <w:t>Asie supplémentaires, et le développement de conditions plus favorables pour les projets à l</w:t>
      </w:r>
      <w:r w:rsidR="00F82A75">
        <w:rPr>
          <w:szCs w:val="22"/>
          <w:lang w:val="fr-FR"/>
        </w:rPr>
        <w:t>’</w:t>
      </w:r>
      <w:r w:rsidR="00450B29" w:rsidRPr="008C3393">
        <w:rPr>
          <w:szCs w:val="22"/>
          <w:lang w:val="fr-FR"/>
        </w:rPr>
        <w:t>échelle de la voie de migration.</w:t>
      </w:r>
    </w:p>
    <w:p w14:paraId="2E0FDE73" w14:textId="77777777" w:rsidR="00851BAD" w:rsidRPr="008C3393" w:rsidRDefault="00851BAD" w:rsidP="00BA154F">
      <w:pPr>
        <w:jc w:val="both"/>
        <w:rPr>
          <w:szCs w:val="22"/>
          <w:lang w:val="fr-FR"/>
        </w:rPr>
      </w:pPr>
    </w:p>
    <w:p w14:paraId="31D5BF4A" w14:textId="367B1D5B" w:rsidR="00851BAD" w:rsidRPr="008C3393" w:rsidRDefault="007E1B81" w:rsidP="00BA154F">
      <w:pPr>
        <w:jc w:val="both"/>
        <w:rPr>
          <w:szCs w:val="22"/>
          <w:lang w:val="fr-FR"/>
        </w:rPr>
      </w:pPr>
      <w:r>
        <w:rPr>
          <w:szCs w:val="22"/>
          <w:lang w:val="fr-FR"/>
        </w:rPr>
        <w:t>102</w:t>
      </w:r>
      <w:r w:rsidR="001664FE" w:rsidRPr="008C3393">
        <w:rPr>
          <w:szCs w:val="22"/>
          <w:lang w:val="fr-FR"/>
        </w:rPr>
        <w:t xml:space="preserve">. </w:t>
      </w:r>
      <w:r w:rsidR="00450B29" w:rsidRPr="008C3393">
        <w:rPr>
          <w:szCs w:val="22"/>
          <w:lang w:val="fr-FR"/>
        </w:rPr>
        <w:t xml:space="preserve">Le </w:t>
      </w:r>
      <w:r w:rsidR="00450B29" w:rsidRPr="00C35ADA">
        <w:rPr>
          <w:b/>
          <w:szCs w:val="22"/>
          <w:lang w:val="fr-FR"/>
        </w:rPr>
        <w:t>Président</w:t>
      </w:r>
      <w:r w:rsidR="00450B29" w:rsidRPr="008C3393">
        <w:rPr>
          <w:szCs w:val="22"/>
          <w:lang w:val="fr-FR"/>
        </w:rPr>
        <w:t xml:space="preserve"> a </w:t>
      </w:r>
      <w:r w:rsidR="004D3242" w:rsidRPr="008C3393">
        <w:rPr>
          <w:szCs w:val="22"/>
          <w:lang w:val="fr-FR"/>
        </w:rPr>
        <w:t>invité à faire des</w:t>
      </w:r>
      <w:r w:rsidR="00450B29" w:rsidRPr="008C3393">
        <w:rPr>
          <w:szCs w:val="22"/>
          <w:lang w:val="fr-FR"/>
        </w:rPr>
        <w:t xml:space="preserve"> commentaires.</w:t>
      </w:r>
    </w:p>
    <w:p w14:paraId="701847BB" w14:textId="77777777" w:rsidR="00851BAD" w:rsidRPr="008C3393" w:rsidRDefault="00851BAD" w:rsidP="00BA154F">
      <w:pPr>
        <w:jc w:val="both"/>
        <w:rPr>
          <w:szCs w:val="22"/>
          <w:lang w:val="fr-FR"/>
        </w:rPr>
      </w:pPr>
    </w:p>
    <w:p w14:paraId="6E84C692" w14:textId="2F774FEB" w:rsidR="00851BAD" w:rsidRPr="008C3393" w:rsidRDefault="007E1B81" w:rsidP="00BA154F">
      <w:pPr>
        <w:jc w:val="both"/>
        <w:rPr>
          <w:szCs w:val="22"/>
          <w:lang w:val="fr-FR"/>
        </w:rPr>
      </w:pPr>
      <w:r>
        <w:rPr>
          <w:szCs w:val="22"/>
          <w:lang w:val="fr-FR"/>
        </w:rPr>
        <w:t>103</w:t>
      </w:r>
      <w:r w:rsidR="001664FE" w:rsidRPr="008C3393">
        <w:rPr>
          <w:szCs w:val="22"/>
          <w:lang w:val="fr-FR"/>
        </w:rPr>
        <w:t xml:space="preserve">. </w:t>
      </w:r>
      <w:r w:rsidR="00450B29" w:rsidRPr="008C3393">
        <w:rPr>
          <w:szCs w:val="22"/>
          <w:lang w:val="fr-FR"/>
        </w:rPr>
        <w:t>Le représentant de l</w:t>
      </w:r>
      <w:r w:rsidR="00F82A75">
        <w:rPr>
          <w:szCs w:val="22"/>
          <w:lang w:val="fr-FR"/>
        </w:rPr>
        <w:t>’</w:t>
      </w:r>
      <w:r w:rsidR="00450B29" w:rsidRPr="008C3393">
        <w:rPr>
          <w:b/>
          <w:szCs w:val="22"/>
          <w:lang w:val="fr-FR"/>
        </w:rPr>
        <w:t>Algérie</w:t>
      </w:r>
      <w:r w:rsidR="00450B29" w:rsidRPr="008C3393">
        <w:rPr>
          <w:szCs w:val="22"/>
          <w:lang w:val="fr-FR"/>
        </w:rPr>
        <w:t xml:space="preserve"> a considéré que le travail réalisé pour localiser le Courlis à bec grêle </w:t>
      </w:r>
      <w:r w:rsidR="00450B29" w:rsidRPr="008C3393">
        <w:rPr>
          <w:i/>
          <w:szCs w:val="22"/>
          <w:lang w:val="fr-FR"/>
        </w:rPr>
        <w:t>Numenius</w:t>
      </w:r>
      <w:r w:rsidR="00450B29" w:rsidRPr="008C3393">
        <w:rPr>
          <w:szCs w:val="22"/>
          <w:lang w:val="fr-FR"/>
        </w:rPr>
        <w:t xml:space="preserve"> </w:t>
      </w:r>
      <w:proofErr w:type="spellStart"/>
      <w:r w:rsidR="00450B29" w:rsidRPr="008C3393">
        <w:rPr>
          <w:i/>
          <w:szCs w:val="22"/>
          <w:lang w:val="fr-FR"/>
        </w:rPr>
        <w:t>tenuirostris</w:t>
      </w:r>
      <w:proofErr w:type="spellEnd"/>
      <w:r w:rsidR="00450B29" w:rsidRPr="008C3393">
        <w:rPr>
          <w:szCs w:val="22"/>
          <w:lang w:val="fr-FR"/>
        </w:rPr>
        <w:t xml:space="preserve"> dans son pays n</w:t>
      </w:r>
      <w:r w:rsidR="00F82A75">
        <w:rPr>
          <w:szCs w:val="22"/>
          <w:lang w:val="fr-FR"/>
        </w:rPr>
        <w:t>’</w:t>
      </w:r>
      <w:r w:rsidR="00450B29" w:rsidRPr="008C3393">
        <w:rPr>
          <w:szCs w:val="22"/>
          <w:lang w:val="fr-FR"/>
        </w:rPr>
        <w:t>avait pas été suffisant.</w:t>
      </w:r>
    </w:p>
    <w:p w14:paraId="76C2AFC5" w14:textId="77777777" w:rsidR="00851BAD" w:rsidRPr="008C3393" w:rsidRDefault="00851BAD" w:rsidP="00BA154F">
      <w:pPr>
        <w:jc w:val="both"/>
        <w:rPr>
          <w:szCs w:val="22"/>
          <w:lang w:val="fr-FR"/>
        </w:rPr>
      </w:pPr>
    </w:p>
    <w:p w14:paraId="25DE0597" w14:textId="69B29C84" w:rsidR="00851BAD" w:rsidRPr="008C3393" w:rsidRDefault="007E1B81" w:rsidP="00BA154F">
      <w:pPr>
        <w:jc w:val="both"/>
        <w:rPr>
          <w:szCs w:val="22"/>
          <w:lang w:val="fr-FR"/>
        </w:rPr>
      </w:pPr>
      <w:r>
        <w:rPr>
          <w:szCs w:val="22"/>
          <w:lang w:val="fr-FR"/>
        </w:rPr>
        <w:t>104</w:t>
      </w:r>
      <w:r w:rsidR="001664FE" w:rsidRPr="008C3393">
        <w:rPr>
          <w:szCs w:val="22"/>
          <w:lang w:val="fr-FR"/>
        </w:rPr>
        <w:t xml:space="preserve">. </w:t>
      </w:r>
      <w:r w:rsidR="00450B29" w:rsidRPr="008C3393">
        <w:rPr>
          <w:b/>
          <w:szCs w:val="22"/>
          <w:lang w:val="fr-FR"/>
        </w:rPr>
        <w:t>M</w:t>
      </w:r>
      <w:r w:rsidR="00450B29" w:rsidRPr="00C35ADA">
        <w:rPr>
          <w:szCs w:val="22"/>
          <w:lang w:val="fr-FR"/>
        </w:rPr>
        <w:t>. Nagy</w:t>
      </w:r>
      <w:r w:rsidR="00450B29" w:rsidRPr="008C3393">
        <w:rPr>
          <w:szCs w:val="22"/>
          <w:lang w:val="fr-FR"/>
        </w:rPr>
        <w:t xml:space="preserve"> a fait une seconde présentation introduisant le document AEWA/MOP 5.15 </w:t>
      </w:r>
      <w:r w:rsidR="00450B29" w:rsidRPr="008C3393">
        <w:rPr>
          <w:i/>
          <w:szCs w:val="22"/>
          <w:lang w:val="fr-FR"/>
        </w:rPr>
        <w:t>Rapport sur le réseau de sites pour les oiseaux d</w:t>
      </w:r>
      <w:r w:rsidR="00F82A75">
        <w:rPr>
          <w:i/>
          <w:szCs w:val="22"/>
          <w:lang w:val="fr-FR"/>
        </w:rPr>
        <w:t>’</w:t>
      </w:r>
      <w:r w:rsidR="00450B29" w:rsidRPr="008C3393">
        <w:rPr>
          <w:i/>
          <w:szCs w:val="22"/>
          <w:lang w:val="fr-FR"/>
        </w:rPr>
        <w:t>eau dans la zone de l</w:t>
      </w:r>
      <w:r w:rsidR="00F82A75">
        <w:rPr>
          <w:i/>
          <w:szCs w:val="22"/>
          <w:lang w:val="fr-FR"/>
        </w:rPr>
        <w:t>’</w:t>
      </w:r>
      <w:r w:rsidR="00A1380F">
        <w:rPr>
          <w:i/>
          <w:szCs w:val="22"/>
          <w:lang w:val="fr-FR"/>
        </w:rPr>
        <w:t>A</w:t>
      </w:r>
      <w:r w:rsidR="00450B29" w:rsidRPr="008C3393">
        <w:rPr>
          <w:i/>
          <w:szCs w:val="22"/>
          <w:lang w:val="fr-FR"/>
        </w:rPr>
        <w:t>ccord</w:t>
      </w:r>
      <w:r w:rsidR="00C35ADA">
        <w:rPr>
          <w:i/>
          <w:szCs w:val="22"/>
          <w:lang w:val="fr-FR"/>
        </w:rPr>
        <w:t>.</w:t>
      </w:r>
    </w:p>
    <w:p w14:paraId="5189306B" w14:textId="77777777" w:rsidR="00851BAD" w:rsidRPr="008C3393" w:rsidRDefault="00851BAD" w:rsidP="00BA154F">
      <w:pPr>
        <w:jc w:val="both"/>
        <w:rPr>
          <w:szCs w:val="22"/>
          <w:lang w:val="fr-FR"/>
        </w:rPr>
      </w:pPr>
    </w:p>
    <w:p w14:paraId="17136C6A" w14:textId="3A9D9550" w:rsidR="00851BAD" w:rsidRPr="008C3393" w:rsidRDefault="007E1B81" w:rsidP="00BA154F">
      <w:pPr>
        <w:jc w:val="both"/>
        <w:rPr>
          <w:szCs w:val="22"/>
          <w:lang w:val="fr-FR"/>
        </w:rPr>
      </w:pPr>
      <w:r>
        <w:rPr>
          <w:szCs w:val="22"/>
          <w:lang w:val="fr-FR"/>
        </w:rPr>
        <w:t>105</w:t>
      </w:r>
      <w:r w:rsidR="001664FE" w:rsidRPr="008C3393">
        <w:rPr>
          <w:szCs w:val="22"/>
          <w:lang w:val="fr-FR"/>
        </w:rPr>
        <w:t xml:space="preserve">. </w:t>
      </w:r>
      <w:r w:rsidR="00450B29" w:rsidRPr="008C3393">
        <w:rPr>
          <w:szCs w:val="22"/>
          <w:lang w:val="fr-FR"/>
        </w:rPr>
        <w:t>Il a rappelé la base juridique et l</w:t>
      </w:r>
      <w:r w:rsidR="00F82A75">
        <w:rPr>
          <w:szCs w:val="22"/>
          <w:lang w:val="fr-FR"/>
        </w:rPr>
        <w:t>’</w:t>
      </w:r>
      <w:r w:rsidR="00450B29" w:rsidRPr="008C3393">
        <w:rPr>
          <w:szCs w:val="22"/>
          <w:lang w:val="fr-FR"/>
        </w:rPr>
        <w:t>importance de ce travail, et expliqué la méthodologie utilisée.</w:t>
      </w:r>
      <w:r w:rsidR="00851BAD" w:rsidRPr="008C3393">
        <w:rPr>
          <w:szCs w:val="22"/>
          <w:lang w:val="fr-FR"/>
        </w:rPr>
        <w:t xml:space="preserve"> </w:t>
      </w:r>
      <w:r w:rsidR="00450B29" w:rsidRPr="008C3393">
        <w:rPr>
          <w:szCs w:val="22"/>
          <w:lang w:val="fr-FR"/>
        </w:rPr>
        <w:t>Il a noté que le travail avait uniquement été possible en raison du développement de l</w:t>
      </w:r>
      <w:r w:rsidR="00F82A75">
        <w:rPr>
          <w:szCs w:val="22"/>
          <w:lang w:val="fr-FR"/>
        </w:rPr>
        <w:t>’</w:t>
      </w:r>
      <w:r w:rsidR="00450B29" w:rsidRPr="008C3393">
        <w:rPr>
          <w:szCs w:val="22"/>
          <w:lang w:val="fr-FR"/>
        </w:rPr>
        <w:t xml:space="preserve">Outil Réseau de sites critiques (CSN) sous le projet </w:t>
      </w:r>
      <w:proofErr w:type="spellStart"/>
      <w:r w:rsidR="00450B29" w:rsidRPr="008C3393">
        <w:rPr>
          <w:szCs w:val="22"/>
          <w:lang w:val="fr-FR"/>
        </w:rPr>
        <w:t>Wings</w:t>
      </w:r>
      <w:proofErr w:type="spellEnd"/>
      <w:r w:rsidR="00450B29" w:rsidRPr="008C3393">
        <w:rPr>
          <w:szCs w:val="22"/>
          <w:lang w:val="fr-FR"/>
        </w:rPr>
        <w:t xml:space="preserve"> Over </w:t>
      </w:r>
      <w:proofErr w:type="spellStart"/>
      <w:r w:rsidR="00450B29" w:rsidRPr="008C3393">
        <w:rPr>
          <w:szCs w:val="22"/>
          <w:lang w:val="fr-FR"/>
        </w:rPr>
        <w:t>Wetlands</w:t>
      </w:r>
      <w:proofErr w:type="spellEnd"/>
      <w:r w:rsidR="00450B29" w:rsidRPr="008C3393">
        <w:rPr>
          <w:szCs w:val="22"/>
          <w:lang w:val="fr-FR"/>
        </w:rPr>
        <w:t xml:space="preserve"> (WOW).</w:t>
      </w:r>
      <w:r w:rsidR="00851BAD" w:rsidRPr="008C3393">
        <w:rPr>
          <w:szCs w:val="22"/>
          <w:lang w:val="fr-FR"/>
        </w:rPr>
        <w:t xml:space="preserve"> </w:t>
      </w:r>
      <w:r w:rsidR="00450B29" w:rsidRPr="008C3393">
        <w:rPr>
          <w:szCs w:val="22"/>
          <w:lang w:val="fr-FR"/>
        </w:rPr>
        <w:t>Des sites critiques avaient été identifiés pour 68 % des populations de l</w:t>
      </w:r>
      <w:r w:rsidR="00F82A75">
        <w:rPr>
          <w:szCs w:val="22"/>
          <w:lang w:val="fr-FR"/>
        </w:rPr>
        <w:t>’</w:t>
      </w:r>
      <w:r w:rsidR="00450B29" w:rsidRPr="008C3393">
        <w:rPr>
          <w:szCs w:val="22"/>
          <w:lang w:val="fr-FR"/>
        </w:rPr>
        <w:t xml:space="preserve">AEWA au cours de la période de reproduction et 80 % en dehors de cette dernière, mais pour seulement 61 % des populations au cours des deux périodes, montrant que 40 % des populations </w:t>
      </w:r>
      <w:r w:rsidR="006E38E3" w:rsidRPr="008C3393">
        <w:rPr>
          <w:szCs w:val="22"/>
          <w:lang w:val="fr-FR"/>
        </w:rPr>
        <w:t>ont besoin de mesures de</w:t>
      </w:r>
      <w:r w:rsidR="00450B29" w:rsidRPr="008C3393">
        <w:rPr>
          <w:szCs w:val="22"/>
          <w:lang w:val="fr-FR"/>
        </w:rPr>
        <w:t xml:space="preserve"> conservation </w:t>
      </w:r>
      <w:r w:rsidR="006E38E3" w:rsidRPr="008C3393">
        <w:rPr>
          <w:szCs w:val="22"/>
          <w:lang w:val="fr-FR"/>
        </w:rPr>
        <w:t>qui ne sont pas uniquement basées sur le site</w:t>
      </w:r>
      <w:r w:rsidR="00450B29" w:rsidRPr="008C3393">
        <w:rPr>
          <w:szCs w:val="22"/>
          <w:lang w:val="fr-FR"/>
        </w:rPr>
        <w:t>.</w:t>
      </w:r>
      <w:r w:rsidR="00851BAD" w:rsidRPr="008C3393">
        <w:rPr>
          <w:szCs w:val="22"/>
          <w:lang w:val="fr-FR"/>
        </w:rPr>
        <w:t xml:space="preserve"> </w:t>
      </w:r>
      <w:r w:rsidR="006E38E3" w:rsidRPr="008C3393">
        <w:rPr>
          <w:szCs w:val="22"/>
          <w:lang w:val="fr-FR"/>
        </w:rPr>
        <w:t>Seul</w:t>
      </w:r>
      <w:r w:rsidR="00D92607" w:rsidRPr="008C3393">
        <w:rPr>
          <w:szCs w:val="22"/>
          <w:lang w:val="fr-FR"/>
        </w:rPr>
        <w:t>ement</w:t>
      </w:r>
      <w:r w:rsidR="006E38E3" w:rsidRPr="008C3393">
        <w:rPr>
          <w:szCs w:val="22"/>
          <w:lang w:val="fr-FR"/>
        </w:rPr>
        <w:t xml:space="preserve"> la moitié des sites critiques avai</w:t>
      </w:r>
      <w:r w:rsidR="00D92607" w:rsidRPr="008C3393">
        <w:rPr>
          <w:szCs w:val="22"/>
          <w:lang w:val="fr-FR"/>
        </w:rPr>
        <w:t>en</w:t>
      </w:r>
      <w:r w:rsidR="006E38E3" w:rsidRPr="008C3393">
        <w:rPr>
          <w:szCs w:val="22"/>
          <w:lang w:val="fr-FR"/>
        </w:rPr>
        <w:t xml:space="preserve">t &gt;50 % de leur aire désignée « aire protégée » et seulement 37 % étaient </w:t>
      </w:r>
      <w:r w:rsidR="00D92607" w:rsidRPr="008C3393">
        <w:rPr>
          <w:szCs w:val="22"/>
          <w:lang w:val="fr-FR"/>
        </w:rPr>
        <w:t>i</w:t>
      </w:r>
      <w:r w:rsidR="006E38E3" w:rsidRPr="008C3393">
        <w:rPr>
          <w:szCs w:val="22"/>
          <w:lang w:val="fr-FR"/>
        </w:rPr>
        <w:t>ntégralement désignés.</w:t>
      </w:r>
      <w:r w:rsidR="00851BAD" w:rsidRPr="008C3393">
        <w:rPr>
          <w:szCs w:val="22"/>
          <w:lang w:val="fr-FR"/>
        </w:rPr>
        <w:t xml:space="preserve"> </w:t>
      </w:r>
      <w:r w:rsidR="006E38E3" w:rsidRPr="008C3393">
        <w:rPr>
          <w:szCs w:val="22"/>
          <w:lang w:val="fr-FR"/>
        </w:rPr>
        <w:t>Une plus forte proportion de sites désignés a été localisée dans les États membres de l</w:t>
      </w:r>
      <w:r w:rsidR="00F82A75">
        <w:rPr>
          <w:szCs w:val="22"/>
          <w:lang w:val="fr-FR"/>
        </w:rPr>
        <w:t>’</w:t>
      </w:r>
      <w:r w:rsidR="006E38E3" w:rsidRPr="008C3393">
        <w:rPr>
          <w:szCs w:val="22"/>
          <w:lang w:val="fr-FR"/>
        </w:rPr>
        <w:t>UE que partout ailleurs.</w:t>
      </w:r>
      <w:r w:rsidR="00851BAD" w:rsidRPr="008C3393">
        <w:rPr>
          <w:szCs w:val="22"/>
          <w:lang w:val="fr-FR"/>
        </w:rPr>
        <w:t xml:space="preserve"> </w:t>
      </w:r>
      <w:r w:rsidR="006E38E3" w:rsidRPr="008C3393">
        <w:rPr>
          <w:szCs w:val="22"/>
          <w:lang w:val="fr-FR"/>
        </w:rPr>
        <w:t>Des mesures de conservation ont seulement été mentionnées pour 14 % de tous les sites critiques, mais un manque de données avait probablement influé sur ces résultats.</w:t>
      </w:r>
      <w:r w:rsidR="00851BAD" w:rsidRPr="008C3393">
        <w:rPr>
          <w:szCs w:val="22"/>
          <w:lang w:val="fr-FR"/>
        </w:rPr>
        <w:t xml:space="preserve"> </w:t>
      </w:r>
      <w:r w:rsidR="006E38E3" w:rsidRPr="008C3393">
        <w:rPr>
          <w:szCs w:val="22"/>
          <w:lang w:val="fr-FR"/>
        </w:rPr>
        <w:t>Les réseaux de sites protégés existant pour beaucoup de populations étaient inadéquats en comparaison avec la couverture requise pour le CSN pour être intégralement désigné.</w:t>
      </w:r>
      <w:r w:rsidR="00851BAD" w:rsidRPr="008C3393">
        <w:rPr>
          <w:szCs w:val="22"/>
          <w:lang w:val="fr-FR"/>
        </w:rPr>
        <w:t xml:space="preserve"> </w:t>
      </w:r>
      <w:r w:rsidR="006E38E3" w:rsidRPr="008C3393">
        <w:rPr>
          <w:szCs w:val="22"/>
          <w:lang w:val="fr-FR"/>
        </w:rPr>
        <w:t>Parmi les recommandations du rapport</w:t>
      </w:r>
      <w:r w:rsidR="00D92607" w:rsidRPr="008C3393">
        <w:rPr>
          <w:szCs w:val="22"/>
          <w:lang w:val="fr-FR"/>
        </w:rPr>
        <w:t xml:space="preserve"> se trouvaient celles</w:t>
      </w:r>
      <w:r w:rsidR="006E38E3" w:rsidRPr="008C3393">
        <w:rPr>
          <w:szCs w:val="22"/>
          <w:lang w:val="fr-FR"/>
        </w:rPr>
        <w:t xml:space="preserve"> relatives à la désignation de sites critiques, le développement de stratégies de conservation de l</w:t>
      </w:r>
      <w:r w:rsidR="00F82A75">
        <w:rPr>
          <w:szCs w:val="22"/>
          <w:lang w:val="fr-FR"/>
        </w:rPr>
        <w:t>’</w:t>
      </w:r>
      <w:r w:rsidR="006E38E3" w:rsidRPr="008C3393">
        <w:rPr>
          <w:szCs w:val="22"/>
          <w:lang w:val="fr-FR"/>
        </w:rPr>
        <w:t xml:space="preserve">habitat en Afrique et </w:t>
      </w:r>
      <w:r w:rsidR="00A1380F">
        <w:rPr>
          <w:szCs w:val="22"/>
          <w:lang w:val="fr-FR"/>
        </w:rPr>
        <w:t>en Asie du</w:t>
      </w:r>
      <w:r w:rsidR="006E38E3" w:rsidRPr="008C3393">
        <w:rPr>
          <w:szCs w:val="22"/>
          <w:lang w:val="fr-FR"/>
        </w:rPr>
        <w:t xml:space="preserve"> </w:t>
      </w:r>
      <w:r w:rsidR="00A1380F">
        <w:rPr>
          <w:szCs w:val="22"/>
          <w:lang w:val="fr-FR"/>
        </w:rPr>
        <w:t>S</w:t>
      </w:r>
      <w:r w:rsidR="006E38E3" w:rsidRPr="008C3393">
        <w:rPr>
          <w:szCs w:val="22"/>
          <w:lang w:val="fr-FR"/>
        </w:rPr>
        <w:t>ud-</w:t>
      </w:r>
      <w:r w:rsidR="00A1380F">
        <w:rPr>
          <w:szCs w:val="22"/>
          <w:lang w:val="fr-FR"/>
        </w:rPr>
        <w:t>O</w:t>
      </w:r>
      <w:r w:rsidR="006E38E3" w:rsidRPr="008C3393">
        <w:rPr>
          <w:szCs w:val="22"/>
          <w:lang w:val="fr-FR"/>
        </w:rPr>
        <w:t>uest, la mise en œuvre d</w:t>
      </w:r>
      <w:r w:rsidR="00F82A75">
        <w:rPr>
          <w:szCs w:val="22"/>
          <w:lang w:val="fr-FR"/>
        </w:rPr>
        <w:t>’</w:t>
      </w:r>
      <w:r w:rsidR="006E38E3" w:rsidRPr="008C3393">
        <w:rPr>
          <w:szCs w:val="22"/>
          <w:lang w:val="fr-FR"/>
        </w:rPr>
        <w:t>études de comblement des lacunes dans les aires peu connues, le développement et la mise en œuvre de plans d</w:t>
      </w:r>
      <w:r w:rsidR="00F82A75">
        <w:rPr>
          <w:szCs w:val="22"/>
          <w:lang w:val="fr-FR"/>
        </w:rPr>
        <w:t>’</w:t>
      </w:r>
      <w:r w:rsidR="006E38E3" w:rsidRPr="008C3393">
        <w:rPr>
          <w:szCs w:val="22"/>
          <w:lang w:val="fr-FR"/>
        </w:rPr>
        <w:t>action pour combler les lacunes au niveau de la désignation et de la gestion des sites, le renforcement de la capacité de gestion des sites et de la compréhension des exigences spécifiques aux oiseaux d</w:t>
      </w:r>
      <w:r w:rsidR="00F82A75">
        <w:rPr>
          <w:szCs w:val="22"/>
          <w:lang w:val="fr-FR"/>
        </w:rPr>
        <w:t>’</w:t>
      </w:r>
      <w:r w:rsidR="006E38E3" w:rsidRPr="008C3393">
        <w:rPr>
          <w:szCs w:val="22"/>
          <w:lang w:val="fr-FR"/>
        </w:rPr>
        <w:t>eau migrateurs, le développement d</w:t>
      </w:r>
      <w:r w:rsidR="00F82A75">
        <w:rPr>
          <w:szCs w:val="22"/>
          <w:lang w:val="fr-FR"/>
        </w:rPr>
        <w:t>’</w:t>
      </w:r>
      <w:r w:rsidR="006E38E3" w:rsidRPr="008C3393">
        <w:rPr>
          <w:szCs w:val="22"/>
          <w:lang w:val="fr-FR"/>
        </w:rPr>
        <w:t>un plan d</w:t>
      </w:r>
      <w:r w:rsidR="00F82A75">
        <w:rPr>
          <w:szCs w:val="22"/>
          <w:lang w:val="fr-FR"/>
        </w:rPr>
        <w:t>’</w:t>
      </w:r>
      <w:r w:rsidR="006E38E3" w:rsidRPr="008C3393">
        <w:rPr>
          <w:szCs w:val="22"/>
          <w:lang w:val="fr-FR"/>
        </w:rPr>
        <w:t>action pour l</w:t>
      </w:r>
      <w:r w:rsidR="00F82A75">
        <w:rPr>
          <w:szCs w:val="22"/>
          <w:lang w:val="fr-FR"/>
        </w:rPr>
        <w:t>’</w:t>
      </w:r>
      <w:r w:rsidR="006E38E3" w:rsidRPr="008C3393">
        <w:rPr>
          <w:szCs w:val="22"/>
          <w:lang w:val="fr-FR"/>
        </w:rPr>
        <w:t>Asie centrale, l</w:t>
      </w:r>
      <w:r w:rsidR="00F82A75">
        <w:rPr>
          <w:szCs w:val="22"/>
          <w:lang w:val="fr-FR"/>
        </w:rPr>
        <w:t>’</w:t>
      </w:r>
      <w:r w:rsidR="006E38E3" w:rsidRPr="008C3393">
        <w:rPr>
          <w:szCs w:val="22"/>
          <w:lang w:val="fr-FR"/>
        </w:rPr>
        <w:t>aide au développement d</w:t>
      </w:r>
      <w:r w:rsidR="00F82A75">
        <w:rPr>
          <w:szCs w:val="22"/>
          <w:lang w:val="fr-FR"/>
        </w:rPr>
        <w:t>’</w:t>
      </w:r>
      <w:r w:rsidR="006E38E3" w:rsidRPr="008C3393">
        <w:rPr>
          <w:szCs w:val="22"/>
          <w:lang w:val="fr-FR"/>
        </w:rPr>
        <w:t>un réseau cohérent à l</w:t>
      </w:r>
      <w:r w:rsidR="00F82A75">
        <w:rPr>
          <w:szCs w:val="22"/>
          <w:lang w:val="fr-FR"/>
        </w:rPr>
        <w:t>’</w:t>
      </w:r>
      <w:r w:rsidR="006E38E3" w:rsidRPr="008C3393">
        <w:rPr>
          <w:szCs w:val="22"/>
          <w:lang w:val="fr-FR"/>
        </w:rPr>
        <w:t>échelle de la voie de migration, la prise en considération de la soumission de rapports sur la désignation et la gestion en tant que part du processus de soumission des rapports nationaux, l</w:t>
      </w:r>
      <w:r w:rsidR="00F82A75">
        <w:rPr>
          <w:szCs w:val="22"/>
          <w:lang w:val="fr-FR"/>
        </w:rPr>
        <w:t>’</w:t>
      </w:r>
      <w:r w:rsidR="006E38E3" w:rsidRPr="008C3393">
        <w:rPr>
          <w:szCs w:val="22"/>
          <w:lang w:val="fr-FR"/>
        </w:rPr>
        <w:t>actualisation continuelle de l</w:t>
      </w:r>
      <w:r w:rsidR="00F82A75">
        <w:rPr>
          <w:szCs w:val="22"/>
          <w:lang w:val="fr-FR"/>
        </w:rPr>
        <w:t>’</w:t>
      </w:r>
      <w:r w:rsidR="006E38E3" w:rsidRPr="008C3393">
        <w:rPr>
          <w:szCs w:val="22"/>
          <w:lang w:val="fr-FR"/>
        </w:rPr>
        <w:t>outil CSN, et la mise en œuvre de programmes de surveillance.</w:t>
      </w:r>
    </w:p>
    <w:p w14:paraId="5F32D56E" w14:textId="77777777" w:rsidR="00851BAD" w:rsidRPr="008C3393" w:rsidRDefault="00851BAD" w:rsidP="00BA154F">
      <w:pPr>
        <w:jc w:val="both"/>
        <w:rPr>
          <w:szCs w:val="22"/>
          <w:lang w:val="fr-FR"/>
        </w:rPr>
      </w:pPr>
    </w:p>
    <w:p w14:paraId="3C32BC45" w14:textId="6F27E3E3" w:rsidR="00851BAD" w:rsidRPr="008C3393" w:rsidRDefault="007E1B81" w:rsidP="00BA154F">
      <w:pPr>
        <w:jc w:val="both"/>
        <w:rPr>
          <w:szCs w:val="22"/>
          <w:lang w:val="fr-FR"/>
        </w:rPr>
      </w:pPr>
      <w:r>
        <w:rPr>
          <w:szCs w:val="22"/>
          <w:lang w:val="fr-FR"/>
        </w:rPr>
        <w:t>106</w:t>
      </w:r>
      <w:r w:rsidR="001664FE" w:rsidRPr="008C3393">
        <w:rPr>
          <w:szCs w:val="22"/>
          <w:lang w:val="fr-FR"/>
        </w:rPr>
        <w:t xml:space="preserve">. </w:t>
      </w:r>
      <w:r w:rsidR="006E38E3" w:rsidRPr="008C3393">
        <w:rPr>
          <w:szCs w:val="22"/>
          <w:lang w:val="fr-FR"/>
        </w:rPr>
        <w:t xml:space="preserve">Le </w:t>
      </w:r>
      <w:r w:rsidR="006E38E3" w:rsidRPr="008C3393">
        <w:rPr>
          <w:b/>
          <w:szCs w:val="22"/>
          <w:lang w:val="fr-FR"/>
        </w:rPr>
        <w:t>Président</w:t>
      </w:r>
      <w:r w:rsidR="006E38E3" w:rsidRPr="008C3393">
        <w:rPr>
          <w:szCs w:val="22"/>
          <w:lang w:val="fr-FR"/>
        </w:rPr>
        <w:t xml:space="preserve"> a </w:t>
      </w:r>
      <w:r w:rsidR="004D3242" w:rsidRPr="008C3393">
        <w:rPr>
          <w:szCs w:val="22"/>
          <w:lang w:val="fr-FR"/>
        </w:rPr>
        <w:t>invité à faire des</w:t>
      </w:r>
      <w:r w:rsidR="006E38E3" w:rsidRPr="008C3393">
        <w:rPr>
          <w:szCs w:val="22"/>
          <w:lang w:val="fr-FR"/>
        </w:rPr>
        <w:t xml:space="preserve"> commentaires.</w:t>
      </w:r>
    </w:p>
    <w:p w14:paraId="016D7EB5" w14:textId="77777777" w:rsidR="00851BAD" w:rsidRPr="008C3393" w:rsidRDefault="00851BAD" w:rsidP="00BA154F">
      <w:pPr>
        <w:jc w:val="both"/>
        <w:rPr>
          <w:szCs w:val="22"/>
          <w:lang w:val="fr-FR"/>
        </w:rPr>
      </w:pPr>
    </w:p>
    <w:p w14:paraId="60A29ED9" w14:textId="6268E65C" w:rsidR="00851BAD" w:rsidRPr="008C3393" w:rsidRDefault="007E1B81" w:rsidP="00BA154F">
      <w:pPr>
        <w:jc w:val="both"/>
        <w:rPr>
          <w:szCs w:val="22"/>
          <w:lang w:val="fr-FR"/>
        </w:rPr>
      </w:pPr>
      <w:r>
        <w:rPr>
          <w:szCs w:val="22"/>
          <w:lang w:val="fr-FR"/>
        </w:rPr>
        <w:t>107</w:t>
      </w:r>
      <w:r w:rsidR="001664FE" w:rsidRPr="008C3393">
        <w:rPr>
          <w:szCs w:val="22"/>
          <w:lang w:val="fr-FR"/>
        </w:rPr>
        <w:t xml:space="preserve">. </w:t>
      </w:r>
      <w:r w:rsidR="004D3242" w:rsidRPr="008C3393">
        <w:rPr>
          <w:szCs w:val="22"/>
          <w:lang w:val="fr-FR"/>
        </w:rPr>
        <w:t>L</w:t>
      </w:r>
      <w:r w:rsidR="00F82A75">
        <w:rPr>
          <w:szCs w:val="22"/>
          <w:lang w:val="fr-FR"/>
        </w:rPr>
        <w:t>’</w:t>
      </w:r>
      <w:r w:rsidR="004D3242" w:rsidRPr="008C3393">
        <w:rPr>
          <w:b/>
          <w:szCs w:val="22"/>
          <w:lang w:val="fr-FR"/>
        </w:rPr>
        <w:t>Égypte</w:t>
      </w:r>
      <w:r w:rsidR="004D3242" w:rsidRPr="008C3393">
        <w:rPr>
          <w:szCs w:val="22"/>
          <w:lang w:val="fr-FR"/>
        </w:rPr>
        <w:t xml:space="preserve"> a souligné l</w:t>
      </w:r>
      <w:r w:rsidR="00F82A75">
        <w:rPr>
          <w:szCs w:val="22"/>
          <w:lang w:val="fr-FR"/>
        </w:rPr>
        <w:t>’</w:t>
      </w:r>
      <w:r w:rsidR="004D3242" w:rsidRPr="008C3393">
        <w:rPr>
          <w:szCs w:val="22"/>
          <w:lang w:val="fr-FR"/>
        </w:rPr>
        <w:t>importance de la capacité nationale sur le terrain.</w:t>
      </w:r>
    </w:p>
    <w:p w14:paraId="042B5810" w14:textId="77777777" w:rsidR="00C35ADA" w:rsidRDefault="00C35ADA" w:rsidP="00BA154F">
      <w:pPr>
        <w:jc w:val="both"/>
        <w:rPr>
          <w:szCs w:val="22"/>
          <w:lang w:val="fr-FR"/>
        </w:rPr>
      </w:pPr>
    </w:p>
    <w:p w14:paraId="09457C77" w14:textId="6D68F29B" w:rsidR="00851BAD" w:rsidRPr="008C3393" w:rsidRDefault="007E1B81" w:rsidP="00BA154F">
      <w:pPr>
        <w:jc w:val="both"/>
        <w:rPr>
          <w:szCs w:val="22"/>
          <w:lang w:val="fr-FR"/>
        </w:rPr>
      </w:pPr>
      <w:r>
        <w:rPr>
          <w:szCs w:val="22"/>
          <w:lang w:val="fr-FR"/>
        </w:rPr>
        <w:t>108</w:t>
      </w:r>
      <w:r w:rsidR="001664FE" w:rsidRPr="008C3393">
        <w:rPr>
          <w:szCs w:val="22"/>
          <w:lang w:val="fr-FR"/>
        </w:rPr>
        <w:t>.</w:t>
      </w:r>
      <w:r w:rsidR="001664FE" w:rsidRPr="008C3393">
        <w:rPr>
          <w:b/>
          <w:szCs w:val="22"/>
          <w:lang w:val="fr-FR"/>
        </w:rPr>
        <w:t xml:space="preserve"> </w:t>
      </w:r>
      <w:r w:rsidR="004D3242" w:rsidRPr="008C3393">
        <w:rPr>
          <w:szCs w:val="22"/>
          <w:lang w:val="fr-FR"/>
        </w:rPr>
        <w:t xml:space="preserve">La </w:t>
      </w:r>
      <w:r w:rsidR="004D3242" w:rsidRPr="008C3393">
        <w:rPr>
          <w:b/>
          <w:szCs w:val="22"/>
          <w:lang w:val="fr-FR"/>
        </w:rPr>
        <w:t>France</w:t>
      </w:r>
      <w:r w:rsidR="004D3242" w:rsidRPr="008C3393">
        <w:rPr>
          <w:szCs w:val="22"/>
          <w:lang w:val="fr-FR"/>
        </w:rPr>
        <w:t xml:space="preserve"> a été frappée par les lacunes apparentes dans le réseau </w:t>
      </w:r>
      <w:proofErr w:type="spellStart"/>
      <w:r w:rsidR="004D3242" w:rsidRPr="008C3393">
        <w:rPr>
          <w:szCs w:val="22"/>
          <w:lang w:val="fr-FR"/>
        </w:rPr>
        <w:t>Natura</w:t>
      </w:r>
      <w:proofErr w:type="spellEnd"/>
      <w:r w:rsidR="004D3242" w:rsidRPr="008C3393">
        <w:rPr>
          <w:szCs w:val="22"/>
          <w:lang w:val="fr-FR"/>
        </w:rPr>
        <w:t xml:space="preserve"> 2000 de l</w:t>
      </w:r>
      <w:r w:rsidR="00F82A75">
        <w:rPr>
          <w:szCs w:val="22"/>
          <w:lang w:val="fr-FR"/>
        </w:rPr>
        <w:t>’</w:t>
      </w:r>
      <w:r w:rsidR="004D3242" w:rsidRPr="008C3393">
        <w:rPr>
          <w:szCs w:val="22"/>
          <w:lang w:val="fr-FR"/>
        </w:rPr>
        <w:t>UE.</w:t>
      </w:r>
    </w:p>
    <w:p w14:paraId="49C49D2C" w14:textId="77777777" w:rsidR="00851BAD" w:rsidRPr="008C3393" w:rsidRDefault="00851BAD" w:rsidP="00BA154F">
      <w:pPr>
        <w:jc w:val="both"/>
        <w:rPr>
          <w:szCs w:val="22"/>
          <w:lang w:val="fr-FR"/>
        </w:rPr>
      </w:pPr>
    </w:p>
    <w:p w14:paraId="16CE86D1" w14:textId="4AE64F62" w:rsidR="00851BAD" w:rsidRPr="008C3393" w:rsidRDefault="007E1B81" w:rsidP="00BA154F">
      <w:pPr>
        <w:jc w:val="both"/>
        <w:rPr>
          <w:szCs w:val="22"/>
          <w:lang w:val="fr-FR"/>
        </w:rPr>
      </w:pPr>
      <w:r>
        <w:rPr>
          <w:szCs w:val="22"/>
          <w:lang w:val="fr-FR"/>
        </w:rPr>
        <w:t>109</w:t>
      </w:r>
      <w:r w:rsidR="001664FE" w:rsidRPr="008C3393">
        <w:rPr>
          <w:szCs w:val="22"/>
          <w:lang w:val="fr-FR"/>
        </w:rPr>
        <w:t xml:space="preserve">. </w:t>
      </w:r>
      <w:r w:rsidR="004D3242" w:rsidRPr="008C3393">
        <w:rPr>
          <w:szCs w:val="22"/>
          <w:lang w:val="fr-FR"/>
        </w:rPr>
        <w:t>En réponse à une question de l</w:t>
      </w:r>
      <w:r w:rsidR="00F82A75">
        <w:rPr>
          <w:szCs w:val="22"/>
          <w:lang w:val="fr-FR"/>
        </w:rPr>
        <w:t>’</w:t>
      </w:r>
      <w:r w:rsidR="004D3242" w:rsidRPr="008C3393">
        <w:rPr>
          <w:b/>
          <w:szCs w:val="22"/>
          <w:lang w:val="fr-FR"/>
        </w:rPr>
        <w:t>Algérie</w:t>
      </w:r>
      <w:r w:rsidR="004D3242" w:rsidRPr="008C3393">
        <w:rPr>
          <w:szCs w:val="22"/>
          <w:lang w:val="fr-FR"/>
        </w:rPr>
        <w:t xml:space="preserve"> et de la </w:t>
      </w:r>
      <w:r w:rsidR="004D3242" w:rsidRPr="008C3393">
        <w:rPr>
          <w:b/>
          <w:szCs w:val="22"/>
          <w:lang w:val="fr-FR"/>
        </w:rPr>
        <w:t>Tunisie</w:t>
      </w:r>
      <w:r w:rsidR="004D3242" w:rsidRPr="008C3393">
        <w:rPr>
          <w:szCs w:val="22"/>
          <w:lang w:val="fr-FR"/>
        </w:rPr>
        <w:t>, l</w:t>
      </w:r>
      <w:r w:rsidR="00F82A75">
        <w:rPr>
          <w:szCs w:val="22"/>
          <w:lang w:val="fr-FR"/>
        </w:rPr>
        <w:t>’</w:t>
      </w:r>
      <w:r w:rsidR="004D3242" w:rsidRPr="008C3393">
        <w:rPr>
          <w:b/>
          <w:szCs w:val="22"/>
          <w:lang w:val="fr-FR"/>
        </w:rPr>
        <w:t>Administrateur technique</w:t>
      </w:r>
      <w:r w:rsidR="004D3242" w:rsidRPr="008C3393">
        <w:rPr>
          <w:szCs w:val="22"/>
          <w:lang w:val="fr-FR"/>
        </w:rPr>
        <w:t xml:space="preserve"> a confirmé que les deux documents présentés par </w:t>
      </w:r>
      <w:proofErr w:type="spellStart"/>
      <w:r w:rsidR="004D3242" w:rsidRPr="008C3393">
        <w:rPr>
          <w:szCs w:val="22"/>
          <w:lang w:val="fr-FR"/>
        </w:rPr>
        <w:t>Wetlands</w:t>
      </w:r>
      <w:proofErr w:type="spellEnd"/>
      <w:r w:rsidR="004D3242" w:rsidRPr="008C3393">
        <w:rPr>
          <w:szCs w:val="22"/>
          <w:lang w:val="fr-FR"/>
        </w:rPr>
        <w:t xml:space="preserve"> International étaient disponibles sur le site de l</w:t>
      </w:r>
      <w:r w:rsidR="00F82A75">
        <w:rPr>
          <w:szCs w:val="22"/>
          <w:lang w:val="fr-FR"/>
        </w:rPr>
        <w:t>’</w:t>
      </w:r>
      <w:r w:rsidR="004D3242" w:rsidRPr="008C3393">
        <w:rPr>
          <w:szCs w:val="22"/>
          <w:lang w:val="fr-FR"/>
        </w:rPr>
        <w:t>AEWA.</w:t>
      </w:r>
      <w:r w:rsidR="00851BAD" w:rsidRPr="008C3393">
        <w:rPr>
          <w:szCs w:val="22"/>
          <w:lang w:val="fr-FR"/>
        </w:rPr>
        <w:t xml:space="preserve"> </w:t>
      </w:r>
      <w:r w:rsidR="004D3242" w:rsidRPr="008C3393">
        <w:rPr>
          <w:szCs w:val="22"/>
          <w:lang w:val="fr-FR"/>
        </w:rPr>
        <w:t>Le document sur le</w:t>
      </w:r>
      <w:r w:rsidR="00A1380F">
        <w:rPr>
          <w:szCs w:val="22"/>
          <w:lang w:val="fr-FR"/>
        </w:rPr>
        <w:t>s</w:t>
      </w:r>
      <w:r w:rsidR="004D3242" w:rsidRPr="008C3393">
        <w:rPr>
          <w:szCs w:val="22"/>
          <w:lang w:val="fr-FR"/>
        </w:rPr>
        <w:t xml:space="preserve"> réseau</w:t>
      </w:r>
      <w:r w:rsidR="00A1380F">
        <w:rPr>
          <w:szCs w:val="22"/>
          <w:lang w:val="fr-FR"/>
        </w:rPr>
        <w:t>x</w:t>
      </w:r>
      <w:r w:rsidR="004D3242" w:rsidRPr="008C3393">
        <w:rPr>
          <w:szCs w:val="22"/>
          <w:lang w:val="fr-FR"/>
        </w:rPr>
        <w:t xml:space="preserve"> de sites était préliminaire et serait seulement finalisé par le Comité technique dans la période précédant la MOP6. Ceci fournira l</w:t>
      </w:r>
      <w:r w:rsidR="00F82A75">
        <w:rPr>
          <w:szCs w:val="22"/>
          <w:lang w:val="fr-FR"/>
        </w:rPr>
        <w:t>’</w:t>
      </w:r>
      <w:r w:rsidR="004D3242" w:rsidRPr="008C3393">
        <w:rPr>
          <w:szCs w:val="22"/>
          <w:lang w:val="fr-FR"/>
        </w:rPr>
        <w:t>opportunité de corriger toute erreur ou omission, par le biais d</w:t>
      </w:r>
      <w:r w:rsidR="00F82A75">
        <w:rPr>
          <w:szCs w:val="22"/>
          <w:lang w:val="fr-FR"/>
        </w:rPr>
        <w:t>’</w:t>
      </w:r>
      <w:r w:rsidR="004D3242" w:rsidRPr="008C3393">
        <w:rPr>
          <w:szCs w:val="22"/>
          <w:lang w:val="fr-FR"/>
        </w:rPr>
        <w:t xml:space="preserve">une pleine consultation des Parties, qui devait encore </w:t>
      </w:r>
      <w:r w:rsidR="00D92607" w:rsidRPr="008C3393">
        <w:rPr>
          <w:szCs w:val="22"/>
          <w:lang w:val="fr-FR"/>
        </w:rPr>
        <w:t>avoir</w:t>
      </w:r>
      <w:r w:rsidR="004D3242" w:rsidRPr="008C3393">
        <w:rPr>
          <w:szCs w:val="22"/>
          <w:lang w:val="fr-FR"/>
        </w:rPr>
        <w:t xml:space="preserve"> lieu.</w:t>
      </w:r>
    </w:p>
    <w:p w14:paraId="0C16ADA3" w14:textId="77777777" w:rsidR="00851BAD" w:rsidRPr="008C3393" w:rsidRDefault="00851BAD" w:rsidP="00BA154F">
      <w:pPr>
        <w:jc w:val="both"/>
        <w:rPr>
          <w:szCs w:val="22"/>
          <w:lang w:val="fr-FR"/>
        </w:rPr>
      </w:pPr>
    </w:p>
    <w:p w14:paraId="5D0FF20C" w14:textId="66E7706F" w:rsidR="00851BAD" w:rsidRPr="008C3393" w:rsidRDefault="007E1B81" w:rsidP="00BA154F">
      <w:pPr>
        <w:jc w:val="both"/>
        <w:rPr>
          <w:szCs w:val="22"/>
          <w:lang w:val="fr-FR"/>
        </w:rPr>
      </w:pPr>
      <w:r>
        <w:rPr>
          <w:szCs w:val="22"/>
          <w:lang w:val="fr-FR"/>
        </w:rPr>
        <w:t>110</w:t>
      </w:r>
      <w:r w:rsidR="001664FE" w:rsidRPr="008C3393">
        <w:rPr>
          <w:szCs w:val="22"/>
          <w:lang w:val="fr-FR"/>
        </w:rPr>
        <w:t xml:space="preserve">. </w:t>
      </w:r>
      <w:r w:rsidR="00C35ADA" w:rsidRPr="00C35ADA">
        <w:rPr>
          <w:b/>
          <w:szCs w:val="22"/>
          <w:lang w:val="fr-FR"/>
        </w:rPr>
        <w:t>M. Dereliev</w:t>
      </w:r>
      <w:r w:rsidR="004D3242" w:rsidRPr="008C3393">
        <w:rPr>
          <w:szCs w:val="22"/>
          <w:lang w:val="fr-FR"/>
        </w:rPr>
        <w:t xml:space="preserve"> a présenté l</w:t>
      </w:r>
      <w:r w:rsidR="00F82A75">
        <w:rPr>
          <w:szCs w:val="22"/>
          <w:lang w:val="fr-FR"/>
        </w:rPr>
        <w:t>’</w:t>
      </w:r>
      <w:r w:rsidR="004D3242" w:rsidRPr="008C3393">
        <w:rPr>
          <w:szCs w:val="22"/>
          <w:lang w:val="fr-FR"/>
        </w:rPr>
        <w:t xml:space="preserve">Avant-projet de Résolution 5.2 </w:t>
      </w:r>
      <w:r w:rsidR="004D3242" w:rsidRPr="008C3393">
        <w:rPr>
          <w:i/>
          <w:szCs w:val="22"/>
          <w:lang w:val="fr-FR"/>
        </w:rPr>
        <w:t>Prise en main des lacunes dans les connaissances des populations d</w:t>
      </w:r>
      <w:r w:rsidR="00F82A75">
        <w:rPr>
          <w:i/>
          <w:szCs w:val="22"/>
          <w:lang w:val="fr-FR"/>
        </w:rPr>
        <w:t>’</w:t>
      </w:r>
      <w:r w:rsidR="004D3242" w:rsidRPr="008C3393">
        <w:rPr>
          <w:i/>
          <w:szCs w:val="22"/>
          <w:lang w:val="fr-FR"/>
        </w:rPr>
        <w:t>oiseaux d</w:t>
      </w:r>
      <w:r w:rsidR="00F82A75">
        <w:rPr>
          <w:i/>
          <w:szCs w:val="22"/>
          <w:lang w:val="fr-FR"/>
        </w:rPr>
        <w:t>’</w:t>
      </w:r>
      <w:r w:rsidR="004D3242" w:rsidRPr="008C3393">
        <w:rPr>
          <w:i/>
          <w:szCs w:val="22"/>
          <w:lang w:val="fr-FR"/>
        </w:rPr>
        <w:t>eau et des sites importants pour ces derniers, et actions de conservation à cet effet</w:t>
      </w:r>
      <w:r w:rsidR="004D3242" w:rsidRPr="008C3393">
        <w:rPr>
          <w:szCs w:val="22"/>
          <w:lang w:val="fr-FR"/>
        </w:rPr>
        <w:t>.</w:t>
      </w:r>
      <w:r w:rsidR="00851BAD" w:rsidRPr="008C3393">
        <w:rPr>
          <w:szCs w:val="22"/>
          <w:lang w:val="fr-FR"/>
        </w:rPr>
        <w:t xml:space="preserve"> </w:t>
      </w:r>
      <w:r w:rsidR="004D3242" w:rsidRPr="008C3393">
        <w:rPr>
          <w:szCs w:val="22"/>
          <w:lang w:val="fr-FR"/>
        </w:rPr>
        <w:t>Il a fait remarquer que le groupe de travail</w:t>
      </w:r>
      <w:r w:rsidR="005C11A5">
        <w:rPr>
          <w:szCs w:val="22"/>
          <w:lang w:val="fr-FR"/>
        </w:rPr>
        <w:t xml:space="preserve"> sur les questions</w:t>
      </w:r>
      <w:r w:rsidR="004D3242" w:rsidRPr="008C3393">
        <w:rPr>
          <w:szCs w:val="22"/>
          <w:lang w:val="fr-FR"/>
        </w:rPr>
        <w:t xml:space="preserve"> scientifique</w:t>
      </w:r>
      <w:r w:rsidR="005C11A5">
        <w:rPr>
          <w:szCs w:val="22"/>
          <w:lang w:val="fr-FR"/>
        </w:rPr>
        <w:t>s</w:t>
      </w:r>
      <w:r w:rsidR="004D3242" w:rsidRPr="008C3393">
        <w:rPr>
          <w:szCs w:val="22"/>
          <w:lang w:val="fr-FR"/>
        </w:rPr>
        <w:t xml:space="preserve"> et technique</w:t>
      </w:r>
      <w:r w:rsidR="005C11A5">
        <w:rPr>
          <w:szCs w:val="22"/>
          <w:lang w:val="fr-FR"/>
        </w:rPr>
        <w:t>s</w:t>
      </w:r>
      <w:r w:rsidR="004D3242" w:rsidRPr="008C3393">
        <w:rPr>
          <w:szCs w:val="22"/>
          <w:lang w:val="fr-FR"/>
        </w:rPr>
        <w:t xml:space="preserve"> disposait d</w:t>
      </w:r>
      <w:r w:rsidR="00F82A75">
        <w:rPr>
          <w:szCs w:val="22"/>
          <w:lang w:val="fr-FR"/>
        </w:rPr>
        <w:t>’</w:t>
      </w:r>
      <w:r w:rsidR="004D3242" w:rsidRPr="008C3393">
        <w:rPr>
          <w:szCs w:val="22"/>
          <w:lang w:val="fr-FR"/>
        </w:rPr>
        <w:t>une marge considérable pour développer cet avant-projet plus avant, et qu</w:t>
      </w:r>
      <w:r w:rsidR="00F82A75">
        <w:rPr>
          <w:szCs w:val="22"/>
          <w:lang w:val="fr-FR"/>
        </w:rPr>
        <w:t>’</w:t>
      </w:r>
      <w:r w:rsidR="004D3242" w:rsidRPr="008C3393">
        <w:rPr>
          <w:szCs w:val="22"/>
          <w:lang w:val="fr-FR"/>
        </w:rPr>
        <w:t>il pourrait bien s</w:t>
      </w:r>
      <w:r w:rsidR="00F82A75">
        <w:rPr>
          <w:szCs w:val="22"/>
          <w:lang w:val="fr-FR"/>
        </w:rPr>
        <w:t>’</w:t>
      </w:r>
      <w:r w:rsidR="004D3242" w:rsidRPr="008C3393">
        <w:rPr>
          <w:szCs w:val="22"/>
          <w:lang w:val="fr-FR"/>
        </w:rPr>
        <w:t>agir de l</w:t>
      </w:r>
      <w:r w:rsidR="00F82A75">
        <w:rPr>
          <w:szCs w:val="22"/>
          <w:lang w:val="fr-FR"/>
        </w:rPr>
        <w:t>’</w:t>
      </w:r>
      <w:r w:rsidR="004D3242" w:rsidRPr="008C3393">
        <w:rPr>
          <w:szCs w:val="22"/>
          <w:lang w:val="fr-FR"/>
        </w:rPr>
        <w:t>une des décisions clés de la MOP5.</w:t>
      </w:r>
    </w:p>
    <w:p w14:paraId="47C59A2A" w14:textId="77777777" w:rsidR="00851BAD" w:rsidRPr="008C3393" w:rsidRDefault="00851BAD" w:rsidP="00BA154F">
      <w:pPr>
        <w:jc w:val="both"/>
        <w:rPr>
          <w:szCs w:val="22"/>
          <w:lang w:val="fr-FR"/>
        </w:rPr>
      </w:pPr>
    </w:p>
    <w:p w14:paraId="02B81501" w14:textId="078CF79D" w:rsidR="00851BAD" w:rsidRPr="008C3393" w:rsidRDefault="007E1B81" w:rsidP="00BA154F">
      <w:pPr>
        <w:jc w:val="both"/>
        <w:rPr>
          <w:szCs w:val="22"/>
          <w:lang w:val="fr-FR"/>
        </w:rPr>
      </w:pPr>
      <w:r>
        <w:rPr>
          <w:szCs w:val="22"/>
          <w:lang w:val="fr-FR"/>
        </w:rPr>
        <w:t>111</w:t>
      </w:r>
      <w:r w:rsidR="001664FE" w:rsidRPr="008C3393">
        <w:rPr>
          <w:szCs w:val="22"/>
          <w:lang w:val="fr-FR"/>
        </w:rPr>
        <w:t xml:space="preserve">. </w:t>
      </w:r>
      <w:r w:rsidR="00E0244B" w:rsidRPr="008C3393">
        <w:rPr>
          <w:szCs w:val="22"/>
          <w:lang w:val="fr-FR"/>
        </w:rPr>
        <w:t xml:space="preserve">Le </w:t>
      </w:r>
      <w:r w:rsidR="00E0244B" w:rsidRPr="008C3393">
        <w:rPr>
          <w:b/>
          <w:szCs w:val="22"/>
          <w:lang w:val="fr-FR"/>
        </w:rPr>
        <w:t>Président</w:t>
      </w:r>
      <w:r w:rsidR="00E0244B" w:rsidRPr="008C3393">
        <w:rPr>
          <w:szCs w:val="22"/>
          <w:lang w:val="fr-FR"/>
        </w:rPr>
        <w:t xml:space="preserve"> a invité à faire des commentaires</w:t>
      </w:r>
      <w:r w:rsidR="004D3242" w:rsidRPr="008C3393">
        <w:rPr>
          <w:szCs w:val="22"/>
          <w:lang w:val="fr-FR"/>
        </w:rPr>
        <w:t>.</w:t>
      </w:r>
      <w:r w:rsidR="00851BAD" w:rsidRPr="008C3393">
        <w:rPr>
          <w:szCs w:val="22"/>
          <w:lang w:val="fr-FR"/>
        </w:rPr>
        <w:t xml:space="preserve"> </w:t>
      </w:r>
    </w:p>
    <w:p w14:paraId="6B0A6F5F" w14:textId="77777777" w:rsidR="00851BAD" w:rsidRPr="008C3393" w:rsidRDefault="00851BAD" w:rsidP="00BA154F">
      <w:pPr>
        <w:jc w:val="both"/>
        <w:rPr>
          <w:szCs w:val="22"/>
          <w:lang w:val="fr-FR"/>
        </w:rPr>
      </w:pPr>
    </w:p>
    <w:p w14:paraId="0A5F8F92" w14:textId="322DCD92" w:rsidR="00851BAD" w:rsidRPr="008C3393" w:rsidRDefault="007E1B81" w:rsidP="00BA154F">
      <w:pPr>
        <w:jc w:val="both"/>
        <w:rPr>
          <w:szCs w:val="22"/>
          <w:lang w:val="fr-FR"/>
        </w:rPr>
      </w:pPr>
      <w:r>
        <w:rPr>
          <w:szCs w:val="22"/>
          <w:lang w:val="fr-FR"/>
        </w:rPr>
        <w:t>112</w:t>
      </w:r>
      <w:r w:rsidR="001664FE" w:rsidRPr="008C3393">
        <w:rPr>
          <w:szCs w:val="22"/>
          <w:lang w:val="fr-FR"/>
        </w:rPr>
        <w:t xml:space="preserve">. </w:t>
      </w:r>
      <w:r w:rsidR="00E0244B" w:rsidRPr="008C3393">
        <w:rPr>
          <w:szCs w:val="22"/>
          <w:lang w:val="fr-FR"/>
        </w:rPr>
        <w:t xml:space="preserve">La </w:t>
      </w:r>
      <w:r w:rsidR="00E0244B" w:rsidRPr="008C3393">
        <w:rPr>
          <w:b/>
          <w:szCs w:val="22"/>
          <w:lang w:val="fr-FR"/>
        </w:rPr>
        <w:t xml:space="preserve">Suisse </w:t>
      </w:r>
      <w:r w:rsidR="00E0244B" w:rsidRPr="008C3393">
        <w:rPr>
          <w:szCs w:val="22"/>
          <w:lang w:val="fr-FR"/>
        </w:rPr>
        <w:t>a suggéré que dans le paragraphe opérationnel 9, l</w:t>
      </w:r>
      <w:r w:rsidR="00F82A75">
        <w:rPr>
          <w:szCs w:val="22"/>
          <w:lang w:val="fr-FR"/>
        </w:rPr>
        <w:t>’</w:t>
      </w:r>
      <w:r w:rsidR="00E0244B" w:rsidRPr="008C3393">
        <w:rPr>
          <w:szCs w:val="22"/>
          <w:lang w:val="fr-FR"/>
        </w:rPr>
        <w:t>accent soit mis sur « interopérabilité » plutôt que sur « harmonisation ».</w:t>
      </w:r>
    </w:p>
    <w:p w14:paraId="0F13886B" w14:textId="77777777" w:rsidR="00851BAD" w:rsidRPr="008C3393" w:rsidRDefault="00851BAD" w:rsidP="00BA154F">
      <w:pPr>
        <w:jc w:val="both"/>
        <w:rPr>
          <w:szCs w:val="22"/>
          <w:lang w:val="fr-FR"/>
        </w:rPr>
      </w:pPr>
    </w:p>
    <w:p w14:paraId="7B652312" w14:textId="4568EDB4" w:rsidR="00851BAD" w:rsidRPr="008C3393" w:rsidRDefault="007E1B81" w:rsidP="00BA154F">
      <w:pPr>
        <w:jc w:val="both"/>
        <w:rPr>
          <w:szCs w:val="22"/>
          <w:lang w:val="fr-FR"/>
        </w:rPr>
      </w:pPr>
      <w:r>
        <w:rPr>
          <w:szCs w:val="22"/>
          <w:lang w:val="fr-FR"/>
        </w:rPr>
        <w:t>113</w:t>
      </w:r>
      <w:r w:rsidR="001664FE" w:rsidRPr="008C3393">
        <w:rPr>
          <w:szCs w:val="22"/>
          <w:lang w:val="fr-FR"/>
        </w:rPr>
        <w:t xml:space="preserve">. </w:t>
      </w:r>
      <w:r w:rsidR="00E0244B" w:rsidRPr="008C3393">
        <w:rPr>
          <w:szCs w:val="22"/>
          <w:lang w:val="fr-FR"/>
        </w:rPr>
        <w:t xml:space="preserve">La </w:t>
      </w:r>
      <w:r w:rsidR="00E0244B" w:rsidRPr="008C3393">
        <w:rPr>
          <w:b/>
          <w:szCs w:val="22"/>
          <w:lang w:val="fr-FR"/>
        </w:rPr>
        <w:t>Norvège</w:t>
      </w:r>
      <w:r w:rsidR="00E0244B" w:rsidRPr="008C3393">
        <w:rPr>
          <w:szCs w:val="22"/>
          <w:lang w:val="fr-FR"/>
        </w:rPr>
        <w:t xml:space="preserve"> </w:t>
      </w:r>
      <w:r w:rsidR="00A1380F">
        <w:rPr>
          <w:szCs w:val="22"/>
          <w:lang w:val="fr-FR"/>
        </w:rPr>
        <w:t>était d</w:t>
      </w:r>
      <w:r w:rsidR="00F82A75">
        <w:rPr>
          <w:szCs w:val="22"/>
          <w:lang w:val="fr-FR"/>
        </w:rPr>
        <w:t>’</w:t>
      </w:r>
      <w:r w:rsidR="00A1380F">
        <w:rPr>
          <w:szCs w:val="22"/>
          <w:lang w:val="fr-FR"/>
        </w:rPr>
        <w:t>accord avec</w:t>
      </w:r>
      <w:r w:rsidR="00E0244B" w:rsidRPr="008C3393">
        <w:rPr>
          <w:szCs w:val="22"/>
          <w:lang w:val="fr-FR"/>
        </w:rPr>
        <w:t xml:space="preserve"> l</w:t>
      </w:r>
      <w:r w:rsidR="00F82A75">
        <w:rPr>
          <w:szCs w:val="22"/>
          <w:lang w:val="fr-FR"/>
        </w:rPr>
        <w:t>’</w:t>
      </w:r>
      <w:r w:rsidR="00E0244B" w:rsidRPr="008C3393">
        <w:rPr>
          <w:szCs w:val="22"/>
          <w:lang w:val="fr-FR"/>
        </w:rPr>
        <w:t>Administrateur technique qu</w:t>
      </w:r>
      <w:r w:rsidR="00F82A75">
        <w:rPr>
          <w:szCs w:val="22"/>
          <w:lang w:val="fr-FR"/>
        </w:rPr>
        <w:t>’</w:t>
      </w:r>
      <w:r w:rsidR="00E0244B" w:rsidRPr="008C3393">
        <w:rPr>
          <w:szCs w:val="22"/>
          <w:lang w:val="fr-FR"/>
        </w:rPr>
        <w:t>il s</w:t>
      </w:r>
      <w:r w:rsidR="00F82A75">
        <w:rPr>
          <w:szCs w:val="22"/>
          <w:lang w:val="fr-FR"/>
        </w:rPr>
        <w:t>’</w:t>
      </w:r>
      <w:r w:rsidR="00E0244B" w:rsidRPr="008C3393">
        <w:rPr>
          <w:szCs w:val="22"/>
          <w:lang w:val="fr-FR"/>
        </w:rPr>
        <w:t>agissait de l</w:t>
      </w:r>
      <w:r w:rsidR="00F82A75">
        <w:rPr>
          <w:szCs w:val="22"/>
          <w:lang w:val="fr-FR"/>
        </w:rPr>
        <w:t>’</w:t>
      </w:r>
      <w:r w:rsidR="00E0244B" w:rsidRPr="008C3393">
        <w:rPr>
          <w:szCs w:val="22"/>
          <w:lang w:val="fr-FR"/>
        </w:rPr>
        <w:t>un des principaux avant-projets de Résolution avant la MOP, qui a marqué le début d</w:t>
      </w:r>
      <w:r w:rsidR="00F82A75">
        <w:rPr>
          <w:szCs w:val="22"/>
          <w:lang w:val="fr-FR"/>
        </w:rPr>
        <w:t>’</w:t>
      </w:r>
      <w:r w:rsidR="00E0244B" w:rsidRPr="008C3393">
        <w:rPr>
          <w:szCs w:val="22"/>
          <w:lang w:val="fr-FR"/>
        </w:rPr>
        <w:t xml:space="preserve">une nouvelle phase de </w:t>
      </w:r>
      <w:r w:rsidR="008C3393" w:rsidRPr="008C3393">
        <w:rPr>
          <w:szCs w:val="22"/>
          <w:lang w:val="fr-FR"/>
        </w:rPr>
        <w:t>l</w:t>
      </w:r>
      <w:r w:rsidR="00F82A75">
        <w:rPr>
          <w:szCs w:val="22"/>
          <w:lang w:val="fr-FR"/>
        </w:rPr>
        <w:t>’</w:t>
      </w:r>
      <w:r w:rsidR="008C3393" w:rsidRPr="008C3393">
        <w:rPr>
          <w:szCs w:val="22"/>
          <w:lang w:val="fr-FR"/>
        </w:rPr>
        <w:t>Accord</w:t>
      </w:r>
      <w:r w:rsidR="00E0244B" w:rsidRPr="008C3393">
        <w:rPr>
          <w:szCs w:val="22"/>
          <w:lang w:val="fr-FR"/>
        </w:rPr>
        <w:t>, avec des implications significatives pour le futur.</w:t>
      </w:r>
    </w:p>
    <w:p w14:paraId="71FF5E33" w14:textId="77777777" w:rsidR="00851BAD" w:rsidRPr="008C3393" w:rsidRDefault="00851BAD" w:rsidP="00BA154F">
      <w:pPr>
        <w:jc w:val="both"/>
        <w:rPr>
          <w:szCs w:val="22"/>
          <w:lang w:val="fr-FR"/>
        </w:rPr>
      </w:pPr>
    </w:p>
    <w:p w14:paraId="6CCDC3AF" w14:textId="7490EA01" w:rsidR="00851BAD" w:rsidRPr="008C3393" w:rsidRDefault="007E1B81" w:rsidP="00BA154F">
      <w:pPr>
        <w:jc w:val="both"/>
        <w:rPr>
          <w:szCs w:val="22"/>
          <w:lang w:val="fr-FR"/>
        </w:rPr>
      </w:pPr>
      <w:r>
        <w:rPr>
          <w:szCs w:val="22"/>
          <w:lang w:val="fr-FR"/>
        </w:rPr>
        <w:t>114</w:t>
      </w:r>
      <w:r w:rsidR="001664FE" w:rsidRPr="008C3393">
        <w:rPr>
          <w:szCs w:val="22"/>
          <w:lang w:val="fr-FR"/>
        </w:rPr>
        <w:t xml:space="preserve">. </w:t>
      </w:r>
      <w:r w:rsidR="00E0244B" w:rsidRPr="008C3393">
        <w:rPr>
          <w:szCs w:val="22"/>
          <w:lang w:val="fr-FR"/>
        </w:rPr>
        <w:t xml:space="preserve">Le </w:t>
      </w:r>
      <w:r w:rsidR="00E0244B" w:rsidRPr="008C3393">
        <w:rPr>
          <w:b/>
          <w:szCs w:val="22"/>
          <w:lang w:val="fr-FR"/>
        </w:rPr>
        <w:t>Sénégal</w:t>
      </w:r>
      <w:r w:rsidR="00E0244B" w:rsidRPr="008C3393">
        <w:rPr>
          <w:szCs w:val="22"/>
          <w:lang w:val="fr-FR"/>
        </w:rPr>
        <w:t xml:space="preserve"> a trouvé que le préambule était trop long et a soulevé des points concernant plusieurs paragraphes opérationnels.</w:t>
      </w:r>
    </w:p>
    <w:p w14:paraId="2CD905D7" w14:textId="77777777" w:rsidR="00851BAD" w:rsidRPr="008C3393" w:rsidRDefault="00851BAD" w:rsidP="00BA154F">
      <w:pPr>
        <w:jc w:val="both"/>
        <w:rPr>
          <w:szCs w:val="22"/>
          <w:lang w:val="fr-FR"/>
        </w:rPr>
      </w:pPr>
    </w:p>
    <w:p w14:paraId="1CC1C6EC" w14:textId="6B1EC1CE" w:rsidR="00851BAD" w:rsidRPr="008C3393" w:rsidRDefault="007E1B81" w:rsidP="00BA154F">
      <w:pPr>
        <w:jc w:val="both"/>
        <w:rPr>
          <w:szCs w:val="22"/>
          <w:lang w:val="fr-FR"/>
        </w:rPr>
      </w:pPr>
      <w:r>
        <w:rPr>
          <w:szCs w:val="22"/>
          <w:lang w:val="fr-FR"/>
        </w:rPr>
        <w:t>115</w:t>
      </w:r>
      <w:r w:rsidR="001664FE" w:rsidRPr="008C3393">
        <w:rPr>
          <w:szCs w:val="22"/>
          <w:lang w:val="fr-FR"/>
        </w:rPr>
        <w:t xml:space="preserve">. </w:t>
      </w:r>
      <w:r w:rsidR="00E0244B" w:rsidRPr="008C3393">
        <w:rPr>
          <w:szCs w:val="22"/>
          <w:lang w:val="fr-FR"/>
        </w:rPr>
        <w:t xml:space="preserve">Le </w:t>
      </w:r>
      <w:r w:rsidR="00E0244B" w:rsidRPr="008C3393">
        <w:rPr>
          <w:b/>
          <w:szCs w:val="22"/>
          <w:lang w:val="fr-FR"/>
        </w:rPr>
        <w:t>représentant de l</w:t>
      </w:r>
      <w:r w:rsidR="00F82A75">
        <w:rPr>
          <w:b/>
          <w:szCs w:val="22"/>
          <w:lang w:val="fr-FR"/>
        </w:rPr>
        <w:t>’</w:t>
      </w:r>
      <w:r w:rsidR="00E0244B" w:rsidRPr="008C3393">
        <w:rPr>
          <w:b/>
          <w:szCs w:val="22"/>
          <w:lang w:val="fr-FR"/>
        </w:rPr>
        <w:t>UE et de ses États membres</w:t>
      </w:r>
      <w:r w:rsidR="00E0244B" w:rsidRPr="008C3393">
        <w:rPr>
          <w:szCs w:val="22"/>
          <w:lang w:val="fr-FR"/>
        </w:rPr>
        <w:t xml:space="preserve"> a indiqué que l</w:t>
      </w:r>
      <w:r w:rsidR="00F82A75">
        <w:rPr>
          <w:szCs w:val="22"/>
          <w:lang w:val="fr-FR"/>
        </w:rPr>
        <w:t>’</w:t>
      </w:r>
      <w:r w:rsidR="00E0244B" w:rsidRPr="008C3393">
        <w:rPr>
          <w:szCs w:val="22"/>
          <w:lang w:val="fr-FR"/>
        </w:rPr>
        <w:t>UE ferait des commentaires sur l</w:t>
      </w:r>
      <w:r w:rsidR="00F82A75">
        <w:rPr>
          <w:szCs w:val="22"/>
          <w:lang w:val="fr-FR"/>
        </w:rPr>
        <w:t>’</w:t>
      </w:r>
      <w:r w:rsidR="00E0244B" w:rsidRPr="008C3393">
        <w:rPr>
          <w:szCs w:val="22"/>
          <w:lang w:val="fr-FR"/>
        </w:rPr>
        <w:t xml:space="preserve">avant-projet de Résolution au cours de la réunion du groupe de travail </w:t>
      </w:r>
      <w:r w:rsidR="005C11A5">
        <w:rPr>
          <w:szCs w:val="22"/>
          <w:lang w:val="fr-FR"/>
        </w:rPr>
        <w:t xml:space="preserve">sur les questions </w:t>
      </w:r>
      <w:r w:rsidR="00E0244B" w:rsidRPr="008C3393">
        <w:rPr>
          <w:szCs w:val="22"/>
          <w:lang w:val="fr-FR"/>
        </w:rPr>
        <w:t>scientifique</w:t>
      </w:r>
      <w:r w:rsidR="005C11A5">
        <w:rPr>
          <w:szCs w:val="22"/>
          <w:lang w:val="fr-FR"/>
        </w:rPr>
        <w:t>s</w:t>
      </w:r>
      <w:r w:rsidR="00E0244B" w:rsidRPr="008C3393">
        <w:rPr>
          <w:szCs w:val="22"/>
          <w:lang w:val="fr-FR"/>
        </w:rPr>
        <w:t xml:space="preserve"> et technique</w:t>
      </w:r>
      <w:r w:rsidR="005C11A5">
        <w:rPr>
          <w:szCs w:val="22"/>
          <w:lang w:val="fr-FR"/>
        </w:rPr>
        <w:t>s</w:t>
      </w:r>
      <w:r w:rsidR="00E0244B" w:rsidRPr="008C3393">
        <w:rPr>
          <w:szCs w:val="22"/>
          <w:lang w:val="fr-FR"/>
        </w:rPr>
        <w:t>.</w:t>
      </w:r>
    </w:p>
    <w:p w14:paraId="50F91FF4" w14:textId="77777777" w:rsidR="00851BAD" w:rsidRPr="008C3393" w:rsidRDefault="00851BAD" w:rsidP="00BA154F">
      <w:pPr>
        <w:jc w:val="both"/>
        <w:rPr>
          <w:szCs w:val="22"/>
          <w:lang w:val="fr-FR"/>
        </w:rPr>
      </w:pPr>
    </w:p>
    <w:p w14:paraId="527D82E9" w14:textId="7B2BC553" w:rsidR="00271397" w:rsidRDefault="007E1B81" w:rsidP="00BA154F">
      <w:pPr>
        <w:jc w:val="both"/>
        <w:rPr>
          <w:szCs w:val="22"/>
          <w:lang w:val="fr-FR"/>
        </w:rPr>
      </w:pPr>
      <w:r>
        <w:rPr>
          <w:szCs w:val="22"/>
          <w:lang w:val="fr-FR"/>
        </w:rPr>
        <w:t>116</w:t>
      </w:r>
      <w:r w:rsidR="001664FE" w:rsidRPr="008C3393">
        <w:rPr>
          <w:szCs w:val="22"/>
          <w:lang w:val="fr-FR"/>
        </w:rPr>
        <w:t xml:space="preserve">. </w:t>
      </w:r>
      <w:r w:rsidR="001D0E85" w:rsidRPr="008C3393">
        <w:rPr>
          <w:szCs w:val="22"/>
          <w:lang w:val="fr-FR"/>
        </w:rPr>
        <w:t>Répondant aux interventions de l</w:t>
      </w:r>
      <w:r w:rsidR="00F82A75">
        <w:rPr>
          <w:szCs w:val="22"/>
          <w:lang w:val="fr-FR"/>
        </w:rPr>
        <w:t>’</w:t>
      </w:r>
      <w:r w:rsidR="001D0E85" w:rsidRPr="008C3393">
        <w:rPr>
          <w:b/>
          <w:szCs w:val="22"/>
          <w:lang w:val="fr-FR"/>
        </w:rPr>
        <w:t>Algérie</w:t>
      </w:r>
      <w:r w:rsidR="001D0E85" w:rsidRPr="008C3393">
        <w:rPr>
          <w:szCs w:val="22"/>
          <w:lang w:val="fr-FR"/>
        </w:rPr>
        <w:t xml:space="preserve">, du </w:t>
      </w:r>
      <w:r w:rsidR="001D0E85" w:rsidRPr="008C3393">
        <w:rPr>
          <w:b/>
          <w:szCs w:val="22"/>
          <w:lang w:val="fr-FR"/>
        </w:rPr>
        <w:t>Mali</w:t>
      </w:r>
      <w:r w:rsidR="001D0E85" w:rsidRPr="008C3393">
        <w:rPr>
          <w:szCs w:val="22"/>
          <w:lang w:val="fr-FR"/>
        </w:rPr>
        <w:t xml:space="preserve"> et du </w:t>
      </w:r>
      <w:r w:rsidR="001D0E85" w:rsidRPr="008C3393">
        <w:rPr>
          <w:b/>
          <w:szCs w:val="22"/>
          <w:lang w:val="fr-FR"/>
        </w:rPr>
        <w:t>Secrétariat</w:t>
      </w:r>
      <w:r w:rsidR="001D0E85" w:rsidRPr="008C3393">
        <w:rPr>
          <w:szCs w:val="22"/>
          <w:lang w:val="fr-FR"/>
        </w:rPr>
        <w:t xml:space="preserve"> </w:t>
      </w:r>
      <w:r w:rsidR="001D0E85" w:rsidRPr="008C3393">
        <w:rPr>
          <w:b/>
          <w:szCs w:val="22"/>
          <w:lang w:val="fr-FR"/>
        </w:rPr>
        <w:t>de la</w:t>
      </w:r>
      <w:r w:rsidR="001D0E85" w:rsidRPr="008C3393">
        <w:rPr>
          <w:szCs w:val="22"/>
          <w:lang w:val="fr-FR"/>
        </w:rPr>
        <w:t xml:space="preserve"> </w:t>
      </w:r>
      <w:r w:rsidR="001D0E85" w:rsidRPr="008C3393">
        <w:rPr>
          <w:b/>
          <w:szCs w:val="22"/>
          <w:lang w:val="fr-FR"/>
        </w:rPr>
        <w:t xml:space="preserve">Convention de </w:t>
      </w:r>
      <w:proofErr w:type="spellStart"/>
      <w:r w:rsidR="001D0E85" w:rsidRPr="008C3393">
        <w:rPr>
          <w:b/>
          <w:szCs w:val="22"/>
          <w:lang w:val="fr-FR"/>
        </w:rPr>
        <w:t>Ramsar</w:t>
      </w:r>
      <w:proofErr w:type="spellEnd"/>
      <w:r w:rsidR="001D0E85" w:rsidRPr="008C3393">
        <w:rPr>
          <w:szCs w:val="22"/>
          <w:lang w:val="fr-FR"/>
        </w:rPr>
        <w:t xml:space="preserve">, le représentant de </w:t>
      </w:r>
      <w:proofErr w:type="spellStart"/>
      <w:r w:rsidR="001D0E85" w:rsidRPr="008C3393">
        <w:rPr>
          <w:szCs w:val="22"/>
          <w:lang w:val="fr-FR"/>
        </w:rPr>
        <w:t>Wetlands</w:t>
      </w:r>
      <w:proofErr w:type="spellEnd"/>
      <w:r w:rsidR="001D0E85" w:rsidRPr="008C3393">
        <w:rPr>
          <w:szCs w:val="22"/>
          <w:lang w:val="fr-FR"/>
        </w:rPr>
        <w:t xml:space="preserve"> International a expliqué que les critères pour le développement du CSN était basé</w:t>
      </w:r>
      <w:r w:rsidR="00526765" w:rsidRPr="008C3393">
        <w:rPr>
          <w:szCs w:val="22"/>
          <w:lang w:val="fr-FR"/>
        </w:rPr>
        <w:t>s</w:t>
      </w:r>
      <w:r w:rsidR="001D0E85" w:rsidRPr="008C3393">
        <w:rPr>
          <w:szCs w:val="22"/>
          <w:lang w:val="fr-FR"/>
        </w:rPr>
        <w:t xml:space="preserve"> sur les critères </w:t>
      </w:r>
      <w:proofErr w:type="spellStart"/>
      <w:r w:rsidR="001D0E85" w:rsidRPr="008C3393">
        <w:rPr>
          <w:szCs w:val="22"/>
          <w:lang w:val="fr-FR"/>
        </w:rPr>
        <w:t>Ramsar</w:t>
      </w:r>
      <w:proofErr w:type="spellEnd"/>
      <w:r w:rsidR="001D0E85" w:rsidRPr="008C3393">
        <w:rPr>
          <w:szCs w:val="22"/>
          <w:lang w:val="fr-FR"/>
        </w:rPr>
        <w:t xml:space="preserve"> existants relatifs aux espèces mondialement menacées, le seuil de 1% de population,</w:t>
      </w:r>
      <w:r w:rsidR="001D0E85" w:rsidRPr="00526765">
        <w:rPr>
          <w:szCs w:val="22"/>
          <w:lang w:val="fr-FR"/>
        </w:rPr>
        <w:t xml:space="preserve"> et le seuil de 20 000 oiseaux d</w:t>
      </w:r>
      <w:r w:rsidR="00F82A75">
        <w:rPr>
          <w:szCs w:val="22"/>
          <w:lang w:val="fr-FR"/>
        </w:rPr>
        <w:t>’</w:t>
      </w:r>
      <w:r w:rsidR="001D0E85" w:rsidRPr="00526765">
        <w:rPr>
          <w:szCs w:val="22"/>
          <w:lang w:val="fr-FR"/>
        </w:rPr>
        <w:t>eau.</w:t>
      </w:r>
    </w:p>
    <w:p w14:paraId="36C35500" w14:textId="77777777" w:rsidR="00C86381" w:rsidRDefault="00C86381" w:rsidP="00BA154F">
      <w:pPr>
        <w:jc w:val="both"/>
        <w:rPr>
          <w:szCs w:val="22"/>
          <w:lang w:val="fr-FR"/>
        </w:rPr>
      </w:pPr>
    </w:p>
    <w:p w14:paraId="65E347D5" w14:textId="77777777" w:rsidR="000958DA" w:rsidRDefault="000958DA" w:rsidP="00BA154F">
      <w:pPr>
        <w:jc w:val="both"/>
        <w:rPr>
          <w:szCs w:val="22"/>
          <w:lang w:val="fr-FR"/>
        </w:rPr>
      </w:pPr>
    </w:p>
    <w:p w14:paraId="77633951" w14:textId="77777777" w:rsidR="00C86381" w:rsidRPr="00E87605" w:rsidRDefault="00C86381" w:rsidP="00BA154F">
      <w:pPr>
        <w:jc w:val="both"/>
        <w:outlineLvl w:val="0"/>
        <w:rPr>
          <w:b/>
          <w:szCs w:val="22"/>
          <w:lang w:val="fr-FR"/>
        </w:rPr>
      </w:pPr>
      <w:r w:rsidRPr="00E87605">
        <w:rPr>
          <w:b/>
          <w:szCs w:val="22"/>
          <w:lang w:val="fr-FR"/>
        </w:rPr>
        <w:t xml:space="preserve">Point 14 de l’ordre du jour – Procédure d’évaluation de la mise en œuvre </w:t>
      </w:r>
    </w:p>
    <w:p w14:paraId="349AD6AE" w14:textId="77777777" w:rsidR="00C86381" w:rsidRPr="00E87605" w:rsidRDefault="00C86381" w:rsidP="00BA154F">
      <w:pPr>
        <w:jc w:val="both"/>
        <w:rPr>
          <w:szCs w:val="22"/>
          <w:lang w:val="fr-FR"/>
        </w:rPr>
      </w:pPr>
    </w:p>
    <w:p w14:paraId="332AAD99" w14:textId="64AC14E9" w:rsidR="00C86381" w:rsidRPr="00E87605" w:rsidRDefault="007E1B81" w:rsidP="00BA154F">
      <w:pPr>
        <w:jc w:val="both"/>
        <w:rPr>
          <w:szCs w:val="22"/>
          <w:lang w:val="fr-FR"/>
        </w:rPr>
      </w:pPr>
      <w:r>
        <w:rPr>
          <w:szCs w:val="22"/>
          <w:lang w:val="fr-FR"/>
        </w:rPr>
        <w:t>117</w:t>
      </w:r>
      <w:r w:rsidR="00C86381" w:rsidRPr="00E87605">
        <w:rPr>
          <w:szCs w:val="22"/>
          <w:lang w:val="fr-FR"/>
        </w:rPr>
        <w:t>. L’</w:t>
      </w:r>
      <w:r w:rsidR="00C86381" w:rsidRPr="00E87605">
        <w:rPr>
          <w:b/>
          <w:szCs w:val="22"/>
          <w:lang w:val="fr-FR"/>
        </w:rPr>
        <w:t>Administrateur technique</w:t>
      </w:r>
      <w:r w:rsidR="00C86381" w:rsidRPr="00E87605">
        <w:rPr>
          <w:szCs w:val="22"/>
          <w:lang w:val="fr-FR"/>
        </w:rPr>
        <w:t xml:space="preserve"> de l’</w:t>
      </w:r>
      <w:r w:rsidR="00C86381" w:rsidRPr="00E87605">
        <w:rPr>
          <w:b/>
          <w:szCs w:val="22"/>
          <w:lang w:val="fr-FR"/>
        </w:rPr>
        <w:t>AEWA</w:t>
      </w:r>
      <w:r w:rsidR="00C86381" w:rsidRPr="00E87605">
        <w:rPr>
          <w:szCs w:val="22"/>
          <w:lang w:val="fr-FR"/>
        </w:rPr>
        <w:t xml:space="preserve"> (M. Sergey Dereliev) a présenté le document AEWA/MOP 5.16 </w:t>
      </w:r>
      <w:r w:rsidR="00C86381" w:rsidRPr="00E87605">
        <w:rPr>
          <w:i/>
          <w:szCs w:val="22"/>
          <w:lang w:val="fr-FR"/>
        </w:rPr>
        <w:t>Procédure d’évaluation de la mise en œuvre (IRP) – Rapport soumis à la MOP5</w:t>
      </w:r>
      <w:r w:rsidR="00C86381" w:rsidRPr="00E87605">
        <w:rPr>
          <w:szCs w:val="22"/>
          <w:lang w:val="fr-FR"/>
        </w:rPr>
        <w:t>. Il a rappelé que l’IRP a</w:t>
      </w:r>
      <w:r w:rsidR="00C86381">
        <w:rPr>
          <w:szCs w:val="22"/>
          <w:lang w:val="fr-FR"/>
        </w:rPr>
        <w:t>vait</w:t>
      </w:r>
      <w:r w:rsidR="00C86381" w:rsidRPr="00E87605">
        <w:rPr>
          <w:szCs w:val="22"/>
          <w:lang w:val="fr-FR"/>
        </w:rPr>
        <w:t xml:space="preserve"> été établie par la MOP4 </w:t>
      </w:r>
      <w:r w:rsidR="00C86381">
        <w:rPr>
          <w:szCs w:val="22"/>
          <w:lang w:val="fr-FR"/>
        </w:rPr>
        <w:t>par</w:t>
      </w:r>
      <w:r w:rsidR="00C86381" w:rsidRPr="00E87605">
        <w:rPr>
          <w:szCs w:val="22"/>
          <w:lang w:val="fr-FR"/>
        </w:rPr>
        <w:t xml:space="preserve"> la Résolution 4.6. Il a expliqué la procédure d’IRP alors développée par le Comité permanent (</w:t>
      </w:r>
      <w:proofErr w:type="spellStart"/>
      <w:r w:rsidR="00C86381" w:rsidRPr="00E87605">
        <w:rPr>
          <w:szCs w:val="22"/>
          <w:lang w:val="fr-FR"/>
        </w:rPr>
        <w:t>StC</w:t>
      </w:r>
      <w:proofErr w:type="spellEnd"/>
      <w:r w:rsidR="00C86381" w:rsidRPr="00E87605">
        <w:rPr>
          <w:szCs w:val="22"/>
          <w:lang w:val="fr-FR"/>
        </w:rPr>
        <w:t xml:space="preserve">) en consultation avec le Comité technique (TC). Au cours de la dernière période triennale, trois cas ont été soumis à l’attention du </w:t>
      </w:r>
      <w:proofErr w:type="spellStart"/>
      <w:r w:rsidR="00C86381" w:rsidRPr="00E87605">
        <w:rPr>
          <w:szCs w:val="22"/>
          <w:lang w:val="fr-FR"/>
        </w:rPr>
        <w:t>StC</w:t>
      </w:r>
      <w:proofErr w:type="spellEnd"/>
      <w:r w:rsidR="00C86381" w:rsidRPr="00E87605">
        <w:rPr>
          <w:szCs w:val="22"/>
          <w:lang w:val="fr-FR"/>
        </w:rPr>
        <w:t xml:space="preserve"> :</w:t>
      </w:r>
    </w:p>
    <w:p w14:paraId="07529F00" w14:textId="77777777" w:rsidR="00C86381" w:rsidRPr="00E87605" w:rsidRDefault="00C86381" w:rsidP="00BA154F">
      <w:pPr>
        <w:jc w:val="both"/>
        <w:rPr>
          <w:szCs w:val="22"/>
          <w:lang w:val="fr-FR"/>
        </w:rPr>
      </w:pPr>
    </w:p>
    <w:p w14:paraId="07AA835E" w14:textId="77777777" w:rsidR="00C86381" w:rsidRPr="00E87605" w:rsidRDefault="00C86381" w:rsidP="00BA154F">
      <w:pPr>
        <w:pStyle w:val="ListParagraph"/>
        <w:numPr>
          <w:ilvl w:val="0"/>
          <w:numId w:val="8"/>
        </w:numPr>
        <w:jc w:val="both"/>
        <w:rPr>
          <w:sz w:val="22"/>
          <w:szCs w:val="22"/>
          <w:lang w:val="fr-FR"/>
        </w:rPr>
      </w:pPr>
      <w:r w:rsidRPr="00E87605">
        <w:rPr>
          <w:sz w:val="22"/>
          <w:szCs w:val="22"/>
          <w:lang w:val="fr-FR"/>
        </w:rPr>
        <w:t xml:space="preserve">République arabe syrienne – la chasse illégale du Vanneau sociable </w:t>
      </w:r>
      <w:proofErr w:type="spellStart"/>
      <w:r w:rsidRPr="00E87605">
        <w:rPr>
          <w:i/>
          <w:sz w:val="22"/>
          <w:szCs w:val="22"/>
          <w:lang w:val="fr-FR"/>
        </w:rPr>
        <w:t>Vanellus</w:t>
      </w:r>
      <w:proofErr w:type="spellEnd"/>
      <w:r w:rsidRPr="00E87605">
        <w:rPr>
          <w:i/>
          <w:sz w:val="22"/>
          <w:szCs w:val="22"/>
          <w:lang w:val="fr-FR"/>
        </w:rPr>
        <w:t xml:space="preserve"> </w:t>
      </w:r>
      <w:proofErr w:type="spellStart"/>
      <w:r w:rsidRPr="00E87605">
        <w:rPr>
          <w:i/>
          <w:sz w:val="22"/>
          <w:szCs w:val="22"/>
          <w:lang w:val="fr-FR"/>
        </w:rPr>
        <w:t>gregarius</w:t>
      </w:r>
      <w:proofErr w:type="spellEnd"/>
      <w:r w:rsidRPr="00E87605">
        <w:rPr>
          <w:sz w:val="22"/>
          <w:szCs w:val="22"/>
          <w:lang w:val="fr-FR"/>
        </w:rPr>
        <w:t xml:space="preserve">, espèce en danger critique d’extinction : un cas d’IRP a été ouvert par le </w:t>
      </w:r>
      <w:proofErr w:type="spellStart"/>
      <w:r w:rsidRPr="00E87605">
        <w:rPr>
          <w:sz w:val="22"/>
          <w:szCs w:val="22"/>
          <w:lang w:val="fr-FR"/>
        </w:rPr>
        <w:t>StC</w:t>
      </w:r>
      <w:proofErr w:type="spellEnd"/>
      <w:r w:rsidRPr="00E87605">
        <w:rPr>
          <w:sz w:val="22"/>
          <w:szCs w:val="22"/>
          <w:lang w:val="fr-FR"/>
        </w:rPr>
        <w:t xml:space="preserve"> en 2009 ; une mission IRP a trouvé place en février 2010 ; un rapport officiel et des recommandations ont été transmis au gouvernement de la Syrie en août 2010 ; aucun rapport officiel sur la mise en œuvre des recommandations n’a encore été reçu.</w:t>
      </w:r>
    </w:p>
    <w:p w14:paraId="337E61C0" w14:textId="77777777" w:rsidR="00C86381" w:rsidRPr="00E87605" w:rsidRDefault="00C86381" w:rsidP="00BA154F">
      <w:pPr>
        <w:pStyle w:val="ListParagraph"/>
        <w:numPr>
          <w:ilvl w:val="0"/>
          <w:numId w:val="8"/>
        </w:numPr>
        <w:jc w:val="both"/>
        <w:rPr>
          <w:sz w:val="22"/>
          <w:szCs w:val="22"/>
          <w:lang w:val="fr-FR"/>
        </w:rPr>
      </w:pPr>
      <w:r w:rsidRPr="00E87605">
        <w:rPr>
          <w:sz w:val="22"/>
          <w:szCs w:val="22"/>
          <w:lang w:val="fr-FR"/>
        </w:rPr>
        <w:t xml:space="preserve">Monténégro – drainage de la saline d’Ulcinj en vue du développement touristique : un cas d’IRP a été ouvert par le </w:t>
      </w:r>
      <w:proofErr w:type="spellStart"/>
      <w:r w:rsidRPr="00E87605">
        <w:rPr>
          <w:sz w:val="22"/>
          <w:szCs w:val="22"/>
          <w:lang w:val="fr-FR"/>
        </w:rPr>
        <w:t>StC</w:t>
      </w:r>
      <w:proofErr w:type="spellEnd"/>
      <w:r w:rsidRPr="00E87605">
        <w:rPr>
          <w:sz w:val="22"/>
          <w:szCs w:val="22"/>
          <w:lang w:val="fr-FR"/>
        </w:rPr>
        <w:t xml:space="preserve"> en 2012 ; le Secrétariat de l'AEWA était actuellement en train de préparer une réponse aux informations fournies par le gouvernement du Monténégro et d’entreprendre des consultations pour une éventuelle mission conjointe avec les Secrétariats de la CMS, de </w:t>
      </w:r>
      <w:proofErr w:type="spellStart"/>
      <w:r w:rsidRPr="00E87605">
        <w:rPr>
          <w:sz w:val="22"/>
          <w:szCs w:val="22"/>
          <w:lang w:val="fr-FR"/>
        </w:rPr>
        <w:t>Ramsar</w:t>
      </w:r>
      <w:proofErr w:type="spellEnd"/>
      <w:r w:rsidRPr="00E87605">
        <w:rPr>
          <w:sz w:val="22"/>
          <w:szCs w:val="22"/>
          <w:lang w:val="fr-FR"/>
        </w:rPr>
        <w:t xml:space="preserve"> et de la Convention de Bern</w:t>
      </w:r>
      <w:r>
        <w:rPr>
          <w:sz w:val="22"/>
          <w:szCs w:val="22"/>
          <w:lang w:val="fr-FR"/>
        </w:rPr>
        <w:t>e</w:t>
      </w:r>
      <w:r w:rsidRPr="00E87605">
        <w:rPr>
          <w:sz w:val="22"/>
          <w:szCs w:val="22"/>
          <w:lang w:val="fr-FR"/>
        </w:rPr>
        <w:t>.</w:t>
      </w:r>
    </w:p>
    <w:p w14:paraId="1278C9DC" w14:textId="77777777" w:rsidR="00C86381" w:rsidRPr="00E87605" w:rsidRDefault="00C86381" w:rsidP="00BA154F">
      <w:pPr>
        <w:pStyle w:val="ListParagraph"/>
        <w:numPr>
          <w:ilvl w:val="0"/>
          <w:numId w:val="8"/>
        </w:numPr>
        <w:jc w:val="both"/>
        <w:rPr>
          <w:sz w:val="22"/>
          <w:szCs w:val="22"/>
          <w:lang w:val="fr-FR"/>
        </w:rPr>
      </w:pPr>
      <w:r w:rsidRPr="00E87605">
        <w:rPr>
          <w:sz w:val="22"/>
          <w:szCs w:val="22"/>
          <w:lang w:val="fr-FR"/>
        </w:rPr>
        <w:t xml:space="preserve">Bulgarie – projet de ferme éolienne adjacente au </w:t>
      </w:r>
      <w:r>
        <w:rPr>
          <w:sz w:val="22"/>
          <w:szCs w:val="22"/>
          <w:lang w:val="fr-FR"/>
        </w:rPr>
        <w:t>l</w:t>
      </w:r>
      <w:r w:rsidRPr="00E87605">
        <w:rPr>
          <w:sz w:val="22"/>
          <w:szCs w:val="22"/>
          <w:lang w:val="fr-FR"/>
        </w:rPr>
        <w:t xml:space="preserve">ac </w:t>
      </w:r>
      <w:proofErr w:type="spellStart"/>
      <w:r w:rsidRPr="00E87605">
        <w:rPr>
          <w:sz w:val="22"/>
          <w:szCs w:val="22"/>
          <w:lang w:val="fr-FR"/>
        </w:rPr>
        <w:t>Durankulak</w:t>
      </w:r>
      <w:proofErr w:type="spellEnd"/>
      <w:r w:rsidRPr="00E87605">
        <w:rPr>
          <w:sz w:val="22"/>
          <w:szCs w:val="22"/>
          <w:lang w:val="fr-FR"/>
        </w:rPr>
        <w:t xml:space="preserve">, constituant un risque pour l’espèce mondialement menacée de la Bernache à cou roux </w:t>
      </w:r>
      <w:proofErr w:type="spellStart"/>
      <w:r w:rsidRPr="00E87605">
        <w:rPr>
          <w:i/>
          <w:sz w:val="22"/>
          <w:szCs w:val="22"/>
          <w:lang w:val="fr-FR"/>
        </w:rPr>
        <w:t>Branta</w:t>
      </w:r>
      <w:proofErr w:type="spellEnd"/>
      <w:r w:rsidRPr="00E87605">
        <w:rPr>
          <w:i/>
          <w:sz w:val="22"/>
          <w:szCs w:val="22"/>
          <w:lang w:val="fr-FR"/>
        </w:rPr>
        <w:t xml:space="preserve"> </w:t>
      </w:r>
      <w:proofErr w:type="spellStart"/>
      <w:r w:rsidRPr="00E87605">
        <w:rPr>
          <w:i/>
          <w:sz w:val="22"/>
          <w:szCs w:val="22"/>
          <w:lang w:val="fr-FR"/>
        </w:rPr>
        <w:t>ruficollis</w:t>
      </w:r>
      <w:proofErr w:type="spellEnd"/>
      <w:r w:rsidRPr="00E87605">
        <w:rPr>
          <w:i/>
          <w:sz w:val="22"/>
          <w:szCs w:val="22"/>
          <w:lang w:val="fr-FR"/>
        </w:rPr>
        <w:t xml:space="preserve"> </w:t>
      </w:r>
      <w:r w:rsidRPr="00E87605">
        <w:rPr>
          <w:sz w:val="22"/>
          <w:szCs w:val="22"/>
          <w:lang w:val="fr-FR"/>
        </w:rPr>
        <w:t xml:space="preserve">: en mars 2012, le </w:t>
      </w:r>
      <w:proofErr w:type="spellStart"/>
      <w:r w:rsidRPr="00E87605">
        <w:rPr>
          <w:sz w:val="22"/>
          <w:szCs w:val="22"/>
          <w:lang w:val="fr-FR"/>
        </w:rPr>
        <w:t>StC</w:t>
      </w:r>
      <w:proofErr w:type="spellEnd"/>
      <w:r w:rsidRPr="00E87605">
        <w:rPr>
          <w:sz w:val="22"/>
          <w:szCs w:val="22"/>
          <w:lang w:val="fr-FR"/>
        </w:rPr>
        <w:t xml:space="preserve"> a décidé d’ouvrir un cas d’IRP et une lettre a été envoyée au gouvernement de la Bulgarie, dans laquelle une mission d’IRP était proposée ; on attendait une réponse officielle.</w:t>
      </w:r>
    </w:p>
    <w:p w14:paraId="57D135E7" w14:textId="77777777" w:rsidR="00C35ADA" w:rsidRDefault="00C35ADA" w:rsidP="00BA154F">
      <w:pPr>
        <w:jc w:val="both"/>
        <w:rPr>
          <w:szCs w:val="22"/>
          <w:lang w:val="fr-FR"/>
        </w:rPr>
      </w:pPr>
    </w:p>
    <w:p w14:paraId="687AD1C4" w14:textId="0E38B8D1" w:rsidR="00C86381" w:rsidRPr="00E87605" w:rsidRDefault="00C86381" w:rsidP="00BA154F">
      <w:pPr>
        <w:jc w:val="both"/>
        <w:rPr>
          <w:szCs w:val="22"/>
          <w:lang w:val="fr-FR"/>
        </w:rPr>
      </w:pPr>
      <w:r w:rsidRPr="00E87605">
        <w:rPr>
          <w:szCs w:val="22"/>
          <w:lang w:val="fr-FR"/>
        </w:rPr>
        <w:t>1</w:t>
      </w:r>
      <w:r w:rsidR="007E1B81">
        <w:rPr>
          <w:szCs w:val="22"/>
          <w:lang w:val="fr-FR"/>
        </w:rPr>
        <w:t>18</w:t>
      </w:r>
      <w:r w:rsidRPr="00E87605">
        <w:rPr>
          <w:szCs w:val="22"/>
          <w:lang w:val="fr-FR"/>
        </w:rPr>
        <w:t xml:space="preserve">. Le </w:t>
      </w:r>
      <w:r w:rsidRPr="00E87605">
        <w:rPr>
          <w:b/>
          <w:szCs w:val="22"/>
          <w:lang w:val="fr-FR"/>
        </w:rPr>
        <w:t>Président</w:t>
      </w:r>
      <w:r w:rsidRPr="00E87605">
        <w:rPr>
          <w:szCs w:val="22"/>
          <w:lang w:val="fr-FR"/>
        </w:rPr>
        <w:t xml:space="preserve"> a reconnu la qualité du travail du </w:t>
      </w:r>
      <w:proofErr w:type="spellStart"/>
      <w:r w:rsidRPr="00E87605">
        <w:rPr>
          <w:szCs w:val="22"/>
          <w:lang w:val="fr-FR"/>
        </w:rPr>
        <w:t>StC</w:t>
      </w:r>
      <w:proofErr w:type="spellEnd"/>
      <w:r w:rsidRPr="00E87605">
        <w:rPr>
          <w:szCs w:val="22"/>
          <w:lang w:val="fr-FR"/>
        </w:rPr>
        <w:t>, du TC et du Secrétariat. Il a invité à faire des commentaires.</w:t>
      </w:r>
    </w:p>
    <w:p w14:paraId="4ACE2FDB" w14:textId="77777777" w:rsidR="00C86381" w:rsidRPr="00E87605" w:rsidRDefault="00C86381" w:rsidP="00BA154F">
      <w:pPr>
        <w:jc w:val="both"/>
        <w:rPr>
          <w:szCs w:val="22"/>
          <w:lang w:val="fr-FR"/>
        </w:rPr>
      </w:pPr>
    </w:p>
    <w:p w14:paraId="630ED4B9" w14:textId="02C40184" w:rsidR="00C86381" w:rsidRPr="00E87605" w:rsidRDefault="00C86381" w:rsidP="00BA154F">
      <w:pPr>
        <w:jc w:val="both"/>
        <w:rPr>
          <w:szCs w:val="22"/>
          <w:lang w:val="fr-FR"/>
        </w:rPr>
      </w:pPr>
      <w:r w:rsidRPr="00E87605">
        <w:rPr>
          <w:szCs w:val="22"/>
          <w:lang w:val="fr-FR"/>
        </w:rPr>
        <w:t>1</w:t>
      </w:r>
      <w:r w:rsidR="007E1B81">
        <w:rPr>
          <w:szCs w:val="22"/>
          <w:lang w:val="fr-FR"/>
        </w:rPr>
        <w:t>19</w:t>
      </w:r>
      <w:r w:rsidRPr="00E87605">
        <w:rPr>
          <w:szCs w:val="22"/>
          <w:lang w:val="fr-FR"/>
        </w:rPr>
        <w:t xml:space="preserve">. Le représentant du </w:t>
      </w:r>
      <w:r w:rsidRPr="00E87605">
        <w:rPr>
          <w:b/>
          <w:szCs w:val="22"/>
          <w:lang w:val="fr-FR"/>
        </w:rPr>
        <w:t>Monténégro</w:t>
      </w:r>
      <w:r w:rsidRPr="00E87605">
        <w:rPr>
          <w:szCs w:val="22"/>
          <w:lang w:val="fr-FR"/>
        </w:rPr>
        <w:t xml:space="preserve"> a fait remarquer que l’AEWA était entré en vigueur dans son pays en novembre 2011. La question de la saline d’Ulcinj a été soulevée début 2012 et a été traitée le mieux possible. Bien que la région constitue un site important de reproduction et d’hivernage pour les oiseaux d’eau, selon le plan d’aménagement du territoire </w:t>
      </w:r>
      <w:r>
        <w:rPr>
          <w:szCs w:val="22"/>
          <w:lang w:val="fr-FR"/>
        </w:rPr>
        <w:t xml:space="preserve">allant </w:t>
      </w:r>
      <w:r w:rsidRPr="00E87605">
        <w:rPr>
          <w:szCs w:val="22"/>
          <w:lang w:val="fr-FR"/>
        </w:rPr>
        <w:t>jusqu’en 2020, elle a été classée terrain de</w:t>
      </w:r>
      <w:r>
        <w:rPr>
          <w:szCs w:val="22"/>
          <w:lang w:val="fr-FR"/>
        </w:rPr>
        <w:t>stiné à la</w:t>
      </w:r>
      <w:r w:rsidRPr="00E87605">
        <w:rPr>
          <w:szCs w:val="22"/>
          <w:lang w:val="fr-FR"/>
        </w:rPr>
        <w:t xml:space="preserve"> construction urbaine pour le développement d’une infrastructure touristique. Toutefois, selon une nouvelle décision gouvernementale prise en avril 2012, la région a été reclassée « aire protégée désignée » dans la catégorie « monument naturel », placée sous la juridiction de la municipalité d’Ulcinj. Lors du développement du plan d’urbanisme de la municipalité d’Ulcinj, le ministère du Tourisme et d</w:t>
      </w:r>
      <w:r>
        <w:rPr>
          <w:szCs w:val="22"/>
          <w:lang w:val="fr-FR"/>
        </w:rPr>
        <w:t>u</w:t>
      </w:r>
      <w:r w:rsidRPr="00E87605">
        <w:rPr>
          <w:szCs w:val="22"/>
          <w:lang w:val="fr-FR"/>
        </w:rPr>
        <w:t xml:space="preserve"> Développement durable tiendra tout particulièrement compte des obligations du Monténégro liées aux accords internationaux relatifs à la protection de la biodiversité dans la région de la saline d’Ulcinj, dont il découle que la région ne doit pas être considérée comme étant un terrain de construction urbaine.</w:t>
      </w:r>
    </w:p>
    <w:p w14:paraId="4B03BA30" w14:textId="77777777" w:rsidR="00C86381" w:rsidRPr="00E87605" w:rsidRDefault="00C86381" w:rsidP="00BA154F">
      <w:pPr>
        <w:jc w:val="both"/>
        <w:rPr>
          <w:szCs w:val="22"/>
          <w:lang w:val="fr-FR"/>
        </w:rPr>
      </w:pPr>
    </w:p>
    <w:p w14:paraId="690A9C60" w14:textId="5BE58E07" w:rsidR="00C86381" w:rsidRPr="00E87605" w:rsidRDefault="00C86381" w:rsidP="00BA154F">
      <w:pPr>
        <w:jc w:val="both"/>
        <w:rPr>
          <w:szCs w:val="22"/>
          <w:lang w:val="fr-FR"/>
        </w:rPr>
      </w:pPr>
      <w:r w:rsidRPr="00E87605">
        <w:rPr>
          <w:szCs w:val="22"/>
          <w:lang w:val="fr-FR"/>
        </w:rPr>
        <w:t>1</w:t>
      </w:r>
      <w:r w:rsidR="007E1B81">
        <w:rPr>
          <w:szCs w:val="22"/>
          <w:lang w:val="fr-FR"/>
        </w:rPr>
        <w:t>20</w:t>
      </w:r>
      <w:r w:rsidRPr="00E87605">
        <w:rPr>
          <w:szCs w:val="22"/>
          <w:lang w:val="fr-FR"/>
        </w:rPr>
        <w:t>. La</w:t>
      </w:r>
      <w:r w:rsidRPr="00E87605">
        <w:rPr>
          <w:b/>
          <w:szCs w:val="22"/>
          <w:lang w:val="fr-FR"/>
        </w:rPr>
        <w:t xml:space="preserve"> Bulgarie</w:t>
      </w:r>
      <w:r w:rsidRPr="00E87605">
        <w:rPr>
          <w:szCs w:val="22"/>
          <w:lang w:val="fr-FR"/>
        </w:rPr>
        <w:t xml:space="preserve"> a confirmé qu’une région de Bulgarie qui est d’importance majeure pour les oiseaux d’eau migrateurs était également la région du pays convenant le mieux </w:t>
      </w:r>
      <w:r>
        <w:rPr>
          <w:szCs w:val="22"/>
          <w:lang w:val="fr-FR"/>
        </w:rPr>
        <w:t>au</w:t>
      </w:r>
      <w:r w:rsidRPr="00E87605">
        <w:rPr>
          <w:szCs w:val="22"/>
          <w:lang w:val="fr-FR"/>
        </w:rPr>
        <w:t xml:space="preserve"> développement de fermes éoliennes. Il y a actuellement deux nouveaux développements de fermes éoliennes proposés dans cette région. Des Évaluations d’impact environnemental pour les projets de développements proposés, y compris les fermes éoliennes, étaient actuellement réalisées par l’Inspection régionale pour l’environnement et l’eau, le ministère de l’Environnement et de l’Eau pouvant envisager de faire appel de la décision de l’Inspection régionale. Le ministère a récemment écrit au Secrétariat de l'AEWA pour demander des clarifications sur l’IRP, y compris le </w:t>
      </w:r>
      <w:r>
        <w:rPr>
          <w:szCs w:val="22"/>
          <w:lang w:val="fr-FR"/>
        </w:rPr>
        <w:t>calendrier</w:t>
      </w:r>
      <w:r w:rsidRPr="00E87605">
        <w:rPr>
          <w:szCs w:val="22"/>
          <w:lang w:val="fr-FR"/>
        </w:rPr>
        <w:t xml:space="preserve"> d’une éventuelle mission d’IRP.</w:t>
      </w:r>
    </w:p>
    <w:p w14:paraId="571E0004" w14:textId="77777777" w:rsidR="00C86381" w:rsidRPr="00E87605" w:rsidRDefault="00C86381" w:rsidP="00BA154F">
      <w:pPr>
        <w:jc w:val="both"/>
        <w:rPr>
          <w:szCs w:val="22"/>
          <w:lang w:val="fr-FR"/>
        </w:rPr>
      </w:pPr>
    </w:p>
    <w:p w14:paraId="34F37DEF" w14:textId="6B3D42ED" w:rsidR="00C86381" w:rsidRPr="00E87605" w:rsidRDefault="00C86381" w:rsidP="00BA154F">
      <w:pPr>
        <w:jc w:val="both"/>
        <w:rPr>
          <w:szCs w:val="22"/>
          <w:lang w:val="fr-FR"/>
        </w:rPr>
      </w:pPr>
      <w:r w:rsidRPr="00E87605">
        <w:rPr>
          <w:szCs w:val="22"/>
          <w:lang w:val="fr-FR"/>
        </w:rPr>
        <w:t>1</w:t>
      </w:r>
      <w:r w:rsidR="007E1B81">
        <w:rPr>
          <w:szCs w:val="22"/>
          <w:lang w:val="fr-FR"/>
        </w:rPr>
        <w:t>21</w:t>
      </w:r>
      <w:r w:rsidRPr="00E87605">
        <w:rPr>
          <w:szCs w:val="22"/>
          <w:lang w:val="fr-FR"/>
        </w:rPr>
        <w:t xml:space="preserve">. Sur la proposition du </w:t>
      </w:r>
      <w:r w:rsidRPr="00E87605">
        <w:rPr>
          <w:b/>
          <w:szCs w:val="22"/>
          <w:lang w:val="fr-FR"/>
        </w:rPr>
        <w:t>Président</w:t>
      </w:r>
      <w:r w:rsidRPr="00E87605">
        <w:rPr>
          <w:szCs w:val="22"/>
          <w:lang w:val="fr-FR"/>
        </w:rPr>
        <w:t xml:space="preserve">, la réunion a remercié le </w:t>
      </w:r>
      <w:proofErr w:type="spellStart"/>
      <w:r w:rsidRPr="00E87605">
        <w:rPr>
          <w:szCs w:val="22"/>
          <w:lang w:val="fr-FR"/>
        </w:rPr>
        <w:t>StC</w:t>
      </w:r>
      <w:proofErr w:type="spellEnd"/>
      <w:r w:rsidRPr="00E87605">
        <w:rPr>
          <w:szCs w:val="22"/>
          <w:lang w:val="fr-FR"/>
        </w:rPr>
        <w:t xml:space="preserve">, le TC et le Secrétariat </w:t>
      </w:r>
      <w:r>
        <w:rPr>
          <w:szCs w:val="22"/>
          <w:lang w:val="fr-FR"/>
        </w:rPr>
        <w:t>pour</w:t>
      </w:r>
      <w:r w:rsidRPr="00E87605">
        <w:rPr>
          <w:szCs w:val="22"/>
          <w:lang w:val="fr-FR"/>
        </w:rPr>
        <w:t xml:space="preserve"> leur travail sur l’IRP depuis la MOP4, et leur a demandé de le poursuivre pour les cas actuels et futurs.</w:t>
      </w:r>
    </w:p>
    <w:p w14:paraId="7C33038D" w14:textId="77777777" w:rsidR="00C86381" w:rsidRDefault="00C86381" w:rsidP="00BA154F">
      <w:pPr>
        <w:jc w:val="both"/>
        <w:rPr>
          <w:szCs w:val="22"/>
          <w:lang w:val="fr-FR"/>
        </w:rPr>
      </w:pPr>
    </w:p>
    <w:p w14:paraId="36B92F87" w14:textId="77777777" w:rsidR="00792FC9" w:rsidRPr="00E87605" w:rsidRDefault="00792FC9" w:rsidP="00BA154F">
      <w:pPr>
        <w:jc w:val="both"/>
        <w:rPr>
          <w:szCs w:val="22"/>
          <w:lang w:val="fr-FR"/>
        </w:rPr>
      </w:pPr>
    </w:p>
    <w:p w14:paraId="4C1C2E3C" w14:textId="77777777" w:rsidR="00C86381" w:rsidRPr="00E87605" w:rsidRDefault="00C86381" w:rsidP="00BA154F">
      <w:pPr>
        <w:jc w:val="both"/>
        <w:rPr>
          <w:b/>
          <w:szCs w:val="22"/>
          <w:lang w:val="fr-FR"/>
        </w:rPr>
      </w:pPr>
      <w:r w:rsidRPr="00E87605">
        <w:rPr>
          <w:b/>
          <w:szCs w:val="22"/>
          <w:lang w:val="fr-FR"/>
        </w:rPr>
        <w:t>Point 15 de l'ordre du jour - Rapport sur la mise en œuvre et la révision des Tâches internationales de mise en œuvre 2009-2016 de l’AEWA</w:t>
      </w:r>
    </w:p>
    <w:p w14:paraId="702690EE" w14:textId="77777777" w:rsidR="00C86381" w:rsidRPr="00E87605" w:rsidRDefault="00C86381" w:rsidP="00BA154F">
      <w:pPr>
        <w:jc w:val="both"/>
        <w:rPr>
          <w:szCs w:val="22"/>
          <w:lang w:val="fr-FR"/>
        </w:rPr>
      </w:pPr>
    </w:p>
    <w:p w14:paraId="1292F233" w14:textId="7BC301A2" w:rsidR="00C86381" w:rsidRPr="00E87605" w:rsidRDefault="00C86381" w:rsidP="00BA154F">
      <w:pPr>
        <w:jc w:val="both"/>
        <w:rPr>
          <w:szCs w:val="22"/>
          <w:lang w:val="fr-FR"/>
        </w:rPr>
      </w:pPr>
      <w:r w:rsidRPr="00E87605">
        <w:rPr>
          <w:szCs w:val="22"/>
          <w:lang w:val="fr-FR"/>
        </w:rPr>
        <w:t>1</w:t>
      </w:r>
      <w:r w:rsidR="007E1B81">
        <w:rPr>
          <w:szCs w:val="22"/>
          <w:lang w:val="fr-FR"/>
        </w:rPr>
        <w:t>22</w:t>
      </w:r>
      <w:r w:rsidRPr="00E87605">
        <w:rPr>
          <w:szCs w:val="22"/>
          <w:lang w:val="fr-FR"/>
        </w:rPr>
        <w:t>. L’</w:t>
      </w:r>
      <w:r w:rsidRPr="00E87605">
        <w:rPr>
          <w:b/>
          <w:szCs w:val="22"/>
          <w:lang w:val="fr-FR"/>
        </w:rPr>
        <w:t>Administrateur technique</w:t>
      </w:r>
      <w:r w:rsidRPr="00E87605">
        <w:rPr>
          <w:szCs w:val="22"/>
          <w:lang w:val="fr-FR"/>
        </w:rPr>
        <w:t xml:space="preserve"> </w:t>
      </w:r>
      <w:r w:rsidR="00C35ADA">
        <w:rPr>
          <w:szCs w:val="22"/>
          <w:lang w:val="fr-FR"/>
        </w:rPr>
        <w:t xml:space="preserve">(M. Dereliev) </w:t>
      </w:r>
      <w:r w:rsidRPr="00E87605">
        <w:rPr>
          <w:szCs w:val="22"/>
          <w:lang w:val="fr-FR"/>
        </w:rPr>
        <w:t xml:space="preserve">a brièvement introduit le document AEWA/MOP 5.17 Corr. 1 </w:t>
      </w:r>
      <w:r w:rsidRPr="00E87605">
        <w:rPr>
          <w:i/>
          <w:szCs w:val="22"/>
          <w:lang w:val="fr-FR"/>
        </w:rPr>
        <w:t>Rapport sur la mise en œuvre des tâches internationales de mise en œuvre (IIT) 2009-2016</w:t>
      </w:r>
      <w:r w:rsidRPr="00E87605">
        <w:rPr>
          <w:szCs w:val="22"/>
          <w:lang w:val="fr-FR"/>
        </w:rPr>
        <w:t xml:space="preserve"> et l’avant-projet de Résolution AEWA/MOP5 DR3 Corr. 1 </w:t>
      </w:r>
      <w:r w:rsidRPr="00E87605">
        <w:rPr>
          <w:i/>
          <w:szCs w:val="22"/>
          <w:lang w:val="fr-FR"/>
        </w:rPr>
        <w:t>Liste des Tâches internationales de mise en œuvre</w:t>
      </w:r>
      <w:r w:rsidRPr="00E87605">
        <w:rPr>
          <w:szCs w:val="22"/>
          <w:lang w:val="fr-FR"/>
        </w:rPr>
        <w:t xml:space="preserve"> </w:t>
      </w:r>
      <w:r w:rsidRPr="00E87605">
        <w:rPr>
          <w:i/>
          <w:szCs w:val="22"/>
          <w:lang w:val="fr-FR"/>
        </w:rPr>
        <w:t>(ITT) de l’AEWA pour [2012–2015] [2012–2016].</w:t>
      </w:r>
      <w:r w:rsidRPr="00E87605">
        <w:rPr>
          <w:szCs w:val="22"/>
          <w:lang w:val="fr-FR"/>
        </w:rPr>
        <w:t xml:space="preserve"> Il a rappelé que les IIT pour 2009–2016 avaient été approuvées à la MOP4 </w:t>
      </w:r>
      <w:r>
        <w:rPr>
          <w:szCs w:val="22"/>
          <w:lang w:val="fr-FR"/>
        </w:rPr>
        <w:t>par</w:t>
      </w:r>
      <w:r w:rsidRPr="00E87605">
        <w:rPr>
          <w:szCs w:val="22"/>
          <w:lang w:val="fr-FR"/>
        </w:rPr>
        <w:t xml:space="preserve"> la Résolution 4.10. L’accent avait été particulièrement mis sur l’aide à la mise en œuvre du Projet FEM WOW/Voi</w:t>
      </w:r>
      <w:r>
        <w:rPr>
          <w:szCs w:val="22"/>
          <w:lang w:val="fr-FR"/>
        </w:rPr>
        <w:t>e</w:t>
      </w:r>
      <w:r w:rsidRPr="00E87605">
        <w:rPr>
          <w:szCs w:val="22"/>
          <w:lang w:val="fr-FR"/>
        </w:rPr>
        <w:t xml:space="preserve"> de migration d’Afrique-Eurasie. La mise en œuvre des ITT pour 2009-2016 avait entièrement dépendu de contributions volontaires des Parties contractantes. Depuis 2009, 1,44 millions</w:t>
      </w:r>
      <w:r>
        <w:rPr>
          <w:szCs w:val="22"/>
          <w:lang w:val="fr-FR"/>
        </w:rPr>
        <w:t> </w:t>
      </w:r>
      <w:r w:rsidRPr="00E87605">
        <w:rPr>
          <w:szCs w:val="22"/>
          <w:lang w:val="fr-FR"/>
        </w:rPr>
        <w:t xml:space="preserve">€ a été reçu par le biais de ces contributions, somme qui a partiellement été allouée à la mise en œuvre des IIT. Sur 31 tâches figurant sur la liste, 13 ont été intégralement ou partiellement mises en œuvre. La mise en œuvre intégrale des IIT pour la période </w:t>
      </w:r>
      <w:proofErr w:type="spellStart"/>
      <w:r w:rsidRPr="00E87605">
        <w:rPr>
          <w:szCs w:val="22"/>
          <w:lang w:val="fr-FR"/>
        </w:rPr>
        <w:t>intersessionnelle</w:t>
      </w:r>
      <w:proofErr w:type="spellEnd"/>
      <w:r w:rsidRPr="00E87605">
        <w:rPr>
          <w:szCs w:val="22"/>
          <w:lang w:val="fr-FR"/>
        </w:rPr>
        <w:t xml:space="preserve"> 2009-2012 aurait nécessité au total près de 12 millions € de contributions volontaires. L’avant-projet de Résolution présente des propositions d’IIT pour la période </w:t>
      </w:r>
      <w:proofErr w:type="spellStart"/>
      <w:r w:rsidRPr="00E87605">
        <w:rPr>
          <w:szCs w:val="22"/>
          <w:lang w:val="fr-FR"/>
        </w:rPr>
        <w:t>intersessionnelle</w:t>
      </w:r>
      <w:proofErr w:type="spellEnd"/>
      <w:r w:rsidRPr="00E87605">
        <w:rPr>
          <w:szCs w:val="22"/>
          <w:lang w:val="fr-FR"/>
        </w:rPr>
        <w:t xml:space="preserve"> à venir.</w:t>
      </w:r>
    </w:p>
    <w:p w14:paraId="2A624C0C" w14:textId="77777777" w:rsidR="00C86381" w:rsidRPr="00E87605" w:rsidRDefault="00C86381" w:rsidP="00BA154F">
      <w:pPr>
        <w:jc w:val="both"/>
        <w:rPr>
          <w:szCs w:val="22"/>
          <w:lang w:val="fr-FR"/>
        </w:rPr>
      </w:pPr>
    </w:p>
    <w:p w14:paraId="180C20B5" w14:textId="7F5B6671" w:rsidR="00C86381" w:rsidRPr="00E87605" w:rsidRDefault="00C86381" w:rsidP="00BA154F">
      <w:pPr>
        <w:jc w:val="both"/>
        <w:rPr>
          <w:szCs w:val="22"/>
          <w:lang w:val="fr-FR"/>
        </w:rPr>
      </w:pPr>
      <w:r w:rsidRPr="00E87605">
        <w:rPr>
          <w:szCs w:val="22"/>
          <w:lang w:val="fr-FR"/>
        </w:rPr>
        <w:t>1</w:t>
      </w:r>
      <w:r w:rsidR="007E1B81">
        <w:rPr>
          <w:szCs w:val="22"/>
          <w:lang w:val="fr-FR"/>
        </w:rPr>
        <w:t>23</w:t>
      </w:r>
      <w:r w:rsidRPr="00E87605">
        <w:rPr>
          <w:szCs w:val="22"/>
          <w:lang w:val="fr-FR"/>
        </w:rPr>
        <w:t xml:space="preserve">. Le </w:t>
      </w:r>
      <w:r w:rsidRPr="00E87605">
        <w:rPr>
          <w:b/>
          <w:szCs w:val="22"/>
          <w:lang w:val="fr-FR"/>
        </w:rPr>
        <w:t>Président</w:t>
      </w:r>
      <w:r w:rsidRPr="00E87605">
        <w:rPr>
          <w:szCs w:val="22"/>
          <w:lang w:val="fr-FR"/>
        </w:rPr>
        <w:t xml:space="preserve"> a noté que ces documents seraient examinés en détail par le groupe de travail sur les questions scientifiques et techniques (WG1), mais a invité les participants à faire des commentaires d’ordre général.</w:t>
      </w:r>
    </w:p>
    <w:p w14:paraId="244F8A03" w14:textId="77777777" w:rsidR="00C86381" w:rsidRPr="00E87605" w:rsidRDefault="00C86381" w:rsidP="00BA154F">
      <w:pPr>
        <w:jc w:val="both"/>
        <w:rPr>
          <w:szCs w:val="22"/>
          <w:lang w:val="fr-FR"/>
        </w:rPr>
      </w:pPr>
    </w:p>
    <w:p w14:paraId="1A6E48CB" w14:textId="2A364040" w:rsidR="00C86381" w:rsidRPr="00E87605" w:rsidRDefault="00C86381" w:rsidP="00BA154F">
      <w:pPr>
        <w:jc w:val="both"/>
        <w:rPr>
          <w:szCs w:val="22"/>
          <w:lang w:val="fr-FR"/>
        </w:rPr>
      </w:pPr>
      <w:r w:rsidRPr="00E87605">
        <w:rPr>
          <w:szCs w:val="22"/>
          <w:lang w:val="fr-FR"/>
        </w:rPr>
        <w:t>1</w:t>
      </w:r>
      <w:r w:rsidR="007E1B81">
        <w:rPr>
          <w:szCs w:val="22"/>
          <w:lang w:val="fr-FR"/>
        </w:rPr>
        <w:t>24</w:t>
      </w:r>
      <w:r w:rsidRPr="00E87605">
        <w:rPr>
          <w:szCs w:val="22"/>
          <w:lang w:val="fr-FR"/>
        </w:rPr>
        <w:t xml:space="preserve">. La </w:t>
      </w:r>
      <w:r w:rsidRPr="00E87605">
        <w:rPr>
          <w:b/>
          <w:szCs w:val="22"/>
          <w:lang w:val="fr-FR"/>
        </w:rPr>
        <w:t>Norvège</w:t>
      </w:r>
      <w:r w:rsidRPr="00E87605">
        <w:rPr>
          <w:szCs w:val="22"/>
          <w:lang w:val="fr-FR"/>
        </w:rPr>
        <w:t xml:space="preserve"> a attiré l’attention sur l’immense écart entre les fonds nécessaires et ceux qui étaient effectivement disponibles. L’Accord ayant des ressources limitées, il serait utile que le TC se penche sur l’attribution de priorité ou le classement des IIT en termes de budget.</w:t>
      </w:r>
    </w:p>
    <w:p w14:paraId="13EB53F6" w14:textId="77777777" w:rsidR="00C86381" w:rsidRPr="00E87605" w:rsidRDefault="00C86381" w:rsidP="00BA154F">
      <w:pPr>
        <w:jc w:val="both"/>
        <w:rPr>
          <w:szCs w:val="22"/>
          <w:lang w:val="fr-FR"/>
        </w:rPr>
      </w:pPr>
    </w:p>
    <w:p w14:paraId="4600D165" w14:textId="2DBFAEED" w:rsidR="00C86381" w:rsidRPr="00E87605" w:rsidRDefault="00C86381" w:rsidP="00BA154F">
      <w:pPr>
        <w:jc w:val="both"/>
        <w:rPr>
          <w:szCs w:val="22"/>
          <w:lang w:val="fr-FR"/>
        </w:rPr>
      </w:pPr>
      <w:r w:rsidRPr="00E87605">
        <w:rPr>
          <w:szCs w:val="22"/>
          <w:lang w:val="fr-FR"/>
        </w:rPr>
        <w:t>1</w:t>
      </w:r>
      <w:r w:rsidR="007E1B81">
        <w:rPr>
          <w:szCs w:val="22"/>
          <w:lang w:val="fr-FR"/>
        </w:rPr>
        <w:t>25</w:t>
      </w:r>
      <w:r w:rsidRPr="00E87605">
        <w:rPr>
          <w:szCs w:val="22"/>
          <w:lang w:val="fr-FR"/>
        </w:rPr>
        <w:t xml:space="preserve">. Le </w:t>
      </w:r>
      <w:r w:rsidRPr="00E87605">
        <w:rPr>
          <w:b/>
          <w:szCs w:val="22"/>
          <w:lang w:val="fr-FR"/>
        </w:rPr>
        <w:t>Président</w:t>
      </w:r>
      <w:r w:rsidRPr="00E87605">
        <w:rPr>
          <w:szCs w:val="22"/>
          <w:lang w:val="fr-FR"/>
        </w:rPr>
        <w:t xml:space="preserve"> a fait remarquer que les priorités identifiées d’un point de vue scientifique pouvaient ne pas toujours correspondre aux priorités politiques ou diplomatiques.</w:t>
      </w:r>
    </w:p>
    <w:p w14:paraId="286DDF0B" w14:textId="77777777" w:rsidR="00C86381" w:rsidRPr="00E87605" w:rsidRDefault="00C86381" w:rsidP="00BA154F">
      <w:pPr>
        <w:jc w:val="both"/>
        <w:rPr>
          <w:szCs w:val="22"/>
          <w:lang w:val="fr-FR"/>
        </w:rPr>
      </w:pPr>
    </w:p>
    <w:p w14:paraId="1A126A30" w14:textId="785339CE" w:rsidR="00C86381" w:rsidRPr="00E87605" w:rsidRDefault="00C86381" w:rsidP="00BA154F">
      <w:pPr>
        <w:jc w:val="both"/>
        <w:rPr>
          <w:szCs w:val="22"/>
          <w:lang w:val="fr-FR"/>
        </w:rPr>
      </w:pPr>
      <w:r w:rsidRPr="00E87605">
        <w:rPr>
          <w:szCs w:val="22"/>
          <w:lang w:val="fr-FR"/>
        </w:rPr>
        <w:t>1</w:t>
      </w:r>
      <w:r w:rsidR="007E1B81">
        <w:rPr>
          <w:szCs w:val="22"/>
          <w:lang w:val="fr-FR"/>
        </w:rPr>
        <w:t>26</w:t>
      </w:r>
      <w:r w:rsidR="00C35ADA">
        <w:rPr>
          <w:szCs w:val="22"/>
          <w:lang w:val="fr-FR"/>
        </w:rPr>
        <w:t xml:space="preserve">. </w:t>
      </w:r>
      <w:r w:rsidR="00C35ADA" w:rsidRPr="00C35ADA">
        <w:rPr>
          <w:b/>
          <w:szCs w:val="22"/>
          <w:lang w:val="fr-FR"/>
        </w:rPr>
        <w:t>M. Dereliev</w:t>
      </w:r>
      <w:r w:rsidR="00C35ADA">
        <w:rPr>
          <w:szCs w:val="22"/>
          <w:lang w:val="fr-FR"/>
        </w:rPr>
        <w:t xml:space="preserve"> </w:t>
      </w:r>
      <w:r w:rsidRPr="00E87605">
        <w:rPr>
          <w:szCs w:val="22"/>
          <w:lang w:val="fr-FR"/>
        </w:rPr>
        <w:t>pensait que le TC pouvait réaliser ce classement par priorité, bien qu’il s’agi</w:t>
      </w:r>
      <w:r>
        <w:rPr>
          <w:szCs w:val="22"/>
          <w:lang w:val="fr-FR"/>
        </w:rPr>
        <w:t>sse</w:t>
      </w:r>
      <w:r w:rsidRPr="00E87605">
        <w:rPr>
          <w:szCs w:val="22"/>
          <w:lang w:val="fr-FR"/>
        </w:rPr>
        <w:t xml:space="preserve"> </w:t>
      </w:r>
      <w:r>
        <w:rPr>
          <w:szCs w:val="22"/>
          <w:lang w:val="fr-FR"/>
        </w:rPr>
        <w:t xml:space="preserve">alors </w:t>
      </w:r>
      <w:r w:rsidRPr="00E87605">
        <w:rPr>
          <w:szCs w:val="22"/>
          <w:lang w:val="fr-FR"/>
        </w:rPr>
        <w:t>du point de vue d’un groupe restreint, et il serait en tous cas difficile de le faire lors de la présente réunion. La MOP pourrait mandater le TC en vue de la préparation de ces conseils lors de sa prochaine réunion, qui se tiendra en août 2012.</w:t>
      </w:r>
    </w:p>
    <w:p w14:paraId="4F8067F6" w14:textId="77777777" w:rsidR="00C86381" w:rsidRPr="00E87605" w:rsidRDefault="00C86381" w:rsidP="00BA154F">
      <w:pPr>
        <w:jc w:val="both"/>
        <w:rPr>
          <w:szCs w:val="22"/>
          <w:lang w:val="fr-FR"/>
        </w:rPr>
      </w:pPr>
    </w:p>
    <w:p w14:paraId="0C212EDF" w14:textId="7AA9FB33" w:rsidR="00C86381" w:rsidRPr="00E87605" w:rsidRDefault="00C86381" w:rsidP="00BA154F">
      <w:pPr>
        <w:jc w:val="both"/>
        <w:outlineLvl w:val="0"/>
        <w:rPr>
          <w:szCs w:val="22"/>
          <w:lang w:val="fr-FR"/>
        </w:rPr>
      </w:pPr>
      <w:r w:rsidRPr="00E87605">
        <w:rPr>
          <w:szCs w:val="22"/>
          <w:lang w:val="fr-FR"/>
        </w:rPr>
        <w:t>1</w:t>
      </w:r>
      <w:r w:rsidR="007E1B81">
        <w:rPr>
          <w:szCs w:val="22"/>
          <w:lang w:val="fr-FR"/>
        </w:rPr>
        <w:t>27</w:t>
      </w:r>
      <w:r w:rsidRPr="00E87605">
        <w:rPr>
          <w:szCs w:val="22"/>
          <w:lang w:val="fr-FR"/>
        </w:rPr>
        <w:t xml:space="preserve">. Le </w:t>
      </w:r>
      <w:r w:rsidRPr="00E87605">
        <w:rPr>
          <w:b/>
          <w:szCs w:val="22"/>
          <w:lang w:val="fr-FR"/>
        </w:rPr>
        <w:t>Président</w:t>
      </w:r>
      <w:r w:rsidRPr="00E87605">
        <w:rPr>
          <w:szCs w:val="22"/>
          <w:lang w:val="fr-FR"/>
        </w:rPr>
        <w:t xml:space="preserve"> a considéré que la suggestion de la Norvège avait été que le TC apporte ses conseils durant la MOP5, plutôt que plus tard.</w:t>
      </w:r>
    </w:p>
    <w:p w14:paraId="700FE711" w14:textId="77777777" w:rsidR="00C86381" w:rsidRPr="00E87605" w:rsidRDefault="00C86381" w:rsidP="00BA154F">
      <w:pPr>
        <w:jc w:val="both"/>
        <w:rPr>
          <w:szCs w:val="22"/>
          <w:lang w:val="fr-FR"/>
        </w:rPr>
      </w:pPr>
    </w:p>
    <w:p w14:paraId="2D207103" w14:textId="0DBCA958" w:rsidR="00C86381" w:rsidRPr="00E87605" w:rsidRDefault="00C86381" w:rsidP="00BA154F">
      <w:pPr>
        <w:jc w:val="both"/>
        <w:rPr>
          <w:szCs w:val="22"/>
          <w:lang w:val="fr-FR"/>
        </w:rPr>
      </w:pPr>
      <w:r w:rsidRPr="00E87605">
        <w:rPr>
          <w:szCs w:val="22"/>
          <w:lang w:val="fr-FR"/>
        </w:rPr>
        <w:t>1</w:t>
      </w:r>
      <w:r w:rsidR="007E1B81">
        <w:rPr>
          <w:szCs w:val="22"/>
          <w:lang w:val="fr-FR"/>
        </w:rPr>
        <w:t>28</w:t>
      </w:r>
      <w:r w:rsidRPr="00E87605">
        <w:rPr>
          <w:szCs w:val="22"/>
          <w:lang w:val="fr-FR"/>
        </w:rPr>
        <w:t xml:space="preserve">. La </w:t>
      </w:r>
      <w:r w:rsidRPr="00E87605">
        <w:rPr>
          <w:b/>
          <w:szCs w:val="22"/>
          <w:lang w:val="fr-FR"/>
        </w:rPr>
        <w:t>Suisse</w:t>
      </w:r>
      <w:r w:rsidRPr="00E87605">
        <w:rPr>
          <w:szCs w:val="22"/>
          <w:lang w:val="fr-FR"/>
        </w:rPr>
        <w:t xml:space="preserve"> a fait remarquer que le TC avait régulièrement discuté du classement par priorité, mais que la tâche s’était avérée difficile, les Parties prêtes à allouer un financement ne choisissant pas nécessairement les projets auxquels le TC avait donné la priorité. Il serait donc utile que le Secrétariat rappelle régulièrement les projets prioritaires pour lesquels des fonds étaient nécessaires, notamment ceux pour lesquels des fonds relativement modiques pouvaient faire une véritable différence.</w:t>
      </w:r>
    </w:p>
    <w:p w14:paraId="509C40E7" w14:textId="77777777" w:rsidR="00C86381" w:rsidRPr="00E87605" w:rsidRDefault="00C86381" w:rsidP="00BA154F">
      <w:pPr>
        <w:jc w:val="both"/>
        <w:rPr>
          <w:szCs w:val="22"/>
          <w:lang w:val="fr-FR"/>
        </w:rPr>
      </w:pPr>
    </w:p>
    <w:p w14:paraId="1572BC55" w14:textId="393FC242" w:rsidR="00C86381" w:rsidRPr="00E87605" w:rsidRDefault="00C86381" w:rsidP="00BA154F">
      <w:pPr>
        <w:jc w:val="both"/>
        <w:rPr>
          <w:szCs w:val="22"/>
          <w:lang w:val="fr-FR"/>
        </w:rPr>
      </w:pPr>
      <w:r w:rsidRPr="00E87605">
        <w:rPr>
          <w:szCs w:val="22"/>
          <w:lang w:val="fr-FR"/>
        </w:rPr>
        <w:t>1</w:t>
      </w:r>
      <w:r w:rsidR="007E1B81">
        <w:rPr>
          <w:szCs w:val="22"/>
          <w:lang w:val="fr-FR"/>
        </w:rPr>
        <w:t>29</w:t>
      </w:r>
      <w:r w:rsidRPr="00E87605">
        <w:rPr>
          <w:szCs w:val="22"/>
          <w:lang w:val="fr-FR"/>
        </w:rPr>
        <w:t xml:space="preserve">. Le </w:t>
      </w:r>
      <w:r w:rsidRPr="00E87605">
        <w:rPr>
          <w:b/>
          <w:szCs w:val="22"/>
          <w:lang w:val="fr-FR"/>
        </w:rPr>
        <w:t>Président</w:t>
      </w:r>
      <w:r w:rsidRPr="00E87605">
        <w:rPr>
          <w:szCs w:val="22"/>
          <w:lang w:val="fr-FR"/>
        </w:rPr>
        <w:t xml:space="preserve"> a demandé au TC d’indiquer quelques activités présentant la plus grande priorité. La MOP pourrait alors décider que le Secrétariat contacte les donateurs potentiels pour le financement de ces activités. Dans tous les cas, le WG2 examinera cette question plus en détail.</w:t>
      </w:r>
    </w:p>
    <w:p w14:paraId="0B155610" w14:textId="77777777" w:rsidR="00C86381" w:rsidRDefault="00C86381" w:rsidP="00BA154F">
      <w:pPr>
        <w:jc w:val="both"/>
        <w:rPr>
          <w:szCs w:val="22"/>
          <w:lang w:val="fr-FR"/>
        </w:rPr>
      </w:pPr>
    </w:p>
    <w:p w14:paraId="796113B9" w14:textId="77777777" w:rsidR="00792FC9" w:rsidRPr="00E87605" w:rsidRDefault="00792FC9" w:rsidP="00BA154F">
      <w:pPr>
        <w:jc w:val="both"/>
        <w:rPr>
          <w:szCs w:val="22"/>
          <w:lang w:val="fr-FR"/>
        </w:rPr>
      </w:pPr>
    </w:p>
    <w:p w14:paraId="4C936B4B" w14:textId="77777777" w:rsidR="00C86381" w:rsidRPr="00E87605" w:rsidRDefault="00C86381" w:rsidP="00BA154F">
      <w:pPr>
        <w:jc w:val="both"/>
        <w:rPr>
          <w:b/>
          <w:szCs w:val="22"/>
          <w:lang w:val="fr-FR"/>
        </w:rPr>
      </w:pPr>
      <w:r w:rsidRPr="00E87605">
        <w:rPr>
          <w:b/>
          <w:szCs w:val="22"/>
          <w:lang w:val="fr-FR"/>
        </w:rPr>
        <w:t xml:space="preserve">Point 16 de l'ordre du jour – Rapport sur la mise en œuvre du projet </w:t>
      </w:r>
      <w:proofErr w:type="spellStart"/>
      <w:r w:rsidRPr="00E87605">
        <w:rPr>
          <w:b/>
          <w:szCs w:val="22"/>
          <w:lang w:val="fr-FR"/>
        </w:rPr>
        <w:t>Wings</w:t>
      </w:r>
      <w:proofErr w:type="spellEnd"/>
      <w:r w:rsidRPr="00E87605">
        <w:rPr>
          <w:b/>
          <w:szCs w:val="22"/>
          <w:lang w:val="fr-FR"/>
        </w:rPr>
        <w:t xml:space="preserve"> Over </w:t>
      </w:r>
      <w:proofErr w:type="spellStart"/>
      <w:r w:rsidRPr="00E87605">
        <w:rPr>
          <w:b/>
          <w:szCs w:val="22"/>
          <w:lang w:val="fr-FR"/>
        </w:rPr>
        <w:t>Wetlands</w:t>
      </w:r>
      <w:proofErr w:type="spellEnd"/>
      <w:r w:rsidRPr="00E87605">
        <w:rPr>
          <w:b/>
          <w:szCs w:val="22"/>
          <w:lang w:val="fr-FR"/>
        </w:rPr>
        <w:t xml:space="preserve"> (WOW) du PNUE-FEM sur les Voies de migration d'Afrique-Eurasie et perspectives après-WOW</w:t>
      </w:r>
    </w:p>
    <w:p w14:paraId="4E880106" w14:textId="77777777" w:rsidR="00C86381" w:rsidRPr="00E87605" w:rsidRDefault="00C86381" w:rsidP="00BA154F">
      <w:pPr>
        <w:jc w:val="both"/>
        <w:rPr>
          <w:szCs w:val="22"/>
          <w:lang w:val="fr-FR"/>
        </w:rPr>
      </w:pPr>
    </w:p>
    <w:p w14:paraId="529C28C8" w14:textId="4C46D005" w:rsidR="00C86381" w:rsidRPr="00E87605" w:rsidRDefault="00C86381" w:rsidP="00BA154F">
      <w:pPr>
        <w:jc w:val="both"/>
        <w:rPr>
          <w:szCs w:val="22"/>
          <w:lang w:val="fr-FR"/>
        </w:rPr>
      </w:pPr>
      <w:r w:rsidRPr="00E87605">
        <w:rPr>
          <w:szCs w:val="22"/>
          <w:lang w:val="fr-FR"/>
        </w:rPr>
        <w:t>1</w:t>
      </w:r>
      <w:r w:rsidR="007E1B81">
        <w:rPr>
          <w:szCs w:val="22"/>
          <w:lang w:val="fr-FR"/>
        </w:rPr>
        <w:t>30</w:t>
      </w:r>
      <w:r w:rsidRPr="00E87605">
        <w:rPr>
          <w:szCs w:val="22"/>
          <w:lang w:val="fr-FR"/>
        </w:rPr>
        <w:t xml:space="preserve">. Le </w:t>
      </w:r>
      <w:r w:rsidRPr="00E87605">
        <w:rPr>
          <w:b/>
          <w:szCs w:val="22"/>
          <w:lang w:val="fr-FR"/>
        </w:rPr>
        <w:t xml:space="preserve">Dr </w:t>
      </w:r>
      <w:proofErr w:type="spellStart"/>
      <w:r w:rsidRPr="00E87605">
        <w:rPr>
          <w:b/>
          <w:szCs w:val="22"/>
          <w:lang w:val="fr-FR"/>
        </w:rPr>
        <w:t>Gerard</w:t>
      </w:r>
      <w:proofErr w:type="spellEnd"/>
      <w:r w:rsidRPr="00E87605">
        <w:rPr>
          <w:b/>
          <w:szCs w:val="22"/>
          <w:lang w:val="fr-FR"/>
        </w:rPr>
        <w:t xml:space="preserve"> </w:t>
      </w:r>
      <w:proofErr w:type="spellStart"/>
      <w:r w:rsidRPr="00E87605">
        <w:rPr>
          <w:b/>
          <w:szCs w:val="22"/>
          <w:lang w:val="fr-FR"/>
        </w:rPr>
        <w:t>Boere</w:t>
      </w:r>
      <w:proofErr w:type="spellEnd"/>
      <w:r w:rsidRPr="00E87605">
        <w:rPr>
          <w:szCs w:val="22"/>
          <w:lang w:val="fr-FR"/>
        </w:rPr>
        <w:t xml:space="preserve"> a fait une brève présentation introduisant les résultats du projet WOW, qui a fait d’un rêve une réalité en intégrant l’approche à l’échelle de la voie de migration dans la façon de penser et </w:t>
      </w:r>
      <w:r>
        <w:rPr>
          <w:szCs w:val="22"/>
          <w:lang w:val="fr-FR"/>
        </w:rPr>
        <w:t xml:space="preserve">dans </w:t>
      </w:r>
      <w:r w:rsidRPr="00E87605">
        <w:rPr>
          <w:szCs w:val="22"/>
          <w:lang w:val="fr-FR"/>
        </w:rPr>
        <w:t>la pratique, de l’Arctique à l’Afrique australe. Ceci inclut la reconnaissance du fait que des changements survenant dans une partie de la voie de migration peuvent avoir des impacts à des milliers de kilomètres de là. Le WOW a entrepris 11 projets pilotes et développé divers instruments parmi lesquels, notamment, l</w:t>
      </w:r>
      <w:r>
        <w:rPr>
          <w:szCs w:val="22"/>
          <w:lang w:val="fr-FR"/>
        </w:rPr>
        <w:t>e Kit</w:t>
      </w:r>
      <w:r w:rsidRPr="00E87605">
        <w:rPr>
          <w:szCs w:val="22"/>
          <w:lang w:val="fr-FR"/>
        </w:rPr>
        <w:t xml:space="preserve"> de formation Voie de migration (FTK) et l’Outil Réseau de sites critiques (CSN). Une évaluation réalisée par le FEM a conclu que le projet avait atteint presque tous </w:t>
      </w:r>
      <w:r>
        <w:rPr>
          <w:szCs w:val="22"/>
          <w:lang w:val="fr-FR"/>
        </w:rPr>
        <w:t>s</w:t>
      </w:r>
      <w:r w:rsidRPr="00E87605">
        <w:rPr>
          <w:szCs w:val="22"/>
          <w:lang w:val="fr-FR"/>
        </w:rPr>
        <w:t>es objectifs et cibles</w:t>
      </w:r>
      <w:r>
        <w:rPr>
          <w:szCs w:val="22"/>
          <w:lang w:val="fr-FR"/>
        </w:rPr>
        <w:t xml:space="preserve"> initiaux</w:t>
      </w:r>
      <w:r w:rsidRPr="00E87605">
        <w:rPr>
          <w:szCs w:val="22"/>
          <w:lang w:val="fr-FR"/>
        </w:rPr>
        <w:t xml:space="preserve">, bien que les évaluateurs se soient également montrés critiques quant au temps passé à essayer de surmonter les problèmes en assurant suffisamment de cofinancement. Néanmoins, le projet a été classé parmi les 20 </w:t>
      </w:r>
      <w:r>
        <w:rPr>
          <w:szCs w:val="22"/>
          <w:lang w:val="fr-FR"/>
        </w:rPr>
        <w:t>meilleurs</w:t>
      </w:r>
      <w:r w:rsidRPr="00E87605">
        <w:rPr>
          <w:szCs w:val="22"/>
          <w:lang w:val="fr-FR"/>
        </w:rPr>
        <w:t xml:space="preserve"> projets du FEM.</w:t>
      </w:r>
    </w:p>
    <w:p w14:paraId="4BD5662F" w14:textId="77777777" w:rsidR="00C86381" w:rsidRPr="00E87605" w:rsidRDefault="00C86381" w:rsidP="00BA154F">
      <w:pPr>
        <w:jc w:val="both"/>
        <w:rPr>
          <w:szCs w:val="22"/>
          <w:lang w:val="fr-FR"/>
        </w:rPr>
      </w:pPr>
    </w:p>
    <w:p w14:paraId="54BDF7A2" w14:textId="4ED36541" w:rsidR="00C86381" w:rsidRPr="00E87605" w:rsidRDefault="00C86381" w:rsidP="00BA154F">
      <w:pPr>
        <w:jc w:val="both"/>
        <w:rPr>
          <w:szCs w:val="22"/>
          <w:lang w:val="fr-FR"/>
        </w:rPr>
      </w:pPr>
      <w:r w:rsidRPr="00E87605">
        <w:rPr>
          <w:szCs w:val="22"/>
          <w:lang w:val="fr-FR"/>
        </w:rPr>
        <w:t>13</w:t>
      </w:r>
      <w:r w:rsidR="007E1B81">
        <w:rPr>
          <w:szCs w:val="22"/>
          <w:lang w:val="fr-FR"/>
        </w:rPr>
        <w:t>1</w:t>
      </w:r>
      <w:r w:rsidRPr="00E87605">
        <w:rPr>
          <w:szCs w:val="22"/>
          <w:lang w:val="fr-FR"/>
        </w:rPr>
        <w:t xml:space="preserve">. En termes de suivi du WOW, un Mémorandum de coopération a été signé entre l’AEWA, la Convention de </w:t>
      </w:r>
      <w:proofErr w:type="spellStart"/>
      <w:r w:rsidRPr="00E87605">
        <w:rPr>
          <w:szCs w:val="22"/>
          <w:lang w:val="fr-FR"/>
        </w:rPr>
        <w:t>Ramsar</w:t>
      </w:r>
      <w:proofErr w:type="spellEnd"/>
      <w:r w:rsidRPr="00E87605">
        <w:rPr>
          <w:szCs w:val="22"/>
          <w:lang w:val="fr-FR"/>
        </w:rPr>
        <w:t xml:space="preserve">, </w:t>
      </w:r>
      <w:proofErr w:type="spellStart"/>
      <w:r w:rsidRPr="00E87605">
        <w:rPr>
          <w:szCs w:val="22"/>
          <w:lang w:val="fr-FR"/>
        </w:rPr>
        <w:t>Wetlands</w:t>
      </w:r>
      <w:proofErr w:type="spellEnd"/>
      <w:r w:rsidRPr="00E87605">
        <w:rPr>
          <w:szCs w:val="22"/>
          <w:lang w:val="fr-FR"/>
        </w:rPr>
        <w:t xml:space="preserve"> International et </w:t>
      </w:r>
      <w:proofErr w:type="spellStart"/>
      <w:r w:rsidRPr="00E87605">
        <w:rPr>
          <w:szCs w:val="22"/>
          <w:lang w:val="fr-FR"/>
        </w:rPr>
        <w:t>BirdLife</w:t>
      </w:r>
      <w:proofErr w:type="spellEnd"/>
      <w:r w:rsidRPr="00E87605">
        <w:rPr>
          <w:szCs w:val="22"/>
          <w:lang w:val="fr-FR"/>
        </w:rPr>
        <w:t xml:space="preserve"> International. Parmi d’autres initiatives clés liées au WOW, on compte l’Initiative africaine de l’AEWA, le projet ouest-africain de conservation des oiseaux migrateurs de </w:t>
      </w:r>
      <w:proofErr w:type="spellStart"/>
      <w:r w:rsidRPr="00E87605">
        <w:rPr>
          <w:szCs w:val="22"/>
          <w:lang w:val="fr-FR"/>
        </w:rPr>
        <w:t>Wetlands</w:t>
      </w:r>
      <w:proofErr w:type="spellEnd"/>
      <w:r w:rsidRPr="00E87605">
        <w:rPr>
          <w:szCs w:val="22"/>
          <w:lang w:val="fr-FR"/>
        </w:rPr>
        <w:t xml:space="preserve"> International et de </w:t>
      </w:r>
      <w:proofErr w:type="spellStart"/>
      <w:r w:rsidRPr="00E87605">
        <w:rPr>
          <w:szCs w:val="22"/>
          <w:lang w:val="fr-FR"/>
        </w:rPr>
        <w:t>BirdLife</w:t>
      </w:r>
      <w:proofErr w:type="spellEnd"/>
      <w:r w:rsidRPr="00E87605">
        <w:rPr>
          <w:szCs w:val="22"/>
          <w:lang w:val="fr-FR"/>
        </w:rPr>
        <w:t xml:space="preserve"> International, ainsi qu’un important nouveau travail réalisé par les pays de la mer des Wadden.</w:t>
      </w:r>
    </w:p>
    <w:p w14:paraId="16D1E489" w14:textId="77777777" w:rsidR="00C86381" w:rsidRPr="00E87605" w:rsidRDefault="00C86381" w:rsidP="00BA154F">
      <w:pPr>
        <w:jc w:val="both"/>
        <w:rPr>
          <w:szCs w:val="22"/>
          <w:lang w:val="fr-FR"/>
        </w:rPr>
      </w:pPr>
    </w:p>
    <w:p w14:paraId="0D3917B7" w14:textId="1EE08973" w:rsidR="00C86381" w:rsidRPr="00E87605" w:rsidRDefault="00C86381" w:rsidP="00BA154F">
      <w:pPr>
        <w:jc w:val="both"/>
        <w:rPr>
          <w:szCs w:val="22"/>
          <w:lang w:val="fr-FR"/>
        </w:rPr>
      </w:pPr>
      <w:r w:rsidRPr="00E87605">
        <w:rPr>
          <w:szCs w:val="22"/>
          <w:lang w:val="fr-FR"/>
        </w:rPr>
        <w:t>13</w:t>
      </w:r>
      <w:r w:rsidR="007E1B81">
        <w:rPr>
          <w:szCs w:val="22"/>
          <w:lang w:val="fr-FR"/>
        </w:rPr>
        <w:t>2</w:t>
      </w:r>
      <w:r w:rsidRPr="00E87605">
        <w:rPr>
          <w:szCs w:val="22"/>
          <w:lang w:val="fr-FR"/>
        </w:rPr>
        <w:t xml:space="preserve">. En conclusion, le </w:t>
      </w:r>
      <w:r w:rsidRPr="00E87605">
        <w:rPr>
          <w:b/>
          <w:szCs w:val="22"/>
          <w:lang w:val="fr-FR"/>
        </w:rPr>
        <w:t xml:space="preserve">Dr </w:t>
      </w:r>
      <w:proofErr w:type="spellStart"/>
      <w:r w:rsidRPr="00E87605">
        <w:rPr>
          <w:b/>
          <w:szCs w:val="22"/>
          <w:lang w:val="fr-FR"/>
        </w:rPr>
        <w:t>Boere</w:t>
      </w:r>
      <w:proofErr w:type="spellEnd"/>
      <w:r w:rsidRPr="00E87605">
        <w:rPr>
          <w:szCs w:val="22"/>
          <w:lang w:val="fr-FR"/>
        </w:rPr>
        <w:t xml:space="preserve"> a remercié les centaines de gens qui ont participé au WOW au cours de ces 5 dernières années. Y participer a été une grande joie et bien que le WOW soit maintenant officiellement clos, sa philosophie est quant à elle très vivante.</w:t>
      </w:r>
    </w:p>
    <w:p w14:paraId="624F86F1" w14:textId="77777777" w:rsidR="00C86381" w:rsidRPr="00E87605" w:rsidRDefault="00C86381" w:rsidP="00BA154F">
      <w:pPr>
        <w:jc w:val="both"/>
        <w:rPr>
          <w:szCs w:val="22"/>
          <w:lang w:val="fr-FR"/>
        </w:rPr>
      </w:pPr>
    </w:p>
    <w:p w14:paraId="1FF8C5FC" w14:textId="6EE1113D" w:rsidR="00C86381" w:rsidRPr="00E87605" w:rsidRDefault="00C86381" w:rsidP="00BA154F">
      <w:pPr>
        <w:jc w:val="both"/>
        <w:rPr>
          <w:szCs w:val="22"/>
          <w:lang w:val="fr-FR"/>
        </w:rPr>
      </w:pPr>
      <w:r w:rsidRPr="00E87605">
        <w:rPr>
          <w:szCs w:val="22"/>
          <w:lang w:val="fr-FR"/>
        </w:rPr>
        <w:t>13</w:t>
      </w:r>
      <w:r w:rsidR="007E1B81">
        <w:rPr>
          <w:szCs w:val="22"/>
          <w:lang w:val="fr-FR"/>
        </w:rPr>
        <w:t>3</w:t>
      </w:r>
      <w:r w:rsidRPr="00E87605">
        <w:rPr>
          <w:szCs w:val="22"/>
          <w:lang w:val="fr-FR"/>
        </w:rPr>
        <w:t>. L’</w:t>
      </w:r>
      <w:r w:rsidRPr="00E87605">
        <w:rPr>
          <w:b/>
          <w:szCs w:val="22"/>
          <w:lang w:val="fr-FR"/>
        </w:rPr>
        <w:t>administrateur chargé de l'information</w:t>
      </w:r>
      <w:r w:rsidRPr="00E87605">
        <w:rPr>
          <w:szCs w:val="22"/>
          <w:lang w:val="fr-FR"/>
        </w:rPr>
        <w:t xml:space="preserve"> </w:t>
      </w:r>
      <w:r w:rsidR="00C35ADA">
        <w:rPr>
          <w:szCs w:val="22"/>
          <w:lang w:val="fr-FR"/>
        </w:rPr>
        <w:t xml:space="preserve">(M. Florian Keil) </w:t>
      </w:r>
      <w:r w:rsidRPr="00E87605">
        <w:rPr>
          <w:szCs w:val="22"/>
          <w:lang w:val="fr-FR"/>
        </w:rPr>
        <w:t xml:space="preserve">de l’AEWA a présenté l’avant-projet de Résolution AEWA/MOP5 DR4 </w:t>
      </w:r>
      <w:r w:rsidRPr="00E87605">
        <w:rPr>
          <w:bCs/>
          <w:i/>
          <w:szCs w:val="22"/>
          <w:lang w:val="fr-FR"/>
        </w:rPr>
        <w:t xml:space="preserve">Mise en œuvre du projet </w:t>
      </w:r>
      <w:proofErr w:type="spellStart"/>
      <w:r w:rsidRPr="00E87605">
        <w:rPr>
          <w:bCs/>
          <w:i/>
          <w:szCs w:val="22"/>
          <w:lang w:val="fr-FR"/>
        </w:rPr>
        <w:t>Wings</w:t>
      </w:r>
      <w:proofErr w:type="spellEnd"/>
      <w:r w:rsidRPr="00E87605">
        <w:rPr>
          <w:bCs/>
          <w:i/>
          <w:szCs w:val="22"/>
          <w:lang w:val="fr-FR"/>
        </w:rPr>
        <w:t xml:space="preserve"> Over </w:t>
      </w:r>
      <w:proofErr w:type="spellStart"/>
      <w:r w:rsidRPr="00E87605">
        <w:rPr>
          <w:bCs/>
          <w:i/>
          <w:szCs w:val="22"/>
          <w:lang w:val="fr-FR"/>
        </w:rPr>
        <w:t>Wetlands</w:t>
      </w:r>
      <w:proofErr w:type="spellEnd"/>
      <w:r w:rsidRPr="00E87605">
        <w:rPr>
          <w:bCs/>
          <w:i/>
          <w:szCs w:val="22"/>
          <w:lang w:val="fr-FR"/>
        </w:rPr>
        <w:t xml:space="preserve"> (WOW) du PNUE-FEM sur les voies de migration d’Afrique-Eurasie et perspectives après-WOW</w:t>
      </w:r>
      <w:r>
        <w:rPr>
          <w:bCs/>
          <w:i/>
          <w:szCs w:val="22"/>
          <w:lang w:val="fr-FR"/>
        </w:rPr>
        <w:t>.</w:t>
      </w:r>
    </w:p>
    <w:p w14:paraId="25D026BF" w14:textId="77777777" w:rsidR="00C86381" w:rsidRPr="00E87605" w:rsidRDefault="00C86381" w:rsidP="00BA154F">
      <w:pPr>
        <w:jc w:val="both"/>
        <w:rPr>
          <w:szCs w:val="22"/>
          <w:lang w:val="fr-FR"/>
        </w:rPr>
      </w:pPr>
    </w:p>
    <w:p w14:paraId="3D6B2AD4" w14:textId="03C5551D" w:rsidR="00C86381" w:rsidRPr="00E87605" w:rsidRDefault="00C86381" w:rsidP="00BA154F">
      <w:pPr>
        <w:jc w:val="both"/>
        <w:rPr>
          <w:szCs w:val="22"/>
          <w:lang w:val="fr-FR"/>
        </w:rPr>
      </w:pPr>
      <w:r w:rsidRPr="00E87605">
        <w:rPr>
          <w:szCs w:val="22"/>
          <w:lang w:val="fr-FR"/>
        </w:rPr>
        <w:t>13</w:t>
      </w:r>
      <w:r w:rsidR="007E1B81">
        <w:rPr>
          <w:szCs w:val="22"/>
          <w:lang w:val="fr-FR"/>
        </w:rPr>
        <w:t>4</w:t>
      </w:r>
      <w:r w:rsidRPr="00E87605">
        <w:rPr>
          <w:szCs w:val="22"/>
          <w:lang w:val="fr-FR"/>
        </w:rPr>
        <w:t xml:space="preserve">. </w:t>
      </w:r>
      <w:r w:rsidRPr="00E87605">
        <w:rPr>
          <w:b/>
          <w:szCs w:val="22"/>
          <w:lang w:val="fr-FR"/>
        </w:rPr>
        <w:t>Le</w:t>
      </w:r>
      <w:r w:rsidRPr="00E87605">
        <w:rPr>
          <w:szCs w:val="22"/>
          <w:lang w:val="fr-FR"/>
        </w:rPr>
        <w:t xml:space="preserve"> </w:t>
      </w:r>
      <w:r w:rsidRPr="00E87605">
        <w:rPr>
          <w:b/>
          <w:szCs w:val="22"/>
          <w:lang w:val="fr-FR"/>
        </w:rPr>
        <w:t>représentant de l’UE et de ses États membres</w:t>
      </w:r>
      <w:r w:rsidRPr="00E87605">
        <w:rPr>
          <w:szCs w:val="22"/>
          <w:lang w:val="fr-FR"/>
        </w:rPr>
        <w:t xml:space="preserve"> a remercié </w:t>
      </w:r>
      <w:proofErr w:type="spellStart"/>
      <w:r w:rsidRPr="00E87605">
        <w:rPr>
          <w:szCs w:val="22"/>
          <w:lang w:val="fr-FR"/>
        </w:rPr>
        <w:t>Gerard</w:t>
      </w:r>
      <w:proofErr w:type="spellEnd"/>
      <w:r w:rsidRPr="00E87605">
        <w:rPr>
          <w:szCs w:val="22"/>
          <w:lang w:val="fr-FR"/>
        </w:rPr>
        <w:t xml:space="preserve"> </w:t>
      </w:r>
      <w:proofErr w:type="spellStart"/>
      <w:r w:rsidRPr="00E87605">
        <w:rPr>
          <w:szCs w:val="22"/>
          <w:lang w:val="fr-FR"/>
        </w:rPr>
        <w:t>Boere</w:t>
      </w:r>
      <w:proofErr w:type="spellEnd"/>
      <w:r w:rsidRPr="00E87605">
        <w:rPr>
          <w:szCs w:val="22"/>
          <w:lang w:val="fr-FR"/>
        </w:rPr>
        <w:t xml:space="preserve"> et l’équipe responsable pour le succès remarquable du projet WOW. L’UE avait quelques amendements à proposer à l’avant-projet de Résolution, amendements qu’elle aborderait au sein du groupe de travail pertinent, l’un d’entre eux étant le besoin de clarifier le lien avec l’Initiative africaine de l’AEWA.</w:t>
      </w:r>
    </w:p>
    <w:p w14:paraId="46AC86DA" w14:textId="0963D601" w:rsidR="00C86381" w:rsidRPr="00E87605" w:rsidRDefault="00C86381" w:rsidP="00BA154F">
      <w:pPr>
        <w:jc w:val="both"/>
        <w:rPr>
          <w:szCs w:val="22"/>
          <w:lang w:val="fr-FR"/>
        </w:rPr>
      </w:pPr>
      <w:r w:rsidRPr="00E87605">
        <w:rPr>
          <w:szCs w:val="22"/>
          <w:lang w:val="fr-FR"/>
        </w:rPr>
        <w:t>13</w:t>
      </w:r>
      <w:r w:rsidR="007E1B81">
        <w:rPr>
          <w:szCs w:val="22"/>
          <w:lang w:val="fr-FR"/>
        </w:rPr>
        <w:t>5</w:t>
      </w:r>
      <w:r w:rsidRPr="00E87605">
        <w:rPr>
          <w:szCs w:val="22"/>
          <w:lang w:val="fr-FR"/>
        </w:rPr>
        <w:t xml:space="preserve">. </w:t>
      </w:r>
      <w:proofErr w:type="spellStart"/>
      <w:r w:rsidRPr="00E87605">
        <w:rPr>
          <w:b/>
          <w:szCs w:val="22"/>
          <w:lang w:val="fr-FR"/>
        </w:rPr>
        <w:t>Wetlands</w:t>
      </w:r>
      <w:proofErr w:type="spellEnd"/>
      <w:r w:rsidRPr="00E87605">
        <w:rPr>
          <w:b/>
          <w:szCs w:val="22"/>
          <w:lang w:val="fr-FR"/>
        </w:rPr>
        <w:t xml:space="preserve"> International Afrique</w:t>
      </w:r>
      <w:r w:rsidRPr="00E87605">
        <w:rPr>
          <w:szCs w:val="22"/>
          <w:lang w:val="fr-FR"/>
        </w:rPr>
        <w:t xml:space="preserve"> a souligné que les résultats du WOW s’étaient fait sentir à l’échelle mondiale et que ce projet avait été particulièrement important pour la conservation des zones humides et des oiseaux d’eau en Afrique. Des efforts ont été réalisés pour aider l’Afrique à travers le renforcement de la capacité, notamment par le biais du FTK, mais ce dernier était seulement la partie visible de l’iceberg.</w:t>
      </w:r>
    </w:p>
    <w:p w14:paraId="63BE32E2" w14:textId="77777777" w:rsidR="00C86381" w:rsidRPr="00E87605" w:rsidRDefault="00C86381" w:rsidP="00BA154F">
      <w:pPr>
        <w:jc w:val="both"/>
        <w:rPr>
          <w:szCs w:val="22"/>
          <w:lang w:val="fr-FR"/>
        </w:rPr>
      </w:pPr>
    </w:p>
    <w:p w14:paraId="12B2F234" w14:textId="188E00D4" w:rsidR="00C86381" w:rsidRPr="00E87605" w:rsidRDefault="00C86381" w:rsidP="00BA154F">
      <w:pPr>
        <w:jc w:val="both"/>
        <w:rPr>
          <w:szCs w:val="22"/>
          <w:lang w:val="fr-FR"/>
        </w:rPr>
      </w:pPr>
      <w:r w:rsidRPr="00E87605">
        <w:rPr>
          <w:szCs w:val="22"/>
          <w:lang w:val="fr-FR"/>
        </w:rPr>
        <w:t>13</w:t>
      </w:r>
      <w:r w:rsidR="007E1B81">
        <w:rPr>
          <w:szCs w:val="22"/>
          <w:lang w:val="fr-FR"/>
        </w:rPr>
        <w:t>6</w:t>
      </w:r>
      <w:r w:rsidRPr="00E87605">
        <w:rPr>
          <w:szCs w:val="22"/>
          <w:lang w:val="fr-FR"/>
        </w:rPr>
        <w:t xml:space="preserve">. La </w:t>
      </w:r>
      <w:r w:rsidRPr="00E87605">
        <w:rPr>
          <w:b/>
          <w:szCs w:val="22"/>
          <w:lang w:val="fr-FR"/>
        </w:rPr>
        <w:t>Mauritanie</w:t>
      </w:r>
      <w:r w:rsidRPr="00E87605">
        <w:rPr>
          <w:szCs w:val="22"/>
          <w:lang w:val="fr-FR"/>
        </w:rPr>
        <w:t xml:space="preserve"> a remercié le WOW pour avoir aidé à la formation de 20 éco-guides. Il était nécessaire d’étendre ce genre de formation à d’autres régions du pays et des entretiens étaient en cours à cet effet avec </w:t>
      </w:r>
      <w:proofErr w:type="spellStart"/>
      <w:r w:rsidRPr="00E87605">
        <w:rPr>
          <w:szCs w:val="22"/>
          <w:lang w:val="fr-FR"/>
        </w:rPr>
        <w:t>Wetlands</w:t>
      </w:r>
      <w:proofErr w:type="spellEnd"/>
      <w:r w:rsidRPr="00E87605">
        <w:rPr>
          <w:szCs w:val="22"/>
          <w:lang w:val="fr-FR"/>
        </w:rPr>
        <w:t xml:space="preserve"> International Afrique.</w:t>
      </w:r>
    </w:p>
    <w:p w14:paraId="76027028" w14:textId="77777777" w:rsidR="00C86381" w:rsidRDefault="00C86381" w:rsidP="00BA154F">
      <w:pPr>
        <w:jc w:val="both"/>
        <w:rPr>
          <w:szCs w:val="22"/>
          <w:lang w:val="fr-FR"/>
        </w:rPr>
      </w:pPr>
    </w:p>
    <w:p w14:paraId="1C3E9D91" w14:textId="77777777" w:rsidR="00792FC9" w:rsidRPr="0015738B" w:rsidRDefault="00792FC9" w:rsidP="00BA154F">
      <w:pPr>
        <w:jc w:val="both"/>
        <w:rPr>
          <w:szCs w:val="22"/>
          <w:lang w:val="fr-FR"/>
        </w:rPr>
      </w:pPr>
    </w:p>
    <w:p w14:paraId="5695A25F" w14:textId="77777777" w:rsidR="00C86381" w:rsidRPr="005012AF" w:rsidRDefault="00C86381" w:rsidP="00BA154F">
      <w:pPr>
        <w:jc w:val="both"/>
        <w:outlineLvl w:val="0"/>
        <w:rPr>
          <w:b/>
          <w:szCs w:val="22"/>
          <w:lang w:val="fr-FR"/>
        </w:rPr>
      </w:pPr>
      <w:r w:rsidRPr="0058101D">
        <w:rPr>
          <w:b/>
          <w:szCs w:val="22"/>
          <w:lang w:val="fr-FR"/>
        </w:rPr>
        <w:t>Point 17 de l</w:t>
      </w:r>
      <w:r>
        <w:rPr>
          <w:b/>
          <w:szCs w:val="22"/>
          <w:lang w:val="fr-FR"/>
        </w:rPr>
        <w:t>’</w:t>
      </w:r>
      <w:r w:rsidRPr="0058101D">
        <w:rPr>
          <w:b/>
          <w:szCs w:val="22"/>
          <w:lang w:val="fr-FR"/>
        </w:rPr>
        <w:t xml:space="preserve">ordre </w:t>
      </w:r>
      <w:r>
        <w:rPr>
          <w:b/>
          <w:szCs w:val="22"/>
          <w:lang w:val="fr-FR"/>
        </w:rPr>
        <w:t>du jour -</w:t>
      </w:r>
      <w:r w:rsidRPr="0058101D">
        <w:rPr>
          <w:b/>
          <w:szCs w:val="22"/>
          <w:lang w:val="fr-FR"/>
        </w:rPr>
        <w:t xml:space="preserve"> Rapport sur la mise en œuvre et la révision de la Stratégie de communication</w:t>
      </w:r>
    </w:p>
    <w:p w14:paraId="4582E94F" w14:textId="77777777" w:rsidR="00C86381" w:rsidRPr="005012AF" w:rsidRDefault="00C86381" w:rsidP="00BA154F">
      <w:pPr>
        <w:jc w:val="both"/>
        <w:rPr>
          <w:szCs w:val="22"/>
          <w:lang w:val="fr-FR"/>
        </w:rPr>
      </w:pPr>
    </w:p>
    <w:p w14:paraId="4A3D4A86" w14:textId="64716CDF" w:rsidR="00C86381" w:rsidRPr="005012AF" w:rsidRDefault="00C86381" w:rsidP="00BA154F">
      <w:pPr>
        <w:jc w:val="both"/>
        <w:rPr>
          <w:szCs w:val="22"/>
          <w:lang w:val="fr-FR"/>
        </w:rPr>
      </w:pPr>
      <w:r w:rsidRPr="00973652">
        <w:rPr>
          <w:szCs w:val="22"/>
          <w:lang w:val="fr-FR"/>
        </w:rPr>
        <w:t>13</w:t>
      </w:r>
      <w:r w:rsidR="007E1B81">
        <w:rPr>
          <w:szCs w:val="22"/>
          <w:lang w:val="fr-FR"/>
        </w:rPr>
        <w:t>7</w:t>
      </w:r>
      <w:r w:rsidRPr="00973652">
        <w:rPr>
          <w:szCs w:val="22"/>
          <w:lang w:val="fr-FR"/>
        </w:rPr>
        <w:t>. L</w:t>
      </w:r>
      <w:r>
        <w:rPr>
          <w:szCs w:val="22"/>
          <w:lang w:val="fr-FR"/>
        </w:rPr>
        <w:t>’</w:t>
      </w:r>
      <w:r w:rsidRPr="00973652">
        <w:rPr>
          <w:b/>
          <w:szCs w:val="22"/>
          <w:lang w:val="fr-FR"/>
        </w:rPr>
        <w:t>Administrateur chargé de l</w:t>
      </w:r>
      <w:r>
        <w:rPr>
          <w:b/>
          <w:szCs w:val="22"/>
          <w:lang w:val="fr-FR"/>
        </w:rPr>
        <w:t>’</w:t>
      </w:r>
      <w:r w:rsidRPr="00973652">
        <w:rPr>
          <w:b/>
          <w:szCs w:val="22"/>
          <w:lang w:val="fr-FR"/>
        </w:rPr>
        <w:t xml:space="preserve">information </w:t>
      </w:r>
      <w:r w:rsidR="00C35ADA" w:rsidRPr="00C35ADA">
        <w:rPr>
          <w:szCs w:val="22"/>
          <w:lang w:val="fr-FR"/>
        </w:rPr>
        <w:t xml:space="preserve">(M. Florian Keil) </w:t>
      </w:r>
      <w:r w:rsidRPr="00C35ADA">
        <w:rPr>
          <w:szCs w:val="22"/>
          <w:lang w:val="fr-FR"/>
        </w:rPr>
        <w:t>a</w:t>
      </w:r>
      <w:r w:rsidRPr="00973652">
        <w:rPr>
          <w:szCs w:val="22"/>
          <w:lang w:val="fr-FR"/>
        </w:rPr>
        <w:t xml:space="preserve"> présenté le</w:t>
      </w:r>
      <w:r w:rsidRPr="00973652">
        <w:rPr>
          <w:b/>
          <w:szCs w:val="22"/>
          <w:lang w:val="fr-FR"/>
        </w:rPr>
        <w:t xml:space="preserve"> </w:t>
      </w:r>
      <w:r w:rsidRPr="00973652">
        <w:rPr>
          <w:szCs w:val="22"/>
          <w:lang w:val="fr-FR"/>
        </w:rPr>
        <w:t xml:space="preserve">document AEWA/MOP 5.18 </w:t>
      </w:r>
      <w:r w:rsidRPr="00973652">
        <w:rPr>
          <w:i/>
          <w:szCs w:val="22"/>
          <w:lang w:val="fr-FR"/>
        </w:rPr>
        <w:t>Rapport sur la mise en œuvre et la révision de la Stratégie de communication (S</w:t>
      </w:r>
      <w:r>
        <w:rPr>
          <w:i/>
          <w:szCs w:val="22"/>
          <w:lang w:val="fr-FR"/>
        </w:rPr>
        <w:t>C</w:t>
      </w:r>
      <w:r w:rsidRPr="00973652">
        <w:rPr>
          <w:i/>
          <w:szCs w:val="22"/>
          <w:lang w:val="fr-FR"/>
        </w:rPr>
        <w:t>)</w:t>
      </w:r>
      <w:r w:rsidRPr="00973652">
        <w:rPr>
          <w:szCs w:val="22"/>
          <w:lang w:val="fr-FR"/>
        </w:rPr>
        <w:t xml:space="preserve"> ainsi que le document AEWA/MOP5 DR5 </w:t>
      </w:r>
      <w:r w:rsidRPr="00973652">
        <w:rPr>
          <w:i/>
          <w:szCs w:val="22"/>
          <w:lang w:val="fr-FR"/>
        </w:rPr>
        <w:t>Mise en œuvre et la révision de la Stratégie de communication,</w:t>
      </w:r>
      <w:r w:rsidRPr="00973652">
        <w:rPr>
          <w:szCs w:val="22"/>
          <w:lang w:val="fr-FR"/>
        </w:rPr>
        <w:t xml:space="preserve"> l</w:t>
      </w:r>
      <w:r>
        <w:rPr>
          <w:szCs w:val="22"/>
          <w:lang w:val="fr-FR"/>
        </w:rPr>
        <w:t>’</w:t>
      </w:r>
      <w:r w:rsidRPr="00973652">
        <w:rPr>
          <w:szCs w:val="22"/>
          <w:lang w:val="fr-FR"/>
        </w:rPr>
        <w:t>avant-projet de Résolution s</w:t>
      </w:r>
      <w:r>
        <w:rPr>
          <w:szCs w:val="22"/>
          <w:lang w:val="fr-FR"/>
        </w:rPr>
        <w:t>’</w:t>
      </w:r>
      <w:r w:rsidRPr="00973652">
        <w:rPr>
          <w:szCs w:val="22"/>
          <w:lang w:val="fr-FR"/>
        </w:rPr>
        <w:t>y rapportant. Il a attiré particulièrement l</w:t>
      </w:r>
      <w:r>
        <w:rPr>
          <w:szCs w:val="22"/>
          <w:lang w:val="fr-FR"/>
        </w:rPr>
        <w:t>’</w:t>
      </w:r>
      <w:r w:rsidRPr="00973652">
        <w:rPr>
          <w:szCs w:val="22"/>
          <w:lang w:val="fr-FR"/>
        </w:rPr>
        <w:t>attention sur une nouvelle publication, mise à dispo</w:t>
      </w:r>
      <w:r>
        <w:rPr>
          <w:szCs w:val="22"/>
          <w:lang w:val="fr-FR"/>
        </w:rPr>
        <w:t>sition</w:t>
      </w:r>
      <w:r w:rsidRPr="00973652">
        <w:rPr>
          <w:szCs w:val="22"/>
          <w:lang w:val="fr-FR"/>
        </w:rPr>
        <w:t xml:space="preserve"> de tous les participants à la MOP5, qui présente l</w:t>
      </w:r>
      <w:r>
        <w:rPr>
          <w:szCs w:val="22"/>
          <w:lang w:val="fr-FR"/>
        </w:rPr>
        <w:t>’</w:t>
      </w:r>
      <w:r w:rsidRPr="00973652">
        <w:rPr>
          <w:szCs w:val="22"/>
          <w:lang w:val="fr-FR"/>
        </w:rPr>
        <w:t>AEWA de manière simple et attractive. Des remerciements sont adressés au gouvernement de l</w:t>
      </w:r>
      <w:r>
        <w:rPr>
          <w:szCs w:val="22"/>
          <w:lang w:val="fr-FR"/>
        </w:rPr>
        <w:t>’</w:t>
      </w:r>
      <w:r w:rsidRPr="00973652">
        <w:rPr>
          <w:szCs w:val="22"/>
          <w:lang w:val="fr-FR"/>
        </w:rPr>
        <w:t>Allemagne pour le soutien financier qu</w:t>
      </w:r>
      <w:r>
        <w:rPr>
          <w:szCs w:val="22"/>
          <w:lang w:val="fr-FR"/>
        </w:rPr>
        <w:t>’</w:t>
      </w:r>
      <w:r w:rsidRPr="00973652">
        <w:rPr>
          <w:szCs w:val="22"/>
          <w:lang w:val="fr-FR"/>
        </w:rPr>
        <w:t>elle a apporté à cette publication</w:t>
      </w:r>
      <w:r>
        <w:rPr>
          <w:szCs w:val="22"/>
          <w:lang w:val="fr-FR"/>
        </w:rPr>
        <w:t>.</w:t>
      </w:r>
    </w:p>
    <w:p w14:paraId="2C60D3D1" w14:textId="77777777" w:rsidR="00C86381" w:rsidRPr="005012AF" w:rsidRDefault="00C86381" w:rsidP="00BA154F">
      <w:pPr>
        <w:jc w:val="both"/>
        <w:rPr>
          <w:szCs w:val="22"/>
          <w:lang w:val="fr-FR"/>
        </w:rPr>
      </w:pPr>
    </w:p>
    <w:p w14:paraId="19AACA4D" w14:textId="4FD6C5EB" w:rsidR="00C86381" w:rsidRPr="0015738B" w:rsidRDefault="00C86381" w:rsidP="00BA154F">
      <w:pPr>
        <w:jc w:val="both"/>
        <w:rPr>
          <w:szCs w:val="22"/>
          <w:lang w:val="fr-FR"/>
        </w:rPr>
      </w:pPr>
      <w:r w:rsidRPr="00B23165">
        <w:rPr>
          <w:szCs w:val="22"/>
          <w:lang w:val="fr-FR"/>
        </w:rPr>
        <w:t>13</w:t>
      </w:r>
      <w:r w:rsidR="007E1B81">
        <w:rPr>
          <w:szCs w:val="22"/>
          <w:lang w:val="fr-FR"/>
        </w:rPr>
        <w:t>8</w:t>
      </w:r>
      <w:r w:rsidRPr="00B23165">
        <w:rPr>
          <w:szCs w:val="22"/>
          <w:lang w:val="fr-FR"/>
        </w:rPr>
        <w:t xml:space="preserve">. </w:t>
      </w:r>
      <w:r w:rsidRPr="00B23165">
        <w:rPr>
          <w:b/>
          <w:szCs w:val="22"/>
          <w:lang w:val="fr-FR"/>
        </w:rPr>
        <w:t>M. Keil</w:t>
      </w:r>
      <w:r>
        <w:rPr>
          <w:szCs w:val="22"/>
          <w:lang w:val="fr-FR"/>
        </w:rPr>
        <w:t xml:space="preserve"> </w:t>
      </w:r>
      <w:r w:rsidRPr="00B23165">
        <w:rPr>
          <w:szCs w:val="22"/>
          <w:lang w:val="fr-FR"/>
        </w:rPr>
        <w:t xml:space="preserve">a décrit les messages clés de la </w:t>
      </w:r>
      <w:r w:rsidRPr="00B90C56">
        <w:rPr>
          <w:szCs w:val="22"/>
          <w:lang w:val="fr-FR"/>
        </w:rPr>
        <w:t>SC et le Plan d’action pour la communication (CAP) j</w:t>
      </w:r>
      <w:r w:rsidRPr="00B23165">
        <w:rPr>
          <w:szCs w:val="22"/>
          <w:lang w:val="fr-FR"/>
        </w:rPr>
        <w:t>oint en annexe, qui ont été adoptés à la MOP3, par la Résolution 3.10. Malheureusement, seules des activités limitées ont été mises en œuvre du fait du manque de ressources.</w:t>
      </w:r>
      <w:r>
        <w:rPr>
          <w:szCs w:val="22"/>
          <w:lang w:val="fr-FR"/>
        </w:rPr>
        <w:t xml:space="preserve"> </w:t>
      </w:r>
      <w:r w:rsidRPr="00B23165">
        <w:rPr>
          <w:szCs w:val="22"/>
          <w:lang w:val="fr-FR"/>
        </w:rPr>
        <w:t>La mise en œuvre de la SC et du CAP est en effet entièrement tributaire des contributions volontaires. Seulement</w:t>
      </w:r>
      <w:r>
        <w:rPr>
          <w:szCs w:val="22"/>
          <w:lang w:val="fr-FR"/>
        </w:rPr>
        <w:t xml:space="preserve"> </w:t>
      </w:r>
      <w:r w:rsidRPr="00B23165">
        <w:rPr>
          <w:szCs w:val="22"/>
          <w:lang w:val="fr-FR"/>
        </w:rPr>
        <w:t>10</w:t>
      </w:r>
      <w:r>
        <w:rPr>
          <w:szCs w:val="22"/>
          <w:lang w:val="fr-FR"/>
        </w:rPr>
        <w:t> </w:t>
      </w:r>
      <w:r w:rsidRPr="00B23165">
        <w:rPr>
          <w:szCs w:val="22"/>
          <w:lang w:val="fr-FR"/>
        </w:rPr>
        <w:t>% des ressources nécessaires ont été assurés. L</w:t>
      </w:r>
      <w:r>
        <w:rPr>
          <w:szCs w:val="22"/>
          <w:lang w:val="fr-FR"/>
        </w:rPr>
        <w:t>’</w:t>
      </w:r>
      <w:r w:rsidRPr="00B23165">
        <w:rPr>
          <w:szCs w:val="22"/>
          <w:lang w:val="fr-FR"/>
        </w:rPr>
        <w:t>avant-projet de Résolution soumis à la MOP5 prévoit la révision de la SC, essentiellement pour l</w:t>
      </w:r>
      <w:r>
        <w:rPr>
          <w:szCs w:val="22"/>
          <w:lang w:val="fr-FR"/>
        </w:rPr>
        <w:t>’</w:t>
      </w:r>
      <w:r w:rsidR="00C35ADA">
        <w:rPr>
          <w:szCs w:val="22"/>
          <w:lang w:val="fr-FR"/>
        </w:rPr>
        <w:t>aligner sur le Plan s</w:t>
      </w:r>
      <w:r w:rsidRPr="00B23165">
        <w:rPr>
          <w:szCs w:val="22"/>
          <w:lang w:val="fr-FR"/>
        </w:rPr>
        <w:t>tratégique de l</w:t>
      </w:r>
      <w:r>
        <w:rPr>
          <w:szCs w:val="22"/>
          <w:lang w:val="fr-FR"/>
        </w:rPr>
        <w:t>’</w:t>
      </w:r>
      <w:r w:rsidRPr="00B23165">
        <w:rPr>
          <w:szCs w:val="22"/>
          <w:lang w:val="fr-FR"/>
        </w:rPr>
        <w:t>AEWA et sur le Plan d</w:t>
      </w:r>
      <w:r>
        <w:rPr>
          <w:szCs w:val="22"/>
          <w:lang w:val="fr-FR"/>
        </w:rPr>
        <w:t>’</w:t>
      </w:r>
      <w:r w:rsidRPr="00B23165">
        <w:rPr>
          <w:szCs w:val="22"/>
          <w:lang w:val="fr-FR"/>
        </w:rPr>
        <w:t>action pour l</w:t>
      </w:r>
      <w:r>
        <w:rPr>
          <w:szCs w:val="22"/>
          <w:lang w:val="fr-FR"/>
        </w:rPr>
        <w:t>’</w:t>
      </w:r>
      <w:r w:rsidRPr="00B23165">
        <w:rPr>
          <w:szCs w:val="22"/>
          <w:lang w:val="fr-FR"/>
        </w:rPr>
        <w:t>Afrique, pour intégrer les outils nouvellement conçus, et pour lui donner un caractère plus réaliste.</w:t>
      </w:r>
    </w:p>
    <w:p w14:paraId="481FA97D" w14:textId="77777777" w:rsidR="00C86381" w:rsidRPr="0015738B" w:rsidRDefault="00C86381" w:rsidP="00BA154F">
      <w:pPr>
        <w:jc w:val="both"/>
        <w:rPr>
          <w:szCs w:val="22"/>
          <w:lang w:val="fr-FR"/>
        </w:rPr>
      </w:pPr>
    </w:p>
    <w:p w14:paraId="01B5FF20" w14:textId="7116C3AA" w:rsidR="00C86381" w:rsidRPr="005012AF" w:rsidRDefault="00C86381" w:rsidP="00BA154F">
      <w:pPr>
        <w:jc w:val="both"/>
        <w:outlineLvl w:val="0"/>
        <w:rPr>
          <w:szCs w:val="22"/>
          <w:lang w:val="fr-FR"/>
        </w:rPr>
      </w:pPr>
      <w:r w:rsidRPr="00B23165">
        <w:rPr>
          <w:szCs w:val="22"/>
          <w:lang w:val="fr-FR"/>
        </w:rPr>
        <w:t>13</w:t>
      </w:r>
      <w:r w:rsidR="007E1B81">
        <w:rPr>
          <w:szCs w:val="22"/>
          <w:lang w:val="fr-FR"/>
        </w:rPr>
        <w:t>9</w:t>
      </w:r>
      <w:r w:rsidRPr="00B23165">
        <w:rPr>
          <w:szCs w:val="22"/>
          <w:lang w:val="fr-FR"/>
        </w:rPr>
        <w:t xml:space="preserve">. Notant que ce point sera repris par le WG1, le </w:t>
      </w:r>
      <w:r w:rsidRPr="00B23165">
        <w:rPr>
          <w:b/>
          <w:szCs w:val="22"/>
          <w:lang w:val="fr-FR"/>
        </w:rPr>
        <w:t>Président</w:t>
      </w:r>
      <w:r w:rsidRPr="00B23165">
        <w:rPr>
          <w:szCs w:val="22"/>
          <w:lang w:val="fr-FR"/>
        </w:rPr>
        <w:t xml:space="preserve"> a invité les participants à faire des observations d</w:t>
      </w:r>
      <w:r>
        <w:rPr>
          <w:szCs w:val="22"/>
          <w:lang w:val="fr-FR"/>
        </w:rPr>
        <w:t>’</w:t>
      </w:r>
      <w:r w:rsidRPr="00B23165">
        <w:rPr>
          <w:szCs w:val="22"/>
          <w:lang w:val="fr-FR"/>
        </w:rPr>
        <w:t>ordre général.</w:t>
      </w:r>
    </w:p>
    <w:p w14:paraId="3E091284" w14:textId="77777777" w:rsidR="00C86381" w:rsidRPr="005012AF" w:rsidRDefault="00C86381" w:rsidP="00BA154F">
      <w:pPr>
        <w:jc w:val="both"/>
        <w:rPr>
          <w:szCs w:val="22"/>
          <w:lang w:val="fr-FR"/>
        </w:rPr>
      </w:pPr>
    </w:p>
    <w:p w14:paraId="7D182C04" w14:textId="150D2E9A" w:rsidR="00C86381" w:rsidRPr="005012AF" w:rsidRDefault="00C86381" w:rsidP="00BA154F">
      <w:pPr>
        <w:jc w:val="both"/>
        <w:rPr>
          <w:szCs w:val="22"/>
          <w:lang w:val="fr-FR"/>
        </w:rPr>
      </w:pPr>
      <w:r w:rsidRPr="00525CA0">
        <w:rPr>
          <w:szCs w:val="22"/>
          <w:lang w:val="fr-FR"/>
        </w:rPr>
        <w:t>1</w:t>
      </w:r>
      <w:r w:rsidR="007E1B81">
        <w:rPr>
          <w:szCs w:val="22"/>
          <w:lang w:val="fr-FR"/>
        </w:rPr>
        <w:t>40</w:t>
      </w:r>
      <w:r w:rsidRPr="00525CA0">
        <w:rPr>
          <w:szCs w:val="22"/>
          <w:lang w:val="fr-FR"/>
        </w:rPr>
        <w:t xml:space="preserve">. La </w:t>
      </w:r>
      <w:r w:rsidRPr="00525CA0">
        <w:rPr>
          <w:b/>
          <w:szCs w:val="22"/>
          <w:lang w:val="fr-FR"/>
        </w:rPr>
        <w:t>Norvège</w:t>
      </w:r>
      <w:r w:rsidRPr="00525CA0">
        <w:rPr>
          <w:szCs w:val="22"/>
          <w:lang w:val="fr-FR"/>
        </w:rPr>
        <w:t xml:space="preserve"> a recommandé que les contacts nationaux chargés de la CESP ne soient pas les correspondants nationaux de l</w:t>
      </w:r>
      <w:r>
        <w:rPr>
          <w:szCs w:val="22"/>
          <w:lang w:val="fr-FR"/>
        </w:rPr>
        <w:t>’</w:t>
      </w:r>
      <w:r w:rsidRPr="00525CA0">
        <w:rPr>
          <w:szCs w:val="22"/>
          <w:lang w:val="fr-FR"/>
        </w:rPr>
        <w:t>AEWA, mais de réels professionnels de la communication. Il était également nécessaire de définir des questions clés prioritaires afin d</w:t>
      </w:r>
      <w:r>
        <w:rPr>
          <w:szCs w:val="22"/>
          <w:lang w:val="fr-FR"/>
        </w:rPr>
        <w:t>’</w:t>
      </w:r>
      <w:r w:rsidRPr="00525CA0">
        <w:rPr>
          <w:szCs w:val="22"/>
          <w:lang w:val="fr-FR"/>
        </w:rPr>
        <w:t xml:space="preserve">éviter </w:t>
      </w:r>
      <w:r>
        <w:rPr>
          <w:szCs w:val="22"/>
          <w:lang w:val="fr-FR"/>
        </w:rPr>
        <w:t>la distension de</w:t>
      </w:r>
      <w:r w:rsidRPr="00525CA0">
        <w:rPr>
          <w:szCs w:val="22"/>
          <w:lang w:val="fr-FR"/>
        </w:rPr>
        <w:t xml:space="preserve"> la capacité du Secrétariat.</w:t>
      </w:r>
    </w:p>
    <w:p w14:paraId="235D9309" w14:textId="77777777" w:rsidR="00C86381" w:rsidRPr="005012AF" w:rsidRDefault="00C86381" w:rsidP="00BA154F">
      <w:pPr>
        <w:jc w:val="both"/>
        <w:rPr>
          <w:szCs w:val="22"/>
          <w:lang w:val="fr-FR"/>
        </w:rPr>
      </w:pPr>
    </w:p>
    <w:p w14:paraId="57DE843A" w14:textId="5BB8E11C" w:rsidR="00C86381" w:rsidRPr="005012AF" w:rsidRDefault="00C86381" w:rsidP="00BA154F">
      <w:pPr>
        <w:jc w:val="both"/>
        <w:outlineLvl w:val="0"/>
        <w:rPr>
          <w:szCs w:val="22"/>
          <w:lang w:val="fr-FR"/>
        </w:rPr>
      </w:pPr>
      <w:r w:rsidRPr="007B6296">
        <w:rPr>
          <w:szCs w:val="22"/>
          <w:lang w:val="fr-FR"/>
        </w:rPr>
        <w:t>14</w:t>
      </w:r>
      <w:r w:rsidR="007E1B81">
        <w:rPr>
          <w:szCs w:val="22"/>
          <w:lang w:val="fr-FR"/>
        </w:rPr>
        <w:t>1</w:t>
      </w:r>
      <w:r w:rsidRPr="007B6296">
        <w:rPr>
          <w:szCs w:val="22"/>
          <w:lang w:val="fr-FR"/>
        </w:rPr>
        <w:t xml:space="preserve">. Le </w:t>
      </w:r>
      <w:r w:rsidRPr="007B6296">
        <w:rPr>
          <w:b/>
          <w:szCs w:val="22"/>
          <w:lang w:val="fr-FR"/>
        </w:rPr>
        <w:t>Soudan</w:t>
      </w:r>
      <w:r w:rsidRPr="007B6296">
        <w:rPr>
          <w:szCs w:val="22"/>
          <w:lang w:val="fr-FR"/>
        </w:rPr>
        <w:t xml:space="preserve"> estimait qu</w:t>
      </w:r>
      <w:r>
        <w:rPr>
          <w:szCs w:val="22"/>
          <w:lang w:val="fr-FR"/>
        </w:rPr>
        <w:t>’</w:t>
      </w:r>
      <w:r w:rsidRPr="007B6296">
        <w:rPr>
          <w:szCs w:val="22"/>
          <w:lang w:val="fr-FR"/>
        </w:rPr>
        <w:t xml:space="preserve">il était nécessaire non seulement de prioriser les activités, mais aussi de le faire </w:t>
      </w:r>
      <w:r w:rsidRPr="00B90C56">
        <w:rPr>
          <w:szCs w:val="22"/>
          <w:lang w:val="fr-FR"/>
        </w:rPr>
        <w:t>sur la base des sites.</w:t>
      </w:r>
    </w:p>
    <w:p w14:paraId="0E839B9C" w14:textId="77777777" w:rsidR="00C86381" w:rsidRPr="005012AF" w:rsidRDefault="00C86381" w:rsidP="00BA154F">
      <w:pPr>
        <w:jc w:val="both"/>
        <w:rPr>
          <w:szCs w:val="22"/>
          <w:lang w:val="fr-FR"/>
        </w:rPr>
      </w:pPr>
    </w:p>
    <w:p w14:paraId="69F570C8" w14:textId="7EFAB907" w:rsidR="00C86381" w:rsidRPr="005012AF" w:rsidRDefault="00C86381" w:rsidP="00BA154F">
      <w:pPr>
        <w:jc w:val="both"/>
        <w:outlineLvl w:val="0"/>
        <w:rPr>
          <w:szCs w:val="22"/>
          <w:lang w:val="fr-FR"/>
        </w:rPr>
      </w:pPr>
      <w:r w:rsidRPr="0083083D">
        <w:rPr>
          <w:szCs w:val="22"/>
          <w:lang w:val="fr-FR"/>
        </w:rPr>
        <w:t>14</w:t>
      </w:r>
      <w:r w:rsidR="007E1B81">
        <w:rPr>
          <w:szCs w:val="22"/>
          <w:lang w:val="fr-FR"/>
        </w:rPr>
        <w:t>2</w:t>
      </w:r>
      <w:r w:rsidRPr="0083083D">
        <w:rPr>
          <w:szCs w:val="22"/>
          <w:lang w:val="fr-FR"/>
        </w:rPr>
        <w:t xml:space="preserve">. Le </w:t>
      </w:r>
      <w:r w:rsidRPr="0083083D">
        <w:rPr>
          <w:b/>
          <w:szCs w:val="22"/>
          <w:lang w:val="fr-FR"/>
        </w:rPr>
        <w:t>Sénégal</w:t>
      </w:r>
      <w:r w:rsidR="00C35ADA">
        <w:rPr>
          <w:b/>
          <w:szCs w:val="22"/>
          <w:lang w:val="fr-FR"/>
        </w:rPr>
        <w:t>, au nom du groupe de l’Afrique,</w:t>
      </w:r>
      <w:r w:rsidRPr="0083083D">
        <w:rPr>
          <w:szCs w:val="22"/>
          <w:lang w:val="fr-FR"/>
        </w:rPr>
        <w:t xml:space="preserve"> a présenté plusieurs amendements spécifiques à l</w:t>
      </w:r>
      <w:r>
        <w:rPr>
          <w:szCs w:val="22"/>
          <w:lang w:val="fr-FR"/>
        </w:rPr>
        <w:t>’</w:t>
      </w:r>
      <w:r w:rsidRPr="0083083D">
        <w:rPr>
          <w:szCs w:val="22"/>
          <w:lang w:val="fr-FR"/>
        </w:rPr>
        <w:t>avant-projet de Résolution.</w:t>
      </w:r>
    </w:p>
    <w:p w14:paraId="07F4A2F1" w14:textId="77777777" w:rsidR="00C86381" w:rsidRPr="005012AF" w:rsidRDefault="00C86381" w:rsidP="00BA154F">
      <w:pPr>
        <w:jc w:val="both"/>
        <w:rPr>
          <w:szCs w:val="22"/>
          <w:lang w:val="fr-FR"/>
        </w:rPr>
      </w:pPr>
    </w:p>
    <w:p w14:paraId="4F1BBBCF" w14:textId="202A27A1" w:rsidR="00C86381" w:rsidRPr="005012AF" w:rsidRDefault="00C86381" w:rsidP="00BA154F">
      <w:pPr>
        <w:jc w:val="both"/>
        <w:rPr>
          <w:szCs w:val="22"/>
          <w:lang w:val="fr-FR"/>
        </w:rPr>
      </w:pPr>
      <w:r w:rsidRPr="0012122B">
        <w:rPr>
          <w:szCs w:val="22"/>
          <w:lang w:val="fr-FR"/>
        </w:rPr>
        <w:t>14</w:t>
      </w:r>
      <w:r w:rsidR="007E1B81">
        <w:rPr>
          <w:szCs w:val="22"/>
          <w:lang w:val="fr-FR"/>
        </w:rPr>
        <w:t>3</w:t>
      </w:r>
      <w:r w:rsidRPr="0012122B">
        <w:rPr>
          <w:szCs w:val="22"/>
          <w:lang w:val="fr-FR"/>
        </w:rPr>
        <w:t xml:space="preserve">. Le </w:t>
      </w:r>
      <w:r w:rsidRPr="0012122B">
        <w:rPr>
          <w:b/>
          <w:szCs w:val="22"/>
          <w:lang w:val="fr-FR"/>
        </w:rPr>
        <w:t xml:space="preserve">Président </w:t>
      </w:r>
      <w:r w:rsidRPr="0012122B">
        <w:rPr>
          <w:szCs w:val="22"/>
          <w:lang w:val="fr-FR"/>
        </w:rPr>
        <w:t>a demandé que l</w:t>
      </w:r>
      <w:r>
        <w:rPr>
          <w:szCs w:val="22"/>
          <w:lang w:val="fr-FR"/>
        </w:rPr>
        <w:t>’</w:t>
      </w:r>
      <w:r w:rsidRPr="0012122B">
        <w:rPr>
          <w:szCs w:val="22"/>
          <w:lang w:val="fr-FR"/>
        </w:rPr>
        <w:t>examen de ces derniers ainsi que toutes les autres propositions détaillées d</w:t>
      </w:r>
      <w:r>
        <w:rPr>
          <w:szCs w:val="22"/>
          <w:lang w:val="fr-FR"/>
        </w:rPr>
        <w:t>’</w:t>
      </w:r>
      <w:r w:rsidRPr="0012122B">
        <w:rPr>
          <w:szCs w:val="22"/>
          <w:lang w:val="fr-FR"/>
        </w:rPr>
        <w:t>amendements, soit transmis au WG1.</w:t>
      </w:r>
    </w:p>
    <w:p w14:paraId="7600E03E" w14:textId="77777777" w:rsidR="00C86381" w:rsidRPr="005012AF" w:rsidRDefault="00C86381" w:rsidP="00BA154F">
      <w:pPr>
        <w:jc w:val="both"/>
        <w:rPr>
          <w:szCs w:val="22"/>
          <w:lang w:val="fr-FR"/>
        </w:rPr>
      </w:pPr>
    </w:p>
    <w:p w14:paraId="292F72CF" w14:textId="77777777" w:rsidR="00792FC9" w:rsidRPr="005012AF" w:rsidRDefault="00792FC9" w:rsidP="00BA154F">
      <w:pPr>
        <w:jc w:val="both"/>
        <w:rPr>
          <w:szCs w:val="22"/>
          <w:lang w:val="fr-FR"/>
        </w:rPr>
      </w:pPr>
    </w:p>
    <w:p w14:paraId="1AA7A7E2" w14:textId="77777777" w:rsidR="00C86381" w:rsidRPr="005012AF" w:rsidRDefault="00C86381" w:rsidP="00BA154F">
      <w:pPr>
        <w:jc w:val="both"/>
        <w:outlineLvl w:val="0"/>
        <w:rPr>
          <w:b/>
          <w:szCs w:val="22"/>
          <w:lang w:val="fr-FR"/>
        </w:rPr>
      </w:pPr>
      <w:r w:rsidRPr="0012122B">
        <w:rPr>
          <w:b/>
          <w:szCs w:val="22"/>
          <w:lang w:val="fr-FR"/>
        </w:rPr>
        <w:t>Point 18 de l</w:t>
      </w:r>
      <w:r>
        <w:rPr>
          <w:b/>
          <w:szCs w:val="22"/>
          <w:lang w:val="fr-FR"/>
        </w:rPr>
        <w:t>’</w:t>
      </w:r>
      <w:r w:rsidRPr="0012122B">
        <w:rPr>
          <w:b/>
          <w:szCs w:val="22"/>
          <w:lang w:val="fr-FR"/>
        </w:rPr>
        <w:t xml:space="preserve">ordre </w:t>
      </w:r>
      <w:r>
        <w:rPr>
          <w:b/>
          <w:szCs w:val="22"/>
          <w:lang w:val="fr-FR"/>
        </w:rPr>
        <w:t>du jour -</w:t>
      </w:r>
      <w:r w:rsidRPr="0012122B">
        <w:rPr>
          <w:b/>
          <w:szCs w:val="22"/>
          <w:lang w:val="fr-FR"/>
        </w:rPr>
        <w:t xml:space="preserve"> Journée Mondiale des Oiseaux Migrateurs (JMOM)</w:t>
      </w:r>
    </w:p>
    <w:p w14:paraId="2CE0383C" w14:textId="77777777" w:rsidR="00C86381" w:rsidRPr="005012AF" w:rsidRDefault="00C86381" w:rsidP="00BA154F">
      <w:pPr>
        <w:jc w:val="both"/>
        <w:rPr>
          <w:szCs w:val="22"/>
          <w:lang w:val="fr-FR"/>
        </w:rPr>
      </w:pPr>
    </w:p>
    <w:p w14:paraId="30DA12F1" w14:textId="624E1342" w:rsidR="00C86381" w:rsidRDefault="00C86381" w:rsidP="00BA154F">
      <w:pPr>
        <w:jc w:val="both"/>
        <w:rPr>
          <w:szCs w:val="22"/>
        </w:rPr>
      </w:pPr>
      <w:r w:rsidRPr="000B3740">
        <w:rPr>
          <w:szCs w:val="22"/>
          <w:lang w:val="fr-FR"/>
        </w:rPr>
        <w:t>14</w:t>
      </w:r>
      <w:r w:rsidR="003E6AAC">
        <w:rPr>
          <w:szCs w:val="22"/>
          <w:lang w:val="fr-FR"/>
        </w:rPr>
        <w:t>4</w:t>
      </w:r>
      <w:r w:rsidRPr="000B3740">
        <w:rPr>
          <w:szCs w:val="22"/>
          <w:lang w:val="fr-FR"/>
        </w:rPr>
        <w:t>. L</w:t>
      </w:r>
      <w:r>
        <w:rPr>
          <w:szCs w:val="22"/>
          <w:lang w:val="fr-FR"/>
        </w:rPr>
        <w:t>’</w:t>
      </w:r>
      <w:r w:rsidRPr="000B3740">
        <w:rPr>
          <w:b/>
          <w:szCs w:val="22"/>
          <w:lang w:val="fr-FR"/>
        </w:rPr>
        <w:t>Administrateur chargé de l</w:t>
      </w:r>
      <w:r>
        <w:rPr>
          <w:b/>
          <w:szCs w:val="22"/>
          <w:lang w:val="fr-FR"/>
        </w:rPr>
        <w:t>’</w:t>
      </w:r>
      <w:r w:rsidRPr="000B3740">
        <w:rPr>
          <w:b/>
          <w:szCs w:val="22"/>
          <w:lang w:val="fr-FR"/>
        </w:rPr>
        <w:t xml:space="preserve">information </w:t>
      </w:r>
      <w:r w:rsidR="00C35ADA" w:rsidRPr="00C35ADA">
        <w:rPr>
          <w:szCs w:val="22"/>
          <w:lang w:val="fr-FR"/>
        </w:rPr>
        <w:t xml:space="preserve">(M. Florian Keil) </w:t>
      </w:r>
      <w:r w:rsidRPr="00C35ADA">
        <w:rPr>
          <w:szCs w:val="22"/>
          <w:lang w:val="fr-FR"/>
        </w:rPr>
        <w:t>a</w:t>
      </w:r>
      <w:r w:rsidRPr="000B3740">
        <w:rPr>
          <w:szCs w:val="22"/>
          <w:lang w:val="fr-FR"/>
        </w:rPr>
        <w:t xml:space="preserve"> présenté le</w:t>
      </w:r>
      <w:r>
        <w:rPr>
          <w:b/>
          <w:szCs w:val="22"/>
          <w:lang w:val="fr-FR"/>
        </w:rPr>
        <w:t xml:space="preserve"> </w:t>
      </w:r>
      <w:r w:rsidRPr="000B3740">
        <w:rPr>
          <w:szCs w:val="22"/>
          <w:lang w:val="fr-FR"/>
        </w:rPr>
        <w:t xml:space="preserve">document AEWA/MOP 5.19 </w:t>
      </w:r>
      <w:r w:rsidRPr="000B3740">
        <w:rPr>
          <w:i/>
          <w:szCs w:val="22"/>
          <w:lang w:val="fr-FR"/>
        </w:rPr>
        <w:t xml:space="preserve">Rapport sur </w:t>
      </w:r>
      <w:r w:rsidR="00C35ADA">
        <w:rPr>
          <w:i/>
          <w:szCs w:val="22"/>
          <w:lang w:val="fr-FR"/>
        </w:rPr>
        <w:t xml:space="preserve">la </w:t>
      </w:r>
      <w:r w:rsidRPr="000B3740">
        <w:rPr>
          <w:i/>
          <w:szCs w:val="22"/>
          <w:lang w:val="fr-FR"/>
        </w:rPr>
        <w:t>Journée Mondiale des Oiseaux Migrateurs (JMOM) 2006-2012.</w:t>
      </w:r>
      <w:r w:rsidRPr="000B3740">
        <w:rPr>
          <w:szCs w:val="22"/>
          <w:lang w:val="fr-FR"/>
        </w:rPr>
        <w:t xml:space="preserve"> De courtes présentations vidéo faisant la promotion de la JMOM ont introduit et conclu sa présentation. Il a expliqué comment la JMOM s</w:t>
      </w:r>
      <w:r>
        <w:rPr>
          <w:szCs w:val="22"/>
          <w:lang w:val="fr-FR"/>
        </w:rPr>
        <w:t>’</w:t>
      </w:r>
      <w:r w:rsidRPr="000B3740">
        <w:rPr>
          <w:szCs w:val="22"/>
          <w:lang w:val="fr-FR"/>
        </w:rPr>
        <w:t>est développé</w:t>
      </w:r>
      <w:r>
        <w:rPr>
          <w:szCs w:val="22"/>
          <w:lang w:val="fr-FR"/>
        </w:rPr>
        <w:t>e</w:t>
      </w:r>
      <w:r w:rsidRPr="000B3740">
        <w:rPr>
          <w:szCs w:val="22"/>
          <w:lang w:val="fr-FR"/>
        </w:rPr>
        <w:t xml:space="preserve"> depuis 2006</w:t>
      </w:r>
      <w:r>
        <w:rPr>
          <w:szCs w:val="22"/>
          <w:lang w:val="fr-FR"/>
        </w:rPr>
        <w:t xml:space="preserve">. Il </w:t>
      </w:r>
      <w:r w:rsidRPr="000B3740">
        <w:rPr>
          <w:szCs w:val="22"/>
          <w:lang w:val="fr-FR"/>
        </w:rPr>
        <w:t xml:space="preserve">a résumé </w:t>
      </w:r>
      <w:r>
        <w:rPr>
          <w:szCs w:val="22"/>
          <w:lang w:val="fr-FR"/>
        </w:rPr>
        <w:t xml:space="preserve">également </w:t>
      </w:r>
      <w:r w:rsidRPr="000B3740">
        <w:rPr>
          <w:szCs w:val="22"/>
          <w:lang w:val="fr-FR"/>
        </w:rPr>
        <w:t xml:space="preserve">le rôle </w:t>
      </w:r>
      <w:r w:rsidR="00C35ADA">
        <w:rPr>
          <w:szCs w:val="22"/>
          <w:lang w:val="fr-FR"/>
        </w:rPr>
        <w:t xml:space="preserve">du </w:t>
      </w:r>
      <w:r w:rsidRPr="000B3740">
        <w:rPr>
          <w:szCs w:val="22"/>
          <w:lang w:val="fr-FR"/>
        </w:rPr>
        <w:t>Secrétariat de l</w:t>
      </w:r>
      <w:r>
        <w:rPr>
          <w:szCs w:val="22"/>
          <w:lang w:val="fr-FR"/>
        </w:rPr>
        <w:t>’</w:t>
      </w:r>
      <w:r w:rsidRPr="000B3740">
        <w:rPr>
          <w:szCs w:val="22"/>
          <w:lang w:val="fr-FR"/>
        </w:rPr>
        <w:t>AEWA, comprenant le développement et l</w:t>
      </w:r>
      <w:r>
        <w:rPr>
          <w:szCs w:val="22"/>
          <w:lang w:val="fr-FR"/>
        </w:rPr>
        <w:t>’</w:t>
      </w:r>
      <w:r w:rsidRPr="000B3740">
        <w:rPr>
          <w:szCs w:val="22"/>
          <w:lang w:val="fr-FR"/>
        </w:rPr>
        <w:t>expédition du matériel de sensibilisation, l</w:t>
      </w:r>
      <w:r>
        <w:rPr>
          <w:szCs w:val="22"/>
          <w:lang w:val="fr-FR"/>
        </w:rPr>
        <w:t>’</w:t>
      </w:r>
      <w:r w:rsidRPr="000B3740">
        <w:rPr>
          <w:szCs w:val="22"/>
          <w:lang w:val="fr-FR"/>
        </w:rPr>
        <w:t>enregistrement des événements de la JMOM se déroulant dans le monde entier, la concertation avec les organisateurs de ces événements, la préparation et la diffusion des communiqués de presse et autres tâches médiatiques, y compris la communication par les réseaux sociaux. Le principal défi rest</w:t>
      </w:r>
      <w:r>
        <w:rPr>
          <w:szCs w:val="22"/>
          <w:lang w:val="fr-FR"/>
        </w:rPr>
        <w:t>ant est de</w:t>
      </w:r>
      <w:r w:rsidRPr="000B3740">
        <w:rPr>
          <w:szCs w:val="22"/>
          <w:lang w:val="fr-FR"/>
        </w:rPr>
        <w:t xml:space="preserve"> tracer la voie pour l</w:t>
      </w:r>
      <w:r>
        <w:rPr>
          <w:szCs w:val="22"/>
          <w:lang w:val="fr-FR"/>
        </w:rPr>
        <w:t>’</w:t>
      </w:r>
      <w:r w:rsidRPr="000B3740">
        <w:rPr>
          <w:szCs w:val="22"/>
          <w:lang w:val="fr-FR"/>
        </w:rPr>
        <w:t>avenir et les contributions des Parties à cet égard seraient très appréciées. Les suggestions du</w:t>
      </w:r>
      <w:r>
        <w:rPr>
          <w:szCs w:val="22"/>
          <w:lang w:val="fr-FR"/>
        </w:rPr>
        <w:t xml:space="preserve"> </w:t>
      </w:r>
      <w:r w:rsidRPr="000B3740">
        <w:rPr>
          <w:szCs w:val="22"/>
          <w:lang w:val="fr-FR"/>
        </w:rPr>
        <w:t>Secrétariat comprenaient :</w:t>
      </w:r>
    </w:p>
    <w:p w14:paraId="3915636B" w14:textId="77777777" w:rsidR="00C86381" w:rsidRDefault="00C86381" w:rsidP="00BA154F">
      <w:pPr>
        <w:jc w:val="both"/>
        <w:rPr>
          <w:szCs w:val="22"/>
        </w:rPr>
      </w:pPr>
    </w:p>
    <w:p w14:paraId="0493DEBC" w14:textId="77777777" w:rsidR="00C86381" w:rsidRPr="005012AF" w:rsidRDefault="00C86381" w:rsidP="00465E08">
      <w:pPr>
        <w:pStyle w:val="ListParagraph"/>
        <w:numPr>
          <w:ilvl w:val="0"/>
          <w:numId w:val="12"/>
        </w:numPr>
        <w:ind w:left="567" w:hanging="567"/>
        <w:jc w:val="both"/>
        <w:rPr>
          <w:sz w:val="22"/>
          <w:szCs w:val="22"/>
          <w:lang w:val="fr-FR"/>
        </w:rPr>
      </w:pPr>
      <w:r w:rsidRPr="00E43254">
        <w:rPr>
          <w:sz w:val="22"/>
          <w:szCs w:val="22"/>
          <w:lang w:val="fr-FR"/>
        </w:rPr>
        <w:t>L</w:t>
      </w:r>
      <w:r>
        <w:rPr>
          <w:sz w:val="22"/>
          <w:szCs w:val="22"/>
          <w:lang w:val="fr-FR"/>
        </w:rPr>
        <w:t>’</w:t>
      </w:r>
      <w:r w:rsidRPr="00E43254">
        <w:rPr>
          <w:sz w:val="22"/>
          <w:szCs w:val="22"/>
          <w:lang w:val="fr-FR"/>
        </w:rPr>
        <w:t>incorporation de la JMOM dans la Stratégie de communication</w:t>
      </w:r>
      <w:r>
        <w:rPr>
          <w:sz w:val="22"/>
          <w:szCs w:val="22"/>
          <w:lang w:val="fr-FR"/>
        </w:rPr>
        <w:t xml:space="preserve"> </w:t>
      </w:r>
      <w:r w:rsidRPr="00E43254">
        <w:rPr>
          <w:sz w:val="22"/>
          <w:szCs w:val="22"/>
          <w:lang w:val="fr-FR"/>
        </w:rPr>
        <w:t>de l</w:t>
      </w:r>
      <w:r>
        <w:rPr>
          <w:sz w:val="22"/>
          <w:szCs w:val="22"/>
          <w:lang w:val="fr-FR"/>
        </w:rPr>
        <w:t>’</w:t>
      </w:r>
      <w:r w:rsidRPr="00E43254">
        <w:rPr>
          <w:sz w:val="22"/>
          <w:szCs w:val="22"/>
          <w:lang w:val="fr-FR"/>
        </w:rPr>
        <w:t>AEWA (prévue dans la DR5)</w:t>
      </w:r>
    </w:p>
    <w:p w14:paraId="37D48420" w14:textId="77777777" w:rsidR="00C86381" w:rsidRPr="005012AF" w:rsidRDefault="00C86381" w:rsidP="00465E08">
      <w:pPr>
        <w:pStyle w:val="ListParagraph"/>
        <w:numPr>
          <w:ilvl w:val="0"/>
          <w:numId w:val="12"/>
        </w:numPr>
        <w:ind w:left="567" w:hanging="567"/>
        <w:jc w:val="both"/>
        <w:rPr>
          <w:sz w:val="22"/>
          <w:szCs w:val="22"/>
          <w:lang w:val="fr-FR"/>
        </w:rPr>
      </w:pPr>
      <w:r w:rsidRPr="00095093">
        <w:rPr>
          <w:sz w:val="22"/>
          <w:szCs w:val="22"/>
          <w:lang w:val="fr-FR"/>
        </w:rPr>
        <w:t>La possibilité qu</w:t>
      </w:r>
      <w:r>
        <w:rPr>
          <w:sz w:val="22"/>
          <w:szCs w:val="22"/>
          <w:lang w:val="fr-FR"/>
        </w:rPr>
        <w:t>’</w:t>
      </w:r>
      <w:r w:rsidRPr="00095093">
        <w:rPr>
          <w:sz w:val="22"/>
          <w:szCs w:val="22"/>
          <w:lang w:val="fr-FR"/>
        </w:rPr>
        <w:t>un pays soit volontaire pour héberger la JMOM</w:t>
      </w:r>
    </w:p>
    <w:p w14:paraId="6EDD9172" w14:textId="77777777" w:rsidR="00C86381" w:rsidRPr="005012AF" w:rsidRDefault="00C86381" w:rsidP="00465E08">
      <w:pPr>
        <w:pStyle w:val="ListParagraph"/>
        <w:numPr>
          <w:ilvl w:val="0"/>
          <w:numId w:val="12"/>
        </w:numPr>
        <w:ind w:left="567" w:hanging="567"/>
        <w:jc w:val="both"/>
        <w:rPr>
          <w:sz w:val="22"/>
          <w:szCs w:val="22"/>
          <w:lang w:val="fr-FR"/>
        </w:rPr>
      </w:pPr>
      <w:r w:rsidRPr="00095093">
        <w:rPr>
          <w:sz w:val="22"/>
          <w:szCs w:val="22"/>
          <w:lang w:val="fr-FR"/>
        </w:rPr>
        <w:t>L</w:t>
      </w:r>
      <w:r>
        <w:rPr>
          <w:sz w:val="22"/>
          <w:szCs w:val="22"/>
          <w:lang w:val="fr-FR"/>
        </w:rPr>
        <w:t>’</w:t>
      </w:r>
      <w:r w:rsidRPr="00095093">
        <w:rPr>
          <w:sz w:val="22"/>
          <w:szCs w:val="22"/>
          <w:lang w:val="fr-FR"/>
        </w:rPr>
        <w:t>intensification des efforts de levée de fonds</w:t>
      </w:r>
    </w:p>
    <w:p w14:paraId="4521A9BD" w14:textId="77777777" w:rsidR="00C86381" w:rsidRPr="005012AF" w:rsidRDefault="00C86381" w:rsidP="00465E08">
      <w:pPr>
        <w:pStyle w:val="ListParagraph"/>
        <w:numPr>
          <w:ilvl w:val="0"/>
          <w:numId w:val="12"/>
        </w:numPr>
        <w:ind w:left="567" w:hanging="567"/>
        <w:jc w:val="both"/>
        <w:rPr>
          <w:sz w:val="22"/>
          <w:szCs w:val="22"/>
          <w:lang w:val="fr-FR"/>
        </w:rPr>
      </w:pPr>
      <w:r w:rsidRPr="00095093">
        <w:rPr>
          <w:sz w:val="22"/>
          <w:szCs w:val="22"/>
          <w:lang w:val="fr-FR"/>
        </w:rPr>
        <w:t>L</w:t>
      </w:r>
      <w:r>
        <w:rPr>
          <w:sz w:val="22"/>
          <w:szCs w:val="22"/>
          <w:lang w:val="fr-FR"/>
        </w:rPr>
        <w:t>’</w:t>
      </w:r>
      <w:r w:rsidRPr="00095093">
        <w:rPr>
          <w:sz w:val="22"/>
          <w:szCs w:val="22"/>
          <w:lang w:val="fr-FR"/>
        </w:rPr>
        <w:t>établissement de liens encore plus étroits avec les événements s</w:t>
      </w:r>
      <w:r>
        <w:rPr>
          <w:sz w:val="22"/>
          <w:szCs w:val="22"/>
          <w:lang w:val="fr-FR"/>
        </w:rPr>
        <w:t>’</w:t>
      </w:r>
      <w:r w:rsidRPr="00095093">
        <w:rPr>
          <w:sz w:val="22"/>
          <w:szCs w:val="22"/>
          <w:lang w:val="fr-FR"/>
        </w:rPr>
        <w:t>y rapportant</w:t>
      </w:r>
    </w:p>
    <w:p w14:paraId="3779A415" w14:textId="77777777" w:rsidR="00C86381" w:rsidRPr="005012AF" w:rsidRDefault="00C86381" w:rsidP="00465E08">
      <w:pPr>
        <w:pStyle w:val="ListParagraph"/>
        <w:numPr>
          <w:ilvl w:val="0"/>
          <w:numId w:val="12"/>
        </w:numPr>
        <w:ind w:left="567" w:hanging="567"/>
        <w:jc w:val="both"/>
        <w:rPr>
          <w:sz w:val="22"/>
          <w:szCs w:val="22"/>
          <w:lang w:val="fr-FR"/>
        </w:rPr>
      </w:pPr>
      <w:r w:rsidRPr="009E4993">
        <w:rPr>
          <w:sz w:val="22"/>
          <w:szCs w:val="22"/>
          <w:lang w:val="fr-FR"/>
        </w:rPr>
        <w:t xml:space="preserve">La mise en place de la JMOM en tant que journée mondiale officielle </w:t>
      </w:r>
      <w:r>
        <w:rPr>
          <w:sz w:val="22"/>
          <w:szCs w:val="22"/>
          <w:lang w:val="fr-FR"/>
        </w:rPr>
        <w:t>décrétée par</w:t>
      </w:r>
      <w:r w:rsidRPr="009E4993">
        <w:rPr>
          <w:sz w:val="22"/>
          <w:szCs w:val="22"/>
          <w:lang w:val="fr-FR"/>
        </w:rPr>
        <w:t xml:space="preserve"> l</w:t>
      </w:r>
      <w:r>
        <w:rPr>
          <w:sz w:val="22"/>
          <w:szCs w:val="22"/>
          <w:lang w:val="fr-FR"/>
        </w:rPr>
        <w:t>’</w:t>
      </w:r>
      <w:r w:rsidRPr="009E4993">
        <w:rPr>
          <w:sz w:val="22"/>
          <w:szCs w:val="22"/>
          <w:lang w:val="fr-FR"/>
        </w:rPr>
        <w:t>ONU</w:t>
      </w:r>
    </w:p>
    <w:p w14:paraId="50988D19" w14:textId="77777777" w:rsidR="00C86381" w:rsidRPr="005012AF" w:rsidRDefault="00C86381" w:rsidP="00BA154F">
      <w:pPr>
        <w:jc w:val="both"/>
        <w:rPr>
          <w:szCs w:val="22"/>
          <w:lang w:val="fr-FR"/>
        </w:rPr>
      </w:pPr>
    </w:p>
    <w:p w14:paraId="0769DF43" w14:textId="70DCD188" w:rsidR="00C86381" w:rsidRPr="005012AF" w:rsidRDefault="00C86381" w:rsidP="00BA154F">
      <w:pPr>
        <w:jc w:val="both"/>
        <w:rPr>
          <w:szCs w:val="22"/>
          <w:lang w:val="fr-FR"/>
        </w:rPr>
      </w:pPr>
      <w:r w:rsidRPr="00E657B1">
        <w:rPr>
          <w:szCs w:val="22"/>
          <w:lang w:val="fr-FR"/>
        </w:rPr>
        <w:t>14</w:t>
      </w:r>
      <w:r w:rsidR="003E6AAC">
        <w:rPr>
          <w:szCs w:val="22"/>
          <w:lang w:val="fr-FR"/>
        </w:rPr>
        <w:t>5</w:t>
      </w:r>
      <w:r w:rsidRPr="00E657B1">
        <w:rPr>
          <w:szCs w:val="22"/>
          <w:lang w:val="fr-FR"/>
        </w:rPr>
        <w:t>. À l</w:t>
      </w:r>
      <w:r>
        <w:rPr>
          <w:szCs w:val="22"/>
          <w:lang w:val="fr-FR"/>
        </w:rPr>
        <w:t>’</w:t>
      </w:r>
      <w:r w:rsidRPr="00E657B1">
        <w:rPr>
          <w:szCs w:val="22"/>
          <w:lang w:val="fr-FR"/>
        </w:rPr>
        <w:t xml:space="preserve">issue de discussions, </w:t>
      </w:r>
      <w:r>
        <w:rPr>
          <w:szCs w:val="22"/>
          <w:lang w:val="fr-FR"/>
        </w:rPr>
        <w:t>avec</w:t>
      </w:r>
      <w:r w:rsidRPr="00E657B1">
        <w:rPr>
          <w:szCs w:val="22"/>
          <w:lang w:val="fr-FR"/>
        </w:rPr>
        <w:t xml:space="preserve"> la participation de la </w:t>
      </w:r>
      <w:r w:rsidRPr="00E657B1">
        <w:rPr>
          <w:b/>
          <w:szCs w:val="22"/>
          <w:lang w:val="fr-FR"/>
        </w:rPr>
        <w:t>Libye</w:t>
      </w:r>
      <w:r w:rsidRPr="00E657B1">
        <w:rPr>
          <w:szCs w:val="22"/>
          <w:lang w:val="fr-FR"/>
        </w:rPr>
        <w:t xml:space="preserve">, du </w:t>
      </w:r>
      <w:r w:rsidRPr="00E657B1">
        <w:rPr>
          <w:b/>
          <w:szCs w:val="22"/>
          <w:lang w:val="fr-FR"/>
        </w:rPr>
        <w:t>Mali</w:t>
      </w:r>
      <w:r w:rsidRPr="00E657B1">
        <w:rPr>
          <w:szCs w:val="22"/>
          <w:lang w:val="fr-FR"/>
        </w:rPr>
        <w:t xml:space="preserve">, du </w:t>
      </w:r>
      <w:r w:rsidRPr="00E657B1">
        <w:rPr>
          <w:b/>
          <w:szCs w:val="22"/>
          <w:lang w:val="fr-FR"/>
        </w:rPr>
        <w:t>Sénégal</w:t>
      </w:r>
      <w:r w:rsidRPr="00E657B1">
        <w:rPr>
          <w:szCs w:val="22"/>
          <w:lang w:val="fr-FR"/>
        </w:rPr>
        <w:t xml:space="preserve"> et </w:t>
      </w:r>
      <w:r>
        <w:rPr>
          <w:szCs w:val="22"/>
          <w:lang w:val="fr-FR"/>
        </w:rPr>
        <w:t xml:space="preserve">de </w:t>
      </w:r>
      <w:r w:rsidRPr="00E657B1">
        <w:rPr>
          <w:szCs w:val="22"/>
          <w:lang w:val="fr-FR"/>
        </w:rPr>
        <w:t xml:space="preserve">la </w:t>
      </w:r>
      <w:r w:rsidRPr="00E657B1">
        <w:rPr>
          <w:b/>
          <w:szCs w:val="22"/>
          <w:lang w:val="fr-FR"/>
        </w:rPr>
        <w:t>Tunisie</w:t>
      </w:r>
      <w:r w:rsidRPr="00E657B1">
        <w:rPr>
          <w:szCs w:val="22"/>
          <w:lang w:val="fr-FR"/>
        </w:rPr>
        <w:t xml:space="preserve">, le </w:t>
      </w:r>
      <w:r w:rsidRPr="00E657B1">
        <w:rPr>
          <w:b/>
          <w:szCs w:val="22"/>
          <w:lang w:val="fr-FR"/>
        </w:rPr>
        <w:t xml:space="preserve">Président </w:t>
      </w:r>
      <w:r w:rsidRPr="00E657B1">
        <w:rPr>
          <w:szCs w:val="22"/>
          <w:lang w:val="fr-FR"/>
        </w:rPr>
        <w:t>a conclu qu</w:t>
      </w:r>
      <w:r>
        <w:rPr>
          <w:szCs w:val="22"/>
          <w:lang w:val="fr-FR"/>
        </w:rPr>
        <w:t>’</w:t>
      </w:r>
      <w:r w:rsidRPr="00E657B1">
        <w:rPr>
          <w:szCs w:val="22"/>
          <w:lang w:val="fr-FR"/>
        </w:rPr>
        <w:t>il n</w:t>
      </w:r>
      <w:r>
        <w:rPr>
          <w:szCs w:val="22"/>
          <w:lang w:val="fr-FR"/>
        </w:rPr>
        <w:t>’</w:t>
      </w:r>
      <w:r w:rsidRPr="00E657B1">
        <w:rPr>
          <w:szCs w:val="22"/>
          <w:lang w:val="fr-FR"/>
        </w:rPr>
        <w:t>y avait pas à douter de l</w:t>
      </w:r>
      <w:r>
        <w:rPr>
          <w:szCs w:val="22"/>
          <w:lang w:val="fr-FR"/>
        </w:rPr>
        <w:t>’</w:t>
      </w:r>
      <w:r w:rsidRPr="00E657B1">
        <w:rPr>
          <w:szCs w:val="22"/>
          <w:lang w:val="fr-FR"/>
        </w:rPr>
        <w:t>enthousiasme général pour cet événement, mais qu</w:t>
      </w:r>
      <w:r>
        <w:rPr>
          <w:szCs w:val="22"/>
          <w:lang w:val="fr-FR"/>
        </w:rPr>
        <w:t>’</w:t>
      </w:r>
      <w:r w:rsidRPr="00E657B1">
        <w:rPr>
          <w:szCs w:val="22"/>
          <w:lang w:val="fr-FR"/>
        </w:rPr>
        <w:t>il serait impossible de sélectionner une date pour la JMOM</w:t>
      </w:r>
      <w:r>
        <w:rPr>
          <w:szCs w:val="22"/>
          <w:lang w:val="fr-FR"/>
        </w:rPr>
        <w:t xml:space="preserve"> à laquelle</w:t>
      </w:r>
      <w:r w:rsidRPr="00E657B1">
        <w:rPr>
          <w:szCs w:val="22"/>
          <w:lang w:val="fr-FR"/>
        </w:rPr>
        <w:t xml:space="preserve"> de vastes effectifs d</w:t>
      </w:r>
      <w:r>
        <w:rPr>
          <w:szCs w:val="22"/>
          <w:lang w:val="fr-FR"/>
        </w:rPr>
        <w:t>’</w:t>
      </w:r>
      <w:r w:rsidRPr="00E657B1">
        <w:rPr>
          <w:szCs w:val="22"/>
          <w:lang w:val="fr-FR"/>
        </w:rPr>
        <w:t>oiseaux d</w:t>
      </w:r>
      <w:r>
        <w:rPr>
          <w:szCs w:val="22"/>
          <w:lang w:val="fr-FR"/>
        </w:rPr>
        <w:t>’</w:t>
      </w:r>
      <w:r w:rsidRPr="00E657B1">
        <w:rPr>
          <w:szCs w:val="22"/>
          <w:lang w:val="fr-FR"/>
        </w:rPr>
        <w:t xml:space="preserve">eau migrateurs </w:t>
      </w:r>
      <w:r>
        <w:rPr>
          <w:szCs w:val="22"/>
          <w:lang w:val="fr-FR"/>
        </w:rPr>
        <w:t>serai</w:t>
      </w:r>
      <w:r w:rsidRPr="00E657B1">
        <w:rPr>
          <w:szCs w:val="22"/>
          <w:lang w:val="fr-FR"/>
        </w:rPr>
        <w:t>ent présent</w:t>
      </w:r>
      <w:r>
        <w:rPr>
          <w:szCs w:val="22"/>
          <w:lang w:val="fr-FR"/>
        </w:rPr>
        <w:t>s</w:t>
      </w:r>
      <w:r w:rsidRPr="00E657B1">
        <w:rPr>
          <w:szCs w:val="22"/>
          <w:lang w:val="fr-FR"/>
        </w:rPr>
        <w:t xml:space="preserve"> partout tout au long des voies de migration d</w:t>
      </w:r>
      <w:r>
        <w:rPr>
          <w:szCs w:val="22"/>
          <w:lang w:val="fr-FR"/>
        </w:rPr>
        <w:t>’</w:t>
      </w:r>
      <w:r w:rsidRPr="00E657B1">
        <w:rPr>
          <w:szCs w:val="22"/>
          <w:lang w:val="fr-FR"/>
        </w:rPr>
        <w:t>Afrique-Eurasie. Il éta</w:t>
      </w:r>
      <w:r>
        <w:rPr>
          <w:szCs w:val="22"/>
          <w:lang w:val="fr-FR"/>
        </w:rPr>
        <w:t>i</w:t>
      </w:r>
      <w:r w:rsidRPr="00E657B1">
        <w:rPr>
          <w:szCs w:val="22"/>
          <w:lang w:val="fr-FR"/>
        </w:rPr>
        <w:t>t cependant nécessaire de déployer des efforts de communication plus intensif</w:t>
      </w:r>
      <w:r>
        <w:rPr>
          <w:szCs w:val="22"/>
          <w:lang w:val="fr-FR"/>
        </w:rPr>
        <w:t>s</w:t>
      </w:r>
      <w:r w:rsidRPr="00E657B1">
        <w:rPr>
          <w:szCs w:val="22"/>
          <w:lang w:val="fr-FR"/>
        </w:rPr>
        <w:t xml:space="preserve"> autour de cet événement.</w:t>
      </w:r>
    </w:p>
    <w:p w14:paraId="03A6C564" w14:textId="77777777" w:rsidR="00C86381" w:rsidRPr="005012AF" w:rsidRDefault="00C86381" w:rsidP="00BA154F">
      <w:pPr>
        <w:jc w:val="both"/>
        <w:rPr>
          <w:szCs w:val="22"/>
          <w:lang w:val="fr-FR"/>
        </w:rPr>
      </w:pPr>
    </w:p>
    <w:p w14:paraId="1C542C58" w14:textId="77777777" w:rsidR="00792FC9" w:rsidRPr="005012AF" w:rsidRDefault="00792FC9" w:rsidP="00BA154F">
      <w:pPr>
        <w:jc w:val="both"/>
        <w:rPr>
          <w:szCs w:val="22"/>
          <w:lang w:val="fr-FR"/>
        </w:rPr>
      </w:pPr>
    </w:p>
    <w:p w14:paraId="2FEF3BB6" w14:textId="77777777" w:rsidR="00C86381" w:rsidRPr="005012AF" w:rsidRDefault="00C86381" w:rsidP="00BA154F">
      <w:pPr>
        <w:jc w:val="both"/>
        <w:rPr>
          <w:b/>
          <w:szCs w:val="22"/>
          <w:lang w:val="fr-FR"/>
        </w:rPr>
      </w:pPr>
      <w:r w:rsidRPr="009742CE">
        <w:rPr>
          <w:b/>
          <w:szCs w:val="22"/>
          <w:lang w:val="fr-FR"/>
        </w:rPr>
        <w:t>Point 19 de l</w:t>
      </w:r>
      <w:r>
        <w:rPr>
          <w:b/>
          <w:szCs w:val="22"/>
          <w:lang w:val="fr-FR"/>
        </w:rPr>
        <w:t>’</w:t>
      </w:r>
      <w:r w:rsidRPr="009742CE">
        <w:rPr>
          <w:b/>
          <w:szCs w:val="22"/>
          <w:lang w:val="fr-FR"/>
        </w:rPr>
        <w:t xml:space="preserve">ordre </w:t>
      </w:r>
      <w:r>
        <w:rPr>
          <w:b/>
          <w:szCs w:val="22"/>
          <w:lang w:val="fr-FR"/>
        </w:rPr>
        <w:t>du jour -</w:t>
      </w:r>
      <w:r w:rsidRPr="009742CE">
        <w:rPr>
          <w:b/>
          <w:szCs w:val="22"/>
          <w:lang w:val="fr-FR"/>
        </w:rPr>
        <w:t xml:space="preserve"> Propositions d</w:t>
      </w:r>
      <w:r>
        <w:rPr>
          <w:b/>
          <w:szCs w:val="22"/>
          <w:lang w:val="fr-FR"/>
        </w:rPr>
        <w:t>’</w:t>
      </w:r>
      <w:r w:rsidRPr="009742CE">
        <w:rPr>
          <w:b/>
          <w:szCs w:val="22"/>
          <w:lang w:val="fr-FR"/>
        </w:rPr>
        <w:t>amendements à l</w:t>
      </w:r>
      <w:r>
        <w:rPr>
          <w:b/>
          <w:szCs w:val="22"/>
          <w:lang w:val="fr-FR"/>
        </w:rPr>
        <w:t>’</w:t>
      </w:r>
      <w:r w:rsidRPr="009742CE">
        <w:rPr>
          <w:b/>
          <w:szCs w:val="22"/>
          <w:lang w:val="fr-FR"/>
        </w:rPr>
        <w:t>Accord et/ou ses Annexes, et conseils pour l</w:t>
      </w:r>
      <w:r>
        <w:rPr>
          <w:b/>
          <w:szCs w:val="22"/>
          <w:lang w:val="fr-FR"/>
        </w:rPr>
        <w:t>’</w:t>
      </w:r>
      <w:r w:rsidRPr="009742CE">
        <w:rPr>
          <w:b/>
          <w:szCs w:val="22"/>
          <w:lang w:val="fr-FR"/>
        </w:rPr>
        <w:t>interprétation des critères utilisés au Tableau 1 du Plan d</w:t>
      </w:r>
      <w:r>
        <w:rPr>
          <w:b/>
          <w:szCs w:val="22"/>
          <w:lang w:val="fr-FR"/>
        </w:rPr>
        <w:t>’</w:t>
      </w:r>
      <w:r w:rsidRPr="009742CE">
        <w:rPr>
          <w:b/>
          <w:szCs w:val="22"/>
          <w:lang w:val="fr-FR"/>
        </w:rPr>
        <w:t>action de l</w:t>
      </w:r>
      <w:r>
        <w:rPr>
          <w:b/>
          <w:szCs w:val="22"/>
          <w:lang w:val="fr-FR"/>
        </w:rPr>
        <w:t>’</w:t>
      </w:r>
      <w:r w:rsidRPr="009742CE">
        <w:rPr>
          <w:b/>
          <w:szCs w:val="22"/>
          <w:lang w:val="fr-FR"/>
        </w:rPr>
        <w:t>AEWA</w:t>
      </w:r>
    </w:p>
    <w:p w14:paraId="07D2794E" w14:textId="77777777" w:rsidR="00C86381" w:rsidRPr="005012AF" w:rsidRDefault="00C86381" w:rsidP="00BA154F">
      <w:pPr>
        <w:jc w:val="both"/>
        <w:rPr>
          <w:szCs w:val="22"/>
          <w:lang w:val="fr-FR"/>
        </w:rPr>
      </w:pPr>
    </w:p>
    <w:p w14:paraId="3084640D" w14:textId="7C1596E6" w:rsidR="00C86381" w:rsidRPr="005012AF" w:rsidRDefault="00C86381" w:rsidP="00BA154F">
      <w:pPr>
        <w:shd w:val="pct70" w:color="FFFFFF" w:fill="auto"/>
        <w:jc w:val="both"/>
        <w:rPr>
          <w:lang w:val="fr-FR"/>
        </w:rPr>
      </w:pPr>
      <w:r w:rsidRPr="00DF417E">
        <w:rPr>
          <w:szCs w:val="22"/>
          <w:lang w:val="fr-FR"/>
        </w:rPr>
        <w:t>14</w:t>
      </w:r>
      <w:r w:rsidR="003E6AAC">
        <w:rPr>
          <w:szCs w:val="22"/>
          <w:lang w:val="fr-FR"/>
        </w:rPr>
        <w:t>6</w:t>
      </w:r>
      <w:r w:rsidRPr="00DF417E">
        <w:rPr>
          <w:szCs w:val="22"/>
          <w:lang w:val="fr-FR"/>
        </w:rPr>
        <w:t>. L</w:t>
      </w:r>
      <w:r>
        <w:rPr>
          <w:szCs w:val="22"/>
          <w:lang w:val="fr-FR"/>
        </w:rPr>
        <w:t>’</w:t>
      </w:r>
      <w:r w:rsidRPr="00DF417E">
        <w:rPr>
          <w:b/>
          <w:szCs w:val="22"/>
          <w:lang w:val="fr-FR"/>
        </w:rPr>
        <w:t xml:space="preserve">Administrateur technique </w:t>
      </w:r>
      <w:r w:rsidRPr="00DF417E">
        <w:rPr>
          <w:szCs w:val="22"/>
          <w:lang w:val="fr-FR"/>
        </w:rPr>
        <w:t xml:space="preserve">a fait une présentation introduisant le document AEWA/MOP 5.20 </w:t>
      </w:r>
      <w:r w:rsidRPr="00DF417E">
        <w:rPr>
          <w:bCs/>
          <w:i/>
          <w:szCs w:val="22"/>
          <w:lang w:val="fr-FR"/>
        </w:rPr>
        <w:t>Propositions d</w:t>
      </w:r>
      <w:r>
        <w:rPr>
          <w:bCs/>
          <w:i/>
          <w:szCs w:val="22"/>
          <w:lang w:val="fr-FR"/>
        </w:rPr>
        <w:t>’</w:t>
      </w:r>
      <w:r w:rsidRPr="00DF417E">
        <w:rPr>
          <w:bCs/>
          <w:i/>
          <w:szCs w:val="22"/>
          <w:lang w:val="fr-FR"/>
        </w:rPr>
        <w:t>amendement à</w:t>
      </w:r>
      <w:r>
        <w:rPr>
          <w:bCs/>
          <w:i/>
          <w:szCs w:val="22"/>
          <w:lang w:val="fr-FR"/>
        </w:rPr>
        <w:t xml:space="preserve"> </w:t>
      </w:r>
      <w:r w:rsidRPr="00DF417E">
        <w:rPr>
          <w:bCs/>
          <w:i/>
          <w:szCs w:val="22"/>
          <w:lang w:val="fr-FR"/>
        </w:rPr>
        <w:t>l</w:t>
      </w:r>
      <w:r>
        <w:rPr>
          <w:bCs/>
          <w:i/>
          <w:szCs w:val="22"/>
          <w:lang w:val="fr-FR"/>
        </w:rPr>
        <w:t>’</w:t>
      </w:r>
      <w:r w:rsidRPr="00DF417E">
        <w:rPr>
          <w:bCs/>
          <w:i/>
          <w:szCs w:val="22"/>
          <w:lang w:val="fr-FR"/>
        </w:rPr>
        <w:t>Annexe 3 (Plan d</w:t>
      </w:r>
      <w:r>
        <w:rPr>
          <w:bCs/>
          <w:i/>
          <w:szCs w:val="22"/>
          <w:lang w:val="fr-FR"/>
        </w:rPr>
        <w:t>’</w:t>
      </w:r>
      <w:r w:rsidRPr="00DF417E">
        <w:rPr>
          <w:bCs/>
          <w:i/>
          <w:szCs w:val="22"/>
          <w:lang w:val="fr-FR"/>
        </w:rPr>
        <w:t>action et Tableau 1) à la 5</w:t>
      </w:r>
      <w:r w:rsidRPr="00DF417E">
        <w:rPr>
          <w:bCs/>
          <w:i/>
          <w:szCs w:val="22"/>
          <w:vertAlign w:val="superscript"/>
          <w:lang w:val="fr-FR"/>
        </w:rPr>
        <w:t>ème</w:t>
      </w:r>
      <w:r w:rsidRPr="00DF417E">
        <w:rPr>
          <w:bCs/>
          <w:i/>
          <w:szCs w:val="22"/>
          <w:lang w:val="fr-FR"/>
        </w:rPr>
        <w:t xml:space="preserve"> Réunion des Parties à l</w:t>
      </w:r>
      <w:r>
        <w:rPr>
          <w:bCs/>
          <w:i/>
          <w:szCs w:val="22"/>
          <w:lang w:val="fr-FR"/>
        </w:rPr>
        <w:t>’</w:t>
      </w:r>
      <w:r w:rsidRPr="00DF417E">
        <w:rPr>
          <w:bCs/>
          <w:i/>
          <w:szCs w:val="22"/>
          <w:lang w:val="fr-FR"/>
        </w:rPr>
        <w:t>AEWA</w:t>
      </w:r>
      <w:r w:rsidRPr="00DF417E">
        <w:rPr>
          <w:bCs/>
          <w:szCs w:val="22"/>
          <w:lang w:val="fr-FR"/>
        </w:rPr>
        <w:t xml:space="preserve">, le </w:t>
      </w:r>
      <w:r w:rsidRPr="00DF417E">
        <w:rPr>
          <w:szCs w:val="22"/>
          <w:lang w:val="fr-FR"/>
        </w:rPr>
        <w:t xml:space="preserve">document AEWA/MOP 5.20 Addendum </w:t>
      </w:r>
      <w:proofErr w:type="spellStart"/>
      <w:r w:rsidRPr="00DF417E">
        <w:rPr>
          <w:szCs w:val="22"/>
          <w:lang w:val="fr-FR"/>
        </w:rPr>
        <w:t>Rév</w:t>
      </w:r>
      <w:proofErr w:type="spellEnd"/>
      <w:r w:rsidRPr="00DF417E">
        <w:rPr>
          <w:szCs w:val="22"/>
          <w:lang w:val="fr-FR"/>
        </w:rPr>
        <w:t xml:space="preserve">. 1 </w:t>
      </w:r>
      <w:r w:rsidRPr="00DF417E">
        <w:rPr>
          <w:i/>
          <w:szCs w:val="22"/>
          <w:lang w:val="fr-FR"/>
        </w:rPr>
        <w:t>Commentaires des Parties sur les propositions d</w:t>
      </w:r>
      <w:r>
        <w:rPr>
          <w:i/>
          <w:szCs w:val="22"/>
          <w:lang w:val="fr-FR"/>
        </w:rPr>
        <w:t>’</w:t>
      </w:r>
      <w:r w:rsidRPr="00DF417E">
        <w:rPr>
          <w:i/>
          <w:szCs w:val="22"/>
          <w:lang w:val="fr-FR"/>
        </w:rPr>
        <w:t>amendement à l</w:t>
      </w:r>
      <w:r>
        <w:rPr>
          <w:i/>
          <w:szCs w:val="22"/>
          <w:lang w:val="fr-FR"/>
        </w:rPr>
        <w:t>’</w:t>
      </w:r>
      <w:r w:rsidRPr="00DF417E">
        <w:rPr>
          <w:i/>
          <w:szCs w:val="22"/>
          <w:lang w:val="fr-FR"/>
        </w:rPr>
        <w:t>annexe 3 (Plan d</w:t>
      </w:r>
      <w:r>
        <w:rPr>
          <w:i/>
          <w:szCs w:val="22"/>
          <w:lang w:val="fr-FR"/>
        </w:rPr>
        <w:t>’</w:t>
      </w:r>
      <w:r w:rsidRPr="00DF417E">
        <w:rPr>
          <w:i/>
          <w:szCs w:val="22"/>
          <w:lang w:val="fr-FR"/>
        </w:rPr>
        <w:t>action et Tableau 1) de l</w:t>
      </w:r>
      <w:r>
        <w:rPr>
          <w:i/>
          <w:szCs w:val="22"/>
          <w:lang w:val="fr-FR"/>
        </w:rPr>
        <w:t>’</w:t>
      </w:r>
      <w:r w:rsidRPr="00DF417E">
        <w:rPr>
          <w:i/>
          <w:szCs w:val="22"/>
          <w:lang w:val="fr-FR"/>
        </w:rPr>
        <w:t xml:space="preserve">AEWA </w:t>
      </w:r>
      <w:r w:rsidRPr="00DF417E">
        <w:rPr>
          <w:szCs w:val="22"/>
          <w:lang w:val="fr-FR"/>
        </w:rPr>
        <w:t>et l</w:t>
      </w:r>
      <w:r>
        <w:rPr>
          <w:szCs w:val="22"/>
          <w:lang w:val="fr-FR"/>
        </w:rPr>
        <w:t>’</w:t>
      </w:r>
      <w:r w:rsidRPr="00DF417E">
        <w:rPr>
          <w:bCs/>
          <w:szCs w:val="22"/>
          <w:lang w:val="fr-FR"/>
        </w:rPr>
        <w:t>avant-projet de Résolution</w:t>
      </w:r>
      <w:r>
        <w:rPr>
          <w:i/>
          <w:szCs w:val="22"/>
          <w:lang w:val="fr-FR"/>
        </w:rPr>
        <w:t xml:space="preserve"> </w:t>
      </w:r>
      <w:r w:rsidRPr="00DF417E">
        <w:rPr>
          <w:bCs/>
          <w:szCs w:val="22"/>
          <w:lang w:val="fr-FR"/>
        </w:rPr>
        <w:t xml:space="preserve">AEWA/MOP DR6 </w:t>
      </w:r>
      <w:proofErr w:type="spellStart"/>
      <w:r>
        <w:rPr>
          <w:bCs/>
          <w:szCs w:val="22"/>
          <w:lang w:val="fr-FR"/>
        </w:rPr>
        <w:t>Rév</w:t>
      </w:r>
      <w:proofErr w:type="spellEnd"/>
      <w:r>
        <w:rPr>
          <w:bCs/>
          <w:szCs w:val="22"/>
          <w:lang w:val="fr-FR"/>
        </w:rPr>
        <w:t xml:space="preserve">. 1 </w:t>
      </w:r>
      <w:r w:rsidRPr="00DF417E">
        <w:rPr>
          <w:bCs/>
          <w:i/>
          <w:szCs w:val="22"/>
          <w:lang w:val="fr-FR"/>
        </w:rPr>
        <w:t>Adoption des</w:t>
      </w:r>
      <w:r>
        <w:rPr>
          <w:bCs/>
          <w:i/>
          <w:szCs w:val="22"/>
          <w:lang w:val="fr-FR"/>
        </w:rPr>
        <w:t xml:space="preserve"> </w:t>
      </w:r>
      <w:r w:rsidRPr="00DF417E">
        <w:rPr>
          <w:bCs/>
          <w:i/>
          <w:szCs w:val="22"/>
          <w:lang w:val="fr-FR"/>
        </w:rPr>
        <w:t>amendements au Plan d</w:t>
      </w:r>
      <w:r>
        <w:rPr>
          <w:bCs/>
          <w:i/>
          <w:szCs w:val="22"/>
          <w:lang w:val="fr-FR"/>
        </w:rPr>
        <w:t>’</w:t>
      </w:r>
      <w:r w:rsidRPr="00DF417E">
        <w:rPr>
          <w:bCs/>
          <w:i/>
          <w:szCs w:val="22"/>
          <w:lang w:val="fr-FR"/>
        </w:rPr>
        <w:t>action de l</w:t>
      </w:r>
      <w:r>
        <w:rPr>
          <w:bCs/>
          <w:i/>
          <w:szCs w:val="22"/>
          <w:lang w:val="fr-FR"/>
        </w:rPr>
        <w:t>’</w:t>
      </w:r>
      <w:r w:rsidRPr="00DF417E">
        <w:rPr>
          <w:bCs/>
          <w:i/>
          <w:szCs w:val="22"/>
          <w:lang w:val="fr-FR"/>
        </w:rPr>
        <w:t>AEWA</w:t>
      </w:r>
      <w:r w:rsidRPr="00DF417E">
        <w:rPr>
          <w:bCs/>
          <w:szCs w:val="22"/>
          <w:lang w:val="fr-FR"/>
        </w:rPr>
        <w:t>.</w:t>
      </w:r>
      <w:r w:rsidRPr="00DF417E">
        <w:rPr>
          <w:szCs w:val="22"/>
          <w:lang w:val="fr-FR"/>
        </w:rPr>
        <w:t xml:space="preserve"> Le gouvernement du Kenya a soumis une série de propositions sur la base du travail réalisé entre les sessions par le TC. Des commentaires sur ces propositions ont été reçus de l</w:t>
      </w:r>
      <w:r>
        <w:rPr>
          <w:szCs w:val="22"/>
          <w:lang w:val="fr-FR"/>
        </w:rPr>
        <w:t>’</w:t>
      </w:r>
      <w:r w:rsidRPr="00DF417E">
        <w:rPr>
          <w:szCs w:val="22"/>
          <w:lang w:val="fr-FR"/>
        </w:rPr>
        <w:t>UE avant la MOP, dans les délais réglementaires.</w:t>
      </w:r>
    </w:p>
    <w:p w14:paraId="61FF21D5" w14:textId="77777777" w:rsidR="00C86381" w:rsidRPr="005012AF" w:rsidRDefault="00C86381" w:rsidP="00BA154F">
      <w:pPr>
        <w:jc w:val="both"/>
        <w:rPr>
          <w:szCs w:val="22"/>
          <w:lang w:val="fr-FR"/>
        </w:rPr>
      </w:pPr>
    </w:p>
    <w:p w14:paraId="104C7615" w14:textId="4EEAF7D4" w:rsidR="00C86381" w:rsidRPr="005012AF" w:rsidRDefault="00C86381" w:rsidP="00BA154F">
      <w:pPr>
        <w:jc w:val="both"/>
        <w:outlineLvl w:val="0"/>
        <w:rPr>
          <w:szCs w:val="22"/>
          <w:lang w:val="fr-FR"/>
        </w:rPr>
      </w:pPr>
      <w:r w:rsidRPr="0072492E">
        <w:rPr>
          <w:szCs w:val="22"/>
          <w:lang w:val="fr-FR"/>
        </w:rPr>
        <w:t>14</w:t>
      </w:r>
      <w:r w:rsidR="003E6AAC">
        <w:rPr>
          <w:szCs w:val="22"/>
          <w:lang w:val="fr-FR"/>
        </w:rPr>
        <w:t>7</w:t>
      </w:r>
      <w:r w:rsidRPr="0072492E">
        <w:rPr>
          <w:szCs w:val="22"/>
          <w:lang w:val="fr-FR"/>
        </w:rPr>
        <w:t xml:space="preserve">. Le </w:t>
      </w:r>
      <w:r w:rsidRPr="0072492E">
        <w:rPr>
          <w:b/>
          <w:szCs w:val="22"/>
          <w:lang w:val="fr-FR"/>
        </w:rPr>
        <w:t xml:space="preserve">Président </w:t>
      </w:r>
      <w:r w:rsidRPr="0072492E">
        <w:rPr>
          <w:szCs w:val="22"/>
          <w:lang w:val="fr-FR"/>
        </w:rPr>
        <w:t>a</w:t>
      </w:r>
      <w:r w:rsidRPr="0072492E">
        <w:rPr>
          <w:b/>
          <w:szCs w:val="22"/>
          <w:lang w:val="fr-FR"/>
        </w:rPr>
        <w:t xml:space="preserve"> </w:t>
      </w:r>
      <w:r w:rsidRPr="0072492E">
        <w:rPr>
          <w:szCs w:val="22"/>
          <w:lang w:val="fr-FR"/>
        </w:rPr>
        <w:t>invité les participants à faire des remarques générales.</w:t>
      </w:r>
    </w:p>
    <w:p w14:paraId="605AB1DC" w14:textId="77777777" w:rsidR="00C86381" w:rsidRPr="005012AF" w:rsidRDefault="00C86381" w:rsidP="00BA154F">
      <w:pPr>
        <w:jc w:val="both"/>
        <w:rPr>
          <w:szCs w:val="22"/>
          <w:lang w:val="fr-FR"/>
        </w:rPr>
      </w:pPr>
    </w:p>
    <w:p w14:paraId="12662189" w14:textId="513DDD46" w:rsidR="00C86381" w:rsidRPr="005012AF" w:rsidRDefault="00C86381" w:rsidP="00BA154F">
      <w:pPr>
        <w:jc w:val="both"/>
        <w:rPr>
          <w:szCs w:val="22"/>
          <w:lang w:val="fr-FR"/>
        </w:rPr>
      </w:pPr>
      <w:r w:rsidRPr="00C85B75">
        <w:rPr>
          <w:szCs w:val="22"/>
          <w:lang w:val="fr-FR"/>
        </w:rPr>
        <w:t>14</w:t>
      </w:r>
      <w:r w:rsidR="003E6AAC">
        <w:rPr>
          <w:szCs w:val="22"/>
          <w:lang w:val="fr-FR"/>
        </w:rPr>
        <w:t>8</w:t>
      </w:r>
      <w:r w:rsidRPr="00C85B75">
        <w:rPr>
          <w:szCs w:val="22"/>
          <w:lang w:val="fr-FR"/>
        </w:rPr>
        <w:t xml:space="preserve">. Le représentant de </w:t>
      </w:r>
      <w:r w:rsidRPr="00300FE7">
        <w:rPr>
          <w:b/>
          <w:szCs w:val="22"/>
          <w:lang w:val="fr-FR"/>
        </w:rPr>
        <w:t>l</w:t>
      </w:r>
      <w:r>
        <w:rPr>
          <w:b/>
          <w:szCs w:val="22"/>
          <w:lang w:val="fr-FR"/>
        </w:rPr>
        <w:t>’</w:t>
      </w:r>
      <w:r w:rsidRPr="00300FE7">
        <w:rPr>
          <w:b/>
          <w:szCs w:val="22"/>
          <w:lang w:val="fr-FR"/>
        </w:rPr>
        <w:t>UE et de ses États membres</w:t>
      </w:r>
      <w:r w:rsidRPr="00C85B75">
        <w:rPr>
          <w:szCs w:val="22"/>
          <w:lang w:val="fr-FR"/>
        </w:rPr>
        <w:t xml:space="preserve"> a confirmé que l</w:t>
      </w:r>
      <w:r>
        <w:rPr>
          <w:szCs w:val="22"/>
          <w:lang w:val="fr-FR"/>
        </w:rPr>
        <w:t>’</w:t>
      </w:r>
      <w:r w:rsidRPr="00C85B75">
        <w:rPr>
          <w:szCs w:val="22"/>
          <w:lang w:val="fr-FR"/>
        </w:rPr>
        <w:t>UE soutient l</w:t>
      </w:r>
      <w:r>
        <w:rPr>
          <w:szCs w:val="22"/>
          <w:lang w:val="fr-FR"/>
        </w:rPr>
        <w:t>’</w:t>
      </w:r>
      <w:r w:rsidRPr="00C85B75">
        <w:rPr>
          <w:szCs w:val="22"/>
          <w:lang w:val="fr-FR"/>
        </w:rPr>
        <w:t>avant-projet de Résolution en général mais présentera les amendements proposés dans le cadre du WG1.</w:t>
      </w:r>
    </w:p>
    <w:p w14:paraId="73214BB9" w14:textId="77777777" w:rsidR="00C86381" w:rsidRPr="005012AF" w:rsidRDefault="00C86381" w:rsidP="00BA154F">
      <w:pPr>
        <w:jc w:val="both"/>
        <w:rPr>
          <w:szCs w:val="22"/>
          <w:lang w:val="fr-FR"/>
        </w:rPr>
      </w:pPr>
    </w:p>
    <w:p w14:paraId="5F62F8EF" w14:textId="433CDCF8" w:rsidR="00C86381" w:rsidRPr="005012AF" w:rsidRDefault="00C86381" w:rsidP="00BA154F">
      <w:pPr>
        <w:jc w:val="both"/>
        <w:rPr>
          <w:szCs w:val="22"/>
          <w:lang w:val="fr-FR"/>
        </w:rPr>
      </w:pPr>
      <w:r w:rsidRPr="00422337">
        <w:rPr>
          <w:szCs w:val="22"/>
          <w:lang w:val="fr-FR"/>
        </w:rPr>
        <w:t>14</w:t>
      </w:r>
      <w:r w:rsidR="003E6AAC">
        <w:rPr>
          <w:szCs w:val="22"/>
          <w:lang w:val="fr-FR"/>
        </w:rPr>
        <w:t>9</w:t>
      </w:r>
      <w:r w:rsidRPr="00422337">
        <w:rPr>
          <w:szCs w:val="22"/>
          <w:lang w:val="fr-FR"/>
        </w:rPr>
        <w:t xml:space="preserve">. </w:t>
      </w:r>
      <w:r w:rsidRPr="00B90C56">
        <w:rPr>
          <w:szCs w:val="22"/>
          <w:lang w:val="fr-FR"/>
        </w:rPr>
        <w:t xml:space="preserve">Le </w:t>
      </w:r>
      <w:r w:rsidRPr="00B90C56">
        <w:rPr>
          <w:b/>
          <w:szCs w:val="22"/>
          <w:lang w:val="fr-FR"/>
        </w:rPr>
        <w:t>Dr</w:t>
      </w:r>
      <w:r w:rsidRPr="00422337">
        <w:rPr>
          <w:b/>
          <w:szCs w:val="22"/>
          <w:lang w:val="fr-FR"/>
        </w:rPr>
        <w:t xml:space="preserve"> David </w:t>
      </w:r>
      <w:proofErr w:type="spellStart"/>
      <w:r w:rsidRPr="00422337">
        <w:rPr>
          <w:b/>
          <w:szCs w:val="22"/>
          <w:lang w:val="fr-FR"/>
        </w:rPr>
        <w:t>Stroud</w:t>
      </w:r>
      <w:proofErr w:type="spellEnd"/>
      <w:r w:rsidRPr="00422337">
        <w:rPr>
          <w:szCs w:val="22"/>
          <w:lang w:val="fr-FR"/>
        </w:rPr>
        <w:t xml:space="preserve"> (membre du TC pour l</w:t>
      </w:r>
      <w:r>
        <w:rPr>
          <w:szCs w:val="22"/>
          <w:lang w:val="fr-FR"/>
        </w:rPr>
        <w:t>’</w:t>
      </w:r>
      <w:r w:rsidRPr="00422337">
        <w:rPr>
          <w:szCs w:val="22"/>
          <w:lang w:val="fr-FR"/>
        </w:rPr>
        <w:t xml:space="preserve">Europe du Sud et du Nord-Ouest), </w:t>
      </w:r>
      <w:r>
        <w:rPr>
          <w:szCs w:val="22"/>
          <w:lang w:val="fr-FR"/>
        </w:rPr>
        <w:t>dans le cadre</w:t>
      </w:r>
      <w:r w:rsidRPr="00422337">
        <w:rPr>
          <w:szCs w:val="22"/>
          <w:lang w:val="fr-FR"/>
        </w:rPr>
        <w:t xml:space="preserve"> d</w:t>
      </w:r>
      <w:r>
        <w:rPr>
          <w:szCs w:val="22"/>
          <w:lang w:val="fr-FR"/>
        </w:rPr>
        <w:t>’</w:t>
      </w:r>
      <w:r w:rsidRPr="00422337">
        <w:rPr>
          <w:szCs w:val="22"/>
          <w:lang w:val="fr-FR"/>
        </w:rPr>
        <w:t>un court exposé</w:t>
      </w:r>
      <w:r>
        <w:rPr>
          <w:szCs w:val="22"/>
          <w:lang w:val="fr-FR"/>
        </w:rPr>
        <w:t>,</w:t>
      </w:r>
      <w:r w:rsidRPr="00422337">
        <w:rPr>
          <w:szCs w:val="22"/>
          <w:lang w:val="fr-FR"/>
        </w:rPr>
        <w:t xml:space="preserve"> a présenté le document AEWA/MOP 5.21 </w:t>
      </w:r>
      <w:r w:rsidRPr="00422337">
        <w:rPr>
          <w:i/>
          <w:szCs w:val="22"/>
          <w:lang w:val="fr-FR"/>
        </w:rPr>
        <w:t>Proposition de directives pour l</w:t>
      </w:r>
      <w:r>
        <w:rPr>
          <w:i/>
          <w:szCs w:val="22"/>
          <w:lang w:val="fr-FR"/>
        </w:rPr>
        <w:t>’</w:t>
      </w:r>
      <w:r w:rsidRPr="00422337">
        <w:rPr>
          <w:i/>
          <w:szCs w:val="22"/>
          <w:lang w:val="fr-FR"/>
        </w:rPr>
        <w:t>interprétation du terme « fluctuations extrêmes dans les tailles et la tendance d</w:t>
      </w:r>
      <w:r>
        <w:rPr>
          <w:i/>
          <w:szCs w:val="22"/>
          <w:lang w:val="fr-FR"/>
        </w:rPr>
        <w:t>’</w:t>
      </w:r>
      <w:r w:rsidRPr="00422337">
        <w:rPr>
          <w:i/>
          <w:szCs w:val="22"/>
          <w:lang w:val="fr-FR"/>
        </w:rPr>
        <w:t>une population »</w:t>
      </w:r>
      <w:r>
        <w:rPr>
          <w:i/>
          <w:szCs w:val="22"/>
          <w:lang w:val="fr-FR"/>
        </w:rPr>
        <w:t xml:space="preserve"> </w:t>
      </w:r>
      <w:r w:rsidRPr="00422337">
        <w:rPr>
          <w:i/>
          <w:szCs w:val="22"/>
          <w:lang w:val="fr-FR"/>
        </w:rPr>
        <w:t>employé dans le contexte du Tableau 1 du Plan d</w:t>
      </w:r>
      <w:r>
        <w:rPr>
          <w:i/>
          <w:szCs w:val="22"/>
          <w:lang w:val="fr-FR"/>
        </w:rPr>
        <w:t>’</w:t>
      </w:r>
      <w:r w:rsidRPr="00422337">
        <w:rPr>
          <w:i/>
          <w:szCs w:val="22"/>
          <w:lang w:val="fr-FR"/>
        </w:rPr>
        <w:t>action de l</w:t>
      </w:r>
      <w:r>
        <w:rPr>
          <w:i/>
          <w:szCs w:val="22"/>
          <w:lang w:val="fr-FR"/>
        </w:rPr>
        <w:t>’</w:t>
      </w:r>
      <w:r w:rsidRPr="00422337">
        <w:rPr>
          <w:i/>
          <w:szCs w:val="22"/>
          <w:lang w:val="fr-FR"/>
        </w:rPr>
        <w:t>AEWA</w:t>
      </w:r>
      <w:r w:rsidRPr="00422337">
        <w:rPr>
          <w:szCs w:val="22"/>
          <w:lang w:val="fr-FR"/>
        </w:rPr>
        <w:t>, et la partie correspondante de l</w:t>
      </w:r>
      <w:r>
        <w:rPr>
          <w:szCs w:val="22"/>
          <w:lang w:val="fr-FR"/>
        </w:rPr>
        <w:t>’</w:t>
      </w:r>
      <w:r w:rsidRPr="00422337">
        <w:rPr>
          <w:szCs w:val="22"/>
          <w:lang w:val="fr-FR"/>
        </w:rPr>
        <w:t>avant-projet de Résolution</w:t>
      </w:r>
      <w:r>
        <w:rPr>
          <w:szCs w:val="22"/>
          <w:lang w:val="fr-FR"/>
        </w:rPr>
        <w:t xml:space="preserve"> </w:t>
      </w:r>
      <w:r w:rsidRPr="00422337">
        <w:rPr>
          <w:szCs w:val="22"/>
          <w:lang w:val="fr-FR"/>
        </w:rPr>
        <w:t xml:space="preserve">AEWA/MOP DR7 </w:t>
      </w:r>
      <w:r w:rsidRPr="00422337">
        <w:rPr>
          <w:i/>
          <w:szCs w:val="22"/>
          <w:lang w:val="fr-FR"/>
        </w:rPr>
        <w:t>Adoption des amendements et de nouveaux conseils pour l</w:t>
      </w:r>
      <w:r>
        <w:rPr>
          <w:i/>
          <w:szCs w:val="22"/>
          <w:lang w:val="fr-FR"/>
        </w:rPr>
        <w:t>’</w:t>
      </w:r>
      <w:r w:rsidRPr="00422337">
        <w:rPr>
          <w:i/>
          <w:szCs w:val="22"/>
          <w:lang w:val="fr-FR"/>
        </w:rPr>
        <w:t>interprétation des critères utilisés au Tableau 1 du Plan d</w:t>
      </w:r>
      <w:r>
        <w:rPr>
          <w:i/>
          <w:szCs w:val="22"/>
          <w:lang w:val="fr-FR"/>
        </w:rPr>
        <w:t>’</w:t>
      </w:r>
      <w:r w:rsidRPr="00422337">
        <w:rPr>
          <w:i/>
          <w:szCs w:val="22"/>
          <w:lang w:val="fr-FR"/>
        </w:rPr>
        <w:t>Action de l</w:t>
      </w:r>
      <w:r>
        <w:rPr>
          <w:i/>
          <w:szCs w:val="22"/>
          <w:lang w:val="fr-FR"/>
        </w:rPr>
        <w:t>’</w:t>
      </w:r>
      <w:r w:rsidRPr="00422337">
        <w:rPr>
          <w:i/>
          <w:szCs w:val="22"/>
          <w:lang w:val="fr-FR"/>
        </w:rPr>
        <w:t>AEWA</w:t>
      </w:r>
      <w:r w:rsidRPr="00422337">
        <w:rPr>
          <w:szCs w:val="22"/>
          <w:lang w:val="fr-FR"/>
        </w:rPr>
        <w:t>. Il a noté qu</w:t>
      </w:r>
      <w:r>
        <w:rPr>
          <w:szCs w:val="22"/>
          <w:lang w:val="fr-FR"/>
        </w:rPr>
        <w:t>’il s’agissait d’</w:t>
      </w:r>
      <w:r w:rsidRPr="00422337">
        <w:rPr>
          <w:szCs w:val="22"/>
          <w:lang w:val="fr-FR"/>
        </w:rPr>
        <w:t xml:space="preserve">un changement </w:t>
      </w:r>
      <w:r>
        <w:rPr>
          <w:szCs w:val="22"/>
          <w:lang w:val="fr-FR"/>
        </w:rPr>
        <w:t xml:space="preserve">minime mais </w:t>
      </w:r>
      <w:r w:rsidRPr="00422337">
        <w:rPr>
          <w:szCs w:val="22"/>
          <w:lang w:val="fr-FR"/>
        </w:rPr>
        <w:t>toutefois important pour déterminer l</w:t>
      </w:r>
      <w:r>
        <w:rPr>
          <w:szCs w:val="22"/>
          <w:lang w:val="fr-FR"/>
        </w:rPr>
        <w:t>’</w:t>
      </w:r>
      <w:r w:rsidRPr="00422337">
        <w:rPr>
          <w:szCs w:val="22"/>
          <w:lang w:val="fr-FR"/>
        </w:rPr>
        <w:t>état de conservation d</w:t>
      </w:r>
      <w:r>
        <w:rPr>
          <w:szCs w:val="22"/>
          <w:lang w:val="fr-FR"/>
        </w:rPr>
        <w:t>’</w:t>
      </w:r>
      <w:r w:rsidRPr="00422337">
        <w:rPr>
          <w:szCs w:val="22"/>
          <w:lang w:val="fr-FR"/>
        </w:rPr>
        <w:t>une espèce ou d</w:t>
      </w:r>
      <w:r>
        <w:rPr>
          <w:szCs w:val="22"/>
          <w:lang w:val="fr-FR"/>
        </w:rPr>
        <w:t>’</w:t>
      </w:r>
      <w:r w:rsidRPr="00422337">
        <w:rPr>
          <w:szCs w:val="22"/>
          <w:lang w:val="fr-FR"/>
        </w:rPr>
        <w:t>une population dans le Plan d</w:t>
      </w:r>
      <w:r>
        <w:rPr>
          <w:szCs w:val="22"/>
          <w:lang w:val="fr-FR"/>
        </w:rPr>
        <w:t>’</w:t>
      </w:r>
      <w:r w:rsidRPr="00422337">
        <w:rPr>
          <w:szCs w:val="22"/>
          <w:lang w:val="fr-FR"/>
        </w:rPr>
        <w:t>action de l</w:t>
      </w:r>
      <w:r>
        <w:rPr>
          <w:szCs w:val="22"/>
          <w:lang w:val="fr-FR"/>
        </w:rPr>
        <w:t>’</w:t>
      </w:r>
      <w:r w:rsidRPr="00422337">
        <w:rPr>
          <w:szCs w:val="22"/>
          <w:lang w:val="fr-FR"/>
        </w:rPr>
        <w:t>AEWA. Il existait un</w:t>
      </w:r>
      <w:r>
        <w:rPr>
          <w:szCs w:val="22"/>
          <w:lang w:val="fr-FR"/>
        </w:rPr>
        <w:t>e</w:t>
      </w:r>
      <w:r w:rsidRPr="00422337">
        <w:rPr>
          <w:szCs w:val="22"/>
          <w:lang w:val="fr-FR"/>
        </w:rPr>
        <w:t xml:space="preserve"> définition internationale des « fluctuations extrêmes » qui était en usage dans la Liste rouge de l</w:t>
      </w:r>
      <w:r>
        <w:rPr>
          <w:szCs w:val="22"/>
          <w:lang w:val="fr-FR"/>
        </w:rPr>
        <w:t>’</w:t>
      </w:r>
      <w:r w:rsidRPr="00422337">
        <w:rPr>
          <w:szCs w:val="22"/>
          <w:lang w:val="fr-FR"/>
        </w:rPr>
        <w:t>UICN, mais qui n</w:t>
      </w:r>
      <w:r>
        <w:rPr>
          <w:szCs w:val="22"/>
          <w:lang w:val="fr-FR"/>
        </w:rPr>
        <w:t>’</w:t>
      </w:r>
      <w:r w:rsidRPr="00422337">
        <w:rPr>
          <w:szCs w:val="22"/>
          <w:lang w:val="fr-FR"/>
        </w:rPr>
        <w:t>était pas appropriée pour trois espèces figurant à l</w:t>
      </w:r>
      <w:r>
        <w:rPr>
          <w:szCs w:val="22"/>
          <w:lang w:val="fr-FR"/>
        </w:rPr>
        <w:t>’</w:t>
      </w:r>
      <w:r w:rsidRPr="00422337">
        <w:rPr>
          <w:szCs w:val="22"/>
          <w:lang w:val="fr-FR"/>
        </w:rPr>
        <w:t>Annexe 1 de l</w:t>
      </w:r>
      <w:r>
        <w:rPr>
          <w:szCs w:val="22"/>
          <w:lang w:val="fr-FR"/>
        </w:rPr>
        <w:t>’</w:t>
      </w:r>
      <w:r w:rsidRPr="00422337">
        <w:rPr>
          <w:szCs w:val="22"/>
          <w:lang w:val="fr-FR"/>
        </w:rPr>
        <w:t xml:space="preserve">AEWA, à savoir la Marouette ponctuée </w:t>
      </w:r>
      <w:proofErr w:type="spellStart"/>
      <w:r w:rsidRPr="00422337">
        <w:rPr>
          <w:i/>
          <w:szCs w:val="22"/>
          <w:lang w:val="fr-FR"/>
        </w:rPr>
        <w:t>Porzana</w:t>
      </w:r>
      <w:proofErr w:type="spellEnd"/>
      <w:r w:rsidRPr="00422337">
        <w:rPr>
          <w:i/>
          <w:szCs w:val="22"/>
          <w:lang w:val="fr-FR"/>
        </w:rPr>
        <w:t xml:space="preserve"> </w:t>
      </w:r>
      <w:proofErr w:type="spellStart"/>
      <w:r w:rsidRPr="00422337">
        <w:rPr>
          <w:i/>
          <w:szCs w:val="22"/>
          <w:lang w:val="fr-FR"/>
        </w:rPr>
        <w:t>porzana</w:t>
      </w:r>
      <w:proofErr w:type="spellEnd"/>
      <w:r w:rsidRPr="00422337">
        <w:rPr>
          <w:szCs w:val="22"/>
          <w:lang w:val="fr-FR"/>
        </w:rPr>
        <w:t xml:space="preserve"> et certaines populations de</w:t>
      </w:r>
      <w:r>
        <w:rPr>
          <w:szCs w:val="22"/>
          <w:lang w:val="fr-FR"/>
        </w:rPr>
        <w:t xml:space="preserve"> </w:t>
      </w:r>
      <w:r w:rsidRPr="00422337">
        <w:rPr>
          <w:szCs w:val="22"/>
          <w:lang w:val="fr-FR"/>
        </w:rPr>
        <w:t xml:space="preserve">Sarcelle marbrée </w:t>
      </w:r>
      <w:proofErr w:type="spellStart"/>
      <w:r w:rsidRPr="00422337">
        <w:rPr>
          <w:i/>
          <w:szCs w:val="22"/>
          <w:lang w:val="fr-FR"/>
        </w:rPr>
        <w:t>Marmaronetta</w:t>
      </w:r>
      <w:proofErr w:type="spellEnd"/>
      <w:r w:rsidRPr="00422337">
        <w:rPr>
          <w:i/>
          <w:szCs w:val="22"/>
          <w:lang w:val="fr-FR"/>
        </w:rPr>
        <w:t xml:space="preserve"> </w:t>
      </w:r>
      <w:proofErr w:type="spellStart"/>
      <w:r w:rsidRPr="00422337">
        <w:rPr>
          <w:i/>
          <w:szCs w:val="22"/>
          <w:lang w:val="fr-FR"/>
        </w:rPr>
        <w:t>angustirostris</w:t>
      </w:r>
      <w:proofErr w:type="spellEnd"/>
      <w:r w:rsidRPr="00422337">
        <w:rPr>
          <w:szCs w:val="22"/>
          <w:lang w:val="fr-FR"/>
        </w:rPr>
        <w:t xml:space="preserve"> et de Sterne </w:t>
      </w:r>
      <w:proofErr w:type="spellStart"/>
      <w:r w:rsidRPr="00422337">
        <w:rPr>
          <w:szCs w:val="22"/>
          <w:lang w:val="fr-FR"/>
        </w:rPr>
        <w:t>caugek</w:t>
      </w:r>
      <w:proofErr w:type="spellEnd"/>
      <w:r w:rsidRPr="00422337">
        <w:rPr>
          <w:szCs w:val="22"/>
          <w:lang w:val="fr-FR"/>
        </w:rPr>
        <w:t xml:space="preserve"> </w:t>
      </w:r>
      <w:proofErr w:type="spellStart"/>
      <w:r w:rsidRPr="00422337">
        <w:rPr>
          <w:i/>
          <w:szCs w:val="22"/>
          <w:lang w:val="fr-FR"/>
        </w:rPr>
        <w:t>Sterna</w:t>
      </w:r>
      <w:proofErr w:type="spellEnd"/>
      <w:r w:rsidRPr="00422337">
        <w:rPr>
          <w:i/>
          <w:szCs w:val="22"/>
          <w:lang w:val="fr-FR"/>
        </w:rPr>
        <w:t xml:space="preserve"> </w:t>
      </w:r>
      <w:proofErr w:type="spellStart"/>
      <w:r w:rsidRPr="00422337">
        <w:rPr>
          <w:i/>
          <w:szCs w:val="22"/>
          <w:lang w:val="fr-FR"/>
        </w:rPr>
        <w:t>sandvicensis</w:t>
      </w:r>
      <w:proofErr w:type="spellEnd"/>
      <w:r w:rsidRPr="00422337">
        <w:rPr>
          <w:szCs w:val="22"/>
          <w:lang w:val="fr-FR"/>
        </w:rPr>
        <w:t>, qui étaient tou</w:t>
      </w:r>
      <w:r>
        <w:rPr>
          <w:szCs w:val="22"/>
          <w:lang w:val="fr-FR"/>
        </w:rPr>
        <w:t>t</w:t>
      </w:r>
      <w:r w:rsidRPr="00422337">
        <w:rPr>
          <w:szCs w:val="22"/>
          <w:lang w:val="fr-FR"/>
        </w:rPr>
        <w:t>es sujettes à des fluctuations de populations importantes. Le TC avait donc proposé de changer le critère de « fluctuations extrêmes » en « vastes fluctuations »</w:t>
      </w:r>
      <w:r>
        <w:rPr>
          <w:szCs w:val="22"/>
          <w:lang w:val="fr-FR"/>
        </w:rPr>
        <w:t>,</w:t>
      </w:r>
      <w:r w:rsidRPr="00422337">
        <w:rPr>
          <w:szCs w:val="22"/>
          <w:lang w:val="fr-FR"/>
        </w:rPr>
        <w:t xml:space="preserve"> qui serait assorti d</w:t>
      </w:r>
      <w:r>
        <w:rPr>
          <w:szCs w:val="22"/>
          <w:lang w:val="fr-FR"/>
        </w:rPr>
        <w:t>’</w:t>
      </w:r>
      <w:r w:rsidRPr="00422337">
        <w:rPr>
          <w:szCs w:val="22"/>
          <w:lang w:val="fr-FR"/>
        </w:rPr>
        <w:t xml:space="preserve">une nouvelle définition de ce dernier terme, </w:t>
      </w:r>
      <w:r>
        <w:rPr>
          <w:szCs w:val="22"/>
          <w:lang w:val="fr-FR"/>
        </w:rPr>
        <w:t>définition contenue</w:t>
      </w:r>
      <w:r w:rsidRPr="00422337">
        <w:rPr>
          <w:szCs w:val="22"/>
          <w:lang w:val="fr-FR"/>
        </w:rPr>
        <w:t xml:space="preserve"> dans </w:t>
      </w:r>
      <w:r>
        <w:rPr>
          <w:szCs w:val="22"/>
          <w:lang w:val="fr-FR"/>
        </w:rPr>
        <w:t>l’avant-projet de</w:t>
      </w:r>
      <w:r w:rsidRPr="00422337">
        <w:rPr>
          <w:szCs w:val="22"/>
          <w:lang w:val="fr-FR"/>
        </w:rPr>
        <w:t xml:space="preserve"> résolution.</w:t>
      </w:r>
    </w:p>
    <w:p w14:paraId="72F4C4E9" w14:textId="77777777" w:rsidR="00C86381" w:rsidRPr="005012AF" w:rsidRDefault="00C86381" w:rsidP="00BA154F">
      <w:pPr>
        <w:jc w:val="both"/>
        <w:rPr>
          <w:szCs w:val="22"/>
          <w:lang w:val="fr-FR"/>
        </w:rPr>
      </w:pPr>
    </w:p>
    <w:p w14:paraId="3333018D" w14:textId="5B5D789B" w:rsidR="00C86381" w:rsidRPr="005012AF" w:rsidRDefault="00C86381" w:rsidP="00BA154F">
      <w:pPr>
        <w:jc w:val="both"/>
        <w:rPr>
          <w:szCs w:val="22"/>
          <w:lang w:val="fr-FR"/>
        </w:rPr>
      </w:pPr>
      <w:r w:rsidRPr="00760DCB">
        <w:rPr>
          <w:szCs w:val="22"/>
          <w:lang w:val="fr-FR"/>
        </w:rPr>
        <w:t>1</w:t>
      </w:r>
      <w:r w:rsidR="003E6AAC">
        <w:rPr>
          <w:szCs w:val="22"/>
          <w:lang w:val="fr-FR"/>
        </w:rPr>
        <w:t>50</w:t>
      </w:r>
      <w:r w:rsidRPr="00760DCB">
        <w:rPr>
          <w:szCs w:val="22"/>
          <w:lang w:val="fr-FR"/>
        </w:rPr>
        <w:t xml:space="preserve">. Le représentant de </w:t>
      </w:r>
      <w:proofErr w:type="spellStart"/>
      <w:r w:rsidRPr="00760DCB">
        <w:rPr>
          <w:b/>
          <w:szCs w:val="22"/>
          <w:lang w:val="fr-FR"/>
        </w:rPr>
        <w:t>Wetlands</w:t>
      </w:r>
      <w:proofErr w:type="spellEnd"/>
      <w:r w:rsidRPr="00760DCB">
        <w:rPr>
          <w:b/>
          <w:szCs w:val="22"/>
          <w:lang w:val="fr-FR"/>
        </w:rPr>
        <w:t xml:space="preserve"> International</w:t>
      </w:r>
      <w:r w:rsidRPr="00760DCB">
        <w:rPr>
          <w:szCs w:val="22"/>
          <w:lang w:val="fr-FR"/>
        </w:rPr>
        <w:t xml:space="preserve"> (M. </w:t>
      </w:r>
      <w:proofErr w:type="spellStart"/>
      <w:r w:rsidRPr="00760DCB">
        <w:rPr>
          <w:szCs w:val="22"/>
          <w:lang w:val="fr-FR"/>
        </w:rPr>
        <w:t>Szabolcs</w:t>
      </w:r>
      <w:proofErr w:type="spellEnd"/>
      <w:r w:rsidRPr="00760DCB">
        <w:rPr>
          <w:szCs w:val="22"/>
          <w:lang w:val="fr-FR"/>
        </w:rPr>
        <w:t xml:space="preserve"> Nagy) a présenté le document AEWA/MOP 5.22 </w:t>
      </w:r>
      <w:r w:rsidRPr="00760DCB">
        <w:rPr>
          <w:i/>
          <w:szCs w:val="22"/>
          <w:lang w:val="fr-FR"/>
        </w:rPr>
        <w:t>Proposition d</w:t>
      </w:r>
      <w:r>
        <w:rPr>
          <w:i/>
          <w:szCs w:val="22"/>
          <w:lang w:val="fr-FR"/>
        </w:rPr>
        <w:t>’</w:t>
      </w:r>
      <w:r w:rsidRPr="00760DCB">
        <w:rPr>
          <w:i/>
          <w:szCs w:val="22"/>
          <w:lang w:val="fr-FR"/>
        </w:rPr>
        <w:t>amendement de la définition et des conseils d</w:t>
      </w:r>
      <w:r>
        <w:rPr>
          <w:i/>
          <w:szCs w:val="22"/>
          <w:lang w:val="fr-FR"/>
        </w:rPr>
        <w:t>’</w:t>
      </w:r>
      <w:r w:rsidRPr="00760DCB">
        <w:rPr>
          <w:i/>
          <w:szCs w:val="22"/>
          <w:lang w:val="fr-FR"/>
        </w:rPr>
        <w:t xml:space="preserve">interprétation du terme « déclin significatif à long terme » utilisé dans le contexte du </w:t>
      </w:r>
      <w:r>
        <w:rPr>
          <w:i/>
          <w:szCs w:val="22"/>
          <w:lang w:val="fr-FR"/>
        </w:rPr>
        <w:t>T</w:t>
      </w:r>
      <w:r w:rsidRPr="00760DCB">
        <w:rPr>
          <w:i/>
          <w:szCs w:val="22"/>
          <w:lang w:val="fr-FR"/>
        </w:rPr>
        <w:t>ableau 1 du Plan d</w:t>
      </w:r>
      <w:r>
        <w:rPr>
          <w:i/>
          <w:szCs w:val="22"/>
          <w:lang w:val="fr-FR"/>
        </w:rPr>
        <w:t>’</w:t>
      </w:r>
      <w:r w:rsidRPr="00760DCB">
        <w:rPr>
          <w:i/>
          <w:szCs w:val="22"/>
          <w:lang w:val="fr-FR"/>
        </w:rPr>
        <w:t>action de l</w:t>
      </w:r>
      <w:r>
        <w:rPr>
          <w:i/>
          <w:szCs w:val="22"/>
          <w:lang w:val="fr-FR"/>
        </w:rPr>
        <w:t>’</w:t>
      </w:r>
      <w:r w:rsidRPr="00760DCB">
        <w:rPr>
          <w:i/>
          <w:szCs w:val="22"/>
          <w:lang w:val="fr-FR"/>
        </w:rPr>
        <w:t>AEWA, tel qu</w:t>
      </w:r>
      <w:r>
        <w:rPr>
          <w:i/>
          <w:szCs w:val="22"/>
          <w:lang w:val="fr-FR"/>
        </w:rPr>
        <w:t>’</w:t>
      </w:r>
      <w:r w:rsidRPr="00760DCB">
        <w:rPr>
          <w:i/>
          <w:szCs w:val="22"/>
          <w:lang w:val="fr-FR"/>
        </w:rPr>
        <w:t xml:space="preserve">approuvé par la Résolution 3.3, </w:t>
      </w:r>
      <w:r w:rsidRPr="00760DCB">
        <w:rPr>
          <w:szCs w:val="22"/>
          <w:lang w:val="fr-FR"/>
        </w:rPr>
        <w:t>également reflété</w:t>
      </w:r>
      <w:r>
        <w:rPr>
          <w:szCs w:val="22"/>
          <w:lang w:val="fr-FR"/>
        </w:rPr>
        <w:t>e</w:t>
      </w:r>
      <w:r w:rsidRPr="00760DCB">
        <w:rPr>
          <w:szCs w:val="22"/>
          <w:lang w:val="fr-FR"/>
        </w:rPr>
        <w:t xml:space="preserve"> dans l</w:t>
      </w:r>
      <w:r>
        <w:rPr>
          <w:szCs w:val="22"/>
          <w:lang w:val="fr-FR"/>
        </w:rPr>
        <w:t>’</w:t>
      </w:r>
      <w:r w:rsidRPr="00760DCB">
        <w:rPr>
          <w:szCs w:val="22"/>
          <w:lang w:val="fr-FR"/>
        </w:rPr>
        <w:t>avant-projet de</w:t>
      </w:r>
      <w:r>
        <w:rPr>
          <w:szCs w:val="22"/>
          <w:lang w:val="fr-FR"/>
        </w:rPr>
        <w:t xml:space="preserve"> </w:t>
      </w:r>
      <w:r w:rsidRPr="00760DCB">
        <w:rPr>
          <w:szCs w:val="22"/>
          <w:lang w:val="fr-FR"/>
        </w:rPr>
        <w:t xml:space="preserve">résolution AEWA/MOP DR7 </w:t>
      </w:r>
      <w:r w:rsidRPr="00760DCB">
        <w:rPr>
          <w:i/>
          <w:szCs w:val="22"/>
          <w:lang w:val="fr-FR"/>
        </w:rPr>
        <w:t>Adoption des amendements et de nouveaux conseils pour l</w:t>
      </w:r>
      <w:r>
        <w:rPr>
          <w:i/>
          <w:szCs w:val="22"/>
          <w:lang w:val="fr-FR"/>
        </w:rPr>
        <w:t>’</w:t>
      </w:r>
      <w:r w:rsidRPr="00760DCB">
        <w:rPr>
          <w:i/>
          <w:szCs w:val="22"/>
          <w:lang w:val="fr-FR"/>
        </w:rPr>
        <w:t>interprétation des termes utilisés dans le contexte du Tableau 1 du Plan d</w:t>
      </w:r>
      <w:r>
        <w:rPr>
          <w:i/>
          <w:szCs w:val="22"/>
          <w:lang w:val="fr-FR"/>
        </w:rPr>
        <w:t>’</w:t>
      </w:r>
      <w:r w:rsidRPr="00760DCB">
        <w:rPr>
          <w:i/>
          <w:szCs w:val="22"/>
          <w:lang w:val="fr-FR"/>
        </w:rPr>
        <w:t>Action de l</w:t>
      </w:r>
      <w:r>
        <w:rPr>
          <w:i/>
          <w:szCs w:val="22"/>
          <w:lang w:val="fr-FR"/>
        </w:rPr>
        <w:t>’</w:t>
      </w:r>
      <w:r w:rsidRPr="00760DCB">
        <w:rPr>
          <w:i/>
          <w:szCs w:val="22"/>
          <w:lang w:val="fr-FR"/>
        </w:rPr>
        <w:t>AEWA</w:t>
      </w:r>
      <w:r w:rsidRPr="00760DCB">
        <w:rPr>
          <w:szCs w:val="22"/>
          <w:lang w:val="fr-FR"/>
        </w:rPr>
        <w:t xml:space="preserve">. Il a résumé </w:t>
      </w:r>
      <w:r>
        <w:rPr>
          <w:szCs w:val="22"/>
          <w:lang w:val="fr-FR"/>
        </w:rPr>
        <w:t>l</w:t>
      </w:r>
      <w:r w:rsidRPr="00760DCB">
        <w:rPr>
          <w:szCs w:val="22"/>
          <w:lang w:val="fr-FR"/>
        </w:rPr>
        <w:t>es raisons scientifiques étayant les amendements proposés, développés par le</w:t>
      </w:r>
      <w:r>
        <w:rPr>
          <w:szCs w:val="22"/>
          <w:lang w:val="fr-FR"/>
        </w:rPr>
        <w:t xml:space="preserve"> </w:t>
      </w:r>
      <w:r w:rsidRPr="00760DCB">
        <w:rPr>
          <w:szCs w:val="22"/>
          <w:lang w:val="fr-FR"/>
        </w:rPr>
        <w:t>TC et présenté</w:t>
      </w:r>
      <w:r>
        <w:rPr>
          <w:szCs w:val="22"/>
          <w:lang w:val="fr-FR"/>
        </w:rPr>
        <w:t>s</w:t>
      </w:r>
      <w:r w:rsidRPr="00760DCB">
        <w:rPr>
          <w:szCs w:val="22"/>
          <w:lang w:val="fr-FR"/>
        </w:rPr>
        <w:t xml:space="preserve"> à l</w:t>
      </w:r>
      <w:r>
        <w:rPr>
          <w:szCs w:val="22"/>
          <w:lang w:val="fr-FR"/>
        </w:rPr>
        <w:t>’</w:t>
      </w:r>
      <w:r w:rsidRPr="00760DCB">
        <w:rPr>
          <w:szCs w:val="22"/>
          <w:lang w:val="fr-FR"/>
        </w:rPr>
        <w:t>Annexe 1 de la DR7. L</w:t>
      </w:r>
      <w:r>
        <w:rPr>
          <w:szCs w:val="22"/>
          <w:lang w:val="fr-FR"/>
        </w:rPr>
        <w:t>’</w:t>
      </w:r>
      <w:r w:rsidRPr="00760DCB">
        <w:rPr>
          <w:szCs w:val="22"/>
          <w:lang w:val="fr-FR"/>
        </w:rPr>
        <w:t xml:space="preserve">avant-projet de résolution présentait également une définition révisée </w:t>
      </w:r>
      <w:r>
        <w:rPr>
          <w:szCs w:val="22"/>
          <w:lang w:val="fr-FR"/>
        </w:rPr>
        <w:t>de</w:t>
      </w:r>
      <w:r w:rsidRPr="00760DCB">
        <w:rPr>
          <w:szCs w:val="22"/>
          <w:lang w:val="fr-FR"/>
        </w:rPr>
        <w:t xml:space="preserve"> « déclin significatif à long terme »</w:t>
      </w:r>
      <w:r>
        <w:rPr>
          <w:szCs w:val="22"/>
          <w:lang w:val="fr-FR"/>
        </w:rPr>
        <w:t xml:space="preserve"> </w:t>
      </w:r>
      <w:r w:rsidRPr="00760DCB">
        <w:rPr>
          <w:szCs w:val="22"/>
          <w:lang w:val="fr-FR"/>
        </w:rPr>
        <w:t>et des conseils pour son application.</w:t>
      </w:r>
    </w:p>
    <w:p w14:paraId="46CF4F12" w14:textId="77777777" w:rsidR="00C86381" w:rsidRPr="005012AF" w:rsidRDefault="00C86381" w:rsidP="00BA154F">
      <w:pPr>
        <w:jc w:val="both"/>
        <w:rPr>
          <w:szCs w:val="22"/>
          <w:lang w:val="fr-FR"/>
        </w:rPr>
      </w:pPr>
    </w:p>
    <w:p w14:paraId="1A193F02" w14:textId="1C820D0B" w:rsidR="00C86381" w:rsidRPr="005012AF" w:rsidRDefault="00C86381" w:rsidP="00BA154F">
      <w:pPr>
        <w:jc w:val="both"/>
        <w:rPr>
          <w:szCs w:val="22"/>
          <w:lang w:val="fr-FR"/>
        </w:rPr>
      </w:pPr>
      <w:r w:rsidRPr="00760DCB">
        <w:rPr>
          <w:szCs w:val="22"/>
          <w:lang w:val="fr-FR"/>
        </w:rPr>
        <w:t>15</w:t>
      </w:r>
      <w:r w:rsidR="003E6AAC">
        <w:rPr>
          <w:szCs w:val="22"/>
          <w:lang w:val="fr-FR"/>
        </w:rPr>
        <w:t>1</w:t>
      </w:r>
      <w:r w:rsidRPr="00760DCB">
        <w:rPr>
          <w:szCs w:val="22"/>
          <w:lang w:val="fr-FR"/>
        </w:rPr>
        <w:t>. Notant que ce point sera repris en détail par le WG1, le Président a invité les participants à faire des observations d</w:t>
      </w:r>
      <w:r>
        <w:rPr>
          <w:szCs w:val="22"/>
          <w:lang w:val="fr-FR"/>
        </w:rPr>
        <w:t>’</w:t>
      </w:r>
      <w:r w:rsidRPr="00760DCB">
        <w:rPr>
          <w:szCs w:val="22"/>
          <w:lang w:val="fr-FR"/>
        </w:rPr>
        <w:t>ordre général.</w:t>
      </w:r>
    </w:p>
    <w:p w14:paraId="5592DE8E" w14:textId="77777777" w:rsidR="00C86381" w:rsidRPr="005012AF" w:rsidRDefault="00C86381" w:rsidP="00BA154F">
      <w:pPr>
        <w:jc w:val="both"/>
        <w:rPr>
          <w:szCs w:val="22"/>
          <w:lang w:val="fr-FR"/>
        </w:rPr>
      </w:pPr>
    </w:p>
    <w:p w14:paraId="7E70DB94" w14:textId="29CA776C" w:rsidR="00C86381" w:rsidRPr="0015738B" w:rsidRDefault="00C86381" w:rsidP="00BA154F">
      <w:pPr>
        <w:jc w:val="both"/>
        <w:rPr>
          <w:szCs w:val="22"/>
          <w:lang w:val="fr-FR"/>
        </w:rPr>
      </w:pPr>
      <w:r w:rsidRPr="004A644B">
        <w:rPr>
          <w:szCs w:val="22"/>
          <w:lang w:val="fr-FR"/>
        </w:rPr>
        <w:t>15</w:t>
      </w:r>
      <w:r w:rsidR="003E6AAC">
        <w:rPr>
          <w:szCs w:val="22"/>
          <w:lang w:val="fr-FR"/>
        </w:rPr>
        <w:t>2</w:t>
      </w:r>
      <w:r w:rsidRPr="004A644B">
        <w:rPr>
          <w:szCs w:val="22"/>
          <w:lang w:val="fr-FR"/>
        </w:rPr>
        <w:t xml:space="preserve">. Le </w:t>
      </w:r>
      <w:r w:rsidRPr="004A644B">
        <w:rPr>
          <w:b/>
          <w:szCs w:val="22"/>
          <w:lang w:val="fr-FR"/>
        </w:rPr>
        <w:t>R-U</w:t>
      </w:r>
      <w:r w:rsidRPr="004A644B">
        <w:rPr>
          <w:szCs w:val="22"/>
          <w:lang w:val="fr-FR"/>
        </w:rPr>
        <w:t>, parlant au nom de l</w:t>
      </w:r>
      <w:r>
        <w:rPr>
          <w:szCs w:val="22"/>
          <w:lang w:val="fr-FR"/>
        </w:rPr>
        <w:t>’</w:t>
      </w:r>
      <w:r w:rsidRPr="004A644B">
        <w:rPr>
          <w:b/>
          <w:szCs w:val="22"/>
          <w:lang w:val="fr-FR"/>
        </w:rPr>
        <w:t>UE et de ses États membres</w:t>
      </w:r>
      <w:r w:rsidRPr="004A644B">
        <w:rPr>
          <w:szCs w:val="22"/>
          <w:lang w:val="fr-FR"/>
        </w:rPr>
        <w:t>, a fait part de sa vive appréciation des</w:t>
      </w:r>
      <w:r>
        <w:rPr>
          <w:szCs w:val="22"/>
          <w:lang w:val="fr-FR"/>
        </w:rPr>
        <w:t xml:space="preserve"> </w:t>
      </w:r>
      <w:r w:rsidRPr="004A644B">
        <w:rPr>
          <w:szCs w:val="22"/>
          <w:lang w:val="fr-FR"/>
        </w:rPr>
        <w:t>présentations qui avaient été faites et a</w:t>
      </w:r>
      <w:r>
        <w:rPr>
          <w:szCs w:val="22"/>
          <w:lang w:val="fr-FR"/>
        </w:rPr>
        <w:t>vait</w:t>
      </w:r>
      <w:r w:rsidRPr="004A644B">
        <w:rPr>
          <w:szCs w:val="22"/>
          <w:lang w:val="fr-FR"/>
        </w:rPr>
        <w:t xml:space="preserve"> le sentiment que les nouvelles définitions étaient utiles. Toutefois,</w:t>
      </w:r>
      <w:r>
        <w:rPr>
          <w:szCs w:val="22"/>
          <w:lang w:val="fr-FR"/>
        </w:rPr>
        <w:t xml:space="preserve"> </w:t>
      </w:r>
      <w:r w:rsidRPr="004A644B">
        <w:rPr>
          <w:szCs w:val="22"/>
          <w:lang w:val="fr-FR"/>
        </w:rPr>
        <w:t>étant donné que plusieurs définitions ont été établies au cours des années, par l</w:t>
      </w:r>
      <w:r>
        <w:rPr>
          <w:szCs w:val="22"/>
          <w:lang w:val="fr-FR"/>
        </w:rPr>
        <w:t>’</w:t>
      </w:r>
      <w:r w:rsidRPr="004A644B">
        <w:rPr>
          <w:szCs w:val="22"/>
          <w:lang w:val="fr-FR"/>
        </w:rPr>
        <w:t>AEWA et par d</w:t>
      </w:r>
      <w:r>
        <w:rPr>
          <w:szCs w:val="22"/>
          <w:lang w:val="fr-FR"/>
        </w:rPr>
        <w:t>’</w:t>
      </w:r>
      <w:r w:rsidRPr="004A644B">
        <w:rPr>
          <w:szCs w:val="22"/>
          <w:lang w:val="fr-FR"/>
        </w:rPr>
        <w:t xml:space="preserve">autres, il serait utile que toutes ces définitions soient rassemblées dans un seul document ou dans un </w:t>
      </w:r>
      <w:r>
        <w:rPr>
          <w:szCs w:val="22"/>
          <w:lang w:val="fr-FR"/>
        </w:rPr>
        <w:t>seul emplacement</w:t>
      </w:r>
      <w:r w:rsidRPr="004A644B">
        <w:rPr>
          <w:szCs w:val="22"/>
          <w:lang w:val="fr-FR"/>
        </w:rPr>
        <w:t xml:space="preserve"> du site Web de l</w:t>
      </w:r>
      <w:r>
        <w:rPr>
          <w:szCs w:val="22"/>
          <w:lang w:val="fr-FR"/>
        </w:rPr>
        <w:t>’</w:t>
      </w:r>
      <w:r w:rsidRPr="004A644B">
        <w:rPr>
          <w:szCs w:val="22"/>
          <w:lang w:val="fr-FR"/>
        </w:rPr>
        <w:t>AEWA.</w:t>
      </w:r>
    </w:p>
    <w:p w14:paraId="6845C422" w14:textId="77777777" w:rsidR="00C35ADA" w:rsidRDefault="00C35ADA" w:rsidP="00BA154F">
      <w:pPr>
        <w:jc w:val="both"/>
        <w:outlineLvl w:val="0"/>
        <w:rPr>
          <w:szCs w:val="22"/>
          <w:lang w:val="fr-FR"/>
        </w:rPr>
      </w:pPr>
    </w:p>
    <w:p w14:paraId="2AECDF1F" w14:textId="55CD29B2" w:rsidR="00C86381" w:rsidRDefault="00C86381" w:rsidP="00BA154F">
      <w:pPr>
        <w:jc w:val="both"/>
        <w:outlineLvl w:val="0"/>
        <w:rPr>
          <w:szCs w:val="22"/>
          <w:lang w:val="fr-FR"/>
        </w:rPr>
      </w:pPr>
      <w:r w:rsidRPr="003124B4">
        <w:rPr>
          <w:szCs w:val="22"/>
          <w:lang w:val="fr-FR"/>
        </w:rPr>
        <w:t>15</w:t>
      </w:r>
      <w:r w:rsidR="003E6AAC">
        <w:rPr>
          <w:szCs w:val="22"/>
          <w:lang w:val="fr-FR"/>
        </w:rPr>
        <w:t>3</w:t>
      </w:r>
      <w:r w:rsidRPr="003124B4">
        <w:rPr>
          <w:szCs w:val="22"/>
          <w:lang w:val="fr-FR"/>
        </w:rPr>
        <w:t xml:space="preserve">. Le </w:t>
      </w:r>
      <w:r w:rsidRPr="003124B4">
        <w:rPr>
          <w:b/>
          <w:szCs w:val="22"/>
          <w:lang w:val="fr-FR"/>
        </w:rPr>
        <w:t xml:space="preserve">Président </w:t>
      </w:r>
      <w:r w:rsidRPr="003124B4">
        <w:rPr>
          <w:szCs w:val="22"/>
          <w:lang w:val="fr-FR"/>
        </w:rPr>
        <w:t>a demandé au</w:t>
      </w:r>
      <w:r w:rsidRPr="003124B4">
        <w:rPr>
          <w:b/>
          <w:szCs w:val="22"/>
          <w:lang w:val="fr-FR"/>
        </w:rPr>
        <w:t xml:space="preserve"> </w:t>
      </w:r>
      <w:r w:rsidRPr="003124B4">
        <w:rPr>
          <w:szCs w:val="22"/>
          <w:lang w:val="fr-FR"/>
        </w:rPr>
        <w:t>Secrétariat d</w:t>
      </w:r>
      <w:r>
        <w:rPr>
          <w:szCs w:val="22"/>
          <w:lang w:val="fr-FR"/>
        </w:rPr>
        <w:t>’</w:t>
      </w:r>
      <w:r w:rsidRPr="003124B4">
        <w:rPr>
          <w:szCs w:val="22"/>
          <w:lang w:val="fr-FR"/>
        </w:rPr>
        <w:t>intégrer cette suggestion utile dans la DR7.</w:t>
      </w:r>
    </w:p>
    <w:p w14:paraId="412E0399" w14:textId="77777777" w:rsidR="00D02DAC" w:rsidRDefault="00D02DAC" w:rsidP="00BA154F">
      <w:pPr>
        <w:jc w:val="both"/>
        <w:outlineLvl w:val="0"/>
        <w:rPr>
          <w:szCs w:val="22"/>
          <w:lang w:val="fr-FR"/>
        </w:rPr>
      </w:pPr>
    </w:p>
    <w:p w14:paraId="2A53B785" w14:textId="77777777" w:rsidR="00D02DAC" w:rsidRPr="00FE1B97" w:rsidRDefault="00D02DAC" w:rsidP="00BA154F">
      <w:pPr>
        <w:jc w:val="both"/>
        <w:rPr>
          <w:szCs w:val="22"/>
          <w:lang w:val="fr-FR"/>
        </w:rPr>
      </w:pPr>
    </w:p>
    <w:p w14:paraId="68B424A8" w14:textId="77777777" w:rsidR="00D02DAC" w:rsidRPr="00792FC9" w:rsidRDefault="00D02DAC" w:rsidP="00BA154F">
      <w:pPr>
        <w:jc w:val="both"/>
        <w:outlineLvl w:val="0"/>
        <w:rPr>
          <w:b/>
          <w:szCs w:val="22"/>
          <w:lang w:val="fr-FR"/>
        </w:rPr>
      </w:pPr>
      <w:r w:rsidRPr="00792FC9">
        <w:rPr>
          <w:b/>
          <w:szCs w:val="22"/>
          <w:lang w:val="fr-FR"/>
        </w:rPr>
        <w:t>Point 20 de l’ordre du jour - Adoption de la nouvelle traduction en arabe du texte de l’Accord</w:t>
      </w:r>
    </w:p>
    <w:p w14:paraId="61EF3BD6" w14:textId="77777777" w:rsidR="00D02DAC" w:rsidRPr="00FE1B97" w:rsidRDefault="00D02DAC" w:rsidP="00BA154F">
      <w:pPr>
        <w:jc w:val="both"/>
        <w:rPr>
          <w:lang w:val="fr-FR"/>
        </w:rPr>
      </w:pPr>
    </w:p>
    <w:p w14:paraId="31D775C8" w14:textId="3B192845" w:rsidR="00D02DAC" w:rsidRPr="00FE1B97" w:rsidRDefault="00D02DAC" w:rsidP="00BA154F">
      <w:pPr>
        <w:jc w:val="both"/>
        <w:rPr>
          <w:szCs w:val="22"/>
          <w:lang w:val="fr-FR"/>
        </w:rPr>
      </w:pPr>
      <w:r w:rsidRPr="00FE1B97">
        <w:rPr>
          <w:lang w:val="fr-FR"/>
        </w:rPr>
        <w:t>1</w:t>
      </w:r>
      <w:r w:rsidR="003E6AAC">
        <w:rPr>
          <w:lang w:val="fr-FR"/>
        </w:rPr>
        <w:t>54</w:t>
      </w:r>
      <w:r w:rsidRPr="00FE1B97">
        <w:rPr>
          <w:lang w:val="fr-FR"/>
        </w:rPr>
        <w:t>. Le</w:t>
      </w:r>
      <w:r w:rsidRPr="00FE1B97">
        <w:rPr>
          <w:b/>
          <w:lang w:val="fr-FR"/>
        </w:rPr>
        <w:t xml:space="preserve"> Secrétaire exécutif par intérim </w:t>
      </w:r>
      <w:r w:rsidR="00C35ADA" w:rsidRPr="00C35ADA">
        <w:rPr>
          <w:lang w:val="fr-FR"/>
        </w:rPr>
        <w:t xml:space="preserve">(M. Marco Barbieri) </w:t>
      </w:r>
      <w:r w:rsidRPr="00C35ADA">
        <w:rPr>
          <w:lang w:val="fr-FR"/>
        </w:rPr>
        <w:t>a</w:t>
      </w:r>
      <w:r w:rsidRPr="00FE1B97">
        <w:rPr>
          <w:lang w:val="fr-FR"/>
        </w:rPr>
        <w:t xml:space="preserve"> fait référence au document AEWA/MOP 5.23 </w:t>
      </w:r>
      <w:r w:rsidRPr="00FE1B97">
        <w:rPr>
          <w:i/>
          <w:szCs w:val="22"/>
          <w:lang w:val="fr-FR"/>
        </w:rPr>
        <w:t>Nouvelle traduction en arabe du texte de l’Accord</w:t>
      </w:r>
      <w:r w:rsidRPr="00FE1B97">
        <w:rPr>
          <w:szCs w:val="22"/>
          <w:lang w:val="fr-FR"/>
        </w:rPr>
        <w:t xml:space="preserve">. Il a rappelé que bien qu’il existait déjà une version en arabe du texte de l’Accord, le Secrétariat avait reçu au cours des années des remarques sur la qualité du texte arabe. Il avait donc été décidé de réviser le texte arabe de l’Accord afin de supprimer les divergences éventuelles entre les différentes versions linguistiques. Ainsi une nouvelle traduction avait été commandée dans le cadre du projet </w:t>
      </w:r>
      <w:proofErr w:type="spellStart"/>
      <w:r w:rsidRPr="00FE1B97">
        <w:rPr>
          <w:szCs w:val="22"/>
          <w:lang w:val="fr-FR"/>
        </w:rPr>
        <w:t>WetCap</w:t>
      </w:r>
      <w:proofErr w:type="spellEnd"/>
      <w:r w:rsidRPr="00FE1B97">
        <w:rPr>
          <w:szCs w:val="22"/>
          <w:lang w:val="fr-FR"/>
        </w:rPr>
        <w:t xml:space="preserve">. La nouvelle traduction, jointe en annexe au document 5.23 a été distribuée aux Parties concernées en octobre 2011. Comme aucun commentaire n’avait été reçu, le </w:t>
      </w:r>
      <w:proofErr w:type="spellStart"/>
      <w:r w:rsidRPr="00FE1B97">
        <w:rPr>
          <w:szCs w:val="22"/>
          <w:lang w:val="fr-FR"/>
        </w:rPr>
        <w:t>StC</w:t>
      </w:r>
      <w:proofErr w:type="spellEnd"/>
      <w:r w:rsidRPr="00FE1B97">
        <w:rPr>
          <w:szCs w:val="22"/>
          <w:lang w:val="fr-FR"/>
        </w:rPr>
        <w:t xml:space="preserve"> avait approuvé le document 5.23 aux fins de soumission à la MOP5.</w:t>
      </w:r>
    </w:p>
    <w:p w14:paraId="31CE48DB" w14:textId="77777777" w:rsidR="00D02DAC" w:rsidRPr="00FE1B97" w:rsidRDefault="00D02DAC" w:rsidP="00BA154F">
      <w:pPr>
        <w:jc w:val="both"/>
        <w:rPr>
          <w:szCs w:val="22"/>
          <w:lang w:val="fr-FR"/>
        </w:rPr>
      </w:pPr>
    </w:p>
    <w:p w14:paraId="51CDD32C" w14:textId="62178893" w:rsidR="00D02DAC" w:rsidRPr="00FE1B97" w:rsidRDefault="00D02DAC" w:rsidP="00BA154F">
      <w:pPr>
        <w:jc w:val="both"/>
        <w:outlineLvl w:val="0"/>
        <w:rPr>
          <w:szCs w:val="22"/>
          <w:lang w:val="fr-FR"/>
        </w:rPr>
      </w:pPr>
      <w:r w:rsidRPr="00FE1B97">
        <w:rPr>
          <w:szCs w:val="22"/>
          <w:lang w:val="fr-FR"/>
        </w:rPr>
        <w:t>1</w:t>
      </w:r>
      <w:r w:rsidR="003E6AAC">
        <w:rPr>
          <w:szCs w:val="22"/>
          <w:lang w:val="fr-FR"/>
        </w:rPr>
        <w:t>55</w:t>
      </w:r>
      <w:r w:rsidRPr="00FE1B97">
        <w:rPr>
          <w:szCs w:val="22"/>
          <w:lang w:val="fr-FR"/>
        </w:rPr>
        <w:t xml:space="preserve">. Le </w:t>
      </w:r>
      <w:r w:rsidRPr="00FE1B97">
        <w:rPr>
          <w:b/>
          <w:szCs w:val="22"/>
          <w:lang w:val="fr-FR"/>
        </w:rPr>
        <w:t>Président</w:t>
      </w:r>
      <w:r w:rsidRPr="00FE1B97">
        <w:rPr>
          <w:szCs w:val="22"/>
          <w:lang w:val="fr-FR"/>
        </w:rPr>
        <w:t xml:space="preserve"> a invité les Parties contractantes de langues arables à intervenir.</w:t>
      </w:r>
    </w:p>
    <w:p w14:paraId="602B221D" w14:textId="77777777" w:rsidR="00D02DAC" w:rsidRPr="00FE1B97" w:rsidRDefault="00D02DAC" w:rsidP="00BA154F">
      <w:pPr>
        <w:jc w:val="both"/>
        <w:rPr>
          <w:szCs w:val="22"/>
          <w:lang w:val="fr-FR"/>
        </w:rPr>
      </w:pPr>
    </w:p>
    <w:p w14:paraId="71C89849" w14:textId="7FD95919" w:rsidR="00D02DAC" w:rsidRPr="00FE1B97" w:rsidRDefault="00D02DAC" w:rsidP="00BA154F">
      <w:pPr>
        <w:jc w:val="both"/>
        <w:rPr>
          <w:szCs w:val="22"/>
          <w:lang w:val="fr-FR"/>
        </w:rPr>
      </w:pPr>
      <w:r w:rsidRPr="00FE1B97">
        <w:rPr>
          <w:szCs w:val="22"/>
          <w:lang w:val="fr-FR"/>
        </w:rPr>
        <w:t>1</w:t>
      </w:r>
      <w:r w:rsidR="003E6AAC">
        <w:rPr>
          <w:szCs w:val="22"/>
          <w:lang w:val="fr-FR"/>
        </w:rPr>
        <w:t>56</w:t>
      </w:r>
      <w:r w:rsidRPr="00FE1B97">
        <w:rPr>
          <w:szCs w:val="22"/>
          <w:lang w:val="fr-FR"/>
        </w:rPr>
        <w:t xml:space="preserve">. La </w:t>
      </w:r>
      <w:r w:rsidRPr="00FE1B97">
        <w:rPr>
          <w:b/>
          <w:szCs w:val="22"/>
          <w:lang w:val="fr-FR"/>
        </w:rPr>
        <w:t>Libye</w:t>
      </w:r>
      <w:r w:rsidRPr="00FE1B97">
        <w:rPr>
          <w:szCs w:val="22"/>
          <w:lang w:val="fr-FR"/>
        </w:rPr>
        <w:t xml:space="preserve">, prenant la parole au nom des </w:t>
      </w:r>
      <w:r w:rsidRPr="00FE1B97">
        <w:rPr>
          <w:b/>
          <w:szCs w:val="22"/>
          <w:lang w:val="fr-FR"/>
        </w:rPr>
        <w:t>Parties de langue arabe présentes à la MOP5</w:t>
      </w:r>
      <w:r w:rsidRPr="00FE1B97">
        <w:rPr>
          <w:szCs w:val="22"/>
          <w:lang w:val="fr-FR"/>
        </w:rPr>
        <w:t xml:space="preserve">, a remercié le Secrétariat pour l’effort accomplis et a souligné l’importance d’avoir une version arabe du texte de l’Accord. Après un examen minutieux de la nouvelle traduction, il a été conclu que de nouvelles adaptations importantes étaient encore nécessaires. Ceci pouvait s’avérer difficile à réaliser avant la clôture de la MOP5, tout spécialement en ce qui concernait les Annexes de l’Accord. Les Parties de langue arabe ont donc demandé à la MOP, par l’intermédiaire du Président, de donner mandat au </w:t>
      </w:r>
      <w:proofErr w:type="spellStart"/>
      <w:r w:rsidRPr="00FE1B97">
        <w:rPr>
          <w:szCs w:val="22"/>
          <w:lang w:val="fr-FR"/>
        </w:rPr>
        <w:t>StC</w:t>
      </w:r>
      <w:proofErr w:type="spellEnd"/>
      <w:r w:rsidRPr="00FE1B97">
        <w:rPr>
          <w:szCs w:val="22"/>
          <w:lang w:val="fr-FR"/>
        </w:rPr>
        <w:t xml:space="preserve"> pour approuver le texte arabe finalisé lors de sa prochaine réunion ou le cas échéant par correspondance. M. Mohammad </w:t>
      </w:r>
      <w:proofErr w:type="spellStart"/>
      <w:r w:rsidRPr="00FE1B97">
        <w:rPr>
          <w:szCs w:val="22"/>
          <w:lang w:val="fr-FR"/>
        </w:rPr>
        <w:t>Sulayem</w:t>
      </w:r>
      <w:proofErr w:type="spellEnd"/>
      <w:r w:rsidRPr="00FE1B97">
        <w:rPr>
          <w:szCs w:val="22"/>
          <w:lang w:val="fr-FR"/>
        </w:rPr>
        <w:t xml:space="preserve">, d’Arabie saoudite, a été désigné pour coordonner ce processus, au nom des Parties concernées, avec le </w:t>
      </w:r>
      <w:proofErr w:type="spellStart"/>
      <w:r w:rsidRPr="00FE1B97">
        <w:rPr>
          <w:szCs w:val="22"/>
          <w:lang w:val="fr-FR"/>
        </w:rPr>
        <w:t>StC</w:t>
      </w:r>
      <w:proofErr w:type="spellEnd"/>
      <w:r w:rsidRPr="00FE1B97">
        <w:rPr>
          <w:szCs w:val="22"/>
          <w:lang w:val="fr-FR"/>
        </w:rPr>
        <w:t xml:space="preserve"> et le Secrétariat.</w:t>
      </w:r>
    </w:p>
    <w:p w14:paraId="37871BFC" w14:textId="77777777" w:rsidR="00D02DAC" w:rsidRPr="00FE1B97" w:rsidRDefault="00D02DAC" w:rsidP="00BA154F">
      <w:pPr>
        <w:jc w:val="both"/>
        <w:rPr>
          <w:szCs w:val="22"/>
          <w:lang w:val="fr-FR"/>
        </w:rPr>
      </w:pPr>
    </w:p>
    <w:p w14:paraId="554968F0" w14:textId="085DB8CD" w:rsidR="00D02DAC" w:rsidRPr="00FE1B97" w:rsidRDefault="00D02DAC" w:rsidP="00BA154F">
      <w:pPr>
        <w:jc w:val="both"/>
        <w:rPr>
          <w:szCs w:val="22"/>
          <w:lang w:val="fr-FR"/>
        </w:rPr>
      </w:pPr>
      <w:r w:rsidRPr="00FE1B97">
        <w:rPr>
          <w:szCs w:val="22"/>
          <w:lang w:val="fr-FR"/>
        </w:rPr>
        <w:t>1</w:t>
      </w:r>
      <w:r w:rsidR="003E6AAC">
        <w:rPr>
          <w:szCs w:val="22"/>
          <w:lang w:val="fr-FR"/>
        </w:rPr>
        <w:t>57</w:t>
      </w:r>
      <w:r w:rsidRPr="00FE1B97">
        <w:rPr>
          <w:szCs w:val="22"/>
          <w:lang w:val="fr-FR"/>
        </w:rPr>
        <w:t xml:space="preserve">. Sur l’invitation du Président, la MOP a fait savoir qu’elle consentait à ce que le </w:t>
      </w:r>
      <w:proofErr w:type="spellStart"/>
      <w:r w:rsidRPr="00FE1B97">
        <w:rPr>
          <w:szCs w:val="22"/>
          <w:lang w:val="fr-FR"/>
        </w:rPr>
        <w:t>StC</w:t>
      </w:r>
      <w:proofErr w:type="spellEnd"/>
      <w:r w:rsidRPr="00FE1B97">
        <w:rPr>
          <w:szCs w:val="22"/>
          <w:lang w:val="fr-FR"/>
        </w:rPr>
        <w:t xml:space="preserve"> soit chargé de finaliser le texte authentique de l’Accord en arabe. Le Secrétariat devra recevoir toutes les révisions du texte au plus tard le 31 décembre 2012.</w:t>
      </w:r>
    </w:p>
    <w:p w14:paraId="7C4BA995" w14:textId="77777777" w:rsidR="00D02DAC" w:rsidRDefault="00D02DAC" w:rsidP="00BA154F">
      <w:pPr>
        <w:jc w:val="both"/>
        <w:rPr>
          <w:lang w:val="fr-FR"/>
        </w:rPr>
      </w:pPr>
    </w:p>
    <w:p w14:paraId="34FC677E" w14:textId="77777777" w:rsidR="00792FC9" w:rsidRPr="00FE1B97" w:rsidRDefault="00792FC9" w:rsidP="00BA154F">
      <w:pPr>
        <w:jc w:val="both"/>
        <w:rPr>
          <w:lang w:val="fr-FR"/>
        </w:rPr>
      </w:pPr>
    </w:p>
    <w:p w14:paraId="7DB5B6A1" w14:textId="283FFB5C" w:rsidR="00D02DAC" w:rsidRPr="00792FC9" w:rsidRDefault="00D02DAC" w:rsidP="00BA154F">
      <w:pPr>
        <w:jc w:val="both"/>
        <w:outlineLvl w:val="0"/>
        <w:rPr>
          <w:b/>
          <w:szCs w:val="22"/>
          <w:lang w:val="fr-FR"/>
        </w:rPr>
      </w:pPr>
      <w:r w:rsidRPr="00792FC9">
        <w:rPr>
          <w:b/>
          <w:szCs w:val="22"/>
          <w:lang w:val="fr-FR"/>
        </w:rPr>
        <w:t>Point 21</w:t>
      </w:r>
      <w:r w:rsidR="00792FC9" w:rsidRPr="00792FC9">
        <w:rPr>
          <w:b/>
          <w:szCs w:val="22"/>
          <w:lang w:val="fr-FR"/>
        </w:rPr>
        <w:t xml:space="preserve"> </w:t>
      </w:r>
      <w:r w:rsidRPr="00792FC9">
        <w:rPr>
          <w:b/>
          <w:szCs w:val="22"/>
          <w:lang w:val="fr-FR"/>
        </w:rPr>
        <w:t xml:space="preserve">de l’ordre du jour - Plans d’action </w:t>
      </w:r>
      <w:r w:rsidR="00C35ADA">
        <w:rPr>
          <w:b/>
          <w:szCs w:val="22"/>
          <w:lang w:val="fr-FR"/>
        </w:rPr>
        <w:t xml:space="preserve">internationaux par espèce et </w:t>
      </w:r>
      <w:r w:rsidRPr="00792FC9">
        <w:rPr>
          <w:b/>
          <w:szCs w:val="22"/>
          <w:lang w:val="fr-FR"/>
        </w:rPr>
        <w:t xml:space="preserve">Plans de gestion </w:t>
      </w:r>
    </w:p>
    <w:p w14:paraId="3F2C4848" w14:textId="77777777" w:rsidR="00D02DAC" w:rsidRPr="00FE1B97" w:rsidRDefault="00D02DAC" w:rsidP="00BA154F">
      <w:pPr>
        <w:jc w:val="both"/>
        <w:rPr>
          <w:lang w:val="fr-FR"/>
        </w:rPr>
      </w:pPr>
    </w:p>
    <w:p w14:paraId="20DDCD7F" w14:textId="5FB1F4FD" w:rsidR="00D02DAC" w:rsidRDefault="00D02DAC" w:rsidP="00BA154F">
      <w:pPr>
        <w:jc w:val="both"/>
        <w:rPr>
          <w:lang w:val="fr-FR"/>
        </w:rPr>
      </w:pPr>
      <w:r w:rsidRPr="00FE1B97">
        <w:rPr>
          <w:lang w:val="fr-FR"/>
        </w:rPr>
        <w:t>1</w:t>
      </w:r>
      <w:r w:rsidR="003E6AAC">
        <w:rPr>
          <w:lang w:val="fr-FR"/>
        </w:rPr>
        <w:t>58</w:t>
      </w:r>
      <w:r w:rsidRPr="00FE1B97">
        <w:rPr>
          <w:lang w:val="fr-FR"/>
        </w:rPr>
        <w:t>. L’</w:t>
      </w:r>
      <w:r w:rsidRPr="00FE1B97">
        <w:rPr>
          <w:b/>
          <w:lang w:val="fr-FR"/>
        </w:rPr>
        <w:t xml:space="preserve">Administrateur technique de l’AEWA </w:t>
      </w:r>
      <w:r w:rsidR="00C35ADA" w:rsidRPr="00C35ADA">
        <w:rPr>
          <w:lang w:val="fr-FR"/>
        </w:rPr>
        <w:t>(M. Sergey Dereliev)</w:t>
      </w:r>
      <w:r w:rsidR="00C35ADA">
        <w:rPr>
          <w:b/>
          <w:lang w:val="fr-FR"/>
        </w:rPr>
        <w:t xml:space="preserve"> </w:t>
      </w:r>
      <w:r w:rsidRPr="00FE1B97">
        <w:rPr>
          <w:lang w:val="fr-FR"/>
        </w:rPr>
        <w:t>a présenté le document</w:t>
      </w:r>
      <w:r w:rsidRPr="00FE1B97">
        <w:rPr>
          <w:b/>
          <w:lang w:val="fr-FR"/>
        </w:rPr>
        <w:t xml:space="preserve"> </w:t>
      </w:r>
      <w:r w:rsidRPr="00FE1B97">
        <w:rPr>
          <w:iCs/>
          <w:szCs w:val="22"/>
          <w:lang w:val="fr-FR"/>
        </w:rPr>
        <w:t xml:space="preserve">AEWA/MOP 5.24 </w:t>
      </w:r>
      <w:r w:rsidRPr="00FE1B97">
        <w:rPr>
          <w:i/>
          <w:iCs/>
          <w:szCs w:val="22"/>
          <w:lang w:val="fr-FR"/>
        </w:rPr>
        <w:t>Résumé de la situation actuelle de la production et de la coordination des Plans d’action par espèce et des plans de gestion des espèces</w:t>
      </w:r>
      <w:r w:rsidRPr="00FE1B97">
        <w:rPr>
          <w:lang w:val="fr-FR"/>
        </w:rPr>
        <w:t xml:space="preserve">. Il y avait actuellement 21 Plans d’action par espèce adoptés ou en cours : 15 Plans d’action par espèces (SSAP) </w:t>
      </w:r>
      <w:r w:rsidR="00C35ADA">
        <w:rPr>
          <w:lang w:val="fr-FR"/>
        </w:rPr>
        <w:t>adopté par la MOP lors de sa 2</w:t>
      </w:r>
      <w:r w:rsidR="00C35ADA" w:rsidRPr="00C35ADA">
        <w:rPr>
          <w:vertAlign w:val="superscript"/>
          <w:lang w:val="fr-FR"/>
        </w:rPr>
        <w:t>ème</w:t>
      </w:r>
      <w:r w:rsidR="00C35ADA">
        <w:rPr>
          <w:lang w:val="fr-FR"/>
        </w:rPr>
        <w:t>, 3</w:t>
      </w:r>
      <w:r w:rsidR="00C35ADA" w:rsidRPr="00C35ADA">
        <w:rPr>
          <w:vertAlign w:val="superscript"/>
          <w:lang w:val="fr-FR"/>
        </w:rPr>
        <w:t>ème</w:t>
      </w:r>
      <w:r w:rsidR="00C35ADA">
        <w:rPr>
          <w:lang w:val="fr-FR"/>
        </w:rPr>
        <w:t xml:space="preserve"> et 4</w:t>
      </w:r>
      <w:r w:rsidR="00C35ADA" w:rsidRPr="00C35ADA">
        <w:rPr>
          <w:vertAlign w:val="superscript"/>
          <w:lang w:val="fr-FR"/>
        </w:rPr>
        <w:t>ème</w:t>
      </w:r>
      <w:r w:rsidR="00C35ADA">
        <w:rPr>
          <w:lang w:val="fr-FR"/>
        </w:rPr>
        <w:t xml:space="preserve"> session</w:t>
      </w:r>
      <w:r w:rsidRPr="00FE1B97">
        <w:rPr>
          <w:lang w:val="fr-FR"/>
        </w:rPr>
        <w:t xml:space="preserve">, 4 nouveaux SSAP soumis à la MOP5, 1 Plan de gestion des espèces (SMP) soumis à la MOP5 et 1 SSAP (pour le Bec-en-sabot </w:t>
      </w:r>
      <w:proofErr w:type="spellStart"/>
      <w:r w:rsidRPr="00FE1B97">
        <w:rPr>
          <w:rStyle w:val="st"/>
          <w:i/>
          <w:lang w:val="fr-FR"/>
        </w:rPr>
        <w:t>Balaeniceps</w:t>
      </w:r>
      <w:proofErr w:type="spellEnd"/>
      <w:r w:rsidRPr="00FE1B97">
        <w:rPr>
          <w:rStyle w:val="st"/>
          <w:i/>
          <w:lang w:val="fr-FR"/>
        </w:rPr>
        <w:t xml:space="preserve"> </w:t>
      </w:r>
      <w:proofErr w:type="spellStart"/>
      <w:r w:rsidRPr="00FE1B97">
        <w:rPr>
          <w:rStyle w:val="st"/>
          <w:i/>
          <w:lang w:val="fr-FR"/>
        </w:rPr>
        <w:t>rex</w:t>
      </w:r>
      <w:proofErr w:type="spellEnd"/>
      <w:r w:rsidRPr="00FE1B97">
        <w:rPr>
          <w:lang w:val="fr-FR"/>
        </w:rPr>
        <w:t>) pour lequel un financement provenant de la Suisse était assuré mais qui ne serait développé qu’après la MOP5. Un mécanisme de coordination internationale avait été mis en place pour ces plans par le TC et des groupes de travail internationaux sur les espèces (ISWG), dont les Termes de références avaient été approuvés par le TC, avaient été jusqu’à présent réunis pour sept SSAP :</w:t>
      </w:r>
    </w:p>
    <w:p w14:paraId="49106F04" w14:textId="77777777" w:rsidR="00C35ADA" w:rsidRDefault="00C35ADA" w:rsidP="00BA154F">
      <w:pPr>
        <w:jc w:val="both"/>
        <w:rPr>
          <w:lang w:val="fr-FR"/>
        </w:rPr>
      </w:pPr>
    </w:p>
    <w:p w14:paraId="2F5640E7" w14:textId="77777777" w:rsidR="00D02DAC" w:rsidRPr="00C35ADA" w:rsidRDefault="00D02DAC" w:rsidP="00BA154F">
      <w:pPr>
        <w:pStyle w:val="ListParagraph"/>
        <w:numPr>
          <w:ilvl w:val="0"/>
          <w:numId w:val="13"/>
        </w:numPr>
        <w:jc w:val="both"/>
        <w:rPr>
          <w:sz w:val="22"/>
          <w:szCs w:val="22"/>
          <w:lang w:val="fr-FR"/>
        </w:rPr>
      </w:pPr>
      <w:r w:rsidRPr="00C35ADA">
        <w:rPr>
          <w:sz w:val="22"/>
          <w:szCs w:val="22"/>
          <w:lang w:val="fr-FR"/>
        </w:rPr>
        <w:t>L’Oie naine (</w:t>
      </w:r>
      <w:r w:rsidRPr="00C35ADA">
        <w:rPr>
          <w:i/>
          <w:sz w:val="22"/>
          <w:szCs w:val="22"/>
          <w:lang w:val="fr-FR"/>
        </w:rPr>
        <w:t xml:space="preserve">Anser </w:t>
      </w:r>
      <w:proofErr w:type="spellStart"/>
      <w:r w:rsidRPr="00C35ADA">
        <w:rPr>
          <w:i/>
          <w:sz w:val="22"/>
          <w:szCs w:val="22"/>
          <w:lang w:val="fr-FR"/>
        </w:rPr>
        <w:t>erythropus</w:t>
      </w:r>
      <w:proofErr w:type="spellEnd"/>
      <w:r w:rsidRPr="00C35ADA">
        <w:rPr>
          <w:sz w:val="22"/>
          <w:szCs w:val="22"/>
          <w:lang w:val="fr-FR"/>
        </w:rPr>
        <w:t>)</w:t>
      </w:r>
    </w:p>
    <w:p w14:paraId="1B04B3B7" w14:textId="77777777" w:rsidR="00D02DAC" w:rsidRPr="00C35ADA" w:rsidRDefault="00D02DAC" w:rsidP="00BA154F">
      <w:pPr>
        <w:pStyle w:val="ListParagraph"/>
        <w:numPr>
          <w:ilvl w:val="0"/>
          <w:numId w:val="13"/>
        </w:numPr>
        <w:jc w:val="both"/>
        <w:rPr>
          <w:sz w:val="22"/>
          <w:szCs w:val="22"/>
          <w:lang w:val="fr-FR"/>
        </w:rPr>
      </w:pPr>
      <w:r w:rsidRPr="00C35ADA">
        <w:rPr>
          <w:sz w:val="22"/>
          <w:szCs w:val="22"/>
          <w:lang w:val="fr-FR"/>
        </w:rPr>
        <w:t>Le Vanneau sociable (</w:t>
      </w:r>
      <w:proofErr w:type="spellStart"/>
      <w:r w:rsidRPr="00C35ADA">
        <w:rPr>
          <w:i/>
          <w:sz w:val="22"/>
          <w:szCs w:val="22"/>
          <w:lang w:val="fr-FR"/>
        </w:rPr>
        <w:t>Vanellus</w:t>
      </w:r>
      <w:proofErr w:type="spellEnd"/>
      <w:r w:rsidRPr="00C35ADA">
        <w:rPr>
          <w:i/>
          <w:sz w:val="22"/>
          <w:szCs w:val="22"/>
          <w:lang w:val="fr-FR"/>
        </w:rPr>
        <w:t xml:space="preserve"> </w:t>
      </w:r>
      <w:proofErr w:type="spellStart"/>
      <w:r w:rsidRPr="00C35ADA">
        <w:rPr>
          <w:i/>
          <w:sz w:val="22"/>
          <w:szCs w:val="22"/>
          <w:lang w:val="fr-FR"/>
        </w:rPr>
        <w:t>gregarius</w:t>
      </w:r>
      <w:proofErr w:type="spellEnd"/>
      <w:r w:rsidRPr="00C35ADA">
        <w:rPr>
          <w:sz w:val="22"/>
          <w:szCs w:val="22"/>
          <w:lang w:val="fr-FR"/>
        </w:rPr>
        <w:t>)</w:t>
      </w:r>
    </w:p>
    <w:p w14:paraId="1E6F2622" w14:textId="77777777" w:rsidR="00D02DAC" w:rsidRPr="00C35ADA" w:rsidRDefault="00D02DAC" w:rsidP="00BA154F">
      <w:pPr>
        <w:pStyle w:val="ListParagraph"/>
        <w:numPr>
          <w:ilvl w:val="0"/>
          <w:numId w:val="13"/>
        </w:numPr>
        <w:jc w:val="both"/>
        <w:rPr>
          <w:sz w:val="22"/>
          <w:szCs w:val="22"/>
          <w:lang w:val="fr-FR"/>
        </w:rPr>
      </w:pPr>
      <w:r w:rsidRPr="00C35ADA">
        <w:rPr>
          <w:sz w:val="22"/>
          <w:szCs w:val="22"/>
          <w:lang w:val="fr-FR"/>
        </w:rPr>
        <w:t>l'Ibis chauve (</w:t>
      </w:r>
      <w:proofErr w:type="spellStart"/>
      <w:r w:rsidRPr="00C35ADA">
        <w:rPr>
          <w:rStyle w:val="st"/>
          <w:i/>
          <w:sz w:val="22"/>
          <w:szCs w:val="22"/>
          <w:lang w:val="fr-FR"/>
        </w:rPr>
        <w:t>Geronticus</w:t>
      </w:r>
      <w:proofErr w:type="spellEnd"/>
      <w:r w:rsidRPr="00C35ADA">
        <w:rPr>
          <w:rStyle w:val="st"/>
          <w:i/>
          <w:sz w:val="22"/>
          <w:szCs w:val="22"/>
          <w:lang w:val="fr-FR"/>
        </w:rPr>
        <w:t xml:space="preserve"> </w:t>
      </w:r>
      <w:proofErr w:type="spellStart"/>
      <w:r w:rsidRPr="00C35ADA">
        <w:rPr>
          <w:rStyle w:val="st"/>
          <w:i/>
          <w:sz w:val="22"/>
          <w:szCs w:val="22"/>
          <w:lang w:val="fr-FR"/>
        </w:rPr>
        <w:t>eremita</w:t>
      </w:r>
      <w:proofErr w:type="spellEnd"/>
      <w:r w:rsidRPr="00C35ADA">
        <w:rPr>
          <w:sz w:val="22"/>
          <w:szCs w:val="22"/>
          <w:lang w:val="fr-FR"/>
        </w:rPr>
        <w:t>)</w:t>
      </w:r>
    </w:p>
    <w:p w14:paraId="2916B81A" w14:textId="77777777" w:rsidR="00D02DAC" w:rsidRPr="0065286D" w:rsidRDefault="00D02DAC" w:rsidP="00BA154F">
      <w:pPr>
        <w:pStyle w:val="ListParagraph"/>
        <w:numPr>
          <w:ilvl w:val="0"/>
          <w:numId w:val="13"/>
        </w:numPr>
        <w:jc w:val="both"/>
        <w:rPr>
          <w:sz w:val="22"/>
          <w:szCs w:val="22"/>
          <w:lang w:val="es-ES_tradnl"/>
        </w:rPr>
      </w:pPr>
      <w:r w:rsidRPr="0065286D">
        <w:rPr>
          <w:sz w:val="22"/>
          <w:szCs w:val="22"/>
          <w:lang w:val="es-ES_tradnl"/>
        </w:rPr>
        <w:t xml:space="preserve">Le </w:t>
      </w:r>
      <w:proofErr w:type="spellStart"/>
      <w:r w:rsidRPr="0065286D">
        <w:rPr>
          <w:sz w:val="22"/>
          <w:szCs w:val="22"/>
          <w:lang w:val="es-ES_tradnl"/>
        </w:rPr>
        <w:t>Crabier</w:t>
      </w:r>
      <w:proofErr w:type="spellEnd"/>
      <w:r w:rsidRPr="0065286D">
        <w:rPr>
          <w:sz w:val="22"/>
          <w:szCs w:val="22"/>
          <w:lang w:val="es-ES_tradnl"/>
        </w:rPr>
        <w:t xml:space="preserve"> </w:t>
      </w:r>
      <w:proofErr w:type="spellStart"/>
      <w:r w:rsidRPr="0065286D">
        <w:rPr>
          <w:sz w:val="22"/>
          <w:szCs w:val="22"/>
          <w:lang w:val="es-ES_tradnl"/>
        </w:rPr>
        <w:t>blanc</w:t>
      </w:r>
      <w:proofErr w:type="spellEnd"/>
      <w:r w:rsidRPr="0065286D">
        <w:rPr>
          <w:sz w:val="22"/>
          <w:szCs w:val="22"/>
          <w:lang w:val="es-ES_tradnl"/>
        </w:rPr>
        <w:t xml:space="preserve"> (</w:t>
      </w:r>
      <w:proofErr w:type="spellStart"/>
      <w:r w:rsidRPr="0065286D">
        <w:rPr>
          <w:i/>
          <w:sz w:val="22"/>
          <w:szCs w:val="22"/>
          <w:lang w:val="es-ES_tradnl"/>
        </w:rPr>
        <w:t>Aredeola</w:t>
      </w:r>
      <w:proofErr w:type="spellEnd"/>
      <w:r w:rsidRPr="0065286D">
        <w:rPr>
          <w:i/>
          <w:sz w:val="22"/>
          <w:szCs w:val="22"/>
          <w:lang w:val="es-ES_tradnl"/>
        </w:rPr>
        <w:t xml:space="preserve"> idea</w:t>
      </w:r>
      <w:r w:rsidRPr="0065286D">
        <w:rPr>
          <w:sz w:val="22"/>
          <w:szCs w:val="22"/>
          <w:lang w:val="es-ES_tradnl"/>
        </w:rPr>
        <w:t>)</w:t>
      </w:r>
    </w:p>
    <w:p w14:paraId="67A17770" w14:textId="77777777" w:rsidR="00D02DAC" w:rsidRPr="00C35ADA" w:rsidRDefault="00D02DAC" w:rsidP="00BA154F">
      <w:pPr>
        <w:pStyle w:val="ListParagraph"/>
        <w:numPr>
          <w:ilvl w:val="0"/>
          <w:numId w:val="13"/>
        </w:numPr>
        <w:jc w:val="both"/>
        <w:rPr>
          <w:sz w:val="22"/>
          <w:szCs w:val="22"/>
          <w:lang w:val="fr-FR"/>
        </w:rPr>
      </w:pPr>
      <w:r w:rsidRPr="00C35ADA">
        <w:rPr>
          <w:sz w:val="22"/>
          <w:szCs w:val="22"/>
          <w:lang w:val="fr-FR"/>
        </w:rPr>
        <w:t>Le Flamant nain (</w:t>
      </w:r>
      <w:proofErr w:type="spellStart"/>
      <w:r w:rsidRPr="00C35ADA">
        <w:rPr>
          <w:i/>
          <w:sz w:val="22"/>
          <w:szCs w:val="22"/>
          <w:lang w:val="fr-FR"/>
        </w:rPr>
        <w:t>Phoenicopterus</w:t>
      </w:r>
      <w:proofErr w:type="spellEnd"/>
      <w:r w:rsidRPr="00C35ADA">
        <w:rPr>
          <w:i/>
          <w:sz w:val="22"/>
          <w:szCs w:val="22"/>
          <w:lang w:val="fr-FR"/>
        </w:rPr>
        <w:t xml:space="preserve"> </w:t>
      </w:r>
      <w:proofErr w:type="spellStart"/>
      <w:r w:rsidRPr="00C35ADA">
        <w:rPr>
          <w:i/>
          <w:sz w:val="22"/>
          <w:szCs w:val="22"/>
          <w:lang w:val="fr-FR"/>
        </w:rPr>
        <w:t>minor</w:t>
      </w:r>
      <w:proofErr w:type="spellEnd"/>
      <w:r w:rsidRPr="00C35ADA">
        <w:rPr>
          <w:sz w:val="22"/>
          <w:szCs w:val="22"/>
          <w:lang w:val="fr-FR"/>
        </w:rPr>
        <w:t>)</w:t>
      </w:r>
    </w:p>
    <w:p w14:paraId="386FF428" w14:textId="77777777" w:rsidR="00D02DAC" w:rsidRPr="00FE1B97" w:rsidRDefault="00D02DAC" w:rsidP="00BA154F">
      <w:pPr>
        <w:pStyle w:val="ListParagraph"/>
        <w:numPr>
          <w:ilvl w:val="0"/>
          <w:numId w:val="13"/>
        </w:numPr>
        <w:jc w:val="both"/>
        <w:rPr>
          <w:sz w:val="22"/>
          <w:szCs w:val="22"/>
          <w:lang w:val="fr-FR"/>
        </w:rPr>
      </w:pPr>
      <w:r w:rsidRPr="00FE1B97">
        <w:rPr>
          <w:sz w:val="22"/>
          <w:szCs w:val="22"/>
          <w:lang w:val="fr-FR"/>
        </w:rPr>
        <w:t>Le Râle à miroir (</w:t>
      </w:r>
      <w:proofErr w:type="spellStart"/>
      <w:r w:rsidRPr="00FE1B97">
        <w:rPr>
          <w:rStyle w:val="st"/>
          <w:i/>
          <w:sz w:val="22"/>
          <w:szCs w:val="22"/>
          <w:lang w:val="fr-FR"/>
        </w:rPr>
        <w:t>Sarothrura</w:t>
      </w:r>
      <w:proofErr w:type="spellEnd"/>
      <w:r w:rsidRPr="00FE1B97">
        <w:rPr>
          <w:rStyle w:val="st"/>
          <w:i/>
          <w:sz w:val="22"/>
          <w:szCs w:val="22"/>
          <w:lang w:val="fr-FR"/>
        </w:rPr>
        <w:t xml:space="preserve"> </w:t>
      </w:r>
      <w:proofErr w:type="spellStart"/>
      <w:r w:rsidRPr="00FE1B97">
        <w:rPr>
          <w:rStyle w:val="st"/>
          <w:i/>
          <w:sz w:val="22"/>
          <w:szCs w:val="22"/>
          <w:lang w:val="fr-FR"/>
        </w:rPr>
        <w:t>ayresi</w:t>
      </w:r>
      <w:proofErr w:type="spellEnd"/>
      <w:r w:rsidRPr="00FE1B97">
        <w:rPr>
          <w:sz w:val="22"/>
          <w:szCs w:val="22"/>
          <w:lang w:val="fr-FR"/>
        </w:rPr>
        <w:t>)</w:t>
      </w:r>
    </w:p>
    <w:p w14:paraId="39F66EA9" w14:textId="77777777" w:rsidR="00D02DAC" w:rsidRPr="00FE1B97" w:rsidRDefault="00D02DAC" w:rsidP="00BA154F">
      <w:pPr>
        <w:pStyle w:val="ListParagraph"/>
        <w:numPr>
          <w:ilvl w:val="0"/>
          <w:numId w:val="13"/>
        </w:numPr>
        <w:jc w:val="both"/>
        <w:rPr>
          <w:sz w:val="22"/>
          <w:szCs w:val="22"/>
          <w:lang w:val="fr-FR"/>
        </w:rPr>
      </w:pPr>
      <w:r w:rsidRPr="00FE1B97">
        <w:rPr>
          <w:sz w:val="22"/>
          <w:szCs w:val="22"/>
          <w:lang w:val="fr-FR"/>
        </w:rPr>
        <w:t>La Barge à queue noire (</w:t>
      </w:r>
      <w:proofErr w:type="spellStart"/>
      <w:r w:rsidRPr="00FE1B97">
        <w:rPr>
          <w:i/>
          <w:sz w:val="22"/>
          <w:szCs w:val="22"/>
          <w:lang w:val="fr-FR"/>
        </w:rPr>
        <w:t>Limosa</w:t>
      </w:r>
      <w:proofErr w:type="spellEnd"/>
      <w:r w:rsidRPr="00FE1B97">
        <w:rPr>
          <w:i/>
          <w:sz w:val="22"/>
          <w:szCs w:val="22"/>
          <w:lang w:val="fr-FR"/>
        </w:rPr>
        <w:t xml:space="preserve"> </w:t>
      </w:r>
      <w:proofErr w:type="spellStart"/>
      <w:r w:rsidRPr="00FE1B97">
        <w:rPr>
          <w:i/>
          <w:sz w:val="22"/>
          <w:szCs w:val="22"/>
          <w:lang w:val="fr-FR"/>
        </w:rPr>
        <w:t>limosa</w:t>
      </w:r>
      <w:proofErr w:type="spellEnd"/>
      <w:r w:rsidRPr="00FE1B97">
        <w:rPr>
          <w:sz w:val="22"/>
          <w:szCs w:val="22"/>
          <w:lang w:val="fr-FR"/>
        </w:rPr>
        <w:t>)</w:t>
      </w:r>
    </w:p>
    <w:p w14:paraId="3E0011DA" w14:textId="77777777" w:rsidR="00D02DAC" w:rsidRPr="00FE1B97" w:rsidRDefault="00D02DAC" w:rsidP="00BA154F">
      <w:pPr>
        <w:jc w:val="both"/>
        <w:rPr>
          <w:szCs w:val="22"/>
          <w:lang w:val="fr-FR"/>
        </w:rPr>
      </w:pPr>
    </w:p>
    <w:p w14:paraId="23B9A479" w14:textId="439EE8E6" w:rsidR="00D02DAC" w:rsidRDefault="00D02DAC" w:rsidP="00BA154F">
      <w:pPr>
        <w:jc w:val="both"/>
        <w:rPr>
          <w:szCs w:val="22"/>
          <w:lang w:val="fr-FR"/>
        </w:rPr>
      </w:pPr>
      <w:r w:rsidRPr="00FE1B97">
        <w:rPr>
          <w:szCs w:val="22"/>
          <w:lang w:val="fr-FR"/>
        </w:rPr>
        <w:t>1</w:t>
      </w:r>
      <w:r w:rsidR="003E6AAC">
        <w:rPr>
          <w:szCs w:val="22"/>
          <w:lang w:val="fr-FR"/>
        </w:rPr>
        <w:t>59</w:t>
      </w:r>
      <w:r w:rsidRPr="00FE1B97">
        <w:rPr>
          <w:szCs w:val="22"/>
          <w:lang w:val="fr-FR"/>
        </w:rPr>
        <w:t xml:space="preserve">. Des organisations coordinatrices avaient été identifiées pour chacun de ces ISWG et un Mémorandum de coopération avait été conclu avec chaque organisation chargée de la coordination. Un ISWG pour la Bernache à cou roux </w:t>
      </w:r>
      <w:proofErr w:type="spellStart"/>
      <w:r w:rsidRPr="00FE1B97">
        <w:rPr>
          <w:i/>
          <w:szCs w:val="22"/>
          <w:lang w:val="fr-FR"/>
        </w:rPr>
        <w:t>Branta</w:t>
      </w:r>
      <w:proofErr w:type="spellEnd"/>
      <w:r w:rsidRPr="00FE1B97">
        <w:rPr>
          <w:i/>
          <w:szCs w:val="22"/>
          <w:lang w:val="fr-FR"/>
        </w:rPr>
        <w:t xml:space="preserve"> </w:t>
      </w:r>
      <w:proofErr w:type="spellStart"/>
      <w:r w:rsidRPr="00FE1B97">
        <w:rPr>
          <w:i/>
          <w:szCs w:val="22"/>
          <w:lang w:val="fr-FR"/>
        </w:rPr>
        <w:t>ruficollis</w:t>
      </w:r>
      <w:proofErr w:type="spellEnd"/>
      <w:r w:rsidRPr="00FE1B97">
        <w:rPr>
          <w:szCs w:val="22"/>
          <w:lang w:val="fr-FR"/>
        </w:rPr>
        <w:t xml:space="preserve"> avait été formé et un coordinateur recruté. Un coordinateur avait été également recruté pour l’</w:t>
      </w:r>
      <w:proofErr w:type="spellStart"/>
      <w:r w:rsidRPr="00FE1B97">
        <w:rPr>
          <w:szCs w:val="22"/>
          <w:lang w:val="fr-FR"/>
        </w:rPr>
        <w:t>Érismature</w:t>
      </w:r>
      <w:proofErr w:type="spellEnd"/>
      <w:r w:rsidRPr="00FE1B97">
        <w:rPr>
          <w:szCs w:val="22"/>
          <w:lang w:val="fr-FR"/>
        </w:rPr>
        <w:t xml:space="preserve"> à tête blanche </w:t>
      </w:r>
      <w:proofErr w:type="spellStart"/>
      <w:r w:rsidRPr="00FE1B97">
        <w:rPr>
          <w:i/>
          <w:szCs w:val="22"/>
          <w:lang w:val="fr-FR"/>
        </w:rPr>
        <w:t>Oxyura</w:t>
      </w:r>
      <w:proofErr w:type="spellEnd"/>
      <w:r w:rsidRPr="00FE1B97">
        <w:rPr>
          <w:i/>
          <w:szCs w:val="22"/>
          <w:lang w:val="fr-FR"/>
        </w:rPr>
        <w:t xml:space="preserve"> </w:t>
      </w:r>
      <w:proofErr w:type="spellStart"/>
      <w:r w:rsidRPr="00FE1B97">
        <w:rPr>
          <w:i/>
          <w:szCs w:val="22"/>
          <w:lang w:val="fr-FR"/>
        </w:rPr>
        <w:t>leucocephala</w:t>
      </w:r>
      <w:proofErr w:type="spellEnd"/>
      <w:r w:rsidRPr="00FE1B97">
        <w:rPr>
          <w:i/>
          <w:szCs w:val="22"/>
          <w:lang w:val="fr-FR"/>
        </w:rPr>
        <w:t xml:space="preserve">, </w:t>
      </w:r>
      <w:r w:rsidRPr="00FE1B97">
        <w:rPr>
          <w:szCs w:val="22"/>
          <w:lang w:val="fr-FR"/>
        </w:rPr>
        <w:t>mais un ISWG n’avait pas encore été formé. Les défis rencontrés dans le fonctionnement des mécanismes de coordination étaient souvent liés aux fonds insuffisants, à la dépendance à l’égard de coordinateurs détachés et travaillant à temps partiel, et au besoin de conseils supplémentaires de la part du Secrétariat.</w:t>
      </w:r>
    </w:p>
    <w:p w14:paraId="167FD5E1" w14:textId="77777777" w:rsidR="00C35ADA" w:rsidRPr="00FE1B97" w:rsidRDefault="00C35ADA" w:rsidP="00BA154F">
      <w:pPr>
        <w:jc w:val="both"/>
        <w:rPr>
          <w:szCs w:val="22"/>
          <w:lang w:val="fr-FR"/>
        </w:rPr>
      </w:pPr>
    </w:p>
    <w:p w14:paraId="05001CBC" w14:textId="4C32EB47" w:rsidR="00D02DAC" w:rsidRPr="00FE1B97" w:rsidRDefault="00D02DAC" w:rsidP="00BA154F">
      <w:pPr>
        <w:jc w:val="both"/>
        <w:rPr>
          <w:lang w:val="fr-FR"/>
        </w:rPr>
      </w:pPr>
      <w:r w:rsidRPr="00FE1B97">
        <w:rPr>
          <w:lang w:val="fr-FR"/>
        </w:rPr>
        <w:t>1</w:t>
      </w:r>
      <w:r w:rsidR="003E6AAC">
        <w:rPr>
          <w:lang w:val="fr-FR"/>
        </w:rPr>
        <w:t>60</w:t>
      </w:r>
      <w:r w:rsidR="00C35ADA">
        <w:rPr>
          <w:lang w:val="fr-FR"/>
        </w:rPr>
        <w:t xml:space="preserve">. </w:t>
      </w:r>
      <w:r w:rsidR="00C35ADA" w:rsidRPr="00C35ADA">
        <w:rPr>
          <w:b/>
          <w:lang w:val="fr-FR"/>
        </w:rPr>
        <w:t>M. Dereliev</w:t>
      </w:r>
      <w:r w:rsidRPr="00FE1B97">
        <w:rPr>
          <w:b/>
          <w:lang w:val="fr-FR"/>
        </w:rPr>
        <w:t xml:space="preserve"> </w:t>
      </w:r>
      <w:r w:rsidRPr="00FE1B97">
        <w:rPr>
          <w:lang w:val="fr-FR"/>
        </w:rPr>
        <w:t xml:space="preserve">a aussi présenté l’avant-projet de Résolution correspondant, AEWA/MOP5 DR8 </w:t>
      </w:r>
      <w:r w:rsidRPr="00FE1B97">
        <w:rPr>
          <w:i/>
          <w:lang w:val="fr-FR"/>
        </w:rPr>
        <w:t>Adoption et mise en œuvre des Plans d’action internationaux par espèce et des plans de gestion des espèces</w:t>
      </w:r>
      <w:r w:rsidRPr="00FE1B97">
        <w:rPr>
          <w:lang w:val="fr-FR"/>
        </w:rPr>
        <w:t xml:space="preserve">. </w:t>
      </w:r>
    </w:p>
    <w:p w14:paraId="705B0913" w14:textId="77777777" w:rsidR="00D02DAC" w:rsidRPr="00FE1B97" w:rsidRDefault="00D02DAC" w:rsidP="00BA154F">
      <w:pPr>
        <w:jc w:val="both"/>
        <w:rPr>
          <w:lang w:val="fr-FR"/>
        </w:rPr>
      </w:pPr>
    </w:p>
    <w:p w14:paraId="6F780141" w14:textId="7E53612F" w:rsidR="00D02DAC" w:rsidRPr="00FE1B97" w:rsidRDefault="00D02DAC" w:rsidP="00BA154F">
      <w:pPr>
        <w:jc w:val="both"/>
        <w:rPr>
          <w:lang w:val="fr-FR"/>
        </w:rPr>
      </w:pPr>
      <w:r w:rsidRPr="00FE1B97">
        <w:rPr>
          <w:lang w:val="fr-FR"/>
        </w:rPr>
        <w:t>1</w:t>
      </w:r>
      <w:r w:rsidR="003E6AAC">
        <w:rPr>
          <w:lang w:val="fr-FR"/>
        </w:rPr>
        <w:t>61</w:t>
      </w:r>
      <w:r w:rsidRPr="00FE1B97">
        <w:rPr>
          <w:lang w:val="fr-FR"/>
        </w:rPr>
        <w:t xml:space="preserve">. En réponse à une question posée par la </w:t>
      </w:r>
      <w:r w:rsidRPr="00FE1B97">
        <w:rPr>
          <w:b/>
          <w:lang w:val="fr-FR"/>
        </w:rPr>
        <w:t>Mauritanie</w:t>
      </w:r>
      <w:r w:rsidRPr="00FE1B97">
        <w:rPr>
          <w:lang w:val="fr-FR"/>
        </w:rPr>
        <w:t xml:space="preserve">, le </w:t>
      </w:r>
      <w:r w:rsidRPr="00FE1B97">
        <w:rPr>
          <w:b/>
          <w:lang w:val="fr-FR"/>
        </w:rPr>
        <w:t>Secrétariat</w:t>
      </w:r>
      <w:r w:rsidRPr="00FE1B97">
        <w:rPr>
          <w:lang w:val="fr-FR"/>
        </w:rPr>
        <w:t xml:space="preserve"> a confirmé que la sous-espèce de la Spatule blanche </w:t>
      </w:r>
      <w:proofErr w:type="spellStart"/>
      <w:r w:rsidRPr="00FE1B97">
        <w:rPr>
          <w:i/>
          <w:lang w:val="fr-FR"/>
        </w:rPr>
        <w:t>Platalea</w:t>
      </w:r>
      <w:proofErr w:type="spellEnd"/>
      <w:r w:rsidRPr="00FE1B97">
        <w:rPr>
          <w:i/>
          <w:lang w:val="fr-FR"/>
        </w:rPr>
        <w:t xml:space="preserve"> </w:t>
      </w:r>
      <w:proofErr w:type="spellStart"/>
      <w:r w:rsidRPr="00FE1B97">
        <w:rPr>
          <w:i/>
          <w:lang w:val="fr-FR"/>
        </w:rPr>
        <w:t>leucorodia</w:t>
      </w:r>
      <w:proofErr w:type="spellEnd"/>
      <w:r w:rsidRPr="00FE1B97">
        <w:rPr>
          <w:lang w:val="fr-FR"/>
        </w:rPr>
        <w:t xml:space="preserve"> endémique de Mauritanie était déjà couverte par le SSAP qui convenait. Il a invité le représentant de la Mauritanie à prendre contact avec </w:t>
      </w:r>
      <w:proofErr w:type="spellStart"/>
      <w:r w:rsidRPr="00FE1B97">
        <w:rPr>
          <w:lang w:val="fr-FR"/>
        </w:rPr>
        <w:t>Eurosite</w:t>
      </w:r>
      <w:proofErr w:type="spellEnd"/>
      <w:r w:rsidRPr="00FE1B97">
        <w:rPr>
          <w:lang w:val="fr-FR"/>
        </w:rPr>
        <w:t xml:space="preserve"> pour discuter ce point plus avant.</w:t>
      </w:r>
    </w:p>
    <w:p w14:paraId="69D51545" w14:textId="77777777" w:rsidR="00D02DAC" w:rsidRPr="00FE1B97" w:rsidRDefault="00D02DAC" w:rsidP="00BA154F">
      <w:pPr>
        <w:jc w:val="both"/>
        <w:rPr>
          <w:lang w:val="fr-FR"/>
        </w:rPr>
      </w:pPr>
    </w:p>
    <w:p w14:paraId="2E9DDF3E" w14:textId="48E638B8" w:rsidR="00D02DAC" w:rsidRPr="00FE1B97" w:rsidRDefault="00D02DAC" w:rsidP="00BA154F">
      <w:pPr>
        <w:jc w:val="both"/>
        <w:rPr>
          <w:lang w:val="fr-FR"/>
        </w:rPr>
      </w:pPr>
      <w:r w:rsidRPr="00FE1B97">
        <w:rPr>
          <w:lang w:val="fr-FR"/>
        </w:rPr>
        <w:t>1</w:t>
      </w:r>
      <w:r w:rsidR="003E6AAC">
        <w:rPr>
          <w:lang w:val="fr-FR"/>
        </w:rPr>
        <w:t>62</w:t>
      </w:r>
      <w:r w:rsidRPr="00FE1B97">
        <w:rPr>
          <w:lang w:val="fr-FR"/>
        </w:rPr>
        <w:t xml:space="preserve">. Le </w:t>
      </w:r>
      <w:r w:rsidRPr="00FE1B97">
        <w:rPr>
          <w:b/>
          <w:lang w:val="fr-FR"/>
        </w:rPr>
        <w:t>Danemark, parlant au nom de l'U</w:t>
      </w:r>
      <w:r w:rsidR="00C35ADA">
        <w:rPr>
          <w:b/>
          <w:lang w:val="fr-FR"/>
        </w:rPr>
        <w:t>nion européenne</w:t>
      </w:r>
      <w:r w:rsidRPr="00FE1B97">
        <w:rPr>
          <w:b/>
          <w:lang w:val="fr-FR"/>
        </w:rPr>
        <w:t xml:space="preserve"> et ses États membres </w:t>
      </w:r>
      <w:r w:rsidRPr="00FE1B97">
        <w:rPr>
          <w:lang w:val="fr-FR"/>
        </w:rPr>
        <w:t xml:space="preserve">a soutenu les SSAP et SMP présentés et a félicité les experts ayant fait la compilation. La mise en œuvre était maintenant le principal défi pour à la fois les Parties contractantes et les États de l’aire de répartition n’étant pas Parties contractantes. Le SMP pour l’Oie à bec court </w:t>
      </w:r>
      <w:r w:rsidRPr="00FE1B97">
        <w:rPr>
          <w:i/>
          <w:lang w:val="fr-FR"/>
        </w:rPr>
        <w:t>Anser</w:t>
      </w:r>
      <w:r w:rsidRPr="00FE1B97">
        <w:rPr>
          <w:lang w:val="fr-FR"/>
        </w:rPr>
        <w:t xml:space="preserve"> </w:t>
      </w:r>
      <w:proofErr w:type="spellStart"/>
      <w:r w:rsidRPr="00FE1B97">
        <w:rPr>
          <w:i/>
          <w:lang w:val="fr-FR"/>
        </w:rPr>
        <w:t>brachyrhynchus</w:t>
      </w:r>
      <w:proofErr w:type="spellEnd"/>
      <w:r w:rsidRPr="00FE1B97">
        <w:rPr>
          <w:lang w:val="fr-FR"/>
        </w:rPr>
        <w:t xml:space="preserve"> était un nouveau type de plan qui requerrait une surveillance étroite de gestion adaptive. L’UE transmettrait au Secrétariat quelques corrections d’ordre rédactionnel pour deux SSAP ainsi que quelques petites remarques sur le DR8.</w:t>
      </w:r>
    </w:p>
    <w:p w14:paraId="798A2BEE" w14:textId="77777777" w:rsidR="00D02DAC" w:rsidRPr="00FE1B97" w:rsidRDefault="00D02DAC" w:rsidP="00BA154F">
      <w:pPr>
        <w:jc w:val="both"/>
        <w:rPr>
          <w:lang w:val="fr-FR"/>
        </w:rPr>
      </w:pPr>
    </w:p>
    <w:p w14:paraId="44C44491" w14:textId="31B135FA" w:rsidR="00D02DAC" w:rsidRPr="00FE1B97" w:rsidRDefault="00D02DAC" w:rsidP="00BA154F">
      <w:pPr>
        <w:jc w:val="both"/>
        <w:rPr>
          <w:lang w:val="fr-FR"/>
        </w:rPr>
      </w:pPr>
      <w:r w:rsidRPr="00FE1B97">
        <w:rPr>
          <w:lang w:val="fr-FR"/>
        </w:rPr>
        <w:t>1</w:t>
      </w:r>
      <w:r w:rsidR="003E6AAC">
        <w:rPr>
          <w:lang w:val="fr-FR"/>
        </w:rPr>
        <w:t>63</w:t>
      </w:r>
      <w:r w:rsidRPr="00FE1B97">
        <w:rPr>
          <w:lang w:val="fr-FR"/>
        </w:rPr>
        <w:t xml:space="preserve">. </w:t>
      </w:r>
      <w:r w:rsidRPr="00FE1B97">
        <w:rPr>
          <w:b/>
          <w:lang w:val="fr-FR"/>
        </w:rPr>
        <w:t>M. Pete Robertson (R</w:t>
      </w:r>
      <w:r w:rsidR="00C35ADA">
        <w:rPr>
          <w:b/>
          <w:lang w:val="fr-FR"/>
        </w:rPr>
        <w:t>oyaume</w:t>
      </w:r>
      <w:r w:rsidRPr="00FE1B97">
        <w:rPr>
          <w:b/>
          <w:lang w:val="fr-FR"/>
        </w:rPr>
        <w:t>-U</w:t>
      </w:r>
      <w:r w:rsidR="00C35ADA">
        <w:rPr>
          <w:b/>
          <w:lang w:val="fr-FR"/>
        </w:rPr>
        <w:t>ni</w:t>
      </w:r>
      <w:r w:rsidRPr="00FE1B97">
        <w:rPr>
          <w:b/>
          <w:lang w:val="fr-FR"/>
        </w:rPr>
        <w:t>)</w:t>
      </w:r>
      <w:r w:rsidRPr="00FE1B97">
        <w:rPr>
          <w:lang w:val="fr-FR"/>
        </w:rPr>
        <w:t xml:space="preserve"> a fait une présentation sur le Programme de contrôle de l’</w:t>
      </w:r>
      <w:proofErr w:type="spellStart"/>
      <w:r w:rsidRPr="00FE1B97">
        <w:rPr>
          <w:lang w:val="fr-FR"/>
        </w:rPr>
        <w:t>Érismature</w:t>
      </w:r>
      <w:proofErr w:type="spellEnd"/>
      <w:r w:rsidRPr="00FE1B97">
        <w:rPr>
          <w:lang w:val="fr-FR"/>
        </w:rPr>
        <w:t xml:space="preserve"> rousse</w:t>
      </w:r>
      <w:r w:rsidR="00C35ADA" w:rsidRPr="00C35ADA">
        <w:rPr>
          <w:i/>
          <w:lang w:val="fr-FR"/>
        </w:rPr>
        <w:t xml:space="preserve"> </w:t>
      </w:r>
      <w:proofErr w:type="spellStart"/>
      <w:r w:rsidR="00C35ADA" w:rsidRPr="00FE1B97">
        <w:rPr>
          <w:i/>
          <w:lang w:val="fr-FR"/>
        </w:rPr>
        <w:t>Oxyura</w:t>
      </w:r>
      <w:proofErr w:type="spellEnd"/>
      <w:r w:rsidR="00C35ADA" w:rsidRPr="00FE1B97">
        <w:rPr>
          <w:i/>
          <w:lang w:val="fr-FR"/>
        </w:rPr>
        <w:t xml:space="preserve"> </w:t>
      </w:r>
      <w:proofErr w:type="spellStart"/>
      <w:r w:rsidR="00C35ADA" w:rsidRPr="00FE1B97">
        <w:rPr>
          <w:i/>
          <w:lang w:val="fr-FR"/>
        </w:rPr>
        <w:t>jamaicensis</w:t>
      </w:r>
      <w:proofErr w:type="spellEnd"/>
      <w:r w:rsidRPr="00FE1B97">
        <w:rPr>
          <w:lang w:val="fr-FR"/>
        </w:rPr>
        <w:t>. Il a rappelé que l’</w:t>
      </w:r>
      <w:proofErr w:type="spellStart"/>
      <w:r w:rsidRPr="00FE1B97">
        <w:rPr>
          <w:lang w:val="fr-FR"/>
        </w:rPr>
        <w:t>Érismature</w:t>
      </w:r>
      <w:proofErr w:type="spellEnd"/>
      <w:r w:rsidRPr="00FE1B97">
        <w:rPr>
          <w:lang w:val="fr-FR"/>
        </w:rPr>
        <w:t xml:space="preserve"> rousse, espèce non indigène ayant établi une population sauvage dans plusieurs pays européens, très probablement issue de l’introduction au Royaume-Uni dans les années 1940, représentait un danger pour l’</w:t>
      </w:r>
      <w:proofErr w:type="spellStart"/>
      <w:r w:rsidRPr="00FE1B97">
        <w:rPr>
          <w:lang w:val="fr-FR"/>
        </w:rPr>
        <w:t>Érismature</w:t>
      </w:r>
      <w:proofErr w:type="spellEnd"/>
      <w:r w:rsidRPr="00FE1B97">
        <w:rPr>
          <w:lang w:val="fr-FR"/>
        </w:rPr>
        <w:t xml:space="preserve"> à tête blanche </w:t>
      </w:r>
      <w:r w:rsidRPr="00FE1B97">
        <w:rPr>
          <w:i/>
          <w:lang w:val="fr-FR"/>
        </w:rPr>
        <w:t xml:space="preserve">O. </w:t>
      </w:r>
      <w:proofErr w:type="spellStart"/>
      <w:r w:rsidRPr="00FE1B97">
        <w:rPr>
          <w:i/>
          <w:lang w:val="fr-FR"/>
        </w:rPr>
        <w:t>leucocephala</w:t>
      </w:r>
      <w:proofErr w:type="spellEnd"/>
      <w:r w:rsidRPr="00FE1B97">
        <w:rPr>
          <w:lang w:val="fr-FR"/>
        </w:rPr>
        <w:t xml:space="preserve"> native d’Europe du fait de l’hybridation. Le R</w:t>
      </w:r>
      <w:r w:rsidR="00412DD9">
        <w:rPr>
          <w:lang w:val="fr-FR"/>
        </w:rPr>
        <w:t>oyaume</w:t>
      </w:r>
      <w:r w:rsidRPr="00FE1B97">
        <w:rPr>
          <w:lang w:val="fr-FR"/>
        </w:rPr>
        <w:t>-U</w:t>
      </w:r>
      <w:r w:rsidR="00412DD9">
        <w:rPr>
          <w:lang w:val="fr-FR"/>
        </w:rPr>
        <w:t>ni</w:t>
      </w:r>
      <w:r w:rsidRPr="00FE1B97">
        <w:rPr>
          <w:lang w:val="fr-FR"/>
        </w:rPr>
        <w:t xml:space="preserve"> avait commencé des essais de contrôle de l’espèce en 1999. En réponse à ces essais, le gouvernement du R</w:t>
      </w:r>
      <w:r w:rsidR="00412DD9">
        <w:rPr>
          <w:lang w:val="fr-FR"/>
        </w:rPr>
        <w:t>oyaume</w:t>
      </w:r>
      <w:r w:rsidRPr="00FE1B97">
        <w:rPr>
          <w:lang w:val="fr-FR"/>
        </w:rPr>
        <w:t>-U</w:t>
      </w:r>
      <w:r w:rsidR="00412DD9">
        <w:rPr>
          <w:lang w:val="fr-FR"/>
        </w:rPr>
        <w:t>ni</w:t>
      </w:r>
      <w:r w:rsidRPr="00FE1B97">
        <w:rPr>
          <w:lang w:val="fr-FR"/>
        </w:rPr>
        <w:t xml:space="preserve"> avait annoncé en mars 2003 que l’éradication de l’</w:t>
      </w:r>
      <w:proofErr w:type="spellStart"/>
      <w:r w:rsidRPr="00FE1B97">
        <w:rPr>
          <w:lang w:val="fr-FR"/>
        </w:rPr>
        <w:t>Érismature</w:t>
      </w:r>
      <w:proofErr w:type="spellEnd"/>
      <w:r w:rsidRPr="00FE1B97">
        <w:rPr>
          <w:lang w:val="fr-FR"/>
        </w:rPr>
        <w:t xml:space="preserve"> rousse était la solution privilégiée. D’autres essais de contrôle de l’espèce avaient été réalisés, visant à améliorer l’efficacité et à modéliser les coûts de l’éradication, en vue de développer une proposition pour financement par UE LIFE. Le Programme d’éradication de l’</w:t>
      </w:r>
      <w:proofErr w:type="spellStart"/>
      <w:r w:rsidRPr="00FE1B97">
        <w:rPr>
          <w:lang w:val="fr-FR"/>
        </w:rPr>
        <w:t>Érismature</w:t>
      </w:r>
      <w:proofErr w:type="spellEnd"/>
      <w:r w:rsidRPr="00FE1B97">
        <w:rPr>
          <w:lang w:val="fr-FR"/>
        </w:rPr>
        <w:t xml:space="preserve"> rousse par la Food and </w:t>
      </w:r>
      <w:proofErr w:type="spellStart"/>
      <w:r w:rsidRPr="00FE1B97">
        <w:rPr>
          <w:lang w:val="fr-FR"/>
        </w:rPr>
        <w:t>Environment</w:t>
      </w:r>
      <w:proofErr w:type="spellEnd"/>
      <w:r w:rsidRPr="00FE1B97">
        <w:rPr>
          <w:lang w:val="fr-FR"/>
        </w:rPr>
        <w:t xml:space="preserve"> </w:t>
      </w:r>
      <w:proofErr w:type="spellStart"/>
      <w:r w:rsidRPr="00FE1B97">
        <w:rPr>
          <w:lang w:val="fr-FR"/>
        </w:rPr>
        <w:t>Research</w:t>
      </w:r>
      <w:proofErr w:type="spellEnd"/>
      <w:r w:rsidRPr="00FE1B97">
        <w:rPr>
          <w:lang w:val="fr-FR"/>
        </w:rPr>
        <w:t xml:space="preserve"> Agency (FERA) du R</w:t>
      </w:r>
      <w:r w:rsidR="00412DD9">
        <w:rPr>
          <w:lang w:val="fr-FR"/>
        </w:rPr>
        <w:t>oyaume</w:t>
      </w:r>
      <w:r w:rsidRPr="00FE1B97">
        <w:rPr>
          <w:lang w:val="fr-FR"/>
        </w:rPr>
        <w:t>-U</w:t>
      </w:r>
      <w:r w:rsidR="00412DD9">
        <w:rPr>
          <w:lang w:val="fr-FR"/>
        </w:rPr>
        <w:t>ni</w:t>
      </w:r>
      <w:r w:rsidRPr="00FE1B97">
        <w:rPr>
          <w:lang w:val="fr-FR"/>
        </w:rPr>
        <w:t xml:space="preserve"> a commencé en 2005. Le financement LIFE couvrait 50 % des coûts de huit administrateurs chargés des activités de contrôle pendant cinq ans. En 2011, il restait moins de 1 % de la population (estimée en 2000) d’</w:t>
      </w:r>
      <w:proofErr w:type="spellStart"/>
      <w:r w:rsidRPr="00FE1B97">
        <w:rPr>
          <w:lang w:val="fr-FR"/>
        </w:rPr>
        <w:t>Érismature</w:t>
      </w:r>
      <w:proofErr w:type="spellEnd"/>
      <w:r w:rsidRPr="00FE1B97">
        <w:rPr>
          <w:lang w:val="fr-FR"/>
        </w:rPr>
        <w:t xml:space="preserve"> rousse, bien qu’il existe toujours des populations importantes en Belgique, en France et aux Pays-Bas. Les tâches de contrôle se poursuivent au R</w:t>
      </w:r>
      <w:r w:rsidR="00412DD9">
        <w:rPr>
          <w:lang w:val="fr-FR"/>
        </w:rPr>
        <w:t>oyaume</w:t>
      </w:r>
      <w:r w:rsidRPr="00FE1B97">
        <w:rPr>
          <w:lang w:val="fr-FR"/>
        </w:rPr>
        <w:t>-U</w:t>
      </w:r>
      <w:r w:rsidR="00412DD9">
        <w:rPr>
          <w:lang w:val="fr-FR"/>
        </w:rPr>
        <w:t>ni</w:t>
      </w:r>
      <w:r w:rsidRPr="00FE1B97">
        <w:rPr>
          <w:lang w:val="fr-FR"/>
        </w:rPr>
        <w:t>, mais la coordination internationale sera nécessaire pour achever l’éradication de l’espèce en Europe.</w:t>
      </w:r>
    </w:p>
    <w:p w14:paraId="3887594D" w14:textId="77777777" w:rsidR="00D02DAC" w:rsidRDefault="00D02DAC" w:rsidP="00BA154F">
      <w:pPr>
        <w:jc w:val="both"/>
        <w:rPr>
          <w:lang w:val="fr-FR"/>
        </w:rPr>
      </w:pPr>
    </w:p>
    <w:p w14:paraId="03E90660" w14:textId="77777777" w:rsidR="00792FC9" w:rsidRPr="00FE1B97" w:rsidRDefault="00792FC9" w:rsidP="00BA154F">
      <w:pPr>
        <w:jc w:val="both"/>
        <w:rPr>
          <w:lang w:val="fr-FR"/>
        </w:rPr>
      </w:pPr>
    </w:p>
    <w:p w14:paraId="3B79A4A8" w14:textId="77777777" w:rsidR="00D02DAC" w:rsidRPr="00792FC9" w:rsidRDefault="00D02DAC" w:rsidP="00BA154F">
      <w:pPr>
        <w:jc w:val="both"/>
        <w:outlineLvl w:val="0"/>
        <w:rPr>
          <w:b/>
          <w:szCs w:val="22"/>
          <w:lang w:val="fr-FR"/>
        </w:rPr>
      </w:pPr>
      <w:r w:rsidRPr="00792FC9">
        <w:rPr>
          <w:b/>
          <w:szCs w:val="22"/>
          <w:lang w:val="fr-FR"/>
        </w:rPr>
        <w:t xml:space="preserve">Point 22 de l’ordre du jour - Plan d’action pour la mise en œuvre de l’Initiative africaine </w:t>
      </w:r>
    </w:p>
    <w:p w14:paraId="44AE9806" w14:textId="77777777" w:rsidR="00D02DAC" w:rsidRPr="00FE1B97" w:rsidRDefault="00D02DAC" w:rsidP="00BA154F">
      <w:pPr>
        <w:jc w:val="both"/>
        <w:rPr>
          <w:lang w:val="fr-FR"/>
        </w:rPr>
      </w:pPr>
    </w:p>
    <w:p w14:paraId="790AF398" w14:textId="49B888AC" w:rsidR="00D02DAC" w:rsidRPr="00FE1B97" w:rsidRDefault="00D02DAC" w:rsidP="00BA154F">
      <w:pPr>
        <w:pStyle w:val="ListParagraph"/>
        <w:ind w:left="0"/>
        <w:jc w:val="both"/>
        <w:rPr>
          <w:sz w:val="22"/>
          <w:lang w:val="fr-FR"/>
        </w:rPr>
      </w:pPr>
      <w:r w:rsidRPr="00FE1B97">
        <w:rPr>
          <w:sz w:val="22"/>
          <w:lang w:val="fr-FR"/>
        </w:rPr>
        <w:t>1</w:t>
      </w:r>
      <w:r w:rsidR="003E6AAC">
        <w:rPr>
          <w:sz w:val="22"/>
          <w:lang w:val="fr-FR"/>
        </w:rPr>
        <w:t>64</w:t>
      </w:r>
      <w:r w:rsidRPr="00FE1B97">
        <w:rPr>
          <w:sz w:val="22"/>
          <w:lang w:val="fr-FR"/>
        </w:rPr>
        <w:t>. La Coordinatrice de l’</w:t>
      </w:r>
      <w:r w:rsidRPr="00FE1B97">
        <w:rPr>
          <w:b/>
          <w:sz w:val="22"/>
          <w:lang w:val="fr-FR"/>
        </w:rPr>
        <w:t>AEWA pour l’Initiative africaine</w:t>
      </w:r>
      <w:r w:rsidRPr="00FE1B97">
        <w:rPr>
          <w:sz w:val="22"/>
          <w:lang w:val="fr-FR"/>
        </w:rPr>
        <w:t xml:space="preserve"> </w:t>
      </w:r>
      <w:r w:rsidRPr="00FE1B97">
        <w:rPr>
          <w:sz w:val="22"/>
          <w:szCs w:val="22"/>
          <w:lang w:val="fr-FR"/>
        </w:rPr>
        <w:t xml:space="preserve">(Mme Evelyn </w:t>
      </w:r>
      <w:proofErr w:type="spellStart"/>
      <w:r w:rsidRPr="00FE1B97">
        <w:rPr>
          <w:bCs/>
          <w:sz w:val="22"/>
          <w:szCs w:val="22"/>
          <w:lang w:val="fr-FR"/>
        </w:rPr>
        <w:t>Parh</w:t>
      </w:r>
      <w:proofErr w:type="spellEnd"/>
      <w:r w:rsidRPr="00FE1B97">
        <w:rPr>
          <w:bCs/>
          <w:sz w:val="22"/>
          <w:szCs w:val="22"/>
          <w:lang w:val="fr-FR"/>
        </w:rPr>
        <w:t xml:space="preserve"> Moloko)</w:t>
      </w:r>
      <w:r w:rsidRPr="00FE1B97">
        <w:rPr>
          <w:sz w:val="22"/>
          <w:lang w:val="fr-FR"/>
        </w:rPr>
        <w:t xml:space="preserve"> a fait une présentation introduisant le </w:t>
      </w:r>
      <w:r w:rsidRPr="00FE1B97">
        <w:rPr>
          <w:bCs/>
          <w:sz w:val="22"/>
          <w:szCs w:val="22"/>
          <w:lang w:val="fr-FR"/>
        </w:rPr>
        <w:t>document AEWA/MOP 5.32</w:t>
      </w:r>
      <w:r w:rsidRPr="00FE1B97">
        <w:rPr>
          <w:sz w:val="22"/>
          <w:lang w:val="fr-FR"/>
        </w:rPr>
        <w:t xml:space="preserve"> </w:t>
      </w:r>
      <w:r w:rsidRPr="00FE1B97">
        <w:rPr>
          <w:i/>
          <w:sz w:val="22"/>
          <w:lang w:val="fr-FR"/>
        </w:rPr>
        <w:t>Rapport sur la mise en œuvre de l’Initiative africaine pour la période 2009-2012</w:t>
      </w:r>
      <w:r w:rsidRPr="00FE1B97">
        <w:rPr>
          <w:sz w:val="22"/>
          <w:lang w:val="fr-FR"/>
        </w:rPr>
        <w:t>. Elle a rappelé que l’Initiative africaine (IA) avait vu le jour à Madagascar durant la MOP4 pour répondre aux tendances négatives des populations d’oiseaux d’eau migrateurs en Afrique et au besoin d’améliorer la mise en œuvre de l’AEWA dans la région africaine.</w:t>
      </w:r>
    </w:p>
    <w:p w14:paraId="3430111F" w14:textId="77777777" w:rsidR="00D02DAC" w:rsidRPr="00FE1B97" w:rsidRDefault="00D02DAC" w:rsidP="00BA154F">
      <w:pPr>
        <w:pStyle w:val="ListParagraph"/>
        <w:ind w:left="0"/>
        <w:jc w:val="both"/>
        <w:rPr>
          <w:bCs/>
          <w:sz w:val="22"/>
          <w:szCs w:val="22"/>
          <w:lang w:val="fr-FR"/>
        </w:rPr>
      </w:pPr>
    </w:p>
    <w:p w14:paraId="330D9254" w14:textId="61F57B43" w:rsidR="00D02DAC" w:rsidRPr="00FE1B97" w:rsidRDefault="00D02DAC" w:rsidP="00BA154F">
      <w:pPr>
        <w:pStyle w:val="ListParagraph"/>
        <w:ind w:left="0"/>
        <w:jc w:val="both"/>
        <w:rPr>
          <w:bCs/>
          <w:sz w:val="22"/>
          <w:szCs w:val="22"/>
          <w:lang w:val="fr-FR"/>
        </w:rPr>
      </w:pPr>
      <w:r w:rsidRPr="00FE1B97">
        <w:rPr>
          <w:bCs/>
          <w:sz w:val="22"/>
          <w:szCs w:val="22"/>
          <w:lang w:val="fr-FR"/>
        </w:rPr>
        <w:t xml:space="preserve"> 1</w:t>
      </w:r>
      <w:r w:rsidR="003E6AAC">
        <w:rPr>
          <w:bCs/>
          <w:sz w:val="22"/>
          <w:szCs w:val="22"/>
          <w:lang w:val="fr-FR"/>
        </w:rPr>
        <w:t>65</w:t>
      </w:r>
      <w:r w:rsidRPr="00FE1B97">
        <w:rPr>
          <w:bCs/>
          <w:sz w:val="22"/>
          <w:szCs w:val="22"/>
          <w:lang w:val="fr-FR"/>
        </w:rPr>
        <w:t xml:space="preserve">. Elle a décrit le processus qui avait été suivi durant la dernière période triennale et les résultats essentiels de l’initiative à ce jour, à savoir : </w:t>
      </w:r>
    </w:p>
    <w:p w14:paraId="2AB35F9B" w14:textId="77777777" w:rsidR="00D02DAC" w:rsidRPr="00FE1B97" w:rsidRDefault="00D02DAC" w:rsidP="00BA154F">
      <w:pPr>
        <w:pStyle w:val="ListParagraph"/>
        <w:ind w:left="0"/>
        <w:jc w:val="both"/>
        <w:rPr>
          <w:bCs/>
          <w:sz w:val="22"/>
          <w:szCs w:val="22"/>
          <w:lang w:val="fr-FR"/>
        </w:rPr>
      </w:pPr>
    </w:p>
    <w:p w14:paraId="3E6794E6" w14:textId="77777777" w:rsidR="00D02DAC" w:rsidRPr="00FE1B97" w:rsidRDefault="00D02DAC" w:rsidP="00465E08">
      <w:pPr>
        <w:pStyle w:val="ListParagraph"/>
        <w:numPr>
          <w:ilvl w:val="0"/>
          <w:numId w:val="15"/>
        </w:numPr>
        <w:ind w:left="567" w:hanging="567"/>
        <w:jc w:val="both"/>
        <w:rPr>
          <w:bCs/>
          <w:sz w:val="22"/>
          <w:szCs w:val="22"/>
          <w:lang w:val="fr-FR"/>
        </w:rPr>
      </w:pPr>
      <w:r w:rsidRPr="00FE1B97">
        <w:rPr>
          <w:bCs/>
          <w:sz w:val="22"/>
          <w:szCs w:val="22"/>
          <w:lang w:val="fr-FR"/>
        </w:rPr>
        <w:t>Le recrutement de personnel (Coordinateur IA et Assistant de programme à mi-temps basé au Secrétariat de l’AEWA)</w:t>
      </w:r>
    </w:p>
    <w:p w14:paraId="26C8225C" w14:textId="77777777" w:rsidR="00D02DAC" w:rsidRPr="00FE1B97" w:rsidRDefault="00D02DAC" w:rsidP="00465E08">
      <w:pPr>
        <w:pStyle w:val="ListParagraph"/>
        <w:numPr>
          <w:ilvl w:val="0"/>
          <w:numId w:val="15"/>
        </w:numPr>
        <w:ind w:left="567" w:hanging="567"/>
        <w:jc w:val="both"/>
        <w:rPr>
          <w:bCs/>
          <w:sz w:val="22"/>
          <w:szCs w:val="22"/>
          <w:lang w:val="fr-FR"/>
        </w:rPr>
      </w:pPr>
      <w:r w:rsidRPr="00FE1B97">
        <w:rPr>
          <w:bCs/>
          <w:sz w:val="22"/>
          <w:szCs w:val="22"/>
          <w:lang w:val="fr-FR"/>
        </w:rPr>
        <w:t xml:space="preserve">La préparation de l’avant-projet du </w:t>
      </w:r>
      <w:r w:rsidRPr="00FE1B97">
        <w:rPr>
          <w:bCs/>
          <w:i/>
          <w:sz w:val="22"/>
          <w:szCs w:val="22"/>
          <w:lang w:val="fr-FR"/>
        </w:rPr>
        <w:t>Plan d'action pour l'Afrique de l’AEWA</w:t>
      </w:r>
    </w:p>
    <w:p w14:paraId="66DADEFD" w14:textId="77777777" w:rsidR="00D02DAC" w:rsidRPr="00FE1B97" w:rsidRDefault="00D02DAC" w:rsidP="00465E08">
      <w:pPr>
        <w:pStyle w:val="ListParagraph"/>
        <w:numPr>
          <w:ilvl w:val="0"/>
          <w:numId w:val="14"/>
        </w:numPr>
        <w:ind w:left="567" w:hanging="567"/>
        <w:jc w:val="both"/>
        <w:rPr>
          <w:bCs/>
          <w:sz w:val="22"/>
          <w:szCs w:val="22"/>
          <w:lang w:val="fr-FR"/>
        </w:rPr>
      </w:pPr>
      <w:r w:rsidRPr="00FE1B97">
        <w:rPr>
          <w:bCs/>
          <w:sz w:val="22"/>
          <w:szCs w:val="22"/>
          <w:lang w:val="fr-FR"/>
        </w:rPr>
        <w:t>La mise en œuvre du Fonds de petites subventions en Afrique</w:t>
      </w:r>
    </w:p>
    <w:p w14:paraId="75A97942" w14:textId="77777777" w:rsidR="00D02DAC" w:rsidRPr="00FE1B97" w:rsidRDefault="00D02DAC" w:rsidP="00465E08">
      <w:pPr>
        <w:pStyle w:val="ListParagraph"/>
        <w:numPr>
          <w:ilvl w:val="0"/>
          <w:numId w:val="14"/>
        </w:numPr>
        <w:ind w:left="567" w:hanging="567"/>
        <w:jc w:val="both"/>
        <w:rPr>
          <w:bCs/>
          <w:sz w:val="22"/>
          <w:szCs w:val="22"/>
          <w:lang w:val="fr-FR"/>
        </w:rPr>
      </w:pPr>
      <w:r w:rsidRPr="00FE1B97">
        <w:rPr>
          <w:bCs/>
          <w:sz w:val="22"/>
          <w:szCs w:val="22"/>
          <w:lang w:val="fr-FR"/>
        </w:rPr>
        <w:t xml:space="preserve">Le démarrage et l’encouragement de synergies avec les nouveaux partenaires et les partenaires existants (par ex. la collaboration avec le Programme de conservation de la Grue d’Afrique avec le soutien du gouvernement de la Suisse a permis le développement d’un SSAP pour la Grue couronnée grise </w:t>
      </w:r>
      <w:proofErr w:type="spellStart"/>
      <w:r w:rsidRPr="00FE1B97">
        <w:rPr>
          <w:bCs/>
          <w:i/>
          <w:sz w:val="22"/>
          <w:szCs w:val="22"/>
          <w:lang w:val="fr-FR"/>
        </w:rPr>
        <w:t>Balearica</w:t>
      </w:r>
      <w:proofErr w:type="spellEnd"/>
      <w:r w:rsidRPr="00FE1B97">
        <w:rPr>
          <w:bCs/>
          <w:i/>
          <w:sz w:val="22"/>
          <w:szCs w:val="22"/>
          <w:lang w:val="fr-FR"/>
        </w:rPr>
        <w:t xml:space="preserve"> </w:t>
      </w:r>
      <w:proofErr w:type="spellStart"/>
      <w:r w:rsidRPr="00FE1B97">
        <w:rPr>
          <w:bCs/>
          <w:i/>
          <w:sz w:val="22"/>
          <w:szCs w:val="22"/>
          <w:lang w:val="fr-FR"/>
        </w:rPr>
        <w:t>regulorum</w:t>
      </w:r>
      <w:proofErr w:type="spellEnd"/>
      <w:r w:rsidRPr="00FE1B97">
        <w:rPr>
          <w:bCs/>
          <w:sz w:val="22"/>
          <w:szCs w:val="22"/>
          <w:lang w:val="fr-FR"/>
        </w:rPr>
        <w:t>)</w:t>
      </w:r>
    </w:p>
    <w:p w14:paraId="019DC1A8" w14:textId="77777777" w:rsidR="00D02DAC" w:rsidRPr="00FE1B97" w:rsidRDefault="00D02DAC" w:rsidP="00465E08">
      <w:pPr>
        <w:pStyle w:val="ListParagraph"/>
        <w:numPr>
          <w:ilvl w:val="0"/>
          <w:numId w:val="14"/>
        </w:numPr>
        <w:ind w:left="567" w:hanging="567"/>
        <w:jc w:val="both"/>
        <w:rPr>
          <w:bCs/>
          <w:sz w:val="22"/>
          <w:szCs w:val="22"/>
          <w:lang w:val="fr-FR"/>
        </w:rPr>
      </w:pPr>
      <w:r w:rsidRPr="00FE1B97">
        <w:rPr>
          <w:bCs/>
          <w:sz w:val="22"/>
          <w:szCs w:val="22"/>
          <w:lang w:val="fr-FR"/>
        </w:rPr>
        <w:t>La fourniture de services consultatifs aux États de l'aire de répartition africains</w:t>
      </w:r>
    </w:p>
    <w:p w14:paraId="1C1AF412" w14:textId="77777777" w:rsidR="00D02DAC" w:rsidRPr="00FE1B97" w:rsidRDefault="00D02DAC" w:rsidP="00465E08">
      <w:pPr>
        <w:pStyle w:val="ListParagraph"/>
        <w:numPr>
          <w:ilvl w:val="0"/>
          <w:numId w:val="14"/>
        </w:numPr>
        <w:ind w:left="567" w:hanging="567"/>
        <w:jc w:val="both"/>
        <w:rPr>
          <w:bCs/>
          <w:sz w:val="22"/>
          <w:szCs w:val="22"/>
          <w:lang w:val="fr-FR"/>
        </w:rPr>
      </w:pPr>
      <w:r w:rsidRPr="00FE1B97">
        <w:rPr>
          <w:bCs/>
          <w:sz w:val="22"/>
          <w:szCs w:val="22"/>
          <w:lang w:val="fr-FR"/>
        </w:rPr>
        <w:t>La promotion de la mise en œuvre de l’AEWA en Afrique (par ex. développement et mise en œuvre de SSAP, organisation de réunions régionales en Afrique, et renforcement de la capacité, y compris la préparation d’une version française du Kit de formation Voie de migration du projet WOW)</w:t>
      </w:r>
    </w:p>
    <w:p w14:paraId="51120632" w14:textId="77777777" w:rsidR="00D02DAC" w:rsidRPr="00FE1B97" w:rsidRDefault="00D02DAC" w:rsidP="00465E08">
      <w:pPr>
        <w:pStyle w:val="ListParagraph"/>
        <w:numPr>
          <w:ilvl w:val="0"/>
          <w:numId w:val="14"/>
        </w:numPr>
        <w:ind w:left="567" w:hanging="567"/>
        <w:jc w:val="both"/>
        <w:rPr>
          <w:bCs/>
          <w:sz w:val="22"/>
          <w:szCs w:val="22"/>
          <w:lang w:val="fr-FR"/>
        </w:rPr>
      </w:pPr>
      <w:r w:rsidRPr="00FE1B97">
        <w:rPr>
          <w:bCs/>
          <w:sz w:val="22"/>
          <w:szCs w:val="22"/>
          <w:lang w:val="fr-FR"/>
        </w:rPr>
        <w:t>Le développement d’activités de CESP pour l’Initiative (par ex. développement d’une page Web pour l’IA, brochure sur l’IA, autocollants représentant les espèces)</w:t>
      </w:r>
    </w:p>
    <w:p w14:paraId="3B847F39" w14:textId="77777777" w:rsidR="00D02DAC" w:rsidRPr="00FE1B97" w:rsidRDefault="00D02DAC" w:rsidP="00465E08">
      <w:pPr>
        <w:pStyle w:val="ListParagraph"/>
        <w:numPr>
          <w:ilvl w:val="0"/>
          <w:numId w:val="14"/>
        </w:numPr>
        <w:ind w:left="567" w:hanging="567"/>
        <w:jc w:val="both"/>
        <w:rPr>
          <w:bCs/>
          <w:sz w:val="22"/>
          <w:szCs w:val="22"/>
          <w:lang w:val="fr-FR"/>
        </w:rPr>
      </w:pPr>
      <w:r w:rsidRPr="00FE1B97">
        <w:rPr>
          <w:bCs/>
          <w:sz w:val="22"/>
          <w:szCs w:val="22"/>
          <w:lang w:val="fr-FR"/>
        </w:rPr>
        <w:t>La promotion de l’adhésion à l’AEWA parmi les États de l'aire de répartition n’étant pas Parties contractantes</w:t>
      </w:r>
    </w:p>
    <w:p w14:paraId="651181C6" w14:textId="77777777" w:rsidR="00D02DAC" w:rsidRPr="00FE1B97" w:rsidRDefault="00D02DAC" w:rsidP="00465E08">
      <w:pPr>
        <w:pStyle w:val="ListParagraph"/>
        <w:numPr>
          <w:ilvl w:val="0"/>
          <w:numId w:val="14"/>
        </w:numPr>
        <w:ind w:left="567" w:hanging="567"/>
        <w:jc w:val="both"/>
        <w:rPr>
          <w:bCs/>
          <w:sz w:val="22"/>
          <w:szCs w:val="22"/>
          <w:lang w:val="fr-FR"/>
        </w:rPr>
      </w:pPr>
      <w:r w:rsidRPr="00FE1B97">
        <w:rPr>
          <w:bCs/>
          <w:sz w:val="22"/>
          <w:szCs w:val="22"/>
          <w:lang w:val="fr-FR"/>
        </w:rPr>
        <w:t>La levée de fonds</w:t>
      </w:r>
    </w:p>
    <w:p w14:paraId="6BAC817D" w14:textId="77777777" w:rsidR="00D02DAC" w:rsidRPr="00FE1B97" w:rsidRDefault="00D02DAC" w:rsidP="00BA154F">
      <w:pPr>
        <w:pStyle w:val="ListParagraph"/>
        <w:ind w:left="0"/>
        <w:jc w:val="both"/>
        <w:rPr>
          <w:bCs/>
          <w:sz w:val="22"/>
          <w:szCs w:val="22"/>
          <w:lang w:val="fr-FR"/>
        </w:rPr>
      </w:pPr>
    </w:p>
    <w:p w14:paraId="53F07C37" w14:textId="7DCD870A" w:rsidR="00D02DAC" w:rsidRPr="00FE1B97" w:rsidRDefault="00D02DAC" w:rsidP="00BA154F">
      <w:pPr>
        <w:pStyle w:val="ListParagraph"/>
        <w:ind w:left="0"/>
        <w:jc w:val="both"/>
        <w:rPr>
          <w:bCs/>
          <w:sz w:val="22"/>
          <w:szCs w:val="22"/>
          <w:lang w:val="fr-FR"/>
        </w:rPr>
      </w:pPr>
      <w:r w:rsidRPr="00FE1B97">
        <w:rPr>
          <w:bCs/>
          <w:sz w:val="22"/>
          <w:szCs w:val="22"/>
          <w:lang w:val="fr-FR"/>
        </w:rPr>
        <w:t>1</w:t>
      </w:r>
      <w:r w:rsidR="003E6AAC">
        <w:rPr>
          <w:bCs/>
          <w:sz w:val="22"/>
          <w:szCs w:val="22"/>
          <w:lang w:val="fr-FR"/>
        </w:rPr>
        <w:t>66</w:t>
      </w:r>
      <w:r w:rsidR="00412DD9">
        <w:rPr>
          <w:bCs/>
          <w:sz w:val="22"/>
          <w:szCs w:val="22"/>
          <w:lang w:val="fr-FR"/>
        </w:rPr>
        <w:t xml:space="preserve">. En conclusion, Mme </w:t>
      </w:r>
      <w:proofErr w:type="spellStart"/>
      <w:r w:rsidR="00412DD9">
        <w:rPr>
          <w:bCs/>
          <w:sz w:val="22"/>
          <w:szCs w:val="22"/>
          <w:lang w:val="fr-FR"/>
        </w:rPr>
        <w:t>Parh</w:t>
      </w:r>
      <w:proofErr w:type="spellEnd"/>
      <w:r w:rsidR="00412DD9">
        <w:rPr>
          <w:bCs/>
          <w:sz w:val="22"/>
          <w:szCs w:val="22"/>
          <w:lang w:val="fr-FR"/>
        </w:rPr>
        <w:t xml:space="preserve"> Moloko a souligné que l’IA et</w:t>
      </w:r>
      <w:r w:rsidRPr="00FE1B97">
        <w:rPr>
          <w:bCs/>
          <w:sz w:val="22"/>
          <w:szCs w:val="22"/>
          <w:lang w:val="fr-FR"/>
        </w:rPr>
        <w:t xml:space="preserve"> les activités en cours avaient besoin d’être poursuivies, et un mécanisme pour sa coordination devait être définie et dûment prévue. L’atelier de la pré-MOP5 avait finalisé l’avant-projet de Plan d’action</w:t>
      </w:r>
      <w:r w:rsidR="00412DD9">
        <w:rPr>
          <w:bCs/>
          <w:sz w:val="22"/>
          <w:szCs w:val="22"/>
          <w:lang w:val="fr-FR"/>
        </w:rPr>
        <w:t xml:space="preserve"> pour l’Afrique (</w:t>
      </w:r>
      <w:proofErr w:type="spellStart"/>
      <w:r w:rsidR="00412DD9">
        <w:rPr>
          <w:bCs/>
          <w:sz w:val="22"/>
          <w:szCs w:val="22"/>
          <w:lang w:val="fr-FR"/>
        </w:rPr>
        <w:t>PdAA</w:t>
      </w:r>
      <w:proofErr w:type="spellEnd"/>
      <w:r w:rsidR="00412DD9">
        <w:rPr>
          <w:bCs/>
          <w:sz w:val="22"/>
          <w:szCs w:val="22"/>
          <w:lang w:val="fr-FR"/>
        </w:rPr>
        <w:t>)</w:t>
      </w:r>
      <w:r w:rsidRPr="00FE1B97">
        <w:rPr>
          <w:bCs/>
          <w:sz w:val="22"/>
          <w:szCs w:val="22"/>
          <w:lang w:val="fr-FR"/>
        </w:rPr>
        <w:t xml:space="preserve"> avant cette MOP, qui proposait un mécanisme de coordination basé au sein du Secrétariat de l’AEWA, associée à une coordination </w:t>
      </w:r>
      <w:proofErr w:type="spellStart"/>
      <w:r w:rsidRPr="00FE1B97">
        <w:rPr>
          <w:bCs/>
          <w:sz w:val="22"/>
          <w:szCs w:val="22"/>
          <w:lang w:val="fr-FR"/>
        </w:rPr>
        <w:t>sous-régionale</w:t>
      </w:r>
      <w:proofErr w:type="spellEnd"/>
      <w:r w:rsidRPr="00FE1B97">
        <w:rPr>
          <w:bCs/>
          <w:sz w:val="22"/>
          <w:szCs w:val="22"/>
          <w:lang w:val="fr-FR"/>
        </w:rPr>
        <w:t xml:space="preserve"> sur le terrain.</w:t>
      </w:r>
    </w:p>
    <w:p w14:paraId="4BDA21B9" w14:textId="77777777" w:rsidR="00D02DAC" w:rsidRPr="00FE1B97" w:rsidRDefault="00D02DAC" w:rsidP="00BA154F">
      <w:pPr>
        <w:pStyle w:val="ListParagraph"/>
        <w:ind w:left="0"/>
        <w:jc w:val="both"/>
        <w:rPr>
          <w:bCs/>
          <w:sz w:val="22"/>
          <w:szCs w:val="22"/>
          <w:lang w:val="fr-FR"/>
        </w:rPr>
      </w:pPr>
    </w:p>
    <w:p w14:paraId="0A4C8496" w14:textId="480A2326" w:rsidR="00D02DAC" w:rsidRPr="00FE1B97" w:rsidRDefault="00D02DAC" w:rsidP="00BA154F">
      <w:pPr>
        <w:pStyle w:val="ListParagraph"/>
        <w:ind w:left="0"/>
        <w:jc w:val="both"/>
        <w:rPr>
          <w:bCs/>
          <w:sz w:val="22"/>
          <w:szCs w:val="22"/>
          <w:lang w:val="fr-FR"/>
        </w:rPr>
      </w:pPr>
      <w:r w:rsidRPr="00FE1B97">
        <w:rPr>
          <w:bCs/>
          <w:sz w:val="22"/>
          <w:szCs w:val="22"/>
          <w:lang w:val="fr-FR"/>
        </w:rPr>
        <w:t>1</w:t>
      </w:r>
      <w:r w:rsidR="003E6AAC">
        <w:rPr>
          <w:bCs/>
          <w:sz w:val="22"/>
          <w:szCs w:val="22"/>
          <w:lang w:val="fr-FR"/>
        </w:rPr>
        <w:t>67</w:t>
      </w:r>
      <w:r w:rsidRPr="00FE1B97">
        <w:rPr>
          <w:bCs/>
          <w:sz w:val="22"/>
          <w:szCs w:val="22"/>
          <w:lang w:val="fr-FR"/>
        </w:rPr>
        <w:t xml:space="preserve">. Le </w:t>
      </w:r>
      <w:r w:rsidRPr="00FE1B97">
        <w:rPr>
          <w:b/>
          <w:bCs/>
          <w:sz w:val="22"/>
          <w:szCs w:val="22"/>
          <w:lang w:val="fr-FR"/>
        </w:rPr>
        <w:t>Bénin, au nom du groupe de l’Afrique</w:t>
      </w:r>
      <w:r w:rsidRPr="00FE1B97">
        <w:rPr>
          <w:bCs/>
          <w:sz w:val="22"/>
          <w:szCs w:val="22"/>
          <w:lang w:val="fr-FR"/>
        </w:rPr>
        <w:t>, a complimenté tous les partenaires engagés dans l’IA pour l’excellent travail réalisé. Cette initiative avait été la boussole qui avait guidé les parties prenantes vers l’avant-projet du Plan pour l’Afrique.</w:t>
      </w:r>
    </w:p>
    <w:p w14:paraId="348721D2" w14:textId="77777777" w:rsidR="00D02DAC" w:rsidRPr="00FE1B97" w:rsidRDefault="00D02DAC" w:rsidP="00BA154F">
      <w:pPr>
        <w:pStyle w:val="ListParagraph"/>
        <w:ind w:left="0"/>
        <w:jc w:val="both"/>
        <w:rPr>
          <w:bCs/>
          <w:sz w:val="22"/>
          <w:szCs w:val="22"/>
          <w:lang w:val="fr-FR"/>
        </w:rPr>
      </w:pPr>
    </w:p>
    <w:p w14:paraId="3F293906" w14:textId="2540027F" w:rsidR="00D02DAC" w:rsidRPr="00FE1B97" w:rsidRDefault="00D02DAC" w:rsidP="00BA154F">
      <w:pPr>
        <w:pStyle w:val="ListParagraph"/>
        <w:ind w:left="0"/>
        <w:jc w:val="both"/>
        <w:rPr>
          <w:bCs/>
          <w:sz w:val="22"/>
          <w:szCs w:val="22"/>
          <w:lang w:val="fr-FR"/>
        </w:rPr>
      </w:pPr>
      <w:r w:rsidRPr="00FE1B97">
        <w:rPr>
          <w:bCs/>
          <w:sz w:val="22"/>
          <w:szCs w:val="22"/>
          <w:lang w:val="fr-FR"/>
        </w:rPr>
        <w:t>1</w:t>
      </w:r>
      <w:r w:rsidR="003E6AAC">
        <w:rPr>
          <w:bCs/>
          <w:sz w:val="22"/>
          <w:szCs w:val="22"/>
          <w:lang w:val="fr-FR"/>
        </w:rPr>
        <w:t>68</w:t>
      </w:r>
      <w:r w:rsidRPr="00FE1B97">
        <w:rPr>
          <w:bCs/>
          <w:sz w:val="22"/>
          <w:szCs w:val="22"/>
          <w:lang w:val="fr-FR"/>
        </w:rPr>
        <w:t>. L’</w:t>
      </w:r>
      <w:r w:rsidRPr="00FE1B97">
        <w:rPr>
          <w:b/>
          <w:bCs/>
          <w:sz w:val="22"/>
          <w:szCs w:val="22"/>
          <w:lang w:val="fr-FR"/>
        </w:rPr>
        <w:t>Afrique du Sud</w:t>
      </w:r>
      <w:r w:rsidRPr="00FE1B97">
        <w:rPr>
          <w:bCs/>
          <w:sz w:val="22"/>
          <w:szCs w:val="22"/>
          <w:lang w:val="fr-FR"/>
        </w:rPr>
        <w:t xml:space="preserve"> a observé que le propos de l’IA était de coordonner et d’améliorer la mise en œuvre de l’</w:t>
      </w:r>
      <w:r w:rsidR="00412DD9">
        <w:rPr>
          <w:bCs/>
          <w:sz w:val="22"/>
          <w:szCs w:val="22"/>
          <w:lang w:val="fr-FR"/>
        </w:rPr>
        <w:t>A</w:t>
      </w:r>
      <w:r w:rsidRPr="00FE1B97">
        <w:rPr>
          <w:bCs/>
          <w:sz w:val="22"/>
          <w:szCs w:val="22"/>
          <w:lang w:val="fr-FR"/>
        </w:rPr>
        <w:t>E</w:t>
      </w:r>
      <w:r w:rsidR="00412DD9">
        <w:rPr>
          <w:bCs/>
          <w:sz w:val="22"/>
          <w:szCs w:val="22"/>
          <w:lang w:val="fr-FR"/>
        </w:rPr>
        <w:t>W</w:t>
      </w:r>
      <w:r w:rsidRPr="00FE1B97">
        <w:rPr>
          <w:bCs/>
          <w:sz w:val="22"/>
          <w:szCs w:val="22"/>
          <w:lang w:val="fr-FR"/>
        </w:rPr>
        <w:t>A en Afrique, et que les lacunes existant dans la mise en œuvre en Afrique avaient des impacts d’une très grande portée dans d’autres parties de la zone de l’Accord. Toutes les Parties à l’AEWA étaient donc exhortées à partager la responsabilité de l’IA et à faire preuve d’un entier soutien à sa mise en œuvre. Concernant le renforcement de la capacité, qui est crucial pour une mise en œuvre efficace, la tendance habituelle était de penser principalement en termes d’ateliers et de kits de formation. En réalité, il y avait besoin d’identifier les compétences spécifiques nécessaires pour s’y attaquer de manière ciblée, avec un suivi approprié pour assurer que les compétences acquises seraient mises en œuvre. Il était également nécessaire de customiser de façon appropriée les produits CESP. La radio communautaire, la télévision et les méthodes consistant à conter des histoires pouvaient être plus appropriées que les sites Web, les autocollants et les prospectus. Il faudra envisager cela lors de la préparation des stratégies de communication pour la région d’Afrique.</w:t>
      </w:r>
    </w:p>
    <w:p w14:paraId="2B7D7CD0" w14:textId="77777777" w:rsidR="00D02DAC" w:rsidRPr="00FE1B97" w:rsidRDefault="00D02DAC" w:rsidP="00BA154F">
      <w:pPr>
        <w:pStyle w:val="ListParagraph"/>
        <w:ind w:left="0"/>
        <w:jc w:val="both"/>
        <w:rPr>
          <w:bCs/>
          <w:sz w:val="22"/>
          <w:szCs w:val="22"/>
          <w:lang w:val="fr-FR"/>
        </w:rPr>
      </w:pPr>
    </w:p>
    <w:p w14:paraId="082A050B" w14:textId="23AC972F" w:rsidR="00D02DAC" w:rsidRPr="00FE1B97" w:rsidRDefault="00D02DAC" w:rsidP="00BA154F">
      <w:pPr>
        <w:pStyle w:val="ListParagraph"/>
        <w:ind w:left="0"/>
        <w:jc w:val="both"/>
        <w:rPr>
          <w:bCs/>
          <w:sz w:val="22"/>
          <w:szCs w:val="22"/>
          <w:lang w:val="fr-FR"/>
        </w:rPr>
      </w:pPr>
      <w:r w:rsidRPr="00FE1B97">
        <w:rPr>
          <w:bCs/>
          <w:sz w:val="22"/>
          <w:szCs w:val="22"/>
          <w:lang w:val="fr-FR"/>
        </w:rPr>
        <w:t>1</w:t>
      </w:r>
      <w:r w:rsidR="003E6AAC">
        <w:rPr>
          <w:bCs/>
          <w:sz w:val="22"/>
          <w:szCs w:val="22"/>
          <w:lang w:val="fr-FR"/>
        </w:rPr>
        <w:t>69</w:t>
      </w:r>
      <w:r w:rsidRPr="00FE1B97">
        <w:rPr>
          <w:bCs/>
          <w:sz w:val="22"/>
          <w:szCs w:val="22"/>
          <w:lang w:val="fr-FR"/>
        </w:rPr>
        <w:t xml:space="preserve">. Le </w:t>
      </w:r>
      <w:r w:rsidRPr="00FE1B97">
        <w:rPr>
          <w:b/>
          <w:bCs/>
          <w:sz w:val="22"/>
          <w:szCs w:val="22"/>
          <w:lang w:val="fr-FR"/>
        </w:rPr>
        <w:t>Togo</w:t>
      </w:r>
      <w:r w:rsidRPr="00FE1B97">
        <w:rPr>
          <w:bCs/>
          <w:sz w:val="22"/>
          <w:szCs w:val="22"/>
          <w:lang w:val="fr-FR"/>
        </w:rPr>
        <w:t xml:space="preserve"> a exprimé sa satisfaction de voir que la décision de la MOP4 d’établir l’IA ne soit pas restée dans un tiroir. La graine a été plantée et une jeune plante est en train de pousser. On espère qu’elle continuera à prospérer et que l’Afrique pourra bénéficier pleinement de ses résultats. Le Togo était enchanté que l’atelier pré-MOP ait été en mesure d’examiner l’avant-projet de </w:t>
      </w:r>
      <w:proofErr w:type="spellStart"/>
      <w:r w:rsidRPr="00FE1B97">
        <w:rPr>
          <w:bCs/>
          <w:sz w:val="22"/>
          <w:szCs w:val="22"/>
          <w:lang w:val="fr-FR"/>
        </w:rPr>
        <w:t>PdA</w:t>
      </w:r>
      <w:r w:rsidR="00412DD9">
        <w:rPr>
          <w:bCs/>
          <w:sz w:val="22"/>
          <w:szCs w:val="22"/>
          <w:lang w:val="fr-FR"/>
        </w:rPr>
        <w:t>A</w:t>
      </w:r>
      <w:proofErr w:type="spellEnd"/>
      <w:r w:rsidRPr="00FE1B97">
        <w:rPr>
          <w:bCs/>
          <w:sz w:val="22"/>
          <w:szCs w:val="22"/>
          <w:lang w:val="fr-FR"/>
        </w:rPr>
        <w:t>, grâce à la détermination et aux contributions d’un certain nombre de partenaires, qui ont été exhortés à poursuivre leur soutien à l’IA.</w:t>
      </w:r>
    </w:p>
    <w:p w14:paraId="4F10236E" w14:textId="77777777" w:rsidR="00D02DAC" w:rsidRPr="00FE1B97" w:rsidRDefault="00D02DAC" w:rsidP="00BA154F">
      <w:pPr>
        <w:pStyle w:val="ListParagraph"/>
        <w:ind w:left="0"/>
        <w:jc w:val="both"/>
        <w:rPr>
          <w:bCs/>
          <w:sz w:val="22"/>
          <w:szCs w:val="22"/>
          <w:lang w:val="fr-FR"/>
        </w:rPr>
      </w:pPr>
    </w:p>
    <w:p w14:paraId="392C01C9" w14:textId="6E916466" w:rsidR="00D02DAC" w:rsidRPr="00FE1B97" w:rsidRDefault="00D02DAC" w:rsidP="00BA154F">
      <w:pPr>
        <w:pStyle w:val="ListParagraph"/>
        <w:ind w:left="0"/>
        <w:jc w:val="both"/>
        <w:rPr>
          <w:bCs/>
          <w:sz w:val="22"/>
          <w:szCs w:val="22"/>
          <w:lang w:val="fr-FR"/>
        </w:rPr>
      </w:pPr>
      <w:r w:rsidRPr="00FE1B97">
        <w:rPr>
          <w:bCs/>
          <w:sz w:val="22"/>
          <w:szCs w:val="22"/>
          <w:lang w:val="fr-FR"/>
        </w:rPr>
        <w:t>1</w:t>
      </w:r>
      <w:r w:rsidR="003E6AAC">
        <w:rPr>
          <w:bCs/>
          <w:sz w:val="22"/>
          <w:szCs w:val="22"/>
          <w:lang w:val="fr-FR"/>
        </w:rPr>
        <w:t>70</w:t>
      </w:r>
      <w:r w:rsidRPr="00FE1B97">
        <w:rPr>
          <w:bCs/>
          <w:sz w:val="22"/>
          <w:szCs w:val="22"/>
          <w:lang w:val="fr-FR"/>
        </w:rPr>
        <w:t xml:space="preserve">. Le </w:t>
      </w:r>
      <w:r w:rsidRPr="00FE1B97">
        <w:rPr>
          <w:b/>
          <w:bCs/>
          <w:sz w:val="22"/>
          <w:szCs w:val="22"/>
          <w:lang w:val="fr-FR"/>
        </w:rPr>
        <w:t>Mali</w:t>
      </w:r>
      <w:r w:rsidRPr="00FE1B97">
        <w:rPr>
          <w:bCs/>
          <w:sz w:val="22"/>
          <w:szCs w:val="22"/>
          <w:lang w:val="fr-FR"/>
        </w:rPr>
        <w:t xml:space="preserve"> a remercié le gouvernement de la France pour son soutien indéfectible à l’Afrique durant le développement de l’IA. La mise en œuvre de l’IA requerrait toute la volonté politique de toutes les Parties. Certains pays sont confrontés à de sévères défis environnementaux, parmi lesquels le changement climatique. L’IA aiderait les Parties et autres parties prenantes à soutenir cette cause.</w:t>
      </w:r>
    </w:p>
    <w:p w14:paraId="684D5927" w14:textId="77777777" w:rsidR="00D02DAC" w:rsidRPr="00FE1B97" w:rsidRDefault="00D02DAC" w:rsidP="00BA154F">
      <w:pPr>
        <w:pStyle w:val="ListParagraph"/>
        <w:ind w:left="0"/>
        <w:jc w:val="both"/>
        <w:rPr>
          <w:bCs/>
          <w:sz w:val="22"/>
          <w:szCs w:val="22"/>
          <w:lang w:val="fr-FR"/>
        </w:rPr>
      </w:pPr>
    </w:p>
    <w:p w14:paraId="7A6224E6" w14:textId="61AE6A16" w:rsidR="00D02DAC" w:rsidRPr="00FE1B97" w:rsidRDefault="00D02DAC" w:rsidP="00BA154F">
      <w:pPr>
        <w:pStyle w:val="ListParagraph"/>
        <w:ind w:left="0"/>
        <w:jc w:val="both"/>
        <w:rPr>
          <w:bCs/>
          <w:sz w:val="22"/>
          <w:szCs w:val="22"/>
          <w:lang w:val="fr-FR"/>
        </w:rPr>
      </w:pPr>
      <w:r w:rsidRPr="00FE1B97">
        <w:rPr>
          <w:bCs/>
          <w:sz w:val="22"/>
          <w:szCs w:val="22"/>
          <w:lang w:val="fr-FR"/>
        </w:rPr>
        <w:t>1</w:t>
      </w:r>
      <w:r w:rsidR="003E6AAC">
        <w:rPr>
          <w:bCs/>
          <w:sz w:val="22"/>
          <w:szCs w:val="22"/>
          <w:lang w:val="fr-FR"/>
        </w:rPr>
        <w:t>71</w:t>
      </w:r>
      <w:r w:rsidRPr="00FE1B97">
        <w:rPr>
          <w:bCs/>
          <w:sz w:val="22"/>
          <w:szCs w:val="22"/>
          <w:lang w:val="fr-FR"/>
        </w:rPr>
        <w:t>. Le</w:t>
      </w:r>
      <w:r w:rsidRPr="00FE1B97">
        <w:rPr>
          <w:b/>
          <w:bCs/>
          <w:sz w:val="22"/>
          <w:szCs w:val="22"/>
          <w:lang w:val="fr-FR"/>
        </w:rPr>
        <w:t xml:space="preserve"> Président </w:t>
      </w:r>
      <w:r w:rsidRPr="00FE1B97">
        <w:rPr>
          <w:bCs/>
          <w:sz w:val="22"/>
          <w:szCs w:val="22"/>
          <w:lang w:val="fr-FR"/>
        </w:rPr>
        <w:t>a apprécié la gratitude exprimé au gouvernement de la France, mais a fait remarquer que beaucoup d’autres Parties et partenaires avaient également contribué à l’IA.</w:t>
      </w:r>
    </w:p>
    <w:p w14:paraId="222E95CD" w14:textId="77777777" w:rsidR="00D02DAC" w:rsidRPr="00FE1B97" w:rsidRDefault="00D02DAC" w:rsidP="00BA154F">
      <w:pPr>
        <w:pStyle w:val="ListParagraph"/>
        <w:ind w:left="0"/>
        <w:jc w:val="both"/>
        <w:rPr>
          <w:bCs/>
          <w:sz w:val="22"/>
          <w:szCs w:val="22"/>
          <w:lang w:val="fr-FR"/>
        </w:rPr>
      </w:pPr>
    </w:p>
    <w:p w14:paraId="703591E4" w14:textId="6EFE03BF" w:rsidR="00D02DAC" w:rsidRPr="00FE1B97" w:rsidRDefault="00D02DAC" w:rsidP="00BA154F">
      <w:pPr>
        <w:pStyle w:val="ListParagraph"/>
        <w:ind w:left="0"/>
        <w:jc w:val="both"/>
        <w:outlineLvl w:val="0"/>
        <w:rPr>
          <w:bCs/>
          <w:sz w:val="22"/>
          <w:szCs w:val="22"/>
          <w:lang w:val="fr-FR"/>
        </w:rPr>
      </w:pPr>
      <w:r w:rsidRPr="00FE1B97">
        <w:rPr>
          <w:bCs/>
          <w:sz w:val="22"/>
          <w:szCs w:val="22"/>
          <w:lang w:val="fr-FR"/>
        </w:rPr>
        <w:t>1</w:t>
      </w:r>
      <w:r w:rsidR="003E6AAC">
        <w:rPr>
          <w:bCs/>
          <w:sz w:val="22"/>
          <w:szCs w:val="22"/>
          <w:lang w:val="fr-FR"/>
        </w:rPr>
        <w:t>72</w:t>
      </w:r>
      <w:r w:rsidRPr="00FE1B97">
        <w:rPr>
          <w:bCs/>
          <w:sz w:val="22"/>
          <w:szCs w:val="22"/>
          <w:lang w:val="fr-FR"/>
        </w:rPr>
        <w:t>. La</w:t>
      </w:r>
      <w:r w:rsidRPr="00FE1B97">
        <w:rPr>
          <w:b/>
          <w:bCs/>
          <w:sz w:val="22"/>
          <w:szCs w:val="22"/>
          <w:lang w:val="fr-FR"/>
        </w:rPr>
        <w:t xml:space="preserve"> Tunisie</w:t>
      </w:r>
      <w:r w:rsidRPr="00FE1B97">
        <w:rPr>
          <w:bCs/>
          <w:sz w:val="22"/>
          <w:szCs w:val="22"/>
          <w:lang w:val="fr-FR"/>
        </w:rPr>
        <w:t xml:space="preserve"> a appelé les AEM et ONG concernées à maximiser la coopération et à éviter la duplication </w:t>
      </w:r>
    </w:p>
    <w:p w14:paraId="522ACF6A" w14:textId="77777777" w:rsidR="00D02DAC" w:rsidRPr="00FE1B97" w:rsidRDefault="00D02DAC" w:rsidP="00BA154F">
      <w:pPr>
        <w:pStyle w:val="ListParagraph"/>
        <w:ind w:left="0"/>
        <w:jc w:val="both"/>
        <w:rPr>
          <w:bCs/>
          <w:sz w:val="22"/>
          <w:szCs w:val="22"/>
          <w:lang w:val="fr-FR"/>
        </w:rPr>
      </w:pPr>
    </w:p>
    <w:p w14:paraId="4F63EB73" w14:textId="05B0F842" w:rsidR="00D02DAC" w:rsidRPr="00FE1B97" w:rsidRDefault="00D02DAC" w:rsidP="00BA154F">
      <w:pPr>
        <w:pStyle w:val="ListParagraph"/>
        <w:ind w:left="0"/>
        <w:jc w:val="both"/>
        <w:rPr>
          <w:bCs/>
          <w:sz w:val="22"/>
          <w:szCs w:val="22"/>
          <w:lang w:val="fr-FR"/>
        </w:rPr>
      </w:pPr>
      <w:r w:rsidRPr="00FE1B97">
        <w:rPr>
          <w:bCs/>
          <w:sz w:val="22"/>
          <w:szCs w:val="22"/>
          <w:lang w:val="fr-FR"/>
        </w:rPr>
        <w:t>1</w:t>
      </w:r>
      <w:r w:rsidR="003E6AAC">
        <w:rPr>
          <w:bCs/>
          <w:sz w:val="22"/>
          <w:szCs w:val="22"/>
          <w:lang w:val="fr-FR"/>
        </w:rPr>
        <w:t>73</w:t>
      </w:r>
      <w:r w:rsidRPr="00FE1B97">
        <w:rPr>
          <w:bCs/>
          <w:sz w:val="22"/>
          <w:szCs w:val="22"/>
          <w:lang w:val="fr-FR"/>
        </w:rPr>
        <w:t xml:space="preserve">. Le </w:t>
      </w:r>
      <w:r w:rsidRPr="00FE1B97">
        <w:rPr>
          <w:b/>
          <w:bCs/>
          <w:sz w:val="22"/>
          <w:szCs w:val="22"/>
          <w:lang w:val="fr-FR"/>
        </w:rPr>
        <w:t>Président</w:t>
      </w:r>
      <w:r w:rsidRPr="00FE1B97">
        <w:rPr>
          <w:bCs/>
          <w:sz w:val="22"/>
          <w:szCs w:val="22"/>
          <w:lang w:val="fr-FR"/>
        </w:rPr>
        <w:t xml:space="preserve"> a </w:t>
      </w:r>
      <w:r w:rsidR="00412DD9">
        <w:rPr>
          <w:bCs/>
          <w:sz w:val="22"/>
          <w:szCs w:val="22"/>
          <w:lang w:val="fr-FR"/>
        </w:rPr>
        <w:t>observé que le Secrétariat PNUE/</w:t>
      </w:r>
      <w:r w:rsidRPr="00FE1B97">
        <w:rPr>
          <w:bCs/>
          <w:sz w:val="22"/>
          <w:szCs w:val="22"/>
          <w:lang w:val="fr-FR"/>
        </w:rPr>
        <w:t xml:space="preserve">AEWA travaillait déjà en étroite collaboration avec d’autres AEM, parmi lesquelles la CMS et la Convention de </w:t>
      </w:r>
      <w:proofErr w:type="spellStart"/>
      <w:r w:rsidRPr="00FE1B97">
        <w:rPr>
          <w:bCs/>
          <w:sz w:val="22"/>
          <w:szCs w:val="22"/>
          <w:lang w:val="fr-FR"/>
        </w:rPr>
        <w:t>Ramsar</w:t>
      </w:r>
      <w:proofErr w:type="spellEnd"/>
      <w:r w:rsidRPr="00FE1B97">
        <w:rPr>
          <w:bCs/>
          <w:sz w:val="22"/>
          <w:szCs w:val="22"/>
          <w:lang w:val="fr-FR"/>
        </w:rPr>
        <w:t>.</w:t>
      </w:r>
    </w:p>
    <w:p w14:paraId="474C81BB" w14:textId="77777777" w:rsidR="00D02DAC" w:rsidRPr="00FE1B97" w:rsidRDefault="00D02DAC" w:rsidP="00BA154F">
      <w:pPr>
        <w:pStyle w:val="ListParagraph"/>
        <w:ind w:left="0"/>
        <w:jc w:val="both"/>
        <w:rPr>
          <w:bCs/>
          <w:sz w:val="22"/>
          <w:szCs w:val="22"/>
          <w:lang w:val="fr-FR"/>
        </w:rPr>
      </w:pPr>
    </w:p>
    <w:p w14:paraId="5D19AC70" w14:textId="202E472A" w:rsidR="00D02DAC" w:rsidRPr="00FE1B97" w:rsidRDefault="00D02DAC" w:rsidP="00BA154F">
      <w:pPr>
        <w:pStyle w:val="ListParagraph"/>
        <w:ind w:left="0"/>
        <w:jc w:val="both"/>
        <w:rPr>
          <w:sz w:val="22"/>
          <w:lang w:val="fr-FR"/>
        </w:rPr>
      </w:pPr>
      <w:r w:rsidRPr="00FE1B97">
        <w:rPr>
          <w:bCs/>
          <w:sz w:val="22"/>
          <w:szCs w:val="22"/>
          <w:lang w:val="fr-FR"/>
        </w:rPr>
        <w:t>1</w:t>
      </w:r>
      <w:r w:rsidR="003E6AAC">
        <w:rPr>
          <w:bCs/>
          <w:sz w:val="22"/>
          <w:szCs w:val="22"/>
          <w:lang w:val="fr-FR"/>
        </w:rPr>
        <w:t>74</w:t>
      </w:r>
      <w:r w:rsidRPr="00FE1B97">
        <w:rPr>
          <w:bCs/>
          <w:sz w:val="22"/>
          <w:szCs w:val="22"/>
          <w:lang w:val="fr-FR"/>
        </w:rPr>
        <w:t xml:space="preserve">. Le </w:t>
      </w:r>
      <w:r w:rsidRPr="00FE1B97">
        <w:rPr>
          <w:b/>
          <w:bCs/>
          <w:sz w:val="22"/>
          <w:szCs w:val="22"/>
          <w:lang w:val="fr-FR"/>
        </w:rPr>
        <w:t>Coordinateur de l’Initiative africaine</w:t>
      </w:r>
      <w:r w:rsidRPr="00FE1B97">
        <w:rPr>
          <w:bCs/>
          <w:sz w:val="22"/>
          <w:szCs w:val="22"/>
          <w:lang w:val="fr-FR"/>
        </w:rPr>
        <w:t xml:space="preserve"> et </w:t>
      </w:r>
      <w:r w:rsidRPr="00FE1B97">
        <w:rPr>
          <w:b/>
          <w:bCs/>
          <w:sz w:val="22"/>
          <w:szCs w:val="22"/>
          <w:lang w:val="fr-FR"/>
        </w:rPr>
        <w:t xml:space="preserve">Tim </w:t>
      </w:r>
      <w:proofErr w:type="spellStart"/>
      <w:r w:rsidRPr="00FE1B97">
        <w:rPr>
          <w:b/>
          <w:bCs/>
          <w:sz w:val="22"/>
          <w:szCs w:val="22"/>
          <w:lang w:val="fr-FR"/>
        </w:rPr>
        <w:t>Dodman</w:t>
      </w:r>
      <w:proofErr w:type="spellEnd"/>
      <w:r w:rsidRPr="00FE1B97">
        <w:rPr>
          <w:b/>
          <w:bCs/>
          <w:sz w:val="22"/>
          <w:szCs w:val="22"/>
          <w:lang w:val="fr-FR"/>
        </w:rPr>
        <w:t xml:space="preserve"> </w:t>
      </w:r>
      <w:r w:rsidRPr="00FE1B97">
        <w:rPr>
          <w:bCs/>
          <w:sz w:val="22"/>
          <w:szCs w:val="22"/>
          <w:lang w:val="fr-FR"/>
        </w:rPr>
        <w:t>(consultant</w:t>
      </w:r>
      <w:r w:rsidRPr="00FE1B97">
        <w:rPr>
          <w:b/>
          <w:bCs/>
          <w:sz w:val="22"/>
          <w:szCs w:val="22"/>
          <w:lang w:val="fr-FR"/>
        </w:rPr>
        <w:t xml:space="preserve"> </w:t>
      </w:r>
      <w:r w:rsidRPr="00FE1B97">
        <w:rPr>
          <w:bCs/>
          <w:sz w:val="22"/>
          <w:szCs w:val="22"/>
          <w:lang w:val="fr-FR"/>
        </w:rPr>
        <w:t>auprès d</w:t>
      </w:r>
      <w:r w:rsidR="00412DD9">
        <w:rPr>
          <w:bCs/>
          <w:sz w:val="22"/>
          <w:szCs w:val="22"/>
          <w:lang w:val="fr-FR"/>
        </w:rPr>
        <w:t>u Secrétariat PNUE/</w:t>
      </w:r>
      <w:r w:rsidRPr="00FE1B97">
        <w:rPr>
          <w:bCs/>
          <w:sz w:val="22"/>
          <w:szCs w:val="22"/>
          <w:lang w:val="fr-FR"/>
        </w:rPr>
        <w:t xml:space="preserve">AEWA) ont introduit le document AEWA/MOP 5.31 </w:t>
      </w:r>
      <w:r w:rsidRPr="00FE1B97">
        <w:rPr>
          <w:bCs/>
          <w:i/>
          <w:sz w:val="22"/>
          <w:szCs w:val="22"/>
          <w:lang w:val="fr-FR"/>
        </w:rPr>
        <w:t>Avant-projet de Plan d’action 2012-2017 pour l’Afrique</w:t>
      </w:r>
      <w:r w:rsidRPr="00FE1B97">
        <w:rPr>
          <w:bCs/>
          <w:sz w:val="22"/>
          <w:szCs w:val="22"/>
          <w:lang w:val="fr-FR"/>
        </w:rPr>
        <w:t>.</w:t>
      </w:r>
    </w:p>
    <w:p w14:paraId="3CF925CC" w14:textId="77777777" w:rsidR="00D02DAC" w:rsidRPr="00FE1B97" w:rsidRDefault="00D02DAC" w:rsidP="00BA154F">
      <w:pPr>
        <w:pStyle w:val="ListParagraph"/>
        <w:ind w:left="0"/>
        <w:jc w:val="both"/>
        <w:rPr>
          <w:sz w:val="22"/>
          <w:lang w:val="fr-FR"/>
        </w:rPr>
      </w:pPr>
    </w:p>
    <w:p w14:paraId="3D2BC62C" w14:textId="7052DD33" w:rsidR="00D02DAC" w:rsidRPr="00FE1B97" w:rsidRDefault="00D02DAC" w:rsidP="00BA154F">
      <w:pPr>
        <w:pStyle w:val="ListParagraph"/>
        <w:ind w:left="0"/>
        <w:jc w:val="both"/>
        <w:rPr>
          <w:bCs/>
          <w:sz w:val="22"/>
          <w:szCs w:val="22"/>
          <w:lang w:val="fr-FR"/>
        </w:rPr>
      </w:pPr>
      <w:r w:rsidRPr="00FE1B97">
        <w:rPr>
          <w:bCs/>
          <w:sz w:val="22"/>
          <w:szCs w:val="22"/>
          <w:lang w:val="fr-FR"/>
        </w:rPr>
        <w:t>1</w:t>
      </w:r>
      <w:r w:rsidR="003E6AAC">
        <w:rPr>
          <w:bCs/>
          <w:sz w:val="22"/>
          <w:szCs w:val="22"/>
          <w:lang w:val="fr-FR"/>
        </w:rPr>
        <w:t>75</w:t>
      </w:r>
      <w:r w:rsidRPr="00FE1B97">
        <w:rPr>
          <w:bCs/>
          <w:sz w:val="22"/>
          <w:szCs w:val="22"/>
          <w:lang w:val="fr-FR"/>
        </w:rPr>
        <w:t xml:space="preserve">. </w:t>
      </w:r>
      <w:r w:rsidRPr="00FE1B97">
        <w:rPr>
          <w:b/>
          <w:bCs/>
          <w:sz w:val="22"/>
          <w:szCs w:val="22"/>
          <w:lang w:val="fr-FR"/>
        </w:rPr>
        <w:t xml:space="preserve">Mme </w:t>
      </w:r>
      <w:proofErr w:type="spellStart"/>
      <w:r w:rsidRPr="00FE1B97">
        <w:rPr>
          <w:b/>
          <w:bCs/>
          <w:sz w:val="22"/>
          <w:szCs w:val="22"/>
          <w:lang w:val="fr-FR"/>
        </w:rPr>
        <w:t>Parh</w:t>
      </w:r>
      <w:proofErr w:type="spellEnd"/>
      <w:r w:rsidRPr="00FE1B97">
        <w:rPr>
          <w:b/>
          <w:bCs/>
          <w:sz w:val="22"/>
          <w:szCs w:val="22"/>
          <w:lang w:val="fr-FR"/>
        </w:rPr>
        <w:t xml:space="preserve"> Moloko</w:t>
      </w:r>
      <w:r w:rsidRPr="00FE1B97">
        <w:rPr>
          <w:bCs/>
          <w:sz w:val="22"/>
          <w:szCs w:val="22"/>
          <w:lang w:val="fr-FR"/>
        </w:rPr>
        <w:t xml:space="preserve"> a </w:t>
      </w:r>
      <w:r w:rsidRPr="00FE1B97">
        <w:rPr>
          <w:sz w:val="22"/>
          <w:lang w:val="fr-FR"/>
        </w:rPr>
        <w:t>décrit le processus d</w:t>
      </w:r>
      <w:r w:rsidR="00412DD9">
        <w:rPr>
          <w:sz w:val="22"/>
          <w:lang w:val="fr-FR"/>
        </w:rPr>
        <w:t xml:space="preserve">e préparation du </w:t>
      </w:r>
      <w:proofErr w:type="spellStart"/>
      <w:r w:rsidR="00412DD9">
        <w:rPr>
          <w:sz w:val="22"/>
          <w:lang w:val="fr-FR"/>
        </w:rPr>
        <w:t>PdAA</w:t>
      </w:r>
      <w:proofErr w:type="spellEnd"/>
      <w:r w:rsidRPr="00FE1B97">
        <w:rPr>
          <w:sz w:val="22"/>
          <w:lang w:val="fr-FR"/>
        </w:rPr>
        <w:t xml:space="preserve"> et a résumé son stade actuel. Après la MOP4, le premier avant-projet de </w:t>
      </w:r>
      <w:proofErr w:type="spellStart"/>
      <w:r w:rsidRPr="00FE1B97">
        <w:rPr>
          <w:sz w:val="22"/>
          <w:lang w:val="fr-FR"/>
        </w:rPr>
        <w:t>PdA</w:t>
      </w:r>
      <w:r w:rsidR="00412DD9">
        <w:rPr>
          <w:sz w:val="22"/>
          <w:lang w:val="fr-FR"/>
        </w:rPr>
        <w:t>A</w:t>
      </w:r>
      <w:proofErr w:type="spellEnd"/>
      <w:r w:rsidRPr="00FE1B97">
        <w:rPr>
          <w:sz w:val="22"/>
          <w:lang w:val="fr-FR"/>
        </w:rPr>
        <w:t xml:space="preserve"> a été posté sur l’espace de travail du TC de l’AEWA en juillet 2011 et une seconde version révisée a été discutée par le TC lors de sa réunion en septembre 2011. Sur la recommandation du TC, une enquête basée sur un questionnaire a été réalisée par le Secrétariat auprès des Parties d’Afrique et autres parties prenantes. Un consultant indépendant (M. Tim </w:t>
      </w:r>
      <w:proofErr w:type="spellStart"/>
      <w:r w:rsidRPr="00FE1B97">
        <w:rPr>
          <w:sz w:val="22"/>
          <w:lang w:val="fr-FR"/>
        </w:rPr>
        <w:t>Dodman</w:t>
      </w:r>
      <w:proofErr w:type="spellEnd"/>
      <w:r w:rsidRPr="00FE1B97">
        <w:rPr>
          <w:sz w:val="22"/>
          <w:lang w:val="fr-FR"/>
        </w:rPr>
        <w:t>) a été engagé pour développer plus avant l’avant-projet et pour aider à la préparation de l’atelier pré-MOP5, pour lequel des fonds avaient été assurés par l’U</w:t>
      </w:r>
      <w:r w:rsidR="00412DD9">
        <w:rPr>
          <w:sz w:val="22"/>
          <w:lang w:val="fr-FR"/>
        </w:rPr>
        <w:t>nion européenne</w:t>
      </w:r>
      <w:r w:rsidRPr="00FE1B97">
        <w:rPr>
          <w:sz w:val="22"/>
          <w:lang w:val="fr-FR"/>
        </w:rPr>
        <w:t xml:space="preserve">. L’atelier pré-MOP, qui a bénéficié de l’input de facilitateurs de la région d’Afrique et d’experts indépendants travaillant dans la région, a finalisé l’avant-projet de </w:t>
      </w:r>
      <w:proofErr w:type="spellStart"/>
      <w:r w:rsidRPr="00FE1B97">
        <w:rPr>
          <w:sz w:val="22"/>
          <w:lang w:val="fr-FR"/>
        </w:rPr>
        <w:t>PdA</w:t>
      </w:r>
      <w:r w:rsidR="00412DD9">
        <w:rPr>
          <w:sz w:val="22"/>
          <w:lang w:val="fr-FR"/>
        </w:rPr>
        <w:t>A</w:t>
      </w:r>
      <w:proofErr w:type="spellEnd"/>
      <w:r w:rsidRPr="00FE1B97">
        <w:rPr>
          <w:sz w:val="22"/>
          <w:lang w:val="fr-FR"/>
        </w:rPr>
        <w:t xml:space="preserve"> qui est à présent disponible pour tous les participants de la MOP en anglais et en français.</w:t>
      </w:r>
    </w:p>
    <w:p w14:paraId="1F94A4B6" w14:textId="77777777" w:rsidR="00412DD9" w:rsidRDefault="00412DD9" w:rsidP="00BA154F">
      <w:pPr>
        <w:pStyle w:val="ListParagraph"/>
        <w:ind w:left="0"/>
        <w:jc w:val="both"/>
        <w:rPr>
          <w:bCs/>
          <w:sz w:val="22"/>
          <w:szCs w:val="22"/>
          <w:lang w:val="fr-FR"/>
        </w:rPr>
      </w:pPr>
    </w:p>
    <w:p w14:paraId="6413AFE7" w14:textId="7AF26F27" w:rsidR="00D02DAC" w:rsidRPr="00FE1B97" w:rsidRDefault="003E6AAC" w:rsidP="00BA154F">
      <w:pPr>
        <w:pStyle w:val="ListParagraph"/>
        <w:ind w:left="0"/>
        <w:jc w:val="both"/>
        <w:rPr>
          <w:bCs/>
          <w:sz w:val="22"/>
          <w:szCs w:val="22"/>
          <w:lang w:val="fr-FR"/>
        </w:rPr>
      </w:pPr>
      <w:r>
        <w:rPr>
          <w:bCs/>
          <w:sz w:val="22"/>
          <w:szCs w:val="22"/>
          <w:lang w:val="fr-FR"/>
        </w:rPr>
        <w:t>176</w:t>
      </w:r>
      <w:r w:rsidR="00D02DAC" w:rsidRPr="00FE1B97">
        <w:rPr>
          <w:bCs/>
          <w:sz w:val="22"/>
          <w:szCs w:val="22"/>
          <w:lang w:val="fr-FR"/>
        </w:rPr>
        <w:t xml:space="preserve">. </w:t>
      </w:r>
      <w:r w:rsidR="00D02DAC" w:rsidRPr="00FE1B97">
        <w:rPr>
          <w:b/>
          <w:bCs/>
          <w:sz w:val="22"/>
          <w:szCs w:val="22"/>
          <w:lang w:val="fr-FR"/>
        </w:rPr>
        <w:t xml:space="preserve">M. </w:t>
      </w:r>
      <w:proofErr w:type="spellStart"/>
      <w:r w:rsidR="00D02DAC" w:rsidRPr="00FE1B97">
        <w:rPr>
          <w:b/>
          <w:bCs/>
          <w:sz w:val="22"/>
          <w:szCs w:val="22"/>
          <w:lang w:val="fr-FR"/>
        </w:rPr>
        <w:t>Dodman</w:t>
      </w:r>
      <w:proofErr w:type="spellEnd"/>
      <w:r w:rsidR="00D02DAC" w:rsidRPr="00FE1B97">
        <w:rPr>
          <w:bCs/>
          <w:sz w:val="22"/>
          <w:szCs w:val="22"/>
          <w:lang w:val="fr-FR"/>
        </w:rPr>
        <w:t xml:space="preserve"> a résumé la structure de l’atelier pré-MOP5 et a introduit le contenu de la d</w:t>
      </w:r>
      <w:r w:rsidR="00412DD9">
        <w:rPr>
          <w:bCs/>
          <w:sz w:val="22"/>
          <w:szCs w:val="22"/>
          <w:lang w:val="fr-FR"/>
        </w:rPr>
        <w:t xml:space="preserve">ernière version du </w:t>
      </w:r>
      <w:proofErr w:type="spellStart"/>
      <w:r w:rsidR="00412DD9">
        <w:rPr>
          <w:bCs/>
          <w:sz w:val="22"/>
          <w:szCs w:val="22"/>
          <w:lang w:val="fr-FR"/>
        </w:rPr>
        <w:t>PdAA</w:t>
      </w:r>
      <w:proofErr w:type="spellEnd"/>
      <w:r w:rsidR="00D02DAC" w:rsidRPr="00FE1B97">
        <w:rPr>
          <w:bCs/>
          <w:sz w:val="22"/>
          <w:szCs w:val="22"/>
          <w:lang w:val="fr-FR"/>
        </w:rPr>
        <w:t xml:space="preserve"> approuvé par les participants, dont tous souhaitaient qu’il serait dument adopté par la MOP5. Le </w:t>
      </w:r>
      <w:proofErr w:type="spellStart"/>
      <w:r w:rsidR="00D02DAC" w:rsidRPr="00FE1B97">
        <w:rPr>
          <w:bCs/>
          <w:sz w:val="22"/>
          <w:szCs w:val="22"/>
          <w:lang w:val="fr-FR"/>
        </w:rPr>
        <w:t>PdA</w:t>
      </w:r>
      <w:r w:rsidR="00412DD9">
        <w:rPr>
          <w:bCs/>
          <w:sz w:val="22"/>
          <w:szCs w:val="22"/>
          <w:lang w:val="fr-FR"/>
        </w:rPr>
        <w:t>A</w:t>
      </w:r>
      <w:proofErr w:type="spellEnd"/>
      <w:r w:rsidR="00D02DAC" w:rsidRPr="00FE1B97">
        <w:rPr>
          <w:bCs/>
          <w:sz w:val="22"/>
          <w:szCs w:val="22"/>
          <w:lang w:val="fr-FR"/>
        </w:rPr>
        <w:t xml:space="preserve"> contient les paragraphes suivants :</w:t>
      </w:r>
    </w:p>
    <w:p w14:paraId="625026B4" w14:textId="77777777" w:rsidR="00D02DAC" w:rsidRPr="00FE1B97" w:rsidRDefault="00D02DAC" w:rsidP="00BA154F">
      <w:pPr>
        <w:pStyle w:val="ListParagraph"/>
        <w:ind w:left="0"/>
        <w:jc w:val="both"/>
        <w:rPr>
          <w:bCs/>
          <w:sz w:val="22"/>
          <w:szCs w:val="22"/>
          <w:lang w:val="fr-FR"/>
        </w:rPr>
      </w:pPr>
    </w:p>
    <w:p w14:paraId="37E9B5E9" w14:textId="77777777" w:rsidR="00D02DAC" w:rsidRPr="00FE1B97" w:rsidRDefault="00D02DAC" w:rsidP="00BA154F">
      <w:pPr>
        <w:pStyle w:val="ListParagraph"/>
        <w:numPr>
          <w:ilvl w:val="0"/>
          <w:numId w:val="16"/>
        </w:numPr>
        <w:jc w:val="both"/>
        <w:rPr>
          <w:bCs/>
          <w:sz w:val="22"/>
          <w:szCs w:val="22"/>
          <w:lang w:val="fr-FR"/>
        </w:rPr>
      </w:pPr>
      <w:r w:rsidRPr="00FE1B97">
        <w:rPr>
          <w:bCs/>
          <w:sz w:val="22"/>
          <w:szCs w:val="22"/>
          <w:lang w:val="fr-FR"/>
        </w:rPr>
        <w:t>Introduction</w:t>
      </w:r>
    </w:p>
    <w:p w14:paraId="1BF4826A" w14:textId="77777777" w:rsidR="00D02DAC" w:rsidRPr="00FE1B97" w:rsidRDefault="00D02DAC" w:rsidP="00BA154F">
      <w:pPr>
        <w:pStyle w:val="ListParagraph"/>
        <w:numPr>
          <w:ilvl w:val="0"/>
          <w:numId w:val="16"/>
        </w:numPr>
        <w:jc w:val="both"/>
        <w:rPr>
          <w:bCs/>
          <w:sz w:val="22"/>
          <w:szCs w:val="22"/>
          <w:lang w:val="fr-FR"/>
        </w:rPr>
      </w:pPr>
      <w:r w:rsidRPr="00FE1B97">
        <w:rPr>
          <w:bCs/>
          <w:sz w:val="22"/>
          <w:szCs w:val="22"/>
          <w:lang w:val="fr-FR"/>
        </w:rPr>
        <w:t>Méthodologie</w:t>
      </w:r>
    </w:p>
    <w:p w14:paraId="0E3BDD06" w14:textId="77777777" w:rsidR="00D02DAC" w:rsidRPr="00FE1B97" w:rsidRDefault="00D02DAC" w:rsidP="00BA154F">
      <w:pPr>
        <w:pStyle w:val="ListParagraph"/>
        <w:numPr>
          <w:ilvl w:val="0"/>
          <w:numId w:val="16"/>
        </w:numPr>
        <w:jc w:val="both"/>
        <w:rPr>
          <w:bCs/>
          <w:sz w:val="22"/>
          <w:szCs w:val="22"/>
          <w:lang w:val="fr-FR"/>
        </w:rPr>
      </w:pPr>
      <w:r w:rsidRPr="00FE1B97">
        <w:rPr>
          <w:bCs/>
          <w:sz w:val="22"/>
          <w:szCs w:val="22"/>
          <w:lang w:val="fr-FR"/>
        </w:rPr>
        <w:t xml:space="preserve">Activités et résultats attendus </w:t>
      </w:r>
    </w:p>
    <w:p w14:paraId="299AF1B8" w14:textId="77777777" w:rsidR="00D02DAC" w:rsidRPr="00FE1B97" w:rsidRDefault="00D02DAC" w:rsidP="00BA154F">
      <w:pPr>
        <w:pStyle w:val="ListParagraph"/>
        <w:numPr>
          <w:ilvl w:val="0"/>
          <w:numId w:val="16"/>
        </w:numPr>
        <w:jc w:val="both"/>
        <w:rPr>
          <w:bCs/>
          <w:sz w:val="22"/>
          <w:szCs w:val="22"/>
          <w:lang w:val="fr-FR"/>
        </w:rPr>
      </w:pPr>
      <w:r w:rsidRPr="00FE1B97">
        <w:rPr>
          <w:bCs/>
          <w:sz w:val="22"/>
          <w:szCs w:val="22"/>
          <w:lang w:val="fr-FR"/>
        </w:rPr>
        <w:t>Budget provisionnel</w:t>
      </w:r>
    </w:p>
    <w:p w14:paraId="3837DEB6" w14:textId="77777777" w:rsidR="00D02DAC" w:rsidRPr="00FE1B97" w:rsidRDefault="00D02DAC" w:rsidP="00BA154F">
      <w:pPr>
        <w:pStyle w:val="ListParagraph"/>
        <w:numPr>
          <w:ilvl w:val="0"/>
          <w:numId w:val="16"/>
        </w:numPr>
        <w:jc w:val="both"/>
        <w:rPr>
          <w:bCs/>
          <w:sz w:val="22"/>
          <w:szCs w:val="22"/>
          <w:lang w:val="fr-FR"/>
        </w:rPr>
      </w:pPr>
      <w:r w:rsidRPr="00FE1B97">
        <w:rPr>
          <w:bCs/>
          <w:sz w:val="22"/>
          <w:szCs w:val="22"/>
          <w:lang w:val="fr-FR"/>
        </w:rPr>
        <w:t xml:space="preserve">Mise en œuvre </w:t>
      </w:r>
    </w:p>
    <w:p w14:paraId="5267AECD" w14:textId="77777777" w:rsidR="00D02DAC" w:rsidRPr="00FE1B97" w:rsidRDefault="00D02DAC" w:rsidP="00BA154F">
      <w:pPr>
        <w:pStyle w:val="ListParagraph"/>
        <w:ind w:left="0"/>
        <w:jc w:val="both"/>
        <w:rPr>
          <w:bCs/>
          <w:sz w:val="22"/>
          <w:szCs w:val="22"/>
          <w:lang w:val="fr-FR"/>
        </w:rPr>
      </w:pPr>
    </w:p>
    <w:p w14:paraId="6EA9E1A3" w14:textId="37E66C64" w:rsidR="00D02DAC" w:rsidRPr="00FE1B97" w:rsidRDefault="003E6AAC" w:rsidP="00BA154F">
      <w:pPr>
        <w:pStyle w:val="ListParagraph"/>
        <w:ind w:left="0"/>
        <w:jc w:val="both"/>
        <w:rPr>
          <w:bCs/>
          <w:sz w:val="22"/>
          <w:szCs w:val="22"/>
          <w:lang w:val="fr-FR"/>
        </w:rPr>
      </w:pPr>
      <w:r>
        <w:rPr>
          <w:bCs/>
          <w:sz w:val="22"/>
          <w:szCs w:val="22"/>
          <w:lang w:val="fr-FR"/>
        </w:rPr>
        <w:t>177</w:t>
      </w:r>
      <w:r w:rsidR="00D02DAC" w:rsidRPr="00FE1B97">
        <w:rPr>
          <w:bCs/>
          <w:sz w:val="22"/>
          <w:szCs w:val="22"/>
          <w:lang w:val="fr-FR"/>
        </w:rPr>
        <w:t xml:space="preserve">. </w:t>
      </w:r>
      <w:r w:rsidR="00D02DAC" w:rsidRPr="00FE1B97">
        <w:rPr>
          <w:b/>
          <w:bCs/>
          <w:sz w:val="22"/>
          <w:szCs w:val="22"/>
          <w:lang w:val="fr-FR"/>
        </w:rPr>
        <w:t xml:space="preserve">M. </w:t>
      </w:r>
      <w:proofErr w:type="spellStart"/>
      <w:r w:rsidR="00D02DAC" w:rsidRPr="00FE1B97">
        <w:rPr>
          <w:b/>
          <w:bCs/>
          <w:sz w:val="22"/>
          <w:szCs w:val="22"/>
          <w:lang w:val="fr-FR"/>
        </w:rPr>
        <w:t>Dodman</w:t>
      </w:r>
      <w:proofErr w:type="spellEnd"/>
      <w:r w:rsidR="00D02DAC" w:rsidRPr="00FE1B97">
        <w:rPr>
          <w:bCs/>
          <w:sz w:val="22"/>
          <w:szCs w:val="22"/>
          <w:lang w:val="fr-FR"/>
        </w:rPr>
        <w:t xml:space="preserve"> a décrit les Cibles et Activités proposées sous chacun des Objectifs suivants :</w:t>
      </w:r>
    </w:p>
    <w:p w14:paraId="06420B07" w14:textId="77777777" w:rsidR="00D02DAC" w:rsidRPr="00FE1B97" w:rsidRDefault="00D02DAC" w:rsidP="00BA154F">
      <w:pPr>
        <w:pStyle w:val="ListParagraph"/>
        <w:ind w:left="0"/>
        <w:jc w:val="both"/>
        <w:rPr>
          <w:bCs/>
          <w:sz w:val="22"/>
          <w:szCs w:val="22"/>
          <w:lang w:val="fr-FR"/>
        </w:rPr>
      </w:pPr>
    </w:p>
    <w:p w14:paraId="2EADB2BB" w14:textId="77777777" w:rsidR="00D02DAC" w:rsidRPr="00FE1B97" w:rsidRDefault="00D02DAC" w:rsidP="00BA154F">
      <w:pPr>
        <w:pStyle w:val="ListParagraph"/>
        <w:numPr>
          <w:ilvl w:val="0"/>
          <w:numId w:val="17"/>
        </w:numPr>
        <w:jc w:val="both"/>
        <w:rPr>
          <w:bCs/>
          <w:sz w:val="22"/>
          <w:szCs w:val="22"/>
          <w:lang w:val="fr-FR"/>
        </w:rPr>
      </w:pPr>
      <w:r w:rsidRPr="00FE1B97">
        <w:rPr>
          <w:bCs/>
          <w:sz w:val="22"/>
          <w:szCs w:val="22"/>
          <w:lang w:val="fr-FR"/>
        </w:rPr>
        <w:t>Objectif 1 : Prendre des mesures de conservation pour améliorer ou maintenir l’état de conservation des espèces d’oiseaux d’eau et de leurs populations</w:t>
      </w:r>
    </w:p>
    <w:p w14:paraId="58AE89B2" w14:textId="77777777" w:rsidR="00D02DAC" w:rsidRPr="00FE1B97" w:rsidRDefault="00D02DAC" w:rsidP="00BA154F">
      <w:pPr>
        <w:pStyle w:val="ListParagraph"/>
        <w:numPr>
          <w:ilvl w:val="0"/>
          <w:numId w:val="17"/>
        </w:numPr>
        <w:jc w:val="both"/>
        <w:outlineLvl w:val="0"/>
        <w:rPr>
          <w:bCs/>
          <w:sz w:val="22"/>
          <w:szCs w:val="22"/>
          <w:lang w:val="fr-FR"/>
        </w:rPr>
      </w:pPr>
      <w:r w:rsidRPr="00FE1B97">
        <w:rPr>
          <w:bCs/>
          <w:sz w:val="22"/>
          <w:szCs w:val="22"/>
          <w:lang w:val="fr-FR"/>
        </w:rPr>
        <w:t>Objectif 2 : Garantir que tout prélèvement d’oiseaux d’eau dans la zone de l’Accord est durable</w:t>
      </w:r>
    </w:p>
    <w:p w14:paraId="3AE562BB" w14:textId="77777777" w:rsidR="00D02DAC" w:rsidRPr="00FE1B97" w:rsidRDefault="00D02DAC" w:rsidP="00BA154F">
      <w:pPr>
        <w:pStyle w:val="ListParagraph"/>
        <w:numPr>
          <w:ilvl w:val="0"/>
          <w:numId w:val="17"/>
        </w:numPr>
        <w:jc w:val="both"/>
        <w:rPr>
          <w:bCs/>
          <w:sz w:val="22"/>
          <w:szCs w:val="22"/>
          <w:lang w:val="fr-FR"/>
        </w:rPr>
      </w:pPr>
      <w:r w:rsidRPr="00FE1B97">
        <w:rPr>
          <w:bCs/>
          <w:sz w:val="22"/>
          <w:szCs w:val="22"/>
          <w:lang w:val="fr-FR"/>
        </w:rPr>
        <w:t>Objectif 3: Améliorer les connaissances sur les espèces et leurs populations, les voies de migration et les menaces comme fondement de l’action de conservation</w:t>
      </w:r>
    </w:p>
    <w:p w14:paraId="0D097D73" w14:textId="6AEF0088" w:rsidR="00D02DAC" w:rsidRPr="00FE1B97" w:rsidRDefault="00D02DAC" w:rsidP="00BA154F">
      <w:pPr>
        <w:pStyle w:val="ListParagraph"/>
        <w:numPr>
          <w:ilvl w:val="0"/>
          <w:numId w:val="17"/>
        </w:numPr>
        <w:jc w:val="both"/>
        <w:rPr>
          <w:bCs/>
          <w:sz w:val="22"/>
          <w:szCs w:val="22"/>
          <w:lang w:val="fr-FR"/>
        </w:rPr>
      </w:pPr>
      <w:r w:rsidRPr="00FE1B97">
        <w:rPr>
          <w:bCs/>
          <w:sz w:val="22"/>
          <w:szCs w:val="22"/>
          <w:lang w:val="fr-FR"/>
        </w:rPr>
        <w:t xml:space="preserve">Objectif 4 : Améliorer les CESP sur les espèces </w:t>
      </w:r>
      <w:r w:rsidR="009E122A">
        <w:rPr>
          <w:bCs/>
          <w:sz w:val="22"/>
          <w:szCs w:val="22"/>
          <w:lang w:val="fr-FR"/>
        </w:rPr>
        <w:t>d’</w:t>
      </w:r>
      <w:r w:rsidRPr="00FE1B97">
        <w:rPr>
          <w:bCs/>
          <w:sz w:val="22"/>
          <w:szCs w:val="22"/>
          <w:lang w:val="fr-FR"/>
        </w:rPr>
        <w:t>oiseaux d'eau migrateurs, leurs voies de migration, leur rôle dans la réduction de la pauvreté, les menaces auxquelles elles sont confrontées et la nécessité de mesures destinées à leur conservation et celle de leurs habitats</w:t>
      </w:r>
    </w:p>
    <w:p w14:paraId="401E4C44" w14:textId="77777777" w:rsidR="00D02DAC" w:rsidRPr="00FE1B97" w:rsidRDefault="00D02DAC" w:rsidP="00BA154F">
      <w:pPr>
        <w:pStyle w:val="ListParagraph"/>
        <w:numPr>
          <w:ilvl w:val="0"/>
          <w:numId w:val="17"/>
        </w:numPr>
        <w:jc w:val="both"/>
        <w:rPr>
          <w:bCs/>
          <w:sz w:val="22"/>
          <w:szCs w:val="22"/>
          <w:lang w:val="fr-FR"/>
        </w:rPr>
      </w:pPr>
      <w:r w:rsidRPr="00FE1B97">
        <w:rPr>
          <w:bCs/>
          <w:sz w:val="22"/>
          <w:szCs w:val="22"/>
          <w:lang w:val="fr-FR"/>
        </w:rPr>
        <w:t>Objectif 5 : Améliorer la capacité des États de l’aire de répartition et la coopération et les capacités internationales pour une conservation des espèces d’oiseaux d’eau migrateurs et de leurs voies de migration</w:t>
      </w:r>
    </w:p>
    <w:p w14:paraId="65609BFA" w14:textId="77777777" w:rsidR="00D02DAC" w:rsidRPr="00FE1B97" w:rsidRDefault="00D02DAC" w:rsidP="00BA154F">
      <w:pPr>
        <w:pStyle w:val="ListParagraph"/>
        <w:ind w:left="0"/>
        <w:jc w:val="both"/>
        <w:rPr>
          <w:bCs/>
          <w:sz w:val="22"/>
          <w:szCs w:val="22"/>
          <w:lang w:val="fr-FR"/>
        </w:rPr>
      </w:pPr>
    </w:p>
    <w:p w14:paraId="464CA667" w14:textId="66C70064" w:rsidR="00D02DAC" w:rsidRPr="00FE1B97" w:rsidRDefault="003E6AAC" w:rsidP="00BA154F">
      <w:pPr>
        <w:pStyle w:val="ListParagraph"/>
        <w:ind w:left="0"/>
        <w:jc w:val="both"/>
        <w:rPr>
          <w:bCs/>
          <w:sz w:val="22"/>
          <w:szCs w:val="22"/>
          <w:lang w:val="fr-FR"/>
        </w:rPr>
      </w:pPr>
      <w:r>
        <w:rPr>
          <w:bCs/>
          <w:sz w:val="22"/>
          <w:szCs w:val="22"/>
          <w:lang w:val="fr-FR"/>
        </w:rPr>
        <w:t>178</w:t>
      </w:r>
      <w:r w:rsidR="00D02DAC" w:rsidRPr="00FE1B97">
        <w:rPr>
          <w:bCs/>
          <w:sz w:val="22"/>
          <w:szCs w:val="22"/>
          <w:lang w:val="fr-FR"/>
        </w:rPr>
        <w:t xml:space="preserve">. Le budget total pour les cinq Objectifs, ainsi que pour la coordination des frais généraux du PNUE, se montait à 9,5 millions € jusqu’en 2017. </w:t>
      </w:r>
      <w:r w:rsidR="009E122A">
        <w:rPr>
          <w:bCs/>
          <w:sz w:val="22"/>
          <w:szCs w:val="22"/>
          <w:lang w:val="fr-FR"/>
        </w:rPr>
        <w:t>Les a</w:t>
      </w:r>
      <w:r w:rsidR="00D02DAC" w:rsidRPr="00FE1B97">
        <w:rPr>
          <w:bCs/>
          <w:sz w:val="22"/>
          <w:szCs w:val="22"/>
          <w:lang w:val="fr-FR"/>
        </w:rPr>
        <w:t xml:space="preserve">ctivités </w:t>
      </w:r>
      <w:r w:rsidR="009E122A">
        <w:rPr>
          <w:bCs/>
          <w:sz w:val="22"/>
          <w:szCs w:val="22"/>
          <w:lang w:val="fr-FR"/>
        </w:rPr>
        <w:t xml:space="preserve">ayant la plus grande priorité se montaient à </w:t>
      </w:r>
      <w:r w:rsidR="00D02DAC" w:rsidRPr="00FE1B97">
        <w:rPr>
          <w:bCs/>
          <w:sz w:val="22"/>
          <w:szCs w:val="22"/>
          <w:lang w:val="fr-FR"/>
        </w:rPr>
        <w:t xml:space="preserve">3,4 millions, </w:t>
      </w:r>
      <w:r w:rsidR="009E122A">
        <w:rPr>
          <w:bCs/>
          <w:sz w:val="22"/>
          <w:szCs w:val="22"/>
          <w:lang w:val="fr-FR"/>
        </w:rPr>
        <w:t>celles ayant une priorité élevée se montaient approximativement à</w:t>
      </w:r>
      <w:r w:rsidR="00D02DAC" w:rsidRPr="00FE1B97">
        <w:rPr>
          <w:bCs/>
          <w:sz w:val="22"/>
          <w:szCs w:val="22"/>
          <w:lang w:val="fr-FR"/>
        </w:rPr>
        <w:t xml:space="preserve"> 5 millions €. </w:t>
      </w:r>
    </w:p>
    <w:p w14:paraId="05989C6E" w14:textId="37759264" w:rsidR="00D02DAC" w:rsidRPr="00FE1B97" w:rsidRDefault="00D02DAC" w:rsidP="00BA154F">
      <w:pPr>
        <w:pStyle w:val="ListParagraph"/>
        <w:ind w:left="0"/>
        <w:jc w:val="both"/>
        <w:rPr>
          <w:bCs/>
          <w:sz w:val="22"/>
          <w:szCs w:val="22"/>
          <w:lang w:val="fr-FR"/>
        </w:rPr>
      </w:pPr>
    </w:p>
    <w:p w14:paraId="4AB5E7B9" w14:textId="24BF4929" w:rsidR="00D02DAC" w:rsidRPr="00FE1B97" w:rsidRDefault="003E6AAC" w:rsidP="00BA154F">
      <w:pPr>
        <w:jc w:val="both"/>
        <w:rPr>
          <w:szCs w:val="22"/>
          <w:lang w:val="fr-FR"/>
        </w:rPr>
      </w:pPr>
      <w:r>
        <w:rPr>
          <w:bCs/>
          <w:szCs w:val="22"/>
          <w:lang w:val="fr-FR"/>
        </w:rPr>
        <w:t>179</w:t>
      </w:r>
      <w:r w:rsidR="00D02DAC" w:rsidRPr="00FE1B97">
        <w:rPr>
          <w:bCs/>
          <w:szCs w:val="22"/>
          <w:lang w:val="fr-FR"/>
        </w:rPr>
        <w:t>. Les nouveaux éléments résultant de l’atelier pré-MOP incluaient une révision substantielle</w:t>
      </w:r>
      <w:r w:rsidR="00D02DAC" w:rsidRPr="00FE1B97">
        <w:rPr>
          <w:szCs w:val="22"/>
          <w:lang w:val="fr-FR"/>
        </w:rPr>
        <w:t xml:space="preserve"> des actions « d’utilisation durable »,</w:t>
      </w:r>
      <w:r w:rsidR="00D02DAC" w:rsidRPr="00FE1B97">
        <w:rPr>
          <w:bCs/>
          <w:szCs w:val="22"/>
          <w:lang w:val="fr-FR"/>
        </w:rPr>
        <w:t xml:space="preserve"> une plus grande mise en valeur des moyens de subsistances et du tourisme, un classement révisé des priorités, une identification plus claire des partenaires et un budget accru.</w:t>
      </w:r>
    </w:p>
    <w:p w14:paraId="3F879426" w14:textId="77777777" w:rsidR="00D02DAC" w:rsidRPr="00FE1B97" w:rsidRDefault="00D02DAC" w:rsidP="00BA154F">
      <w:pPr>
        <w:pStyle w:val="ListParagraph"/>
        <w:ind w:left="0"/>
        <w:jc w:val="both"/>
        <w:rPr>
          <w:bCs/>
          <w:sz w:val="22"/>
          <w:szCs w:val="22"/>
          <w:lang w:val="fr-FR"/>
        </w:rPr>
      </w:pPr>
    </w:p>
    <w:p w14:paraId="4F4B5DE1" w14:textId="3756AA20" w:rsidR="00D02DAC" w:rsidRPr="00FE1B97" w:rsidRDefault="003E6AAC" w:rsidP="00BA154F">
      <w:pPr>
        <w:jc w:val="both"/>
        <w:outlineLvl w:val="0"/>
        <w:rPr>
          <w:lang w:val="fr-FR"/>
        </w:rPr>
      </w:pPr>
      <w:r>
        <w:rPr>
          <w:lang w:val="fr-FR"/>
        </w:rPr>
        <w:t>180</w:t>
      </w:r>
      <w:r w:rsidR="00D02DAC" w:rsidRPr="00FE1B97">
        <w:rPr>
          <w:lang w:val="fr-FR"/>
        </w:rPr>
        <w:t xml:space="preserve">. Le </w:t>
      </w:r>
      <w:r w:rsidR="00D02DAC" w:rsidRPr="00FE1B97">
        <w:rPr>
          <w:b/>
          <w:lang w:val="fr-FR"/>
        </w:rPr>
        <w:t>Président</w:t>
      </w:r>
      <w:r w:rsidR="00D02DAC" w:rsidRPr="00FE1B97">
        <w:rPr>
          <w:lang w:val="fr-FR"/>
        </w:rPr>
        <w:t xml:space="preserve"> a invité à faire des commentaires.</w:t>
      </w:r>
    </w:p>
    <w:p w14:paraId="195D660B" w14:textId="77777777" w:rsidR="00D02DAC" w:rsidRPr="00FE1B97" w:rsidRDefault="00D02DAC" w:rsidP="00BA154F">
      <w:pPr>
        <w:jc w:val="both"/>
        <w:rPr>
          <w:lang w:val="fr-FR"/>
        </w:rPr>
      </w:pPr>
    </w:p>
    <w:p w14:paraId="2F207DA7" w14:textId="211D0D70" w:rsidR="00D02DAC" w:rsidRPr="00FE1B97" w:rsidRDefault="003E6AAC" w:rsidP="00BA154F">
      <w:pPr>
        <w:jc w:val="both"/>
        <w:rPr>
          <w:szCs w:val="22"/>
          <w:lang w:val="fr-FR"/>
        </w:rPr>
      </w:pPr>
      <w:r>
        <w:rPr>
          <w:lang w:val="fr-FR"/>
        </w:rPr>
        <w:t>181</w:t>
      </w:r>
      <w:r w:rsidR="00D02DAC" w:rsidRPr="00FE1B97">
        <w:rPr>
          <w:lang w:val="fr-FR"/>
        </w:rPr>
        <w:t xml:space="preserve">. Le </w:t>
      </w:r>
      <w:r w:rsidR="00D02DAC" w:rsidRPr="00FE1B97">
        <w:rPr>
          <w:b/>
          <w:lang w:val="fr-FR"/>
        </w:rPr>
        <w:t>Danemark, parlant au nom de l’U</w:t>
      </w:r>
      <w:r w:rsidR="009E122A">
        <w:rPr>
          <w:b/>
          <w:lang w:val="fr-FR"/>
        </w:rPr>
        <w:t>nion européenne</w:t>
      </w:r>
      <w:r w:rsidR="00D02DAC" w:rsidRPr="00FE1B97">
        <w:rPr>
          <w:b/>
          <w:lang w:val="fr-FR"/>
        </w:rPr>
        <w:t xml:space="preserve"> et de ses États membres</w:t>
      </w:r>
      <w:r w:rsidR="00D02DAC" w:rsidRPr="00FE1B97">
        <w:rPr>
          <w:lang w:val="fr-FR"/>
        </w:rPr>
        <w:t>, a fait remarquer que l’U</w:t>
      </w:r>
      <w:r w:rsidR="001449CD">
        <w:rPr>
          <w:lang w:val="fr-FR"/>
        </w:rPr>
        <w:t>nion européenne</w:t>
      </w:r>
      <w:r w:rsidR="00D02DAC" w:rsidRPr="00FE1B97">
        <w:rPr>
          <w:lang w:val="fr-FR"/>
        </w:rPr>
        <w:t xml:space="preserve"> et ses États membres</w:t>
      </w:r>
      <w:r w:rsidR="00D02DAC" w:rsidRPr="00FE1B97">
        <w:rPr>
          <w:szCs w:val="22"/>
          <w:lang w:val="fr-FR"/>
        </w:rPr>
        <w:t xml:space="preserve"> avaient soigneusement examiné l’avant-projet d</w:t>
      </w:r>
      <w:r w:rsidR="001449CD">
        <w:rPr>
          <w:szCs w:val="22"/>
          <w:lang w:val="fr-FR"/>
        </w:rPr>
        <w:t xml:space="preserve">u </w:t>
      </w:r>
      <w:proofErr w:type="spellStart"/>
      <w:r w:rsidR="001449CD">
        <w:rPr>
          <w:szCs w:val="22"/>
          <w:lang w:val="fr-FR"/>
        </w:rPr>
        <w:t>PdAA</w:t>
      </w:r>
      <w:proofErr w:type="spellEnd"/>
      <w:r w:rsidR="00D02DAC" w:rsidRPr="00FE1B97">
        <w:rPr>
          <w:szCs w:val="22"/>
          <w:lang w:val="fr-FR"/>
        </w:rPr>
        <w:t>, révisé par l’atelier pré-MOP, et a réitéré son entier soutien à l’IA. L’U</w:t>
      </w:r>
      <w:r w:rsidR="001449CD">
        <w:rPr>
          <w:szCs w:val="22"/>
          <w:lang w:val="fr-FR"/>
        </w:rPr>
        <w:t>nion européenne</w:t>
      </w:r>
      <w:r w:rsidR="00D02DAC" w:rsidRPr="00FE1B97">
        <w:rPr>
          <w:szCs w:val="22"/>
          <w:lang w:val="fr-FR"/>
        </w:rPr>
        <w:t xml:space="preserve"> a considéré que la mise en œ</w:t>
      </w:r>
      <w:r w:rsidR="001449CD">
        <w:rPr>
          <w:szCs w:val="22"/>
          <w:lang w:val="fr-FR"/>
        </w:rPr>
        <w:t xml:space="preserve">uvre efficace et concrète du </w:t>
      </w:r>
      <w:proofErr w:type="spellStart"/>
      <w:r w:rsidR="001449CD">
        <w:rPr>
          <w:szCs w:val="22"/>
          <w:lang w:val="fr-FR"/>
        </w:rPr>
        <w:t>PdAA</w:t>
      </w:r>
      <w:proofErr w:type="spellEnd"/>
      <w:r w:rsidR="00D02DAC" w:rsidRPr="00FE1B97">
        <w:rPr>
          <w:szCs w:val="22"/>
          <w:lang w:val="fr-FR"/>
        </w:rPr>
        <w:t xml:space="preserve"> était une priorité absolue pour le développement futur de l’AEWA. L’U</w:t>
      </w:r>
      <w:r w:rsidR="001449CD">
        <w:rPr>
          <w:szCs w:val="22"/>
          <w:lang w:val="fr-FR"/>
        </w:rPr>
        <w:t>nion européenne</w:t>
      </w:r>
      <w:r w:rsidR="00D02DAC" w:rsidRPr="00FE1B97">
        <w:rPr>
          <w:szCs w:val="22"/>
          <w:lang w:val="fr-FR"/>
        </w:rPr>
        <w:t xml:space="preserve"> et ses États membres souhaitaient féliciter les Parties contractantes africaines pour leur engagement et leurs contributions positives à la finalisation d’un impressionnant </w:t>
      </w:r>
      <w:proofErr w:type="spellStart"/>
      <w:r w:rsidR="00D02DAC" w:rsidRPr="00FE1B97">
        <w:rPr>
          <w:szCs w:val="22"/>
          <w:lang w:val="fr-FR"/>
        </w:rPr>
        <w:t>PdA</w:t>
      </w:r>
      <w:r w:rsidR="001449CD">
        <w:rPr>
          <w:szCs w:val="22"/>
          <w:lang w:val="fr-FR"/>
        </w:rPr>
        <w:t>A</w:t>
      </w:r>
      <w:proofErr w:type="spellEnd"/>
      <w:r w:rsidR="00D02DAC" w:rsidRPr="00FE1B97">
        <w:rPr>
          <w:szCs w:val="22"/>
          <w:lang w:val="fr-FR"/>
        </w:rPr>
        <w:t xml:space="preserve"> et ont également apprécié le rôle joué par le Secrétariat et son consultant. Les efforts constructifs fournis pendant l’atelier pré-MOP ont donné naissance à une version révisée qui reflète mieux les besoins et les défis ressortant de la conservation et de la gestion durables des oiseaux d’eau migrateurs en Afrique.</w:t>
      </w:r>
    </w:p>
    <w:p w14:paraId="0C81385A" w14:textId="77777777" w:rsidR="00D02DAC" w:rsidRPr="00FE1B97" w:rsidRDefault="00D02DAC" w:rsidP="00BA154F">
      <w:pPr>
        <w:jc w:val="both"/>
        <w:rPr>
          <w:szCs w:val="22"/>
          <w:lang w:val="fr-FR"/>
        </w:rPr>
      </w:pPr>
    </w:p>
    <w:p w14:paraId="545B8F83" w14:textId="3E0B3F10" w:rsidR="00D02DAC" w:rsidRPr="00FE1B97" w:rsidRDefault="003E6AAC" w:rsidP="00BA154F">
      <w:pPr>
        <w:jc w:val="both"/>
        <w:rPr>
          <w:szCs w:val="22"/>
          <w:lang w:val="fr-FR"/>
        </w:rPr>
      </w:pPr>
      <w:r>
        <w:rPr>
          <w:szCs w:val="22"/>
          <w:lang w:val="fr-FR"/>
        </w:rPr>
        <w:t>182</w:t>
      </w:r>
      <w:r w:rsidR="00D02DAC" w:rsidRPr="00FE1B97">
        <w:rPr>
          <w:szCs w:val="22"/>
          <w:lang w:val="fr-FR"/>
        </w:rPr>
        <w:t>. L’U</w:t>
      </w:r>
      <w:r w:rsidR="001449CD">
        <w:rPr>
          <w:szCs w:val="22"/>
          <w:lang w:val="fr-FR"/>
        </w:rPr>
        <w:t>nion européenne</w:t>
      </w:r>
      <w:r w:rsidR="00D02DAC" w:rsidRPr="00FE1B97">
        <w:rPr>
          <w:szCs w:val="22"/>
          <w:lang w:val="fr-FR"/>
        </w:rPr>
        <w:t xml:space="preserve"> et ses États membres ont soutenu les amendements faits aux tableaux contenus au paragraphe 6 du </w:t>
      </w:r>
      <w:proofErr w:type="spellStart"/>
      <w:r w:rsidR="00D02DAC" w:rsidRPr="00FE1B97">
        <w:rPr>
          <w:szCs w:val="22"/>
          <w:lang w:val="fr-FR"/>
        </w:rPr>
        <w:t>PdA</w:t>
      </w:r>
      <w:r w:rsidR="001449CD">
        <w:rPr>
          <w:szCs w:val="22"/>
          <w:lang w:val="fr-FR"/>
        </w:rPr>
        <w:t>A</w:t>
      </w:r>
      <w:proofErr w:type="spellEnd"/>
      <w:r w:rsidR="00D02DAC" w:rsidRPr="00FE1B97">
        <w:rPr>
          <w:szCs w:val="22"/>
          <w:lang w:val="fr-FR"/>
        </w:rPr>
        <w:t xml:space="preserve"> « </w:t>
      </w:r>
      <w:r w:rsidR="00D02DAC" w:rsidRPr="001449CD">
        <w:rPr>
          <w:i/>
          <w:szCs w:val="22"/>
          <w:lang w:val="fr-FR"/>
        </w:rPr>
        <w:t>Activités et résultats prévus pour parvenir à un meilleur état de conservation des oiseaux d’eau migrateurs en Afrique</w:t>
      </w:r>
      <w:r w:rsidR="00D02DAC" w:rsidRPr="00FE1B97">
        <w:rPr>
          <w:szCs w:val="22"/>
          <w:lang w:val="fr-FR"/>
        </w:rPr>
        <w:t> », mais avaient quelques doutes quant à savoir si le paragraphe 5 « </w:t>
      </w:r>
      <w:r w:rsidR="00D02DAC" w:rsidRPr="001449CD">
        <w:rPr>
          <w:i/>
          <w:szCs w:val="22"/>
          <w:lang w:val="fr-FR"/>
        </w:rPr>
        <w:t>Mise en œuvre du Plan d’action pour l’Afrique</w:t>
      </w:r>
      <w:r w:rsidR="00D02DAC" w:rsidRPr="00FE1B97">
        <w:rPr>
          <w:szCs w:val="22"/>
          <w:lang w:val="fr-FR"/>
        </w:rPr>
        <w:t xml:space="preserve"> » reflétait en fait correctement la décision de l’atelier pré-MOP telle que présentée oralement à la Présidence de l’UE par le Président de cet atelier. Selon ce dernier, l’atelier pré-MOP a conclu que son option favorite pour la mise en œuvre et la coordination du </w:t>
      </w:r>
      <w:proofErr w:type="spellStart"/>
      <w:r w:rsidR="00D02DAC" w:rsidRPr="00FE1B97">
        <w:rPr>
          <w:szCs w:val="22"/>
          <w:lang w:val="fr-FR"/>
        </w:rPr>
        <w:t>PdA</w:t>
      </w:r>
      <w:r w:rsidR="00EF0883">
        <w:rPr>
          <w:szCs w:val="22"/>
          <w:lang w:val="fr-FR"/>
        </w:rPr>
        <w:t>A</w:t>
      </w:r>
      <w:proofErr w:type="spellEnd"/>
      <w:r w:rsidR="00D02DAC" w:rsidRPr="00FE1B97">
        <w:rPr>
          <w:szCs w:val="22"/>
          <w:lang w:val="fr-FR"/>
        </w:rPr>
        <w:t xml:space="preserve"> était une coordination basée dans chacune des sous-régions d’Afrique, avec le soutien d’une coordination à Bonn. Cette décision des Parties d’Afrique semble ne pas être reflétée dans la dernière version préparée par le Secrétariat.</w:t>
      </w:r>
    </w:p>
    <w:p w14:paraId="579D84FB" w14:textId="77777777" w:rsidR="00D02DAC" w:rsidRPr="00FE1B97" w:rsidRDefault="00D02DAC" w:rsidP="00BA154F">
      <w:pPr>
        <w:jc w:val="both"/>
        <w:rPr>
          <w:szCs w:val="22"/>
          <w:lang w:val="fr-FR"/>
        </w:rPr>
      </w:pPr>
    </w:p>
    <w:p w14:paraId="51037CB4" w14:textId="1917BE07" w:rsidR="00D02DAC" w:rsidRPr="00FE1B97" w:rsidRDefault="003E6AAC" w:rsidP="00BA154F">
      <w:pPr>
        <w:jc w:val="both"/>
        <w:rPr>
          <w:szCs w:val="22"/>
          <w:lang w:val="fr-FR"/>
        </w:rPr>
      </w:pPr>
      <w:r>
        <w:rPr>
          <w:szCs w:val="22"/>
          <w:lang w:val="fr-FR"/>
        </w:rPr>
        <w:t>183</w:t>
      </w:r>
      <w:r w:rsidR="00D02DAC" w:rsidRPr="00FE1B97">
        <w:rPr>
          <w:szCs w:val="22"/>
          <w:lang w:val="fr-FR"/>
        </w:rPr>
        <w:t>. Suite à un débat interne et à des consultations sur cette question entre l’U</w:t>
      </w:r>
      <w:r w:rsidR="00EF0883">
        <w:rPr>
          <w:szCs w:val="22"/>
          <w:lang w:val="fr-FR"/>
        </w:rPr>
        <w:t>nion européenne</w:t>
      </w:r>
      <w:r w:rsidR="00D02DAC" w:rsidRPr="00FE1B97">
        <w:rPr>
          <w:szCs w:val="22"/>
          <w:lang w:val="fr-FR"/>
        </w:rPr>
        <w:t xml:space="preserve"> et ses États membres, la Présidence de l’U</w:t>
      </w:r>
      <w:r w:rsidR="00EF0883">
        <w:rPr>
          <w:szCs w:val="22"/>
          <w:lang w:val="fr-FR"/>
        </w:rPr>
        <w:t>nion européenne</w:t>
      </w:r>
      <w:r w:rsidR="00D02DAC" w:rsidRPr="00FE1B97">
        <w:rPr>
          <w:szCs w:val="22"/>
          <w:lang w:val="fr-FR"/>
        </w:rPr>
        <w:t xml:space="preserve"> a été heureuse d’annoncer que le gouvernement de la France avait décidé de renouveler son soutien à la mise en œuvre de l’IA. Le soutien financier offert par la France servirait à établir un nouveau poste basé à la Station biologique de la Tour du </w:t>
      </w:r>
      <w:proofErr w:type="spellStart"/>
      <w:r w:rsidR="00D02DAC" w:rsidRPr="00FE1B97">
        <w:rPr>
          <w:szCs w:val="22"/>
          <w:lang w:val="fr-FR"/>
        </w:rPr>
        <w:t>Valat</w:t>
      </w:r>
      <w:proofErr w:type="spellEnd"/>
      <w:r w:rsidR="00D02DAC" w:rsidRPr="00FE1B97">
        <w:rPr>
          <w:szCs w:val="22"/>
          <w:lang w:val="fr-FR"/>
        </w:rPr>
        <w:t xml:space="preserve">, par le biais de laquelle un réseau d’experts serait en mesure de fournir un soutien technique internationalement reconnu pour la conservation et la gestion des zones humides et des oiseaux d’eau en Afrique, y compris une assistance technique aux coordinateurs </w:t>
      </w:r>
      <w:proofErr w:type="spellStart"/>
      <w:r w:rsidR="00D02DAC" w:rsidRPr="00FE1B97">
        <w:rPr>
          <w:szCs w:val="22"/>
          <w:lang w:val="fr-FR"/>
        </w:rPr>
        <w:t>sous-régionaux</w:t>
      </w:r>
      <w:proofErr w:type="spellEnd"/>
      <w:r w:rsidR="00D02DAC" w:rsidRPr="00FE1B97">
        <w:rPr>
          <w:szCs w:val="22"/>
          <w:lang w:val="fr-FR"/>
        </w:rPr>
        <w:t xml:space="preserve"> de la mise en œuvre en Afrique. Le nouveau poste permettra par conséquent de réduire la charge de travail incombant au Secrétariat.</w:t>
      </w:r>
    </w:p>
    <w:p w14:paraId="0DD3F856" w14:textId="77777777" w:rsidR="00D02DAC" w:rsidRPr="00FE1B97" w:rsidRDefault="00D02DAC" w:rsidP="00BA154F">
      <w:pPr>
        <w:jc w:val="both"/>
        <w:rPr>
          <w:szCs w:val="22"/>
          <w:lang w:val="fr-FR"/>
        </w:rPr>
      </w:pPr>
    </w:p>
    <w:p w14:paraId="17EAA0C9" w14:textId="602257F0" w:rsidR="00D02DAC" w:rsidRPr="00FE1B97" w:rsidRDefault="003E6AAC" w:rsidP="00BA154F">
      <w:pPr>
        <w:jc w:val="both"/>
        <w:rPr>
          <w:szCs w:val="22"/>
          <w:lang w:val="fr-FR"/>
        </w:rPr>
      </w:pPr>
      <w:r>
        <w:rPr>
          <w:szCs w:val="22"/>
          <w:lang w:val="fr-FR"/>
        </w:rPr>
        <w:t>184</w:t>
      </w:r>
      <w:r w:rsidR="00D02DAC" w:rsidRPr="00FE1B97">
        <w:rPr>
          <w:szCs w:val="22"/>
          <w:lang w:val="fr-FR"/>
        </w:rPr>
        <w:t>. L’UE et ses États membres souhaitaient vivement ce rôle de coordination du Secrétariat à Bonn, y compris l’obligation générale de dédier un temps approprié à la levée de fonds pour l’IA et le développement de cette dernière, à titre de priorité absolue.</w:t>
      </w:r>
    </w:p>
    <w:p w14:paraId="1F26F293" w14:textId="77777777" w:rsidR="00D02DAC" w:rsidRPr="00FE1B97" w:rsidRDefault="00D02DAC" w:rsidP="00BA154F">
      <w:pPr>
        <w:jc w:val="both"/>
        <w:rPr>
          <w:szCs w:val="22"/>
          <w:lang w:val="fr-FR"/>
        </w:rPr>
      </w:pPr>
    </w:p>
    <w:p w14:paraId="3434A3AE" w14:textId="237ED4B8" w:rsidR="00D02DAC" w:rsidRPr="00FE1B97" w:rsidRDefault="003E6AAC" w:rsidP="00BA154F">
      <w:pPr>
        <w:jc w:val="both"/>
        <w:rPr>
          <w:szCs w:val="22"/>
          <w:lang w:val="fr-FR"/>
        </w:rPr>
      </w:pPr>
      <w:r>
        <w:rPr>
          <w:szCs w:val="22"/>
          <w:lang w:val="fr-FR"/>
        </w:rPr>
        <w:t>185</w:t>
      </w:r>
      <w:r w:rsidR="00D02DAC" w:rsidRPr="00FE1B97">
        <w:rPr>
          <w:szCs w:val="22"/>
          <w:lang w:val="fr-FR"/>
        </w:rPr>
        <w:t>. L’UE et ses États membres attendaient également avec intérêt la discussion de l’avant-projet sur l’IA et ont suggéré que tous les autres avant-projets de résolutions relatifs à la mise en œuvre de l’AEWA en Afrique soient amendés de façon à contenir des références à l’IA, le cas échéant.</w:t>
      </w:r>
    </w:p>
    <w:p w14:paraId="62781F7A" w14:textId="77777777" w:rsidR="00D02DAC" w:rsidRPr="00FE1B97" w:rsidRDefault="00D02DAC" w:rsidP="00BA154F">
      <w:pPr>
        <w:jc w:val="both"/>
        <w:rPr>
          <w:lang w:val="fr-FR"/>
        </w:rPr>
      </w:pPr>
    </w:p>
    <w:p w14:paraId="355C8049" w14:textId="0523B3FD" w:rsidR="00D02DAC" w:rsidRPr="00FE1B97" w:rsidRDefault="003E6AAC" w:rsidP="00BA154F">
      <w:pPr>
        <w:jc w:val="both"/>
        <w:rPr>
          <w:lang w:val="fr-FR"/>
        </w:rPr>
      </w:pPr>
      <w:r>
        <w:rPr>
          <w:lang w:val="fr-FR"/>
        </w:rPr>
        <w:t>186</w:t>
      </w:r>
      <w:r w:rsidR="00D02DAC" w:rsidRPr="00FE1B97">
        <w:rPr>
          <w:lang w:val="fr-FR"/>
        </w:rPr>
        <w:t xml:space="preserve">. Le </w:t>
      </w:r>
      <w:r w:rsidR="00D02DAC" w:rsidRPr="00FE1B97">
        <w:rPr>
          <w:b/>
          <w:lang w:val="fr-FR"/>
        </w:rPr>
        <w:t>Président</w:t>
      </w:r>
      <w:r w:rsidR="00D02DAC" w:rsidRPr="00FE1B97">
        <w:rPr>
          <w:lang w:val="fr-FR"/>
        </w:rPr>
        <w:t xml:space="preserve"> a expliqué que l’offre de soutien technique faite par le gouvernement de la France n’avait pas pour but de remplacer ou de supplanter le Secrétariat. Il y aura besoin d’un groupe de travail </w:t>
      </w:r>
      <w:r w:rsidR="00D02DAC" w:rsidRPr="00FE1B97">
        <w:rPr>
          <w:i/>
          <w:lang w:val="fr-FR"/>
        </w:rPr>
        <w:t>ad hoc</w:t>
      </w:r>
      <w:r w:rsidR="00D02DAC" w:rsidRPr="00FE1B97">
        <w:rPr>
          <w:lang w:val="fr-FR"/>
        </w:rPr>
        <w:t xml:space="preserve"> pour finaliser l’avant-projet de Résolution et prendre en compte les commentaires de l’U</w:t>
      </w:r>
      <w:r w:rsidR="00EF0883">
        <w:rPr>
          <w:lang w:val="fr-FR"/>
        </w:rPr>
        <w:t>nion européenne</w:t>
      </w:r>
      <w:r w:rsidR="00D02DAC" w:rsidRPr="00FE1B97">
        <w:rPr>
          <w:lang w:val="fr-FR"/>
        </w:rPr>
        <w:t>.</w:t>
      </w:r>
    </w:p>
    <w:p w14:paraId="38B238C0" w14:textId="77777777" w:rsidR="00D02DAC" w:rsidRPr="00FE1B97" w:rsidRDefault="00D02DAC" w:rsidP="00BA154F">
      <w:pPr>
        <w:jc w:val="both"/>
        <w:rPr>
          <w:lang w:val="fr-FR"/>
        </w:rPr>
      </w:pPr>
    </w:p>
    <w:p w14:paraId="2837FB7D" w14:textId="42367576" w:rsidR="00D02DAC" w:rsidRPr="00FE1B97" w:rsidRDefault="003E6AAC" w:rsidP="00BA154F">
      <w:pPr>
        <w:jc w:val="both"/>
        <w:rPr>
          <w:lang w:val="fr-FR"/>
        </w:rPr>
      </w:pPr>
      <w:r>
        <w:rPr>
          <w:lang w:val="fr-FR"/>
        </w:rPr>
        <w:t>187</w:t>
      </w:r>
      <w:r w:rsidR="00D02DAC" w:rsidRPr="00FE1B97">
        <w:rPr>
          <w:lang w:val="fr-FR"/>
        </w:rPr>
        <w:t xml:space="preserve">. Le </w:t>
      </w:r>
      <w:r w:rsidR="00D02DAC" w:rsidRPr="00FE1B97">
        <w:rPr>
          <w:b/>
          <w:lang w:val="fr-FR"/>
        </w:rPr>
        <w:t>Bénin, parlant au nom du Groupe de l’Afrique</w:t>
      </w:r>
      <w:r w:rsidR="00D02DAC" w:rsidRPr="00FE1B97">
        <w:rPr>
          <w:lang w:val="fr-FR"/>
        </w:rPr>
        <w:t>, a remercié l’U</w:t>
      </w:r>
      <w:r w:rsidR="00EF0883">
        <w:rPr>
          <w:lang w:val="fr-FR"/>
        </w:rPr>
        <w:t>nion européenne</w:t>
      </w:r>
      <w:r w:rsidR="00D02DAC" w:rsidRPr="00FE1B97">
        <w:rPr>
          <w:lang w:val="fr-FR"/>
        </w:rPr>
        <w:t xml:space="preserve"> pour son engagement fort et clair au </w:t>
      </w:r>
      <w:proofErr w:type="spellStart"/>
      <w:r w:rsidR="00D02DAC" w:rsidRPr="00FE1B97">
        <w:rPr>
          <w:lang w:val="fr-FR"/>
        </w:rPr>
        <w:t>PdA</w:t>
      </w:r>
      <w:r w:rsidR="00EF0883">
        <w:rPr>
          <w:lang w:val="fr-FR"/>
        </w:rPr>
        <w:t>A</w:t>
      </w:r>
      <w:proofErr w:type="spellEnd"/>
      <w:r w:rsidR="00D02DAC" w:rsidRPr="00FE1B97">
        <w:rPr>
          <w:lang w:val="fr-FR"/>
        </w:rPr>
        <w:t>. Il a espéré que les autres Parties soutiendront également sa mise en œuvre.</w:t>
      </w:r>
    </w:p>
    <w:p w14:paraId="06B7A6CE" w14:textId="77777777" w:rsidR="00D02DAC" w:rsidRPr="00FE1B97" w:rsidRDefault="00D02DAC" w:rsidP="00BA154F">
      <w:pPr>
        <w:jc w:val="both"/>
        <w:rPr>
          <w:lang w:val="fr-FR"/>
        </w:rPr>
      </w:pPr>
    </w:p>
    <w:p w14:paraId="4E86EFBF" w14:textId="3B15DF9A" w:rsidR="00D02DAC" w:rsidRPr="00FE1B97" w:rsidRDefault="003E6AAC" w:rsidP="00BA154F">
      <w:pPr>
        <w:jc w:val="both"/>
        <w:rPr>
          <w:lang w:val="fr-FR"/>
        </w:rPr>
      </w:pPr>
      <w:r>
        <w:rPr>
          <w:lang w:val="fr-FR"/>
        </w:rPr>
        <w:t>188</w:t>
      </w:r>
      <w:r w:rsidR="00D02DAC" w:rsidRPr="00FE1B97">
        <w:rPr>
          <w:lang w:val="fr-FR"/>
        </w:rPr>
        <w:t xml:space="preserve">. Le </w:t>
      </w:r>
      <w:r w:rsidR="00D02DAC" w:rsidRPr="00FE1B97">
        <w:rPr>
          <w:b/>
          <w:lang w:val="fr-FR"/>
        </w:rPr>
        <w:t>Sénégal</w:t>
      </w:r>
      <w:r w:rsidR="00D02DAC" w:rsidRPr="00FE1B97">
        <w:rPr>
          <w:lang w:val="fr-FR"/>
        </w:rPr>
        <w:t xml:space="preserve"> a remercié l’U</w:t>
      </w:r>
      <w:r w:rsidR="00EF0883">
        <w:rPr>
          <w:lang w:val="fr-FR"/>
        </w:rPr>
        <w:t>nion européenne</w:t>
      </w:r>
      <w:r w:rsidR="00D02DAC" w:rsidRPr="00FE1B97">
        <w:rPr>
          <w:lang w:val="fr-FR"/>
        </w:rPr>
        <w:t xml:space="preserve"> et la France, et a espéré que l’Allemagne et la Suisse continueraient également à soutenir activement l’IA.</w:t>
      </w:r>
    </w:p>
    <w:p w14:paraId="29A85418" w14:textId="77777777" w:rsidR="00D02DAC" w:rsidRPr="00FE1B97" w:rsidRDefault="00D02DAC" w:rsidP="00BA154F">
      <w:pPr>
        <w:jc w:val="both"/>
        <w:rPr>
          <w:lang w:val="fr-FR"/>
        </w:rPr>
      </w:pPr>
    </w:p>
    <w:p w14:paraId="39AEF12A" w14:textId="0621FC2F" w:rsidR="00D02DAC" w:rsidRPr="00FE1B97" w:rsidRDefault="003E6AAC" w:rsidP="00BA154F">
      <w:pPr>
        <w:pStyle w:val="ListParagraph"/>
        <w:ind w:left="0"/>
        <w:jc w:val="both"/>
        <w:rPr>
          <w:sz w:val="22"/>
          <w:lang w:val="fr-FR"/>
        </w:rPr>
      </w:pPr>
      <w:r>
        <w:rPr>
          <w:bCs/>
          <w:sz w:val="22"/>
          <w:szCs w:val="22"/>
          <w:lang w:val="fr-FR"/>
        </w:rPr>
        <w:t>189</w:t>
      </w:r>
      <w:r w:rsidR="00D02DAC" w:rsidRPr="00FE1B97">
        <w:rPr>
          <w:bCs/>
          <w:sz w:val="22"/>
          <w:szCs w:val="22"/>
          <w:lang w:val="fr-FR"/>
        </w:rPr>
        <w:t xml:space="preserve">. Sur la demande du </w:t>
      </w:r>
      <w:r w:rsidR="00D02DAC" w:rsidRPr="00FE1B97">
        <w:rPr>
          <w:b/>
          <w:bCs/>
          <w:sz w:val="22"/>
          <w:szCs w:val="22"/>
          <w:lang w:val="fr-FR"/>
        </w:rPr>
        <w:t>Président</w:t>
      </w:r>
      <w:r w:rsidR="00D02DAC" w:rsidRPr="00FE1B97">
        <w:rPr>
          <w:bCs/>
          <w:sz w:val="22"/>
          <w:szCs w:val="22"/>
          <w:lang w:val="fr-FR"/>
        </w:rPr>
        <w:t>, le</w:t>
      </w:r>
      <w:r w:rsidR="00D02DAC" w:rsidRPr="00FE1B97">
        <w:rPr>
          <w:b/>
          <w:bCs/>
          <w:sz w:val="22"/>
          <w:szCs w:val="22"/>
          <w:lang w:val="fr-FR"/>
        </w:rPr>
        <w:t xml:space="preserve"> Coordinateur de l’Initiative africaine </w:t>
      </w:r>
      <w:r w:rsidR="00D02DAC" w:rsidRPr="00FE1B97">
        <w:rPr>
          <w:sz w:val="22"/>
          <w:lang w:val="fr-FR"/>
        </w:rPr>
        <w:t>a introduit l’avant-proj</w:t>
      </w:r>
      <w:r w:rsidR="00EF0883">
        <w:rPr>
          <w:sz w:val="22"/>
          <w:lang w:val="fr-FR"/>
        </w:rPr>
        <w:t xml:space="preserve">et de Résolution AEWA/MOP DR9 </w:t>
      </w:r>
      <w:proofErr w:type="spellStart"/>
      <w:r w:rsidR="00EF0883">
        <w:rPr>
          <w:sz w:val="22"/>
          <w:lang w:val="fr-FR"/>
        </w:rPr>
        <w:t>Ré</w:t>
      </w:r>
      <w:r w:rsidR="00D02DAC" w:rsidRPr="00FE1B97">
        <w:rPr>
          <w:sz w:val="22"/>
          <w:lang w:val="fr-FR"/>
        </w:rPr>
        <w:t>v</w:t>
      </w:r>
      <w:proofErr w:type="spellEnd"/>
      <w:r w:rsidR="00D02DAC" w:rsidRPr="00FE1B97">
        <w:rPr>
          <w:sz w:val="22"/>
          <w:lang w:val="fr-FR"/>
        </w:rPr>
        <w:t xml:space="preserve">. 1 </w:t>
      </w:r>
      <w:r w:rsidR="00D02DAC" w:rsidRPr="00FE1B97">
        <w:rPr>
          <w:i/>
          <w:sz w:val="22"/>
          <w:lang w:val="fr-FR"/>
        </w:rPr>
        <w:t>Mise en œuvre de l’initiative africaine pour la conservation des oiseaux d'eau migrateurs et de leurs habitats en Afrique.</w:t>
      </w:r>
    </w:p>
    <w:p w14:paraId="0766A6F0" w14:textId="77777777" w:rsidR="00D02DAC" w:rsidRPr="00FE1B97" w:rsidRDefault="00D02DAC" w:rsidP="00BA154F">
      <w:pPr>
        <w:jc w:val="both"/>
        <w:rPr>
          <w:lang w:val="fr-FR"/>
        </w:rPr>
      </w:pPr>
    </w:p>
    <w:p w14:paraId="081EEE07" w14:textId="60D4392A" w:rsidR="00D02DAC" w:rsidRPr="00FE1B97" w:rsidRDefault="003E6AAC" w:rsidP="00BA154F">
      <w:pPr>
        <w:jc w:val="both"/>
        <w:rPr>
          <w:lang w:val="fr-FR"/>
        </w:rPr>
      </w:pPr>
      <w:r>
        <w:rPr>
          <w:lang w:val="fr-FR"/>
        </w:rPr>
        <w:t>190</w:t>
      </w:r>
      <w:r w:rsidR="00D02DAC" w:rsidRPr="00FE1B97">
        <w:rPr>
          <w:lang w:val="fr-FR"/>
        </w:rPr>
        <w:t xml:space="preserve">. La </w:t>
      </w:r>
      <w:r w:rsidR="00D02DAC" w:rsidRPr="00FE1B97">
        <w:rPr>
          <w:b/>
          <w:lang w:val="fr-FR"/>
        </w:rPr>
        <w:t xml:space="preserve">Suisse </w:t>
      </w:r>
      <w:r w:rsidR="00D02DAC" w:rsidRPr="00FE1B97">
        <w:rPr>
          <w:lang w:val="fr-FR"/>
        </w:rPr>
        <w:t xml:space="preserve">a considéré que l’IA méritait la plus vive attention et le plus grand soutien, et a recommandé l’adoption de l'avant-projet de Résolution et du </w:t>
      </w:r>
      <w:proofErr w:type="spellStart"/>
      <w:r w:rsidR="00D02DAC" w:rsidRPr="00FE1B97">
        <w:rPr>
          <w:lang w:val="fr-FR"/>
        </w:rPr>
        <w:t>PdA</w:t>
      </w:r>
      <w:r w:rsidR="00EF0883">
        <w:rPr>
          <w:lang w:val="fr-FR"/>
        </w:rPr>
        <w:t>A</w:t>
      </w:r>
      <w:proofErr w:type="spellEnd"/>
      <w:r w:rsidR="00D02DAC" w:rsidRPr="00FE1B97">
        <w:rPr>
          <w:lang w:val="fr-FR"/>
        </w:rPr>
        <w:t>. Il s’agit d’une excellente initiative pour faire participer tous les pays de la région d’Afrique. La Suisse a également présenté un amendement au paragraphe 5 de l’avant-projet de Résolution.</w:t>
      </w:r>
    </w:p>
    <w:p w14:paraId="259E35CC" w14:textId="77777777" w:rsidR="00D02DAC" w:rsidRPr="00FE1B97" w:rsidRDefault="00D02DAC" w:rsidP="00BA154F">
      <w:pPr>
        <w:jc w:val="both"/>
        <w:rPr>
          <w:lang w:val="fr-FR"/>
        </w:rPr>
      </w:pPr>
    </w:p>
    <w:p w14:paraId="41828FE0" w14:textId="2DF8F775" w:rsidR="00D02DAC" w:rsidRPr="00FE1B97" w:rsidRDefault="003E6AAC" w:rsidP="00BA154F">
      <w:pPr>
        <w:jc w:val="both"/>
        <w:rPr>
          <w:lang w:val="fr-FR"/>
        </w:rPr>
      </w:pPr>
      <w:r>
        <w:rPr>
          <w:lang w:val="fr-FR"/>
        </w:rPr>
        <w:t>191</w:t>
      </w:r>
      <w:r w:rsidR="00D02DAC" w:rsidRPr="00FE1B97">
        <w:rPr>
          <w:lang w:val="fr-FR"/>
        </w:rPr>
        <w:t>. Suite à une requête du</w:t>
      </w:r>
      <w:r w:rsidR="00D02DAC" w:rsidRPr="00FE1B97">
        <w:rPr>
          <w:b/>
          <w:lang w:val="fr-FR"/>
        </w:rPr>
        <w:t xml:space="preserve"> Président</w:t>
      </w:r>
      <w:r w:rsidR="00D02DAC" w:rsidRPr="00FE1B97">
        <w:rPr>
          <w:lang w:val="fr-FR"/>
        </w:rPr>
        <w:t>,</w:t>
      </w:r>
      <w:r w:rsidR="00D02DAC" w:rsidRPr="00FE1B97">
        <w:rPr>
          <w:b/>
          <w:lang w:val="fr-FR"/>
        </w:rPr>
        <w:t xml:space="preserve"> </w:t>
      </w:r>
      <w:r w:rsidR="00D02DAC" w:rsidRPr="00FE1B97">
        <w:rPr>
          <w:lang w:val="fr-FR"/>
        </w:rPr>
        <w:t>la</w:t>
      </w:r>
      <w:r w:rsidR="00D02DAC" w:rsidRPr="00FE1B97">
        <w:rPr>
          <w:b/>
          <w:lang w:val="fr-FR"/>
        </w:rPr>
        <w:t xml:space="preserve"> Présidence de l’UE</w:t>
      </w:r>
      <w:r w:rsidR="00D02DAC" w:rsidRPr="00FE1B97">
        <w:rPr>
          <w:lang w:val="fr-FR"/>
        </w:rPr>
        <w:t xml:space="preserve">, la </w:t>
      </w:r>
      <w:r w:rsidR="00D02DAC" w:rsidRPr="00FE1B97">
        <w:rPr>
          <w:b/>
          <w:lang w:val="fr-FR"/>
        </w:rPr>
        <w:t>France</w:t>
      </w:r>
      <w:r w:rsidR="00D02DAC" w:rsidRPr="00FE1B97">
        <w:rPr>
          <w:lang w:val="fr-FR"/>
        </w:rPr>
        <w:t xml:space="preserve">, le </w:t>
      </w:r>
      <w:r w:rsidR="00D02DAC" w:rsidRPr="00FE1B97">
        <w:rPr>
          <w:b/>
          <w:lang w:val="fr-FR"/>
        </w:rPr>
        <w:t>Kenya</w:t>
      </w:r>
      <w:r w:rsidR="00D02DAC" w:rsidRPr="00FE1B97">
        <w:rPr>
          <w:lang w:val="fr-FR"/>
        </w:rPr>
        <w:t xml:space="preserve">, la </w:t>
      </w:r>
      <w:r w:rsidR="00D02DAC" w:rsidRPr="00FE1B97">
        <w:rPr>
          <w:b/>
          <w:lang w:val="fr-FR"/>
        </w:rPr>
        <w:t>Mauritanie</w:t>
      </w:r>
      <w:r w:rsidR="00D02DAC" w:rsidRPr="00FE1B97">
        <w:rPr>
          <w:lang w:val="fr-FR"/>
        </w:rPr>
        <w:t xml:space="preserve">, le </w:t>
      </w:r>
      <w:r w:rsidR="00D02DAC" w:rsidRPr="00FE1B97">
        <w:rPr>
          <w:b/>
          <w:lang w:val="fr-FR"/>
        </w:rPr>
        <w:t>Sénégal</w:t>
      </w:r>
      <w:r w:rsidR="00D02DAC" w:rsidRPr="00FE1B97">
        <w:rPr>
          <w:lang w:val="fr-FR"/>
        </w:rPr>
        <w:t xml:space="preserve"> et </w:t>
      </w:r>
      <w:r w:rsidR="00D02DAC" w:rsidRPr="00FE1B97">
        <w:rPr>
          <w:b/>
          <w:lang w:val="fr-FR"/>
        </w:rPr>
        <w:t>l’Afrique du Sud</w:t>
      </w:r>
      <w:r w:rsidR="00D02DAC" w:rsidRPr="00FE1B97">
        <w:rPr>
          <w:lang w:val="fr-FR"/>
        </w:rPr>
        <w:t xml:space="preserve"> ont constitué un groupe </w:t>
      </w:r>
      <w:r w:rsidR="00D02DAC" w:rsidRPr="00FE1B97">
        <w:rPr>
          <w:i/>
          <w:lang w:val="fr-FR"/>
        </w:rPr>
        <w:t>ad hoc</w:t>
      </w:r>
      <w:r w:rsidR="00D02DAC" w:rsidRPr="00FE1B97">
        <w:rPr>
          <w:lang w:val="fr-FR"/>
        </w:rPr>
        <w:t xml:space="preserve"> pour travailler avec le Secrétariat à la finalisation de l’avant-projet de Résolution pour </w:t>
      </w:r>
      <w:proofErr w:type="spellStart"/>
      <w:r w:rsidR="00D02DAC" w:rsidRPr="00FE1B97">
        <w:rPr>
          <w:lang w:val="fr-FR"/>
        </w:rPr>
        <w:t>re</w:t>
      </w:r>
      <w:proofErr w:type="spellEnd"/>
      <w:r w:rsidR="00D02DAC" w:rsidRPr="00FE1B97">
        <w:rPr>
          <w:lang w:val="fr-FR"/>
        </w:rPr>
        <w:t>-soumission à la session plénière en temps voulu.</w:t>
      </w:r>
    </w:p>
    <w:p w14:paraId="1DA64B79" w14:textId="77777777" w:rsidR="00792FC9" w:rsidRDefault="00792FC9" w:rsidP="00BA154F">
      <w:pPr>
        <w:jc w:val="both"/>
        <w:rPr>
          <w:b/>
          <w:szCs w:val="22"/>
          <w:lang w:val="fr-FR"/>
        </w:rPr>
      </w:pPr>
    </w:p>
    <w:p w14:paraId="0FAA1616" w14:textId="77777777" w:rsidR="00792FC9" w:rsidRPr="0065286D" w:rsidRDefault="00792FC9" w:rsidP="00BA154F">
      <w:pPr>
        <w:jc w:val="both"/>
        <w:rPr>
          <w:b/>
          <w:szCs w:val="22"/>
          <w:lang w:val="fr-FR"/>
        </w:rPr>
      </w:pPr>
    </w:p>
    <w:p w14:paraId="48A1F2E6" w14:textId="56478F1F" w:rsidR="00EF0883" w:rsidRPr="00EF0883" w:rsidRDefault="00EF0883" w:rsidP="00BA154F">
      <w:pPr>
        <w:jc w:val="both"/>
        <w:rPr>
          <w:b/>
          <w:szCs w:val="22"/>
          <w:lang w:val="fr-FR"/>
        </w:rPr>
      </w:pPr>
      <w:r w:rsidRPr="00EF0883">
        <w:rPr>
          <w:b/>
          <w:szCs w:val="22"/>
          <w:lang w:val="fr-FR"/>
        </w:rPr>
        <w:t xml:space="preserve">Point 23 de l’ordre du jour – Lignes directrices de conservation </w:t>
      </w:r>
    </w:p>
    <w:p w14:paraId="124A87FC" w14:textId="77777777" w:rsidR="00EF0883" w:rsidRDefault="00EF0883" w:rsidP="00BA154F">
      <w:pPr>
        <w:jc w:val="both"/>
        <w:rPr>
          <w:b/>
          <w:szCs w:val="22"/>
          <w:lang w:val="fr-FR"/>
        </w:rPr>
      </w:pPr>
    </w:p>
    <w:p w14:paraId="504F7B5A" w14:textId="300C0F3C" w:rsidR="00EF0883" w:rsidRPr="00EF0883" w:rsidRDefault="00007525" w:rsidP="00BA154F">
      <w:pPr>
        <w:jc w:val="both"/>
        <w:rPr>
          <w:szCs w:val="22"/>
          <w:lang w:val="fr-FR"/>
        </w:rPr>
      </w:pPr>
      <w:r>
        <w:rPr>
          <w:szCs w:val="22"/>
          <w:lang w:val="fr-FR"/>
        </w:rPr>
        <w:t xml:space="preserve">192. </w:t>
      </w:r>
      <w:r w:rsidR="00EF0883">
        <w:rPr>
          <w:szCs w:val="22"/>
          <w:lang w:val="fr-FR"/>
        </w:rPr>
        <w:t>Ce point a été couvert par le groupe de travail chargé des questions scientifiques et techniques (voir paragraphes 245 &amp; 246 sous le point 29 de l’</w:t>
      </w:r>
      <w:r>
        <w:rPr>
          <w:szCs w:val="22"/>
          <w:lang w:val="fr-FR"/>
        </w:rPr>
        <w:t>ordre du jour concernant le</w:t>
      </w:r>
      <w:r w:rsidR="00EF0883">
        <w:rPr>
          <w:szCs w:val="22"/>
          <w:lang w:val="fr-FR"/>
        </w:rPr>
        <w:t xml:space="preserve"> rapport de ce groupe de travail).</w:t>
      </w:r>
    </w:p>
    <w:p w14:paraId="07F037F3" w14:textId="77777777" w:rsidR="00EF0883" w:rsidRDefault="00EF0883" w:rsidP="00BA154F">
      <w:pPr>
        <w:jc w:val="both"/>
        <w:rPr>
          <w:b/>
          <w:szCs w:val="22"/>
          <w:lang w:val="fr-FR"/>
        </w:rPr>
      </w:pPr>
    </w:p>
    <w:p w14:paraId="5A941443" w14:textId="77777777" w:rsidR="00007525" w:rsidRDefault="00007525" w:rsidP="00BA154F">
      <w:pPr>
        <w:jc w:val="both"/>
        <w:rPr>
          <w:b/>
          <w:szCs w:val="22"/>
          <w:lang w:val="fr-FR"/>
        </w:rPr>
      </w:pPr>
    </w:p>
    <w:p w14:paraId="08475698" w14:textId="77777777" w:rsidR="006537A2" w:rsidRDefault="006537A2" w:rsidP="00BA154F">
      <w:pPr>
        <w:jc w:val="both"/>
        <w:rPr>
          <w:b/>
          <w:szCs w:val="22"/>
          <w:lang w:val="fr-FR"/>
        </w:rPr>
      </w:pPr>
    </w:p>
    <w:p w14:paraId="33D1C608" w14:textId="77777777" w:rsidR="006537A2" w:rsidRDefault="006537A2" w:rsidP="00BA154F">
      <w:pPr>
        <w:jc w:val="both"/>
        <w:rPr>
          <w:b/>
          <w:szCs w:val="22"/>
          <w:lang w:val="fr-FR"/>
        </w:rPr>
      </w:pPr>
    </w:p>
    <w:p w14:paraId="11A6FF52" w14:textId="77777777" w:rsidR="006537A2" w:rsidRDefault="006537A2" w:rsidP="00BA154F">
      <w:pPr>
        <w:jc w:val="both"/>
        <w:rPr>
          <w:b/>
          <w:szCs w:val="22"/>
          <w:lang w:val="fr-FR"/>
        </w:rPr>
      </w:pPr>
    </w:p>
    <w:p w14:paraId="38497B98" w14:textId="5D310674" w:rsidR="00007525" w:rsidRPr="00007525" w:rsidRDefault="00007525" w:rsidP="00007525">
      <w:pPr>
        <w:autoSpaceDE w:val="0"/>
        <w:autoSpaceDN w:val="0"/>
        <w:adjustRightInd w:val="0"/>
        <w:rPr>
          <w:b/>
          <w:szCs w:val="22"/>
          <w:lang w:val="fr-FR"/>
        </w:rPr>
      </w:pPr>
      <w:r w:rsidRPr="00007525">
        <w:rPr>
          <w:b/>
          <w:szCs w:val="22"/>
          <w:lang w:val="fr-FR"/>
        </w:rPr>
        <w:t>Point 24 de l’ordre du jour - Facteurs ayant un impact sur l’état de conservation des oiseaux d’eau migrateurs dans la zone de l’accord</w:t>
      </w:r>
    </w:p>
    <w:p w14:paraId="761753A7" w14:textId="77777777" w:rsidR="00007525" w:rsidRPr="00007525" w:rsidRDefault="00007525" w:rsidP="00BA154F">
      <w:pPr>
        <w:jc w:val="both"/>
        <w:rPr>
          <w:szCs w:val="22"/>
          <w:lang w:val="fr-FR"/>
        </w:rPr>
      </w:pPr>
    </w:p>
    <w:p w14:paraId="1C69B07B" w14:textId="77777777" w:rsidR="00007525" w:rsidRPr="00EF0883" w:rsidRDefault="00007525" w:rsidP="00007525">
      <w:pPr>
        <w:jc w:val="both"/>
        <w:rPr>
          <w:szCs w:val="22"/>
          <w:lang w:val="fr-FR"/>
        </w:rPr>
      </w:pPr>
      <w:r w:rsidRPr="00007525">
        <w:rPr>
          <w:szCs w:val="22"/>
          <w:lang w:val="fr-FR"/>
        </w:rPr>
        <w:t xml:space="preserve">193. </w:t>
      </w:r>
      <w:r>
        <w:rPr>
          <w:szCs w:val="22"/>
          <w:lang w:val="fr-FR"/>
        </w:rPr>
        <w:t>Ce point de l’ordre du jour a été couvert par le groupe de travail chargé des questions scientifiques et techniques (voir paragraphes 245 &amp; 246 sous le point 29 de l’ordre du jour concernant le rapport de ce groupe de travail).</w:t>
      </w:r>
    </w:p>
    <w:p w14:paraId="7DDA3C55" w14:textId="77777777" w:rsidR="00007525" w:rsidRDefault="00007525" w:rsidP="00BA154F">
      <w:pPr>
        <w:jc w:val="both"/>
        <w:rPr>
          <w:szCs w:val="22"/>
          <w:lang w:val="fr-FR"/>
        </w:rPr>
      </w:pPr>
    </w:p>
    <w:p w14:paraId="7CDA76D0" w14:textId="77777777" w:rsidR="00007525" w:rsidRPr="00007525" w:rsidRDefault="00007525" w:rsidP="00BA154F">
      <w:pPr>
        <w:jc w:val="both"/>
        <w:rPr>
          <w:szCs w:val="22"/>
          <w:lang w:val="fr-FR"/>
        </w:rPr>
      </w:pPr>
    </w:p>
    <w:p w14:paraId="581DFB25" w14:textId="100E23B6" w:rsidR="00F30CF0" w:rsidRPr="00575C7D" w:rsidRDefault="00F30CF0" w:rsidP="00BA154F">
      <w:pPr>
        <w:jc w:val="both"/>
        <w:rPr>
          <w:szCs w:val="22"/>
          <w:lang w:val="fr-FR"/>
        </w:rPr>
      </w:pPr>
      <w:r w:rsidRPr="00575C7D">
        <w:rPr>
          <w:b/>
          <w:szCs w:val="22"/>
          <w:lang w:val="fr-FR"/>
        </w:rPr>
        <w:t xml:space="preserve">Point 25 de l’ordre du jour - </w:t>
      </w:r>
      <w:r w:rsidRPr="00792FC9">
        <w:rPr>
          <w:b/>
          <w:szCs w:val="22"/>
          <w:lang w:val="fr-FR"/>
        </w:rPr>
        <w:t>Voie de migration d’Asie centrale</w:t>
      </w:r>
      <w:r w:rsidR="00792FC9" w:rsidRPr="00792FC9">
        <w:rPr>
          <w:b/>
          <w:szCs w:val="22"/>
          <w:lang w:val="fr-FR"/>
        </w:rPr>
        <w:t> </w:t>
      </w:r>
    </w:p>
    <w:p w14:paraId="1138AA76" w14:textId="77777777" w:rsidR="00F30CF0" w:rsidRPr="00575C7D" w:rsidRDefault="00F30CF0" w:rsidP="00BA154F">
      <w:pPr>
        <w:jc w:val="both"/>
        <w:rPr>
          <w:szCs w:val="22"/>
          <w:lang w:val="fr-FR"/>
        </w:rPr>
      </w:pPr>
    </w:p>
    <w:p w14:paraId="45F0398C" w14:textId="3A886ECD" w:rsidR="00F30CF0" w:rsidRPr="00575C7D" w:rsidRDefault="00F30CF0" w:rsidP="00BA154F">
      <w:pPr>
        <w:jc w:val="both"/>
        <w:rPr>
          <w:szCs w:val="22"/>
          <w:lang w:val="fr-FR"/>
        </w:rPr>
      </w:pPr>
      <w:r w:rsidRPr="00575C7D">
        <w:rPr>
          <w:szCs w:val="22"/>
          <w:lang w:val="fr-FR"/>
        </w:rPr>
        <w:t>19</w:t>
      </w:r>
      <w:r w:rsidR="00BA154F">
        <w:rPr>
          <w:szCs w:val="22"/>
          <w:lang w:val="fr-FR"/>
        </w:rPr>
        <w:t>4</w:t>
      </w:r>
      <w:r w:rsidRPr="00575C7D">
        <w:rPr>
          <w:szCs w:val="22"/>
          <w:lang w:val="fr-FR"/>
        </w:rPr>
        <w:t xml:space="preserve">. Le </w:t>
      </w:r>
      <w:r w:rsidRPr="00575C7D">
        <w:rPr>
          <w:b/>
          <w:szCs w:val="22"/>
          <w:lang w:val="fr-FR"/>
        </w:rPr>
        <w:t>Secrétaire exécutif adjoint de la CMS</w:t>
      </w:r>
      <w:r w:rsidRPr="00575C7D">
        <w:rPr>
          <w:szCs w:val="22"/>
          <w:lang w:val="fr-FR"/>
        </w:rPr>
        <w:t xml:space="preserve"> (M. Bert Lenten) a introduit le document AEWA/MOP 5.39 </w:t>
      </w:r>
      <w:r w:rsidRPr="00575C7D">
        <w:rPr>
          <w:i/>
          <w:szCs w:val="22"/>
          <w:lang w:val="fr-FR"/>
        </w:rPr>
        <w:t xml:space="preserve">Élaboration d’un cadre juridique et institutionnel pour la voie de migration d’Asie centrale </w:t>
      </w:r>
      <w:r w:rsidRPr="00575C7D">
        <w:rPr>
          <w:szCs w:val="22"/>
          <w:lang w:val="fr-FR"/>
        </w:rPr>
        <w:t>ainsi que des documents d’information s’y rapportant, AEWA/MOP Inf. 5.6, AEWA/MOP Inf. 5.7 et AEWA/MOP Inf. 5.8. Il a exposé dans les grandes lignes quel était le contexte à ce jour, notant que la voie de migration d’Asie centrale (CAF) avait été examinée lors des MOP3 et MOP4 de l’AEWA, ainsi que lors de nombreuses réunions de la CMS. Le Plan d’action de la CAF avait été approuvé par la réunion des États de l’aire de répartition de la CAF qui s’était tenue à New Delhi en 2005, sans que celle-ci n’ait finalisé le cadre juridique et institutionnel. Ce cadre comportait plusieurs options à savoir : (a) agrandir la zone couverte par l’AEWA, ou (b) un Accord séparé sous la CMS, ou (c) un cadre indépendant, dans le cadre de la CMS, tel qu’un Mémorandum d’Entente (</w:t>
      </w:r>
      <w:proofErr w:type="spellStart"/>
      <w:r w:rsidRPr="00575C7D">
        <w:rPr>
          <w:szCs w:val="22"/>
          <w:lang w:val="fr-FR"/>
        </w:rPr>
        <w:t>MdE</w:t>
      </w:r>
      <w:proofErr w:type="spellEnd"/>
      <w:r w:rsidRPr="00575C7D">
        <w:rPr>
          <w:szCs w:val="22"/>
          <w:lang w:val="fr-FR"/>
        </w:rPr>
        <w:t>).</w:t>
      </w:r>
    </w:p>
    <w:p w14:paraId="2BDC910B" w14:textId="77777777" w:rsidR="00F30CF0" w:rsidRPr="00575C7D" w:rsidRDefault="00F30CF0" w:rsidP="00BA154F">
      <w:pPr>
        <w:jc w:val="both"/>
        <w:rPr>
          <w:szCs w:val="22"/>
          <w:lang w:val="fr-FR"/>
        </w:rPr>
      </w:pPr>
    </w:p>
    <w:p w14:paraId="47B51D06" w14:textId="27C418A4" w:rsidR="00F30CF0" w:rsidRPr="00575C7D" w:rsidRDefault="00F30CF0" w:rsidP="00BA154F">
      <w:pPr>
        <w:jc w:val="both"/>
        <w:rPr>
          <w:szCs w:val="22"/>
          <w:lang w:val="fr-FR"/>
        </w:rPr>
      </w:pPr>
      <w:r w:rsidRPr="00575C7D">
        <w:rPr>
          <w:szCs w:val="22"/>
          <w:lang w:val="fr-FR"/>
        </w:rPr>
        <w:t xml:space="preserve">195. </w:t>
      </w:r>
      <w:r w:rsidRPr="00575C7D">
        <w:rPr>
          <w:b/>
          <w:szCs w:val="22"/>
          <w:lang w:val="fr-FR"/>
        </w:rPr>
        <w:t>M Lenten</w:t>
      </w:r>
      <w:r w:rsidRPr="00575C7D">
        <w:rPr>
          <w:szCs w:val="22"/>
          <w:lang w:val="fr-FR"/>
        </w:rPr>
        <w:t xml:space="preserve"> a rappelé que les décisions prises lors de la COP10 de la CMS sur la « structure future » avaient souligné qu’il fallait éviter d’élaborer de nouveaux accords sous la CMS. Ainsi seules les options (a) ou (c) restaient envisageables. Il existait déjà de nombreux </w:t>
      </w:r>
      <w:proofErr w:type="spellStart"/>
      <w:r w:rsidRPr="00575C7D">
        <w:rPr>
          <w:szCs w:val="22"/>
          <w:lang w:val="fr-FR"/>
        </w:rPr>
        <w:t>MdE</w:t>
      </w:r>
      <w:proofErr w:type="spellEnd"/>
      <w:r w:rsidRPr="00575C7D">
        <w:rPr>
          <w:szCs w:val="22"/>
          <w:lang w:val="fr-FR"/>
        </w:rPr>
        <w:t xml:space="preserve"> dont la mise en œuvre ne bénéficiait que d’un financement minimal, voire d’aucun financement, rendant les perspectives de tous nouveaux </w:t>
      </w:r>
      <w:proofErr w:type="spellStart"/>
      <w:r w:rsidRPr="00575C7D">
        <w:rPr>
          <w:szCs w:val="22"/>
          <w:lang w:val="fr-FR"/>
        </w:rPr>
        <w:t>MdE</w:t>
      </w:r>
      <w:proofErr w:type="spellEnd"/>
      <w:r w:rsidRPr="00575C7D">
        <w:rPr>
          <w:szCs w:val="22"/>
          <w:lang w:val="fr-FR"/>
        </w:rPr>
        <w:t xml:space="preserve"> ou CAF très limitées. En outre, il n’y a que très peu de pays de la région de la CAF qui peuvent être en mesure d’aider au financement de la mise en œuvre. Etant donné qu’il existe un chevauchement important entre les régions de l’AEWA et celles de la CAF, et que les pays de la « zone de chevauchement » n’ont manifesté qu’un enthousiasme très limité pour adhérer à deux instruments séparés pour la conservation des oiseaux migrateurs, la solution la plus pratique semblait donc être l’élargissem</w:t>
      </w:r>
      <w:r w:rsidR="00007525">
        <w:rPr>
          <w:szCs w:val="22"/>
          <w:lang w:val="fr-FR"/>
        </w:rPr>
        <w:t>ent de la zone couverte par l’A</w:t>
      </w:r>
      <w:r w:rsidRPr="00575C7D">
        <w:rPr>
          <w:szCs w:val="22"/>
          <w:lang w:val="fr-FR"/>
        </w:rPr>
        <w:t>E</w:t>
      </w:r>
      <w:r w:rsidR="00007525">
        <w:rPr>
          <w:szCs w:val="22"/>
          <w:lang w:val="fr-FR"/>
        </w:rPr>
        <w:t>W</w:t>
      </w:r>
      <w:r w:rsidRPr="00575C7D">
        <w:rPr>
          <w:szCs w:val="22"/>
          <w:lang w:val="fr-FR"/>
        </w:rPr>
        <w:t>A afin d’y inclure la CAF. Une réunion de négociation de la CMS sur la CAF, qui se tiendra à Abu Dhabi en décembre 2012, devrait examiner ces questions plus en détails. On espère qu’on pourra parvenir à un accord sur la voie à suivre. La MOP5 était invitée à prendre note des activités entreprises par le Secrétariat de la CMS concernant l’élaboration d’un cadre institutionnel destiné au Plan d’action de la CAF et à examiner les prochaines mesures à prendre par le Secrétariat de l’AEWA ainsi que par les Comités permanent et technique de l’AEWA avant la MOP6 dans le cas où la réunion de décembre 2012 déciderait que l’incorporation de la CAF dans l’AEWA était l’option la plus souhaitable.</w:t>
      </w:r>
    </w:p>
    <w:p w14:paraId="0A275AB5" w14:textId="77777777" w:rsidR="00F30CF0" w:rsidRPr="00575C7D" w:rsidRDefault="00F30CF0" w:rsidP="00BA154F">
      <w:pPr>
        <w:jc w:val="both"/>
        <w:rPr>
          <w:szCs w:val="22"/>
          <w:highlight w:val="yellow"/>
          <w:lang w:val="fr-FR"/>
        </w:rPr>
      </w:pPr>
    </w:p>
    <w:p w14:paraId="22CF77F8" w14:textId="77777777" w:rsidR="00F30CF0" w:rsidRPr="00575C7D" w:rsidRDefault="00F30CF0" w:rsidP="00BA154F">
      <w:pPr>
        <w:jc w:val="both"/>
        <w:rPr>
          <w:szCs w:val="22"/>
          <w:lang w:val="fr-FR"/>
        </w:rPr>
      </w:pPr>
      <w:r w:rsidRPr="00575C7D">
        <w:rPr>
          <w:szCs w:val="22"/>
          <w:lang w:val="fr-FR"/>
        </w:rPr>
        <w:t xml:space="preserve">196. Le </w:t>
      </w:r>
      <w:r w:rsidRPr="00575C7D">
        <w:rPr>
          <w:b/>
          <w:szCs w:val="22"/>
          <w:lang w:val="fr-FR"/>
        </w:rPr>
        <w:t>Président</w:t>
      </w:r>
      <w:r w:rsidRPr="00575C7D">
        <w:rPr>
          <w:szCs w:val="22"/>
          <w:lang w:val="fr-FR"/>
        </w:rPr>
        <w:t xml:space="preserve"> a invité les participants à faire part de leurs commentaires.</w:t>
      </w:r>
    </w:p>
    <w:p w14:paraId="0C3A3100" w14:textId="77777777" w:rsidR="00F30CF0" w:rsidRPr="00575C7D" w:rsidRDefault="00F30CF0" w:rsidP="00BA154F">
      <w:pPr>
        <w:jc w:val="both"/>
        <w:rPr>
          <w:szCs w:val="22"/>
          <w:lang w:val="fr-FR"/>
        </w:rPr>
      </w:pPr>
    </w:p>
    <w:p w14:paraId="2F76808D" w14:textId="77777777" w:rsidR="00F30CF0" w:rsidRPr="00575C7D" w:rsidRDefault="00F30CF0" w:rsidP="00BA154F">
      <w:pPr>
        <w:jc w:val="both"/>
        <w:rPr>
          <w:szCs w:val="22"/>
          <w:lang w:val="fr-FR"/>
        </w:rPr>
      </w:pPr>
      <w:r w:rsidRPr="00575C7D">
        <w:rPr>
          <w:szCs w:val="22"/>
          <w:lang w:val="fr-FR"/>
        </w:rPr>
        <w:t>197.</w:t>
      </w:r>
      <w:r w:rsidRPr="00575C7D">
        <w:rPr>
          <w:b/>
          <w:szCs w:val="22"/>
          <w:lang w:val="fr-FR"/>
        </w:rPr>
        <w:t xml:space="preserve"> </w:t>
      </w:r>
      <w:r w:rsidRPr="00575C7D">
        <w:rPr>
          <w:szCs w:val="22"/>
          <w:lang w:val="fr-FR"/>
        </w:rPr>
        <w:t>Le</w:t>
      </w:r>
      <w:r w:rsidRPr="00575C7D">
        <w:rPr>
          <w:b/>
          <w:szCs w:val="22"/>
          <w:lang w:val="fr-FR"/>
        </w:rPr>
        <w:t xml:space="preserve"> Kazakhstan</w:t>
      </w:r>
      <w:r w:rsidRPr="00575C7D">
        <w:rPr>
          <w:szCs w:val="22"/>
          <w:lang w:val="fr-FR"/>
        </w:rPr>
        <w:t xml:space="preserve"> a fait part de son soutien à l’option d’élargir la zone couverte par l’AEWA pour y inclure la région de la CAF.</w:t>
      </w:r>
    </w:p>
    <w:p w14:paraId="702E79DC" w14:textId="77777777" w:rsidR="00F30CF0" w:rsidRPr="00575C7D" w:rsidRDefault="00F30CF0" w:rsidP="00BA154F">
      <w:pPr>
        <w:jc w:val="both"/>
        <w:rPr>
          <w:szCs w:val="22"/>
          <w:lang w:val="fr-FR"/>
        </w:rPr>
      </w:pPr>
    </w:p>
    <w:p w14:paraId="4205E88E" w14:textId="412A504B" w:rsidR="00F30CF0" w:rsidRPr="00575C7D" w:rsidRDefault="00F30CF0" w:rsidP="00BA154F">
      <w:pPr>
        <w:jc w:val="both"/>
        <w:rPr>
          <w:szCs w:val="22"/>
          <w:lang w:val="fr-FR"/>
        </w:rPr>
      </w:pPr>
      <w:r w:rsidRPr="00575C7D">
        <w:rPr>
          <w:szCs w:val="22"/>
          <w:lang w:val="fr-FR"/>
        </w:rPr>
        <w:t xml:space="preserve">198. Le </w:t>
      </w:r>
      <w:r w:rsidRPr="00575C7D">
        <w:rPr>
          <w:b/>
          <w:szCs w:val="22"/>
          <w:lang w:val="fr-FR"/>
        </w:rPr>
        <w:t xml:space="preserve">Danemark, </w:t>
      </w:r>
      <w:r w:rsidRPr="00575C7D">
        <w:rPr>
          <w:szCs w:val="22"/>
          <w:lang w:val="fr-FR"/>
        </w:rPr>
        <w:t>s’exprimant au nom de l’</w:t>
      </w:r>
      <w:r w:rsidRPr="00575C7D">
        <w:rPr>
          <w:b/>
          <w:szCs w:val="22"/>
          <w:lang w:val="fr-FR"/>
        </w:rPr>
        <w:t>U</w:t>
      </w:r>
      <w:r w:rsidR="00007525">
        <w:rPr>
          <w:b/>
          <w:szCs w:val="22"/>
          <w:lang w:val="fr-FR"/>
        </w:rPr>
        <w:t>nion européenne</w:t>
      </w:r>
      <w:r w:rsidRPr="00575C7D">
        <w:rPr>
          <w:b/>
          <w:szCs w:val="22"/>
          <w:lang w:val="fr-FR"/>
        </w:rPr>
        <w:t xml:space="preserve"> et de ses États membres</w:t>
      </w:r>
      <w:r w:rsidRPr="00575C7D">
        <w:rPr>
          <w:szCs w:val="22"/>
          <w:lang w:val="fr-FR"/>
        </w:rPr>
        <w:t>, a fait la déclaration suivante :</w:t>
      </w:r>
    </w:p>
    <w:p w14:paraId="77B75E2F" w14:textId="77777777" w:rsidR="00F30CF0" w:rsidRPr="00575C7D" w:rsidRDefault="00F30CF0" w:rsidP="00BA154F">
      <w:pPr>
        <w:jc w:val="both"/>
        <w:rPr>
          <w:szCs w:val="22"/>
          <w:lang w:val="fr-FR"/>
        </w:rPr>
      </w:pPr>
    </w:p>
    <w:p w14:paraId="50A51FAB" w14:textId="77777777" w:rsidR="00F30CF0" w:rsidRPr="00575C7D" w:rsidRDefault="00F30CF0" w:rsidP="00BA154F">
      <w:pPr>
        <w:pStyle w:val="Default"/>
        <w:jc w:val="both"/>
        <w:rPr>
          <w:i/>
          <w:sz w:val="22"/>
          <w:szCs w:val="22"/>
          <w:lang w:val="fr-FR"/>
        </w:rPr>
      </w:pPr>
      <w:r w:rsidRPr="00575C7D">
        <w:rPr>
          <w:sz w:val="22"/>
          <w:szCs w:val="22"/>
          <w:lang w:val="fr-FR"/>
        </w:rPr>
        <w:t>« </w:t>
      </w:r>
      <w:r w:rsidRPr="00575C7D">
        <w:rPr>
          <w:i/>
          <w:sz w:val="22"/>
          <w:szCs w:val="22"/>
          <w:lang w:val="fr-FR"/>
        </w:rPr>
        <w:t>L’UE et ses États membres se réjouissent des efforts de conservation visant la voie de migration d’Asie centrale et apprécient les efforts du Comité permanent pour faire avancer cette question. L’élaboration d’un Plan d’action de la voie de migration d’Asie centrale sous les auspices de la CMS représente un important pas en avant et nous nous réjouissons à l’avance de la réunion de négociation sur la CAF en décembre 2012 qui s’appuiera sur les discussions qui ont eu lieu à Tachkent et New Delhi.</w:t>
      </w:r>
    </w:p>
    <w:p w14:paraId="69BCC0DB" w14:textId="77777777" w:rsidR="00F30CF0" w:rsidRPr="00575C7D" w:rsidRDefault="00F30CF0" w:rsidP="00BA154F">
      <w:pPr>
        <w:pStyle w:val="Default"/>
        <w:jc w:val="both"/>
        <w:rPr>
          <w:i/>
          <w:sz w:val="22"/>
          <w:szCs w:val="22"/>
          <w:highlight w:val="yellow"/>
          <w:lang w:val="fr-FR"/>
        </w:rPr>
      </w:pPr>
    </w:p>
    <w:p w14:paraId="093F7451" w14:textId="77777777" w:rsidR="00F30CF0" w:rsidRPr="00575C7D" w:rsidRDefault="00F30CF0" w:rsidP="00BA154F">
      <w:pPr>
        <w:jc w:val="both"/>
        <w:rPr>
          <w:i/>
          <w:color w:val="000000"/>
          <w:szCs w:val="22"/>
          <w:lang w:val="fr-FR"/>
        </w:rPr>
      </w:pPr>
      <w:r w:rsidRPr="00575C7D">
        <w:rPr>
          <w:i/>
          <w:color w:val="000000"/>
          <w:szCs w:val="22"/>
          <w:lang w:val="fr-FR"/>
        </w:rPr>
        <w:t>Il existe un chevauchement considérable des espèces et des questions discutées dans le cadre de la CAF et de l’AEWA et nous comprenons qu’un certain nombre d’États se trouvant à la fois dans l’aire de répartition de l’AEWA et celle de la CAF aient fait part de leur désir légitime d’éviter des accords séparés qui se recoupent. </w:t>
      </w:r>
    </w:p>
    <w:p w14:paraId="625E0A56" w14:textId="77777777" w:rsidR="00F30CF0" w:rsidRPr="00575C7D" w:rsidRDefault="00F30CF0" w:rsidP="00BA154F">
      <w:pPr>
        <w:pStyle w:val="Default"/>
        <w:jc w:val="both"/>
        <w:rPr>
          <w:i/>
          <w:sz w:val="22"/>
          <w:szCs w:val="22"/>
          <w:lang w:val="fr-FR"/>
        </w:rPr>
      </w:pPr>
    </w:p>
    <w:p w14:paraId="4CBF66F3" w14:textId="0F572CDC" w:rsidR="00F30CF0" w:rsidRPr="00575C7D" w:rsidRDefault="00F30CF0" w:rsidP="00BA154F">
      <w:pPr>
        <w:pStyle w:val="Default"/>
        <w:jc w:val="both"/>
        <w:rPr>
          <w:i/>
          <w:sz w:val="22"/>
          <w:szCs w:val="22"/>
          <w:lang w:val="fr-FR"/>
        </w:rPr>
      </w:pPr>
      <w:r w:rsidRPr="00575C7D">
        <w:rPr>
          <w:i/>
          <w:sz w:val="22"/>
          <w:szCs w:val="22"/>
          <w:lang w:val="fr-FR"/>
        </w:rPr>
        <w:t xml:space="preserve">Nous avons déjà examiné le processus relatif à </w:t>
      </w:r>
      <w:r w:rsidR="00007525">
        <w:rPr>
          <w:i/>
          <w:sz w:val="22"/>
          <w:szCs w:val="22"/>
          <w:lang w:val="fr-FR"/>
        </w:rPr>
        <w:t xml:space="preserve">la </w:t>
      </w:r>
      <w:r w:rsidRPr="00575C7D">
        <w:rPr>
          <w:i/>
          <w:sz w:val="22"/>
          <w:szCs w:val="22"/>
          <w:lang w:val="fr-FR"/>
        </w:rPr>
        <w:t xml:space="preserve">structure future de la CMS au point 10 de l’ordre du jour de la MOP5. Ce processus a été mis en place après que les États de l’aire de répartition de la CAF avaient adopté le Plan d’action et commencé à examiner le cadre juridique et institutionnel s’y rapportant. Le processus relatif à la structure future se propose d’augmenter l’efficacité et d’améliorer les </w:t>
      </w:r>
      <w:r w:rsidRPr="00575C7D">
        <w:rPr>
          <w:bCs/>
          <w:i/>
          <w:sz w:val="22"/>
          <w:szCs w:val="22"/>
          <w:lang w:val="fr-FR"/>
        </w:rPr>
        <w:t xml:space="preserve">synergies de la CMS et de sa famille afin d’aider de manière appropriée les espèces migratrices à travers le monde en une période de ressources limitées. L’UE et ses États membres ont proposé un amendement à l’avant-projet de </w:t>
      </w:r>
      <w:r w:rsidRPr="00575C7D">
        <w:rPr>
          <w:i/>
          <w:sz w:val="22"/>
          <w:szCs w:val="22"/>
          <w:lang w:val="fr-FR"/>
        </w:rPr>
        <w:t>Résolution 17 pour garantir l’engagement de l’AEWA dans ce processus, en particulier pour contribuer à la coordination des plans stratégiques pour la famille de la CMS.</w:t>
      </w:r>
    </w:p>
    <w:p w14:paraId="65DD4CB8" w14:textId="77777777" w:rsidR="00F30CF0" w:rsidRPr="00575C7D" w:rsidRDefault="00F30CF0" w:rsidP="00BA154F">
      <w:pPr>
        <w:pStyle w:val="Default"/>
        <w:jc w:val="both"/>
        <w:rPr>
          <w:i/>
          <w:sz w:val="22"/>
          <w:szCs w:val="22"/>
          <w:highlight w:val="yellow"/>
          <w:lang w:val="fr-FR"/>
        </w:rPr>
      </w:pPr>
    </w:p>
    <w:p w14:paraId="75D523E1" w14:textId="77777777" w:rsidR="00F30CF0" w:rsidRPr="00575C7D" w:rsidRDefault="00F30CF0" w:rsidP="00BA154F">
      <w:pPr>
        <w:pStyle w:val="Default"/>
        <w:jc w:val="both"/>
        <w:rPr>
          <w:i/>
          <w:sz w:val="22"/>
          <w:szCs w:val="22"/>
          <w:lang w:val="fr-FR"/>
        </w:rPr>
      </w:pPr>
      <w:r w:rsidRPr="00575C7D">
        <w:rPr>
          <w:i/>
          <w:sz w:val="22"/>
          <w:szCs w:val="22"/>
          <w:lang w:val="fr-FR"/>
        </w:rPr>
        <w:t>Nous sommes d’avis que ces plans stratégiques coordonnés de la CMS et de sa famille devraient prendre en main les demandes des États de l’aire de répartition de la CAF à adhérer à la CMS ou à l’AEWA. Il existe également des initiatives en cours pour d’autres espèces migratrices de la région de la CAF. Par exemple, les voies de migration paléarctiques/</w:t>
      </w:r>
      <w:proofErr w:type="spellStart"/>
      <w:r w:rsidRPr="00575C7D">
        <w:rPr>
          <w:i/>
          <w:sz w:val="22"/>
          <w:szCs w:val="22"/>
          <w:lang w:val="fr-FR"/>
        </w:rPr>
        <w:t>paléotropiques</w:t>
      </w:r>
      <w:proofErr w:type="spellEnd"/>
      <w:r w:rsidRPr="00575C7D">
        <w:rPr>
          <w:i/>
          <w:sz w:val="22"/>
          <w:szCs w:val="22"/>
          <w:lang w:val="fr-FR"/>
        </w:rPr>
        <w:t>, notamment les voies de migrations de l’Asie centrale et de l’Asie de l’Est, sont déjà incluses dans le Mémorandum d’Entente sur les rapaces.</w:t>
      </w:r>
    </w:p>
    <w:p w14:paraId="0CCE644E" w14:textId="77777777" w:rsidR="00F30CF0" w:rsidRPr="00575C7D" w:rsidRDefault="00F30CF0" w:rsidP="00BA154F">
      <w:pPr>
        <w:pStyle w:val="Default"/>
        <w:jc w:val="both"/>
        <w:rPr>
          <w:i/>
          <w:sz w:val="22"/>
          <w:szCs w:val="22"/>
          <w:lang w:val="fr-FR"/>
        </w:rPr>
      </w:pPr>
    </w:p>
    <w:p w14:paraId="64EAB7A9" w14:textId="77777777" w:rsidR="00F30CF0" w:rsidRPr="00575C7D" w:rsidRDefault="00F30CF0" w:rsidP="00BA154F">
      <w:pPr>
        <w:pStyle w:val="Default"/>
        <w:jc w:val="both"/>
        <w:rPr>
          <w:sz w:val="22"/>
          <w:szCs w:val="22"/>
          <w:lang w:val="fr-FR"/>
        </w:rPr>
      </w:pPr>
      <w:r w:rsidRPr="00575C7D">
        <w:rPr>
          <w:i/>
          <w:sz w:val="22"/>
          <w:szCs w:val="22"/>
          <w:lang w:val="fr-FR"/>
        </w:rPr>
        <w:t>Si, lors de leur réunion de décembre 2012, les États de l’aire de répartition de la CAF expriment le désir d’élargir la zone géographique de l’AEWA pour y inclure l’ensemble de la CAF et d’intégrer le Plan d’action pour les oiseaux d’eau de la CAF dans le cadre de l’AEWA, le Comité permanent, dans le cadre de sa contribution aux plans stratégiques coordonnés, devrait examiner avec le Secrétariat de l’AEWA et celui de la CMS comment satisfaire à cette demande en accord avec le processus relatif à la structure future de la CMS et en vue de soumettre une proposition à la décision de la Réunion des Parties à l’AEWA, sans perdre de vue que la décision finale d’élargissement de l’étendue géographique de l’AEWA revient bien sûr aux Parties à l’AEWA, qui devront examiner ce genre de proposition lors de la prochaine Réunion des Parties.</w:t>
      </w:r>
      <w:r w:rsidRPr="00575C7D">
        <w:rPr>
          <w:sz w:val="22"/>
          <w:szCs w:val="22"/>
          <w:lang w:val="fr-FR"/>
        </w:rPr>
        <w:t> »</w:t>
      </w:r>
    </w:p>
    <w:p w14:paraId="1B94B87F" w14:textId="77777777" w:rsidR="00F30CF0" w:rsidRPr="00575C7D" w:rsidRDefault="00F30CF0" w:rsidP="00BA154F">
      <w:pPr>
        <w:jc w:val="both"/>
        <w:rPr>
          <w:szCs w:val="22"/>
          <w:highlight w:val="yellow"/>
          <w:lang w:val="fr-FR"/>
        </w:rPr>
      </w:pPr>
    </w:p>
    <w:p w14:paraId="33769B68" w14:textId="3B592F44" w:rsidR="00F30CF0" w:rsidRPr="00575C7D" w:rsidRDefault="00F30CF0" w:rsidP="00BA154F">
      <w:pPr>
        <w:jc w:val="both"/>
        <w:rPr>
          <w:szCs w:val="22"/>
          <w:lang w:val="fr-FR"/>
        </w:rPr>
      </w:pPr>
      <w:r w:rsidRPr="00575C7D">
        <w:rPr>
          <w:szCs w:val="22"/>
          <w:lang w:val="fr-FR"/>
        </w:rPr>
        <w:t xml:space="preserve">199. Sur l’invitation du </w:t>
      </w:r>
      <w:r w:rsidRPr="00575C7D">
        <w:rPr>
          <w:b/>
          <w:szCs w:val="22"/>
          <w:lang w:val="fr-FR"/>
        </w:rPr>
        <w:t>Président</w:t>
      </w:r>
      <w:r w:rsidRPr="00575C7D">
        <w:rPr>
          <w:szCs w:val="22"/>
          <w:lang w:val="fr-FR"/>
        </w:rPr>
        <w:t>, la réunion a fait part de sa large approbation de la déclaration de l’U</w:t>
      </w:r>
      <w:r w:rsidR="00007525">
        <w:rPr>
          <w:szCs w:val="22"/>
          <w:lang w:val="fr-FR"/>
        </w:rPr>
        <w:t>nion européenne</w:t>
      </w:r>
      <w:r w:rsidRPr="00575C7D">
        <w:rPr>
          <w:szCs w:val="22"/>
          <w:lang w:val="fr-FR"/>
        </w:rPr>
        <w:t>, y compris l’amendeme</w:t>
      </w:r>
      <w:r w:rsidR="00007525">
        <w:rPr>
          <w:szCs w:val="22"/>
          <w:lang w:val="fr-FR"/>
        </w:rPr>
        <w:t>nt proposé à l’avant-projet de r</w:t>
      </w:r>
      <w:r w:rsidRPr="00575C7D">
        <w:rPr>
          <w:szCs w:val="22"/>
          <w:lang w:val="fr-FR"/>
        </w:rPr>
        <w:t xml:space="preserve">ésolution </w:t>
      </w:r>
      <w:r w:rsidR="00007525">
        <w:rPr>
          <w:szCs w:val="22"/>
          <w:lang w:val="fr-FR"/>
        </w:rPr>
        <w:t>AEWA/MOP DR</w:t>
      </w:r>
      <w:r w:rsidRPr="00575C7D">
        <w:rPr>
          <w:szCs w:val="22"/>
          <w:lang w:val="fr-FR"/>
        </w:rPr>
        <w:t>17, qui sera examiné sous le point 26a de l’ordre du jour.</w:t>
      </w:r>
    </w:p>
    <w:p w14:paraId="6834B241" w14:textId="77777777" w:rsidR="00F30CF0" w:rsidRPr="00575C7D" w:rsidRDefault="00F30CF0" w:rsidP="00BA154F">
      <w:pPr>
        <w:jc w:val="both"/>
        <w:rPr>
          <w:szCs w:val="22"/>
          <w:lang w:val="fr-FR"/>
        </w:rPr>
      </w:pPr>
    </w:p>
    <w:p w14:paraId="48A760C6" w14:textId="77777777" w:rsidR="00F30CF0" w:rsidRPr="00575C7D" w:rsidRDefault="00F30CF0" w:rsidP="00BA154F">
      <w:pPr>
        <w:jc w:val="both"/>
        <w:rPr>
          <w:szCs w:val="22"/>
          <w:lang w:val="fr-FR"/>
        </w:rPr>
      </w:pPr>
      <w:r w:rsidRPr="00575C7D">
        <w:rPr>
          <w:szCs w:val="22"/>
          <w:lang w:val="fr-FR"/>
        </w:rPr>
        <w:t xml:space="preserve">200. Le </w:t>
      </w:r>
      <w:r w:rsidRPr="00575C7D">
        <w:rPr>
          <w:b/>
          <w:szCs w:val="22"/>
          <w:lang w:val="fr-FR"/>
        </w:rPr>
        <w:t>Réseau des oiseaux de rivage de la région Asie-Pacifique</w:t>
      </w:r>
      <w:r w:rsidRPr="00575C7D">
        <w:rPr>
          <w:szCs w:val="22"/>
          <w:lang w:val="fr-FR"/>
        </w:rPr>
        <w:t xml:space="preserve"> s’est réjoui et a vivement encouragé l’engagement de l’AEWA dans la CAF, mais a demandé une consultation avec le Partenariat de la voie de migration d’Asie de l’Est-Australasie (EAAFP) – dont l’étendue géographique couvre également partiellement la région de le CAF.</w:t>
      </w:r>
    </w:p>
    <w:p w14:paraId="58385AC1" w14:textId="77777777" w:rsidR="00F30CF0" w:rsidRPr="005012AF" w:rsidRDefault="00F30CF0" w:rsidP="00BA154F">
      <w:pPr>
        <w:ind w:left="-218"/>
        <w:jc w:val="both"/>
        <w:rPr>
          <w:szCs w:val="22"/>
          <w:lang w:val="fr-FR"/>
        </w:rPr>
      </w:pPr>
    </w:p>
    <w:p w14:paraId="179A2871" w14:textId="77777777" w:rsidR="00792FC9" w:rsidRPr="005012AF" w:rsidRDefault="00792FC9" w:rsidP="00BA154F">
      <w:pPr>
        <w:ind w:left="-218"/>
        <w:jc w:val="both"/>
        <w:rPr>
          <w:szCs w:val="22"/>
          <w:lang w:val="fr-FR"/>
        </w:rPr>
      </w:pPr>
    </w:p>
    <w:p w14:paraId="04FE7B41" w14:textId="77777777" w:rsidR="00F30CF0" w:rsidRPr="00575C7D" w:rsidRDefault="00F30CF0" w:rsidP="00BA154F">
      <w:pPr>
        <w:jc w:val="both"/>
        <w:outlineLvl w:val="0"/>
        <w:rPr>
          <w:szCs w:val="22"/>
          <w:lang w:val="fr-FR"/>
        </w:rPr>
      </w:pPr>
      <w:r w:rsidRPr="00575C7D">
        <w:rPr>
          <w:b/>
          <w:szCs w:val="22"/>
          <w:lang w:val="fr-FR"/>
        </w:rPr>
        <w:t>Point 26 de l’ordre du jour – Dispositions institutionnelles</w:t>
      </w:r>
    </w:p>
    <w:p w14:paraId="31CB17A0" w14:textId="77777777" w:rsidR="00F30CF0" w:rsidRPr="00575C7D" w:rsidRDefault="00F30CF0" w:rsidP="00BA154F">
      <w:pPr>
        <w:jc w:val="both"/>
        <w:rPr>
          <w:szCs w:val="22"/>
          <w:lang w:val="fr-FR"/>
        </w:rPr>
      </w:pPr>
    </w:p>
    <w:p w14:paraId="575612A4" w14:textId="77777777" w:rsidR="00F30CF0" w:rsidRPr="00BA154F" w:rsidRDefault="00F30CF0" w:rsidP="00BA154F">
      <w:pPr>
        <w:jc w:val="both"/>
        <w:outlineLvl w:val="0"/>
        <w:rPr>
          <w:szCs w:val="22"/>
          <w:u w:val="single"/>
          <w:lang w:val="fr-FR"/>
        </w:rPr>
      </w:pPr>
      <w:r w:rsidRPr="00BA154F">
        <w:rPr>
          <w:szCs w:val="22"/>
          <w:u w:val="single"/>
          <w:lang w:val="fr-FR"/>
        </w:rPr>
        <w:t>a. Comité permanent</w:t>
      </w:r>
    </w:p>
    <w:p w14:paraId="1C15FC4A" w14:textId="77777777" w:rsidR="00F30CF0" w:rsidRPr="00575C7D" w:rsidRDefault="00F30CF0" w:rsidP="00BA154F">
      <w:pPr>
        <w:jc w:val="both"/>
        <w:rPr>
          <w:szCs w:val="22"/>
          <w:lang w:val="fr-FR"/>
        </w:rPr>
      </w:pPr>
    </w:p>
    <w:p w14:paraId="127C6D24" w14:textId="2B39CF97" w:rsidR="00F30CF0" w:rsidRPr="00575C7D" w:rsidRDefault="00F30CF0" w:rsidP="00BA154F">
      <w:pPr>
        <w:jc w:val="both"/>
        <w:rPr>
          <w:szCs w:val="22"/>
          <w:lang w:val="fr-FR"/>
        </w:rPr>
      </w:pPr>
      <w:r w:rsidRPr="00575C7D">
        <w:rPr>
          <w:szCs w:val="22"/>
          <w:lang w:val="fr-FR"/>
        </w:rPr>
        <w:t xml:space="preserve">201. Au cours de la session plénière du 15 mai, le </w:t>
      </w:r>
      <w:r w:rsidRPr="00575C7D">
        <w:rPr>
          <w:b/>
          <w:szCs w:val="22"/>
          <w:lang w:val="fr-FR"/>
        </w:rPr>
        <w:t xml:space="preserve">Secrétaire exécutif par intérim de l’AEWA </w:t>
      </w:r>
      <w:r w:rsidRPr="00575C7D">
        <w:rPr>
          <w:szCs w:val="22"/>
          <w:lang w:val="fr-FR"/>
        </w:rPr>
        <w:t>(M.</w:t>
      </w:r>
      <w:r w:rsidR="009D5D5B">
        <w:rPr>
          <w:szCs w:val="22"/>
          <w:lang w:val="fr-FR"/>
        </w:rPr>
        <w:t xml:space="preserve"> </w:t>
      </w:r>
      <w:r w:rsidRPr="00575C7D">
        <w:rPr>
          <w:szCs w:val="22"/>
          <w:lang w:val="fr-FR"/>
        </w:rPr>
        <w:t xml:space="preserve">Marco Barbieri) a introduit brièvement l’avant-projet de résolution AEWA/MOP DR17 </w:t>
      </w:r>
      <w:r w:rsidRPr="00575C7D">
        <w:rPr>
          <w:i/>
          <w:szCs w:val="22"/>
          <w:lang w:val="fr-FR"/>
        </w:rPr>
        <w:t>Dispositions</w:t>
      </w:r>
      <w:r w:rsidRPr="00575C7D">
        <w:rPr>
          <w:szCs w:val="22"/>
          <w:lang w:val="fr-FR"/>
        </w:rPr>
        <w:t xml:space="preserve"> </w:t>
      </w:r>
      <w:r w:rsidRPr="00575C7D">
        <w:rPr>
          <w:i/>
          <w:szCs w:val="22"/>
          <w:lang w:val="fr-FR"/>
        </w:rPr>
        <w:t xml:space="preserve">Institutionnelles : Comité permanent </w:t>
      </w:r>
      <w:r w:rsidRPr="00575C7D">
        <w:rPr>
          <w:szCs w:val="22"/>
          <w:lang w:val="fr-FR"/>
        </w:rPr>
        <w:t>qui enregistrera la</w:t>
      </w:r>
      <w:r w:rsidRPr="00575C7D">
        <w:rPr>
          <w:i/>
          <w:szCs w:val="22"/>
          <w:lang w:val="fr-FR"/>
        </w:rPr>
        <w:t xml:space="preserve"> </w:t>
      </w:r>
      <w:r w:rsidRPr="00575C7D">
        <w:rPr>
          <w:szCs w:val="22"/>
          <w:lang w:val="fr-FR"/>
        </w:rPr>
        <w:t xml:space="preserve">composition, le mandat et les dispositions opérationnelles concernant le </w:t>
      </w:r>
      <w:proofErr w:type="spellStart"/>
      <w:r w:rsidRPr="00575C7D">
        <w:rPr>
          <w:szCs w:val="22"/>
          <w:lang w:val="fr-FR"/>
        </w:rPr>
        <w:t>StC</w:t>
      </w:r>
      <w:proofErr w:type="spellEnd"/>
      <w:r w:rsidRPr="00575C7D">
        <w:rPr>
          <w:szCs w:val="22"/>
          <w:lang w:val="fr-FR"/>
        </w:rPr>
        <w:t xml:space="preserve"> au cours de la prochaine période </w:t>
      </w:r>
      <w:proofErr w:type="spellStart"/>
      <w:r w:rsidRPr="00575C7D">
        <w:rPr>
          <w:szCs w:val="22"/>
          <w:lang w:val="fr-FR"/>
        </w:rPr>
        <w:t>intersessionnelle</w:t>
      </w:r>
      <w:proofErr w:type="spellEnd"/>
      <w:r w:rsidRPr="00575C7D">
        <w:rPr>
          <w:szCs w:val="22"/>
          <w:lang w:val="fr-FR"/>
        </w:rPr>
        <w:t xml:space="preserve">. Il y avait un poste actuellement vacant pour le </w:t>
      </w:r>
      <w:proofErr w:type="spellStart"/>
      <w:r w:rsidRPr="00575C7D">
        <w:rPr>
          <w:szCs w:val="22"/>
          <w:lang w:val="fr-FR"/>
        </w:rPr>
        <w:t>StC</w:t>
      </w:r>
      <w:proofErr w:type="spellEnd"/>
      <w:r w:rsidRPr="00575C7D">
        <w:rPr>
          <w:szCs w:val="22"/>
          <w:lang w:val="fr-FR"/>
        </w:rPr>
        <w:t>, à savoir pour un représentant de la région d’Europe et d’Asie centrale.</w:t>
      </w:r>
    </w:p>
    <w:p w14:paraId="4A73B1C7" w14:textId="77777777" w:rsidR="00F30CF0" w:rsidRPr="00575C7D" w:rsidRDefault="00F30CF0" w:rsidP="00BA154F">
      <w:pPr>
        <w:jc w:val="both"/>
        <w:rPr>
          <w:szCs w:val="22"/>
          <w:lang w:val="fr-FR"/>
        </w:rPr>
      </w:pPr>
    </w:p>
    <w:p w14:paraId="537805DE" w14:textId="66DC9C9B" w:rsidR="00F30CF0" w:rsidRPr="00575C7D" w:rsidRDefault="00F30CF0" w:rsidP="00BA154F">
      <w:pPr>
        <w:jc w:val="both"/>
        <w:rPr>
          <w:szCs w:val="22"/>
          <w:lang w:val="fr-FR"/>
        </w:rPr>
      </w:pPr>
      <w:r w:rsidRPr="00575C7D">
        <w:rPr>
          <w:szCs w:val="22"/>
          <w:lang w:val="fr-FR"/>
        </w:rPr>
        <w:t xml:space="preserve">202. Le </w:t>
      </w:r>
      <w:r w:rsidRPr="00575C7D">
        <w:rPr>
          <w:b/>
          <w:szCs w:val="22"/>
          <w:lang w:val="fr-FR"/>
        </w:rPr>
        <w:t>Danemark</w:t>
      </w:r>
      <w:r w:rsidRPr="00575C7D">
        <w:rPr>
          <w:szCs w:val="22"/>
          <w:lang w:val="fr-FR"/>
        </w:rPr>
        <w:t>,</w:t>
      </w:r>
      <w:r w:rsidRPr="00575C7D">
        <w:rPr>
          <w:b/>
          <w:szCs w:val="22"/>
          <w:lang w:val="fr-FR"/>
        </w:rPr>
        <w:t xml:space="preserve"> </w:t>
      </w:r>
      <w:r w:rsidRPr="00575C7D">
        <w:rPr>
          <w:szCs w:val="22"/>
          <w:lang w:val="fr-FR"/>
        </w:rPr>
        <w:t>s’exprimant au nom de l’</w:t>
      </w:r>
      <w:r w:rsidRPr="00575C7D">
        <w:rPr>
          <w:b/>
          <w:szCs w:val="22"/>
          <w:lang w:val="fr-FR"/>
        </w:rPr>
        <w:t>U</w:t>
      </w:r>
      <w:r w:rsidR="00986D00">
        <w:rPr>
          <w:b/>
          <w:szCs w:val="22"/>
          <w:lang w:val="fr-FR"/>
        </w:rPr>
        <w:t>nion européenne</w:t>
      </w:r>
      <w:r w:rsidRPr="00575C7D">
        <w:rPr>
          <w:b/>
          <w:szCs w:val="22"/>
          <w:lang w:val="fr-FR"/>
        </w:rPr>
        <w:t xml:space="preserve"> et de ses États membres</w:t>
      </w:r>
      <w:r w:rsidRPr="00575C7D">
        <w:rPr>
          <w:szCs w:val="22"/>
          <w:lang w:val="fr-FR"/>
        </w:rPr>
        <w:t>, a déclaré que l’U</w:t>
      </w:r>
      <w:r w:rsidR="009D5D5B">
        <w:rPr>
          <w:szCs w:val="22"/>
          <w:lang w:val="fr-FR"/>
        </w:rPr>
        <w:t>nion européenne</w:t>
      </w:r>
      <w:r w:rsidRPr="00575C7D">
        <w:rPr>
          <w:szCs w:val="22"/>
          <w:lang w:val="fr-FR"/>
        </w:rPr>
        <w:t xml:space="preserve"> nommerait un candidat à ce poste en temps utile, mais souhaitait d’abord consulter les autres pays d’Europe et d’Asie centrale.</w:t>
      </w:r>
    </w:p>
    <w:p w14:paraId="3E86090A" w14:textId="77777777" w:rsidR="00F30CF0" w:rsidRPr="005012AF" w:rsidRDefault="00F30CF0" w:rsidP="00BA154F">
      <w:pPr>
        <w:jc w:val="both"/>
        <w:rPr>
          <w:szCs w:val="22"/>
          <w:highlight w:val="yellow"/>
          <w:lang w:val="fr-FR"/>
        </w:rPr>
      </w:pPr>
    </w:p>
    <w:p w14:paraId="371593FC" w14:textId="77777777" w:rsidR="00F30CF0" w:rsidRPr="00575C7D" w:rsidRDefault="00F30CF0" w:rsidP="00BA154F">
      <w:pPr>
        <w:tabs>
          <w:tab w:val="left" w:pos="2127"/>
        </w:tabs>
        <w:jc w:val="both"/>
        <w:rPr>
          <w:szCs w:val="22"/>
          <w:lang w:val="fr-FR"/>
        </w:rPr>
      </w:pPr>
      <w:r w:rsidRPr="00575C7D">
        <w:rPr>
          <w:szCs w:val="22"/>
          <w:lang w:val="fr-FR"/>
        </w:rPr>
        <w:t xml:space="preserve">203. Au cours de la session plénière du 18 mai, le </w:t>
      </w:r>
      <w:r w:rsidRPr="00575C7D">
        <w:rPr>
          <w:b/>
          <w:szCs w:val="22"/>
          <w:lang w:val="fr-FR"/>
        </w:rPr>
        <w:t>Président</w:t>
      </w:r>
      <w:r w:rsidRPr="00575C7D">
        <w:rPr>
          <w:szCs w:val="22"/>
          <w:lang w:val="fr-FR"/>
        </w:rPr>
        <w:t xml:space="preserve"> a invité la réunion à examiner l’avant-projet de résolution DR17 </w:t>
      </w:r>
      <w:r w:rsidRPr="00575C7D">
        <w:rPr>
          <w:i/>
          <w:szCs w:val="22"/>
          <w:lang w:val="fr-FR"/>
        </w:rPr>
        <w:t>Dispositions</w:t>
      </w:r>
      <w:r w:rsidRPr="00575C7D">
        <w:rPr>
          <w:szCs w:val="22"/>
          <w:lang w:val="fr-FR"/>
        </w:rPr>
        <w:t xml:space="preserve"> </w:t>
      </w:r>
      <w:r w:rsidRPr="00575C7D">
        <w:rPr>
          <w:i/>
          <w:szCs w:val="22"/>
          <w:lang w:val="fr-FR"/>
        </w:rPr>
        <w:t>Institutionnelles : Comité permanent</w:t>
      </w:r>
      <w:r w:rsidRPr="00575C7D">
        <w:rPr>
          <w:szCs w:val="22"/>
          <w:lang w:val="fr-FR"/>
        </w:rPr>
        <w:t xml:space="preserve"> </w:t>
      </w:r>
      <w:proofErr w:type="spellStart"/>
      <w:r w:rsidRPr="00575C7D">
        <w:rPr>
          <w:szCs w:val="22"/>
          <w:lang w:val="fr-FR"/>
        </w:rPr>
        <w:t>Rév</w:t>
      </w:r>
      <w:proofErr w:type="spellEnd"/>
      <w:r w:rsidRPr="00575C7D">
        <w:rPr>
          <w:szCs w:val="22"/>
          <w:lang w:val="fr-FR"/>
        </w:rPr>
        <w:t>. 2 attirant l’attention sur les modifications proposées pour deux paragraphes.</w:t>
      </w:r>
    </w:p>
    <w:p w14:paraId="51DAEBBC" w14:textId="77777777" w:rsidR="00F30CF0" w:rsidRPr="00575C7D" w:rsidRDefault="00F30CF0" w:rsidP="00BA154F">
      <w:pPr>
        <w:tabs>
          <w:tab w:val="left" w:pos="2127"/>
        </w:tabs>
        <w:jc w:val="both"/>
        <w:rPr>
          <w:szCs w:val="22"/>
          <w:lang w:val="fr-FR"/>
        </w:rPr>
      </w:pPr>
    </w:p>
    <w:p w14:paraId="5692662F" w14:textId="1615EADA" w:rsidR="00F30CF0" w:rsidRPr="00575C7D" w:rsidRDefault="00F30CF0" w:rsidP="00BA154F">
      <w:pPr>
        <w:jc w:val="both"/>
        <w:rPr>
          <w:szCs w:val="22"/>
          <w:lang w:val="fr-FR"/>
        </w:rPr>
      </w:pPr>
      <w:r w:rsidRPr="00575C7D">
        <w:rPr>
          <w:szCs w:val="22"/>
          <w:lang w:val="fr-FR"/>
        </w:rPr>
        <w:t>204.</w:t>
      </w:r>
      <w:r w:rsidRPr="00575C7D">
        <w:rPr>
          <w:b/>
          <w:szCs w:val="22"/>
          <w:lang w:val="fr-FR"/>
        </w:rPr>
        <w:t xml:space="preserve"> </w:t>
      </w:r>
      <w:r w:rsidRPr="00575C7D">
        <w:rPr>
          <w:szCs w:val="22"/>
          <w:lang w:val="fr-FR"/>
        </w:rPr>
        <w:t>Le</w:t>
      </w:r>
      <w:r w:rsidRPr="00575C7D">
        <w:rPr>
          <w:b/>
          <w:szCs w:val="22"/>
          <w:lang w:val="fr-FR"/>
        </w:rPr>
        <w:t xml:space="preserve"> Danemark, </w:t>
      </w:r>
      <w:r w:rsidRPr="00575C7D">
        <w:rPr>
          <w:szCs w:val="22"/>
          <w:lang w:val="fr-FR"/>
        </w:rPr>
        <w:t>s’exprimant au nom de l’</w:t>
      </w:r>
      <w:r w:rsidRPr="00575C7D">
        <w:rPr>
          <w:b/>
          <w:szCs w:val="22"/>
          <w:lang w:val="fr-FR"/>
        </w:rPr>
        <w:t>U</w:t>
      </w:r>
      <w:r w:rsidR="00986D00">
        <w:rPr>
          <w:b/>
          <w:szCs w:val="22"/>
          <w:lang w:val="fr-FR"/>
        </w:rPr>
        <w:t>nion européenne</w:t>
      </w:r>
      <w:r w:rsidRPr="00575C7D">
        <w:rPr>
          <w:b/>
          <w:szCs w:val="22"/>
          <w:lang w:val="fr-FR"/>
        </w:rPr>
        <w:t xml:space="preserve"> et de ses États membres</w:t>
      </w:r>
      <w:r w:rsidRPr="00575C7D">
        <w:rPr>
          <w:szCs w:val="22"/>
          <w:lang w:val="fr-FR"/>
        </w:rPr>
        <w:t>, a proposé la Croatie en tant que représentant suppléant de la France pour la région Europe et Asie centrale.</w:t>
      </w:r>
    </w:p>
    <w:p w14:paraId="4966FF93" w14:textId="77777777" w:rsidR="00F30CF0" w:rsidRPr="00575C7D" w:rsidRDefault="00F30CF0" w:rsidP="00BA154F">
      <w:pPr>
        <w:jc w:val="both"/>
        <w:rPr>
          <w:szCs w:val="22"/>
          <w:lang w:val="fr-FR"/>
        </w:rPr>
      </w:pPr>
    </w:p>
    <w:p w14:paraId="0F6796D4" w14:textId="1F4F5BED" w:rsidR="00F30CF0" w:rsidRPr="00575C7D" w:rsidRDefault="00F30CF0" w:rsidP="00BA154F">
      <w:pPr>
        <w:jc w:val="both"/>
        <w:rPr>
          <w:szCs w:val="22"/>
          <w:lang w:val="fr-FR"/>
        </w:rPr>
      </w:pPr>
      <w:r w:rsidRPr="00575C7D">
        <w:rPr>
          <w:szCs w:val="22"/>
          <w:lang w:val="fr-FR"/>
        </w:rPr>
        <w:t xml:space="preserve">205. Le </w:t>
      </w:r>
      <w:r w:rsidRPr="00575C7D">
        <w:rPr>
          <w:b/>
          <w:szCs w:val="22"/>
          <w:lang w:val="fr-FR"/>
        </w:rPr>
        <w:t xml:space="preserve">Bénin, </w:t>
      </w:r>
      <w:r w:rsidRPr="00575C7D">
        <w:rPr>
          <w:szCs w:val="22"/>
          <w:lang w:val="fr-FR"/>
        </w:rPr>
        <w:t xml:space="preserve">s’exprimant au nom du </w:t>
      </w:r>
      <w:r w:rsidR="00986D00">
        <w:rPr>
          <w:b/>
          <w:szCs w:val="22"/>
          <w:lang w:val="fr-FR"/>
        </w:rPr>
        <w:t>groupe de l’Afrique</w:t>
      </w:r>
      <w:r w:rsidRPr="00575C7D">
        <w:rPr>
          <w:szCs w:val="22"/>
          <w:lang w:val="fr-FR"/>
        </w:rPr>
        <w:t xml:space="preserve">, et appuyé par le </w:t>
      </w:r>
      <w:r w:rsidRPr="00575C7D">
        <w:rPr>
          <w:b/>
          <w:szCs w:val="22"/>
          <w:lang w:val="fr-FR"/>
        </w:rPr>
        <w:t>Togo</w:t>
      </w:r>
      <w:r w:rsidRPr="00575C7D">
        <w:rPr>
          <w:szCs w:val="22"/>
          <w:lang w:val="fr-FR"/>
        </w:rPr>
        <w:t xml:space="preserve"> et le </w:t>
      </w:r>
      <w:r w:rsidRPr="00575C7D">
        <w:rPr>
          <w:b/>
          <w:szCs w:val="22"/>
          <w:lang w:val="fr-FR"/>
        </w:rPr>
        <w:t>Mali</w:t>
      </w:r>
      <w:r w:rsidRPr="00575C7D">
        <w:rPr>
          <w:szCs w:val="22"/>
          <w:lang w:val="fr-FR"/>
        </w:rPr>
        <w:t>, a proposé le Ghana en tant que représentant et le Tchad en tant que représentant suppléant pour la région Afrique de l’Ouest et centrale.</w:t>
      </w:r>
    </w:p>
    <w:p w14:paraId="0F35BC71" w14:textId="77777777" w:rsidR="00F30CF0" w:rsidRPr="00575C7D" w:rsidRDefault="00F30CF0" w:rsidP="00BA154F">
      <w:pPr>
        <w:jc w:val="both"/>
        <w:rPr>
          <w:szCs w:val="22"/>
          <w:lang w:val="fr-FR"/>
        </w:rPr>
      </w:pPr>
      <w:r w:rsidRPr="00575C7D">
        <w:rPr>
          <w:szCs w:val="22"/>
          <w:lang w:val="fr-FR"/>
        </w:rPr>
        <w:t>206.</w:t>
      </w:r>
      <w:r w:rsidRPr="00575C7D">
        <w:rPr>
          <w:b/>
          <w:szCs w:val="22"/>
          <w:lang w:val="fr-FR"/>
        </w:rPr>
        <w:t xml:space="preserve"> </w:t>
      </w:r>
      <w:r w:rsidRPr="00575C7D">
        <w:rPr>
          <w:szCs w:val="22"/>
          <w:lang w:val="fr-FR"/>
        </w:rPr>
        <w:t>L’</w:t>
      </w:r>
      <w:r w:rsidRPr="00575C7D">
        <w:rPr>
          <w:b/>
          <w:szCs w:val="22"/>
          <w:lang w:val="fr-FR"/>
        </w:rPr>
        <w:t>Algérie</w:t>
      </w:r>
      <w:r w:rsidRPr="00575C7D">
        <w:rPr>
          <w:szCs w:val="22"/>
          <w:lang w:val="fr-FR"/>
        </w:rPr>
        <w:t>, a proposé la Libye en tant que suppléant pour la région Moyen-Orient et Afrique du Nord.</w:t>
      </w:r>
    </w:p>
    <w:p w14:paraId="1B8AF31A" w14:textId="77777777" w:rsidR="00F30CF0" w:rsidRPr="00575C7D" w:rsidRDefault="00F30CF0" w:rsidP="00BA154F">
      <w:pPr>
        <w:jc w:val="both"/>
        <w:rPr>
          <w:szCs w:val="22"/>
          <w:lang w:val="fr-FR"/>
        </w:rPr>
      </w:pPr>
    </w:p>
    <w:p w14:paraId="3C9CDAD4" w14:textId="7B5115B4" w:rsidR="00F30CF0" w:rsidRPr="00575C7D" w:rsidRDefault="00F30CF0" w:rsidP="00BA154F">
      <w:pPr>
        <w:jc w:val="both"/>
        <w:rPr>
          <w:szCs w:val="22"/>
          <w:lang w:val="fr-FR"/>
        </w:rPr>
      </w:pPr>
      <w:r w:rsidRPr="00575C7D">
        <w:rPr>
          <w:szCs w:val="22"/>
          <w:lang w:val="fr-FR"/>
        </w:rPr>
        <w:t xml:space="preserve">207. Sur l’invitation du </w:t>
      </w:r>
      <w:r w:rsidRPr="00575C7D">
        <w:rPr>
          <w:b/>
          <w:szCs w:val="22"/>
          <w:lang w:val="fr-FR"/>
        </w:rPr>
        <w:t>Président</w:t>
      </w:r>
      <w:r w:rsidRPr="00575C7D">
        <w:rPr>
          <w:szCs w:val="22"/>
          <w:lang w:val="fr-FR"/>
        </w:rPr>
        <w:t xml:space="preserve">, la réunion a approuvé le DR17 </w:t>
      </w:r>
      <w:proofErr w:type="spellStart"/>
      <w:r w:rsidRPr="00575C7D">
        <w:rPr>
          <w:szCs w:val="22"/>
          <w:lang w:val="fr-FR"/>
        </w:rPr>
        <w:t>Rév</w:t>
      </w:r>
      <w:proofErr w:type="spellEnd"/>
      <w:r w:rsidRPr="00575C7D">
        <w:rPr>
          <w:szCs w:val="22"/>
          <w:lang w:val="fr-FR"/>
        </w:rPr>
        <w:t>. 2, modifié du fait des nominations supplémentaires présentées par l’Algérie, le Bénin et l’U</w:t>
      </w:r>
      <w:r w:rsidR="00986D00">
        <w:rPr>
          <w:szCs w:val="22"/>
          <w:lang w:val="fr-FR"/>
        </w:rPr>
        <w:t>nion européenne</w:t>
      </w:r>
      <w:r w:rsidRPr="00575C7D">
        <w:rPr>
          <w:szCs w:val="22"/>
          <w:lang w:val="fr-FR"/>
        </w:rPr>
        <w:t xml:space="preserve">, confirmant la composition des membres du Comité permanent pour la prochaine période </w:t>
      </w:r>
      <w:proofErr w:type="spellStart"/>
      <w:r w:rsidRPr="00575C7D">
        <w:rPr>
          <w:szCs w:val="22"/>
          <w:lang w:val="fr-FR"/>
        </w:rPr>
        <w:t>intersessionnelle</w:t>
      </w:r>
      <w:proofErr w:type="spellEnd"/>
      <w:r w:rsidRPr="00575C7D">
        <w:rPr>
          <w:szCs w:val="22"/>
          <w:lang w:val="fr-FR"/>
        </w:rPr>
        <w:t xml:space="preserve"> comme suit :</w:t>
      </w:r>
    </w:p>
    <w:p w14:paraId="6883BB33" w14:textId="77777777" w:rsidR="00F30CF0" w:rsidRPr="00F30CF0" w:rsidRDefault="00F30CF0" w:rsidP="00BA154F">
      <w:pPr>
        <w:jc w:val="both"/>
        <w:rPr>
          <w:szCs w:val="22"/>
          <w:highlight w:val="yellow"/>
          <w:lang w:val="fr-FR"/>
        </w:rPr>
      </w:pPr>
    </w:p>
    <w:p w14:paraId="20B1789C" w14:textId="77777777" w:rsidR="00F30CF0" w:rsidRPr="00575C7D" w:rsidRDefault="00F30CF0" w:rsidP="00BA154F">
      <w:pPr>
        <w:tabs>
          <w:tab w:val="left" w:pos="3686"/>
          <w:tab w:val="left" w:pos="6237"/>
        </w:tabs>
        <w:ind w:left="720" w:hanging="720"/>
        <w:jc w:val="both"/>
        <w:rPr>
          <w:szCs w:val="22"/>
          <w:lang w:val="fr-FR"/>
        </w:rPr>
      </w:pPr>
      <w:r w:rsidRPr="00575C7D">
        <w:rPr>
          <w:szCs w:val="22"/>
          <w:u w:val="single"/>
          <w:lang w:val="fr-FR"/>
        </w:rPr>
        <w:t>Région</w:t>
      </w:r>
      <w:r w:rsidRPr="00575C7D">
        <w:rPr>
          <w:szCs w:val="22"/>
          <w:lang w:val="fr-FR"/>
        </w:rPr>
        <w:t xml:space="preserve"> </w:t>
      </w:r>
      <w:r w:rsidRPr="00575C7D">
        <w:rPr>
          <w:szCs w:val="22"/>
          <w:lang w:val="fr-FR"/>
        </w:rPr>
        <w:tab/>
      </w:r>
      <w:r w:rsidRPr="00575C7D">
        <w:rPr>
          <w:szCs w:val="22"/>
          <w:u w:val="single"/>
          <w:lang w:val="fr-FR"/>
        </w:rPr>
        <w:t>Représentant</w:t>
      </w:r>
      <w:r w:rsidRPr="00575C7D">
        <w:rPr>
          <w:szCs w:val="22"/>
          <w:lang w:val="fr-FR"/>
        </w:rPr>
        <w:tab/>
      </w:r>
      <w:r w:rsidRPr="00575C7D">
        <w:rPr>
          <w:szCs w:val="22"/>
          <w:u w:val="single"/>
          <w:lang w:val="fr-FR"/>
        </w:rPr>
        <w:t>Suppléan</w:t>
      </w:r>
      <w:r w:rsidRPr="00575C7D">
        <w:rPr>
          <w:szCs w:val="22"/>
          <w:lang w:val="fr-FR"/>
        </w:rPr>
        <w:t>t</w:t>
      </w:r>
    </w:p>
    <w:p w14:paraId="536CAD6C" w14:textId="77777777" w:rsidR="00F30CF0" w:rsidRPr="00575C7D" w:rsidRDefault="00F30CF0" w:rsidP="00BA154F">
      <w:pPr>
        <w:tabs>
          <w:tab w:val="left" w:pos="3686"/>
          <w:tab w:val="left" w:pos="6237"/>
        </w:tabs>
        <w:ind w:left="720" w:hanging="720"/>
        <w:jc w:val="both"/>
        <w:rPr>
          <w:b/>
          <w:szCs w:val="22"/>
          <w:lang w:val="fr-FR"/>
        </w:rPr>
      </w:pPr>
      <w:r w:rsidRPr="00575C7D">
        <w:rPr>
          <w:b/>
          <w:szCs w:val="22"/>
          <w:lang w:val="fr-FR"/>
        </w:rPr>
        <w:tab/>
      </w:r>
      <w:r w:rsidRPr="00575C7D">
        <w:rPr>
          <w:b/>
          <w:szCs w:val="22"/>
          <w:lang w:val="fr-FR"/>
        </w:rPr>
        <w:tab/>
      </w:r>
    </w:p>
    <w:p w14:paraId="0B45DD48" w14:textId="6CD205C8" w:rsidR="00F30CF0" w:rsidRPr="00575C7D" w:rsidRDefault="00F30CF0" w:rsidP="00BA154F">
      <w:pPr>
        <w:tabs>
          <w:tab w:val="left" w:pos="3686"/>
          <w:tab w:val="left" w:pos="6237"/>
        </w:tabs>
        <w:ind w:left="720" w:hanging="720"/>
        <w:jc w:val="both"/>
        <w:rPr>
          <w:b/>
          <w:szCs w:val="22"/>
          <w:lang w:val="fr-FR"/>
        </w:rPr>
      </w:pPr>
      <w:r w:rsidRPr="00575C7D">
        <w:rPr>
          <w:szCs w:val="22"/>
          <w:lang w:val="fr-FR"/>
        </w:rPr>
        <w:t>Europe et Asie centrale (1)</w:t>
      </w:r>
      <w:r w:rsidRPr="00575C7D">
        <w:rPr>
          <w:b/>
          <w:szCs w:val="22"/>
          <w:lang w:val="fr-FR"/>
        </w:rPr>
        <w:tab/>
        <w:t>Norvège</w:t>
      </w:r>
      <w:r w:rsidRPr="00575C7D">
        <w:rPr>
          <w:b/>
          <w:szCs w:val="22"/>
          <w:lang w:val="fr-FR"/>
        </w:rPr>
        <w:tab/>
        <w:t>Ukraine</w:t>
      </w:r>
      <w:r w:rsidRPr="00575C7D">
        <w:rPr>
          <w:b/>
          <w:szCs w:val="22"/>
          <w:lang w:val="fr-FR"/>
        </w:rPr>
        <w:tab/>
      </w:r>
      <w:r w:rsidRPr="00575C7D">
        <w:rPr>
          <w:b/>
          <w:szCs w:val="22"/>
          <w:lang w:val="fr-FR"/>
        </w:rPr>
        <w:tab/>
      </w:r>
      <w:r w:rsidRPr="00575C7D">
        <w:rPr>
          <w:b/>
          <w:szCs w:val="22"/>
          <w:lang w:val="fr-FR"/>
        </w:rPr>
        <w:tab/>
      </w:r>
      <w:r w:rsidRPr="00575C7D">
        <w:rPr>
          <w:b/>
          <w:szCs w:val="22"/>
          <w:lang w:val="fr-FR"/>
        </w:rPr>
        <w:tab/>
      </w:r>
    </w:p>
    <w:p w14:paraId="412D9BCA" w14:textId="5034C955" w:rsidR="00F30CF0" w:rsidRPr="00575C7D" w:rsidRDefault="00F30CF0" w:rsidP="00BA154F">
      <w:pPr>
        <w:tabs>
          <w:tab w:val="left" w:pos="3686"/>
          <w:tab w:val="left" w:pos="6237"/>
        </w:tabs>
        <w:ind w:left="720" w:hanging="720"/>
        <w:jc w:val="both"/>
        <w:rPr>
          <w:b/>
          <w:szCs w:val="22"/>
          <w:lang w:val="fr-FR"/>
        </w:rPr>
      </w:pPr>
      <w:r w:rsidRPr="00575C7D">
        <w:rPr>
          <w:szCs w:val="22"/>
          <w:lang w:val="fr-FR"/>
        </w:rPr>
        <w:t>Europe et Asie centrale (2)</w:t>
      </w:r>
      <w:r w:rsidRPr="00575C7D">
        <w:rPr>
          <w:b/>
          <w:szCs w:val="22"/>
          <w:lang w:val="fr-FR"/>
        </w:rPr>
        <w:tab/>
        <w:t>France</w:t>
      </w:r>
      <w:r w:rsidRPr="00575C7D">
        <w:rPr>
          <w:b/>
          <w:szCs w:val="22"/>
          <w:lang w:val="fr-FR"/>
        </w:rPr>
        <w:tab/>
        <w:t>Croatie</w:t>
      </w:r>
    </w:p>
    <w:p w14:paraId="5E01AD98" w14:textId="141CAF81" w:rsidR="00F30CF0" w:rsidRPr="00575C7D" w:rsidRDefault="00F30CF0" w:rsidP="00BA154F">
      <w:pPr>
        <w:tabs>
          <w:tab w:val="left" w:pos="3686"/>
          <w:tab w:val="left" w:pos="6237"/>
        </w:tabs>
        <w:ind w:left="720" w:hanging="720"/>
        <w:jc w:val="both"/>
        <w:rPr>
          <w:b/>
          <w:szCs w:val="22"/>
          <w:lang w:val="fr-FR"/>
        </w:rPr>
      </w:pPr>
      <w:r w:rsidRPr="00575C7D">
        <w:rPr>
          <w:szCs w:val="22"/>
          <w:lang w:val="fr-FR"/>
        </w:rPr>
        <w:t>Moyen-Orient et Afrique du Nord</w:t>
      </w:r>
      <w:r w:rsidRPr="00575C7D">
        <w:rPr>
          <w:b/>
          <w:szCs w:val="22"/>
          <w:lang w:val="fr-FR"/>
        </w:rPr>
        <w:tab/>
        <w:t>Algérie</w:t>
      </w:r>
      <w:r w:rsidRPr="00575C7D">
        <w:rPr>
          <w:b/>
          <w:szCs w:val="22"/>
          <w:lang w:val="fr-FR"/>
        </w:rPr>
        <w:tab/>
        <w:t>Libye</w:t>
      </w:r>
    </w:p>
    <w:p w14:paraId="60048237" w14:textId="2B859160" w:rsidR="00F30CF0" w:rsidRPr="00575C7D" w:rsidRDefault="00F30CF0" w:rsidP="00BA154F">
      <w:pPr>
        <w:tabs>
          <w:tab w:val="left" w:pos="3686"/>
          <w:tab w:val="left" w:pos="6237"/>
        </w:tabs>
        <w:ind w:left="720" w:hanging="720"/>
        <w:jc w:val="both"/>
        <w:rPr>
          <w:b/>
          <w:szCs w:val="22"/>
          <w:lang w:val="fr-FR"/>
        </w:rPr>
      </w:pPr>
      <w:r w:rsidRPr="00575C7D">
        <w:rPr>
          <w:szCs w:val="22"/>
          <w:lang w:val="fr-FR"/>
        </w:rPr>
        <w:t>Afrique de l’Ouest et centrale</w:t>
      </w:r>
      <w:r w:rsidRPr="00575C7D">
        <w:rPr>
          <w:b/>
          <w:szCs w:val="22"/>
          <w:lang w:val="fr-FR"/>
        </w:rPr>
        <w:t xml:space="preserve"> </w:t>
      </w:r>
      <w:r w:rsidRPr="00575C7D">
        <w:rPr>
          <w:b/>
          <w:szCs w:val="22"/>
          <w:lang w:val="fr-FR"/>
        </w:rPr>
        <w:tab/>
        <w:t>Ghana</w:t>
      </w:r>
      <w:r w:rsidRPr="00575C7D">
        <w:rPr>
          <w:b/>
          <w:szCs w:val="22"/>
          <w:lang w:val="fr-FR"/>
        </w:rPr>
        <w:tab/>
        <w:t>Tchad</w:t>
      </w:r>
    </w:p>
    <w:p w14:paraId="28045AE4" w14:textId="77777777" w:rsidR="00F30CF0" w:rsidRPr="00575C7D" w:rsidRDefault="00F30CF0" w:rsidP="00BA154F">
      <w:pPr>
        <w:tabs>
          <w:tab w:val="left" w:pos="3686"/>
          <w:tab w:val="left" w:pos="6237"/>
        </w:tabs>
        <w:ind w:left="720" w:hanging="720"/>
        <w:jc w:val="both"/>
        <w:rPr>
          <w:b/>
          <w:szCs w:val="22"/>
          <w:lang w:val="fr-FR"/>
        </w:rPr>
      </w:pPr>
      <w:r w:rsidRPr="00575C7D">
        <w:rPr>
          <w:szCs w:val="22"/>
          <w:lang w:val="fr-FR"/>
        </w:rPr>
        <w:t>Afrique de l’Est et australe</w:t>
      </w:r>
      <w:r w:rsidRPr="00575C7D">
        <w:rPr>
          <w:b/>
          <w:szCs w:val="22"/>
          <w:lang w:val="fr-FR"/>
        </w:rPr>
        <w:tab/>
        <w:t>Ouganda</w:t>
      </w:r>
      <w:r w:rsidRPr="00575C7D">
        <w:rPr>
          <w:b/>
          <w:szCs w:val="22"/>
          <w:lang w:val="fr-FR"/>
        </w:rPr>
        <w:tab/>
        <w:t>Afrique du Sud</w:t>
      </w:r>
    </w:p>
    <w:p w14:paraId="4A1F92C7" w14:textId="77777777" w:rsidR="00F30CF0" w:rsidRPr="00575C7D" w:rsidRDefault="00F30CF0" w:rsidP="00BA154F">
      <w:pPr>
        <w:jc w:val="both"/>
        <w:rPr>
          <w:szCs w:val="22"/>
          <w:lang w:val="fr-FR"/>
        </w:rPr>
      </w:pPr>
    </w:p>
    <w:p w14:paraId="384EADBE" w14:textId="77777777" w:rsidR="00F30CF0" w:rsidRPr="00575C7D" w:rsidRDefault="00F30CF0" w:rsidP="00BA154F">
      <w:pPr>
        <w:jc w:val="both"/>
        <w:rPr>
          <w:szCs w:val="22"/>
          <w:lang w:val="fr-FR"/>
        </w:rPr>
      </w:pPr>
      <w:r w:rsidRPr="00575C7D">
        <w:rPr>
          <w:szCs w:val="22"/>
          <w:lang w:val="fr-FR"/>
        </w:rPr>
        <w:t xml:space="preserve">208. Le </w:t>
      </w:r>
      <w:r w:rsidRPr="00575C7D">
        <w:rPr>
          <w:b/>
          <w:szCs w:val="22"/>
          <w:lang w:val="fr-FR"/>
        </w:rPr>
        <w:t xml:space="preserve">Secrétaire exécutif par intérim de l’AEWA </w:t>
      </w:r>
      <w:r w:rsidRPr="00575C7D">
        <w:rPr>
          <w:szCs w:val="22"/>
          <w:lang w:val="fr-FR"/>
        </w:rPr>
        <w:t xml:space="preserve">(M. Marco Barbieri) a rappelé qu’une courte réunion du </w:t>
      </w:r>
      <w:proofErr w:type="spellStart"/>
      <w:r w:rsidRPr="00575C7D">
        <w:rPr>
          <w:szCs w:val="22"/>
          <w:lang w:val="fr-FR"/>
        </w:rPr>
        <w:t>StC</w:t>
      </w:r>
      <w:proofErr w:type="spellEnd"/>
      <w:r w:rsidRPr="00575C7D">
        <w:rPr>
          <w:szCs w:val="22"/>
          <w:lang w:val="fr-FR"/>
        </w:rPr>
        <w:t xml:space="preserve"> sous sa nouvelle composition, avec le représentant du Dépositaire, se tiendrait tout de suite après la clôture de la MOP5.</w:t>
      </w:r>
    </w:p>
    <w:p w14:paraId="3D6C1682" w14:textId="77777777" w:rsidR="00F30CF0" w:rsidRPr="00F30CF0" w:rsidRDefault="00F30CF0" w:rsidP="00BA154F">
      <w:pPr>
        <w:jc w:val="both"/>
        <w:rPr>
          <w:szCs w:val="22"/>
          <w:highlight w:val="yellow"/>
          <w:lang w:val="fr-FR"/>
        </w:rPr>
      </w:pPr>
    </w:p>
    <w:p w14:paraId="76A853D0" w14:textId="77777777" w:rsidR="00F30CF0" w:rsidRDefault="00F30CF0" w:rsidP="00BA154F">
      <w:pPr>
        <w:jc w:val="both"/>
        <w:outlineLvl w:val="0"/>
        <w:rPr>
          <w:szCs w:val="22"/>
          <w:u w:val="single"/>
          <w:lang w:val="fr-FR"/>
        </w:rPr>
      </w:pPr>
      <w:r w:rsidRPr="00BA154F">
        <w:rPr>
          <w:szCs w:val="22"/>
          <w:u w:val="single"/>
          <w:lang w:val="fr-FR"/>
        </w:rPr>
        <w:t>b. Comité technique</w:t>
      </w:r>
    </w:p>
    <w:p w14:paraId="1F0F8684" w14:textId="77777777" w:rsidR="00BA154F" w:rsidRPr="00BA154F" w:rsidRDefault="00BA154F" w:rsidP="00BA154F">
      <w:pPr>
        <w:jc w:val="both"/>
        <w:outlineLvl w:val="0"/>
        <w:rPr>
          <w:szCs w:val="22"/>
          <w:u w:val="single"/>
          <w:lang w:val="fr-FR"/>
        </w:rPr>
      </w:pPr>
    </w:p>
    <w:p w14:paraId="62C07520" w14:textId="77777777" w:rsidR="00F30CF0" w:rsidRPr="00575C7D" w:rsidRDefault="00F30CF0" w:rsidP="00BA154F">
      <w:pPr>
        <w:jc w:val="both"/>
        <w:rPr>
          <w:szCs w:val="22"/>
          <w:lang w:val="fr-FR"/>
        </w:rPr>
      </w:pPr>
      <w:r w:rsidRPr="00575C7D">
        <w:rPr>
          <w:szCs w:val="22"/>
          <w:lang w:val="fr-FR"/>
        </w:rPr>
        <w:t>209. L’</w:t>
      </w:r>
      <w:r w:rsidRPr="00575C7D">
        <w:rPr>
          <w:b/>
          <w:szCs w:val="22"/>
          <w:lang w:val="fr-FR"/>
        </w:rPr>
        <w:t>Administrateur technique</w:t>
      </w:r>
      <w:r w:rsidRPr="00575C7D">
        <w:rPr>
          <w:szCs w:val="22"/>
          <w:lang w:val="fr-FR"/>
        </w:rPr>
        <w:t xml:space="preserve"> </w:t>
      </w:r>
      <w:r w:rsidRPr="00575C7D">
        <w:rPr>
          <w:b/>
          <w:szCs w:val="22"/>
          <w:lang w:val="fr-FR"/>
        </w:rPr>
        <w:t>de l’AEWA</w:t>
      </w:r>
      <w:r w:rsidRPr="00575C7D">
        <w:rPr>
          <w:szCs w:val="22"/>
          <w:lang w:val="fr-FR"/>
        </w:rPr>
        <w:t xml:space="preserve"> (M. Sergey Dereliev) a présenté brièvement l’avant-projet de résolution AEWA/MOP DR18 Rév.1 </w:t>
      </w:r>
      <w:r w:rsidRPr="00575C7D">
        <w:rPr>
          <w:i/>
          <w:szCs w:val="22"/>
          <w:lang w:val="fr-FR"/>
        </w:rPr>
        <w:t>Dispositions institutionnelles : Comité technique</w:t>
      </w:r>
      <w:r w:rsidRPr="00575C7D">
        <w:rPr>
          <w:szCs w:val="22"/>
          <w:lang w:val="fr-FR"/>
        </w:rPr>
        <w:t xml:space="preserve"> qui propose deux amendements au Mode de fonctionnement du TC et nomme les représentants et les suppléants pour la prochaine période </w:t>
      </w:r>
      <w:proofErr w:type="spellStart"/>
      <w:r w:rsidRPr="00575C7D">
        <w:rPr>
          <w:szCs w:val="22"/>
          <w:lang w:val="fr-FR"/>
        </w:rPr>
        <w:t>intersessionnelle</w:t>
      </w:r>
      <w:proofErr w:type="spellEnd"/>
      <w:r w:rsidRPr="00575C7D">
        <w:rPr>
          <w:szCs w:val="22"/>
          <w:lang w:val="fr-FR"/>
        </w:rPr>
        <w:t>. L’avant-projet de résolution charge également le Président du TC d’identifier et de nommer un expert CEPA. M. Dereliev a informé la réunion sur les propositions de candidature reçues et les candidats dûment recommandés par le Groupe consultatif du TC aux fins d’approbation par la MOP :</w:t>
      </w:r>
    </w:p>
    <w:p w14:paraId="0C5A44F7" w14:textId="77777777" w:rsidR="00F30CF0" w:rsidRPr="00575C7D" w:rsidRDefault="00F30CF0" w:rsidP="00BA154F">
      <w:pPr>
        <w:jc w:val="both"/>
        <w:rPr>
          <w:szCs w:val="22"/>
          <w:lang w:val="fr-FR"/>
        </w:rPr>
      </w:pPr>
    </w:p>
    <w:p w14:paraId="7E146043" w14:textId="77777777" w:rsidR="00F30CF0" w:rsidRPr="00575C7D" w:rsidRDefault="00F30CF0" w:rsidP="00465E08">
      <w:pPr>
        <w:tabs>
          <w:tab w:val="left" w:pos="3544"/>
          <w:tab w:val="left" w:pos="7088"/>
        </w:tabs>
        <w:jc w:val="both"/>
        <w:rPr>
          <w:szCs w:val="22"/>
          <w:lang w:val="fr-FR"/>
        </w:rPr>
      </w:pPr>
      <w:r w:rsidRPr="00575C7D">
        <w:rPr>
          <w:szCs w:val="22"/>
          <w:u w:val="single"/>
          <w:lang w:val="fr-FR"/>
        </w:rPr>
        <w:t>Région</w:t>
      </w:r>
      <w:r w:rsidRPr="00575C7D">
        <w:rPr>
          <w:szCs w:val="22"/>
          <w:lang w:val="fr-FR"/>
        </w:rPr>
        <w:tab/>
      </w:r>
      <w:r w:rsidRPr="00575C7D">
        <w:rPr>
          <w:szCs w:val="22"/>
          <w:u w:val="single"/>
          <w:lang w:val="fr-FR"/>
        </w:rPr>
        <w:t xml:space="preserve">Représentant régional </w:t>
      </w:r>
      <w:r w:rsidRPr="00575C7D">
        <w:rPr>
          <w:szCs w:val="22"/>
          <w:lang w:val="fr-FR"/>
        </w:rPr>
        <w:tab/>
      </w:r>
      <w:r w:rsidRPr="00575C7D">
        <w:rPr>
          <w:szCs w:val="22"/>
          <w:u w:val="single"/>
          <w:lang w:val="fr-FR"/>
        </w:rPr>
        <w:t>Suppléant</w:t>
      </w:r>
    </w:p>
    <w:p w14:paraId="6EBDF4CE" w14:textId="2DE250C7" w:rsidR="00F30CF0" w:rsidRPr="00575C7D" w:rsidRDefault="00F30CF0" w:rsidP="00465E08">
      <w:pPr>
        <w:tabs>
          <w:tab w:val="left" w:pos="3402"/>
          <w:tab w:val="left" w:pos="3544"/>
          <w:tab w:val="left" w:pos="3686"/>
          <w:tab w:val="left" w:pos="7088"/>
        </w:tabs>
        <w:jc w:val="both"/>
        <w:rPr>
          <w:szCs w:val="22"/>
          <w:lang w:val="fr-FR"/>
        </w:rPr>
      </w:pPr>
      <w:r w:rsidRPr="00575C7D">
        <w:rPr>
          <w:szCs w:val="22"/>
          <w:lang w:val="fr-FR"/>
        </w:rPr>
        <w:t>Europe du Nord et du Sud-Ouest </w:t>
      </w:r>
      <w:r w:rsidR="00465E08">
        <w:rPr>
          <w:szCs w:val="22"/>
          <w:lang w:val="fr-FR"/>
        </w:rPr>
        <w:tab/>
      </w:r>
      <w:r w:rsidR="00465E08">
        <w:rPr>
          <w:szCs w:val="22"/>
          <w:lang w:val="fr-FR"/>
        </w:rPr>
        <w:tab/>
      </w:r>
      <w:r w:rsidRPr="00986D00">
        <w:rPr>
          <w:b/>
          <w:szCs w:val="22"/>
          <w:lang w:val="fr-FR"/>
        </w:rPr>
        <w:t xml:space="preserve">M. David </w:t>
      </w:r>
      <w:proofErr w:type="spellStart"/>
      <w:r w:rsidRPr="00986D00">
        <w:rPr>
          <w:b/>
          <w:szCs w:val="22"/>
          <w:lang w:val="fr-FR"/>
        </w:rPr>
        <w:t>Stroud</w:t>
      </w:r>
      <w:proofErr w:type="spellEnd"/>
      <w:r w:rsidRPr="00986D00">
        <w:rPr>
          <w:b/>
          <w:szCs w:val="22"/>
          <w:lang w:val="fr-FR"/>
        </w:rPr>
        <w:t xml:space="preserve"> (R-U)</w:t>
      </w:r>
      <w:r w:rsidRPr="00575C7D">
        <w:rPr>
          <w:szCs w:val="22"/>
          <w:lang w:val="fr-FR"/>
        </w:rPr>
        <w:tab/>
        <w:t>Poste vacant</w:t>
      </w:r>
    </w:p>
    <w:p w14:paraId="08657674" w14:textId="5E41BD08" w:rsidR="00F30CF0" w:rsidRPr="00575C7D" w:rsidRDefault="00F30CF0" w:rsidP="00465E08">
      <w:pPr>
        <w:tabs>
          <w:tab w:val="left" w:pos="3544"/>
          <w:tab w:val="left" w:pos="7088"/>
        </w:tabs>
        <w:ind w:left="708" w:hanging="708"/>
        <w:jc w:val="both"/>
        <w:rPr>
          <w:szCs w:val="22"/>
          <w:lang w:val="fr-FR"/>
        </w:rPr>
      </w:pPr>
      <w:r w:rsidRPr="00575C7D">
        <w:rPr>
          <w:szCs w:val="22"/>
          <w:lang w:val="fr-FR"/>
        </w:rPr>
        <w:t>Europe centrale</w:t>
      </w:r>
      <w:r w:rsidRPr="00575C7D">
        <w:rPr>
          <w:szCs w:val="22"/>
          <w:lang w:val="fr-FR"/>
        </w:rPr>
        <w:tab/>
      </w:r>
      <w:r w:rsidRPr="00986D00">
        <w:rPr>
          <w:b/>
          <w:szCs w:val="22"/>
          <w:lang w:val="fr-FR"/>
        </w:rPr>
        <w:t>M. Lorenzo Serra (Italie)</w:t>
      </w:r>
      <w:r w:rsidRPr="00986D00">
        <w:rPr>
          <w:b/>
          <w:szCs w:val="22"/>
          <w:lang w:val="fr-FR"/>
        </w:rPr>
        <w:tab/>
        <w:t>M. </w:t>
      </w:r>
      <w:proofErr w:type="spellStart"/>
      <w:r w:rsidRPr="00986D00">
        <w:rPr>
          <w:b/>
          <w:szCs w:val="22"/>
          <w:lang w:val="fr-FR"/>
        </w:rPr>
        <w:t>Darko</w:t>
      </w:r>
      <w:proofErr w:type="spellEnd"/>
      <w:r w:rsidRPr="00986D00">
        <w:rPr>
          <w:b/>
          <w:szCs w:val="22"/>
          <w:lang w:val="fr-FR"/>
        </w:rPr>
        <w:t> </w:t>
      </w:r>
      <w:proofErr w:type="spellStart"/>
      <w:r w:rsidRPr="00986D00">
        <w:rPr>
          <w:b/>
          <w:szCs w:val="22"/>
          <w:lang w:val="fr-FR"/>
        </w:rPr>
        <w:t>Savelijc</w:t>
      </w:r>
      <w:proofErr w:type="spellEnd"/>
    </w:p>
    <w:p w14:paraId="377DFE1B" w14:textId="77777777" w:rsidR="00F30CF0" w:rsidRPr="00986D00" w:rsidRDefault="00F30CF0" w:rsidP="00465E08">
      <w:pPr>
        <w:tabs>
          <w:tab w:val="left" w:pos="3544"/>
          <w:tab w:val="left" w:pos="7088"/>
        </w:tabs>
        <w:ind w:left="708" w:hanging="708"/>
        <w:jc w:val="both"/>
        <w:rPr>
          <w:b/>
          <w:szCs w:val="22"/>
          <w:lang w:val="fr-FR"/>
        </w:rPr>
      </w:pPr>
      <w:r w:rsidRPr="00575C7D">
        <w:rPr>
          <w:szCs w:val="22"/>
          <w:lang w:val="fr-FR"/>
        </w:rPr>
        <w:tab/>
      </w:r>
      <w:r w:rsidRPr="00575C7D">
        <w:rPr>
          <w:szCs w:val="22"/>
          <w:lang w:val="fr-FR"/>
        </w:rPr>
        <w:tab/>
      </w:r>
      <w:r w:rsidRPr="00575C7D">
        <w:rPr>
          <w:szCs w:val="22"/>
          <w:lang w:val="fr-FR"/>
        </w:rPr>
        <w:tab/>
      </w:r>
      <w:r w:rsidRPr="00986D00">
        <w:rPr>
          <w:b/>
          <w:szCs w:val="22"/>
          <w:lang w:val="fr-FR"/>
        </w:rPr>
        <w:t>(Monténégro)</w:t>
      </w:r>
    </w:p>
    <w:p w14:paraId="778A33F6" w14:textId="77777777" w:rsidR="00F30CF0" w:rsidRPr="00986D00" w:rsidRDefault="00F30CF0" w:rsidP="00465E08">
      <w:pPr>
        <w:tabs>
          <w:tab w:val="left" w:pos="3544"/>
          <w:tab w:val="left" w:pos="7088"/>
        </w:tabs>
        <w:ind w:left="708" w:hanging="708"/>
        <w:jc w:val="both"/>
        <w:rPr>
          <w:b/>
          <w:szCs w:val="22"/>
          <w:lang w:val="fr-FR"/>
        </w:rPr>
      </w:pPr>
      <w:r w:rsidRPr="00575C7D">
        <w:rPr>
          <w:szCs w:val="22"/>
          <w:lang w:val="fr-FR"/>
        </w:rPr>
        <w:t>Europe</w:t>
      </w:r>
      <w:r w:rsidRPr="00575C7D">
        <w:rPr>
          <w:szCs w:val="22"/>
          <w:lang w:val="fr-FR"/>
        </w:rPr>
        <w:tab/>
        <w:t>de l’Est</w:t>
      </w:r>
      <w:r w:rsidRPr="00575C7D">
        <w:rPr>
          <w:szCs w:val="22"/>
          <w:lang w:val="fr-FR"/>
        </w:rPr>
        <w:tab/>
      </w:r>
      <w:r w:rsidRPr="00986D00">
        <w:rPr>
          <w:b/>
          <w:szCs w:val="22"/>
          <w:lang w:val="fr-FR"/>
        </w:rPr>
        <w:t xml:space="preserve">M. </w:t>
      </w:r>
      <w:proofErr w:type="spellStart"/>
      <w:r w:rsidRPr="00986D00">
        <w:rPr>
          <w:b/>
          <w:szCs w:val="22"/>
          <w:lang w:val="fr-FR"/>
        </w:rPr>
        <w:t>Saulius</w:t>
      </w:r>
      <w:proofErr w:type="spellEnd"/>
      <w:r w:rsidRPr="00986D00">
        <w:rPr>
          <w:b/>
          <w:szCs w:val="22"/>
          <w:lang w:val="fr-FR"/>
        </w:rPr>
        <w:t xml:space="preserve"> </w:t>
      </w:r>
      <w:proofErr w:type="spellStart"/>
      <w:r w:rsidRPr="00986D00">
        <w:rPr>
          <w:b/>
          <w:szCs w:val="22"/>
          <w:lang w:val="fr-FR"/>
        </w:rPr>
        <w:t>Svazas</w:t>
      </w:r>
      <w:proofErr w:type="spellEnd"/>
      <w:r w:rsidRPr="00986D00">
        <w:rPr>
          <w:b/>
          <w:szCs w:val="22"/>
          <w:lang w:val="fr-FR"/>
        </w:rPr>
        <w:t xml:space="preserve"> (Lituanie)</w:t>
      </w:r>
      <w:r w:rsidRPr="00986D00">
        <w:rPr>
          <w:b/>
          <w:szCs w:val="22"/>
          <w:lang w:val="fr-FR"/>
        </w:rPr>
        <w:tab/>
        <w:t xml:space="preserve">M. Gleb </w:t>
      </w:r>
      <w:proofErr w:type="spellStart"/>
      <w:r w:rsidRPr="00986D00">
        <w:rPr>
          <w:b/>
          <w:szCs w:val="22"/>
          <w:lang w:val="fr-FR"/>
        </w:rPr>
        <w:t>Gavrys</w:t>
      </w:r>
      <w:proofErr w:type="spellEnd"/>
      <w:r w:rsidRPr="00986D00">
        <w:rPr>
          <w:b/>
          <w:szCs w:val="22"/>
          <w:lang w:val="fr-FR"/>
        </w:rPr>
        <w:t xml:space="preserve"> (Ukraine)</w:t>
      </w:r>
    </w:p>
    <w:p w14:paraId="0BF862A0" w14:textId="77777777" w:rsidR="00F30CF0" w:rsidRPr="00575C7D" w:rsidRDefault="00F30CF0" w:rsidP="00465E08">
      <w:pPr>
        <w:tabs>
          <w:tab w:val="left" w:pos="3544"/>
          <w:tab w:val="left" w:pos="7088"/>
        </w:tabs>
        <w:jc w:val="both"/>
        <w:rPr>
          <w:szCs w:val="22"/>
          <w:lang w:val="fr-FR"/>
        </w:rPr>
      </w:pPr>
      <w:r w:rsidRPr="00575C7D">
        <w:rPr>
          <w:szCs w:val="22"/>
          <w:lang w:val="fr-FR"/>
        </w:rPr>
        <w:t>Asie du Sud-Est</w:t>
      </w:r>
      <w:r w:rsidRPr="00575C7D">
        <w:rPr>
          <w:szCs w:val="22"/>
          <w:lang w:val="fr-FR"/>
        </w:rPr>
        <w:tab/>
      </w:r>
      <w:r w:rsidRPr="00986D00">
        <w:rPr>
          <w:b/>
          <w:szCs w:val="22"/>
          <w:lang w:val="fr-FR"/>
        </w:rPr>
        <w:t xml:space="preserve">M. Sharif </w:t>
      </w:r>
      <w:proofErr w:type="spellStart"/>
      <w:r w:rsidRPr="00986D00">
        <w:rPr>
          <w:b/>
          <w:szCs w:val="22"/>
          <w:lang w:val="fr-FR"/>
        </w:rPr>
        <w:t>Jbour</w:t>
      </w:r>
      <w:proofErr w:type="spellEnd"/>
      <w:r w:rsidRPr="00986D00">
        <w:rPr>
          <w:b/>
          <w:szCs w:val="22"/>
          <w:lang w:val="fr-FR"/>
        </w:rPr>
        <w:t xml:space="preserve"> (Jordanie)</w:t>
      </w:r>
      <w:r w:rsidRPr="00575C7D">
        <w:rPr>
          <w:szCs w:val="22"/>
          <w:lang w:val="fr-FR"/>
        </w:rPr>
        <w:tab/>
        <w:t>Poste vacant</w:t>
      </w:r>
    </w:p>
    <w:p w14:paraId="52EC4A26" w14:textId="77777777" w:rsidR="00F30CF0" w:rsidRPr="00575C7D" w:rsidRDefault="00F30CF0" w:rsidP="00465E08">
      <w:pPr>
        <w:tabs>
          <w:tab w:val="left" w:pos="3544"/>
          <w:tab w:val="left" w:pos="7088"/>
        </w:tabs>
        <w:jc w:val="both"/>
        <w:rPr>
          <w:szCs w:val="22"/>
          <w:lang w:val="fr-FR"/>
        </w:rPr>
      </w:pPr>
      <w:r w:rsidRPr="00575C7D">
        <w:rPr>
          <w:szCs w:val="22"/>
          <w:lang w:val="fr-FR"/>
        </w:rPr>
        <w:t>Afrique du Nord</w:t>
      </w:r>
      <w:r w:rsidRPr="00575C7D">
        <w:rPr>
          <w:szCs w:val="22"/>
          <w:lang w:val="fr-FR"/>
        </w:rPr>
        <w:tab/>
      </w:r>
      <w:r w:rsidRPr="00986D00">
        <w:rPr>
          <w:b/>
          <w:szCs w:val="22"/>
          <w:lang w:val="fr-FR"/>
        </w:rPr>
        <w:t xml:space="preserve">M. Hichem </w:t>
      </w:r>
      <w:proofErr w:type="spellStart"/>
      <w:r w:rsidRPr="00986D00">
        <w:rPr>
          <w:b/>
          <w:szCs w:val="22"/>
          <w:lang w:val="fr-FR"/>
        </w:rPr>
        <w:t>Azafzaf</w:t>
      </w:r>
      <w:proofErr w:type="spellEnd"/>
      <w:r w:rsidRPr="00986D00">
        <w:rPr>
          <w:b/>
          <w:szCs w:val="22"/>
          <w:lang w:val="fr-FR"/>
        </w:rPr>
        <w:t xml:space="preserve"> (Tunisie)</w:t>
      </w:r>
      <w:r w:rsidRPr="00575C7D">
        <w:rPr>
          <w:szCs w:val="22"/>
          <w:lang w:val="fr-FR"/>
        </w:rPr>
        <w:tab/>
        <w:t>Poste vacant</w:t>
      </w:r>
    </w:p>
    <w:p w14:paraId="4DE56C38" w14:textId="77777777" w:rsidR="00F30CF0" w:rsidRPr="00575C7D" w:rsidRDefault="00F30CF0" w:rsidP="00465E08">
      <w:pPr>
        <w:tabs>
          <w:tab w:val="left" w:pos="3544"/>
          <w:tab w:val="left" w:pos="7088"/>
        </w:tabs>
        <w:jc w:val="both"/>
        <w:rPr>
          <w:szCs w:val="22"/>
          <w:lang w:val="fr-FR"/>
        </w:rPr>
      </w:pPr>
      <w:r w:rsidRPr="00575C7D">
        <w:rPr>
          <w:szCs w:val="22"/>
          <w:lang w:val="fr-FR"/>
        </w:rPr>
        <w:t>Afrique de l’Ouest</w:t>
      </w:r>
      <w:r w:rsidRPr="00575C7D">
        <w:rPr>
          <w:szCs w:val="22"/>
          <w:lang w:val="fr-FR"/>
        </w:rPr>
        <w:tab/>
      </w:r>
      <w:r w:rsidRPr="00986D00">
        <w:rPr>
          <w:b/>
          <w:szCs w:val="22"/>
          <w:lang w:val="fr-FR"/>
        </w:rPr>
        <w:t xml:space="preserve">M. Erasmus </w:t>
      </w:r>
      <w:proofErr w:type="spellStart"/>
      <w:r w:rsidRPr="00986D00">
        <w:rPr>
          <w:b/>
          <w:szCs w:val="22"/>
          <w:lang w:val="fr-FR"/>
        </w:rPr>
        <w:t>Owusu</w:t>
      </w:r>
      <w:proofErr w:type="spellEnd"/>
      <w:r w:rsidRPr="00986D00">
        <w:rPr>
          <w:b/>
          <w:szCs w:val="22"/>
          <w:lang w:val="fr-FR"/>
        </w:rPr>
        <w:t xml:space="preserve"> (Ghana)</w:t>
      </w:r>
      <w:r w:rsidRPr="00575C7D">
        <w:rPr>
          <w:szCs w:val="22"/>
          <w:lang w:val="fr-FR"/>
        </w:rPr>
        <w:tab/>
        <w:t>Poste vacant</w:t>
      </w:r>
    </w:p>
    <w:p w14:paraId="75758711" w14:textId="77777777" w:rsidR="00F30CF0" w:rsidRPr="00575C7D" w:rsidRDefault="00F30CF0" w:rsidP="00465E08">
      <w:pPr>
        <w:tabs>
          <w:tab w:val="left" w:pos="3544"/>
          <w:tab w:val="left" w:pos="7088"/>
        </w:tabs>
        <w:jc w:val="both"/>
        <w:rPr>
          <w:szCs w:val="22"/>
          <w:lang w:val="fr-FR"/>
        </w:rPr>
      </w:pPr>
      <w:r w:rsidRPr="00575C7D">
        <w:rPr>
          <w:szCs w:val="22"/>
          <w:lang w:val="fr-FR"/>
        </w:rPr>
        <w:t>Afrique centrale</w:t>
      </w:r>
      <w:r w:rsidRPr="00575C7D">
        <w:rPr>
          <w:szCs w:val="22"/>
          <w:lang w:val="fr-FR"/>
        </w:rPr>
        <w:tab/>
      </w:r>
      <w:r w:rsidRPr="00986D00">
        <w:rPr>
          <w:b/>
          <w:szCs w:val="22"/>
          <w:lang w:val="fr-FR"/>
        </w:rPr>
        <w:t>Poste vacant</w:t>
      </w:r>
      <w:r w:rsidRPr="00575C7D">
        <w:rPr>
          <w:szCs w:val="22"/>
          <w:lang w:val="fr-FR"/>
        </w:rPr>
        <w:tab/>
        <w:t>Poste vacant</w:t>
      </w:r>
    </w:p>
    <w:p w14:paraId="38CB9881" w14:textId="77777777" w:rsidR="00F30CF0" w:rsidRPr="00575C7D" w:rsidRDefault="00F30CF0" w:rsidP="00465E08">
      <w:pPr>
        <w:tabs>
          <w:tab w:val="left" w:pos="3544"/>
          <w:tab w:val="left" w:pos="7088"/>
        </w:tabs>
        <w:jc w:val="both"/>
        <w:rPr>
          <w:szCs w:val="22"/>
          <w:lang w:val="fr-FR"/>
        </w:rPr>
      </w:pPr>
      <w:r w:rsidRPr="00575C7D">
        <w:rPr>
          <w:szCs w:val="22"/>
          <w:lang w:val="fr-FR"/>
        </w:rPr>
        <w:t>Afrique de l’Est</w:t>
      </w:r>
      <w:r w:rsidRPr="00575C7D">
        <w:rPr>
          <w:szCs w:val="22"/>
          <w:lang w:val="fr-FR"/>
        </w:rPr>
        <w:tab/>
      </w:r>
      <w:r w:rsidRPr="00986D00">
        <w:rPr>
          <w:b/>
          <w:szCs w:val="22"/>
          <w:lang w:val="fr-FR"/>
        </w:rPr>
        <w:t xml:space="preserve">M. Muchai S. </w:t>
      </w:r>
      <w:proofErr w:type="spellStart"/>
      <w:r w:rsidRPr="00986D00">
        <w:rPr>
          <w:b/>
          <w:szCs w:val="22"/>
          <w:lang w:val="fr-FR"/>
        </w:rPr>
        <w:t>Muchane</w:t>
      </w:r>
      <w:proofErr w:type="spellEnd"/>
      <w:r w:rsidRPr="00986D00">
        <w:rPr>
          <w:b/>
          <w:szCs w:val="22"/>
          <w:lang w:val="fr-FR"/>
        </w:rPr>
        <w:t xml:space="preserve"> (Kenya)</w:t>
      </w:r>
      <w:r w:rsidRPr="00986D00">
        <w:rPr>
          <w:b/>
          <w:szCs w:val="22"/>
          <w:lang w:val="fr-FR"/>
        </w:rPr>
        <w:tab/>
      </w:r>
      <w:r w:rsidRPr="00575C7D">
        <w:rPr>
          <w:szCs w:val="22"/>
          <w:lang w:val="fr-FR"/>
        </w:rPr>
        <w:t>Poste vacant</w:t>
      </w:r>
    </w:p>
    <w:p w14:paraId="75A653F8" w14:textId="77777777" w:rsidR="00F30CF0" w:rsidRPr="00575C7D" w:rsidRDefault="00F30CF0" w:rsidP="00465E08">
      <w:pPr>
        <w:tabs>
          <w:tab w:val="left" w:pos="3544"/>
          <w:tab w:val="left" w:pos="7088"/>
        </w:tabs>
        <w:jc w:val="both"/>
        <w:rPr>
          <w:szCs w:val="22"/>
          <w:lang w:val="fr-FR"/>
        </w:rPr>
      </w:pPr>
      <w:r w:rsidRPr="00575C7D">
        <w:rPr>
          <w:szCs w:val="22"/>
          <w:lang w:val="fr-FR"/>
        </w:rPr>
        <w:t>Afrique australe</w:t>
      </w:r>
      <w:r w:rsidRPr="00575C7D">
        <w:rPr>
          <w:szCs w:val="22"/>
          <w:lang w:val="fr-FR"/>
        </w:rPr>
        <w:tab/>
      </w:r>
      <w:r w:rsidRPr="00986D00">
        <w:rPr>
          <w:b/>
          <w:szCs w:val="22"/>
          <w:lang w:val="fr-FR"/>
        </w:rPr>
        <w:t>M. Mark Brown (Afrique du Sud)</w:t>
      </w:r>
      <w:r w:rsidRPr="00575C7D">
        <w:rPr>
          <w:szCs w:val="22"/>
          <w:lang w:val="fr-FR"/>
        </w:rPr>
        <w:tab/>
        <w:t>Poste vacant</w:t>
      </w:r>
    </w:p>
    <w:p w14:paraId="08F03966" w14:textId="77777777" w:rsidR="00F30CF0" w:rsidRPr="00575C7D" w:rsidRDefault="00F30CF0" w:rsidP="00BA154F">
      <w:pPr>
        <w:jc w:val="both"/>
        <w:rPr>
          <w:szCs w:val="22"/>
          <w:lang w:val="fr-FR"/>
        </w:rPr>
      </w:pPr>
    </w:p>
    <w:p w14:paraId="02D6AB8A" w14:textId="77777777" w:rsidR="00F30CF0" w:rsidRPr="00575C7D" w:rsidRDefault="00F30CF0" w:rsidP="00BA154F">
      <w:pPr>
        <w:jc w:val="both"/>
        <w:rPr>
          <w:szCs w:val="22"/>
          <w:lang w:val="fr-FR"/>
        </w:rPr>
      </w:pPr>
      <w:r w:rsidRPr="00575C7D">
        <w:rPr>
          <w:szCs w:val="22"/>
          <w:lang w:val="fr-FR"/>
        </w:rPr>
        <w:t xml:space="preserve">210. Une discussion, comprenant l’intervention du </w:t>
      </w:r>
      <w:r w:rsidRPr="00575C7D">
        <w:rPr>
          <w:b/>
          <w:szCs w:val="22"/>
          <w:lang w:val="fr-FR"/>
        </w:rPr>
        <w:t>Tchad</w:t>
      </w:r>
      <w:r w:rsidRPr="00575C7D">
        <w:rPr>
          <w:szCs w:val="22"/>
          <w:lang w:val="fr-FR"/>
        </w:rPr>
        <w:t xml:space="preserve">, du </w:t>
      </w:r>
      <w:r w:rsidRPr="00575C7D">
        <w:rPr>
          <w:b/>
          <w:szCs w:val="22"/>
          <w:lang w:val="fr-FR"/>
        </w:rPr>
        <w:t>Mali</w:t>
      </w:r>
      <w:r w:rsidRPr="00575C7D">
        <w:rPr>
          <w:szCs w:val="22"/>
          <w:lang w:val="fr-FR"/>
        </w:rPr>
        <w:t xml:space="preserve">, du </w:t>
      </w:r>
      <w:r w:rsidRPr="00575C7D">
        <w:rPr>
          <w:b/>
          <w:szCs w:val="22"/>
          <w:lang w:val="fr-FR"/>
        </w:rPr>
        <w:t>Sénégal</w:t>
      </w:r>
      <w:r w:rsidRPr="00575C7D">
        <w:rPr>
          <w:szCs w:val="22"/>
          <w:lang w:val="fr-FR"/>
        </w:rPr>
        <w:t xml:space="preserve"> et de l’</w:t>
      </w:r>
      <w:r w:rsidRPr="00575C7D">
        <w:rPr>
          <w:b/>
          <w:szCs w:val="22"/>
          <w:lang w:val="fr-FR"/>
        </w:rPr>
        <w:t>Ouganda</w:t>
      </w:r>
      <w:r w:rsidRPr="00575C7D">
        <w:rPr>
          <w:szCs w:val="22"/>
          <w:lang w:val="fr-FR"/>
        </w:rPr>
        <w:t>, s’est concentrée sur le fait de savoir si oui ou non le Mode de fonctionnement du TC devait être amendé de façon que la liste des candidats sélectionnés pour le TC soumise aux prochaines MOP soit accompagnée de courts résumés des CV des candidats.</w:t>
      </w:r>
    </w:p>
    <w:p w14:paraId="007F8A6E" w14:textId="77777777" w:rsidR="00F30CF0" w:rsidRPr="005012AF" w:rsidRDefault="00F30CF0" w:rsidP="00BA154F">
      <w:pPr>
        <w:jc w:val="both"/>
        <w:rPr>
          <w:szCs w:val="22"/>
          <w:highlight w:val="yellow"/>
          <w:lang w:val="fr-FR"/>
        </w:rPr>
      </w:pPr>
    </w:p>
    <w:p w14:paraId="37EE4168" w14:textId="77777777" w:rsidR="00F30CF0" w:rsidRPr="00575C7D" w:rsidRDefault="00F30CF0" w:rsidP="00BA154F">
      <w:pPr>
        <w:jc w:val="both"/>
        <w:rPr>
          <w:szCs w:val="22"/>
          <w:lang w:val="fr-FR"/>
        </w:rPr>
      </w:pPr>
      <w:r w:rsidRPr="00575C7D">
        <w:rPr>
          <w:szCs w:val="22"/>
          <w:lang w:val="fr-FR"/>
        </w:rPr>
        <w:t xml:space="preserve">211. Le </w:t>
      </w:r>
      <w:r w:rsidRPr="00575C7D">
        <w:rPr>
          <w:b/>
          <w:szCs w:val="22"/>
          <w:lang w:val="fr-FR"/>
        </w:rPr>
        <w:t>Secrétariat</w:t>
      </w:r>
      <w:r w:rsidRPr="00575C7D">
        <w:rPr>
          <w:szCs w:val="22"/>
          <w:lang w:val="fr-FR"/>
        </w:rPr>
        <w:t xml:space="preserve"> a précisé que le Mode de fonctionnement actuel prévoyait un examen détaillé des CV des candidats par un groupe consultatif composé de six personnes, sous la direction du Président du TC.</w:t>
      </w:r>
    </w:p>
    <w:p w14:paraId="4A4FFA08" w14:textId="77777777" w:rsidR="00F30CF0" w:rsidRPr="00575C7D" w:rsidRDefault="00F30CF0" w:rsidP="00BA154F">
      <w:pPr>
        <w:jc w:val="both"/>
        <w:rPr>
          <w:szCs w:val="22"/>
          <w:lang w:val="fr-FR"/>
        </w:rPr>
      </w:pPr>
    </w:p>
    <w:p w14:paraId="7937E809" w14:textId="77777777" w:rsidR="00F30CF0" w:rsidRPr="00575C7D" w:rsidRDefault="00F30CF0" w:rsidP="00BA154F">
      <w:pPr>
        <w:jc w:val="both"/>
        <w:rPr>
          <w:szCs w:val="22"/>
          <w:lang w:val="fr-FR"/>
        </w:rPr>
      </w:pPr>
      <w:r w:rsidRPr="00575C7D">
        <w:rPr>
          <w:szCs w:val="22"/>
          <w:lang w:val="fr-FR"/>
        </w:rPr>
        <w:t xml:space="preserve">212. Le </w:t>
      </w:r>
      <w:r w:rsidRPr="00575C7D">
        <w:rPr>
          <w:b/>
          <w:szCs w:val="22"/>
          <w:lang w:val="fr-FR"/>
        </w:rPr>
        <w:t>Président</w:t>
      </w:r>
      <w:r w:rsidRPr="00575C7D">
        <w:rPr>
          <w:szCs w:val="22"/>
          <w:lang w:val="fr-FR"/>
        </w:rPr>
        <w:t xml:space="preserve"> a décidé que toute Partie souhaitant faire une proposition spécifique d’amendement à l’avant-projet de résolution sur le Mode de fonctionnement du TC devait le faire par écrit.</w:t>
      </w:r>
    </w:p>
    <w:p w14:paraId="70CD8705" w14:textId="77777777" w:rsidR="00F30CF0" w:rsidRPr="00575C7D" w:rsidRDefault="00F30CF0" w:rsidP="00BA154F">
      <w:pPr>
        <w:jc w:val="both"/>
        <w:rPr>
          <w:szCs w:val="22"/>
          <w:lang w:val="fr-FR"/>
        </w:rPr>
      </w:pPr>
    </w:p>
    <w:p w14:paraId="17C1BE49" w14:textId="77777777" w:rsidR="00F30CF0" w:rsidRPr="00575C7D" w:rsidRDefault="00F30CF0" w:rsidP="00BA154F">
      <w:pPr>
        <w:jc w:val="both"/>
        <w:rPr>
          <w:szCs w:val="22"/>
          <w:lang w:val="fr-FR"/>
        </w:rPr>
      </w:pPr>
      <w:r w:rsidRPr="00575C7D">
        <w:rPr>
          <w:szCs w:val="22"/>
          <w:lang w:val="fr-FR"/>
        </w:rPr>
        <w:t xml:space="preserve">213. </w:t>
      </w:r>
      <w:r w:rsidRPr="00575C7D">
        <w:rPr>
          <w:b/>
          <w:szCs w:val="22"/>
          <w:lang w:val="fr-FR"/>
        </w:rPr>
        <w:t>Mme Melissa Lewis</w:t>
      </w:r>
      <w:r w:rsidRPr="00575C7D">
        <w:rPr>
          <w:szCs w:val="22"/>
          <w:lang w:val="fr-FR"/>
        </w:rPr>
        <w:t xml:space="preserve"> (Experte thématique du TC en droit de l’environnement) a posé la question de savoir si le paragraphe 3 de l’avant-projet était entièrement en conformité avec l’article 7 du texte de l’Accord.</w:t>
      </w:r>
    </w:p>
    <w:p w14:paraId="7EADA68C" w14:textId="77777777" w:rsidR="00F30CF0" w:rsidRPr="00575C7D" w:rsidRDefault="00F30CF0" w:rsidP="00BA154F">
      <w:pPr>
        <w:jc w:val="both"/>
        <w:rPr>
          <w:szCs w:val="22"/>
          <w:lang w:val="fr-FR"/>
        </w:rPr>
      </w:pPr>
    </w:p>
    <w:p w14:paraId="66DB3341" w14:textId="77777777" w:rsidR="00F30CF0" w:rsidRPr="00575C7D" w:rsidRDefault="00F30CF0" w:rsidP="00BA154F">
      <w:pPr>
        <w:jc w:val="both"/>
        <w:rPr>
          <w:szCs w:val="22"/>
          <w:lang w:val="fr-FR"/>
        </w:rPr>
      </w:pPr>
      <w:r w:rsidRPr="00575C7D">
        <w:rPr>
          <w:szCs w:val="22"/>
          <w:lang w:val="fr-FR"/>
        </w:rPr>
        <w:t xml:space="preserve">214. Le </w:t>
      </w:r>
      <w:r w:rsidRPr="00575C7D">
        <w:rPr>
          <w:b/>
          <w:szCs w:val="22"/>
          <w:lang w:val="fr-FR"/>
        </w:rPr>
        <w:t>Secrétariat</w:t>
      </w:r>
      <w:r w:rsidRPr="00575C7D">
        <w:rPr>
          <w:szCs w:val="22"/>
          <w:lang w:val="fr-FR"/>
        </w:rPr>
        <w:t xml:space="preserve"> a suggéré que les deux étaient de conception différente et qu’il n’y avait pas de conflit dans la pratique.</w:t>
      </w:r>
    </w:p>
    <w:p w14:paraId="024A421F" w14:textId="77777777" w:rsidR="00F30CF0" w:rsidRPr="00575C7D" w:rsidRDefault="00F30CF0" w:rsidP="00BA154F">
      <w:pPr>
        <w:jc w:val="both"/>
        <w:rPr>
          <w:szCs w:val="22"/>
          <w:lang w:val="fr-FR"/>
        </w:rPr>
      </w:pPr>
    </w:p>
    <w:p w14:paraId="75D75C40" w14:textId="77777777" w:rsidR="00F30CF0" w:rsidRPr="005012AF" w:rsidRDefault="00F30CF0" w:rsidP="00BA154F">
      <w:pPr>
        <w:jc w:val="both"/>
        <w:rPr>
          <w:szCs w:val="22"/>
          <w:lang w:val="fr-FR"/>
        </w:rPr>
      </w:pPr>
      <w:r w:rsidRPr="00575C7D">
        <w:rPr>
          <w:szCs w:val="22"/>
          <w:lang w:val="fr-FR"/>
        </w:rPr>
        <w:t xml:space="preserve">215. </w:t>
      </w:r>
      <w:r w:rsidRPr="00575C7D">
        <w:rPr>
          <w:b/>
          <w:szCs w:val="22"/>
          <w:lang w:val="fr-FR"/>
        </w:rPr>
        <w:t>Mme Lewis</w:t>
      </w:r>
      <w:r w:rsidRPr="00575C7D">
        <w:rPr>
          <w:szCs w:val="22"/>
          <w:lang w:val="fr-FR"/>
        </w:rPr>
        <w:t xml:space="preserve"> était d’accord, tout en notant qu’il serait peut-être nécessaire dans l’avenir de revoir cette question</w:t>
      </w:r>
      <w:r w:rsidRPr="005012AF">
        <w:rPr>
          <w:szCs w:val="22"/>
          <w:lang w:val="fr-FR"/>
        </w:rPr>
        <w:t>.</w:t>
      </w:r>
    </w:p>
    <w:p w14:paraId="61FAFDE9" w14:textId="77777777" w:rsidR="00F30CF0" w:rsidRPr="005012AF" w:rsidRDefault="00F30CF0" w:rsidP="00BA154F">
      <w:pPr>
        <w:jc w:val="both"/>
        <w:rPr>
          <w:szCs w:val="22"/>
          <w:lang w:val="fr-FR"/>
        </w:rPr>
      </w:pPr>
    </w:p>
    <w:p w14:paraId="74EBAB62" w14:textId="77777777" w:rsidR="00F30CF0" w:rsidRPr="00BA154F" w:rsidRDefault="00F30CF0" w:rsidP="00BA154F">
      <w:pPr>
        <w:jc w:val="both"/>
        <w:rPr>
          <w:szCs w:val="22"/>
          <w:u w:val="single"/>
          <w:lang w:val="fr-FR"/>
        </w:rPr>
      </w:pPr>
      <w:r w:rsidRPr="00BA154F">
        <w:rPr>
          <w:szCs w:val="22"/>
          <w:u w:val="single"/>
          <w:lang w:val="fr-FR"/>
        </w:rPr>
        <w:t>c. Coopération avec d’autres organes et processus</w:t>
      </w:r>
    </w:p>
    <w:p w14:paraId="101AC358" w14:textId="77777777" w:rsidR="00F30CF0" w:rsidRPr="00792FC9" w:rsidRDefault="00F30CF0" w:rsidP="00BA154F">
      <w:pPr>
        <w:pStyle w:val="ListParagraph"/>
        <w:ind w:left="0"/>
        <w:jc w:val="both"/>
        <w:rPr>
          <w:sz w:val="22"/>
          <w:szCs w:val="22"/>
          <w:u w:val="single"/>
          <w:lang w:val="fr-FR"/>
        </w:rPr>
      </w:pPr>
    </w:p>
    <w:p w14:paraId="6DC4BA4B" w14:textId="4AE9DA84" w:rsidR="00F30CF0" w:rsidRPr="00575C7D" w:rsidRDefault="00F30CF0" w:rsidP="00BA154F">
      <w:pPr>
        <w:pStyle w:val="ListParagraph"/>
        <w:ind w:left="0"/>
        <w:jc w:val="both"/>
        <w:rPr>
          <w:sz w:val="22"/>
          <w:szCs w:val="22"/>
          <w:lang w:val="fr-FR"/>
        </w:rPr>
      </w:pPr>
      <w:r w:rsidRPr="00575C7D">
        <w:rPr>
          <w:sz w:val="22"/>
          <w:szCs w:val="22"/>
          <w:lang w:val="fr-FR"/>
        </w:rPr>
        <w:t>216. Le représentant de l’</w:t>
      </w:r>
      <w:r w:rsidRPr="00575C7D">
        <w:rPr>
          <w:b/>
          <w:sz w:val="22"/>
          <w:szCs w:val="22"/>
          <w:lang w:val="fr-FR"/>
        </w:rPr>
        <w:t>U</w:t>
      </w:r>
      <w:r w:rsidR="00986D00">
        <w:rPr>
          <w:b/>
          <w:sz w:val="22"/>
          <w:szCs w:val="22"/>
          <w:lang w:val="fr-FR"/>
        </w:rPr>
        <w:t>nion européenne</w:t>
      </w:r>
      <w:r w:rsidRPr="00575C7D">
        <w:rPr>
          <w:b/>
          <w:sz w:val="22"/>
          <w:szCs w:val="22"/>
          <w:lang w:val="fr-FR"/>
        </w:rPr>
        <w:t xml:space="preserve"> et de ses États membres </w:t>
      </w:r>
      <w:r w:rsidRPr="00575C7D">
        <w:rPr>
          <w:sz w:val="22"/>
          <w:szCs w:val="22"/>
          <w:lang w:val="fr-FR"/>
        </w:rPr>
        <w:t xml:space="preserve">a présenté l’avant-projet de résolution AEWA/MOP5 DR19 </w:t>
      </w:r>
      <w:r w:rsidRPr="00575C7D">
        <w:rPr>
          <w:i/>
          <w:sz w:val="22"/>
          <w:szCs w:val="22"/>
          <w:lang w:val="fr-FR"/>
        </w:rPr>
        <w:t xml:space="preserve">Encourager la poursuite de la mise en œuvre conjointe de l’AEWA et de la Convention de </w:t>
      </w:r>
      <w:proofErr w:type="spellStart"/>
      <w:r w:rsidRPr="00575C7D">
        <w:rPr>
          <w:i/>
          <w:sz w:val="22"/>
          <w:szCs w:val="22"/>
          <w:lang w:val="fr-FR"/>
        </w:rPr>
        <w:t>Ramsar</w:t>
      </w:r>
      <w:proofErr w:type="spellEnd"/>
      <w:r w:rsidRPr="00575C7D">
        <w:rPr>
          <w:i/>
          <w:sz w:val="22"/>
          <w:szCs w:val="22"/>
          <w:lang w:val="fr-FR"/>
        </w:rPr>
        <w:t>.</w:t>
      </w:r>
    </w:p>
    <w:p w14:paraId="2F2BB959" w14:textId="77777777" w:rsidR="00F30CF0" w:rsidRPr="00575C7D" w:rsidRDefault="00F30CF0" w:rsidP="00BA154F">
      <w:pPr>
        <w:jc w:val="both"/>
        <w:rPr>
          <w:szCs w:val="22"/>
          <w:lang w:val="fr-FR"/>
        </w:rPr>
      </w:pPr>
    </w:p>
    <w:p w14:paraId="3B72469A" w14:textId="77777777" w:rsidR="00F30CF0" w:rsidRPr="00575C7D" w:rsidRDefault="00F30CF0" w:rsidP="00BA154F">
      <w:pPr>
        <w:jc w:val="both"/>
        <w:outlineLvl w:val="0"/>
        <w:rPr>
          <w:szCs w:val="22"/>
          <w:lang w:val="fr-FR"/>
        </w:rPr>
      </w:pPr>
      <w:r w:rsidRPr="00575C7D">
        <w:rPr>
          <w:szCs w:val="22"/>
          <w:lang w:val="fr-FR"/>
        </w:rPr>
        <w:t xml:space="preserve">217. Le </w:t>
      </w:r>
      <w:r w:rsidRPr="00575C7D">
        <w:rPr>
          <w:b/>
          <w:szCs w:val="22"/>
          <w:lang w:val="fr-FR"/>
        </w:rPr>
        <w:t>Président</w:t>
      </w:r>
      <w:r w:rsidRPr="00575C7D">
        <w:rPr>
          <w:szCs w:val="22"/>
          <w:lang w:val="fr-FR"/>
        </w:rPr>
        <w:t xml:space="preserve"> a invité les participants à prendre la parole.</w:t>
      </w:r>
    </w:p>
    <w:p w14:paraId="2A0B4F6C" w14:textId="77777777" w:rsidR="00F30CF0" w:rsidRPr="00575C7D" w:rsidRDefault="00F30CF0" w:rsidP="00BA154F">
      <w:pPr>
        <w:jc w:val="both"/>
        <w:rPr>
          <w:szCs w:val="22"/>
          <w:lang w:val="fr-FR"/>
        </w:rPr>
      </w:pPr>
    </w:p>
    <w:p w14:paraId="0EF2B509" w14:textId="77777777" w:rsidR="00F30CF0" w:rsidRPr="00575C7D" w:rsidRDefault="00F30CF0" w:rsidP="00BA154F">
      <w:pPr>
        <w:jc w:val="both"/>
        <w:rPr>
          <w:szCs w:val="22"/>
          <w:lang w:val="fr-FR"/>
        </w:rPr>
      </w:pPr>
      <w:r w:rsidRPr="00575C7D">
        <w:rPr>
          <w:szCs w:val="22"/>
          <w:lang w:val="fr-FR"/>
        </w:rPr>
        <w:t xml:space="preserve">218. Des amendements ont été proposés par le </w:t>
      </w:r>
      <w:r w:rsidRPr="00575C7D">
        <w:rPr>
          <w:b/>
          <w:szCs w:val="22"/>
          <w:lang w:val="fr-FR"/>
        </w:rPr>
        <w:t xml:space="preserve">Sénégal, </w:t>
      </w:r>
      <w:r w:rsidRPr="00575C7D">
        <w:rPr>
          <w:szCs w:val="22"/>
          <w:lang w:val="fr-FR"/>
        </w:rPr>
        <w:t xml:space="preserve">au nom de la </w:t>
      </w:r>
      <w:r w:rsidRPr="00575C7D">
        <w:rPr>
          <w:b/>
          <w:szCs w:val="22"/>
          <w:lang w:val="fr-FR"/>
        </w:rPr>
        <w:t xml:space="preserve">région africaine </w:t>
      </w:r>
      <w:r w:rsidRPr="00575C7D">
        <w:rPr>
          <w:szCs w:val="22"/>
          <w:lang w:val="fr-FR"/>
        </w:rPr>
        <w:t>et par le</w:t>
      </w:r>
      <w:r w:rsidRPr="00575C7D">
        <w:rPr>
          <w:b/>
          <w:szCs w:val="22"/>
          <w:lang w:val="fr-FR"/>
        </w:rPr>
        <w:t xml:space="preserve"> Secrétariat de la Convention de </w:t>
      </w:r>
      <w:proofErr w:type="spellStart"/>
      <w:r w:rsidRPr="00575C7D">
        <w:rPr>
          <w:b/>
          <w:szCs w:val="22"/>
          <w:lang w:val="fr-FR"/>
        </w:rPr>
        <w:t>Ramsar</w:t>
      </w:r>
      <w:proofErr w:type="spellEnd"/>
      <w:r w:rsidRPr="00575C7D">
        <w:rPr>
          <w:szCs w:val="22"/>
          <w:lang w:val="fr-FR"/>
        </w:rPr>
        <w:t>.</w:t>
      </w:r>
    </w:p>
    <w:p w14:paraId="1017C2BC" w14:textId="77777777" w:rsidR="00F30CF0" w:rsidRPr="00575C7D" w:rsidRDefault="00F30CF0" w:rsidP="00BA154F">
      <w:pPr>
        <w:jc w:val="both"/>
        <w:rPr>
          <w:szCs w:val="22"/>
          <w:lang w:val="fr-FR"/>
        </w:rPr>
      </w:pPr>
    </w:p>
    <w:p w14:paraId="7A965D11" w14:textId="77777777" w:rsidR="00F30CF0" w:rsidRPr="00575C7D" w:rsidRDefault="00F30CF0" w:rsidP="00BA154F">
      <w:pPr>
        <w:jc w:val="both"/>
        <w:outlineLvl w:val="0"/>
        <w:rPr>
          <w:szCs w:val="22"/>
          <w:lang w:val="fr-FR"/>
        </w:rPr>
      </w:pPr>
      <w:r w:rsidRPr="00575C7D">
        <w:rPr>
          <w:szCs w:val="22"/>
          <w:lang w:val="fr-FR"/>
        </w:rPr>
        <w:t xml:space="preserve">219. Le </w:t>
      </w:r>
      <w:r w:rsidRPr="00575C7D">
        <w:rPr>
          <w:b/>
          <w:szCs w:val="22"/>
          <w:lang w:val="fr-FR"/>
        </w:rPr>
        <w:t>Président</w:t>
      </w:r>
      <w:r w:rsidRPr="00575C7D">
        <w:rPr>
          <w:szCs w:val="22"/>
          <w:lang w:val="fr-FR"/>
        </w:rPr>
        <w:t xml:space="preserve"> a demandé au Secrétariat de préparer une version révisée du DR19.</w:t>
      </w:r>
    </w:p>
    <w:p w14:paraId="757D4CE9" w14:textId="77777777" w:rsidR="00F30CF0" w:rsidRPr="00575C7D" w:rsidRDefault="00F30CF0" w:rsidP="00BA154F">
      <w:pPr>
        <w:jc w:val="both"/>
        <w:rPr>
          <w:szCs w:val="22"/>
          <w:lang w:val="fr-FR"/>
        </w:rPr>
      </w:pPr>
    </w:p>
    <w:p w14:paraId="62FC6A86" w14:textId="37A816EF" w:rsidR="00F30CF0" w:rsidRPr="00575C7D" w:rsidRDefault="00F30CF0" w:rsidP="00BA154F">
      <w:pPr>
        <w:jc w:val="both"/>
        <w:rPr>
          <w:szCs w:val="22"/>
          <w:lang w:val="fr-FR"/>
        </w:rPr>
      </w:pPr>
      <w:r w:rsidRPr="00575C7D">
        <w:rPr>
          <w:szCs w:val="22"/>
          <w:lang w:val="fr-FR"/>
        </w:rPr>
        <w:t xml:space="preserve">220. La </w:t>
      </w:r>
      <w:r w:rsidRPr="00575C7D">
        <w:rPr>
          <w:b/>
          <w:szCs w:val="22"/>
          <w:lang w:val="fr-FR"/>
        </w:rPr>
        <w:t xml:space="preserve">France, </w:t>
      </w:r>
      <w:r w:rsidRPr="00575C7D">
        <w:rPr>
          <w:szCs w:val="22"/>
          <w:lang w:val="fr-FR"/>
        </w:rPr>
        <w:t>parlant au nom de</w:t>
      </w:r>
      <w:r w:rsidRPr="00575C7D">
        <w:rPr>
          <w:b/>
          <w:szCs w:val="22"/>
          <w:lang w:val="fr-FR"/>
        </w:rPr>
        <w:t xml:space="preserve"> </w:t>
      </w:r>
      <w:r w:rsidRPr="00575C7D">
        <w:rPr>
          <w:szCs w:val="22"/>
          <w:lang w:val="fr-FR"/>
        </w:rPr>
        <w:t>l’</w:t>
      </w:r>
      <w:r w:rsidRPr="00575C7D">
        <w:rPr>
          <w:b/>
          <w:szCs w:val="22"/>
          <w:lang w:val="fr-FR"/>
        </w:rPr>
        <w:t>U</w:t>
      </w:r>
      <w:r w:rsidR="00986D00">
        <w:rPr>
          <w:b/>
          <w:szCs w:val="22"/>
          <w:lang w:val="fr-FR"/>
        </w:rPr>
        <w:t>nion européenne</w:t>
      </w:r>
      <w:r w:rsidRPr="00575C7D">
        <w:rPr>
          <w:b/>
          <w:szCs w:val="22"/>
          <w:lang w:val="fr-FR"/>
        </w:rPr>
        <w:t xml:space="preserve"> et de ses États membres</w:t>
      </w:r>
      <w:r w:rsidRPr="00575C7D">
        <w:rPr>
          <w:szCs w:val="22"/>
          <w:lang w:val="fr-FR"/>
        </w:rPr>
        <w:t xml:space="preserve">, a présenté l’avant-projet de résolution AEWA/MOP5 DR20 </w:t>
      </w:r>
      <w:r w:rsidRPr="00575C7D">
        <w:rPr>
          <w:i/>
          <w:szCs w:val="22"/>
          <w:lang w:val="fr-FR"/>
        </w:rPr>
        <w:t xml:space="preserve">Promouvoir des programmes de jumelage entre les sites naturels couverts par l’AEWA et le Réseau de sites sous la Convention de </w:t>
      </w:r>
      <w:proofErr w:type="spellStart"/>
      <w:r w:rsidRPr="00575C7D">
        <w:rPr>
          <w:i/>
          <w:szCs w:val="22"/>
          <w:lang w:val="fr-FR"/>
        </w:rPr>
        <w:t>Ramsar</w:t>
      </w:r>
      <w:proofErr w:type="spellEnd"/>
      <w:r w:rsidRPr="00575C7D">
        <w:rPr>
          <w:szCs w:val="22"/>
          <w:lang w:val="fr-FR"/>
        </w:rPr>
        <w:t>.</w:t>
      </w:r>
    </w:p>
    <w:p w14:paraId="088F7578" w14:textId="77777777" w:rsidR="00F30CF0" w:rsidRPr="00575C7D" w:rsidRDefault="00F30CF0" w:rsidP="00BA154F">
      <w:pPr>
        <w:jc w:val="both"/>
        <w:rPr>
          <w:szCs w:val="22"/>
          <w:lang w:val="fr-FR"/>
        </w:rPr>
      </w:pPr>
    </w:p>
    <w:p w14:paraId="029A2775" w14:textId="77777777" w:rsidR="00F30CF0" w:rsidRPr="00575C7D" w:rsidRDefault="00F30CF0" w:rsidP="00BA154F">
      <w:pPr>
        <w:jc w:val="both"/>
        <w:outlineLvl w:val="0"/>
        <w:rPr>
          <w:szCs w:val="22"/>
          <w:lang w:val="fr-FR"/>
        </w:rPr>
      </w:pPr>
      <w:r w:rsidRPr="00575C7D">
        <w:rPr>
          <w:szCs w:val="22"/>
          <w:lang w:val="fr-FR"/>
        </w:rPr>
        <w:t xml:space="preserve">221. Le </w:t>
      </w:r>
      <w:r w:rsidRPr="00575C7D">
        <w:rPr>
          <w:b/>
          <w:szCs w:val="22"/>
          <w:lang w:val="fr-FR"/>
        </w:rPr>
        <w:t>Président</w:t>
      </w:r>
      <w:r w:rsidRPr="00575C7D">
        <w:rPr>
          <w:szCs w:val="22"/>
          <w:lang w:val="fr-FR"/>
        </w:rPr>
        <w:t xml:space="preserve"> a invité les participants à faire part de leurs commentaires.</w:t>
      </w:r>
    </w:p>
    <w:p w14:paraId="6EE86315" w14:textId="77777777" w:rsidR="00F30CF0" w:rsidRPr="005012AF" w:rsidRDefault="00F30CF0" w:rsidP="00BA154F">
      <w:pPr>
        <w:jc w:val="both"/>
        <w:rPr>
          <w:szCs w:val="22"/>
          <w:lang w:val="fr-FR"/>
        </w:rPr>
      </w:pPr>
    </w:p>
    <w:p w14:paraId="642E0395" w14:textId="77777777" w:rsidR="00F30CF0" w:rsidRPr="00575C7D" w:rsidRDefault="00F30CF0" w:rsidP="00BA154F">
      <w:pPr>
        <w:jc w:val="both"/>
        <w:rPr>
          <w:szCs w:val="22"/>
          <w:lang w:val="fr-FR"/>
        </w:rPr>
      </w:pPr>
      <w:r w:rsidRPr="00575C7D">
        <w:rPr>
          <w:szCs w:val="22"/>
          <w:lang w:val="fr-FR"/>
        </w:rPr>
        <w:t xml:space="preserve">222. Des amendements ont été proposés par la </w:t>
      </w:r>
      <w:r w:rsidRPr="00986D00">
        <w:rPr>
          <w:b/>
          <w:szCs w:val="22"/>
          <w:lang w:val="fr-FR"/>
        </w:rPr>
        <w:t>Norvège</w:t>
      </w:r>
      <w:r w:rsidRPr="00575C7D">
        <w:rPr>
          <w:szCs w:val="22"/>
          <w:lang w:val="fr-FR"/>
        </w:rPr>
        <w:t xml:space="preserve">, par le </w:t>
      </w:r>
      <w:r w:rsidRPr="00575C7D">
        <w:rPr>
          <w:b/>
          <w:szCs w:val="22"/>
          <w:lang w:val="fr-FR"/>
        </w:rPr>
        <w:t xml:space="preserve">Sénégal </w:t>
      </w:r>
      <w:r w:rsidRPr="00575C7D">
        <w:rPr>
          <w:szCs w:val="22"/>
          <w:lang w:val="fr-FR"/>
        </w:rPr>
        <w:t xml:space="preserve">au nom de la </w:t>
      </w:r>
      <w:r w:rsidRPr="00575C7D">
        <w:rPr>
          <w:b/>
          <w:szCs w:val="22"/>
          <w:lang w:val="fr-FR"/>
        </w:rPr>
        <w:t xml:space="preserve">région africaine </w:t>
      </w:r>
      <w:r w:rsidRPr="00575C7D">
        <w:rPr>
          <w:szCs w:val="22"/>
          <w:lang w:val="fr-FR"/>
        </w:rPr>
        <w:t xml:space="preserve">et par le Secrétariat de la </w:t>
      </w:r>
      <w:r w:rsidRPr="00575C7D">
        <w:rPr>
          <w:b/>
          <w:szCs w:val="22"/>
          <w:lang w:val="fr-FR"/>
        </w:rPr>
        <w:t>Convention de</w:t>
      </w:r>
      <w:r w:rsidRPr="00575C7D">
        <w:rPr>
          <w:szCs w:val="22"/>
          <w:lang w:val="fr-FR"/>
        </w:rPr>
        <w:t xml:space="preserve"> </w:t>
      </w:r>
      <w:proofErr w:type="spellStart"/>
      <w:r w:rsidRPr="00575C7D">
        <w:rPr>
          <w:b/>
          <w:szCs w:val="22"/>
          <w:lang w:val="fr-FR"/>
        </w:rPr>
        <w:t>Ramsar</w:t>
      </w:r>
      <w:proofErr w:type="spellEnd"/>
      <w:r w:rsidRPr="00575C7D">
        <w:rPr>
          <w:szCs w:val="22"/>
          <w:lang w:val="fr-FR"/>
        </w:rPr>
        <w:t>.</w:t>
      </w:r>
    </w:p>
    <w:p w14:paraId="544C4B90" w14:textId="77777777" w:rsidR="00F30CF0" w:rsidRPr="00575C7D" w:rsidRDefault="00F30CF0" w:rsidP="00BA154F">
      <w:pPr>
        <w:jc w:val="both"/>
        <w:rPr>
          <w:szCs w:val="22"/>
          <w:lang w:val="fr-FR"/>
        </w:rPr>
      </w:pPr>
    </w:p>
    <w:p w14:paraId="0DFBA463" w14:textId="5A078857" w:rsidR="00F30CF0" w:rsidRPr="00575C7D" w:rsidRDefault="00F30CF0" w:rsidP="00BA154F">
      <w:pPr>
        <w:jc w:val="both"/>
        <w:rPr>
          <w:szCs w:val="22"/>
          <w:lang w:val="fr-FR"/>
        </w:rPr>
      </w:pPr>
      <w:r w:rsidRPr="00575C7D">
        <w:rPr>
          <w:szCs w:val="22"/>
          <w:lang w:val="fr-FR"/>
        </w:rPr>
        <w:t xml:space="preserve">223. En réponse aux propositions faites par le Sénégal, le </w:t>
      </w:r>
      <w:r w:rsidRPr="00986D00">
        <w:rPr>
          <w:b/>
          <w:szCs w:val="22"/>
          <w:lang w:val="fr-FR"/>
        </w:rPr>
        <w:t xml:space="preserve">Président </w:t>
      </w:r>
      <w:r w:rsidR="00986D00">
        <w:rPr>
          <w:szCs w:val="22"/>
          <w:lang w:val="fr-FR"/>
        </w:rPr>
        <w:t>a invité le Sénégal</w:t>
      </w:r>
      <w:r w:rsidRPr="00575C7D">
        <w:rPr>
          <w:szCs w:val="22"/>
          <w:lang w:val="fr-FR"/>
        </w:rPr>
        <w:t xml:space="preserve"> ainsi que la Présidence de l’UE de se concerter afin de parvenir à un amendement réciproquement acceptable qui pourrait être soumis à la réunion plénière du 18 mai.</w:t>
      </w:r>
    </w:p>
    <w:p w14:paraId="09DE31F9" w14:textId="77777777" w:rsidR="00F30CF0" w:rsidRPr="00575C7D" w:rsidRDefault="00F30CF0" w:rsidP="00BA154F">
      <w:pPr>
        <w:jc w:val="both"/>
        <w:rPr>
          <w:szCs w:val="22"/>
          <w:lang w:val="fr-FR"/>
        </w:rPr>
      </w:pPr>
    </w:p>
    <w:p w14:paraId="34733B37" w14:textId="77777777" w:rsidR="00986D00" w:rsidRDefault="00986D00" w:rsidP="00BA154F">
      <w:pPr>
        <w:jc w:val="both"/>
        <w:outlineLvl w:val="0"/>
        <w:rPr>
          <w:b/>
          <w:szCs w:val="22"/>
          <w:lang w:val="fr-FR"/>
        </w:rPr>
      </w:pPr>
    </w:p>
    <w:p w14:paraId="229A2BBD" w14:textId="77777777" w:rsidR="00C86381" w:rsidRPr="005012AF" w:rsidRDefault="00C86381" w:rsidP="00BA154F">
      <w:pPr>
        <w:jc w:val="both"/>
        <w:outlineLvl w:val="0"/>
        <w:rPr>
          <w:b/>
          <w:szCs w:val="22"/>
          <w:lang w:val="fr-FR"/>
        </w:rPr>
      </w:pPr>
      <w:r w:rsidRPr="0054721C">
        <w:rPr>
          <w:b/>
          <w:szCs w:val="22"/>
          <w:lang w:val="fr-FR"/>
        </w:rPr>
        <w:t>Point</w:t>
      </w:r>
      <w:r>
        <w:rPr>
          <w:b/>
          <w:szCs w:val="22"/>
          <w:lang w:val="fr-FR"/>
        </w:rPr>
        <w:t xml:space="preserve"> </w:t>
      </w:r>
      <w:r w:rsidRPr="0054721C">
        <w:rPr>
          <w:b/>
          <w:szCs w:val="22"/>
          <w:lang w:val="fr-FR"/>
        </w:rPr>
        <w:t>27 de l</w:t>
      </w:r>
      <w:r>
        <w:rPr>
          <w:b/>
          <w:szCs w:val="22"/>
          <w:lang w:val="fr-FR"/>
        </w:rPr>
        <w:t>’</w:t>
      </w:r>
      <w:r w:rsidRPr="0054721C">
        <w:rPr>
          <w:b/>
          <w:szCs w:val="22"/>
          <w:lang w:val="fr-FR"/>
        </w:rPr>
        <w:t xml:space="preserve">ordre </w:t>
      </w:r>
      <w:r>
        <w:rPr>
          <w:b/>
          <w:szCs w:val="22"/>
          <w:lang w:val="fr-FR"/>
        </w:rPr>
        <w:t>du jour -</w:t>
      </w:r>
      <w:r w:rsidRPr="0054721C">
        <w:rPr>
          <w:b/>
          <w:szCs w:val="22"/>
          <w:lang w:val="fr-FR"/>
        </w:rPr>
        <w:t xml:space="preserve"> Questions financières et administratives</w:t>
      </w:r>
    </w:p>
    <w:p w14:paraId="0F8CA716" w14:textId="77777777" w:rsidR="00C86381" w:rsidRPr="005012AF" w:rsidRDefault="00C86381" w:rsidP="00BA154F">
      <w:pPr>
        <w:jc w:val="both"/>
        <w:rPr>
          <w:szCs w:val="22"/>
          <w:lang w:val="fr-FR"/>
        </w:rPr>
      </w:pPr>
    </w:p>
    <w:p w14:paraId="21F2BE07" w14:textId="583E13EC" w:rsidR="00C86381" w:rsidRPr="005012AF" w:rsidRDefault="00BA154F" w:rsidP="00BA154F">
      <w:pPr>
        <w:jc w:val="both"/>
        <w:rPr>
          <w:szCs w:val="22"/>
          <w:lang w:val="fr-FR"/>
        </w:rPr>
      </w:pPr>
      <w:r>
        <w:rPr>
          <w:szCs w:val="22"/>
          <w:lang w:val="fr-FR"/>
        </w:rPr>
        <w:t>224</w:t>
      </w:r>
      <w:r w:rsidR="00C86381" w:rsidRPr="00B2154F">
        <w:rPr>
          <w:szCs w:val="22"/>
          <w:lang w:val="fr-FR"/>
        </w:rPr>
        <w:t xml:space="preserve">. Le </w:t>
      </w:r>
      <w:r w:rsidR="00C86381" w:rsidRPr="00B2154F">
        <w:rPr>
          <w:b/>
          <w:szCs w:val="22"/>
          <w:lang w:val="fr-FR"/>
        </w:rPr>
        <w:t>Secrétaire exécutif</w:t>
      </w:r>
      <w:r w:rsidR="00C86381">
        <w:rPr>
          <w:b/>
          <w:szCs w:val="22"/>
          <w:lang w:val="fr-FR"/>
        </w:rPr>
        <w:t xml:space="preserve"> </w:t>
      </w:r>
      <w:r w:rsidR="00C86381" w:rsidRPr="00B2154F">
        <w:rPr>
          <w:b/>
          <w:szCs w:val="22"/>
          <w:lang w:val="fr-FR"/>
        </w:rPr>
        <w:t xml:space="preserve">par intérim </w:t>
      </w:r>
      <w:r w:rsidR="00986D00" w:rsidRPr="00986D00">
        <w:rPr>
          <w:szCs w:val="22"/>
          <w:lang w:val="fr-FR"/>
        </w:rPr>
        <w:t>(M. Marco Barbieri)</w:t>
      </w:r>
      <w:r w:rsidR="00986D00">
        <w:rPr>
          <w:b/>
          <w:szCs w:val="22"/>
          <w:lang w:val="fr-FR"/>
        </w:rPr>
        <w:t xml:space="preserve"> </w:t>
      </w:r>
      <w:r w:rsidR="00C86381" w:rsidRPr="00B2154F">
        <w:rPr>
          <w:szCs w:val="22"/>
          <w:lang w:val="fr-FR"/>
        </w:rPr>
        <w:t>a introduit le</w:t>
      </w:r>
      <w:r w:rsidR="00C86381">
        <w:rPr>
          <w:b/>
          <w:szCs w:val="22"/>
          <w:lang w:val="fr-FR"/>
        </w:rPr>
        <w:t xml:space="preserve"> </w:t>
      </w:r>
      <w:r w:rsidR="00C86381" w:rsidRPr="00B2154F">
        <w:rPr>
          <w:szCs w:val="22"/>
          <w:lang w:val="fr-FR"/>
        </w:rPr>
        <w:t xml:space="preserve">document 5.40 Rév.1 </w:t>
      </w:r>
      <w:r w:rsidR="00C86381" w:rsidRPr="00B2154F">
        <w:rPr>
          <w:i/>
          <w:szCs w:val="22"/>
          <w:lang w:val="fr-FR"/>
        </w:rPr>
        <w:t>Rapport du Secrétariat sur les questions financières et administratives 2009–2012</w:t>
      </w:r>
      <w:r w:rsidR="00C86381" w:rsidRPr="00B2154F">
        <w:rPr>
          <w:szCs w:val="22"/>
          <w:lang w:val="fr-FR"/>
        </w:rPr>
        <w:t>, sous les rubriques suivantes :</w:t>
      </w:r>
    </w:p>
    <w:p w14:paraId="7870CD82" w14:textId="77777777" w:rsidR="00C86381" w:rsidRPr="005012AF" w:rsidRDefault="00C86381" w:rsidP="00BA154F">
      <w:pPr>
        <w:jc w:val="both"/>
        <w:rPr>
          <w:szCs w:val="22"/>
          <w:lang w:val="fr-FR"/>
        </w:rPr>
      </w:pPr>
    </w:p>
    <w:p w14:paraId="1A88F28F" w14:textId="77777777" w:rsidR="00C86381" w:rsidRPr="000B78B6" w:rsidRDefault="00C86381" w:rsidP="00BA154F">
      <w:pPr>
        <w:pStyle w:val="ListParagraph"/>
        <w:numPr>
          <w:ilvl w:val="0"/>
          <w:numId w:val="10"/>
        </w:numPr>
        <w:jc w:val="both"/>
        <w:rPr>
          <w:sz w:val="22"/>
          <w:szCs w:val="22"/>
        </w:rPr>
      </w:pPr>
      <w:r w:rsidRPr="00500DB9">
        <w:rPr>
          <w:sz w:val="22"/>
          <w:szCs w:val="22"/>
          <w:lang w:val="fr-FR"/>
        </w:rPr>
        <w:t>Personnel</w:t>
      </w:r>
    </w:p>
    <w:p w14:paraId="12CE14DE" w14:textId="608F2EE8" w:rsidR="00C86381" w:rsidRPr="005012AF" w:rsidRDefault="00C86381" w:rsidP="00BA154F">
      <w:pPr>
        <w:pStyle w:val="ListParagraph"/>
        <w:numPr>
          <w:ilvl w:val="0"/>
          <w:numId w:val="10"/>
        </w:numPr>
        <w:jc w:val="both"/>
        <w:rPr>
          <w:sz w:val="22"/>
          <w:szCs w:val="22"/>
          <w:lang w:val="fr-FR"/>
        </w:rPr>
      </w:pPr>
      <w:r w:rsidRPr="00115474">
        <w:rPr>
          <w:sz w:val="22"/>
          <w:szCs w:val="22"/>
          <w:lang w:val="fr-FR"/>
        </w:rPr>
        <w:t>Budget principal 2009-2011 – vue d</w:t>
      </w:r>
      <w:r>
        <w:rPr>
          <w:sz w:val="22"/>
          <w:szCs w:val="22"/>
          <w:lang w:val="fr-FR"/>
        </w:rPr>
        <w:t>’</w:t>
      </w:r>
      <w:r w:rsidRPr="00115474">
        <w:rPr>
          <w:sz w:val="22"/>
          <w:szCs w:val="22"/>
          <w:lang w:val="fr-FR"/>
        </w:rPr>
        <w:t>ensemble des recettes et des dépenses (l</w:t>
      </w:r>
      <w:r>
        <w:rPr>
          <w:sz w:val="22"/>
          <w:szCs w:val="22"/>
          <w:lang w:val="fr-FR"/>
        </w:rPr>
        <w:t>’</w:t>
      </w:r>
      <w:r w:rsidRPr="00115474">
        <w:rPr>
          <w:sz w:val="22"/>
          <w:szCs w:val="22"/>
          <w:lang w:val="fr-FR"/>
        </w:rPr>
        <w:t>Irlande, Maurice, Israël, la République slovaque, le Danemark et la</w:t>
      </w:r>
      <w:r>
        <w:rPr>
          <w:sz w:val="22"/>
          <w:szCs w:val="22"/>
          <w:lang w:val="fr-FR"/>
        </w:rPr>
        <w:t xml:space="preserve"> </w:t>
      </w:r>
      <w:r w:rsidRPr="00115474">
        <w:rPr>
          <w:sz w:val="22"/>
          <w:szCs w:val="22"/>
          <w:lang w:val="fr-FR"/>
        </w:rPr>
        <w:t>Croatie ont payés leurs contributions dues depuis mars</w:t>
      </w:r>
      <w:r w:rsidR="00986D00">
        <w:rPr>
          <w:sz w:val="22"/>
          <w:szCs w:val="22"/>
          <w:lang w:val="fr-FR"/>
        </w:rPr>
        <w:t xml:space="preserve"> 2012</w:t>
      </w:r>
      <w:r w:rsidRPr="00115474">
        <w:rPr>
          <w:sz w:val="22"/>
          <w:szCs w:val="22"/>
          <w:lang w:val="fr-FR"/>
        </w:rPr>
        <w:t>)</w:t>
      </w:r>
    </w:p>
    <w:p w14:paraId="070355FA" w14:textId="6105F563" w:rsidR="00C86381" w:rsidRPr="005012AF" w:rsidRDefault="00C86381" w:rsidP="00BA154F">
      <w:pPr>
        <w:pStyle w:val="ListParagraph"/>
        <w:numPr>
          <w:ilvl w:val="0"/>
          <w:numId w:val="10"/>
        </w:numPr>
        <w:jc w:val="both"/>
        <w:rPr>
          <w:sz w:val="22"/>
          <w:szCs w:val="22"/>
          <w:lang w:val="fr-FR"/>
        </w:rPr>
      </w:pPr>
      <w:r w:rsidRPr="00115474">
        <w:rPr>
          <w:sz w:val="22"/>
          <w:szCs w:val="22"/>
          <w:lang w:val="fr-FR"/>
        </w:rPr>
        <w:t>Contributions volontaires 2009-2011 – nette tendance à la baisse, due sans aucun doute à la situation écono</w:t>
      </w:r>
      <w:r w:rsidR="00986D00">
        <w:rPr>
          <w:sz w:val="22"/>
          <w:szCs w:val="22"/>
          <w:lang w:val="fr-FR"/>
        </w:rPr>
        <w:t>mique affectant plusieurs des</w:t>
      </w:r>
      <w:r w:rsidRPr="00115474">
        <w:rPr>
          <w:sz w:val="22"/>
          <w:szCs w:val="22"/>
          <w:lang w:val="fr-FR"/>
        </w:rPr>
        <w:t xml:space="preserve"> Parties </w:t>
      </w:r>
      <w:r w:rsidR="00986D00">
        <w:rPr>
          <w:sz w:val="22"/>
          <w:szCs w:val="22"/>
          <w:lang w:val="fr-FR"/>
        </w:rPr>
        <w:t xml:space="preserve">de l’AEWA </w:t>
      </w:r>
      <w:r w:rsidRPr="00115474">
        <w:rPr>
          <w:sz w:val="22"/>
          <w:szCs w:val="22"/>
          <w:lang w:val="fr-FR"/>
        </w:rPr>
        <w:t>traditionnellement donatrices.</w:t>
      </w:r>
    </w:p>
    <w:p w14:paraId="26061CAE" w14:textId="77777777" w:rsidR="00C86381" w:rsidRPr="005012AF" w:rsidRDefault="00C86381" w:rsidP="00BA154F">
      <w:pPr>
        <w:jc w:val="both"/>
        <w:rPr>
          <w:szCs w:val="22"/>
          <w:lang w:val="fr-FR"/>
        </w:rPr>
      </w:pPr>
    </w:p>
    <w:p w14:paraId="53871647" w14:textId="38E334B7" w:rsidR="00C86381" w:rsidRPr="005012AF" w:rsidRDefault="00BA154F" w:rsidP="00BA154F">
      <w:pPr>
        <w:jc w:val="both"/>
        <w:rPr>
          <w:szCs w:val="22"/>
          <w:lang w:val="fr-FR"/>
        </w:rPr>
      </w:pPr>
      <w:r>
        <w:rPr>
          <w:szCs w:val="22"/>
          <w:lang w:val="fr-FR"/>
        </w:rPr>
        <w:t>225</w:t>
      </w:r>
      <w:r w:rsidR="00C86381" w:rsidRPr="00A2033E">
        <w:rPr>
          <w:szCs w:val="22"/>
          <w:lang w:val="fr-FR"/>
        </w:rPr>
        <w:t xml:space="preserve">. </w:t>
      </w:r>
      <w:r w:rsidR="00C86381">
        <w:rPr>
          <w:szCs w:val="22"/>
          <w:lang w:val="fr-FR"/>
        </w:rPr>
        <w:t>Concernant</w:t>
      </w:r>
      <w:r w:rsidR="00C86381" w:rsidRPr="00A2033E">
        <w:rPr>
          <w:szCs w:val="22"/>
          <w:lang w:val="fr-FR"/>
        </w:rPr>
        <w:t xml:space="preserve"> les questions de personnel, le </w:t>
      </w:r>
      <w:r w:rsidR="00C86381" w:rsidRPr="00A2033E">
        <w:rPr>
          <w:b/>
          <w:szCs w:val="22"/>
          <w:lang w:val="fr-FR"/>
        </w:rPr>
        <w:t xml:space="preserve">Président </w:t>
      </w:r>
      <w:r w:rsidR="00C86381" w:rsidRPr="004E5912">
        <w:rPr>
          <w:szCs w:val="22"/>
          <w:lang w:val="fr-FR"/>
        </w:rPr>
        <w:t>a invité le</w:t>
      </w:r>
      <w:r w:rsidR="00C86381" w:rsidRPr="00A2033E">
        <w:rPr>
          <w:b/>
          <w:szCs w:val="22"/>
          <w:lang w:val="fr-FR"/>
        </w:rPr>
        <w:t xml:space="preserve"> Secrétaire exécutif adjoint de la CMS (</w:t>
      </w:r>
      <w:r w:rsidR="00C86381" w:rsidRPr="00A2033E">
        <w:rPr>
          <w:szCs w:val="22"/>
          <w:lang w:val="fr-FR"/>
        </w:rPr>
        <w:t>M. Bert Lenten) à fournir des informations complémentaires sur le processus de recrutement du nouveau Secrétaire exécutif de l</w:t>
      </w:r>
      <w:r w:rsidR="00C86381">
        <w:rPr>
          <w:szCs w:val="22"/>
          <w:lang w:val="fr-FR"/>
        </w:rPr>
        <w:t>’</w:t>
      </w:r>
      <w:r w:rsidR="00C86381" w:rsidRPr="00A2033E">
        <w:rPr>
          <w:szCs w:val="22"/>
          <w:lang w:val="fr-FR"/>
        </w:rPr>
        <w:t>AEWA.</w:t>
      </w:r>
      <w:r w:rsidR="00C86381">
        <w:rPr>
          <w:szCs w:val="22"/>
          <w:lang w:val="fr-FR"/>
        </w:rPr>
        <w:t xml:space="preserve"> </w:t>
      </w:r>
      <w:r w:rsidR="00C86381" w:rsidRPr="00A2033E">
        <w:rPr>
          <w:b/>
          <w:szCs w:val="22"/>
          <w:lang w:val="fr-FR"/>
        </w:rPr>
        <w:t>M. Lenten</w:t>
      </w:r>
      <w:r w:rsidR="00C86381" w:rsidRPr="00A2033E">
        <w:rPr>
          <w:szCs w:val="22"/>
          <w:lang w:val="fr-FR"/>
        </w:rPr>
        <w:t xml:space="preserve"> a</w:t>
      </w:r>
      <w:r w:rsidR="00C86381">
        <w:rPr>
          <w:szCs w:val="22"/>
          <w:lang w:val="fr-FR"/>
        </w:rPr>
        <w:t xml:space="preserve"> </w:t>
      </w:r>
      <w:r w:rsidR="00C86381" w:rsidRPr="00A2033E">
        <w:rPr>
          <w:szCs w:val="22"/>
          <w:lang w:val="fr-FR"/>
        </w:rPr>
        <w:t xml:space="preserve">rappelé les remarques faites par la Secrétaire exécutive de la CMS (Mme Elisabeth </w:t>
      </w:r>
      <w:proofErr w:type="spellStart"/>
      <w:r w:rsidR="00C86381" w:rsidRPr="00A2033E">
        <w:rPr>
          <w:szCs w:val="22"/>
          <w:lang w:val="fr-FR"/>
        </w:rPr>
        <w:t>Mrema</w:t>
      </w:r>
      <w:proofErr w:type="spellEnd"/>
      <w:r w:rsidR="00C86381" w:rsidRPr="00A2033E">
        <w:rPr>
          <w:szCs w:val="22"/>
          <w:lang w:val="fr-FR"/>
        </w:rPr>
        <w:t>) lors de la Cérémonie d</w:t>
      </w:r>
      <w:r w:rsidR="00C86381">
        <w:rPr>
          <w:szCs w:val="22"/>
          <w:lang w:val="fr-FR"/>
        </w:rPr>
        <w:t>’</w:t>
      </w:r>
      <w:r w:rsidR="00C86381" w:rsidRPr="00A2033E">
        <w:rPr>
          <w:szCs w:val="22"/>
          <w:lang w:val="fr-FR"/>
        </w:rPr>
        <w:t>ouverture de la</w:t>
      </w:r>
      <w:r w:rsidR="00C86381">
        <w:rPr>
          <w:szCs w:val="22"/>
          <w:lang w:val="fr-FR"/>
        </w:rPr>
        <w:t xml:space="preserve"> </w:t>
      </w:r>
      <w:r w:rsidR="00C86381" w:rsidRPr="00A2033E">
        <w:rPr>
          <w:szCs w:val="22"/>
          <w:lang w:val="fr-FR"/>
        </w:rPr>
        <w:t xml:space="preserve">MOP5. La décision de </w:t>
      </w:r>
      <w:r w:rsidR="00C86381">
        <w:rPr>
          <w:szCs w:val="22"/>
          <w:lang w:val="fr-FR"/>
        </w:rPr>
        <w:t>classer</w:t>
      </w:r>
      <w:r w:rsidR="00C86381" w:rsidRPr="00A2033E">
        <w:rPr>
          <w:szCs w:val="22"/>
          <w:lang w:val="fr-FR"/>
        </w:rPr>
        <w:t xml:space="preserve"> ce poste à l</w:t>
      </w:r>
      <w:r w:rsidR="00C86381">
        <w:rPr>
          <w:szCs w:val="22"/>
          <w:lang w:val="fr-FR"/>
        </w:rPr>
        <w:t>’</w:t>
      </w:r>
      <w:r w:rsidR="00C86381" w:rsidRPr="00A2033E">
        <w:rPr>
          <w:szCs w:val="22"/>
          <w:lang w:val="fr-FR"/>
        </w:rPr>
        <w:t>échelon</w:t>
      </w:r>
      <w:r w:rsidR="00C86381">
        <w:rPr>
          <w:szCs w:val="22"/>
          <w:lang w:val="fr-FR"/>
        </w:rPr>
        <w:t xml:space="preserve"> </w:t>
      </w:r>
      <w:r w:rsidR="00C86381" w:rsidRPr="00A2033E">
        <w:rPr>
          <w:szCs w:val="22"/>
          <w:lang w:val="fr-FR"/>
        </w:rPr>
        <w:t>P4 ou P5 devait être prise par la MOP. Le</w:t>
      </w:r>
      <w:r w:rsidR="00C86381">
        <w:rPr>
          <w:szCs w:val="22"/>
          <w:lang w:val="fr-FR"/>
        </w:rPr>
        <w:t xml:space="preserve"> </w:t>
      </w:r>
      <w:r w:rsidR="00986D00">
        <w:rPr>
          <w:szCs w:val="22"/>
          <w:lang w:val="fr-FR"/>
        </w:rPr>
        <w:t>Directeur</w:t>
      </w:r>
      <w:r w:rsidR="00C86381" w:rsidRPr="00A2033E">
        <w:rPr>
          <w:szCs w:val="22"/>
          <w:lang w:val="fr-FR"/>
        </w:rPr>
        <w:t xml:space="preserve"> exécutif du PNUE n</w:t>
      </w:r>
      <w:r w:rsidR="00C86381">
        <w:rPr>
          <w:szCs w:val="22"/>
          <w:lang w:val="fr-FR"/>
        </w:rPr>
        <w:t>’avait pas voulu</w:t>
      </w:r>
      <w:r w:rsidR="00C86381" w:rsidRPr="00A2033E">
        <w:rPr>
          <w:szCs w:val="22"/>
          <w:lang w:val="fr-FR"/>
        </w:rPr>
        <w:t xml:space="preserve"> anticiper</w:t>
      </w:r>
      <w:r w:rsidR="00C86381">
        <w:rPr>
          <w:szCs w:val="22"/>
          <w:lang w:val="fr-FR"/>
        </w:rPr>
        <w:t xml:space="preserve"> </w:t>
      </w:r>
      <w:r w:rsidR="00C86381" w:rsidRPr="00A2033E">
        <w:rPr>
          <w:szCs w:val="22"/>
          <w:lang w:val="fr-FR"/>
        </w:rPr>
        <w:t>la décision de la MOP en publiant l</w:t>
      </w:r>
      <w:r w:rsidR="00C86381">
        <w:rPr>
          <w:szCs w:val="22"/>
          <w:lang w:val="fr-FR"/>
        </w:rPr>
        <w:t>’</w:t>
      </w:r>
      <w:r w:rsidR="00C86381" w:rsidRPr="00A2033E">
        <w:rPr>
          <w:szCs w:val="22"/>
          <w:lang w:val="fr-FR"/>
        </w:rPr>
        <w:t>offre d</w:t>
      </w:r>
      <w:r w:rsidR="00C86381">
        <w:rPr>
          <w:szCs w:val="22"/>
          <w:lang w:val="fr-FR"/>
        </w:rPr>
        <w:t>’</w:t>
      </w:r>
      <w:r w:rsidR="00C86381" w:rsidRPr="00A2033E">
        <w:rPr>
          <w:szCs w:val="22"/>
          <w:lang w:val="fr-FR"/>
        </w:rPr>
        <w:t>emploi avant la réunion. Si la MOP décidait de maintenir ce poste à l</w:t>
      </w:r>
      <w:r w:rsidR="00C86381">
        <w:rPr>
          <w:szCs w:val="22"/>
          <w:lang w:val="fr-FR"/>
        </w:rPr>
        <w:t>’</w:t>
      </w:r>
      <w:r w:rsidR="00C86381" w:rsidRPr="00A2033E">
        <w:rPr>
          <w:szCs w:val="22"/>
          <w:lang w:val="fr-FR"/>
        </w:rPr>
        <w:t>échelon P4, le processus de définition d</w:t>
      </w:r>
      <w:r w:rsidR="00C86381">
        <w:rPr>
          <w:szCs w:val="22"/>
          <w:lang w:val="fr-FR"/>
        </w:rPr>
        <w:t>’</w:t>
      </w:r>
      <w:r w:rsidR="00C86381" w:rsidRPr="00A2033E">
        <w:rPr>
          <w:szCs w:val="22"/>
          <w:lang w:val="fr-FR"/>
        </w:rPr>
        <w:t xml:space="preserve">échelon devra être </w:t>
      </w:r>
      <w:r w:rsidR="00C86381">
        <w:rPr>
          <w:szCs w:val="22"/>
          <w:lang w:val="fr-FR"/>
        </w:rPr>
        <w:t>rouvert</w:t>
      </w:r>
      <w:r w:rsidR="00C86381" w:rsidRPr="00A2033E">
        <w:rPr>
          <w:szCs w:val="22"/>
          <w:lang w:val="fr-FR"/>
        </w:rPr>
        <w:t>.</w:t>
      </w:r>
    </w:p>
    <w:p w14:paraId="006E7E2F" w14:textId="77777777" w:rsidR="00C86381" w:rsidRPr="005012AF" w:rsidRDefault="00C86381" w:rsidP="00BA154F">
      <w:pPr>
        <w:jc w:val="both"/>
        <w:rPr>
          <w:szCs w:val="22"/>
          <w:lang w:val="fr-FR"/>
        </w:rPr>
      </w:pPr>
    </w:p>
    <w:p w14:paraId="29EB8321" w14:textId="203A4531" w:rsidR="00C86381" w:rsidRPr="005012AF" w:rsidRDefault="00BA154F" w:rsidP="00BA154F">
      <w:pPr>
        <w:jc w:val="both"/>
        <w:outlineLvl w:val="0"/>
        <w:rPr>
          <w:szCs w:val="22"/>
          <w:lang w:val="fr-FR"/>
        </w:rPr>
      </w:pPr>
      <w:r>
        <w:rPr>
          <w:szCs w:val="22"/>
          <w:lang w:val="fr-FR"/>
        </w:rPr>
        <w:t>226</w:t>
      </w:r>
      <w:r w:rsidR="00C86381" w:rsidRPr="00A2033E">
        <w:rPr>
          <w:szCs w:val="22"/>
          <w:lang w:val="fr-FR"/>
        </w:rPr>
        <w:t xml:space="preserve">. Le </w:t>
      </w:r>
      <w:r w:rsidR="00C86381" w:rsidRPr="00A2033E">
        <w:rPr>
          <w:b/>
          <w:szCs w:val="22"/>
          <w:lang w:val="fr-FR"/>
        </w:rPr>
        <w:t xml:space="preserve">Président </w:t>
      </w:r>
      <w:r w:rsidR="00C86381" w:rsidRPr="00A2033E">
        <w:rPr>
          <w:szCs w:val="22"/>
          <w:lang w:val="fr-FR"/>
        </w:rPr>
        <w:t>a déclaré que cette discussion serait transmise au</w:t>
      </w:r>
      <w:r w:rsidR="00C86381" w:rsidRPr="00A2033E">
        <w:rPr>
          <w:b/>
          <w:szCs w:val="22"/>
          <w:lang w:val="fr-FR"/>
        </w:rPr>
        <w:t xml:space="preserve"> </w:t>
      </w:r>
      <w:r w:rsidR="00986D00">
        <w:rPr>
          <w:szCs w:val="22"/>
          <w:lang w:val="fr-FR"/>
        </w:rPr>
        <w:t>groupe de travail chargé des questions financières et administratives</w:t>
      </w:r>
      <w:r w:rsidR="00C86381" w:rsidRPr="00A2033E">
        <w:rPr>
          <w:szCs w:val="22"/>
          <w:lang w:val="fr-FR"/>
        </w:rPr>
        <w:t>.</w:t>
      </w:r>
    </w:p>
    <w:p w14:paraId="23488FF4" w14:textId="77777777" w:rsidR="00BA154F" w:rsidRDefault="00BA154F" w:rsidP="00BA154F">
      <w:pPr>
        <w:jc w:val="both"/>
        <w:outlineLvl w:val="0"/>
        <w:rPr>
          <w:szCs w:val="22"/>
          <w:u w:val="single"/>
          <w:lang w:val="fr-FR"/>
        </w:rPr>
      </w:pPr>
    </w:p>
    <w:p w14:paraId="1794E82A" w14:textId="77777777" w:rsidR="00C86381" w:rsidRPr="005012AF" w:rsidRDefault="00C86381" w:rsidP="00BA154F">
      <w:pPr>
        <w:jc w:val="both"/>
        <w:outlineLvl w:val="0"/>
        <w:rPr>
          <w:szCs w:val="22"/>
          <w:u w:val="single"/>
          <w:lang w:val="fr-FR"/>
        </w:rPr>
      </w:pPr>
      <w:r w:rsidRPr="00BA154F">
        <w:rPr>
          <w:szCs w:val="22"/>
          <w:u w:val="single"/>
          <w:lang w:val="fr-FR"/>
        </w:rPr>
        <w:t xml:space="preserve">Budget de l’AEWA pour la prochaine période </w:t>
      </w:r>
      <w:proofErr w:type="spellStart"/>
      <w:r w:rsidRPr="00BA154F">
        <w:rPr>
          <w:szCs w:val="22"/>
          <w:u w:val="single"/>
          <w:lang w:val="fr-FR"/>
        </w:rPr>
        <w:t>intersessionnelle</w:t>
      </w:r>
      <w:proofErr w:type="spellEnd"/>
    </w:p>
    <w:p w14:paraId="469B42B0" w14:textId="77777777" w:rsidR="00C86381" w:rsidRPr="005012AF" w:rsidRDefault="00C86381" w:rsidP="00BA154F">
      <w:pPr>
        <w:jc w:val="both"/>
        <w:rPr>
          <w:szCs w:val="22"/>
          <w:lang w:val="fr-FR"/>
        </w:rPr>
      </w:pPr>
    </w:p>
    <w:p w14:paraId="4D5A32F4" w14:textId="3AAC8AB4" w:rsidR="00C86381" w:rsidRPr="005012AF" w:rsidRDefault="00BA154F" w:rsidP="00BA154F">
      <w:pPr>
        <w:jc w:val="both"/>
        <w:rPr>
          <w:szCs w:val="22"/>
          <w:lang w:val="fr-FR"/>
        </w:rPr>
      </w:pPr>
      <w:r>
        <w:rPr>
          <w:szCs w:val="22"/>
          <w:lang w:val="fr-FR"/>
        </w:rPr>
        <w:t>227</w:t>
      </w:r>
      <w:r w:rsidR="00C86381" w:rsidRPr="00421994">
        <w:rPr>
          <w:szCs w:val="22"/>
          <w:lang w:val="fr-FR"/>
        </w:rPr>
        <w:t>. Le</w:t>
      </w:r>
      <w:r w:rsidR="00C86381" w:rsidRPr="00421994">
        <w:rPr>
          <w:b/>
          <w:szCs w:val="22"/>
          <w:lang w:val="fr-FR"/>
        </w:rPr>
        <w:t xml:space="preserve"> Secrétaire exécutif </w:t>
      </w:r>
      <w:r w:rsidR="00C86381" w:rsidRPr="00D67C74">
        <w:rPr>
          <w:b/>
          <w:szCs w:val="22"/>
          <w:lang w:val="fr-FR"/>
        </w:rPr>
        <w:t>par intérim</w:t>
      </w:r>
      <w:r w:rsidR="00C86381" w:rsidRPr="00421994">
        <w:rPr>
          <w:szCs w:val="22"/>
          <w:lang w:val="fr-FR"/>
        </w:rPr>
        <w:t xml:space="preserve"> </w:t>
      </w:r>
      <w:r w:rsidR="00986D00">
        <w:rPr>
          <w:szCs w:val="22"/>
          <w:lang w:val="fr-FR"/>
        </w:rPr>
        <w:t xml:space="preserve">(M. Marco Barbieri) </w:t>
      </w:r>
      <w:r w:rsidR="00C86381" w:rsidRPr="00421994">
        <w:rPr>
          <w:szCs w:val="22"/>
          <w:lang w:val="fr-FR"/>
        </w:rPr>
        <w:t>a</w:t>
      </w:r>
      <w:r w:rsidR="00C86381" w:rsidRPr="00421994">
        <w:rPr>
          <w:b/>
          <w:szCs w:val="22"/>
          <w:lang w:val="fr-FR"/>
        </w:rPr>
        <w:t xml:space="preserve"> </w:t>
      </w:r>
      <w:r w:rsidR="00C86381" w:rsidRPr="00421994">
        <w:rPr>
          <w:szCs w:val="22"/>
          <w:lang w:val="fr-FR"/>
        </w:rPr>
        <w:t xml:space="preserve">introduit le document AEWA/MOP 5.41 Rév.1 </w:t>
      </w:r>
      <w:r w:rsidR="00C86381" w:rsidRPr="004E5912">
        <w:rPr>
          <w:i/>
          <w:szCs w:val="22"/>
          <w:lang w:val="fr-FR"/>
        </w:rPr>
        <w:t xml:space="preserve">Avant-projet de proposition de budget </w:t>
      </w:r>
      <w:r w:rsidR="00C86381" w:rsidRPr="00421994">
        <w:rPr>
          <w:i/>
          <w:szCs w:val="22"/>
          <w:lang w:val="fr-FR"/>
        </w:rPr>
        <w:t>2013-2015/2016</w:t>
      </w:r>
      <w:r w:rsidR="00C86381" w:rsidRPr="00421994">
        <w:rPr>
          <w:szCs w:val="22"/>
          <w:lang w:val="fr-FR"/>
        </w:rPr>
        <w:t xml:space="preserve"> et a résumé les principes présentés par le </w:t>
      </w:r>
      <w:proofErr w:type="spellStart"/>
      <w:r w:rsidR="00C86381" w:rsidRPr="00421994">
        <w:rPr>
          <w:szCs w:val="22"/>
          <w:lang w:val="fr-FR"/>
        </w:rPr>
        <w:t>StC</w:t>
      </w:r>
      <w:proofErr w:type="spellEnd"/>
      <w:r w:rsidR="00C86381" w:rsidRPr="00421994">
        <w:rPr>
          <w:szCs w:val="22"/>
          <w:lang w:val="fr-FR"/>
        </w:rPr>
        <w:t xml:space="preserve"> étayant le processus de préparation de la proposition de budget, à savoir :</w:t>
      </w:r>
    </w:p>
    <w:p w14:paraId="71539252" w14:textId="77777777" w:rsidR="00C86381" w:rsidRPr="005012AF" w:rsidRDefault="00C86381" w:rsidP="00465E08">
      <w:pPr>
        <w:pStyle w:val="ListParagraph"/>
        <w:numPr>
          <w:ilvl w:val="0"/>
          <w:numId w:val="11"/>
        </w:numPr>
        <w:ind w:left="567" w:hanging="567"/>
        <w:jc w:val="both"/>
        <w:rPr>
          <w:sz w:val="22"/>
          <w:szCs w:val="22"/>
          <w:lang w:val="fr-FR"/>
        </w:rPr>
      </w:pPr>
      <w:r>
        <w:rPr>
          <w:sz w:val="22"/>
          <w:szCs w:val="22"/>
          <w:lang w:val="fr-FR"/>
        </w:rPr>
        <w:t>La p</w:t>
      </w:r>
      <w:r w:rsidRPr="00421994">
        <w:rPr>
          <w:sz w:val="22"/>
          <w:szCs w:val="22"/>
          <w:lang w:val="fr-FR"/>
        </w:rPr>
        <w:t>réparation de scénarios à la fois pour des cycles de trois ans et de quatre ans</w:t>
      </w:r>
    </w:p>
    <w:p w14:paraId="2E214442" w14:textId="77777777" w:rsidR="00C86381" w:rsidRPr="005012AF" w:rsidRDefault="00C86381" w:rsidP="00465E08">
      <w:pPr>
        <w:pStyle w:val="ListParagraph"/>
        <w:numPr>
          <w:ilvl w:val="0"/>
          <w:numId w:val="11"/>
        </w:numPr>
        <w:ind w:left="567" w:hanging="567"/>
        <w:jc w:val="both"/>
        <w:rPr>
          <w:sz w:val="22"/>
          <w:szCs w:val="22"/>
          <w:lang w:val="fr-FR"/>
        </w:rPr>
      </w:pPr>
      <w:r>
        <w:rPr>
          <w:sz w:val="22"/>
          <w:szCs w:val="22"/>
          <w:lang w:val="fr-FR"/>
        </w:rPr>
        <w:t>Un é</w:t>
      </w:r>
      <w:r w:rsidRPr="00B63D86">
        <w:rPr>
          <w:sz w:val="22"/>
          <w:szCs w:val="22"/>
          <w:lang w:val="fr-FR"/>
        </w:rPr>
        <w:t>ventail des augmentations de budget allant de 0 % à 10 %</w:t>
      </w:r>
    </w:p>
    <w:p w14:paraId="4D44642E" w14:textId="77777777" w:rsidR="00C86381" w:rsidRPr="005012AF" w:rsidRDefault="00C86381" w:rsidP="00465E08">
      <w:pPr>
        <w:pStyle w:val="ListParagraph"/>
        <w:numPr>
          <w:ilvl w:val="0"/>
          <w:numId w:val="11"/>
        </w:numPr>
        <w:ind w:left="567" w:hanging="567"/>
        <w:jc w:val="both"/>
        <w:rPr>
          <w:sz w:val="22"/>
          <w:szCs w:val="22"/>
          <w:lang w:val="fr-FR"/>
        </w:rPr>
      </w:pPr>
      <w:r>
        <w:rPr>
          <w:sz w:val="22"/>
          <w:szCs w:val="22"/>
          <w:lang w:val="fr-FR"/>
        </w:rPr>
        <w:t>La prévision, pour</w:t>
      </w:r>
      <w:r w:rsidRPr="00A14EDD">
        <w:rPr>
          <w:sz w:val="22"/>
          <w:szCs w:val="22"/>
          <w:lang w:val="fr-FR"/>
        </w:rPr>
        <w:t xml:space="preserve"> tou</w:t>
      </w:r>
      <w:r>
        <w:rPr>
          <w:sz w:val="22"/>
          <w:szCs w:val="22"/>
          <w:lang w:val="fr-FR"/>
        </w:rPr>
        <w:t>t</w:t>
      </w:r>
      <w:r w:rsidRPr="00A14EDD">
        <w:rPr>
          <w:sz w:val="22"/>
          <w:szCs w:val="22"/>
          <w:lang w:val="fr-FR"/>
        </w:rPr>
        <w:t xml:space="preserve">es les propositions, </w:t>
      </w:r>
      <w:r>
        <w:rPr>
          <w:sz w:val="22"/>
          <w:szCs w:val="22"/>
          <w:lang w:val="fr-FR"/>
        </w:rPr>
        <w:t xml:space="preserve">du </w:t>
      </w:r>
      <w:r w:rsidRPr="00A14EDD">
        <w:rPr>
          <w:sz w:val="22"/>
          <w:szCs w:val="22"/>
          <w:lang w:val="fr-FR"/>
        </w:rPr>
        <w:t>retrait d</w:t>
      </w:r>
      <w:r>
        <w:rPr>
          <w:sz w:val="22"/>
          <w:szCs w:val="22"/>
          <w:lang w:val="fr-FR"/>
        </w:rPr>
        <w:t>’</w:t>
      </w:r>
      <w:r w:rsidRPr="00A14EDD">
        <w:rPr>
          <w:sz w:val="22"/>
          <w:szCs w:val="22"/>
          <w:lang w:val="fr-FR"/>
        </w:rPr>
        <w:t>un certain montant du Fonds d</w:t>
      </w:r>
      <w:r>
        <w:rPr>
          <w:sz w:val="22"/>
          <w:szCs w:val="22"/>
          <w:lang w:val="fr-FR"/>
        </w:rPr>
        <w:t>’</w:t>
      </w:r>
      <w:r w:rsidRPr="00A14EDD">
        <w:rPr>
          <w:sz w:val="22"/>
          <w:szCs w:val="22"/>
          <w:lang w:val="fr-FR"/>
        </w:rPr>
        <w:t>affectation spéciale</w:t>
      </w:r>
      <w:r>
        <w:rPr>
          <w:sz w:val="22"/>
          <w:szCs w:val="22"/>
          <w:lang w:val="fr-FR"/>
        </w:rPr>
        <w:t>,</w:t>
      </w:r>
      <w:r w:rsidRPr="00A14EDD">
        <w:rPr>
          <w:sz w:val="22"/>
          <w:szCs w:val="22"/>
          <w:lang w:val="fr-FR"/>
        </w:rPr>
        <w:t xml:space="preserve"> basé sur des économies réalisées auparavant</w:t>
      </w:r>
    </w:p>
    <w:p w14:paraId="53C40822" w14:textId="77777777" w:rsidR="00C86381" w:rsidRPr="005012AF" w:rsidRDefault="00C86381" w:rsidP="00BA154F">
      <w:pPr>
        <w:jc w:val="both"/>
        <w:rPr>
          <w:szCs w:val="22"/>
          <w:lang w:val="fr-FR"/>
        </w:rPr>
      </w:pPr>
    </w:p>
    <w:p w14:paraId="2278EEDF" w14:textId="3150486C" w:rsidR="00C86381" w:rsidRPr="005012AF" w:rsidRDefault="00BA154F" w:rsidP="00BA154F">
      <w:pPr>
        <w:jc w:val="both"/>
        <w:rPr>
          <w:szCs w:val="22"/>
          <w:lang w:val="fr-FR"/>
        </w:rPr>
      </w:pPr>
      <w:r>
        <w:rPr>
          <w:szCs w:val="22"/>
          <w:lang w:val="fr-FR"/>
        </w:rPr>
        <w:t>228</w:t>
      </w:r>
      <w:r w:rsidR="00C86381" w:rsidRPr="00773522">
        <w:rPr>
          <w:szCs w:val="22"/>
          <w:lang w:val="fr-FR"/>
        </w:rPr>
        <w:t xml:space="preserve">. Six scénarios avaient été préparés, </w:t>
      </w:r>
      <w:r w:rsidR="00C86381">
        <w:rPr>
          <w:szCs w:val="22"/>
          <w:lang w:val="fr-FR"/>
        </w:rPr>
        <w:t xml:space="preserve">qui sont </w:t>
      </w:r>
      <w:r w:rsidR="00C86381" w:rsidRPr="00773522">
        <w:rPr>
          <w:szCs w:val="22"/>
          <w:lang w:val="fr-FR"/>
        </w:rPr>
        <w:t xml:space="preserve">exposés en détail dans le document AEWA/MOP 5.41, les affectations </w:t>
      </w:r>
      <w:r w:rsidR="00C86381">
        <w:rPr>
          <w:szCs w:val="22"/>
          <w:lang w:val="fr-FR"/>
        </w:rPr>
        <w:t xml:space="preserve">entrant </w:t>
      </w:r>
      <w:r w:rsidR="00C86381" w:rsidRPr="00773522">
        <w:rPr>
          <w:szCs w:val="22"/>
          <w:lang w:val="fr-FR"/>
        </w:rPr>
        <w:t xml:space="preserve">dans le cadre de chaque scénario </w:t>
      </w:r>
      <w:r w:rsidR="00C86381">
        <w:rPr>
          <w:szCs w:val="22"/>
          <w:lang w:val="fr-FR"/>
        </w:rPr>
        <w:t xml:space="preserve">étant </w:t>
      </w:r>
      <w:r w:rsidR="00C86381" w:rsidRPr="00773522">
        <w:rPr>
          <w:szCs w:val="22"/>
          <w:lang w:val="fr-FR"/>
        </w:rPr>
        <w:t xml:space="preserve">présentées sous les rubriques </w:t>
      </w:r>
      <w:r w:rsidR="00C86381" w:rsidRPr="00986D00">
        <w:rPr>
          <w:i/>
          <w:szCs w:val="22"/>
          <w:lang w:val="fr-FR"/>
        </w:rPr>
        <w:t>Gestion générale</w:t>
      </w:r>
      <w:r w:rsidR="00C86381" w:rsidRPr="00773522">
        <w:rPr>
          <w:szCs w:val="22"/>
          <w:lang w:val="fr-FR"/>
        </w:rPr>
        <w:t xml:space="preserve">, </w:t>
      </w:r>
      <w:r w:rsidR="00C86381" w:rsidRPr="00986D00">
        <w:rPr>
          <w:i/>
          <w:szCs w:val="22"/>
          <w:lang w:val="fr-FR"/>
        </w:rPr>
        <w:t>Mise en œuvre de l’Initiative africaine</w:t>
      </w:r>
      <w:r w:rsidR="00C86381" w:rsidRPr="00773522">
        <w:rPr>
          <w:szCs w:val="22"/>
          <w:lang w:val="fr-FR"/>
        </w:rPr>
        <w:t xml:space="preserve">, </w:t>
      </w:r>
      <w:r w:rsidR="00C86381" w:rsidRPr="00986D00">
        <w:rPr>
          <w:i/>
          <w:szCs w:val="22"/>
          <w:lang w:val="fr-FR"/>
        </w:rPr>
        <w:t>Fonctionnement de la MOP</w:t>
      </w:r>
      <w:r w:rsidR="00C86381" w:rsidRPr="00773522">
        <w:rPr>
          <w:szCs w:val="22"/>
          <w:lang w:val="fr-FR"/>
        </w:rPr>
        <w:t xml:space="preserve">, </w:t>
      </w:r>
      <w:r w:rsidR="00C86381" w:rsidRPr="00986D00">
        <w:rPr>
          <w:i/>
          <w:szCs w:val="22"/>
          <w:lang w:val="fr-FR"/>
        </w:rPr>
        <w:t>Fonctionnement du TC</w:t>
      </w:r>
      <w:r w:rsidR="00C86381" w:rsidRPr="00773522">
        <w:rPr>
          <w:szCs w:val="22"/>
          <w:lang w:val="fr-FR"/>
        </w:rPr>
        <w:t xml:space="preserve">, </w:t>
      </w:r>
      <w:r w:rsidR="00C86381" w:rsidRPr="00986D00">
        <w:rPr>
          <w:i/>
          <w:szCs w:val="22"/>
          <w:lang w:val="fr-FR"/>
        </w:rPr>
        <w:t xml:space="preserve">Fonctionnement du </w:t>
      </w:r>
      <w:proofErr w:type="spellStart"/>
      <w:r w:rsidR="00C86381" w:rsidRPr="00986D00">
        <w:rPr>
          <w:i/>
          <w:szCs w:val="22"/>
          <w:lang w:val="fr-FR"/>
        </w:rPr>
        <w:t>StC</w:t>
      </w:r>
      <w:proofErr w:type="spellEnd"/>
      <w:r w:rsidR="00C86381" w:rsidRPr="00773522">
        <w:rPr>
          <w:szCs w:val="22"/>
          <w:lang w:val="fr-FR"/>
        </w:rPr>
        <w:t xml:space="preserve">, et </w:t>
      </w:r>
      <w:r w:rsidR="00C86381" w:rsidRPr="00986D00">
        <w:rPr>
          <w:i/>
          <w:szCs w:val="22"/>
          <w:lang w:val="fr-FR"/>
        </w:rPr>
        <w:t>Frais généraux PNUE</w:t>
      </w:r>
      <w:r w:rsidR="00C86381" w:rsidRPr="00773522">
        <w:rPr>
          <w:szCs w:val="22"/>
          <w:lang w:val="fr-FR"/>
        </w:rPr>
        <w:t>. Les implications de chaque</w:t>
      </w:r>
      <w:r w:rsidR="00C86381">
        <w:rPr>
          <w:szCs w:val="22"/>
          <w:lang w:val="fr-FR"/>
        </w:rPr>
        <w:t xml:space="preserve"> </w:t>
      </w:r>
      <w:r w:rsidR="00C86381" w:rsidRPr="00773522">
        <w:rPr>
          <w:szCs w:val="22"/>
          <w:lang w:val="fr-FR"/>
        </w:rPr>
        <w:t>scénario pour les contributions obligatoires de chaque Partie étaient également montrées, sur la base du même barème de contributions que celui utilisé pour la MOP4. Les économies possibles et les implications de la proposition de budget au niveau des ressources humaines étaient également présentées en détail dans le document.</w:t>
      </w:r>
    </w:p>
    <w:p w14:paraId="1470B7C8" w14:textId="77777777" w:rsidR="00C86381" w:rsidRPr="005012AF" w:rsidRDefault="00C86381" w:rsidP="00BA154F">
      <w:pPr>
        <w:jc w:val="both"/>
        <w:rPr>
          <w:szCs w:val="22"/>
          <w:lang w:val="fr-FR"/>
        </w:rPr>
      </w:pPr>
    </w:p>
    <w:p w14:paraId="4347342B" w14:textId="77777777" w:rsidR="00C86381" w:rsidRPr="005012AF" w:rsidRDefault="00C86381" w:rsidP="00BA154F">
      <w:pPr>
        <w:jc w:val="both"/>
        <w:outlineLvl w:val="0"/>
        <w:rPr>
          <w:szCs w:val="22"/>
          <w:u w:val="single"/>
          <w:lang w:val="fr-FR"/>
        </w:rPr>
      </w:pPr>
      <w:r w:rsidRPr="00BA154F">
        <w:rPr>
          <w:szCs w:val="22"/>
          <w:u w:val="single"/>
          <w:lang w:val="fr-FR"/>
        </w:rPr>
        <w:t>Surveillance internationale des populations d’oiseaux d’eau</w:t>
      </w:r>
    </w:p>
    <w:p w14:paraId="1DA93E86" w14:textId="77777777" w:rsidR="00C86381" w:rsidRPr="005012AF" w:rsidRDefault="00C86381" w:rsidP="00BA154F">
      <w:pPr>
        <w:jc w:val="both"/>
        <w:rPr>
          <w:szCs w:val="22"/>
          <w:lang w:val="fr-FR"/>
        </w:rPr>
      </w:pPr>
    </w:p>
    <w:p w14:paraId="00D0598C" w14:textId="22AF48E9" w:rsidR="00C86381" w:rsidRPr="005012AF" w:rsidRDefault="00BA154F" w:rsidP="00BA154F">
      <w:pPr>
        <w:jc w:val="both"/>
        <w:rPr>
          <w:szCs w:val="22"/>
          <w:lang w:val="fr-FR"/>
        </w:rPr>
      </w:pPr>
      <w:r>
        <w:rPr>
          <w:szCs w:val="22"/>
          <w:lang w:val="fr-FR"/>
        </w:rPr>
        <w:t>229</w:t>
      </w:r>
      <w:r w:rsidR="00C86381" w:rsidRPr="00E908A1">
        <w:rPr>
          <w:szCs w:val="22"/>
          <w:lang w:val="fr-FR"/>
        </w:rPr>
        <w:t xml:space="preserve">. </w:t>
      </w:r>
      <w:r w:rsidR="00C86381" w:rsidRPr="00E908A1">
        <w:rPr>
          <w:caps/>
          <w:szCs w:val="22"/>
          <w:lang w:val="fr-FR"/>
        </w:rPr>
        <w:t>L</w:t>
      </w:r>
      <w:r w:rsidR="00C86381">
        <w:rPr>
          <w:caps/>
          <w:szCs w:val="22"/>
          <w:lang w:val="fr-FR"/>
        </w:rPr>
        <w:t>’</w:t>
      </w:r>
      <w:r w:rsidR="00C86381" w:rsidRPr="00E908A1">
        <w:rPr>
          <w:b/>
          <w:szCs w:val="22"/>
          <w:lang w:val="fr-FR"/>
        </w:rPr>
        <w:t xml:space="preserve">Administrateur </w:t>
      </w:r>
      <w:r w:rsidR="00C86381" w:rsidRPr="00E908A1">
        <w:rPr>
          <w:szCs w:val="22"/>
          <w:lang w:val="fr-FR"/>
        </w:rPr>
        <w:t>t</w:t>
      </w:r>
      <w:r w:rsidR="00C86381" w:rsidRPr="00E908A1">
        <w:rPr>
          <w:b/>
          <w:szCs w:val="22"/>
          <w:lang w:val="fr-FR"/>
        </w:rPr>
        <w:t xml:space="preserve">echnique </w:t>
      </w:r>
      <w:r w:rsidR="00986D00">
        <w:rPr>
          <w:b/>
          <w:szCs w:val="22"/>
          <w:lang w:val="fr-FR"/>
        </w:rPr>
        <w:t xml:space="preserve">de l’AEWA </w:t>
      </w:r>
      <w:r w:rsidR="00986D00" w:rsidRPr="00986D00">
        <w:rPr>
          <w:szCs w:val="22"/>
          <w:lang w:val="fr-FR"/>
        </w:rPr>
        <w:t>(M. Sergey Dereliev)</w:t>
      </w:r>
      <w:r w:rsidR="00986D00">
        <w:rPr>
          <w:b/>
          <w:szCs w:val="22"/>
          <w:lang w:val="fr-FR"/>
        </w:rPr>
        <w:t xml:space="preserve"> </w:t>
      </w:r>
      <w:r w:rsidR="00C86381" w:rsidRPr="00E908A1">
        <w:rPr>
          <w:szCs w:val="22"/>
          <w:lang w:val="fr-FR"/>
        </w:rPr>
        <w:t>et représentant de</w:t>
      </w:r>
      <w:r w:rsidR="00C86381">
        <w:rPr>
          <w:b/>
          <w:szCs w:val="22"/>
          <w:lang w:val="fr-FR"/>
        </w:rPr>
        <w:t xml:space="preserve"> </w:t>
      </w:r>
      <w:proofErr w:type="spellStart"/>
      <w:r w:rsidR="00C86381" w:rsidRPr="00E908A1">
        <w:rPr>
          <w:b/>
          <w:szCs w:val="22"/>
          <w:lang w:val="fr-FR"/>
        </w:rPr>
        <w:t>Wetlands</w:t>
      </w:r>
      <w:proofErr w:type="spellEnd"/>
      <w:r w:rsidR="00C86381" w:rsidRPr="00E908A1">
        <w:rPr>
          <w:b/>
          <w:szCs w:val="22"/>
          <w:lang w:val="fr-FR"/>
        </w:rPr>
        <w:t xml:space="preserve"> International</w:t>
      </w:r>
      <w:r w:rsidR="00986D00">
        <w:rPr>
          <w:szCs w:val="22"/>
          <w:lang w:val="fr-FR"/>
        </w:rPr>
        <w:t xml:space="preserve"> (M. </w:t>
      </w:r>
      <w:proofErr w:type="spellStart"/>
      <w:r w:rsidR="00986D00">
        <w:rPr>
          <w:szCs w:val="22"/>
          <w:lang w:val="fr-FR"/>
        </w:rPr>
        <w:t>Szabolcs</w:t>
      </w:r>
      <w:proofErr w:type="spellEnd"/>
      <w:r w:rsidR="00986D00">
        <w:rPr>
          <w:szCs w:val="22"/>
          <w:lang w:val="fr-FR"/>
        </w:rPr>
        <w:t xml:space="preserve"> Nagy) ont</w:t>
      </w:r>
      <w:r w:rsidR="00C86381" w:rsidRPr="00E908A1">
        <w:rPr>
          <w:szCs w:val="22"/>
          <w:lang w:val="fr-FR"/>
        </w:rPr>
        <w:t xml:space="preserve"> présenté le document AEWA/MOP 5.42 </w:t>
      </w:r>
      <w:proofErr w:type="spellStart"/>
      <w:r w:rsidR="00C86381" w:rsidRPr="00E908A1">
        <w:rPr>
          <w:szCs w:val="22"/>
          <w:lang w:val="fr-FR"/>
        </w:rPr>
        <w:t>Rév</w:t>
      </w:r>
      <w:proofErr w:type="spellEnd"/>
      <w:r w:rsidR="00C86381" w:rsidRPr="00E908A1">
        <w:rPr>
          <w:szCs w:val="22"/>
          <w:lang w:val="fr-FR"/>
        </w:rPr>
        <w:t xml:space="preserve">. 1 </w:t>
      </w:r>
      <w:r w:rsidR="00C86381" w:rsidRPr="00E908A1">
        <w:rPr>
          <w:i/>
          <w:szCs w:val="22"/>
          <w:lang w:val="fr-FR"/>
        </w:rPr>
        <w:t>Développement stratégique de la surveillance des oiseaux d</w:t>
      </w:r>
      <w:r w:rsidR="00C86381">
        <w:rPr>
          <w:i/>
          <w:szCs w:val="22"/>
          <w:lang w:val="fr-FR"/>
        </w:rPr>
        <w:t>’</w:t>
      </w:r>
      <w:r w:rsidR="00C86381" w:rsidRPr="00E908A1">
        <w:rPr>
          <w:i/>
          <w:szCs w:val="22"/>
          <w:lang w:val="fr-FR"/>
        </w:rPr>
        <w:t>eau dans les voies de migrations d</w:t>
      </w:r>
      <w:r w:rsidR="00C86381">
        <w:rPr>
          <w:i/>
          <w:szCs w:val="22"/>
          <w:lang w:val="fr-FR"/>
        </w:rPr>
        <w:t>’</w:t>
      </w:r>
      <w:r w:rsidR="00C86381" w:rsidRPr="00E908A1">
        <w:rPr>
          <w:i/>
          <w:szCs w:val="22"/>
          <w:lang w:val="fr-FR"/>
        </w:rPr>
        <w:t>Afrique-Eurasie</w:t>
      </w:r>
      <w:r w:rsidR="00C86381" w:rsidRPr="00E908A1">
        <w:rPr>
          <w:szCs w:val="22"/>
          <w:lang w:val="fr-FR"/>
        </w:rPr>
        <w:t>.</w:t>
      </w:r>
    </w:p>
    <w:p w14:paraId="5408128B" w14:textId="77777777" w:rsidR="00C86381" w:rsidRPr="005012AF" w:rsidRDefault="00C86381" w:rsidP="00BA154F">
      <w:pPr>
        <w:jc w:val="both"/>
        <w:rPr>
          <w:szCs w:val="22"/>
          <w:lang w:val="fr-FR"/>
        </w:rPr>
      </w:pPr>
    </w:p>
    <w:p w14:paraId="54BC51A9" w14:textId="398CCA3E" w:rsidR="00C86381" w:rsidRPr="005012AF" w:rsidRDefault="00BA154F" w:rsidP="00BA154F">
      <w:pPr>
        <w:jc w:val="both"/>
        <w:rPr>
          <w:szCs w:val="22"/>
          <w:lang w:val="fr-FR"/>
        </w:rPr>
      </w:pPr>
      <w:r w:rsidRPr="005012AF">
        <w:rPr>
          <w:szCs w:val="22"/>
          <w:lang w:val="fr-FR"/>
        </w:rPr>
        <w:t>230</w:t>
      </w:r>
      <w:r w:rsidR="00C86381" w:rsidRPr="005F17A0">
        <w:rPr>
          <w:szCs w:val="22"/>
          <w:lang w:val="fr-FR"/>
        </w:rPr>
        <w:t xml:space="preserve">. </w:t>
      </w:r>
      <w:r w:rsidR="00C86381" w:rsidRPr="005F17A0">
        <w:rPr>
          <w:b/>
          <w:szCs w:val="22"/>
          <w:lang w:val="fr-FR"/>
        </w:rPr>
        <w:t>M. Dereliev</w:t>
      </w:r>
      <w:r w:rsidR="00C86381" w:rsidRPr="005F17A0">
        <w:rPr>
          <w:szCs w:val="22"/>
          <w:lang w:val="fr-FR"/>
        </w:rPr>
        <w:t xml:space="preserve"> a résumé les différentes exigences du texte de l</w:t>
      </w:r>
      <w:r w:rsidR="00C86381">
        <w:rPr>
          <w:szCs w:val="22"/>
          <w:lang w:val="fr-FR"/>
        </w:rPr>
        <w:t>’</w:t>
      </w:r>
      <w:r w:rsidR="00C86381" w:rsidRPr="005F17A0">
        <w:rPr>
          <w:szCs w:val="22"/>
          <w:lang w:val="fr-FR"/>
        </w:rPr>
        <w:t>Accord, du Plan stratégique et du Plan d</w:t>
      </w:r>
      <w:r w:rsidR="00C86381">
        <w:rPr>
          <w:szCs w:val="22"/>
          <w:lang w:val="fr-FR"/>
        </w:rPr>
        <w:t>’</w:t>
      </w:r>
      <w:r w:rsidR="00C86381" w:rsidRPr="005F17A0">
        <w:rPr>
          <w:szCs w:val="22"/>
          <w:lang w:val="fr-FR"/>
        </w:rPr>
        <w:t>action</w:t>
      </w:r>
      <w:r w:rsidR="00C86381">
        <w:rPr>
          <w:szCs w:val="22"/>
          <w:lang w:val="fr-FR"/>
        </w:rPr>
        <w:t>,</w:t>
      </w:r>
      <w:r w:rsidR="00C86381" w:rsidRPr="005F17A0">
        <w:rPr>
          <w:szCs w:val="22"/>
          <w:lang w:val="fr-FR"/>
        </w:rPr>
        <w:t xml:space="preserve"> qui ne pourront pas être </w:t>
      </w:r>
      <w:r w:rsidR="00C86381">
        <w:rPr>
          <w:szCs w:val="22"/>
          <w:lang w:val="fr-FR"/>
        </w:rPr>
        <w:t>satisfaites</w:t>
      </w:r>
      <w:r w:rsidR="00C86381" w:rsidRPr="005F17A0">
        <w:rPr>
          <w:szCs w:val="22"/>
          <w:lang w:val="fr-FR"/>
        </w:rPr>
        <w:t xml:space="preserve"> sans une surveillance effective des oiseaux d</w:t>
      </w:r>
      <w:r w:rsidR="00C86381">
        <w:rPr>
          <w:szCs w:val="22"/>
          <w:lang w:val="fr-FR"/>
        </w:rPr>
        <w:t>’</w:t>
      </w:r>
      <w:r w:rsidR="00C86381" w:rsidRPr="005F17A0">
        <w:rPr>
          <w:szCs w:val="22"/>
          <w:lang w:val="fr-FR"/>
        </w:rPr>
        <w:t>eau, ainsi que des décisions précédentes de la MOP concernant le besoin de renforcer et de développer plus avant un cadre international pour la surveillance des oiseaux d</w:t>
      </w:r>
      <w:r w:rsidR="00C86381">
        <w:rPr>
          <w:szCs w:val="22"/>
          <w:lang w:val="fr-FR"/>
        </w:rPr>
        <w:t>’</w:t>
      </w:r>
      <w:r w:rsidR="00C86381" w:rsidRPr="005F17A0">
        <w:rPr>
          <w:szCs w:val="22"/>
          <w:lang w:val="fr-FR"/>
        </w:rPr>
        <w:t>eau</w:t>
      </w:r>
      <w:r w:rsidR="00986D00">
        <w:rPr>
          <w:szCs w:val="22"/>
          <w:lang w:val="fr-FR"/>
        </w:rPr>
        <w:t>.</w:t>
      </w:r>
    </w:p>
    <w:p w14:paraId="5795ACAA" w14:textId="77777777" w:rsidR="00C86381" w:rsidRPr="005012AF" w:rsidRDefault="00C86381" w:rsidP="00BA154F">
      <w:pPr>
        <w:jc w:val="both"/>
        <w:rPr>
          <w:szCs w:val="22"/>
          <w:lang w:val="fr-FR"/>
        </w:rPr>
      </w:pPr>
    </w:p>
    <w:p w14:paraId="240DE1A8" w14:textId="1C388390" w:rsidR="00C86381" w:rsidRPr="0015738B" w:rsidRDefault="00BA154F" w:rsidP="00BA154F">
      <w:pPr>
        <w:jc w:val="both"/>
        <w:rPr>
          <w:szCs w:val="22"/>
          <w:lang w:val="fr-FR"/>
        </w:rPr>
      </w:pPr>
      <w:r w:rsidRPr="005012AF">
        <w:rPr>
          <w:szCs w:val="22"/>
          <w:lang w:val="fr-FR"/>
        </w:rPr>
        <w:t>231</w:t>
      </w:r>
      <w:r w:rsidR="00C86381" w:rsidRPr="00050926">
        <w:rPr>
          <w:szCs w:val="22"/>
          <w:lang w:val="fr-FR"/>
        </w:rPr>
        <w:t xml:space="preserve">. </w:t>
      </w:r>
      <w:r w:rsidR="00C86381" w:rsidRPr="00050926">
        <w:rPr>
          <w:b/>
          <w:szCs w:val="22"/>
          <w:lang w:val="fr-FR"/>
        </w:rPr>
        <w:t>M. Nagy</w:t>
      </w:r>
      <w:r w:rsidR="00C86381" w:rsidRPr="00050926">
        <w:rPr>
          <w:szCs w:val="22"/>
          <w:lang w:val="fr-FR"/>
        </w:rPr>
        <w:t xml:space="preserve"> a décrit le processus de développement d</w:t>
      </w:r>
      <w:r w:rsidR="00C86381">
        <w:rPr>
          <w:szCs w:val="22"/>
          <w:lang w:val="fr-FR"/>
        </w:rPr>
        <w:t>’</w:t>
      </w:r>
      <w:r w:rsidR="00C86381" w:rsidRPr="00050926">
        <w:rPr>
          <w:szCs w:val="22"/>
          <w:lang w:val="fr-FR"/>
        </w:rPr>
        <w:t xml:space="preserve">un </w:t>
      </w:r>
      <w:r w:rsidR="00C86381">
        <w:rPr>
          <w:szCs w:val="22"/>
          <w:lang w:val="fr-FR"/>
        </w:rPr>
        <w:t>p</w:t>
      </w:r>
      <w:r w:rsidR="00986D00">
        <w:rPr>
          <w:szCs w:val="22"/>
          <w:lang w:val="fr-FR"/>
        </w:rPr>
        <w:t>lan s</w:t>
      </w:r>
      <w:r w:rsidR="00C86381" w:rsidRPr="00050926">
        <w:rPr>
          <w:szCs w:val="22"/>
          <w:lang w:val="fr-FR"/>
        </w:rPr>
        <w:t>tratégique pour la surveillance des oiseaux d</w:t>
      </w:r>
      <w:r w:rsidR="00C86381">
        <w:rPr>
          <w:szCs w:val="22"/>
          <w:lang w:val="fr-FR"/>
        </w:rPr>
        <w:t>’</w:t>
      </w:r>
      <w:r w:rsidR="00C86381" w:rsidRPr="00050926">
        <w:rPr>
          <w:szCs w:val="22"/>
          <w:lang w:val="fr-FR"/>
        </w:rPr>
        <w:t>eau dans la zone de l</w:t>
      </w:r>
      <w:r w:rsidR="00C86381">
        <w:rPr>
          <w:szCs w:val="22"/>
          <w:lang w:val="fr-FR"/>
        </w:rPr>
        <w:t>’</w:t>
      </w:r>
      <w:r w:rsidR="00C86381" w:rsidRPr="00050926">
        <w:rPr>
          <w:szCs w:val="22"/>
          <w:lang w:val="fr-FR"/>
        </w:rPr>
        <w:t>AEWA, y compris la mise en place en juin 20</w:t>
      </w:r>
      <w:r w:rsidR="00986D00">
        <w:rPr>
          <w:szCs w:val="22"/>
          <w:lang w:val="fr-FR"/>
        </w:rPr>
        <w:t>1</w:t>
      </w:r>
      <w:r w:rsidR="00C86381" w:rsidRPr="00050926">
        <w:rPr>
          <w:szCs w:val="22"/>
          <w:lang w:val="fr-FR"/>
        </w:rPr>
        <w:t>1 d</w:t>
      </w:r>
      <w:r w:rsidR="00C86381">
        <w:rPr>
          <w:szCs w:val="22"/>
          <w:lang w:val="fr-FR"/>
        </w:rPr>
        <w:t>’</w:t>
      </w:r>
      <w:r w:rsidR="00C86381" w:rsidRPr="00050926">
        <w:rPr>
          <w:szCs w:val="22"/>
          <w:lang w:val="fr-FR"/>
        </w:rPr>
        <w:t>un Partenariat pour la surveillance des oiseaux d</w:t>
      </w:r>
      <w:r w:rsidR="00C86381">
        <w:rPr>
          <w:szCs w:val="22"/>
          <w:lang w:val="fr-FR"/>
        </w:rPr>
        <w:t>’</w:t>
      </w:r>
      <w:r w:rsidR="00C86381" w:rsidRPr="00050926">
        <w:rPr>
          <w:szCs w:val="22"/>
          <w:lang w:val="fr-FR"/>
        </w:rPr>
        <w:t>eau d</w:t>
      </w:r>
      <w:r w:rsidR="00C86381">
        <w:rPr>
          <w:szCs w:val="22"/>
          <w:lang w:val="fr-FR"/>
        </w:rPr>
        <w:t>’</w:t>
      </w:r>
      <w:r w:rsidR="00C86381" w:rsidRPr="00050926">
        <w:rPr>
          <w:szCs w:val="22"/>
          <w:lang w:val="fr-FR"/>
        </w:rPr>
        <w:t>Afrique-Eurasie. Il a souligné que l</w:t>
      </w:r>
      <w:r w:rsidR="00C86381">
        <w:rPr>
          <w:szCs w:val="22"/>
          <w:lang w:val="fr-FR"/>
        </w:rPr>
        <w:t>’</w:t>
      </w:r>
      <w:r w:rsidR="00C86381" w:rsidRPr="00050926">
        <w:rPr>
          <w:szCs w:val="22"/>
          <w:lang w:val="fr-FR"/>
        </w:rPr>
        <w:t>IWC étayait les services d</w:t>
      </w:r>
      <w:r w:rsidR="00C86381">
        <w:rPr>
          <w:szCs w:val="22"/>
          <w:lang w:val="fr-FR"/>
        </w:rPr>
        <w:t>’</w:t>
      </w:r>
      <w:r w:rsidR="00C86381" w:rsidRPr="00050926">
        <w:rPr>
          <w:szCs w:val="22"/>
          <w:lang w:val="fr-FR"/>
        </w:rPr>
        <w:t xml:space="preserve">information qui conduisaient à des analyses utiles aux prises de décisions. Il a été proposé que </w:t>
      </w:r>
      <w:r w:rsidR="00C86381">
        <w:rPr>
          <w:szCs w:val="22"/>
          <w:lang w:val="fr-FR"/>
        </w:rPr>
        <w:t>l’avenir</w:t>
      </w:r>
      <w:r w:rsidR="00C86381" w:rsidRPr="00050926">
        <w:rPr>
          <w:szCs w:val="22"/>
          <w:lang w:val="fr-FR"/>
        </w:rPr>
        <w:t xml:space="preserve"> de l</w:t>
      </w:r>
      <w:r w:rsidR="00C86381">
        <w:rPr>
          <w:szCs w:val="22"/>
          <w:lang w:val="fr-FR"/>
        </w:rPr>
        <w:t>’</w:t>
      </w:r>
      <w:r w:rsidR="00C86381" w:rsidRPr="00050926">
        <w:rPr>
          <w:szCs w:val="22"/>
          <w:lang w:val="fr-FR"/>
        </w:rPr>
        <w:t xml:space="preserve">IWC soit basé sur une coordination au niveau de la voie de migration avec un renforcement de capacité modeste. Les implications budgétaires sont de 353 000 € pour des coûts </w:t>
      </w:r>
      <w:r w:rsidR="00C86381">
        <w:rPr>
          <w:szCs w:val="22"/>
          <w:lang w:val="fr-FR"/>
        </w:rPr>
        <w:t>annuels</w:t>
      </w:r>
      <w:r w:rsidR="00C86381" w:rsidRPr="00050926">
        <w:rPr>
          <w:szCs w:val="22"/>
          <w:lang w:val="fr-FR"/>
        </w:rPr>
        <w:t xml:space="preserve"> récurrents, plus des coûts périodiques de 290 000 €, dont seulement 130 000 €</w:t>
      </w:r>
      <w:r w:rsidR="00C86381">
        <w:rPr>
          <w:szCs w:val="22"/>
          <w:lang w:val="fr-FR"/>
        </w:rPr>
        <w:t xml:space="preserve"> </w:t>
      </w:r>
      <w:r w:rsidR="00C86381" w:rsidRPr="00050926">
        <w:rPr>
          <w:szCs w:val="22"/>
          <w:lang w:val="fr-FR"/>
        </w:rPr>
        <w:t>recherchés chaque année auprès des Parties à l</w:t>
      </w:r>
      <w:r w:rsidR="00C86381">
        <w:rPr>
          <w:szCs w:val="22"/>
          <w:lang w:val="fr-FR"/>
        </w:rPr>
        <w:t>’</w:t>
      </w:r>
      <w:r w:rsidR="00C86381" w:rsidRPr="00050926">
        <w:rPr>
          <w:szCs w:val="22"/>
          <w:lang w:val="fr-FR"/>
        </w:rPr>
        <w:t>AEWA.</w:t>
      </w:r>
    </w:p>
    <w:p w14:paraId="4396B316" w14:textId="77777777" w:rsidR="00C86381" w:rsidRPr="0015738B" w:rsidRDefault="00C86381" w:rsidP="00BA154F">
      <w:pPr>
        <w:jc w:val="both"/>
        <w:rPr>
          <w:szCs w:val="22"/>
          <w:lang w:val="fr-FR"/>
        </w:rPr>
      </w:pPr>
    </w:p>
    <w:p w14:paraId="076130A8" w14:textId="781999A1" w:rsidR="00C86381" w:rsidRPr="005012AF" w:rsidRDefault="00BA154F" w:rsidP="00BA154F">
      <w:pPr>
        <w:jc w:val="both"/>
        <w:rPr>
          <w:szCs w:val="22"/>
          <w:lang w:val="fr-FR"/>
        </w:rPr>
      </w:pPr>
      <w:r>
        <w:rPr>
          <w:szCs w:val="22"/>
          <w:lang w:val="fr-FR"/>
        </w:rPr>
        <w:t>232</w:t>
      </w:r>
      <w:r w:rsidR="00C86381" w:rsidRPr="007327E1">
        <w:rPr>
          <w:szCs w:val="22"/>
          <w:lang w:val="fr-FR"/>
        </w:rPr>
        <w:t xml:space="preserve">. </w:t>
      </w:r>
      <w:r w:rsidR="00C86381" w:rsidRPr="007327E1">
        <w:rPr>
          <w:b/>
          <w:szCs w:val="22"/>
          <w:lang w:val="fr-FR"/>
        </w:rPr>
        <w:t>M. Dereliev</w:t>
      </w:r>
      <w:r w:rsidR="00C86381" w:rsidRPr="007327E1">
        <w:rPr>
          <w:szCs w:val="22"/>
          <w:lang w:val="fr-FR"/>
        </w:rPr>
        <w:t xml:space="preserve"> a présenté cinq scénarios possibles pour le futur financement structurel de l</w:t>
      </w:r>
      <w:r w:rsidR="00C86381">
        <w:rPr>
          <w:szCs w:val="22"/>
          <w:lang w:val="fr-FR"/>
        </w:rPr>
        <w:t>’</w:t>
      </w:r>
      <w:r w:rsidR="00C86381" w:rsidRPr="007327E1">
        <w:rPr>
          <w:szCs w:val="22"/>
          <w:lang w:val="fr-FR"/>
        </w:rPr>
        <w:t>IWC, présentant la participation potentielle de l</w:t>
      </w:r>
      <w:r w:rsidR="00C86381">
        <w:rPr>
          <w:szCs w:val="22"/>
          <w:lang w:val="fr-FR"/>
        </w:rPr>
        <w:t>’</w:t>
      </w:r>
      <w:r w:rsidR="00C86381" w:rsidRPr="007327E1">
        <w:rPr>
          <w:szCs w:val="22"/>
          <w:lang w:val="fr-FR"/>
        </w:rPr>
        <w:t>AEWA, ainsi que l</w:t>
      </w:r>
      <w:r w:rsidR="00C86381">
        <w:rPr>
          <w:szCs w:val="22"/>
          <w:lang w:val="fr-FR"/>
        </w:rPr>
        <w:t>’</w:t>
      </w:r>
      <w:r w:rsidR="00C86381" w:rsidRPr="007327E1">
        <w:rPr>
          <w:szCs w:val="22"/>
          <w:lang w:val="fr-FR"/>
        </w:rPr>
        <w:t xml:space="preserve">avant-projet de Résolution AEWA/MOP DR22 </w:t>
      </w:r>
      <w:r w:rsidR="00C86381" w:rsidRPr="007327E1">
        <w:rPr>
          <w:i/>
          <w:szCs w:val="22"/>
          <w:lang w:val="fr-FR"/>
        </w:rPr>
        <w:t>Mise en place d</w:t>
      </w:r>
      <w:r w:rsidR="00C86381">
        <w:rPr>
          <w:i/>
          <w:szCs w:val="22"/>
          <w:lang w:val="fr-FR"/>
        </w:rPr>
        <w:t>’</w:t>
      </w:r>
      <w:r w:rsidR="00C86381" w:rsidRPr="007327E1">
        <w:rPr>
          <w:i/>
          <w:szCs w:val="22"/>
          <w:lang w:val="fr-FR"/>
        </w:rPr>
        <w:t>un régime structurel de financement de base à long terme pour le Recensement international des oiseaux d</w:t>
      </w:r>
      <w:r w:rsidR="00C86381">
        <w:rPr>
          <w:i/>
          <w:szCs w:val="22"/>
          <w:lang w:val="fr-FR"/>
        </w:rPr>
        <w:t>’</w:t>
      </w:r>
      <w:r w:rsidR="00C86381" w:rsidRPr="007327E1">
        <w:rPr>
          <w:i/>
          <w:szCs w:val="22"/>
          <w:lang w:val="fr-FR"/>
        </w:rPr>
        <w:t>eau dans la région d</w:t>
      </w:r>
      <w:r w:rsidR="00C86381">
        <w:rPr>
          <w:i/>
          <w:szCs w:val="22"/>
          <w:lang w:val="fr-FR"/>
        </w:rPr>
        <w:t>’</w:t>
      </w:r>
      <w:r w:rsidR="00C86381" w:rsidRPr="007327E1">
        <w:rPr>
          <w:i/>
          <w:szCs w:val="22"/>
          <w:lang w:val="fr-FR"/>
        </w:rPr>
        <w:t>Afrique-Eurasie</w:t>
      </w:r>
      <w:r w:rsidR="00C86381" w:rsidRPr="007327E1">
        <w:rPr>
          <w:szCs w:val="22"/>
          <w:lang w:val="fr-FR"/>
        </w:rPr>
        <w:t>. Les</w:t>
      </w:r>
      <w:r w:rsidR="00C86381">
        <w:rPr>
          <w:szCs w:val="22"/>
          <w:lang w:val="fr-FR"/>
        </w:rPr>
        <w:t xml:space="preserve"> </w:t>
      </w:r>
      <w:r w:rsidR="00C86381" w:rsidRPr="007327E1">
        <w:rPr>
          <w:szCs w:val="22"/>
          <w:lang w:val="fr-FR"/>
        </w:rPr>
        <w:t>paragraphes de l</w:t>
      </w:r>
      <w:r w:rsidR="00C86381">
        <w:rPr>
          <w:szCs w:val="22"/>
          <w:lang w:val="fr-FR"/>
        </w:rPr>
        <w:t>’</w:t>
      </w:r>
      <w:r w:rsidR="00C86381" w:rsidRPr="007327E1">
        <w:rPr>
          <w:szCs w:val="22"/>
          <w:lang w:val="fr-FR"/>
        </w:rPr>
        <w:t>avant-projet de Résolution offraient le choi</w:t>
      </w:r>
      <w:r w:rsidR="00C86381">
        <w:rPr>
          <w:szCs w:val="22"/>
          <w:lang w:val="fr-FR"/>
        </w:rPr>
        <w:t>x</w:t>
      </w:r>
      <w:r w:rsidR="00C86381" w:rsidRPr="007327E1">
        <w:rPr>
          <w:szCs w:val="22"/>
          <w:lang w:val="fr-FR"/>
        </w:rPr>
        <w:t xml:space="preserve"> entre deux solutions. Il a souligné que les montants soumis à discussion sous-estimaient beaucoup les coûts réels de l</w:t>
      </w:r>
      <w:r w:rsidR="00C86381">
        <w:rPr>
          <w:szCs w:val="22"/>
          <w:lang w:val="fr-FR"/>
        </w:rPr>
        <w:t>’</w:t>
      </w:r>
      <w:r w:rsidR="00C86381" w:rsidRPr="007327E1">
        <w:rPr>
          <w:szCs w:val="22"/>
          <w:lang w:val="fr-FR"/>
        </w:rPr>
        <w:t>IWC qui dépendaient des efforts déployés par des milliers de volontaires dévoués.</w:t>
      </w:r>
    </w:p>
    <w:p w14:paraId="36945275" w14:textId="77777777" w:rsidR="00C86381" w:rsidRPr="005012AF" w:rsidRDefault="00C86381" w:rsidP="00BA154F">
      <w:pPr>
        <w:jc w:val="both"/>
        <w:rPr>
          <w:szCs w:val="22"/>
          <w:lang w:val="fr-FR"/>
        </w:rPr>
      </w:pPr>
    </w:p>
    <w:p w14:paraId="732C1988" w14:textId="77777777" w:rsidR="00C86381" w:rsidRPr="005012AF" w:rsidRDefault="00C86381" w:rsidP="00BA154F">
      <w:pPr>
        <w:jc w:val="both"/>
        <w:outlineLvl w:val="0"/>
        <w:rPr>
          <w:szCs w:val="22"/>
          <w:u w:val="single"/>
          <w:lang w:val="fr-FR"/>
        </w:rPr>
      </w:pPr>
      <w:r w:rsidRPr="00BA154F">
        <w:rPr>
          <w:szCs w:val="22"/>
          <w:u w:val="single"/>
          <w:lang w:val="fr-FR"/>
        </w:rPr>
        <w:t>Périodicité des sessions de la Réunion des Parties</w:t>
      </w:r>
    </w:p>
    <w:p w14:paraId="7DDC7E19" w14:textId="77777777" w:rsidR="00C86381" w:rsidRPr="005012AF" w:rsidRDefault="00C86381" w:rsidP="00BA154F">
      <w:pPr>
        <w:jc w:val="both"/>
        <w:rPr>
          <w:szCs w:val="22"/>
          <w:lang w:val="fr-FR"/>
        </w:rPr>
      </w:pPr>
    </w:p>
    <w:p w14:paraId="0EDE837D" w14:textId="2A7E25B9" w:rsidR="00C86381" w:rsidRPr="005012AF" w:rsidRDefault="00BA154F" w:rsidP="00BA154F">
      <w:pPr>
        <w:jc w:val="both"/>
        <w:rPr>
          <w:szCs w:val="22"/>
          <w:lang w:val="fr-FR"/>
        </w:rPr>
      </w:pPr>
      <w:r>
        <w:rPr>
          <w:szCs w:val="22"/>
          <w:lang w:val="fr-FR"/>
        </w:rPr>
        <w:t>233</w:t>
      </w:r>
      <w:r w:rsidR="00C86381" w:rsidRPr="00507EA3">
        <w:rPr>
          <w:szCs w:val="22"/>
          <w:lang w:val="fr-FR"/>
        </w:rPr>
        <w:t>. Le</w:t>
      </w:r>
      <w:r w:rsidR="00C86381" w:rsidRPr="00507EA3">
        <w:rPr>
          <w:b/>
          <w:szCs w:val="22"/>
          <w:lang w:val="fr-FR"/>
        </w:rPr>
        <w:t xml:space="preserve"> Secrétaire exécutif </w:t>
      </w:r>
      <w:r w:rsidR="00986D00" w:rsidRPr="00986D00">
        <w:rPr>
          <w:szCs w:val="22"/>
          <w:lang w:val="fr-FR"/>
        </w:rPr>
        <w:t>(M. Marco Barbieri)</w:t>
      </w:r>
      <w:r w:rsidR="00986D00">
        <w:rPr>
          <w:b/>
          <w:szCs w:val="22"/>
          <w:lang w:val="fr-FR"/>
        </w:rPr>
        <w:t xml:space="preserve"> </w:t>
      </w:r>
      <w:r w:rsidR="00C86381" w:rsidRPr="00507EA3">
        <w:rPr>
          <w:szCs w:val="22"/>
          <w:lang w:val="fr-FR"/>
        </w:rPr>
        <w:t>a présenté le</w:t>
      </w:r>
      <w:r w:rsidR="00C86381" w:rsidRPr="00507EA3">
        <w:rPr>
          <w:b/>
          <w:szCs w:val="22"/>
          <w:lang w:val="fr-FR"/>
        </w:rPr>
        <w:t xml:space="preserve"> </w:t>
      </w:r>
      <w:r w:rsidR="00C86381" w:rsidRPr="00507EA3">
        <w:rPr>
          <w:szCs w:val="22"/>
          <w:lang w:val="fr-FR"/>
        </w:rPr>
        <w:t xml:space="preserve">document AEWA/MOP 5.43 </w:t>
      </w:r>
      <w:r w:rsidR="00C86381" w:rsidRPr="00507EA3">
        <w:rPr>
          <w:i/>
          <w:szCs w:val="22"/>
          <w:lang w:val="fr-FR"/>
        </w:rPr>
        <w:t>Considérations sur la périodicité future des sessions de la Réunion des Parties</w:t>
      </w:r>
      <w:r w:rsidR="00C86381" w:rsidRPr="00507EA3">
        <w:rPr>
          <w:szCs w:val="22"/>
          <w:lang w:val="fr-FR"/>
        </w:rPr>
        <w:t>, ainsi que l</w:t>
      </w:r>
      <w:r w:rsidR="00C86381">
        <w:rPr>
          <w:szCs w:val="22"/>
          <w:lang w:val="fr-FR"/>
        </w:rPr>
        <w:t>’</w:t>
      </w:r>
      <w:r w:rsidR="00C86381" w:rsidRPr="00507EA3">
        <w:rPr>
          <w:szCs w:val="22"/>
          <w:lang w:val="fr-FR"/>
        </w:rPr>
        <w:t xml:space="preserve">avant-projet de Résolution correspondant AEWA/MOP DR23 </w:t>
      </w:r>
      <w:r w:rsidR="00C86381" w:rsidRPr="00A16DE1">
        <w:rPr>
          <w:i/>
          <w:szCs w:val="22"/>
          <w:lang w:val="fr-FR"/>
        </w:rPr>
        <w:t>P</w:t>
      </w:r>
      <w:r w:rsidR="00C86381" w:rsidRPr="00507EA3">
        <w:rPr>
          <w:i/>
          <w:szCs w:val="22"/>
          <w:lang w:val="fr-FR"/>
        </w:rPr>
        <w:t>ériodicité des sessions de la Réunion des Parties.</w:t>
      </w:r>
      <w:r w:rsidR="00C86381" w:rsidRPr="00507EA3">
        <w:rPr>
          <w:szCs w:val="22"/>
          <w:lang w:val="fr-FR"/>
        </w:rPr>
        <w:t xml:space="preserve"> Le Document 5.43, qui avait été préparé par le Secrétariat en consultation avec le </w:t>
      </w:r>
      <w:proofErr w:type="spellStart"/>
      <w:r w:rsidR="00C86381" w:rsidRPr="00507EA3">
        <w:rPr>
          <w:szCs w:val="22"/>
          <w:lang w:val="fr-FR"/>
        </w:rPr>
        <w:t>StC</w:t>
      </w:r>
      <w:proofErr w:type="spellEnd"/>
      <w:r w:rsidR="00C86381" w:rsidRPr="00507EA3">
        <w:rPr>
          <w:szCs w:val="22"/>
          <w:lang w:val="fr-FR"/>
        </w:rPr>
        <w:t xml:space="preserve"> exposait les avantages et les inconvénients possibles d</w:t>
      </w:r>
      <w:r w:rsidR="00C86381">
        <w:rPr>
          <w:szCs w:val="22"/>
          <w:lang w:val="fr-FR"/>
        </w:rPr>
        <w:t xml:space="preserve">´un passage </w:t>
      </w:r>
      <w:r w:rsidR="00C86381" w:rsidRPr="00507EA3">
        <w:rPr>
          <w:szCs w:val="22"/>
          <w:lang w:val="fr-FR"/>
        </w:rPr>
        <w:t>à une période</w:t>
      </w:r>
      <w:r w:rsidR="00C86381">
        <w:rPr>
          <w:szCs w:val="22"/>
          <w:lang w:val="fr-FR"/>
        </w:rPr>
        <w:t xml:space="preserve"> </w:t>
      </w:r>
      <w:proofErr w:type="spellStart"/>
      <w:r w:rsidR="00C86381" w:rsidRPr="00507EA3">
        <w:rPr>
          <w:szCs w:val="22"/>
          <w:lang w:val="fr-FR"/>
        </w:rPr>
        <w:t>intersessionnelle</w:t>
      </w:r>
      <w:proofErr w:type="spellEnd"/>
      <w:r w:rsidR="00C86381" w:rsidRPr="00507EA3">
        <w:rPr>
          <w:szCs w:val="22"/>
          <w:lang w:val="fr-FR"/>
        </w:rPr>
        <w:t xml:space="preserve"> de quatre ans plutôt que de maintenir le cycle annuel de trois ans. L</w:t>
      </w:r>
      <w:r w:rsidR="00C86381">
        <w:rPr>
          <w:szCs w:val="22"/>
          <w:lang w:val="fr-FR"/>
        </w:rPr>
        <w:t>’</w:t>
      </w:r>
      <w:r w:rsidR="00C86381" w:rsidRPr="00507EA3">
        <w:rPr>
          <w:szCs w:val="22"/>
          <w:lang w:val="fr-FR"/>
        </w:rPr>
        <w:t>avant-projet proposait quatre options</w:t>
      </w:r>
      <w:r w:rsidR="00C86381">
        <w:rPr>
          <w:szCs w:val="22"/>
          <w:lang w:val="fr-FR"/>
        </w:rPr>
        <w:t xml:space="preserve"> </w:t>
      </w:r>
      <w:r w:rsidR="00C86381" w:rsidRPr="00507EA3">
        <w:rPr>
          <w:szCs w:val="22"/>
          <w:lang w:val="fr-FR"/>
        </w:rPr>
        <w:t>possibles, tenant compte de ces</w:t>
      </w:r>
      <w:r w:rsidR="00C86381">
        <w:rPr>
          <w:szCs w:val="22"/>
          <w:lang w:val="fr-FR"/>
        </w:rPr>
        <w:t xml:space="preserve"> </w:t>
      </w:r>
      <w:r w:rsidR="00C86381" w:rsidRPr="00507EA3">
        <w:rPr>
          <w:szCs w:val="22"/>
          <w:lang w:val="fr-FR"/>
        </w:rPr>
        <w:t>avantages et inconvénients.</w:t>
      </w:r>
    </w:p>
    <w:p w14:paraId="09671660" w14:textId="77777777" w:rsidR="00C86381" w:rsidRPr="005012AF" w:rsidRDefault="00C86381" w:rsidP="00BA154F">
      <w:pPr>
        <w:jc w:val="both"/>
        <w:rPr>
          <w:szCs w:val="22"/>
          <w:lang w:val="fr-FR"/>
        </w:rPr>
      </w:pPr>
    </w:p>
    <w:p w14:paraId="52D20AAF" w14:textId="77777777" w:rsidR="00C86381" w:rsidRPr="005012AF" w:rsidRDefault="00C86381" w:rsidP="00BA154F">
      <w:pPr>
        <w:jc w:val="both"/>
        <w:outlineLvl w:val="0"/>
        <w:rPr>
          <w:szCs w:val="22"/>
          <w:u w:val="single"/>
          <w:lang w:val="fr-FR"/>
        </w:rPr>
      </w:pPr>
      <w:r w:rsidRPr="00BA154F">
        <w:rPr>
          <w:szCs w:val="22"/>
          <w:u w:val="single"/>
          <w:lang w:val="fr-FR"/>
        </w:rPr>
        <w:t>Discussion</w:t>
      </w:r>
    </w:p>
    <w:p w14:paraId="5EF0C30C" w14:textId="77777777" w:rsidR="00C86381" w:rsidRPr="005012AF" w:rsidRDefault="00C86381" w:rsidP="00BA154F">
      <w:pPr>
        <w:jc w:val="both"/>
        <w:rPr>
          <w:szCs w:val="22"/>
          <w:lang w:val="fr-FR"/>
        </w:rPr>
      </w:pPr>
    </w:p>
    <w:p w14:paraId="55779DA4" w14:textId="74BD3DBF" w:rsidR="00C86381" w:rsidRPr="005012AF" w:rsidRDefault="00BA154F" w:rsidP="00BA154F">
      <w:pPr>
        <w:jc w:val="both"/>
        <w:rPr>
          <w:szCs w:val="22"/>
          <w:lang w:val="fr-FR"/>
        </w:rPr>
      </w:pPr>
      <w:r>
        <w:rPr>
          <w:szCs w:val="22"/>
          <w:lang w:val="fr-FR"/>
        </w:rPr>
        <w:t>234</w:t>
      </w:r>
      <w:r w:rsidR="00C86381" w:rsidRPr="0050584E">
        <w:rPr>
          <w:szCs w:val="22"/>
          <w:lang w:val="fr-FR"/>
        </w:rPr>
        <w:t xml:space="preserve">. La </w:t>
      </w:r>
      <w:r w:rsidR="00C86381" w:rsidRPr="0050584E">
        <w:rPr>
          <w:b/>
          <w:szCs w:val="22"/>
          <w:lang w:val="fr-FR"/>
        </w:rPr>
        <w:t xml:space="preserve">Suisse </w:t>
      </w:r>
      <w:r w:rsidR="00C86381" w:rsidRPr="00986D00">
        <w:rPr>
          <w:szCs w:val="22"/>
          <w:lang w:val="fr-FR"/>
        </w:rPr>
        <w:t>a o</w:t>
      </w:r>
      <w:r w:rsidR="00C86381" w:rsidRPr="0050584E">
        <w:rPr>
          <w:szCs w:val="22"/>
          <w:lang w:val="fr-FR"/>
        </w:rPr>
        <w:t>bservé que les documents examinés sous le point 19 de l</w:t>
      </w:r>
      <w:r w:rsidR="00C86381">
        <w:rPr>
          <w:szCs w:val="22"/>
          <w:lang w:val="fr-FR"/>
        </w:rPr>
        <w:t>’</w:t>
      </w:r>
      <w:r w:rsidR="00C86381" w:rsidRPr="0050584E">
        <w:rPr>
          <w:szCs w:val="22"/>
          <w:lang w:val="fr-FR"/>
        </w:rPr>
        <w:t>ordre du jour étaient au cœur de la MOP5. L</w:t>
      </w:r>
      <w:r w:rsidR="00C86381">
        <w:rPr>
          <w:szCs w:val="22"/>
          <w:lang w:val="fr-FR"/>
        </w:rPr>
        <w:t>’</w:t>
      </w:r>
      <w:r w:rsidR="00C86381" w:rsidRPr="0050584E">
        <w:rPr>
          <w:szCs w:val="22"/>
          <w:lang w:val="fr-FR"/>
        </w:rPr>
        <w:t>Accord évoluait de manière intelligente et répondait aux nouveaux développements et besoins émergents. Il était à la fois compréhensible et justifié que le budget de l</w:t>
      </w:r>
      <w:r w:rsidR="00C86381">
        <w:rPr>
          <w:szCs w:val="22"/>
          <w:lang w:val="fr-FR"/>
        </w:rPr>
        <w:t>’</w:t>
      </w:r>
      <w:r w:rsidR="00C86381" w:rsidRPr="0050584E">
        <w:rPr>
          <w:szCs w:val="22"/>
          <w:lang w:val="fr-FR"/>
        </w:rPr>
        <w:t xml:space="preserve">AEWA soit augmenté. </w:t>
      </w:r>
      <w:r w:rsidR="00C86381">
        <w:rPr>
          <w:szCs w:val="22"/>
          <w:lang w:val="fr-FR"/>
        </w:rPr>
        <w:t xml:space="preserve">La Suisse </w:t>
      </w:r>
      <w:r w:rsidR="00C86381" w:rsidRPr="0050584E">
        <w:rPr>
          <w:szCs w:val="22"/>
          <w:lang w:val="fr-FR"/>
        </w:rPr>
        <w:t>recommandait le scénario 3 ou 6, soit une augmentation de 2 % par an pour compenser l</w:t>
      </w:r>
      <w:r w:rsidR="00C86381">
        <w:rPr>
          <w:szCs w:val="22"/>
          <w:lang w:val="fr-FR"/>
        </w:rPr>
        <w:t>’</w:t>
      </w:r>
      <w:r w:rsidR="00C86381" w:rsidRPr="0050584E">
        <w:rPr>
          <w:szCs w:val="22"/>
          <w:lang w:val="fr-FR"/>
        </w:rPr>
        <w:t>inflation, plus</w:t>
      </w:r>
      <w:r w:rsidR="00C86381">
        <w:rPr>
          <w:szCs w:val="22"/>
          <w:lang w:val="fr-FR"/>
        </w:rPr>
        <w:t xml:space="preserve"> </w:t>
      </w:r>
      <w:r w:rsidR="00C86381" w:rsidRPr="0050584E">
        <w:rPr>
          <w:szCs w:val="22"/>
          <w:lang w:val="fr-FR"/>
        </w:rPr>
        <w:t xml:space="preserve">3 % supplémentaire. </w:t>
      </w:r>
      <w:r w:rsidR="00C86381">
        <w:rPr>
          <w:szCs w:val="22"/>
          <w:lang w:val="fr-FR"/>
        </w:rPr>
        <w:t>Elle</w:t>
      </w:r>
      <w:r w:rsidR="00C86381" w:rsidRPr="0050584E">
        <w:rPr>
          <w:szCs w:val="22"/>
          <w:lang w:val="fr-FR"/>
        </w:rPr>
        <w:t xml:space="preserve"> était aussi en faveur d</w:t>
      </w:r>
      <w:r w:rsidR="00C86381">
        <w:rPr>
          <w:szCs w:val="22"/>
          <w:lang w:val="fr-FR"/>
        </w:rPr>
        <w:t>’</w:t>
      </w:r>
      <w:r w:rsidR="00C86381" w:rsidRPr="0050584E">
        <w:rPr>
          <w:szCs w:val="22"/>
          <w:lang w:val="fr-FR"/>
        </w:rPr>
        <w:t>allouer un montant destiné à la Surveillance des populations d</w:t>
      </w:r>
      <w:r w:rsidR="00C86381">
        <w:rPr>
          <w:szCs w:val="22"/>
          <w:lang w:val="fr-FR"/>
        </w:rPr>
        <w:t>’</w:t>
      </w:r>
      <w:r w:rsidR="00C86381" w:rsidRPr="0050584E">
        <w:rPr>
          <w:szCs w:val="22"/>
          <w:lang w:val="fr-FR"/>
        </w:rPr>
        <w:t>oiseaux d</w:t>
      </w:r>
      <w:r w:rsidR="00C86381">
        <w:rPr>
          <w:szCs w:val="22"/>
          <w:lang w:val="fr-FR"/>
        </w:rPr>
        <w:t>’</w:t>
      </w:r>
      <w:r w:rsidR="00C86381" w:rsidRPr="0050584E">
        <w:rPr>
          <w:szCs w:val="22"/>
          <w:lang w:val="fr-FR"/>
        </w:rPr>
        <w:t>eau dans le cadre du budget de l</w:t>
      </w:r>
      <w:r w:rsidR="00C86381">
        <w:rPr>
          <w:szCs w:val="22"/>
          <w:lang w:val="fr-FR"/>
        </w:rPr>
        <w:t>’</w:t>
      </w:r>
      <w:r w:rsidR="00C86381" w:rsidRPr="0050584E">
        <w:rPr>
          <w:szCs w:val="22"/>
          <w:lang w:val="fr-FR"/>
        </w:rPr>
        <w:t>AEWA. Finalement, il a été suggéré que la visibilité de l</w:t>
      </w:r>
      <w:r w:rsidR="00C86381">
        <w:rPr>
          <w:szCs w:val="22"/>
          <w:lang w:val="fr-FR"/>
        </w:rPr>
        <w:t>’</w:t>
      </w:r>
      <w:r w:rsidR="00C86381" w:rsidRPr="0050584E">
        <w:rPr>
          <w:szCs w:val="22"/>
          <w:lang w:val="fr-FR"/>
        </w:rPr>
        <w:t>AEWA soit considérablement augmentée dans le cadre du Programme de travail commun entre la CMS et la Convention sur la Diversité</w:t>
      </w:r>
      <w:r w:rsidR="00C86381">
        <w:rPr>
          <w:szCs w:val="22"/>
          <w:lang w:val="fr-FR"/>
        </w:rPr>
        <w:t xml:space="preserve"> </w:t>
      </w:r>
      <w:r w:rsidR="00C86381" w:rsidRPr="0050584E">
        <w:rPr>
          <w:szCs w:val="22"/>
          <w:lang w:val="fr-FR"/>
        </w:rPr>
        <w:t>Biologique.</w:t>
      </w:r>
    </w:p>
    <w:p w14:paraId="68E78733" w14:textId="77777777" w:rsidR="00C86381" w:rsidRPr="005012AF" w:rsidRDefault="00C86381" w:rsidP="00BA154F">
      <w:pPr>
        <w:jc w:val="both"/>
        <w:rPr>
          <w:szCs w:val="22"/>
          <w:lang w:val="fr-FR"/>
        </w:rPr>
      </w:pPr>
    </w:p>
    <w:p w14:paraId="153A9B94" w14:textId="6509179E" w:rsidR="00C86381" w:rsidRPr="005012AF" w:rsidRDefault="00BA154F" w:rsidP="00BA154F">
      <w:pPr>
        <w:jc w:val="both"/>
        <w:rPr>
          <w:szCs w:val="22"/>
          <w:lang w:val="fr-FR"/>
        </w:rPr>
      </w:pPr>
      <w:r>
        <w:rPr>
          <w:szCs w:val="22"/>
          <w:lang w:val="fr-FR"/>
        </w:rPr>
        <w:t>235</w:t>
      </w:r>
      <w:r w:rsidR="00C86381" w:rsidRPr="0050584E">
        <w:rPr>
          <w:szCs w:val="22"/>
          <w:lang w:val="fr-FR"/>
        </w:rPr>
        <w:t>. L</w:t>
      </w:r>
      <w:r w:rsidR="00C86381">
        <w:rPr>
          <w:szCs w:val="22"/>
          <w:lang w:val="fr-FR"/>
        </w:rPr>
        <w:t>’</w:t>
      </w:r>
      <w:r w:rsidR="00C86381" w:rsidRPr="0050584E">
        <w:rPr>
          <w:b/>
          <w:szCs w:val="22"/>
          <w:lang w:val="fr-FR"/>
        </w:rPr>
        <w:t xml:space="preserve">Algérie </w:t>
      </w:r>
      <w:r w:rsidR="00C86381" w:rsidRPr="0050584E">
        <w:rPr>
          <w:szCs w:val="22"/>
          <w:lang w:val="fr-FR"/>
        </w:rPr>
        <w:t xml:space="preserve">parlant au nom du </w:t>
      </w:r>
      <w:r w:rsidR="00C86381" w:rsidRPr="00986D00">
        <w:rPr>
          <w:b/>
          <w:szCs w:val="22"/>
          <w:lang w:val="fr-FR"/>
        </w:rPr>
        <w:t>Groupe de l´Afrique</w:t>
      </w:r>
      <w:r w:rsidR="00C86381">
        <w:rPr>
          <w:szCs w:val="22"/>
          <w:lang w:val="fr-FR"/>
        </w:rPr>
        <w:t xml:space="preserve"> </w:t>
      </w:r>
      <w:r w:rsidR="00C86381" w:rsidRPr="0050584E">
        <w:rPr>
          <w:szCs w:val="22"/>
          <w:lang w:val="fr-FR"/>
        </w:rPr>
        <w:t>a soutenu la position de la Suisse et confirmé que le groupe était en faveur de l</w:t>
      </w:r>
      <w:r w:rsidR="00C86381">
        <w:rPr>
          <w:szCs w:val="22"/>
          <w:lang w:val="fr-FR"/>
        </w:rPr>
        <w:t>’</w:t>
      </w:r>
      <w:r w:rsidR="00C86381" w:rsidRPr="0050584E">
        <w:rPr>
          <w:szCs w:val="22"/>
          <w:lang w:val="fr-FR"/>
        </w:rPr>
        <w:t>option 3 d</w:t>
      </w:r>
      <w:r w:rsidR="00C86381">
        <w:rPr>
          <w:szCs w:val="22"/>
          <w:lang w:val="fr-FR"/>
        </w:rPr>
        <w:t>u</w:t>
      </w:r>
      <w:r w:rsidR="00C86381" w:rsidRPr="0050584E">
        <w:rPr>
          <w:b/>
          <w:szCs w:val="22"/>
          <w:lang w:val="fr-FR"/>
        </w:rPr>
        <w:t xml:space="preserve"> </w:t>
      </w:r>
      <w:r w:rsidR="00C86381" w:rsidRPr="0050584E">
        <w:rPr>
          <w:szCs w:val="22"/>
          <w:lang w:val="fr-FR"/>
        </w:rPr>
        <w:t>budget.</w:t>
      </w:r>
    </w:p>
    <w:p w14:paraId="046F2D66" w14:textId="77777777" w:rsidR="00C86381" w:rsidRPr="005012AF" w:rsidRDefault="00C86381" w:rsidP="00BA154F">
      <w:pPr>
        <w:jc w:val="both"/>
        <w:rPr>
          <w:szCs w:val="22"/>
          <w:lang w:val="fr-FR"/>
        </w:rPr>
      </w:pPr>
    </w:p>
    <w:p w14:paraId="73BEBBB9" w14:textId="77777777" w:rsidR="00792FC9" w:rsidRPr="00BB0E9F" w:rsidRDefault="00792FC9" w:rsidP="00BA154F">
      <w:pPr>
        <w:jc w:val="both"/>
        <w:outlineLvl w:val="0"/>
        <w:rPr>
          <w:lang w:val="fr-FR"/>
        </w:rPr>
      </w:pPr>
    </w:p>
    <w:p w14:paraId="056573D6" w14:textId="77777777" w:rsidR="000958DA" w:rsidRPr="00FE1B97" w:rsidRDefault="000958DA" w:rsidP="00BA154F">
      <w:pPr>
        <w:jc w:val="both"/>
        <w:outlineLvl w:val="0"/>
        <w:rPr>
          <w:b/>
          <w:szCs w:val="22"/>
          <w:lang w:val="fr-FR"/>
        </w:rPr>
      </w:pPr>
      <w:r w:rsidRPr="00FE1B97">
        <w:rPr>
          <w:b/>
          <w:szCs w:val="22"/>
          <w:lang w:val="fr-FR"/>
        </w:rPr>
        <w:t>Point 28 de l’ordre du jour - Autres avant-projets de résolutions</w:t>
      </w:r>
    </w:p>
    <w:p w14:paraId="20199849" w14:textId="77777777" w:rsidR="000958DA" w:rsidRPr="00FE1B97" w:rsidRDefault="000958DA" w:rsidP="00BA154F">
      <w:pPr>
        <w:jc w:val="both"/>
        <w:rPr>
          <w:szCs w:val="22"/>
          <w:lang w:val="fr-FR"/>
        </w:rPr>
      </w:pPr>
    </w:p>
    <w:p w14:paraId="10F3DD33" w14:textId="070603EF" w:rsidR="000958DA" w:rsidRPr="00FE1B97" w:rsidRDefault="000958DA" w:rsidP="00BA154F">
      <w:pPr>
        <w:jc w:val="both"/>
        <w:rPr>
          <w:szCs w:val="22"/>
          <w:lang w:val="fr-FR"/>
        </w:rPr>
      </w:pPr>
      <w:r w:rsidRPr="00FE1B97">
        <w:rPr>
          <w:szCs w:val="22"/>
          <w:lang w:val="fr-FR"/>
        </w:rPr>
        <w:t>2</w:t>
      </w:r>
      <w:r w:rsidR="00B37F82">
        <w:rPr>
          <w:szCs w:val="22"/>
          <w:lang w:val="fr-FR"/>
        </w:rPr>
        <w:t>36</w:t>
      </w:r>
      <w:r w:rsidRPr="00FE1B97">
        <w:rPr>
          <w:szCs w:val="22"/>
          <w:lang w:val="fr-FR"/>
        </w:rPr>
        <w:t xml:space="preserve">. Le </w:t>
      </w:r>
      <w:r w:rsidRPr="00FE1B97">
        <w:rPr>
          <w:b/>
          <w:szCs w:val="22"/>
          <w:lang w:val="fr-FR"/>
        </w:rPr>
        <w:t xml:space="preserve">Dr David </w:t>
      </w:r>
      <w:proofErr w:type="spellStart"/>
      <w:r w:rsidRPr="00FE1B97">
        <w:rPr>
          <w:b/>
          <w:szCs w:val="22"/>
          <w:lang w:val="fr-FR"/>
        </w:rPr>
        <w:t>Stroud</w:t>
      </w:r>
      <w:proofErr w:type="spellEnd"/>
      <w:r w:rsidRPr="00FE1B97">
        <w:rPr>
          <w:szCs w:val="22"/>
          <w:lang w:val="fr-FR"/>
        </w:rPr>
        <w:t xml:space="preserve"> (membre du TC pour l’Europe du Sud et du Nord-Ouest) a introduit l’avant-projet de Résolution AEWA/MOP5 DR24 </w:t>
      </w:r>
      <w:r w:rsidRPr="00FE1B97">
        <w:rPr>
          <w:i/>
          <w:szCs w:val="22"/>
          <w:lang w:val="fr-FR"/>
        </w:rPr>
        <w:t>Contribution de l’AEWA aux objectifs d’Aichi 2020 pour la biodiversité</w:t>
      </w:r>
      <w:r w:rsidRPr="00FE1B97">
        <w:rPr>
          <w:szCs w:val="22"/>
          <w:lang w:val="fr-FR"/>
        </w:rPr>
        <w:t>. Il a noté que l’Annexe de l’avant-projet de Résolution présentait les contributions passées et à venir de l’AEWA à chacun des Objectifs d’Aichi.</w:t>
      </w:r>
    </w:p>
    <w:p w14:paraId="7679953D" w14:textId="77777777" w:rsidR="000958DA" w:rsidRPr="00FE1B97" w:rsidRDefault="000958DA" w:rsidP="00BA154F">
      <w:pPr>
        <w:jc w:val="both"/>
        <w:rPr>
          <w:szCs w:val="22"/>
          <w:lang w:val="fr-FR"/>
        </w:rPr>
      </w:pPr>
    </w:p>
    <w:p w14:paraId="315F2957" w14:textId="4CC60517" w:rsidR="000958DA" w:rsidRPr="00FE1B97" w:rsidRDefault="000958DA" w:rsidP="00BA154F">
      <w:pPr>
        <w:jc w:val="both"/>
        <w:rPr>
          <w:szCs w:val="22"/>
          <w:lang w:val="fr-FR"/>
        </w:rPr>
      </w:pPr>
      <w:r w:rsidRPr="00FE1B97">
        <w:rPr>
          <w:szCs w:val="22"/>
          <w:lang w:val="fr-FR"/>
        </w:rPr>
        <w:t>2</w:t>
      </w:r>
      <w:r w:rsidR="00B37F82">
        <w:rPr>
          <w:szCs w:val="22"/>
          <w:lang w:val="fr-FR"/>
        </w:rPr>
        <w:t>37</w:t>
      </w:r>
      <w:r w:rsidRPr="00FE1B97">
        <w:rPr>
          <w:szCs w:val="22"/>
          <w:lang w:val="fr-FR"/>
        </w:rPr>
        <w:t xml:space="preserve">. Notant que la DR24 serait examinée par le WG1, le </w:t>
      </w:r>
      <w:r w:rsidRPr="00FE1B97">
        <w:rPr>
          <w:b/>
          <w:szCs w:val="22"/>
          <w:lang w:val="fr-FR"/>
        </w:rPr>
        <w:t>Président</w:t>
      </w:r>
      <w:r w:rsidRPr="00FE1B97">
        <w:rPr>
          <w:szCs w:val="22"/>
          <w:lang w:val="fr-FR"/>
        </w:rPr>
        <w:t xml:space="preserve"> a invité à faire des commentaires généraux, mais il n’y en a pas eu.</w:t>
      </w:r>
    </w:p>
    <w:p w14:paraId="2AC1C2E7" w14:textId="77777777" w:rsidR="000958DA" w:rsidRPr="00FE1B97" w:rsidRDefault="000958DA" w:rsidP="00BA154F">
      <w:pPr>
        <w:jc w:val="both"/>
        <w:rPr>
          <w:szCs w:val="22"/>
          <w:lang w:val="fr-FR"/>
        </w:rPr>
      </w:pPr>
    </w:p>
    <w:p w14:paraId="665ED8A7" w14:textId="064E0B49" w:rsidR="000958DA" w:rsidRPr="00FE1B97" w:rsidRDefault="000958DA" w:rsidP="00BA154F">
      <w:pPr>
        <w:jc w:val="both"/>
        <w:rPr>
          <w:szCs w:val="22"/>
          <w:lang w:val="fr-FR"/>
        </w:rPr>
      </w:pPr>
      <w:r w:rsidRPr="00FE1B97">
        <w:rPr>
          <w:szCs w:val="22"/>
          <w:lang w:val="fr-FR"/>
        </w:rPr>
        <w:t>2</w:t>
      </w:r>
      <w:r w:rsidR="00B37F82">
        <w:rPr>
          <w:szCs w:val="22"/>
          <w:lang w:val="fr-FR"/>
        </w:rPr>
        <w:t>38</w:t>
      </w:r>
      <w:r w:rsidRPr="00FE1B97">
        <w:rPr>
          <w:szCs w:val="22"/>
          <w:lang w:val="fr-FR"/>
        </w:rPr>
        <w:t xml:space="preserve">. La </w:t>
      </w:r>
      <w:r w:rsidRPr="00FE1B97">
        <w:rPr>
          <w:b/>
          <w:szCs w:val="22"/>
          <w:lang w:val="fr-FR"/>
        </w:rPr>
        <w:t>France, parlant au nom de l’U</w:t>
      </w:r>
      <w:r w:rsidR="00986D00">
        <w:rPr>
          <w:b/>
          <w:szCs w:val="22"/>
          <w:lang w:val="fr-FR"/>
        </w:rPr>
        <w:t>nion européenne</w:t>
      </w:r>
      <w:r w:rsidRPr="00FE1B97">
        <w:rPr>
          <w:b/>
          <w:szCs w:val="22"/>
          <w:lang w:val="fr-FR"/>
        </w:rPr>
        <w:t xml:space="preserve"> et de ses États membres,</w:t>
      </w:r>
      <w:r w:rsidRPr="00FE1B97">
        <w:rPr>
          <w:szCs w:val="22"/>
          <w:lang w:val="fr-FR"/>
        </w:rPr>
        <w:t xml:space="preserve"> a introduit le document AEWA/MOP5 DR25 </w:t>
      </w:r>
      <w:r w:rsidRPr="00FE1B97">
        <w:rPr>
          <w:i/>
          <w:szCs w:val="22"/>
          <w:lang w:val="fr-FR"/>
        </w:rPr>
        <w:t>Clarification de la définition de la notion de perturbation, utile à une mise en œuvre appropriée du Plan d’action</w:t>
      </w:r>
      <w:r w:rsidRPr="00FE1B97">
        <w:rPr>
          <w:szCs w:val="22"/>
          <w:lang w:val="fr-FR"/>
        </w:rPr>
        <w:t>.</w:t>
      </w:r>
    </w:p>
    <w:p w14:paraId="5FAA7C79" w14:textId="77777777" w:rsidR="000958DA" w:rsidRPr="00FE1B97" w:rsidRDefault="000958DA" w:rsidP="00BA154F">
      <w:pPr>
        <w:jc w:val="both"/>
        <w:rPr>
          <w:szCs w:val="22"/>
          <w:lang w:val="fr-FR"/>
        </w:rPr>
      </w:pPr>
    </w:p>
    <w:p w14:paraId="2A7606D3" w14:textId="3974C615" w:rsidR="000958DA" w:rsidRPr="00FE1B97" w:rsidRDefault="000958DA" w:rsidP="00BA154F">
      <w:pPr>
        <w:jc w:val="both"/>
        <w:outlineLvl w:val="0"/>
        <w:rPr>
          <w:szCs w:val="22"/>
          <w:lang w:val="fr-FR"/>
        </w:rPr>
      </w:pPr>
      <w:r w:rsidRPr="00FE1B97">
        <w:rPr>
          <w:szCs w:val="22"/>
          <w:lang w:val="fr-FR"/>
        </w:rPr>
        <w:t>2</w:t>
      </w:r>
      <w:r w:rsidR="00B37F82">
        <w:rPr>
          <w:szCs w:val="22"/>
          <w:lang w:val="fr-FR"/>
        </w:rPr>
        <w:t>39</w:t>
      </w:r>
      <w:r w:rsidRPr="00FE1B97">
        <w:rPr>
          <w:szCs w:val="22"/>
          <w:lang w:val="fr-FR"/>
        </w:rPr>
        <w:t xml:space="preserve">. Notant que la DR25 serait examinée par le WG1, le </w:t>
      </w:r>
      <w:r w:rsidRPr="00FE1B97">
        <w:rPr>
          <w:b/>
          <w:szCs w:val="22"/>
          <w:lang w:val="fr-FR"/>
        </w:rPr>
        <w:t>Président</w:t>
      </w:r>
      <w:r w:rsidRPr="00FE1B97">
        <w:rPr>
          <w:szCs w:val="22"/>
          <w:lang w:val="fr-FR"/>
        </w:rPr>
        <w:t xml:space="preserve"> a invité à faire des commentaires généraux.</w:t>
      </w:r>
    </w:p>
    <w:p w14:paraId="0CF09077" w14:textId="77777777" w:rsidR="000958DA" w:rsidRPr="00FE1B97" w:rsidRDefault="000958DA" w:rsidP="00BA154F">
      <w:pPr>
        <w:jc w:val="both"/>
        <w:rPr>
          <w:szCs w:val="22"/>
          <w:lang w:val="fr-FR"/>
        </w:rPr>
      </w:pPr>
    </w:p>
    <w:p w14:paraId="03E2E779" w14:textId="47E63658" w:rsidR="000958DA" w:rsidRPr="00FE1B97" w:rsidRDefault="000958DA" w:rsidP="00BA154F">
      <w:pPr>
        <w:jc w:val="both"/>
        <w:rPr>
          <w:szCs w:val="22"/>
          <w:lang w:val="fr-FR"/>
        </w:rPr>
      </w:pPr>
      <w:r w:rsidRPr="00FE1B97">
        <w:rPr>
          <w:szCs w:val="22"/>
          <w:lang w:val="fr-FR"/>
        </w:rPr>
        <w:t>2</w:t>
      </w:r>
      <w:r w:rsidR="00B37F82">
        <w:rPr>
          <w:szCs w:val="22"/>
          <w:lang w:val="fr-FR"/>
        </w:rPr>
        <w:t>40</w:t>
      </w:r>
      <w:r w:rsidRPr="00FE1B97">
        <w:rPr>
          <w:szCs w:val="22"/>
          <w:lang w:val="fr-FR"/>
        </w:rPr>
        <w:t xml:space="preserve">. Le </w:t>
      </w:r>
      <w:r w:rsidRPr="00FE1B97">
        <w:rPr>
          <w:b/>
          <w:szCs w:val="22"/>
          <w:lang w:val="fr-FR"/>
        </w:rPr>
        <w:t>Président</w:t>
      </w:r>
      <w:r w:rsidRPr="00FE1B97">
        <w:rPr>
          <w:szCs w:val="22"/>
          <w:lang w:val="fr-FR"/>
        </w:rPr>
        <w:t xml:space="preserve"> a demandé que les commentaires faits par l’</w:t>
      </w:r>
      <w:r w:rsidRPr="00FE1B97">
        <w:rPr>
          <w:b/>
          <w:szCs w:val="22"/>
          <w:lang w:val="fr-FR"/>
        </w:rPr>
        <w:t>Algérie</w:t>
      </w:r>
      <w:r w:rsidRPr="00FE1B97">
        <w:rPr>
          <w:szCs w:val="22"/>
          <w:lang w:val="fr-FR"/>
        </w:rPr>
        <w:t xml:space="preserve"> et par le </w:t>
      </w:r>
      <w:r w:rsidRPr="00FE1B97">
        <w:rPr>
          <w:b/>
          <w:szCs w:val="22"/>
          <w:lang w:val="fr-FR"/>
        </w:rPr>
        <w:t>Sénégal, au nom du Groupe de l’Afrique</w:t>
      </w:r>
      <w:r w:rsidRPr="00FE1B97">
        <w:rPr>
          <w:szCs w:val="22"/>
          <w:lang w:val="fr-FR"/>
        </w:rPr>
        <w:t>, soient traités pendant le WG1.</w:t>
      </w:r>
    </w:p>
    <w:p w14:paraId="32D6AFF3" w14:textId="77777777" w:rsidR="000958DA" w:rsidRPr="00FE1B97" w:rsidRDefault="000958DA" w:rsidP="00BA154F">
      <w:pPr>
        <w:jc w:val="both"/>
        <w:rPr>
          <w:szCs w:val="22"/>
          <w:lang w:val="fr-FR"/>
        </w:rPr>
      </w:pPr>
    </w:p>
    <w:p w14:paraId="7128D072" w14:textId="6BA33390" w:rsidR="000958DA" w:rsidRPr="00FE1B97" w:rsidRDefault="000958DA" w:rsidP="00BA154F">
      <w:pPr>
        <w:jc w:val="both"/>
        <w:rPr>
          <w:szCs w:val="22"/>
          <w:lang w:val="fr-FR"/>
        </w:rPr>
      </w:pPr>
      <w:r w:rsidRPr="00FE1B97">
        <w:rPr>
          <w:szCs w:val="22"/>
          <w:lang w:val="fr-FR"/>
        </w:rPr>
        <w:t>2</w:t>
      </w:r>
      <w:r w:rsidR="00B37F82">
        <w:rPr>
          <w:szCs w:val="22"/>
          <w:lang w:val="fr-FR"/>
        </w:rPr>
        <w:t>41</w:t>
      </w:r>
      <w:r w:rsidRPr="00FE1B97">
        <w:rPr>
          <w:szCs w:val="22"/>
          <w:lang w:val="fr-FR"/>
        </w:rPr>
        <w:t xml:space="preserve">. Le </w:t>
      </w:r>
      <w:r w:rsidRPr="00FE1B97">
        <w:rPr>
          <w:b/>
          <w:szCs w:val="22"/>
          <w:lang w:val="fr-FR"/>
        </w:rPr>
        <w:t>Danemark, parlant au nom de l’U</w:t>
      </w:r>
      <w:r w:rsidR="00986D00">
        <w:rPr>
          <w:b/>
          <w:szCs w:val="22"/>
          <w:lang w:val="fr-FR"/>
        </w:rPr>
        <w:t>nion européenne</w:t>
      </w:r>
      <w:r w:rsidRPr="00FE1B97">
        <w:rPr>
          <w:b/>
          <w:szCs w:val="22"/>
          <w:lang w:val="fr-FR"/>
        </w:rPr>
        <w:t xml:space="preserve"> et de ses États membres,</w:t>
      </w:r>
      <w:r w:rsidRPr="00FE1B97">
        <w:rPr>
          <w:szCs w:val="22"/>
          <w:lang w:val="fr-FR"/>
        </w:rPr>
        <w:t xml:space="preserve"> a intr</w:t>
      </w:r>
      <w:r w:rsidR="00986D00">
        <w:rPr>
          <w:szCs w:val="22"/>
          <w:lang w:val="fr-FR"/>
        </w:rPr>
        <w:t>oduit le document AEWA/MOP5 DR26</w:t>
      </w:r>
      <w:r w:rsidRPr="00FE1B97">
        <w:rPr>
          <w:szCs w:val="22"/>
          <w:lang w:val="fr-FR"/>
        </w:rPr>
        <w:t xml:space="preserve"> </w:t>
      </w:r>
      <w:r w:rsidRPr="00FE1B97">
        <w:rPr>
          <w:i/>
          <w:szCs w:val="22"/>
          <w:lang w:val="fr-FR"/>
        </w:rPr>
        <w:t>Soutien au renforcement des capacités en vue d’améliorer les lois et les politiques en faveur des oiseaux d’eau</w:t>
      </w:r>
      <w:r w:rsidRPr="00FE1B97">
        <w:rPr>
          <w:szCs w:val="22"/>
          <w:lang w:val="fr-FR"/>
        </w:rPr>
        <w:t>.</w:t>
      </w:r>
    </w:p>
    <w:p w14:paraId="45D19715" w14:textId="77777777" w:rsidR="000958DA" w:rsidRPr="00FE1B97" w:rsidRDefault="000958DA" w:rsidP="00BA154F">
      <w:pPr>
        <w:jc w:val="both"/>
        <w:rPr>
          <w:szCs w:val="22"/>
          <w:lang w:val="fr-FR"/>
        </w:rPr>
      </w:pPr>
    </w:p>
    <w:p w14:paraId="149DC93D" w14:textId="32B80A4C" w:rsidR="000958DA" w:rsidRPr="00FE1B97" w:rsidRDefault="000958DA" w:rsidP="00BA154F">
      <w:pPr>
        <w:jc w:val="both"/>
        <w:outlineLvl w:val="0"/>
        <w:rPr>
          <w:szCs w:val="22"/>
          <w:lang w:val="fr-FR"/>
        </w:rPr>
      </w:pPr>
      <w:r w:rsidRPr="00FE1B97">
        <w:rPr>
          <w:szCs w:val="22"/>
          <w:lang w:val="fr-FR"/>
        </w:rPr>
        <w:t>2</w:t>
      </w:r>
      <w:r w:rsidR="00B37F82">
        <w:rPr>
          <w:szCs w:val="22"/>
          <w:lang w:val="fr-FR"/>
        </w:rPr>
        <w:t>42</w:t>
      </w:r>
      <w:r w:rsidR="00FD2552">
        <w:rPr>
          <w:szCs w:val="22"/>
          <w:lang w:val="fr-FR"/>
        </w:rPr>
        <w:t>. Notant que la DR26</w:t>
      </w:r>
      <w:r w:rsidRPr="00FE1B97">
        <w:rPr>
          <w:szCs w:val="22"/>
          <w:lang w:val="fr-FR"/>
        </w:rPr>
        <w:t xml:space="preserve"> serait examinée par le WG1, le </w:t>
      </w:r>
      <w:r w:rsidRPr="00FD2552">
        <w:rPr>
          <w:b/>
          <w:szCs w:val="22"/>
          <w:lang w:val="fr-FR"/>
        </w:rPr>
        <w:t>Président</w:t>
      </w:r>
      <w:r w:rsidRPr="00FE1B97">
        <w:rPr>
          <w:szCs w:val="22"/>
          <w:lang w:val="fr-FR"/>
        </w:rPr>
        <w:t xml:space="preserve"> a invité à faire des commentaires généraux.</w:t>
      </w:r>
    </w:p>
    <w:p w14:paraId="596FCE70" w14:textId="77777777" w:rsidR="00FD2552" w:rsidRDefault="00FD2552" w:rsidP="00BA154F">
      <w:pPr>
        <w:jc w:val="both"/>
        <w:rPr>
          <w:szCs w:val="22"/>
          <w:lang w:val="fr-FR"/>
        </w:rPr>
      </w:pPr>
    </w:p>
    <w:p w14:paraId="54548A3D" w14:textId="3282F2B5" w:rsidR="000958DA" w:rsidRPr="00FE1B97" w:rsidRDefault="00FD2552" w:rsidP="00BA154F">
      <w:pPr>
        <w:jc w:val="both"/>
        <w:rPr>
          <w:szCs w:val="22"/>
          <w:lang w:val="fr-FR"/>
        </w:rPr>
      </w:pPr>
      <w:r>
        <w:rPr>
          <w:szCs w:val="22"/>
          <w:lang w:val="fr-FR"/>
        </w:rPr>
        <w:t>243</w:t>
      </w:r>
      <w:r w:rsidR="000958DA" w:rsidRPr="00FE1B97">
        <w:rPr>
          <w:szCs w:val="22"/>
          <w:lang w:val="fr-FR"/>
        </w:rPr>
        <w:t xml:space="preserve">. Sur l’invitation du </w:t>
      </w:r>
      <w:r w:rsidR="000958DA" w:rsidRPr="00FE1B97">
        <w:rPr>
          <w:b/>
          <w:szCs w:val="22"/>
          <w:lang w:val="fr-FR"/>
        </w:rPr>
        <w:t>Président</w:t>
      </w:r>
      <w:r w:rsidR="000958DA" w:rsidRPr="00FE1B97">
        <w:rPr>
          <w:szCs w:val="22"/>
          <w:lang w:val="fr-FR"/>
        </w:rPr>
        <w:t xml:space="preserve">, la MOP a adopté la DR26 par consensus, sous réserve de l’incorporation d’une correction éditoriale dans le texte français, à la demande du </w:t>
      </w:r>
      <w:r w:rsidR="000958DA" w:rsidRPr="00FE1B97">
        <w:rPr>
          <w:b/>
          <w:szCs w:val="22"/>
          <w:lang w:val="fr-FR"/>
        </w:rPr>
        <w:t>Sénégal</w:t>
      </w:r>
      <w:r w:rsidR="000958DA" w:rsidRPr="00FE1B97">
        <w:rPr>
          <w:szCs w:val="22"/>
          <w:lang w:val="fr-FR"/>
        </w:rPr>
        <w:t>.</w:t>
      </w:r>
    </w:p>
    <w:p w14:paraId="4A48314F" w14:textId="77777777" w:rsidR="000958DA" w:rsidRPr="00FE1B97" w:rsidRDefault="000958DA" w:rsidP="00BA154F">
      <w:pPr>
        <w:jc w:val="both"/>
        <w:rPr>
          <w:szCs w:val="22"/>
          <w:lang w:val="fr-FR"/>
        </w:rPr>
      </w:pPr>
    </w:p>
    <w:p w14:paraId="0C35C223" w14:textId="77777777" w:rsidR="000958DA" w:rsidRPr="005012AF" w:rsidRDefault="000958DA" w:rsidP="00BA154F">
      <w:pPr>
        <w:jc w:val="both"/>
        <w:outlineLvl w:val="0"/>
        <w:rPr>
          <w:lang w:val="fr-FR"/>
        </w:rPr>
      </w:pPr>
    </w:p>
    <w:p w14:paraId="7CBC2A35" w14:textId="77777777" w:rsidR="003C65F8" w:rsidRPr="00A72965" w:rsidRDefault="003C65F8" w:rsidP="00BA154F">
      <w:pPr>
        <w:jc w:val="both"/>
        <w:rPr>
          <w:b/>
          <w:szCs w:val="22"/>
          <w:lang w:val="fr-FR"/>
        </w:rPr>
      </w:pPr>
      <w:r w:rsidRPr="00A72965">
        <w:rPr>
          <w:b/>
          <w:szCs w:val="22"/>
          <w:lang w:val="fr-FR"/>
        </w:rPr>
        <w:t>Point 29 de l’ordre du jour - Rapports du Comité de vérification des pouvoirs et des Comités de session</w:t>
      </w:r>
    </w:p>
    <w:p w14:paraId="59AC2DE9" w14:textId="77777777" w:rsidR="003C65F8" w:rsidRPr="00A72965" w:rsidRDefault="003C65F8" w:rsidP="00BA154F">
      <w:pPr>
        <w:jc w:val="both"/>
        <w:rPr>
          <w:szCs w:val="22"/>
          <w:lang w:val="fr-FR"/>
        </w:rPr>
      </w:pPr>
    </w:p>
    <w:p w14:paraId="3D6A2AD2" w14:textId="4BABA94B" w:rsidR="003C65F8" w:rsidRPr="00A72965" w:rsidRDefault="003C65F8" w:rsidP="00BA154F">
      <w:pPr>
        <w:jc w:val="both"/>
        <w:rPr>
          <w:szCs w:val="22"/>
          <w:lang w:val="fr-FR"/>
        </w:rPr>
      </w:pPr>
      <w:r w:rsidRPr="00A72965">
        <w:rPr>
          <w:szCs w:val="22"/>
          <w:lang w:val="fr-FR"/>
        </w:rPr>
        <w:t xml:space="preserve">244. Le Président du </w:t>
      </w:r>
      <w:r w:rsidRPr="00A72965">
        <w:rPr>
          <w:b/>
          <w:szCs w:val="22"/>
          <w:lang w:val="fr-FR"/>
        </w:rPr>
        <w:t>Comité de vérification des pouvoirs</w:t>
      </w:r>
      <w:r w:rsidRPr="00A72965">
        <w:rPr>
          <w:szCs w:val="22"/>
          <w:lang w:val="fr-FR"/>
        </w:rPr>
        <w:t>, le R</w:t>
      </w:r>
      <w:r w:rsidR="00FD2552">
        <w:rPr>
          <w:szCs w:val="22"/>
          <w:lang w:val="fr-FR"/>
        </w:rPr>
        <w:t>oyaume</w:t>
      </w:r>
      <w:r w:rsidRPr="00A72965">
        <w:rPr>
          <w:szCs w:val="22"/>
          <w:lang w:val="fr-FR"/>
        </w:rPr>
        <w:t>-U</w:t>
      </w:r>
      <w:r w:rsidR="00FD2552">
        <w:rPr>
          <w:szCs w:val="22"/>
          <w:lang w:val="fr-FR"/>
        </w:rPr>
        <w:t>ni</w:t>
      </w:r>
      <w:r w:rsidRPr="00A72965">
        <w:rPr>
          <w:szCs w:val="22"/>
          <w:lang w:val="fr-FR"/>
        </w:rPr>
        <w:t xml:space="preserve"> (représenté par Mme </w:t>
      </w:r>
      <w:proofErr w:type="spellStart"/>
      <w:r w:rsidRPr="00A72965">
        <w:rPr>
          <w:szCs w:val="22"/>
          <w:lang w:val="fr-FR"/>
        </w:rPr>
        <w:t>Clare</w:t>
      </w:r>
      <w:proofErr w:type="spellEnd"/>
      <w:r w:rsidRPr="00A72965">
        <w:rPr>
          <w:szCs w:val="22"/>
          <w:lang w:val="fr-FR"/>
        </w:rPr>
        <w:t xml:space="preserve"> Hamilton), a présenté le 18 mai le rapport final du Comité (un rapport provisoire avait été présenté le 15 mai en réunion plénière). Sur les 44 Parties présentes à la MOP5, 39 avaient fourni des documents satisfaisants. Trois n’avaient pas soumis de documents tandis que, selon l’avis du Comité, les documents présentés par deux Parties ne répondaient pas aux critères spécifiés à l’article 18 du Règlement intérieur (l’un n’avait pas été traduit dans l’une des langues officielles de l’Accord et l’autre n’avait pas été signé par une autorité compétente).</w:t>
      </w:r>
    </w:p>
    <w:p w14:paraId="2CF998B3" w14:textId="77777777" w:rsidR="003C65F8" w:rsidRPr="00A72965" w:rsidRDefault="003C65F8" w:rsidP="00BA154F">
      <w:pPr>
        <w:jc w:val="both"/>
        <w:rPr>
          <w:szCs w:val="22"/>
          <w:lang w:val="fr-FR"/>
        </w:rPr>
      </w:pPr>
    </w:p>
    <w:p w14:paraId="7E63DFC5" w14:textId="77777777" w:rsidR="003C65F8" w:rsidRPr="00A72965" w:rsidRDefault="003C65F8" w:rsidP="00BA154F">
      <w:pPr>
        <w:jc w:val="both"/>
        <w:rPr>
          <w:szCs w:val="22"/>
          <w:lang w:val="fr-FR"/>
        </w:rPr>
      </w:pPr>
      <w:r w:rsidRPr="00A72965">
        <w:rPr>
          <w:szCs w:val="22"/>
          <w:lang w:val="fr-FR"/>
        </w:rPr>
        <w:t xml:space="preserve">245. Le </w:t>
      </w:r>
      <w:r w:rsidRPr="00A72965">
        <w:rPr>
          <w:b/>
          <w:szCs w:val="22"/>
          <w:lang w:val="fr-FR"/>
        </w:rPr>
        <w:t>Président du groupe de travail chargé des questions</w:t>
      </w:r>
      <w:r w:rsidRPr="00A72965">
        <w:rPr>
          <w:szCs w:val="22"/>
          <w:lang w:val="fr-FR"/>
        </w:rPr>
        <w:t xml:space="preserve"> s</w:t>
      </w:r>
      <w:r w:rsidRPr="00A72965">
        <w:rPr>
          <w:b/>
          <w:szCs w:val="22"/>
          <w:lang w:val="fr-FR"/>
        </w:rPr>
        <w:t>cientifiques et techniques</w:t>
      </w:r>
      <w:r w:rsidRPr="00A72965">
        <w:rPr>
          <w:szCs w:val="22"/>
          <w:lang w:val="fr-FR"/>
        </w:rPr>
        <w:t xml:space="preserve"> (WG1), Afrique du Sud (représenté par Mme Malta </w:t>
      </w:r>
      <w:proofErr w:type="spellStart"/>
      <w:r w:rsidRPr="00A72965">
        <w:rPr>
          <w:rStyle w:val="st"/>
          <w:szCs w:val="22"/>
          <w:lang w:val="fr-FR"/>
        </w:rPr>
        <w:t>Qwathekana</w:t>
      </w:r>
      <w:proofErr w:type="spellEnd"/>
      <w:r w:rsidRPr="00A72965">
        <w:rPr>
          <w:szCs w:val="22"/>
          <w:lang w:val="fr-FR"/>
        </w:rPr>
        <w:t>), a fait savoir que le WG1 s’était réuni à quatre reprises entre le 15 et le 18 mai. Le groupe de travail avait reçu plusieurs présentations et examiné en détail les avant-projets de résolution suivants (ainsi que, le cas échéant, les documents correspondants de la MOP5) :</w:t>
      </w:r>
    </w:p>
    <w:p w14:paraId="588C731D" w14:textId="77777777" w:rsidR="003C65F8" w:rsidRPr="00A72965" w:rsidRDefault="003C65F8" w:rsidP="00BA154F">
      <w:pPr>
        <w:jc w:val="both"/>
        <w:rPr>
          <w:szCs w:val="22"/>
          <w:lang w:val="fr-FR"/>
        </w:rPr>
      </w:pPr>
    </w:p>
    <w:p w14:paraId="1F29049E" w14:textId="77777777" w:rsidR="003C65F8" w:rsidRPr="00A72965" w:rsidRDefault="003C65F8" w:rsidP="00465E08">
      <w:pPr>
        <w:pStyle w:val="ListParagraph"/>
        <w:numPr>
          <w:ilvl w:val="0"/>
          <w:numId w:val="18"/>
        </w:numPr>
        <w:tabs>
          <w:tab w:val="left" w:pos="1701"/>
        </w:tabs>
        <w:jc w:val="both"/>
        <w:rPr>
          <w:sz w:val="22"/>
          <w:szCs w:val="22"/>
          <w:lang w:val="fr-FR"/>
        </w:rPr>
      </w:pPr>
      <w:r w:rsidRPr="00A72965">
        <w:rPr>
          <w:sz w:val="22"/>
          <w:szCs w:val="22"/>
          <w:lang w:val="fr-FR"/>
        </w:rPr>
        <w:t>DR1</w:t>
      </w:r>
      <w:r w:rsidRPr="00A72965">
        <w:rPr>
          <w:sz w:val="22"/>
          <w:szCs w:val="22"/>
          <w:lang w:val="fr-FR"/>
        </w:rPr>
        <w:tab/>
      </w:r>
      <w:r w:rsidRPr="00A72965">
        <w:rPr>
          <w:i/>
          <w:sz w:val="22"/>
          <w:szCs w:val="22"/>
          <w:lang w:val="fr-FR"/>
        </w:rPr>
        <w:t>Rapports nationaux et système de rapport en ligne.</w:t>
      </w:r>
    </w:p>
    <w:p w14:paraId="1A783443" w14:textId="289A3A0F" w:rsidR="00FD2552" w:rsidRPr="00FD2552" w:rsidRDefault="003C65F8" w:rsidP="00465E08">
      <w:pPr>
        <w:pStyle w:val="ListParagraph"/>
        <w:numPr>
          <w:ilvl w:val="0"/>
          <w:numId w:val="18"/>
        </w:numPr>
        <w:tabs>
          <w:tab w:val="left" w:pos="709"/>
          <w:tab w:val="left" w:pos="1701"/>
        </w:tabs>
        <w:ind w:left="1701" w:hanging="1341"/>
        <w:jc w:val="both"/>
        <w:rPr>
          <w:sz w:val="22"/>
          <w:szCs w:val="22"/>
          <w:lang w:val="fr-FR"/>
        </w:rPr>
      </w:pPr>
      <w:r w:rsidRPr="00A72965">
        <w:rPr>
          <w:sz w:val="22"/>
          <w:szCs w:val="22"/>
          <w:lang w:val="fr-FR"/>
        </w:rPr>
        <w:t>DR2</w:t>
      </w:r>
      <w:r w:rsidRPr="00A72965">
        <w:rPr>
          <w:sz w:val="22"/>
          <w:szCs w:val="22"/>
          <w:lang w:val="fr-FR"/>
        </w:rPr>
        <w:tab/>
      </w:r>
      <w:r w:rsidRPr="00A72965">
        <w:rPr>
          <w:i/>
          <w:sz w:val="22"/>
          <w:szCs w:val="22"/>
          <w:lang w:val="fr-FR"/>
        </w:rPr>
        <w:t>Prise en main des lacunes dans les connaissances sur la conservation des populations d’oiseaux d’eau et des sites importants pour ces derniers, et actions de conservation à cet effet</w:t>
      </w:r>
      <w:r w:rsidR="00FD2552">
        <w:rPr>
          <w:i/>
          <w:sz w:val="22"/>
          <w:szCs w:val="22"/>
          <w:lang w:val="fr-FR"/>
        </w:rPr>
        <w:t>.</w:t>
      </w:r>
    </w:p>
    <w:p w14:paraId="18FE44DA" w14:textId="3FB22A64" w:rsidR="003C65F8" w:rsidRPr="00FD2552" w:rsidRDefault="003C65F8" w:rsidP="00465E08">
      <w:pPr>
        <w:pStyle w:val="ListParagraph"/>
        <w:numPr>
          <w:ilvl w:val="0"/>
          <w:numId w:val="18"/>
        </w:numPr>
        <w:tabs>
          <w:tab w:val="left" w:pos="709"/>
          <w:tab w:val="left" w:pos="1701"/>
        </w:tabs>
        <w:ind w:left="1701" w:hanging="1341"/>
        <w:jc w:val="both"/>
        <w:rPr>
          <w:sz w:val="22"/>
          <w:szCs w:val="22"/>
          <w:lang w:val="fr-FR"/>
        </w:rPr>
      </w:pPr>
      <w:r w:rsidRPr="00FD2552">
        <w:rPr>
          <w:sz w:val="22"/>
          <w:szCs w:val="22"/>
          <w:lang w:val="fr-FR"/>
        </w:rPr>
        <w:t>DR3</w:t>
      </w:r>
      <w:r w:rsidRPr="00FD2552">
        <w:rPr>
          <w:sz w:val="22"/>
          <w:szCs w:val="22"/>
          <w:lang w:val="fr-FR"/>
        </w:rPr>
        <w:tab/>
      </w:r>
      <w:r w:rsidRPr="00FD2552">
        <w:rPr>
          <w:i/>
          <w:sz w:val="22"/>
          <w:szCs w:val="22"/>
          <w:lang w:val="fr-FR"/>
        </w:rPr>
        <w:t>Tâches internationales de mise en œuvre (IIT) de l’AE</w:t>
      </w:r>
      <w:r w:rsidR="00FD2552" w:rsidRPr="00FD2552">
        <w:rPr>
          <w:i/>
          <w:sz w:val="22"/>
          <w:szCs w:val="22"/>
          <w:lang w:val="fr-FR"/>
        </w:rPr>
        <w:t>WA pour [2012–2015] [2012–2016]</w:t>
      </w:r>
      <w:r w:rsidR="00FD2552">
        <w:rPr>
          <w:i/>
          <w:sz w:val="22"/>
          <w:szCs w:val="22"/>
          <w:lang w:val="fr-FR"/>
        </w:rPr>
        <w:t>.</w:t>
      </w:r>
    </w:p>
    <w:p w14:paraId="6DA418E3" w14:textId="77777777" w:rsidR="003C65F8" w:rsidRPr="00A72965" w:rsidRDefault="003C65F8" w:rsidP="00465E08">
      <w:pPr>
        <w:pStyle w:val="ListParagraph"/>
        <w:numPr>
          <w:ilvl w:val="0"/>
          <w:numId w:val="18"/>
        </w:numPr>
        <w:tabs>
          <w:tab w:val="left" w:pos="709"/>
          <w:tab w:val="left" w:pos="1701"/>
        </w:tabs>
        <w:ind w:left="1701" w:hanging="1341"/>
        <w:jc w:val="both"/>
        <w:rPr>
          <w:sz w:val="22"/>
          <w:szCs w:val="22"/>
          <w:lang w:val="fr-FR"/>
        </w:rPr>
      </w:pPr>
      <w:r w:rsidRPr="00A72965">
        <w:rPr>
          <w:sz w:val="22"/>
          <w:szCs w:val="22"/>
          <w:lang w:val="fr-FR"/>
        </w:rPr>
        <w:t xml:space="preserve">DR4 </w:t>
      </w:r>
      <w:r w:rsidRPr="00A72965">
        <w:rPr>
          <w:sz w:val="22"/>
          <w:szCs w:val="22"/>
          <w:lang w:val="fr-FR"/>
        </w:rPr>
        <w:tab/>
      </w:r>
      <w:r w:rsidRPr="00A72965">
        <w:rPr>
          <w:i/>
          <w:iCs/>
          <w:sz w:val="22"/>
          <w:szCs w:val="22"/>
          <w:lang w:val="fr-FR"/>
        </w:rPr>
        <w:t xml:space="preserve">Mise en œuvre du projet </w:t>
      </w:r>
      <w:proofErr w:type="spellStart"/>
      <w:r w:rsidRPr="00A72965">
        <w:rPr>
          <w:i/>
          <w:iCs/>
          <w:sz w:val="22"/>
          <w:szCs w:val="22"/>
          <w:lang w:val="fr-FR"/>
        </w:rPr>
        <w:t>Wings</w:t>
      </w:r>
      <w:proofErr w:type="spellEnd"/>
      <w:r w:rsidRPr="00A72965">
        <w:rPr>
          <w:i/>
          <w:iCs/>
          <w:sz w:val="22"/>
          <w:szCs w:val="22"/>
          <w:lang w:val="fr-FR"/>
        </w:rPr>
        <w:t xml:space="preserve"> Over </w:t>
      </w:r>
      <w:proofErr w:type="spellStart"/>
      <w:r w:rsidRPr="00A72965">
        <w:rPr>
          <w:i/>
          <w:iCs/>
          <w:sz w:val="22"/>
          <w:szCs w:val="22"/>
          <w:lang w:val="fr-FR"/>
        </w:rPr>
        <w:t>Wetlands</w:t>
      </w:r>
      <w:proofErr w:type="spellEnd"/>
      <w:r w:rsidRPr="00A72965">
        <w:rPr>
          <w:i/>
          <w:iCs/>
          <w:sz w:val="22"/>
          <w:szCs w:val="22"/>
          <w:lang w:val="fr-FR"/>
        </w:rPr>
        <w:t xml:space="preserve"> (WOW) du PNUE-FEM sur les voies de migration d’Afrique-Eurasie et perspectives après-WOW</w:t>
      </w:r>
      <w:r w:rsidRPr="00A72965">
        <w:rPr>
          <w:iCs/>
          <w:sz w:val="22"/>
          <w:szCs w:val="22"/>
          <w:lang w:val="fr-FR"/>
        </w:rPr>
        <w:t>.</w:t>
      </w:r>
    </w:p>
    <w:p w14:paraId="4B5BB76C" w14:textId="77777777" w:rsidR="003C65F8" w:rsidRPr="00A72965" w:rsidRDefault="003C65F8" w:rsidP="00465E08">
      <w:pPr>
        <w:pStyle w:val="ListParagraph"/>
        <w:numPr>
          <w:ilvl w:val="0"/>
          <w:numId w:val="18"/>
        </w:numPr>
        <w:tabs>
          <w:tab w:val="left" w:pos="1701"/>
        </w:tabs>
        <w:jc w:val="both"/>
        <w:rPr>
          <w:sz w:val="22"/>
          <w:szCs w:val="22"/>
          <w:lang w:val="fr-FR"/>
        </w:rPr>
      </w:pPr>
      <w:r w:rsidRPr="00A72965">
        <w:rPr>
          <w:sz w:val="22"/>
          <w:szCs w:val="22"/>
          <w:lang w:val="fr-FR"/>
        </w:rPr>
        <w:t xml:space="preserve">DR5 </w:t>
      </w:r>
      <w:r w:rsidRPr="00A72965">
        <w:rPr>
          <w:sz w:val="22"/>
          <w:szCs w:val="22"/>
          <w:lang w:val="fr-FR"/>
        </w:rPr>
        <w:tab/>
      </w:r>
      <w:r w:rsidRPr="00A72965">
        <w:rPr>
          <w:bCs/>
          <w:i/>
          <w:sz w:val="22"/>
          <w:szCs w:val="22"/>
          <w:lang w:val="fr-FR"/>
        </w:rPr>
        <w:t>Mise en œuvre et révision de la Stratégie de communication</w:t>
      </w:r>
      <w:r w:rsidRPr="00A72965">
        <w:rPr>
          <w:sz w:val="22"/>
          <w:szCs w:val="22"/>
          <w:lang w:val="fr-FR"/>
        </w:rPr>
        <w:t>.</w:t>
      </w:r>
    </w:p>
    <w:p w14:paraId="189886EC" w14:textId="77777777" w:rsidR="003C65F8" w:rsidRPr="00A72965" w:rsidRDefault="003C65F8" w:rsidP="00465E08">
      <w:pPr>
        <w:pStyle w:val="ListParagraph"/>
        <w:numPr>
          <w:ilvl w:val="0"/>
          <w:numId w:val="18"/>
        </w:numPr>
        <w:tabs>
          <w:tab w:val="left" w:pos="1701"/>
        </w:tabs>
        <w:jc w:val="both"/>
        <w:rPr>
          <w:sz w:val="22"/>
          <w:szCs w:val="22"/>
          <w:lang w:val="fr-FR"/>
        </w:rPr>
      </w:pPr>
      <w:r w:rsidRPr="00A72965">
        <w:rPr>
          <w:sz w:val="22"/>
          <w:szCs w:val="22"/>
          <w:lang w:val="fr-FR"/>
        </w:rPr>
        <w:t xml:space="preserve">DR6 </w:t>
      </w:r>
      <w:r w:rsidRPr="00A72965">
        <w:rPr>
          <w:sz w:val="22"/>
          <w:szCs w:val="22"/>
          <w:lang w:val="fr-FR"/>
        </w:rPr>
        <w:tab/>
      </w:r>
      <w:r w:rsidRPr="00A72965">
        <w:rPr>
          <w:bCs/>
          <w:i/>
          <w:sz w:val="22"/>
          <w:szCs w:val="22"/>
          <w:lang w:val="fr-FR"/>
        </w:rPr>
        <w:t>Adoption des amendements au Plan d’Action de l’AEWA</w:t>
      </w:r>
      <w:r w:rsidRPr="00A72965">
        <w:rPr>
          <w:bCs/>
          <w:sz w:val="22"/>
          <w:szCs w:val="22"/>
          <w:lang w:val="fr-FR"/>
        </w:rPr>
        <w:t>.</w:t>
      </w:r>
    </w:p>
    <w:p w14:paraId="2E7CD9A9" w14:textId="77777777" w:rsidR="003C65F8" w:rsidRPr="00A72965" w:rsidRDefault="003C65F8" w:rsidP="00465E08">
      <w:pPr>
        <w:pStyle w:val="ListParagraph"/>
        <w:numPr>
          <w:ilvl w:val="0"/>
          <w:numId w:val="18"/>
        </w:numPr>
        <w:tabs>
          <w:tab w:val="left" w:pos="709"/>
          <w:tab w:val="left" w:pos="1701"/>
        </w:tabs>
        <w:ind w:left="1701" w:hanging="1341"/>
        <w:jc w:val="both"/>
        <w:rPr>
          <w:sz w:val="22"/>
          <w:szCs w:val="22"/>
          <w:lang w:val="fr-FR"/>
        </w:rPr>
      </w:pPr>
      <w:r w:rsidRPr="00A72965">
        <w:rPr>
          <w:sz w:val="22"/>
          <w:szCs w:val="22"/>
          <w:lang w:val="fr-FR"/>
        </w:rPr>
        <w:t xml:space="preserve">DR7 </w:t>
      </w:r>
      <w:r w:rsidRPr="00A72965">
        <w:rPr>
          <w:sz w:val="22"/>
          <w:szCs w:val="22"/>
          <w:lang w:val="fr-FR"/>
        </w:rPr>
        <w:tab/>
      </w:r>
      <w:r w:rsidRPr="00A72965">
        <w:rPr>
          <w:i/>
          <w:sz w:val="22"/>
          <w:szCs w:val="22"/>
          <w:lang w:val="fr-FR"/>
        </w:rPr>
        <w:t>Adoption des amendements et de nouveaux conseils pour l’interprétation des termes utilisés dans le contexte du Tableau 1 du Plan d’Action de l’AEWA</w:t>
      </w:r>
      <w:r w:rsidRPr="00A72965">
        <w:rPr>
          <w:sz w:val="22"/>
          <w:szCs w:val="22"/>
          <w:lang w:val="fr-FR"/>
        </w:rPr>
        <w:t>.</w:t>
      </w:r>
    </w:p>
    <w:p w14:paraId="06B6FEA4" w14:textId="77777777" w:rsidR="003C65F8" w:rsidRPr="00A72965" w:rsidRDefault="003C65F8" w:rsidP="00465E08">
      <w:pPr>
        <w:pStyle w:val="ListParagraph"/>
        <w:numPr>
          <w:ilvl w:val="0"/>
          <w:numId w:val="18"/>
        </w:numPr>
        <w:tabs>
          <w:tab w:val="left" w:pos="709"/>
          <w:tab w:val="left" w:pos="1701"/>
        </w:tabs>
        <w:ind w:left="1701" w:hanging="1341"/>
        <w:jc w:val="both"/>
        <w:rPr>
          <w:sz w:val="22"/>
          <w:szCs w:val="22"/>
          <w:lang w:val="fr-FR"/>
        </w:rPr>
      </w:pPr>
      <w:r w:rsidRPr="00A72965">
        <w:rPr>
          <w:sz w:val="22"/>
          <w:szCs w:val="22"/>
          <w:lang w:val="fr-FR"/>
        </w:rPr>
        <w:t xml:space="preserve">DR8 </w:t>
      </w:r>
      <w:r w:rsidRPr="00A72965">
        <w:rPr>
          <w:sz w:val="22"/>
          <w:szCs w:val="22"/>
          <w:lang w:val="fr-FR"/>
        </w:rPr>
        <w:tab/>
      </w:r>
      <w:r w:rsidRPr="00A72965">
        <w:rPr>
          <w:i/>
          <w:sz w:val="22"/>
          <w:szCs w:val="22"/>
          <w:lang w:val="fr-FR"/>
        </w:rPr>
        <w:t>Adoption et mise en œuvre des Plans d’action internationaux par espèce et des plans de gestion des espèces.</w:t>
      </w:r>
    </w:p>
    <w:p w14:paraId="35538FAD" w14:textId="77777777" w:rsidR="003C65F8" w:rsidRPr="00A72965" w:rsidRDefault="003C65F8" w:rsidP="00465E08">
      <w:pPr>
        <w:pStyle w:val="ListParagraph"/>
        <w:numPr>
          <w:ilvl w:val="0"/>
          <w:numId w:val="18"/>
        </w:numPr>
        <w:tabs>
          <w:tab w:val="left" w:pos="709"/>
          <w:tab w:val="left" w:pos="1701"/>
        </w:tabs>
        <w:ind w:left="1701" w:hanging="1352"/>
        <w:jc w:val="both"/>
        <w:rPr>
          <w:sz w:val="22"/>
          <w:szCs w:val="22"/>
          <w:lang w:val="fr-FR"/>
        </w:rPr>
      </w:pPr>
      <w:r w:rsidRPr="00A72965">
        <w:rPr>
          <w:sz w:val="22"/>
          <w:szCs w:val="22"/>
          <w:lang w:val="fr-FR"/>
        </w:rPr>
        <w:t xml:space="preserve">DR10 </w:t>
      </w:r>
      <w:r w:rsidRPr="00A72965">
        <w:rPr>
          <w:sz w:val="22"/>
          <w:szCs w:val="22"/>
          <w:lang w:val="fr-FR"/>
        </w:rPr>
        <w:tab/>
      </w:r>
      <w:r w:rsidRPr="00A72965">
        <w:rPr>
          <w:i/>
          <w:sz w:val="22"/>
          <w:szCs w:val="22"/>
          <w:lang w:val="fr-FR"/>
        </w:rPr>
        <w:t xml:space="preserve">Révision et adoption des Lignes directrices de conservation </w:t>
      </w:r>
      <w:r w:rsidRPr="00A72965">
        <w:rPr>
          <w:sz w:val="22"/>
          <w:szCs w:val="22"/>
          <w:lang w:val="fr-FR"/>
        </w:rPr>
        <w:t xml:space="preserve">et le document correspondant AEWA/MOP 5.34 </w:t>
      </w:r>
      <w:r w:rsidRPr="00A72965">
        <w:rPr>
          <w:i/>
          <w:sz w:val="22"/>
          <w:szCs w:val="22"/>
          <w:lang w:val="fr-FR"/>
        </w:rPr>
        <w:t>Avant-projet de Lignes directrices de conservation révisées n</w:t>
      </w:r>
      <w:r w:rsidRPr="00A72965">
        <w:rPr>
          <w:i/>
          <w:sz w:val="22"/>
          <w:szCs w:val="22"/>
          <w:vertAlign w:val="superscript"/>
          <w:lang w:val="fr-FR"/>
        </w:rPr>
        <w:t>o</w:t>
      </w:r>
      <w:r w:rsidRPr="00A72965">
        <w:rPr>
          <w:i/>
          <w:sz w:val="22"/>
          <w:szCs w:val="22"/>
          <w:lang w:val="fr-FR"/>
        </w:rPr>
        <w:t xml:space="preserve"> 10 : Lignes directrices sur la prévention de l’introduction d’espèces d’oiseaux d’eau non-indigènes</w:t>
      </w:r>
      <w:r w:rsidRPr="00A72965">
        <w:rPr>
          <w:sz w:val="22"/>
          <w:szCs w:val="22"/>
          <w:lang w:val="fr-FR"/>
        </w:rPr>
        <w:t>.</w:t>
      </w:r>
    </w:p>
    <w:p w14:paraId="36A7CFCD" w14:textId="77777777" w:rsidR="00FD2552" w:rsidRDefault="003C65F8" w:rsidP="00465E08">
      <w:pPr>
        <w:pStyle w:val="ListParagraph"/>
        <w:numPr>
          <w:ilvl w:val="0"/>
          <w:numId w:val="18"/>
        </w:numPr>
        <w:tabs>
          <w:tab w:val="left" w:pos="1701"/>
        </w:tabs>
        <w:jc w:val="both"/>
        <w:rPr>
          <w:sz w:val="22"/>
          <w:szCs w:val="22"/>
          <w:lang w:val="fr-FR"/>
        </w:rPr>
      </w:pPr>
      <w:r w:rsidRPr="00A72965">
        <w:rPr>
          <w:sz w:val="22"/>
          <w:szCs w:val="22"/>
          <w:lang w:val="fr-FR"/>
        </w:rPr>
        <w:t xml:space="preserve">DR11 </w:t>
      </w:r>
      <w:r w:rsidRPr="00A72965">
        <w:rPr>
          <w:sz w:val="22"/>
          <w:szCs w:val="22"/>
          <w:lang w:val="fr-FR"/>
        </w:rPr>
        <w:tab/>
      </w:r>
      <w:r w:rsidRPr="00A72965">
        <w:rPr>
          <w:i/>
          <w:sz w:val="22"/>
          <w:szCs w:val="22"/>
          <w:lang w:val="fr-FR"/>
        </w:rPr>
        <w:t>Lignes électriq</w:t>
      </w:r>
      <w:r w:rsidR="00FD2552">
        <w:rPr>
          <w:i/>
          <w:sz w:val="22"/>
          <w:szCs w:val="22"/>
          <w:lang w:val="fr-FR"/>
        </w:rPr>
        <w:t>ues et oiseaux d’eau migrateurs</w:t>
      </w:r>
      <w:r w:rsidRPr="00A72965">
        <w:rPr>
          <w:sz w:val="22"/>
          <w:szCs w:val="22"/>
          <w:lang w:val="fr-FR"/>
        </w:rPr>
        <w:t>.</w:t>
      </w:r>
    </w:p>
    <w:p w14:paraId="6D3B6265" w14:textId="77777777" w:rsidR="00FD2552" w:rsidRPr="00FD2552" w:rsidRDefault="003C65F8" w:rsidP="00465E08">
      <w:pPr>
        <w:pStyle w:val="ListParagraph"/>
        <w:numPr>
          <w:ilvl w:val="0"/>
          <w:numId w:val="18"/>
        </w:numPr>
        <w:tabs>
          <w:tab w:val="left" w:pos="1701"/>
        </w:tabs>
        <w:jc w:val="both"/>
        <w:rPr>
          <w:sz w:val="22"/>
          <w:szCs w:val="22"/>
          <w:lang w:val="fr-FR"/>
        </w:rPr>
      </w:pPr>
      <w:r w:rsidRPr="00FD2552">
        <w:rPr>
          <w:sz w:val="22"/>
          <w:szCs w:val="22"/>
          <w:lang w:val="fr-FR"/>
        </w:rPr>
        <w:t xml:space="preserve">DR12 </w:t>
      </w:r>
      <w:r w:rsidRPr="00FD2552">
        <w:rPr>
          <w:sz w:val="22"/>
          <w:szCs w:val="22"/>
          <w:lang w:val="fr-FR"/>
        </w:rPr>
        <w:tab/>
      </w:r>
      <w:r w:rsidRPr="00FD2552">
        <w:rPr>
          <w:i/>
          <w:sz w:val="22"/>
          <w:szCs w:val="22"/>
          <w:lang w:val="fr-FR"/>
        </w:rPr>
        <w:t>Effets nocifs des produits agrochimiques sur les oiseaux d’eau migrateurs en Afrique</w:t>
      </w:r>
    </w:p>
    <w:p w14:paraId="04FAE3F9" w14:textId="1A3ABDCC" w:rsidR="003C65F8" w:rsidRPr="00FD2552" w:rsidRDefault="003C65F8" w:rsidP="00465E08">
      <w:pPr>
        <w:pStyle w:val="ListParagraph"/>
        <w:numPr>
          <w:ilvl w:val="0"/>
          <w:numId w:val="18"/>
        </w:numPr>
        <w:tabs>
          <w:tab w:val="left" w:pos="1701"/>
        </w:tabs>
        <w:jc w:val="both"/>
        <w:rPr>
          <w:sz w:val="22"/>
          <w:szCs w:val="22"/>
          <w:lang w:val="fr-FR"/>
        </w:rPr>
      </w:pPr>
      <w:r w:rsidRPr="00FD2552">
        <w:rPr>
          <w:sz w:val="22"/>
          <w:szCs w:val="22"/>
          <w:lang w:val="fr-FR"/>
        </w:rPr>
        <w:t>DR13</w:t>
      </w:r>
      <w:r w:rsidRPr="00FD2552">
        <w:rPr>
          <w:sz w:val="22"/>
          <w:szCs w:val="22"/>
          <w:lang w:val="fr-FR"/>
        </w:rPr>
        <w:tab/>
      </w:r>
      <w:r w:rsidRPr="00FD2552">
        <w:rPr>
          <w:i/>
          <w:sz w:val="22"/>
          <w:szCs w:val="22"/>
          <w:lang w:val="fr-FR"/>
        </w:rPr>
        <w:t>Mesures d’adaptation au changement climatique pour les oiseaux d’eau</w:t>
      </w:r>
      <w:r w:rsidRPr="00FD2552">
        <w:rPr>
          <w:sz w:val="22"/>
          <w:szCs w:val="22"/>
          <w:lang w:val="fr-FR"/>
        </w:rPr>
        <w:t>.</w:t>
      </w:r>
    </w:p>
    <w:p w14:paraId="1FE5650B" w14:textId="77777777" w:rsidR="00FD2552" w:rsidRDefault="003C65F8" w:rsidP="00465E08">
      <w:pPr>
        <w:pStyle w:val="ListParagraph"/>
        <w:numPr>
          <w:ilvl w:val="0"/>
          <w:numId w:val="18"/>
        </w:numPr>
        <w:tabs>
          <w:tab w:val="left" w:pos="1701"/>
        </w:tabs>
        <w:jc w:val="both"/>
        <w:rPr>
          <w:sz w:val="22"/>
          <w:szCs w:val="22"/>
          <w:lang w:val="fr-FR"/>
        </w:rPr>
      </w:pPr>
      <w:r w:rsidRPr="00A72965">
        <w:rPr>
          <w:sz w:val="22"/>
          <w:szCs w:val="22"/>
          <w:lang w:val="fr-FR"/>
        </w:rPr>
        <w:t xml:space="preserve">DR14 </w:t>
      </w:r>
      <w:r w:rsidRPr="00A72965">
        <w:rPr>
          <w:sz w:val="22"/>
          <w:szCs w:val="22"/>
          <w:lang w:val="fr-FR"/>
        </w:rPr>
        <w:tab/>
      </w:r>
      <w:r w:rsidRPr="00A72965">
        <w:rPr>
          <w:i/>
          <w:sz w:val="22"/>
          <w:szCs w:val="22"/>
          <w:lang w:val="fr-FR"/>
        </w:rPr>
        <w:t>Oiseaux d’eau, zones humides et impacts des industries extractives</w:t>
      </w:r>
      <w:r w:rsidRPr="00A72965">
        <w:rPr>
          <w:sz w:val="22"/>
          <w:szCs w:val="22"/>
          <w:lang w:val="fr-FR"/>
        </w:rPr>
        <w:t>.</w:t>
      </w:r>
      <w:r w:rsidRPr="00A72965">
        <w:rPr>
          <w:sz w:val="22"/>
          <w:szCs w:val="22"/>
          <w:lang w:val="fr-FR"/>
        </w:rPr>
        <w:tab/>
      </w:r>
    </w:p>
    <w:p w14:paraId="6ACDD88F" w14:textId="3E621AF5" w:rsidR="003C65F8" w:rsidRPr="00FD2552" w:rsidRDefault="003C65F8" w:rsidP="00465E08">
      <w:pPr>
        <w:pStyle w:val="ListParagraph"/>
        <w:numPr>
          <w:ilvl w:val="0"/>
          <w:numId w:val="18"/>
        </w:numPr>
        <w:tabs>
          <w:tab w:val="left" w:pos="720"/>
          <w:tab w:val="left" w:pos="1701"/>
        </w:tabs>
        <w:ind w:left="1701" w:hanging="1341"/>
        <w:jc w:val="both"/>
        <w:rPr>
          <w:sz w:val="22"/>
          <w:szCs w:val="22"/>
          <w:lang w:val="fr-FR"/>
        </w:rPr>
      </w:pPr>
      <w:r w:rsidRPr="00FD2552">
        <w:rPr>
          <w:sz w:val="22"/>
          <w:szCs w:val="22"/>
          <w:lang w:val="fr-FR"/>
        </w:rPr>
        <w:t>DR15</w:t>
      </w:r>
      <w:r w:rsidRPr="00FD2552">
        <w:rPr>
          <w:sz w:val="22"/>
          <w:szCs w:val="22"/>
          <w:lang w:val="fr-FR"/>
        </w:rPr>
        <w:tab/>
      </w:r>
      <w:r w:rsidRPr="00FD2552">
        <w:rPr>
          <w:i/>
          <w:sz w:val="22"/>
          <w:szCs w:val="22"/>
          <w:lang w:val="fr-FR"/>
        </w:rPr>
        <w:t>Impact des plantes aquatiques exotiques invasives sur les habitats des oiseaux d’eau en Afrique</w:t>
      </w:r>
      <w:r w:rsidRPr="00FD2552">
        <w:rPr>
          <w:sz w:val="22"/>
          <w:szCs w:val="22"/>
          <w:lang w:val="fr-FR"/>
        </w:rPr>
        <w:t>.</w:t>
      </w:r>
    </w:p>
    <w:p w14:paraId="75F9DDE8" w14:textId="77777777" w:rsidR="003C65F8" w:rsidRPr="00A72965" w:rsidRDefault="003C65F8" w:rsidP="00465E08">
      <w:pPr>
        <w:pStyle w:val="ListParagraph"/>
        <w:numPr>
          <w:ilvl w:val="0"/>
          <w:numId w:val="18"/>
        </w:numPr>
        <w:tabs>
          <w:tab w:val="left" w:pos="1701"/>
        </w:tabs>
        <w:jc w:val="both"/>
        <w:rPr>
          <w:sz w:val="22"/>
          <w:szCs w:val="22"/>
          <w:lang w:val="fr-FR"/>
        </w:rPr>
      </w:pPr>
      <w:r w:rsidRPr="00A72965">
        <w:rPr>
          <w:sz w:val="22"/>
          <w:szCs w:val="22"/>
          <w:lang w:val="fr-FR"/>
        </w:rPr>
        <w:t>DR16</w:t>
      </w:r>
      <w:r w:rsidRPr="00A72965">
        <w:rPr>
          <w:sz w:val="22"/>
          <w:szCs w:val="22"/>
          <w:lang w:val="fr-FR"/>
        </w:rPr>
        <w:tab/>
      </w:r>
      <w:r w:rsidRPr="00A72965">
        <w:rPr>
          <w:i/>
          <w:sz w:val="22"/>
          <w:szCs w:val="22"/>
          <w:lang w:val="fr-FR"/>
        </w:rPr>
        <w:t>Énergie renouvelable et oiseaux d’eau migrateurs</w:t>
      </w:r>
      <w:r w:rsidRPr="00A72965">
        <w:rPr>
          <w:sz w:val="22"/>
          <w:szCs w:val="22"/>
          <w:lang w:val="fr-FR"/>
        </w:rPr>
        <w:t>.</w:t>
      </w:r>
    </w:p>
    <w:p w14:paraId="0EA28AA5" w14:textId="77777777" w:rsidR="00FD2552" w:rsidRDefault="003C65F8" w:rsidP="00465E08">
      <w:pPr>
        <w:pStyle w:val="ListParagraph"/>
        <w:numPr>
          <w:ilvl w:val="0"/>
          <w:numId w:val="18"/>
        </w:numPr>
        <w:tabs>
          <w:tab w:val="left" w:pos="1701"/>
        </w:tabs>
        <w:jc w:val="both"/>
        <w:rPr>
          <w:sz w:val="22"/>
          <w:szCs w:val="22"/>
          <w:lang w:val="fr-FR"/>
        </w:rPr>
      </w:pPr>
      <w:r w:rsidRPr="00A72965">
        <w:rPr>
          <w:sz w:val="22"/>
          <w:szCs w:val="22"/>
          <w:lang w:val="fr-FR"/>
        </w:rPr>
        <w:t>DR18</w:t>
      </w:r>
      <w:r w:rsidRPr="00A72965">
        <w:rPr>
          <w:sz w:val="22"/>
          <w:szCs w:val="22"/>
          <w:lang w:val="fr-FR"/>
        </w:rPr>
        <w:tab/>
      </w:r>
      <w:r w:rsidRPr="00A72965">
        <w:rPr>
          <w:i/>
          <w:sz w:val="22"/>
          <w:szCs w:val="22"/>
          <w:lang w:val="fr-FR"/>
        </w:rPr>
        <w:t>Dispositions institutionnelles : Comité Technique.</w:t>
      </w:r>
      <w:r w:rsidRPr="00A72965">
        <w:rPr>
          <w:sz w:val="22"/>
          <w:szCs w:val="22"/>
          <w:lang w:val="fr-FR"/>
        </w:rPr>
        <w:tab/>
      </w:r>
    </w:p>
    <w:p w14:paraId="0DCF6C79" w14:textId="0CAD9B1C" w:rsidR="003C65F8" w:rsidRPr="00FD2552" w:rsidRDefault="003C65F8" w:rsidP="00465E08">
      <w:pPr>
        <w:pStyle w:val="ListParagraph"/>
        <w:numPr>
          <w:ilvl w:val="0"/>
          <w:numId w:val="18"/>
        </w:numPr>
        <w:tabs>
          <w:tab w:val="left" w:pos="1701"/>
        </w:tabs>
        <w:jc w:val="both"/>
        <w:rPr>
          <w:sz w:val="22"/>
          <w:szCs w:val="22"/>
          <w:lang w:val="fr-FR"/>
        </w:rPr>
      </w:pPr>
      <w:r w:rsidRPr="00FD2552">
        <w:rPr>
          <w:sz w:val="22"/>
          <w:szCs w:val="22"/>
          <w:lang w:val="fr-FR"/>
        </w:rPr>
        <w:t>DR24</w:t>
      </w:r>
      <w:r w:rsidRPr="00FD2552">
        <w:rPr>
          <w:sz w:val="22"/>
          <w:szCs w:val="22"/>
          <w:lang w:val="fr-FR"/>
        </w:rPr>
        <w:tab/>
      </w:r>
      <w:r w:rsidRPr="00FD2552">
        <w:rPr>
          <w:i/>
          <w:sz w:val="22"/>
          <w:szCs w:val="22"/>
          <w:lang w:val="fr-FR"/>
        </w:rPr>
        <w:t>Contribution de l’AEWA aux objectifs d’Aichi 2020 pour la biodiversité</w:t>
      </w:r>
      <w:r w:rsidRPr="00FD2552">
        <w:rPr>
          <w:sz w:val="22"/>
          <w:szCs w:val="22"/>
          <w:lang w:val="fr-FR"/>
        </w:rPr>
        <w:t>.</w:t>
      </w:r>
    </w:p>
    <w:p w14:paraId="698105D1" w14:textId="77777777" w:rsidR="003C65F8" w:rsidRPr="00A72965" w:rsidRDefault="003C65F8" w:rsidP="00465E08">
      <w:pPr>
        <w:pStyle w:val="ListParagraph"/>
        <w:numPr>
          <w:ilvl w:val="0"/>
          <w:numId w:val="18"/>
        </w:numPr>
        <w:tabs>
          <w:tab w:val="left" w:pos="709"/>
          <w:tab w:val="left" w:pos="1701"/>
        </w:tabs>
        <w:ind w:left="1701" w:hanging="1341"/>
        <w:jc w:val="both"/>
        <w:rPr>
          <w:sz w:val="22"/>
          <w:szCs w:val="22"/>
          <w:lang w:val="fr-FR"/>
        </w:rPr>
      </w:pPr>
      <w:r w:rsidRPr="00A72965">
        <w:rPr>
          <w:sz w:val="22"/>
          <w:szCs w:val="22"/>
          <w:lang w:val="fr-FR"/>
        </w:rPr>
        <w:t>DR25</w:t>
      </w:r>
      <w:r w:rsidRPr="00A72965">
        <w:rPr>
          <w:sz w:val="22"/>
          <w:szCs w:val="22"/>
          <w:lang w:val="fr-FR"/>
        </w:rPr>
        <w:tab/>
      </w:r>
      <w:r w:rsidRPr="00A72965">
        <w:rPr>
          <w:i/>
          <w:sz w:val="22"/>
          <w:szCs w:val="22"/>
          <w:lang w:val="fr-FR"/>
        </w:rPr>
        <w:t>Explications de la définition du terme Perturbation pouvant servir à une mise en œuvre appropriée du Plan d’action</w:t>
      </w:r>
      <w:r w:rsidRPr="00A72965">
        <w:rPr>
          <w:sz w:val="22"/>
          <w:szCs w:val="22"/>
          <w:lang w:val="fr-FR"/>
        </w:rPr>
        <w:t>.</w:t>
      </w:r>
    </w:p>
    <w:p w14:paraId="15C9150B" w14:textId="77777777" w:rsidR="003C65F8" w:rsidRPr="00A72965" w:rsidRDefault="003C65F8" w:rsidP="00465E08">
      <w:pPr>
        <w:tabs>
          <w:tab w:val="left" w:pos="1701"/>
        </w:tabs>
        <w:jc w:val="both"/>
        <w:rPr>
          <w:szCs w:val="22"/>
          <w:lang w:val="fr-FR"/>
        </w:rPr>
      </w:pPr>
    </w:p>
    <w:p w14:paraId="5E3912F9" w14:textId="77777777" w:rsidR="003C65F8" w:rsidRPr="00A72965" w:rsidRDefault="003C65F8" w:rsidP="00BA154F">
      <w:pPr>
        <w:jc w:val="both"/>
        <w:rPr>
          <w:szCs w:val="22"/>
          <w:lang w:val="fr-FR"/>
        </w:rPr>
      </w:pPr>
      <w:r w:rsidRPr="00A72965">
        <w:rPr>
          <w:szCs w:val="22"/>
          <w:lang w:val="fr-FR"/>
        </w:rPr>
        <w:t xml:space="preserve">246. Les avant-projets révisés, rédigés dans les deux langues officielles et montrant les amendements proposés en mode de « suivi des modifications », approuvés par le WG1, sont présentés à la réunion plénière pour examen final et adoption. </w:t>
      </w:r>
      <w:r w:rsidRPr="00A72965">
        <w:rPr>
          <w:b/>
          <w:szCs w:val="22"/>
          <w:lang w:val="fr-FR"/>
        </w:rPr>
        <w:t xml:space="preserve">Mme </w:t>
      </w:r>
      <w:proofErr w:type="spellStart"/>
      <w:r w:rsidRPr="00A72965">
        <w:rPr>
          <w:rStyle w:val="st"/>
          <w:b/>
          <w:szCs w:val="22"/>
          <w:lang w:val="fr-FR"/>
        </w:rPr>
        <w:t>Qwathekana</w:t>
      </w:r>
      <w:proofErr w:type="spellEnd"/>
      <w:r w:rsidRPr="00A72965">
        <w:rPr>
          <w:szCs w:val="22"/>
          <w:lang w:val="fr-FR"/>
        </w:rPr>
        <w:t xml:space="preserve"> a remercié les participants au groupe de travail, le TC pour ses conseils d’expert, les interprètes (tout spécialement pour avoir travaillé deux nuits de suite jusqu’à la fin des sessions), le Secrétariat, et tous ceux qui ont contribué à la réussite des contributions apportées par le WG1.</w:t>
      </w:r>
    </w:p>
    <w:p w14:paraId="4E99BB57" w14:textId="77777777" w:rsidR="003C65F8" w:rsidRPr="00A72965" w:rsidRDefault="003C65F8" w:rsidP="00BA154F">
      <w:pPr>
        <w:jc w:val="both"/>
        <w:rPr>
          <w:szCs w:val="22"/>
          <w:lang w:val="fr-FR"/>
        </w:rPr>
      </w:pPr>
    </w:p>
    <w:p w14:paraId="7AB4CD1F" w14:textId="77777777" w:rsidR="003C65F8" w:rsidRPr="00A72965" w:rsidRDefault="003C65F8" w:rsidP="00BA154F">
      <w:pPr>
        <w:jc w:val="both"/>
        <w:rPr>
          <w:szCs w:val="22"/>
          <w:lang w:val="fr-FR"/>
        </w:rPr>
      </w:pPr>
      <w:r w:rsidRPr="00A72965">
        <w:rPr>
          <w:szCs w:val="22"/>
          <w:lang w:val="fr-FR"/>
        </w:rPr>
        <w:t xml:space="preserve">247. Le </w:t>
      </w:r>
      <w:r w:rsidRPr="00A72965">
        <w:rPr>
          <w:b/>
          <w:szCs w:val="22"/>
          <w:lang w:val="fr-FR"/>
        </w:rPr>
        <w:t>Président du groupe de travail chargé des questions</w:t>
      </w:r>
      <w:r w:rsidRPr="00A72965">
        <w:rPr>
          <w:szCs w:val="22"/>
          <w:lang w:val="fr-FR"/>
        </w:rPr>
        <w:t xml:space="preserve"> f</w:t>
      </w:r>
      <w:r w:rsidRPr="00A72965">
        <w:rPr>
          <w:b/>
          <w:szCs w:val="22"/>
          <w:lang w:val="fr-FR"/>
        </w:rPr>
        <w:t xml:space="preserve">inancières et administratives </w:t>
      </w:r>
      <w:r w:rsidRPr="00A72965">
        <w:rPr>
          <w:szCs w:val="22"/>
          <w:lang w:val="fr-FR"/>
        </w:rPr>
        <w:t xml:space="preserve">(WG2), Norvège (représenté par M. </w:t>
      </w:r>
      <w:proofErr w:type="spellStart"/>
      <w:r w:rsidRPr="00A72965">
        <w:rPr>
          <w:szCs w:val="22"/>
          <w:lang w:val="fr-FR"/>
        </w:rPr>
        <w:t>Øystein</w:t>
      </w:r>
      <w:proofErr w:type="spellEnd"/>
      <w:r w:rsidRPr="00A72965">
        <w:rPr>
          <w:szCs w:val="22"/>
          <w:lang w:val="fr-FR"/>
        </w:rPr>
        <w:t xml:space="preserve"> </w:t>
      </w:r>
      <w:proofErr w:type="spellStart"/>
      <w:r w:rsidRPr="00A72965">
        <w:rPr>
          <w:szCs w:val="22"/>
          <w:lang w:val="fr-FR"/>
        </w:rPr>
        <w:t>Størkersen</w:t>
      </w:r>
      <w:proofErr w:type="spellEnd"/>
      <w:r w:rsidRPr="00A72965">
        <w:rPr>
          <w:szCs w:val="22"/>
          <w:lang w:val="fr-FR"/>
        </w:rPr>
        <w:t>), a remercié les membres du WG2 pour avoir mené leur travail dans une bonne ambiance. Plusieurs sessions en petits groupes ont eu lieu, aboutissant à des documents qui ont déjà été distribués ou le seront très prochainement. Le WG2 a examiné les avant-projets de résolution suivants :</w:t>
      </w:r>
    </w:p>
    <w:p w14:paraId="24658848" w14:textId="77777777" w:rsidR="00B37F82" w:rsidRPr="00A72965" w:rsidRDefault="00B37F82" w:rsidP="00BA154F">
      <w:pPr>
        <w:jc w:val="both"/>
        <w:rPr>
          <w:szCs w:val="22"/>
          <w:lang w:val="fr-FR"/>
        </w:rPr>
      </w:pPr>
    </w:p>
    <w:p w14:paraId="54B29438" w14:textId="77777777" w:rsidR="003C65F8" w:rsidRPr="00A72965" w:rsidRDefault="003C65F8" w:rsidP="00BA154F">
      <w:pPr>
        <w:tabs>
          <w:tab w:val="left" w:pos="2127"/>
        </w:tabs>
        <w:jc w:val="both"/>
        <w:rPr>
          <w:szCs w:val="22"/>
          <w:lang w:val="fr-FR"/>
        </w:rPr>
      </w:pPr>
      <w:r w:rsidRPr="00A72965">
        <w:rPr>
          <w:szCs w:val="22"/>
          <w:lang w:val="fr-FR"/>
        </w:rPr>
        <w:t xml:space="preserve">DR17 </w:t>
      </w:r>
      <w:r w:rsidRPr="00A72965">
        <w:rPr>
          <w:i/>
          <w:szCs w:val="22"/>
          <w:lang w:val="fr-FR"/>
        </w:rPr>
        <w:t>Dispositions institutionnelles : Comité Permanent.</w:t>
      </w:r>
    </w:p>
    <w:p w14:paraId="61ED094D" w14:textId="77777777" w:rsidR="003C65F8" w:rsidRPr="00A72965" w:rsidRDefault="003C65F8" w:rsidP="00BA154F">
      <w:pPr>
        <w:tabs>
          <w:tab w:val="left" w:pos="2127"/>
        </w:tabs>
        <w:jc w:val="both"/>
        <w:rPr>
          <w:szCs w:val="22"/>
          <w:lang w:val="fr-FR"/>
        </w:rPr>
      </w:pPr>
    </w:p>
    <w:p w14:paraId="5D8AAA75" w14:textId="77777777" w:rsidR="003C65F8" w:rsidRPr="00A72965" w:rsidRDefault="003C65F8" w:rsidP="00BA154F">
      <w:pPr>
        <w:tabs>
          <w:tab w:val="left" w:pos="2127"/>
        </w:tabs>
        <w:jc w:val="both"/>
        <w:rPr>
          <w:szCs w:val="22"/>
          <w:lang w:val="fr-FR"/>
        </w:rPr>
      </w:pPr>
      <w:r w:rsidRPr="00A72965">
        <w:rPr>
          <w:szCs w:val="22"/>
          <w:lang w:val="fr-FR"/>
        </w:rPr>
        <w:t>248. Il convient de noter que l’examen en séance plénière du DR révisé a eu lieu au point 26a de l’ordre du jour (voir les paragraphes 201 à 207).</w:t>
      </w:r>
    </w:p>
    <w:p w14:paraId="2BBA4264" w14:textId="77777777" w:rsidR="003C65F8" w:rsidRPr="00A72965" w:rsidRDefault="003C65F8" w:rsidP="00BA154F">
      <w:pPr>
        <w:tabs>
          <w:tab w:val="left" w:pos="2127"/>
        </w:tabs>
        <w:jc w:val="both"/>
        <w:rPr>
          <w:szCs w:val="22"/>
          <w:lang w:val="fr-FR"/>
        </w:rPr>
      </w:pPr>
    </w:p>
    <w:p w14:paraId="2391C1C8" w14:textId="77777777" w:rsidR="003C65F8" w:rsidRPr="00A72965" w:rsidRDefault="003C65F8" w:rsidP="00BA154F">
      <w:pPr>
        <w:tabs>
          <w:tab w:val="left" w:pos="709"/>
        </w:tabs>
        <w:jc w:val="both"/>
        <w:rPr>
          <w:szCs w:val="22"/>
          <w:lang w:val="fr-FR"/>
        </w:rPr>
      </w:pPr>
      <w:r w:rsidRPr="00A72965">
        <w:rPr>
          <w:szCs w:val="22"/>
          <w:lang w:val="fr-FR"/>
        </w:rPr>
        <w:t xml:space="preserve">DR21 </w:t>
      </w:r>
      <w:r w:rsidRPr="00A72965">
        <w:rPr>
          <w:i/>
          <w:szCs w:val="22"/>
          <w:lang w:val="fr-FR"/>
        </w:rPr>
        <w:t>Questions financières et administratives</w:t>
      </w:r>
      <w:r w:rsidRPr="00A72965">
        <w:rPr>
          <w:szCs w:val="22"/>
          <w:lang w:val="fr-FR"/>
        </w:rPr>
        <w:t>.</w:t>
      </w:r>
    </w:p>
    <w:p w14:paraId="29C3EC20" w14:textId="77777777" w:rsidR="003C65F8" w:rsidRPr="00A72965" w:rsidRDefault="003C65F8" w:rsidP="00BA154F">
      <w:pPr>
        <w:tabs>
          <w:tab w:val="left" w:pos="709"/>
        </w:tabs>
        <w:jc w:val="both"/>
        <w:rPr>
          <w:szCs w:val="22"/>
          <w:lang w:val="fr-FR"/>
        </w:rPr>
      </w:pPr>
    </w:p>
    <w:p w14:paraId="5C4652A0" w14:textId="77777777" w:rsidR="003C65F8" w:rsidRPr="00A72965" w:rsidRDefault="003C65F8" w:rsidP="00BA154F">
      <w:pPr>
        <w:tabs>
          <w:tab w:val="left" w:pos="709"/>
        </w:tabs>
        <w:jc w:val="both"/>
        <w:rPr>
          <w:szCs w:val="22"/>
          <w:lang w:val="fr-FR"/>
        </w:rPr>
      </w:pPr>
      <w:r w:rsidRPr="00A72965">
        <w:rPr>
          <w:szCs w:val="22"/>
          <w:lang w:val="fr-FR"/>
        </w:rPr>
        <w:t xml:space="preserve">249. </w:t>
      </w:r>
      <w:r w:rsidRPr="00A72965">
        <w:rPr>
          <w:b/>
          <w:szCs w:val="22"/>
          <w:lang w:val="fr-FR"/>
        </w:rPr>
        <w:t xml:space="preserve">M. </w:t>
      </w:r>
      <w:proofErr w:type="spellStart"/>
      <w:r w:rsidRPr="00A72965">
        <w:rPr>
          <w:b/>
          <w:szCs w:val="22"/>
          <w:lang w:val="fr-FR"/>
        </w:rPr>
        <w:t>Størkersen</w:t>
      </w:r>
      <w:proofErr w:type="spellEnd"/>
      <w:r w:rsidRPr="00A72965">
        <w:rPr>
          <w:szCs w:val="22"/>
          <w:lang w:val="fr-FR"/>
        </w:rPr>
        <w:t xml:space="preserve"> a fait savoir que la proposition du groupe de travail pour le DR21 recommandait un budget avec une augmentation de niveau zéro en terme de contributions obligatoires à payer par les Parties, sur la base de l’adaptation du scénario quatre du document original. Néanmoins, la proposition représentait une augmentation d’environ 10 % du budget d’ensemble de l’AEWA, du fait du prélèvement du Fonds d’affectation spéciale. Il a exposé dans les grandes lignes les autres points essentiels contenus dans le DR révisé, notant en particulier que la MOP avait entendu une demande répétée d’action accrue sur le terrain, spécialement en Afrique. Le WG2 recommandait donc la mise en place d’un nouveau poste de responsable chargé de l’Initiative africaine au Secrétariat de Bonn et une ligne budgétaire considérablement renforcée pour l’Initiative africaine.</w:t>
      </w:r>
    </w:p>
    <w:p w14:paraId="10DCBD83" w14:textId="77777777" w:rsidR="003C65F8" w:rsidRPr="00A72965" w:rsidRDefault="003C65F8" w:rsidP="00BA154F">
      <w:pPr>
        <w:tabs>
          <w:tab w:val="left" w:pos="2127"/>
        </w:tabs>
        <w:jc w:val="both"/>
        <w:rPr>
          <w:szCs w:val="22"/>
          <w:lang w:val="fr-FR"/>
        </w:rPr>
      </w:pPr>
    </w:p>
    <w:p w14:paraId="7F5F07F4" w14:textId="77777777" w:rsidR="003C65F8" w:rsidRPr="00A72965" w:rsidRDefault="003C65F8" w:rsidP="00BA154F">
      <w:pPr>
        <w:tabs>
          <w:tab w:val="left" w:pos="2127"/>
        </w:tabs>
        <w:jc w:val="both"/>
        <w:rPr>
          <w:szCs w:val="22"/>
          <w:lang w:val="fr-FR"/>
        </w:rPr>
      </w:pPr>
      <w:r w:rsidRPr="00A72965">
        <w:rPr>
          <w:szCs w:val="22"/>
          <w:lang w:val="fr-FR"/>
        </w:rPr>
        <w:t xml:space="preserve">250. L’examen final en séance plénière du DR révisé s’est fait sous le point 30 de l’ordre du jour (voir paragraphes 292 - 307). </w:t>
      </w:r>
    </w:p>
    <w:p w14:paraId="7BC112C6" w14:textId="77777777" w:rsidR="003C65F8" w:rsidRPr="00A72965" w:rsidRDefault="003C65F8" w:rsidP="00BA154F">
      <w:pPr>
        <w:tabs>
          <w:tab w:val="left" w:pos="709"/>
        </w:tabs>
        <w:jc w:val="both"/>
        <w:rPr>
          <w:szCs w:val="22"/>
          <w:lang w:val="fr-FR"/>
        </w:rPr>
      </w:pPr>
    </w:p>
    <w:p w14:paraId="38FA2ECA" w14:textId="77777777" w:rsidR="003C65F8" w:rsidRPr="00A72965" w:rsidRDefault="003C65F8" w:rsidP="00BA154F">
      <w:pPr>
        <w:jc w:val="both"/>
        <w:rPr>
          <w:i/>
          <w:szCs w:val="22"/>
          <w:lang w:val="fr-FR"/>
        </w:rPr>
      </w:pPr>
      <w:r w:rsidRPr="00A72965">
        <w:rPr>
          <w:szCs w:val="22"/>
          <w:lang w:val="fr-FR"/>
        </w:rPr>
        <w:t>DR22</w:t>
      </w:r>
      <w:r w:rsidRPr="00A72965">
        <w:rPr>
          <w:i/>
          <w:szCs w:val="22"/>
          <w:lang w:val="fr-FR"/>
        </w:rPr>
        <w:t xml:space="preserve"> Mise en place d’un régime structurel de financement de base à long terme pour le Recensement international des oiseaux d’eau dans la région d’Afrique-Eurasie.</w:t>
      </w:r>
    </w:p>
    <w:p w14:paraId="70E1D4C5" w14:textId="77777777" w:rsidR="003C65F8" w:rsidRPr="00A72965" w:rsidRDefault="003C65F8" w:rsidP="00BA154F">
      <w:pPr>
        <w:tabs>
          <w:tab w:val="left" w:pos="709"/>
        </w:tabs>
        <w:jc w:val="both"/>
        <w:rPr>
          <w:szCs w:val="22"/>
          <w:lang w:val="fr-FR"/>
        </w:rPr>
      </w:pPr>
    </w:p>
    <w:p w14:paraId="22AC7E28" w14:textId="77777777" w:rsidR="003C65F8" w:rsidRPr="00A72965" w:rsidRDefault="003C65F8" w:rsidP="00BA154F">
      <w:pPr>
        <w:tabs>
          <w:tab w:val="left" w:pos="709"/>
        </w:tabs>
        <w:jc w:val="both"/>
        <w:rPr>
          <w:szCs w:val="22"/>
          <w:lang w:val="fr-FR"/>
        </w:rPr>
      </w:pPr>
      <w:r w:rsidRPr="00A72965">
        <w:rPr>
          <w:szCs w:val="22"/>
          <w:lang w:val="fr-FR"/>
        </w:rPr>
        <w:t xml:space="preserve">251. </w:t>
      </w:r>
      <w:r w:rsidRPr="00A72965">
        <w:rPr>
          <w:b/>
          <w:szCs w:val="22"/>
          <w:lang w:val="fr-FR"/>
        </w:rPr>
        <w:t xml:space="preserve">M. </w:t>
      </w:r>
      <w:proofErr w:type="spellStart"/>
      <w:r w:rsidRPr="00A72965">
        <w:rPr>
          <w:b/>
          <w:szCs w:val="22"/>
          <w:lang w:val="fr-FR"/>
        </w:rPr>
        <w:t>Størkersen</w:t>
      </w:r>
      <w:proofErr w:type="spellEnd"/>
      <w:r w:rsidRPr="00A72965">
        <w:rPr>
          <w:szCs w:val="22"/>
          <w:lang w:val="fr-FR"/>
        </w:rPr>
        <w:t xml:space="preserve"> a fait savoir que de longs débats au sein du groupe de travail avaient abouti à une proposition de budget qui n’incluait pas de ligne budgétaire pour le Recensement international des oiseaux d’eau (IWC). Le groupe de travail avaient eu le choix  de supprimer le DR22 comme étant superflu ou de le garder, mais avec des modifications de son dispositif. Le WG2 avait préféré le supprimer. Il suggérait que le Président de la MOP5 invite la Suisse, à l’origine de la proposition du DR22, de faire part de son commentaire sur ce point.</w:t>
      </w:r>
    </w:p>
    <w:p w14:paraId="4E709048" w14:textId="77777777" w:rsidR="003C65F8" w:rsidRPr="00A72965" w:rsidRDefault="003C65F8" w:rsidP="00BA154F">
      <w:pPr>
        <w:tabs>
          <w:tab w:val="left" w:pos="709"/>
        </w:tabs>
        <w:jc w:val="both"/>
        <w:rPr>
          <w:szCs w:val="22"/>
          <w:lang w:val="fr-FR"/>
        </w:rPr>
      </w:pPr>
    </w:p>
    <w:p w14:paraId="4F5C0C7F" w14:textId="03A08F7E" w:rsidR="003C65F8" w:rsidRPr="00A72965" w:rsidRDefault="003C65F8" w:rsidP="00BA154F">
      <w:pPr>
        <w:tabs>
          <w:tab w:val="left" w:pos="709"/>
        </w:tabs>
        <w:jc w:val="both"/>
        <w:rPr>
          <w:szCs w:val="22"/>
          <w:lang w:val="fr-FR"/>
        </w:rPr>
      </w:pPr>
      <w:r w:rsidRPr="00A72965">
        <w:rPr>
          <w:szCs w:val="22"/>
          <w:lang w:val="fr-FR"/>
        </w:rPr>
        <w:t xml:space="preserve">252. Le </w:t>
      </w:r>
      <w:r w:rsidRPr="00A72965">
        <w:rPr>
          <w:b/>
          <w:szCs w:val="22"/>
          <w:lang w:val="fr-FR"/>
        </w:rPr>
        <w:t xml:space="preserve">Danemark, </w:t>
      </w:r>
      <w:r w:rsidRPr="00A72965">
        <w:rPr>
          <w:szCs w:val="22"/>
          <w:lang w:val="fr-FR"/>
        </w:rPr>
        <w:t>s’exprimant au nom de l’</w:t>
      </w:r>
      <w:r w:rsidRPr="00A72965">
        <w:rPr>
          <w:b/>
          <w:szCs w:val="22"/>
          <w:lang w:val="fr-FR"/>
        </w:rPr>
        <w:t>U</w:t>
      </w:r>
      <w:r w:rsidR="00FD2552">
        <w:rPr>
          <w:b/>
          <w:szCs w:val="22"/>
          <w:lang w:val="fr-FR"/>
        </w:rPr>
        <w:t>nion européenne</w:t>
      </w:r>
      <w:r w:rsidRPr="00A72965">
        <w:rPr>
          <w:b/>
          <w:szCs w:val="22"/>
          <w:lang w:val="fr-FR"/>
        </w:rPr>
        <w:t xml:space="preserve"> et de ses États membres</w:t>
      </w:r>
      <w:r w:rsidRPr="00A72965">
        <w:rPr>
          <w:szCs w:val="22"/>
          <w:lang w:val="fr-FR"/>
        </w:rPr>
        <w:t>, s’est excusé auprès du Président du WG2 étant donné que le groupe de coordination de l’UE, qui s’était réuni plus tôt dans la journée, avait convenu d’approuver les amendements suggérés pour le DR22 au lieu de sa suppression. Les amendements proposés par l’UE avaient été transmis à la Suisse.</w:t>
      </w:r>
    </w:p>
    <w:p w14:paraId="19584506" w14:textId="77777777" w:rsidR="003C65F8" w:rsidRPr="00A72965" w:rsidRDefault="003C65F8" w:rsidP="00BA154F">
      <w:pPr>
        <w:tabs>
          <w:tab w:val="left" w:pos="709"/>
        </w:tabs>
        <w:jc w:val="both"/>
        <w:rPr>
          <w:szCs w:val="22"/>
          <w:lang w:val="fr-FR"/>
        </w:rPr>
      </w:pPr>
    </w:p>
    <w:p w14:paraId="6A5CA555" w14:textId="77777777" w:rsidR="003C65F8" w:rsidRPr="00A72965" w:rsidRDefault="003C65F8" w:rsidP="00BA154F">
      <w:pPr>
        <w:tabs>
          <w:tab w:val="left" w:pos="709"/>
        </w:tabs>
        <w:jc w:val="both"/>
        <w:rPr>
          <w:szCs w:val="22"/>
          <w:lang w:val="fr-FR"/>
        </w:rPr>
      </w:pPr>
      <w:r w:rsidRPr="00A72965">
        <w:rPr>
          <w:szCs w:val="22"/>
          <w:lang w:val="fr-FR"/>
        </w:rPr>
        <w:t>253.</w:t>
      </w:r>
      <w:r w:rsidRPr="00A72965">
        <w:rPr>
          <w:b/>
          <w:szCs w:val="22"/>
          <w:lang w:val="fr-FR"/>
        </w:rPr>
        <w:t xml:space="preserve"> </w:t>
      </w:r>
      <w:r w:rsidRPr="00A72965">
        <w:rPr>
          <w:szCs w:val="22"/>
          <w:lang w:val="fr-FR"/>
        </w:rPr>
        <w:t xml:space="preserve">La </w:t>
      </w:r>
      <w:r w:rsidRPr="00A72965">
        <w:rPr>
          <w:b/>
          <w:szCs w:val="22"/>
          <w:lang w:val="fr-FR"/>
        </w:rPr>
        <w:t xml:space="preserve">Suisse </w:t>
      </w:r>
      <w:r w:rsidRPr="00A72965">
        <w:rPr>
          <w:szCs w:val="22"/>
          <w:lang w:val="fr-FR"/>
        </w:rPr>
        <w:t>a fait part de sa grande déception face aux conclusions des discussions du WG2 sur le DR22 et de son immense surprise face aux nouveaux amendements proposés par l’UE.</w:t>
      </w:r>
    </w:p>
    <w:p w14:paraId="7F3FA9E2" w14:textId="77777777" w:rsidR="003C65F8" w:rsidRPr="00A72965" w:rsidRDefault="003C65F8" w:rsidP="00BA154F">
      <w:pPr>
        <w:tabs>
          <w:tab w:val="left" w:pos="709"/>
        </w:tabs>
        <w:jc w:val="both"/>
        <w:rPr>
          <w:szCs w:val="22"/>
          <w:lang w:val="fr-FR"/>
        </w:rPr>
      </w:pPr>
    </w:p>
    <w:p w14:paraId="4865348B" w14:textId="77777777" w:rsidR="003C65F8" w:rsidRPr="00A72965" w:rsidRDefault="003C65F8" w:rsidP="00BA154F">
      <w:pPr>
        <w:tabs>
          <w:tab w:val="left" w:pos="709"/>
        </w:tabs>
        <w:jc w:val="both"/>
        <w:rPr>
          <w:szCs w:val="22"/>
          <w:lang w:val="fr-FR"/>
        </w:rPr>
      </w:pPr>
      <w:r w:rsidRPr="00A72965">
        <w:rPr>
          <w:szCs w:val="22"/>
          <w:lang w:val="fr-FR"/>
        </w:rPr>
        <w:t xml:space="preserve">254. Le </w:t>
      </w:r>
      <w:r w:rsidRPr="00A72965">
        <w:rPr>
          <w:b/>
          <w:szCs w:val="22"/>
          <w:lang w:val="fr-FR"/>
        </w:rPr>
        <w:t>Président de la MOP5</w:t>
      </w:r>
      <w:r w:rsidRPr="00A72965">
        <w:rPr>
          <w:szCs w:val="22"/>
          <w:lang w:val="fr-FR"/>
        </w:rPr>
        <w:t xml:space="preserve"> a décidé de reporter la poursuite de la discussion sur ce sujet au point 30 de l’ordre du jour afin de permettre à la Suisse d’examiner les amendements proposés par l’UE.</w:t>
      </w:r>
    </w:p>
    <w:p w14:paraId="6D9D927C" w14:textId="77777777" w:rsidR="003C65F8" w:rsidRPr="00A72965" w:rsidRDefault="003C65F8" w:rsidP="00BA154F">
      <w:pPr>
        <w:tabs>
          <w:tab w:val="left" w:pos="709"/>
          <w:tab w:val="left" w:pos="2127"/>
        </w:tabs>
        <w:jc w:val="both"/>
        <w:rPr>
          <w:i/>
          <w:szCs w:val="22"/>
          <w:lang w:val="fr-FR"/>
        </w:rPr>
      </w:pPr>
    </w:p>
    <w:p w14:paraId="51097EA8" w14:textId="77777777" w:rsidR="003C65F8" w:rsidRPr="00A72965" w:rsidRDefault="003C65F8" w:rsidP="00BA154F">
      <w:pPr>
        <w:tabs>
          <w:tab w:val="left" w:pos="709"/>
        </w:tabs>
        <w:jc w:val="both"/>
        <w:rPr>
          <w:szCs w:val="22"/>
          <w:lang w:val="fr-FR"/>
        </w:rPr>
      </w:pPr>
      <w:r w:rsidRPr="00A72965">
        <w:rPr>
          <w:szCs w:val="22"/>
          <w:lang w:val="fr-FR"/>
        </w:rPr>
        <w:t xml:space="preserve">DR23 </w:t>
      </w:r>
      <w:r w:rsidRPr="00A72965">
        <w:rPr>
          <w:i/>
          <w:szCs w:val="22"/>
          <w:lang w:val="fr-FR"/>
        </w:rPr>
        <w:t>Périodicité des sessions de la Réunion des Parties à l’AEWA</w:t>
      </w:r>
      <w:r w:rsidRPr="00A72965">
        <w:rPr>
          <w:szCs w:val="22"/>
          <w:lang w:val="fr-FR"/>
        </w:rPr>
        <w:t>.</w:t>
      </w:r>
    </w:p>
    <w:p w14:paraId="744CC42D" w14:textId="77777777" w:rsidR="003C65F8" w:rsidRPr="00A72965" w:rsidRDefault="003C65F8" w:rsidP="00BA154F">
      <w:pPr>
        <w:jc w:val="both"/>
        <w:rPr>
          <w:szCs w:val="22"/>
          <w:lang w:val="fr-FR"/>
        </w:rPr>
      </w:pPr>
    </w:p>
    <w:p w14:paraId="400EE7B0" w14:textId="77777777" w:rsidR="003C65F8" w:rsidRPr="00A72965" w:rsidRDefault="003C65F8" w:rsidP="00BA154F">
      <w:pPr>
        <w:jc w:val="both"/>
        <w:rPr>
          <w:szCs w:val="22"/>
          <w:lang w:val="fr-FR"/>
        </w:rPr>
      </w:pPr>
      <w:r w:rsidRPr="00A72965">
        <w:rPr>
          <w:szCs w:val="22"/>
          <w:lang w:val="fr-FR"/>
        </w:rPr>
        <w:t xml:space="preserve">255. </w:t>
      </w:r>
      <w:r w:rsidRPr="00A72965">
        <w:rPr>
          <w:b/>
          <w:szCs w:val="22"/>
          <w:lang w:val="fr-FR"/>
        </w:rPr>
        <w:t xml:space="preserve">M. </w:t>
      </w:r>
      <w:proofErr w:type="spellStart"/>
      <w:r w:rsidRPr="00A72965">
        <w:rPr>
          <w:b/>
          <w:szCs w:val="22"/>
          <w:lang w:val="fr-FR"/>
        </w:rPr>
        <w:t>Størkersen</w:t>
      </w:r>
      <w:proofErr w:type="spellEnd"/>
      <w:r w:rsidRPr="00A72965">
        <w:rPr>
          <w:szCs w:val="22"/>
          <w:lang w:val="fr-FR"/>
        </w:rPr>
        <w:t xml:space="preserve"> a fait savoir que le WG2 recommandait le maintien du cycle de trois ans existant et que le DR23 devait donc être retiré.</w:t>
      </w:r>
    </w:p>
    <w:p w14:paraId="16DB0FA6" w14:textId="77777777" w:rsidR="003C65F8" w:rsidRDefault="003C65F8" w:rsidP="00BA154F">
      <w:pPr>
        <w:jc w:val="both"/>
        <w:rPr>
          <w:szCs w:val="22"/>
          <w:lang w:val="fr-FR"/>
        </w:rPr>
      </w:pPr>
    </w:p>
    <w:p w14:paraId="55EFC5A5" w14:textId="77777777" w:rsidR="00C3740A" w:rsidRPr="00A72965" w:rsidRDefault="00C3740A" w:rsidP="00BA154F">
      <w:pPr>
        <w:jc w:val="both"/>
        <w:rPr>
          <w:szCs w:val="22"/>
          <w:lang w:val="fr-FR"/>
        </w:rPr>
      </w:pPr>
    </w:p>
    <w:p w14:paraId="6CF41C6F" w14:textId="77777777" w:rsidR="003C65F8" w:rsidRPr="00A72965" w:rsidRDefault="003C65F8" w:rsidP="00BA154F">
      <w:pPr>
        <w:jc w:val="both"/>
        <w:rPr>
          <w:b/>
          <w:szCs w:val="22"/>
          <w:lang w:val="fr-FR"/>
        </w:rPr>
      </w:pPr>
      <w:r w:rsidRPr="00A72965">
        <w:rPr>
          <w:b/>
          <w:szCs w:val="22"/>
          <w:lang w:val="fr-FR"/>
        </w:rPr>
        <w:t>Point 30 de l’ordre du jour - Adoption des Résolutions et des Amendements aux annexes de l’Accord</w:t>
      </w:r>
    </w:p>
    <w:p w14:paraId="6BF3B2F3" w14:textId="77777777" w:rsidR="003C65F8" w:rsidRPr="00A72965" w:rsidRDefault="003C65F8" w:rsidP="00BA154F">
      <w:pPr>
        <w:jc w:val="both"/>
        <w:rPr>
          <w:szCs w:val="22"/>
          <w:lang w:val="fr-FR"/>
        </w:rPr>
      </w:pPr>
    </w:p>
    <w:p w14:paraId="7F251261" w14:textId="77777777" w:rsidR="003C65F8" w:rsidRPr="00A72965" w:rsidRDefault="003C65F8" w:rsidP="00BA154F">
      <w:pPr>
        <w:jc w:val="both"/>
        <w:rPr>
          <w:szCs w:val="22"/>
          <w:lang w:val="fr-FR"/>
        </w:rPr>
      </w:pPr>
      <w:r w:rsidRPr="00A72965">
        <w:rPr>
          <w:szCs w:val="22"/>
          <w:u w:val="single"/>
          <w:lang w:val="fr-FR"/>
        </w:rPr>
        <w:t>(Note de la rédaction </w:t>
      </w:r>
      <w:r w:rsidRPr="00A72965">
        <w:rPr>
          <w:szCs w:val="22"/>
          <w:lang w:val="fr-FR"/>
        </w:rPr>
        <w:t>: s’il y a lieu, les numéros des corrections (Corr.) et des révisions (</w:t>
      </w:r>
      <w:proofErr w:type="spellStart"/>
      <w:r w:rsidRPr="00A72965">
        <w:rPr>
          <w:szCs w:val="22"/>
          <w:lang w:val="fr-FR"/>
        </w:rPr>
        <w:t>Rév</w:t>
      </w:r>
      <w:proofErr w:type="spellEnd"/>
      <w:r w:rsidRPr="00A72965">
        <w:rPr>
          <w:szCs w:val="22"/>
          <w:lang w:val="fr-FR"/>
        </w:rPr>
        <w:t>.) du texte examiné en réunion plénière aux fins d’adoption définitive ont été indiqués.)</w:t>
      </w:r>
    </w:p>
    <w:p w14:paraId="4C3F080D" w14:textId="77777777" w:rsidR="003C65F8" w:rsidRPr="00A72965" w:rsidRDefault="003C65F8" w:rsidP="00BA154F">
      <w:pPr>
        <w:jc w:val="both"/>
        <w:rPr>
          <w:szCs w:val="22"/>
          <w:lang w:val="fr-FR"/>
        </w:rPr>
      </w:pPr>
    </w:p>
    <w:p w14:paraId="2924BB75" w14:textId="77777777" w:rsidR="003C65F8" w:rsidRPr="00A72965" w:rsidRDefault="003C65F8" w:rsidP="00BA154F">
      <w:pPr>
        <w:jc w:val="both"/>
        <w:rPr>
          <w:b/>
          <w:szCs w:val="22"/>
          <w:lang w:val="fr-FR"/>
        </w:rPr>
      </w:pPr>
      <w:r w:rsidRPr="00A72965">
        <w:rPr>
          <w:b/>
          <w:szCs w:val="22"/>
          <w:lang w:val="fr-FR"/>
        </w:rPr>
        <w:t xml:space="preserve">DR1 </w:t>
      </w:r>
      <w:proofErr w:type="spellStart"/>
      <w:r w:rsidRPr="00A72965">
        <w:rPr>
          <w:b/>
          <w:szCs w:val="22"/>
          <w:lang w:val="fr-FR"/>
        </w:rPr>
        <w:t>Rév</w:t>
      </w:r>
      <w:proofErr w:type="spellEnd"/>
      <w:r w:rsidRPr="00A72965">
        <w:rPr>
          <w:b/>
          <w:szCs w:val="22"/>
          <w:lang w:val="fr-FR"/>
        </w:rPr>
        <w:t xml:space="preserve">. 2 </w:t>
      </w:r>
      <w:r w:rsidRPr="00A72965">
        <w:rPr>
          <w:b/>
          <w:i/>
          <w:szCs w:val="22"/>
          <w:lang w:val="fr-FR"/>
        </w:rPr>
        <w:t>Rapports nationaux et système de rapport en ligne</w:t>
      </w:r>
      <w:r w:rsidRPr="00A72965">
        <w:rPr>
          <w:b/>
          <w:szCs w:val="22"/>
          <w:lang w:val="fr-FR"/>
        </w:rPr>
        <w:t>.</w:t>
      </w:r>
    </w:p>
    <w:p w14:paraId="01383E17" w14:textId="77777777" w:rsidR="003C65F8" w:rsidRPr="00A72965" w:rsidRDefault="003C65F8" w:rsidP="00BA154F">
      <w:pPr>
        <w:jc w:val="both"/>
        <w:rPr>
          <w:szCs w:val="22"/>
          <w:lang w:val="fr-FR"/>
        </w:rPr>
      </w:pPr>
    </w:p>
    <w:p w14:paraId="65B2AFE0" w14:textId="77777777" w:rsidR="003C65F8" w:rsidRPr="00A72965" w:rsidRDefault="003C65F8" w:rsidP="00BA154F">
      <w:pPr>
        <w:jc w:val="both"/>
        <w:rPr>
          <w:szCs w:val="22"/>
          <w:lang w:val="fr-FR"/>
        </w:rPr>
      </w:pPr>
      <w:r w:rsidRPr="00A72965">
        <w:rPr>
          <w:szCs w:val="22"/>
          <w:lang w:val="fr-FR"/>
        </w:rPr>
        <w:t xml:space="preserve">256. Le </w:t>
      </w:r>
      <w:r w:rsidRPr="00A72965">
        <w:rPr>
          <w:b/>
          <w:szCs w:val="22"/>
          <w:lang w:val="fr-FR"/>
        </w:rPr>
        <w:t>Président</w:t>
      </w:r>
      <w:r w:rsidRPr="00A72965">
        <w:rPr>
          <w:szCs w:val="22"/>
          <w:lang w:val="fr-FR"/>
        </w:rPr>
        <w:t xml:space="preserve"> a noté que cet avant-projet de résolution avait été examiné par le WG1 et a invité les participants à faire part de leurs commentaires. Personne n’ayant d’observation à faire, à l’invitation du Président, la réunion a adopté le DR1 </w:t>
      </w:r>
      <w:proofErr w:type="spellStart"/>
      <w:r w:rsidRPr="00A72965">
        <w:rPr>
          <w:szCs w:val="22"/>
          <w:lang w:val="fr-FR"/>
        </w:rPr>
        <w:t>Rév</w:t>
      </w:r>
      <w:proofErr w:type="spellEnd"/>
      <w:r w:rsidRPr="00A72965">
        <w:rPr>
          <w:szCs w:val="22"/>
          <w:lang w:val="fr-FR"/>
        </w:rPr>
        <w:t>. 2 par consensus, sans autre amendement.</w:t>
      </w:r>
    </w:p>
    <w:p w14:paraId="13121512" w14:textId="77777777" w:rsidR="003C65F8" w:rsidRPr="00A72965" w:rsidRDefault="003C65F8" w:rsidP="00BA154F">
      <w:pPr>
        <w:jc w:val="both"/>
        <w:rPr>
          <w:szCs w:val="22"/>
          <w:lang w:val="fr-FR"/>
        </w:rPr>
      </w:pPr>
    </w:p>
    <w:p w14:paraId="37BF19AC" w14:textId="77777777" w:rsidR="003C65F8" w:rsidRPr="00A72965" w:rsidRDefault="003C65F8" w:rsidP="00BA154F">
      <w:pPr>
        <w:jc w:val="both"/>
        <w:rPr>
          <w:b/>
          <w:szCs w:val="22"/>
          <w:lang w:val="fr-FR"/>
        </w:rPr>
      </w:pPr>
      <w:r w:rsidRPr="00A72965">
        <w:rPr>
          <w:b/>
          <w:szCs w:val="22"/>
          <w:lang w:val="fr-FR"/>
        </w:rPr>
        <w:t xml:space="preserve">DR2 </w:t>
      </w:r>
      <w:proofErr w:type="spellStart"/>
      <w:r w:rsidRPr="00A72965">
        <w:rPr>
          <w:b/>
          <w:szCs w:val="22"/>
          <w:lang w:val="fr-FR"/>
        </w:rPr>
        <w:t>Rév</w:t>
      </w:r>
      <w:proofErr w:type="spellEnd"/>
      <w:r w:rsidRPr="00A72965">
        <w:rPr>
          <w:b/>
          <w:szCs w:val="22"/>
          <w:lang w:val="fr-FR"/>
        </w:rPr>
        <w:t xml:space="preserve">. 2 </w:t>
      </w:r>
      <w:r w:rsidRPr="00A72965">
        <w:rPr>
          <w:b/>
          <w:i/>
          <w:szCs w:val="22"/>
          <w:lang w:val="fr-FR"/>
        </w:rPr>
        <w:t>Prise en main des lacunes dans les connaissances sur la conservation des populations d’oiseaux d’eau et des sites importants pour ces derniers, et actions de conservation à cet effet</w:t>
      </w:r>
      <w:r w:rsidRPr="00A72965">
        <w:rPr>
          <w:b/>
          <w:szCs w:val="22"/>
          <w:lang w:val="fr-FR"/>
        </w:rPr>
        <w:t>.</w:t>
      </w:r>
    </w:p>
    <w:p w14:paraId="3948B5EC" w14:textId="77777777" w:rsidR="003C65F8" w:rsidRPr="00A72965" w:rsidRDefault="003C65F8" w:rsidP="00BA154F">
      <w:pPr>
        <w:jc w:val="both"/>
        <w:rPr>
          <w:szCs w:val="22"/>
          <w:lang w:val="fr-FR"/>
        </w:rPr>
      </w:pPr>
    </w:p>
    <w:p w14:paraId="357801CA" w14:textId="77777777" w:rsidR="003C65F8" w:rsidRPr="00A72965" w:rsidRDefault="003C65F8" w:rsidP="00BA154F">
      <w:pPr>
        <w:jc w:val="both"/>
        <w:rPr>
          <w:szCs w:val="22"/>
          <w:lang w:val="fr-FR"/>
        </w:rPr>
      </w:pPr>
      <w:r w:rsidRPr="00A72965">
        <w:rPr>
          <w:szCs w:val="22"/>
          <w:lang w:val="fr-FR"/>
        </w:rPr>
        <w:t xml:space="preserve">257. Le </w:t>
      </w:r>
      <w:r w:rsidRPr="00A72965">
        <w:rPr>
          <w:b/>
          <w:szCs w:val="22"/>
          <w:lang w:val="fr-FR"/>
        </w:rPr>
        <w:t>Président</w:t>
      </w:r>
      <w:r w:rsidRPr="00A72965">
        <w:rPr>
          <w:szCs w:val="22"/>
          <w:lang w:val="fr-FR"/>
        </w:rPr>
        <w:t xml:space="preserve"> a noté que cet avant-projet de résolution avait été examiné par le WG1 et a invité les participants à faire part de leurs commentaires. Personne n’ayant d’observation à faire, à l’invitation du Président, la réunion a adopté le DR2 </w:t>
      </w:r>
      <w:proofErr w:type="spellStart"/>
      <w:r w:rsidRPr="00A72965">
        <w:rPr>
          <w:szCs w:val="22"/>
          <w:lang w:val="fr-FR"/>
        </w:rPr>
        <w:t>Rév</w:t>
      </w:r>
      <w:proofErr w:type="spellEnd"/>
      <w:r w:rsidRPr="00A72965">
        <w:rPr>
          <w:szCs w:val="22"/>
          <w:lang w:val="fr-FR"/>
        </w:rPr>
        <w:t>. 2 par consensus, sans autre amendement.</w:t>
      </w:r>
    </w:p>
    <w:p w14:paraId="57E9812A" w14:textId="77777777" w:rsidR="003C65F8" w:rsidRPr="00A72965" w:rsidRDefault="003C65F8" w:rsidP="00BA154F">
      <w:pPr>
        <w:jc w:val="both"/>
        <w:rPr>
          <w:szCs w:val="22"/>
          <w:lang w:val="fr-FR"/>
        </w:rPr>
      </w:pPr>
    </w:p>
    <w:p w14:paraId="340D1FD8" w14:textId="77777777" w:rsidR="003C65F8" w:rsidRPr="00A72965" w:rsidRDefault="003C65F8" w:rsidP="00BA154F">
      <w:pPr>
        <w:jc w:val="both"/>
        <w:rPr>
          <w:b/>
          <w:szCs w:val="22"/>
          <w:lang w:val="fr-FR"/>
        </w:rPr>
      </w:pPr>
      <w:r w:rsidRPr="00A72965">
        <w:rPr>
          <w:b/>
          <w:szCs w:val="22"/>
          <w:lang w:val="fr-FR"/>
        </w:rPr>
        <w:t xml:space="preserve">DR3 Corr. 1 </w:t>
      </w:r>
      <w:proofErr w:type="spellStart"/>
      <w:r w:rsidRPr="00A72965">
        <w:rPr>
          <w:b/>
          <w:szCs w:val="22"/>
          <w:lang w:val="fr-FR"/>
        </w:rPr>
        <w:t>Rév</w:t>
      </w:r>
      <w:proofErr w:type="spellEnd"/>
      <w:r w:rsidRPr="00A72965">
        <w:rPr>
          <w:b/>
          <w:szCs w:val="22"/>
          <w:lang w:val="fr-FR"/>
        </w:rPr>
        <w:t xml:space="preserve">. 2 </w:t>
      </w:r>
      <w:r w:rsidRPr="00A72965">
        <w:rPr>
          <w:b/>
          <w:i/>
          <w:szCs w:val="22"/>
          <w:lang w:val="fr-FR"/>
        </w:rPr>
        <w:t xml:space="preserve">Tâches internationales de mise en œuvre (IIT) de l’AEWA pour [2012–2015] [2012–2016]. </w:t>
      </w:r>
    </w:p>
    <w:p w14:paraId="768B7769" w14:textId="77777777" w:rsidR="003C65F8" w:rsidRPr="00A72965" w:rsidRDefault="003C65F8" w:rsidP="00BA154F">
      <w:pPr>
        <w:jc w:val="both"/>
        <w:rPr>
          <w:szCs w:val="22"/>
          <w:lang w:val="fr-FR"/>
        </w:rPr>
      </w:pPr>
    </w:p>
    <w:p w14:paraId="5F70DE18" w14:textId="77777777" w:rsidR="003C65F8" w:rsidRPr="00A72965" w:rsidRDefault="003C65F8" w:rsidP="00BA154F">
      <w:pPr>
        <w:jc w:val="both"/>
        <w:rPr>
          <w:szCs w:val="22"/>
          <w:lang w:val="fr-FR"/>
        </w:rPr>
      </w:pPr>
      <w:r w:rsidRPr="00A72965">
        <w:rPr>
          <w:szCs w:val="22"/>
          <w:lang w:val="fr-FR"/>
        </w:rPr>
        <w:t xml:space="preserve">258. Le </w:t>
      </w:r>
      <w:r w:rsidRPr="00A72965">
        <w:rPr>
          <w:b/>
          <w:szCs w:val="22"/>
          <w:lang w:val="fr-FR"/>
        </w:rPr>
        <w:t>Président</w:t>
      </w:r>
      <w:r w:rsidRPr="00A72965">
        <w:rPr>
          <w:szCs w:val="22"/>
          <w:lang w:val="fr-FR"/>
        </w:rPr>
        <w:t xml:space="preserve"> a noté que cet avant-projet de résolution avait été examiné par le WG1. Il a confirmé que le titre pouvait être à présent finalisé comme s’appliquant à 2012-2015, du fait que le DR23 (sur la fréquence des MOP) avait été retiré et le cycle </w:t>
      </w:r>
      <w:proofErr w:type="spellStart"/>
      <w:r w:rsidRPr="00A72965">
        <w:rPr>
          <w:szCs w:val="22"/>
          <w:lang w:val="fr-FR"/>
        </w:rPr>
        <w:t>intersessionnel</w:t>
      </w:r>
      <w:proofErr w:type="spellEnd"/>
      <w:r w:rsidRPr="00A72965">
        <w:rPr>
          <w:szCs w:val="22"/>
          <w:lang w:val="fr-FR"/>
        </w:rPr>
        <w:t xml:space="preserve"> de trois ans maintenu. Il a invité les participants à faire part de leurs commentaires. Personne n’ayant d’observation à faire, à l’invitation du Président, la réunion a adopté DR3 Corr. 1 </w:t>
      </w:r>
      <w:proofErr w:type="spellStart"/>
      <w:r w:rsidRPr="00A72965">
        <w:rPr>
          <w:szCs w:val="22"/>
          <w:lang w:val="fr-FR"/>
        </w:rPr>
        <w:t>Rév</w:t>
      </w:r>
      <w:proofErr w:type="spellEnd"/>
      <w:r w:rsidRPr="00A72965">
        <w:rPr>
          <w:szCs w:val="22"/>
          <w:lang w:val="fr-FR"/>
        </w:rPr>
        <w:t>. 2  par consensus, sous réserve de la finalisation du titre, tel qu’indiqué.</w:t>
      </w:r>
    </w:p>
    <w:p w14:paraId="08052E97" w14:textId="77777777" w:rsidR="003C65F8" w:rsidRPr="00A72965" w:rsidRDefault="003C65F8" w:rsidP="00BA154F">
      <w:pPr>
        <w:jc w:val="both"/>
        <w:rPr>
          <w:szCs w:val="22"/>
          <w:lang w:val="fr-FR"/>
        </w:rPr>
      </w:pPr>
    </w:p>
    <w:p w14:paraId="49D91199" w14:textId="77777777" w:rsidR="003C65F8" w:rsidRPr="00A72965" w:rsidRDefault="003C65F8" w:rsidP="00BA154F">
      <w:pPr>
        <w:jc w:val="both"/>
        <w:rPr>
          <w:b/>
          <w:iCs/>
          <w:szCs w:val="22"/>
          <w:lang w:val="fr-FR"/>
        </w:rPr>
      </w:pPr>
      <w:r w:rsidRPr="00A72965">
        <w:rPr>
          <w:b/>
          <w:szCs w:val="22"/>
          <w:lang w:val="fr-FR"/>
        </w:rPr>
        <w:t xml:space="preserve">DR4 </w:t>
      </w:r>
      <w:proofErr w:type="spellStart"/>
      <w:r w:rsidRPr="00A72965">
        <w:rPr>
          <w:b/>
          <w:szCs w:val="22"/>
          <w:lang w:val="fr-FR"/>
        </w:rPr>
        <w:t>Rév</w:t>
      </w:r>
      <w:proofErr w:type="spellEnd"/>
      <w:r w:rsidRPr="00A72965">
        <w:rPr>
          <w:b/>
          <w:szCs w:val="22"/>
          <w:lang w:val="fr-FR"/>
        </w:rPr>
        <w:t xml:space="preserve">. 3 </w:t>
      </w:r>
      <w:r w:rsidRPr="00A72965">
        <w:rPr>
          <w:b/>
          <w:i/>
          <w:iCs/>
          <w:szCs w:val="22"/>
          <w:lang w:val="fr-FR"/>
        </w:rPr>
        <w:t xml:space="preserve">Mise en œuvre du projet </w:t>
      </w:r>
      <w:proofErr w:type="spellStart"/>
      <w:r w:rsidRPr="00A72965">
        <w:rPr>
          <w:b/>
          <w:i/>
          <w:iCs/>
          <w:szCs w:val="22"/>
          <w:lang w:val="fr-FR"/>
        </w:rPr>
        <w:t>Wings</w:t>
      </w:r>
      <w:proofErr w:type="spellEnd"/>
      <w:r w:rsidRPr="00A72965">
        <w:rPr>
          <w:b/>
          <w:i/>
          <w:iCs/>
          <w:szCs w:val="22"/>
          <w:lang w:val="fr-FR"/>
        </w:rPr>
        <w:t xml:space="preserve"> Over </w:t>
      </w:r>
      <w:proofErr w:type="spellStart"/>
      <w:r w:rsidRPr="00A72965">
        <w:rPr>
          <w:b/>
          <w:i/>
          <w:iCs/>
          <w:szCs w:val="22"/>
          <w:lang w:val="fr-FR"/>
        </w:rPr>
        <w:t>Wetlands</w:t>
      </w:r>
      <w:proofErr w:type="spellEnd"/>
      <w:r w:rsidRPr="00A72965">
        <w:rPr>
          <w:b/>
          <w:i/>
          <w:iCs/>
          <w:szCs w:val="22"/>
          <w:lang w:val="fr-FR"/>
        </w:rPr>
        <w:t xml:space="preserve"> (WOW) du PNUE-FEM sur les voies de migration d’Afrique-Eurasie et perspectives après-WOW</w:t>
      </w:r>
      <w:r w:rsidRPr="00A72965">
        <w:rPr>
          <w:b/>
          <w:iCs/>
          <w:szCs w:val="22"/>
          <w:lang w:val="fr-FR"/>
        </w:rPr>
        <w:t xml:space="preserve">. </w:t>
      </w:r>
    </w:p>
    <w:p w14:paraId="27850402" w14:textId="77777777" w:rsidR="003C65F8" w:rsidRPr="00A72965" w:rsidRDefault="003C65F8" w:rsidP="00BA154F">
      <w:pPr>
        <w:jc w:val="both"/>
        <w:rPr>
          <w:szCs w:val="22"/>
          <w:lang w:val="fr-FR"/>
        </w:rPr>
      </w:pPr>
    </w:p>
    <w:p w14:paraId="34F78A02" w14:textId="77777777" w:rsidR="003C65F8" w:rsidRPr="00A72965" w:rsidRDefault="003C65F8" w:rsidP="00BA154F">
      <w:pPr>
        <w:jc w:val="both"/>
        <w:rPr>
          <w:szCs w:val="22"/>
          <w:lang w:val="fr-FR"/>
        </w:rPr>
      </w:pPr>
      <w:r w:rsidRPr="00A72965">
        <w:rPr>
          <w:szCs w:val="22"/>
          <w:lang w:val="fr-FR"/>
        </w:rPr>
        <w:t xml:space="preserve">259. Le </w:t>
      </w:r>
      <w:r w:rsidRPr="00A72965">
        <w:rPr>
          <w:b/>
          <w:szCs w:val="22"/>
          <w:lang w:val="fr-FR"/>
        </w:rPr>
        <w:t>Président</w:t>
      </w:r>
      <w:r w:rsidRPr="00A72965">
        <w:rPr>
          <w:szCs w:val="22"/>
          <w:lang w:val="fr-FR"/>
        </w:rPr>
        <w:t xml:space="preserve"> a noté que cet avant-projet de résolution avait été examiné par le WG1 et a invité les participants à faire part de leurs commentaires. Personne n’ayant d’observation à faire, à l’invitation du Président, la réunion a adopté le DR4 </w:t>
      </w:r>
      <w:proofErr w:type="spellStart"/>
      <w:r w:rsidRPr="00A72965">
        <w:rPr>
          <w:szCs w:val="22"/>
          <w:lang w:val="fr-FR"/>
        </w:rPr>
        <w:t>Rév</w:t>
      </w:r>
      <w:proofErr w:type="spellEnd"/>
      <w:r w:rsidRPr="00A72965">
        <w:rPr>
          <w:szCs w:val="22"/>
          <w:lang w:val="fr-FR"/>
        </w:rPr>
        <w:t>. 3 par consensus, sans autre amendement.</w:t>
      </w:r>
    </w:p>
    <w:p w14:paraId="17763AEE" w14:textId="77777777" w:rsidR="003C65F8" w:rsidRPr="00A72965" w:rsidRDefault="003C65F8" w:rsidP="00BA154F">
      <w:pPr>
        <w:jc w:val="both"/>
        <w:rPr>
          <w:szCs w:val="22"/>
          <w:lang w:val="fr-FR"/>
        </w:rPr>
      </w:pPr>
    </w:p>
    <w:p w14:paraId="2DBF8BE3" w14:textId="77777777" w:rsidR="003C65F8" w:rsidRPr="00A72965" w:rsidRDefault="003C65F8" w:rsidP="00BA154F">
      <w:pPr>
        <w:jc w:val="both"/>
        <w:rPr>
          <w:b/>
          <w:szCs w:val="22"/>
          <w:lang w:val="fr-FR"/>
        </w:rPr>
      </w:pPr>
      <w:r w:rsidRPr="00A72965">
        <w:rPr>
          <w:b/>
          <w:szCs w:val="22"/>
          <w:lang w:val="fr-FR"/>
        </w:rPr>
        <w:t xml:space="preserve">DR5 </w:t>
      </w:r>
      <w:proofErr w:type="spellStart"/>
      <w:r w:rsidRPr="00A72965">
        <w:rPr>
          <w:b/>
          <w:szCs w:val="22"/>
          <w:lang w:val="fr-FR"/>
        </w:rPr>
        <w:t>Rév</w:t>
      </w:r>
      <w:proofErr w:type="spellEnd"/>
      <w:r w:rsidRPr="00A72965">
        <w:rPr>
          <w:b/>
          <w:szCs w:val="22"/>
          <w:lang w:val="fr-FR"/>
        </w:rPr>
        <w:t xml:space="preserve">. 2 </w:t>
      </w:r>
      <w:r w:rsidRPr="00A72965">
        <w:rPr>
          <w:b/>
          <w:bCs/>
          <w:i/>
          <w:szCs w:val="22"/>
          <w:lang w:val="fr-FR"/>
        </w:rPr>
        <w:t>Mise en œuvre et révision de la Stratégie de communication</w:t>
      </w:r>
      <w:r w:rsidRPr="00A72965">
        <w:rPr>
          <w:b/>
          <w:szCs w:val="22"/>
          <w:lang w:val="fr-FR"/>
        </w:rPr>
        <w:t xml:space="preserve">. </w:t>
      </w:r>
    </w:p>
    <w:p w14:paraId="28664B9F" w14:textId="77777777" w:rsidR="003C65F8" w:rsidRPr="00A72965" w:rsidRDefault="003C65F8" w:rsidP="00BA154F">
      <w:pPr>
        <w:jc w:val="both"/>
        <w:rPr>
          <w:szCs w:val="22"/>
          <w:lang w:val="fr-FR"/>
        </w:rPr>
      </w:pPr>
    </w:p>
    <w:p w14:paraId="776FE987" w14:textId="77777777" w:rsidR="003C65F8" w:rsidRPr="00A72965" w:rsidRDefault="003C65F8" w:rsidP="00BA154F">
      <w:pPr>
        <w:jc w:val="both"/>
        <w:rPr>
          <w:szCs w:val="22"/>
          <w:lang w:val="fr-FR"/>
        </w:rPr>
      </w:pPr>
      <w:r w:rsidRPr="00A72965">
        <w:rPr>
          <w:szCs w:val="22"/>
          <w:lang w:val="fr-FR"/>
        </w:rPr>
        <w:t xml:space="preserve">260. Le </w:t>
      </w:r>
      <w:r w:rsidRPr="00A72965">
        <w:rPr>
          <w:b/>
          <w:szCs w:val="22"/>
          <w:lang w:val="fr-FR"/>
        </w:rPr>
        <w:t>Président</w:t>
      </w:r>
      <w:r w:rsidRPr="00A72965">
        <w:rPr>
          <w:szCs w:val="22"/>
          <w:lang w:val="fr-FR"/>
        </w:rPr>
        <w:t xml:space="preserve"> a noté que cet avant-projet de résolution avait été examiné par le WG1 et a invité les participants à faire part de leurs commentaires. Personne n’ayant d’observation à faire, à l’invitation du Président, la réunion a adopté le DR5 </w:t>
      </w:r>
      <w:proofErr w:type="spellStart"/>
      <w:r w:rsidRPr="00A72965">
        <w:rPr>
          <w:szCs w:val="22"/>
          <w:lang w:val="fr-FR"/>
        </w:rPr>
        <w:t>Rév</w:t>
      </w:r>
      <w:proofErr w:type="spellEnd"/>
      <w:r w:rsidRPr="00A72965">
        <w:rPr>
          <w:szCs w:val="22"/>
          <w:lang w:val="fr-FR"/>
        </w:rPr>
        <w:t>. 2 par consensus, sans autre amendement.</w:t>
      </w:r>
    </w:p>
    <w:p w14:paraId="1B5EC6EC" w14:textId="77777777" w:rsidR="003C65F8" w:rsidRPr="00A72965" w:rsidRDefault="003C65F8" w:rsidP="00BA154F">
      <w:pPr>
        <w:jc w:val="both"/>
        <w:rPr>
          <w:szCs w:val="22"/>
          <w:lang w:val="fr-FR"/>
        </w:rPr>
      </w:pPr>
    </w:p>
    <w:p w14:paraId="1E020E59" w14:textId="77777777" w:rsidR="003C65F8" w:rsidRPr="00A72965" w:rsidRDefault="003C65F8" w:rsidP="00BA154F">
      <w:pPr>
        <w:jc w:val="both"/>
        <w:rPr>
          <w:b/>
          <w:bCs/>
          <w:szCs w:val="22"/>
          <w:lang w:val="fr-FR"/>
        </w:rPr>
      </w:pPr>
      <w:r w:rsidRPr="00A72965">
        <w:rPr>
          <w:b/>
          <w:szCs w:val="22"/>
          <w:lang w:val="fr-FR"/>
        </w:rPr>
        <w:t xml:space="preserve">DR6 </w:t>
      </w:r>
      <w:proofErr w:type="spellStart"/>
      <w:r w:rsidRPr="00A72965">
        <w:rPr>
          <w:b/>
          <w:szCs w:val="22"/>
          <w:lang w:val="fr-FR"/>
        </w:rPr>
        <w:t>Rév</w:t>
      </w:r>
      <w:proofErr w:type="spellEnd"/>
      <w:r w:rsidRPr="00A72965">
        <w:rPr>
          <w:b/>
          <w:szCs w:val="22"/>
          <w:lang w:val="fr-FR"/>
        </w:rPr>
        <w:t xml:space="preserve">. 4 </w:t>
      </w:r>
      <w:r w:rsidRPr="00A72965">
        <w:rPr>
          <w:b/>
          <w:bCs/>
          <w:i/>
          <w:szCs w:val="22"/>
          <w:lang w:val="fr-FR"/>
        </w:rPr>
        <w:t>Adoption des amendements au Plan d’Action de l’AEWA</w:t>
      </w:r>
      <w:r w:rsidRPr="00A72965">
        <w:rPr>
          <w:b/>
          <w:bCs/>
          <w:szCs w:val="22"/>
          <w:lang w:val="fr-FR"/>
        </w:rPr>
        <w:t xml:space="preserve">. </w:t>
      </w:r>
    </w:p>
    <w:p w14:paraId="4FED322A" w14:textId="77777777" w:rsidR="003C65F8" w:rsidRPr="00A72965" w:rsidRDefault="003C65F8" w:rsidP="00BA154F">
      <w:pPr>
        <w:jc w:val="both"/>
        <w:rPr>
          <w:bCs/>
          <w:szCs w:val="22"/>
          <w:lang w:val="fr-FR"/>
        </w:rPr>
      </w:pPr>
    </w:p>
    <w:p w14:paraId="59AA5A2F" w14:textId="77777777" w:rsidR="003C65F8" w:rsidRPr="00A72965" w:rsidRDefault="003C65F8" w:rsidP="00BA154F">
      <w:pPr>
        <w:jc w:val="both"/>
        <w:rPr>
          <w:szCs w:val="22"/>
          <w:lang w:val="fr-FR"/>
        </w:rPr>
      </w:pPr>
      <w:r w:rsidRPr="00A72965">
        <w:rPr>
          <w:szCs w:val="22"/>
          <w:lang w:val="fr-FR"/>
        </w:rPr>
        <w:t xml:space="preserve">261. Le </w:t>
      </w:r>
      <w:r w:rsidRPr="00A72965">
        <w:rPr>
          <w:b/>
          <w:szCs w:val="22"/>
          <w:lang w:val="fr-FR"/>
        </w:rPr>
        <w:t>Président</w:t>
      </w:r>
      <w:r w:rsidRPr="00A72965">
        <w:rPr>
          <w:szCs w:val="22"/>
          <w:lang w:val="fr-FR"/>
        </w:rPr>
        <w:t xml:space="preserve"> a noté que cet avant-projet de résolution avait été examiné par le WG1 et a invité les participants à faire part de leurs commentaires. </w:t>
      </w:r>
    </w:p>
    <w:p w14:paraId="7752B09C" w14:textId="77777777" w:rsidR="003C65F8" w:rsidRPr="00A72965" w:rsidRDefault="003C65F8" w:rsidP="00BA154F">
      <w:pPr>
        <w:jc w:val="both"/>
        <w:rPr>
          <w:szCs w:val="22"/>
          <w:lang w:val="fr-FR"/>
        </w:rPr>
      </w:pPr>
    </w:p>
    <w:p w14:paraId="3A4E5452" w14:textId="4A698A16" w:rsidR="003C65F8" w:rsidRPr="00A72965" w:rsidRDefault="003C65F8" w:rsidP="00BA154F">
      <w:pPr>
        <w:jc w:val="both"/>
        <w:rPr>
          <w:szCs w:val="22"/>
          <w:lang w:val="fr-FR"/>
        </w:rPr>
      </w:pPr>
      <w:r w:rsidRPr="00A72965">
        <w:rPr>
          <w:szCs w:val="22"/>
          <w:lang w:val="fr-FR"/>
        </w:rPr>
        <w:t>262. Le</w:t>
      </w:r>
      <w:r w:rsidRPr="00A72965">
        <w:rPr>
          <w:b/>
          <w:szCs w:val="22"/>
          <w:lang w:val="fr-FR"/>
        </w:rPr>
        <w:t xml:space="preserve"> Royaume-Uni</w:t>
      </w:r>
      <w:r w:rsidRPr="00A72965">
        <w:rPr>
          <w:szCs w:val="22"/>
          <w:lang w:val="fr-FR"/>
        </w:rPr>
        <w:t>, s’exprimant au nom de l’</w:t>
      </w:r>
      <w:r w:rsidRPr="00A72965">
        <w:rPr>
          <w:b/>
          <w:szCs w:val="22"/>
          <w:lang w:val="fr-FR"/>
        </w:rPr>
        <w:t>U</w:t>
      </w:r>
      <w:r w:rsidR="00FD2552">
        <w:rPr>
          <w:b/>
          <w:szCs w:val="22"/>
          <w:lang w:val="fr-FR"/>
        </w:rPr>
        <w:t>nion européenne</w:t>
      </w:r>
      <w:r w:rsidRPr="00A72965">
        <w:rPr>
          <w:b/>
          <w:szCs w:val="22"/>
          <w:lang w:val="fr-FR"/>
        </w:rPr>
        <w:t xml:space="preserve"> et de ses États membres</w:t>
      </w:r>
      <w:r w:rsidRPr="00A72965">
        <w:rPr>
          <w:szCs w:val="22"/>
          <w:lang w:val="fr-FR"/>
        </w:rPr>
        <w:t>, a présenté les amendements au dernier paragraphe du préambule et au paragraphe 4, introduisant  « </w:t>
      </w:r>
      <w:proofErr w:type="spellStart"/>
      <w:r w:rsidRPr="00A72965">
        <w:rPr>
          <w:szCs w:val="22"/>
          <w:lang w:val="fr-FR"/>
        </w:rPr>
        <w:t>Curlis</w:t>
      </w:r>
      <w:proofErr w:type="spellEnd"/>
      <w:r w:rsidRPr="00A72965">
        <w:rPr>
          <w:szCs w:val="22"/>
          <w:lang w:val="fr-FR"/>
        </w:rPr>
        <w:t xml:space="preserve"> cendré </w:t>
      </w:r>
      <w:r w:rsidRPr="00A72965">
        <w:rPr>
          <w:i/>
          <w:szCs w:val="22"/>
          <w:lang w:val="fr-FR"/>
        </w:rPr>
        <w:t xml:space="preserve">Numenius </w:t>
      </w:r>
      <w:proofErr w:type="spellStart"/>
      <w:r w:rsidRPr="00A72965">
        <w:rPr>
          <w:i/>
          <w:szCs w:val="22"/>
          <w:lang w:val="fr-FR"/>
        </w:rPr>
        <w:t>arquata</w:t>
      </w:r>
      <w:proofErr w:type="spellEnd"/>
      <w:r w:rsidRPr="00A72965">
        <w:rPr>
          <w:i/>
          <w:szCs w:val="22"/>
          <w:lang w:val="fr-FR"/>
        </w:rPr>
        <w:t> »</w:t>
      </w:r>
      <w:r w:rsidRPr="00A72965">
        <w:rPr>
          <w:szCs w:val="22"/>
          <w:lang w:val="fr-FR"/>
        </w:rPr>
        <w:t xml:space="preserve"> juste avant  « </w:t>
      </w:r>
      <w:proofErr w:type="spellStart"/>
      <w:r w:rsidRPr="00A72965">
        <w:rPr>
          <w:szCs w:val="22"/>
          <w:lang w:val="fr-FR"/>
        </w:rPr>
        <w:t>Harelde</w:t>
      </w:r>
      <w:proofErr w:type="spellEnd"/>
      <w:r w:rsidRPr="00A72965">
        <w:rPr>
          <w:szCs w:val="22"/>
          <w:lang w:val="fr-FR"/>
        </w:rPr>
        <w:t xml:space="preserve"> boréale </w:t>
      </w:r>
      <w:proofErr w:type="spellStart"/>
      <w:r w:rsidRPr="00A72965">
        <w:rPr>
          <w:i/>
          <w:szCs w:val="22"/>
          <w:lang w:val="fr-FR"/>
        </w:rPr>
        <w:t>Clangula</w:t>
      </w:r>
      <w:proofErr w:type="spellEnd"/>
      <w:r w:rsidRPr="00A72965">
        <w:rPr>
          <w:i/>
          <w:szCs w:val="22"/>
          <w:lang w:val="fr-FR"/>
        </w:rPr>
        <w:t xml:space="preserve"> </w:t>
      </w:r>
      <w:proofErr w:type="spellStart"/>
      <w:r w:rsidRPr="00A72965">
        <w:rPr>
          <w:i/>
          <w:szCs w:val="22"/>
          <w:lang w:val="fr-FR"/>
        </w:rPr>
        <w:t>hyemalis</w:t>
      </w:r>
      <w:proofErr w:type="spellEnd"/>
      <w:r w:rsidRPr="00A72965">
        <w:rPr>
          <w:i/>
          <w:szCs w:val="22"/>
          <w:lang w:val="fr-FR"/>
        </w:rPr>
        <w:t> »</w:t>
      </w:r>
      <w:r w:rsidRPr="00A72965">
        <w:rPr>
          <w:szCs w:val="22"/>
          <w:lang w:val="fr-FR"/>
        </w:rPr>
        <w:t>.</w:t>
      </w:r>
    </w:p>
    <w:p w14:paraId="6A05AD2C" w14:textId="77777777" w:rsidR="003C65F8" w:rsidRPr="00A72965" w:rsidRDefault="003C65F8" w:rsidP="00BA154F">
      <w:pPr>
        <w:jc w:val="both"/>
        <w:rPr>
          <w:szCs w:val="22"/>
          <w:lang w:val="fr-FR"/>
        </w:rPr>
      </w:pPr>
    </w:p>
    <w:p w14:paraId="76D15396" w14:textId="517D5F08" w:rsidR="003C65F8" w:rsidRPr="00A72965" w:rsidRDefault="003C65F8" w:rsidP="00BA154F">
      <w:pPr>
        <w:jc w:val="both"/>
        <w:rPr>
          <w:szCs w:val="22"/>
          <w:lang w:val="fr-FR"/>
        </w:rPr>
      </w:pPr>
      <w:r w:rsidRPr="00A72965">
        <w:rPr>
          <w:szCs w:val="22"/>
          <w:lang w:val="fr-FR"/>
        </w:rPr>
        <w:t xml:space="preserve">263. La </w:t>
      </w:r>
      <w:r w:rsidRPr="00A72965">
        <w:rPr>
          <w:b/>
          <w:szCs w:val="22"/>
          <w:lang w:val="fr-FR"/>
        </w:rPr>
        <w:t>C</w:t>
      </w:r>
      <w:r w:rsidR="00FD2552">
        <w:rPr>
          <w:b/>
          <w:szCs w:val="22"/>
          <w:lang w:val="fr-FR"/>
        </w:rPr>
        <w:t>ommission européenne (CE)</w:t>
      </w:r>
      <w:r w:rsidRPr="00A72965">
        <w:rPr>
          <w:szCs w:val="22"/>
          <w:lang w:val="fr-FR"/>
        </w:rPr>
        <w:t>,</w:t>
      </w:r>
      <w:r w:rsidRPr="00A72965">
        <w:rPr>
          <w:b/>
          <w:szCs w:val="22"/>
          <w:lang w:val="fr-FR"/>
        </w:rPr>
        <w:t xml:space="preserve"> </w:t>
      </w:r>
      <w:r w:rsidRPr="00A72965">
        <w:rPr>
          <w:szCs w:val="22"/>
          <w:lang w:val="fr-FR"/>
        </w:rPr>
        <w:t>parlant au nom de l’</w:t>
      </w:r>
      <w:r w:rsidRPr="00A72965">
        <w:rPr>
          <w:b/>
          <w:szCs w:val="22"/>
          <w:lang w:val="fr-FR"/>
        </w:rPr>
        <w:t>U</w:t>
      </w:r>
      <w:r w:rsidR="00FD2552">
        <w:rPr>
          <w:b/>
          <w:szCs w:val="22"/>
          <w:lang w:val="fr-FR"/>
        </w:rPr>
        <w:t>nion européenne</w:t>
      </w:r>
      <w:r w:rsidRPr="00A72965">
        <w:rPr>
          <w:b/>
          <w:szCs w:val="22"/>
          <w:lang w:val="fr-FR"/>
        </w:rPr>
        <w:t xml:space="preserve"> et de ses États membres</w:t>
      </w:r>
      <w:r w:rsidRPr="00A72965">
        <w:rPr>
          <w:szCs w:val="22"/>
          <w:lang w:val="fr-FR"/>
        </w:rPr>
        <w:t>,</w:t>
      </w:r>
      <w:r w:rsidRPr="00A72965">
        <w:rPr>
          <w:b/>
          <w:szCs w:val="22"/>
          <w:lang w:val="fr-FR"/>
        </w:rPr>
        <w:t xml:space="preserve"> </w:t>
      </w:r>
      <w:r w:rsidRPr="00A72965">
        <w:rPr>
          <w:szCs w:val="22"/>
          <w:lang w:val="fr-FR"/>
        </w:rPr>
        <w:t>a fait la déclaration suivante à consigner :</w:t>
      </w:r>
    </w:p>
    <w:p w14:paraId="5780A331" w14:textId="77777777" w:rsidR="003C65F8" w:rsidRPr="00A72965" w:rsidRDefault="003C65F8" w:rsidP="00BA154F">
      <w:pPr>
        <w:jc w:val="both"/>
        <w:rPr>
          <w:szCs w:val="22"/>
          <w:lang w:val="fr-FR"/>
        </w:rPr>
      </w:pPr>
    </w:p>
    <w:p w14:paraId="7D0178D2" w14:textId="77777777" w:rsidR="003C65F8" w:rsidRPr="00A72965" w:rsidRDefault="003C65F8" w:rsidP="00BA154F">
      <w:pPr>
        <w:jc w:val="both"/>
        <w:rPr>
          <w:i/>
          <w:szCs w:val="22"/>
          <w:lang w:val="fr-FR"/>
        </w:rPr>
      </w:pPr>
      <w:r w:rsidRPr="00A72965">
        <w:rPr>
          <w:szCs w:val="22"/>
          <w:lang w:val="fr-FR"/>
        </w:rPr>
        <w:t>« </w:t>
      </w:r>
      <w:r w:rsidRPr="00A72965">
        <w:rPr>
          <w:i/>
          <w:szCs w:val="22"/>
          <w:lang w:val="fr-FR"/>
        </w:rPr>
        <w:t xml:space="preserve">L’UE soutient totalement les amendements à l’état des populations d’oiseaux d’eau migrateurs du Tableau 1 du Plan d’action de l’AEWA. </w:t>
      </w:r>
    </w:p>
    <w:p w14:paraId="3C851151" w14:textId="77777777" w:rsidR="003C65F8" w:rsidRPr="00A72965" w:rsidRDefault="003C65F8" w:rsidP="00BA154F">
      <w:pPr>
        <w:jc w:val="both"/>
        <w:rPr>
          <w:i/>
          <w:szCs w:val="22"/>
          <w:lang w:val="fr-FR"/>
        </w:rPr>
      </w:pPr>
    </w:p>
    <w:p w14:paraId="57F62206" w14:textId="77777777" w:rsidR="003C65F8" w:rsidRPr="00A72965" w:rsidRDefault="003C65F8" w:rsidP="00BA154F">
      <w:pPr>
        <w:jc w:val="both"/>
        <w:rPr>
          <w:i/>
          <w:szCs w:val="22"/>
          <w:lang w:val="fr-FR"/>
        </w:rPr>
      </w:pPr>
      <w:r w:rsidRPr="00A72965">
        <w:rPr>
          <w:i/>
          <w:szCs w:val="22"/>
          <w:lang w:val="fr-FR"/>
        </w:rPr>
        <w:t>Conformément à ces amendements, les populations d’</w:t>
      </w:r>
      <w:r w:rsidRPr="00A72965">
        <w:rPr>
          <w:szCs w:val="22"/>
          <w:lang w:val="fr-FR"/>
        </w:rPr>
        <w:t xml:space="preserve">Anser </w:t>
      </w:r>
      <w:proofErr w:type="spellStart"/>
      <w:r w:rsidRPr="00A72965">
        <w:rPr>
          <w:szCs w:val="22"/>
          <w:lang w:val="fr-FR"/>
        </w:rPr>
        <w:t>fabalis</w:t>
      </w:r>
      <w:proofErr w:type="spellEnd"/>
      <w:r w:rsidRPr="00A72965">
        <w:rPr>
          <w:szCs w:val="22"/>
          <w:lang w:val="fr-FR"/>
        </w:rPr>
        <w:t xml:space="preserve"> </w:t>
      </w:r>
      <w:proofErr w:type="spellStart"/>
      <w:r w:rsidRPr="00A72965">
        <w:rPr>
          <w:szCs w:val="22"/>
          <w:lang w:val="fr-FR"/>
        </w:rPr>
        <w:t>fabalis</w:t>
      </w:r>
      <w:proofErr w:type="spellEnd"/>
      <w:r w:rsidRPr="00A72965">
        <w:rPr>
          <w:szCs w:val="22"/>
          <w:lang w:val="fr-FR"/>
        </w:rPr>
        <w:t xml:space="preserve"> </w:t>
      </w:r>
      <w:r w:rsidRPr="00A72965">
        <w:rPr>
          <w:i/>
          <w:szCs w:val="22"/>
          <w:lang w:val="fr-FR"/>
        </w:rPr>
        <w:t xml:space="preserve">et de </w:t>
      </w:r>
      <w:proofErr w:type="spellStart"/>
      <w:r w:rsidRPr="00A72965">
        <w:rPr>
          <w:szCs w:val="22"/>
          <w:lang w:val="fr-FR"/>
        </w:rPr>
        <w:t>Larus</w:t>
      </w:r>
      <w:proofErr w:type="spellEnd"/>
      <w:r w:rsidRPr="00A72965">
        <w:rPr>
          <w:szCs w:val="22"/>
          <w:lang w:val="fr-FR"/>
        </w:rPr>
        <w:t xml:space="preserve"> </w:t>
      </w:r>
      <w:proofErr w:type="spellStart"/>
      <w:r w:rsidRPr="00A72965">
        <w:rPr>
          <w:szCs w:val="22"/>
          <w:lang w:val="fr-FR"/>
        </w:rPr>
        <w:t>fuscus</w:t>
      </w:r>
      <w:proofErr w:type="spellEnd"/>
      <w:r w:rsidRPr="00A72965">
        <w:rPr>
          <w:szCs w:val="22"/>
          <w:lang w:val="fr-FR"/>
        </w:rPr>
        <w:t xml:space="preserve"> </w:t>
      </w:r>
      <w:proofErr w:type="spellStart"/>
      <w:r w:rsidRPr="00A72965">
        <w:rPr>
          <w:szCs w:val="22"/>
          <w:lang w:val="fr-FR"/>
        </w:rPr>
        <w:t>fuscus</w:t>
      </w:r>
      <w:proofErr w:type="spellEnd"/>
      <w:r w:rsidRPr="00A72965">
        <w:rPr>
          <w:i/>
          <w:szCs w:val="22"/>
          <w:lang w:val="fr-FR"/>
        </w:rPr>
        <w:t xml:space="preserve"> passeront dans une catégorie supérieure et nécessiteront la protection prévue dans le Plan d’action de l’AEWA. </w:t>
      </w:r>
    </w:p>
    <w:p w14:paraId="1884129B" w14:textId="77777777" w:rsidR="003C65F8" w:rsidRPr="00A72965" w:rsidRDefault="003C65F8" w:rsidP="00BA154F">
      <w:pPr>
        <w:jc w:val="both"/>
        <w:rPr>
          <w:i/>
          <w:szCs w:val="22"/>
          <w:lang w:val="fr-FR"/>
        </w:rPr>
      </w:pPr>
    </w:p>
    <w:p w14:paraId="1DCA704B" w14:textId="77777777" w:rsidR="003C65F8" w:rsidRPr="00A72965" w:rsidRDefault="003C65F8" w:rsidP="00BA154F">
      <w:pPr>
        <w:jc w:val="both"/>
        <w:rPr>
          <w:i/>
          <w:szCs w:val="22"/>
          <w:lang w:val="fr-FR"/>
        </w:rPr>
      </w:pPr>
      <w:r w:rsidRPr="00A72965">
        <w:rPr>
          <w:i/>
          <w:szCs w:val="22"/>
          <w:lang w:val="fr-FR"/>
        </w:rPr>
        <w:t>Ces espèces sont mentionnées dans la Directive Oiseaux de l’UE comme étant des espèces dont la chasse est autorisée.  À ce stade, l’alignement parfait de la législation européenne sur les engagements internationaux représente un processus interne complexe au sein de l’UE.</w:t>
      </w:r>
    </w:p>
    <w:p w14:paraId="7A42B89F" w14:textId="77777777" w:rsidR="003C65F8" w:rsidRPr="00A72965" w:rsidRDefault="003C65F8" w:rsidP="00BA154F">
      <w:pPr>
        <w:jc w:val="both"/>
        <w:rPr>
          <w:i/>
          <w:szCs w:val="22"/>
          <w:lang w:val="fr-FR"/>
        </w:rPr>
      </w:pPr>
    </w:p>
    <w:p w14:paraId="6CB1A19F" w14:textId="477D1389" w:rsidR="003C65F8" w:rsidRPr="00A72965" w:rsidRDefault="003C65F8" w:rsidP="00BA154F">
      <w:pPr>
        <w:jc w:val="both"/>
        <w:rPr>
          <w:szCs w:val="22"/>
          <w:lang w:val="fr-FR"/>
        </w:rPr>
      </w:pPr>
      <w:r w:rsidRPr="00A72965">
        <w:rPr>
          <w:i/>
          <w:szCs w:val="22"/>
          <w:lang w:val="fr-FR"/>
        </w:rPr>
        <w:t>Nous aimerions donc indiquer que, en ce qui concerne ces deux populations, il pourrait être nécessaire de prévoir une réserve pour l’UE pendant un</w:t>
      </w:r>
      <w:r w:rsidR="00FD2552">
        <w:rPr>
          <w:i/>
          <w:szCs w:val="22"/>
          <w:lang w:val="fr-FR"/>
        </w:rPr>
        <w:t>e</w:t>
      </w:r>
      <w:r w:rsidRPr="00A72965">
        <w:rPr>
          <w:i/>
          <w:szCs w:val="22"/>
          <w:lang w:val="fr-FR"/>
        </w:rPr>
        <w:t xml:space="preserve"> période de quatre-vingt-dix jours après la MOP5, conformément au paragraphe 6 de </w:t>
      </w:r>
      <w:proofErr w:type="gramStart"/>
      <w:r w:rsidRPr="00A72965">
        <w:rPr>
          <w:i/>
          <w:szCs w:val="22"/>
          <w:lang w:val="fr-FR"/>
        </w:rPr>
        <w:t>l’ Article</w:t>
      </w:r>
      <w:proofErr w:type="gramEnd"/>
      <w:r w:rsidRPr="00A72965">
        <w:rPr>
          <w:i/>
          <w:szCs w:val="22"/>
          <w:lang w:val="fr-FR"/>
        </w:rPr>
        <w:t xml:space="preserve"> X de l’Accord. Dans ce cas, cette réserve sera supprimée dès que toutes les dispositions auront été  prises</w:t>
      </w:r>
      <w:r w:rsidRPr="00A72965">
        <w:rPr>
          <w:szCs w:val="22"/>
          <w:lang w:val="fr-FR"/>
        </w:rPr>
        <w:t>. »</w:t>
      </w:r>
    </w:p>
    <w:p w14:paraId="75924652" w14:textId="77777777" w:rsidR="003C65F8" w:rsidRPr="00A72965" w:rsidRDefault="003C65F8" w:rsidP="00BA154F">
      <w:pPr>
        <w:jc w:val="both"/>
        <w:rPr>
          <w:szCs w:val="22"/>
          <w:lang w:val="fr-FR"/>
        </w:rPr>
      </w:pPr>
    </w:p>
    <w:p w14:paraId="07A0B7D8" w14:textId="45E085E4" w:rsidR="003C65F8" w:rsidRPr="00A72965" w:rsidRDefault="003C65F8" w:rsidP="00BA154F">
      <w:pPr>
        <w:jc w:val="both"/>
        <w:rPr>
          <w:szCs w:val="22"/>
          <w:lang w:val="fr-FR"/>
        </w:rPr>
      </w:pPr>
      <w:r w:rsidRPr="00A72965">
        <w:rPr>
          <w:szCs w:val="22"/>
          <w:lang w:val="fr-FR"/>
        </w:rPr>
        <w:t xml:space="preserve">264. Se référant au paragraphe 2.1.2 (b) du Plan d’action joint en annexe au DR6 </w:t>
      </w:r>
      <w:proofErr w:type="spellStart"/>
      <w:r w:rsidRPr="00A72965">
        <w:rPr>
          <w:szCs w:val="22"/>
          <w:lang w:val="fr-FR"/>
        </w:rPr>
        <w:t>Rév</w:t>
      </w:r>
      <w:proofErr w:type="spellEnd"/>
      <w:r w:rsidRPr="00A72965">
        <w:rPr>
          <w:szCs w:val="22"/>
          <w:lang w:val="fr-FR"/>
        </w:rPr>
        <w:t xml:space="preserve">. 4, le représentant de la </w:t>
      </w:r>
      <w:r w:rsidRPr="00A72965">
        <w:rPr>
          <w:b/>
          <w:szCs w:val="22"/>
          <w:lang w:val="fr-FR"/>
        </w:rPr>
        <w:t>CE</w:t>
      </w:r>
      <w:r w:rsidRPr="00A72965">
        <w:rPr>
          <w:szCs w:val="22"/>
          <w:lang w:val="fr-FR"/>
        </w:rPr>
        <w:t>, s’exprimant au nom de l’</w:t>
      </w:r>
      <w:r w:rsidRPr="00A72965">
        <w:rPr>
          <w:b/>
          <w:szCs w:val="22"/>
          <w:lang w:val="fr-FR"/>
        </w:rPr>
        <w:t>U</w:t>
      </w:r>
      <w:r w:rsidR="00FD2552">
        <w:rPr>
          <w:b/>
          <w:szCs w:val="22"/>
          <w:lang w:val="fr-FR"/>
        </w:rPr>
        <w:t>nion européenne</w:t>
      </w:r>
      <w:r w:rsidRPr="00A72965">
        <w:rPr>
          <w:b/>
          <w:szCs w:val="22"/>
          <w:lang w:val="fr-FR"/>
        </w:rPr>
        <w:t xml:space="preserve"> et de ses États membres</w:t>
      </w:r>
      <w:r w:rsidRPr="00A72965">
        <w:rPr>
          <w:szCs w:val="22"/>
          <w:lang w:val="fr-FR"/>
        </w:rPr>
        <w:t>, a fait la déclaration suivante à consigner :</w:t>
      </w:r>
    </w:p>
    <w:p w14:paraId="5AD39564" w14:textId="77777777" w:rsidR="003C65F8" w:rsidRPr="00A72965" w:rsidRDefault="003C65F8" w:rsidP="00BA154F">
      <w:pPr>
        <w:jc w:val="both"/>
        <w:rPr>
          <w:szCs w:val="22"/>
          <w:lang w:val="fr-FR"/>
        </w:rPr>
      </w:pPr>
      <w:r w:rsidRPr="00A72965">
        <w:rPr>
          <w:szCs w:val="22"/>
          <w:lang w:val="fr-FR"/>
        </w:rPr>
        <w:t>« </w:t>
      </w:r>
      <w:r w:rsidRPr="00A72965">
        <w:rPr>
          <w:i/>
          <w:szCs w:val="22"/>
          <w:lang w:val="fr-FR"/>
        </w:rPr>
        <w:t>L’UE et ses États membres ont fait part de leur inquiétude concernant le paragraphe portant sur les dérogations faites aux modes de prélèvement pour permettre l’utilisation pour des besoins de subsistance. Le mécanisme des dérogations ainsi mis en place semble fournir de nombreuses possibilités d’utilisation, même si elles ne s’appliquent que dans un contexte d’usage durable. Nous aurions préféré une autre formulation, mais ayant discuté des différentes options avec d’autres Parties, nous sommes disposés à admettre le consensus sur la proposition actuelle. Le texte de ce paragraphe se termine par « à condition que cette utilisation soit durable » sans précision supplémentaire. Nous estimons toutefois que les Parties devraient évaluer soigneusement dans quelle mesure elles useront de cette possibilité afin que celle-ci n’aboutisse pas à une utilisation généralisée des méthodes énumérées. »</w:t>
      </w:r>
    </w:p>
    <w:p w14:paraId="02170D0D" w14:textId="77777777" w:rsidR="003C65F8" w:rsidRPr="00A72965" w:rsidRDefault="003C65F8" w:rsidP="00BA154F">
      <w:pPr>
        <w:jc w:val="both"/>
        <w:rPr>
          <w:szCs w:val="22"/>
          <w:lang w:val="fr-FR"/>
        </w:rPr>
      </w:pPr>
    </w:p>
    <w:p w14:paraId="495C5888" w14:textId="1F86C78F" w:rsidR="003C65F8" w:rsidRPr="00A72965" w:rsidRDefault="003C65F8" w:rsidP="00BA154F">
      <w:pPr>
        <w:jc w:val="both"/>
        <w:rPr>
          <w:szCs w:val="22"/>
          <w:lang w:val="fr-FR"/>
        </w:rPr>
      </w:pPr>
      <w:r w:rsidRPr="00A72965">
        <w:rPr>
          <w:szCs w:val="22"/>
          <w:lang w:val="fr-FR"/>
        </w:rPr>
        <w:t xml:space="preserve">265. La </w:t>
      </w:r>
      <w:r w:rsidRPr="00A72965">
        <w:rPr>
          <w:b/>
          <w:szCs w:val="22"/>
          <w:lang w:val="fr-FR"/>
        </w:rPr>
        <w:t xml:space="preserve">Présidente du Comité technique </w:t>
      </w:r>
      <w:r w:rsidRPr="00A72965">
        <w:rPr>
          <w:szCs w:val="22"/>
          <w:lang w:val="fr-FR"/>
        </w:rPr>
        <w:t xml:space="preserve">(Mme Jelena </w:t>
      </w:r>
      <w:proofErr w:type="spellStart"/>
      <w:r w:rsidRPr="00A72965">
        <w:rPr>
          <w:szCs w:val="22"/>
          <w:lang w:val="fr-FR"/>
        </w:rPr>
        <w:t>Kral</w:t>
      </w:r>
      <w:r w:rsidR="00DF63CD">
        <w:rPr>
          <w:szCs w:val="22"/>
          <w:lang w:val="fr-FR"/>
        </w:rPr>
        <w:t>j</w:t>
      </w:r>
      <w:proofErr w:type="spellEnd"/>
      <w:r w:rsidRPr="00A72965">
        <w:rPr>
          <w:szCs w:val="22"/>
          <w:lang w:val="fr-FR"/>
        </w:rPr>
        <w:t>)</w:t>
      </w:r>
      <w:r w:rsidRPr="00A72965">
        <w:rPr>
          <w:b/>
          <w:szCs w:val="22"/>
          <w:lang w:val="fr-FR"/>
        </w:rPr>
        <w:t xml:space="preserve"> </w:t>
      </w:r>
      <w:r w:rsidRPr="00A72965">
        <w:rPr>
          <w:szCs w:val="22"/>
          <w:lang w:val="fr-FR"/>
        </w:rPr>
        <w:t>a attiré l’attention sur une petite correction rédactionnelle nécessaire à la première ligne de la</w:t>
      </w:r>
      <w:r w:rsidRPr="00A72965">
        <w:rPr>
          <w:b/>
          <w:szCs w:val="22"/>
          <w:lang w:val="fr-FR"/>
        </w:rPr>
        <w:t xml:space="preserve"> </w:t>
      </w:r>
      <w:r w:rsidRPr="00A72965">
        <w:rPr>
          <w:szCs w:val="22"/>
          <w:lang w:val="fr-FR"/>
        </w:rPr>
        <w:t>section 2.1.3 du Plan d’action.</w:t>
      </w:r>
    </w:p>
    <w:p w14:paraId="76BD24B5" w14:textId="77777777" w:rsidR="003C65F8" w:rsidRPr="00A72965" w:rsidRDefault="003C65F8" w:rsidP="00BA154F">
      <w:pPr>
        <w:jc w:val="both"/>
        <w:rPr>
          <w:szCs w:val="22"/>
          <w:lang w:val="fr-FR"/>
        </w:rPr>
      </w:pPr>
    </w:p>
    <w:p w14:paraId="513639A6" w14:textId="64883580" w:rsidR="003C65F8" w:rsidRPr="00A72965" w:rsidRDefault="003C65F8" w:rsidP="00BA154F">
      <w:pPr>
        <w:jc w:val="both"/>
        <w:rPr>
          <w:szCs w:val="22"/>
          <w:lang w:val="fr-FR"/>
        </w:rPr>
      </w:pPr>
      <w:r w:rsidRPr="00A72965">
        <w:rPr>
          <w:szCs w:val="22"/>
          <w:lang w:val="fr-FR"/>
        </w:rPr>
        <w:t xml:space="preserve">266. Comme plus personne n’avait rien à ajouter, à l’invitation du Président, la réunion a approuvé le DR6 </w:t>
      </w:r>
      <w:proofErr w:type="spellStart"/>
      <w:r w:rsidRPr="00A72965">
        <w:rPr>
          <w:szCs w:val="22"/>
          <w:lang w:val="fr-FR"/>
        </w:rPr>
        <w:t>Rév</w:t>
      </w:r>
      <w:proofErr w:type="spellEnd"/>
      <w:r w:rsidRPr="00A72965">
        <w:rPr>
          <w:szCs w:val="22"/>
          <w:lang w:val="fr-FR"/>
        </w:rPr>
        <w:t>. 4, sous réserve de l’incorporation des amendements présentés par le Royaume-Uni (au nom de l’U</w:t>
      </w:r>
      <w:r w:rsidR="00FD2552">
        <w:rPr>
          <w:szCs w:val="22"/>
          <w:lang w:val="fr-FR"/>
        </w:rPr>
        <w:t>nion européenne</w:t>
      </w:r>
      <w:r w:rsidRPr="00A72965">
        <w:rPr>
          <w:szCs w:val="22"/>
          <w:lang w:val="fr-FR"/>
        </w:rPr>
        <w:t xml:space="preserve"> et de ses États membres) et en prenant note des déclarations faites par le représentant de la CE (au nom de l’UE et de ses États membres).</w:t>
      </w:r>
    </w:p>
    <w:p w14:paraId="284E85EC" w14:textId="77777777" w:rsidR="003C65F8" w:rsidRPr="00A72965" w:rsidRDefault="003C65F8" w:rsidP="00BA154F">
      <w:pPr>
        <w:jc w:val="both"/>
        <w:rPr>
          <w:szCs w:val="22"/>
          <w:lang w:val="fr-FR"/>
        </w:rPr>
      </w:pPr>
    </w:p>
    <w:p w14:paraId="677488CC" w14:textId="191BB907" w:rsidR="003C65F8" w:rsidRPr="00A72965" w:rsidRDefault="003C65F8" w:rsidP="00BA154F">
      <w:pPr>
        <w:jc w:val="both"/>
        <w:rPr>
          <w:b/>
          <w:szCs w:val="22"/>
          <w:lang w:val="fr-FR"/>
        </w:rPr>
      </w:pPr>
      <w:r w:rsidRPr="00A72965">
        <w:rPr>
          <w:b/>
          <w:szCs w:val="22"/>
          <w:lang w:val="fr-FR"/>
        </w:rPr>
        <w:t xml:space="preserve">DR7 </w:t>
      </w:r>
      <w:proofErr w:type="spellStart"/>
      <w:r w:rsidRPr="00A72965">
        <w:rPr>
          <w:b/>
          <w:szCs w:val="22"/>
          <w:lang w:val="fr-FR"/>
        </w:rPr>
        <w:t>Rév</w:t>
      </w:r>
      <w:proofErr w:type="spellEnd"/>
      <w:r w:rsidRPr="00A72965">
        <w:rPr>
          <w:b/>
          <w:szCs w:val="22"/>
          <w:lang w:val="fr-FR"/>
        </w:rPr>
        <w:t xml:space="preserve">. 3 </w:t>
      </w:r>
      <w:r w:rsidRPr="00A72965">
        <w:rPr>
          <w:b/>
          <w:i/>
          <w:szCs w:val="22"/>
          <w:lang w:val="fr-FR"/>
        </w:rPr>
        <w:t>Adoption des amendements et de nouveaux conseils pour l’interprétation des termes utilisés dans le c</w:t>
      </w:r>
      <w:r w:rsidR="00FD2552">
        <w:rPr>
          <w:b/>
          <w:i/>
          <w:szCs w:val="22"/>
          <w:lang w:val="fr-FR"/>
        </w:rPr>
        <w:t>ontexte du Tableau 1 du Plan d’a</w:t>
      </w:r>
      <w:r w:rsidRPr="00A72965">
        <w:rPr>
          <w:b/>
          <w:i/>
          <w:szCs w:val="22"/>
          <w:lang w:val="fr-FR"/>
        </w:rPr>
        <w:t>ction de l’AEWA</w:t>
      </w:r>
      <w:r w:rsidRPr="00A72965">
        <w:rPr>
          <w:b/>
          <w:szCs w:val="22"/>
          <w:lang w:val="fr-FR"/>
        </w:rPr>
        <w:t xml:space="preserve">. </w:t>
      </w:r>
    </w:p>
    <w:p w14:paraId="7CB0E0AF" w14:textId="77777777" w:rsidR="003C65F8" w:rsidRPr="00A72965" w:rsidRDefault="003C65F8" w:rsidP="00BA154F">
      <w:pPr>
        <w:jc w:val="both"/>
        <w:rPr>
          <w:szCs w:val="22"/>
          <w:lang w:val="fr-FR"/>
        </w:rPr>
      </w:pPr>
    </w:p>
    <w:p w14:paraId="28A88CF7" w14:textId="77777777" w:rsidR="003C65F8" w:rsidRPr="00A72965" w:rsidRDefault="003C65F8" w:rsidP="00BA154F">
      <w:pPr>
        <w:jc w:val="both"/>
        <w:rPr>
          <w:szCs w:val="22"/>
          <w:lang w:val="fr-FR"/>
        </w:rPr>
      </w:pPr>
      <w:r w:rsidRPr="00A72965">
        <w:rPr>
          <w:szCs w:val="22"/>
          <w:lang w:val="fr-FR"/>
        </w:rPr>
        <w:t xml:space="preserve">267. Le </w:t>
      </w:r>
      <w:r w:rsidRPr="00A72965">
        <w:rPr>
          <w:b/>
          <w:szCs w:val="22"/>
          <w:lang w:val="fr-FR"/>
        </w:rPr>
        <w:t>Président</w:t>
      </w:r>
      <w:r w:rsidRPr="00A72965">
        <w:rPr>
          <w:szCs w:val="22"/>
          <w:lang w:val="fr-FR"/>
        </w:rPr>
        <w:t xml:space="preserve"> a noté que cet avant-projet de résolution avait été examiné par le WG1 et a invité les participants à faire part de leurs commentaires. Personne n’ayant d’observation à faire, à l’invitation du Président, la réunion a adopté le DR7 </w:t>
      </w:r>
      <w:proofErr w:type="spellStart"/>
      <w:r w:rsidRPr="00A72965">
        <w:rPr>
          <w:szCs w:val="22"/>
          <w:lang w:val="fr-FR"/>
        </w:rPr>
        <w:t>Rév</w:t>
      </w:r>
      <w:proofErr w:type="spellEnd"/>
      <w:r w:rsidRPr="00A72965">
        <w:rPr>
          <w:szCs w:val="22"/>
          <w:lang w:val="fr-FR"/>
        </w:rPr>
        <w:t>. 3 par consensus, sans autre amendement.</w:t>
      </w:r>
    </w:p>
    <w:p w14:paraId="6534AF14" w14:textId="77777777" w:rsidR="003C65F8" w:rsidRPr="00A72965" w:rsidRDefault="003C65F8" w:rsidP="00BA154F">
      <w:pPr>
        <w:jc w:val="both"/>
        <w:rPr>
          <w:szCs w:val="22"/>
          <w:lang w:val="fr-FR"/>
        </w:rPr>
      </w:pPr>
    </w:p>
    <w:p w14:paraId="312D79D1" w14:textId="77777777" w:rsidR="003C65F8" w:rsidRPr="00A72965" w:rsidRDefault="003C65F8" w:rsidP="00BA154F">
      <w:pPr>
        <w:jc w:val="both"/>
        <w:rPr>
          <w:b/>
          <w:szCs w:val="22"/>
          <w:lang w:val="fr-FR"/>
        </w:rPr>
      </w:pPr>
      <w:r w:rsidRPr="00A72965">
        <w:rPr>
          <w:b/>
          <w:szCs w:val="22"/>
          <w:lang w:val="fr-FR"/>
        </w:rPr>
        <w:t xml:space="preserve">DR8 </w:t>
      </w:r>
      <w:proofErr w:type="spellStart"/>
      <w:r w:rsidRPr="00A72965">
        <w:rPr>
          <w:b/>
          <w:szCs w:val="22"/>
          <w:lang w:val="fr-FR"/>
        </w:rPr>
        <w:t>Rév</w:t>
      </w:r>
      <w:proofErr w:type="spellEnd"/>
      <w:r w:rsidRPr="00A72965">
        <w:rPr>
          <w:b/>
          <w:szCs w:val="22"/>
          <w:lang w:val="fr-FR"/>
        </w:rPr>
        <w:t xml:space="preserve">. 1 </w:t>
      </w:r>
      <w:r w:rsidRPr="00A72965">
        <w:rPr>
          <w:b/>
          <w:i/>
          <w:szCs w:val="22"/>
          <w:lang w:val="fr-FR"/>
        </w:rPr>
        <w:t>Adoption et mise en œuvre des Plans d’action internationaux par espèce et des Plans de gestion des espèces</w:t>
      </w:r>
      <w:r w:rsidRPr="00A72965">
        <w:rPr>
          <w:b/>
          <w:szCs w:val="22"/>
          <w:lang w:val="fr-FR"/>
        </w:rPr>
        <w:t>.</w:t>
      </w:r>
    </w:p>
    <w:p w14:paraId="38A721D1" w14:textId="77777777" w:rsidR="003C65F8" w:rsidRPr="00A72965" w:rsidRDefault="003C65F8" w:rsidP="00BA154F">
      <w:pPr>
        <w:jc w:val="both"/>
        <w:rPr>
          <w:b/>
          <w:szCs w:val="22"/>
          <w:lang w:val="fr-FR"/>
        </w:rPr>
      </w:pPr>
      <w:r w:rsidRPr="00A72965">
        <w:rPr>
          <w:b/>
          <w:szCs w:val="22"/>
          <w:lang w:val="fr-FR"/>
        </w:rPr>
        <w:t xml:space="preserve"> </w:t>
      </w:r>
    </w:p>
    <w:p w14:paraId="7EC90F10" w14:textId="77777777" w:rsidR="003C65F8" w:rsidRPr="00A72965" w:rsidRDefault="003C65F8" w:rsidP="00BA154F">
      <w:pPr>
        <w:jc w:val="both"/>
        <w:rPr>
          <w:szCs w:val="22"/>
          <w:lang w:val="fr-FR"/>
        </w:rPr>
      </w:pPr>
      <w:r w:rsidRPr="00A72965">
        <w:rPr>
          <w:szCs w:val="22"/>
          <w:lang w:val="fr-FR"/>
        </w:rPr>
        <w:t xml:space="preserve">268. Le </w:t>
      </w:r>
      <w:r w:rsidRPr="00A72965">
        <w:rPr>
          <w:b/>
          <w:szCs w:val="22"/>
          <w:lang w:val="fr-FR"/>
        </w:rPr>
        <w:t>Président</w:t>
      </w:r>
      <w:r w:rsidRPr="00A72965">
        <w:rPr>
          <w:szCs w:val="22"/>
          <w:lang w:val="fr-FR"/>
        </w:rPr>
        <w:t xml:space="preserve"> a noté que cet avant-projet de résolution avait été examiné par le WG1 et il a invité l’assemblée à faire des commentaires.</w:t>
      </w:r>
    </w:p>
    <w:p w14:paraId="0253C53D" w14:textId="77777777" w:rsidR="003C65F8" w:rsidRPr="00A72965" w:rsidRDefault="003C65F8" w:rsidP="00BA154F">
      <w:pPr>
        <w:jc w:val="both"/>
        <w:rPr>
          <w:szCs w:val="22"/>
          <w:lang w:val="fr-FR"/>
        </w:rPr>
      </w:pPr>
    </w:p>
    <w:p w14:paraId="62C26257" w14:textId="27179395" w:rsidR="003C65F8" w:rsidRPr="00A72965" w:rsidRDefault="003C65F8" w:rsidP="00BA154F">
      <w:pPr>
        <w:jc w:val="both"/>
        <w:rPr>
          <w:szCs w:val="22"/>
          <w:lang w:val="fr-FR"/>
        </w:rPr>
      </w:pPr>
      <w:r w:rsidRPr="00A72965">
        <w:rPr>
          <w:szCs w:val="22"/>
          <w:lang w:val="fr-FR"/>
        </w:rPr>
        <w:t>269. Le</w:t>
      </w:r>
      <w:r w:rsidRPr="00A72965">
        <w:rPr>
          <w:b/>
          <w:szCs w:val="22"/>
          <w:lang w:val="fr-FR"/>
        </w:rPr>
        <w:t xml:space="preserve"> R</w:t>
      </w:r>
      <w:r w:rsidR="00FD2552">
        <w:rPr>
          <w:b/>
          <w:szCs w:val="22"/>
          <w:lang w:val="fr-FR"/>
        </w:rPr>
        <w:t>oyaume</w:t>
      </w:r>
      <w:r w:rsidRPr="00A72965">
        <w:rPr>
          <w:b/>
          <w:szCs w:val="22"/>
          <w:lang w:val="fr-FR"/>
        </w:rPr>
        <w:t>-U</w:t>
      </w:r>
      <w:r w:rsidR="00FD2552">
        <w:rPr>
          <w:b/>
          <w:szCs w:val="22"/>
          <w:lang w:val="fr-FR"/>
        </w:rPr>
        <w:t>ni</w:t>
      </w:r>
      <w:r w:rsidRPr="00A72965">
        <w:rPr>
          <w:szCs w:val="22"/>
          <w:lang w:val="fr-FR"/>
        </w:rPr>
        <w:t>, parlant au nom de</w:t>
      </w:r>
      <w:r w:rsidRPr="00A72965">
        <w:rPr>
          <w:b/>
          <w:szCs w:val="22"/>
          <w:lang w:val="fr-FR"/>
        </w:rPr>
        <w:t xml:space="preserve"> l’U</w:t>
      </w:r>
      <w:r w:rsidR="00FD2552">
        <w:rPr>
          <w:b/>
          <w:szCs w:val="22"/>
          <w:lang w:val="fr-FR"/>
        </w:rPr>
        <w:t>nion européenne</w:t>
      </w:r>
      <w:r w:rsidRPr="00A72965">
        <w:rPr>
          <w:b/>
          <w:szCs w:val="22"/>
          <w:lang w:val="fr-FR"/>
        </w:rPr>
        <w:t xml:space="preserve"> et de ses États membres</w:t>
      </w:r>
      <w:r w:rsidRPr="00A72965">
        <w:rPr>
          <w:szCs w:val="22"/>
          <w:lang w:val="fr-FR"/>
        </w:rPr>
        <w:t>, a présenté des amendements destinés à supprimer le dernier paragraphe et à insérer « lors de sa première réunion » après la demande au TC contenue au paragraphe 9.</w:t>
      </w:r>
    </w:p>
    <w:p w14:paraId="564391C0" w14:textId="77777777" w:rsidR="003C65F8" w:rsidRPr="00A72965" w:rsidRDefault="003C65F8" w:rsidP="00BA154F">
      <w:pPr>
        <w:jc w:val="both"/>
        <w:rPr>
          <w:szCs w:val="22"/>
          <w:lang w:val="fr-FR"/>
        </w:rPr>
      </w:pPr>
    </w:p>
    <w:p w14:paraId="793B640A" w14:textId="74A84BA9" w:rsidR="003C65F8" w:rsidRPr="00A72965" w:rsidRDefault="003C65F8" w:rsidP="00BA154F">
      <w:pPr>
        <w:jc w:val="both"/>
        <w:rPr>
          <w:szCs w:val="22"/>
          <w:lang w:val="fr-FR"/>
        </w:rPr>
      </w:pPr>
      <w:r w:rsidRPr="00A72965">
        <w:rPr>
          <w:szCs w:val="22"/>
          <w:lang w:val="fr-FR"/>
        </w:rPr>
        <w:t xml:space="preserve">270. Le </w:t>
      </w:r>
      <w:r w:rsidRPr="00A72965">
        <w:rPr>
          <w:b/>
          <w:szCs w:val="22"/>
          <w:lang w:val="fr-FR"/>
        </w:rPr>
        <w:t>Zimbabwe</w:t>
      </w:r>
      <w:r w:rsidRPr="00A72965">
        <w:rPr>
          <w:szCs w:val="22"/>
          <w:lang w:val="fr-FR"/>
        </w:rPr>
        <w:t xml:space="preserve"> a recommandé l’adoption du DR8 </w:t>
      </w:r>
      <w:proofErr w:type="spellStart"/>
      <w:r w:rsidRPr="00A72965">
        <w:rPr>
          <w:szCs w:val="22"/>
          <w:lang w:val="fr-FR"/>
        </w:rPr>
        <w:t>Rév</w:t>
      </w:r>
      <w:proofErr w:type="spellEnd"/>
      <w:r w:rsidRPr="00A72965">
        <w:rPr>
          <w:szCs w:val="22"/>
          <w:lang w:val="fr-FR"/>
        </w:rPr>
        <w:t>. 1, amendé par le R</w:t>
      </w:r>
      <w:r w:rsidR="00FD2552">
        <w:rPr>
          <w:szCs w:val="22"/>
          <w:lang w:val="fr-FR"/>
        </w:rPr>
        <w:t>oyaume</w:t>
      </w:r>
      <w:r w:rsidRPr="00A72965">
        <w:rPr>
          <w:szCs w:val="22"/>
          <w:lang w:val="fr-FR"/>
        </w:rPr>
        <w:t>-U</w:t>
      </w:r>
      <w:r w:rsidR="00FD2552">
        <w:rPr>
          <w:szCs w:val="22"/>
          <w:lang w:val="fr-FR"/>
        </w:rPr>
        <w:t>ni</w:t>
      </w:r>
      <w:r w:rsidRPr="00A72965">
        <w:rPr>
          <w:szCs w:val="22"/>
          <w:lang w:val="fr-FR"/>
        </w:rPr>
        <w:t xml:space="preserve">, en notant que le Zimbabwe soumettrait au Secrétariat des informations sur les sites à inclure dans l’Annexe relative au SSAP pour l'Aigrette vineuse </w:t>
      </w:r>
      <w:proofErr w:type="spellStart"/>
      <w:r w:rsidRPr="00A72965">
        <w:rPr>
          <w:i/>
          <w:szCs w:val="22"/>
          <w:lang w:val="fr-FR"/>
        </w:rPr>
        <w:t>Egretta</w:t>
      </w:r>
      <w:proofErr w:type="spellEnd"/>
      <w:r w:rsidRPr="00A72965">
        <w:rPr>
          <w:i/>
          <w:szCs w:val="22"/>
          <w:lang w:val="fr-FR"/>
        </w:rPr>
        <w:t xml:space="preserve"> </w:t>
      </w:r>
      <w:proofErr w:type="spellStart"/>
      <w:r w:rsidRPr="00A72965">
        <w:rPr>
          <w:i/>
          <w:szCs w:val="22"/>
          <w:lang w:val="fr-FR"/>
        </w:rPr>
        <w:t>vinaceigula</w:t>
      </w:r>
      <w:proofErr w:type="spellEnd"/>
      <w:r w:rsidRPr="00A72965">
        <w:rPr>
          <w:szCs w:val="22"/>
          <w:lang w:val="fr-FR"/>
        </w:rPr>
        <w:t>.</w:t>
      </w:r>
    </w:p>
    <w:p w14:paraId="7679C60C" w14:textId="77777777" w:rsidR="003C65F8" w:rsidRPr="00A72965" w:rsidRDefault="003C65F8" w:rsidP="00BA154F">
      <w:pPr>
        <w:jc w:val="both"/>
        <w:rPr>
          <w:szCs w:val="22"/>
          <w:lang w:val="fr-FR"/>
        </w:rPr>
      </w:pPr>
    </w:p>
    <w:p w14:paraId="38AFA249" w14:textId="36723A28" w:rsidR="003C65F8" w:rsidRDefault="003C65F8" w:rsidP="00BA154F">
      <w:pPr>
        <w:jc w:val="both"/>
        <w:rPr>
          <w:szCs w:val="22"/>
          <w:lang w:val="fr-FR"/>
        </w:rPr>
      </w:pPr>
      <w:r w:rsidRPr="00A72965">
        <w:rPr>
          <w:szCs w:val="22"/>
          <w:lang w:val="fr-FR"/>
        </w:rPr>
        <w:t xml:space="preserve">271. Il n’y a pas eu d’autres commentaires et à l’invitation du </w:t>
      </w:r>
      <w:r w:rsidRPr="00A72965">
        <w:rPr>
          <w:b/>
          <w:szCs w:val="22"/>
          <w:lang w:val="fr-FR"/>
        </w:rPr>
        <w:t>Président</w:t>
      </w:r>
      <w:r w:rsidRPr="00A72965">
        <w:rPr>
          <w:szCs w:val="22"/>
          <w:lang w:val="fr-FR"/>
        </w:rPr>
        <w:t xml:space="preserve">, la réunion a approuvé le DR8 </w:t>
      </w:r>
      <w:proofErr w:type="spellStart"/>
      <w:r w:rsidRPr="00A72965">
        <w:rPr>
          <w:szCs w:val="22"/>
          <w:lang w:val="fr-FR"/>
        </w:rPr>
        <w:t>Rév</w:t>
      </w:r>
      <w:proofErr w:type="spellEnd"/>
      <w:r w:rsidRPr="00A72965">
        <w:rPr>
          <w:szCs w:val="22"/>
          <w:lang w:val="fr-FR"/>
        </w:rPr>
        <w:t>. 1, sous réserve de l’incorporation des amendements présentés par le R</w:t>
      </w:r>
      <w:r w:rsidR="00FD2552">
        <w:rPr>
          <w:szCs w:val="22"/>
          <w:lang w:val="fr-FR"/>
        </w:rPr>
        <w:t>oyaume</w:t>
      </w:r>
      <w:r w:rsidRPr="00A72965">
        <w:rPr>
          <w:szCs w:val="22"/>
          <w:lang w:val="fr-FR"/>
        </w:rPr>
        <w:t>-U</w:t>
      </w:r>
      <w:r w:rsidR="00FD2552">
        <w:rPr>
          <w:szCs w:val="22"/>
          <w:lang w:val="fr-FR"/>
        </w:rPr>
        <w:t>ni</w:t>
      </w:r>
      <w:r w:rsidRPr="00A72965">
        <w:rPr>
          <w:szCs w:val="22"/>
          <w:lang w:val="fr-FR"/>
        </w:rPr>
        <w:t xml:space="preserve"> (au nom de l’U</w:t>
      </w:r>
      <w:r w:rsidR="00FD2552">
        <w:rPr>
          <w:szCs w:val="22"/>
          <w:lang w:val="fr-FR"/>
        </w:rPr>
        <w:t>nion européenne</w:t>
      </w:r>
      <w:r w:rsidRPr="00A72965">
        <w:rPr>
          <w:szCs w:val="22"/>
          <w:lang w:val="fr-FR"/>
        </w:rPr>
        <w:t xml:space="preserve"> et de ses États membres) et en prenant note de la déclaration du Zimbabwe.</w:t>
      </w:r>
    </w:p>
    <w:p w14:paraId="138E5216" w14:textId="77777777" w:rsidR="00C3740A" w:rsidRPr="00A72965" w:rsidRDefault="00C3740A" w:rsidP="00BA154F">
      <w:pPr>
        <w:jc w:val="both"/>
        <w:rPr>
          <w:szCs w:val="22"/>
          <w:lang w:val="fr-FR"/>
        </w:rPr>
      </w:pPr>
    </w:p>
    <w:p w14:paraId="44F1A1F6" w14:textId="77777777" w:rsidR="003C65F8" w:rsidRPr="00A72965" w:rsidRDefault="003C65F8" w:rsidP="00BA154F">
      <w:pPr>
        <w:jc w:val="both"/>
        <w:rPr>
          <w:b/>
          <w:szCs w:val="22"/>
          <w:lang w:val="fr-FR"/>
        </w:rPr>
      </w:pPr>
      <w:r w:rsidRPr="00A72965">
        <w:rPr>
          <w:b/>
          <w:szCs w:val="22"/>
          <w:lang w:val="fr-FR"/>
        </w:rPr>
        <w:t xml:space="preserve">DR9 </w:t>
      </w:r>
      <w:proofErr w:type="spellStart"/>
      <w:r w:rsidRPr="00A72965">
        <w:rPr>
          <w:b/>
          <w:szCs w:val="22"/>
          <w:lang w:val="fr-FR"/>
        </w:rPr>
        <w:t>Rév</w:t>
      </w:r>
      <w:proofErr w:type="spellEnd"/>
      <w:r w:rsidRPr="00A72965">
        <w:rPr>
          <w:b/>
          <w:szCs w:val="22"/>
          <w:lang w:val="fr-FR"/>
        </w:rPr>
        <w:t xml:space="preserve">. 2 </w:t>
      </w:r>
      <w:r w:rsidRPr="00A72965">
        <w:rPr>
          <w:b/>
          <w:i/>
          <w:szCs w:val="22"/>
          <w:lang w:val="fr-FR"/>
        </w:rPr>
        <w:t>Mise en œuvre de l’initiative africaine pour la conservation des oiseaux d'eau migrateurs et de leurs habitats en Afrique</w:t>
      </w:r>
      <w:r w:rsidRPr="00A72965">
        <w:rPr>
          <w:b/>
          <w:szCs w:val="22"/>
          <w:lang w:val="fr-FR"/>
        </w:rPr>
        <w:t>.</w:t>
      </w:r>
    </w:p>
    <w:p w14:paraId="04DF333C" w14:textId="77777777" w:rsidR="003C65F8" w:rsidRPr="00A72965" w:rsidRDefault="003C65F8" w:rsidP="00BA154F">
      <w:pPr>
        <w:jc w:val="both"/>
        <w:rPr>
          <w:b/>
          <w:szCs w:val="22"/>
          <w:lang w:val="fr-FR"/>
        </w:rPr>
      </w:pPr>
      <w:r w:rsidRPr="00A72965">
        <w:rPr>
          <w:b/>
          <w:szCs w:val="22"/>
          <w:lang w:val="fr-FR"/>
        </w:rPr>
        <w:t xml:space="preserve"> </w:t>
      </w:r>
    </w:p>
    <w:p w14:paraId="01BD489C" w14:textId="77777777" w:rsidR="003C65F8" w:rsidRPr="00A72965" w:rsidRDefault="003C65F8" w:rsidP="00BA154F">
      <w:pPr>
        <w:jc w:val="both"/>
        <w:rPr>
          <w:szCs w:val="22"/>
          <w:lang w:val="fr-FR"/>
        </w:rPr>
      </w:pPr>
      <w:r w:rsidRPr="00A72965">
        <w:rPr>
          <w:szCs w:val="22"/>
          <w:lang w:val="fr-FR"/>
        </w:rPr>
        <w:t xml:space="preserve">272. Le </w:t>
      </w:r>
      <w:r w:rsidRPr="00A72965">
        <w:rPr>
          <w:b/>
          <w:szCs w:val="22"/>
          <w:lang w:val="fr-FR"/>
        </w:rPr>
        <w:t xml:space="preserve">Président </w:t>
      </w:r>
      <w:r w:rsidRPr="00A72965">
        <w:rPr>
          <w:szCs w:val="22"/>
          <w:lang w:val="fr-FR"/>
        </w:rPr>
        <w:t>a noté que l’Initiative africaine avait été examinée de façon approfondie au cours de la MOP, après quoi un certain nombre d’amendements à l’avant-projet de résolution avaient été ajoutés. Il a invité l’assemblée à faire des commentaires.</w:t>
      </w:r>
    </w:p>
    <w:p w14:paraId="55974AE8" w14:textId="77777777" w:rsidR="003C65F8" w:rsidRPr="00A72965" w:rsidRDefault="003C65F8" w:rsidP="00BA154F">
      <w:pPr>
        <w:jc w:val="both"/>
        <w:rPr>
          <w:szCs w:val="22"/>
          <w:lang w:val="fr-FR"/>
        </w:rPr>
      </w:pPr>
    </w:p>
    <w:p w14:paraId="28219601" w14:textId="153F9FCA" w:rsidR="003C65F8" w:rsidRPr="00A72965" w:rsidRDefault="003C65F8" w:rsidP="00BA154F">
      <w:pPr>
        <w:jc w:val="both"/>
        <w:rPr>
          <w:szCs w:val="22"/>
          <w:lang w:val="fr-FR"/>
        </w:rPr>
      </w:pPr>
      <w:r w:rsidRPr="00A72965">
        <w:rPr>
          <w:szCs w:val="22"/>
          <w:lang w:val="fr-FR"/>
        </w:rPr>
        <w:t xml:space="preserve">273. Il s’en est suivi un long débat – avec les contributions du </w:t>
      </w:r>
      <w:r w:rsidRPr="00A72965">
        <w:rPr>
          <w:b/>
          <w:szCs w:val="22"/>
          <w:lang w:val="fr-FR"/>
        </w:rPr>
        <w:t>Bénin</w:t>
      </w:r>
      <w:r w:rsidRPr="00A72965">
        <w:rPr>
          <w:szCs w:val="22"/>
          <w:lang w:val="fr-FR"/>
        </w:rPr>
        <w:t xml:space="preserve"> (parlant au nom du</w:t>
      </w:r>
      <w:r w:rsidRPr="00A72965">
        <w:rPr>
          <w:b/>
          <w:szCs w:val="22"/>
          <w:lang w:val="fr-FR"/>
        </w:rPr>
        <w:t xml:space="preserve"> groupe de l’Afrique</w:t>
      </w:r>
      <w:r w:rsidRPr="00A72965">
        <w:rPr>
          <w:szCs w:val="22"/>
          <w:lang w:val="fr-FR"/>
        </w:rPr>
        <w:t xml:space="preserve">), de la </w:t>
      </w:r>
      <w:r w:rsidRPr="00A72965">
        <w:rPr>
          <w:b/>
          <w:szCs w:val="22"/>
          <w:lang w:val="fr-FR"/>
        </w:rPr>
        <w:t>France</w:t>
      </w:r>
      <w:r w:rsidRPr="00A72965">
        <w:rPr>
          <w:szCs w:val="22"/>
          <w:lang w:val="fr-FR"/>
        </w:rPr>
        <w:t xml:space="preserve"> (parlant au nom de</w:t>
      </w:r>
      <w:r w:rsidRPr="00A72965">
        <w:rPr>
          <w:b/>
          <w:szCs w:val="22"/>
          <w:lang w:val="fr-FR"/>
        </w:rPr>
        <w:t xml:space="preserve"> </w:t>
      </w:r>
      <w:r w:rsidRPr="00A72965">
        <w:rPr>
          <w:szCs w:val="22"/>
          <w:lang w:val="fr-FR"/>
        </w:rPr>
        <w:t>l’</w:t>
      </w:r>
      <w:r w:rsidRPr="00A72965">
        <w:rPr>
          <w:b/>
          <w:szCs w:val="22"/>
          <w:lang w:val="fr-FR"/>
        </w:rPr>
        <w:t>U</w:t>
      </w:r>
      <w:r w:rsidR="00FD2552">
        <w:rPr>
          <w:b/>
          <w:szCs w:val="22"/>
          <w:lang w:val="fr-FR"/>
        </w:rPr>
        <w:t>nion européenne</w:t>
      </w:r>
      <w:r w:rsidRPr="00A72965">
        <w:rPr>
          <w:b/>
          <w:szCs w:val="22"/>
          <w:lang w:val="fr-FR"/>
        </w:rPr>
        <w:t xml:space="preserve"> et de ses États membres</w:t>
      </w:r>
      <w:r w:rsidRPr="00A72965">
        <w:rPr>
          <w:szCs w:val="22"/>
          <w:lang w:val="fr-FR"/>
        </w:rPr>
        <w:t xml:space="preserve">), du </w:t>
      </w:r>
      <w:r w:rsidRPr="00A72965">
        <w:rPr>
          <w:b/>
          <w:szCs w:val="22"/>
          <w:lang w:val="fr-FR"/>
        </w:rPr>
        <w:t>Mali</w:t>
      </w:r>
      <w:r w:rsidRPr="00A72965">
        <w:rPr>
          <w:szCs w:val="22"/>
          <w:lang w:val="fr-FR"/>
        </w:rPr>
        <w:t xml:space="preserve">, du </w:t>
      </w:r>
      <w:r w:rsidRPr="00A72965">
        <w:rPr>
          <w:b/>
          <w:szCs w:val="22"/>
          <w:lang w:val="fr-FR"/>
        </w:rPr>
        <w:t>Sénégal</w:t>
      </w:r>
      <w:r w:rsidRPr="00A72965">
        <w:rPr>
          <w:szCs w:val="22"/>
          <w:lang w:val="fr-FR"/>
        </w:rPr>
        <w:t xml:space="preserve"> (parlant au nom du </w:t>
      </w:r>
      <w:r w:rsidRPr="00A72965">
        <w:rPr>
          <w:b/>
          <w:szCs w:val="22"/>
          <w:lang w:val="fr-FR"/>
        </w:rPr>
        <w:t>groupe de l'Afrique</w:t>
      </w:r>
      <w:r w:rsidRPr="00A72965">
        <w:rPr>
          <w:szCs w:val="22"/>
          <w:lang w:val="fr-FR"/>
        </w:rPr>
        <w:t>), et de l’</w:t>
      </w:r>
      <w:r w:rsidRPr="00A72965">
        <w:rPr>
          <w:b/>
          <w:szCs w:val="22"/>
          <w:lang w:val="fr-FR"/>
        </w:rPr>
        <w:t>Ouganda</w:t>
      </w:r>
      <w:r w:rsidRPr="00A72965">
        <w:rPr>
          <w:szCs w:val="22"/>
          <w:lang w:val="fr-FR"/>
        </w:rPr>
        <w:t xml:space="preserve"> – à propos des responsabilités et rôles respectifs dans le cadre de la coordination et de la mise en œuvre de l’Initiative africaine et du Plan d’action pour l’Afrique, du Secrétariat PNUE/AEWA à Bonn, des correspondants </w:t>
      </w:r>
      <w:proofErr w:type="spellStart"/>
      <w:r w:rsidRPr="00A72965">
        <w:rPr>
          <w:szCs w:val="22"/>
          <w:lang w:val="fr-FR"/>
        </w:rPr>
        <w:t>sous-régionaux</w:t>
      </w:r>
      <w:proofErr w:type="spellEnd"/>
      <w:r w:rsidRPr="00A72965">
        <w:rPr>
          <w:szCs w:val="22"/>
          <w:lang w:val="fr-FR"/>
        </w:rPr>
        <w:t xml:space="preserve"> en Afrique, et des dispositions relatives au soutien technique devant être financé par la France et basé à la Station biologique de la Tour du </w:t>
      </w:r>
      <w:proofErr w:type="spellStart"/>
      <w:r w:rsidRPr="00A72965">
        <w:rPr>
          <w:szCs w:val="22"/>
          <w:lang w:val="fr-FR"/>
        </w:rPr>
        <w:t>Valat</w:t>
      </w:r>
      <w:proofErr w:type="spellEnd"/>
      <w:r w:rsidRPr="00A72965">
        <w:rPr>
          <w:szCs w:val="22"/>
          <w:lang w:val="fr-FR"/>
        </w:rPr>
        <w:t>.</w:t>
      </w:r>
    </w:p>
    <w:p w14:paraId="2B84682D" w14:textId="77777777" w:rsidR="003C65F8" w:rsidRPr="00A72965" w:rsidRDefault="003C65F8" w:rsidP="00BA154F">
      <w:pPr>
        <w:jc w:val="both"/>
        <w:rPr>
          <w:szCs w:val="22"/>
          <w:lang w:val="fr-FR"/>
        </w:rPr>
      </w:pPr>
    </w:p>
    <w:p w14:paraId="119D4896" w14:textId="77777777" w:rsidR="003C65F8" w:rsidRPr="00A72965" w:rsidRDefault="003C65F8" w:rsidP="00BA154F">
      <w:pPr>
        <w:jc w:val="both"/>
        <w:rPr>
          <w:szCs w:val="22"/>
          <w:lang w:val="fr-FR"/>
        </w:rPr>
      </w:pPr>
      <w:r w:rsidRPr="00A72965">
        <w:rPr>
          <w:szCs w:val="22"/>
          <w:lang w:val="fr-FR"/>
        </w:rPr>
        <w:t>274. Au cours de la discussion, l’accent a été mis sur le fait que la mise en œuvre du Plan d’action pour l’Afrique devrait être menée à partir de la région elle-même. L’offre de la France de financer le soutien technique a été chaleureusement accueillie par les Parties et le rôle du Secrétariat de l'AEWA à ce jour, et notamment la contribution du Coordinateur de l’IA, pour concrétiser le Plan d’action pour l’Afrique, a également fait l’objet d’éloges.</w:t>
      </w:r>
    </w:p>
    <w:p w14:paraId="59F66BD9" w14:textId="77777777" w:rsidR="003C65F8" w:rsidRPr="00A72965" w:rsidRDefault="003C65F8" w:rsidP="00BA154F">
      <w:pPr>
        <w:jc w:val="both"/>
        <w:rPr>
          <w:szCs w:val="22"/>
          <w:lang w:val="fr-FR"/>
        </w:rPr>
      </w:pPr>
    </w:p>
    <w:p w14:paraId="5D943700" w14:textId="13E77AB5" w:rsidR="003C65F8" w:rsidRPr="00A72965" w:rsidRDefault="003C65F8" w:rsidP="00BA154F">
      <w:pPr>
        <w:jc w:val="both"/>
        <w:rPr>
          <w:szCs w:val="22"/>
          <w:lang w:val="fr-FR"/>
        </w:rPr>
      </w:pPr>
      <w:r w:rsidRPr="00A72965">
        <w:rPr>
          <w:szCs w:val="22"/>
          <w:lang w:val="fr-FR"/>
        </w:rPr>
        <w:t>275. Le</w:t>
      </w:r>
      <w:r w:rsidRPr="00A72965">
        <w:rPr>
          <w:b/>
          <w:szCs w:val="22"/>
          <w:lang w:val="fr-FR"/>
        </w:rPr>
        <w:t xml:space="preserve"> Danemark</w:t>
      </w:r>
      <w:r w:rsidRPr="00A72965">
        <w:rPr>
          <w:szCs w:val="22"/>
          <w:lang w:val="fr-FR"/>
        </w:rPr>
        <w:t>, parlant au nom de</w:t>
      </w:r>
      <w:r w:rsidRPr="00A72965">
        <w:rPr>
          <w:b/>
          <w:szCs w:val="22"/>
          <w:lang w:val="fr-FR"/>
        </w:rPr>
        <w:t xml:space="preserve"> </w:t>
      </w:r>
      <w:r w:rsidRPr="00A72965">
        <w:rPr>
          <w:szCs w:val="22"/>
          <w:lang w:val="fr-FR"/>
        </w:rPr>
        <w:t>l’</w:t>
      </w:r>
      <w:r w:rsidRPr="00A72965">
        <w:rPr>
          <w:b/>
          <w:szCs w:val="22"/>
          <w:lang w:val="fr-FR"/>
        </w:rPr>
        <w:t>U</w:t>
      </w:r>
      <w:r w:rsidR="00FD2552">
        <w:rPr>
          <w:b/>
          <w:szCs w:val="22"/>
          <w:lang w:val="fr-FR"/>
        </w:rPr>
        <w:t>nion européenne</w:t>
      </w:r>
      <w:r w:rsidRPr="00A72965">
        <w:rPr>
          <w:b/>
          <w:szCs w:val="22"/>
          <w:lang w:val="fr-FR"/>
        </w:rPr>
        <w:t xml:space="preserve"> et de ses États membres</w:t>
      </w:r>
      <w:r w:rsidRPr="00A72965">
        <w:rPr>
          <w:szCs w:val="22"/>
          <w:lang w:val="fr-FR"/>
        </w:rPr>
        <w:t>, a fait remarquer le besoin d’harmoniser le texte du plan d’action pour l’Afrique lorsque référence est faite à la suppression de la grenaille de plomb, qui a été convenue lors du WG1 pour le DR24 relative aux objectifs d’Aichi. Par conséquent, le Chapitre 6, Tableau 5, Cible 2.1, Résultat 2.1</w:t>
      </w:r>
      <w:r w:rsidR="00FD2552">
        <w:rPr>
          <w:szCs w:val="22"/>
          <w:lang w:val="fr-FR"/>
        </w:rPr>
        <w:t>.</w:t>
      </w:r>
      <w:r w:rsidRPr="00A72965">
        <w:rPr>
          <w:szCs w:val="22"/>
          <w:lang w:val="fr-FR"/>
        </w:rPr>
        <w:t>1, Action a) do</w:t>
      </w:r>
      <w:r w:rsidR="00FD2552">
        <w:rPr>
          <w:szCs w:val="22"/>
          <w:lang w:val="fr-FR"/>
        </w:rPr>
        <w:t>it être amendé comme suit : « …d’ici</w:t>
      </w:r>
      <w:r w:rsidRPr="00A72965">
        <w:rPr>
          <w:szCs w:val="22"/>
          <w:lang w:val="fr-FR"/>
        </w:rPr>
        <w:t xml:space="preserve"> 2</w:t>
      </w:r>
      <w:r w:rsidR="00FD2552">
        <w:rPr>
          <w:szCs w:val="22"/>
          <w:lang w:val="fr-FR"/>
        </w:rPr>
        <w:t>017, comme prévu dans le Plan s</w:t>
      </w:r>
      <w:r w:rsidRPr="00A72965">
        <w:rPr>
          <w:szCs w:val="22"/>
          <w:lang w:val="fr-FR"/>
        </w:rPr>
        <w:t>tratégique 2009-2017 de l’AEWA »</w:t>
      </w:r>
    </w:p>
    <w:p w14:paraId="1A0EECAB" w14:textId="77777777" w:rsidR="003C65F8" w:rsidRPr="00A72965" w:rsidRDefault="003C65F8" w:rsidP="00BA154F">
      <w:pPr>
        <w:jc w:val="both"/>
        <w:rPr>
          <w:szCs w:val="22"/>
          <w:lang w:val="fr-FR"/>
        </w:rPr>
      </w:pPr>
    </w:p>
    <w:p w14:paraId="499A24A7" w14:textId="77777777" w:rsidR="003C65F8" w:rsidRPr="00A72965" w:rsidRDefault="003C65F8" w:rsidP="00BA154F">
      <w:pPr>
        <w:jc w:val="both"/>
        <w:rPr>
          <w:szCs w:val="22"/>
          <w:lang w:val="fr-FR"/>
        </w:rPr>
      </w:pPr>
      <w:r w:rsidRPr="00A72965">
        <w:rPr>
          <w:szCs w:val="22"/>
          <w:lang w:val="fr-FR"/>
        </w:rPr>
        <w:t>276.</w:t>
      </w:r>
      <w:r w:rsidRPr="00A72965">
        <w:rPr>
          <w:b/>
          <w:szCs w:val="22"/>
          <w:lang w:val="fr-FR"/>
        </w:rPr>
        <w:t xml:space="preserve"> </w:t>
      </w:r>
      <w:r w:rsidRPr="00A72965">
        <w:rPr>
          <w:szCs w:val="22"/>
          <w:lang w:val="fr-FR"/>
        </w:rPr>
        <w:t xml:space="preserve">Le </w:t>
      </w:r>
      <w:r w:rsidRPr="00A72965">
        <w:rPr>
          <w:b/>
          <w:szCs w:val="22"/>
          <w:lang w:val="fr-FR"/>
        </w:rPr>
        <w:t>Sénégal</w:t>
      </w:r>
      <w:r w:rsidRPr="00A72965">
        <w:rPr>
          <w:szCs w:val="22"/>
          <w:lang w:val="fr-FR"/>
        </w:rPr>
        <w:t xml:space="preserve">, parlant au nom du </w:t>
      </w:r>
      <w:r w:rsidRPr="00A72965">
        <w:rPr>
          <w:b/>
          <w:szCs w:val="22"/>
          <w:lang w:val="fr-FR"/>
        </w:rPr>
        <w:t>groupe de l'Afrique</w:t>
      </w:r>
      <w:r w:rsidRPr="00A72965">
        <w:rPr>
          <w:szCs w:val="22"/>
          <w:lang w:val="fr-FR"/>
        </w:rPr>
        <w:t>, a proposé d’amender l’Action b) du même tableau : la sensibilisation ne doit pas être uniquement dirigée vers l’Afrique du Nord, mais vers toute l’Afrique.</w:t>
      </w:r>
    </w:p>
    <w:p w14:paraId="397CEDEA" w14:textId="77777777" w:rsidR="003C65F8" w:rsidRPr="00A72965" w:rsidRDefault="003C65F8" w:rsidP="00BA154F">
      <w:pPr>
        <w:jc w:val="both"/>
        <w:rPr>
          <w:szCs w:val="22"/>
          <w:lang w:val="fr-FR"/>
        </w:rPr>
      </w:pPr>
    </w:p>
    <w:p w14:paraId="08BFFC48" w14:textId="77777777" w:rsidR="003C65F8" w:rsidRPr="00A72965" w:rsidRDefault="003C65F8" w:rsidP="00BA154F">
      <w:pPr>
        <w:jc w:val="both"/>
        <w:rPr>
          <w:szCs w:val="22"/>
          <w:lang w:val="fr-FR"/>
        </w:rPr>
      </w:pPr>
      <w:r w:rsidRPr="00A72965">
        <w:rPr>
          <w:szCs w:val="22"/>
          <w:lang w:val="fr-FR"/>
        </w:rPr>
        <w:t xml:space="preserve">277. Le </w:t>
      </w:r>
      <w:r w:rsidRPr="00A72965">
        <w:rPr>
          <w:b/>
          <w:szCs w:val="22"/>
          <w:lang w:val="fr-FR"/>
        </w:rPr>
        <w:t>Président</w:t>
      </w:r>
      <w:r w:rsidRPr="00A72965">
        <w:rPr>
          <w:szCs w:val="22"/>
          <w:lang w:val="fr-FR"/>
        </w:rPr>
        <w:t xml:space="preserve"> a résumé les amendements spécifiques à faire en conséquence de la discussion :</w:t>
      </w:r>
    </w:p>
    <w:p w14:paraId="483E1A91" w14:textId="77777777" w:rsidR="003C65F8" w:rsidRPr="00A72965" w:rsidRDefault="003C65F8" w:rsidP="00BA154F">
      <w:pPr>
        <w:jc w:val="both"/>
        <w:rPr>
          <w:szCs w:val="22"/>
          <w:lang w:val="fr-FR"/>
        </w:rPr>
      </w:pPr>
    </w:p>
    <w:p w14:paraId="118E004D" w14:textId="77777777" w:rsidR="003C65F8" w:rsidRPr="00A72965" w:rsidRDefault="003C65F8" w:rsidP="006537A2">
      <w:pPr>
        <w:pStyle w:val="ListParagraph"/>
        <w:numPr>
          <w:ilvl w:val="0"/>
          <w:numId w:val="18"/>
        </w:numPr>
        <w:ind w:left="567" w:hanging="567"/>
        <w:jc w:val="both"/>
        <w:rPr>
          <w:sz w:val="22"/>
          <w:szCs w:val="22"/>
          <w:lang w:val="fr-FR"/>
        </w:rPr>
      </w:pPr>
      <w:r w:rsidRPr="00A72965">
        <w:rPr>
          <w:sz w:val="22"/>
          <w:szCs w:val="22"/>
          <w:lang w:val="fr-FR"/>
        </w:rPr>
        <w:t>Dans le premier paragraphe de préambule de la version française, changer « </w:t>
      </w:r>
      <w:r w:rsidRPr="00A72965">
        <w:rPr>
          <w:sz w:val="22"/>
          <w:szCs w:val="22"/>
          <w:u w:val="single"/>
          <w:lang w:val="fr-FR"/>
        </w:rPr>
        <w:t>l’utilité</w:t>
      </w:r>
      <w:r w:rsidRPr="00A72965">
        <w:rPr>
          <w:sz w:val="22"/>
          <w:szCs w:val="22"/>
          <w:lang w:val="fr-FR"/>
        </w:rPr>
        <w:t xml:space="preserve"> à maintenir » en « </w:t>
      </w:r>
      <w:r w:rsidRPr="00A72965">
        <w:rPr>
          <w:sz w:val="22"/>
          <w:szCs w:val="22"/>
          <w:u w:val="single"/>
          <w:lang w:val="fr-FR"/>
        </w:rPr>
        <w:t>l’avantage</w:t>
      </w:r>
      <w:r w:rsidRPr="00A72965">
        <w:rPr>
          <w:sz w:val="22"/>
          <w:szCs w:val="22"/>
          <w:lang w:val="fr-FR"/>
        </w:rPr>
        <w:t xml:space="preserve"> à maintenir ».</w:t>
      </w:r>
    </w:p>
    <w:p w14:paraId="0FAE325D" w14:textId="77777777" w:rsidR="003C65F8" w:rsidRPr="00A72965" w:rsidRDefault="003C65F8" w:rsidP="006537A2">
      <w:pPr>
        <w:pStyle w:val="ListParagraph"/>
        <w:numPr>
          <w:ilvl w:val="0"/>
          <w:numId w:val="18"/>
        </w:numPr>
        <w:ind w:left="567" w:hanging="567"/>
        <w:jc w:val="both"/>
        <w:rPr>
          <w:sz w:val="22"/>
          <w:szCs w:val="22"/>
          <w:lang w:val="fr-FR"/>
        </w:rPr>
      </w:pPr>
      <w:r w:rsidRPr="00A72965">
        <w:rPr>
          <w:sz w:val="22"/>
          <w:szCs w:val="22"/>
          <w:lang w:val="fr-FR"/>
        </w:rPr>
        <w:t xml:space="preserve">Paragraphe de préambule 3, à la fin, après « chaque sous-région », </w:t>
      </w:r>
      <w:proofErr w:type="gramStart"/>
      <w:r w:rsidRPr="00A72965">
        <w:rPr>
          <w:sz w:val="22"/>
          <w:szCs w:val="22"/>
          <w:lang w:val="fr-FR"/>
        </w:rPr>
        <w:t>amender</w:t>
      </w:r>
      <w:proofErr w:type="gramEnd"/>
      <w:r w:rsidRPr="00A72965">
        <w:rPr>
          <w:sz w:val="22"/>
          <w:szCs w:val="22"/>
          <w:lang w:val="fr-FR"/>
        </w:rPr>
        <w:t xml:space="preserve"> comme suit : « qui guidera l’orientation de la mise en œuvre au niveau </w:t>
      </w:r>
      <w:proofErr w:type="spellStart"/>
      <w:r w:rsidRPr="00A72965">
        <w:rPr>
          <w:sz w:val="22"/>
          <w:szCs w:val="22"/>
          <w:lang w:val="fr-FR"/>
        </w:rPr>
        <w:t>sous-régional</w:t>
      </w:r>
      <w:proofErr w:type="spellEnd"/>
      <w:r w:rsidRPr="00A72965">
        <w:rPr>
          <w:sz w:val="22"/>
          <w:szCs w:val="22"/>
          <w:lang w:val="fr-FR"/>
        </w:rPr>
        <w:t> ».</w:t>
      </w:r>
    </w:p>
    <w:p w14:paraId="28CEC997" w14:textId="426B6AB9" w:rsidR="003C65F8" w:rsidRPr="00A72965" w:rsidRDefault="003C65F8" w:rsidP="006537A2">
      <w:pPr>
        <w:pStyle w:val="ListParagraph"/>
        <w:numPr>
          <w:ilvl w:val="0"/>
          <w:numId w:val="18"/>
        </w:numPr>
        <w:ind w:left="567" w:hanging="567"/>
        <w:jc w:val="both"/>
        <w:rPr>
          <w:sz w:val="22"/>
          <w:szCs w:val="22"/>
          <w:lang w:val="fr-FR"/>
        </w:rPr>
      </w:pPr>
      <w:r w:rsidRPr="00A72965">
        <w:rPr>
          <w:sz w:val="22"/>
          <w:szCs w:val="22"/>
          <w:lang w:val="fr-FR"/>
        </w:rPr>
        <w:t xml:space="preserve">Dans le paragraphe 2, amender la dernière phrase du paragraphe comme suit : « qui guidera la mise en œuvre au niveau </w:t>
      </w:r>
      <w:proofErr w:type="spellStart"/>
      <w:r w:rsidRPr="00A72965">
        <w:rPr>
          <w:sz w:val="22"/>
          <w:szCs w:val="22"/>
          <w:lang w:val="fr-FR"/>
        </w:rPr>
        <w:t>sous-régional</w:t>
      </w:r>
      <w:proofErr w:type="spellEnd"/>
      <w:r w:rsidRPr="00A72965">
        <w:rPr>
          <w:sz w:val="22"/>
          <w:szCs w:val="22"/>
          <w:lang w:val="fr-FR"/>
        </w:rPr>
        <w:t xml:space="preserve"> et recevra un soutien technique grâce aux dispositions offertes par la </w:t>
      </w:r>
      <w:r w:rsidR="00FD2552">
        <w:rPr>
          <w:sz w:val="22"/>
          <w:szCs w:val="22"/>
          <w:lang w:val="fr-FR"/>
        </w:rPr>
        <w:t>France…</w:t>
      </w:r>
      <w:r w:rsidRPr="00A72965">
        <w:rPr>
          <w:sz w:val="22"/>
          <w:szCs w:val="22"/>
          <w:lang w:val="fr-FR"/>
        </w:rPr>
        <w:t> ».</w:t>
      </w:r>
    </w:p>
    <w:p w14:paraId="20187B5A" w14:textId="77777777" w:rsidR="003C65F8" w:rsidRPr="00A72965" w:rsidRDefault="003C65F8" w:rsidP="006537A2">
      <w:pPr>
        <w:pStyle w:val="ListParagraph"/>
        <w:numPr>
          <w:ilvl w:val="0"/>
          <w:numId w:val="18"/>
        </w:numPr>
        <w:ind w:left="567" w:hanging="567"/>
        <w:jc w:val="both"/>
        <w:rPr>
          <w:sz w:val="22"/>
          <w:szCs w:val="22"/>
          <w:lang w:val="fr-FR"/>
        </w:rPr>
      </w:pPr>
      <w:r w:rsidRPr="00A72965">
        <w:rPr>
          <w:sz w:val="22"/>
          <w:szCs w:val="22"/>
          <w:lang w:val="fr-FR"/>
        </w:rPr>
        <w:t>Le paragraphe 3 devra changer de place pour devenir le dernier paragraphe du préambule car il ne concerne pas des questions opérationnelles.</w:t>
      </w:r>
    </w:p>
    <w:p w14:paraId="6640E8D6" w14:textId="14695A5C" w:rsidR="003C65F8" w:rsidRPr="00A72965" w:rsidRDefault="003C65F8" w:rsidP="006537A2">
      <w:pPr>
        <w:pStyle w:val="ListParagraph"/>
        <w:numPr>
          <w:ilvl w:val="0"/>
          <w:numId w:val="18"/>
        </w:numPr>
        <w:ind w:left="567" w:hanging="567"/>
        <w:jc w:val="both"/>
        <w:rPr>
          <w:sz w:val="22"/>
          <w:szCs w:val="22"/>
          <w:lang w:val="fr-FR"/>
        </w:rPr>
      </w:pPr>
      <w:r w:rsidRPr="00A72965">
        <w:rPr>
          <w:sz w:val="22"/>
          <w:szCs w:val="22"/>
          <w:lang w:val="fr-FR"/>
        </w:rPr>
        <w:t>On ajoutera au paragraphe 6 : ap</w:t>
      </w:r>
      <w:r w:rsidR="00FD2552">
        <w:rPr>
          <w:sz w:val="22"/>
          <w:szCs w:val="22"/>
          <w:lang w:val="fr-FR"/>
        </w:rPr>
        <w:t>rès « l’Union européenne » : « l</w:t>
      </w:r>
      <w:r w:rsidRPr="00A72965">
        <w:rPr>
          <w:sz w:val="22"/>
          <w:szCs w:val="22"/>
          <w:lang w:val="fr-FR"/>
        </w:rPr>
        <w:t>es dispositions prises en vue d’un soutien technique ».</w:t>
      </w:r>
    </w:p>
    <w:p w14:paraId="63313BF9" w14:textId="77777777" w:rsidR="003C65F8" w:rsidRPr="00A72965" w:rsidRDefault="003C65F8" w:rsidP="006537A2">
      <w:pPr>
        <w:pStyle w:val="ListParagraph"/>
        <w:numPr>
          <w:ilvl w:val="0"/>
          <w:numId w:val="18"/>
        </w:numPr>
        <w:ind w:left="567" w:hanging="567"/>
        <w:jc w:val="both"/>
        <w:rPr>
          <w:sz w:val="22"/>
          <w:szCs w:val="22"/>
          <w:lang w:val="fr-FR"/>
        </w:rPr>
      </w:pPr>
      <w:r w:rsidRPr="00A72965">
        <w:rPr>
          <w:sz w:val="22"/>
          <w:szCs w:val="22"/>
          <w:lang w:val="fr-FR"/>
        </w:rPr>
        <w:t>Les amendements au Tableau 5 du Plan d’action pour l’Afrique requis par le Danemark et le Sénégal.</w:t>
      </w:r>
    </w:p>
    <w:p w14:paraId="72D69E50" w14:textId="77777777" w:rsidR="003C65F8" w:rsidRPr="00A72965" w:rsidRDefault="003C65F8" w:rsidP="006537A2">
      <w:pPr>
        <w:ind w:left="709" w:hanging="709"/>
        <w:jc w:val="both"/>
        <w:rPr>
          <w:szCs w:val="22"/>
          <w:lang w:val="fr-FR"/>
        </w:rPr>
      </w:pPr>
    </w:p>
    <w:p w14:paraId="2E84619E" w14:textId="77777777" w:rsidR="003C65F8" w:rsidRPr="00A72965" w:rsidRDefault="003C65F8" w:rsidP="00BA154F">
      <w:pPr>
        <w:jc w:val="both"/>
        <w:rPr>
          <w:szCs w:val="22"/>
          <w:lang w:val="fr-FR"/>
        </w:rPr>
      </w:pPr>
      <w:r w:rsidRPr="00A72965">
        <w:rPr>
          <w:szCs w:val="22"/>
          <w:lang w:val="fr-FR"/>
        </w:rPr>
        <w:t xml:space="preserve">278. Il n’y a pas eu d’autres commentaires et à l’invitation du </w:t>
      </w:r>
      <w:r w:rsidRPr="00A72965">
        <w:rPr>
          <w:b/>
          <w:szCs w:val="22"/>
          <w:lang w:val="fr-FR"/>
        </w:rPr>
        <w:t>Président</w:t>
      </w:r>
      <w:r w:rsidRPr="00A72965">
        <w:rPr>
          <w:szCs w:val="22"/>
          <w:lang w:val="fr-FR"/>
        </w:rPr>
        <w:t xml:space="preserve">, la réunion a adopté le DR9 </w:t>
      </w:r>
      <w:proofErr w:type="spellStart"/>
      <w:r w:rsidRPr="00A72965">
        <w:rPr>
          <w:szCs w:val="22"/>
          <w:lang w:val="fr-FR"/>
        </w:rPr>
        <w:t>Rév</w:t>
      </w:r>
      <w:proofErr w:type="spellEnd"/>
      <w:r w:rsidRPr="00A72965">
        <w:rPr>
          <w:szCs w:val="22"/>
          <w:lang w:val="fr-FR"/>
        </w:rPr>
        <w:t>. 2 par consensus, sous réserve de l’incorporation des amendements résumés par le Président et des amendements au Tableau 5 du Plan d’action pour l’Afrique présentés par le Danemark et le Sénégal.</w:t>
      </w:r>
    </w:p>
    <w:p w14:paraId="27A1BC4C" w14:textId="77777777" w:rsidR="003C65F8" w:rsidRPr="00A72965" w:rsidRDefault="003C65F8" w:rsidP="00BA154F">
      <w:pPr>
        <w:jc w:val="both"/>
        <w:rPr>
          <w:szCs w:val="22"/>
          <w:lang w:val="fr-FR"/>
        </w:rPr>
      </w:pPr>
    </w:p>
    <w:p w14:paraId="02C1778B" w14:textId="77777777" w:rsidR="003C65F8" w:rsidRPr="00A72965" w:rsidRDefault="003C65F8" w:rsidP="00BA154F">
      <w:pPr>
        <w:jc w:val="both"/>
        <w:rPr>
          <w:b/>
          <w:szCs w:val="22"/>
          <w:lang w:val="fr-FR"/>
        </w:rPr>
      </w:pPr>
      <w:r w:rsidRPr="00A72965">
        <w:rPr>
          <w:b/>
          <w:szCs w:val="22"/>
          <w:lang w:val="fr-FR"/>
        </w:rPr>
        <w:t xml:space="preserve">DR10 </w:t>
      </w:r>
      <w:proofErr w:type="spellStart"/>
      <w:r w:rsidRPr="00A72965">
        <w:rPr>
          <w:b/>
          <w:szCs w:val="22"/>
          <w:lang w:val="fr-FR"/>
        </w:rPr>
        <w:t>Rév</w:t>
      </w:r>
      <w:proofErr w:type="spellEnd"/>
      <w:r w:rsidRPr="00A72965">
        <w:rPr>
          <w:b/>
          <w:szCs w:val="22"/>
          <w:lang w:val="fr-FR"/>
        </w:rPr>
        <w:t xml:space="preserve">. 2 </w:t>
      </w:r>
      <w:r w:rsidRPr="00A72965">
        <w:rPr>
          <w:b/>
          <w:i/>
          <w:szCs w:val="22"/>
          <w:lang w:val="fr-FR"/>
        </w:rPr>
        <w:t xml:space="preserve">Révision et adoption des Lignes directrices de conservation </w:t>
      </w:r>
      <w:r w:rsidRPr="00A72965">
        <w:rPr>
          <w:b/>
          <w:szCs w:val="22"/>
          <w:lang w:val="fr-FR"/>
        </w:rPr>
        <w:t>et modification du doc 5.34</w:t>
      </w:r>
    </w:p>
    <w:p w14:paraId="5313D15B" w14:textId="77777777" w:rsidR="003C65F8" w:rsidRPr="00A72965" w:rsidRDefault="003C65F8" w:rsidP="00BA154F">
      <w:pPr>
        <w:jc w:val="both"/>
        <w:rPr>
          <w:b/>
          <w:szCs w:val="22"/>
          <w:lang w:val="fr-FR"/>
        </w:rPr>
      </w:pPr>
    </w:p>
    <w:p w14:paraId="3A53834D" w14:textId="77777777" w:rsidR="003C65F8" w:rsidRPr="00A72965" w:rsidRDefault="003C65F8" w:rsidP="00BA154F">
      <w:pPr>
        <w:jc w:val="both"/>
        <w:rPr>
          <w:szCs w:val="22"/>
          <w:lang w:val="fr-FR"/>
        </w:rPr>
      </w:pPr>
      <w:r w:rsidRPr="00A72965">
        <w:rPr>
          <w:szCs w:val="22"/>
          <w:lang w:val="fr-FR"/>
        </w:rPr>
        <w:t xml:space="preserve">279. Le Président a noté que cet avant-projet de résolution avait été examiné par le WG1 et il a invité l’assemblée à faire des commentaires. Il n’y a pas eu d’autres commentaires et à l’invitation du Président, la réunion a adopté le DR10 </w:t>
      </w:r>
      <w:proofErr w:type="spellStart"/>
      <w:r w:rsidRPr="00A72965">
        <w:rPr>
          <w:szCs w:val="22"/>
          <w:lang w:val="fr-FR"/>
        </w:rPr>
        <w:t>Rév</w:t>
      </w:r>
      <w:proofErr w:type="spellEnd"/>
      <w:r w:rsidRPr="00A72965">
        <w:rPr>
          <w:szCs w:val="22"/>
          <w:lang w:val="fr-FR"/>
        </w:rPr>
        <w:t>. 2 par consensus, sans autre amendement.</w:t>
      </w:r>
    </w:p>
    <w:p w14:paraId="30E0F964" w14:textId="77777777" w:rsidR="003C65F8" w:rsidRPr="00A72965" w:rsidRDefault="003C65F8" w:rsidP="00BA154F">
      <w:pPr>
        <w:jc w:val="both"/>
        <w:rPr>
          <w:szCs w:val="22"/>
          <w:lang w:val="fr-FR"/>
        </w:rPr>
      </w:pPr>
    </w:p>
    <w:p w14:paraId="41CC31B1" w14:textId="77777777" w:rsidR="003C65F8" w:rsidRPr="00A72965" w:rsidRDefault="003C65F8" w:rsidP="00BA154F">
      <w:pPr>
        <w:jc w:val="both"/>
        <w:rPr>
          <w:b/>
          <w:szCs w:val="22"/>
          <w:lang w:val="fr-FR"/>
        </w:rPr>
      </w:pPr>
      <w:r w:rsidRPr="00A72965">
        <w:rPr>
          <w:b/>
          <w:szCs w:val="22"/>
          <w:lang w:val="fr-FR"/>
        </w:rPr>
        <w:t xml:space="preserve">DR11 </w:t>
      </w:r>
      <w:proofErr w:type="spellStart"/>
      <w:r w:rsidRPr="00A72965">
        <w:rPr>
          <w:b/>
          <w:szCs w:val="22"/>
          <w:lang w:val="fr-FR"/>
        </w:rPr>
        <w:t>Rév</w:t>
      </w:r>
      <w:proofErr w:type="spellEnd"/>
      <w:r w:rsidRPr="00A72965">
        <w:rPr>
          <w:b/>
          <w:szCs w:val="22"/>
          <w:lang w:val="fr-FR"/>
        </w:rPr>
        <w:t xml:space="preserve">. 2 </w:t>
      </w:r>
      <w:r w:rsidRPr="00A72965">
        <w:rPr>
          <w:b/>
          <w:i/>
          <w:szCs w:val="22"/>
          <w:lang w:val="fr-FR"/>
        </w:rPr>
        <w:t>Lignes de haute tension et oiseaux d'eau migrateurs</w:t>
      </w:r>
      <w:r w:rsidRPr="00A72965">
        <w:rPr>
          <w:b/>
          <w:szCs w:val="22"/>
          <w:lang w:val="fr-FR"/>
        </w:rPr>
        <w:t xml:space="preserve">. </w:t>
      </w:r>
    </w:p>
    <w:p w14:paraId="519B2E43" w14:textId="77777777" w:rsidR="003C65F8" w:rsidRPr="00A72965" w:rsidRDefault="003C65F8" w:rsidP="00BA154F">
      <w:pPr>
        <w:jc w:val="both"/>
        <w:rPr>
          <w:szCs w:val="22"/>
          <w:lang w:val="fr-FR"/>
        </w:rPr>
      </w:pPr>
      <w:r w:rsidRPr="00A72965">
        <w:rPr>
          <w:szCs w:val="22"/>
          <w:lang w:val="fr-FR"/>
        </w:rPr>
        <w:t xml:space="preserve">280. Le Président a noté que cet avant-projet de résolution avait été examiné par le WG1 et il a invité l’assemblée à faire des commentaires. Il n’y a pas eu d’autres commentaires et à l’invitation du Président, la réunion a adopté le DR11 </w:t>
      </w:r>
      <w:proofErr w:type="spellStart"/>
      <w:r w:rsidRPr="00A72965">
        <w:rPr>
          <w:szCs w:val="22"/>
          <w:lang w:val="fr-FR"/>
        </w:rPr>
        <w:t>Rév</w:t>
      </w:r>
      <w:proofErr w:type="spellEnd"/>
      <w:r w:rsidRPr="00A72965">
        <w:rPr>
          <w:szCs w:val="22"/>
          <w:lang w:val="fr-FR"/>
        </w:rPr>
        <w:t>. 2 par consensus, sans autre amendement.</w:t>
      </w:r>
    </w:p>
    <w:p w14:paraId="494AADCF" w14:textId="77777777" w:rsidR="003C65F8" w:rsidRPr="00A72965" w:rsidRDefault="003C65F8" w:rsidP="00BA154F">
      <w:pPr>
        <w:jc w:val="both"/>
        <w:rPr>
          <w:szCs w:val="22"/>
          <w:lang w:val="fr-FR"/>
        </w:rPr>
      </w:pPr>
    </w:p>
    <w:p w14:paraId="50FAC680" w14:textId="28BC3F29" w:rsidR="003C65F8" w:rsidRPr="00A72965" w:rsidRDefault="003C65F8" w:rsidP="00BA154F">
      <w:pPr>
        <w:jc w:val="both"/>
        <w:rPr>
          <w:b/>
          <w:i/>
          <w:szCs w:val="22"/>
          <w:lang w:val="fr-FR"/>
        </w:rPr>
      </w:pPr>
      <w:r w:rsidRPr="00A72965">
        <w:rPr>
          <w:b/>
          <w:szCs w:val="22"/>
          <w:lang w:val="fr-FR"/>
        </w:rPr>
        <w:t xml:space="preserve">DR12 </w:t>
      </w:r>
      <w:proofErr w:type="spellStart"/>
      <w:r w:rsidRPr="00A72965">
        <w:rPr>
          <w:b/>
          <w:szCs w:val="22"/>
          <w:lang w:val="fr-FR"/>
        </w:rPr>
        <w:t>Rév</w:t>
      </w:r>
      <w:proofErr w:type="spellEnd"/>
      <w:r w:rsidRPr="00A72965">
        <w:rPr>
          <w:b/>
          <w:szCs w:val="22"/>
          <w:lang w:val="fr-FR"/>
        </w:rPr>
        <w:t xml:space="preserve">. 2. </w:t>
      </w:r>
      <w:r w:rsidRPr="00A72965">
        <w:rPr>
          <w:b/>
          <w:i/>
          <w:szCs w:val="22"/>
          <w:lang w:val="fr-FR"/>
        </w:rPr>
        <w:t>Effets négatifs des produits agrochimiques sur les oiseaux d’eau migrateurs en Afrique</w:t>
      </w:r>
      <w:r w:rsidR="00FD2552">
        <w:rPr>
          <w:b/>
          <w:i/>
          <w:szCs w:val="22"/>
          <w:lang w:val="fr-FR"/>
        </w:rPr>
        <w:t>.</w:t>
      </w:r>
    </w:p>
    <w:p w14:paraId="3F9DF058" w14:textId="77777777" w:rsidR="003C65F8" w:rsidRPr="00A72965" w:rsidRDefault="003C65F8" w:rsidP="00BA154F">
      <w:pPr>
        <w:jc w:val="both"/>
        <w:rPr>
          <w:b/>
          <w:szCs w:val="22"/>
          <w:lang w:val="fr-FR"/>
        </w:rPr>
      </w:pPr>
      <w:r w:rsidRPr="00A72965">
        <w:rPr>
          <w:b/>
          <w:szCs w:val="22"/>
          <w:lang w:val="fr-FR"/>
        </w:rPr>
        <w:t xml:space="preserve"> </w:t>
      </w:r>
    </w:p>
    <w:p w14:paraId="291A43A0" w14:textId="77777777" w:rsidR="003C65F8" w:rsidRPr="00A72965" w:rsidRDefault="003C65F8" w:rsidP="00BA154F">
      <w:pPr>
        <w:jc w:val="both"/>
        <w:rPr>
          <w:szCs w:val="22"/>
          <w:lang w:val="fr-FR"/>
        </w:rPr>
      </w:pPr>
      <w:r w:rsidRPr="00A72965">
        <w:rPr>
          <w:szCs w:val="22"/>
          <w:lang w:val="fr-FR"/>
        </w:rPr>
        <w:t xml:space="preserve">281. Le Président a noté que cet avant-projet de résolution avait été examiné par le WG1 et il a invité l’assemblée à faire des commentaires. Il n’y a pas eu d’autres commentaires et à l’invitation du Président, la réunion a adopté le DR12 </w:t>
      </w:r>
      <w:proofErr w:type="spellStart"/>
      <w:r w:rsidRPr="00A72965">
        <w:rPr>
          <w:szCs w:val="22"/>
          <w:lang w:val="fr-FR"/>
        </w:rPr>
        <w:t>Rév</w:t>
      </w:r>
      <w:proofErr w:type="spellEnd"/>
      <w:r w:rsidRPr="00A72965">
        <w:rPr>
          <w:szCs w:val="22"/>
          <w:lang w:val="fr-FR"/>
        </w:rPr>
        <w:t>. 2 par consensus, sans autre amendement.</w:t>
      </w:r>
    </w:p>
    <w:p w14:paraId="6FA11AED" w14:textId="77777777" w:rsidR="003C65F8" w:rsidRPr="00A72965" w:rsidRDefault="003C65F8" w:rsidP="00BA154F">
      <w:pPr>
        <w:jc w:val="both"/>
        <w:rPr>
          <w:szCs w:val="22"/>
          <w:lang w:val="fr-FR"/>
        </w:rPr>
      </w:pPr>
    </w:p>
    <w:p w14:paraId="1292F315" w14:textId="58CFC329" w:rsidR="003C65F8" w:rsidRPr="00A72965" w:rsidRDefault="003C65F8" w:rsidP="00BA154F">
      <w:pPr>
        <w:jc w:val="both"/>
        <w:rPr>
          <w:b/>
          <w:i/>
          <w:szCs w:val="22"/>
          <w:lang w:val="fr-FR"/>
        </w:rPr>
      </w:pPr>
      <w:r w:rsidRPr="00A72965">
        <w:rPr>
          <w:b/>
          <w:szCs w:val="22"/>
          <w:lang w:val="fr-FR"/>
        </w:rPr>
        <w:t xml:space="preserve">DR13 </w:t>
      </w:r>
      <w:proofErr w:type="spellStart"/>
      <w:r w:rsidRPr="00A72965">
        <w:rPr>
          <w:b/>
          <w:szCs w:val="22"/>
          <w:lang w:val="fr-FR"/>
        </w:rPr>
        <w:t>Rév</w:t>
      </w:r>
      <w:proofErr w:type="spellEnd"/>
      <w:r w:rsidRPr="00A72965">
        <w:rPr>
          <w:b/>
          <w:szCs w:val="22"/>
          <w:lang w:val="fr-FR"/>
        </w:rPr>
        <w:t xml:space="preserve">. 1 </w:t>
      </w:r>
      <w:r w:rsidRPr="00A72965">
        <w:rPr>
          <w:b/>
          <w:i/>
          <w:szCs w:val="22"/>
          <w:lang w:val="fr-FR"/>
        </w:rPr>
        <w:t>Changement climatique et mesures d’adaptation pour les oiseaux d’eau</w:t>
      </w:r>
      <w:r w:rsidR="00FD2552">
        <w:rPr>
          <w:b/>
          <w:i/>
          <w:szCs w:val="22"/>
          <w:lang w:val="fr-FR"/>
        </w:rPr>
        <w:t>.</w:t>
      </w:r>
    </w:p>
    <w:p w14:paraId="2A841F35" w14:textId="77777777" w:rsidR="003C65F8" w:rsidRPr="00A72965" w:rsidRDefault="003C65F8" w:rsidP="00BA154F">
      <w:pPr>
        <w:jc w:val="both"/>
        <w:rPr>
          <w:b/>
          <w:szCs w:val="22"/>
          <w:lang w:val="fr-FR"/>
        </w:rPr>
      </w:pPr>
      <w:r w:rsidRPr="00A72965">
        <w:rPr>
          <w:b/>
          <w:szCs w:val="22"/>
          <w:lang w:val="fr-FR"/>
        </w:rPr>
        <w:t xml:space="preserve"> </w:t>
      </w:r>
    </w:p>
    <w:p w14:paraId="29ADFF09" w14:textId="77777777" w:rsidR="003C65F8" w:rsidRPr="00A72965" w:rsidRDefault="003C65F8" w:rsidP="00BA154F">
      <w:pPr>
        <w:jc w:val="both"/>
        <w:rPr>
          <w:szCs w:val="22"/>
          <w:lang w:val="fr-FR"/>
        </w:rPr>
      </w:pPr>
      <w:r w:rsidRPr="00A72965">
        <w:rPr>
          <w:szCs w:val="22"/>
          <w:lang w:val="fr-FR"/>
        </w:rPr>
        <w:t xml:space="preserve">282. Le Président a noté que cet avant-projet de résolution avait été examiné par le WG1 et il a invité l’assemblée à faire des commentaires. Il n’y a pas eu d’autres commentaires et à l’invitation du Président, la réunion a adopté le DR13 </w:t>
      </w:r>
      <w:proofErr w:type="spellStart"/>
      <w:r w:rsidRPr="00A72965">
        <w:rPr>
          <w:szCs w:val="22"/>
          <w:lang w:val="fr-FR"/>
        </w:rPr>
        <w:t>Rév</w:t>
      </w:r>
      <w:proofErr w:type="spellEnd"/>
      <w:r w:rsidRPr="00A72965">
        <w:rPr>
          <w:szCs w:val="22"/>
          <w:lang w:val="fr-FR"/>
        </w:rPr>
        <w:t>. 1 par consensus, sans autre amendement.</w:t>
      </w:r>
    </w:p>
    <w:p w14:paraId="131DBA63" w14:textId="77777777" w:rsidR="003C65F8" w:rsidRPr="00A72965" w:rsidRDefault="003C65F8" w:rsidP="00BA154F">
      <w:pPr>
        <w:jc w:val="both"/>
        <w:rPr>
          <w:szCs w:val="22"/>
          <w:lang w:val="fr-FR"/>
        </w:rPr>
      </w:pPr>
    </w:p>
    <w:p w14:paraId="768431B1" w14:textId="357EEFBC" w:rsidR="003C65F8" w:rsidRPr="00A72965" w:rsidRDefault="003C65F8" w:rsidP="00BA154F">
      <w:pPr>
        <w:jc w:val="both"/>
        <w:rPr>
          <w:b/>
          <w:i/>
          <w:szCs w:val="22"/>
          <w:lang w:val="fr-FR"/>
        </w:rPr>
      </w:pPr>
      <w:r w:rsidRPr="00A72965">
        <w:rPr>
          <w:b/>
          <w:szCs w:val="22"/>
          <w:lang w:val="fr-FR"/>
        </w:rPr>
        <w:t xml:space="preserve">DR14 </w:t>
      </w:r>
      <w:proofErr w:type="spellStart"/>
      <w:r w:rsidRPr="00A72965">
        <w:rPr>
          <w:b/>
          <w:szCs w:val="22"/>
          <w:lang w:val="fr-FR"/>
        </w:rPr>
        <w:t>Rév</w:t>
      </w:r>
      <w:proofErr w:type="spellEnd"/>
      <w:r w:rsidRPr="00A72965">
        <w:rPr>
          <w:b/>
          <w:szCs w:val="22"/>
          <w:lang w:val="fr-FR"/>
        </w:rPr>
        <w:t xml:space="preserve">. 3 </w:t>
      </w:r>
      <w:r w:rsidRPr="00A72965">
        <w:rPr>
          <w:b/>
          <w:i/>
          <w:szCs w:val="22"/>
          <w:lang w:val="fr-FR"/>
        </w:rPr>
        <w:t>Oiseaux d’eau, zones humides et impacts des industries extractives</w:t>
      </w:r>
      <w:r w:rsidR="00FD2552">
        <w:rPr>
          <w:b/>
          <w:i/>
          <w:szCs w:val="22"/>
          <w:lang w:val="fr-FR"/>
        </w:rPr>
        <w:t>.</w:t>
      </w:r>
    </w:p>
    <w:p w14:paraId="48734950" w14:textId="77777777" w:rsidR="003C65F8" w:rsidRPr="00A72965" w:rsidRDefault="003C65F8" w:rsidP="00BA154F">
      <w:pPr>
        <w:jc w:val="both"/>
        <w:rPr>
          <w:b/>
          <w:szCs w:val="22"/>
          <w:lang w:val="fr-FR"/>
        </w:rPr>
      </w:pPr>
      <w:r w:rsidRPr="00A72965">
        <w:rPr>
          <w:b/>
          <w:szCs w:val="22"/>
          <w:lang w:val="fr-FR"/>
        </w:rPr>
        <w:t xml:space="preserve"> </w:t>
      </w:r>
    </w:p>
    <w:p w14:paraId="09D05F34" w14:textId="77777777" w:rsidR="003C65F8" w:rsidRPr="00A72965" w:rsidRDefault="003C65F8" w:rsidP="00BA154F">
      <w:pPr>
        <w:jc w:val="both"/>
        <w:rPr>
          <w:szCs w:val="22"/>
          <w:lang w:val="fr-FR"/>
        </w:rPr>
      </w:pPr>
      <w:r w:rsidRPr="00A72965">
        <w:rPr>
          <w:szCs w:val="22"/>
          <w:lang w:val="fr-FR"/>
        </w:rPr>
        <w:t xml:space="preserve">283. Le Président a noté que cet avant-projet de résolution avait été examiné par le WG1 et il a invité l’assemblée à faire des commentaires. Il n’y a pas eu d’autres commentaires et à l’invitation du Président, la réunion a adopté le DR14 </w:t>
      </w:r>
      <w:proofErr w:type="spellStart"/>
      <w:r w:rsidRPr="00A72965">
        <w:rPr>
          <w:szCs w:val="22"/>
          <w:lang w:val="fr-FR"/>
        </w:rPr>
        <w:t>Rév</w:t>
      </w:r>
      <w:proofErr w:type="spellEnd"/>
      <w:r w:rsidRPr="00A72965">
        <w:rPr>
          <w:szCs w:val="22"/>
          <w:lang w:val="fr-FR"/>
        </w:rPr>
        <w:t>. 3 par consensus, sans autre amendement.</w:t>
      </w:r>
    </w:p>
    <w:p w14:paraId="19E0F8E7" w14:textId="77777777" w:rsidR="003C65F8" w:rsidRPr="00A72965" w:rsidRDefault="003C65F8" w:rsidP="00BA154F">
      <w:pPr>
        <w:jc w:val="both"/>
        <w:rPr>
          <w:szCs w:val="22"/>
          <w:lang w:val="fr-FR"/>
        </w:rPr>
      </w:pPr>
    </w:p>
    <w:p w14:paraId="66B9736F" w14:textId="77777777" w:rsidR="003C65F8" w:rsidRPr="00A72965" w:rsidRDefault="003C65F8" w:rsidP="00BA154F">
      <w:pPr>
        <w:jc w:val="both"/>
        <w:rPr>
          <w:b/>
          <w:i/>
          <w:szCs w:val="22"/>
          <w:lang w:val="fr-FR"/>
        </w:rPr>
      </w:pPr>
      <w:r w:rsidRPr="00A72965">
        <w:rPr>
          <w:b/>
          <w:szCs w:val="22"/>
          <w:lang w:val="fr-FR"/>
        </w:rPr>
        <w:t xml:space="preserve">DR15 </w:t>
      </w:r>
      <w:proofErr w:type="spellStart"/>
      <w:r w:rsidRPr="00A72965">
        <w:rPr>
          <w:b/>
          <w:szCs w:val="22"/>
          <w:lang w:val="fr-FR"/>
        </w:rPr>
        <w:t>Rév</w:t>
      </w:r>
      <w:proofErr w:type="spellEnd"/>
      <w:r w:rsidRPr="00A72965">
        <w:rPr>
          <w:b/>
          <w:szCs w:val="22"/>
          <w:lang w:val="fr-FR"/>
        </w:rPr>
        <w:t xml:space="preserve">. 2 </w:t>
      </w:r>
      <w:r w:rsidRPr="00A72965">
        <w:rPr>
          <w:b/>
          <w:i/>
          <w:szCs w:val="22"/>
          <w:lang w:val="fr-FR"/>
        </w:rPr>
        <w:t>Impact des herbes aquatiques étrangères invasives sur les habitats des oiseaux d’eau en Afrique.</w:t>
      </w:r>
    </w:p>
    <w:p w14:paraId="738E4808" w14:textId="77777777" w:rsidR="003C65F8" w:rsidRPr="00A72965" w:rsidRDefault="003C65F8" w:rsidP="00BA154F">
      <w:pPr>
        <w:jc w:val="both"/>
        <w:rPr>
          <w:b/>
          <w:szCs w:val="22"/>
          <w:lang w:val="fr-FR"/>
        </w:rPr>
      </w:pPr>
      <w:r w:rsidRPr="00A72965">
        <w:rPr>
          <w:b/>
          <w:szCs w:val="22"/>
          <w:lang w:val="fr-FR"/>
        </w:rPr>
        <w:t xml:space="preserve"> </w:t>
      </w:r>
    </w:p>
    <w:p w14:paraId="346E4B86" w14:textId="77777777" w:rsidR="003C65F8" w:rsidRPr="00A72965" w:rsidRDefault="003C65F8" w:rsidP="00BA154F">
      <w:pPr>
        <w:jc w:val="both"/>
        <w:rPr>
          <w:szCs w:val="22"/>
          <w:lang w:val="fr-FR"/>
        </w:rPr>
      </w:pPr>
      <w:r w:rsidRPr="00A72965">
        <w:rPr>
          <w:szCs w:val="22"/>
          <w:lang w:val="fr-FR"/>
        </w:rPr>
        <w:t>284. Le Président a noté que cet avant-projet de résolution avait été examiné par le WG1. Il a invité l’assemblée à faire des commentaires</w:t>
      </w:r>
    </w:p>
    <w:p w14:paraId="666E9878" w14:textId="085022BE" w:rsidR="003C65F8" w:rsidRPr="00A72965" w:rsidRDefault="003C65F8" w:rsidP="00BA154F">
      <w:pPr>
        <w:jc w:val="both"/>
        <w:rPr>
          <w:szCs w:val="22"/>
          <w:lang w:val="fr-FR"/>
        </w:rPr>
      </w:pPr>
      <w:r w:rsidRPr="00A72965">
        <w:rPr>
          <w:szCs w:val="22"/>
          <w:lang w:val="fr-FR"/>
        </w:rPr>
        <w:t>285. Les</w:t>
      </w:r>
      <w:r w:rsidRPr="00A72965">
        <w:rPr>
          <w:b/>
          <w:szCs w:val="22"/>
          <w:lang w:val="fr-FR"/>
        </w:rPr>
        <w:t xml:space="preserve"> représentants de </w:t>
      </w:r>
      <w:r w:rsidRPr="00A72965">
        <w:rPr>
          <w:szCs w:val="22"/>
          <w:lang w:val="fr-FR"/>
        </w:rPr>
        <w:t>l’</w:t>
      </w:r>
      <w:r w:rsidRPr="00A72965">
        <w:rPr>
          <w:b/>
          <w:szCs w:val="22"/>
          <w:lang w:val="fr-FR"/>
        </w:rPr>
        <w:t>U</w:t>
      </w:r>
      <w:r w:rsidR="00FD2552">
        <w:rPr>
          <w:b/>
          <w:szCs w:val="22"/>
          <w:lang w:val="fr-FR"/>
        </w:rPr>
        <w:t>nion européenne</w:t>
      </w:r>
      <w:r w:rsidRPr="00A72965">
        <w:rPr>
          <w:b/>
          <w:szCs w:val="22"/>
          <w:lang w:val="fr-FR"/>
        </w:rPr>
        <w:t xml:space="preserve"> et de ses États membres</w:t>
      </w:r>
      <w:r w:rsidRPr="00A72965">
        <w:rPr>
          <w:szCs w:val="22"/>
          <w:lang w:val="fr-FR"/>
        </w:rPr>
        <w:t xml:space="preserve"> ont présenté un amendement au 5</w:t>
      </w:r>
      <w:r w:rsidRPr="00A72965">
        <w:rPr>
          <w:szCs w:val="22"/>
          <w:vertAlign w:val="superscript"/>
          <w:lang w:val="fr-FR"/>
        </w:rPr>
        <w:t>ème</w:t>
      </w:r>
      <w:r w:rsidRPr="00A72965">
        <w:rPr>
          <w:szCs w:val="22"/>
          <w:lang w:val="fr-FR"/>
        </w:rPr>
        <w:t xml:space="preserve"> paragraphe du préambule, à sav</w:t>
      </w:r>
      <w:r w:rsidR="00FD2552">
        <w:rPr>
          <w:szCs w:val="22"/>
          <w:lang w:val="fr-FR"/>
        </w:rPr>
        <w:t>oir l’ajout de : « du voyage, du</w:t>
      </w:r>
      <w:r w:rsidRPr="00A72965">
        <w:rPr>
          <w:szCs w:val="22"/>
          <w:lang w:val="fr-FR"/>
        </w:rPr>
        <w:t xml:space="preserve"> commerce » après « l’érection de barrages ». </w:t>
      </w:r>
    </w:p>
    <w:p w14:paraId="3BDC22DD" w14:textId="77777777" w:rsidR="003C65F8" w:rsidRPr="00A72965" w:rsidRDefault="003C65F8" w:rsidP="00BA154F">
      <w:pPr>
        <w:jc w:val="both"/>
        <w:rPr>
          <w:szCs w:val="22"/>
          <w:lang w:val="fr-FR"/>
        </w:rPr>
      </w:pPr>
    </w:p>
    <w:p w14:paraId="07324803" w14:textId="77777777" w:rsidR="003C65F8" w:rsidRPr="00A72965" w:rsidRDefault="003C65F8" w:rsidP="00BA154F">
      <w:pPr>
        <w:jc w:val="both"/>
        <w:rPr>
          <w:szCs w:val="22"/>
          <w:lang w:val="fr-FR"/>
        </w:rPr>
      </w:pPr>
      <w:r w:rsidRPr="00A72965">
        <w:rPr>
          <w:szCs w:val="22"/>
          <w:lang w:val="fr-FR"/>
        </w:rPr>
        <w:t xml:space="preserve">286. Il n’y a pas eu d’autres commentaires et à l’invitation du Président, la réunion a approuvé le DR15 </w:t>
      </w:r>
      <w:proofErr w:type="spellStart"/>
      <w:r w:rsidRPr="00A72965">
        <w:rPr>
          <w:szCs w:val="22"/>
          <w:lang w:val="fr-FR"/>
        </w:rPr>
        <w:t>Rév</w:t>
      </w:r>
      <w:proofErr w:type="spellEnd"/>
      <w:r w:rsidRPr="00A72965">
        <w:rPr>
          <w:szCs w:val="22"/>
          <w:lang w:val="fr-FR"/>
        </w:rPr>
        <w:t>. 2, sous réserve de l’incorporation de l’amendement présenté par l’UE.</w:t>
      </w:r>
    </w:p>
    <w:p w14:paraId="2F0158C2" w14:textId="77777777" w:rsidR="003C65F8" w:rsidRPr="00A72965" w:rsidRDefault="003C65F8" w:rsidP="00BA154F">
      <w:pPr>
        <w:jc w:val="both"/>
        <w:rPr>
          <w:szCs w:val="22"/>
          <w:lang w:val="fr-FR"/>
        </w:rPr>
      </w:pPr>
    </w:p>
    <w:p w14:paraId="61B6D0C2" w14:textId="05519916" w:rsidR="003C65F8" w:rsidRPr="00A72965" w:rsidRDefault="003C65F8" w:rsidP="00BA154F">
      <w:pPr>
        <w:jc w:val="both"/>
        <w:rPr>
          <w:b/>
          <w:szCs w:val="22"/>
          <w:lang w:val="fr-FR"/>
        </w:rPr>
      </w:pPr>
      <w:r w:rsidRPr="00A72965">
        <w:rPr>
          <w:b/>
          <w:szCs w:val="22"/>
          <w:lang w:val="fr-FR"/>
        </w:rPr>
        <w:t xml:space="preserve">DR16 </w:t>
      </w:r>
      <w:proofErr w:type="spellStart"/>
      <w:r w:rsidRPr="00A72965">
        <w:rPr>
          <w:b/>
          <w:szCs w:val="22"/>
          <w:lang w:val="fr-FR"/>
        </w:rPr>
        <w:t>Rév</w:t>
      </w:r>
      <w:proofErr w:type="spellEnd"/>
      <w:r w:rsidRPr="00A72965">
        <w:rPr>
          <w:b/>
          <w:szCs w:val="22"/>
          <w:lang w:val="fr-FR"/>
        </w:rPr>
        <w:t xml:space="preserve">. 2 </w:t>
      </w:r>
      <w:r w:rsidRPr="00A72965">
        <w:rPr>
          <w:b/>
          <w:i/>
          <w:szCs w:val="22"/>
          <w:lang w:val="fr-FR"/>
        </w:rPr>
        <w:t>Énergie renouvelable et oiseaux d'eau migrateurs</w:t>
      </w:r>
      <w:r w:rsidR="00FD2552">
        <w:rPr>
          <w:b/>
          <w:i/>
          <w:szCs w:val="22"/>
          <w:lang w:val="fr-FR"/>
        </w:rPr>
        <w:t>.</w:t>
      </w:r>
      <w:r w:rsidRPr="00A72965">
        <w:rPr>
          <w:b/>
          <w:szCs w:val="22"/>
          <w:lang w:val="fr-FR"/>
        </w:rPr>
        <w:t xml:space="preserve"> </w:t>
      </w:r>
    </w:p>
    <w:p w14:paraId="3D738ADA" w14:textId="77777777" w:rsidR="003C65F8" w:rsidRPr="00A72965" w:rsidRDefault="003C65F8" w:rsidP="00BA154F">
      <w:pPr>
        <w:jc w:val="both"/>
        <w:rPr>
          <w:b/>
          <w:szCs w:val="22"/>
          <w:lang w:val="fr-FR"/>
        </w:rPr>
      </w:pPr>
    </w:p>
    <w:p w14:paraId="14A2A803" w14:textId="266A8E1A" w:rsidR="003C65F8" w:rsidRPr="00A72965" w:rsidRDefault="003C65F8" w:rsidP="00BA154F">
      <w:pPr>
        <w:jc w:val="both"/>
        <w:rPr>
          <w:szCs w:val="22"/>
          <w:lang w:val="fr-FR"/>
        </w:rPr>
      </w:pPr>
      <w:r w:rsidRPr="00A72965">
        <w:rPr>
          <w:szCs w:val="22"/>
          <w:lang w:val="fr-FR"/>
        </w:rPr>
        <w:t xml:space="preserve">287. Le </w:t>
      </w:r>
      <w:r w:rsidRPr="00A72965">
        <w:rPr>
          <w:b/>
          <w:szCs w:val="22"/>
          <w:lang w:val="fr-FR"/>
        </w:rPr>
        <w:t>Président</w:t>
      </w:r>
      <w:r w:rsidRPr="00A72965">
        <w:rPr>
          <w:szCs w:val="22"/>
          <w:lang w:val="fr-FR"/>
        </w:rPr>
        <w:t xml:space="preserve"> a noté que cet avant-projet de résolution avait été examiné par le WG1. La note explicative a été supprimée et plusieurs autres amendements introduits pour être soumis à l’assemblée. Il a invité celle-ci à faire des commentaires. Il n’y a pas eu d’autres commentaires et à l’invitation du Président, la réunion a adopté le DR16 </w:t>
      </w:r>
      <w:proofErr w:type="spellStart"/>
      <w:r w:rsidRPr="00A72965">
        <w:rPr>
          <w:szCs w:val="22"/>
          <w:lang w:val="fr-FR"/>
        </w:rPr>
        <w:t>Rév</w:t>
      </w:r>
      <w:proofErr w:type="spellEnd"/>
      <w:r w:rsidRPr="00A72965">
        <w:rPr>
          <w:szCs w:val="22"/>
          <w:lang w:val="fr-FR"/>
        </w:rPr>
        <w:t>. 2 par consensus, sans autre amendement</w:t>
      </w:r>
      <w:r w:rsidR="00FD2552">
        <w:rPr>
          <w:szCs w:val="22"/>
          <w:lang w:val="fr-FR"/>
        </w:rPr>
        <w:t>.</w:t>
      </w:r>
    </w:p>
    <w:p w14:paraId="3F143443" w14:textId="77777777" w:rsidR="003C65F8" w:rsidRPr="00A72965" w:rsidRDefault="003C65F8" w:rsidP="00BA154F">
      <w:pPr>
        <w:jc w:val="both"/>
        <w:rPr>
          <w:szCs w:val="22"/>
          <w:lang w:val="fr-FR"/>
        </w:rPr>
      </w:pPr>
    </w:p>
    <w:p w14:paraId="0525B886" w14:textId="77777777" w:rsidR="003C65F8" w:rsidRPr="00A72965" w:rsidRDefault="003C65F8" w:rsidP="00BA154F">
      <w:pPr>
        <w:jc w:val="both"/>
        <w:rPr>
          <w:b/>
          <w:i/>
          <w:szCs w:val="22"/>
          <w:lang w:val="fr-FR"/>
        </w:rPr>
      </w:pPr>
      <w:r w:rsidRPr="00A72965">
        <w:rPr>
          <w:b/>
          <w:szCs w:val="22"/>
          <w:lang w:val="fr-FR"/>
        </w:rPr>
        <w:t xml:space="preserve">DR17 </w:t>
      </w:r>
      <w:proofErr w:type="spellStart"/>
      <w:r w:rsidRPr="00A72965">
        <w:rPr>
          <w:b/>
          <w:szCs w:val="22"/>
          <w:lang w:val="fr-FR"/>
        </w:rPr>
        <w:t>Rév</w:t>
      </w:r>
      <w:proofErr w:type="spellEnd"/>
      <w:r w:rsidRPr="00A72965">
        <w:rPr>
          <w:b/>
          <w:szCs w:val="22"/>
          <w:lang w:val="fr-FR"/>
        </w:rPr>
        <w:t xml:space="preserve">. 2 </w:t>
      </w:r>
      <w:r w:rsidRPr="00A72965">
        <w:rPr>
          <w:b/>
          <w:i/>
          <w:szCs w:val="22"/>
          <w:lang w:val="fr-FR"/>
        </w:rPr>
        <w:t>Dispositifs institutionnels</w:t>
      </w:r>
      <w:r w:rsidRPr="00A72965">
        <w:rPr>
          <w:b/>
          <w:szCs w:val="22"/>
          <w:lang w:val="fr-FR"/>
        </w:rPr>
        <w:t> :</w:t>
      </w:r>
      <w:r w:rsidRPr="00A72965">
        <w:rPr>
          <w:b/>
          <w:i/>
          <w:szCs w:val="22"/>
          <w:lang w:val="fr-FR"/>
        </w:rPr>
        <w:t xml:space="preserve"> Comité permanent.</w:t>
      </w:r>
    </w:p>
    <w:p w14:paraId="1324996A" w14:textId="77777777" w:rsidR="003C65F8" w:rsidRPr="00A72965" w:rsidRDefault="003C65F8" w:rsidP="00BA154F">
      <w:pPr>
        <w:jc w:val="both"/>
        <w:rPr>
          <w:b/>
          <w:szCs w:val="22"/>
          <w:lang w:val="fr-FR"/>
        </w:rPr>
      </w:pPr>
      <w:r w:rsidRPr="00A72965">
        <w:rPr>
          <w:b/>
          <w:szCs w:val="22"/>
          <w:lang w:val="fr-FR"/>
        </w:rPr>
        <w:t xml:space="preserve"> </w:t>
      </w:r>
    </w:p>
    <w:p w14:paraId="7E1E3BD7" w14:textId="77777777" w:rsidR="003C65F8" w:rsidRPr="00A72965" w:rsidRDefault="003C65F8" w:rsidP="00BA154F">
      <w:pPr>
        <w:jc w:val="both"/>
        <w:rPr>
          <w:szCs w:val="22"/>
          <w:lang w:val="fr-FR"/>
        </w:rPr>
      </w:pPr>
      <w:r w:rsidRPr="00A72965">
        <w:rPr>
          <w:szCs w:val="22"/>
          <w:lang w:val="fr-FR"/>
        </w:rPr>
        <w:t>288. Cet avant-projet de résolution a été examiné et adopté sous le point 26 a de l’ordre du jour (voir paragraphes 201–207).</w:t>
      </w:r>
    </w:p>
    <w:p w14:paraId="68EA9A1E" w14:textId="77777777" w:rsidR="003C65F8" w:rsidRPr="00A72965" w:rsidRDefault="003C65F8" w:rsidP="00BA154F">
      <w:pPr>
        <w:jc w:val="both"/>
        <w:rPr>
          <w:szCs w:val="22"/>
          <w:lang w:val="fr-FR"/>
        </w:rPr>
      </w:pPr>
    </w:p>
    <w:p w14:paraId="0B276A36" w14:textId="77777777" w:rsidR="003C65F8" w:rsidRPr="00A72965" w:rsidRDefault="003C65F8" w:rsidP="00BA154F">
      <w:pPr>
        <w:jc w:val="both"/>
        <w:rPr>
          <w:b/>
          <w:szCs w:val="22"/>
          <w:lang w:val="fr-FR"/>
        </w:rPr>
      </w:pPr>
      <w:r w:rsidRPr="00A72965">
        <w:rPr>
          <w:b/>
          <w:szCs w:val="22"/>
          <w:lang w:val="fr-FR"/>
        </w:rPr>
        <w:t xml:space="preserve">DR18 </w:t>
      </w:r>
      <w:proofErr w:type="spellStart"/>
      <w:r w:rsidRPr="00A72965">
        <w:rPr>
          <w:b/>
          <w:szCs w:val="22"/>
          <w:lang w:val="fr-FR"/>
        </w:rPr>
        <w:t>Rév</w:t>
      </w:r>
      <w:proofErr w:type="spellEnd"/>
      <w:r w:rsidRPr="00A72965">
        <w:rPr>
          <w:b/>
          <w:szCs w:val="22"/>
          <w:lang w:val="fr-FR"/>
        </w:rPr>
        <w:t xml:space="preserve">. 3 </w:t>
      </w:r>
      <w:r w:rsidRPr="00A72965">
        <w:rPr>
          <w:b/>
          <w:i/>
          <w:szCs w:val="22"/>
          <w:lang w:val="fr-FR"/>
        </w:rPr>
        <w:t>Dispositifs institutionnels</w:t>
      </w:r>
      <w:r w:rsidRPr="00A72965">
        <w:rPr>
          <w:b/>
          <w:szCs w:val="22"/>
          <w:lang w:val="fr-FR"/>
        </w:rPr>
        <w:t> :</w:t>
      </w:r>
      <w:r w:rsidRPr="00A72965">
        <w:rPr>
          <w:b/>
          <w:i/>
          <w:szCs w:val="22"/>
          <w:lang w:val="fr-FR"/>
        </w:rPr>
        <w:t xml:space="preserve"> Comité technique.</w:t>
      </w:r>
      <w:r w:rsidRPr="00A72965">
        <w:rPr>
          <w:b/>
          <w:szCs w:val="22"/>
          <w:lang w:val="fr-FR"/>
        </w:rPr>
        <w:t xml:space="preserve"> </w:t>
      </w:r>
    </w:p>
    <w:p w14:paraId="02225005" w14:textId="77777777" w:rsidR="003C65F8" w:rsidRPr="00A72965" w:rsidRDefault="003C65F8" w:rsidP="00BA154F">
      <w:pPr>
        <w:jc w:val="both"/>
        <w:rPr>
          <w:b/>
          <w:szCs w:val="22"/>
          <w:lang w:val="fr-FR"/>
        </w:rPr>
      </w:pPr>
    </w:p>
    <w:p w14:paraId="79647E58" w14:textId="77777777" w:rsidR="003C65F8" w:rsidRPr="00A72965" w:rsidRDefault="003C65F8" w:rsidP="00BA154F">
      <w:pPr>
        <w:jc w:val="both"/>
        <w:rPr>
          <w:szCs w:val="22"/>
          <w:lang w:val="fr-FR"/>
        </w:rPr>
      </w:pPr>
      <w:r w:rsidRPr="00A72965">
        <w:rPr>
          <w:szCs w:val="22"/>
          <w:lang w:val="fr-FR"/>
        </w:rPr>
        <w:t xml:space="preserve">289. Le </w:t>
      </w:r>
      <w:r w:rsidRPr="00A72965">
        <w:rPr>
          <w:b/>
          <w:szCs w:val="22"/>
          <w:lang w:val="fr-FR"/>
        </w:rPr>
        <w:t xml:space="preserve">Président </w:t>
      </w:r>
      <w:r w:rsidRPr="00A72965">
        <w:rPr>
          <w:szCs w:val="22"/>
          <w:lang w:val="fr-FR"/>
        </w:rPr>
        <w:t xml:space="preserve">a noté que cet avant-projet de résolution avait été examiné par le WG1 et il a invité l’assemblée à faire des commentaires. Il n’y a pas eu d’autres commentaires et à l’invitation du Président, la réunion a adopté le DR18 </w:t>
      </w:r>
      <w:proofErr w:type="spellStart"/>
      <w:r w:rsidRPr="00A72965">
        <w:rPr>
          <w:szCs w:val="22"/>
          <w:lang w:val="fr-FR"/>
        </w:rPr>
        <w:t>Rév</w:t>
      </w:r>
      <w:proofErr w:type="spellEnd"/>
      <w:r w:rsidRPr="00A72965">
        <w:rPr>
          <w:szCs w:val="22"/>
          <w:lang w:val="fr-FR"/>
        </w:rPr>
        <w:t>. 3 par consensus, sans autre amendement.</w:t>
      </w:r>
    </w:p>
    <w:p w14:paraId="1F4FEE75" w14:textId="77777777" w:rsidR="003C65F8" w:rsidRPr="00A72965" w:rsidRDefault="003C65F8" w:rsidP="00BA154F">
      <w:pPr>
        <w:jc w:val="both"/>
        <w:rPr>
          <w:szCs w:val="22"/>
          <w:lang w:val="fr-FR"/>
        </w:rPr>
      </w:pPr>
    </w:p>
    <w:p w14:paraId="587BCBE7" w14:textId="60DA3C42" w:rsidR="003C65F8" w:rsidRPr="00A72965" w:rsidRDefault="003C65F8" w:rsidP="00BA154F">
      <w:pPr>
        <w:jc w:val="both"/>
        <w:rPr>
          <w:b/>
          <w:i/>
          <w:szCs w:val="22"/>
          <w:lang w:val="fr-FR"/>
        </w:rPr>
      </w:pPr>
      <w:r w:rsidRPr="00A72965">
        <w:rPr>
          <w:b/>
          <w:szCs w:val="22"/>
          <w:lang w:val="fr-FR"/>
        </w:rPr>
        <w:t xml:space="preserve">DR19 </w:t>
      </w:r>
      <w:proofErr w:type="spellStart"/>
      <w:r w:rsidRPr="00A72965">
        <w:rPr>
          <w:b/>
          <w:szCs w:val="22"/>
          <w:lang w:val="fr-FR"/>
        </w:rPr>
        <w:t>Rév</w:t>
      </w:r>
      <w:proofErr w:type="spellEnd"/>
      <w:r w:rsidRPr="00A72965">
        <w:rPr>
          <w:b/>
          <w:szCs w:val="22"/>
          <w:lang w:val="fr-FR"/>
        </w:rPr>
        <w:t xml:space="preserve">. 1 </w:t>
      </w:r>
      <w:r w:rsidRPr="00A72965">
        <w:rPr>
          <w:b/>
          <w:i/>
          <w:szCs w:val="22"/>
          <w:lang w:val="fr-FR"/>
        </w:rPr>
        <w:t xml:space="preserve">Encouragement de la poursuite de la mise en œuvre commune de l’AEWA et de la Convention de </w:t>
      </w:r>
      <w:proofErr w:type="spellStart"/>
      <w:r w:rsidRPr="00A72965">
        <w:rPr>
          <w:b/>
          <w:i/>
          <w:szCs w:val="22"/>
          <w:lang w:val="fr-FR"/>
        </w:rPr>
        <w:t>Ramsar</w:t>
      </w:r>
      <w:proofErr w:type="spellEnd"/>
      <w:r w:rsidR="00FD2552">
        <w:rPr>
          <w:b/>
          <w:i/>
          <w:szCs w:val="22"/>
          <w:lang w:val="fr-FR"/>
        </w:rPr>
        <w:t>.</w:t>
      </w:r>
    </w:p>
    <w:p w14:paraId="2F468E63" w14:textId="0AAB510E" w:rsidR="00FD2552" w:rsidRPr="00A72965" w:rsidRDefault="00FD2552" w:rsidP="00BA154F">
      <w:pPr>
        <w:jc w:val="both"/>
        <w:rPr>
          <w:b/>
          <w:szCs w:val="22"/>
          <w:lang w:val="fr-FR"/>
        </w:rPr>
      </w:pPr>
    </w:p>
    <w:p w14:paraId="5DC9B81E" w14:textId="77777777" w:rsidR="003C65F8" w:rsidRPr="00A72965" w:rsidRDefault="003C65F8" w:rsidP="00BA154F">
      <w:pPr>
        <w:jc w:val="both"/>
        <w:rPr>
          <w:szCs w:val="22"/>
          <w:lang w:val="fr-FR"/>
        </w:rPr>
      </w:pPr>
      <w:r w:rsidRPr="00A72965">
        <w:rPr>
          <w:szCs w:val="22"/>
          <w:lang w:val="fr-FR"/>
        </w:rPr>
        <w:t xml:space="preserve">290. Le </w:t>
      </w:r>
      <w:r w:rsidRPr="00A72965">
        <w:rPr>
          <w:b/>
          <w:szCs w:val="22"/>
          <w:lang w:val="fr-FR"/>
        </w:rPr>
        <w:t xml:space="preserve">Président </w:t>
      </w:r>
      <w:r w:rsidRPr="00A72965">
        <w:rPr>
          <w:szCs w:val="22"/>
          <w:lang w:val="fr-FR"/>
        </w:rPr>
        <w:t xml:space="preserve">a rappelé que cet avant-projet de résolution n’avait été examiné par aucun des groupes de travail, mais que le Secrétariat avait néanmoins préparé un texte révisé incluant plusieurs amendements portés à son attention. Il a invité à commenter ces amendements. Il n’y a pas eu d’autres commentaires et à l’invitation du Président, la réunion a adopté le DR19 </w:t>
      </w:r>
      <w:proofErr w:type="spellStart"/>
      <w:r w:rsidRPr="00A72965">
        <w:rPr>
          <w:szCs w:val="22"/>
          <w:lang w:val="fr-FR"/>
        </w:rPr>
        <w:t>Rév</w:t>
      </w:r>
      <w:proofErr w:type="spellEnd"/>
      <w:r w:rsidRPr="00A72965">
        <w:rPr>
          <w:szCs w:val="22"/>
          <w:lang w:val="fr-FR"/>
        </w:rPr>
        <w:t>. 1 par consensus, sans autre amendement.</w:t>
      </w:r>
    </w:p>
    <w:p w14:paraId="1EA933A9" w14:textId="77777777" w:rsidR="003C65F8" w:rsidRPr="00A72965" w:rsidRDefault="003C65F8" w:rsidP="00BA154F">
      <w:pPr>
        <w:jc w:val="both"/>
        <w:rPr>
          <w:szCs w:val="22"/>
          <w:lang w:val="fr-FR"/>
        </w:rPr>
      </w:pPr>
    </w:p>
    <w:p w14:paraId="5C2FAF49" w14:textId="77777777" w:rsidR="003C65F8" w:rsidRPr="00A72965" w:rsidRDefault="003C65F8" w:rsidP="00BA154F">
      <w:pPr>
        <w:jc w:val="both"/>
        <w:rPr>
          <w:b/>
          <w:szCs w:val="22"/>
          <w:lang w:val="fr-FR"/>
        </w:rPr>
      </w:pPr>
      <w:r w:rsidRPr="00A72965">
        <w:rPr>
          <w:b/>
          <w:szCs w:val="22"/>
          <w:lang w:val="fr-FR"/>
        </w:rPr>
        <w:t xml:space="preserve">DR20 </w:t>
      </w:r>
      <w:proofErr w:type="spellStart"/>
      <w:r w:rsidRPr="00A72965">
        <w:rPr>
          <w:b/>
          <w:szCs w:val="22"/>
          <w:lang w:val="fr-FR"/>
        </w:rPr>
        <w:t>Rév</w:t>
      </w:r>
      <w:proofErr w:type="spellEnd"/>
      <w:r w:rsidRPr="00A72965">
        <w:rPr>
          <w:b/>
          <w:szCs w:val="22"/>
          <w:lang w:val="fr-FR"/>
        </w:rPr>
        <w:t xml:space="preserve">. 1 </w:t>
      </w:r>
      <w:r w:rsidRPr="00A72965">
        <w:rPr>
          <w:b/>
          <w:i/>
          <w:szCs w:val="22"/>
          <w:lang w:val="fr-FR"/>
        </w:rPr>
        <w:t xml:space="preserve">Promouvoir des programmes de jumelage entre les sites naturels couverts par l’AEWA et le Réseau de sites </w:t>
      </w:r>
      <w:proofErr w:type="spellStart"/>
      <w:r w:rsidRPr="00A72965">
        <w:rPr>
          <w:b/>
          <w:i/>
          <w:szCs w:val="22"/>
          <w:lang w:val="fr-FR"/>
        </w:rPr>
        <w:t>Ramsar</w:t>
      </w:r>
      <w:proofErr w:type="spellEnd"/>
      <w:r w:rsidRPr="00A72965">
        <w:rPr>
          <w:b/>
          <w:i/>
          <w:szCs w:val="22"/>
          <w:lang w:val="fr-FR"/>
        </w:rPr>
        <w:t>.</w:t>
      </w:r>
      <w:r w:rsidRPr="00A72965">
        <w:rPr>
          <w:b/>
          <w:szCs w:val="22"/>
          <w:lang w:val="fr-FR"/>
        </w:rPr>
        <w:t xml:space="preserve"> </w:t>
      </w:r>
    </w:p>
    <w:p w14:paraId="69513AD5" w14:textId="77777777" w:rsidR="00FD2552" w:rsidRDefault="00FD2552" w:rsidP="00BA154F">
      <w:pPr>
        <w:jc w:val="both"/>
        <w:rPr>
          <w:szCs w:val="22"/>
          <w:lang w:val="fr-FR"/>
        </w:rPr>
      </w:pPr>
    </w:p>
    <w:p w14:paraId="25F60F34" w14:textId="77777777" w:rsidR="003C65F8" w:rsidRPr="00A72965" w:rsidRDefault="003C65F8" w:rsidP="00BA154F">
      <w:pPr>
        <w:jc w:val="both"/>
        <w:rPr>
          <w:szCs w:val="22"/>
          <w:lang w:val="fr-FR"/>
        </w:rPr>
      </w:pPr>
      <w:r w:rsidRPr="00A72965">
        <w:rPr>
          <w:szCs w:val="22"/>
          <w:lang w:val="fr-FR"/>
        </w:rPr>
        <w:t xml:space="preserve">291. Le Président a rappelé que cet avant-projet de résolution n’avait été examiné par aucun des groupes de travail, mais que le Secrétariat avait néanmoins préparé un texte révisé incluant plusieurs amendements portés à son attention. Il a invité à commenter ces amendements. Il n’y a pas eu d’autres commentaires et à l’invitation du Président, la réunion a adopté le DR20 </w:t>
      </w:r>
      <w:proofErr w:type="spellStart"/>
      <w:r w:rsidRPr="00A72965">
        <w:rPr>
          <w:szCs w:val="22"/>
          <w:lang w:val="fr-FR"/>
        </w:rPr>
        <w:t>Rév</w:t>
      </w:r>
      <w:proofErr w:type="spellEnd"/>
      <w:r w:rsidRPr="00A72965">
        <w:rPr>
          <w:szCs w:val="22"/>
          <w:lang w:val="fr-FR"/>
        </w:rPr>
        <w:t>. 1 par consensus, sans autre amendement.</w:t>
      </w:r>
    </w:p>
    <w:p w14:paraId="6BB1F363" w14:textId="77777777" w:rsidR="003C65F8" w:rsidRPr="00A72965" w:rsidRDefault="003C65F8" w:rsidP="00BA154F">
      <w:pPr>
        <w:jc w:val="both"/>
        <w:rPr>
          <w:szCs w:val="22"/>
          <w:lang w:val="fr-FR"/>
        </w:rPr>
      </w:pPr>
    </w:p>
    <w:p w14:paraId="24D31155" w14:textId="77777777" w:rsidR="003C65F8" w:rsidRPr="00A72965" w:rsidRDefault="003C65F8" w:rsidP="00BA154F">
      <w:pPr>
        <w:jc w:val="both"/>
        <w:rPr>
          <w:b/>
          <w:i/>
          <w:szCs w:val="22"/>
          <w:lang w:val="fr-FR"/>
        </w:rPr>
      </w:pPr>
      <w:r w:rsidRPr="00A72965">
        <w:rPr>
          <w:b/>
          <w:szCs w:val="22"/>
          <w:lang w:val="fr-FR"/>
        </w:rPr>
        <w:t xml:space="preserve">DR21 </w:t>
      </w:r>
      <w:proofErr w:type="spellStart"/>
      <w:r w:rsidRPr="00A72965">
        <w:rPr>
          <w:b/>
          <w:szCs w:val="22"/>
          <w:lang w:val="fr-FR"/>
        </w:rPr>
        <w:t>Rév</w:t>
      </w:r>
      <w:proofErr w:type="spellEnd"/>
      <w:r w:rsidRPr="00A72965">
        <w:rPr>
          <w:b/>
          <w:szCs w:val="22"/>
          <w:lang w:val="fr-FR"/>
        </w:rPr>
        <w:t xml:space="preserve">. 2 </w:t>
      </w:r>
      <w:r w:rsidRPr="00A72965">
        <w:rPr>
          <w:b/>
          <w:i/>
          <w:szCs w:val="22"/>
          <w:lang w:val="fr-FR"/>
        </w:rPr>
        <w:t>Questions financières et administratives.</w:t>
      </w:r>
    </w:p>
    <w:p w14:paraId="504CA0CD" w14:textId="77777777" w:rsidR="003C65F8" w:rsidRPr="00A72965" w:rsidRDefault="003C65F8" w:rsidP="00BA154F">
      <w:pPr>
        <w:jc w:val="both"/>
        <w:rPr>
          <w:b/>
          <w:szCs w:val="22"/>
          <w:lang w:val="fr-FR"/>
        </w:rPr>
      </w:pPr>
      <w:r w:rsidRPr="00A72965">
        <w:rPr>
          <w:b/>
          <w:szCs w:val="22"/>
          <w:lang w:val="fr-FR"/>
        </w:rPr>
        <w:t xml:space="preserve"> </w:t>
      </w:r>
    </w:p>
    <w:p w14:paraId="26C1B7C9" w14:textId="77777777" w:rsidR="003C65F8" w:rsidRPr="00A72965" w:rsidRDefault="003C65F8" w:rsidP="00BA154F">
      <w:pPr>
        <w:jc w:val="both"/>
        <w:rPr>
          <w:szCs w:val="22"/>
          <w:lang w:val="fr-FR"/>
        </w:rPr>
      </w:pPr>
      <w:r w:rsidRPr="00A72965">
        <w:rPr>
          <w:szCs w:val="22"/>
          <w:lang w:val="fr-FR"/>
        </w:rPr>
        <w:t>292. Le Président a noté que cet avant-projet de résolution avait été examiné par le WG2 et présenté par le Président du WG2 au point 29 de l’ordre du jour. Il a invité l’assemblée à faire des commentaires.</w:t>
      </w:r>
    </w:p>
    <w:p w14:paraId="70B44F4A" w14:textId="77777777" w:rsidR="003C65F8" w:rsidRPr="00A72965" w:rsidRDefault="003C65F8" w:rsidP="00BA154F">
      <w:pPr>
        <w:jc w:val="both"/>
        <w:rPr>
          <w:szCs w:val="22"/>
          <w:lang w:val="fr-FR"/>
        </w:rPr>
      </w:pPr>
      <w:r w:rsidRPr="00A72965">
        <w:rPr>
          <w:szCs w:val="22"/>
          <w:lang w:val="fr-FR"/>
        </w:rPr>
        <w:t xml:space="preserve"> </w:t>
      </w:r>
    </w:p>
    <w:p w14:paraId="5052CFB4" w14:textId="47B769EF" w:rsidR="003C65F8" w:rsidRPr="00A72965" w:rsidRDefault="003C65F8" w:rsidP="00BA154F">
      <w:pPr>
        <w:jc w:val="both"/>
        <w:rPr>
          <w:szCs w:val="22"/>
          <w:lang w:val="fr-FR"/>
        </w:rPr>
      </w:pPr>
      <w:r w:rsidRPr="00A72965">
        <w:rPr>
          <w:szCs w:val="22"/>
          <w:lang w:val="fr-FR"/>
        </w:rPr>
        <w:t xml:space="preserve">293. Le </w:t>
      </w:r>
      <w:r w:rsidRPr="00A72965">
        <w:rPr>
          <w:b/>
          <w:szCs w:val="22"/>
          <w:lang w:val="fr-FR"/>
        </w:rPr>
        <w:t>R</w:t>
      </w:r>
      <w:r w:rsidR="00FD2552">
        <w:rPr>
          <w:b/>
          <w:szCs w:val="22"/>
          <w:lang w:val="fr-FR"/>
        </w:rPr>
        <w:t>oyaume</w:t>
      </w:r>
      <w:r w:rsidRPr="00A72965">
        <w:rPr>
          <w:b/>
          <w:szCs w:val="22"/>
          <w:lang w:val="fr-FR"/>
        </w:rPr>
        <w:t>-U</w:t>
      </w:r>
      <w:r w:rsidR="00FD2552">
        <w:rPr>
          <w:b/>
          <w:szCs w:val="22"/>
          <w:lang w:val="fr-FR"/>
        </w:rPr>
        <w:t>ni</w:t>
      </w:r>
      <w:r w:rsidRPr="00A72965">
        <w:rPr>
          <w:szCs w:val="22"/>
          <w:lang w:val="fr-FR"/>
        </w:rPr>
        <w:t>, parlant au nom de</w:t>
      </w:r>
      <w:r w:rsidRPr="00A72965">
        <w:rPr>
          <w:b/>
          <w:szCs w:val="22"/>
          <w:lang w:val="fr-FR"/>
        </w:rPr>
        <w:t xml:space="preserve"> </w:t>
      </w:r>
      <w:r w:rsidRPr="00A72965">
        <w:rPr>
          <w:szCs w:val="22"/>
          <w:lang w:val="fr-FR"/>
        </w:rPr>
        <w:t>l’</w:t>
      </w:r>
      <w:r w:rsidRPr="00A72965">
        <w:rPr>
          <w:b/>
          <w:szCs w:val="22"/>
          <w:lang w:val="fr-FR"/>
        </w:rPr>
        <w:t>U</w:t>
      </w:r>
      <w:r w:rsidR="00FD2552">
        <w:rPr>
          <w:b/>
          <w:szCs w:val="22"/>
          <w:lang w:val="fr-FR"/>
        </w:rPr>
        <w:t>nion européenne</w:t>
      </w:r>
      <w:r w:rsidRPr="00A72965">
        <w:rPr>
          <w:b/>
          <w:szCs w:val="22"/>
          <w:lang w:val="fr-FR"/>
        </w:rPr>
        <w:t xml:space="preserve"> et de ses États membres</w:t>
      </w:r>
      <w:r w:rsidRPr="00A72965">
        <w:rPr>
          <w:szCs w:val="22"/>
          <w:lang w:val="fr-FR"/>
        </w:rPr>
        <w:t>, a remercié le Président du WG2 pour son habile direction des discussions du WG, ainsi que le Secrétariat pour son soutien. L’UE et ses États membres désiraient présenter les amendements suivants, pour refléter les conclusions du WG lors de sa dernière réunion :</w:t>
      </w:r>
    </w:p>
    <w:p w14:paraId="13F715F8" w14:textId="77777777" w:rsidR="003C65F8" w:rsidRPr="00A72965" w:rsidRDefault="003C65F8" w:rsidP="00BA154F">
      <w:pPr>
        <w:jc w:val="both"/>
        <w:rPr>
          <w:szCs w:val="22"/>
          <w:lang w:val="fr-FR"/>
        </w:rPr>
      </w:pPr>
    </w:p>
    <w:p w14:paraId="09127BF3" w14:textId="77777777" w:rsidR="003C65F8" w:rsidRPr="00A72965" w:rsidRDefault="003C65F8" w:rsidP="006537A2">
      <w:pPr>
        <w:pStyle w:val="ListParagraph"/>
        <w:numPr>
          <w:ilvl w:val="0"/>
          <w:numId w:val="19"/>
        </w:numPr>
        <w:ind w:left="567" w:hanging="567"/>
        <w:jc w:val="both"/>
        <w:rPr>
          <w:sz w:val="22"/>
          <w:szCs w:val="22"/>
          <w:lang w:val="fr-FR"/>
        </w:rPr>
      </w:pPr>
      <w:r w:rsidRPr="00A72965">
        <w:rPr>
          <w:sz w:val="22"/>
          <w:szCs w:val="22"/>
          <w:lang w:val="fr-FR"/>
        </w:rPr>
        <w:t>Paragraphe 17, ligne 2 : après « à plus de 50 % », supprimer « et à envisager des genres d’affectation autres que le contrat à durée déterminée ».</w:t>
      </w:r>
    </w:p>
    <w:p w14:paraId="2529DD3D" w14:textId="77777777" w:rsidR="003C65F8" w:rsidRPr="00A72965" w:rsidRDefault="003C65F8" w:rsidP="006537A2">
      <w:pPr>
        <w:pStyle w:val="ListParagraph"/>
        <w:numPr>
          <w:ilvl w:val="0"/>
          <w:numId w:val="19"/>
        </w:numPr>
        <w:ind w:left="567" w:hanging="567"/>
        <w:jc w:val="both"/>
        <w:rPr>
          <w:sz w:val="22"/>
          <w:szCs w:val="22"/>
          <w:lang w:val="fr-FR"/>
        </w:rPr>
      </w:pPr>
      <w:r w:rsidRPr="00A72965">
        <w:rPr>
          <w:sz w:val="22"/>
          <w:szCs w:val="22"/>
          <w:lang w:val="fr-FR"/>
        </w:rPr>
        <w:t>Déplacer le paragraphe 18 commençant par « Note avec satisfaction… », au préambule.</w:t>
      </w:r>
    </w:p>
    <w:p w14:paraId="52193D55" w14:textId="77777777" w:rsidR="003C65F8" w:rsidRPr="00A72965" w:rsidRDefault="003C65F8" w:rsidP="006537A2">
      <w:pPr>
        <w:pStyle w:val="ListParagraph"/>
        <w:numPr>
          <w:ilvl w:val="0"/>
          <w:numId w:val="19"/>
        </w:numPr>
        <w:ind w:left="567" w:hanging="567"/>
        <w:jc w:val="both"/>
        <w:rPr>
          <w:sz w:val="22"/>
          <w:szCs w:val="22"/>
          <w:lang w:val="fr-FR"/>
        </w:rPr>
      </w:pPr>
      <w:r w:rsidRPr="00A72965">
        <w:rPr>
          <w:sz w:val="22"/>
          <w:szCs w:val="22"/>
          <w:lang w:val="fr-FR"/>
        </w:rPr>
        <w:t xml:space="preserve">Ajouter au paragraphe 19, après « Initiative africaine » : « avant que des contributions volontaires ne soient recherchées pour ce poste ». </w:t>
      </w:r>
    </w:p>
    <w:p w14:paraId="2D52CD5B" w14:textId="77777777" w:rsidR="003C65F8" w:rsidRPr="00A72965" w:rsidRDefault="003C65F8" w:rsidP="00BA154F">
      <w:pPr>
        <w:jc w:val="both"/>
        <w:rPr>
          <w:szCs w:val="22"/>
          <w:lang w:val="fr-FR"/>
        </w:rPr>
      </w:pPr>
    </w:p>
    <w:p w14:paraId="5C9CEFFA" w14:textId="77777777" w:rsidR="003C65F8" w:rsidRPr="00A72965" w:rsidRDefault="003C65F8" w:rsidP="00BA154F">
      <w:pPr>
        <w:jc w:val="both"/>
        <w:rPr>
          <w:szCs w:val="22"/>
          <w:lang w:val="fr-FR"/>
        </w:rPr>
      </w:pPr>
      <w:r w:rsidRPr="00A72965">
        <w:rPr>
          <w:szCs w:val="22"/>
          <w:lang w:val="fr-FR"/>
        </w:rPr>
        <w:t>294. En réponse à une question de l’</w:t>
      </w:r>
      <w:r w:rsidRPr="00A72965">
        <w:rPr>
          <w:b/>
          <w:szCs w:val="22"/>
          <w:lang w:val="fr-FR"/>
        </w:rPr>
        <w:t>Ouganda</w:t>
      </w:r>
      <w:r w:rsidRPr="00A72965">
        <w:rPr>
          <w:szCs w:val="22"/>
          <w:lang w:val="fr-FR"/>
        </w:rPr>
        <w:t xml:space="preserve">, le </w:t>
      </w:r>
      <w:r w:rsidRPr="00A72965">
        <w:rPr>
          <w:b/>
          <w:szCs w:val="22"/>
          <w:lang w:val="fr-FR"/>
        </w:rPr>
        <w:t xml:space="preserve">Président </w:t>
      </w:r>
      <w:r w:rsidRPr="00A72965">
        <w:rPr>
          <w:szCs w:val="22"/>
          <w:lang w:val="fr-FR"/>
        </w:rPr>
        <w:t>a confirmé que le texte restant du paragraphe 17 permettrait toujours au Secrétariat de rechercher des fonds au-delà de 50 %.</w:t>
      </w:r>
    </w:p>
    <w:p w14:paraId="0BAF3472" w14:textId="77777777" w:rsidR="003C65F8" w:rsidRPr="00A72965" w:rsidRDefault="003C65F8" w:rsidP="00BA154F">
      <w:pPr>
        <w:jc w:val="both"/>
        <w:rPr>
          <w:szCs w:val="22"/>
          <w:lang w:val="fr-FR"/>
        </w:rPr>
      </w:pPr>
    </w:p>
    <w:p w14:paraId="5B7BBF19" w14:textId="77777777" w:rsidR="003C65F8" w:rsidRPr="00A72965" w:rsidRDefault="003C65F8" w:rsidP="00BA154F">
      <w:pPr>
        <w:jc w:val="both"/>
        <w:rPr>
          <w:szCs w:val="22"/>
          <w:lang w:val="fr-FR"/>
        </w:rPr>
      </w:pPr>
      <w:r w:rsidRPr="00A72965">
        <w:rPr>
          <w:szCs w:val="22"/>
          <w:lang w:val="fr-FR"/>
        </w:rPr>
        <w:t>295. L’</w:t>
      </w:r>
      <w:r w:rsidRPr="00A72965">
        <w:rPr>
          <w:b/>
          <w:szCs w:val="22"/>
          <w:lang w:val="fr-FR"/>
        </w:rPr>
        <w:t>Algérie</w:t>
      </w:r>
      <w:r w:rsidRPr="00A72965">
        <w:rPr>
          <w:szCs w:val="22"/>
          <w:lang w:val="fr-FR"/>
        </w:rPr>
        <w:t xml:space="preserve"> avait le fort sentiment qu’au lieu de simplement rechercher des fonds supplémentaires, le Secrétariat devrait garantir ce genre de financement car ceci reflèterait mieux la priorité donnée par les Parties africaines à l’IA.</w:t>
      </w:r>
    </w:p>
    <w:p w14:paraId="355EF913" w14:textId="77777777" w:rsidR="003C65F8" w:rsidRPr="00A72965" w:rsidRDefault="003C65F8" w:rsidP="00BA154F">
      <w:pPr>
        <w:jc w:val="both"/>
        <w:rPr>
          <w:szCs w:val="22"/>
          <w:lang w:val="fr-FR"/>
        </w:rPr>
      </w:pPr>
    </w:p>
    <w:p w14:paraId="17862353" w14:textId="77777777" w:rsidR="003C65F8" w:rsidRPr="00A72965" w:rsidRDefault="003C65F8" w:rsidP="00BA154F">
      <w:pPr>
        <w:jc w:val="both"/>
        <w:rPr>
          <w:szCs w:val="22"/>
          <w:lang w:val="fr-FR"/>
        </w:rPr>
      </w:pPr>
      <w:r w:rsidRPr="00A72965">
        <w:rPr>
          <w:szCs w:val="22"/>
          <w:lang w:val="fr-FR"/>
        </w:rPr>
        <w:t>296. Le</w:t>
      </w:r>
      <w:r w:rsidRPr="00A72965">
        <w:rPr>
          <w:b/>
          <w:szCs w:val="22"/>
          <w:lang w:val="fr-FR"/>
        </w:rPr>
        <w:t xml:space="preserve"> Président</w:t>
      </w:r>
      <w:r w:rsidRPr="00A72965">
        <w:rPr>
          <w:szCs w:val="22"/>
          <w:lang w:val="fr-FR"/>
        </w:rPr>
        <w:t xml:space="preserve"> a suggéré le compromis suivant : « Demande au Secrétariat de </w:t>
      </w:r>
      <w:r w:rsidRPr="00A72965">
        <w:rPr>
          <w:szCs w:val="22"/>
          <w:u w:val="single"/>
          <w:lang w:val="fr-FR"/>
        </w:rPr>
        <w:t>trouver</w:t>
      </w:r>
      <w:r w:rsidRPr="00A72965">
        <w:rPr>
          <w:szCs w:val="22"/>
          <w:lang w:val="fr-FR"/>
        </w:rPr>
        <w:t xml:space="preserve"> des fonds supplémentaires… », </w:t>
      </w:r>
      <w:proofErr w:type="gramStart"/>
      <w:r w:rsidRPr="00A72965">
        <w:rPr>
          <w:szCs w:val="22"/>
          <w:lang w:val="fr-FR"/>
        </w:rPr>
        <w:t>puisque</w:t>
      </w:r>
      <w:proofErr w:type="gramEnd"/>
      <w:r w:rsidRPr="00A72965">
        <w:rPr>
          <w:szCs w:val="22"/>
          <w:lang w:val="fr-FR"/>
        </w:rPr>
        <w:t xml:space="preserve"> le Secrétariat n’était pas en position de </w:t>
      </w:r>
      <w:r w:rsidRPr="00A72965">
        <w:rPr>
          <w:szCs w:val="22"/>
          <w:u w:val="single"/>
          <w:lang w:val="fr-FR"/>
        </w:rPr>
        <w:t>garantir</w:t>
      </w:r>
      <w:r w:rsidRPr="00A72965">
        <w:rPr>
          <w:szCs w:val="22"/>
          <w:lang w:val="fr-FR"/>
        </w:rPr>
        <w:t xml:space="preserve"> de le faire.</w:t>
      </w:r>
    </w:p>
    <w:p w14:paraId="6267D1E9" w14:textId="77777777" w:rsidR="00FD2552" w:rsidRDefault="00FD2552" w:rsidP="00BA154F">
      <w:pPr>
        <w:jc w:val="both"/>
        <w:rPr>
          <w:szCs w:val="22"/>
          <w:lang w:val="fr-FR"/>
        </w:rPr>
      </w:pPr>
    </w:p>
    <w:p w14:paraId="1005DD54" w14:textId="313FA9E2" w:rsidR="003C65F8" w:rsidRPr="00A72965" w:rsidRDefault="003C65F8" w:rsidP="00BA154F">
      <w:pPr>
        <w:jc w:val="both"/>
        <w:rPr>
          <w:szCs w:val="22"/>
          <w:lang w:val="fr-FR"/>
        </w:rPr>
      </w:pPr>
      <w:r w:rsidRPr="00A72965">
        <w:rPr>
          <w:szCs w:val="22"/>
          <w:lang w:val="fr-FR"/>
        </w:rPr>
        <w:t xml:space="preserve">297. </w:t>
      </w:r>
      <w:r w:rsidRPr="00A72965">
        <w:rPr>
          <w:b/>
          <w:szCs w:val="22"/>
          <w:lang w:val="fr-FR"/>
        </w:rPr>
        <w:t>Le représentant de la CE</w:t>
      </w:r>
      <w:r w:rsidRPr="00A72965">
        <w:rPr>
          <w:szCs w:val="22"/>
          <w:lang w:val="fr-FR"/>
        </w:rPr>
        <w:t xml:space="preserve">, parlant au nom de </w:t>
      </w:r>
      <w:r w:rsidRPr="00A72965">
        <w:rPr>
          <w:b/>
          <w:szCs w:val="22"/>
          <w:lang w:val="fr-FR"/>
        </w:rPr>
        <w:t>l'U</w:t>
      </w:r>
      <w:r w:rsidR="00FD2552">
        <w:rPr>
          <w:b/>
          <w:szCs w:val="22"/>
          <w:lang w:val="fr-FR"/>
        </w:rPr>
        <w:t>nion européenne</w:t>
      </w:r>
      <w:r w:rsidRPr="00A72965">
        <w:rPr>
          <w:b/>
          <w:szCs w:val="22"/>
          <w:lang w:val="fr-FR"/>
        </w:rPr>
        <w:t xml:space="preserve"> et de ses États membres</w:t>
      </w:r>
      <w:r w:rsidRPr="00A72965">
        <w:rPr>
          <w:szCs w:val="22"/>
          <w:lang w:val="fr-FR"/>
        </w:rPr>
        <w:t xml:space="preserve"> a indiqué que l’Appendice 4 et le barème des contributions devrait être corrigés pour se référer à « l’Union européenne » et non pas à « la Communauté européenne ».</w:t>
      </w:r>
    </w:p>
    <w:p w14:paraId="4C089F81" w14:textId="77777777" w:rsidR="003C65F8" w:rsidRPr="00A72965" w:rsidRDefault="003C65F8" w:rsidP="00BA154F">
      <w:pPr>
        <w:jc w:val="both"/>
        <w:rPr>
          <w:szCs w:val="22"/>
          <w:lang w:val="fr-FR"/>
        </w:rPr>
      </w:pPr>
    </w:p>
    <w:p w14:paraId="01DBF65A" w14:textId="1B4C55FE" w:rsidR="003C65F8" w:rsidRPr="00A72965" w:rsidRDefault="003C65F8" w:rsidP="00BA154F">
      <w:pPr>
        <w:jc w:val="both"/>
        <w:rPr>
          <w:szCs w:val="22"/>
          <w:lang w:val="fr-FR"/>
        </w:rPr>
      </w:pPr>
      <w:r w:rsidRPr="00A72965">
        <w:rPr>
          <w:szCs w:val="22"/>
          <w:lang w:val="fr-FR"/>
        </w:rPr>
        <w:t>298. Le représentant de la</w:t>
      </w:r>
      <w:r w:rsidRPr="00A72965">
        <w:rPr>
          <w:b/>
          <w:szCs w:val="22"/>
          <w:lang w:val="fr-FR"/>
        </w:rPr>
        <w:t xml:space="preserve"> Suisse</w:t>
      </w:r>
      <w:r w:rsidRPr="00A72965">
        <w:rPr>
          <w:szCs w:val="22"/>
          <w:lang w:val="fr-FR"/>
        </w:rPr>
        <w:t xml:space="preserve"> a rappelé que, comme d’autres délégations composées d’une seule personne, il n’avait pas été en mesure d’assister à toutes les sessions de négociation du WG2. Il désirait donc faire un commentaire général concernant l’IA et le Plan d’action pour l’Afrique. Il adressait ses remerciements au Président et aux membres du WG2 pour les efforts réalisés pour parvenir à un consensus, mais la Suisse était toutefois déçue que le Plan d’action pour l’Afrique n’ait pas obtenu davantage d’attention et que des ressources supplémentaires n’aient pas été accordées à sa mise en œuvre. Il s’agissait d’un Plan d’action important pour toute la région de l’AEWA et, en tant que tel, il était crucial pour l’Accord et d’u</w:t>
      </w:r>
      <w:r w:rsidR="00FD2552">
        <w:rPr>
          <w:szCs w:val="22"/>
          <w:lang w:val="fr-FR"/>
        </w:rPr>
        <w:t>ne valeur toute particulière</w:t>
      </w:r>
      <w:r w:rsidRPr="00A72965">
        <w:rPr>
          <w:szCs w:val="22"/>
          <w:lang w:val="fr-FR"/>
        </w:rPr>
        <w:t>. La Suisse a donc appelé urgemment toutes les Parties contractantes, y compris les pays les plus fortunés, à apporter leur aide à l’IA.</w:t>
      </w:r>
    </w:p>
    <w:p w14:paraId="6E86900B" w14:textId="77777777" w:rsidR="003C65F8" w:rsidRPr="00A72965" w:rsidRDefault="003C65F8" w:rsidP="00BA154F">
      <w:pPr>
        <w:jc w:val="both"/>
        <w:rPr>
          <w:szCs w:val="22"/>
          <w:lang w:val="fr-FR"/>
        </w:rPr>
      </w:pPr>
    </w:p>
    <w:p w14:paraId="3B50DC6D" w14:textId="77777777" w:rsidR="003C65F8" w:rsidRPr="00A72965" w:rsidRDefault="003C65F8" w:rsidP="00BA154F">
      <w:pPr>
        <w:jc w:val="both"/>
        <w:rPr>
          <w:szCs w:val="22"/>
          <w:lang w:val="fr-FR"/>
        </w:rPr>
      </w:pPr>
      <w:r w:rsidRPr="00A72965">
        <w:rPr>
          <w:szCs w:val="22"/>
          <w:lang w:val="fr-FR"/>
        </w:rPr>
        <w:t xml:space="preserve">299. Le </w:t>
      </w:r>
      <w:r w:rsidRPr="00A72965">
        <w:rPr>
          <w:b/>
          <w:szCs w:val="22"/>
          <w:lang w:val="fr-FR"/>
        </w:rPr>
        <w:t>Président</w:t>
      </w:r>
      <w:r w:rsidRPr="00A72965">
        <w:rPr>
          <w:szCs w:val="22"/>
          <w:lang w:val="fr-FR"/>
        </w:rPr>
        <w:t xml:space="preserve"> a exprimé l’espoir que les Parties potentiellement donatrices partageaient toutes l’idée de la Suisse à propos de l’IA et du Plan d’action pour l’Afrique.</w:t>
      </w:r>
    </w:p>
    <w:p w14:paraId="282517B1" w14:textId="77777777" w:rsidR="003C65F8" w:rsidRPr="00A72965" w:rsidRDefault="003C65F8" w:rsidP="00BA154F">
      <w:pPr>
        <w:jc w:val="both"/>
        <w:rPr>
          <w:szCs w:val="22"/>
          <w:lang w:val="fr-FR"/>
        </w:rPr>
      </w:pPr>
    </w:p>
    <w:p w14:paraId="320AAFD4" w14:textId="7761BCF1" w:rsidR="003C65F8" w:rsidRPr="00A72965" w:rsidRDefault="003C65F8" w:rsidP="00BA154F">
      <w:pPr>
        <w:jc w:val="both"/>
        <w:rPr>
          <w:szCs w:val="22"/>
          <w:lang w:val="fr-FR"/>
        </w:rPr>
      </w:pPr>
      <w:r w:rsidRPr="00A72965">
        <w:rPr>
          <w:szCs w:val="22"/>
          <w:lang w:val="fr-FR"/>
        </w:rPr>
        <w:t xml:space="preserve">300. Le </w:t>
      </w:r>
      <w:r w:rsidRPr="00A72965">
        <w:rPr>
          <w:b/>
          <w:szCs w:val="22"/>
          <w:lang w:val="fr-FR"/>
        </w:rPr>
        <w:t>Danemark</w:t>
      </w:r>
      <w:r w:rsidRPr="00A72965">
        <w:rPr>
          <w:szCs w:val="22"/>
          <w:lang w:val="fr-FR"/>
        </w:rPr>
        <w:t xml:space="preserve">, parlant au nom de </w:t>
      </w:r>
      <w:r w:rsidRPr="00A72965">
        <w:rPr>
          <w:b/>
          <w:szCs w:val="22"/>
          <w:lang w:val="fr-FR"/>
        </w:rPr>
        <w:t>l'UE et de ses États membres</w:t>
      </w:r>
      <w:r w:rsidRPr="00A72965">
        <w:rPr>
          <w:szCs w:val="22"/>
          <w:lang w:val="fr-FR"/>
        </w:rPr>
        <w:t>, a vivement apprécié que le WG2 ait recommandé</w:t>
      </w:r>
      <w:r w:rsidR="00FD2552">
        <w:rPr>
          <w:szCs w:val="22"/>
          <w:lang w:val="fr-FR"/>
        </w:rPr>
        <w:t xml:space="preserve">, pour la première fois, l’inclusion </w:t>
      </w:r>
      <w:r w:rsidRPr="00A72965">
        <w:rPr>
          <w:szCs w:val="22"/>
          <w:lang w:val="fr-FR"/>
        </w:rPr>
        <w:t xml:space="preserve">dans le budget </w:t>
      </w:r>
      <w:r w:rsidR="00FD2552">
        <w:rPr>
          <w:szCs w:val="22"/>
          <w:lang w:val="fr-FR"/>
        </w:rPr>
        <w:t xml:space="preserve">central </w:t>
      </w:r>
      <w:r w:rsidRPr="00A72965">
        <w:rPr>
          <w:szCs w:val="22"/>
          <w:lang w:val="fr-FR"/>
        </w:rPr>
        <w:t>de fonds directement destinés à l’Afrique. L’offre généreuse de la France devait également être examinée. Il s’agissait de deux signes prometteurs pour l’IA et le Plan d’action pour l’Afrique.</w:t>
      </w:r>
    </w:p>
    <w:p w14:paraId="5F081947" w14:textId="77777777" w:rsidR="003C65F8" w:rsidRPr="00A72965" w:rsidRDefault="003C65F8" w:rsidP="00BA154F">
      <w:pPr>
        <w:jc w:val="both"/>
        <w:rPr>
          <w:szCs w:val="22"/>
          <w:lang w:val="fr-FR"/>
        </w:rPr>
      </w:pPr>
    </w:p>
    <w:p w14:paraId="54BE9AA6" w14:textId="77777777" w:rsidR="003C65F8" w:rsidRPr="00A72965" w:rsidRDefault="003C65F8" w:rsidP="00BA154F">
      <w:pPr>
        <w:jc w:val="both"/>
        <w:rPr>
          <w:szCs w:val="22"/>
          <w:lang w:val="fr-FR"/>
        </w:rPr>
      </w:pPr>
      <w:r w:rsidRPr="00A72965">
        <w:rPr>
          <w:szCs w:val="22"/>
          <w:lang w:val="fr-FR"/>
        </w:rPr>
        <w:t xml:space="preserve">301. Le </w:t>
      </w:r>
      <w:r w:rsidRPr="00A72965">
        <w:rPr>
          <w:b/>
          <w:szCs w:val="22"/>
          <w:lang w:val="fr-FR"/>
        </w:rPr>
        <w:t>Mali</w:t>
      </w:r>
      <w:r w:rsidRPr="00A72965">
        <w:rPr>
          <w:szCs w:val="22"/>
          <w:lang w:val="fr-FR"/>
        </w:rPr>
        <w:t xml:space="preserve"> a vivement apprécié le commentaire de la Suisse. L’IA était telle une « boussole » ou un « GPS » pour les efforts de l’AEWA en vue de la conservation des oiseaux d’eau migrateurs. Les Parties rassemblées à la MOP5 avaient besoin de travailler ensemble ; des remerciements étaient adressés aux donateurs pour les efforts réalisés jusqu’à ce jour et les Parties africaines espéraient que ce soutien se poursuivrait.</w:t>
      </w:r>
    </w:p>
    <w:p w14:paraId="2F3FB4B0" w14:textId="77777777" w:rsidR="003C65F8" w:rsidRPr="00A72965" w:rsidRDefault="003C65F8" w:rsidP="00BA154F">
      <w:pPr>
        <w:jc w:val="both"/>
        <w:rPr>
          <w:szCs w:val="22"/>
          <w:lang w:val="fr-FR"/>
        </w:rPr>
      </w:pPr>
    </w:p>
    <w:p w14:paraId="3A038A5F" w14:textId="77777777" w:rsidR="003C65F8" w:rsidRPr="00A72965" w:rsidRDefault="003C65F8" w:rsidP="00BA154F">
      <w:pPr>
        <w:jc w:val="both"/>
        <w:rPr>
          <w:szCs w:val="22"/>
          <w:lang w:val="fr-FR"/>
        </w:rPr>
      </w:pPr>
      <w:r w:rsidRPr="00A72965">
        <w:rPr>
          <w:szCs w:val="22"/>
          <w:lang w:val="fr-FR"/>
        </w:rPr>
        <w:t xml:space="preserve">302. La </w:t>
      </w:r>
      <w:r w:rsidRPr="00A72965">
        <w:rPr>
          <w:b/>
          <w:szCs w:val="22"/>
          <w:lang w:val="fr-FR"/>
        </w:rPr>
        <w:t>Tunisie</w:t>
      </w:r>
      <w:r w:rsidRPr="00A72965">
        <w:rPr>
          <w:szCs w:val="22"/>
          <w:lang w:val="fr-FR"/>
        </w:rPr>
        <w:t xml:space="preserve"> a approuvé l’intervention de la Suisse.</w:t>
      </w:r>
    </w:p>
    <w:p w14:paraId="34E02E76" w14:textId="77777777" w:rsidR="003C65F8" w:rsidRPr="00A72965" w:rsidRDefault="003C65F8" w:rsidP="00BA154F">
      <w:pPr>
        <w:jc w:val="both"/>
        <w:rPr>
          <w:szCs w:val="22"/>
          <w:lang w:val="fr-FR"/>
        </w:rPr>
      </w:pPr>
    </w:p>
    <w:p w14:paraId="17633771" w14:textId="77777777" w:rsidR="003C65F8" w:rsidRPr="00A72965" w:rsidRDefault="003C65F8" w:rsidP="00BA154F">
      <w:pPr>
        <w:jc w:val="both"/>
        <w:rPr>
          <w:szCs w:val="22"/>
          <w:lang w:val="fr-FR"/>
        </w:rPr>
      </w:pPr>
      <w:r w:rsidRPr="00A72965">
        <w:rPr>
          <w:szCs w:val="22"/>
          <w:lang w:val="fr-FR"/>
        </w:rPr>
        <w:t>303.</w:t>
      </w:r>
      <w:r w:rsidRPr="00A72965">
        <w:rPr>
          <w:b/>
          <w:szCs w:val="22"/>
          <w:lang w:val="fr-FR"/>
        </w:rPr>
        <w:t xml:space="preserve"> </w:t>
      </w:r>
      <w:r w:rsidRPr="00A72965">
        <w:rPr>
          <w:szCs w:val="22"/>
          <w:lang w:val="fr-FR"/>
        </w:rPr>
        <w:t>L’</w:t>
      </w:r>
      <w:r w:rsidRPr="00A72965">
        <w:rPr>
          <w:b/>
          <w:szCs w:val="22"/>
          <w:lang w:val="fr-FR"/>
        </w:rPr>
        <w:t xml:space="preserve">Ouganda </w:t>
      </w:r>
      <w:r w:rsidRPr="00A72965">
        <w:rPr>
          <w:szCs w:val="22"/>
          <w:lang w:val="fr-FR"/>
        </w:rPr>
        <w:t xml:space="preserve">a également souscrit sans réserve à la déclaration de la Suisse et a suggéré de renforcer le paragraphe 14 de l’avant-projet comme suit : « Encourage les Parties contractantes à un </w:t>
      </w:r>
      <w:r w:rsidRPr="00A72965">
        <w:rPr>
          <w:szCs w:val="22"/>
          <w:u w:val="single"/>
          <w:lang w:val="fr-FR"/>
        </w:rPr>
        <w:t>effort accru</w:t>
      </w:r>
      <w:r w:rsidRPr="00A72965">
        <w:rPr>
          <w:szCs w:val="22"/>
          <w:lang w:val="fr-FR"/>
        </w:rPr>
        <w:t xml:space="preserve"> dans le versement de contributions volontaires… ».</w:t>
      </w:r>
    </w:p>
    <w:p w14:paraId="5452A3F8" w14:textId="77777777" w:rsidR="003C65F8" w:rsidRPr="00A72965" w:rsidRDefault="003C65F8" w:rsidP="00BA154F">
      <w:pPr>
        <w:jc w:val="both"/>
        <w:rPr>
          <w:szCs w:val="22"/>
          <w:lang w:val="fr-FR"/>
        </w:rPr>
      </w:pPr>
    </w:p>
    <w:p w14:paraId="01694A99" w14:textId="77777777" w:rsidR="003C65F8" w:rsidRPr="00A72965" w:rsidRDefault="003C65F8" w:rsidP="00BA154F">
      <w:pPr>
        <w:jc w:val="both"/>
        <w:rPr>
          <w:szCs w:val="22"/>
          <w:lang w:val="fr-FR"/>
        </w:rPr>
      </w:pPr>
      <w:r w:rsidRPr="00A72965">
        <w:rPr>
          <w:szCs w:val="22"/>
          <w:lang w:val="fr-FR"/>
        </w:rPr>
        <w:t>304.</w:t>
      </w:r>
      <w:r w:rsidRPr="00A72965">
        <w:rPr>
          <w:b/>
          <w:szCs w:val="22"/>
          <w:lang w:val="fr-FR"/>
        </w:rPr>
        <w:t xml:space="preserve"> </w:t>
      </w:r>
      <w:r w:rsidRPr="00A72965">
        <w:rPr>
          <w:szCs w:val="22"/>
          <w:lang w:val="fr-FR"/>
        </w:rPr>
        <w:t xml:space="preserve">La </w:t>
      </w:r>
      <w:r w:rsidRPr="00A72965">
        <w:rPr>
          <w:b/>
          <w:szCs w:val="22"/>
          <w:lang w:val="fr-FR"/>
        </w:rPr>
        <w:t>Norvège</w:t>
      </w:r>
      <w:r w:rsidRPr="00A72965">
        <w:rPr>
          <w:szCs w:val="22"/>
          <w:lang w:val="fr-FR"/>
        </w:rPr>
        <w:t>, parlant en tant que Président du WG2, a présenté ses excuses pour avoir oublié, pendant les délibérations sur le rapport du WG, sous le point 29 de l’ordre du jour, de remercier le gouvernement de la France pour son offre généreuses de soutien technique pour le Plan d’action pour l’Afrique. Parlant au nom de la Norvège, il fallait être conscient que l’IA avait été une première pour l’Accord et  que les Parties avaient fait de leur mieux compte tenu des circonstances. La Norvège fera certainement tous ses efforts pour encourager davantage de soutien pour l’IA dans l’avenir ; il ne s’agissait que du début.</w:t>
      </w:r>
    </w:p>
    <w:p w14:paraId="3F5F7978" w14:textId="77777777" w:rsidR="003C65F8" w:rsidRPr="00A72965" w:rsidRDefault="003C65F8" w:rsidP="00BA154F">
      <w:pPr>
        <w:jc w:val="both"/>
        <w:rPr>
          <w:szCs w:val="22"/>
          <w:lang w:val="fr-FR"/>
        </w:rPr>
      </w:pPr>
    </w:p>
    <w:p w14:paraId="4CC3B8AD" w14:textId="534D4CC9" w:rsidR="003C65F8" w:rsidRPr="00A72965" w:rsidRDefault="003C65F8" w:rsidP="00BA154F">
      <w:pPr>
        <w:jc w:val="both"/>
        <w:rPr>
          <w:szCs w:val="22"/>
          <w:lang w:val="fr-FR"/>
        </w:rPr>
      </w:pPr>
      <w:r w:rsidRPr="00A72965">
        <w:rPr>
          <w:szCs w:val="22"/>
          <w:lang w:val="fr-FR"/>
        </w:rPr>
        <w:t>305.</w:t>
      </w:r>
      <w:r w:rsidRPr="00A72965">
        <w:rPr>
          <w:b/>
          <w:szCs w:val="22"/>
          <w:lang w:val="fr-FR"/>
        </w:rPr>
        <w:t xml:space="preserve"> Le Président</w:t>
      </w:r>
      <w:r w:rsidRPr="00A72965">
        <w:rPr>
          <w:szCs w:val="22"/>
          <w:lang w:val="fr-FR"/>
        </w:rPr>
        <w:t xml:space="preserve"> a réitéré les amendements présentés par </w:t>
      </w:r>
      <w:proofErr w:type="spellStart"/>
      <w:r w:rsidRPr="00A72965">
        <w:rPr>
          <w:szCs w:val="22"/>
          <w:lang w:val="fr-FR"/>
        </w:rPr>
        <w:t>la</w:t>
      </w:r>
      <w:proofErr w:type="spellEnd"/>
      <w:r w:rsidRPr="00A72965">
        <w:rPr>
          <w:szCs w:val="22"/>
          <w:lang w:val="fr-FR"/>
        </w:rPr>
        <w:t xml:space="preserve"> CE (au nom de l'U</w:t>
      </w:r>
      <w:r w:rsidR="00996EF6">
        <w:rPr>
          <w:szCs w:val="22"/>
          <w:lang w:val="fr-FR"/>
        </w:rPr>
        <w:t>nion européenne</w:t>
      </w:r>
      <w:r w:rsidRPr="00A72965">
        <w:rPr>
          <w:szCs w:val="22"/>
          <w:lang w:val="fr-FR"/>
        </w:rPr>
        <w:t xml:space="preserve"> et de ses États membres), l’Ouganda et le R-U (au nom de l'UE et de ses États membres). Il a invité à faire d’autres commentaires ou propositions.</w:t>
      </w:r>
    </w:p>
    <w:p w14:paraId="0B90A01D" w14:textId="77777777" w:rsidR="003C65F8" w:rsidRPr="00A72965" w:rsidRDefault="003C65F8" w:rsidP="00BA154F">
      <w:pPr>
        <w:jc w:val="both"/>
        <w:rPr>
          <w:szCs w:val="22"/>
          <w:lang w:val="fr-FR"/>
        </w:rPr>
      </w:pPr>
    </w:p>
    <w:p w14:paraId="465B3527" w14:textId="77777777" w:rsidR="003C65F8" w:rsidRPr="00A72965" w:rsidRDefault="003C65F8" w:rsidP="00BA154F">
      <w:pPr>
        <w:jc w:val="both"/>
        <w:rPr>
          <w:szCs w:val="22"/>
          <w:lang w:val="fr-FR"/>
        </w:rPr>
      </w:pPr>
      <w:r w:rsidRPr="00A72965">
        <w:rPr>
          <w:szCs w:val="22"/>
          <w:lang w:val="fr-FR"/>
        </w:rPr>
        <w:t>306.</w:t>
      </w:r>
      <w:r w:rsidRPr="00A72965">
        <w:rPr>
          <w:b/>
          <w:szCs w:val="22"/>
          <w:lang w:val="fr-FR"/>
        </w:rPr>
        <w:t xml:space="preserve"> </w:t>
      </w:r>
      <w:r w:rsidRPr="00A72965">
        <w:rPr>
          <w:szCs w:val="22"/>
          <w:lang w:val="fr-FR"/>
        </w:rPr>
        <w:t>L’</w:t>
      </w:r>
      <w:r w:rsidRPr="00A72965">
        <w:rPr>
          <w:b/>
          <w:szCs w:val="22"/>
          <w:lang w:val="fr-FR"/>
        </w:rPr>
        <w:t>Ouganda</w:t>
      </w:r>
      <w:r w:rsidRPr="00A72965">
        <w:rPr>
          <w:szCs w:val="22"/>
          <w:lang w:val="fr-FR"/>
        </w:rPr>
        <w:t xml:space="preserve"> a proposé l’adoption de l’avant-projet de résolution amendé.</w:t>
      </w:r>
    </w:p>
    <w:p w14:paraId="3412F0FC" w14:textId="2E04F6D8" w:rsidR="003C65F8" w:rsidRPr="00A72965" w:rsidRDefault="003C65F8" w:rsidP="00BA154F">
      <w:pPr>
        <w:jc w:val="both"/>
        <w:rPr>
          <w:szCs w:val="22"/>
          <w:lang w:val="fr-FR"/>
        </w:rPr>
      </w:pPr>
      <w:r w:rsidRPr="00A72965">
        <w:rPr>
          <w:szCs w:val="22"/>
          <w:lang w:val="fr-FR"/>
        </w:rPr>
        <w:t xml:space="preserve">307. Il n’y a pas eu d’autres commentaires et à l’invitation du </w:t>
      </w:r>
      <w:r w:rsidRPr="00A72965">
        <w:rPr>
          <w:b/>
          <w:szCs w:val="22"/>
          <w:lang w:val="fr-FR"/>
        </w:rPr>
        <w:t>Président</w:t>
      </w:r>
      <w:r w:rsidRPr="00A72965">
        <w:rPr>
          <w:szCs w:val="22"/>
          <w:lang w:val="fr-FR"/>
        </w:rPr>
        <w:t xml:space="preserve">, la réunion a approuvé le DR21 </w:t>
      </w:r>
      <w:proofErr w:type="spellStart"/>
      <w:r w:rsidRPr="00A72965">
        <w:rPr>
          <w:szCs w:val="22"/>
          <w:lang w:val="fr-FR"/>
        </w:rPr>
        <w:t>Rév</w:t>
      </w:r>
      <w:proofErr w:type="spellEnd"/>
      <w:r w:rsidRPr="00A72965">
        <w:rPr>
          <w:szCs w:val="22"/>
          <w:lang w:val="fr-FR"/>
        </w:rPr>
        <w:t>. 2, sous réserve de l’incorporation de l’amendement présenté par l’U</w:t>
      </w:r>
      <w:r w:rsidR="00996EF6">
        <w:rPr>
          <w:szCs w:val="22"/>
          <w:lang w:val="fr-FR"/>
        </w:rPr>
        <w:t>nion européenne</w:t>
      </w:r>
      <w:r w:rsidRPr="00A72965">
        <w:rPr>
          <w:szCs w:val="22"/>
          <w:lang w:val="fr-FR"/>
        </w:rPr>
        <w:t>, l’Ouganda et le R</w:t>
      </w:r>
      <w:r w:rsidR="00996EF6">
        <w:rPr>
          <w:szCs w:val="22"/>
          <w:lang w:val="fr-FR"/>
        </w:rPr>
        <w:t>oyaume</w:t>
      </w:r>
      <w:r w:rsidRPr="00A72965">
        <w:rPr>
          <w:szCs w:val="22"/>
          <w:lang w:val="fr-FR"/>
        </w:rPr>
        <w:t>-U</w:t>
      </w:r>
      <w:r w:rsidR="00996EF6">
        <w:rPr>
          <w:szCs w:val="22"/>
          <w:lang w:val="fr-FR"/>
        </w:rPr>
        <w:t>ni</w:t>
      </w:r>
      <w:r w:rsidRPr="00A72965">
        <w:rPr>
          <w:szCs w:val="22"/>
          <w:lang w:val="fr-FR"/>
        </w:rPr>
        <w:t>.</w:t>
      </w:r>
    </w:p>
    <w:p w14:paraId="09F8CFFB" w14:textId="77777777" w:rsidR="00996EF6" w:rsidRDefault="00996EF6" w:rsidP="00BA154F">
      <w:pPr>
        <w:jc w:val="both"/>
        <w:rPr>
          <w:b/>
          <w:szCs w:val="22"/>
          <w:lang w:val="fr-FR"/>
        </w:rPr>
      </w:pPr>
    </w:p>
    <w:p w14:paraId="55B3C8E4" w14:textId="5787A604" w:rsidR="003C65F8" w:rsidRPr="00A72965" w:rsidRDefault="003C65F8" w:rsidP="00BA154F">
      <w:pPr>
        <w:jc w:val="both"/>
        <w:rPr>
          <w:b/>
          <w:szCs w:val="22"/>
          <w:lang w:val="fr-FR"/>
        </w:rPr>
      </w:pPr>
      <w:r w:rsidRPr="00A72965">
        <w:rPr>
          <w:b/>
          <w:szCs w:val="22"/>
          <w:lang w:val="fr-FR"/>
        </w:rPr>
        <w:t xml:space="preserve">DR22 Texte original </w:t>
      </w:r>
      <w:r w:rsidRPr="00A72965">
        <w:rPr>
          <w:b/>
          <w:i/>
          <w:szCs w:val="22"/>
          <w:lang w:val="fr-FR"/>
        </w:rPr>
        <w:t>Mise en place d’un régime structurel de financement de base à long terme pour le recensement international des oiseaux d’eau dans la région d’Afrique-Eurasie</w:t>
      </w:r>
      <w:r w:rsidR="00996EF6">
        <w:rPr>
          <w:b/>
          <w:i/>
          <w:szCs w:val="22"/>
          <w:lang w:val="fr-FR"/>
        </w:rPr>
        <w:t>.</w:t>
      </w:r>
    </w:p>
    <w:p w14:paraId="6D2EA865" w14:textId="77777777" w:rsidR="003C65F8" w:rsidRPr="00A72965" w:rsidRDefault="003C65F8" w:rsidP="00BA154F">
      <w:pPr>
        <w:jc w:val="both"/>
        <w:rPr>
          <w:b/>
          <w:szCs w:val="22"/>
          <w:lang w:val="fr-FR"/>
        </w:rPr>
      </w:pPr>
    </w:p>
    <w:p w14:paraId="31FF152A" w14:textId="77FCE8CD" w:rsidR="003C65F8" w:rsidRPr="00A72965" w:rsidRDefault="003C65F8" w:rsidP="00BA154F">
      <w:pPr>
        <w:jc w:val="both"/>
        <w:rPr>
          <w:szCs w:val="22"/>
          <w:lang w:val="fr-FR"/>
        </w:rPr>
      </w:pPr>
      <w:r w:rsidRPr="00A72965">
        <w:rPr>
          <w:szCs w:val="22"/>
          <w:lang w:val="fr-FR"/>
        </w:rPr>
        <w:t xml:space="preserve">308. Le </w:t>
      </w:r>
      <w:r w:rsidRPr="00A72965">
        <w:rPr>
          <w:b/>
          <w:szCs w:val="22"/>
          <w:lang w:val="fr-FR"/>
        </w:rPr>
        <w:t>Président</w:t>
      </w:r>
      <w:r w:rsidRPr="00A72965">
        <w:rPr>
          <w:szCs w:val="22"/>
          <w:lang w:val="fr-FR"/>
        </w:rPr>
        <w:t xml:space="preserve"> a invité la Suisse à présenter son rapport sur le résultat de ses discussions bilatérales avec l’U</w:t>
      </w:r>
      <w:r w:rsidR="00996EF6">
        <w:rPr>
          <w:szCs w:val="22"/>
          <w:lang w:val="fr-FR"/>
        </w:rPr>
        <w:t>nion européenne</w:t>
      </w:r>
      <w:r w:rsidRPr="00A72965">
        <w:rPr>
          <w:szCs w:val="22"/>
          <w:lang w:val="fr-FR"/>
        </w:rPr>
        <w:t>, à la suite de l’examen précédent de cet avant-projet de résolution au point 29 de l’ordre du jour.</w:t>
      </w:r>
    </w:p>
    <w:p w14:paraId="21DBCA72" w14:textId="77777777" w:rsidR="003C65F8" w:rsidRPr="00A72965" w:rsidRDefault="003C65F8" w:rsidP="00BA154F">
      <w:pPr>
        <w:jc w:val="both"/>
        <w:rPr>
          <w:szCs w:val="22"/>
          <w:lang w:val="fr-FR"/>
        </w:rPr>
      </w:pPr>
    </w:p>
    <w:p w14:paraId="07F23742" w14:textId="77777777" w:rsidR="003C65F8" w:rsidRPr="00A72965" w:rsidRDefault="003C65F8" w:rsidP="00BA154F">
      <w:pPr>
        <w:jc w:val="both"/>
        <w:rPr>
          <w:szCs w:val="22"/>
          <w:lang w:val="fr-FR"/>
        </w:rPr>
      </w:pPr>
      <w:r w:rsidRPr="00A72965">
        <w:rPr>
          <w:szCs w:val="22"/>
          <w:lang w:val="fr-FR"/>
        </w:rPr>
        <w:t xml:space="preserve">309. La </w:t>
      </w:r>
      <w:r w:rsidRPr="00A72965">
        <w:rPr>
          <w:b/>
          <w:szCs w:val="22"/>
          <w:lang w:val="fr-FR"/>
        </w:rPr>
        <w:t>Suisse</w:t>
      </w:r>
      <w:r w:rsidRPr="00A72965">
        <w:rPr>
          <w:szCs w:val="22"/>
          <w:lang w:val="fr-FR"/>
        </w:rPr>
        <w:t xml:space="preserve"> a confirmé que des discussions s’étaient tenues avec l’UE en vue de trouver un compromis et que la Suisse était à présent en position de présenter un texte opérationnel pour qu’il soit examiné par l'assemblée plénière, sans retrait de l’avant-projet de résolution. Les nouveaux paragraphes opérationnels, qui remplaceraient les paragraphes existants, seront les suivants :</w:t>
      </w:r>
    </w:p>
    <w:p w14:paraId="723E8929" w14:textId="77777777" w:rsidR="003C65F8" w:rsidRPr="00A72965" w:rsidRDefault="003C65F8" w:rsidP="00BA154F">
      <w:pPr>
        <w:jc w:val="both"/>
        <w:rPr>
          <w:szCs w:val="22"/>
          <w:lang w:val="fr-FR"/>
        </w:rPr>
      </w:pPr>
    </w:p>
    <w:p w14:paraId="6420CDD9" w14:textId="77777777" w:rsidR="003C65F8" w:rsidRPr="00A72965" w:rsidRDefault="003C65F8" w:rsidP="00F16C3C">
      <w:pPr>
        <w:pStyle w:val="ListParagraph"/>
        <w:numPr>
          <w:ilvl w:val="0"/>
          <w:numId w:val="20"/>
        </w:numPr>
        <w:ind w:left="426" w:hanging="426"/>
        <w:jc w:val="both"/>
        <w:rPr>
          <w:sz w:val="22"/>
          <w:szCs w:val="22"/>
          <w:lang w:val="fr-FR"/>
        </w:rPr>
      </w:pPr>
      <w:r w:rsidRPr="00A72965">
        <w:rPr>
          <w:sz w:val="22"/>
          <w:szCs w:val="22"/>
          <w:lang w:val="fr-FR"/>
        </w:rPr>
        <w:t>Paragraphe 1: « </w:t>
      </w:r>
      <w:r w:rsidRPr="00A72965">
        <w:rPr>
          <w:i/>
          <w:sz w:val="22"/>
          <w:szCs w:val="22"/>
          <w:lang w:val="fr-FR"/>
        </w:rPr>
        <w:t>Invite le Comité technique à travailler avec le Partenariat pour la surveillance des oiseaux d’eau, afin de progresser dans la surveillance des cibles concernées du Plan stratégique 2009-2017 de l’AEWA et de présenter son rapport à la 6</w:t>
      </w:r>
      <w:r w:rsidRPr="00A72965">
        <w:rPr>
          <w:i/>
          <w:sz w:val="22"/>
          <w:szCs w:val="22"/>
          <w:vertAlign w:val="superscript"/>
          <w:lang w:val="fr-FR"/>
        </w:rPr>
        <w:t>ème</w:t>
      </w:r>
      <w:r w:rsidRPr="00A72965">
        <w:rPr>
          <w:i/>
          <w:sz w:val="22"/>
          <w:szCs w:val="22"/>
          <w:lang w:val="fr-FR"/>
        </w:rPr>
        <w:t xml:space="preserve"> Réunion des Parties et, si nécessaire, de proposer que ce sujet soit réexaminé lors de la MOP6 dans le but d’assurer une solution durable à long terme pour la surveillance internationale des oiseaux d’eau »</w:t>
      </w:r>
      <w:r w:rsidRPr="00A72965">
        <w:rPr>
          <w:sz w:val="22"/>
          <w:szCs w:val="22"/>
          <w:lang w:val="fr-FR"/>
        </w:rPr>
        <w:t>.</w:t>
      </w:r>
    </w:p>
    <w:p w14:paraId="5985E382" w14:textId="77777777" w:rsidR="003C65F8" w:rsidRPr="00A72965" w:rsidRDefault="003C65F8" w:rsidP="00F16C3C">
      <w:pPr>
        <w:pStyle w:val="ListParagraph"/>
        <w:numPr>
          <w:ilvl w:val="0"/>
          <w:numId w:val="20"/>
        </w:numPr>
        <w:ind w:left="426" w:hanging="426"/>
        <w:jc w:val="both"/>
        <w:rPr>
          <w:sz w:val="22"/>
          <w:szCs w:val="22"/>
          <w:lang w:val="fr-FR"/>
        </w:rPr>
      </w:pPr>
      <w:r w:rsidRPr="00A72965">
        <w:rPr>
          <w:sz w:val="22"/>
          <w:szCs w:val="22"/>
          <w:lang w:val="fr-FR"/>
        </w:rPr>
        <w:t>Paragraphe 2 : « </w:t>
      </w:r>
      <w:r w:rsidRPr="00A72965">
        <w:rPr>
          <w:i/>
          <w:sz w:val="22"/>
          <w:szCs w:val="22"/>
          <w:lang w:val="fr-FR"/>
        </w:rPr>
        <w:t>Incite les Parties contractantes à envisager de verser des contributions volontaires pour aider au recueil de données pour la production du Rapport triennal de l’AEWA sur l’État de conservation et des Estimations mondiales de populations d’oiseaux d’eau</w:t>
      </w:r>
      <w:r w:rsidRPr="00A72965">
        <w:rPr>
          <w:sz w:val="22"/>
          <w:szCs w:val="22"/>
          <w:lang w:val="fr-FR"/>
        </w:rPr>
        <w:t>. »</w:t>
      </w:r>
    </w:p>
    <w:p w14:paraId="0075DEBA" w14:textId="77777777" w:rsidR="003C65F8" w:rsidRPr="00A72965" w:rsidRDefault="003C65F8" w:rsidP="00F16C3C">
      <w:pPr>
        <w:pStyle w:val="ListParagraph"/>
        <w:numPr>
          <w:ilvl w:val="0"/>
          <w:numId w:val="20"/>
        </w:numPr>
        <w:ind w:left="426" w:hanging="426"/>
        <w:jc w:val="both"/>
        <w:rPr>
          <w:sz w:val="22"/>
          <w:szCs w:val="22"/>
          <w:lang w:val="fr-FR"/>
        </w:rPr>
      </w:pPr>
      <w:r w:rsidRPr="00A72965">
        <w:rPr>
          <w:sz w:val="22"/>
          <w:szCs w:val="22"/>
          <w:lang w:val="fr-FR"/>
        </w:rPr>
        <w:t>Paragraphe 3 : « </w:t>
      </w:r>
      <w:r w:rsidRPr="00A72965">
        <w:rPr>
          <w:i/>
          <w:sz w:val="22"/>
          <w:szCs w:val="22"/>
          <w:lang w:val="fr-FR"/>
        </w:rPr>
        <w:t>Invite les Parties non contractantes, les organisations internationales et autres parties prenantes, à aider au recueil de données pour la production du Rapport triennal de l’AEWA sur l’État de conservation et des Estimations mondiales de populations d’oiseaux d’eau en versant des contributions volontaires</w:t>
      </w:r>
      <w:r w:rsidRPr="00A72965">
        <w:rPr>
          <w:sz w:val="22"/>
          <w:szCs w:val="22"/>
          <w:lang w:val="fr-FR"/>
        </w:rPr>
        <w:t>. »</w:t>
      </w:r>
    </w:p>
    <w:p w14:paraId="44EE39A5" w14:textId="77777777" w:rsidR="003C65F8" w:rsidRPr="00A72965" w:rsidRDefault="003C65F8" w:rsidP="00BA154F">
      <w:pPr>
        <w:jc w:val="both"/>
        <w:rPr>
          <w:szCs w:val="22"/>
          <w:lang w:val="fr-FR"/>
        </w:rPr>
      </w:pPr>
    </w:p>
    <w:p w14:paraId="02265200" w14:textId="0A156FD0" w:rsidR="003C65F8" w:rsidRPr="00A72965" w:rsidRDefault="003C65F8" w:rsidP="00BA154F">
      <w:pPr>
        <w:jc w:val="both"/>
        <w:rPr>
          <w:szCs w:val="22"/>
          <w:lang w:val="fr-FR"/>
        </w:rPr>
      </w:pPr>
      <w:r w:rsidRPr="00A72965">
        <w:rPr>
          <w:szCs w:val="22"/>
          <w:lang w:val="fr-FR"/>
        </w:rPr>
        <w:t xml:space="preserve">310. La </w:t>
      </w:r>
      <w:r w:rsidRPr="00A72965">
        <w:rPr>
          <w:b/>
          <w:szCs w:val="22"/>
          <w:lang w:val="fr-FR"/>
        </w:rPr>
        <w:t>Suisse</w:t>
      </w:r>
      <w:r w:rsidRPr="00A72965">
        <w:rPr>
          <w:szCs w:val="22"/>
          <w:lang w:val="fr-FR"/>
        </w:rPr>
        <w:t xml:space="preserve"> aurait préféré un texte plus fort mais s’était déjà rapprochée considérablement du point de vue de l’U</w:t>
      </w:r>
      <w:r w:rsidR="00996EF6">
        <w:rPr>
          <w:szCs w:val="22"/>
          <w:lang w:val="fr-FR"/>
        </w:rPr>
        <w:t>nion européenne</w:t>
      </w:r>
      <w:r w:rsidRPr="00A72965">
        <w:rPr>
          <w:szCs w:val="22"/>
          <w:lang w:val="fr-FR"/>
        </w:rPr>
        <w:t xml:space="preserve"> dans l’intérêt d’un consensus. Toutefois, les conséquences de cette décision seraient une dépendance continue, au cours de la prochaine période </w:t>
      </w:r>
      <w:proofErr w:type="spellStart"/>
      <w:r w:rsidRPr="00A72965">
        <w:rPr>
          <w:szCs w:val="22"/>
          <w:lang w:val="fr-FR"/>
        </w:rPr>
        <w:t>intersessionnelle</w:t>
      </w:r>
      <w:proofErr w:type="spellEnd"/>
      <w:r w:rsidRPr="00A72965">
        <w:rPr>
          <w:szCs w:val="22"/>
          <w:lang w:val="fr-FR"/>
        </w:rPr>
        <w:t xml:space="preserve">, au budget de </w:t>
      </w:r>
      <w:proofErr w:type="spellStart"/>
      <w:r w:rsidRPr="00A72965">
        <w:rPr>
          <w:szCs w:val="22"/>
          <w:lang w:val="fr-FR"/>
        </w:rPr>
        <w:t>Wetlands</w:t>
      </w:r>
      <w:proofErr w:type="spellEnd"/>
      <w:r w:rsidRPr="00A72965">
        <w:rPr>
          <w:szCs w:val="22"/>
          <w:lang w:val="fr-FR"/>
        </w:rPr>
        <w:t xml:space="preserve"> International et aux contributions volontaires. Le Recensement international des oiseaux d'eau (IWC) demeurerait par conséquent dans une situation relativement faible à court terme et le signal envoyé par les Parties à l’AEWA à la COP11 de la Convention de </w:t>
      </w:r>
      <w:proofErr w:type="spellStart"/>
      <w:r w:rsidRPr="00A72965">
        <w:rPr>
          <w:szCs w:val="22"/>
          <w:lang w:val="fr-FR"/>
        </w:rPr>
        <w:t>Ramsar</w:t>
      </w:r>
      <w:proofErr w:type="spellEnd"/>
      <w:r w:rsidRPr="00A72965">
        <w:rPr>
          <w:szCs w:val="22"/>
          <w:lang w:val="fr-FR"/>
        </w:rPr>
        <w:t xml:space="preserve">, qui se tiendrait en juillet 2012, était très négatif. </w:t>
      </w:r>
      <w:proofErr w:type="spellStart"/>
      <w:r w:rsidRPr="00A72965">
        <w:rPr>
          <w:szCs w:val="22"/>
          <w:lang w:val="fr-FR"/>
        </w:rPr>
        <w:t>Ramsar</w:t>
      </w:r>
      <w:proofErr w:type="spellEnd"/>
      <w:r w:rsidRPr="00A72965">
        <w:rPr>
          <w:szCs w:val="22"/>
          <w:lang w:val="fr-FR"/>
        </w:rPr>
        <w:t xml:space="preserve"> aurait pu être l’un des contributeurs financiers à un IWC renforcé et pourrait à présent envisager de ne pas participer puisque l’AEWA choisissait de ne pas s’engager. La Suisse espérait néanmoins que le texte de compromis serait acceptable. Tout le préambule de l’avant-projet de résolution restait inchangé.</w:t>
      </w:r>
    </w:p>
    <w:p w14:paraId="13248DE3" w14:textId="77777777" w:rsidR="003C65F8" w:rsidRPr="00A72965" w:rsidRDefault="003C65F8" w:rsidP="00BA154F">
      <w:pPr>
        <w:jc w:val="both"/>
        <w:rPr>
          <w:szCs w:val="22"/>
          <w:lang w:val="fr-FR"/>
        </w:rPr>
      </w:pPr>
    </w:p>
    <w:p w14:paraId="7C6406AB" w14:textId="77777777" w:rsidR="003C65F8" w:rsidRPr="00A72965" w:rsidRDefault="003C65F8" w:rsidP="00BA154F">
      <w:pPr>
        <w:jc w:val="both"/>
        <w:rPr>
          <w:szCs w:val="22"/>
          <w:lang w:val="fr-FR"/>
        </w:rPr>
      </w:pPr>
      <w:r w:rsidRPr="00A72965">
        <w:rPr>
          <w:szCs w:val="22"/>
          <w:lang w:val="fr-FR"/>
        </w:rPr>
        <w:t xml:space="preserve">311. En réponse à une suggestion du </w:t>
      </w:r>
      <w:r w:rsidRPr="00A72965">
        <w:rPr>
          <w:b/>
          <w:szCs w:val="22"/>
          <w:lang w:val="fr-FR"/>
        </w:rPr>
        <w:t>Président</w:t>
      </w:r>
      <w:r w:rsidRPr="00A72965">
        <w:rPr>
          <w:szCs w:val="22"/>
          <w:lang w:val="fr-FR"/>
        </w:rPr>
        <w:t>,</w:t>
      </w:r>
      <w:r w:rsidRPr="00A72965">
        <w:rPr>
          <w:b/>
          <w:szCs w:val="22"/>
          <w:lang w:val="fr-FR"/>
        </w:rPr>
        <w:t xml:space="preserve"> </w:t>
      </w:r>
      <w:r w:rsidRPr="00A72965">
        <w:rPr>
          <w:szCs w:val="22"/>
          <w:lang w:val="fr-FR"/>
        </w:rPr>
        <w:t xml:space="preserve">la </w:t>
      </w:r>
      <w:r w:rsidRPr="00A72965">
        <w:rPr>
          <w:b/>
          <w:szCs w:val="22"/>
          <w:lang w:val="fr-FR"/>
        </w:rPr>
        <w:t>Suisse</w:t>
      </w:r>
      <w:r w:rsidRPr="00A72965">
        <w:rPr>
          <w:szCs w:val="22"/>
          <w:lang w:val="fr-FR"/>
        </w:rPr>
        <w:t xml:space="preserve"> a confirmé que l’intitulé de l’avant-projet de résolution devrait rester inchangé.</w:t>
      </w:r>
    </w:p>
    <w:p w14:paraId="736F2C6A" w14:textId="77777777" w:rsidR="00996EF6" w:rsidRDefault="00996EF6" w:rsidP="00BA154F">
      <w:pPr>
        <w:jc w:val="both"/>
        <w:rPr>
          <w:szCs w:val="22"/>
          <w:lang w:val="fr-FR"/>
        </w:rPr>
      </w:pPr>
    </w:p>
    <w:p w14:paraId="313413C3" w14:textId="77777777" w:rsidR="003C65F8" w:rsidRPr="00A72965" w:rsidRDefault="003C65F8" w:rsidP="00BA154F">
      <w:pPr>
        <w:jc w:val="both"/>
        <w:rPr>
          <w:szCs w:val="22"/>
          <w:lang w:val="fr-FR"/>
        </w:rPr>
      </w:pPr>
      <w:r w:rsidRPr="00A72965">
        <w:rPr>
          <w:szCs w:val="22"/>
          <w:lang w:val="fr-FR"/>
        </w:rPr>
        <w:t xml:space="preserve">312. Il n’y a pas eu d’autres commentaires et à l’invitation du </w:t>
      </w:r>
      <w:r w:rsidRPr="00A72965">
        <w:rPr>
          <w:b/>
          <w:szCs w:val="22"/>
          <w:lang w:val="fr-FR"/>
        </w:rPr>
        <w:t>Président</w:t>
      </w:r>
      <w:r w:rsidRPr="00A72965">
        <w:rPr>
          <w:szCs w:val="22"/>
          <w:lang w:val="fr-FR"/>
        </w:rPr>
        <w:t>, le DR22 (texte original) a été adoptée, sous réserve de l’inclusion des amendements aux paragraphes opérationnels proposés par la Suisse.</w:t>
      </w:r>
    </w:p>
    <w:p w14:paraId="35E6EF6A" w14:textId="77777777" w:rsidR="003C65F8" w:rsidRPr="00A72965" w:rsidRDefault="003C65F8" w:rsidP="00BA154F">
      <w:pPr>
        <w:jc w:val="both"/>
        <w:rPr>
          <w:szCs w:val="22"/>
          <w:lang w:val="fr-FR"/>
        </w:rPr>
      </w:pPr>
    </w:p>
    <w:p w14:paraId="777B8B99" w14:textId="77777777" w:rsidR="003C65F8" w:rsidRPr="00A72965" w:rsidRDefault="003C65F8" w:rsidP="00BA154F">
      <w:pPr>
        <w:jc w:val="both"/>
        <w:rPr>
          <w:b/>
          <w:szCs w:val="22"/>
          <w:lang w:val="fr-FR"/>
        </w:rPr>
      </w:pPr>
      <w:r w:rsidRPr="00A72965">
        <w:rPr>
          <w:b/>
          <w:szCs w:val="22"/>
          <w:lang w:val="fr-FR"/>
        </w:rPr>
        <w:t xml:space="preserve">DR23 </w:t>
      </w:r>
      <w:r w:rsidRPr="00A72965">
        <w:rPr>
          <w:b/>
          <w:i/>
          <w:szCs w:val="22"/>
          <w:lang w:val="fr-FR"/>
        </w:rPr>
        <w:t>Périodicité des sessions de la Réunion des Parties à l’AEWA</w:t>
      </w:r>
      <w:r w:rsidRPr="00A72965">
        <w:rPr>
          <w:b/>
          <w:szCs w:val="22"/>
          <w:lang w:val="fr-FR"/>
        </w:rPr>
        <w:t xml:space="preserve"> </w:t>
      </w:r>
    </w:p>
    <w:p w14:paraId="59A76178" w14:textId="77777777" w:rsidR="003C65F8" w:rsidRPr="00A72965" w:rsidRDefault="003C65F8" w:rsidP="00BA154F">
      <w:pPr>
        <w:jc w:val="both"/>
        <w:rPr>
          <w:szCs w:val="22"/>
          <w:lang w:val="fr-FR"/>
        </w:rPr>
      </w:pPr>
    </w:p>
    <w:p w14:paraId="05532039" w14:textId="77777777" w:rsidR="003C65F8" w:rsidRPr="00A72965" w:rsidRDefault="003C65F8" w:rsidP="00BA154F">
      <w:pPr>
        <w:jc w:val="both"/>
        <w:rPr>
          <w:szCs w:val="22"/>
          <w:lang w:val="fr-FR"/>
        </w:rPr>
      </w:pPr>
      <w:r w:rsidRPr="00A72965">
        <w:rPr>
          <w:szCs w:val="22"/>
          <w:lang w:val="fr-FR"/>
        </w:rPr>
        <w:t>313. Cet avant-projet de résolution a été retiré sur la recommandation du WG2, comme indiqué au point 29 de l’ordre du jour.</w:t>
      </w:r>
    </w:p>
    <w:p w14:paraId="6107E633" w14:textId="77777777" w:rsidR="003C65F8" w:rsidRPr="00A72965" w:rsidRDefault="003C65F8" w:rsidP="00BA154F">
      <w:pPr>
        <w:jc w:val="both"/>
        <w:rPr>
          <w:szCs w:val="22"/>
          <w:lang w:val="fr-FR"/>
        </w:rPr>
      </w:pPr>
    </w:p>
    <w:p w14:paraId="071714E9" w14:textId="77777777" w:rsidR="003C65F8" w:rsidRPr="00A72965" w:rsidRDefault="003C65F8" w:rsidP="00BA154F">
      <w:pPr>
        <w:jc w:val="both"/>
        <w:rPr>
          <w:b/>
          <w:szCs w:val="22"/>
          <w:lang w:val="fr-FR"/>
        </w:rPr>
      </w:pPr>
      <w:r w:rsidRPr="00A72965">
        <w:rPr>
          <w:b/>
          <w:szCs w:val="22"/>
          <w:lang w:val="fr-FR"/>
        </w:rPr>
        <w:t xml:space="preserve">DR24 </w:t>
      </w:r>
      <w:proofErr w:type="spellStart"/>
      <w:r w:rsidRPr="00A72965">
        <w:rPr>
          <w:b/>
          <w:szCs w:val="22"/>
          <w:lang w:val="fr-FR"/>
        </w:rPr>
        <w:t>Rév</w:t>
      </w:r>
      <w:proofErr w:type="spellEnd"/>
      <w:r w:rsidRPr="00A72965">
        <w:rPr>
          <w:b/>
          <w:szCs w:val="22"/>
          <w:lang w:val="fr-FR"/>
        </w:rPr>
        <w:t xml:space="preserve">. 2 </w:t>
      </w:r>
      <w:r w:rsidRPr="00A72965">
        <w:rPr>
          <w:b/>
          <w:i/>
          <w:szCs w:val="22"/>
          <w:lang w:val="fr-FR"/>
        </w:rPr>
        <w:t>Contribution de l’AEWA aux objectifs d’Aichi 2020 pour la biodiversité.</w:t>
      </w:r>
      <w:r w:rsidRPr="00A72965">
        <w:rPr>
          <w:b/>
          <w:szCs w:val="22"/>
          <w:lang w:val="fr-FR"/>
        </w:rPr>
        <w:t xml:space="preserve"> </w:t>
      </w:r>
    </w:p>
    <w:p w14:paraId="1B89F514" w14:textId="77777777" w:rsidR="003C65F8" w:rsidRPr="00A72965" w:rsidRDefault="003C65F8" w:rsidP="00BA154F">
      <w:pPr>
        <w:jc w:val="both"/>
        <w:rPr>
          <w:b/>
          <w:szCs w:val="22"/>
          <w:lang w:val="fr-FR"/>
        </w:rPr>
      </w:pPr>
    </w:p>
    <w:p w14:paraId="168BD038" w14:textId="77777777" w:rsidR="003C65F8" w:rsidRPr="00A72965" w:rsidRDefault="003C65F8" w:rsidP="00BA154F">
      <w:pPr>
        <w:jc w:val="both"/>
        <w:rPr>
          <w:szCs w:val="22"/>
          <w:lang w:val="fr-FR"/>
        </w:rPr>
      </w:pPr>
      <w:r w:rsidRPr="00A72965">
        <w:rPr>
          <w:szCs w:val="22"/>
          <w:lang w:val="fr-FR"/>
        </w:rPr>
        <w:t xml:space="preserve">314. Le Président a noté que cet avant-projet de résolution avait été examiné par le WG1 et il a invité l’assemblée à faire des commentaires. Il n’y a pas eu d’autres commentaires et à l’invitation du Président, la réunion a adopté le DR24 </w:t>
      </w:r>
      <w:proofErr w:type="spellStart"/>
      <w:r w:rsidRPr="00A72965">
        <w:rPr>
          <w:szCs w:val="22"/>
          <w:lang w:val="fr-FR"/>
        </w:rPr>
        <w:t>Rév</w:t>
      </w:r>
      <w:proofErr w:type="spellEnd"/>
      <w:r w:rsidRPr="00A72965">
        <w:rPr>
          <w:szCs w:val="22"/>
          <w:lang w:val="fr-FR"/>
        </w:rPr>
        <w:t>. 2 par consensus, sans autre amendement.</w:t>
      </w:r>
    </w:p>
    <w:p w14:paraId="0CBFA08E" w14:textId="77777777" w:rsidR="003C65F8" w:rsidRPr="00A72965" w:rsidRDefault="003C65F8" w:rsidP="00BA154F">
      <w:pPr>
        <w:jc w:val="both"/>
        <w:rPr>
          <w:szCs w:val="22"/>
          <w:lang w:val="fr-FR"/>
        </w:rPr>
      </w:pPr>
    </w:p>
    <w:p w14:paraId="2E7F2182" w14:textId="77777777" w:rsidR="003C65F8" w:rsidRPr="00A72965" w:rsidRDefault="003C65F8" w:rsidP="00BA154F">
      <w:pPr>
        <w:jc w:val="both"/>
        <w:rPr>
          <w:b/>
          <w:szCs w:val="22"/>
          <w:lang w:val="fr-FR"/>
        </w:rPr>
      </w:pPr>
      <w:r w:rsidRPr="00A72965">
        <w:rPr>
          <w:b/>
          <w:szCs w:val="22"/>
          <w:lang w:val="fr-FR"/>
        </w:rPr>
        <w:t xml:space="preserve">DR25 texte original </w:t>
      </w:r>
      <w:r w:rsidRPr="00A72965">
        <w:rPr>
          <w:b/>
          <w:i/>
          <w:szCs w:val="22"/>
          <w:lang w:val="fr-FR"/>
        </w:rPr>
        <w:t>Explications juridiques et scientifiques de la définition du terme de Perturbation pouvant servir à une mise en œuvre appropriée du Plan d’action</w:t>
      </w:r>
      <w:r w:rsidRPr="00A72965">
        <w:rPr>
          <w:b/>
          <w:szCs w:val="22"/>
          <w:lang w:val="fr-FR"/>
        </w:rPr>
        <w:t xml:space="preserve">. </w:t>
      </w:r>
    </w:p>
    <w:p w14:paraId="5E353B5C" w14:textId="77777777" w:rsidR="003C65F8" w:rsidRPr="00A72965" w:rsidRDefault="003C65F8" w:rsidP="00BA154F">
      <w:pPr>
        <w:jc w:val="both"/>
        <w:rPr>
          <w:b/>
          <w:szCs w:val="22"/>
          <w:lang w:val="fr-FR"/>
        </w:rPr>
      </w:pPr>
    </w:p>
    <w:p w14:paraId="3B332F09" w14:textId="77777777" w:rsidR="003C65F8" w:rsidRPr="00A72965" w:rsidRDefault="003C65F8" w:rsidP="00BA154F">
      <w:pPr>
        <w:jc w:val="both"/>
        <w:rPr>
          <w:szCs w:val="22"/>
          <w:lang w:val="fr-FR"/>
        </w:rPr>
      </w:pPr>
      <w:r w:rsidRPr="00A72965">
        <w:rPr>
          <w:szCs w:val="22"/>
          <w:lang w:val="fr-FR"/>
        </w:rPr>
        <w:t>315. Le Président a noté que cet avant-projet de résolution avait été examiné par le WG1 et il a invité l’assemblée à faire des commentaires. Il n’y a pas eu d’autres commentaires et à l’invitation du Président, le DR25 (texte original) a été adoptée, sans autre amendement.</w:t>
      </w:r>
    </w:p>
    <w:p w14:paraId="35A0345A" w14:textId="77777777" w:rsidR="003C65F8" w:rsidRPr="00A72965" w:rsidRDefault="003C65F8" w:rsidP="00BA154F">
      <w:pPr>
        <w:jc w:val="both"/>
        <w:rPr>
          <w:szCs w:val="22"/>
          <w:lang w:val="fr-FR"/>
        </w:rPr>
      </w:pPr>
    </w:p>
    <w:p w14:paraId="5E05307E" w14:textId="77777777" w:rsidR="003C65F8" w:rsidRPr="00A72965" w:rsidRDefault="003C65F8" w:rsidP="00BA154F">
      <w:pPr>
        <w:jc w:val="both"/>
        <w:rPr>
          <w:b/>
          <w:szCs w:val="22"/>
          <w:lang w:val="fr-FR"/>
        </w:rPr>
      </w:pPr>
      <w:r w:rsidRPr="00A72965">
        <w:rPr>
          <w:b/>
          <w:szCs w:val="22"/>
          <w:lang w:val="fr-FR"/>
        </w:rPr>
        <w:t xml:space="preserve">DR26 texte original </w:t>
      </w:r>
      <w:r w:rsidRPr="00A72965">
        <w:rPr>
          <w:b/>
          <w:i/>
          <w:szCs w:val="22"/>
          <w:lang w:val="fr-FR"/>
        </w:rPr>
        <w:t>Soutien au renforcement des capacités en vue d’améliorer les lois et les politiques en faveur des oiseaux d’eau</w:t>
      </w:r>
      <w:r w:rsidRPr="00A72965">
        <w:rPr>
          <w:b/>
          <w:szCs w:val="22"/>
          <w:lang w:val="fr-FR"/>
        </w:rPr>
        <w:t>.</w:t>
      </w:r>
    </w:p>
    <w:p w14:paraId="08223CC6" w14:textId="77777777" w:rsidR="003C65F8" w:rsidRPr="00A72965" w:rsidRDefault="003C65F8" w:rsidP="00BA154F">
      <w:pPr>
        <w:jc w:val="both"/>
        <w:rPr>
          <w:b/>
          <w:szCs w:val="22"/>
          <w:lang w:val="fr-FR"/>
        </w:rPr>
      </w:pPr>
    </w:p>
    <w:p w14:paraId="24823A18" w14:textId="77777777" w:rsidR="003C65F8" w:rsidRPr="00A72965" w:rsidRDefault="003C65F8" w:rsidP="00BA154F">
      <w:pPr>
        <w:jc w:val="both"/>
        <w:rPr>
          <w:szCs w:val="22"/>
          <w:lang w:val="fr-FR"/>
        </w:rPr>
      </w:pPr>
      <w:r w:rsidRPr="00A72965">
        <w:rPr>
          <w:szCs w:val="22"/>
          <w:lang w:val="fr-FR"/>
        </w:rPr>
        <w:t xml:space="preserve">316. Le </w:t>
      </w:r>
      <w:r w:rsidRPr="00A72965">
        <w:rPr>
          <w:b/>
          <w:szCs w:val="22"/>
          <w:lang w:val="fr-FR"/>
        </w:rPr>
        <w:t>Président</w:t>
      </w:r>
      <w:r w:rsidRPr="00A72965">
        <w:rPr>
          <w:szCs w:val="22"/>
          <w:lang w:val="fr-FR"/>
        </w:rPr>
        <w:t xml:space="preserve"> a noté que le texte original de cet avant-projet de résolution avait été examiné en assemblée plénière, qu’aucune proposition d’amendement n’avait été reçue et que le texte original était donc présenté pour commentaire. Il n’y a pas eu d’autres commentaires et à l’invitation du Président, le DR26 (texte original) a été adoptée par consensus, sans autre amendement.</w:t>
      </w:r>
    </w:p>
    <w:p w14:paraId="32FB6D1B" w14:textId="77777777" w:rsidR="003C65F8" w:rsidRPr="00A72965" w:rsidRDefault="003C65F8" w:rsidP="00BA154F">
      <w:pPr>
        <w:jc w:val="both"/>
        <w:rPr>
          <w:szCs w:val="22"/>
          <w:lang w:val="fr-FR"/>
        </w:rPr>
      </w:pPr>
    </w:p>
    <w:p w14:paraId="72957C19" w14:textId="77777777" w:rsidR="003C65F8" w:rsidRPr="00A72965" w:rsidRDefault="003C65F8" w:rsidP="00BA154F">
      <w:pPr>
        <w:jc w:val="both"/>
        <w:rPr>
          <w:b/>
          <w:szCs w:val="22"/>
          <w:lang w:val="fr-FR"/>
        </w:rPr>
      </w:pPr>
      <w:r w:rsidRPr="00A72965">
        <w:rPr>
          <w:b/>
          <w:szCs w:val="22"/>
          <w:lang w:val="fr-FR"/>
        </w:rPr>
        <w:t xml:space="preserve">DR27 texte original </w:t>
      </w:r>
      <w:r w:rsidRPr="00A72965">
        <w:rPr>
          <w:b/>
          <w:i/>
          <w:szCs w:val="22"/>
          <w:lang w:val="fr-FR"/>
        </w:rPr>
        <w:t>Remerciements aux organisateurs</w:t>
      </w:r>
      <w:r w:rsidRPr="00A72965">
        <w:rPr>
          <w:b/>
          <w:szCs w:val="22"/>
          <w:lang w:val="fr-FR"/>
        </w:rPr>
        <w:t>.</w:t>
      </w:r>
    </w:p>
    <w:p w14:paraId="6BC6BC5F" w14:textId="77777777" w:rsidR="003C65F8" w:rsidRPr="00A72965" w:rsidRDefault="003C65F8" w:rsidP="00BA154F">
      <w:pPr>
        <w:jc w:val="both"/>
        <w:rPr>
          <w:b/>
          <w:szCs w:val="22"/>
          <w:lang w:val="fr-FR"/>
        </w:rPr>
      </w:pPr>
      <w:r w:rsidRPr="00A72965">
        <w:rPr>
          <w:b/>
          <w:szCs w:val="22"/>
          <w:lang w:val="fr-FR"/>
        </w:rPr>
        <w:t xml:space="preserve"> </w:t>
      </w:r>
    </w:p>
    <w:p w14:paraId="42357AED" w14:textId="77777777" w:rsidR="003C65F8" w:rsidRPr="00A72965" w:rsidRDefault="003C65F8" w:rsidP="00BA154F">
      <w:pPr>
        <w:jc w:val="both"/>
        <w:rPr>
          <w:szCs w:val="22"/>
          <w:lang w:val="fr-FR"/>
        </w:rPr>
      </w:pPr>
      <w:r w:rsidRPr="00A72965">
        <w:rPr>
          <w:szCs w:val="22"/>
          <w:lang w:val="fr-FR"/>
        </w:rPr>
        <w:t>317. Cet avant-projet de résolution a été examiné sous le point 34 a de l’ordre du jour (voir paragraphes 331).</w:t>
      </w:r>
    </w:p>
    <w:p w14:paraId="18B9BE07" w14:textId="77777777" w:rsidR="003C65F8" w:rsidRPr="00A72965" w:rsidRDefault="003C65F8" w:rsidP="00BA154F">
      <w:pPr>
        <w:jc w:val="both"/>
        <w:rPr>
          <w:szCs w:val="22"/>
          <w:lang w:val="fr-FR"/>
        </w:rPr>
      </w:pPr>
    </w:p>
    <w:p w14:paraId="28BBC38C" w14:textId="77777777" w:rsidR="003C65F8" w:rsidRPr="00A72965" w:rsidRDefault="003C65F8" w:rsidP="00BA154F">
      <w:pPr>
        <w:jc w:val="both"/>
        <w:rPr>
          <w:b/>
          <w:szCs w:val="22"/>
          <w:lang w:val="fr-FR"/>
        </w:rPr>
      </w:pPr>
      <w:r w:rsidRPr="00A72965">
        <w:rPr>
          <w:b/>
          <w:szCs w:val="22"/>
          <w:lang w:val="fr-FR"/>
        </w:rPr>
        <w:t xml:space="preserve">DR28 texte original </w:t>
      </w:r>
      <w:r w:rsidRPr="00A72965">
        <w:rPr>
          <w:b/>
          <w:i/>
          <w:szCs w:val="22"/>
          <w:lang w:val="fr-FR"/>
        </w:rPr>
        <w:t>Date, lieu et financement de la 6</w:t>
      </w:r>
      <w:r w:rsidRPr="00A72965">
        <w:rPr>
          <w:b/>
          <w:i/>
          <w:szCs w:val="22"/>
          <w:vertAlign w:val="superscript"/>
          <w:lang w:val="fr-FR"/>
        </w:rPr>
        <w:t>ème</w:t>
      </w:r>
      <w:r w:rsidRPr="00A72965">
        <w:rPr>
          <w:b/>
          <w:i/>
          <w:szCs w:val="22"/>
          <w:lang w:val="fr-FR"/>
        </w:rPr>
        <w:t xml:space="preserve"> Réunion des Parties</w:t>
      </w:r>
      <w:r w:rsidRPr="00A72965">
        <w:rPr>
          <w:b/>
          <w:szCs w:val="22"/>
          <w:lang w:val="fr-FR"/>
        </w:rPr>
        <w:t>.</w:t>
      </w:r>
    </w:p>
    <w:p w14:paraId="4649A3C2" w14:textId="77777777" w:rsidR="003C65F8" w:rsidRPr="00A72965" w:rsidRDefault="003C65F8" w:rsidP="00BA154F">
      <w:pPr>
        <w:jc w:val="both"/>
        <w:rPr>
          <w:b/>
          <w:szCs w:val="22"/>
          <w:lang w:val="fr-FR"/>
        </w:rPr>
      </w:pPr>
      <w:r w:rsidRPr="00A72965">
        <w:rPr>
          <w:b/>
          <w:szCs w:val="22"/>
          <w:lang w:val="fr-FR"/>
        </w:rPr>
        <w:t xml:space="preserve"> </w:t>
      </w:r>
    </w:p>
    <w:p w14:paraId="121C1169" w14:textId="0B07E502" w:rsidR="003C65F8" w:rsidRPr="00A72965" w:rsidRDefault="003C65F8" w:rsidP="00BA154F">
      <w:pPr>
        <w:jc w:val="both"/>
        <w:rPr>
          <w:szCs w:val="22"/>
          <w:lang w:val="fr-FR"/>
        </w:rPr>
      </w:pPr>
      <w:r w:rsidRPr="00A72965">
        <w:rPr>
          <w:szCs w:val="22"/>
          <w:lang w:val="fr-FR"/>
        </w:rPr>
        <w:t>318. Cet avant-projet de résolution a été examiné sous le point 31</w:t>
      </w:r>
      <w:r w:rsidR="00996EF6">
        <w:rPr>
          <w:szCs w:val="22"/>
          <w:lang w:val="fr-FR"/>
        </w:rPr>
        <w:t xml:space="preserve"> </w:t>
      </w:r>
      <w:r w:rsidRPr="00A72965">
        <w:rPr>
          <w:szCs w:val="22"/>
          <w:lang w:val="fr-FR"/>
        </w:rPr>
        <w:t>de l’ordre du jour (voir paragraphes 325 &amp; 326).</w:t>
      </w:r>
    </w:p>
    <w:p w14:paraId="59D4AB01" w14:textId="4EA58014" w:rsidR="003C65F8" w:rsidRPr="00A72965" w:rsidRDefault="00996EF6" w:rsidP="00BA154F">
      <w:pPr>
        <w:jc w:val="both"/>
        <w:rPr>
          <w:szCs w:val="22"/>
          <w:lang w:val="fr-FR"/>
        </w:rPr>
      </w:pPr>
      <w:r>
        <w:rPr>
          <w:szCs w:val="22"/>
          <w:lang w:val="fr-FR"/>
        </w:rPr>
        <w:t>En concluant l</w:t>
      </w:r>
      <w:r w:rsidR="003C65F8" w:rsidRPr="00A72965">
        <w:rPr>
          <w:szCs w:val="22"/>
          <w:lang w:val="fr-FR"/>
        </w:rPr>
        <w:t xml:space="preserve">e point de l’ordre du jour, le </w:t>
      </w:r>
      <w:r w:rsidR="003C65F8" w:rsidRPr="00A72965">
        <w:rPr>
          <w:b/>
          <w:szCs w:val="22"/>
          <w:lang w:val="fr-FR"/>
        </w:rPr>
        <w:t>Président</w:t>
      </w:r>
      <w:r w:rsidR="003C65F8" w:rsidRPr="00A72965">
        <w:rPr>
          <w:szCs w:val="22"/>
          <w:lang w:val="fr-FR"/>
        </w:rPr>
        <w:t xml:space="preserve"> a confirmé que les résolutions adoptées seraient renumérotées de façon à tenir compte de la suppression du DR23.</w:t>
      </w:r>
    </w:p>
    <w:p w14:paraId="4EB1389A" w14:textId="77777777" w:rsidR="003C65F8" w:rsidRDefault="003C65F8" w:rsidP="00BA154F">
      <w:pPr>
        <w:jc w:val="both"/>
        <w:rPr>
          <w:szCs w:val="22"/>
          <w:lang w:val="fr-FR"/>
        </w:rPr>
      </w:pPr>
    </w:p>
    <w:p w14:paraId="6A7E38DC" w14:textId="77777777" w:rsidR="00C3740A" w:rsidRPr="00A72965" w:rsidRDefault="00C3740A" w:rsidP="00BA154F">
      <w:pPr>
        <w:jc w:val="both"/>
        <w:rPr>
          <w:szCs w:val="22"/>
          <w:lang w:val="fr-FR"/>
        </w:rPr>
      </w:pPr>
    </w:p>
    <w:p w14:paraId="7FD553B8" w14:textId="77777777" w:rsidR="003C65F8" w:rsidRDefault="003C65F8" w:rsidP="00BA154F">
      <w:pPr>
        <w:jc w:val="both"/>
        <w:rPr>
          <w:b/>
          <w:szCs w:val="22"/>
          <w:lang w:val="fr-FR"/>
        </w:rPr>
      </w:pPr>
      <w:r w:rsidRPr="00A72965">
        <w:rPr>
          <w:b/>
          <w:szCs w:val="22"/>
          <w:lang w:val="fr-FR"/>
        </w:rPr>
        <w:t>Point 31 de l’ordre du jour. Date, et lieu de la 6</w:t>
      </w:r>
      <w:r w:rsidRPr="00A72965">
        <w:rPr>
          <w:b/>
          <w:szCs w:val="22"/>
          <w:vertAlign w:val="superscript"/>
          <w:lang w:val="fr-FR"/>
        </w:rPr>
        <w:t>ème</w:t>
      </w:r>
      <w:r w:rsidRPr="00A72965">
        <w:rPr>
          <w:b/>
          <w:szCs w:val="22"/>
          <w:lang w:val="fr-FR"/>
        </w:rPr>
        <w:t xml:space="preserve"> Réunion des Parties.</w:t>
      </w:r>
    </w:p>
    <w:p w14:paraId="07583BAC" w14:textId="77777777" w:rsidR="00C3740A" w:rsidRPr="00A72965" w:rsidRDefault="00C3740A" w:rsidP="00BA154F">
      <w:pPr>
        <w:jc w:val="both"/>
        <w:rPr>
          <w:b/>
          <w:szCs w:val="22"/>
          <w:lang w:val="fr-FR"/>
        </w:rPr>
      </w:pPr>
    </w:p>
    <w:p w14:paraId="35F9A9A3" w14:textId="77777777" w:rsidR="003C65F8" w:rsidRPr="00A72965" w:rsidRDefault="003C65F8" w:rsidP="00BA154F">
      <w:pPr>
        <w:jc w:val="both"/>
        <w:rPr>
          <w:iCs/>
          <w:szCs w:val="22"/>
          <w:lang w:val="fr-FR"/>
        </w:rPr>
      </w:pPr>
      <w:r w:rsidRPr="00A72965">
        <w:rPr>
          <w:szCs w:val="22"/>
          <w:lang w:val="fr-FR"/>
        </w:rPr>
        <w:t xml:space="preserve">319. Le </w:t>
      </w:r>
      <w:r w:rsidRPr="00A72965">
        <w:rPr>
          <w:b/>
          <w:szCs w:val="22"/>
          <w:lang w:val="fr-FR"/>
        </w:rPr>
        <w:t>Président</w:t>
      </w:r>
      <w:r w:rsidRPr="00A72965">
        <w:rPr>
          <w:szCs w:val="22"/>
          <w:lang w:val="fr-FR"/>
        </w:rPr>
        <w:t xml:space="preserve"> a noté que les Parties avaient été invitées d’avance</w:t>
      </w:r>
      <w:r w:rsidRPr="00A72965">
        <w:rPr>
          <w:iCs/>
          <w:szCs w:val="22"/>
          <w:lang w:val="fr-FR"/>
        </w:rPr>
        <w:t xml:space="preserve"> à envisager d’accueillir la 6</w:t>
      </w:r>
      <w:r w:rsidRPr="00A72965">
        <w:rPr>
          <w:iCs/>
          <w:szCs w:val="22"/>
          <w:vertAlign w:val="superscript"/>
          <w:lang w:val="fr-FR"/>
        </w:rPr>
        <w:t>ème</w:t>
      </w:r>
      <w:r w:rsidRPr="00A72965">
        <w:rPr>
          <w:iCs/>
          <w:szCs w:val="22"/>
          <w:lang w:val="fr-FR"/>
        </w:rPr>
        <w:t xml:space="preserve"> session de la Réunion des Parties (dont la date, en 2015, était à présent confirmée, suite à la suppression du DR23) et à annoncer tout intérêt avant ou durant la MOP5. Il a invité l’assemblée à faire ses déclarations.</w:t>
      </w:r>
    </w:p>
    <w:p w14:paraId="45EDAC5B" w14:textId="77777777" w:rsidR="003C65F8" w:rsidRPr="00A72965" w:rsidRDefault="003C65F8" w:rsidP="00BA154F">
      <w:pPr>
        <w:jc w:val="both"/>
        <w:rPr>
          <w:iCs/>
          <w:szCs w:val="22"/>
          <w:lang w:val="fr-FR"/>
        </w:rPr>
      </w:pPr>
    </w:p>
    <w:p w14:paraId="49F9E63D" w14:textId="77777777" w:rsidR="003C65F8" w:rsidRPr="00A72965" w:rsidRDefault="003C65F8" w:rsidP="00BA154F">
      <w:pPr>
        <w:jc w:val="both"/>
        <w:rPr>
          <w:szCs w:val="22"/>
          <w:lang w:val="fr-FR"/>
        </w:rPr>
      </w:pPr>
      <w:r w:rsidRPr="00A72965">
        <w:rPr>
          <w:szCs w:val="22"/>
          <w:lang w:val="fr-FR"/>
        </w:rPr>
        <w:t xml:space="preserve">320. </w:t>
      </w:r>
      <w:r w:rsidRPr="00A72965">
        <w:rPr>
          <w:b/>
          <w:szCs w:val="22"/>
          <w:lang w:val="fr-FR"/>
        </w:rPr>
        <w:t>Israël</w:t>
      </w:r>
      <w:r w:rsidRPr="00A72965">
        <w:rPr>
          <w:szCs w:val="22"/>
          <w:lang w:val="fr-FR"/>
        </w:rPr>
        <w:t xml:space="preserve"> a invité la MOP6 à se réunir en Israël. Comme les oiseaux ne connaissent pas de frontières politiques, toutes les Parties seraient invitées. Au cas où cette offre ne serait pas acceptée, toute future réunion du Comité technique serait également chaleureusement invitée en Israël.</w:t>
      </w:r>
    </w:p>
    <w:p w14:paraId="1302A16F" w14:textId="77777777" w:rsidR="003C65F8" w:rsidRPr="00A72965" w:rsidRDefault="003C65F8" w:rsidP="00BA154F">
      <w:pPr>
        <w:jc w:val="both"/>
        <w:rPr>
          <w:szCs w:val="22"/>
          <w:lang w:val="fr-FR"/>
        </w:rPr>
      </w:pPr>
    </w:p>
    <w:p w14:paraId="66F7C8AF" w14:textId="77777777" w:rsidR="003C65F8" w:rsidRPr="00A72965" w:rsidRDefault="003C65F8" w:rsidP="00BA154F">
      <w:pPr>
        <w:jc w:val="both"/>
        <w:rPr>
          <w:szCs w:val="22"/>
          <w:lang w:val="fr-FR"/>
        </w:rPr>
      </w:pPr>
      <w:r w:rsidRPr="00A72965">
        <w:rPr>
          <w:szCs w:val="22"/>
          <w:lang w:val="fr-FR"/>
        </w:rPr>
        <w:t>321. L’</w:t>
      </w:r>
      <w:r w:rsidRPr="00A72965">
        <w:rPr>
          <w:b/>
          <w:szCs w:val="22"/>
          <w:lang w:val="fr-FR"/>
        </w:rPr>
        <w:t>Algérie</w:t>
      </w:r>
      <w:r w:rsidRPr="00A72965">
        <w:rPr>
          <w:szCs w:val="22"/>
          <w:lang w:val="fr-FR"/>
        </w:rPr>
        <w:t>, l’</w:t>
      </w:r>
      <w:r w:rsidRPr="00A72965">
        <w:rPr>
          <w:b/>
          <w:szCs w:val="22"/>
          <w:lang w:val="fr-FR"/>
        </w:rPr>
        <w:t>Égypte</w:t>
      </w:r>
      <w:r w:rsidRPr="00A72965">
        <w:rPr>
          <w:szCs w:val="22"/>
          <w:lang w:val="fr-FR"/>
        </w:rPr>
        <w:t xml:space="preserve">, le </w:t>
      </w:r>
      <w:r w:rsidRPr="00A72965">
        <w:rPr>
          <w:b/>
          <w:szCs w:val="22"/>
          <w:lang w:val="fr-FR"/>
        </w:rPr>
        <w:t>Koweït</w:t>
      </w:r>
      <w:r w:rsidRPr="00A72965">
        <w:rPr>
          <w:szCs w:val="22"/>
          <w:lang w:val="fr-FR"/>
        </w:rPr>
        <w:t xml:space="preserve">, la </w:t>
      </w:r>
      <w:r w:rsidRPr="00A72965">
        <w:rPr>
          <w:b/>
          <w:szCs w:val="22"/>
          <w:lang w:val="fr-FR"/>
        </w:rPr>
        <w:t>Libye</w:t>
      </w:r>
      <w:r w:rsidRPr="00A72965">
        <w:rPr>
          <w:szCs w:val="22"/>
          <w:lang w:val="fr-FR"/>
        </w:rPr>
        <w:t xml:space="preserve"> et la </w:t>
      </w:r>
      <w:r w:rsidRPr="00A72965">
        <w:rPr>
          <w:b/>
          <w:szCs w:val="22"/>
          <w:lang w:val="fr-FR"/>
        </w:rPr>
        <w:t>Mauritanie</w:t>
      </w:r>
      <w:r w:rsidRPr="00A72965">
        <w:rPr>
          <w:szCs w:val="22"/>
          <w:lang w:val="fr-FR"/>
        </w:rPr>
        <w:t xml:space="preserve"> ont tous indiqués que bien que l’AEWA ne traite pas de questions politiques, organiser la MOP6 en Israël rendrait difficile ou même impossible que beaucoup de pays arabes y assistent.</w:t>
      </w:r>
    </w:p>
    <w:p w14:paraId="4ADAC59A" w14:textId="77777777" w:rsidR="003C65F8" w:rsidRPr="00A72965" w:rsidRDefault="003C65F8" w:rsidP="00BA154F">
      <w:pPr>
        <w:jc w:val="both"/>
        <w:rPr>
          <w:szCs w:val="22"/>
          <w:lang w:val="fr-FR"/>
        </w:rPr>
      </w:pPr>
    </w:p>
    <w:p w14:paraId="45DB9197" w14:textId="77777777" w:rsidR="003C65F8" w:rsidRPr="00A72965" w:rsidRDefault="003C65F8" w:rsidP="00BA154F">
      <w:pPr>
        <w:jc w:val="both"/>
        <w:rPr>
          <w:szCs w:val="22"/>
          <w:lang w:val="fr-FR"/>
        </w:rPr>
      </w:pPr>
      <w:r w:rsidRPr="00A72965">
        <w:rPr>
          <w:szCs w:val="22"/>
          <w:lang w:val="fr-FR"/>
        </w:rPr>
        <w:t>322. Le</w:t>
      </w:r>
      <w:r w:rsidRPr="00A72965">
        <w:rPr>
          <w:b/>
          <w:szCs w:val="22"/>
          <w:lang w:val="fr-FR"/>
        </w:rPr>
        <w:t xml:space="preserve"> Président </w:t>
      </w:r>
      <w:r w:rsidRPr="00A72965">
        <w:rPr>
          <w:szCs w:val="22"/>
          <w:lang w:val="fr-FR"/>
        </w:rPr>
        <w:t>a noté que tous les participants étaient conscients des problèmes en jeu, bien que ce soit regrettable, puisque ce genre de questions allait bien au-delà des compétences de l’AEWA.</w:t>
      </w:r>
    </w:p>
    <w:p w14:paraId="136D363C" w14:textId="77777777" w:rsidR="003C65F8" w:rsidRPr="00A72965" w:rsidRDefault="003C65F8" w:rsidP="00BA154F">
      <w:pPr>
        <w:jc w:val="both"/>
        <w:rPr>
          <w:szCs w:val="22"/>
          <w:lang w:val="fr-FR"/>
        </w:rPr>
      </w:pPr>
    </w:p>
    <w:p w14:paraId="5FC6503F" w14:textId="77777777" w:rsidR="003C65F8" w:rsidRPr="00A72965" w:rsidRDefault="003C65F8" w:rsidP="00BA154F">
      <w:pPr>
        <w:jc w:val="both"/>
        <w:rPr>
          <w:szCs w:val="22"/>
          <w:lang w:val="fr-FR"/>
        </w:rPr>
      </w:pPr>
      <w:r w:rsidRPr="00A72965">
        <w:rPr>
          <w:szCs w:val="22"/>
          <w:lang w:val="fr-FR"/>
        </w:rPr>
        <w:t xml:space="preserve">323. La </w:t>
      </w:r>
      <w:r w:rsidRPr="00A72965">
        <w:rPr>
          <w:b/>
          <w:szCs w:val="22"/>
          <w:lang w:val="fr-FR"/>
        </w:rPr>
        <w:t>Mauritanie</w:t>
      </w:r>
      <w:r w:rsidRPr="00A72965">
        <w:rPr>
          <w:szCs w:val="22"/>
          <w:lang w:val="fr-FR"/>
        </w:rPr>
        <w:t xml:space="preserve"> a indiqué qu’elle espérait pouvoir offrir d’accueillir la MOP6, mais n’était pas encore en position de lancer une invitation officielle.</w:t>
      </w:r>
    </w:p>
    <w:p w14:paraId="5601606B" w14:textId="77777777" w:rsidR="003C65F8" w:rsidRPr="00A72965" w:rsidRDefault="003C65F8" w:rsidP="00BA154F">
      <w:pPr>
        <w:jc w:val="both"/>
        <w:rPr>
          <w:szCs w:val="22"/>
          <w:lang w:val="fr-FR"/>
        </w:rPr>
      </w:pPr>
    </w:p>
    <w:p w14:paraId="0DDCD96B" w14:textId="77777777" w:rsidR="003C65F8" w:rsidRPr="00A72965" w:rsidRDefault="003C65F8" w:rsidP="00BA154F">
      <w:pPr>
        <w:jc w:val="both"/>
        <w:rPr>
          <w:szCs w:val="22"/>
          <w:lang w:val="fr-FR"/>
        </w:rPr>
      </w:pPr>
      <w:r w:rsidRPr="00A72965">
        <w:rPr>
          <w:szCs w:val="22"/>
          <w:lang w:val="fr-FR"/>
        </w:rPr>
        <w:t>324. L’</w:t>
      </w:r>
      <w:r w:rsidRPr="00A72965">
        <w:rPr>
          <w:b/>
          <w:szCs w:val="22"/>
          <w:lang w:val="fr-FR"/>
        </w:rPr>
        <w:t xml:space="preserve">Afrique du Sud </w:t>
      </w:r>
      <w:r w:rsidRPr="00A72965">
        <w:rPr>
          <w:szCs w:val="22"/>
          <w:lang w:val="fr-FR"/>
        </w:rPr>
        <w:t>a salué l’intérêt d’Israël d’accueillir la MOP6 et a indiqué que les pays d’Afrique australe pouvaient eux aussi envisager de montrer de l’intérêt pour l’accueil d’une future MOP.</w:t>
      </w:r>
    </w:p>
    <w:p w14:paraId="6C8D8A9A" w14:textId="77777777" w:rsidR="003C65F8" w:rsidRPr="00A72965" w:rsidRDefault="003C65F8" w:rsidP="00BA154F">
      <w:pPr>
        <w:jc w:val="both"/>
        <w:rPr>
          <w:szCs w:val="22"/>
          <w:lang w:val="fr-FR"/>
        </w:rPr>
      </w:pPr>
    </w:p>
    <w:p w14:paraId="0D0B20A6" w14:textId="77777777" w:rsidR="003C65F8" w:rsidRPr="00A72965" w:rsidRDefault="003C65F8" w:rsidP="00BA154F">
      <w:pPr>
        <w:jc w:val="both"/>
        <w:rPr>
          <w:szCs w:val="22"/>
          <w:lang w:val="fr-FR"/>
        </w:rPr>
      </w:pPr>
      <w:r w:rsidRPr="00A72965">
        <w:rPr>
          <w:szCs w:val="22"/>
          <w:lang w:val="fr-FR"/>
        </w:rPr>
        <w:t>325. En l’absence d’une offre obtenant un soutien par consensus, le</w:t>
      </w:r>
      <w:r w:rsidRPr="00A72965">
        <w:rPr>
          <w:b/>
          <w:szCs w:val="22"/>
          <w:lang w:val="fr-FR"/>
        </w:rPr>
        <w:t xml:space="preserve"> Président</w:t>
      </w:r>
      <w:r w:rsidRPr="00A72965">
        <w:rPr>
          <w:szCs w:val="22"/>
          <w:lang w:val="fr-FR"/>
        </w:rPr>
        <w:t xml:space="preserve"> a suggéré de modifier le DR28 comme suit :</w:t>
      </w:r>
    </w:p>
    <w:p w14:paraId="7EF02697" w14:textId="77777777" w:rsidR="003C65F8" w:rsidRPr="00A72965" w:rsidRDefault="003C65F8" w:rsidP="00BA154F">
      <w:pPr>
        <w:jc w:val="both"/>
        <w:rPr>
          <w:szCs w:val="22"/>
          <w:lang w:val="fr-FR"/>
        </w:rPr>
      </w:pPr>
    </w:p>
    <w:p w14:paraId="5E056817" w14:textId="77777777" w:rsidR="003C65F8" w:rsidRPr="00A72965" w:rsidRDefault="003C65F8" w:rsidP="00F16C3C">
      <w:pPr>
        <w:pStyle w:val="ListParagraph"/>
        <w:numPr>
          <w:ilvl w:val="0"/>
          <w:numId w:val="21"/>
        </w:numPr>
        <w:ind w:left="567" w:hanging="567"/>
        <w:jc w:val="both"/>
        <w:rPr>
          <w:sz w:val="22"/>
          <w:szCs w:val="22"/>
          <w:lang w:val="fr-FR"/>
        </w:rPr>
      </w:pPr>
      <w:r w:rsidRPr="00A72965">
        <w:rPr>
          <w:sz w:val="22"/>
          <w:szCs w:val="22"/>
          <w:lang w:val="fr-FR"/>
        </w:rPr>
        <w:t xml:space="preserve">Supprimer le paragraphe 2 du préambule. </w:t>
      </w:r>
    </w:p>
    <w:p w14:paraId="10771027" w14:textId="77777777" w:rsidR="003C65F8" w:rsidRPr="00A72965" w:rsidRDefault="003C65F8" w:rsidP="00F16C3C">
      <w:pPr>
        <w:pStyle w:val="ListParagraph"/>
        <w:numPr>
          <w:ilvl w:val="0"/>
          <w:numId w:val="21"/>
        </w:numPr>
        <w:ind w:left="567" w:hanging="567"/>
        <w:jc w:val="both"/>
        <w:rPr>
          <w:sz w:val="22"/>
          <w:szCs w:val="22"/>
          <w:lang w:val="fr-FR"/>
        </w:rPr>
      </w:pPr>
      <w:r w:rsidRPr="00A72965">
        <w:rPr>
          <w:sz w:val="22"/>
          <w:szCs w:val="22"/>
          <w:lang w:val="fr-FR"/>
        </w:rPr>
        <w:t>Nouveau paragraphe 1 : « </w:t>
      </w:r>
      <w:r w:rsidRPr="00A72965">
        <w:rPr>
          <w:i/>
          <w:sz w:val="22"/>
          <w:szCs w:val="22"/>
          <w:lang w:val="fr-FR"/>
        </w:rPr>
        <w:t xml:space="preserve">Invite </w:t>
      </w:r>
      <w:r w:rsidRPr="00A72965">
        <w:rPr>
          <w:sz w:val="22"/>
          <w:szCs w:val="22"/>
          <w:lang w:val="fr-FR"/>
        </w:rPr>
        <w:t>les Parties intéressées à communiquer au Secrétariat sous six mois leur intérêt pour l’accueil de la 6</w:t>
      </w:r>
      <w:r w:rsidRPr="00A72965">
        <w:rPr>
          <w:sz w:val="22"/>
          <w:szCs w:val="22"/>
          <w:vertAlign w:val="superscript"/>
          <w:lang w:val="fr-FR"/>
        </w:rPr>
        <w:t>ème</w:t>
      </w:r>
      <w:r w:rsidRPr="00A72965">
        <w:rPr>
          <w:sz w:val="22"/>
          <w:szCs w:val="22"/>
          <w:lang w:val="fr-FR"/>
        </w:rPr>
        <w:t xml:space="preserve"> session de la Réunion des Parties. »</w:t>
      </w:r>
    </w:p>
    <w:p w14:paraId="42B35AD2" w14:textId="77777777" w:rsidR="003C65F8" w:rsidRPr="00A72965" w:rsidRDefault="003C65F8" w:rsidP="00F16C3C">
      <w:pPr>
        <w:pStyle w:val="ListParagraph"/>
        <w:numPr>
          <w:ilvl w:val="0"/>
          <w:numId w:val="21"/>
        </w:numPr>
        <w:ind w:left="567" w:hanging="567"/>
        <w:jc w:val="both"/>
        <w:rPr>
          <w:sz w:val="22"/>
          <w:szCs w:val="22"/>
          <w:lang w:val="fr-FR"/>
        </w:rPr>
      </w:pPr>
      <w:r w:rsidRPr="00A72965">
        <w:rPr>
          <w:sz w:val="22"/>
          <w:szCs w:val="22"/>
          <w:lang w:val="fr-FR"/>
        </w:rPr>
        <w:t>Nouveau paragraphe 2 : « </w:t>
      </w:r>
      <w:r w:rsidRPr="00A72965">
        <w:rPr>
          <w:i/>
          <w:sz w:val="22"/>
          <w:szCs w:val="22"/>
          <w:lang w:val="fr-FR"/>
        </w:rPr>
        <w:t>Demande</w:t>
      </w:r>
      <w:r w:rsidRPr="00A72965">
        <w:rPr>
          <w:sz w:val="22"/>
          <w:szCs w:val="22"/>
          <w:lang w:val="fr-FR"/>
        </w:rPr>
        <w:t xml:space="preserve"> au Comité permanent de décider au nom de la Réunion des Parties, du lieu de la 6</w:t>
      </w:r>
      <w:r w:rsidRPr="00A72965">
        <w:rPr>
          <w:sz w:val="22"/>
          <w:szCs w:val="22"/>
          <w:vertAlign w:val="superscript"/>
          <w:lang w:val="fr-FR"/>
        </w:rPr>
        <w:t>ème</w:t>
      </w:r>
      <w:r w:rsidRPr="00A72965">
        <w:rPr>
          <w:sz w:val="22"/>
          <w:szCs w:val="22"/>
          <w:lang w:val="fr-FR"/>
        </w:rPr>
        <w:t xml:space="preserve"> session de la Réunion des Parties en tenant compte des manifestations d’intérêt reçues des Parties ».</w:t>
      </w:r>
    </w:p>
    <w:p w14:paraId="75AFFC08" w14:textId="77777777" w:rsidR="003C65F8" w:rsidRPr="00A72965" w:rsidRDefault="003C65F8" w:rsidP="00BA154F">
      <w:pPr>
        <w:jc w:val="both"/>
        <w:rPr>
          <w:szCs w:val="22"/>
          <w:lang w:val="fr-FR"/>
        </w:rPr>
      </w:pPr>
    </w:p>
    <w:p w14:paraId="7B64C5A0" w14:textId="77777777" w:rsidR="003C65F8" w:rsidRPr="00A72965" w:rsidRDefault="003C65F8" w:rsidP="00BA154F">
      <w:pPr>
        <w:jc w:val="both"/>
        <w:rPr>
          <w:szCs w:val="22"/>
          <w:lang w:val="fr-FR"/>
        </w:rPr>
      </w:pPr>
      <w:r w:rsidRPr="00A72965">
        <w:rPr>
          <w:szCs w:val="22"/>
          <w:lang w:val="fr-FR"/>
        </w:rPr>
        <w:t xml:space="preserve">326. Il n’y a pas eu d’autres commentaires et à l’invitation du </w:t>
      </w:r>
      <w:r w:rsidRPr="00A72965">
        <w:rPr>
          <w:b/>
          <w:szCs w:val="22"/>
          <w:lang w:val="fr-FR"/>
        </w:rPr>
        <w:t>Président</w:t>
      </w:r>
      <w:r w:rsidRPr="00A72965">
        <w:rPr>
          <w:szCs w:val="22"/>
          <w:lang w:val="fr-FR"/>
        </w:rPr>
        <w:t>, le DR28 a été adoptée par consensus, sous réserve de l’inclusion des amendements proposés par le Président.</w:t>
      </w:r>
    </w:p>
    <w:p w14:paraId="63FE7B97" w14:textId="77777777" w:rsidR="003C65F8" w:rsidRDefault="003C65F8" w:rsidP="00BA154F">
      <w:pPr>
        <w:jc w:val="both"/>
        <w:rPr>
          <w:szCs w:val="22"/>
          <w:lang w:val="fr-FR"/>
        </w:rPr>
      </w:pPr>
    </w:p>
    <w:p w14:paraId="5EF5F09A" w14:textId="77777777" w:rsidR="00C3740A" w:rsidRPr="00A72965" w:rsidRDefault="00C3740A" w:rsidP="00BA154F">
      <w:pPr>
        <w:jc w:val="both"/>
        <w:rPr>
          <w:szCs w:val="22"/>
          <w:lang w:val="fr-FR"/>
        </w:rPr>
      </w:pPr>
    </w:p>
    <w:p w14:paraId="34D8426C" w14:textId="77777777" w:rsidR="003C65F8" w:rsidRPr="00A72965" w:rsidRDefault="003C65F8" w:rsidP="00BA154F">
      <w:pPr>
        <w:jc w:val="both"/>
        <w:rPr>
          <w:b/>
          <w:szCs w:val="22"/>
          <w:lang w:val="fr-FR"/>
        </w:rPr>
      </w:pPr>
      <w:r w:rsidRPr="00A72965">
        <w:rPr>
          <w:b/>
          <w:szCs w:val="22"/>
          <w:lang w:val="fr-FR"/>
        </w:rPr>
        <w:t>Point 32 de l’ordre du jour - Adoption du rapport de la Réunion</w:t>
      </w:r>
    </w:p>
    <w:p w14:paraId="6778F8A8" w14:textId="77777777" w:rsidR="003C65F8" w:rsidRPr="00A72965" w:rsidRDefault="003C65F8" w:rsidP="00BA154F">
      <w:pPr>
        <w:jc w:val="both"/>
        <w:rPr>
          <w:b/>
          <w:szCs w:val="22"/>
          <w:lang w:val="fr-FR"/>
        </w:rPr>
      </w:pPr>
    </w:p>
    <w:p w14:paraId="26E8338D" w14:textId="3E2F567C" w:rsidR="003C65F8" w:rsidRPr="00A72965" w:rsidRDefault="003C65F8" w:rsidP="00BA154F">
      <w:pPr>
        <w:jc w:val="both"/>
        <w:rPr>
          <w:szCs w:val="22"/>
          <w:lang w:val="fr-FR"/>
        </w:rPr>
      </w:pPr>
      <w:r w:rsidRPr="00A72965">
        <w:rPr>
          <w:szCs w:val="22"/>
          <w:lang w:val="fr-FR"/>
        </w:rPr>
        <w:t xml:space="preserve">327. Le </w:t>
      </w:r>
      <w:r w:rsidRPr="00A72965">
        <w:rPr>
          <w:b/>
          <w:szCs w:val="22"/>
          <w:lang w:val="fr-FR"/>
        </w:rPr>
        <w:t>Président</w:t>
      </w:r>
      <w:r w:rsidRPr="00A72965">
        <w:rPr>
          <w:szCs w:val="22"/>
          <w:lang w:val="fr-FR"/>
        </w:rPr>
        <w:t xml:space="preserve"> a invité les participants à examiner les trois avant-projets de rapports quotidiens des sessions plénières qui se sont tenues les 14, 15 et</w:t>
      </w:r>
      <w:r w:rsidR="00996EF6">
        <w:rPr>
          <w:szCs w:val="22"/>
          <w:lang w:val="fr-FR"/>
        </w:rPr>
        <w:t xml:space="preserve"> </w:t>
      </w:r>
      <w:r w:rsidRPr="00A72965">
        <w:rPr>
          <w:szCs w:val="22"/>
          <w:lang w:val="fr-FR"/>
        </w:rPr>
        <w:t>16 mai, et a proposé que la rédaction d’un rapport de la session plénière du 18 mai pourrait être confiée au Secrétariat et au Président de la MOP5. Il a demandé à ce que les erreurs minimes de rédaction ou autres corrections aux trois rapports diffusés jusque-là soient immédiatement portées à l’attention du Secrétariat, mais que toute proposition d’amendements plus conséquents soient faite par l’assemblée.</w:t>
      </w:r>
    </w:p>
    <w:p w14:paraId="350E7EFE" w14:textId="77777777" w:rsidR="003C65F8" w:rsidRPr="00A72965" w:rsidRDefault="003C65F8" w:rsidP="00BA154F">
      <w:pPr>
        <w:jc w:val="both"/>
        <w:rPr>
          <w:szCs w:val="22"/>
          <w:lang w:val="fr-FR"/>
        </w:rPr>
      </w:pPr>
    </w:p>
    <w:p w14:paraId="082A96CA" w14:textId="2ACF5C69" w:rsidR="003C65F8" w:rsidRPr="00A72965" w:rsidRDefault="003C65F8" w:rsidP="00BA154F">
      <w:pPr>
        <w:jc w:val="both"/>
        <w:rPr>
          <w:szCs w:val="22"/>
          <w:lang w:val="fr-FR"/>
        </w:rPr>
      </w:pPr>
      <w:r w:rsidRPr="00A72965">
        <w:rPr>
          <w:szCs w:val="22"/>
          <w:lang w:val="fr-FR"/>
        </w:rPr>
        <w:t>3</w:t>
      </w:r>
      <w:r w:rsidR="00996EF6">
        <w:rPr>
          <w:szCs w:val="22"/>
          <w:lang w:val="fr-FR"/>
        </w:rPr>
        <w:t>28. Se référant au paragraphe 45</w:t>
      </w:r>
      <w:r w:rsidRPr="00A72965">
        <w:rPr>
          <w:szCs w:val="22"/>
          <w:lang w:val="fr-FR"/>
        </w:rPr>
        <w:t xml:space="preserve"> des rapports quotidiens, le </w:t>
      </w:r>
      <w:r w:rsidRPr="00A72965">
        <w:rPr>
          <w:b/>
          <w:szCs w:val="22"/>
          <w:lang w:val="fr-FR"/>
        </w:rPr>
        <w:t>Sénégal</w:t>
      </w:r>
      <w:r w:rsidRPr="00A72965">
        <w:rPr>
          <w:szCs w:val="22"/>
          <w:lang w:val="fr-FR"/>
        </w:rPr>
        <w:t xml:space="preserve"> a demandé l’inclusion, après « le Sénég</w:t>
      </w:r>
      <w:r w:rsidR="00996EF6">
        <w:rPr>
          <w:szCs w:val="22"/>
          <w:lang w:val="fr-FR"/>
        </w:rPr>
        <w:t>al » de : « (point focal</w:t>
      </w:r>
      <w:r w:rsidRPr="00A72965">
        <w:rPr>
          <w:szCs w:val="22"/>
          <w:lang w:val="fr-FR"/>
        </w:rPr>
        <w:t xml:space="preserve"> africain pour les questions scientifiques et techniques) ».</w:t>
      </w:r>
    </w:p>
    <w:p w14:paraId="64E785EB" w14:textId="77777777" w:rsidR="003C65F8" w:rsidRPr="00A72965" w:rsidRDefault="003C65F8" w:rsidP="00BA154F">
      <w:pPr>
        <w:jc w:val="both"/>
        <w:rPr>
          <w:szCs w:val="22"/>
          <w:lang w:val="fr-FR"/>
        </w:rPr>
      </w:pPr>
    </w:p>
    <w:p w14:paraId="21096D9A" w14:textId="1AA84DC4" w:rsidR="003C65F8" w:rsidRPr="00A72965" w:rsidRDefault="003C65F8" w:rsidP="00BA154F">
      <w:pPr>
        <w:jc w:val="both"/>
        <w:rPr>
          <w:szCs w:val="22"/>
          <w:lang w:val="fr-FR"/>
        </w:rPr>
      </w:pPr>
      <w:r w:rsidRPr="00A72965">
        <w:rPr>
          <w:szCs w:val="22"/>
          <w:lang w:val="fr-FR"/>
        </w:rPr>
        <w:t xml:space="preserve">329. En l’absence de toute autre intervention et à l’invitation du </w:t>
      </w:r>
      <w:r w:rsidRPr="00A72965">
        <w:rPr>
          <w:b/>
          <w:szCs w:val="22"/>
          <w:lang w:val="fr-FR"/>
        </w:rPr>
        <w:t>Président</w:t>
      </w:r>
      <w:r w:rsidRPr="00A72965">
        <w:rPr>
          <w:szCs w:val="22"/>
          <w:lang w:val="fr-FR"/>
        </w:rPr>
        <w:t xml:space="preserve">, la réunion a adopté les avant-projets de rapports quotidiens des 14, 15 et 16 mai et a autorisé le Secrétariat, en consultation avec le Président de la MOP5, à préparer </w:t>
      </w:r>
      <w:r w:rsidR="0065286D">
        <w:rPr>
          <w:szCs w:val="22"/>
          <w:lang w:val="fr-FR"/>
        </w:rPr>
        <w:t>l</w:t>
      </w:r>
      <w:r w:rsidRPr="00A72965">
        <w:rPr>
          <w:szCs w:val="22"/>
          <w:lang w:val="fr-FR"/>
        </w:rPr>
        <w:t>e rapport pour le 18 mai.</w:t>
      </w:r>
    </w:p>
    <w:p w14:paraId="01BE6FA3" w14:textId="77777777" w:rsidR="003C65F8" w:rsidRDefault="003C65F8" w:rsidP="00BA154F">
      <w:pPr>
        <w:jc w:val="both"/>
        <w:rPr>
          <w:szCs w:val="22"/>
          <w:lang w:val="fr-FR"/>
        </w:rPr>
      </w:pPr>
    </w:p>
    <w:p w14:paraId="1C1C29DA" w14:textId="77777777" w:rsidR="00C3740A" w:rsidRPr="00A72965" w:rsidRDefault="00C3740A" w:rsidP="00BA154F">
      <w:pPr>
        <w:jc w:val="both"/>
        <w:rPr>
          <w:szCs w:val="22"/>
          <w:lang w:val="fr-FR"/>
        </w:rPr>
      </w:pPr>
    </w:p>
    <w:p w14:paraId="01CD66A8" w14:textId="77777777" w:rsidR="003C65F8" w:rsidRPr="00A72965" w:rsidRDefault="003C65F8" w:rsidP="00BA154F">
      <w:pPr>
        <w:jc w:val="both"/>
        <w:rPr>
          <w:b/>
          <w:szCs w:val="22"/>
          <w:lang w:val="fr-FR"/>
        </w:rPr>
      </w:pPr>
      <w:r w:rsidRPr="00A72965">
        <w:rPr>
          <w:b/>
          <w:szCs w:val="22"/>
          <w:lang w:val="fr-FR"/>
        </w:rPr>
        <w:t>Point  33 de l'ordre du jour -  Autres questions</w:t>
      </w:r>
    </w:p>
    <w:p w14:paraId="3FE7F57A" w14:textId="77777777" w:rsidR="003C65F8" w:rsidRPr="00A72965" w:rsidRDefault="003C65F8" w:rsidP="00BA154F">
      <w:pPr>
        <w:jc w:val="both"/>
        <w:rPr>
          <w:b/>
          <w:szCs w:val="22"/>
          <w:lang w:val="fr-FR"/>
        </w:rPr>
      </w:pPr>
    </w:p>
    <w:p w14:paraId="40C12DDF" w14:textId="77777777" w:rsidR="003C65F8" w:rsidRPr="00A72965" w:rsidRDefault="003C65F8" w:rsidP="00BA154F">
      <w:pPr>
        <w:jc w:val="both"/>
        <w:rPr>
          <w:szCs w:val="22"/>
          <w:lang w:val="fr-FR"/>
        </w:rPr>
      </w:pPr>
      <w:r w:rsidRPr="00A72965">
        <w:rPr>
          <w:szCs w:val="22"/>
          <w:lang w:val="fr-FR"/>
        </w:rPr>
        <w:t xml:space="preserve">330. Il n’y a pas eu d’autres demandes de l’assemblée et le </w:t>
      </w:r>
      <w:r w:rsidRPr="00A72965">
        <w:rPr>
          <w:b/>
          <w:szCs w:val="22"/>
          <w:lang w:val="fr-FR"/>
        </w:rPr>
        <w:t xml:space="preserve">Président </w:t>
      </w:r>
      <w:r w:rsidRPr="00A72965">
        <w:rPr>
          <w:szCs w:val="22"/>
          <w:lang w:val="fr-FR"/>
        </w:rPr>
        <w:t>a annoncé que la MOP5 était arrivée à la fin de son long ordre du jour.</w:t>
      </w:r>
    </w:p>
    <w:p w14:paraId="4E098D11" w14:textId="77777777" w:rsidR="003C65F8" w:rsidRDefault="003C65F8" w:rsidP="00BA154F">
      <w:pPr>
        <w:jc w:val="both"/>
        <w:rPr>
          <w:szCs w:val="22"/>
          <w:lang w:val="fr-FR"/>
        </w:rPr>
      </w:pPr>
      <w:r w:rsidRPr="00A72965">
        <w:rPr>
          <w:szCs w:val="22"/>
          <w:lang w:val="fr-FR"/>
        </w:rPr>
        <w:t xml:space="preserve"> </w:t>
      </w:r>
    </w:p>
    <w:p w14:paraId="7F7E44DE" w14:textId="77777777" w:rsidR="00C3740A" w:rsidRPr="00A72965" w:rsidRDefault="00C3740A" w:rsidP="00BA154F">
      <w:pPr>
        <w:jc w:val="both"/>
        <w:rPr>
          <w:szCs w:val="22"/>
          <w:lang w:val="fr-FR"/>
        </w:rPr>
      </w:pPr>
    </w:p>
    <w:p w14:paraId="5F75A2D6" w14:textId="77777777" w:rsidR="003C65F8" w:rsidRPr="00A72965" w:rsidRDefault="003C65F8" w:rsidP="00BA154F">
      <w:pPr>
        <w:jc w:val="both"/>
        <w:rPr>
          <w:b/>
          <w:szCs w:val="22"/>
          <w:lang w:val="fr-FR"/>
        </w:rPr>
      </w:pPr>
      <w:r w:rsidRPr="00A72965">
        <w:rPr>
          <w:b/>
          <w:szCs w:val="22"/>
          <w:lang w:val="fr-FR"/>
        </w:rPr>
        <w:t>Point 34 de l’ordre du jour -  Clôture de la réunion</w:t>
      </w:r>
    </w:p>
    <w:p w14:paraId="3EF4C788" w14:textId="77777777" w:rsidR="003C65F8" w:rsidRPr="00A72965" w:rsidRDefault="003C65F8" w:rsidP="00BA154F">
      <w:pPr>
        <w:jc w:val="both"/>
        <w:rPr>
          <w:b/>
          <w:szCs w:val="22"/>
          <w:lang w:val="fr-FR"/>
        </w:rPr>
      </w:pPr>
    </w:p>
    <w:p w14:paraId="4F977370" w14:textId="77777777" w:rsidR="003C65F8" w:rsidRPr="00A72965" w:rsidRDefault="003C65F8" w:rsidP="00BA154F">
      <w:pPr>
        <w:tabs>
          <w:tab w:val="left" w:pos="561"/>
        </w:tabs>
        <w:jc w:val="both"/>
        <w:rPr>
          <w:szCs w:val="22"/>
          <w:lang w:val="fr-FR"/>
        </w:rPr>
      </w:pPr>
      <w:r w:rsidRPr="00A72965">
        <w:rPr>
          <w:iCs/>
          <w:szCs w:val="22"/>
          <w:lang w:val="fr-FR"/>
        </w:rPr>
        <w:t xml:space="preserve">331. Corroborant le DR27 </w:t>
      </w:r>
      <w:r w:rsidRPr="00A72965">
        <w:rPr>
          <w:i/>
          <w:iCs/>
          <w:szCs w:val="22"/>
          <w:lang w:val="fr-FR"/>
        </w:rPr>
        <w:t>Remerciements aux organisateurs</w:t>
      </w:r>
      <w:r w:rsidRPr="00A72965">
        <w:rPr>
          <w:iCs/>
          <w:szCs w:val="22"/>
          <w:lang w:val="fr-FR"/>
        </w:rPr>
        <w:t xml:space="preserve">, qui a été adoptée par consensus, des déclarations de remerciement ont été faites par le </w:t>
      </w:r>
      <w:r w:rsidRPr="00A72965">
        <w:rPr>
          <w:b/>
          <w:szCs w:val="22"/>
          <w:lang w:val="fr-FR"/>
        </w:rPr>
        <w:t xml:space="preserve">Danemark </w:t>
      </w:r>
      <w:r w:rsidRPr="00A72965">
        <w:rPr>
          <w:szCs w:val="22"/>
          <w:lang w:val="fr-FR"/>
        </w:rPr>
        <w:t>au nom de</w:t>
      </w:r>
      <w:r w:rsidRPr="00A72965">
        <w:rPr>
          <w:b/>
          <w:szCs w:val="22"/>
          <w:lang w:val="fr-FR"/>
        </w:rPr>
        <w:t xml:space="preserve"> </w:t>
      </w:r>
      <w:r w:rsidRPr="00A72965">
        <w:rPr>
          <w:szCs w:val="22"/>
          <w:lang w:val="fr-FR"/>
        </w:rPr>
        <w:t xml:space="preserve">au nom de </w:t>
      </w:r>
      <w:r w:rsidRPr="00A72965">
        <w:rPr>
          <w:b/>
          <w:szCs w:val="22"/>
          <w:lang w:val="fr-FR"/>
        </w:rPr>
        <w:t>l'UE et de ses États membres</w:t>
      </w:r>
      <w:r w:rsidRPr="00A72965">
        <w:rPr>
          <w:szCs w:val="22"/>
          <w:lang w:val="fr-FR"/>
        </w:rPr>
        <w:t xml:space="preserve">, et par le </w:t>
      </w:r>
      <w:r w:rsidRPr="00A72965">
        <w:rPr>
          <w:b/>
          <w:szCs w:val="22"/>
          <w:lang w:val="fr-FR"/>
        </w:rPr>
        <w:t>Bénin</w:t>
      </w:r>
      <w:r w:rsidRPr="00A72965">
        <w:rPr>
          <w:szCs w:val="22"/>
          <w:lang w:val="fr-FR"/>
        </w:rPr>
        <w:t xml:space="preserve"> au nom du </w:t>
      </w:r>
      <w:r w:rsidRPr="00A72965">
        <w:rPr>
          <w:b/>
          <w:szCs w:val="22"/>
          <w:lang w:val="fr-FR"/>
        </w:rPr>
        <w:t>groupe de l’Afrique</w:t>
      </w:r>
      <w:r w:rsidRPr="00A72965">
        <w:rPr>
          <w:szCs w:val="22"/>
          <w:lang w:val="fr-FR"/>
        </w:rPr>
        <w:t xml:space="preserve">, ainsi que par le </w:t>
      </w:r>
      <w:r w:rsidRPr="00A72965">
        <w:rPr>
          <w:b/>
          <w:szCs w:val="22"/>
          <w:lang w:val="fr-FR"/>
        </w:rPr>
        <w:t>Mali</w:t>
      </w:r>
      <w:r w:rsidRPr="00A72965">
        <w:rPr>
          <w:szCs w:val="22"/>
          <w:lang w:val="fr-FR"/>
        </w:rPr>
        <w:t xml:space="preserve">, le </w:t>
      </w:r>
      <w:r w:rsidRPr="00A72965">
        <w:rPr>
          <w:b/>
          <w:szCs w:val="22"/>
          <w:lang w:val="fr-FR"/>
        </w:rPr>
        <w:t>Sud-Soudan</w:t>
      </w:r>
      <w:r w:rsidRPr="00A72965">
        <w:rPr>
          <w:szCs w:val="22"/>
          <w:lang w:val="fr-FR"/>
        </w:rPr>
        <w:t xml:space="preserve"> et la </w:t>
      </w:r>
      <w:r w:rsidRPr="00A72965">
        <w:rPr>
          <w:b/>
          <w:szCs w:val="22"/>
          <w:lang w:val="fr-FR"/>
        </w:rPr>
        <w:t>Tunisie</w:t>
      </w:r>
      <w:r w:rsidRPr="00A72965">
        <w:rPr>
          <w:szCs w:val="22"/>
          <w:lang w:val="fr-FR"/>
        </w:rPr>
        <w:t>.</w:t>
      </w:r>
    </w:p>
    <w:p w14:paraId="00347106" w14:textId="77777777" w:rsidR="003C65F8" w:rsidRPr="00A72965" w:rsidRDefault="003C65F8" w:rsidP="00BA154F">
      <w:pPr>
        <w:tabs>
          <w:tab w:val="left" w:pos="561"/>
        </w:tabs>
        <w:jc w:val="both"/>
        <w:rPr>
          <w:szCs w:val="22"/>
          <w:lang w:val="fr-FR"/>
        </w:rPr>
      </w:pPr>
    </w:p>
    <w:p w14:paraId="76E0A4C7" w14:textId="76883526" w:rsidR="003C65F8" w:rsidRPr="00A72965" w:rsidRDefault="003C65F8" w:rsidP="00BA154F">
      <w:pPr>
        <w:tabs>
          <w:tab w:val="left" w:pos="561"/>
        </w:tabs>
        <w:jc w:val="both"/>
        <w:rPr>
          <w:szCs w:val="22"/>
          <w:lang w:val="fr-FR"/>
        </w:rPr>
      </w:pPr>
      <w:r w:rsidRPr="00A72965">
        <w:rPr>
          <w:szCs w:val="22"/>
          <w:lang w:val="fr-FR"/>
        </w:rPr>
        <w:t>332. Des remerciements tout particuliers ont été adressés aux hôtes – le gouvernement de la France (notamment le ministère de l’Écologie, du Développement durable, du Transport et du Logement), la Préfecture de la Charente-Maritime et la municipalité de La Rochelle – ainsi qu’au centre de conférence Espace Encan, aux organisations gouvernementales françaises (notamment ONCFS) et aux ONG (notamment LPO et OMPO), au président de la MOP et aux Présidents du Comité de vérification des pouvoirs e</w:t>
      </w:r>
      <w:r w:rsidR="00996EF6">
        <w:rPr>
          <w:szCs w:val="22"/>
          <w:lang w:val="fr-FR"/>
        </w:rPr>
        <w:t>t des deux groupes de travail, du</w:t>
      </w:r>
      <w:r w:rsidRPr="00A72965">
        <w:rPr>
          <w:szCs w:val="22"/>
          <w:lang w:val="fr-FR"/>
        </w:rPr>
        <w:t xml:space="preserve"> gouvernement de l’Allemagne pour son aide généreuse (notamment le voyage sponsorisé des délégués), et aux autres donateurs qui ont soutenu le travail de l’AEWA. Des remerciements étaient également adressés aux interprètes, au rapporteur, au personnel technique, au personnel chargé de la sécurité et à tous les membres du Secrétariat.</w:t>
      </w:r>
    </w:p>
    <w:p w14:paraId="231E6FF1" w14:textId="77777777" w:rsidR="003C65F8" w:rsidRPr="00A72965" w:rsidRDefault="003C65F8" w:rsidP="00BA154F">
      <w:pPr>
        <w:tabs>
          <w:tab w:val="left" w:pos="561"/>
        </w:tabs>
        <w:jc w:val="both"/>
        <w:rPr>
          <w:iCs/>
          <w:szCs w:val="22"/>
          <w:lang w:val="fr-FR"/>
        </w:rPr>
      </w:pPr>
    </w:p>
    <w:p w14:paraId="61B925D3" w14:textId="29ABCCAB" w:rsidR="003C65F8" w:rsidRDefault="003C65F8" w:rsidP="00BA154F">
      <w:pPr>
        <w:tabs>
          <w:tab w:val="left" w:pos="561"/>
        </w:tabs>
        <w:jc w:val="both"/>
        <w:rPr>
          <w:szCs w:val="22"/>
          <w:lang w:val="fr-FR"/>
        </w:rPr>
      </w:pPr>
      <w:r w:rsidRPr="00A72965">
        <w:rPr>
          <w:szCs w:val="22"/>
          <w:lang w:val="fr-FR"/>
        </w:rPr>
        <w:t xml:space="preserve">333. Le </w:t>
      </w:r>
      <w:r w:rsidRPr="00A72965">
        <w:rPr>
          <w:b/>
          <w:szCs w:val="22"/>
          <w:lang w:val="fr-FR"/>
        </w:rPr>
        <w:t>Président</w:t>
      </w:r>
      <w:r w:rsidRPr="00A72965">
        <w:rPr>
          <w:szCs w:val="22"/>
          <w:lang w:val="fr-FR"/>
        </w:rPr>
        <w:t xml:space="preserve"> a remercié les participants au nom de la </w:t>
      </w:r>
      <w:r w:rsidRPr="00A72965">
        <w:rPr>
          <w:b/>
          <w:szCs w:val="22"/>
          <w:lang w:val="fr-FR"/>
        </w:rPr>
        <w:t>France</w:t>
      </w:r>
      <w:r w:rsidRPr="00A72965">
        <w:rPr>
          <w:szCs w:val="22"/>
          <w:lang w:val="fr-FR"/>
        </w:rPr>
        <w:t xml:space="preserve"> pour l’honneur de l’avoir nommé président de la MOP. Outre ses remerciements personnels aux institutions et organisations déjà remerciées par les participants, il a remercié le Secrétaire exécutif par intérim de l’AEWA (M. Marco Barbieri) et l’Administrateur technique (M. Sergey Dereliev), ainsi que l’Administratrice de programme (Mme Birgit Drerup) qui ont dirigé la planification logistique au nom du Secrétariat. Des remerciements tout particuliers ont en outre été adressés à tous les membres du comité français d’organisation et notamment à Mme Marianne </w:t>
      </w:r>
      <w:proofErr w:type="spellStart"/>
      <w:r w:rsidRPr="00A72965">
        <w:rPr>
          <w:szCs w:val="22"/>
          <w:lang w:val="fr-FR"/>
        </w:rPr>
        <w:t>Co</w:t>
      </w:r>
      <w:r w:rsidR="00DF63CD">
        <w:rPr>
          <w:szCs w:val="22"/>
          <w:lang w:val="fr-FR"/>
        </w:rPr>
        <w:t>u</w:t>
      </w:r>
      <w:r w:rsidRPr="00A72965">
        <w:rPr>
          <w:szCs w:val="22"/>
          <w:lang w:val="fr-FR"/>
        </w:rPr>
        <w:t>rouble</w:t>
      </w:r>
      <w:proofErr w:type="spellEnd"/>
      <w:r w:rsidRPr="00A72965">
        <w:rPr>
          <w:szCs w:val="22"/>
          <w:lang w:val="fr-FR"/>
        </w:rPr>
        <w:t xml:space="preserve"> et M. Olivier </w:t>
      </w:r>
      <w:proofErr w:type="spellStart"/>
      <w:r w:rsidRPr="00A72965">
        <w:rPr>
          <w:szCs w:val="22"/>
          <w:lang w:val="fr-FR"/>
        </w:rPr>
        <w:t>Monteau</w:t>
      </w:r>
      <w:proofErr w:type="spellEnd"/>
      <w:r w:rsidRPr="00A72965">
        <w:rPr>
          <w:szCs w:val="22"/>
          <w:lang w:val="fr-FR"/>
        </w:rPr>
        <w:t xml:space="preserve">. Il était certain que les participants emporteraient avec eux un sentiment général d’enthousiasme et considèreraient que, malgré les difficultés économiques actuelles, l’AEWA faisait des plans à long terme. Au cours de la prochaine période </w:t>
      </w:r>
      <w:proofErr w:type="spellStart"/>
      <w:r w:rsidRPr="00A72965">
        <w:rPr>
          <w:szCs w:val="22"/>
          <w:lang w:val="fr-FR"/>
        </w:rPr>
        <w:t>intersessionnelle</w:t>
      </w:r>
      <w:proofErr w:type="spellEnd"/>
      <w:r w:rsidRPr="00A72965">
        <w:rPr>
          <w:szCs w:val="22"/>
          <w:lang w:val="fr-FR"/>
        </w:rPr>
        <w:t>, toutes les parties prenantes avaient besoin de travailler pour traduire les paroles en actions, dans chaque région et chaque pays de l’aire de l’Accord.</w:t>
      </w:r>
    </w:p>
    <w:p w14:paraId="6629EE79" w14:textId="77777777" w:rsidR="00B37F82" w:rsidRPr="00A72965" w:rsidRDefault="00B37F82" w:rsidP="00BA154F">
      <w:pPr>
        <w:tabs>
          <w:tab w:val="left" w:pos="561"/>
        </w:tabs>
        <w:jc w:val="both"/>
        <w:rPr>
          <w:szCs w:val="22"/>
          <w:lang w:val="fr-FR"/>
        </w:rPr>
      </w:pPr>
    </w:p>
    <w:p w14:paraId="16ECEF1D" w14:textId="77777777" w:rsidR="003C65F8" w:rsidRPr="00A72965" w:rsidRDefault="003C65F8" w:rsidP="00BA154F">
      <w:pPr>
        <w:jc w:val="both"/>
        <w:rPr>
          <w:szCs w:val="22"/>
          <w:lang w:val="fr-FR"/>
        </w:rPr>
      </w:pPr>
      <w:r w:rsidRPr="00A72965">
        <w:rPr>
          <w:szCs w:val="22"/>
          <w:lang w:val="fr-FR"/>
        </w:rPr>
        <w:t xml:space="preserve">334. Le </w:t>
      </w:r>
      <w:r w:rsidRPr="00A72965">
        <w:rPr>
          <w:b/>
          <w:szCs w:val="22"/>
          <w:lang w:val="fr-FR"/>
        </w:rPr>
        <w:t>Secrétaire exécutif</w:t>
      </w:r>
      <w:r w:rsidRPr="00A72965">
        <w:rPr>
          <w:szCs w:val="22"/>
          <w:lang w:val="fr-FR"/>
        </w:rPr>
        <w:t xml:space="preserve"> </w:t>
      </w:r>
      <w:r w:rsidRPr="00A72965">
        <w:rPr>
          <w:b/>
          <w:szCs w:val="22"/>
          <w:lang w:val="fr-FR"/>
        </w:rPr>
        <w:t xml:space="preserve">par intérim de l’AEWA </w:t>
      </w:r>
      <w:r w:rsidRPr="00A72965">
        <w:rPr>
          <w:szCs w:val="22"/>
          <w:lang w:val="fr-FR"/>
        </w:rPr>
        <w:t>(M. Marco Barbieri) a remercié le Président et les hôtes de la MOP5. La MOP avait bénéficié d’excellentes conditions de travail et serait sans doute considérée non seulement comme un tremplin pour l’Accord mais aussi, potentiellement, comme un jalon, selon ce qui se passerait ensuite en termes de mise en œuvre – notamment en ce qui concerne l’Initiative africaine. Il a réitéré ses remerciements à tous ceux qui avaient été précédemment remerciés et a souhaité un bon voyage de retour à tous les participants.</w:t>
      </w:r>
    </w:p>
    <w:p w14:paraId="1A9DEEC0" w14:textId="77777777" w:rsidR="003C65F8" w:rsidRPr="00A72965" w:rsidRDefault="003C65F8" w:rsidP="00BA154F">
      <w:pPr>
        <w:jc w:val="both"/>
        <w:rPr>
          <w:szCs w:val="22"/>
          <w:lang w:val="fr-FR"/>
        </w:rPr>
      </w:pPr>
    </w:p>
    <w:p w14:paraId="37DCEC9B" w14:textId="77777777" w:rsidR="003C65F8" w:rsidRPr="00A72965" w:rsidRDefault="003C65F8" w:rsidP="00BA154F">
      <w:pPr>
        <w:jc w:val="both"/>
        <w:rPr>
          <w:szCs w:val="22"/>
          <w:lang w:val="fr-FR"/>
        </w:rPr>
      </w:pPr>
    </w:p>
    <w:p w14:paraId="316DBA45" w14:textId="77777777" w:rsidR="003C65F8" w:rsidRPr="00A72965" w:rsidRDefault="003C65F8" w:rsidP="00BA154F">
      <w:pPr>
        <w:jc w:val="both"/>
        <w:rPr>
          <w:szCs w:val="22"/>
          <w:lang w:val="fr-FR"/>
        </w:rPr>
      </w:pPr>
    </w:p>
    <w:p w14:paraId="7EA0BC42" w14:textId="77777777" w:rsidR="00C86381" w:rsidRPr="001D3E9B" w:rsidRDefault="00C86381" w:rsidP="00BA154F">
      <w:pPr>
        <w:jc w:val="both"/>
        <w:rPr>
          <w:lang w:val="fr-FR"/>
        </w:rPr>
      </w:pPr>
    </w:p>
    <w:sectPr w:rsidR="00C86381" w:rsidRPr="001D3E9B" w:rsidSect="00C86381">
      <w:footerReference w:type="default" r:id="rId8"/>
      <w:headerReference w:type="first" r:id="rId9"/>
      <w:pgSz w:w="11907" w:h="16840" w:code="9"/>
      <w:pgMar w:top="1021" w:right="1134" w:bottom="851" w:left="1134" w:header="851" w:footer="851" w:gutter="0"/>
      <w:pgNumType w:start="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9D0A2" w14:textId="77777777" w:rsidR="00F16C3C" w:rsidRDefault="00F16C3C">
      <w:r>
        <w:separator/>
      </w:r>
    </w:p>
  </w:endnote>
  <w:endnote w:type="continuationSeparator" w:id="0">
    <w:p w14:paraId="1B347FE7" w14:textId="77777777" w:rsidR="00F16C3C" w:rsidRDefault="00F1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70526"/>
      <w:docPartObj>
        <w:docPartGallery w:val="Page Numbers (Bottom of Page)"/>
        <w:docPartUnique/>
      </w:docPartObj>
    </w:sdtPr>
    <w:sdtEndPr>
      <w:rPr>
        <w:noProof/>
        <w:sz w:val="20"/>
      </w:rPr>
    </w:sdtEndPr>
    <w:sdtContent>
      <w:p w14:paraId="57C454EE" w14:textId="360D088F" w:rsidR="00F16C3C" w:rsidRDefault="00F16C3C">
        <w:pPr>
          <w:pStyle w:val="Footer"/>
          <w:jc w:val="center"/>
        </w:pPr>
        <w:r w:rsidRPr="0016026F">
          <w:rPr>
            <w:sz w:val="20"/>
          </w:rPr>
          <w:fldChar w:fldCharType="begin"/>
        </w:r>
        <w:r w:rsidRPr="0016026F">
          <w:rPr>
            <w:sz w:val="20"/>
          </w:rPr>
          <w:instrText xml:space="preserve"> PAGE   \* MERGEFORMAT </w:instrText>
        </w:r>
        <w:r w:rsidRPr="0016026F">
          <w:rPr>
            <w:sz w:val="20"/>
          </w:rPr>
          <w:fldChar w:fldCharType="separate"/>
        </w:r>
        <w:r w:rsidR="006C4CC0">
          <w:rPr>
            <w:noProof/>
            <w:sz w:val="20"/>
          </w:rPr>
          <w:t>40</w:t>
        </w:r>
        <w:r w:rsidRPr="0016026F">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77DBE" w14:textId="77777777" w:rsidR="00F16C3C" w:rsidRDefault="00F16C3C">
      <w:r>
        <w:separator/>
      </w:r>
    </w:p>
  </w:footnote>
  <w:footnote w:type="continuationSeparator" w:id="0">
    <w:p w14:paraId="0C4D4AD8" w14:textId="77777777" w:rsidR="00F16C3C" w:rsidRDefault="00F16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E1ED" w14:textId="77777777" w:rsidR="00F16C3C" w:rsidRPr="007620D4" w:rsidRDefault="00F16C3C" w:rsidP="000958DA">
    <w:pPr>
      <w:rPr>
        <w:rStyle w:val="Emphasis"/>
      </w:rPr>
    </w:pPr>
  </w:p>
  <w:tbl>
    <w:tblPr>
      <w:tblW w:w="4923" w:type="pct"/>
      <w:tblLayout w:type="fixed"/>
      <w:tblLook w:val="0000" w:firstRow="0" w:lastRow="0" w:firstColumn="0" w:lastColumn="0" w:noHBand="0" w:noVBand="0"/>
    </w:tblPr>
    <w:tblGrid>
      <w:gridCol w:w="1525"/>
      <w:gridCol w:w="7231"/>
      <w:gridCol w:w="947"/>
    </w:tblGrid>
    <w:tr w:rsidR="00F16C3C" w:rsidRPr="00DF63CD" w14:paraId="78D64318" w14:textId="77777777" w:rsidTr="000958DA">
      <w:trPr>
        <w:trHeight w:val="2164"/>
      </w:trPr>
      <w:tc>
        <w:tcPr>
          <w:tcW w:w="786" w:type="pct"/>
        </w:tcPr>
        <w:p w14:paraId="0B40450D" w14:textId="77777777" w:rsidR="00F16C3C" w:rsidRDefault="00F16C3C" w:rsidP="000958DA">
          <w:pPr>
            <w:ind w:right="33"/>
          </w:pPr>
          <w:r>
            <w:rPr>
              <w:noProof/>
              <w:lang w:val="en-US"/>
            </w:rPr>
            <w:drawing>
              <wp:anchor distT="0" distB="0" distL="114300" distR="114300" simplePos="0" relativeHeight="251660288" behindDoc="1" locked="0" layoutInCell="1" allowOverlap="1" wp14:anchorId="7CE1B605" wp14:editId="7A10D0D4">
                <wp:simplePos x="0" y="0"/>
                <wp:positionH relativeFrom="column">
                  <wp:posOffset>-72390</wp:posOffset>
                </wp:positionH>
                <wp:positionV relativeFrom="paragraph">
                  <wp:posOffset>6985</wp:posOffset>
                </wp:positionV>
                <wp:extent cx="982980" cy="819150"/>
                <wp:effectExtent l="0" t="0" r="7620" b="0"/>
                <wp:wrapTight wrapText="bothSides">
                  <wp:wrapPolygon edited="0">
                    <wp:start x="0" y="0"/>
                    <wp:lineTo x="0" y="21098"/>
                    <wp:lineTo x="21349" y="21098"/>
                    <wp:lineTo x="21349" y="0"/>
                    <wp:lineTo x="0" y="0"/>
                  </wp:wrapPolygon>
                </wp:wrapTight>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98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26" w:type="pct"/>
        </w:tcPr>
        <w:p w14:paraId="3BA5B241" w14:textId="77777777" w:rsidR="00F16C3C" w:rsidRPr="00C606E5" w:rsidRDefault="00F16C3C" w:rsidP="000958DA">
          <w:pPr>
            <w:tabs>
              <w:tab w:val="left" w:pos="2415"/>
            </w:tabs>
            <w:rPr>
              <w:i/>
              <w:caps/>
              <w:lang w:val="fr-FR"/>
            </w:rPr>
          </w:pPr>
          <w:r>
            <w:rPr>
              <w:i/>
              <w:caps/>
              <w:lang w:val="fr-FR"/>
            </w:rPr>
            <w:t xml:space="preserve">            </w:t>
          </w:r>
          <w:r w:rsidRPr="00C606E5">
            <w:rPr>
              <w:i/>
              <w:caps/>
              <w:lang w:val="fr-FR"/>
            </w:rPr>
            <w:t xml:space="preserve">ACCORD SUR LA CONSERVATION DES OISEAUX </w:t>
          </w:r>
        </w:p>
        <w:p w14:paraId="5EB439BC" w14:textId="77777777" w:rsidR="00F16C3C" w:rsidRPr="007620D4" w:rsidRDefault="00F16C3C" w:rsidP="000958DA">
          <w:pPr>
            <w:tabs>
              <w:tab w:val="left" w:pos="2415"/>
            </w:tabs>
            <w:rPr>
              <w:i/>
              <w:caps/>
              <w:szCs w:val="22"/>
              <w:lang w:val="fr-FR"/>
            </w:rPr>
          </w:pPr>
          <w:r>
            <w:rPr>
              <w:i/>
              <w:caps/>
              <w:lang w:val="fr-FR"/>
            </w:rPr>
            <w:t xml:space="preserve">                 </w:t>
          </w:r>
          <w:r w:rsidRPr="007620D4">
            <w:rPr>
              <w:i/>
              <w:caps/>
              <w:lang w:val="fr-FR"/>
            </w:rPr>
            <w:t>D’eau migrateurs D’afrique-eurasie</w:t>
          </w:r>
        </w:p>
        <w:p w14:paraId="4317BE22" w14:textId="77777777" w:rsidR="00F16C3C" w:rsidRPr="007620D4" w:rsidRDefault="00F16C3C" w:rsidP="000958DA">
          <w:pPr>
            <w:tabs>
              <w:tab w:val="left" w:pos="2415"/>
            </w:tabs>
            <w:jc w:val="center"/>
            <w:rPr>
              <w:i/>
              <w:caps/>
              <w:szCs w:val="22"/>
              <w:lang w:val="fr-FR"/>
            </w:rPr>
          </w:pPr>
        </w:p>
        <w:p w14:paraId="00E5FA38" w14:textId="77777777" w:rsidR="00F16C3C" w:rsidRPr="007620D4" w:rsidRDefault="00F16C3C" w:rsidP="000958DA">
          <w:pPr>
            <w:tabs>
              <w:tab w:val="left" w:pos="2415"/>
            </w:tabs>
            <w:jc w:val="center"/>
            <w:rPr>
              <w:i/>
              <w:caps/>
              <w:szCs w:val="22"/>
              <w:lang w:val="fr-FR"/>
            </w:rPr>
          </w:pPr>
        </w:p>
        <w:p w14:paraId="11BCDDFC" w14:textId="77777777" w:rsidR="00F16C3C" w:rsidRDefault="00F16C3C" w:rsidP="000958DA">
          <w:pPr>
            <w:pStyle w:val="BodyText2"/>
            <w:rPr>
              <w:b/>
              <w:bCs/>
              <w:caps/>
              <w:szCs w:val="26"/>
              <w:lang w:val="fr-FR"/>
            </w:rPr>
          </w:pPr>
          <w:r>
            <w:rPr>
              <w:b/>
              <w:bCs/>
              <w:szCs w:val="26"/>
              <w:lang w:val="fr-FR"/>
            </w:rPr>
            <w:t xml:space="preserve">           </w:t>
          </w:r>
          <w:r w:rsidRPr="00C606E5">
            <w:rPr>
              <w:b/>
              <w:bCs/>
              <w:szCs w:val="26"/>
              <w:lang w:val="fr-FR"/>
            </w:rPr>
            <w:t>5</w:t>
          </w:r>
          <w:r w:rsidRPr="00C606E5">
            <w:rPr>
              <w:b/>
              <w:bCs/>
              <w:szCs w:val="26"/>
              <w:vertAlign w:val="superscript"/>
              <w:lang w:val="fr-FR"/>
            </w:rPr>
            <w:t>ème</w:t>
          </w:r>
          <w:r w:rsidRPr="00C606E5">
            <w:rPr>
              <w:b/>
              <w:bCs/>
              <w:szCs w:val="26"/>
              <w:lang w:val="fr-FR"/>
            </w:rPr>
            <w:t xml:space="preserve"> </w:t>
          </w:r>
          <w:r w:rsidRPr="00C606E5">
            <w:rPr>
              <w:b/>
              <w:bCs/>
              <w:caps/>
              <w:szCs w:val="26"/>
              <w:lang w:val="fr-FR"/>
            </w:rPr>
            <w:t xml:space="preserve">Session de la rÉunion des parties </w:t>
          </w:r>
          <w:r>
            <w:rPr>
              <w:b/>
              <w:bCs/>
              <w:caps/>
              <w:szCs w:val="26"/>
              <w:lang w:val="fr-FR"/>
            </w:rPr>
            <w:t xml:space="preserve">    </w:t>
          </w:r>
        </w:p>
        <w:p w14:paraId="159CC366" w14:textId="77777777" w:rsidR="00F16C3C" w:rsidRPr="00C606E5" w:rsidRDefault="00F16C3C" w:rsidP="000958DA">
          <w:pPr>
            <w:pStyle w:val="BodyText2"/>
            <w:rPr>
              <w:b/>
              <w:bCs/>
              <w:caps/>
              <w:szCs w:val="26"/>
              <w:lang w:val="fr-FR"/>
            </w:rPr>
          </w:pPr>
          <w:r>
            <w:rPr>
              <w:b/>
              <w:bCs/>
              <w:caps/>
              <w:szCs w:val="26"/>
              <w:lang w:val="fr-FR"/>
            </w:rPr>
            <w:t xml:space="preserve">                                C</w:t>
          </w:r>
          <w:r w:rsidRPr="00C606E5">
            <w:rPr>
              <w:b/>
              <w:bCs/>
              <w:caps/>
              <w:szCs w:val="26"/>
              <w:lang w:val="fr-FR"/>
            </w:rPr>
            <w:t>ontractantes</w:t>
          </w:r>
        </w:p>
        <w:p w14:paraId="3A00DD89" w14:textId="77777777" w:rsidR="00F16C3C" w:rsidRPr="00C606E5" w:rsidRDefault="00F16C3C" w:rsidP="000958DA">
          <w:pPr>
            <w:tabs>
              <w:tab w:val="left" w:pos="2415"/>
              <w:tab w:val="left" w:pos="2975"/>
            </w:tabs>
            <w:rPr>
              <w:lang w:val="fr-FR"/>
            </w:rPr>
          </w:pPr>
          <w:r>
            <w:rPr>
              <w:iCs/>
              <w:lang w:val="fr-FR"/>
            </w:rPr>
            <w:t xml:space="preserve">                    </w:t>
          </w:r>
          <w:r w:rsidRPr="00C606E5">
            <w:rPr>
              <w:iCs/>
              <w:lang w:val="fr-FR"/>
            </w:rPr>
            <w:t>14 – 18 mai 2012, La Rochelle, France</w:t>
          </w:r>
        </w:p>
      </w:tc>
      <w:tc>
        <w:tcPr>
          <w:tcW w:w="488" w:type="pct"/>
        </w:tcPr>
        <w:p w14:paraId="4E3F98D0" w14:textId="77777777" w:rsidR="00F16C3C" w:rsidRPr="00C606E5" w:rsidRDefault="00F16C3C" w:rsidP="000958DA">
          <w:pPr>
            <w:jc w:val="right"/>
            <w:rPr>
              <w:lang w:val="fr-FR"/>
            </w:rPr>
          </w:pPr>
          <w:r>
            <w:rPr>
              <w:noProof/>
              <w:lang w:val="en-US"/>
            </w:rPr>
            <w:drawing>
              <wp:anchor distT="0" distB="0" distL="114300" distR="114300" simplePos="0" relativeHeight="251659264" behindDoc="0" locked="0" layoutInCell="1" allowOverlap="1" wp14:anchorId="72284E52" wp14:editId="0F51A2FE">
                <wp:simplePos x="0" y="0"/>
                <wp:positionH relativeFrom="column">
                  <wp:posOffset>90170</wp:posOffset>
                </wp:positionH>
                <wp:positionV relativeFrom="paragraph">
                  <wp:posOffset>-2540</wp:posOffset>
                </wp:positionV>
                <wp:extent cx="552450" cy="1310659"/>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5283" cy="1317380"/>
                        </a:xfrm>
                        <a:prstGeom prst="rect">
                          <a:avLst/>
                        </a:prstGeom>
                      </pic:spPr>
                    </pic:pic>
                  </a:graphicData>
                </a:graphic>
                <wp14:sizeRelH relativeFrom="page">
                  <wp14:pctWidth>0</wp14:pctWidth>
                </wp14:sizeRelH>
                <wp14:sizeRelV relativeFrom="page">
                  <wp14:pctHeight>0</wp14:pctHeight>
                </wp14:sizeRelV>
              </wp:anchor>
            </w:drawing>
          </w:r>
        </w:p>
      </w:tc>
    </w:tr>
  </w:tbl>
  <w:p w14:paraId="4ED8E043" w14:textId="77777777" w:rsidR="00F16C3C" w:rsidRDefault="00F16C3C" w:rsidP="000958DA">
    <w:pPr>
      <w:tabs>
        <w:tab w:val="left" w:pos="2415"/>
      </w:tabs>
      <w:ind w:left="108" w:hanging="108"/>
      <w:jc w:val="center"/>
      <w:rPr>
        <w:bCs/>
        <w:i/>
        <w:lang w:val="fr-FR"/>
      </w:rPr>
    </w:pPr>
    <w:r w:rsidRPr="00C606E5">
      <w:rPr>
        <w:bCs/>
        <w:i/>
        <w:lang w:val="fr-FR"/>
      </w:rPr>
      <w:t>« Les oiseaux d’eau migrateurs et les hommes – des zones humides en partage »</w:t>
    </w:r>
  </w:p>
  <w:p w14:paraId="71203D6F" w14:textId="74FA75E0" w:rsidR="00F16C3C" w:rsidRDefault="00F16C3C" w:rsidP="000958DA">
    <w:pPr>
      <w:tabs>
        <w:tab w:val="left" w:pos="2415"/>
      </w:tabs>
      <w:ind w:left="108" w:hanging="108"/>
      <w:jc w:val="center"/>
      <w:rPr>
        <w:bCs/>
        <w:i/>
        <w:lang w:val="fr-FR"/>
      </w:rPr>
    </w:pPr>
    <w:r>
      <w:rPr>
        <w:bCs/>
        <w:i/>
        <w:lang w:val="fr-FR"/>
      </w:rPr>
      <w:t>_______________________________________________________</w:t>
    </w:r>
    <w:r w:rsidR="006C4CC0">
      <w:rPr>
        <w:bCs/>
        <w:i/>
        <w:lang w:val="fr-FR"/>
      </w:rPr>
      <w:t>___</w:t>
    </w:r>
    <w:r>
      <w:rPr>
        <w:bCs/>
        <w:i/>
        <w:lang w:val="fr-FR"/>
      </w:rPr>
      <w:t>________________________</w:t>
    </w:r>
  </w:p>
  <w:p w14:paraId="59C8EDEB" w14:textId="77777777" w:rsidR="00F16C3C" w:rsidRPr="00D02DAC" w:rsidRDefault="00F16C3C" w:rsidP="00D02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7B00"/>
    <w:multiLevelType w:val="hybridMultilevel"/>
    <w:tmpl w:val="0A4C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F0975"/>
    <w:multiLevelType w:val="hybridMultilevel"/>
    <w:tmpl w:val="DFDE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F07EA"/>
    <w:multiLevelType w:val="hybridMultilevel"/>
    <w:tmpl w:val="8692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36E3E"/>
    <w:multiLevelType w:val="hybridMultilevel"/>
    <w:tmpl w:val="0444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93E1A"/>
    <w:multiLevelType w:val="hybridMultilevel"/>
    <w:tmpl w:val="51C0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D5A7C"/>
    <w:multiLevelType w:val="hybridMultilevel"/>
    <w:tmpl w:val="3B46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73133"/>
    <w:multiLevelType w:val="hybridMultilevel"/>
    <w:tmpl w:val="51CE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91C38"/>
    <w:multiLevelType w:val="hybridMultilevel"/>
    <w:tmpl w:val="A0E8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87449"/>
    <w:multiLevelType w:val="hybridMultilevel"/>
    <w:tmpl w:val="B84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C018B"/>
    <w:multiLevelType w:val="hybridMultilevel"/>
    <w:tmpl w:val="F15E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E299E"/>
    <w:multiLevelType w:val="hybridMultilevel"/>
    <w:tmpl w:val="BC84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D6163"/>
    <w:multiLevelType w:val="hybridMultilevel"/>
    <w:tmpl w:val="DC32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F4986"/>
    <w:multiLevelType w:val="hybridMultilevel"/>
    <w:tmpl w:val="BDFC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01FD9"/>
    <w:multiLevelType w:val="hybridMultilevel"/>
    <w:tmpl w:val="DD1E4D9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4C307AE"/>
    <w:multiLevelType w:val="hybridMultilevel"/>
    <w:tmpl w:val="6EB8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6">
    <w:nsid w:val="58283347"/>
    <w:multiLevelType w:val="hybridMultilevel"/>
    <w:tmpl w:val="214CD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F2662"/>
    <w:multiLevelType w:val="hybridMultilevel"/>
    <w:tmpl w:val="6612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7250B"/>
    <w:multiLevelType w:val="hybridMultilevel"/>
    <w:tmpl w:val="9AE2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663AB"/>
    <w:multiLevelType w:val="hybridMultilevel"/>
    <w:tmpl w:val="E60E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F5253"/>
    <w:multiLevelType w:val="hybridMultilevel"/>
    <w:tmpl w:val="F8A0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9"/>
  </w:num>
  <w:num w:numId="5">
    <w:abstractNumId w:val="14"/>
  </w:num>
  <w:num w:numId="6">
    <w:abstractNumId w:val="3"/>
  </w:num>
  <w:num w:numId="7">
    <w:abstractNumId w:val="12"/>
  </w:num>
  <w:num w:numId="8">
    <w:abstractNumId w:val="4"/>
  </w:num>
  <w:num w:numId="9">
    <w:abstractNumId w:val="5"/>
  </w:num>
  <w:num w:numId="10">
    <w:abstractNumId w:val="8"/>
  </w:num>
  <w:num w:numId="11">
    <w:abstractNumId w:val="1"/>
  </w:num>
  <w:num w:numId="12">
    <w:abstractNumId w:val="7"/>
  </w:num>
  <w:num w:numId="13">
    <w:abstractNumId w:val="0"/>
  </w:num>
  <w:num w:numId="14">
    <w:abstractNumId w:val="19"/>
  </w:num>
  <w:num w:numId="15">
    <w:abstractNumId w:val="6"/>
  </w:num>
  <w:num w:numId="16">
    <w:abstractNumId w:val="2"/>
  </w:num>
  <w:num w:numId="17">
    <w:abstractNumId w:val="18"/>
  </w:num>
  <w:num w:numId="18">
    <w:abstractNumId w:val="16"/>
  </w:num>
  <w:num w:numId="19">
    <w:abstractNumId w:val="17"/>
  </w:num>
  <w:num w:numId="20">
    <w:abstractNumId w:val="10"/>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CE"/>
    <w:rsid w:val="000015FC"/>
    <w:rsid w:val="00001E7F"/>
    <w:rsid w:val="00003C58"/>
    <w:rsid w:val="000066B8"/>
    <w:rsid w:val="00007525"/>
    <w:rsid w:val="00011ABF"/>
    <w:rsid w:val="00017F58"/>
    <w:rsid w:val="00021451"/>
    <w:rsid w:val="00025024"/>
    <w:rsid w:val="00037126"/>
    <w:rsid w:val="0004392B"/>
    <w:rsid w:val="0004796E"/>
    <w:rsid w:val="000550CB"/>
    <w:rsid w:val="00055C67"/>
    <w:rsid w:val="00065278"/>
    <w:rsid w:val="00067B4F"/>
    <w:rsid w:val="00075D78"/>
    <w:rsid w:val="00076007"/>
    <w:rsid w:val="000852F2"/>
    <w:rsid w:val="00091B7A"/>
    <w:rsid w:val="000958DA"/>
    <w:rsid w:val="000A7CF9"/>
    <w:rsid w:val="000B5930"/>
    <w:rsid w:val="000B64E4"/>
    <w:rsid w:val="000C451C"/>
    <w:rsid w:val="000C6DE9"/>
    <w:rsid w:val="000D4432"/>
    <w:rsid w:val="000D490A"/>
    <w:rsid w:val="000E202F"/>
    <w:rsid w:val="000E277D"/>
    <w:rsid w:val="000E3CF6"/>
    <w:rsid w:val="000E7040"/>
    <w:rsid w:val="000F3955"/>
    <w:rsid w:val="0011193C"/>
    <w:rsid w:val="00115F48"/>
    <w:rsid w:val="00121780"/>
    <w:rsid w:val="001253C6"/>
    <w:rsid w:val="001346D6"/>
    <w:rsid w:val="001449CD"/>
    <w:rsid w:val="0014722D"/>
    <w:rsid w:val="00150C57"/>
    <w:rsid w:val="0015518C"/>
    <w:rsid w:val="001552C2"/>
    <w:rsid w:val="0016026F"/>
    <w:rsid w:val="00163FD0"/>
    <w:rsid w:val="001664FE"/>
    <w:rsid w:val="001718A2"/>
    <w:rsid w:val="00174324"/>
    <w:rsid w:val="0018782A"/>
    <w:rsid w:val="00191DF7"/>
    <w:rsid w:val="001B1C31"/>
    <w:rsid w:val="001C1A21"/>
    <w:rsid w:val="001C4BD9"/>
    <w:rsid w:val="001D0E85"/>
    <w:rsid w:val="001D3E9B"/>
    <w:rsid w:val="001D7870"/>
    <w:rsid w:val="001E5383"/>
    <w:rsid w:val="001E66E2"/>
    <w:rsid w:val="001E7B99"/>
    <w:rsid w:val="001F153C"/>
    <w:rsid w:val="001F1DE0"/>
    <w:rsid w:val="001F7AB1"/>
    <w:rsid w:val="0020019C"/>
    <w:rsid w:val="00203572"/>
    <w:rsid w:val="00206001"/>
    <w:rsid w:val="002112B4"/>
    <w:rsid w:val="00214A13"/>
    <w:rsid w:val="00222D5B"/>
    <w:rsid w:val="00233E53"/>
    <w:rsid w:val="00244388"/>
    <w:rsid w:val="002445D1"/>
    <w:rsid w:val="00254490"/>
    <w:rsid w:val="0025462E"/>
    <w:rsid w:val="00256BC0"/>
    <w:rsid w:val="00257400"/>
    <w:rsid w:val="00264ACD"/>
    <w:rsid w:val="00265FA0"/>
    <w:rsid w:val="00271397"/>
    <w:rsid w:val="00280186"/>
    <w:rsid w:val="002826BC"/>
    <w:rsid w:val="00283E08"/>
    <w:rsid w:val="00284682"/>
    <w:rsid w:val="00294F06"/>
    <w:rsid w:val="002A29F1"/>
    <w:rsid w:val="002A4180"/>
    <w:rsid w:val="002C1642"/>
    <w:rsid w:val="002C507D"/>
    <w:rsid w:val="002D1B95"/>
    <w:rsid w:val="002D39E6"/>
    <w:rsid w:val="002E4E3B"/>
    <w:rsid w:val="002F3A61"/>
    <w:rsid w:val="002F3F0F"/>
    <w:rsid w:val="002F6A9D"/>
    <w:rsid w:val="00300442"/>
    <w:rsid w:val="00303CE2"/>
    <w:rsid w:val="00312240"/>
    <w:rsid w:val="00313421"/>
    <w:rsid w:val="003141D3"/>
    <w:rsid w:val="00321E1A"/>
    <w:rsid w:val="00322F1A"/>
    <w:rsid w:val="00325A1A"/>
    <w:rsid w:val="0032602C"/>
    <w:rsid w:val="0032617C"/>
    <w:rsid w:val="0033271E"/>
    <w:rsid w:val="00345E3C"/>
    <w:rsid w:val="0034772E"/>
    <w:rsid w:val="003477A2"/>
    <w:rsid w:val="00364377"/>
    <w:rsid w:val="00370658"/>
    <w:rsid w:val="00377572"/>
    <w:rsid w:val="0038062D"/>
    <w:rsid w:val="00387CE0"/>
    <w:rsid w:val="00397C15"/>
    <w:rsid w:val="003A0099"/>
    <w:rsid w:val="003C393C"/>
    <w:rsid w:val="003C65F8"/>
    <w:rsid w:val="003D1282"/>
    <w:rsid w:val="003D4F15"/>
    <w:rsid w:val="003E6AAC"/>
    <w:rsid w:val="003F3D6F"/>
    <w:rsid w:val="003F46FF"/>
    <w:rsid w:val="003F7601"/>
    <w:rsid w:val="00403B8B"/>
    <w:rsid w:val="00410CA4"/>
    <w:rsid w:val="0041122E"/>
    <w:rsid w:val="00412DD9"/>
    <w:rsid w:val="004134F2"/>
    <w:rsid w:val="00417851"/>
    <w:rsid w:val="00417A75"/>
    <w:rsid w:val="00423E3B"/>
    <w:rsid w:val="00442792"/>
    <w:rsid w:val="00444201"/>
    <w:rsid w:val="00446A11"/>
    <w:rsid w:val="00450B29"/>
    <w:rsid w:val="00456714"/>
    <w:rsid w:val="004569DC"/>
    <w:rsid w:val="00465E08"/>
    <w:rsid w:val="0047180E"/>
    <w:rsid w:val="00480D61"/>
    <w:rsid w:val="004830F0"/>
    <w:rsid w:val="004831DC"/>
    <w:rsid w:val="00496DC6"/>
    <w:rsid w:val="004A62D9"/>
    <w:rsid w:val="004B3CFA"/>
    <w:rsid w:val="004B42B6"/>
    <w:rsid w:val="004C1722"/>
    <w:rsid w:val="004D3242"/>
    <w:rsid w:val="004E0D21"/>
    <w:rsid w:val="004E6739"/>
    <w:rsid w:val="004E7E4F"/>
    <w:rsid w:val="005012AF"/>
    <w:rsid w:val="005079C2"/>
    <w:rsid w:val="00513421"/>
    <w:rsid w:val="0051411B"/>
    <w:rsid w:val="00522022"/>
    <w:rsid w:val="00526765"/>
    <w:rsid w:val="005279A3"/>
    <w:rsid w:val="00533816"/>
    <w:rsid w:val="00535323"/>
    <w:rsid w:val="0053752E"/>
    <w:rsid w:val="00542679"/>
    <w:rsid w:val="00547B08"/>
    <w:rsid w:val="00555170"/>
    <w:rsid w:val="005745FB"/>
    <w:rsid w:val="00574932"/>
    <w:rsid w:val="00575B42"/>
    <w:rsid w:val="005851BB"/>
    <w:rsid w:val="005A0377"/>
    <w:rsid w:val="005A1788"/>
    <w:rsid w:val="005A1852"/>
    <w:rsid w:val="005A43A6"/>
    <w:rsid w:val="005A7014"/>
    <w:rsid w:val="005A782C"/>
    <w:rsid w:val="005B5C42"/>
    <w:rsid w:val="005C11A5"/>
    <w:rsid w:val="005D72ED"/>
    <w:rsid w:val="005D7C30"/>
    <w:rsid w:val="005E5955"/>
    <w:rsid w:val="006039C1"/>
    <w:rsid w:val="006049B7"/>
    <w:rsid w:val="0060613E"/>
    <w:rsid w:val="00611AD5"/>
    <w:rsid w:val="0061299F"/>
    <w:rsid w:val="00612E85"/>
    <w:rsid w:val="00613C96"/>
    <w:rsid w:val="006141E9"/>
    <w:rsid w:val="00614D6D"/>
    <w:rsid w:val="006218BA"/>
    <w:rsid w:val="00622BC0"/>
    <w:rsid w:val="006244D3"/>
    <w:rsid w:val="00624676"/>
    <w:rsid w:val="00627073"/>
    <w:rsid w:val="006325BE"/>
    <w:rsid w:val="0063381B"/>
    <w:rsid w:val="00633FE2"/>
    <w:rsid w:val="00640D8A"/>
    <w:rsid w:val="006424A8"/>
    <w:rsid w:val="0065286D"/>
    <w:rsid w:val="006537A2"/>
    <w:rsid w:val="00662322"/>
    <w:rsid w:val="00663E5D"/>
    <w:rsid w:val="00664685"/>
    <w:rsid w:val="00671872"/>
    <w:rsid w:val="00674C7D"/>
    <w:rsid w:val="0069012B"/>
    <w:rsid w:val="006A2312"/>
    <w:rsid w:val="006A41CE"/>
    <w:rsid w:val="006A7218"/>
    <w:rsid w:val="006A7D55"/>
    <w:rsid w:val="006B0369"/>
    <w:rsid w:val="006C1548"/>
    <w:rsid w:val="006C4CC0"/>
    <w:rsid w:val="006C4ED1"/>
    <w:rsid w:val="006C7EEC"/>
    <w:rsid w:val="006E38E3"/>
    <w:rsid w:val="006E445E"/>
    <w:rsid w:val="006F6DB2"/>
    <w:rsid w:val="00707B73"/>
    <w:rsid w:val="007106CE"/>
    <w:rsid w:val="007146F1"/>
    <w:rsid w:val="00717C09"/>
    <w:rsid w:val="007278F5"/>
    <w:rsid w:val="00731036"/>
    <w:rsid w:val="00731F34"/>
    <w:rsid w:val="00732588"/>
    <w:rsid w:val="00732A62"/>
    <w:rsid w:val="00735F5F"/>
    <w:rsid w:val="007370F2"/>
    <w:rsid w:val="007406C3"/>
    <w:rsid w:val="00750B66"/>
    <w:rsid w:val="0075235B"/>
    <w:rsid w:val="007572A6"/>
    <w:rsid w:val="007608B6"/>
    <w:rsid w:val="00761C2F"/>
    <w:rsid w:val="00763858"/>
    <w:rsid w:val="007640CA"/>
    <w:rsid w:val="007733BD"/>
    <w:rsid w:val="00774168"/>
    <w:rsid w:val="00777796"/>
    <w:rsid w:val="00777D2C"/>
    <w:rsid w:val="00792FC9"/>
    <w:rsid w:val="007B67BD"/>
    <w:rsid w:val="007B6A06"/>
    <w:rsid w:val="007B6C28"/>
    <w:rsid w:val="007B7F71"/>
    <w:rsid w:val="007C0D17"/>
    <w:rsid w:val="007C281A"/>
    <w:rsid w:val="007C50C4"/>
    <w:rsid w:val="007C696F"/>
    <w:rsid w:val="007D27A7"/>
    <w:rsid w:val="007D4493"/>
    <w:rsid w:val="007E192B"/>
    <w:rsid w:val="007E1B81"/>
    <w:rsid w:val="007E352A"/>
    <w:rsid w:val="007E63A0"/>
    <w:rsid w:val="007F37AB"/>
    <w:rsid w:val="00802CDC"/>
    <w:rsid w:val="008070BA"/>
    <w:rsid w:val="00812053"/>
    <w:rsid w:val="008126DB"/>
    <w:rsid w:val="0081307D"/>
    <w:rsid w:val="008151DD"/>
    <w:rsid w:val="00815DCF"/>
    <w:rsid w:val="0082027A"/>
    <w:rsid w:val="008213FD"/>
    <w:rsid w:val="00822C50"/>
    <w:rsid w:val="00824737"/>
    <w:rsid w:val="00827165"/>
    <w:rsid w:val="008334D9"/>
    <w:rsid w:val="0083357E"/>
    <w:rsid w:val="0083740F"/>
    <w:rsid w:val="00841513"/>
    <w:rsid w:val="00845335"/>
    <w:rsid w:val="00851BAD"/>
    <w:rsid w:val="00853254"/>
    <w:rsid w:val="00853F8E"/>
    <w:rsid w:val="008561A4"/>
    <w:rsid w:val="008658A1"/>
    <w:rsid w:val="008661BA"/>
    <w:rsid w:val="00873F11"/>
    <w:rsid w:val="00884259"/>
    <w:rsid w:val="00890A6A"/>
    <w:rsid w:val="00894C1B"/>
    <w:rsid w:val="00896638"/>
    <w:rsid w:val="008A12CD"/>
    <w:rsid w:val="008A7072"/>
    <w:rsid w:val="008C3393"/>
    <w:rsid w:val="008C7A8F"/>
    <w:rsid w:val="008D1225"/>
    <w:rsid w:val="008E551E"/>
    <w:rsid w:val="008F0F6C"/>
    <w:rsid w:val="009043CF"/>
    <w:rsid w:val="009064F2"/>
    <w:rsid w:val="00917680"/>
    <w:rsid w:val="009202D2"/>
    <w:rsid w:val="00924276"/>
    <w:rsid w:val="00926992"/>
    <w:rsid w:val="00932508"/>
    <w:rsid w:val="00933DFF"/>
    <w:rsid w:val="00936749"/>
    <w:rsid w:val="00947AF9"/>
    <w:rsid w:val="009571BB"/>
    <w:rsid w:val="00957A07"/>
    <w:rsid w:val="00962144"/>
    <w:rsid w:val="00967C2C"/>
    <w:rsid w:val="00973455"/>
    <w:rsid w:val="0097462F"/>
    <w:rsid w:val="00983469"/>
    <w:rsid w:val="009854C8"/>
    <w:rsid w:val="00986D00"/>
    <w:rsid w:val="00990951"/>
    <w:rsid w:val="00996EF6"/>
    <w:rsid w:val="009B1A13"/>
    <w:rsid w:val="009B1AF9"/>
    <w:rsid w:val="009B1CCB"/>
    <w:rsid w:val="009B57B6"/>
    <w:rsid w:val="009C69AE"/>
    <w:rsid w:val="009D5D5B"/>
    <w:rsid w:val="009D6EBC"/>
    <w:rsid w:val="009E122A"/>
    <w:rsid w:val="009E747C"/>
    <w:rsid w:val="009F0423"/>
    <w:rsid w:val="009F4AD7"/>
    <w:rsid w:val="00A0348C"/>
    <w:rsid w:val="00A1095D"/>
    <w:rsid w:val="00A115C3"/>
    <w:rsid w:val="00A120B8"/>
    <w:rsid w:val="00A1380F"/>
    <w:rsid w:val="00A15A30"/>
    <w:rsid w:val="00A2088F"/>
    <w:rsid w:val="00A24037"/>
    <w:rsid w:val="00A25114"/>
    <w:rsid w:val="00A268C4"/>
    <w:rsid w:val="00A273ED"/>
    <w:rsid w:val="00A319BA"/>
    <w:rsid w:val="00A333E5"/>
    <w:rsid w:val="00A42C2A"/>
    <w:rsid w:val="00A449B2"/>
    <w:rsid w:val="00A454AE"/>
    <w:rsid w:val="00A45FD1"/>
    <w:rsid w:val="00A464B1"/>
    <w:rsid w:val="00A538D4"/>
    <w:rsid w:val="00A5775B"/>
    <w:rsid w:val="00A63904"/>
    <w:rsid w:val="00A64C49"/>
    <w:rsid w:val="00A65C6F"/>
    <w:rsid w:val="00A71ECB"/>
    <w:rsid w:val="00A76DCD"/>
    <w:rsid w:val="00A805F4"/>
    <w:rsid w:val="00A8086E"/>
    <w:rsid w:val="00A84F13"/>
    <w:rsid w:val="00A879C7"/>
    <w:rsid w:val="00A951F2"/>
    <w:rsid w:val="00A9586E"/>
    <w:rsid w:val="00A966DD"/>
    <w:rsid w:val="00AC4A01"/>
    <w:rsid w:val="00AC58BD"/>
    <w:rsid w:val="00AC5900"/>
    <w:rsid w:val="00AD2A88"/>
    <w:rsid w:val="00AE11F6"/>
    <w:rsid w:val="00AE1732"/>
    <w:rsid w:val="00AE2D6D"/>
    <w:rsid w:val="00B0211A"/>
    <w:rsid w:val="00B162F0"/>
    <w:rsid w:val="00B17EC3"/>
    <w:rsid w:val="00B27626"/>
    <w:rsid w:val="00B30648"/>
    <w:rsid w:val="00B3588A"/>
    <w:rsid w:val="00B37F82"/>
    <w:rsid w:val="00B45675"/>
    <w:rsid w:val="00B456B8"/>
    <w:rsid w:val="00B45A14"/>
    <w:rsid w:val="00B5111E"/>
    <w:rsid w:val="00B52744"/>
    <w:rsid w:val="00B55017"/>
    <w:rsid w:val="00B64D6F"/>
    <w:rsid w:val="00B87F08"/>
    <w:rsid w:val="00B968A6"/>
    <w:rsid w:val="00BA154F"/>
    <w:rsid w:val="00BB0E9F"/>
    <w:rsid w:val="00BC5F9C"/>
    <w:rsid w:val="00BD3BEA"/>
    <w:rsid w:val="00BE130B"/>
    <w:rsid w:val="00BF02D9"/>
    <w:rsid w:val="00BF7618"/>
    <w:rsid w:val="00C0568C"/>
    <w:rsid w:val="00C171FD"/>
    <w:rsid w:val="00C2421A"/>
    <w:rsid w:val="00C24BFF"/>
    <w:rsid w:val="00C25D4D"/>
    <w:rsid w:val="00C35ADA"/>
    <w:rsid w:val="00C3740A"/>
    <w:rsid w:val="00C52427"/>
    <w:rsid w:val="00C61023"/>
    <w:rsid w:val="00C7058A"/>
    <w:rsid w:val="00C767FF"/>
    <w:rsid w:val="00C81366"/>
    <w:rsid w:val="00C830DD"/>
    <w:rsid w:val="00C861FA"/>
    <w:rsid w:val="00C86381"/>
    <w:rsid w:val="00C87569"/>
    <w:rsid w:val="00C936C4"/>
    <w:rsid w:val="00C954E0"/>
    <w:rsid w:val="00C96952"/>
    <w:rsid w:val="00CA2931"/>
    <w:rsid w:val="00CA3F26"/>
    <w:rsid w:val="00CA4A28"/>
    <w:rsid w:val="00CB31DE"/>
    <w:rsid w:val="00CC2318"/>
    <w:rsid w:val="00CC42C9"/>
    <w:rsid w:val="00CC5A03"/>
    <w:rsid w:val="00CD50E9"/>
    <w:rsid w:val="00CD5EAC"/>
    <w:rsid w:val="00CE5290"/>
    <w:rsid w:val="00CE6566"/>
    <w:rsid w:val="00CF5E2E"/>
    <w:rsid w:val="00D02DAC"/>
    <w:rsid w:val="00D11DAE"/>
    <w:rsid w:val="00D203E9"/>
    <w:rsid w:val="00D22B4B"/>
    <w:rsid w:val="00D36189"/>
    <w:rsid w:val="00D419CD"/>
    <w:rsid w:val="00D4387A"/>
    <w:rsid w:val="00D44EB3"/>
    <w:rsid w:val="00D7176D"/>
    <w:rsid w:val="00D76270"/>
    <w:rsid w:val="00D77CE2"/>
    <w:rsid w:val="00D873E3"/>
    <w:rsid w:val="00D9018E"/>
    <w:rsid w:val="00D92607"/>
    <w:rsid w:val="00D93C0E"/>
    <w:rsid w:val="00D97875"/>
    <w:rsid w:val="00DA2BA4"/>
    <w:rsid w:val="00DA2E3A"/>
    <w:rsid w:val="00DA3A94"/>
    <w:rsid w:val="00DC0E18"/>
    <w:rsid w:val="00DC6362"/>
    <w:rsid w:val="00DC6C9F"/>
    <w:rsid w:val="00DD0BA4"/>
    <w:rsid w:val="00DD7089"/>
    <w:rsid w:val="00DE02C2"/>
    <w:rsid w:val="00DF31E5"/>
    <w:rsid w:val="00DF4E69"/>
    <w:rsid w:val="00DF5063"/>
    <w:rsid w:val="00DF63CD"/>
    <w:rsid w:val="00E0244B"/>
    <w:rsid w:val="00E05219"/>
    <w:rsid w:val="00E074EA"/>
    <w:rsid w:val="00E07572"/>
    <w:rsid w:val="00E14F6E"/>
    <w:rsid w:val="00E204D4"/>
    <w:rsid w:val="00E220C9"/>
    <w:rsid w:val="00E34347"/>
    <w:rsid w:val="00E420FB"/>
    <w:rsid w:val="00E46C07"/>
    <w:rsid w:val="00E61D54"/>
    <w:rsid w:val="00E62B43"/>
    <w:rsid w:val="00E717A1"/>
    <w:rsid w:val="00E755A2"/>
    <w:rsid w:val="00E80063"/>
    <w:rsid w:val="00E855EE"/>
    <w:rsid w:val="00E9034F"/>
    <w:rsid w:val="00E90BA1"/>
    <w:rsid w:val="00E923AF"/>
    <w:rsid w:val="00E93197"/>
    <w:rsid w:val="00E973A6"/>
    <w:rsid w:val="00EA34A2"/>
    <w:rsid w:val="00EA4EF8"/>
    <w:rsid w:val="00EA6985"/>
    <w:rsid w:val="00EB2AC1"/>
    <w:rsid w:val="00EB3C01"/>
    <w:rsid w:val="00EE0054"/>
    <w:rsid w:val="00EE330A"/>
    <w:rsid w:val="00EE3A38"/>
    <w:rsid w:val="00EE6AA3"/>
    <w:rsid w:val="00EF0883"/>
    <w:rsid w:val="00EF4714"/>
    <w:rsid w:val="00F005D4"/>
    <w:rsid w:val="00F04697"/>
    <w:rsid w:val="00F06F82"/>
    <w:rsid w:val="00F16C3C"/>
    <w:rsid w:val="00F16FEA"/>
    <w:rsid w:val="00F27AD0"/>
    <w:rsid w:val="00F30CF0"/>
    <w:rsid w:val="00F33021"/>
    <w:rsid w:val="00F4066D"/>
    <w:rsid w:val="00F40AB4"/>
    <w:rsid w:val="00F43CFD"/>
    <w:rsid w:val="00F47AD9"/>
    <w:rsid w:val="00F51454"/>
    <w:rsid w:val="00F51ACC"/>
    <w:rsid w:val="00F61FD1"/>
    <w:rsid w:val="00F71CA8"/>
    <w:rsid w:val="00F82A75"/>
    <w:rsid w:val="00F86B53"/>
    <w:rsid w:val="00F93620"/>
    <w:rsid w:val="00F947CF"/>
    <w:rsid w:val="00FA4944"/>
    <w:rsid w:val="00FB0829"/>
    <w:rsid w:val="00FB0AD6"/>
    <w:rsid w:val="00FB0B7C"/>
    <w:rsid w:val="00FB2719"/>
    <w:rsid w:val="00FB28E9"/>
    <w:rsid w:val="00FB6701"/>
    <w:rsid w:val="00FB7B81"/>
    <w:rsid w:val="00FC622E"/>
    <w:rsid w:val="00FD1674"/>
    <w:rsid w:val="00FD2552"/>
    <w:rsid w:val="00FE6E5F"/>
    <w:rsid w:val="00FF2C73"/>
    <w:rsid w:val="00FF54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F29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rsid w:val="00DF570E"/>
    <w:pPr>
      <w:keepNext/>
      <w:numPr>
        <w:numId w:val="1"/>
      </w:numPr>
      <w:outlineLvl w:val="0"/>
    </w:pPr>
    <w:rPr>
      <w:rFonts w:eastAsia="Times New Roman"/>
      <w:b/>
      <w:bCs/>
      <w:sz w:val="24"/>
      <w:szCs w:val="24"/>
    </w:rPr>
  </w:style>
  <w:style w:type="paragraph" w:styleId="Heading2">
    <w:name w:val="heading 2"/>
    <w:basedOn w:val="Normal"/>
    <w:next w:val="Normal"/>
    <w:qFormat/>
    <w:rsid w:val="00DF570E"/>
    <w:pPr>
      <w:keepNext/>
      <w:numPr>
        <w:ilvl w:val="1"/>
        <w:numId w:val="1"/>
      </w:numPr>
      <w:spacing w:before="240" w:after="60"/>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570E"/>
    <w:pPr>
      <w:tabs>
        <w:tab w:val="center" w:pos="4320"/>
        <w:tab w:val="right" w:pos="8640"/>
      </w:tabs>
    </w:pPr>
  </w:style>
  <w:style w:type="character" w:styleId="PageNumber">
    <w:name w:val="page number"/>
    <w:basedOn w:val="DefaultParagraphFont"/>
    <w:rsid w:val="00DF570E"/>
  </w:style>
  <w:style w:type="paragraph" w:styleId="CommentText">
    <w:name w:val="annotation text"/>
    <w:basedOn w:val="Normal"/>
    <w:semiHidden/>
    <w:rsid w:val="00F22195"/>
    <w:rPr>
      <w:sz w:val="20"/>
    </w:rPr>
  </w:style>
  <w:style w:type="paragraph" w:styleId="BalloonText">
    <w:name w:val="Balloon Text"/>
    <w:basedOn w:val="Normal"/>
    <w:semiHidden/>
    <w:rsid w:val="00A24037"/>
    <w:rPr>
      <w:rFonts w:ascii="Tahoma" w:hAnsi="Tahoma" w:cs="Tahoma"/>
      <w:sz w:val="16"/>
      <w:szCs w:val="16"/>
    </w:rPr>
  </w:style>
  <w:style w:type="character" w:styleId="CommentReference">
    <w:name w:val="annotation reference"/>
    <w:basedOn w:val="DefaultParagraphFont"/>
    <w:semiHidden/>
    <w:rsid w:val="006A2312"/>
    <w:rPr>
      <w:sz w:val="16"/>
      <w:szCs w:val="16"/>
    </w:rPr>
  </w:style>
  <w:style w:type="paragraph" w:styleId="CommentSubject">
    <w:name w:val="annotation subject"/>
    <w:basedOn w:val="CommentText"/>
    <w:next w:val="CommentText"/>
    <w:semiHidden/>
    <w:rsid w:val="006A2312"/>
    <w:rPr>
      <w:b/>
      <w:bCs/>
    </w:rPr>
  </w:style>
  <w:style w:type="paragraph" w:styleId="FootnoteText">
    <w:name w:val="footnote text"/>
    <w:basedOn w:val="Normal"/>
    <w:semiHidden/>
    <w:rsid w:val="00387CE0"/>
    <w:rPr>
      <w:sz w:val="20"/>
    </w:rPr>
  </w:style>
  <w:style w:type="character" w:styleId="FootnoteReference">
    <w:name w:val="footnote reference"/>
    <w:basedOn w:val="DefaultParagraphFont"/>
    <w:semiHidden/>
    <w:rsid w:val="00387CE0"/>
    <w:rPr>
      <w:vertAlign w:val="superscript"/>
    </w:rPr>
  </w:style>
  <w:style w:type="paragraph" w:styleId="Header">
    <w:name w:val="header"/>
    <w:basedOn w:val="Normal"/>
    <w:rsid w:val="005745FB"/>
    <w:pPr>
      <w:tabs>
        <w:tab w:val="center" w:pos="4536"/>
        <w:tab w:val="right" w:pos="9072"/>
      </w:tabs>
    </w:pPr>
  </w:style>
  <w:style w:type="paragraph" w:styleId="BodyText2">
    <w:name w:val="Body Text 2"/>
    <w:basedOn w:val="Normal"/>
    <w:rsid w:val="005745FB"/>
    <w:rPr>
      <w:rFonts w:eastAsia="Times New Roman" w:cs="Arial"/>
      <w:szCs w:val="24"/>
    </w:rPr>
  </w:style>
  <w:style w:type="paragraph" w:styleId="ListParagraph">
    <w:name w:val="List Paragraph"/>
    <w:basedOn w:val="Normal"/>
    <w:qFormat/>
    <w:rsid w:val="00C936C4"/>
    <w:pPr>
      <w:ind w:left="720"/>
    </w:pPr>
    <w:rPr>
      <w:rFonts w:eastAsia="Times New Roman"/>
      <w:sz w:val="24"/>
      <w:szCs w:val="24"/>
      <w:lang w:val="en-US"/>
    </w:rPr>
  </w:style>
  <w:style w:type="character" w:customStyle="1" w:styleId="st">
    <w:name w:val="st"/>
    <w:rsid w:val="00E220C9"/>
  </w:style>
  <w:style w:type="character" w:styleId="Emphasis">
    <w:name w:val="Emphasis"/>
    <w:basedOn w:val="DefaultParagraphFont"/>
    <w:qFormat/>
    <w:rsid w:val="001D3E9B"/>
    <w:rPr>
      <w:i/>
      <w:iCs/>
    </w:rPr>
  </w:style>
  <w:style w:type="character" w:customStyle="1" w:styleId="FooterChar">
    <w:name w:val="Footer Char"/>
    <w:basedOn w:val="DefaultParagraphFont"/>
    <w:link w:val="Footer"/>
    <w:uiPriority w:val="99"/>
    <w:rsid w:val="00D02DAC"/>
    <w:rPr>
      <w:rFonts w:ascii="Times New Roman" w:hAnsi="Times New Roman"/>
      <w:sz w:val="22"/>
    </w:rPr>
  </w:style>
  <w:style w:type="paragraph" w:customStyle="1" w:styleId="Default">
    <w:name w:val="Default"/>
    <w:rsid w:val="00F30CF0"/>
    <w:pPr>
      <w:autoSpaceDE w:val="0"/>
      <w:autoSpaceDN w:val="0"/>
      <w:adjustRightInd w:val="0"/>
    </w:pPr>
    <w:rPr>
      <w:rFonts w:ascii="Times New Roman" w:hAnsi="Times New Roman"/>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rsid w:val="00DF570E"/>
    <w:pPr>
      <w:keepNext/>
      <w:numPr>
        <w:numId w:val="1"/>
      </w:numPr>
      <w:outlineLvl w:val="0"/>
    </w:pPr>
    <w:rPr>
      <w:rFonts w:eastAsia="Times New Roman"/>
      <w:b/>
      <w:bCs/>
      <w:sz w:val="24"/>
      <w:szCs w:val="24"/>
    </w:rPr>
  </w:style>
  <w:style w:type="paragraph" w:styleId="Heading2">
    <w:name w:val="heading 2"/>
    <w:basedOn w:val="Normal"/>
    <w:next w:val="Normal"/>
    <w:qFormat/>
    <w:rsid w:val="00DF570E"/>
    <w:pPr>
      <w:keepNext/>
      <w:numPr>
        <w:ilvl w:val="1"/>
        <w:numId w:val="1"/>
      </w:numPr>
      <w:spacing w:before="240" w:after="60"/>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570E"/>
    <w:pPr>
      <w:tabs>
        <w:tab w:val="center" w:pos="4320"/>
        <w:tab w:val="right" w:pos="8640"/>
      </w:tabs>
    </w:pPr>
  </w:style>
  <w:style w:type="character" w:styleId="PageNumber">
    <w:name w:val="page number"/>
    <w:basedOn w:val="DefaultParagraphFont"/>
    <w:rsid w:val="00DF570E"/>
  </w:style>
  <w:style w:type="paragraph" w:styleId="CommentText">
    <w:name w:val="annotation text"/>
    <w:basedOn w:val="Normal"/>
    <w:semiHidden/>
    <w:rsid w:val="00F22195"/>
    <w:rPr>
      <w:sz w:val="20"/>
    </w:rPr>
  </w:style>
  <w:style w:type="paragraph" w:styleId="BalloonText">
    <w:name w:val="Balloon Text"/>
    <w:basedOn w:val="Normal"/>
    <w:semiHidden/>
    <w:rsid w:val="00A24037"/>
    <w:rPr>
      <w:rFonts w:ascii="Tahoma" w:hAnsi="Tahoma" w:cs="Tahoma"/>
      <w:sz w:val="16"/>
      <w:szCs w:val="16"/>
    </w:rPr>
  </w:style>
  <w:style w:type="character" w:styleId="CommentReference">
    <w:name w:val="annotation reference"/>
    <w:basedOn w:val="DefaultParagraphFont"/>
    <w:semiHidden/>
    <w:rsid w:val="006A2312"/>
    <w:rPr>
      <w:sz w:val="16"/>
      <w:szCs w:val="16"/>
    </w:rPr>
  </w:style>
  <w:style w:type="paragraph" w:styleId="CommentSubject">
    <w:name w:val="annotation subject"/>
    <w:basedOn w:val="CommentText"/>
    <w:next w:val="CommentText"/>
    <w:semiHidden/>
    <w:rsid w:val="006A2312"/>
    <w:rPr>
      <w:b/>
      <w:bCs/>
    </w:rPr>
  </w:style>
  <w:style w:type="paragraph" w:styleId="FootnoteText">
    <w:name w:val="footnote text"/>
    <w:basedOn w:val="Normal"/>
    <w:semiHidden/>
    <w:rsid w:val="00387CE0"/>
    <w:rPr>
      <w:sz w:val="20"/>
    </w:rPr>
  </w:style>
  <w:style w:type="character" w:styleId="FootnoteReference">
    <w:name w:val="footnote reference"/>
    <w:basedOn w:val="DefaultParagraphFont"/>
    <w:semiHidden/>
    <w:rsid w:val="00387CE0"/>
    <w:rPr>
      <w:vertAlign w:val="superscript"/>
    </w:rPr>
  </w:style>
  <w:style w:type="paragraph" w:styleId="Header">
    <w:name w:val="header"/>
    <w:basedOn w:val="Normal"/>
    <w:rsid w:val="005745FB"/>
    <w:pPr>
      <w:tabs>
        <w:tab w:val="center" w:pos="4536"/>
        <w:tab w:val="right" w:pos="9072"/>
      </w:tabs>
    </w:pPr>
  </w:style>
  <w:style w:type="paragraph" w:styleId="BodyText2">
    <w:name w:val="Body Text 2"/>
    <w:basedOn w:val="Normal"/>
    <w:rsid w:val="005745FB"/>
    <w:rPr>
      <w:rFonts w:eastAsia="Times New Roman" w:cs="Arial"/>
      <w:szCs w:val="24"/>
    </w:rPr>
  </w:style>
  <w:style w:type="paragraph" w:styleId="ListParagraph">
    <w:name w:val="List Paragraph"/>
    <w:basedOn w:val="Normal"/>
    <w:qFormat/>
    <w:rsid w:val="00C936C4"/>
    <w:pPr>
      <w:ind w:left="720"/>
    </w:pPr>
    <w:rPr>
      <w:rFonts w:eastAsia="Times New Roman"/>
      <w:sz w:val="24"/>
      <w:szCs w:val="24"/>
      <w:lang w:val="en-US"/>
    </w:rPr>
  </w:style>
  <w:style w:type="character" w:customStyle="1" w:styleId="st">
    <w:name w:val="st"/>
    <w:rsid w:val="00E220C9"/>
  </w:style>
  <w:style w:type="character" w:styleId="Emphasis">
    <w:name w:val="Emphasis"/>
    <w:basedOn w:val="DefaultParagraphFont"/>
    <w:qFormat/>
    <w:rsid w:val="001D3E9B"/>
    <w:rPr>
      <w:i/>
      <w:iCs/>
    </w:rPr>
  </w:style>
  <w:style w:type="character" w:customStyle="1" w:styleId="FooterChar">
    <w:name w:val="Footer Char"/>
    <w:basedOn w:val="DefaultParagraphFont"/>
    <w:link w:val="Footer"/>
    <w:uiPriority w:val="99"/>
    <w:rsid w:val="00D02DAC"/>
    <w:rPr>
      <w:rFonts w:ascii="Times New Roman" w:hAnsi="Times New Roman"/>
      <w:sz w:val="22"/>
    </w:rPr>
  </w:style>
  <w:style w:type="paragraph" w:customStyle="1" w:styleId="Default">
    <w:name w:val="Default"/>
    <w:rsid w:val="00F30CF0"/>
    <w:pPr>
      <w:autoSpaceDE w:val="0"/>
      <w:autoSpaceDN w:val="0"/>
      <w:adjustRightInd w:val="0"/>
    </w:pPr>
    <w:rPr>
      <w:rFonts w:ascii="Times New Roman" w:hAnsi="Times New Roman"/>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39</Pages>
  <Words>23764</Words>
  <Characters>124426</Characters>
  <Application>Microsoft Office Word</Application>
  <DocSecurity>0</DocSecurity>
  <Lines>1036</Lines>
  <Paragraphs>295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 item 1 Opening</vt:lpstr>
      <vt:lpstr>Agenda item 1 Opening</vt:lpstr>
    </vt:vector>
  </TitlesOfParts>
  <Company>DJEnvironmental</Company>
  <LinksUpToDate>false</LinksUpToDate>
  <CharactersWithSpaces>147895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 Opening</dc:title>
  <dc:creator>Tim Jones</dc:creator>
  <cp:lastModifiedBy>Jolanta Kremer (UNEP/AEWA Secretariat)</cp:lastModifiedBy>
  <cp:revision>7</cp:revision>
  <cp:lastPrinted>2008-11-26T11:00:00Z</cp:lastPrinted>
  <dcterms:created xsi:type="dcterms:W3CDTF">2012-11-20T11:52:00Z</dcterms:created>
  <dcterms:modified xsi:type="dcterms:W3CDTF">2012-11-22T11:48:00Z</dcterms:modified>
</cp:coreProperties>
</file>