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6789" w14:textId="77777777" w:rsidR="007E4430" w:rsidRDefault="007E4430" w:rsidP="007D21B2">
      <w:pPr>
        <w:pStyle w:val="Heading1"/>
        <w:keepLines w:val="0"/>
        <w:spacing w:before="0" w:line="360" w:lineRule="auto"/>
        <w:rPr>
          <w:color w:val="auto"/>
          <w:sz w:val="28"/>
          <w:szCs w:val="28"/>
        </w:rPr>
      </w:pPr>
    </w:p>
    <w:p w14:paraId="71095298" w14:textId="1EDFFEC6" w:rsidR="007E4430" w:rsidRDefault="007D21B2" w:rsidP="007D21B2">
      <w:pPr>
        <w:pBdr>
          <w:left w:val="none" w:sz="0" w:space="4" w:color="auto"/>
        </w:pBdr>
        <w:ind w:left="360"/>
        <w:jc w:val="center"/>
        <w:rPr>
          <w:b/>
          <w:bCs/>
          <w:kern w:val="36"/>
        </w:rPr>
      </w:pPr>
      <w:r w:rsidRPr="007D21B2">
        <w:rPr>
          <w:b/>
          <w:bCs/>
          <w:kern w:val="36"/>
        </w:rPr>
        <w:t>DRAFT TERMS OF REFERENCE ON A RAPID ASSESSMENT OF SUSTAINABILITY OF HARVEST OF AEWA WATERBIRD POPULATIONS</w:t>
      </w:r>
    </w:p>
    <w:p w14:paraId="123DB358" w14:textId="64160066" w:rsidR="007D21B2" w:rsidRDefault="007D21B2" w:rsidP="007D21B2">
      <w:pPr>
        <w:pBdr>
          <w:left w:val="none" w:sz="0" w:space="4" w:color="auto"/>
        </w:pBdr>
        <w:ind w:left="360"/>
        <w:jc w:val="center"/>
        <w:rPr>
          <w:b/>
          <w:bCs/>
          <w:kern w:val="36"/>
        </w:rPr>
      </w:pPr>
    </w:p>
    <w:p w14:paraId="3B1A2332" w14:textId="77777777" w:rsidR="007D21B2" w:rsidRPr="007D21B2" w:rsidRDefault="007D21B2" w:rsidP="007D21B2">
      <w:pPr>
        <w:pBdr>
          <w:left w:val="none" w:sz="0" w:space="4" w:color="auto"/>
        </w:pBdr>
        <w:ind w:left="360"/>
        <w:jc w:val="center"/>
        <w:rPr>
          <w:b/>
          <w:bCs/>
          <w:sz w:val="22"/>
          <w:szCs w:val="22"/>
        </w:rPr>
      </w:pPr>
    </w:p>
    <w:p w14:paraId="3E76F1B5" w14:textId="327FEF3A" w:rsidR="00F55446" w:rsidRDefault="00FB082B">
      <w:pPr>
        <w:numPr>
          <w:ilvl w:val="0"/>
          <w:numId w:val="1"/>
        </w:numPr>
        <w:pBdr>
          <w:left w:val="none" w:sz="0" w:space="4" w:color="auto"/>
        </w:pBdr>
        <w:ind w:left="360"/>
        <w:rPr>
          <w:b/>
          <w:bCs/>
        </w:rPr>
      </w:pPr>
      <w:r>
        <w:rPr>
          <w:b/>
          <w:bCs/>
        </w:rPr>
        <w:t>Project title</w:t>
      </w:r>
    </w:p>
    <w:p w14:paraId="74239041" w14:textId="77777777" w:rsidR="00F55446" w:rsidRDefault="00F55446">
      <w:pPr>
        <w:jc w:val="left"/>
        <w:rPr>
          <w:b/>
          <w:bCs/>
        </w:rPr>
      </w:pPr>
    </w:p>
    <w:p w14:paraId="13621636" w14:textId="77777777" w:rsidR="00F55446" w:rsidRDefault="00FB082B">
      <w:r w:rsidRPr="007D21B2">
        <w:rPr>
          <w:b/>
          <w:bCs/>
          <w:sz w:val="22"/>
          <w:szCs w:val="22"/>
        </w:rPr>
        <w:t>Undertaking</w:t>
      </w:r>
      <w:r w:rsidRPr="007D21B2">
        <w:rPr>
          <w:b/>
          <w:bCs/>
          <w:spacing w:val="-9"/>
          <w:sz w:val="22"/>
          <w:szCs w:val="22"/>
        </w:rPr>
        <w:t xml:space="preserve"> </w:t>
      </w:r>
      <w:r w:rsidRPr="007D21B2">
        <w:rPr>
          <w:b/>
          <w:bCs/>
          <w:sz w:val="22"/>
          <w:szCs w:val="22"/>
        </w:rPr>
        <w:t>a</w:t>
      </w:r>
      <w:r w:rsidRPr="007D21B2">
        <w:rPr>
          <w:b/>
          <w:bCs/>
          <w:spacing w:val="-11"/>
          <w:sz w:val="22"/>
          <w:szCs w:val="22"/>
        </w:rPr>
        <w:t xml:space="preserve"> </w:t>
      </w:r>
      <w:r w:rsidRPr="007D21B2">
        <w:rPr>
          <w:b/>
          <w:bCs/>
          <w:sz w:val="22"/>
          <w:szCs w:val="22"/>
        </w:rPr>
        <w:t>Rapid</w:t>
      </w:r>
      <w:r w:rsidRPr="007D21B2">
        <w:rPr>
          <w:b/>
          <w:bCs/>
          <w:spacing w:val="-10"/>
          <w:sz w:val="22"/>
          <w:szCs w:val="22"/>
        </w:rPr>
        <w:t xml:space="preserve"> </w:t>
      </w:r>
      <w:r w:rsidRPr="007D21B2">
        <w:rPr>
          <w:b/>
          <w:bCs/>
          <w:sz w:val="22"/>
          <w:szCs w:val="22"/>
        </w:rPr>
        <w:t>Assessment</w:t>
      </w:r>
      <w:r w:rsidRPr="007D21B2">
        <w:rPr>
          <w:b/>
          <w:bCs/>
          <w:spacing w:val="-10"/>
          <w:sz w:val="22"/>
          <w:szCs w:val="22"/>
        </w:rPr>
        <w:t xml:space="preserve"> </w:t>
      </w:r>
      <w:r w:rsidRPr="007D21B2">
        <w:rPr>
          <w:b/>
          <w:bCs/>
          <w:sz w:val="22"/>
          <w:szCs w:val="22"/>
        </w:rPr>
        <w:t>of</w:t>
      </w:r>
      <w:r w:rsidRPr="007D21B2">
        <w:rPr>
          <w:b/>
          <w:bCs/>
          <w:spacing w:val="-8"/>
          <w:sz w:val="22"/>
          <w:szCs w:val="22"/>
        </w:rPr>
        <w:t xml:space="preserve"> </w:t>
      </w:r>
      <w:r w:rsidRPr="007D21B2">
        <w:rPr>
          <w:b/>
          <w:bCs/>
          <w:sz w:val="22"/>
          <w:szCs w:val="22"/>
        </w:rPr>
        <w:t>Sustainability</w:t>
      </w:r>
      <w:r w:rsidRPr="007D21B2">
        <w:rPr>
          <w:b/>
          <w:bCs/>
          <w:spacing w:val="-10"/>
          <w:sz w:val="22"/>
          <w:szCs w:val="22"/>
        </w:rPr>
        <w:t xml:space="preserve"> </w:t>
      </w:r>
      <w:r w:rsidRPr="007D21B2">
        <w:rPr>
          <w:b/>
          <w:bCs/>
          <w:sz w:val="22"/>
          <w:szCs w:val="22"/>
        </w:rPr>
        <w:t>of</w:t>
      </w:r>
      <w:r w:rsidRPr="007D21B2">
        <w:rPr>
          <w:b/>
          <w:bCs/>
          <w:spacing w:val="-9"/>
          <w:sz w:val="22"/>
          <w:szCs w:val="22"/>
        </w:rPr>
        <w:t xml:space="preserve"> </w:t>
      </w:r>
      <w:r w:rsidRPr="007D21B2">
        <w:rPr>
          <w:b/>
          <w:bCs/>
          <w:sz w:val="22"/>
          <w:szCs w:val="22"/>
        </w:rPr>
        <w:t>Harvest</w:t>
      </w:r>
      <w:r w:rsidRPr="007D21B2">
        <w:rPr>
          <w:b/>
          <w:bCs/>
          <w:spacing w:val="-9"/>
          <w:sz w:val="22"/>
          <w:szCs w:val="22"/>
        </w:rPr>
        <w:t xml:space="preserve"> </w:t>
      </w:r>
      <w:r w:rsidRPr="007D21B2">
        <w:rPr>
          <w:b/>
          <w:bCs/>
          <w:sz w:val="22"/>
          <w:szCs w:val="22"/>
        </w:rPr>
        <w:t>of</w:t>
      </w:r>
      <w:r w:rsidRPr="007D21B2">
        <w:rPr>
          <w:b/>
          <w:bCs/>
          <w:spacing w:val="-11"/>
          <w:sz w:val="22"/>
          <w:szCs w:val="22"/>
        </w:rPr>
        <w:t xml:space="preserve"> </w:t>
      </w:r>
      <w:r w:rsidRPr="007D21B2">
        <w:rPr>
          <w:b/>
          <w:bCs/>
          <w:sz w:val="22"/>
          <w:szCs w:val="22"/>
        </w:rPr>
        <w:t>AEWA Waterbird</w:t>
      </w:r>
      <w:r w:rsidRPr="007D21B2">
        <w:rPr>
          <w:b/>
          <w:bCs/>
          <w:spacing w:val="-4"/>
          <w:sz w:val="22"/>
          <w:szCs w:val="22"/>
        </w:rPr>
        <w:t xml:space="preserve"> </w:t>
      </w:r>
      <w:r w:rsidRPr="007D21B2">
        <w:rPr>
          <w:b/>
          <w:bCs/>
          <w:sz w:val="22"/>
          <w:szCs w:val="22"/>
        </w:rPr>
        <w:t>Populations</w:t>
      </w:r>
    </w:p>
    <w:p w14:paraId="34FACE30" w14:textId="77777777" w:rsidR="00F55446" w:rsidRDefault="00F55446"/>
    <w:p w14:paraId="14C4E699" w14:textId="77777777" w:rsidR="00F55446" w:rsidRDefault="00FB082B">
      <w:pPr>
        <w:numPr>
          <w:ilvl w:val="0"/>
          <w:numId w:val="2"/>
        </w:numPr>
        <w:pBdr>
          <w:left w:val="none" w:sz="0" w:space="4" w:color="auto"/>
        </w:pBdr>
        <w:ind w:left="360"/>
        <w:rPr>
          <w:b/>
          <w:bCs/>
        </w:rPr>
      </w:pPr>
      <w:r>
        <w:rPr>
          <w:b/>
          <w:bCs/>
        </w:rPr>
        <w:t>Background</w:t>
      </w:r>
    </w:p>
    <w:p w14:paraId="60CF4948" w14:textId="77777777" w:rsidR="00F55446" w:rsidRDefault="00F55446">
      <w:pPr>
        <w:rPr>
          <w:b/>
          <w:bCs/>
        </w:rPr>
      </w:pPr>
    </w:p>
    <w:p w14:paraId="0B3B36DC" w14:textId="77777777" w:rsidR="00F55446" w:rsidRPr="007D21B2" w:rsidRDefault="00FB082B">
      <w:pPr>
        <w:rPr>
          <w:sz w:val="22"/>
          <w:szCs w:val="22"/>
        </w:rPr>
      </w:pPr>
      <w:r w:rsidRPr="007D21B2">
        <w:rPr>
          <w:sz w:val="22"/>
          <w:szCs w:val="22"/>
        </w:rPr>
        <w:t xml:space="preserve">According to the AEWA Strategic Plan 2019-2017 (Target 2.4), adaptive harvest management regimes should be in place and effectively implemented at a flyway level in accordance with Species Action or Management Plans for all </w:t>
      </w:r>
      <w:proofErr w:type="spellStart"/>
      <w:r w:rsidRPr="007D21B2">
        <w:rPr>
          <w:sz w:val="22"/>
          <w:szCs w:val="22"/>
        </w:rPr>
        <w:t>prioritised</w:t>
      </w:r>
      <w:proofErr w:type="spellEnd"/>
      <w:r w:rsidRPr="007D21B2">
        <w:rPr>
          <w:sz w:val="22"/>
          <w:szCs w:val="22"/>
        </w:rPr>
        <w:t xml:space="preserve"> declining quarry populations and ‘conflict’ species</w:t>
      </w:r>
      <w:r w:rsidR="00991821" w:rsidRPr="007D21B2">
        <w:rPr>
          <w:rStyle w:val="FootnoteReference"/>
          <w:sz w:val="22"/>
          <w:szCs w:val="22"/>
        </w:rPr>
        <w:footnoteReference w:id="1"/>
      </w:r>
      <w:r w:rsidRPr="007D21B2">
        <w:rPr>
          <w:sz w:val="22"/>
          <w:szCs w:val="22"/>
        </w:rPr>
        <w:t>. As a first action to achieve this goal, a rapid assessment of sustainability of harvest of declining quarry populations in the AEWA Region shall be conducted by MOP9, to be used to identify priority species/populations for inclusion in adaptive harvest management processes coordinated at flyway-level.</w:t>
      </w:r>
      <w:r w:rsidR="000F1471" w:rsidRPr="007D21B2">
        <w:rPr>
          <w:sz w:val="22"/>
          <w:szCs w:val="22"/>
        </w:rPr>
        <w:t xml:space="preserve"> </w:t>
      </w:r>
    </w:p>
    <w:p w14:paraId="79B45861" w14:textId="73A36ADC" w:rsidR="00F55446" w:rsidRPr="007D21B2" w:rsidRDefault="00F55446">
      <w:pPr>
        <w:rPr>
          <w:sz w:val="22"/>
          <w:szCs w:val="22"/>
        </w:rPr>
      </w:pPr>
    </w:p>
    <w:p w14:paraId="54500D82" w14:textId="0993AD22" w:rsidR="00877232" w:rsidRPr="007D21B2" w:rsidRDefault="00877232" w:rsidP="00877232">
      <w:pPr>
        <w:autoSpaceDE w:val="0"/>
        <w:autoSpaceDN w:val="0"/>
        <w:adjustRightInd w:val="0"/>
        <w:rPr>
          <w:bCs/>
          <w:sz w:val="22"/>
          <w:szCs w:val="22"/>
        </w:rPr>
      </w:pPr>
      <w:r w:rsidRPr="007D21B2">
        <w:rPr>
          <w:sz w:val="22"/>
          <w:szCs w:val="22"/>
        </w:rPr>
        <w:t xml:space="preserve">This </w:t>
      </w:r>
      <w:r w:rsidR="00927A02" w:rsidRPr="007D21B2">
        <w:rPr>
          <w:sz w:val="22"/>
          <w:szCs w:val="22"/>
        </w:rPr>
        <w:t xml:space="preserve">project </w:t>
      </w:r>
      <w:r w:rsidRPr="007D21B2">
        <w:rPr>
          <w:sz w:val="22"/>
          <w:szCs w:val="22"/>
        </w:rPr>
        <w:t xml:space="preserve">is part of a suite of tasks mandated to the Technical Committee to provide an assessment of the status quo with waterbird harvesting methods, scale, management, </w:t>
      </w:r>
      <w:proofErr w:type="gramStart"/>
      <w:r w:rsidRPr="007D21B2">
        <w:rPr>
          <w:sz w:val="22"/>
          <w:szCs w:val="22"/>
        </w:rPr>
        <w:t>sustainability</w:t>
      </w:r>
      <w:proofErr w:type="gramEnd"/>
      <w:r w:rsidRPr="007D21B2">
        <w:rPr>
          <w:sz w:val="22"/>
          <w:szCs w:val="22"/>
        </w:rPr>
        <w:t xml:space="preserve"> and best practice. The outputs of these tasks will also provide a foundation for the continued enhancement of sustainable waterbird harvest management going forwards, for example through the provision of best practice guidance and tools for assessing and reporting national waterbird harvests. The other tasks are: </w:t>
      </w:r>
    </w:p>
    <w:p w14:paraId="1E23041A" w14:textId="77777777" w:rsidR="00877232" w:rsidRPr="007D21B2" w:rsidRDefault="00877232" w:rsidP="00877232">
      <w:pPr>
        <w:pStyle w:val="ListParagraph"/>
        <w:numPr>
          <w:ilvl w:val="0"/>
          <w:numId w:val="8"/>
        </w:numPr>
        <w:autoSpaceDE w:val="0"/>
        <w:autoSpaceDN w:val="0"/>
        <w:adjustRightInd w:val="0"/>
        <w:rPr>
          <w:bCs/>
          <w:sz w:val="22"/>
          <w:szCs w:val="22"/>
        </w:rPr>
      </w:pPr>
      <w:r w:rsidRPr="007D21B2">
        <w:rPr>
          <w:bCs/>
          <w:sz w:val="22"/>
          <w:szCs w:val="22"/>
        </w:rPr>
        <w:t xml:space="preserve">A review of the nature and extent of waterbird harvest and its socio-economic importance in the AEWA </w:t>
      </w:r>
      <w:proofErr w:type="gramStart"/>
      <w:r w:rsidRPr="007D21B2">
        <w:rPr>
          <w:bCs/>
          <w:sz w:val="22"/>
          <w:szCs w:val="22"/>
        </w:rPr>
        <w:t>Region;</w:t>
      </w:r>
      <w:proofErr w:type="gramEnd"/>
    </w:p>
    <w:p w14:paraId="4061250C" w14:textId="3CB8B708" w:rsidR="00877232" w:rsidRPr="007D21B2" w:rsidRDefault="009B30D7" w:rsidP="009B30D7">
      <w:pPr>
        <w:pStyle w:val="ListParagraph"/>
        <w:numPr>
          <w:ilvl w:val="0"/>
          <w:numId w:val="8"/>
        </w:numPr>
        <w:rPr>
          <w:sz w:val="22"/>
          <w:szCs w:val="22"/>
        </w:rPr>
      </w:pPr>
      <w:r w:rsidRPr="007D21B2">
        <w:rPr>
          <w:sz w:val="22"/>
          <w:szCs w:val="22"/>
        </w:rPr>
        <w:t>Developing Guidance on Methods and Tools for Waterbird Harvest Data Collection.</w:t>
      </w:r>
    </w:p>
    <w:p w14:paraId="5F477B3F" w14:textId="77777777" w:rsidR="00877232" w:rsidRDefault="00877232"/>
    <w:p w14:paraId="16AF85DD" w14:textId="32E99CB1" w:rsidR="00F55446" w:rsidRDefault="00FB082B" w:rsidP="00FD4AF1">
      <w:pPr>
        <w:numPr>
          <w:ilvl w:val="0"/>
          <w:numId w:val="3"/>
        </w:numPr>
        <w:pBdr>
          <w:left w:val="none" w:sz="0" w:space="4" w:color="auto"/>
        </w:pBdr>
        <w:ind w:left="360"/>
        <w:rPr>
          <w:b/>
          <w:bCs/>
        </w:rPr>
      </w:pPr>
      <w:r>
        <w:rPr>
          <w:b/>
          <w:bCs/>
        </w:rPr>
        <w:t>Duties of the contractor</w:t>
      </w:r>
    </w:p>
    <w:p w14:paraId="66AF363D" w14:textId="77777777" w:rsidR="00F55446" w:rsidRDefault="00F55446" w:rsidP="00FD4AF1">
      <w:pPr>
        <w:ind w:left="360"/>
        <w:rPr>
          <w:b/>
          <w:bCs/>
        </w:rPr>
      </w:pPr>
    </w:p>
    <w:p w14:paraId="6AC0C2E2" w14:textId="60D52A06" w:rsidR="00F55446" w:rsidRPr="007D21B2" w:rsidRDefault="00FB082B" w:rsidP="007D21B2">
      <w:pPr>
        <w:rPr>
          <w:sz w:val="22"/>
          <w:szCs w:val="22"/>
        </w:rPr>
      </w:pPr>
      <w:r w:rsidRPr="007D21B2">
        <w:rPr>
          <w:sz w:val="22"/>
          <w:szCs w:val="22"/>
        </w:rPr>
        <w:t>The contractor shall undertake</w:t>
      </w:r>
      <w:r w:rsidR="00952913" w:rsidRPr="007D21B2">
        <w:rPr>
          <w:sz w:val="22"/>
          <w:szCs w:val="22"/>
        </w:rPr>
        <w:t xml:space="preserve"> in consultation with the AEWA Technical Committee</w:t>
      </w:r>
      <w:r w:rsidRPr="007D21B2">
        <w:rPr>
          <w:sz w:val="22"/>
          <w:szCs w:val="22"/>
        </w:rPr>
        <w:t xml:space="preserve"> a rapid assessment of sustainability of harvest of declining quarry populations in the AEWA Region. The task is composed of the following modules:</w:t>
      </w:r>
    </w:p>
    <w:p w14:paraId="00015A8E" w14:textId="77777777" w:rsidR="00F55446" w:rsidRPr="007D21B2" w:rsidRDefault="00F55446" w:rsidP="007D21B2">
      <w:pPr>
        <w:rPr>
          <w:sz w:val="22"/>
          <w:szCs w:val="22"/>
        </w:rPr>
      </w:pPr>
    </w:p>
    <w:p w14:paraId="4EFBB621" w14:textId="04BAE05F" w:rsidR="00F55446" w:rsidRPr="007D21B2" w:rsidRDefault="00FB082B" w:rsidP="007D21B2">
      <w:pPr>
        <w:numPr>
          <w:ilvl w:val="0"/>
          <w:numId w:val="4"/>
        </w:numPr>
        <w:pBdr>
          <w:left w:val="none" w:sz="0" w:space="4" w:color="auto"/>
        </w:pBdr>
        <w:spacing w:line="259" w:lineRule="auto"/>
        <w:rPr>
          <w:color w:val="000000" w:themeColor="text1"/>
          <w:sz w:val="22"/>
          <w:szCs w:val="22"/>
        </w:rPr>
      </w:pPr>
      <w:r w:rsidRPr="007D21B2">
        <w:rPr>
          <w:color w:val="000000" w:themeColor="text1"/>
          <w:sz w:val="22"/>
          <w:szCs w:val="22"/>
        </w:rPr>
        <w:t xml:space="preserve">For each waterbird population </w:t>
      </w:r>
      <w:r w:rsidR="00952913" w:rsidRPr="007D21B2">
        <w:rPr>
          <w:color w:val="000000" w:themeColor="text1"/>
          <w:sz w:val="22"/>
          <w:szCs w:val="22"/>
        </w:rPr>
        <w:t xml:space="preserve">listed on AEWA Annex 3 Table 1 Columns A or B that has been </w:t>
      </w:r>
      <w:proofErr w:type="spellStart"/>
      <w:r w:rsidR="00991821" w:rsidRPr="007D21B2">
        <w:rPr>
          <w:color w:val="000000" w:themeColor="text1"/>
          <w:sz w:val="22"/>
          <w:szCs w:val="22"/>
        </w:rPr>
        <w:t>prioriti</w:t>
      </w:r>
      <w:r w:rsidR="007D21B2">
        <w:rPr>
          <w:color w:val="000000" w:themeColor="text1"/>
          <w:sz w:val="22"/>
          <w:szCs w:val="22"/>
        </w:rPr>
        <w:t>s</w:t>
      </w:r>
      <w:r w:rsidR="00991821" w:rsidRPr="007D21B2">
        <w:rPr>
          <w:color w:val="000000" w:themeColor="text1"/>
          <w:sz w:val="22"/>
          <w:szCs w:val="22"/>
        </w:rPr>
        <w:t>ed</w:t>
      </w:r>
      <w:proofErr w:type="spellEnd"/>
      <w:r w:rsidR="00991821" w:rsidRPr="007D21B2">
        <w:rPr>
          <w:color w:val="000000" w:themeColor="text1"/>
          <w:sz w:val="22"/>
          <w:szCs w:val="22"/>
        </w:rPr>
        <w:t xml:space="preserve"> by </w:t>
      </w:r>
      <w:r w:rsidR="00952913" w:rsidRPr="007D21B2">
        <w:rPr>
          <w:color w:val="000000" w:themeColor="text1"/>
          <w:sz w:val="22"/>
          <w:szCs w:val="22"/>
        </w:rPr>
        <w:t xml:space="preserve">the Technical Committee, </w:t>
      </w:r>
      <w:r w:rsidR="00991821" w:rsidRPr="007D21B2">
        <w:rPr>
          <w:color w:val="000000" w:themeColor="text1"/>
          <w:sz w:val="22"/>
          <w:szCs w:val="22"/>
        </w:rPr>
        <w:t>compile</w:t>
      </w:r>
      <w:r w:rsidRPr="007D21B2">
        <w:rPr>
          <w:color w:val="000000" w:themeColor="text1"/>
          <w:sz w:val="22"/>
          <w:szCs w:val="22"/>
        </w:rPr>
        <w:t xml:space="preserve"> existing knowledge and uncertainties</w:t>
      </w:r>
      <w:r w:rsidR="002037CA" w:rsidRPr="007D21B2">
        <w:rPr>
          <w:color w:val="000000" w:themeColor="text1"/>
          <w:sz w:val="22"/>
          <w:szCs w:val="22"/>
        </w:rPr>
        <w:t>,</w:t>
      </w:r>
      <w:r w:rsidRPr="007D21B2">
        <w:rPr>
          <w:color w:val="000000" w:themeColor="text1"/>
          <w:sz w:val="22"/>
          <w:szCs w:val="22"/>
        </w:rPr>
        <w:t xml:space="preserve"> </w:t>
      </w:r>
      <w:r w:rsidR="002037CA" w:rsidRPr="007D21B2">
        <w:rPr>
          <w:color w:val="000000" w:themeColor="text1"/>
          <w:sz w:val="22"/>
          <w:szCs w:val="22"/>
        </w:rPr>
        <w:t xml:space="preserve">at flyway scale, </w:t>
      </w:r>
      <w:r w:rsidR="00236F51" w:rsidRPr="007D21B2">
        <w:rPr>
          <w:color w:val="000000" w:themeColor="text1"/>
          <w:sz w:val="22"/>
          <w:szCs w:val="22"/>
        </w:rPr>
        <w:t xml:space="preserve">population sizes, </w:t>
      </w:r>
      <w:r w:rsidRPr="007D21B2">
        <w:rPr>
          <w:color w:val="000000" w:themeColor="text1"/>
          <w:sz w:val="22"/>
          <w:szCs w:val="22"/>
        </w:rPr>
        <w:t xml:space="preserve">demography (or species-specific traits), </w:t>
      </w:r>
      <w:r w:rsidR="002037CA" w:rsidRPr="007D21B2">
        <w:rPr>
          <w:color w:val="000000" w:themeColor="text1"/>
          <w:sz w:val="22"/>
          <w:szCs w:val="22"/>
        </w:rPr>
        <w:t xml:space="preserve">and at scale of range states, </w:t>
      </w:r>
      <w:r w:rsidRPr="007D21B2">
        <w:rPr>
          <w:color w:val="000000" w:themeColor="text1"/>
          <w:sz w:val="22"/>
          <w:szCs w:val="22"/>
        </w:rPr>
        <w:t>legal harvest (any legal taking, including derogation</w:t>
      </w:r>
      <w:r w:rsidR="00775715" w:rsidRPr="007D21B2">
        <w:rPr>
          <w:color w:val="000000" w:themeColor="text1"/>
          <w:sz w:val="22"/>
          <w:szCs w:val="22"/>
        </w:rPr>
        <w:t xml:space="preserve"> and unretrieved harvest, such as crippling loss</w:t>
      </w:r>
      <w:r w:rsidRPr="007D21B2">
        <w:rPr>
          <w:color w:val="000000" w:themeColor="text1"/>
          <w:sz w:val="22"/>
          <w:szCs w:val="22"/>
        </w:rPr>
        <w:t xml:space="preserve">), anthropogenic </w:t>
      </w:r>
      <w:r w:rsidR="006739CB" w:rsidRPr="007D21B2">
        <w:rPr>
          <w:color w:val="000000" w:themeColor="text1"/>
          <w:sz w:val="22"/>
          <w:szCs w:val="22"/>
        </w:rPr>
        <w:t>pressures</w:t>
      </w:r>
      <w:r w:rsidRPr="007D21B2">
        <w:rPr>
          <w:color w:val="000000" w:themeColor="text1"/>
          <w:sz w:val="22"/>
          <w:szCs w:val="22"/>
        </w:rPr>
        <w:t xml:space="preserve"> other than legal harvest </w:t>
      </w:r>
      <w:r w:rsidR="00775715" w:rsidRPr="007D21B2">
        <w:rPr>
          <w:color w:val="000000" w:themeColor="text1"/>
          <w:sz w:val="22"/>
          <w:szCs w:val="22"/>
        </w:rPr>
        <w:t xml:space="preserve">causing additional mortality or reduced reproduction </w:t>
      </w:r>
      <w:r w:rsidRPr="007D21B2">
        <w:rPr>
          <w:color w:val="000000" w:themeColor="text1"/>
          <w:sz w:val="22"/>
          <w:szCs w:val="22"/>
        </w:rPr>
        <w:t>(including illegal killing);</w:t>
      </w:r>
    </w:p>
    <w:p w14:paraId="2986E0D7" w14:textId="3BC5B298" w:rsidR="00991821" w:rsidRPr="007D21B2" w:rsidRDefault="00CC0D69" w:rsidP="007D21B2">
      <w:pPr>
        <w:numPr>
          <w:ilvl w:val="0"/>
          <w:numId w:val="4"/>
        </w:numPr>
        <w:pBdr>
          <w:left w:val="none" w:sz="0" w:space="4" w:color="auto"/>
        </w:pBdr>
        <w:spacing w:line="259" w:lineRule="auto"/>
        <w:rPr>
          <w:sz w:val="22"/>
          <w:szCs w:val="22"/>
        </w:rPr>
      </w:pPr>
      <w:r w:rsidRPr="007D21B2">
        <w:rPr>
          <w:sz w:val="22"/>
          <w:szCs w:val="22"/>
        </w:rPr>
        <w:t xml:space="preserve">For each priority population, </w:t>
      </w:r>
      <w:r w:rsidR="005B7B48" w:rsidRPr="007D21B2">
        <w:rPr>
          <w:sz w:val="22"/>
          <w:szCs w:val="22"/>
        </w:rPr>
        <w:t>estimate</w:t>
      </w:r>
      <w:r w:rsidR="0010504C" w:rsidRPr="007D21B2">
        <w:rPr>
          <w:sz w:val="22"/>
          <w:szCs w:val="22"/>
        </w:rPr>
        <w:t xml:space="preserve"> the </w:t>
      </w:r>
      <w:r w:rsidR="005B7B48" w:rsidRPr="007D21B2">
        <w:rPr>
          <w:sz w:val="22"/>
          <w:szCs w:val="22"/>
        </w:rPr>
        <w:t>probability</w:t>
      </w:r>
      <w:r w:rsidR="0010504C" w:rsidRPr="007D21B2">
        <w:rPr>
          <w:sz w:val="22"/>
          <w:szCs w:val="22"/>
        </w:rPr>
        <w:t xml:space="preserve"> that current harvest exceeds the maximum </w:t>
      </w:r>
      <w:r w:rsidR="005B7B48" w:rsidRPr="007D21B2">
        <w:rPr>
          <w:sz w:val="22"/>
          <w:szCs w:val="22"/>
        </w:rPr>
        <w:t>sustainable yield</w:t>
      </w:r>
      <w:r w:rsidR="0010504C" w:rsidRPr="007D21B2">
        <w:rPr>
          <w:sz w:val="22"/>
          <w:szCs w:val="22"/>
        </w:rPr>
        <w:t xml:space="preserve"> of the species at the current population size (i.e., </w:t>
      </w:r>
      <w:r w:rsidRPr="007D21B2">
        <w:rPr>
          <w:sz w:val="22"/>
          <w:szCs w:val="22"/>
        </w:rPr>
        <w:t xml:space="preserve">in general, </w:t>
      </w:r>
      <w:r w:rsidR="0010504C" w:rsidRPr="007D21B2">
        <w:rPr>
          <w:sz w:val="22"/>
          <w:szCs w:val="22"/>
        </w:rPr>
        <w:t xml:space="preserve">approximately one-half </w:t>
      </w:r>
      <w:r w:rsidR="005B7B48" w:rsidRPr="007D21B2">
        <w:rPr>
          <w:sz w:val="22"/>
          <w:szCs w:val="22"/>
        </w:rPr>
        <w:t xml:space="preserve">of (1 minus </w:t>
      </w:r>
      <w:r w:rsidR="0010504C" w:rsidRPr="007D21B2">
        <w:rPr>
          <w:sz w:val="22"/>
          <w:szCs w:val="22"/>
        </w:rPr>
        <w:t xml:space="preserve">the </w:t>
      </w:r>
      <w:r w:rsidR="005B7B48" w:rsidRPr="007D21B2">
        <w:rPr>
          <w:sz w:val="22"/>
          <w:szCs w:val="22"/>
        </w:rPr>
        <w:t>maximum</w:t>
      </w:r>
      <w:r w:rsidR="0010504C" w:rsidRPr="007D21B2">
        <w:rPr>
          <w:sz w:val="22"/>
          <w:szCs w:val="22"/>
        </w:rPr>
        <w:t xml:space="preserve"> growth rate of the species</w:t>
      </w:r>
      <w:r w:rsidR="005B7B48" w:rsidRPr="007D21B2">
        <w:rPr>
          <w:sz w:val="22"/>
          <w:szCs w:val="22"/>
        </w:rPr>
        <w:t>)</w:t>
      </w:r>
      <w:r w:rsidR="0010504C" w:rsidRPr="007D21B2">
        <w:rPr>
          <w:sz w:val="22"/>
          <w:szCs w:val="22"/>
        </w:rPr>
        <w:t xml:space="preserve"> multiplied by the observed population size)</w:t>
      </w:r>
      <w:r w:rsidR="005B7B48" w:rsidRPr="007D21B2">
        <w:rPr>
          <w:rStyle w:val="FootnoteReference"/>
          <w:sz w:val="22"/>
          <w:szCs w:val="22"/>
        </w:rPr>
        <w:footnoteReference w:id="2"/>
      </w:r>
      <w:r w:rsidR="0010504C" w:rsidRPr="007D21B2">
        <w:rPr>
          <w:sz w:val="22"/>
          <w:szCs w:val="22"/>
        </w:rPr>
        <w:t>.</w:t>
      </w:r>
      <w:r w:rsidR="002037CA" w:rsidRPr="007D21B2">
        <w:rPr>
          <w:sz w:val="22"/>
          <w:szCs w:val="22"/>
        </w:rPr>
        <w:t xml:space="preserve"> </w:t>
      </w:r>
      <w:r w:rsidR="00C16ECD" w:rsidRPr="007D21B2">
        <w:rPr>
          <w:sz w:val="22"/>
          <w:szCs w:val="22"/>
        </w:rPr>
        <w:t xml:space="preserve">  </w:t>
      </w:r>
    </w:p>
    <w:p w14:paraId="366C5912" w14:textId="77777777" w:rsidR="00991821" w:rsidRPr="007D21B2" w:rsidRDefault="00991821" w:rsidP="007D21B2">
      <w:pPr>
        <w:numPr>
          <w:ilvl w:val="0"/>
          <w:numId w:val="4"/>
        </w:numPr>
        <w:pBdr>
          <w:left w:val="none" w:sz="0" w:space="4" w:color="auto"/>
        </w:pBdr>
        <w:spacing w:line="259" w:lineRule="auto"/>
        <w:rPr>
          <w:sz w:val="22"/>
          <w:szCs w:val="22"/>
        </w:rPr>
      </w:pPr>
      <w:r w:rsidRPr="007D21B2">
        <w:rPr>
          <w:sz w:val="22"/>
          <w:szCs w:val="22"/>
        </w:rPr>
        <w:lastRenderedPageBreak/>
        <w:t>Develop an indicative geographic and temporal map of exposure to harvest in the overall flyways used by populations with sufficient information, combining available data sources (bag statistics and recovery data from ringing schemes</w:t>
      </w:r>
      <w:proofErr w:type="gramStart"/>
      <w:r w:rsidRPr="007D21B2">
        <w:rPr>
          <w:sz w:val="22"/>
          <w:szCs w:val="22"/>
        </w:rPr>
        <w:t>);</w:t>
      </w:r>
      <w:proofErr w:type="gramEnd"/>
      <w:r w:rsidRPr="007D21B2">
        <w:rPr>
          <w:sz w:val="22"/>
          <w:szCs w:val="22"/>
        </w:rPr>
        <w:t xml:space="preserve"> </w:t>
      </w:r>
    </w:p>
    <w:p w14:paraId="75A1CD85" w14:textId="77777777" w:rsidR="00991821" w:rsidRPr="007D21B2" w:rsidRDefault="00991821" w:rsidP="007D21B2">
      <w:pPr>
        <w:numPr>
          <w:ilvl w:val="0"/>
          <w:numId w:val="4"/>
        </w:numPr>
        <w:pBdr>
          <w:left w:val="none" w:sz="0" w:space="4" w:color="auto"/>
        </w:pBdr>
        <w:spacing w:line="259" w:lineRule="auto"/>
        <w:rPr>
          <w:sz w:val="22"/>
          <w:szCs w:val="22"/>
        </w:rPr>
      </w:pPr>
      <w:r w:rsidRPr="007D21B2">
        <w:rPr>
          <w:sz w:val="22"/>
          <w:szCs w:val="22"/>
        </w:rPr>
        <w:t>Identify how and where to improve data collection to assess sustainability.</w:t>
      </w:r>
      <w:r w:rsidR="00FB082B" w:rsidRPr="007D21B2">
        <w:rPr>
          <w:sz w:val="12"/>
          <w:szCs w:val="12"/>
        </w:rPr>
        <w:t xml:space="preserve">  </w:t>
      </w:r>
    </w:p>
    <w:p w14:paraId="5B565A2E" w14:textId="77777777" w:rsidR="00991821" w:rsidRPr="007D21B2" w:rsidRDefault="00991821" w:rsidP="007D21B2">
      <w:pPr>
        <w:pBdr>
          <w:left w:val="none" w:sz="0" w:space="4" w:color="auto"/>
        </w:pBdr>
        <w:spacing w:line="259" w:lineRule="auto"/>
        <w:rPr>
          <w:sz w:val="22"/>
          <w:szCs w:val="22"/>
        </w:rPr>
      </w:pPr>
    </w:p>
    <w:p w14:paraId="1ACE8216" w14:textId="77777777" w:rsidR="00786034" w:rsidRPr="007D21B2" w:rsidRDefault="00991821" w:rsidP="007D21B2">
      <w:pPr>
        <w:pBdr>
          <w:left w:val="none" w:sz="0" w:space="4" w:color="auto"/>
        </w:pBdr>
        <w:spacing w:line="259" w:lineRule="auto"/>
        <w:rPr>
          <w:sz w:val="22"/>
          <w:szCs w:val="22"/>
        </w:rPr>
      </w:pPr>
      <w:r w:rsidRPr="007D21B2">
        <w:rPr>
          <w:sz w:val="22"/>
          <w:szCs w:val="22"/>
        </w:rPr>
        <w:t xml:space="preserve">It is anticipated that the contractor will draw on available species-specific literature and reports, databases as well as on the knowledge by the wide pool of waterbird harvest experts and, if needed, national authorities from different parts of the AEWA Region. </w:t>
      </w:r>
    </w:p>
    <w:p w14:paraId="7F6144A1" w14:textId="77777777" w:rsidR="00786034" w:rsidRPr="007D21B2" w:rsidRDefault="00786034" w:rsidP="007D21B2">
      <w:pPr>
        <w:pBdr>
          <w:left w:val="none" w:sz="0" w:space="4" w:color="auto"/>
        </w:pBdr>
        <w:spacing w:line="259" w:lineRule="auto"/>
        <w:rPr>
          <w:sz w:val="22"/>
          <w:szCs w:val="22"/>
        </w:rPr>
      </w:pPr>
    </w:p>
    <w:p w14:paraId="5192CEFF" w14:textId="77777777" w:rsidR="00F55446" w:rsidRPr="007D21B2" w:rsidRDefault="00786034" w:rsidP="007D21B2">
      <w:pPr>
        <w:pBdr>
          <w:left w:val="none" w:sz="0" w:space="4" w:color="auto"/>
        </w:pBdr>
        <w:spacing w:line="259" w:lineRule="auto"/>
        <w:rPr>
          <w:sz w:val="22"/>
          <w:szCs w:val="22"/>
        </w:rPr>
      </w:pPr>
      <w:r w:rsidRPr="007D21B2">
        <w:rPr>
          <w:sz w:val="22"/>
          <w:szCs w:val="22"/>
        </w:rPr>
        <w:t xml:space="preserve">The contractor shall ensure coordination with other similar assessment activities, for example under the EU Call </w:t>
      </w:r>
      <w:r w:rsidR="006042AB" w:rsidRPr="007D21B2">
        <w:rPr>
          <w:sz w:val="22"/>
          <w:szCs w:val="22"/>
        </w:rPr>
        <w:t>ENV/2022/OP/0015: Supporting the recovery of bird species of Annex II of the Birds Directive in non-secure conservation status.</w:t>
      </w:r>
      <w:r w:rsidR="006042AB" w:rsidRPr="007D21B2">
        <w:rPr>
          <w:color w:val="B5082E"/>
          <w:sz w:val="22"/>
          <w:szCs w:val="22"/>
        </w:rPr>
        <w:t xml:space="preserve"> </w:t>
      </w:r>
    </w:p>
    <w:p w14:paraId="081BE5E1" w14:textId="77777777" w:rsidR="00786034" w:rsidRPr="007D21B2" w:rsidRDefault="00786034" w:rsidP="007D21B2">
      <w:pPr>
        <w:pBdr>
          <w:left w:val="none" w:sz="0" w:space="4" w:color="auto"/>
        </w:pBdr>
        <w:spacing w:line="259" w:lineRule="auto"/>
        <w:rPr>
          <w:sz w:val="22"/>
          <w:szCs w:val="22"/>
        </w:rPr>
      </w:pPr>
    </w:p>
    <w:p w14:paraId="314EA907" w14:textId="77777777" w:rsidR="00786034" w:rsidRPr="007D21B2" w:rsidRDefault="00786034" w:rsidP="007D21B2">
      <w:pPr>
        <w:pBdr>
          <w:left w:val="none" w:sz="0" w:space="4" w:color="auto"/>
        </w:pBdr>
        <w:spacing w:after="160" w:line="259" w:lineRule="auto"/>
        <w:rPr>
          <w:sz w:val="22"/>
          <w:szCs w:val="22"/>
        </w:rPr>
      </w:pPr>
      <w:r w:rsidRPr="007D21B2">
        <w:rPr>
          <w:sz w:val="22"/>
          <w:szCs w:val="22"/>
        </w:rPr>
        <w:t>Deliverables will be:</w:t>
      </w:r>
    </w:p>
    <w:p w14:paraId="31B7458A" w14:textId="2927694D" w:rsidR="00786034" w:rsidRPr="007D21B2" w:rsidRDefault="002930E1" w:rsidP="007D21B2">
      <w:pPr>
        <w:pStyle w:val="ListParagraph"/>
        <w:pBdr>
          <w:left w:val="none" w:sz="0" w:space="4" w:color="auto"/>
        </w:pBdr>
        <w:spacing w:after="160" w:line="259" w:lineRule="auto"/>
        <w:ind w:left="714"/>
        <w:contextualSpacing w:val="0"/>
        <w:rPr>
          <w:sz w:val="22"/>
          <w:szCs w:val="22"/>
        </w:rPr>
      </w:pPr>
      <w:r w:rsidRPr="007D21B2">
        <w:rPr>
          <w:b/>
          <w:bCs/>
          <w:sz w:val="22"/>
          <w:szCs w:val="22"/>
        </w:rPr>
        <w:t>Module 1.</w:t>
      </w:r>
      <w:r w:rsidRPr="007D21B2">
        <w:rPr>
          <w:sz w:val="22"/>
          <w:szCs w:val="22"/>
        </w:rPr>
        <w:t xml:space="preserve">  </w:t>
      </w:r>
      <w:r w:rsidR="006042AB" w:rsidRPr="007D21B2">
        <w:rPr>
          <w:sz w:val="22"/>
          <w:szCs w:val="22"/>
        </w:rPr>
        <w:t>In a database format, a</w:t>
      </w:r>
      <w:r w:rsidR="00786034" w:rsidRPr="007D21B2">
        <w:rPr>
          <w:sz w:val="22"/>
          <w:szCs w:val="22"/>
        </w:rPr>
        <w:t xml:space="preserve">n overview of the status of each biogeographic waterbird population included, </w:t>
      </w:r>
      <w:r w:rsidR="002037CA" w:rsidRPr="007D21B2">
        <w:rPr>
          <w:i/>
          <w:sz w:val="22"/>
          <w:szCs w:val="22"/>
        </w:rPr>
        <w:t>at the flyway scale</w:t>
      </w:r>
      <w:r w:rsidR="002037CA" w:rsidRPr="007D21B2">
        <w:rPr>
          <w:sz w:val="22"/>
          <w:szCs w:val="22"/>
        </w:rPr>
        <w:t xml:space="preserve">: overall population size and available demographic information, </w:t>
      </w:r>
      <w:r w:rsidR="002037CA" w:rsidRPr="007D21B2">
        <w:rPr>
          <w:i/>
          <w:sz w:val="22"/>
          <w:szCs w:val="22"/>
        </w:rPr>
        <w:t>at the scale of range states</w:t>
      </w:r>
      <w:r w:rsidR="002037CA" w:rsidRPr="007D21B2">
        <w:rPr>
          <w:sz w:val="22"/>
          <w:szCs w:val="22"/>
        </w:rPr>
        <w:t xml:space="preserve">, </w:t>
      </w:r>
      <w:r w:rsidR="00786034" w:rsidRPr="007D21B2">
        <w:rPr>
          <w:sz w:val="22"/>
          <w:szCs w:val="22"/>
        </w:rPr>
        <w:t>hunting status, derogations, hunting bag</w:t>
      </w:r>
      <w:r w:rsidR="006042AB" w:rsidRPr="007D21B2">
        <w:rPr>
          <w:sz w:val="22"/>
          <w:szCs w:val="22"/>
        </w:rPr>
        <w:t>s</w:t>
      </w:r>
      <w:r w:rsidR="002037CA" w:rsidRPr="007D21B2">
        <w:rPr>
          <w:sz w:val="22"/>
          <w:szCs w:val="22"/>
        </w:rPr>
        <w:t>,</w:t>
      </w:r>
      <w:r w:rsidR="00786034" w:rsidRPr="007D21B2">
        <w:rPr>
          <w:sz w:val="22"/>
          <w:szCs w:val="22"/>
        </w:rPr>
        <w:t xml:space="preserve"> anthropogenic pressures other than harvest</w:t>
      </w:r>
      <w:r w:rsidR="002037CA" w:rsidRPr="007D21B2">
        <w:rPr>
          <w:sz w:val="22"/>
          <w:szCs w:val="22"/>
        </w:rPr>
        <w:t xml:space="preserve"> and data sources</w:t>
      </w:r>
      <w:r w:rsidR="00BE39BC" w:rsidRPr="007D21B2">
        <w:rPr>
          <w:sz w:val="22"/>
          <w:szCs w:val="22"/>
        </w:rPr>
        <w:t xml:space="preserve"> all with appropriate metadata as to uncertainties and sources</w:t>
      </w:r>
      <w:r w:rsidR="002037CA" w:rsidRPr="007D21B2">
        <w:rPr>
          <w:sz w:val="22"/>
          <w:szCs w:val="22"/>
        </w:rPr>
        <w:t>.</w:t>
      </w:r>
      <w:r w:rsidR="00BE39BC" w:rsidRPr="007D21B2">
        <w:rPr>
          <w:sz w:val="22"/>
          <w:szCs w:val="22"/>
        </w:rPr>
        <w:t xml:space="preserve">  A draft format will be agreed </w:t>
      </w:r>
      <w:r w:rsidRPr="007D21B2">
        <w:rPr>
          <w:sz w:val="22"/>
          <w:szCs w:val="22"/>
        </w:rPr>
        <w:t xml:space="preserve">after two months and </w:t>
      </w:r>
      <w:r w:rsidR="00BE39BC" w:rsidRPr="007D21B2">
        <w:rPr>
          <w:sz w:val="22"/>
          <w:szCs w:val="22"/>
        </w:rPr>
        <w:t xml:space="preserve">before data collection commences.  </w:t>
      </w:r>
      <w:r w:rsidR="002E70B8" w:rsidRPr="007D21B2">
        <w:rPr>
          <w:sz w:val="22"/>
          <w:szCs w:val="22"/>
        </w:rPr>
        <w:t>A</w:t>
      </w:r>
      <w:r w:rsidRPr="007D21B2">
        <w:rPr>
          <w:sz w:val="22"/>
          <w:szCs w:val="22"/>
        </w:rPr>
        <w:t xml:space="preserve"> draft interim database will be circulated for review </w:t>
      </w:r>
      <w:r w:rsidR="00CE1879" w:rsidRPr="007D21B2">
        <w:rPr>
          <w:sz w:val="22"/>
          <w:szCs w:val="22"/>
        </w:rPr>
        <w:t xml:space="preserve">to </w:t>
      </w:r>
      <w:r w:rsidRPr="007D21B2">
        <w:rPr>
          <w:sz w:val="22"/>
          <w:szCs w:val="22"/>
        </w:rPr>
        <w:t xml:space="preserve">the Technical Committee </w:t>
      </w:r>
      <w:r w:rsidR="00DD50F3" w:rsidRPr="007D21B2">
        <w:rPr>
          <w:sz w:val="22"/>
          <w:szCs w:val="22"/>
        </w:rPr>
        <w:t>Project Advisory</w:t>
      </w:r>
      <w:r w:rsidRPr="007D21B2">
        <w:rPr>
          <w:sz w:val="22"/>
          <w:szCs w:val="22"/>
        </w:rPr>
        <w:t xml:space="preserve"> Group (</w:t>
      </w:r>
      <w:r w:rsidR="0079162E" w:rsidRPr="007D21B2">
        <w:rPr>
          <w:sz w:val="22"/>
          <w:szCs w:val="22"/>
        </w:rPr>
        <w:t xml:space="preserve">see </w:t>
      </w:r>
      <w:r w:rsidRPr="007D21B2">
        <w:rPr>
          <w:sz w:val="22"/>
          <w:szCs w:val="22"/>
        </w:rPr>
        <w:t xml:space="preserve">below) after [12] months, and a </w:t>
      </w:r>
      <w:r w:rsidR="00DD50F3" w:rsidRPr="007D21B2">
        <w:rPr>
          <w:sz w:val="22"/>
          <w:szCs w:val="22"/>
        </w:rPr>
        <w:t xml:space="preserve">draft </w:t>
      </w:r>
      <w:r w:rsidRPr="007D21B2">
        <w:rPr>
          <w:sz w:val="22"/>
          <w:szCs w:val="22"/>
        </w:rPr>
        <w:t>final database after [18] months.</w:t>
      </w:r>
    </w:p>
    <w:p w14:paraId="5EF38A5C" w14:textId="3AD94C0D" w:rsidR="00786034" w:rsidRPr="007D21B2" w:rsidRDefault="002930E1" w:rsidP="007D21B2">
      <w:pPr>
        <w:pStyle w:val="ListParagraph"/>
        <w:pBdr>
          <w:left w:val="none" w:sz="0" w:space="4" w:color="auto"/>
        </w:pBdr>
        <w:spacing w:after="160" w:line="259" w:lineRule="auto"/>
        <w:ind w:left="714"/>
        <w:contextualSpacing w:val="0"/>
        <w:rPr>
          <w:sz w:val="22"/>
          <w:szCs w:val="22"/>
        </w:rPr>
      </w:pPr>
      <w:r w:rsidRPr="007D21B2">
        <w:rPr>
          <w:b/>
          <w:bCs/>
          <w:sz w:val="22"/>
          <w:szCs w:val="22"/>
        </w:rPr>
        <w:t>Modules 2 &amp; 3.</w:t>
      </w:r>
      <w:r w:rsidRPr="007D21B2">
        <w:rPr>
          <w:sz w:val="22"/>
          <w:szCs w:val="22"/>
        </w:rPr>
        <w:t xml:space="preserve">  </w:t>
      </w:r>
      <w:r w:rsidR="00786034" w:rsidRPr="007D21B2">
        <w:rPr>
          <w:sz w:val="22"/>
          <w:szCs w:val="22"/>
        </w:rPr>
        <w:t xml:space="preserve">A scientific report providing </w:t>
      </w:r>
      <w:r w:rsidR="005B7B48" w:rsidRPr="007D21B2">
        <w:rPr>
          <w:sz w:val="22"/>
          <w:szCs w:val="22"/>
        </w:rPr>
        <w:t>estimate</w:t>
      </w:r>
      <w:r w:rsidR="00B629AD" w:rsidRPr="007D21B2">
        <w:rPr>
          <w:sz w:val="22"/>
          <w:szCs w:val="22"/>
        </w:rPr>
        <w:t>s</w:t>
      </w:r>
      <w:r w:rsidR="005B7B48" w:rsidRPr="007D21B2">
        <w:rPr>
          <w:sz w:val="22"/>
          <w:szCs w:val="22"/>
        </w:rPr>
        <w:t xml:space="preserve"> of the probability that current harvest exceed</w:t>
      </w:r>
      <w:r w:rsidR="00B629AD" w:rsidRPr="007D21B2">
        <w:rPr>
          <w:sz w:val="22"/>
          <w:szCs w:val="22"/>
        </w:rPr>
        <w:t>s</w:t>
      </w:r>
      <w:r w:rsidR="005B7B48" w:rsidRPr="007D21B2">
        <w:rPr>
          <w:sz w:val="22"/>
          <w:szCs w:val="22"/>
        </w:rPr>
        <w:t xml:space="preserve"> the maximum sustainable yield</w:t>
      </w:r>
      <w:r w:rsidR="00786034" w:rsidRPr="007D21B2">
        <w:rPr>
          <w:sz w:val="22"/>
          <w:szCs w:val="22"/>
        </w:rPr>
        <w:t xml:space="preserve">, </w:t>
      </w:r>
      <w:r w:rsidR="00B629AD" w:rsidRPr="007D21B2">
        <w:rPr>
          <w:sz w:val="22"/>
          <w:szCs w:val="22"/>
        </w:rPr>
        <w:t xml:space="preserve">and which includes </w:t>
      </w:r>
      <w:r w:rsidR="00786034" w:rsidRPr="007D21B2">
        <w:rPr>
          <w:sz w:val="22"/>
          <w:szCs w:val="22"/>
        </w:rPr>
        <w:t xml:space="preserve">geographic and temporal maps of exposure to harvest in the </w:t>
      </w:r>
      <w:r w:rsidR="00775715" w:rsidRPr="007D21B2">
        <w:rPr>
          <w:sz w:val="22"/>
          <w:szCs w:val="22"/>
        </w:rPr>
        <w:t>population specific</w:t>
      </w:r>
      <w:r w:rsidR="00786034" w:rsidRPr="007D21B2">
        <w:rPr>
          <w:sz w:val="22"/>
          <w:szCs w:val="22"/>
        </w:rPr>
        <w:t xml:space="preserve"> flyways (for a subset of populations with sufficient information).</w:t>
      </w:r>
      <w:r w:rsidR="00BE39BC" w:rsidRPr="007D21B2">
        <w:rPr>
          <w:sz w:val="22"/>
          <w:szCs w:val="22"/>
        </w:rPr>
        <w:t xml:space="preserve">  </w:t>
      </w:r>
      <w:r w:rsidR="002E70B8" w:rsidRPr="007D21B2">
        <w:rPr>
          <w:sz w:val="22"/>
          <w:szCs w:val="22"/>
        </w:rPr>
        <w:t>A</w:t>
      </w:r>
      <w:r w:rsidRPr="007D21B2">
        <w:rPr>
          <w:sz w:val="22"/>
          <w:szCs w:val="22"/>
        </w:rPr>
        <w:t xml:space="preserve"> draft interim</w:t>
      </w:r>
      <w:r w:rsidR="00DD50F3" w:rsidRPr="007D21B2">
        <w:rPr>
          <w:sz w:val="22"/>
          <w:szCs w:val="22"/>
        </w:rPr>
        <w:t xml:space="preserve"> scientific</w:t>
      </w:r>
      <w:r w:rsidRPr="007D21B2">
        <w:rPr>
          <w:sz w:val="22"/>
          <w:szCs w:val="22"/>
        </w:rPr>
        <w:t xml:space="preserve"> report will be circulated for review </w:t>
      </w:r>
      <w:r w:rsidR="00CE1879" w:rsidRPr="007D21B2">
        <w:rPr>
          <w:sz w:val="22"/>
          <w:szCs w:val="22"/>
        </w:rPr>
        <w:t xml:space="preserve">to </w:t>
      </w:r>
      <w:r w:rsidRPr="007D21B2">
        <w:rPr>
          <w:sz w:val="22"/>
          <w:szCs w:val="22"/>
        </w:rPr>
        <w:t xml:space="preserve">the Technical Committee </w:t>
      </w:r>
      <w:r w:rsidR="00DD50F3" w:rsidRPr="007D21B2">
        <w:rPr>
          <w:sz w:val="22"/>
          <w:szCs w:val="22"/>
        </w:rPr>
        <w:t xml:space="preserve">Project Advisory </w:t>
      </w:r>
      <w:r w:rsidRPr="007D21B2">
        <w:rPr>
          <w:sz w:val="22"/>
          <w:szCs w:val="22"/>
        </w:rPr>
        <w:t>Group (below) after [1</w:t>
      </w:r>
      <w:r w:rsidR="00DD50F3" w:rsidRPr="007D21B2">
        <w:rPr>
          <w:sz w:val="22"/>
          <w:szCs w:val="22"/>
        </w:rPr>
        <w:t>4</w:t>
      </w:r>
      <w:r w:rsidRPr="007D21B2">
        <w:rPr>
          <w:sz w:val="22"/>
          <w:szCs w:val="22"/>
        </w:rPr>
        <w:t xml:space="preserve">] months, and a </w:t>
      </w:r>
      <w:r w:rsidR="00DD50F3" w:rsidRPr="007D21B2">
        <w:rPr>
          <w:sz w:val="22"/>
          <w:szCs w:val="22"/>
        </w:rPr>
        <w:t xml:space="preserve">draft </w:t>
      </w:r>
      <w:r w:rsidRPr="007D21B2">
        <w:rPr>
          <w:sz w:val="22"/>
          <w:szCs w:val="22"/>
        </w:rPr>
        <w:t xml:space="preserve">final </w:t>
      </w:r>
      <w:r w:rsidR="00DD50F3" w:rsidRPr="007D21B2">
        <w:rPr>
          <w:sz w:val="22"/>
          <w:szCs w:val="22"/>
        </w:rPr>
        <w:t xml:space="preserve">scientific </w:t>
      </w:r>
      <w:r w:rsidRPr="007D21B2">
        <w:rPr>
          <w:sz w:val="22"/>
          <w:szCs w:val="22"/>
        </w:rPr>
        <w:t>report after [</w:t>
      </w:r>
      <w:r w:rsidR="00DD50F3" w:rsidRPr="007D21B2">
        <w:rPr>
          <w:sz w:val="22"/>
          <w:szCs w:val="22"/>
        </w:rPr>
        <w:t>20</w:t>
      </w:r>
      <w:r w:rsidRPr="007D21B2">
        <w:rPr>
          <w:sz w:val="22"/>
          <w:szCs w:val="22"/>
        </w:rPr>
        <w:t>] months.</w:t>
      </w:r>
    </w:p>
    <w:p w14:paraId="400FD359" w14:textId="755AC6BE" w:rsidR="006042AB" w:rsidRPr="007D21B2" w:rsidRDefault="00DD50F3" w:rsidP="007D21B2">
      <w:pPr>
        <w:pStyle w:val="ListParagraph"/>
        <w:pBdr>
          <w:left w:val="none" w:sz="0" w:space="4" w:color="auto"/>
        </w:pBdr>
        <w:spacing w:after="160" w:line="259" w:lineRule="auto"/>
        <w:ind w:left="714"/>
        <w:contextualSpacing w:val="0"/>
        <w:rPr>
          <w:sz w:val="22"/>
          <w:szCs w:val="22"/>
        </w:rPr>
      </w:pPr>
      <w:r w:rsidRPr="007D21B2">
        <w:rPr>
          <w:b/>
          <w:bCs/>
          <w:sz w:val="22"/>
          <w:szCs w:val="22"/>
        </w:rPr>
        <w:t>Module 4.</w:t>
      </w:r>
      <w:r w:rsidRPr="007D21B2">
        <w:rPr>
          <w:sz w:val="22"/>
          <w:szCs w:val="22"/>
        </w:rPr>
        <w:t xml:space="preserve">  </w:t>
      </w:r>
      <w:r w:rsidR="006042AB" w:rsidRPr="007D21B2">
        <w:rPr>
          <w:sz w:val="22"/>
          <w:szCs w:val="22"/>
        </w:rPr>
        <w:t xml:space="preserve">A summary report describing the outcomes of the rapid assessment of sustainability, including a proposal for </w:t>
      </w:r>
      <w:proofErr w:type="spellStart"/>
      <w:r w:rsidR="007D21B2" w:rsidRPr="007D21B2">
        <w:rPr>
          <w:sz w:val="22"/>
          <w:szCs w:val="22"/>
        </w:rPr>
        <w:t>prioriti</w:t>
      </w:r>
      <w:r w:rsidR="007D21B2">
        <w:rPr>
          <w:sz w:val="22"/>
          <w:szCs w:val="22"/>
        </w:rPr>
        <w:t>s</w:t>
      </w:r>
      <w:r w:rsidR="007D21B2" w:rsidRPr="007D21B2">
        <w:rPr>
          <w:sz w:val="22"/>
          <w:szCs w:val="22"/>
        </w:rPr>
        <w:t>ation</w:t>
      </w:r>
      <w:proofErr w:type="spellEnd"/>
      <w:r w:rsidR="006042AB" w:rsidRPr="007D21B2">
        <w:rPr>
          <w:sz w:val="22"/>
          <w:szCs w:val="22"/>
        </w:rPr>
        <w:t xml:space="preserve"> of species/populations for inclusion in adaptive harvest management processes coordinated at </w:t>
      </w:r>
      <w:r w:rsidR="005B7B48" w:rsidRPr="007D21B2">
        <w:rPr>
          <w:sz w:val="22"/>
          <w:szCs w:val="22"/>
        </w:rPr>
        <w:t xml:space="preserve">a </w:t>
      </w:r>
      <w:r w:rsidR="006042AB" w:rsidRPr="007D21B2">
        <w:rPr>
          <w:sz w:val="22"/>
          <w:szCs w:val="22"/>
        </w:rPr>
        <w:t>flyway-level</w:t>
      </w:r>
      <w:r w:rsidR="008219BE" w:rsidRPr="007D21B2">
        <w:rPr>
          <w:sz w:val="22"/>
          <w:szCs w:val="22"/>
        </w:rPr>
        <w:t xml:space="preserve">, </w:t>
      </w:r>
      <w:r w:rsidR="005B7B48" w:rsidRPr="007D21B2">
        <w:rPr>
          <w:sz w:val="22"/>
          <w:szCs w:val="22"/>
        </w:rPr>
        <w:t>which takes</w:t>
      </w:r>
      <w:r w:rsidR="008219BE" w:rsidRPr="007D21B2">
        <w:rPr>
          <w:sz w:val="22"/>
          <w:szCs w:val="22"/>
        </w:rPr>
        <w:t xml:space="preserve"> into account the conservation status of populations</w:t>
      </w:r>
      <w:r w:rsidR="007078B9" w:rsidRPr="007D21B2">
        <w:rPr>
          <w:sz w:val="22"/>
          <w:szCs w:val="22"/>
        </w:rPr>
        <w:t>,</w:t>
      </w:r>
      <w:r w:rsidR="00010512" w:rsidRPr="007D21B2">
        <w:rPr>
          <w:sz w:val="22"/>
          <w:szCs w:val="22"/>
        </w:rPr>
        <w:t xml:space="preserve"> historic population sizes</w:t>
      </w:r>
      <w:r w:rsidR="007078B9" w:rsidRPr="007D21B2">
        <w:rPr>
          <w:sz w:val="22"/>
          <w:szCs w:val="22"/>
        </w:rPr>
        <w:t xml:space="preserve"> and other pertinent factors (</w:t>
      </w:r>
      <w:proofErr w:type="gramStart"/>
      <w:r w:rsidR="007078B9" w:rsidRPr="007D21B2">
        <w:rPr>
          <w:sz w:val="22"/>
          <w:szCs w:val="22"/>
        </w:rPr>
        <w:t>e.g.</w:t>
      </w:r>
      <w:proofErr w:type="gramEnd"/>
      <w:r w:rsidR="007078B9" w:rsidRPr="007D21B2">
        <w:rPr>
          <w:sz w:val="22"/>
          <w:szCs w:val="22"/>
        </w:rPr>
        <w:t xml:space="preserve"> rate of decline)</w:t>
      </w:r>
      <w:r w:rsidR="006042AB" w:rsidRPr="007D21B2">
        <w:rPr>
          <w:sz w:val="22"/>
          <w:szCs w:val="22"/>
        </w:rPr>
        <w:t>.</w:t>
      </w:r>
      <w:r w:rsidR="007078B9" w:rsidRPr="007D21B2">
        <w:rPr>
          <w:sz w:val="22"/>
          <w:szCs w:val="22"/>
        </w:rPr>
        <w:t xml:space="preserve"> These criteria for </w:t>
      </w:r>
      <w:proofErr w:type="spellStart"/>
      <w:r w:rsidR="007078B9" w:rsidRPr="007D21B2">
        <w:rPr>
          <w:sz w:val="22"/>
          <w:szCs w:val="22"/>
        </w:rPr>
        <w:t>prioriti</w:t>
      </w:r>
      <w:r w:rsidR="007D21B2">
        <w:rPr>
          <w:sz w:val="22"/>
          <w:szCs w:val="22"/>
        </w:rPr>
        <w:t>s</w:t>
      </w:r>
      <w:r w:rsidR="007078B9" w:rsidRPr="007D21B2">
        <w:rPr>
          <w:sz w:val="22"/>
          <w:szCs w:val="22"/>
        </w:rPr>
        <w:t>ation</w:t>
      </w:r>
      <w:proofErr w:type="spellEnd"/>
      <w:r w:rsidR="007078B9" w:rsidRPr="007D21B2">
        <w:rPr>
          <w:sz w:val="22"/>
          <w:szCs w:val="22"/>
        </w:rPr>
        <w:t xml:space="preserve"> shall be agreed in advance with the Technical Committee Project Advisory Group.</w:t>
      </w:r>
      <w:r w:rsidR="00885A29" w:rsidRPr="007D21B2">
        <w:rPr>
          <w:sz w:val="22"/>
          <w:szCs w:val="22"/>
        </w:rPr>
        <w:t xml:space="preserve"> The report shall also provide priorities for how and where to improve data collection to assess sustainability.</w:t>
      </w:r>
      <w:r w:rsidR="00BE39BC" w:rsidRPr="007D21B2">
        <w:rPr>
          <w:sz w:val="22"/>
          <w:szCs w:val="22"/>
        </w:rPr>
        <w:t xml:space="preserve">  </w:t>
      </w:r>
      <w:r w:rsidR="002E70B8" w:rsidRPr="007D21B2">
        <w:rPr>
          <w:sz w:val="22"/>
          <w:szCs w:val="22"/>
        </w:rPr>
        <w:t>A</w:t>
      </w:r>
      <w:r w:rsidRPr="007D21B2">
        <w:rPr>
          <w:sz w:val="22"/>
          <w:szCs w:val="22"/>
        </w:rPr>
        <w:t xml:space="preserve"> draft interim summary report will be circulated for review </w:t>
      </w:r>
      <w:r w:rsidR="007078B9" w:rsidRPr="007D21B2">
        <w:rPr>
          <w:sz w:val="22"/>
          <w:szCs w:val="22"/>
        </w:rPr>
        <w:t xml:space="preserve">to </w:t>
      </w:r>
      <w:r w:rsidRPr="007D21B2">
        <w:rPr>
          <w:sz w:val="22"/>
          <w:szCs w:val="22"/>
        </w:rPr>
        <w:t>the Technical Committee Project Advisory Group (below) after [14] months, and a draft final summary report after [20] months.</w:t>
      </w:r>
    </w:p>
    <w:p w14:paraId="3A2BD4B3" w14:textId="39CA8358" w:rsidR="00786034" w:rsidRDefault="00C77B54" w:rsidP="007D21B2">
      <w:pPr>
        <w:pBdr>
          <w:left w:val="none" w:sz="0" w:space="4" w:color="auto"/>
        </w:pBdr>
        <w:spacing w:line="259" w:lineRule="auto"/>
        <w:rPr>
          <w:sz w:val="22"/>
          <w:szCs w:val="22"/>
        </w:rPr>
      </w:pPr>
      <w:bookmarkStart w:id="0" w:name="_Hlk126600107"/>
      <w:r w:rsidRPr="007D21B2">
        <w:rPr>
          <w:sz w:val="22"/>
          <w:szCs w:val="22"/>
        </w:rPr>
        <w:t>The final products should be translated into French as part of the final delivery of the project.</w:t>
      </w:r>
    </w:p>
    <w:p w14:paraId="291D8E61" w14:textId="77777777" w:rsidR="007D21B2" w:rsidRPr="007D21B2" w:rsidRDefault="007D21B2" w:rsidP="007D21B2">
      <w:pPr>
        <w:pBdr>
          <w:left w:val="none" w:sz="0" w:space="4" w:color="auto"/>
        </w:pBdr>
        <w:spacing w:line="259" w:lineRule="auto"/>
        <w:rPr>
          <w:sz w:val="22"/>
          <w:szCs w:val="22"/>
        </w:rPr>
      </w:pPr>
    </w:p>
    <w:bookmarkEnd w:id="0"/>
    <w:p w14:paraId="3E8BA8ED" w14:textId="6795F78C" w:rsidR="00BE39BC" w:rsidRDefault="00927A02" w:rsidP="00927A02">
      <w:pPr>
        <w:keepNext/>
      </w:pPr>
      <w:r w:rsidRPr="00927A02">
        <w:rPr>
          <w:b/>
          <w:bCs/>
        </w:rPr>
        <w:t xml:space="preserve">4. </w:t>
      </w:r>
      <w:r w:rsidR="007D21B2">
        <w:rPr>
          <w:b/>
          <w:bCs/>
        </w:rPr>
        <w:t xml:space="preserve">  </w:t>
      </w:r>
      <w:r w:rsidR="00BE39BC" w:rsidRPr="00927A02">
        <w:rPr>
          <w:b/>
          <w:bCs/>
        </w:rPr>
        <w:t>Management of the project</w:t>
      </w:r>
    </w:p>
    <w:p w14:paraId="0EDC5408" w14:textId="77777777" w:rsidR="00F55446" w:rsidRDefault="00F55446" w:rsidP="00DD50F3">
      <w:pPr>
        <w:keepNext/>
      </w:pPr>
    </w:p>
    <w:p w14:paraId="359078C5" w14:textId="6A1C4DB5" w:rsidR="0079162E" w:rsidRPr="007D21B2" w:rsidRDefault="00BE39BC" w:rsidP="00FD4AF1">
      <w:pPr>
        <w:rPr>
          <w:sz w:val="22"/>
          <w:szCs w:val="22"/>
        </w:rPr>
      </w:pPr>
      <w:proofErr w:type="gramStart"/>
      <w:r w:rsidRPr="007D21B2">
        <w:rPr>
          <w:sz w:val="22"/>
          <w:szCs w:val="22"/>
        </w:rPr>
        <w:t>In order to</w:t>
      </w:r>
      <w:proofErr w:type="gramEnd"/>
      <w:r w:rsidRPr="007D21B2">
        <w:rPr>
          <w:sz w:val="22"/>
          <w:szCs w:val="22"/>
        </w:rPr>
        <w:t xml:space="preserve"> </w:t>
      </w:r>
      <w:r w:rsidR="00FF0292" w:rsidRPr="007D21B2">
        <w:rPr>
          <w:sz w:val="22"/>
          <w:szCs w:val="22"/>
        </w:rPr>
        <w:t>benefit</w:t>
      </w:r>
      <w:r w:rsidRPr="007D21B2">
        <w:rPr>
          <w:sz w:val="22"/>
          <w:szCs w:val="22"/>
        </w:rPr>
        <w:t xml:space="preserve"> from the wide </w:t>
      </w:r>
      <w:r w:rsidR="00FF0292" w:rsidRPr="007D21B2">
        <w:rPr>
          <w:sz w:val="22"/>
          <w:szCs w:val="22"/>
        </w:rPr>
        <w:t>geographic</w:t>
      </w:r>
      <w:r w:rsidRPr="007D21B2">
        <w:rPr>
          <w:sz w:val="22"/>
          <w:szCs w:val="22"/>
        </w:rPr>
        <w:t xml:space="preserve"> and other experience of members</w:t>
      </w:r>
      <w:r w:rsidR="0079162E" w:rsidRPr="007D21B2">
        <w:rPr>
          <w:sz w:val="22"/>
          <w:szCs w:val="22"/>
        </w:rPr>
        <w:t xml:space="preserve">, </w:t>
      </w:r>
      <w:r w:rsidR="00FD4AF1" w:rsidRPr="007D21B2">
        <w:rPr>
          <w:sz w:val="22"/>
          <w:szCs w:val="22"/>
        </w:rPr>
        <w:t xml:space="preserve">observers </w:t>
      </w:r>
      <w:r w:rsidRPr="007D21B2">
        <w:rPr>
          <w:sz w:val="22"/>
          <w:szCs w:val="22"/>
        </w:rPr>
        <w:t xml:space="preserve">and other </w:t>
      </w:r>
      <w:r w:rsidR="00FD4AF1" w:rsidRPr="007D21B2">
        <w:rPr>
          <w:sz w:val="22"/>
          <w:szCs w:val="22"/>
        </w:rPr>
        <w:t xml:space="preserve">experts </w:t>
      </w:r>
      <w:r w:rsidR="00FF0292" w:rsidRPr="007D21B2">
        <w:rPr>
          <w:sz w:val="22"/>
          <w:szCs w:val="22"/>
        </w:rPr>
        <w:t xml:space="preserve">of AEWA’s Technical Committee (TC), the work will be </w:t>
      </w:r>
      <w:r w:rsidR="006A1503" w:rsidRPr="007D21B2">
        <w:rPr>
          <w:sz w:val="22"/>
          <w:szCs w:val="22"/>
        </w:rPr>
        <w:t>steer</w:t>
      </w:r>
      <w:r w:rsidR="00FF0292" w:rsidRPr="007D21B2">
        <w:rPr>
          <w:sz w:val="22"/>
          <w:szCs w:val="22"/>
        </w:rPr>
        <w:t xml:space="preserve">ed by a </w:t>
      </w:r>
      <w:r w:rsidR="00DD50F3" w:rsidRPr="007D21B2">
        <w:rPr>
          <w:sz w:val="22"/>
          <w:szCs w:val="22"/>
        </w:rPr>
        <w:t>Project Advisory</w:t>
      </w:r>
      <w:r w:rsidR="00FF0292" w:rsidRPr="007D21B2">
        <w:rPr>
          <w:sz w:val="22"/>
          <w:szCs w:val="22"/>
        </w:rPr>
        <w:t xml:space="preserve"> </w:t>
      </w:r>
      <w:r w:rsidR="00DD50F3" w:rsidRPr="007D21B2">
        <w:rPr>
          <w:sz w:val="22"/>
          <w:szCs w:val="22"/>
        </w:rPr>
        <w:t>G</w:t>
      </w:r>
      <w:r w:rsidR="00FF0292" w:rsidRPr="007D21B2">
        <w:rPr>
          <w:sz w:val="22"/>
          <w:szCs w:val="22"/>
        </w:rPr>
        <w:t>roup established by the TC</w:t>
      </w:r>
      <w:r w:rsidR="006A1503" w:rsidRPr="007D21B2">
        <w:rPr>
          <w:sz w:val="22"/>
          <w:szCs w:val="22"/>
        </w:rPr>
        <w:t xml:space="preserve"> (although ultimately project management </w:t>
      </w:r>
      <w:r w:rsidR="0079162E" w:rsidRPr="007D21B2">
        <w:rPr>
          <w:sz w:val="22"/>
          <w:szCs w:val="22"/>
        </w:rPr>
        <w:t>is</w:t>
      </w:r>
      <w:r w:rsidR="006A1503" w:rsidRPr="007D21B2">
        <w:rPr>
          <w:sz w:val="22"/>
          <w:szCs w:val="22"/>
        </w:rPr>
        <w:t xml:space="preserve"> the responsibility of the AEWA Secretariat)</w:t>
      </w:r>
      <w:r w:rsidR="00FF0292" w:rsidRPr="007D21B2">
        <w:rPr>
          <w:sz w:val="22"/>
          <w:szCs w:val="22"/>
        </w:rPr>
        <w:t xml:space="preserve">.  </w:t>
      </w:r>
    </w:p>
    <w:p w14:paraId="0275EA72" w14:textId="77777777" w:rsidR="0079162E" w:rsidRPr="007D21B2" w:rsidRDefault="0079162E" w:rsidP="00FD4AF1">
      <w:pPr>
        <w:rPr>
          <w:sz w:val="22"/>
          <w:szCs w:val="22"/>
        </w:rPr>
      </w:pPr>
    </w:p>
    <w:p w14:paraId="00AFD8D5" w14:textId="77777777" w:rsidR="00F55446" w:rsidRPr="007D21B2" w:rsidRDefault="00FF0292" w:rsidP="00FD4AF1">
      <w:pPr>
        <w:rPr>
          <w:sz w:val="22"/>
          <w:szCs w:val="22"/>
        </w:rPr>
      </w:pPr>
      <w:r w:rsidRPr="007D21B2">
        <w:rPr>
          <w:sz w:val="22"/>
          <w:szCs w:val="22"/>
        </w:rPr>
        <w:t xml:space="preserve">This </w:t>
      </w:r>
      <w:r w:rsidR="006A1503" w:rsidRPr="007D21B2">
        <w:rPr>
          <w:sz w:val="22"/>
          <w:szCs w:val="22"/>
        </w:rPr>
        <w:t>Advisory G</w:t>
      </w:r>
      <w:r w:rsidRPr="007D21B2">
        <w:rPr>
          <w:sz w:val="22"/>
          <w:szCs w:val="22"/>
        </w:rPr>
        <w:t xml:space="preserve">roup will be available to </w:t>
      </w:r>
      <w:r w:rsidR="002930E1" w:rsidRPr="007D21B2">
        <w:rPr>
          <w:sz w:val="22"/>
          <w:szCs w:val="22"/>
        </w:rPr>
        <w:t>guide</w:t>
      </w:r>
      <w:r w:rsidRPr="007D21B2">
        <w:rPr>
          <w:sz w:val="22"/>
          <w:szCs w:val="22"/>
        </w:rPr>
        <w:t xml:space="preserve"> the contractors</w:t>
      </w:r>
      <w:r w:rsidR="002930E1" w:rsidRPr="007D21B2">
        <w:rPr>
          <w:sz w:val="22"/>
          <w:szCs w:val="22"/>
        </w:rPr>
        <w:t xml:space="preserve"> </w:t>
      </w:r>
      <w:r w:rsidR="006A1503" w:rsidRPr="007D21B2">
        <w:rPr>
          <w:sz w:val="22"/>
          <w:szCs w:val="22"/>
        </w:rPr>
        <w:t xml:space="preserve">at any time </w:t>
      </w:r>
      <w:r w:rsidR="002930E1" w:rsidRPr="007D21B2">
        <w:rPr>
          <w:sz w:val="22"/>
          <w:szCs w:val="22"/>
        </w:rPr>
        <w:t xml:space="preserve">through the project’s duration – including establishing relations with other stakeholders as necessary and appropriate, and </w:t>
      </w:r>
      <w:r w:rsidR="0079162E" w:rsidRPr="007D21B2">
        <w:rPr>
          <w:sz w:val="22"/>
          <w:szCs w:val="22"/>
        </w:rPr>
        <w:t xml:space="preserve">in </w:t>
      </w:r>
      <w:r w:rsidR="002930E1" w:rsidRPr="007D21B2">
        <w:rPr>
          <w:sz w:val="22"/>
          <w:szCs w:val="22"/>
        </w:rPr>
        <w:t>providing peer review of both draft and final products</w:t>
      </w:r>
      <w:r w:rsidR="00DD50F3" w:rsidRPr="007D21B2">
        <w:rPr>
          <w:sz w:val="22"/>
          <w:szCs w:val="22"/>
        </w:rPr>
        <w:t xml:space="preserve"> as specified above.</w:t>
      </w:r>
    </w:p>
    <w:p w14:paraId="751E0672" w14:textId="77777777" w:rsidR="00BE39BC" w:rsidRPr="007D21B2" w:rsidRDefault="00BE39BC" w:rsidP="00FD4AF1">
      <w:pPr>
        <w:rPr>
          <w:sz w:val="22"/>
          <w:szCs w:val="22"/>
        </w:rPr>
      </w:pPr>
    </w:p>
    <w:p w14:paraId="1BEA348D" w14:textId="5ADDFC7B" w:rsidR="00DD50F3" w:rsidRPr="007D21B2" w:rsidRDefault="00FD4AF1" w:rsidP="00FD4AF1">
      <w:pPr>
        <w:spacing w:after="120"/>
        <w:rPr>
          <w:sz w:val="22"/>
          <w:szCs w:val="22"/>
        </w:rPr>
      </w:pPr>
      <w:r w:rsidRPr="007D21B2">
        <w:rPr>
          <w:sz w:val="22"/>
          <w:szCs w:val="22"/>
        </w:rPr>
        <w:t xml:space="preserve">The timeline </w:t>
      </w:r>
      <w:r w:rsidR="00DD50F3" w:rsidRPr="007D21B2">
        <w:rPr>
          <w:sz w:val="22"/>
          <w:szCs w:val="22"/>
        </w:rPr>
        <w:t xml:space="preserve">should allow for time to convene at least four meetings of the </w:t>
      </w:r>
      <w:r w:rsidR="003D3FE7" w:rsidRPr="007D21B2">
        <w:rPr>
          <w:sz w:val="22"/>
          <w:szCs w:val="22"/>
        </w:rPr>
        <w:t>P</w:t>
      </w:r>
      <w:r w:rsidR="00DD50F3" w:rsidRPr="007D21B2">
        <w:rPr>
          <w:sz w:val="22"/>
          <w:szCs w:val="22"/>
        </w:rPr>
        <w:t xml:space="preserve">roject Advisory Group </w:t>
      </w:r>
      <w:r w:rsidR="0079162E" w:rsidRPr="007D21B2">
        <w:rPr>
          <w:sz w:val="22"/>
          <w:szCs w:val="22"/>
        </w:rPr>
        <w:t>indicatively</w:t>
      </w:r>
      <w:r w:rsidR="00DD50F3" w:rsidRPr="007D21B2">
        <w:rPr>
          <w:sz w:val="22"/>
          <w:szCs w:val="22"/>
        </w:rPr>
        <w:t xml:space="preserve"> timed</w:t>
      </w:r>
      <w:r w:rsidR="003D3FE7" w:rsidRPr="007D21B2">
        <w:rPr>
          <w:sz w:val="22"/>
          <w:szCs w:val="22"/>
        </w:rPr>
        <w:t>, after project commencement,</w:t>
      </w:r>
      <w:r w:rsidR="00DD50F3" w:rsidRPr="007D21B2">
        <w:rPr>
          <w:sz w:val="22"/>
          <w:szCs w:val="22"/>
        </w:rPr>
        <w:t xml:space="preserve"> as follows:</w:t>
      </w:r>
    </w:p>
    <w:p w14:paraId="02EED6AC" w14:textId="77777777" w:rsidR="00DD50F3" w:rsidRPr="007D21B2" w:rsidRDefault="00DD50F3" w:rsidP="00FD4AF1">
      <w:pPr>
        <w:pStyle w:val="ListParagraph"/>
        <w:numPr>
          <w:ilvl w:val="0"/>
          <w:numId w:val="7"/>
        </w:numPr>
        <w:spacing w:after="120"/>
        <w:contextualSpacing w:val="0"/>
        <w:rPr>
          <w:sz w:val="22"/>
          <w:szCs w:val="22"/>
        </w:rPr>
      </w:pPr>
      <w:r w:rsidRPr="007D21B2">
        <w:rPr>
          <w:sz w:val="22"/>
          <w:szCs w:val="22"/>
        </w:rPr>
        <w:lastRenderedPageBreak/>
        <w:t xml:space="preserve">After </w:t>
      </w:r>
      <w:r w:rsidR="0079162E" w:rsidRPr="007D21B2">
        <w:rPr>
          <w:sz w:val="22"/>
          <w:szCs w:val="22"/>
        </w:rPr>
        <w:t>[</w:t>
      </w:r>
      <w:r w:rsidRPr="007D21B2">
        <w:rPr>
          <w:sz w:val="22"/>
          <w:szCs w:val="22"/>
        </w:rPr>
        <w:t>two</w:t>
      </w:r>
      <w:r w:rsidR="0079162E" w:rsidRPr="007D21B2">
        <w:rPr>
          <w:sz w:val="22"/>
          <w:szCs w:val="22"/>
        </w:rPr>
        <w:t>]</w:t>
      </w:r>
      <w:r w:rsidRPr="007D21B2">
        <w:rPr>
          <w:sz w:val="22"/>
          <w:szCs w:val="22"/>
        </w:rPr>
        <w:t xml:space="preserve"> months with the purpose of reviewing the </w:t>
      </w:r>
      <w:r w:rsidR="00063941" w:rsidRPr="007D21B2">
        <w:rPr>
          <w:sz w:val="22"/>
          <w:szCs w:val="22"/>
        </w:rPr>
        <w:t xml:space="preserve">draft </w:t>
      </w:r>
      <w:r w:rsidRPr="007D21B2">
        <w:rPr>
          <w:sz w:val="22"/>
          <w:szCs w:val="22"/>
        </w:rPr>
        <w:t>database struct</w:t>
      </w:r>
      <w:r w:rsidR="00063941" w:rsidRPr="007D21B2">
        <w:rPr>
          <w:sz w:val="22"/>
          <w:szCs w:val="22"/>
        </w:rPr>
        <w:t>ure for Module</w:t>
      </w:r>
      <w:r w:rsidR="0079162E" w:rsidRPr="007D21B2">
        <w:rPr>
          <w:sz w:val="22"/>
          <w:szCs w:val="22"/>
        </w:rPr>
        <w:t xml:space="preserve"> </w:t>
      </w:r>
      <w:proofErr w:type="gramStart"/>
      <w:r w:rsidR="00063941" w:rsidRPr="007D21B2">
        <w:rPr>
          <w:sz w:val="22"/>
          <w:szCs w:val="22"/>
        </w:rPr>
        <w:t>1;</w:t>
      </w:r>
      <w:proofErr w:type="gramEnd"/>
    </w:p>
    <w:p w14:paraId="1FAE48F9" w14:textId="77777777" w:rsidR="00063941" w:rsidRPr="007D21B2" w:rsidRDefault="00063941" w:rsidP="00FD4AF1">
      <w:pPr>
        <w:pStyle w:val="ListParagraph"/>
        <w:numPr>
          <w:ilvl w:val="0"/>
          <w:numId w:val="7"/>
        </w:numPr>
        <w:spacing w:after="120"/>
        <w:contextualSpacing w:val="0"/>
        <w:rPr>
          <w:sz w:val="22"/>
          <w:szCs w:val="22"/>
        </w:rPr>
      </w:pPr>
      <w:r w:rsidRPr="007D21B2">
        <w:rPr>
          <w:sz w:val="22"/>
          <w:szCs w:val="22"/>
        </w:rPr>
        <w:t xml:space="preserve">After </w:t>
      </w:r>
      <w:r w:rsidR="0079162E" w:rsidRPr="007D21B2">
        <w:rPr>
          <w:sz w:val="22"/>
          <w:szCs w:val="22"/>
        </w:rPr>
        <w:t>[</w:t>
      </w:r>
      <w:r w:rsidRPr="007D21B2">
        <w:rPr>
          <w:sz w:val="22"/>
          <w:szCs w:val="22"/>
        </w:rPr>
        <w:t>eight</w:t>
      </w:r>
      <w:r w:rsidR="0079162E" w:rsidRPr="007D21B2">
        <w:rPr>
          <w:sz w:val="22"/>
          <w:szCs w:val="22"/>
        </w:rPr>
        <w:t>]</w:t>
      </w:r>
      <w:r w:rsidRPr="007D21B2">
        <w:rPr>
          <w:sz w:val="22"/>
          <w:szCs w:val="22"/>
        </w:rPr>
        <w:t xml:space="preserve"> months to review progress in data </w:t>
      </w:r>
      <w:proofErr w:type="gramStart"/>
      <w:r w:rsidRPr="007D21B2">
        <w:rPr>
          <w:sz w:val="22"/>
          <w:szCs w:val="22"/>
        </w:rPr>
        <w:t>collation;</w:t>
      </w:r>
      <w:proofErr w:type="gramEnd"/>
    </w:p>
    <w:p w14:paraId="7C322CAE" w14:textId="77777777" w:rsidR="00063941" w:rsidRPr="007D21B2" w:rsidRDefault="00063941" w:rsidP="00FD4AF1">
      <w:pPr>
        <w:pStyle w:val="ListParagraph"/>
        <w:numPr>
          <w:ilvl w:val="0"/>
          <w:numId w:val="7"/>
        </w:numPr>
        <w:spacing w:after="120"/>
        <w:contextualSpacing w:val="0"/>
        <w:rPr>
          <w:sz w:val="22"/>
          <w:szCs w:val="22"/>
        </w:rPr>
      </w:pPr>
      <w:r w:rsidRPr="007D21B2">
        <w:rPr>
          <w:sz w:val="22"/>
          <w:szCs w:val="22"/>
        </w:rPr>
        <w:t xml:space="preserve">After </w:t>
      </w:r>
      <w:r w:rsidR="0079162E" w:rsidRPr="007D21B2">
        <w:rPr>
          <w:sz w:val="22"/>
          <w:szCs w:val="22"/>
        </w:rPr>
        <w:t>[</w:t>
      </w:r>
      <w:r w:rsidRPr="007D21B2">
        <w:rPr>
          <w:sz w:val="22"/>
          <w:szCs w:val="22"/>
        </w:rPr>
        <w:t>15</w:t>
      </w:r>
      <w:r w:rsidR="0079162E" w:rsidRPr="007D21B2">
        <w:rPr>
          <w:sz w:val="22"/>
          <w:szCs w:val="22"/>
        </w:rPr>
        <w:t>]</w:t>
      </w:r>
      <w:r w:rsidRPr="007D21B2">
        <w:rPr>
          <w:sz w:val="22"/>
          <w:szCs w:val="22"/>
        </w:rPr>
        <w:t xml:space="preserve"> months to review the draft scientific and summary reports for Modules 2, 3 and</w:t>
      </w:r>
      <w:r w:rsidR="0079162E" w:rsidRPr="007D21B2">
        <w:rPr>
          <w:sz w:val="22"/>
          <w:szCs w:val="22"/>
        </w:rPr>
        <w:t xml:space="preserve"> </w:t>
      </w:r>
      <w:proofErr w:type="gramStart"/>
      <w:r w:rsidRPr="007D21B2">
        <w:rPr>
          <w:sz w:val="22"/>
          <w:szCs w:val="22"/>
        </w:rPr>
        <w:t>4;</w:t>
      </w:r>
      <w:proofErr w:type="gramEnd"/>
    </w:p>
    <w:p w14:paraId="2BE91735" w14:textId="77777777" w:rsidR="00063941" w:rsidRPr="007D21B2" w:rsidRDefault="00063941" w:rsidP="00FD4AF1">
      <w:pPr>
        <w:pStyle w:val="ListParagraph"/>
        <w:numPr>
          <w:ilvl w:val="0"/>
          <w:numId w:val="7"/>
        </w:numPr>
        <w:spacing w:after="120"/>
        <w:contextualSpacing w:val="0"/>
        <w:rPr>
          <w:sz w:val="22"/>
          <w:szCs w:val="22"/>
        </w:rPr>
      </w:pPr>
      <w:r w:rsidRPr="007D21B2">
        <w:rPr>
          <w:sz w:val="22"/>
          <w:szCs w:val="22"/>
        </w:rPr>
        <w:t xml:space="preserve">After </w:t>
      </w:r>
      <w:r w:rsidR="0079162E" w:rsidRPr="007D21B2">
        <w:rPr>
          <w:sz w:val="22"/>
          <w:szCs w:val="22"/>
        </w:rPr>
        <w:t>[</w:t>
      </w:r>
      <w:r w:rsidRPr="007D21B2">
        <w:rPr>
          <w:sz w:val="22"/>
          <w:szCs w:val="22"/>
        </w:rPr>
        <w:t>21</w:t>
      </w:r>
      <w:r w:rsidR="0079162E" w:rsidRPr="007D21B2">
        <w:rPr>
          <w:sz w:val="22"/>
          <w:szCs w:val="22"/>
        </w:rPr>
        <w:t>]</w:t>
      </w:r>
      <w:r w:rsidRPr="007D21B2">
        <w:rPr>
          <w:sz w:val="22"/>
          <w:szCs w:val="22"/>
        </w:rPr>
        <w:t xml:space="preserve"> months to review the draft final scientific and summary reports Modules 2, 3 and </w:t>
      </w:r>
      <w:proofErr w:type="gramStart"/>
      <w:r w:rsidRPr="007D21B2">
        <w:rPr>
          <w:sz w:val="22"/>
          <w:szCs w:val="22"/>
        </w:rPr>
        <w:t>4;</w:t>
      </w:r>
      <w:proofErr w:type="gramEnd"/>
    </w:p>
    <w:p w14:paraId="282C19CE" w14:textId="0268CFC9" w:rsidR="006A1503" w:rsidRPr="007D21B2" w:rsidRDefault="006A1503" w:rsidP="00FD4AF1">
      <w:pPr>
        <w:spacing w:after="240"/>
        <w:rPr>
          <w:sz w:val="22"/>
          <w:szCs w:val="22"/>
        </w:rPr>
      </w:pPr>
      <w:r w:rsidRPr="007D21B2">
        <w:rPr>
          <w:sz w:val="22"/>
          <w:szCs w:val="22"/>
        </w:rPr>
        <w:t xml:space="preserve">Other meetings may be convened at either the request of the contractor, the </w:t>
      </w:r>
      <w:r w:rsidR="00C53666" w:rsidRPr="007D21B2">
        <w:rPr>
          <w:sz w:val="22"/>
          <w:szCs w:val="22"/>
        </w:rPr>
        <w:t xml:space="preserve">Project </w:t>
      </w:r>
      <w:r w:rsidR="003D3FE7" w:rsidRPr="007D21B2">
        <w:rPr>
          <w:sz w:val="22"/>
          <w:szCs w:val="22"/>
        </w:rPr>
        <w:t>Advisory</w:t>
      </w:r>
      <w:r w:rsidRPr="007D21B2">
        <w:rPr>
          <w:sz w:val="22"/>
          <w:szCs w:val="22"/>
        </w:rPr>
        <w:t xml:space="preserve"> </w:t>
      </w:r>
      <w:proofErr w:type="gramStart"/>
      <w:r w:rsidR="00FD4AF1" w:rsidRPr="007D21B2">
        <w:rPr>
          <w:sz w:val="22"/>
          <w:szCs w:val="22"/>
        </w:rPr>
        <w:t>G</w:t>
      </w:r>
      <w:r w:rsidRPr="007D21B2">
        <w:rPr>
          <w:sz w:val="22"/>
          <w:szCs w:val="22"/>
        </w:rPr>
        <w:t>roup</w:t>
      </w:r>
      <w:proofErr w:type="gramEnd"/>
      <w:r w:rsidRPr="007D21B2">
        <w:rPr>
          <w:sz w:val="22"/>
          <w:szCs w:val="22"/>
        </w:rPr>
        <w:t xml:space="preserve"> or the Secretariat.</w:t>
      </w:r>
    </w:p>
    <w:p w14:paraId="3EE6CD9A" w14:textId="77777777" w:rsidR="00DD50F3" w:rsidRPr="007D21B2" w:rsidRDefault="00063941" w:rsidP="00FD4AF1">
      <w:pPr>
        <w:spacing w:after="240"/>
        <w:rPr>
          <w:sz w:val="22"/>
          <w:szCs w:val="22"/>
        </w:rPr>
      </w:pPr>
      <w:r w:rsidRPr="007D21B2">
        <w:rPr>
          <w:sz w:val="22"/>
          <w:szCs w:val="22"/>
        </w:rPr>
        <w:t>The contractor shall be responsible for circulat</w:t>
      </w:r>
      <w:r w:rsidR="003D3FE7" w:rsidRPr="007D21B2">
        <w:rPr>
          <w:sz w:val="22"/>
          <w:szCs w:val="22"/>
        </w:rPr>
        <w:t>ion</w:t>
      </w:r>
      <w:r w:rsidRPr="007D21B2">
        <w:rPr>
          <w:sz w:val="22"/>
          <w:szCs w:val="22"/>
        </w:rPr>
        <w:t xml:space="preserve"> of the agenda and papers for these meetings as well as taking minutes </w:t>
      </w:r>
      <w:r w:rsidR="006A1503" w:rsidRPr="007D21B2">
        <w:rPr>
          <w:sz w:val="22"/>
          <w:szCs w:val="22"/>
        </w:rPr>
        <w:t xml:space="preserve">drafts of </w:t>
      </w:r>
      <w:r w:rsidRPr="007D21B2">
        <w:rPr>
          <w:sz w:val="22"/>
          <w:szCs w:val="22"/>
        </w:rPr>
        <w:t>which will be circulated within a month of each meeting.</w:t>
      </w:r>
    </w:p>
    <w:p w14:paraId="5A06C12D" w14:textId="77777777" w:rsidR="00CB78D7" w:rsidRPr="007D21B2" w:rsidRDefault="00CB78D7" w:rsidP="00CB78D7">
      <w:pPr>
        <w:tabs>
          <w:tab w:val="left" w:pos="5580"/>
        </w:tabs>
        <w:rPr>
          <w:sz w:val="22"/>
          <w:szCs w:val="22"/>
        </w:rPr>
      </w:pPr>
      <w:r w:rsidRPr="007D21B2">
        <w:rPr>
          <w:sz w:val="22"/>
          <w:szCs w:val="22"/>
        </w:rPr>
        <w:t>Contacts with AEWA National Focal Points will be facilitated by the AEWA Secretariat, as required.</w:t>
      </w:r>
    </w:p>
    <w:p w14:paraId="376A57A6" w14:textId="77777777" w:rsidR="00BE39BC" w:rsidRPr="007D6719" w:rsidRDefault="00BE39BC" w:rsidP="007D21B2"/>
    <w:p w14:paraId="05B158D2" w14:textId="7F3F350E" w:rsidR="00F55446" w:rsidRDefault="00BE39BC" w:rsidP="00FD4AF1">
      <w:r>
        <w:rPr>
          <w:b/>
          <w:bCs/>
        </w:rPr>
        <w:t>5</w:t>
      </w:r>
      <w:r w:rsidR="00FB082B">
        <w:rPr>
          <w:b/>
          <w:bCs/>
        </w:rPr>
        <w:t xml:space="preserve">. </w:t>
      </w:r>
      <w:r w:rsidR="007D21B2">
        <w:rPr>
          <w:b/>
          <w:bCs/>
        </w:rPr>
        <w:t xml:space="preserve">  </w:t>
      </w:r>
      <w:r w:rsidR="00FB082B">
        <w:rPr>
          <w:b/>
          <w:bCs/>
        </w:rPr>
        <w:t>Duration of the project</w:t>
      </w:r>
    </w:p>
    <w:p w14:paraId="08432769" w14:textId="77777777" w:rsidR="00F55446" w:rsidRDefault="00F55446" w:rsidP="00FD4AF1"/>
    <w:p w14:paraId="134BADBB" w14:textId="48AB1355" w:rsidR="00F55446" w:rsidRPr="007D21B2" w:rsidRDefault="00FB082B" w:rsidP="00FD4AF1">
      <w:pPr>
        <w:rPr>
          <w:sz w:val="22"/>
          <w:szCs w:val="22"/>
        </w:rPr>
      </w:pPr>
      <w:bookmarkStart w:id="1" w:name="_Hlk126596818"/>
      <w:r w:rsidRPr="007D21B2">
        <w:rPr>
          <w:sz w:val="22"/>
          <w:szCs w:val="22"/>
        </w:rPr>
        <w:t xml:space="preserve">The work will be conducted over a two-year period. A final report shall be delivered by </w:t>
      </w:r>
      <w:r w:rsidR="00FD4AF1" w:rsidRPr="007D21B2">
        <w:rPr>
          <w:sz w:val="22"/>
          <w:szCs w:val="22"/>
        </w:rPr>
        <w:t>28 February 2025.</w:t>
      </w:r>
    </w:p>
    <w:bookmarkEnd w:id="1"/>
    <w:p w14:paraId="59549674" w14:textId="77777777" w:rsidR="00F55446" w:rsidRDefault="00F55446"/>
    <w:p w14:paraId="71DA0A99" w14:textId="5C151F8D" w:rsidR="00F55446" w:rsidRDefault="00F55446"/>
    <w:sectPr w:rsidR="00F55446" w:rsidSect="007D21B2">
      <w:headerReference w:type="default" r:id="rId8"/>
      <w:headerReference w:type="first" r:id="rId9"/>
      <w:pgSz w:w="11906" w:h="16838"/>
      <w:pgMar w:top="1138" w:right="1138" w:bottom="1138" w:left="1138" w:header="432" w:footer="4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36AB" w14:textId="77777777" w:rsidR="0057357A" w:rsidRDefault="0057357A">
      <w:r>
        <w:separator/>
      </w:r>
    </w:p>
  </w:endnote>
  <w:endnote w:type="continuationSeparator" w:id="0">
    <w:p w14:paraId="1D119414" w14:textId="77777777" w:rsidR="0057357A" w:rsidRDefault="0057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0C09" w14:textId="77777777" w:rsidR="0057357A" w:rsidRDefault="0057357A">
      <w:r>
        <w:separator/>
      </w:r>
    </w:p>
  </w:footnote>
  <w:footnote w:type="continuationSeparator" w:id="0">
    <w:p w14:paraId="6CA09894" w14:textId="77777777" w:rsidR="0057357A" w:rsidRDefault="0057357A">
      <w:r>
        <w:continuationSeparator/>
      </w:r>
    </w:p>
  </w:footnote>
  <w:footnote w:id="1">
    <w:p w14:paraId="27B68E56" w14:textId="00464D7B" w:rsidR="00991821" w:rsidRPr="00775715" w:rsidRDefault="00991821">
      <w:pPr>
        <w:pStyle w:val="FootnoteText"/>
        <w:rPr>
          <w:lang w:val="da-DK"/>
        </w:rPr>
      </w:pPr>
      <w:r>
        <w:rPr>
          <w:rStyle w:val="FootnoteReference"/>
        </w:rPr>
        <w:footnoteRef/>
      </w:r>
      <w:r>
        <w:t xml:space="preserve"> Declining quarry populations </w:t>
      </w:r>
      <w:r w:rsidR="00CE1879">
        <w:t xml:space="preserve">listed in Column B of AEWA Annex 3 Table 1 </w:t>
      </w:r>
      <w:r>
        <w:t xml:space="preserve">are identified and </w:t>
      </w:r>
      <w:proofErr w:type="spellStart"/>
      <w:r>
        <w:t>prioritised</w:t>
      </w:r>
      <w:proofErr w:type="spellEnd"/>
      <w:r>
        <w:t xml:space="preserve"> by the AEWA Technical Committee following the adoption of the amendments to Table 1 by MOP8.</w:t>
      </w:r>
      <w:r w:rsidR="00CE1879">
        <w:t xml:space="preserve"> </w:t>
      </w:r>
      <w:r>
        <w:t>In addition, rapid assessment of the sustainability of harvest is also necessary for declining quarry population</w:t>
      </w:r>
      <w:r w:rsidR="00CE1879">
        <w:t>s</w:t>
      </w:r>
      <w:r>
        <w:t xml:space="preserve"> listed in Column A of Table 1 but subject of </w:t>
      </w:r>
      <w:r w:rsidR="006B0EED">
        <w:t xml:space="preserve">reservation </w:t>
      </w:r>
      <w:r>
        <w:t xml:space="preserve">by one or more Contracting Parties and </w:t>
      </w:r>
      <w:r w:rsidR="00CE1879">
        <w:t>that are</w:t>
      </w:r>
      <w:r w:rsidR="006B0EED">
        <w:t xml:space="preserve"> not covered by a </w:t>
      </w:r>
      <w:r>
        <w:t xml:space="preserve">coordinated harvest management </w:t>
      </w:r>
      <w:r w:rsidR="006B0EED">
        <w:t xml:space="preserve">mechanism </w:t>
      </w:r>
      <w:r>
        <w:t>yet.</w:t>
      </w:r>
    </w:p>
  </w:footnote>
  <w:footnote w:id="2">
    <w:p w14:paraId="55C16905" w14:textId="6E9DF1BE" w:rsidR="005B7B48" w:rsidRPr="00775715" w:rsidRDefault="00B629AD" w:rsidP="006B0EED">
      <w:pPr>
        <w:autoSpaceDE w:val="0"/>
        <w:autoSpaceDN w:val="0"/>
        <w:adjustRightInd w:val="0"/>
        <w:rPr>
          <w:lang w:val="da-DK"/>
        </w:rPr>
      </w:pPr>
      <w:r>
        <w:rPr>
          <w:rStyle w:val="FootnoteReference"/>
        </w:rPr>
        <w:t>2</w:t>
      </w:r>
      <w:r w:rsidR="005B7B48">
        <w:t xml:space="preserve"> </w:t>
      </w:r>
      <w:r w:rsidR="005B7B48">
        <w:rPr>
          <w:sz w:val="20"/>
          <w:szCs w:val="20"/>
          <w:lang w:val="da-DK"/>
        </w:rPr>
        <w:t>For example, u</w:t>
      </w:r>
      <w:r w:rsidR="005B7B48" w:rsidRPr="00775715">
        <w:rPr>
          <w:sz w:val="20"/>
          <w:szCs w:val="20"/>
          <w:lang w:val="da-DK"/>
        </w:rPr>
        <w:t>sing ’popharvest’: An R package to assess the sustainability of</w:t>
      </w:r>
      <w:r w:rsidR="006B0EED">
        <w:rPr>
          <w:sz w:val="20"/>
          <w:szCs w:val="20"/>
          <w:lang w:val="da-DK"/>
        </w:rPr>
        <w:t xml:space="preserve"> </w:t>
      </w:r>
      <w:r w:rsidR="005B7B48" w:rsidRPr="00775715">
        <w:rPr>
          <w:sz w:val="20"/>
          <w:szCs w:val="20"/>
          <w:lang w:val="da-DK"/>
        </w:rPr>
        <w:t>harvesting regimes of bird populations</w:t>
      </w:r>
      <w:r w:rsidR="005B7B48" w:rsidRPr="00786034">
        <w:rPr>
          <w:sz w:val="20"/>
          <w:szCs w:val="20"/>
          <w:lang w:val="da-DK"/>
        </w:rPr>
        <w:t xml:space="preserve"> (published in </w:t>
      </w:r>
      <w:r w:rsidR="005B7B48" w:rsidRPr="00775715">
        <w:rPr>
          <w:sz w:val="20"/>
          <w:szCs w:val="20"/>
          <w:lang w:val="da-DK"/>
        </w:rPr>
        <w:t>Ecology and Evolution. 2021;11:16562–16571</w:t>
      </w:r>
      <w:r w:rsidR="005B7B48" w:rsidRPr="00786034">
        <w:rPr>
          <w:sz w:val="20"/>
          <w:szCs w:val="20"/>
          <w:lang w:val="da-DK"/>
        </w:rPr>
        <w:t>)</w:t>
      </w:r>
    </w:p>
    <w:p w14:paraId="7290FB4A" w14:textId="77E6D5F5" w:rsidR="005B7B48" w:rsidRDefault="005B7B4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A74E" w14:textId="666140B5" w:rsidR="00F55446" w:rsidRDefault="00F55446">
    <w:pPr>
      <w:jc w:val="center"/>
    </w:pPr>
  </w:p>
  <w:p w14:paraId="75AC6427" w14:textId="77777777" w:rsidR="00F55446" w:rsidRDefault="00F5544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7D21B2" w:rsidRPr="007D21B2" w14:paraId="7A4FAB78" w14:textId="77777777" w:rsidTr="003339D9">
      <w:trPr>
        <w:trHeight w:val="1264"/>
      </w:trPr>
      <w:tc>
        <w:tcPr>
          <w:tcW w:w="1809" w:type="dxa"/>
          <w:tcMar>
            <w:top w:w="0" w:type="dxa"/>
            <w:left w:w="108" w:type="dxa"/>
            <w:bottom w:w="0" w:type="dxa"/>
            <w:right w:w="108" w:type="dxa"/>
          </w:tcMar>
        </w:tcPr>
        <w:p w14:paraId="27EF1F82" w14:textId="77777777" w:rsidR="007D21B2" w:rsidRPr="007D21B2" w:rsidRDefault="007D21B2" w:rsidP="007D21B2">
          <w:pPr>
            <w:spacing w:line="276" w:lineRule="auto"/>
            <w:jc w:val="left"/>
            <w:rPr>
              <w:lang w:val="en-GB" w:eastAsia="en-GB"/>
            </w:rPr>
          </w:pPr>
          <w:r w:rsidRPr="007D21B2">
            <w:rPr>
              <w:noProof/>
              <w:lang w:val="en-GB"/>
            </w:rPr>
            <w:drawing>
              <wp:anchor distT="0" distB="0" distL="114300" distR="114300" simplePos="0" relativeHeight="251659264" behindDoc="0" locked="0" layoutInCell="1" allowOverlap="1" wp14:anchorId="2A8FF3CC" wp14:editId="6F889520">
                <wp:simplePos x="0" y="0"/>
                <wp:positionH relativeFrom="column">
                  <wp:posOffset>137160</wp:posOffset>
                </wp:positionH>
                <wp:positionV relativeFrom="paragraph">
                  <wp:posOffset>10795</wp:posOffset>
                </wp:positionV>
                <wp:extent cx="735965" cy="609600"/>
                <wp:effectExtent l="0" t="0" r="6985" b="0"/>
                <wp:wrapNone/>
                <wp:docPr id="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1B9896DF" w14:textId="77777777" w:rsidR="007D21B2" w:rsidRPr="007D21B2" w:rsidRDefault="007D21B2" w:rsidP="007D21B2">
          <w:pPr>
            <w:spacing w:line="276" w:lineRule="auto"/>
            <w:jc w:val="left"/>
            <w:rPr>
              <w:lang w:val="en-GB" w:eastAsia="en-GB"/>
            </w:rPr>
          </w:pPr>
        </w:p>
        <w:p w14:paraId="47E097EB" w14:textId="77777777" w:rsidR="007D21B2" w:rsidRPr="007D21B2" w:rsidRDefault="007D21B2" w:rsidP="007D21B2">
          <w:pPr>
            <w:spacing w:line="276" w:lineRule="auto"/>
            <w:jc w:val="left"/>
            <w:rPr>
              <w:lang w:val="en-GB" w:eastAsia="en-GB"/>
            </w:rPr>
          </w:pPr>
        </w:p>
        <w:p w14:paraId="0E30E0F9" w14:textId="77777777" w:rsidR="007D21B2" w:rsidRPr="007D21B2" w:rsidRDefault="007D21B2" w:rsidP="007D21B2">
          <w:pPr>
            <w:spacing w:line="276" w:lineRule="auto"/>
            <w:jc w:val="left"/>
            <w:rPr>
              <w:lang w:val="en-GB" w:eastAsia="en-GB"/>
            </w:rPr>
          </w:pPr>
        </w:p>
      </w:tc>
      <w:tc>
        <w:tcPr>
          <w:tcW w:w="5679" w:type="dxa"/>
          <w:tcMar>
            <w:top w:w="0" w:type="dxa"/>
            <w:left w:w="108" w:type="dxa"/>
            <w:bottom w:w="0" w:type="dxa"/>
            <w:right w:w="108" w:type="dxa"/>
          </w:tcMar>
        </w:tcPr>
        <w:p w14:paraId="043378B1" w14:textId="77777777" w:rsidR="007D21B2" w:rsidRPr="007D21B2" w:rsidRDefault="007D21B2" w:rsidP="007D21B2">
          <w:pPr>
            <w:tabs>
              <w:tab w:val="left" w:pos="-720"/>
            </w:tabs>
            <w:spacing w:line="276" w:lineRule="auto"/>
            <w:jc w:val="center"/>
            <w:rPr>
              <w:i/>
              <w:kern w:val="3"/>
              <w:lang w:val="en-GB" w:eastAsia="en-GB"/>
            </w:rPr>
          </w:pPr>
          <w:r w:rsidRPr="007D21B2">
            <w:rPr>
              <w:i/>
              <w:kern w:val="3"/>
              <w:sz w:val="22"/>
              <w:szCs w:val="22"/>
              <w:lang w:val="en-GB" w:eastAsia="en-GB"/>
            </w:rPr>
            <w:t xml:space="preserve">AGREEMENT ON THE CONSERVATION OF </w:t>
          </w:r>
        </w:p>
        <w:p w14:paraId="45A9D5AC" w14:textId="77777777" w:rsidR="007D21B2" w:rsidRPr="007D21B2" w:rsidRDefault="007D21B2" w:rsidP="007D21B2">
          <w:pPr>
            <w:tabs>
              <w:tab w:val="left" w:pos="-720"/>
            </w:tabs>
            <w:spacing w:line="276" w:lineRule="auto"/>
            <w:jc w:val="center"/>
            <w:rPr>
              <w:i/>
              <w:kern w:val="3"/>
              <w:lang w:val="en-GB" w:eastAsia="en-GB"/>
            </w:rPr>
          </w:pPr>
          <w:r w:rsidRPr="007D21B2">
            <w:rPr>
              <w:i/>
              <w:kern w:val="3"/>
              <w:sz w:val="22"/>
              <w:szCs w:val="22"/>
              <w:lang w:val="en-GB" w:eastAsia="en-GB"/>
            </w:rPr>
            <w:t xml:space="preserve">AFRICAN-EURASIAN MIGRATORY WATERBIRDS           </w:t>
          </w:r>
        </w:p>
        <w:p w14:paraId="1F770A3E" w14:textId="77777777" w:rsidR="007D21B2" w:rsidRPr="007D21B2" w:rsidRDefault="007D21B2" w:rsidP="007D21B2">
          <w:pPr>
            <w:tabs>
              <w:tab w:val="left" w:pos="-720"/>
            </w:tabs>
            <w:spacing w:line="276" w:lineRule="auto"/>
            <w:jc w:val="center"/>
            <w:rPr>
              <w:rFonts w:ascii="Arial" w:hAnsi="Arial" w:cs="Arial"/>
              <w:i/>
              <w:kern w:val="3"/>
              <w:sz w:val="20"/>
              <w:szCs w:val="20"/>
              <w:lang w:val="en-GB" w:eastAsia="en-GB"/>
            </w:rPr>
          </w:pPr>
        </w:p>
        <w:p w14:paraId="34D0AF6F" w14:textId="77777777" w:rsidR="007D21B2" w:rsidRPr="007D21B2" w:rsidRDefault="007D21B2" w:rsidP="007D21B2">
          <w:pPr>
            <w:spacing w:line="276" w:lineRule="auto"/>
            <w:jc w:val="left"/>
            <w:rPr>
              <w:i/>
              <w:lang w:val="en-GB" w:eastAsia="en-GB"/>
            </w:rPr>
          </w:pPr>
        </w:p>
      </w:tc>
      <w:tc>
        <w:tcPr>
          <w:tcW w:w="2366" w:type="dxa"/>
          <w:tcMar>
            <w:top w:w="0" w:type="dxa"/>
            <w:left w:w="108" w:type="dxa"/>
            <w:bottom w:w="0" w:type="dxa"/>
            <w:right w:w="108" w:type="dxa"/>
          </w:tcMar>
        </w:tcPr>
        <w:p w14:paraId="44E71708" w14:textId="0A363F21" w:rsidR="007D21B2" w:rsidRPr="007D21B2" w:rsidRDefault="007D21B2" w:rsidP="007D21B2">
          <w:pPr>
            <w:spacing w:line="276" w:lineRule="auto"/>
            <w:ind w:hanging="108"/>
            <w:jc w:val="right"/>
            <w:rPr>
              <w:i/>
              <w:sz w:val="20"/>
              <w:szCs w:val="20"/>
              <w:lang w:val="pt-PT" w:eastAsia="en-GB"/>
            </w:rPr>
          </w:pPr>
          <w:r w:rsidRPr="007D21B2">
            <w:rPr>
              <w:i/>
              <w:sz w:val="20"/>
              <w:szCs w:val="20"/>
              <w:lang w:val="pt-PT" w:eastAsia="en-GB"/>
            </w:rPr>
            <w:t>Doc AEWA/TC 18.1</w:t>
          </w:r>
          <w:r>
            <w:rPr>
              <w:i/>
              <w:sz w:val="20"/>
              <w:szCs w:val="20"/>
              <w:lang w:val="pt-PT" w:eastAsia="en-GB"/>
            </w:rPr>
            <w:t>9</w:t>
          </w:r>
          <w:r w:rsidRPr="007D21B2">
            <w:rPr>
              <w:i/>
              <w:sz w:val="20"/>
              <w:szCs w:val="20"/>
              <w:lang w:val="pt-PT" w:eastAsia="en-GB"/>
            </w:rPr>
            <w:t xml:space="preserve"> </w:t>
          </w:r>
        </w:p>
        <w:p w14:paraId="706B6259" w14:textId="1FC15EAF" w:rsidR="007D21B2" w:rsidRPr="007D21B2" w:rsidRDefault="007D21B2" w:rsidP="007D21B2">
          <w:pPr>
            <w:spacing w:line="276" w:lineRule="auto"/>
            <w:ind w:hanging="108"/>
            <w:jc w:val="right"/>
            <w:rPr>
              <w:i/>
              <w:sz w:val="20"/>
              <w:szCs w:val="20"/>
              <w:lang w:val="pt-PT" w:eastAsia="en-GB"/>
            </w:rPr>
          </w:pPr>
          <w:r w:rsidRPr="007D21B2">
            <w:rPr>
              <w:i/>
              <w:sz w:val="20"/>
              <w:szCs w:val="20"/>
              <w:lang w:val="pt-PT" w:eastAsia="en-GB"/>
            </w:rPr>
            <w:t>Agenda item 9.</w:t>
          </w:r>
          <w:r>
            <w:rPr>
              <w:i/>
              <w:sz w:val="20"/>
              <w:szCs w:val="20"/>
              <w:lang w:val="pt-PT" w:eastAsia="en-GB"/>
            </w:rPr>
            <w:t>4</w:t>
          </w:r>
        </w:p>
        <w:p w14:paraId="62A8E55E" w14:textId="77777777" w:rsidR="007D21B2" w:rsidRPr="007D21B2" w:rsidRDefault="007D21B2" w:rsidP="007D21B2">
          <w:pPr>
            <w:spacing w:line="276" w:lineRule="auto"/>
            <w:ind w:hanging="108"/>
            <w:jc w:val="right"/>
            <w:rPr>
              <w:i/>
              <w:sz w:val="20"/>
              <w:szCs w:val="20"/>
              <w:lang w:val="pt-PT" w:eastAsia="en-GB"/>
            </w:rPr>
          </w:pPr>
          <w:r w:rsidRPr="007D21B2">
            <w:rPr>
              <w:i/>
              <w:sz w:val="20"/>
              <w:szCs w:val="20"/>
              <w:lang w:val="pt-PT" w:eastAsia="en-GB"/>
            </w:rPr>
            <w:t>7 February 2023</w:t>
          </w:r>
        </w:p>
        <w:p w14:paraId="04743CDD" w14:textId="77777777" w:rsidR="007D21B2" w:rsidRPr="007D21B2" w:rsidRDefault="007D21B2" w:rsidP="007D21B2">
          <w:pPr>
            <w:spacing w:line="276" w:lineRule="auto"/>
            <w:jc w:val="right"/>
            <w:rPr>
              <w:i/>
              <w:sz w:val="20"/>
              <w:szCs w:val="20"/>
              <w:lang w:val="pt-PT" w:eastAsia="en-GB"/>
            </w:rPr>
          </w:pPr>
        </w:p>
      </w:tc>
    </w:tr>
    <w:tr w:rsidR="007D21B2" w:rsidRPr="007D21B2" w14:paraId="10EDEE51" w14:textId="77777777" w:rsidTr="003339D9">
      <w:tc>
        <w:tcPr>
          <w:tcW w:w="9854" w:type="dxa"/>
          <w:gridSpan w:val="3"/>
          <w:tcBorders>
            <w:top w:val="nil"/>
            <w:left w:val="nil"/>
            <w:bottom w:val="single" w:sz="4" w:space="0" w:color="000000"/>
            <w:right w:val="nil"/>
          </w:tcBorders>
          <w:tcMar>
            <w:top w:w="0" w:type="dxa"/>
            <w:left w:w="108" w:type="dxa"/>
            <w:bottom w:w="0" w:type="dxa"/>
            <w:right w:w="108" w:type="dxa"/>
          </w:tcMar>
        </w:tcPr>
        <w:p w14:paraId="5D721BD8" w14:textId="77777777" w:rsidR="007D21B2" w:rsidRPr="007D21B2" w:rsidRDefault="007D21B2" w:rsidP="007D21B2">
          <w:pPr>
            <w:spacing w:line="276" w:lineRule="auto"/>
            <w:jc w:val="center"/>
            <w:rPr>
              <w:lang w:val="en-GB" w:eastAsia="en-GB"/>
            </w:rPr>
          </w:pPr>
          <w:r w:rsidRPr="007D21B2">
            <w:rPr>
              <w:b/>
              <w:lang w:val="en-GB" w:eastAsia="en-GB"/>
            </w:rPr>
            <w:t>18</w:t>
          </w:r>
          <w:r w:rsidRPr="007D21B2">
            <w:rPr>
              <w:b/>
              <w:vertAlign w:val="superscript"/>
              <w:lang w:val="en-GB" w:eastAsia="en-GB"/>
            </w:rPr>
            <w:t>th</w:t>
          </w:r>
          <w:r w:rsidRPr="007D21B2">
            <w:rPr>
              <w:b/>
              <w:lang w:val="en-GB" w:eastAsia="en-GB"/>
            </w:rPr>
            <w:t xml:space="preserve"> MEETING OF THE TECHNICAL COMMITTEE</w:t>
          </w:r>
        </w:p>
        <w:p w14:paraId="7DA3140B" w14:textId="77777777" w:rsidR="007D21B2" w:rsidRPr="007D21B2" w:rsidRDefault="007D21B2" w:rsidP="007D21B2">
          <w:pPr>
            <w:spacing w:line="276" w:lineRule="auto"/>
            <w:jc w:val="center"/>
            <w:rPr>
              <w:i/>
              <w:lang w:val="en-GB" w:eastAsia="en-GB"/>
            </w:rPr>
          </w:pPr>
          <w:r w:rsidRPr="007D21B2">
            <w:rPr>
              <w:i/>
              <w:sz w:val="22"/>
              <w:szCs w:val="22"/>
              <w:lang w:val="en-GB" w:eastAsia="en-GB"/>
            </w:rPr>
            <w:t>14-16 March 2023, Bonn, Germany</w:t>
          </w:r>
        </w:p>
        <w:p w14:paraId="7444DD62" w14:textId="77777777" w:rsidR="007D21B2" w:rsidRPr="007D21B2" w:rsidRDefault="007D21B2" w:rsidP="007D21B2">
          <w:pPr>
            <w:spacing w:line="276" w:lineRule="auto"/>
            <w:jc w:val="left"/>
            <w:rPr>
              <w:u w:val="single"/>
              <w:lang w:val="en-GB" w:eastAsia="en-GB"/>
            </w:rPr>
          </w:pPr>
        </w:p>
      </w:tc>
    </w:tr>
  </w:tbl>
  <w:p w14:paraId="15F1FD17" w14:textId="77777777" w:rsidR="007D21B2" w:rsidRDefault="007D2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9E43B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4A159A"/>
    <w:multiLevelType w:val="hybridMultilevel"/>
    <w:tmpl w:val="C2AA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03461"/>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7331210">
    <w:abstractNumId w:val="0"/>
  </w:num>
  <w:num w:numId="2" w16cid:durableId="1317295346">
    <w:abstractNumId w:val="1"/>
  </w:num>
  <w:num w:numId="3" w16cid:durableId="25258950">
    <w:abstractNumId w:val="2"/>
  </w:num>
  <w:num w:numId="4" w16cid:durableId="613292451">
    <w:abstractNumId w:val="3"/>
  </w:num>
  <w:num w:numId="5" w16cid:durableId="265310758">
    <w:abstractNumId w:val="4"/>
  </w:num>
  <w:num w:numId="6" w16cid:durableId="822039302">
    <w:abstractNumId w:val="7"/>
  </w:num>
  <w:num w:numId="7" w16cid:durableId="402142319">
    <w:abstractNumId w:val="5"/>
  </w:num>
  <w:num w:numId="8" w16cid:durableId="1098714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446"/>
    <w:rsid w:val="00010512"/>
    <w:rsid w:val="00063941"/>
    <w:rsid w:val="000A012E"/>
    <w:rsid w:val="000F1471"/>
    <w:rsid w:val="0010504C"/>
    <w:rsid w:val="00110979"/>
    <w:rsid w:val="001362A1"/>
    <w:rsid w:val="001A0D27"/>
    <w:rsid w:val="002037CA"/>
    <w:rsid w:val="00236F51"/>
    <w:rsid w:val="002930E1"/>
    <w:rsid w:val="002C2BAE"/>
    <w:rsid w:val="002E70B8"/>
    <w:rsid w:val="003009C2"/>
    <w:rsid w:val="003D3FE7"/>
    <w:rsid w:val="00421438"/>
    <w:rsid w:val="004B622F"/>
    <w:rsid w:val="00502E70"/>
    <w:rsid w:val="00546946"/>
    <w:rsid w:val="0057357A"/>
    <w:rsid w:val="005B7B48"/>
    <w:rsid w:val="005F7A6F"/>
    <w:rsid w:val="006042AB"/>
    <w:rsid w:val="00647492"/>
    <w:rsid w:val="006555B0"/>
    <w:rsid w:val="006739CB"/>
    <w:rsid w:val="006A1503"/>
    <w:rsid w:val="006B0EED"/>
    <w:rsid w:val="006F3184"/>
    <w:rsid w:val="007078B9"/>
    <w:rsid w:val="00733B42"/>
    <w:rsid w:val="00775715"/>
    <w:rsid w:val="00786034"/>
    <w:rsid w:val="0079162E"/>
    <w:rsid w:val="007D21B2"/>
    <w:rsid w:val="007D6719"/>
    <w:rsid w:val="007E4430"/>
    <w:rsid w:val="008219BE"/>
    <w:rsid w:val="00877232"/>
    <w:rsid w:val="0088476B"/>
    <w:rsid w:val="00885A29"/>
    <w:rsid w:val="008A72EF"/>
    <w:rsid w:val="00927A02"/>
    <w:rsid w:val="00952913"/>
    <w:rsid w:val="00956A10"/>
    <w:rsid w:val="00966576"/>
    <w:rsid w:val="00991821"/>
    <w:rsid w:val="00997586"/>
    <w:rsid w:val="009B30D7"/>
    <w:rsid w:val="009B5241"/>
    <w:rsid w:val="00A457D4"/>
    <w:rsid w:val="00B33E92"/>
    <w:rsid w:val="00B629AD"/>
    <w:rsid w:val="00B93515"/>
    <w:rsid w:val="00BA36E9"/>
    <w:rsid w:val="00BE39BC"/>
    <w:rsid w:val="00C16ECD"/>
    <w:rsid w:val="00C402DF"/>
    <w:rsid w:val="00C53666"/>
    <w:rsid w:val="00C77B54"/>
    <w:rsid w:val="00C90C02"/>
    <w:rsid w:val="00CB78D7"/>
    <w:rsid w:val="00CC0D69"/>
    <w:rsid w:val="00CE1879"/>
    <w:rsid w:val="00CF4ED8"/>
    <w:rsid w:val="00D83DC5"/>
    <w:rsid w:val="00DD50F3"/>
    <w:rsid w:val="00E10BA2"/>
    <w:rsid w:val="00E65250"/>
    <w:rsid w:val="00EC0192"/>
    <w:rsid w:val="00F26DE2"/>
    <w:rsid w:val="00F55446"/>
    <w:rsid w:val="00FB082B"/>
    <w:rsid w:val="00FD4AF1"/>
    <w:rsid w:val="00FD659F"/>
    <w:rsid w:val="00FF0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1A11"/>
  <w15:docId w15:val="{53EA4E51-44D5-4E8B-A369-1C14FAAA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jc w:val="both"/>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sid w:val="009B5241"/>
    <w:rPr>
      <w:b/>
      <w:bCs/>
    </w:rPr>
  </w:style>
  <w:style w:type="character" w:customStyle="1" w:styleId="CommentSubjectChar">
    <w:name w:val="Comment Subject Char"/>
    <w:basedOn w:val="CommentTextChar"/>
    <w:link w:val="CommentSubject"/>
    <w:uiPriority w:val="99"/>
    <w:semiHidden/>
    <w:rsid w:val="009B5241"/>
    <w:rPr>
      <w:b/>
      <w:bCs/>
    </w:rPr>
  </w:style>
  <w:style w:type="character" w:styleId="Hyperlink">
    <w:name w:val="Hyperlink"/>
    <w:basedOn w:val="DefaultParagraphFont"/>
    <w:uiPriority w:val="99"/>
    <w:unhideWhenUsed/>
    <w:rsid w:val="00FD659F"/>
    <w:rPr>
      <w:color w:val="0000FF" w:themeColor="hyperlink"/>
      <w:u w:val="single"/>
    </w:rPr>
  </w:style>
  <w:style w:type="character" w:customStyle="1" w:styleId="UnresolvedMention1">
    <w:name w:val="Unresolved Mention1"/>
    <w:basedOn w:val="DefaultParagraphFont"/>
    <w:uiPriority w:val="99"/>
    <w:semiHidden/>
    <w:unhideWhenUsed/>
    <w:rsid w:val="00FD659F"/>
    <w:rPr>
      <w:color w:val="605E5C"/>
      <w:shd w:val="clear" w:color="auto" w:fill="E1DFDD"/>
    </w:rPr>
  </w:style>
  <w:style w:type="paragraph" w:styleId="Revision">
    <w:name w:val="Revision"/>
    <w:hidden/>
    <w:uiPriority w:val="99"/>
    <w:semiHidden/>
    <w:rsid w:val="006739CB"/>
    <w:rPr>
      <w:sz w:val="24"/>
      <w:szCs w:val="24"/>
    </w:rPr>
  </w:style>
  <w:style w:type="paragraph" w:styleId="BalloonText">
    <w:name w:val="Balloon Text"/>
    <w:basedOn w:val="Normal"/>
    <w:link w:val="BalloonTextChar"/>
    <w:uiPriority w:val="99"/>
    <w:semiHidden/>
    <w:unhideWhenUsed/>
    <w:rsid w:val="000A0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12E"/>
    <w:rPr>
      <w:rFonts w:ascii="Segoe UI" w:hAnsi="Segoe UI" w:cs="Segoe UI"/>
      <w:sz w:val="18"/>
      <w:szCs w:val="18"/>
    </w:rPr>
  </w:style>
  <w:style w:type="paragraph" w:styleId="FootnoteText">
    <w:name w:val="footnote text"/>
    <w:basedOn w:val="Normal"/>
    <w:link w:val="FootnoteTextChar"/>
    <w:uiPriority w:val="99"/>
    <w:semiHidden/>
    <w:unhideWhenUsed/>
    <w:rsid w:val="00991821"/>
    <w:rPr>
      <w:sz w:val="20"/>
      <w:szCs w:val="20"/>
    </w:rPr>
  </w:style>
  <w:style w:type="character" w:customStyle="1" w:styleId="FootnoteTextChar">
    <w:name w:val="Footnote Text Char"/>
    <w:basedOn w:val="DefaultParagraphFont"/>
    <w:link w:val="FootnoteText"/>
    <w:uiPriority w:val="99"/>
    <w:semiHidden/>
    <w:rsid w:val="00991821"/>
  </w:style>
  <w:style w:type="character" w:styleId="FootnoteReference">
    <w:name w:val="footnote reference"/>
    <w:basedOn w:val="DefaultParagraphFont"/>
    <w:uiPriority w:val="99"/>
    <w:semiHidden/>
    <w:unhideWhenUsed/>
    <w:rsid w:val="00991821"/>
    <w:rPr>
      <w:vertAlign w:val="superscript"/>
    </w:rPr>
  </w:style>
  <w:style w:type="paragraph" w:styleId="ListParagraph">
    <w:name w:val="List Paragraph"/>
    <w:basedOn w:val="Normal"/>
    <w:uiPriority w:val="34"/>
    <w:qFormat/>
    <w:rsid w:val="00786034"/>
    <w:pPr>
      <w:ind w:left="720"/>
      <w:contextualSpacing/>
    </w:pPr>
  </w:style>
  <w:style w:type="paragraph" w:styleId="Header">
    <w:name w:val="header"/>
    <w:basedOn w:val="Normal"/>
    <w:link w:val="HeaderChar"/>
    <w:uiPriority w:val="99"/>
    <w:unhideWhenUsed/>
    <w:rsid w:val="002C2BAE"/>
    <w:pPr>
      <w:tabs>
        <w:tab w:val="center" w:pos="4680"/>
        <w:tab w:val="right" w:pos="9360"/>
      </w:tabs>
    </w:pPr>
  </w:style>
  <w:style w:type="character" w:customStyle="1" w:styleId="HeaderChar">
    <w:name w:val="Header Char"/>
    <w:basedOn w:val="DefaultParagraphFont"/>
    <w:link w:val="Header"/>
    <w:uiPriority w:val="99"/>
    <w:rsid w:val="002C2BAE"/>
    <w:rPr>
      <w:sz w:val="24"/>
      <w:szCs w:val="24"/>
    </w:rPr>
  </w:style>
  <w:style w:type="paragraph" w:styleId="Footer">
    <w:name w:val="footer"/>
    <w:basedOn w:val="Normal"/>
    <w:link w:val="FooterChar"/>
    <w:uiPriority w:val="99"/>
    <w:unhideWhenUsed/>
    <w:rsid w:val="002C2BAE"/>
    <w:pPr>
      <w:tabs>
        <w:tab w:val="center" w:pos="4680"/>
        <w:tab w:val="right" w:pos="9360"/>
      </w:tabs>
    </w:pPr>
  </w:style>
  <w:style w:type="character" w:customStyle="1" w:styleId="FooterChar">
    <w:name w:val="Footer Char"/>
    <w:basedOn w:val="DefaultParagraphFont"/>
    <w:link w:val="Footer"/>
    <w:uiPriority w:val="99"/>
    <w:rsid w:val="002C2B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5603-36DC-4D19-8BFD-7644BC1F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Ellis (Conservation)</dc:creator>
  <cp:lastModifiedBy>Jeannine Dicken</cp:lastModifiedBy>
  <cp:revision>3</cp:revision>
  <dcterms:created xsi:type="dcterms:W3CDTF">2023-02-07T08:27:00Z</dcterms:created>
  <dcterms:modified xsi:type="dcterms:W3CDTF">2023-02-07T08:34:00Z</dcterms:modified>
</cp:coreProperties>
</file>