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E1DBB" w14:textId="1517EA22" w:rsidR="00657373" w:rsidRDefault="0005524A">
      <w:pPr>
        <w:tabs>
          <w:tab w:val="left" w:pos="3052"/>
          <w:tab w:val="left" w:pos="4983"/>
          <w:tab w:val="left" w:pos="7159"/>
        </w:tabs>
        <w:ind w:left="660"/>
        <w:rPr>
          <w:rFonts w:ascii="Times New Roman"/>
          <w:sz w:val="20"/>
        </w:rPr>
      </w:pPr>
      <w:r>
        <w:rPr>
          <w:rFonts w:ascii="Times New Roman"/>
          <w:noProof/>
          <w:position w:val="8"/>
          <w:sz w:val="20"/>
        </w:rPr>
        <w:drawing>
          <wp:anchor distT="0" distB="0" distL="114300" distR="114300" simplePos="0" relativeHeight="251646464" behindDoc="0" locked="0" layoutInCell="1" allowOverlap="1" wp14:anchorId="1BC0D4C8" wp14:editId="04851473">
            <wp:simplePos x="0" y="0"/>
            <wp:positionH relativeFrom="column">
              <wp:posOffset>5289550</wp:posOffset>
            </wp:positionH>
            <wp:positionV relativeFrom="paragraph">
              <wp:posOffset>99060</wp:posOffset>
            </wp:positionV>
            <wp:extent cx="792480" cy="584835"/>
            <wp:effectExtent l="0" t="0" r="0" b="0"/>
            <wp:wrapSquare wrapText="bothSides"/>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2480" cy="584835"/>
                    </a:xfrm>
                    <a:prstGeom prst="rect">
                      <a:avLst/>
                    </a:prstGeom>
                  </pic:spPr>
                </pic:pic>
              </a:graphicData>
            </a:graphic>
          </wp:anchor>
        </w:drawing>
      </w:r>
      <w:r>
        <w:rPr>
          <w:rFonts w:ascii="Times New Roman"/>
          <w:noProof/>
          <w:position w:val="9"/>
          <w:sz w:val="20"/>
        </w:rPr>
        <w:drawing>
          <wp:anchor distT="0" distB="0" distL="114300" distR="114300" simplePos="0" relativeHeight="251662848" behindDoc="0" locked="0" layoutInCell="1" allowOverlap="1" wp14:anchorId="7AAE6931" wp14:editId="4EA5AEBA">
            <wp:simplePos x="0" y="0"/>
            <wp:positionH relativeFrom="column">
              <wp:posOffset>2308225</wp:posOffset>
            </wp:positionH>
            <wp:positionV relativeFrom="paragraph">
              <wp:posOffset>118110</wp:posOffset>
            </wp:positionV>
            <wp:extent cx="450850" cy="607695"/>
            <wp:effectExtent l="0" t="0" r="0" b="0"/>
            <wp:wrapSquare wrapText="bothSides"/>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0850" cy="607695"/>
                    </a:xfrm>
                    <a:prstGeom prst="rect">
                      <a:avLst/>
                    </a:prstGeom>
                  </pic:spPr>
                </pic:pic>
              </a:graphicData>
            </a:graphic>
          </wp:anchor>
        </w:drawing>
      </w:r>
      <w:r>
        <w:rPr>
          <w:rFonts w:ascii="Times New Roman"/>
          <w:noProof/>
          <w:position w:val="8"/>
          <w:sz w:val="20"/>
        </w:rPr>
        <w:drawing>
          <wp:anchor distT="0" distB="0" distL="114300" distR="114300" simplePos="0" relativeHeight="251653632" behindDoc="0" locked="0" layoutInCell="1" allowOverlap="1" wp14:anchorId="636C6751" wp14:editId="2CFB1766">
            <wp:simplePos x="0" y="0"/>
            <wp:positionH relativeFrom="column">
              <wp:posOffset>3660775</wp:posOffset>
            </wp:positionH>
            <wp:positionV relativeFrom="paragraph">
              <wp:posOffset>89535</wp:posOffset>
            </wp:positionV>
            <wp:extent cx="635000" cy="635000"/>
            <wp:effectExtent l="0" t="0" r="0" b="0"/>
            <wp:wrapSquare wrapText="bothSides"/>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anchor>
        </w:drawing>
      </w:r>
      <w:r>
        <w:rPr>
          <w:rFonts w:ascii="Times New Roman"/>
          <w:noProof/>
          <w:sz w:val="20"/>
        </w:rPr>
        <w:drawing>
          <wp:anchor distT="0" distB="0" distL="114300" distR="114300" simplePos="0" relativeHeight="251671040" behindDoc="0" locked="0" layoutInCell="1" allowOverlap="1" wp14:anchorId="1204DB2E" wp14:editId="517DDE9C">
            <wp:simplePos x="0" y="0"/>
            <wp:positionH relativeFrom="column">
              <wp:posOffset>422275</wp:posOffset>
            </wp:positionH>
            <wp:positionV relativeFrom="paragraph">
              <wp:posOffset>80010</wp:posOffset>
            </wp:positionV>
            <wp:extent cx="781685" cy="662305"/>
            <wp:effectExtent l="0" t="0" r="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1685" cy="662305"/>
                    </a:xfrm>
                    <a:prstGeom prst="rect">
                      <a:avLst/>
                    </a:prstGeom>
                  </pic:spPr>
                </pic:pic>
              </a:graphicData>
            </a:graphic>
          </wp:anchor>
        </w:drawing>
      </w:r>
      <w:r w:rsidR="005E3681">
        <w:rPr>
          <w:rFonts w:ascii="Times New Roman"/>
          <w:sz w:val="20"/>
        </w:rPr>
        <w:tab/>
      </w:r>
      <w:r w:rsidR="005E3681">
        <w:rPr>
          <w:rFonts w:ascii="Times New Roman"/>
          <w:position w:val="9"/>
          <w:sz w:val="20"/>
        </w:rPr>
        <w:tab/>
      </w:r>
      <w:r w:rsidR="005E3681">
        <w:rPr>
          <w:rFonts w:ascii="Times New Roman"/>
          <w:position w:val="8"/>
          <w:sz w:val="20"/>
        </w:rPr>
        <w:tab/>
      </w:r>
    </w:p>
    <w:p w14:paraId="2A876973" w14:textId="422AD197" w:rsidR="00657373" w:rsidRDefault="00657373">
      <w:pPr>
        <w:pStyle w:val="BodyText"/>
        <w:rPr>
          <w:rFonts w:ascii="Times New Roman"/>
          <w:sz w:val="20"/>
        </w:rPr>
      </w:pPr>
    </w:p>
    <w:p w14:paraId="27E52470" w14:textId="57756695" w:rsidR="00657373" w:rsidRDefault="00657373">
      <w:pPr>
        <w:pStyle w:val="BodyText"/>
        <w:rPr>
          <w:rFonts w:ascii="Times New Roman"/>
          <w:sz w:val="20"/>
        </w:rPr>
      </w:pPr>
    </w:p>
    <w:p w14:paraId="1CB3B75A" w14:textId="692ADE16" w:rsidR="00657373" w:rsidRDefault="00657373">
      <w:pPr>
        <w:pStyle w:val="BodyText"/>
        <w:rPr>
          <w:rFonts w:ascii="Times New Roman"/>
          <w:sz w:val="20"/>
        </w:rPr>
      </w:pPr>
    </w:p>
    <w:p w14:paraId="358DC94B" w14:textId="69B99088" w:rsidR="00657373" w:rsidRDefault="00657373">
      <w:pPr>
        <w:pStyle w:val="BodyText"/>
        <w:spacing w:before="10"/>
        <w:rPr>
          <w:rFonts w:ascii="Times New Roman"/>
          <w:sz w:val="19"/>
        </w:rPr>
      </w:pPr>
    </w:p>
    <w:p w14:paraId="6A2862AE" w14:textId="77777777" w:rsidR="0005524A" w:rsidRDefault="0005524A">
      <w:pPr>
        <w:pStyle w:val="Heading1"/>
        <w:spacing w:before="44"/>
        <w:ind w:right="1727"/>
      </w:pPr>
    </w:p>
    <w:p w14:paraId="6AC0A018" w14:textId="77777777" w:rsidR="0005524A" w:rsidRDefault="0005524A">
      <w:pPr>
        <w:pStyle w:val="Heading1"/>
        <w:spacing w:before="44"/>
        <w:ind w:right="1727"/>
      </w:pPr>
    </w:p>
    <w:p w14:paraId="1B7014AB" w14:textId="452D025E" w:rsidR="00657373" w:rsidRDefault="005E3681">
      <w:pPr>
        <w:pStyle w:val="Heading1"/>
        <w:spacing w:before="44"/>
        <w:ind w:right="1727"/>
      </w:pPr>
      <w:r>
        <w:t>MEAs: bird taxonomy, nomenclature and Red Listing</w:t>
      </w:r>
    </w:p>
    <w:p w14:paraId="35D5B678" w14:textId="77777777" w:rsidR="00657373" w:rsidRDefault="00657373">
      <w:pPr>
        <w:pStyle w:val="BodyText"/>
        <w:spacing w:before="4"/>
        <w:rPr>
          <w:b/>
          <w:sz w:val="32"/>
        </w:rPr>
      </w:pPr>
    </w:p>
    <w:p w14:paraId="62C5E4F8" w14:textId="77777777" w:rsidR="00657373" w:rsidRDefault="005E3681" w:rsidP="0005524A">
      <w:pPr>
        <w:pStyle w:val="BodyText"/>
        <w:spacing w:before="1" w:line="259" w:lineRule="auto"/>
        <w:ind w:left="1761" w:right="1780" w:firstLine="326"/>
        <w:jc w:val="center"/>
      </w:pPr>
      <w:r>
        <w:t>Teleconference (GoToMeeting online platform) 23 March 2020, 10.00-12.00h Central European</w:t>
      </w:r>
      <w:r>
        <w:rPr>
          <w:spacing w:val="-11"/>
        </w:rPr>
        <w:t xml:space="preserve"> </w:t>
      </w:r>
      <w:r>
        <w:t>Time</w:t>
      </w:r>
    </w:p>
    <w:p w14:paraId="5CEDF3F4" w14:textId="77777777" w:rsidR="00657373" w:rsidRDefault="00657373">
      <w:pPr>
        <w:pStyle w:val="BodyText"/>
        <w:spacing w:before="4"/>
        <w:rPr>
          <w:sz w:val="30"/>
        </w:rPr>
      </w:pPr>
    </w:p>
    <w:p w14:paraId="2FB4CD21" w14:textId="77777777" w:rsidR="00657373" w:rsidRDefault="005E3681">
      <w:pPr>
        <w:pStyle w:val="BodyText"/>
        <w:ind w:left="1709" w:right="1726"/>
        <w:jc w:val="center"/>
      </w:pPr>
      <w:r>
        <w:t>Convened by UNEP/AEWA Secretariat</w:t>
      </w:r>
    </w:p>
    <w:p w14:paraId="462E3DA2" w14:textId="77777777" w:rsidR="00657373" w:rsidRDefault="00657373">
      <w:pPr>
        <w:pStyle w:val="BodyText"/>
      </w:pPr>
    </w:p>
    <w:p w14:paraId="76FF571A" w14:textId="77777777" w:rsidR="00657373" w:rsidRDefault="00657373">
      <w:pPr>
        <w:pStyle w:val="BodyText"/>
        <w:spacing w:before="8"/>
        <w:rPr>
          <w:sz w:val="34"/>
        </w:rPr>
      </w:pPr>
    </w:p>
    <w:p w14:paraId="3CBD65D3" w14:textId="77777777" w:rsidR="00657373" w:rsidRDefault="005E3681">
      <w:pPr>
        <w:pStyle w:val="Heading1"/>
      </w:pPr>
      <w:r>
        <w:t>Summary of agreed action points</w:t>
      </w:r>
    </w:p>
    <w:p w14:paraId="48F8205A" w14:textId="77777777" w:rsidR="00657373" w:rsidRDefault="00657373">
      <w:pPr>
        <w:pStyle w:val="BodyText"/>
        <w:rPr>
          <w:b/>
        </w:rPr>
      </w:pPr>
    </w:p>
    <w:p w14:paraId="71FDE838" w14:textId="77777777" w:rsidR="00657373" w:rsidRDefault="00657373">
      <w:pPr>
        <w:pStyle w:val="BodyText"/>
        <w:spacing w:before="8"/>
        <w:rPr>
          <w:b/>
          <w:sz w:val="34"/>
        </w:rPr>
      </w:pPr>
    </w:p>
    <w:p w14:paraId="34C2B025" w14:textId="77777777" w:rsidR="00657373" w:rsidRDefault="005E3681">
      <w:pPr>
        <w:pStyle w:val="BodyText"/>
        <w:spacing w:line="259" w:lineRule="auto"/>
        <w:ind w:left="100" w:right="114"/>
        <w:jc w:val="both"/>
      </w:pPr>
      <w:r>
        <w:t>The meeting opened at 10.00h Central European Time and was attended by everyone on the list of participants but Stephen Garnett who sent apologies (see provisional list of participants in Annex I to this summary). Following brief introductions by the UNEP/AEWA Secretariat, the UNEP/CMS Secretariat, the EAAFP Secretariat as well as by BirdLife International (see provisional agenda in Annex</w:t>
      </w:r>
      <w:r>
        <w:rPr>
          <w:spacing w:val="-12"/>
        </w:rPr>
        <w:t xml:space="preserve"> </w:t>
      </w:r>
      <w:r>
        <w:t>I),</w:t>
      </w:r>
      <w:r>
        <w:rPr>
          <w:spacing w:val="-10"/>
        </w:rPr>
        <w:t xml:space="preserve"> </w:t>
      </w:r>
      <w:r>
        <w:t>a</w:t>
      </w:r>
      <w:r>
        <w:rPr>
          <w:spacing w:val="-10"/>
        </w:rPr>
        <w:t xml:space="preserve"> </w:t>
      </w:r>
      <w:r>
        <w:t>discussion</w:t>
      </w:r>
      <w:r>
        <w:rPr>
          <w:spacing w:val="-10"/>
        </w:rPr>
        <w:t xml:space="preserve"> </w:t>
      </w:r>
      <w:r>
        <w:t>took</w:t>
      </w:r>
      <w:r>
        <w:rPr>
          <w:spacing w:val="-10"/>
        </w:rPr>
        <w:t xml:space="preserve"> </w:t>
      </w:r>
      <w:r>
        <w:t>place</w:t>
      </w:r>
      <w:r>
        <w:rPr>
          <w:spacing w:val="-10"/>
        </w:rPr>
        <w:t xml:space="preserve"> </w:t>
      </w:r>
      <w:r>
        <w:t>on</w:t>
      </w:r>
      <w:r>
        <w:rPr>
          <w:spacing w:val="-7"/>
        </w:rPr>
        <w:t xml:space="preserve"> </w:t>
      </w:r>
      <w:r>
        <w:t>establishing</w:t>
      </w:r>
      <w:r>
        <w:rPr>
          <w:spacing w:val="-10"/>
        </w:rPr>
        <w:t xml:space="preserve"> </w:t>
      </w:r>
      <w:r>
        <w:t>a</w:t>
      </w:r>
      <w:r>
        <w:rPr>
          <w:spacing w:val="-10"/>
        </w:rPr>
        <w:t xml:space="preserve"> </w:t>
      </w:r>
      <w:r>
        <w:t>routine</w:t>
      </w:r>
      <w:r>
        <w:rPr>
          <w:spacing w:val="-10"/>
        </w:rPr>
        <w:t xml:space="preserve"> </w:t>
      </w:r>
      <w:r>
        <w:t>two-way</w:t>
      </w:r>
      <w:r>
        <w:rPr>
          <w:spacing w:val="-9"/>
        </w:rPr>
        <w:t xml:space="preserve"> </w:t>
      </w:r>
      <w:r>
        <w:t>communication between</w:t>
      </w:r>
      <w:r>
        <w:rPr>
          <w:spacing w:val="-12"/>
        </w:rPr>
        <w:t xml:space="preserve"> </w:t>
      </w:r>
      <w:r>
        <w:t>MEAs</w:t>
      </w:r>
      <w:r>
        <w:rPr>
          <w:spacing w:val="-12"/>
        </w:rPr>
        <w:t xml:space="preserve"> </w:t>
      </w:r>
      <w:r>
        <w:t>and</w:t>
      </w:r>
      <w:r>
        <w:rPr>
          <w:spacing w:val="-12"/>
        </w:rPr>
        <w:t xml:space="preserve"> </w:t>
      </w:r>
      <w:r>
        <w:t>BirdLife</w:t>
      </w:r>
      <w:r>
        <w:rPr>
          <w:spacing w:val="-10"/>
        </w:rPr>
        <w:t xml:space="preserve"> </w:t>
      </w:r>
      <w:r>
        <w:t>International</w:t>
      </w:r>
      <w:r>
        <w:rPr>
          <w:spacing w:val="-14"/>
        </w:rPr>
        <w:t xml:space="preserve"> </w:t>
      </w:r>
      <w:r>
        <w:t>on</w:t>
      </w:r>
      <w:r>
        <w:rPr>
          <w:spacing w:val="-11"/>
        </w:rPr>
        <w:t xml:space="preserve"> </w:t>
      </w:r>
      <w:r>
        <w:t>taxonomic</w:t>
      </w:r>
      <w:r>
        <w:rPr>
          <w:spacing w:val="-12"/>
        </w:rPr>
        <w:t xml:space="preserve"> </w:t>
      </w:r>
      <w:r>
        <w:t>and</w:t>
      </w:r>
      <w:r>
        <w:rPr>
          <w:spacing w:val="-14"/>
        </w:rPr>
        <w:t xml:space="preserve"> </w:t>
      </w:r>
      <w:r>
        <w:t>nomenclature</w:t>
      </w:r>
      <w:r>
        <w:rPr>
          <w:spacing w:val="-12"/>
        </w:rPr>
        <w:t xml:space="preserve"> </w:t>
      </w:r>
      <w:r>
        <w:t>changes to the BirdLife International Checklist of the Birds of the World (the adopted bird taxonomic reference for AEWA, CMS and</w:t>
      </w:r>
      <w:r>
        <w:rPr>
          <w:spacing w:val="-6"/>
        </w:rPr>
        <w:t xml:space="preserve"> </w:t>
      </w:r>
      <w:r>
        <w:t>EAAFP).</w:t>
      </w:r>
    </w:p>
    <w:p w14:paraId="2BEC4266" w14:textId="2C80B26E" w:rsidR="00657373" w:rsidRDefault="00657373">
      <w:pPr>
        <w:pStyle w:val="BodyText"/>
        <w:spacing w:before="1"/>
        <w:rPr>
          <w:sz w:val="30"/>
        </w:rPr>
      </w:pPr>
    </w:p>
    <w:p w14:paraId="6049DE75" w14:textId="2C3ECC12" w:rsidR="005E3681" w:rsidRDefault="005E3681">
      <w:pPr>
        <w:pStyle w:val="BodyText"/>
        <w:spacing w:before="1"/>
        <w:rPr>
          <w:sz w:val="30"/>
        </w:rPr>
      </w:pPr>
    </w:p>
    <w:p w14:paraId="0027A982" w14:textId="77777777" w:rsidR="0005524A" w:rsidRDefault="0005524A">
      <w:pPr>
        <w:pStyle w:val="BodyText"/>
        <w:spacing w:before="1"/>
        <w:rPr>
          <w:sz w:val="30"/>
        </w:rPr>
      </w:pPr>
    </w:p>
    <w:p w14:paraId="3C55AC7C" w14:textId="006E2D30" w:rsidR="005E3681" w:rsidRDefault="005E3681">
      <w:pPr>
        <w:pStyle w:val="BodyText"/>
        <w:spacing w:before="1"/>
        <w:rPr>
          <w:sz w:val="30"/>
        </w:rPr>
      </w:pPr>
    </w:p>
    <w:p w14:paraId="1DC840C3" w14:textId="77777777" w:rsidR="0005524A" w:rsidRDefault="0005524A">
      <w:pPr>
        <w:pStyle w:val="BodyText"/>
        <w:spacing w:before="1"/>
        <w:rPr>
          <w:sz w:val="30"/>
        </w:rPr>
      </w:pPr>
    </w:p>
    <w:p w14:paraId="21BC1D6C" w14:textId="77777777" w:rsidR="00657373" w:rsidRDefault="005E3681">
      <w:pPr>
        <w:pStyle w:val="BodyText"/>
        <w:ind w:left="100"/>
        <w:jc w:val="both"/>
      </w:pPr>
      <w:r>
        <w:t>The following action points were agreed upon:</w:t>
      </w:r>
    </w:p>
    <w:p w14:paraId="48C16DF5" w14:textId="77777777" w:rsidR="00657373" w:rsidRDefault="00657373">
      <w:pPr>
        <w:pStyle w:val="BodyText"/>
        <w:spacing w:before="4"/>
        <w:rPr>
          <w:sz w:val="32"/>
        </w:rPr>
      </w:pPr>
    </w:p>
    <w:p w14:paraId="3FA432E9" w14:textId="77777777" w:rsidR="00657373" w:rsidRDefault="005E3681">
      <w:pPr>
        <w:pStyle w:val="ListParagraph"/>
        <w:numPr>
          <w:ilvl w:val="0"/>
          <w:numId w:val="1"/>
        </w:numPr>
        <w:tabs>
          <w:tab w:val="left" w:pos="821"/>
        </w:tabs>
        <w:spacing w:line="259" w:lineRule="auto"/>
        <w:rPr>
          <w:sz w:val="28"/>
        </w:rPr>
      </w:pPr>
      <w:r>
        <w:rPr>
          <w:sz w:val="28"/>
        </w:rPr>
        <w:t>BirdLife to pro-actively communicate to the Secretariats of the different MEAs and Wetlands International (the latter for the purposes of the Waterbird Population Estimates) any upcoming changes to the taxonomy and/or nomenclature of the species relevant to the different MEAs during the course of each year before their enactment in the end of the calendar year;</w:t>
      </w:r>
    </w:p>
    <w:p w14:paraId="38C4F421" w14:textId="77777777" w:rsidR="00657373" w:rsidRDefault="005E3681" w:rsidP="008B64C9">
      <w:pPr>
        <w:pStyle w:val="ListParagraph"/>
        <w:numPr>
          <w:ilvl w:val="0"/>
          <w:numId w:val="1"/>
        </w:numPr>
        <w:tabs>
          <w:tab w:val="left" w:pos="821"/>
        </w:tabs>
        <w:spacing w:line="259" w:lineRule="auto"/>
        <w:rPr>
          <w:sz w:val="28"/>
        </w:rPr>
      </w:pPr>
      <w:r w:rsidRPr="008B64C9">
        <w:rPr>
          <w:sz w:val="28"/>
        </w:rPr>
        <w:t>Taxonomic issues/proposals for review coming up during the AEWA Conservation Status Review process (particularly sub-species level taxonomy)</w:t>
      </w:r>
      <w:r w:rsidRPr="008B64C9">
        <w:rPr>
          <w:spacing w:val="14"/>
          <w:sz w:val="28"/>
        </w:rPr>
        <w:t xml:space="preserve"> </w:t>
      </w:r>
      <w:r w:rsidRPr="008B64C9">
        <w:rPr>
          <w:sz w:val="28"/>
        </w:rPr>
        <w:t>to</w:t>
      </w:r>
      <w:r w:rsidRPr="008B64C9">
        <w:rPr>
          <w:spacing w:val="12"/>
          <w:sz w:val="28"/>
        </w:rPr>
        <w:t xml:space="preserve"> </w:t>
      </w:r>
      <w:r w:rsidRPr="008B64C9">
        <w:rPr>
          <w:sz w:val="28"/>
        </w:rPr>
        <w:t>be</w:t>
      </w:r>
      <w:r w:rsidRPr="008B64C9">
        <w:rPr>
          <w:spacing w:val="11"/>
          <w:sz w:val="28"/>
        </w:rPr>
        <w:t xml:space="preserve"> </w:t>
      </w:r>
      <w:r w:rsidRPr="008B64C9">
        <w:rPr>
          <w:sz w:val="28"/>
        </w:rPr>
        <w:t>referred</w:t>
      </w:r>
      <w:r w:rsidRPr="008B64C9">
        <w:rPr>
          <w:spacing w:val="13"/>
          <w:sz w:val="28"/>
        </w:rPr>
        <w:t xml:space="preserve"> </w:t>
      </w:r>
      <w:r w:rsidRPr="008B64C9">
        <w:rPr>
          <w:sz w:val="28"/>
        </w:rPr>
        <w:t>to</w:t>
      </w:r>
      <w:r w:rsidRPr="008B64C9">
        <w:rPr>
          <w:spacing w:val="13"/>
          <w:sz w:val="28"/>
        </w:rPr>
        <w:t xml:space="preserve"> </w:t>
      </w:r>
      <w:r w:rsidRPr="008B64C9">
        <w:rPr>
          <w:sz w:val="28"/>
        </w:rPr>
        <w:t>the</w:t>
      </w:r>
      <w:r w:rsidRPr="008B64C9">
        <w:rPr>
          <w:spacing w:val="13"/>
          <w:sz w:val="28"/>
        </w:rPr>
        <w:t xml:space="preserve"> </w:t>
      </w:r>
      <w:r w:rsidRPr="008B64C9">
        <w:rPr>
          <w:sz w:val="28"/>
        </w:rPr>
        <w:t>BirdLife</w:t>
      </w:r>
      <w:r w:rsidRPr="008B64C9">
        <w:rPr>
          <w:spacing w:val="12"/>
          <w:sz w:val="28"/>
        </w:rPr>
        <w:t xml:space="preserve"> </w:t>
      </w:r>
      <w:r w:rsidRPr="008B64C9">
        <w:rPr>
          <w:sz w:val="28"/>
        </w:rPr>
        <w:t>Taxonomic</w:t>
      </w:r>
      <w:r w:rsidRPr="008B64C9">
        <w:rPr>
          <w:spacing w:val="13"/>
          <w:sz w:val="28"/>
        </w:rPr>
        <w:t xml:space="preserve"> </w:t>
      </w:r>
      <w:r w:rsidRPr="008B64C9">
        <w:rPr>
          <w:sz w:val="28"/>
        </w:rPr>
        <w:t>Working</w:t>
      </w:r>
      <w:r w:rsidRPr="008B64C9">
        <w:rPr>
          <w:spacing w:val="14"/>
          <w:sz w:val="28"/>
        </w:rPr>
        <w:t xml:space="preserve"> </w:t>
      </w:r>
      <w:r w:rsidRPr="008B64C9">
        <w:rPr>
          <w:sz w:val="28"/>
        </w:rPr>
        <w:t>Group</w:t>
      </w:r>
      <w:r w:rsidRPr="008B64C9">
        <w:rPr>
          <w:spacing w:val="14"/>
          <w:sz w:val="28"/>
        </w:rPr>
        <w:t xml:space="preserve"> </w:t>
      </w:r>
      <w:r w:rsidRPr="008B64C9">
        <w:rPr>
          <w:sz w:val="28"/>
        </w:rPr>
        <w:t>and</w:t>
      </w:r>
      <w:r w:rsidRPr="008B64C9">
        <w:rPr>
          <w:spacing w:val="13"/>
          <w:sz w:val="28"/>
        </w:rPr>
        <w:t xml:space="preserve"> </w:t>
      </w:r>
      <w:r w:rsidRPr="008B64C9">
        <w:rPr>
          <w:sz w:val="28"/>
        </w:rPr>
        <w:t>to</w:t>
      </w:r>
    </w:p>
    <w:p w14:paraId="012CB55C" w14:textId="77777777" w:rsidR="00657373" w:rsidRDefault="005E3681" w:rsidP="008B64C9">
      <w:pPr>
        <w:pStyle w:val="BodyText"/>
        <w:spacing w:before="22" w:line="259" w:lineRule="auto"/>
        <w:ind w:left="820" w:right="113"/>
        <w:jc w:val="both"/>
      </w:pPr>
      <w:r>
        <w:t>be</w:t>
      </w:r>
      <w:r>
        <w:rPr>
          <w:spacing w:val="-17"/>
        </w:rPr>
        <w:t xml:space="preserve"> </w:t>
      </w:r>
      <w:r>
        <w:t>prioritized</w:t>
      </w:r>
      <w:r>
        <w:rPr>
          <w:spacing w:val="-19"/>
        </w:rPr>
        <w:t xml:space="preserve"> </w:t>
      </w:r>
      <w:r>
        <w:t>for</w:t>
      </w:r>
      <w:r>
        <w:rPr>
          <w:spacing w:val="-17"/>
        </w:rPr>
        <w:t xml:space="preserve"> </w:t>
      </w:r>
      <w:r>
        <w:t>consideration</w:t>
      </w:r>
      <w:r>
        <w:rPr>
          <w:spacing w:val="-17"/>
        </w:rPr>
        <w:t xml:space="preserve"> </w:t>
      </w:r>
      <w:r>
        <w:t>by</w:t>
      </w:r>
      <w:r>
        <w:rPr>
          <w:spacing w:val="-16"/>
        </w:rPr>
        <w:t xml:space="preserve"> </w:t>
      </w:r>
      <w:r>
        <w:t>the</w:t>
      </w:r>
      <w:r>
        <w:rPr>
          <w:spacing w:val="-17"/>
        </w:rPr>
        <w:t xml:space="preserve"> </w:t>
      </w:r>
      <w:r>
        <w:t>Working</w:t>
      </w:r>
      <w:r>
        <w:rPr>
          <w:spacing w:val="-17"/>
        </w:rPr>
        <w:t xml:space="preserve"> </w:t>
      </w:r>
      <w:r>
        <w:t>Group,</w:t>
      </w:r>
      <w:r>
        <w:rPr>
          <w:spacing w:val="-17"/>
        </w:rPr>
        <w:t xml:space="preserve"> </w:t>
      </w:r>
      <w:r>
        <w:t>to</w:t>
      </w:r>
      <w:r>
        <w:rPr>
          <w:spacing w:val="-15"/>
        </w:rPr>
        <w:t xml:space="preserve"> </w:t>
      </w:r>
      <w:r>
        <w:t>the</w:t>
      </w:r>
      <w:r>
        <w:rPr>
          <w:spacing w:val="-17"/>
        </w:rPr>
        <w:t xml:space="preserve"> </w:t>
      </w:r>
      <w:r>
        <w:t>extent</w:t>
      </w:r>
      <w:r>
        <w:rPr>
          <w:spacing w:val="-16"/>
        </w:rPr>
        <w:t xml:space="preserve"> </w:t>
      </w:r>
      <w:r>
        <w:t>possible, so</w:t>
      </w:r>
      <w:r>
        <w:rPr>
          <w:spacing w:val="-11"/>
        </w:rPr>
        <w:t xml:space="preserve"> </w:t>
      </w:r>
      <w:r>
        <w:t>that</w:t>
      </w:r>
      <w:r>
        <w:rPr>
          <w:spacing w:val="-13"/>
        </w:rPr>
        <w:t xml:space="preserve"> </w:t>
      </w:r>
      <w:r>
        <w:t>they</w:t>
      </w:r>
      <w:r>
        <w:rPr>
          <w:spacing w:val="-15"/>
        </w:rPr>
        <w:t xml:space="preserve"> </w:t>
      </w:r>
      <w:r>
        <w:t>can</w:t>
      </w:r>
      <w:r>
        <w:rPr>
          <w:spacing w:val="-12"/>
        </w:rPr>
        <w:t xml:space="preserve"> </w:t>
      </w:r>
      <w:r>
        <w:t>be</w:t>
      </w:r>
      <w:r>
        <w:rPr>
          <w:spacing w:val="-12"/>
        </w:rPr>
        <w:t xml:space="preserve"> </w:t>
      </w:r>
      <w:r>
        <w:t>resolved</w:t>
      </w:r>
      <w:r>
        <w:rPr>
          <w:spacing w:val="-11"/>
        </w:rPr>
        <w:t xml:space="preserve"> </w:t>
      </w:r>
      <w:r>
        <w:t>and</w:t>
      </w:r>
      <w:r>
        <w:rPr>
          <w:spacing w:val="-13"/>
        </w:rPr>
        <w:t xml:space="preserve"> </w:t>
      </w:r>
      <w:r>
        <w:t>submitted</w:t>
      </w:r>
      <w:r>
        <w:rPr>
          <w:spacing w:val="-13"/>
        </w:rPr>
        <w:t xml:space="preserve"> </w:t>
      </w:r>
      <w:r>
        <w:t>to</w:t>
      </w:r>
      <w:r>
        <w:rPr>
          <w:spacing w:val="-12"/>
        </w:rPr>
        <w:t xml:space="preserve"> </w:t>
      </w:r>
      <w:r>
        <w:t>the</w:t>
      </w:r>
      <w:r>
        <w:rPr>
          <w:spacing w:val="-11"/>
        </w:rPr>
        <w:t xml:space="preserve"> </w:t>
      </w:r>
      <w:r>
        <w:t>forthcoming</w:t>
      </w:r>
      <w:r>
        <w:rPr>
          <w:spacing w:val="-14"/>
        </w:rPr>
        <w:t xml:space="preserve"> </w:t>
      </w:r>
      <w:r>
        <w:t>session</w:t>
      </w:r>
      <w:r>
        <w:rPr>
          <w:spacing w:val="-11"/>
        </w:rPr>
        <w:t xml:space="preserve"> </w:t>
      </w:r>
      <w:r>
        <w:t>of</w:t>
      </w:r>
      <w:r>
        <w:rPr>
          <w:spacing w:val="-7"/>
        </w:rPr>
        <w:t xml:space="preserve"> </w:t>
      </w:r>
      <w:r>
        <w:t>the AEWA Meeting of the Parties to be reflected in the annexes of the Agreement;</w:t>
      </w:r>
    </w:p>
    <w:p w14:paraId="2B362BB1" w14:textId="77777777" w:rsidR="00657373" w:rsidRDefault="005E3681">
      <w:pPr>
        <w:pStyle w:val="ListParagraph"/>
        <w:numPr>
          <w:ilvl w:val="0"/>
          <w:numId w:val="1"/>
        </w:numPr>
        <w:tabs>
          <w:tab w:val="left" w:pos="821"/>
        </w:tabs>
        <w:spacing w:line="259" w:lineRule="auto"/>
        <w:ind w:right="115"/>
        <w:rPr>
          <w:sz w:val="28"/>
        </w:rPr>
      </w:pPr>
      <w:r>
        <w:rPr>
          <w:sz w:val="28"/>
        </w:rPr>
        <w:t>Each Secretariat to establish bilaterally with BirdLife International the communication workflow on taxonomic and nomenclature</w:t>
      </w:r>
      <w:r>
        <w:rPr>
          <w:spacing w:val="-13"/>
          <w:sz w:val="28"/>
        </w:rPr>
        <w:t xml:space="preserve"> </w:t>
      </w:r>
      <w:r>
        <w:rPr>
          <w:sz w:val="28"/>
        </w:rPr>
        <w:t>matters;</w:t>
      </w:r>
    </w:p>
    <w:p w14:paraId="5836F1A7" w14:textId="77777777" w:rsidR="00657373" w:rsidRDefault="005E3681">
      <w:pPr>
        <w:pStyle w:val="ListParagraph"/>
        <w:numPr>
          <w:ilvl w:val="0"/>
          <w:numId w:val="1"/>
        </w:numPr>
        <w:tabs>
          <w:tab w:val="left" w:pos="821"/>
        </w:tabs>
        <w:spacing w:line="259" w:lineRule="auto"/>
        <w:rPr>
          <w:sz w:val="28"/>
        </w:rPr>
      </w:pPr>
      <w:r>
        <w:rPr>
          <w:sz w:val="28"/>
        </w:rPr>
        <w:t>BirdLife to decide and inform the Secretariats whether their new online portal where suggestions for taxonomic changes can be uploaded would be the appropriate channel for submission of issues/proposals from the</w:t>
      </w:r>
      <w:r>
        <w:rPr>
          <w:spacing w:val="-20"/>
          <w:sz w:val="28"/>
        </w:rPr>
        <w:t xml:space="preserve"> </w:t>
      </w:r>
      <w:r>
        <w:rPr>
          <w:sz w:val="28"/>
        </w:rPr>
        <w:t>MEAs.</w:t>
      </w:r>
    </w:p>
    <w:p w14:paraId="4EE17C88" w14:textId="77777777" w:rsidR="00657373" w:rsidRDefault="00657373">
      <w:pPr>
        <w:pStyle w:val="BodyText"/>
        <w:rPr>
          <w:sz w:val="30"/>
        </w:rPr>
      </w:pPr>
    </w:p>
    <w:p w14:paraId="3B733BEF" w14:textId="77777777" w:rsidR="00657373" w:rsidRDefault="005E3681">
      <w:pPr>
        <w:pStyle w:val="BodyText"/>
        <w:spacing w:line="259" w:lineRule="auto"/>
        <w:ind w:left="100" w:right="113"/>
        <w:jc w:val="both"/>
      </w:pPr>
      <w:r>
        <w:t>Upon concluding on the part of the agenda dealing with bird taxonomy and nomenclature, the participants of this call continued with a discussion on establishing a routine process of upcoming Red List updates submission to the attention</w:t>
      </w:r>
      <w:r>
        <w:rPr>
          <w:spacing w:val="-9"/>
        </w:rPr>
        <w:t xml:space="preserve"> </w:t>
      </w:r>
      <w:r>
        <w:t>of</w:t>
      </w:r>
      <w:r>
        <w:rPr>
          <w:spacing w:val="-9"/>
        </w:rPr>
        <w:t xml:space="preserve"> </w:t>
      </w:r>
      <w:r>
        <w:t>the</w:t>
      </w:r>
      <w:r>
        <w:rPr>
          <w:spacing w:val="-10"/>
        </w:rPr>
        <w:t xml:space="preserve"> </w:t>
      </w:r>
      <w:r>
        <w:t>MEAs.</w:t>
      </w:r>
      <w:r>
        <w:rPr>
          <w:spacing w:val="-8"/>
        </w:rPr>
        <w:t xml:space="preserve"> </w:t>
      </w:r>
      <w:r>
        <w:t>BirdLife</w:t>
      </w:r>
      <w:r>
        <w:rPr>
          <w:spacing w:val="-10"/>
        </w:rPr>
        <w:t xml:space="preserve"> </w:t>
      </w:r>
      <w:r>
        <w:t>International</w:t>
      </w:r>
      <w:r>
        <w:rPr>
          <w:spacing w:val="-10"/>
        </w:rPr>
        <w:t xml:space="preserve"> </w:t>
      </w:r>
      <w:r>
        <w:t>introduced</w:t>
      </w:r>
      <w:r>
        <w:rPr>
          <w:spacing w:val="-8"/>
        </w:rPr>
        <w:t xml:space="preserve"> </w:t>
      </w:r>
      <w:r>
        <w:t>the</w:t>
      </w:r>
      <w:r>
        <w:rPr>
          <w:spacing w:val="-11"/>
        </w:rPr>
        <w:t xml:space="preserve"> </w:t>
      </w:r>
      <w:r>
        <w:t>Red</w:t>
      </w:r>
      <w:r>
        <w:rPr>
          <w:spacing w:val="-11"/>
        </w:rPr>
        <w:t xml:space="preserve"> </w:t>
      </w:r>
      <w:r>
        <w:t>Listing</w:t>
      </w:r>
      <w:r>
        <w:rPr>
          <w:spacing w:val="-11"/>
        </w:rPr>
        <w:t xml:space="preserve"> </w:t>
      </w:r>
      <w:r>
        <w:t>process</w:t>
      </w:r>
      <w:r>
        <w:rPr>
          <w:spacing w:val="-9"/>
        </w:rPr>
        <w:t xml:space="preserve"> </w:t>
      </w:r>
      <w:r>
        <w:t>for birds</w:t>
      </w:r>
      <w:r>
        <w:rPr>
          <w:spacing w:val="-19"/>
        </w:rPr>
        <w:t xml:space="preserve"> </w:t>
      </w:r>
      <w:r>
        <w:t>undertaken</w:t>
      </w:r>
      <w:r>
        <w:rPr>
          <w:spacing w:val="-17"/>
        </w:rPr>
        <w:t xml:space="preserve"> </w:t>
      </w:r>
      <w:r>
        <w:t>in</w:t>
      </w:r>
      <w:r>
        <w:rPr>
          <w:spacing w:val="-14"/>
        </w:rPr>
        <w:t xml:space="preserve"> </w:t>
      </w:r>
      <w:r>
        <w:t>their</w:t>
      </w:r>
      <w:r>
        <w:rPr>
          <w:spacing w:val="-19"/>
        </w:rPr>
        <w:t xml:space="preserve"> </w:t>
      </w:r>
      <w:r>
        <w:t>capacity</w:t>
      </w:r>
      <w:r>
        <w:rPr>
          <w:spacing w:val="-16"/>
        </w:rPr>
        <w:t xml:space="preserve"> </w:t>
      </w:r>
      <w:r>
        <w:t>as</w:t>
      </w:r>
      <w:r>
        <w:rPr>
          <w:spacing w:val="-15"/>
        </w:rPr>
        <w:t xml:space="preserve"> </w:t>
      </w:r>
      <w:r>
        <w:t>the</w:t>
      </w:r>
      <w:r>
        <w:rPr>
          <w:spacing w:val="-20"/>
        </w:rPr>
        <w:t xml:space="preserve"> </w:t>
      </w:r>
      <w:r>
        <w:t>bird</w:t>
      </w:r>
      <w:r>
        <w:rPr>
          <w:spacing w:val="-18"/>
        </w:rPr>
        <w:t xml:space="preserve"> </w:t>
      </w:r>
      <w:r>
        <w:t>Red</w:t>
      </w:r>
      <w:r>
        <w:rPr>
          <w:spacing w:val="-15"/>
        </w:rPr>
        <w:t xml:space="preserve"> </w:t>
      </w:r>
      <w:r>
        <w:t>List</w:t>
      </w:r>
      <w:r>
        <w:rPr>
          <w:spacing w:val="-16"/>
        </w:rPr>
        <w:t xml:space="preserve"> </w:t>
      </w:r>
      <w:r>
        <w:t>Authority</w:t>
      </w:r>
      <w:r>
        <w:rPr>
          <w:spacing w:val="-19"/>
        </w:rPr>
        <w:t xml:space="preserve"> </w:t>
      </w:r>
      <w:r>
        <w:t>designated</w:t>
      </w:r>
      <w:r>
        <w:rPr>
          <w:spacing w:val="-15"/>
        </w:rPr>
        <w:t xml:space="preserve"> </w:t>
      </w:r>
      <w:r>
        <w:t>by</w:t>
      </w:r>
      <w:r>
        <w:rPr>
          <w:spacing w:val="-17"/>
        </w:rPr>
        <w:t xml:space="preserve"> </w:t>
      </w:r>
      <w:r>
        <w:t>IUCN.</w:t>
      </w:r>
    </w:p>
    <w:p w14:paraId="4ECF0116" w14:textId="77777777" w:rsidR="00657373" w:rsidRDefault="00657373">
      <w:pPr>
        <w:pStyle w:val="BodyText"/>
        <w:spacing w:before="1"/>
        <w:rPr>
          <w:sz w:val="30"/>
        </w:rPr>
      </w:pPr>
    </w:p>
    <w:p w14:paraId="76698AD8" w14:textId="77777777" w:rsidR="00657373" w:rsidRDefault="005E3681">
      <w:pPr>
        <w:pStyle w:val="BodyText"/>
        <w:spacing w:line="259" w:lineRule="auto"/>
        <w:ind w:left="100" w:right="113"/>
        <w:jc w:val="both"/>
      </w:pPr>
      <w:r>
        <w:t>While the global Red List process is currently for full (c. 11,000) species only, BirdLife</w:t>
      </w:r>
      <w:r>
        <w:rPr>
          <w:spacing w:val="-6"/>
        </w:rPr>
        <w:t xml:space="preserve"> </w:t>
      </w:r>
      <w:r>
        <w:t>is</w:t>
      </w:r>
      <w:r>
        <w:rPr>
          <w:spacing w:val="-9"/>
        </w:rPr>
        <w:t xml:space="preserve"> </w:t>
      </w:r>
      <w:r>
        <w:t>currently</w:t>
      </w:r>
      <w:r>
        <w:rPr>
          <w:spacing w:val="-5"/>
        </w:rPr>
        <w:t xml:space="preserve"> </w:t>
      </w:r>
      <w:r>
        <w:t>producing</w:t>
      </w:r>
      <w:r>
        <w:rPr>
          <w:spacing w:val="-7"/>
        </w:rPr>
        <w:t xml:space="preserve"> </w:t>
      </w:r>
      <w:r>
        <w:t>a</w:t>
      </w:r>
      <w:r>
        <w:rPr>
          <w:spacing w:val="-7"/>
        </w:rPr>
        <w:t xml:space="preserve"> </w:t>
      </w:r>
      <w:r>
        <w:t>regional</w:t>
      </w:r>
      <w:r>
        <w:rPr>
          <w:spacing w:val="-6"/>
        </w:rPr>
        <w:t xml:space="preserve"> </w:t>
      </w:r>
      <w:r>
        <w:t>Red</w:t>
      </w:r>
      <w:r>
        <w:rPr>
          <w:spacing w:val="-6"/>
        </w:rPr>
        <w:t xml:space="preserve"> </w:t>
      </w:r>
      <w:r>
        <w:t>List</w:t>
      </w:r>
      <w:r>
        <w:rPr>
          <w:spacing w:val="-7"/>
        </w:rPr>
        <w:t xml:space="preserve"> </w:t>
      </w:r>
      <w:r>
        <w:t>at</w:t>
      </w:r>
      <w:r>
        <w:rPr>
          <w:spacing w:val="-7"/>
        </w:rPr>
        <w:t xml:space="preserve"> </w:t>
      </w:r>
      <w:r>
        <w:t>EU</w:t>
      </w:r>
      <w:r>
        <w:rPr>
          <w:spacing w:val="-7"/>
        </w:rPr>
        <w:t xml:space="preserve"> </w:t>
      </w:r>
      <w:r>
        <w:t>scale</w:t>
      </w:r>
      <w:r>
        <w:rPr>
          <w:spacing w:val="-7"/>
        </w:rPr>
        <w:t xml:space="preserve"> </w:t>
      </w:r>
      <w:r>
        <w:t>(based</w:t>
      </w:r>
      <w:r>
        <w:rPr>
          <w:spacing w:val="-4"/>
        </w:rPr>
        <w:t xml:space="preserve"> </w:t>
      </w:r>
      <w:r>
        <w:t>largely</w:t>
      </w:r>
      <w:r>
        <w:rPr>
          <w:spacing w:val="-7"/>
        </w:rPr>
        <w:t xml:space="preserve"> </w:t>
      </w:r>
      <w:r>
        <w:t>on</w:t>
      </w:r>
      <w:r>
        <w:rPr>
          <w:spacing w:val="-8"/>
        </w:rPr>
        <w:t xml:space="preserve"> </w:t>
      </w:r>
      <w:r>
        <w:t xml:space="preserve">data reported by Member States under Article 12 of the Birds Directive), under an EC contract. This includes assessments of a subset of subspecific populations that occur in this region (principally those listed separately in the Annexes of the Birds Directive). The EAAFP Technical Sub-Committee highlighted the value of implementing such “population-based” Red List assessments, which would allow for greater official recognition of the declining status of such populations that are subject to different pressures and trends across their global range. Although discussed in the EAAF context, this could be relevant to populations elsewhere as well in future. The recently concluded CMS COP13 called for an in-depth </w:t>
      </w:r>
      <w:r>
        <w:lastRenderedPageBreak/>
        <w:t>review of the</w:t>
      </w:r>
      <w:r>
        <w:rPr>
          <w:spacing w:val="-16"/>
        </w:rPr>
        <w:t xml:space="preserve"> </w:t>
      </w:r>
      <w:r>
        <w:t>conservation</w:t>
      </w:r>
      <w:r>
        <w:rPr>
          <w:spacing w:val="-16"/>
        </w:rPr>
        <w:t xml:space="preserve"> </w:t>
      </w:r>
      <w:r>
        <w:t>status</w:t>
      </w:r>
      <w:r>
        <w:rPr>
          <w:spacing w:val="-17"/>
        </w:rPr>
        <w:t xml:space="preserve"> </w:t>
      </w:r>
      <w:r>
        <w:t>of</w:t>
      </w:r>
      <w:r>
        <w:rPr>
          <w:spacing w:val="-12"/>
        </w:rPr>
        <w:t xml:space="preserve"> </w:t>
      </w:r>
      <w:r>
        <w:t>individual</w:t>
      </w:r>
      <w:r>
        <w:rPr>
          <w:spacing w:val="-14"/>
        </w:rPr>
        <w:t xml:space="preserve"> </w:t>
      </w:r>
      <w:r>
        <w:t>CMS-listed</w:t>
      </w:r>
      <w:r>
        <w:rPr>
          <w:spacing w:val="-17"/>
        </w:rPr>
        <w:t xml:space="preserve"> </w:t>
      </w:r>
      <w:r>
        <w:t>species,</w:t>
      </w:r>
      <w:r>
        <w:rPr>
          <w:spacing w:val="-18"/>
        </w:rPr>
        <w:t xml:space="preserve"> </w:t>
      </w:r>
      <w:r>
        <w:t>with</w:t>
      </w:r>
      <w:r>
        <w:rPr>
          <w:spacing w:val="-15"/>
        </w:rPr>
        <w:t xml:space="preserve"> </w:t>
      </w:r>
      <w:r>
        <w:t>a</w:t>
      </w:r>
      <w:r>
        <w:rPr>
          <w:spacing w:val="-16"/>
        </w:rPr>
        <w:t xml:space="preserve"> </w:t>
      </w:r>
      <w:r>
        <w:t>view</w:t>
      </w:r>
      <w:r>
        <w:rPr>
          <w:spacing w:val="-15"/>
        </w:rPr>
        <w:t xml:space="preserve"> </w:t>
      </w:r>
      <w:r>
        <w:t>to</w:t>
      </w:r>
      <w:r>
        <w:rPr>
          <w:spacing w:val="-17"/>
        </w:rPr>
        <w:t xml:space="preserve"> </w:t>
      </w:r>
      <w:r>
        <w:t>determining inter alia differences in the conservation status of individual populations or management</w:t>
      </w:r>
      <w:r>
        <w:rPr>
          <w:spacing w:val="-10"/>
        </w:rPr>
        <w:t xml:space="preserve"> </w:t>
      </w:r>
      <w:r>
        <w:t>units.</w:t>
      </w:r>
      <w:r>
        <w:rPr>
          <w:spacing w:val="-10"/>
        </w:rPr>
        <w:t xml:space="preserve"> </w:t>
      </w:r>
      <w:r>
        <w:t>Availability</w:t>
      </w:r>
      <w:r>
        <w:rPr>
          <w:spacing w:val="-9"/>
        </w:rPr>
        <w:t xml:space="preserve"> </w:t>
      </w:r>
      <w:r>
        <w:t>of</w:t>
      </w:r>
      <w:r>
        <w:rPr>
          <w:spacing w:val="-10"/>
        </w:rPr>
        <w:t xml:space="preserve"> </w:t>
      </w:r>
      <w:r>
        <w:t>subspecific</w:t>
      </w:r>
      <w:r>
        <w:rPr>
          <w:spacing w:val="-7"/>
        </w:rPr>
        <w:t xml:space="preserve"> </w:t>
      </w:r>
      <w:r>
        <w:t>Red</w:t>
      </w:r>
      <w:r>
        <w:rPr>
          <w:spacing w:val="-8"/>
        </w:rPr>
        <w:t xml:space="preserve"> </w:t>
      </w:r>
      <w:r>
        <w:t>List</w:t>
      </w:r>
      <w:r>
        <w:rPr>
          <w:spacing w:val="-11"/>
        </w:rPr>
        <w:t xml:space="preserve"> </w:t>
      </w:r>
      <w:r>
        <w:t>assessments</w:t>
      </w:r>
      <w:r>
        <w:rPr>
          <w:spacing w:val="-10"/>
        </w:rPr>
        <w:t xml:space="preserve"> </w:t>
      </w:r>
      <w:r>
        <w:t>would</w:t>
      </w:r>
      <w:r>
        <w:rPr>
          <w:spacing w:val="-8"/>
        </w:rPr>
        <w:t xml:space="preserve"> </w:t>
      </w:r>
      <w:r>
        <w:t>be</w:t>
      </w:r>
      <w:r>
        <w:rPr>
          <w:spacing w:val="-11"/>
        </w:rPr>
        <w:t xml:space="preserve"> </w:t>
      </w:r>
      <w:r>
        <w:t>a</w:t>
      </w:r>
      <w:r>
        <w:rPr>
          <w:spacing w:val="-10"/>
        </w:rPr>
        <w:t xml:space="preserve"> </w:t>
      </w:r>
      <w:r>
        <w:t>very significant</w:t>
      </w:r>
      <w:r>
        <w:rPr>
          <w:spacing w:val="-4"/>
        </w:rPr>
        <w:t xml:space="preserve"> </w:t>
      </w:r>
      <w:r>
        <w:t>component</w:t>
      </w:r>
      <w:r>
        <w:rPr>
          <w:spacing w:val="-4"/>
        </w:rPr>
        <w:t xml:space="preserve"> </w:t>
      </w:r>
      <w:r>
        <w:t>of</w:t>
      </w:r>
      <w:r>
        <w:rPr>
          <w:spacing w:val="-2"/>
        </w:rPr>
        <w:t xml:space="preserve"> </w:t>
      </w:r>
      <w:r>
        <w:t>this</w:t>
      </w:r>
      <w:r>
        <w:rPr>
          <w:spacing w:val="-4"/>
        </w:rPr>
        <w:t xml:space="preserve"> </w:t>
      </w:r>
      <w:r>
        <w:t>review,</w:t>
      </w:r>
      <w:r>
        <w:rPr>
          <w:spacing w:val="-5"/>
        </w:rPr>
        <w:t xml:space="preserve"> </w:t>
      </w:r>
      <w:r>
        <w:t>notably</w:t>
      </w:r>
      <w:r>
        <w:rPr>
          <w:spacing w:val="-4"/>
        </w:rPr>
        <w:t xml:space="preserve"> </w:t>
      </w:r>
      <w:r>
        <w:t>with</w:t>
      </w:r>
      <w:r>
        <w:rPr>
          <w:spacing w:val="-3"/>
        </w:rPr>
        <w:t xml:space="preserve"> </w:t>
      </w:r>
      <w:r>
        <w:t>a</w:t>
      </w:r>
      <w:r>
        <w:rPr>
          <w:spacing w:val="-5"/>
        </w:rPr>
        <w:t xml:space="preserve"> </w:t>
      </w:r>
      <w:r>
        <w:t>view</w:t>
      </w:r>
      <w:r>
        <w:rPr>
          <w:spacing w:val="-3"/>
        </w:rPr>
        <w:t xml:space="preserve"> </w:t>
      </w:r>
      <w:r>
        <w:t>to</w:t>
      </w:r>
      <w:r>
        <w:rPr>
          <w:spacing w:val="-4"/>
        </w:rPr>
        <w:t xml:space="preserve"> </w:t>
      </w:r>
      <w:r>
        <w:t>future</w:t>
      </w:r>
      <w:r>
        <w:rPr>
          <w:spacing w:val="-5"/>
        </w:rPr>
        <w:t xml:space="preserve"> </w:t>
      </w:r>
      <w:r>
        <w:t>revisions</w:t>
      </w:r>
      <w:r>
        <w:rPr>
          <w:spacing w:val="-3"/>
        </w:rPr>
        <w:t xml:space="preserve"> </w:t>
      </w:r>
      <w:r>
        <w:t>of</w:t>
      </w:r>
      <w:r>
        <w:rPr>
          <w:spacing w:val="-3"/>
        </w:rPr>
        <w:t xml:space="preserve"> </w:t>
      </w:r>
      <w:r>
        <w:t>the Appendices.</w:t>
      </w:r>
    </w:p>
    <w:p w14:paraId="4D24C8D3" w14:textId="77777777" w:rsidR="008B64C9" w:rsidRDefault="008B64C9">
      <w:pPr>
        <w:pStyle w:val="BodyText"/>
        <w:spacing w:before="22"/>
        <w:ind w:left="100"/>
      </w:pPr>
    </w:p>
    <w:p w14:paraId="119CC97E" w14:textId="6A6C05BB" w:rsidR="00657373" w:rsidRDefault="005E3681">
      <w:pPr>
        <w:pStyle w:val="BodyText"/>
        <w:spacing w:before="22"/>
        <w:ind w:left="100"/>
      </w:pPr>
      <w:r>
        <w:t>The following action points were agreed upon:</w:t>
      </w:r>
    </w:p>
    <w:p w14:paraId="46EA9754" w14:textId="77777777" w:rsidR="00657373" w:rsidRDefault="00657373">
      <w:pPr>
        <w:pStyle w:val="BodyText"/>
        <w:spacing w:before="4"/>
        <w:rPr>
          <w:sz w:val="32"/>
        </w:rPr>
      </w:pPr>
    </w:p>
    <w:p w14:paraId="30BC3FF8" w14:textId="77777777" w:rsidR="00657373" w:rsidRDefault="005E3681">
      <w:pPr>
        <w:pStyle w:val="ListParagraph"/>
        <w:numPr>
          <w:ilvl w:val="0"/>
          <w:numId w:val="1"/>
        </w:numPr>
        <w:tabs>
          <w:tab w:val="left" w:pos="820"/>
          <w:tab w:val="left" w:pos="821"/>
        </w:tabs>
        <w:spacing w:line="259" w:lineRule="auto"/>
        <w:ind w:right="120"/>
        <w:jc w:val="left"/>
        <w:rPr>
          <w:sz w:val="28"/>
        </w:rPr>
      </w:pPr>
      <w:r>
        <w:rPr>
          <w:sz w:val="28"/>
        </w:rPr>
        <w:t>BirdLife to discuss with IUCN the possibility of routinely maintaining the release of the Red List updates for birds in December of each</w:t>
      </w:r>
      <w:r>
        <w:rPr>
          <w:spacing w:val="-13"/>
          <w:sz w:val="28"/>
        </w:rPr>
        <w:t xml:space="preserve"> </w:t>
      </w:r>
      <w:r>
        <w:rPr>
          <w:sz w:val="28"/>
        </w:rPr>
        <w:t>year;</w:t>
      </w:r>
    </w:p>
    <w:p w14:paraId="40EEC763" w14:textId="77777777" w:rsidR="00657373" w:rsidRDefault="005E3681">
      <w:pPr>
        <w:pStyle w:val="ListParagraph"/>
        <w:numPr>
          <w:ilvl w:val="0"/>
          <w:numId w:val="1"/>
        </w:numPr>
        <w:tabs>
          <w:tab w:val="left" w:pos="820"/>
          <w:tab w:val="left" w:pos="821"/>
        </w:tabs>
        <w:spacing w:line="259" w:lineRule="auto"/>
        <w:ind w:right="114"/>
        <w:jc w:val="left"/>
        <w:rPr>
          <w:sz w:val="28"/>
        </w:rPr>
      </w:pPr>
      <w:r>
        <w:rPr>
          <w:sz w:val="28"/>
        </w:rPr>
        <w:t>BirdLife</w:t>
      </w:r>
      <w:r>
        <w:rPr>
          <w:spacing w:val="-12"/>
          <w:sz w:val="28"/>
        </w:rPr>
        <w:t xml:space="preserve"> </w:t>
      </w:r>
      <w:r>
        <w:rPr>
          <w:sz w:val="28"/>
        </w:rPr>
        <w:t>to</w:t>
      </w:r>
      <w:r>
        <w:rPr>
          <w:spacing w:val="-12"/>
          <w:sz w:val="28"/>
        </w:rPr>
        <w:t xml:space="preserve"> </w:t>
      </w:r>
      <w:r>
        <w:rPr>
          <w:sz w:val="28"/>
        </w:rPr>
        <w:t>communicate</w:t>
      </w:r>
      <w:r>
        <w:rPr>
          <w:spacing w:val="-10"/>
          <w:sz w:val="28"/>
        </w:rPr>
        <w:t xml:space="preserve"> </w:t>
      </w:r>
      <w:r>
        <w:rPr>
          <w:sz w:val="28"/>
        </w:rPr>
        <w:t>to</w:t>
      </w:r>
      <w:r>
        <w:rPr>
          <w:spacing w:val="-12"/>
          <w:sz w:val="28"/>
        </w:rPr>
        <w:t xml:space="preserve"> </w:t>
      </w:r>
      <w:r>
        <w:rPr>
          <w:sz w:val="28"/>
        </w:rPr>
        <w:t>the</w:t>
      </w:r>
      <w:r>
        <w:rPr>
          <w:spacing w:val="-12"/>
          <w:sz w:val="28"/>
        </w:rPr>
        <w:t xml:space="preserve"> </w:t>
      </w:r>
      <w:r>
        <w:rPr>
          <w:sz w:val="28"/>
        </w:rPr>
        <w:t>Secretariats</w:t>
      </w:r>
      <w:r>
        <w:rPr>
          <w:spacing w:val="-10"/>
          <w:sz w:val="28"/>
        </w:rPr>
        <w:t xml:space="preserve"> </w:t>
      </w:r>
      <w:r>
        <w:rPr>
          <w:sz w:val="28"/>
        </w:rPr>
        <w:t>potential</w:t>
      </w:r>
      <w:r>
        <w:rPr>
          <w:spacing w:val="-11"/>
          <w:sz w:val="28"/>
        </w:rPr>
        <w:t xml:space="preserve"> </w:t>
      </w:r>
      <w:r>
        <w:rPr>
          <w:sz w:val="28"/>
        </w:rPr>
        <w:t>changes</w:t>
      </w:r>
      <w:r>
        <w:rPr>
          <w:spacing w:val="-11"/>
          <w:sz w:val="28"/>
        </w:rPr>
        <w:t xml:space="preserve"> </w:t>
      </w:r>
      <w:r>
        <w:rPr>
          <w:sz w:val="28"/>
        </w:rPr>
        <w:t>to</w:t>
      </w:r>
      <w:r>
        <w:rPr>
          <w:spacing w:val="-12"/>
          <w:sz w:val="28"/>
        </w:rPr>
        <w:t xml:space="preserve"> </w:t>
      </w:r>
      <w:r>
        <w:rPr>
          <w:sz w:val="28"/>
        </w:rPr>
        <w:t>the</w:t>
      </w:r>
      <w:r>
        <w:rPr>
          <w:spacing w:val="-12"/>
          <w:sz w:val="28"/>
        </w:rPr>
        <w:t xml:space="preserve"> </w:t>
      </w:r>
      <w:r>
        <w:rPr>
          <w:sz w:val="28"/>
        </w:rPr>
        <w:t>Red</w:t>
      </w:r>
      <w:r>
        <w:rPr>
          <w:spacing w:val="-10"/>
          <w:sz w:val="28"/>
        </w:rPr>
        <w:t xml:space="preserve"> </w:t>
      </w:r>
      <w:r>
        <w:rPr>
          <w:sz w:val="28"/>
        </w:rPr>
        <w:t>List by September of each year that IUCN may sign off for release in</w:t>
      </w:r>
      <w:r>
        <w:rPr>
          <w:spacing w:val="-26"/>
          <w:sz w:val="28"/>
        </w:rPr>
        <w:t xml:space="preserve"> </w:t>
      </w:r>
      <w:r>
        <w:rPr>
          <w:sz w:val="28"/>
        </w:rPr>
        <w:t>December.</w:t>
      </w:r>
    </w:p>
    <w:p w14:paraId="236406F2" w14:textId="77777777" w:rsidR="00657373" w:rsidRDefault="00657373">
      <w:pPr>
        <w:pStyle w:val="BodyText"/>
        <w:spacing w:before="2"/>
        <w:rPr>
          <w:sz w:val="30"/>
        </w:rPr>
      </w:pPr>
    </w:p>
    <w:p w14:paraId="4F6B2D8E" w14:textId="22A77733" w:rsidR="00657373" w:rsidRDefault="005E3681" w:rsidP="0005524A">
      <w:pPr>
        <w:pStyle w:val="BodyText"/>
        <w:spacing w:line="259" w:lineRule="auto"/>
        <w:ind w:left="101" w:right="1368"/>
      </w:pPr>
      <w:r>
        <w:t>The online meeting was concluded at 12.00h Central European Time. The</w:t>
      </w:r>
      <w:r w:rsidR="0005524A">
        <w:t xml:space="preserve"> </w:t>
      </w:r>
      <w:r>
        <w:t>meeting was recorded and the recording is available upon request.</w:t>
      </w:r>
    </w:p>
    <w:p w14:paraId="5DBF90E7" w14:textId="77777777" w:rsidR="00657373" w:rsidRDefault="00657373">
      <w:pPr>
        <w:spacing w:line="518" w:lineRule="auto"/>
        <w:sectPr w:rsidR="00657373" w:rsidSect="0005524A">
          <w:headerReference w:type="even" r:id="rId12"/>
          <w:headerReference w:type="default" r:id="rId13"/>
          <w:footerReference w:type="even" r:id="rId14"/>
          <w:footerReference w:type="default" r:id="rId15"/>
          <w:headerReference w:type="first" r:id="rId16"/>
          <w:footerReference w:type="first" r:id="rId17"/>
          <w:pgSz w:w="12240" w:h="15840"/>
          <w:pgMar w:top="1138" w:right="850" w:bottom="1138" w:left="850" w:header="0" w:footer="1008" w:gutter="0"/>
          <w:cols w:space="720"/>
          <w:titlePg/>
          <w:docGrid w:linePitch="299"/>
        </w:sectPr>
      </w:pPr>
    </w:p>
    <w:p w14:paraId="1926D279" w14:textId="77777777" w:rsidR="00657373" w:rsidRDefault="005E3681">
      <w:pPr>
        <w:pStyle w:val="Heading1"/>
        <w:spacing w:before="22"/>
        <w:ind w:right="1724"/>
      </w:pPr>
      <w:r>
        <w:lastRenderedPageBreak/>
        <w:t>Annex I</w:t>
      </w:r>
    </w:p>
    <w:p w14:paraId="01653CA9" w14:textId="77777777" w:rsidR="00657373" w:rsidRDefault="00657373">
      <w:pPr>
        <w:pStyle w:val="BodyText"/>
        <w:rPr>
          <w:b/>
          <w:sz w:val="20"/>
        </w:rPr>
      </w:pPr>
    </w:p>
    <w:p w14:paraId="23D4C490" w14:textId="77777777" w:rsidR="00657373" w:rsidRDefault="00657373">
      <w:pPr>
        <w:pStyle w:val="BodyText"/>
        <w:rPr>
          <w:b/>
          <w:sz w:val="20"/>
        </w:rPr>
      </w:pPr>
    </w:p>
    <w:p w14:paraId="34857F63" w14:textId="77777777" w:rsidR="00657373" w:rsidRDefault="00657373">
      <w:pPr>
        <w:pStyle w:val="BodyText"/>
        <w:spacing w:before="3"/>
        <w:rPr>
          <w:b/>
          <w:sz w:val="18"/>
        </w:rPr>
      </w:pPr>
    </w:p>
    <w:p w14:paraId="0074CB5A" w14:textId="77777777" w:rsidR="00657373" w:rsidRDefault="005E3681">
      <w:pPr>
        <w:spacing w:before="51"/>
        <w:ind w:left="100"/>
        <w:rPr>
          <w:i/>
          <w:sz w:val="24"/>
        </w:rPr>
      </w:pPr>
      <w:r>
        <w:rPr>
          <w:i/>
          <w:sz w:val="24"/>
        </w:rPr>
        <w:t>Provisional list of participants:</w:t>
      </w:r>
    </w:p>
    <w:p w14:paraId="1BA9F761" w14:textId="77777777" w:rsidR="00657373" w:rsidRDefault="005E3681">
      <w:pPr>
        <w:spacing w:before="182"/>
        <w:ind w:left="100"/>
      </w:pPr>
      <w:r>
        <w:rPr>
          <w:u w:val="single"/>
        </w:rPr>
        <w:t>AEWA</w:t>
      </w:r>
    </w:p>
    <w:p w14:paraId="6283FE7F" w14:textId="77777777" w:rsidR="00657373" w:rsidRDefault="00657373">
      <w:pPr>
        <w:pStyle w:val="BodyText"/>
        <w:spacing w:before="5"/>
        <w:rPr>
          <w:sz w:val="10"/>
        </w:rPr>
      </w:pPr>
    </w:p>
    <w:p w14:paraId="7CC728F2" w14:textId="018C2145" w:rsidR="00657373" w:rsidRDefault="005E3681">
      <w:pPr>
        <w:spacing w:before="56" w:line="403" w:lineRule="auto"/>
        <w:ind w:left="100" w:right="1207"/>
      </w:pPr>
      <w:r>
        <w:rPr>
          <w:b/>
        </w:rPr>
        <w:t>Sergey Dereliev</w:t>
      </w:r>
      <w:r>
        <w:t xml:space="preserve">, Head of Science, Implementation and Compliance, UNEP/AEWA Secretariat </w:t>
      </w:r>
      <w:r>
        <w:rPr>
          <w:b/>
        </w:rPr>
        <w:t>Szabolcs Nagy</w:t>
      </w:r>
      <w:r>
        <w:t xml:space="preserve">, Member of the AEWA Technical Committee, Wetlands International </w:t>
      </w:r>
      <w:r>
        <w:rPr>
          <w:b/>
        </w:rPr>
        <w:t>Jeannine Dicken</w:t>
      </w:r>
      <w:r>
        <w:t xml:space="preserve">, </w:t>
      </w:r>
      <w:r w:rsidR="008B64C9">
        <w:t>Programme Management</w:t>
      </w:r>
      <w:r>
        <w:t xml:space="preserve"> Assistant, UNEP/AEWA Secretariat</w:t>
      </w:r>
    </w:p>
    <w:p w14:paraId="7F7AD1CF" w14:textId="77777777" w:rsidR="00657373" w:rsidRDefault="00657373">
      <w:pPr>
        <w:pStyle w:val="BodyText"/>
        <w:rPr>
          <w:sz w:val="22"/>
        </w:rPr>
      </w:pPr>
    </w:p>
    <w:p w14:paraId="25CFE2D2" w14:textId="77777777" w:rsidR="00657373" w:rsidRDefault="005E3681">
      <w:pPr>
        <w:spacing w:before="178"/>
        <w:ind w:left="100"/>
      </w:pPr>
      <w:r>
        <w:rPr>
          <w:u w:val="single"/>
        </w:rPr>
        <w:t>CMS</w:t>
      </w:r>
    </w:p>
    <w:p w14:paraId="333D4611" w14:textId="77777777" w:rsidR="00657373" w:rsidRDefault="00657373">
      <w:pPr>
        <w:pStyle w:val="BodyText"/>
        <w:spacing w:before="2"/>
        <w:rPr>
          <w:sz w:val="10"/>
        </w:rPr>
      </w:pPr>
    </w:p>
    <w:p w14:paraId="50B5C15B" w14:textId="77777777" w:rsidR="00657373" w:rsidRDefault="005E3681">
      <w:pPr>
        <w:spacing w:before="57"/>
        <w:ind w:left="100"/>
      </w:pPr>
      <w:r>
        <w:rPr>
          <w:b/>
        </w:rPr>
        <w:t>Tilman Schneider</w:t>
      </w:r>
      <w:r>
        <w:t>, Associate Programme Officer, Avian Unit, UNEP/CMS Secretariat</w:t>
      </w:r>
    </w:p>
    <w:p w14:paraId="67C7AF53" w14:textId="77777777" w:rsidR="00657373" w:rsidRDefault="005E3681">
      <w:pPr>
        <w:spacing w:before="180"/>
        <w:ind w:left="100"/>
      </w:pPr>
      <w:r>
        <w:rPr>
          <w:b/>
        </w:rPr>
        <w:t>Marco Barbieri</w:t>
      </w:r>
      <w:r>
        <w:t>, Scientific Advisor, UNEP/CMS Secretariat</w:t>
      </w:r>
    </w:p>
    <w:p w14:paraId="729DF93D" w14:textId="77777777" w:rsidR="00657373" w:rsidRDefault="005E3681">
      <w:pPr>
        <w:spacing w:before="182"/>
        <w:ind w:left="100"/>
      </w:pPr>
      <w:r>
        <w:rPr>
          <w:b/>
        </w:rPr>
        <w:t>Rob Clay</w:t>
      </w:r>
      <w:r>
        <w:t>, Scientific Co-councilor – Avian, CMS Scientific Council, Manomet</w:t>
      </w:r>
    </w:p>
    <w:p w14:paraId="316F7D31" w14:textId="77777777" w:rsidR="00657373" w:rsidRDefault="005E3681">
      <w:pPr>
        <w:spacing w:before="181" w:line="259" w:lineRule="auto"/>
        <w:ind w:left="100" w:right="670"/>
      </w:pPr>
      <w:r>
        <w:rPr>
          <w:b/>
        </w:rPr>
        <w:t>Stephen Garnett</w:t>
      </w:r>
      <w:r>
        <w:t>, Scientific Co-councilor – Avian, CMS Scientific Council, Charles Darwin University (apologies)</w:t>
      </w:r>
    </w:p>
    <w:p w14:paraId="1D228729" w14:textId="77777777" w:rsidR="00657373" w:rsidRDefault="00657373">
      <w:pPr>
        <w:pStyle w:val="BodyText"/>
        <w:rPr>
          <w:sz w:val="22"/>
        </w:rPr>
      </w:pPr>
    </w:p>
    <w:p w14:paraId="50A7F8E0" w14:textId="77777777" w:rsidR="00657373" w:rsidRDefault="00657373">
      <w:pPr>
        <w:pStyle w:val="BodyText"/>
      </w:pPr>
    </w:p>
    <w:p w14:paraId="57038011" w14:textId="77777777" w:rsidR="00657373" w:rsidRDefault="005E3681">
      <w:pPr>
        <w:ind w:left="100"/>
      </w:pPr>
      <w:r>
        <w:rPr>
          <w:u w:val="single"/>
        </w:rPr>
        <w:t>EAAFP</w:t>
      </w:r>
    </w:p>
    <w:p w14:paraId="3C54EC16" w14:textId="77777777" w:rsidR="00657373" w:rsidRDefault="00657373">
      <w:pPr>
        <w:pStyle w:val="BodyText"/>
        <w:spacing w:before="2"/>
        <w:rPr>
          <w:sz w:val="10"/>
        </w:rPr>
      </w:pPr>
    </w:p>
    <w:p w14:paraId="20F1CEA7" w14:textId="77777777" w:rsidR="00657373" w:rsidRDefault="005E3681">
      <w:pPr>
        <w:spacing w:before="56"/>
        <w:ind w:left="100"/>
      </w:pPr>
      <w:r>
        <w:rPr>
          <w:b/>
        </w:rPr>
        <w:t>Doug Watkins</w:t>
      </w:r>
      <w:r>
        <w:t>, Chief Executive, EAAFP Secretariat</w:t>
      </w:r>
    </w:p>
    <w:p w14:paraId="77919B28" w14:textId="77777777" w:rsidR="00657373" w:rsidRDefault="005E3681">
      <w:pPr>
        <w:spacing w:before="183"/>
        <w:ind w:left="100"/>
      </w:pPr>
      <w:r>
        <w:rPr>
          <w:b/>
        </w:rPr>
        <w:t>Hyeseon Do</w:t>
      </w:r>
      <w:r>
        <w:t>, Programme Officer, EAAFP Secretariat</w:t>
      </w:r>
    </w:p>
    <w:p w14:paraId="27FA3A1B" w14:textId="77777777" w:rsidR="00657373" w:rsidRDefault="005E3681">
      <w:pPr>
        <w:spacing w:before="180" w:line="403" w:lineRule="auto"/>
        <w:ind w:left="100" w:right="1337"/>
      </w:pPr>
      <w:r>
        <w:rPr>
          <w:b/>
        </w:rPr>
        <w:t>Qing Zeng</w:t>
      </w:r>
      <w:r>
        <w:t xml:space="preserve">, EAAFP Science Unit Coordinator / Science Officer, Beijing Forestry University </w:t>
      </w:r>
      <w:r>
        <w:rPr>
          <w:b/>
        </w:rPr>
        <w:t>Nick Davidson</w:t>
      </w:r>
      <w:r>
        <w:t xml:space="preserve">, Chair of the EAAFP Technical sub-Committee, Nick Davidson Environmental </w:t>
      </w:r>
      <w:r>
        <w:rPr>
          <w:b/>
        </w:rPr>
        <w:t>Taej Mundkur</w:t>
      </w:r>
      <w:r>
        <w:t>, Member of the EAAFP Technical sub-Committee, Wetlands International</w:t>
      </w:r>
    </w:p>
    <w:p w14:paraId="4593D8ED" w14:textId="77777777" w:rsidR="00657373" w:rsidRDefault="00657373">
      <w:pPr>
        <w:pStyle w:val="BodyText"/>
        <w:rPr>
          <w:sz w:val="22"/>
        </w:rPr>
      </w:pPr>
    </w:p>
    <w:p w14:paraId="53F5E200" w14:textId="77777777" w:rsidR="00657373" w:rsidRDefault="005E3681">
      <w:pPr>
        <w:spacing w:before="179"/>
        <w:ind w:left="100"/>
      </w:pPr>
      <w:r>
        <w:rPr>
          <w:u w:val="single"/>
        </w:rPr>
        <w:t>BirdLife International</w:t>
      </w:r>
    </w:p>
    <w:p w14:paraId="1AEBF50A" w14:textId="77777777" w:rsidR="00657373" w:rsidRDefault="00657373">
      <w:pPr>
        <w:pStyle w:val="BodyText"/>
        <w:spacing w:before="1"/>
        <w:rPr>
          <w:sz w:val="10"/>
        </w:rPr>
      </w:pPr>
    </w:p>
    <w:p w14:paraId="69244EB5" w14:textId="77777777" w:rsidR="00657373" w:rsidRDefault="005E3681">
      <w:pPr>
        <w:spacing w:before="57" w:line="259" w:lineRule="auto"/>
        <w:ind w:left="100" w:right="809"/>
      </w:pPr>
      <w:r>
        <w:rPr>
          <w:b/>
        </w:rPr>
        <w:t>Ian Burfield</w:t>
      </w:r>
      <w:r>
        <w:t>, Global Science Coordinator (Species) &amp; Coordinator, Red List Authority for Birds, BLI Secretariat</w:t>
      </w:r>
    </w:p>
    <w:p w14:paraId="30EC59EF" w14:textId="77777777" w:rsidR="00657373" w:rsidRDefault="005E3681">
      <w:pPr>
        <w:spacing w:before="159"/>
        <w:ind w:left="100"/>
      </w:pPr>
      <w:r>
        <w:rPr>
          <w:b/>
        </w:rPr>
        <w:t>Vicky Jones</w:t>
      </w:r>
      <w:r>
        <w:t>, Flyways Science Coordinator, BLI Secretariat</w:t>
      </w:r>
    </w:p>
    <w:p w14:paraId="7642FA0A" w14:textId="77777777" w:rsidR="00657373" w:rsidRDefault="005E3681">
      <w:pPr>
        <w:spacing w:before="183"/>
        <w:ind w:left="100"/>
      </w:pPr>
      <w:r>
        <w:rPr>
          <w:b/>
        </w:rPr>
        <w:t>Nicola Crockford</w:t>
      </w:r>
      <w:r>
        <w:t>, Principal Policy Officer, RSPB</w:t>
      </w:r>
    </w:p>
    <w:p w14:paraId="027F5822" w14:textId="77777777" w:rsidR="00657373" w:rsidRDefault="005E3681">
      <w:pPr>
        <w:spacing w:before="180"/>
        <w:ind w:left="100"/>
      </w:pPr>
      <w:r>
        <w:rPr>
          <w:b/>
        </w:rPr>
        <w:t>Paul Donald</w:t>
      </w:r>
      <w:r>
        <w:t>, Chair of the BirdLife Taxonomic Working Group, BLI Secretariat</w:t>
      </w:r>
    </w:p>
    <w:p w14:paraId="6A64C5A0" w14:textId="77777777" w:rsidR="00657373" w:rsidRDefault="00657373">
      <w:pPr>
        <w:sectPr w:rsidR="00657373" w:rsidSect="0005524A">
          <w:pgSz w:w="12240" w:h="15840"/>
          <w:pgMar w:top="1138" w:right="850" w:bottom="1138" w:left="850" w:header="0" w:footer="1008" w:gutter="0"/>
          <w:cols w:space="720"/>
        </w:sectPr>
      </w:pPr>
    </w:p>
    <w:p w14:paraId="36FE6A96" w14:textId="77777777" w:rsidR="00657373" w:rsidRDefault="005E3681">
      <w:pPr>
        <w:spacing w:before="40"/>
        <w:ind w:left="100"/>
        <w:rPr>
          <w:i/>
          <w:sz w:val="24"/>
        </w:rPr>
      </w:pPr>
      <w:r>
        <w:rPr>
          <w:i/>
          <w:sz w:val="24"/>
        </w:rPr>
        <w:lastRenderedPageBreak/>
        <w:t>Provisional agenda:</w:t>
      </w:r>
    </w:p>
    <w:p w14:paraId="594BD6B4" w14:textId="77777777" w:rsidR="00657373" w:rsidRDefault="00657373">
      <w:pPr>
        <w:pStyle w:val="BodyText"/>
        <w:spacing w:before="11"/>
        <w:rPr>
          <w:i/>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5"/>
        <w:gridCol w:w="5312"/>
        <w:gridCol w:w="2631"/>
      </w:tblGrid>
      <w:tr w:rsidR="00657373" w14:paraId="18BEB1F1" w14:textId="77777777">
        <w:trPr>
          <w:trHeight w:val="268"/>
        </w:trPr>
        <w:tc>
          <w:tcPr>
            <w:tcW w:w="1075" w:type="dxa"/>
          </w:tcPr>
          <w:p w14:paraId="4D78ABE7" w14:textId="77777777" w:rsidR="00657373" w:rsidRDefault="005E3681">
            <w:pPr>
              <w:pStyle w:val="TableParagraph"/>
              <w:spacing w:line="248" w:lineRule="exact"/>
              <w:rPr>
                <w:b/>
              </w:rPr>
            </w:pPr>
            <w:r>
              <w:rPr>
                <w:b/>
              </w:rPr>
              <w:t>Time</w:t>
            </w:r>
          </w:p>
        </w:tc>
        <w:tc>
          <w:tcPr>
            <w:tcW w:w="5312" w:type="dxa"/>
          </w:tcPr>
          <w:p w14:paraId="2967A811" w14:textId="77777777" w:rsidR="00657373" w:rsidRDefault="005E3681">
            <w:pPr>
              <w:pStyle w:val="TableParagraph"/>
              <w:spacing w:line="248" w:lineRule="exact"/>
              <w:rPr>
                <w:b/>
              </w:rPr>
            </w:pPr>
            <w:r>
              <w:rPr>
                <w:b/>
              </w:rPr>
              <w:t>Item</w:t>
            </w:r>
          </w:p>
        </w:tc>
        <w:tc>
          <w:tcPr>
            <w:tcW w:w="2631" w:type="dxa"/>
          </w:tcPr>
          <w:p w14:paraId="08A76447" w14:textId="77777777" w:rsidR="00657373" w:rsidRDefault="005E3681">
            <w:pPr>
              <w:pStyle w:val="TableParagraph"/>
              <w:spacing w:line="248" w:lineRule="exact"/>
              <w:ind w:left="105"/>
              <w:rPr>
                <w:b/>
              </w:rPr>
            </w:pPr>
            <w:r>
              <w:rPr>
                <w:b/>
              </w:rPr>
              <w:t>Lead</w:t>
            </w:r>
          </w:p>
        </w:tc>
      </w:tr>
      <w:tr w:rsidR="00657373" w14:paraId="5BF1C4F2" w14:textId="77777777">
        <w:trPr>
          <w:trHeight w:val="270"/>
        </w:trPr>
        <w:tc>
          <w:tcPr>
            <w:tcW w:w="1075" w:type="dxa"/>
          </w:tcPr>
          <w:p w14:paraId="66BD1C3A" w14:textId="77777777" w:rsidR="00657373" w:rsidRDefault="005E3681">
            <w:pPr>
              <w:pStyle w:val="TableParagraph"/>
              <w:spacing w:before="1" w:line="249" w:lineRule="exact"/>
            </w:pPr>
            <w:r>
              <w:t>10.00h</w:t>
            </w:r>
          </w:p>
        </w:tc>
        <w:tc>
          <w:tcPr>
            <w:tcW w:w="5312" w:type="dxa"/>
          </w:tcPr>
          <w:p w14:paraId="7FF0C751" w14:textId="77777777" w:rsidR="00657373" w:rsidRDefault="005E3681">
            <w:pPr>
              <w:pStyle w:val="TableParagraph"/>
              <w:spacing w:before="1" w:line="249" w:lineRule="exact"/>
            </w:pPr>
            <w:r>
              <w:t>Welcome and background</w:t>
            </w:r>
          </w:p>
        </w:tc>
        <w:tc>
          <w:tcPr>
            <w:tcW w:w="2631" w:type="dxa"/>
          </w:tcPr>
          <w:p w14:paraId="531B5DFE" w14:textId="77777777" w:rsidR="00657373" w:rsidRDefault="005E3681">
            <w:pPr>
              <w:pStyle w:val="TableParagraph"/>
              <w:spacing w:before="1" w:line="249" w:lineRule="exact"/>
              <w:ind w:left="105"/>
            </w:pPr>
            <w:r>
              <w:t>Sergey Dereliev</w:t>
            </w:r>
          </w:p>
        </w:tc>
      </w:tr>
      <w:tr w:rsidR="00657373" w14:paraId="65704695" w14:textId="77777777">
        <w:trPr>
          <w:trHeight w:val="534"/>
        </w:trPr>
        <w:tc>
          <w:tcPr>
            <w:tcW w:w="1075" w:type="dxa"/>
          </w:tcPr>
          <w:p w14:paraId="651D526D" w14:textId="77777777" w:rsidR="00657373" w:rsidRDefault="005E3681">
            <w:pPr>
              <w:pStyle w:val="TableParagraph"/>
            </w:pPr>
            <w:r>
              <w:t>10.10h</w:t>
            </w:r>
          </w:p>
        </w:tc>
        <w:tc>
          <w:tcPr>
            <w:tcW w:w="5312" w:type="dxa"/>
          </w:tcPr>
          <w:p w14:paraId="30F0099F" w14:textId="77777777" w:rsidR="00657373" w:rsidRDefault="005E3681">
            <w:pPr>
              <w:pStyle w:val="TableParagraph"/>
              <w:spacing w:line="267" w:lineRule="exact"/>
            </w:pPr>
            <w:r>
              <w:t>Introduction – AEWA Annex 2 &amp; 3 revisions (incl.</w:t>
            </w:r>
          </w:p>
          <w:p w14:paraId="03ADF36E" w14:textId="77777777" w:rsidR="00657373" w:rsidRDefault="005E3681">
            <w:pPr>
              <w:pStyle w:val="TableParagraph"/>
              <w:spacing w:line="248" w:lineRule="exact"/>
            </w:pPr>
            <w:r>
              <w:t>Conservation Status Report)</w:t>
            </w:r>
          </w:p>
        </w:tc>
        <w:tc>
          <w:tcPr>
            <w:tcW w:w="2631" w:type="dxa"/>
          </w:tcPr>
          <w:p w14:paraId="43606E32" w14:textId="77777777" w:rsidR="00657373" w:rsidRDefault="005E3681">
            <w:pPr>
              <w:pStyle w:val="TableParagraph"/>
              <w:ind w:left="105"/>
            </w:pPr>
            <w:r>
              <w:t>Sergey Dereliev</w:t>
            </w:r>
          </w:p>
        </w:tc>
      </w:tr>
      <w:tr w:rsidR="00657373" w14:paraId="68D31B0E" w14:textId="77777777">
        <w:trPr>
          <w:trHeight w:val="270"/>
        </w:trPr>
        <w:tc>
          <w:tcPr>
            <w:tcW w:w="1075" w:type="dxa"/>
          </w:tcPr>
          <w:p w14:paraId="1F50BAD7" w14:textId="77777777" w:rsidR="00657373" w:rsidRDefault="005E3681">
            <w:pPr>
              <w:pStyle w:val="TableParagraph"/>
              <w:spacing w:before="1" w:line="249" w:lineRule="exact"/>
            </w:pPr>
            <w:r>
              <w:t>10.15h</w:t>
            </w:r>
          </w:p>
        </w:tc>
        <w:tc>
          <w:tcPr>
            <w:tcW w:w="5312" w:type="dxa"/>
          </w:tcPr>
          <w:p w14:paraId="771C957B" w14:textId="77777777" w:rsidR="00657373" w:rsidRDefault="005E3681">
            <w:pPr>
              <w:pStyle w:val="TableParagraph"/>
              <w:spacing w:before="1" w:line="249" w:lineRule="exact"/>
            </w:pPr>
            <w:r>
              <w:t>Introduction – CMS Appendices revisions</w:t>
            </w:r>
          </w:p>
        </w:tc>
        <w:tc>
          <w:tcPr>
            <w:tcW w:w="2631" w:type="dxa"/>
          </w:tcPr>
          <w:p w14:paraId="1E9F858C" w14:textId="77777777" w:rsidR="00657373" w:rsidRDefault="005E3681">
            <w:pPr>
              <w:pStyle w:val="TableParagraph"/>
              <w:spacing w:before="1" w:line="249" w:lineRule="exact"/>
              <w:ind w:left="105"/>
            </w:pPr>
            <w:r>
              <w:t>Tilman Schneider</w:t>
            </w:r>
          </w:p>
        </w:tc>
      </w:tr>
      <w:tr w:rsidR="00657373" w14:paraId="627BF2D2" w14:textId="77777777">
        <w:trPr>
          <w:trHeight w:val="537"/>
        </w:trPr>
        <w:tc>
          <w:tcPr>
            <w:tcW w:w="1075" w:type="dxa"/>
          </w:tcPr>
          <w:p w14:paraId="05C1E811" w14:textId="77777777" w:rsidR="00657373" w:rsidRDefault="005E3681">
            <w:pPr>
              <w:pStyle w:val="TableParagraph"/>
            </w:pPr>
            <w:r>
              <w:t>10.20h</w:t>
            </w:r>
          </w:p>
        </w:tc>
        <w:tc>
          <w:tcPr>
            <w:tcW w:w="5312" w:type="dxa"/>
          </w:tcPr>
          <w:p w14:paraId="7AF090F0" w14:textId="77777777" w:rsidR="00657373" w:rsidRDefault="005E3681">
            <w:pPr>
              <w:pStyle w:val="TableParagraph"/>
            </w:pPr>
            <w:r>
              <w:t>Introduction – EAAFP taxonomy and nomenclature</w:t>
            </w:r>
          </w:p>
          <w:p w14:paraId="79F5534D" w14:textId="77777777" w:rsidR="00657373" w:rsidRDefault="005E3681">
            <w:pPr>
              <w:pStyle w:val="TableParagraph"/>
              <w:spacing w:line="249" w:lineRule="exact"/>
            </w:pPr>
            <w:r>
              <w:t>revisions</w:t>
            </w:r>
          </w:p>
        </w:tc>
        <w:tc>
          <w:tcPr>
            <w:tcW w:w="2631" w:type="dxa"/>
          </w:tcPr>
          <w:p w14:paraId="5389A496" w14:textId="77777777" w:rsidR="00657373" w:rsidRDefault="005E3681">
            <w:pPr>
              <w:pStyle w:val="TableParagraph"/>
              <w:ind w:left="105"/>
            </w:pPr>
            <w:r>
              <w:t>Doug Watkins</w:t>
            </w:r>
          </w:p>
        </w:tc>
      </w:tr>
      <w:tr w:rsidR="00657373" w14:paraId="1F630E9A" w14:textId="77777777">
        <w:trPr>
          <w:trHeight w:val="534"/>
        </w:trPr>
        <w:tc>
          <w:tcPr>
            <w:tcW w:w="1075" w:type="dxa"/>
          </w:tcPr>
          <w:p w14:paraId="481F4472" w14:textId="77777777" w:rsidR="00657373" w:rsidRDefault="005E3681">
            <w:pPr>
              <w:pStyle w:val="TableParagraph"/>
            </w:pPr>
            <w:r>
              <w:t>10.25h</w:t>
            </w:r>
          </w:p>
        </w:tc>
        <w:tc>
          <w:tcPr>
            <w:tcW w:w="5312" w:type="dxa"/>
          </w:tcPr>
          <w:p w14:paraId="7291A14D" w14:textId="77777777" w:rsidR="00657373" w:rsidRDefault="005E3681">
            <w:pPr>
              <w:pStyle w:val="TableParagraph"/>
              <w:spacing w:line="267" w:lineRule="exact"/>
            </w:pPr>
            <w:r>
              <w:t>Introduction - BirdLife Checklist of the Birds of the World</w:t>
            </w:r>
          </w:p>
          <w:p w14:paraId="57E609A5" w14:textId="77777777" w:rsidR="00657373" w:rsidRDefault="005E3681">
            <w:pPr>
              <w:pStyle w:val="TableParagraph"/>
              <w:spacing w:line="248" w:lineRule="exact"/>
            </w:pPr>
            <w:r>
              <w:t>revisions (incl. Taxonomic Working Group workflow)</w:t>
            </w:r>
          </w:p>
        </w:tc>
        <w:tc>
          <w:tcPr>
            <w:tcW w:w="2631" w:type="dxa"/>
          </w:tcPr>
          <w:p w14:paraId="2F0CF6C1" w14:textId="77777777" w:rsidR="00657373" w:rsidRDefault="005E3681">
            <w:pPr>
              <w:pStyle w:val="TableParagraph"/>
              <w:ind w:left="105"/>
            </w:pPr>
            <w:r>
              <w:t>Ian Burfield &amp; Paul Donald</w:t>
            </w:r>
          </w:p>
        </w:tc>
      </w:tr>
      <w:tr w:rsidR="00657373" w14:paraId="048DD16F" w14:textId="77777777">
        <w:trPr>
          <w:trHeight w:val="806"/>
        </w:trPr>
        <w:tc>
          <w:tcPr>
            <w:tcW w:w="1075" w:type="dxa"/>
          </w:tcPr>
          <w:p w14:paraId="3633DE2C" w14:textId="77777777" w:rsidR="00657373" w:rsidRDefault="005E3681">
            <w:pPr>
              <w:pStyle w:val="TableParagraph"/>
              <w:spacing w:before="1" w:line="240" w:lineRule="auto"/>
            </w:pPr>
            <w:r>
              <w:t>10.35h</w:t>
            </w:r>
          </w:p>
        </w:tc>
        <w:tc>
          <w:tcPr>
            <w:tcW w:w="5312" w:type="dxa"/>
          </w:tcPr>
          <w:p w14:paraId="7EDF089C" w14:textId="77777777" w:rsidR="00657373" w:rsidRDefault="005E3681">
            <w:pPr>
              <w:pStyle w:val="TableParagraph"/>
              <w:spacing w:before="3" w:line="237" w:lineRule="auto"/>
              <w:ind w:right="980"/>
            </w:pPr>
            <w:r>
              <w:t>Discussion – establishing a routine two-way communication between MEAs and BirdLife on</w:t>
            </w:r>
          </w:p>
          <w:p w14:paraId="4D5A4594" w14:textId="77777777" w:rsidR="00657373" w:rsidRDefault="005E3681">
            <w:pPr>
              <w:pStyle w:val="TableParagraph"/>
              <w:spacing w:before="2" w:line="249" w:lineRule="exact"/>
            </w:pPr>
            <w:r>
              <w:t>taxonomic and nomenclature changes</w:t>
            </w:r>
          </w:p>
        </w:tc>
        <w:tc>
          <w:tcPr>
            <w:tcW w:w="2631" w:type="dxa"/>
          </w:tcPr>
          <w:p w14:paraId="1B2C10D1" w14:textId="77777777" w:rsidR="00657373" w:rsidRDefault="005E3681">
            <w:pPr>
              <w:pStyle w:val="TableParagraph"/>
              <w:spacing w:before="1" w:line="240" w:lineRule="auto"/>
              <w:ind w:left="105"/>
            </w:pPr>
            <w:r>
              <w:t>All</w:t>
            </w:r>
          </w:p>
        </w:tc>
      </w:tr>
      <w:tr w:rsidR="00657373" w14:paraId="120F623C" w14:textId="77777777">
        <w:trPr>
          <w:trHeight w:val="268"/>
        </w:trPr>
        <w:tc>
          <w:tcPr>
            <w:tcW w:w="1075" w:type="dxa"/>
          </w:tcPr>
          <w:p w14:paraId="4FA848F2" w14:textId="77777777" w:rsidR="00657373" w:rsidRDefault="005E3681">
            <w:pPr>
              <w:pStyle w:val="TableParagraph"/>
              <w:spacing w:line="248" w:lineRule="exact"/>
            </w:pPr>
            <w:r>
              <w:t>11.00h</w:t>
            </w:r>
          </w:p>
        </w:tc>
        <w:tc>
          <w:tcPr>
            <w:tcW w:w="5312" w:type="dxa"/>
          </w:tcPr>
          <w:p w14:paraId="0603398B" w14:textId="77777777" w:rsidR="00657373" w:rsidRDefault="005E3681">
            <w:pPr>
              <w:pStyle w:val="TableParagraph"/>
              <w:spacing w:line="248" w:lineRule="exact"/>
            </w:pPr>
            <w:r>
              <w:t>Introduction – Red List updates (workflow and calendar)</w:t>
            </w:r>
          </w:p>
        </w:tc>
        <w:tc>
          <w:tcPr>
            <w:tcW w:w="2631" w:type="dxa"/>
          </w:tcPr>
          <w:p w14:paraId="44C343DE" w14:textId="77777777" w:rsidR="00657373" w:rsidRDefault="005E3681">
            <w:pPr>
              <w:pStyle w:val="TableParagraph"/>
              <w:spacing w:line="248" w:lineRule="exact"/>
              <w:ind w:left="105"/>
            </w:pPr>
            <w:r>
              <w:t>Ian Burfield</w:t>
            </w:r>
          </w:p>
        </w:tc>
      </w:tr>
      <w:tr w:rsidR="00657373" w14:paraId="59405AC5" w14:textId="77777777">
        <w:trPr>
          <w:trHeight w:val="537"/>
        </w:trPr>
        <w:tc>
          <w:tcPr>
            <w:tcW w:w="1075" w:type="dxa"/>
          </w:tcPr>
          <w:p w14:paraId="73384F51" w14:textId="77777777" w:rsidR="00657373" w:rsidRDefault="005E3681">
            <w:pPr>
              <w:pStyle w:val="TableParagraph"/>
            </w:pPr>
            <w:r>
              <w:t>11.10h</w:t>
            </w:r>
          </w:p>
        </w:tc>
        <w:tc>
          <w:tcPr>
            <w:tcW w:w="5312" w:type="dxa"/>
          </w:tcPr>
          <w:p w14:paraId="5247C71E" w14:textId="77777777" w:rsidR="00657373" w:rsidRDefault="005E3681">
            <w:pPr>
              <w:pStyle w:val="TableParagraph"/>
            </w:pPr>
            <w:r>
              <w:t>Discussion – establishing a routine process of RL</w:t>
            </w:r>
            <w:r>
              <w:rPr>
                <w:spacing w:val="-17"/>
              </w:rPr>
              <w:t xml:space="preserve"> </w:t>
            </w:r>
            <w:r>
              <w:t>updates</w:t>
            </w:r>
          </w:p>
          <w:p w14:paraId="26AEAAEF" w14:textId="77777777" w:rsidR="00657373" w:rsidRDefault="005E3681">
            <w:pPr>
              <w:pStyle w:val="TableParagraph"/>
              <w:spacing w:line="249" w:lineRule="exact"/>
            </w:pPr>
            <w:r>
              <w:t>submission to MEAs (in accordance with their</w:t>
            </w:r>
            <w:r>
              <w:rPr>
                <w:spacing w:val="-12"/>
              </w:rPr>
              <w:t xml:space="preserve"> </w:t>
            </w:r>
            <w:r>
              <w:t>calendars)</w:t>
            </w:r>
          </w:p>
        </w:tc>
        <w:tc>
          <w:tcPr>
            <w:tcW w:w="2631" w:type="dxa"/>
          </w:tcPr>
          <w:p w14:paraId="15E04EEB" w14:textId="77777777" w:rsidR="00657373" w:rsidRDefault="005E3681">
            <w:pPr>
              <w:pStyle w:val="TableParagraph"/>
              <w:ind w:left="105"/>
            </w:pPr>
            <w:r>
              <w:t>All</w:t>
            </w:r>
          </w:p>
        </w:tc>
      </w:tr>
      <w:tr w:rsidR="00657373" w14:paraId="2CE3A489" w14:textId="77777777">
        <w:trPr>
          <w:trHeight w:val="270"/>
        </w:trPr>
        <w:tc>
          <w:tcPr>
            <w:tcW w:w="1075" w:type="dxa"/>
          </w:tcPr>
          <w:p w14:paraId="14E729C3" w14:textId="77777777" w:rsidR="00657373" w:rsidRDefault="005E3681">
            <w:pPr>
              <w:pStyle w:val="TableParagraph"/>
              <w:spacing w:line="251" w:lineRule="exact"/>
            </w:pPr>
            <w:r>
              <w:t>11.25h</w:t>
            </w:r>
          </w:p>
        </w:tc>
        <w:tc>
          <w:tcPr>
            <w:tcW w:w="5312" w:type="dxa"/>
          </w:tcPr>
          <w:p w14:paraId="0339CA6D" w14:textId="77777777" w:rsidR="00657373" w:rsidRDefault="005E3681">
            <w:pPr>
              <w:pStyle w:val="TableParagraph"/>
              <w:spacing w:line="251" w:lineRule="exact"/>
            </w:pPr>
            <w:r>
              <w:t>Conclusions and closure</w:t>
            </w:r>
          </w:p>
        </w:tc>
        <w:tc>
          <w:tcPr>
            <w:tcW w:w="2631" w:type="dxa"/>
          </w:tcPr>
          <w:p w14:paraId="5B176DFF" w14:textId="77777777" w:rsidR="00657373" w:rsidRDefault="005E3681">
            <w:pPr>
              <w:pStyle w:val="TableParagraph"/>
              <w:spacing w:line="251" w:lineRule="exact"/>
              <w:ind w:left="105"/>
            </w:pPr>
            <w:r>
              <w:t>Sergey Dereliev</w:t>
            </w:r>
          </w:p>
        </w:tc>
      </w:tr>
    </w:tbl>
    <w:p w14:paraId="342BDE88" w14:textId="77777777" w:rsidR="00B93543" w:rsidRDefault="00B93543"/>
    <w:sectPr w:rsidR="00B93543" w:rsidSect="0005524A">
      <w:pgSz w:w="12240" w:h="15840"/>
      <w:pgMar w:top="1138" w:right="850" w:bottom="1138" w:left="850" w:header="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66504" w14:textId="77777777" w:rsidR="00B93543" w:rsidRDefault="005E3681">
      <w:r>
        <w:separator/>
      </w:r>
    </w:p>
  </w:endnote>
  <w:endnote w:type="continuationSeparator" w:id="0">
    <w:p w14:paraId="75885179" w14:textId="77777777" w:rsidR="00B93543" w:rsidRDefault="005E3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0538D" w14:textId="77777777" w:rsidR="004434D5" w:rsidRDefault="004434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8825722"/>
      <w:docPartObj>
        <w:docPartGallery w:val="Page Numbers (Bottom of Page)"/>
        <w:docPartUnique/>
      </w:docPartObj>
    </w:sdtPr>
    <w:sdtEndPr>
      <w:rPr>
        <w:noProof/>
      </w:rPr>
    </w:sdtEndPr>
    <w:sdtContent>
      <w:p w14:paraId="5E75EA15" w14:textId="20892E76" w:rsidR="005E3681" w:rsidRDefault="005E36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23D351" w14:textId="17F2AB10" w:rsidR="00657373" w:rsidRDefault="00657373">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24E2D" w14:textId="77777777" w:rsidR="004434D5" w:rsidRDefault="004434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CB6CB" w14:textId="77777777" w:rsidR="00B93543" w:rsidRDefault="005E3681">
      <w:r>
        <w:separator/>
      </w:r>
    </w:p>
  </w:footnote>
  <w:footnote w:type="continuationSeparator" w:id="0">
    <w:p w14:paraId="3CB01155" w14:textId="77777777" w:rsidR="00B93543" w:rsidRDefault="005E3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C1729" w14:textId="77777777" w:rsidR="004434D5" w:rsidRDefault="004434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FF5AE" w14:textId="77777777" w:rsidR="004434D5" w:rsidRDefault="004434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4B34E" w14:textId="77777777" w:rsidR="00FF35FD" w:rsidRDefault="00FF35FD" w:rsidP="006373C9">
    <w:pPr>
      <w:widowControl/>
      <w:tabs>
        <w:tab w:val="left" w:pos="-720"/>
        <w:tab w:val="left" w:pos="310"/>
        <w:tab w:val="left" w:pos="835"/>
      </w:tabs>
      <w:autoSpaceDE/>
      <w:autoSpaceDN/>
      <w:spacing w:line="155" w:lineRule="auto"/>
      <w:jc w:val="center"/>
      <w:rPr>
        <w:rFonts w:ascii="Times New Roman" w:eastAsia="Times New Roman" w:hAnsi="Times New Roman" w:cs="Times New Roman"/>
        <w:sz w:val="24"/>
        <w:szCs w:val="24"/>
        <w:lang w:val="en-GB"/>
      </w:rPr>
    </w:pPr>
  </w:p>
  <w:p w14:paraId="28F054D1" w14:textId="77777777" w:rsidR="00FF35FD" w:rsidRDefault="00FF35FD" w:rsidP="006373C9">
    <w:pPr>
      <w:widowControl/>
      <w:tabs>
        <w:tab w:val="left" w:pos="-720"/>
        <w:tab w:val="left" w:pos="310"/>
        <w:tab w:val="left" w:pos="835"/>
      </w:tabs>
      <w:autoSpaceDE/>
      <w:autoSpaceDN/>
      <w:spacing w:line="155" w:lineRule="auto"/>
      <w:jc w:val="center"/>
      <w:rPr>
        <w:rFonts w:ascii="Times New Roman" w:eastAsia="Times New Roman" w:hAnsi="Times New Roman" w:cs="Times New Roman"/>
        <w:sz w:val="24"/>
        <w:szCs w:val="24"/>
        <w:lang w:val="en-GB"/>
      </w:rPr>
    </w:pPr>
  </w:p>
  <w:p w14:paraId="45E953E9" w14:textId="77777777" w:rsidR="00FF35FD" w:rsidRDefault="00FF35FD" w:rsidP="006373C9">
    <w:pPr>
      <w:widowControl/>
      <w:tabs>
        <w:tab w:val="left" w:pos="-720"/>
        <w:tab w:val="left" w:pos="310"/>
        <w:tab w:val="left" w:pos="835"/>
      </w:tabs>
      <w:autoSpaceDE/>
      <w:autoSpaceDN/>
      <w:spacing w:line="155" w:lineRule="auto"/>
      <w:jc w:val="center"/>
      <w:rPr>
        <w:rFonts w:ascii="Times New Roman" w:eastAsia="Times New Roman" w:hAnsi="Times New Roman" w:cs="Times New Roman"/>
        <w:sz w:val="24"/>
        <w:szCs w:val="24"/>
        <w:lang w:val="en-GB"/>
      </w:rPr>
    </w:pPr>
  </w:p>
  <w:p w14:paraId="27D0F149" w14:textId="77777777" w:rsidR="00FF35FD" w:rsidRDefault="00FF35FD" w:rsidP="006373C9">
    <w:pPr>
      <w:widowControl/>
      <w:tabs>
        <w:tab w:val="left" w:pos="-720"/>
        <w:tab w:val="left" w:pos="310"/>
        <w:tab w:val="left" w:pos="835"/>
      </w:tabs>
      <w:autoSpaceDE/>
      <w:autoSpaceDN/>
      <w:spacing w:line="155" w:lineRule="auto"/>
      <w:jc w:val="center"/>
      <w:rPr>
        <w:rFonts w:ascii="Times New Roman" w:eastAsia="Times New Roman" w:hAnsi="Times New Roman" w:cs="Times New Roman"/>
        <w:sz w:val="24"/>
        <w:szCs w:val="24"/>
        <w:lang w:val="en-GB"/>
      </w:rPr>
    </w:pPr>
  </w:p>
  <w:p w14:paraId="54DD18F0" w14:textId="2344F753" w:rsidR="006373C9" w:rsidRPr="006373C9" w:rsidRDefault="004434D5" w:rsidP="006373C9">
    <w:pPr>
      <w:widowControl/>
      <w:tabs>
        <w:tab w:val="left" w:pos="-720"/>
        <w:tab w:val="left" w:pos="310"/>
        <w:tab w:val="left" w:pos="835"/>
      </w:tabs>
      <w:autoSpaceDE/>
      <w:autoSpaceDN/>
      <w:spacing w:line="155" w:lineRule="auto"/>
      <w:jc w:val="center"/>
      <w:rPr>
        <w:rFonts w:ascii="Times New Roman" w:eastAsia="Times New Roman" w:hAnsi="Times New Roman" w:cs="Times New Roman"/>
        <w:sz w:val="24"/>
        <w:szCs w:val="24"/>
        <w:lang w:val="en-GB"/>
      </w:rPr>
    </w:pPr>
    <w:r>
      <w:rPr>
        <w:noProof/>
      </w:rPr>
      <w:pict w14:anchorId="50BE1AFA">
        <v:shapetype id="_x0000_t202" coordsize="21600,21600" o:spt="202" path="m,l,21600r21600,l21600,xe">
          <v:stroke joinstyle="miter"/>
          <v:path gradientshapeok="t" o:connecttype="rect"/>
        </v:shapetype>
        <v:shape id="Text Box 18" o:spid="_x0000_s1027" type="#_x0000_t202" style="position:absolute;left:0;text-align:left;margin-left:413.5pt;margin-top:6.35pt;width:115.9pt;height:45pt;z-index:251660800;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" stroked="f">
          <v:textbox style="mso-next-textbox:#Text Box 18">
            <w:txbxContent>
              <w:p w14:paraId="06ACACF0" w14:textId="5F59B93C" w:rsidR="006373C9" w:rsidRDefault="006373C9" w:rsidP="006373C9">
                <w:pPr>
                  <w:jc w:val="right"/>
                  <w:rPr>
                    <w:rFonts w:ascii="Times New Roman" w:hAnsi="Times New Roman" w:cs="Times New Roman"/>
                    <w:i/>
                    <w:iCs/>
                    <w:sz w:val="20"/>
                    <w:szCs w:val="20"/>
                  </w:rPr>
                </w:pPr>
                <w:r w:rsidRPr="00FF35FD">
                  <w:rPr>
                    <w:rFonts w:ascii="Times New Roman" w:hAnsi="Times New Roman" w:cs="Times New Roman"/>
                    <w:i/>
                    <w:iCs/>
                    <w:sz w:val="20"/>
                    <w:szCs w:val="20"/>
                  </w:rPr>
                  <w:t xml:space="preserve">Doc </w:t>
                </w:r>
                <w:r w:rsidR="00C74A3F">
                  <w:rPr>
                    <w:rFonts w:ascii="Times New Roman" w:hAnsi="Times New Roman" w:cs="Times New Roman"/>
                    <w:i/>
                    <w:iCs/>
                    <w:sz w:val="20"/>
                    <w:szCs w:val="20"/>
                  </w:rPr>
                  <w:t>AEWA/</w:t>
                </w:r>
                <w:r w:rsidRPr="00FF35FD">
                  <w:rPr>
                    <w:rFonts w:ascii="Times New Roman" w:hAnsi="Times New Roman" w:cs="Times New Roman"/>
                    <w:i/>
                    <w:iCs/>
                    <w:sz w:val="20"/>
                    <w:szCs w:val="20"/>
                  </w:rPr>
                  <w:t>TC Inf. 16.5</w:t>
                </w:r>
              </w:p>
              <w:p w14:paraId="30F822FB" w14:textId="79E8FF76" w:rsidR="00391037" w:rsidRPr="00FF35FD" w:rsidRDefault="00391037" w:rsidP="006373C9">
                <w:pPr>
                  <w:jc w:val="right"/>
                  <w:rPr>
                    <w:rFonts w:ascii="Times New Roman" w:hAnsi="Times New Roman" w:cs="Times New Roman"/>
                    <w:i/>
                    <w:iCs/>
                    <w:sz w:val="20"/>
                    <w:szCs w:val="20"/>
                  </w:rPr>
                </w:pPr>
                <w:r>
                  <w:rPr>
                    <w:rFonts w:ascii="Times New Roman" w:hAnsi="Times New Roman" w:cs="Times New Roman"/>
                    <w:i/>
                    <w:iCs/>
                    <w:sz w:val="20"/>
                    <w:szCs w:val="20"/>
                  </w:rPr>
                  <w:t xml:space="preserve">Agenda item </w:t>
                </w:r>
                <w:r w:rsidR="004434D5">
                  <w:rPr>
                    <w:rFonts w:ascii="Times New Roman" w:hAnsi="Times New Roman" w:cs="Times New Roman"/>
                    <w:i/>
                    <w:iCs/>
                    <w:sz w:val="20"/>
                    <w:szCs w:val="20"/>
                  </w:rPr>
                  <w:t>20</w:t>
                </w:r>
                <w:bookmarkStart w:id="0" w:name="_GoBack"/>
                <w:bookmarkEnd w:id="0"/>
              </w:p>
              <w:p w14:paraId="297319ED" w14:textId="3D09B8B1" w:rsidR="006373C9" w:rsidRPr="00FF35FD" w:rsidRDefault="00D9485F" w:rsidP="006373C9">
                <w:pPr>
                  <w:jc w:val="right"/>
                  <w:rPr>
                    <w:rFonts w:ascii="Times New Roman" w:hAnsi="Times New Roman" w:cs="Times New Roman"/>
                  </w:rPr>
                </w:pPr>
                <w:r>
                  <w:rPr>
                    <w:rFonts w:ascii="Times New Roman" w:hAnsi="Times New Roman" w:cs="Times New Roman"/>
                    <w:i/>
                    <w:iCs/>
                    <w:sz w:val="20"/>
                    <w:szCs w:val="20"/>
                  </w:rPr>
                  <w:t>1</w:t>
                </w:r>
                <w:r w:rsidR="00074DA8">
                  <w:rPr>
                    <w:rFonts w:ascii="Times New Roman" w:hAnsi="Times New Roman" w:cs="Times New Roman"/>
                    <w:i/>
                    <w:iCs/>
                    <w:sz w:val="20"/>
                    <w:szCs w:val="20"/>
                  </w:rPr>
                  <w:t>6</w:t>
                </w:r>
                <w:r>
                  <w:rPr>
                    <w:rFonts w:ascii="Times New Roman" w:hAnsi="Times New Roman" w:cs="Times New Roman"/>
                    <w:i/>
                    <w:iCs/>
                    <w:sz w:val="20"/>
                    <w:szCs w:val="20"/>
                  </w:rPr>
                  <w:t xml:space="preserve"> December</w:t>
                </w:r>
                <w:r w:rsidR="006373C9" w:rsidRPr="00FF35FD">
                  <w:rPr>
                    <w:rFonts w:ascii="Times New Roman" w:hAnsi="Times New Roman" w:cs="Times New Roman"/>
                    <w:i/>
                    <w:iCs/>
                    <w:sz w:val="20"/>
                    <w:szCs w:val="20"/>
                  </w:rPr>
                  <w:t xml:space="preserve"> 2020</w:t>
                </w:r>
              </w:p>
            </w:txbxContent>
          </v:textbox>
        </v:shape>
      </w:pict>
    </w:r>
    <w:r w:rsidR="006373C9" w:rsidRPr="006373C9">
      <w:rPr>
        <w:rFonts w:ascii="Times New Roman" w:eastAsia="Times New Roman" w:hAnsi="Times New Roman" w:cs="Times New Roman"/>
        <w:noProof/>
        <w:sz w:val="24"/>
        <w:szCs w:val="24"/>
        <w:lang w:val="en-GB"/>
      </w:rPr>
      <w:drawing>
        <wp:anchor distT="0" distB="0" distL="114300" distR="114300" simplePos="0" relativeHeight="251659264" behindDoc="0" locked="0" layoutInCell="1" allowOverlap="1" wp14:anchorId="42E146E0" wp14:editId="5768C701">
          <wp:simplePos x="0" y="0"/>
          <wp:positionH relativeFrom="column">
            <wp:posOffset>0</wp:posOffset>
          </wp:positionH>
          <wp:positionV relativeFrom="paragraph">
            <wp:posOffset>-34290</wp:posOffset>
          </wp:positionV>
          <wp:extent cx="1028700" cy="8515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851535"/>
                  </a:xfrm>
                  <a:prstGeom prst="rect">
                    <a:avLst/>
                  </a:prstGeom>
                  <a:noFill/>
                </pic:spPr>
              </pic:pic>
            </a:graphicData>
          </a:graphic>
          <wp14:sizeRelH relativeFrom="page">
            <wp14:pctWidth>0</wp14:pctWidth>
          </wp14:sizeRelH>
          <wp14:sizeRelV relativeFrom="page">
            <wp14:pctHeight>0</wp14:pctHeight>
          </wp14:sizeRelV>
        </wp:anchor>
      </w:drawing>
    </w:r>
  </w:p>
  <w:p w14:paraId="41128A73" w14:textId="77777777" w:rsidR="006373C9" w:rsidRPr="006373C9" w:rsidRDefault="006373C9" w:rsidP="006373C9">
    <w:pPr>
      <w:widowControl/>
      <w:tabs>
        <w:tab w:val="left" w:pos="-720"/>
      </w:tabs>
      <w:autoSpaceDE/>
      <w:autoSpaceDN/>
      <w:jc w:val="center"/>
      <w:rPr>
        <w:rFonts w:ascii="Times New Roman" w:eastAsia="Times New Roman" w:hAnsi="Times New Roman" w:cs="Times New Roman"/>
        <w:i/>
        <w:lang w:val="en-GB"/>
      </w:rPr>
    </w:pPr>
    <w:r w:rsidRPr="006373C9">
      <w:rPr>
        <w:rFonts w:ascii="Times New Roman" w:eastAsia="Times New Roman" w:hAnsi="Times New Roman" w:cs="Times New Roman"/>
        <w:i/>
        <w:lang w:val="en-GB"/>
      </w:rPr>
      <w:t xml:space="preserve">AGREEMENT ON THE CONSERVATION OF </w:t>
    </w:r>
  </w:p>
  <w:p w14:paraId="7F5640C1" w14:textId="77777777" w:rsidR="006373C9" w:rsidRPr="006373C9" w:rsidRDefault="006373C9" w:rsidP="006373C9">
    <w:pPr>
      <w:widowControl/>
      <w:tabs>
        <w:tab w:val="left" w:pos="-720"/>
      </w:tabs>
      <w:autoSpaceDE/>
      <w:autoSpaceDN/>
      <w:jc w:val="center"/>
      <w:rPr>
        <w:rFonts w:ascii="Times New Roman" w:eastAsia="Times New Roman" w:hAnsi="Times New Roman" w:cs="Times New Roman"/>
        <w:i/>
        <w:lang w:val="en-GB"/>
      </w:rPr>
    </w:pPr>
    <w:r w:rsidRPr="006373C9">
      <w:rPr>
        <w:rFonts w:ascii="Times New Roman" w:eastAsia="Times New Roman" w:hAnsi="Times New Roman" w:cs="Times New Roman"/>
        <w:i/>
        <w:lang w:val="en-GB"/>
      </w:rPr>
      <w:t>AFRICAN-EURASIAN MIGRATORY WATERBIRDS</w:t>
    </w:r>
  </w:p>
  <w:p w14:paraId="2AFF2A4B" w14:textId="77777777" w:rsidR="006373C9" w:rsidRPr="006373C9" w:rsidRDefault="006373C9" w:rsidP="006373C9">
    <w:pPr>
      <w:widowControl/>
      <w:tabs>
        <w:tab w:val="left" w:pos="-720"/>
      </w:tabs>
      <w:autoSpaceDE/>
      <w:autoSpaceDN/>
      <w:jc w:val="center"/>
      <w:rPr>
        <w:rFonts w:ascii="Times New Roman" w:eastAsia="Times New Roman" w:hAnsi="Times New Roman" w:cs="Times New Roman"/>
        <w:i/>
        <w:lang w:val="en-GB"/>
      </w:rPr>
    </w:pPr>
  </w:p>
  <w:p w14:paraId="1A065498" w14:textId="77777777" w:rsidR="006373C9" w:rsidRPr="006373C9" w:rsidRDefault="006373C9" w:rsidP="006373C9">
    <w:pPr>
      <w:widowControl/>
      <w:tabs>
        <w:tab w:val="left" w:pos="-720"/>
      </w:tabs>
      <w:autoSpaceDE/>
      <w:autoSpaceDN/>
      <w:jc w:val="center"/>
      <w:rPr>
        <w:rFonts w:ascii="Times New Roman" w:eastAsia="Times New Roman" w:hAnsi="Times New Roman" w:cs="Times New Roman"/>
        <w:i/>
        <w:lang w:val="en-GB"/>
      </w:rPr>
    </w:pPr>
  </w:p>
  <w:p w14:paraId="7FE7FA6C" w14:textId="77777777" w:rsidR="006373C9" w:rsidRPr="006373C9" w:rsidRDefault="006373C9" w:rsidP="006373C9">
    <w:pPr>
      <w:widowControl/>
      <w:tabs>
        <w:tab w:val="left" w:pos="-720"/>
      </w:tabs>
      <w:autoSpaceDE/>
      <w:autoSpaceDN/>
      <w:jc w:val="center"/>
      <w:rPr>
        <w:rFonts w:ascii="Times New Roman" w:eastAsia="Times New Roman" w:hAnsi="Times New Roman" w:cs="Times New Roman"/>
        <w:i/>
        <w:lang w:val="en-GB"/>
      </w:rPr>
    </w:pPr>
  </w:p>
  <w:p w14:paraId="017EEBB6" w14:textId="77777777" w:rsidR="006373C9" w:rsidRPr="006373C9" w:rsidRDefault="006373C9" w:rsidP="006373C9">
    <w:pPr>
      <w:widowControl/>
      <w:tabs>
        <w:tab w:val="left" w:pos="-720"/>
      </w:tabs>
      <w:autoSpaceDE/>
      <w:autoSpaceDN/>
      <w:jc w:val="center"/>
      <w:rPr>
        <w:rFonts w:ascii="Times New Roman" w:eastAsia="Times New Roman" w:hAnsi="Times New Roman" w:cs="Times New Roman"/>
        <w:i/>
        <w:lang w:val="en-GB"/>
      </w:rPr>
    </w:pPr>
  </w:p>
  <w:p w14:paraId="7D255CEF" w14:textId="77777777" w:rsidR="006373C9" w:rsidRPr="006373C9" w:rsidRDefault="006373C9" w:rsidP="006373C9">
    <w:pPr>
      <w:widowControl/>
      <w:tabs>
        <w:tab w:val="left" w:pos="-720"/>
        <w:tab w:val="left" w:pos="381"/>
        <w:tab w:val="left" w:pos="835"/>
      </w:tabs>
      <w:autoSpaceDE/>
      <w:autoSpaceDN/>
      <w:spacing w:line="227" w:lineRule="auto"/>
      <w:jc w:val="center"/>
      <w:rPr>
        <w:rFonts w:ascii="Times New Roman" w:eastAsia="Times New Roman" w:hAnsi="Times New Roman" w:cs="Times New Roman"/>
        <w:sz w:val="24"/>
        <w:szCs w:val="24"/>
        <w:lang w:val="en-GB"/>
      </w:rPr>
    </w:pPr>
    <w:r w:rsidRPr="006373C9">
      <w:rPr>
        <w:rFonts w:ascii="Times New Roman" w:eastAsia="Times New Roman" w:hAnsi="Times New Roman" w:cs="Times New Roman"/>
        <w:b/>
        <w:bCs/>
        <w:sz w:val="26"/>
        <w:szCs w:val="26"/>
        <w:lang w:val="en-GB"/>
      </w:rPr>
      <w:t>16</w:t>
    </w:r>
    <w:r w:rsidRPr="006373C9">
      <w:rPr>
        <w:rFonts w:ascii="Times New Roman" w:eastAsia="Times New Roman" w:hAnsi="Times New Roman" w:cs="Times New Roman"/>
        <w:b/>
        <w:bCs/>
        <w:sz w:val="26"/>
        <w:szCs w:val="26"/>
        <w:vertAlign w:val="superscript"/>
        <w:lang w:val="en-GB"/>
      </w:rPr>
      <w:t>th</w:t>
    </w:r>
    <w:r w:rsidRPr="006373C9">
      <w:rPr>
        <w:rFonts w:ascii="Times New Roman" w:eastAsia="Times New Roman" w:hAnsi="Times New Roman" w:cs="Times New Roman"/>
        <w:b/>
        <w:bCs/>
        <w:sz w:val="26"/>
        <w:szCs w:val="26"/>
        <w:lang w:val="en-GB"/>
      </w:rPr>
      <w:t xml:space="preserve"> MEETING OF THE TECHNICAL COMMITTEE</w:t>
    </w:r>
  </w:p>
  <w:p w14:paraId="1D6B4965" w14:textId="6B11B707" w:rsidR="006373C9" w:rsidRPr="006373C9" w:rsidRDefault="006373C9" w:rsidP="006373C9">
    <w:pPr>
      <w:widowControl/>
      <w:tabs>
        <w:tab w:val="left" w:pos="-720"/>
        <w:tab w:val="left" w:pos="381"/>
        <w:tab w:val="left" w:pos="835"/>
      </w:tabs>
      <w:autoSpaceDE/>
      <w:autoSpaceDN/>
      <w:spacing w:line="227" w:lineRule="auto"/>
      <w:jc w:val="center"/>
      <w:rPr>
        <w:rFonts w:ascii="Times New Roman" w:eastAsia="Times New Roman" w:hAnsi="Times New Roman" w:cs="Times New Roman"/>
        <w:i/>
        <w:iCs/>
        <w:sz w:val="24"/>
        <w:szCs w:val="24"/>
        <w:lang w:val="en-GB"/>
      </w:rPr>
    </w:pPr>
    <w:r w:rsidRPr="006373C9">
      <w:rPr>
        <w:rFonts w:ascii="Times New Roman" w:eastAsia="Times New Roman" w:hAnsi="Times New Roman" w:cs="Times New Roman"/>
        <w:i/>
        <w:iCs/>
        <w:sz w:val="24"/>
        <w:szCs w:val="24"/>
        <w:lang w:val="en-GB"/>
      </w:rPr>
      <w:t xml:space="preserve"> 25-29 January 2021, </w:t>
    </w:r>
    <w:r w:rsidR="00317CE4">
      <w:rPr>
        <w:rFonts w:ascii="Times New Roman" w:eastAsia="Times New Roman" w:hAnsi="Times New Roman" w:cs="Times New Roman"/>
        <w:i/>
        <w:iCs/>
        <w:sz w:val="24"/>
        <w:szCs w:val="24"/>
        <w:lang w:val="en-GB"/>
      </w:rPr>
      <w:t>Virtual conference format</w:t>
    </w:r>
  </w:p>
  <w:p w14:paraId="37EB5D6A" w14:textId="77777777" w:rsidR="006373C9" w:rsidRPr="006373C9" w:rsidRDefault="006373C9" w:rsidP="006373C9">
    <w:pPr>
      <w:keepNext/>
      <w:widowControl/>
      <w:pBdr>
        <w:bottom w:val="single" w:sz="4" w:space="1" w:color="auto"/>
      </w:pBdr>
      <w:autoSpaceDE/>
      <w:autoSpaceDN/>
      <w:jc w:val="center"/>
      <w:outlineLvl w:val="0"/>
      <w:rPr>
        <w:rFonts w:ascii="Times New Roman" w:eastAsia="Times New Roman" w:hAnsi="Times New Roman" w:cs="Times New Roman"/>
        <w:b/>
        <w:bCs/>
        <w:sz w:val="28"/>
        <w:szCs w:val="24"/>
        <w:lang w:val="en-GB"/>
      </w:rPr>
    </w:pPr>
  </w:p>
  <w:p w14:paraId="5B6B8E69" w14:textId="77777777" w:rsidR="006373C9" w:rsidRPr="006373C9" w:rsidRDefault="006373C9" w:rsidP="006373C9">
    <w:pPr>
      <w:tabs>
        <w:tab w:val="center" w:pos="4320"/>
        <w:tab w:val="right" w:pos="8640"/>
      </w:tabs>
      <w:autoSpaceDE/>
      <w:autoSpaceDN/>
      <w:rPr>
        <w:rFonts w:ascii="Times New Roman" w:eastAsia="Times New Roman" w:hAnsi="Times New Roman" w:cs="Times New Roman"/>
        <w:snapToGrid w:val="0"/>
        <w:sz w:val="24"/>
        <w:szCs w:val="20"/>
        <w:lang w:val="en-GB"/>
      </w:rPr>
    </w:pPr>
  </w:p>
  <w:p w14:paraId="079AD6A3" w14:textId="77777777" w:rsidR="006373C9" w:rsidRDefault="006373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2B38EA"/>
    <w:multiLevelType w:val="hybridMultilevel"/>
    <w:tmpl w:val="5F163BF6"/>
    <w:lvl w:ilvl="0" w:tplc="D6C01420">
      <w:numFmt w:val="bullet"/>
      <w:lvlText w:val=""/>
      <w:lvlJc w:val="left"/>
      <w:pPr>
        <w:ind w:left="820" w:hanging="360"/>
      </w:pPr>
      <w:rPr>
        <w:rFonts w:ascii="Symbol" w:eastAsia="Symbol" w:hAnsi="Symbol" w:cs="Symbol" w:hint="default"/>
        <w:w w:val="100"/>
        <w:sz w:val="28"/>
        <w:szCs w:val="28"/>
      </w:rPr>
    </w:lvl>
    <w:lvl w:ilvl="1" w:tplc="82AEE27E">
      <w:numFmt w:val="bullet"/>
      <w:lvlText w:val="•"/>
      <w:lvlJc w:val="left"/>
      <w:pPr>
        <w:ind w:left="1696" w:hanging="360"/>
      </w:pPr>
      <w:rPr>
        <w:rFonts w:hint="default"/>
      </w:rPr>
    </w:lvl>
    <w:lvl w:ilvl="2" w:tplc="923EEBFA">
      <w:numFmt w:val="bullet"/>
      <w:lvlText w:val="•"/>
      <w:lvlJc w:val="left"/>
      <w:pPr>
        <w:ind w:left="2572" w:hanging="360"/>
      </w:pPr>
      <w:rPr>
        <w:rFonts w:hint="default"/>
      </w:rPr>
    </w:lvl>
    <w:lvl w:ilvl="3" w:tplc="5A3E56F0">
      <w:numFmt w:val="bullet"/>
      <w:lvlText w:val="•"/>
      <w:lvlJc w:val="left"/>
      <w:pPr>
        <w:ind w:left="3448" w:hanging="360"/>
      </w:pPr>
      <w:rPr>
        <w:rFonts w:hint="default"/>
      </w:rPr>
    </w:lvl>
    <w:lvl w:ilvl="4" w:tplc="96DABBDC">
      <w:numFmt w:val="bullet"/>
      <w:lvlText w:val="•"/>
      <w:lvlJc w:val="left"/>
      <w:pPr>
        <w:ind w:left="4324" w:hanging="360"/>
      </w:pPr>
      <w:rPr>
        <w:rFonts w:hint="default"/>
      </w:rPr>
    </w:lvl>
    <w:lvl w:ilvl="5" w:tplc="6A2C9F78">
      <w:numFmt w:val="bullet"/>
      <w:lvlText w:val="•"/>
      <w:lvlJc w:val="left"/>
      <w:pPr>
        <w:ind w:left="5200" w:hanging="360"/>
      </w:pPr>
      <w:rPr>
        <w:rFonts w:hint="default"/>
      </w:rPr>
    </w:lvl>
    <w:lvl w:ilvl="6" w:tplc="4148C792">
      <w:numFmt w:val="bullet"/>
      <w:lvlText w:val="•"/>
      <w:lvlJc w:val="left"/>
      <w:pPr>
        <w:ind w:left="6076" w:hanging="360"/>
      </w:pPr>
      <w:rPr>
        <w:rFonts w:hint="default"/>
      </w:rPr>
    </w:lvl>
    <w:lvl w:ilvl="7" w:tplc="A3A46BFA">
      <w:numFmt w:val="bullet"/>
      <w:lvlText w:val="•"/>
      <w:lvlJc w:val="left"/>
      <w:pPr>
        <w:ind w:left="6952" w:hanging="360"/>
      </w:pPr>
      <w:rPr>
        <w:rFonts w:hint="default"/>
      </w:rPr>
    </w:lvl>
    <w:lvl w:ilvl="8" w:tplc="F1E6ADA8">
      <w:numFmt w:val="bullet"/>
      <w:lvlText w:val="•"/>
      <w:lvlJc w:val="left"/>
      <w:pPr>
        <w:ind w:left="782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657373"/>
    <w:rsid w:val="0005524A"/>
    <w:rsid w:val="00074DA8"/>
    <w:rsid w:val="00317CE4"/>
    <w:rsid w:val="00391037"/>
    <w:rsid w:val="004434D5"/>
    <w:rsid w:val="00501DE5"/>
    <w:rsid w:val="005E3681"/>
    <w:rsid w:val="006373C9"/>
    <w:rsid w:val="00657373"/>
    <w:rsid w:val="008B64C9"/>
    <w:rsid w:val="00B418DC"/>
    <w:rsid w:val="00B93543"/>
    <w:rsid w:val="00C74A3F"/>
    <w:rsid w:val="00D9485F"/>
    <w:rsid w:val="00F87563"/>
    <w:rsid w:val="00FF3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96AE59"/>
  <w15:docId w15:val="{D71ED8EB-5264-4A13-9FD0-CED70FB32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709" w:right="1723"/>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820" w:right="113" w:hanging="360"/>
      <w:jc w:val="both"/>
    </w:pPr>
  </w:style>
  <w:style w:type="paragraph" w:customStyle="1" w:styleId="TableParagraph">
    <w:name w:val="Table Paragraph"/>
    <w:basedOn w:val="Normal"/>
    <w:uiPriority w:val="1"/>
    <w:qFormat/>
    <w:pPr>
      <w:spacing w:line="268" w:lineRule="exact"/>
      <w:ind w:left="107"/>
    </w:pPr>
  </w:style>
  <w:style w:type="paragraph" w:styleId="Header">
    <w:name w:val="header"/>
    <w:basedOn w:val="Normal"/>
    <w:link w:val="HeaderChar"/>
    <w:uiPriority w:val="99"/>
    <w:unhideWhenUsed/>
    <w:rsid w:val="006373C9"/>
    <w:pPr>
      <w:tabs>
        <w:tab w:val="center" w:pos="4680"/>
        <w:tab w:val="right" w:pos="9360"/>
      </w:tabs>
    </w:pPr>
  </w:style>
  <w:style w:type="character" w:customStyle="1" w:styleId="HeaderChar">
    <w:name w:val="Header Char"/>
    <w:basedOn w:val="DefaultParagraphFont"/>
    <w:link w:val="Header"/>
    <w:uiPriority w:val="99"/>
    <w:rsid w:val="006373C9"/>
    <w:rPr>
      <w:rFonts w:ascii="Calibri" w:eastAsia="Calibri" w:hAnsi="Calibri" w:cs="Calibri"/>
    </w:rPr>
  </w:style>
  <w:style w:type="paragraph" w:styleId="Footer">
    <w:name w:val="footer"/>
    <w:basedOn w:val="Normal"/>
    <w:link w:val="FooterChar"/>
    <w:uiPriority w:val="99"/>
    <w:unhideWhenUsed/>
    <w:rsid w:val="006373C9"/>
    <w:pPr>
      <w:tabs>
        <w:tab w:val="center" w:pos="4680"/>
        <w:tab w:val="right" w:pos="9360"/>
      </w:tabs>
    </w:pPr>
  </w:style>
  <w:style w:type="character" w:customStyle="1" w:styleId="FooterChar">
    <w:name w:val="Footer Char"/>
    <w:basedOn w:val="DefaultParagraphFont"/>
    <w:link w:val="Footer"/>
    <w:uiPriority w:val="99"/>
    <w:rsid w:val="006373C9"/>
    <w:rPr>
      <w:rFonts w:ascii="Calibri" w:eastAsia="Calibri" w:hAnsi="Calibri" w:cs="Calibri"/>
    </w:rPr>
  </w:style>
  <w:style w:type="character" w:styleId="CommentReference">
    <w:name w:val="annotation reference"/>
    <w:basedOn w:val="DefaultParagraphFont"/>
    <w:uiPriority w:val="99"/>
    <w:semiHidden/>
    <w:unhideWhenUsed/>
    <w:rsid w:val="00B418DC"/>
    <w:rPr>
      <w:sz w:val="16"/>
      <w:szCs w:val="16"/>
    </w:rPr>
  </w:style>
  <w:style w:type="paragraph" w:styleId="CommentText">
    <w:name w:val="annotation text"/>
    <w:basedOn w:val="Normal"/>
    <w:link w:val="CommentTextChar"/>
    <w:uiPriority w:val="99"/>
    <w:semiHidden/>
    <w:unhideWhenUsed/>
    <w:rsid w:val="00B418DC"/>
    <w:rPr>
      <w:sz w:val="20"/>
      <w:szCs w:val="20"/>
    </w:rPr>
  </w:style>
  <w:style w:type="character" w:customStyle="1" w:styleId="CommentTextChar">
    <w:name w:val="Comment Text Char"/>
    <w:basedOn w:val="DefaultParagraphFont"/>
    <w:link w:val="CommentText"/>
    <w:uiPriority w:val="99"/>
    <w:semiHidden/>
    <w:rsid w:val="00B418DC"/>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B418DC"/>
    <w:rPr>
      <w:b/>
      <w:bCs/>
    </w:rPr>
  </w:style>
  <w:style w:type="character" w:customStyle="1" w:styleId="CommentSubjectChar">
    <w:name w:val="Comment Subject Char"/>
    <w:basedOn w:val="CommentTextChar"/>
    <w:link w:val="CommentSubject"/>
    <w:uiPriority w:val="99"/>
    <w:semiHidden/>
    <w:rsid w:val="00B418DC"/>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B418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8D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A937B-A697-440E-AC6B-393CE852E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953</Words>
  <Characters>5438</Characters>
  <Application>Microsoft Office Word</Application>
  <DocSecurity>0</DocSecurity>
  <Lines>45</Lines>
  <Paragraphs>12</Paragraphs>
  <ScaleCrop>false</ScaleCrop>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Jeannine Dicken</dc:creator>
  <cp:lastModifiedBy>Jeannine Dicken</cp:lastModifiedBy>
  <cp:revision>7</cp:revision>
  <dcterms:created xsi:type="dcterms:W3CDTF">2020-12-11T11:07:00Z</dcterms:created>
  <dcterms:modified xsi:type="dcterms:W3CDTF">2020-12-23T09:10:00Z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2020-04-06T00:00:00Z</vt:filetime>
  </property>
  <property fmtid="{D5CDD505-2E9C-101B-9397-08002B2CF9AE}" pid="3" name="Creator">
    <vt:lpwstr>Microsoft® Word for Office 365</vt:lpwstr>
  </property>
  <property fmtid="{D5CDD505-2E9C-101B-9397-08002B2CF9AE}" pid="4" name="LastSaved">
    <vt:filetime>2020-10-20T00:00:00Z</vt:filetime>
  </property>
</Properties>
</file>