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A3A4" w14:textId="2EBA1F3D" w:rsidR="00116FB2" w:rsidRDefault="00A43E74" w:rsidP="00957E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GUIDANCE</w:t>
      </w:r>
      <w:r w:rsidR="00957E2A" w:rsidRPr="00957E2A">
        <w:rPr>
          <w:b/>
          <w:sz w:val="22"/>
          <w:szCs w:val="22"/>
        </w:rPr>
        <w:t xml:space="preserve"> FOR REPORTS BY THE REGIONAL REPRESENTATIVES TO THE AEWA TECHNICAL COMMITTEE (TC) ON THE IMPLEMENTATION OF THE AGREEMENT TO THE MEETINGS OF THE COMMITTEE</w:t>
      </w:r>
    </w:p>
    <w:p w14:paraId="587324AA" w14:textId="77777777" w:rsidR="00A43E74" w:rsidRPr="00957E2A" w:rsidRDefault="00A43E74" w:rsidP="00957E2A">
      <w:pPr>
        <w:jc w:val="center"/>
        <w:rPr>
          <w:b/>
          <w:sz w:val="22"/>
          <w:szCs w:val="22"/>
        </w:rPr>
      </w:pPr>
    </w:p>
    <w:p w14:paraId="0F999775" w14:textId="77777777" w:rsidR="008D20DF" w:rsidRDefault="008D20DF" w:rsidP="003A4567">
      <w:pPr>
        <w:jc w:val="both"/>
      </w:pPr>
    </w:p>
    <w:p w14:paraId="125424EB" w14:textId="5A4D5E81" w:rsidR="00934128" w:rsidRPr="00957E2A" w:rsidRDefault="00F632E3" w:rsidP="00957E2A">
      <w:pPr>
        <w:spacing w:line="276" w:lineRule="auto"/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Information for this report shall be collated </w:t>
      </w:r>
      <w:r w:rsidR="00B04060" w:rsidRPr="00957E2A">
        <w:rPr>
          <w:sz w:val="22"/>
          <w:szCs w:val="22"/>
        </w:rPr>
        <w:t xml:space="preserve">by regional representatives </w:t>
      </w:r>
      <w:r w:rsidRPr="00957E2A">
        <w:rPr>
          <w:sz w:val="22"/>
          <w:szCs w:val="22"/>
        </w:rPr>
        <w:t xml:space="preserve">from the Contracting Parties </w:t>
      </w:r>
      <w:r w:rsidR="00B04060" w:rsidRPr="00957E2A">
        <w:rPr>
          <w:sz w:val="22"/>
          <w:szCs w:val="22"/>
        </w:rPr>
        <w:t xml:space="preserve">of their respective region (see attached Annex </w:t>
      </w:r>
      <w:r w:rsidR="001E54E8" w:rsidRPr="00957E2A">
        <w:rPr>
          <w:sz w:val="22"/>
          <w:szCs w:val="22"/>
        </w:rPr>
        <w:t>1</w:t>
      </w:r>
      <w:r w:rsidR="00B04060" w:rsidRPr="00957E2A">
        <w:rPr>
          <w:sz w:val="22"/>
          <w:szCs w:val="22"/>
        </w:rPr>
        <w:t>)</w:t>
      </w:r>
      <w:r w:rsidR="0075739C">
        <w:rPr>
          <w:sz w:val="22"/>
          <w:szCs w:val="22"/>
        </w:rPr>
        <w:t>,</w:t>
      </w:r>
      <w:r w:rsidR="00B04060" w:rsidRPr="00957E2A">
        <w:rPr>
          <w:sz w:val="22"/>
          <w:szCs w:val="22"/>
        </w:rPr>
        <w:t xml:space="preserve"> </w:t>
      </w:r>
      <w:r w:rsidRPr="00957E2A">
        <w:rPr>
          <w:sz w:val="22"/>
          <w:szCs w:val="22"/>
        </w:rPr>
        <w:t xml:space="preserve">through the National </w:t>
      </w:r>
      <w:r w:rsidR="000E019D">
        <w:rPr>
          <w:sz w:val="22"/>
          <w:szCs w:val="22"/>
        </w:rPr>
        <w:t xml:space="preserve">and </w:t>
      </w:r>
      <w:r w:rsidRPr="00957E2A">
        <w:rPr>
          <w:sz w:val="22"/>
          <w:szCs w:val="22"/>
        </w:rPr>
        <w:t>T</w:t>
      </w:r>
      <w:r w:rsidR="009F4AF3">
        <w:rPr>
          <w:sz w:val="22"/>
          <w:szCs w:val="22"/>
        </w:rPr>
        <w:t>echnical</w:t>
      </w:r>
      <w:r w:rsidRPr="00957E2A">
        <w:rPr>
          <w:sz w:val="22"/>
          <w:szCs w:val="22"/>
        </w:rPr>
        <w:t xml:space="preserve"> Focal Points or other useful contacts.</w:t>
      </w:r>
    </w:p>
    <w:p w14:paraId="411914CD" w14:textId="77777777" w:rsidR="00F632E3" w:rsidRPr="00957E2A" w:rsidRDefault="00F632E3" w:rsidP="00957E2A">
      <w:pPr>
        <w:spacing w:line="276" w:lineRule="auto"/>
        <w:jc w:val="both"/>
        <w:rPr>
          <w:sz w:val="22"/>
          <w:szCs w:val="22"/>
        </w:rPr>
      </w:pPr>
    </w:p>
    <w:p w14:paraId="7A3FD69C" w14:textId="4461AFE0" w:rsidR="00F632E3" w:rsidRPr="00957E2A" w:rsidRDefault="00052F0C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1. </w:t>
      </w:r>
      <w:r w:rsidR="00F632E3" w:rsidRPr="00957E2A">
        <w:rPr>
          <w:sz w:val="22"/>
          <w:szCs w:val="22"/>
        </w:rPr>
        <w:t>Number of Contracting Parties in the region / number of Range States in the regi</w:t>
      </w:r>
      <w:bookmarkStart w:id="0" w:name="_GoBack"/>
      <w:bookmarkEnd w:id="0"/>
      <w:r w:rsidR="00F632E3" w:rsidRPr="00957E2A">
        <w:rPr>
          <w:sz w:val="22"/>
          <w:szCs w:val="22"/>
        </w:rPr>
        <w:t>on. New accessions since the previous TC meeting.</w:t>
      </w:r>
      <w:r w:rsidR="00593DEF" w:rsidRPr="00957E2A">
        <w:rPr>
          <w:sz w:val="22"/>
          <w:szCs w:val="22"/>
        </w:rPr>
        <w:t xml:space="preserve"> Actions by the regional representative to </w:t>
      </w:r>
      <w:r w:rsidR="009F4AF3">
        <w:rPr>
          <w:sz w:val="22"/>
          <w:szCs w:val="22"/>
        </w:rPr>
        <w:t>encourage</w:t>
      </w:r>
      <w:r w:rsidR="00593DEF" w:rsidRPr="00957E2A">
        <w:rPr>
          <w:sz w:val="22"/>
          <w:szCs w:val="22"/>
        </w:rPr>
        <w:t xml:space="preserve"> non-part</w:t>
      </w:r>
      <w:r w:rsidR="009F4AF3">
        <w:rPr>
          <w:sz w:val="22"/>
          <w:szCs w:val="22"/>
        </w:rPr>
        <w:t>y Range States</w:t>
      </w:r>
      <w:r w:rsidR="000E019D">
        <w:rPr>
          <w:sz w:val="22"/>
          <w:szCs w:val="22"/>
        </w:rPr>
        <w:t xml:space="preserve"> to accede</w:t>
      </w:r>
      <w:r w:rsidR="00593DEF" w:rsidRPr="00957E2A">
        <w:rPr>
          <w:sz w:val="22"/>
          <w:szCs w:val="22"/>
        </w:rPr>
        <w:t xml:space="preserve"> the Agreement.</w:t>
      </w:r>
    </w:p>
    <w:p w14:paraId="7E190C37" w14:textId="77777777" w:rsidR="00F632E3" w:rsidRPr="00957E2A" w:rsidRDefault="00F632E3" w:rsidP="00957E2A">
      <w:pPr>
        <w:spacing w:line="276" w:lineRule="auto"/>
        <w:ind w:left="360"/>
        <w:jc w:val="both"/>
        <w:rPr>
          <w:sz w:val="22"/>
          <w:szCs w:val="22"/>
        </w:rPr>
      </w:pPr>
    </w:p>
    <w:p w14:paraId="21F68967" w14:textId="54CAC52A" w:rsidR="00F632E3" w:rsidRPr="00957E2A" w:rsidRDefault="00052F0C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2. </w:t>
      </w:r>
      <w:r w:rsidR="00482BC3" w:rsidRPr="00957E2A">
        <w:rPr>
          <w:sz w:val="22"/>
          <w:szCs w:val="22"/>
        </w:rPr>
        <w:t xml:space="preserve">Number of </w:t>
      </w:r>
      <w:r w:rsidR="009F4AF3">
        <w:rPr>
          <w:sz w:val="22"/>
          <w:szCs w:val="22"/>
        </w:rPr>
        <w:t>R</w:t>
      </w:r>
      <w:r w:rsidRPr="00957E2A">
        <w:rPr>
          <w:sz w:val="22"/>
          <w:szCs w:val="22"/>
        </w:rPr>
        <w:t xml:space="preserve">ange </w:t>
      </w:r>
      <w:r w:rsidR="009F4AF3">
        <w:rPr>
          <w:sz w:val="22"/>
          <w:szCs w:val="22"/>
        </w:rPr>
        <w:t>S</w:t>
      </w:r>
      <w:r w:rsidRPr="00957E2A">
        <w:rPr>
          <w:sz w:val="22"/>
          <w:szCs w:val="22"/>
        </w:rPr>
        <w:t>tates (</w:t>
      </w:r>
      <w:r w:rsidR="009F4AF3">
        <w:rPr>
          <w:sz w:val="22"/>
          <w:szCs w:val="22"/>
        </w:rPr>
        <w:t>P</w:t>
      </w:r>
      <w:r w:rsidR="00482BC3" w:rsidRPr="00957E2A">
        <w:rPr>
          <w:sz w:val="22"/>
          <w:szCs w:val="22"/>
        </w:rPr>
        <w:t xml:space="preserve">arties </w:t>
      </w:r>
      <w:r w:rsidRPr="00957E2A">
        <w:rPr>
          <w:sz w:val="22"/>
          <w:szCs w:val="22"/>
        </w:rPr>
        <w:t>and non-part</w:t>
      </w:r>
      <w:r w:rsidR="009F4AF3">
        <w:rPr>
          <w:sz w:val="22"/>
          <w:szCs w:val="22"/>
        </w:rPr>
        <w:t>y Range States)</w:t>
      </w:r>
      <w:r w:rsidRPr="00957E2A">
        <w:rPr>
          <w:sz w:val="22"/>
          <w:szCs w:val="22"/>
        </w:rPr>
        <w:t xml:space="preserve"> </w:t>
      </w:r>
      <w:r w:rsidR="00482BC3" w:rsidRPr="00957E2A">
        <w:rPr>
          <w:sz w:val="22"/>
          <w:szCs w:val="22"/>
        </w:rPr>
        <w:t>that provided feedback for this report.</w:t>
      </w:r>
    </w:p>
    <w:p w14:paraId="0A01EBCB" w14:textId="77777777" w:rsidR="00F632E3" w:rsidRPr="00957E2A" w:rsidRDefault="00F632E3" w:rsidP="00957E2A">
      <w:pPr>
        <w:spacing w:line="276" w:lineRule="auto"/>
        <w:jc w:val="both"/>
        <w:rPr>
          <w:sz w:val="22"/>
          <w:szCs w:val="22"/>
        </w:rPr>
      </w:pPr>
    </w:p>
    <w:p w14:paraId="06BF8724" w14:textId="77777777" w:rsidR="00F94BB9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3.</w:t>
      </w:r>
      <w:r w:rsidR="00052F0C" w:rsidRPr="00957E2A">
        <w:rPr>
          <w:sz w:val="22"/>
          <w:szCs w:val="22"/>
        </w:rPr>
        <w:t xml:space="preserve"> </w:t>
      </w:r>
      <w:r w:rsidR="00F632E3" w:rsidRPr="00957E2A">
        <w:rPr>
          <w:sz w:val="22"/>
          <w:szCs w:val="22"/>
        </w:rPr>
        <w:t xml:space="preserve">Activities to implement the </w:t>
      </w:r>
      <w:r w:rsidR="009F4AF3">
        <w:rPr>
          <w:sz w:val="22"/>
          <w:szCs w:val="22"/>
        </w:rPr>
        <w:t xml:space="preserve">AEWA International </w:t>
      </w:r>
      <w:r w:rsidR="00F632E3" w:rsidRPr="00957E2A">
        <w:rPr>
          <w:sz w:val="22"/>
          <w:szCs w:val="22"/>
        </w:rPr>
        <w:t xml:space="preserve">Single Species Action Plans relevant </w:t>
      </w:r>
      <w:r w:rsidR="00FB7AC7" w:rsidRPr="00957E2A">
        <w:rPr>
          <w:sz w:val="22"/>
          <w:szCs w:val="22"/>
        </w:rPr>
        <w:t>to</w:t>
      </w:r>
      <w:r w:rsidR="00F632E3" w:rsidRPr="00957E2A">
        <w:rPr>
          <w:sz w:val="22"/>
          <w:szCs w:val="22"/>
        </w:rPr>
        <w:t xml:space="preserve"> the region </w:t>
      </w:r>
      <w:r w:rsidR="00930A08" w:rsidRPr="00957E2A">
        <w:rPr>
          <w:sz w:val="22"/>
          <w:szCs w:val="22"/>
        </w:rPr>
        <w:t xml:space="preserve">(please check for the AEWA </w:t>
      </w:r>
      <w:r w:rsidR="009F4AF3">
        <w:rPr>
          <w:sz w:val="22"/>
          <w:szCs w:val="22"/>
        </w:rPr>
        <w:t>I</w:t>
      </w:r>
      <w:r w:rsidR="00930A08" w:rsidRPr="00957E2A">
        <w:rPr>
          <w:sz w:val="22"/>
          <w:szCs w:val="22"/>
        </w:rPr>
        <w:t xml:space="preserve">SSAP as per </w:t>
      </w:r>
      <w:r w:rsidR="00B04060" w:rsidRPr="00957E2A">
        <w:rPr>
          <w:sz w:val="22"/>
          <w:szCs w:val="22"/>
        </w:rPr>
        <w:t xml:space="preserve">Sections 1&amp;2 of </w:t>
      </w:r>
      <w:r w:rsidR="00930A08" w:rsidRPr="00957E2A">
        <w:rPr>
          <w:sz w:val="22"/>
          <w:szCs w:val="22"/>
        </w:rPr>
        <w:t xml:space="preserve">attached Annex </w:t>
      </w:r>
      <w:r w:rsidR="001E54E8" w:rsidRPr="00957E2A">
        <w:rPr>
          <w:sz w:val="22"/>
          <w:szCs w:val="22"/>
        </w:rPr>
        <w:t>2</w:t>
      </w:r>
      <w:r w:rsidR="00930A08" w:rsidRPr="00957E2A">
        <w:rPr>
          <w:sz w:val="22"/>
          <w:szCs w:val="22"/>
        </w:rPr>
        <w:t xml:space="preserve">) </w:t>
      </w:r>
    </w:p>
    <w:p w14:paraId="7CB032FC" w14:textId="77777777" w:rsidR="00F94BB9" w:rsidRPr="00957E2A" w:rsidRDefault="00F94BB9" w:rsidP="00957E2A">
      <w:pPr>
        <w:spacing w:line="276" w:lineRule="auto"/>
        <w:jc w:val="both"/>
        <w:rPr>
          <w:sz w:val="22"/>
          <w:szCs w:val="22"/>
        </w:rPr>
      </w:pPr>
    </w:p>
    <w:p w14:paraId="0EA0F59F" w14:textId="789C9630" w:rsidR="00F94BB9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4.</w:t>
      </w:r>
      <w:r w:rsidR="00052F0C" w:rsidRPr="00957E2A">
        <w:rPr>
          <w:sz w:val="22"/>
          <w:szCs w:val="22"/>
        </w:rPr>
        <w:t xml:space="preserve"> </w:t>
      </w:r>
      <w:r w:rsidR="00F94BB9" w:rsidRPr="00957E2A">
        <w:rPr>
          <w:sz w:val="22"/>
          <w:szCs w:val="22"/>
        </w:rPr>
        <w:t xml:space="preserve">Emergency situations </w:t>
      </w:r>
      <w:r w:rsidR="001E3D80" w:rsidRPr="00957E2A">
        <w:rPr>
          <w:sz w:val="22"/>
          <w:szCs w:val="22"/>
        </w:rPr>
        <w:t xml:space="preserve">(extreme cold, draught, toxic or oil spills, etc.) </w:t>
      </w:r>
      <w:r w:rsidR="00F94BB9" w:rsidRPr="00957E2A">
        <w:rPr>
          <w:sz w:val="22"/>
          <w:szCs w:val="22"/>
        </w:rPr>
        <w:t xml:space="preserve">that have </w:t>
      </w:r>
      <w:r w:rsidR="009F4AF3">
        <w:rPr>
          <w:sz w:val="22"/>
          <w:szCs w:val="22"/>
        </w:rPr>
        <w:t>occurred and have</w:t>
      </w:r>
      <w:r w:rsidR="00872B49" w:rsidRPr="00957E2A">
        <w:rPr>
          <w:sz w:val="22"/>
          <w:szCs w:val="22"/>
        </w:rPr>
        <w:t xml:space="preserve"> affected </w:t>
      </w:r>
      <w:proofErr w:type="spellStart"/>
      <w:r w:rsidR="00872B49" w:rsidRPr="00957E2A">
        <w:rPr>
          <w:sz w:val="22"/>
          <w:szCs w:val="22"/>
        </w:rPr>
        <w:t>waterbirds</w:t>
      </w:r>
      <w:proofErr w:type="spellEnd"/>
      <w:r w:rsidR="00872B49" w:rsidRPr="00957E2A">
        <w:rPr>
          <w:sz w:val="22"/>
          <w:szCs w:val="22"/>
        </w:rPr>
        <w:t xml:space="preserve"> and/or their habitats </w:t>
      </w:r>
      <w:r w:rsidR="00F94BB9" w:rsidRPr="00957E2A">
        <w:rPr>
          <w:sz w:val="22"/>
          <w:szCs w:val="22"/>
        </w:rPr>
        <w:t>since the last TC meeting and response to them.</w:t>
      </w:r>
    </w:p>
    <w:p w14:paraId="4FFB82D8" w14:textId="77777777" w:rsidR="00F94BB9" w:rsidRPr="00957E2A" w:rsidRDefault="00F94BB9" w:rsidP="00957E2A">
      <w:pPr>
        <w:spacing w:line="276" w:lineRule="auto"/>
        <w:jc w:val="both"/>
        <w:rPr>
          <w:sz w:val="22"/>
          <w:szCs w:val="22"/>
        </w:rPr>
      </w:pPr>
    </w:p>
    <w:p w14:paraId="7ED76724" w14:textId="77777777" w:rsidR="00964DF6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5.</w:t>
      </w:r>
      <w:r w:rsidR="00052F0C" w:rsidRPr="00957E2A">
        <w:rPr>
          <w:sz w:val="22"/>
          <w:szCs w:val="22"/>
        </w:rPr>
        <w:t xml:space="preserve"> </w:t>
      </w:r>
      <w:r w:rsidR="00964DF6" w:rsidRPr="00957E2A">
        <w:rPr>
          <w:sz w:val="22"/>
          <w:szCs w:val="22"/>
        </w:rPr>
        <w:t xml:space="preserve">New or </w:t>
      </w:r>
      <w:r w:rsidR="00287119" w:rsidRPr="00957E2A">
        <w:rPr>
          <w:sz w:val="22"/>
          <w:szCs w:val="22"/>
        </w:rPr>
        <w:t>m</w:t>
      </w:r>
      <w:r w:rsidR="00964DF6" w:rsidRPr="00957E2A">
        <w:rPr>
          <w:sz w:val="22"/>
          <w:szCs w:val="22"/>
        </w:rPr>
        <w:t xml:space="preserve">ajor ongoing </w:t>
      </w:r>
      <w:proofErr w:type="spellStart"/>
      <w:r w:rsidR="00872B49" w:rsidRPr="00957E2A">
        <w:rPr>
          <w:sz w:val="22"/>
          <w:szCs w:val="22"/>
        </w:rPr>
        <w:t>waterbird</w:t>
      </w:r>
      <w:proofErr w:type="spellEnd"/>
      <w:r w:rsidR="00872B49" w:rsidRPr="00957E2A">
        <w:rPr>
          <w:sz w:val="22"/>
          <w:szCs w:val="22"/>
        </w:rPr>
        <w:t xml:space="preserve"> </w:t>
      </w:r>
      <w:r w:rsidR="00964DF6" w:rsidRPr="00957E2A">
        <w:rPr>
          <w:sz w:val="22"/>
          <w:szCs w:val="22"/>
        </w:rPr>
        <w:t>species re-establishment (reintroduction, supplementation) initiatives.</w:t>
      </w:r>
    </w:p>
    <w:p w14:paraId="289CC5A4" w14:textId="77777777" w:rsidR="00964DF6" w:rsidRPr="00957E2A" w:rsidRDefault="00964DF6" w:rsidP="00957E2A">
      <w:pPr>
        <w:spacing w:line="276" w:lineRule="auto"/>
        <w:jc w:val="both"/>
        <w:rPr>
          <w:sz w:val="22"/>
          <w:szCs w:val="22"/>
        </w:rPr>
      </w:pPr>
    </w:p>
    <w:p w14:paraId="2156FE45" w14:textId="77777777" w:rsidR="00F94BB9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6.</w:t>
      </w:r>
      <w:r w:rsidR="00052F0C" w:rsidRPr="00957E2A">
        <w:rPr>
          <w:sz w:val="22"/>
          <w:szCs w:val="22"/>
        </w:rPr>
        <w:t xml:space="preserve"> </w:t>
      </w:r>
      <w:r w:rsidR="00964DF6" w:rsidRPr="00957E2A">
        <w:rPr>
          <w:sz w:val="22"/>
          <w:szCs w:val="22"/>
        </w:rPr>
        <w:t xml:space="preserve">Activities on eradication or other type of action regarding alien species. </w:t>
      </w:r>
    </w:p>
    <w:p w14:paraId="216560CE" w14:textId="77777777" w:rsidR="00964DF6" w:rsidRPr="00957E2A" w:rsidRDefault="00964DF6" w:rsidP="00957E2A">
      <w:pPr>
        <w:spacing w:line="276" w:lineRule="auto"/>
        <w:jc w:val="both"/>
        <w:rPr>
          <w:sz w:val="22"/>
          <w:szCs w:val="22"/>
        </w:rPr>
      </w:pPr>
    </w:p>
    <w:p w14:paraId="493F7A1B" w14:textId="77777777" w:rsidR="00964DF6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7.</w:t>
      </w:r>
      <w:r w:rsidR="00052F0C" w:rsidRPr="00957E2A">
        <w:rPr>
          <w:sz w:val="22"/>
          <w:szCs w:val="22"/>
        </w:rPr>
        <w:t xml:space="preserve"> </w:t>
      </w:r>
      <w:r w:rsidR="00964DF6" w:rsidRPr="00957E2A">
        <w:rPr>
          <w:sz w:val="22"/>
          <w:szCs w:val="22"/>
        </w:rPr>
        <w:t>New or major ongoing activities on habitat (site) inventory, conservation or restoration and rehabilitation</w:t>
      </w:r>
      <w:r w:rsidR="00872B49" w:rsidRPr="00957E2A">
        <w:rPr>
          <w:sz w:val="22"/>
          <w:szCs w:val="22"/>
        </w:rPr>
        <w:t xml:space="preserve"> of </w:t>
      </w:r>
      <w:proofErr w:type="spellStart"/>
      <w:r w:rsidR="00872B49" w:rsidRPr="00957E2A">
        <w:rPr>
          <w:sz w:val="22"/>
          <w:szCs w:val="22"/>
        </w:rPr>
        <w:t>waterbird</w:t>
      </w:r>
      <w:proofErr w:type="spellEnd"/>
      <w:r w:rsidR="00872B49" w:rsidRPr="00957E2A">
        <w:rPr>
          <w:sz w:val="22"/>
          <w:szCs w:val="22"/>
        </w:rPr>
        <w:t xml:space="preserve"> habitats</w:t>
      </w:r>
      <w:r w:rsidR="00964DF6" w:rsidRPr="00957E2A">
        <w:rPr>
          <w:sz w:val="22"/>
          <w:szCs w:val="22"/>
        </w:rPr>
        <w:t>.</w:t>
      </w:r>
    </w:p>
    <w:p w14:paraId="233C2B49" w14:textId="77777777" w:rsidR="00964DF6" w:rsidRPr="00957E2A" w:rsidRDefault="00964DF6" w:rsidP="00957E2A">
      <w:pPr>
        <w:spacing w:line="276" w:lineRule="auto"/>
        <w:jc w:val="both"/>
        <w:rPr>
          <w:sz w:val="22"/>
          <w:szCs w:val="22"/>
        </w:rPr>
      </w:pPr>
    </w:p>
    <w:p w14:paraId="56556250" w14:textId="77777777" w:rsidR="00964DF6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8.</w:t>
      </w:r>
      <w:r w:rsidR="00052F0C" w:rsidRPr="00957E2A">
        <w:rPr>
          <w:sz w:val="22"/>
          <w:szCs w:val="22"/>
        </w:rPr>
        <w:t xml:space="preserve"> </w:t>
      </w:r>
      <w:r w:rsidR="004B3025" w:rsidRPr="00957E2A">
        <w:rPr>
          <w:sz w:val="22"/>
          <w:szCs w:val="22"/>
        </w:rPr>
        <w:t xml:space="preserve">Progress of the region in phasing out the use of lead shot for hunting in wetlands. </w:t>
      </w:r>
    </w:p>
    <w:p w14:paraId="24A98C41" w14:textId="77777777" w:rsidR="004B3025" w:rsidRPr="00957E2A" w:rsidRDefault="004B3025" w:rsidP="00957E2A">
      <w:pPr>
        <w:spacing w:line="276" w:lineRule="auto"/>
        <w:jc w:val="both"/>
        <w:rPr>
          <w:sz w:val="22"/>
          <w:szCs w:val="22"/>
        </w:rPr>
      </w:pPr>
    </w:p>
    <w:p w14:paraId="17765063" w14:textId="77777777" w:rsidR="004B3025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9.</w:t>
      </w:r>
      <w:r w:rsidR="00872B49" w:rsidRPr="00957E2A">
        <w:rPr>
          <w:sz w:val="22"/>
          <w:szCs w:val="22"/>
        </w:rPr>
        <w:t xml:space="preserve"> </w:t>
      </w:r>
      <w:r w:rsidR="003B139C" w:rsidRPr="00957E2A">
        <w:rPr>
          <w:sz w:val="22"/>
          <w:szCs w:val="22"/>
        </w:rPr>
        <w:t>New or major ongoing research and monitoring activities</w:t>
      </w:r>
      <w:r w:rsidR="00872B49" w:rsidRPr="00957E2A">
        <w:rPr>
          <w:sz w:val="22"/>
          <w:szCs w:val="22"/>
        </w:rPr>
        <w:t xml:space="preserve"> on </w:t>
      </w:r>
      <w:proofErr w:type="spellStart"/>
      <w:r w:rsidR="00872B49" w:rsidRPr="00957E2A">
        <w:rPr>
          <w:sz w:val="22"/>
          <w:szCs w:val="22"/>
        </w:rPr>
        <w:t>waterbirds</w:t>
      </w:r>
      <w:proofErr w:type="spellEnd"/>
      <w:r w:rsidR="00872B49" w:rsidRPr="00957E2A">
        <w:rPr>
          <w:sz w:val="22"/>
          <w:szCs w:val="22"/>
        </w:rPr>
        <w:t xml:space="preserve"> and </w:t>
      </w:r>
      <w:proofErr w:type="spellStart"/>
      <w:r w:rsidR="00872B49" w:rsidRPr="00957E2A">
        <w:rPr>
          <w:sz w:val="22"/>
          <w:szCs w:val="22"/>
        </w:rPr>
        <w:t>waterbird</w:t>
      </w:r>
      <w:proofErr w:type="spellEnd"/>
      <w:r w:rsidR="00872B49" w:rsidRPr="00957E2A">
        <w:rPr>
          <w:sz w:val="22"/>
          <w:szCs w:val="22"/>
        </w:rPr>
        <w:t xml:space="preserve"> habitats</w:t>
      </w:r>
      <w:r w:rsidR="003B139C" w:rsidRPr="00957E2A">
        <w:rPr>
          <w:sz w:val="22"/>
          <w:szCs w:val="22"/>
        </w:rPr>
        <w:t>.</w:t>
      </w:r>
    </w:p>
    <w:p w14:paraId="30F6B757" w14:textId="77777777" w:rsidR="003B139C" w:rsidRPr="00957E2A" w:rsidRDefault="003B139C" w:rsidP="00957E2A">
      <w:pPr>
        <w:spacing w:line="276" w:lineRule="auto"/>
        <w:jc w:val="both"/>
        <w:rPr>
          <w:sz w:val="22"/>
          <w:szCs w:val="22"/>
        </w:rPr>
      </w:pPr>
    </w:p>
    <w:p w14:paraId="03E44220" w14:textId="77777777" w:rsidR="003B139C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10. </w:t>
      </w:r>
      <w:r w:rsidR="003B139C" w:rsidRPr="00957E2A">
        <w:rPr>
          <w:sz w:val="22"/>
          <w:szCs w:val="22"/>
        </w:rPr>
        <w:t>New or major ongoing education and information activities</w:t>
      </w:r>
      <w:r w:rsidR="00872B49" w:rsidRPr="00957E2A">
        <w:rPr>
          <w:sz w:val="22"/>
          <w:szCs w:val="22"/>
        </w:rPr>
        <w:t xml:space="preserve"> on </w:t>
      </w:r>
      <w:proofErr w:type="spellStart"/>
      <w:r w:rsidR="00872B49" w:rsidRPr="00957E2A">
        <w:rPr>
          <w:sz w:val="22"/>
          <w:szCs w:val="22"/>
        </w:rPr>
        <w:t>waterbirds</w:t>
      </w:r>
      <w:proofErr w:type="spellEnd"/>
      <w:r w:rsidR="00872B49" w:rsidRPr="00957E2A">
        <w:rPr>
          <w:sz w:val="22"/>
          <w:szCs w:val="22"/>
        </w:rPr>
        <w:t xml:space="preserve">, </w:t>
      </w:r>
      <w:proofErr w:type="spellStart"/>
      <w:r w:rsidR="00872B49" w:rsidRPr="00957E2A">
        <w:rPr>
          <w:sz w:val="22"/>
          <w:szCs w:val="22"/>
        </w:rPr>
        <w:t>waterbird</w:t>
      </w:r>
      <w:proofErr w:type="spellEnd"/>
      <w:r w:rsidR="00872B49" w:rsidRPr="00957E2A">
        <w:rPr>
          <w:sz w:val="22"/>
          <w:szCs w:val="22"/>
        </w:rPr>
        <w:t xml:space="preserve"> habitats and the Agreement</w:t>
      </w:r>
      <w:r w:rsidR="003B139C" w:rsidRPr="00957E2A">
        <w:rPr>
          <w:sz w:val="22"/>
          <w:szCs w:val="22"/>
        </w:rPr>
        <w:t>.</w:t>
      </w:r>
    </w:p>
    <w:p w14:paraId="66C97DF8" w14:textId="77777777" w:rsidR="0052756E" w:rsidRPr="00957E2A" w:rsidRDefault="0052756E" w:rsidP="00957E2A">
      <w:pPr>
        <w:spacing w:line="276" w:lineRule="auto"/>
        <w:jc w:val="both"/>
        <w:rPr>
          <w:sz w:val="22"/>
          <w:szCs w:val="22"/>
        </w:rPr>
      </w:pPr>
    </w:p>
    <w:p w14:paraId="5AF283B6" w14:textId="77777777" w:rsidR="0052756E" w:rsidRP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11.</w:t>
      </w:r>
      <w:r w:rsidRPr="00957E2A">
        <w:rPr>
          <w:sz w:val="22"/>
          <w:szCs w:val="22"/>
        </w:rPr>
        <w:tab/>
      </w:r>
      <w:r w:rsidR="0052756E" w:rsidRPr="00957E2A">
        <w:rPr>
          <w:sz w:val="22"/>
          <w:szCs w:val="22"/>
        </w:rPr>
        <w:t xml:space="preserve">Problematic cases threatening </w:t>
      </w:r>
      <w:proofErr w:type="spellStart"/>
      <w:r w:rsidR="0052756E" w:rsidRPr="00957E2A">
        <w:rPr>
          <w:sz w:val="22"/>
          <w:szCs w:val="22"/>
        </w:rPr>
        <w:t>waterbirds</w:t>
      </w:r>
      <w:proofErr w:type="spellEnd"/>
      <w:r w:rsidR="0052756E" w:rsidRPr="00957E2A">
        <w:rPr>
          <w:sz w:val="22"/>
          <w:szCs w:val="22"/>
        </w:rPr>
        <w:t xml:space="preserve"> or their habitats (e.g. infrastructural development</w:t>
      </w:r>
      <w:r w:rsidR="00C90488" w:rsidRPr="00957E2A">
        <w:rPr>
          <w:sz w:val="22"/>
          <w:szCs w:val="22"/>
        </w:rPr>
        <w:t>s</w:t>
      </w:r>
      <w:r w:rsidR="0052756E" w:rsidRPr="00957E2A">
        <w:rPr>
          <w:sz w:val="22"/>
          <w:szCs w:val="22"/>
        </w:rPr>
        <w:t>, changes in legislation, etc.).</w:t>
      </w:r>
    </w:p>
    <w:p w14:paraId="24B3B72F" w14:textId="77777777" w:rsidR="009C5DC6" w:rsidRPr="00957E2A" w:rsidRDefault="009C5DC6" w:rsidP="00957E2A">
      <w:pPr>
        <w:spacing w:line="276" w:lineRule="auto"/>
        <w:ind w:left="360"/>
        <w:jc w:val="both"/>
        <w:rPr>
          <w:sz w:val="22"/>
          <w:szCs w:val="22"/>
        </w:rPr>
      </w:pPr>
    </w:p>
    <w:p w14:paraId="1D87464A" w14:textId="77777777" w:rsidR="009C5DC6" w:rsidRPr="00957E2A" w:rsidRDefault="009C5DC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12. Extent of use of the AEWA Conservation Guidelines by the parties (please check for the AEWA Conservation Guidelines as per </w:t>
      </w:r>
      <w:r w:rsidR="00B04060" w:rsidRPr="00957E2A">
        <w:rPr>
          <w:sz w:val="22"/>
          <w:szCs w:val="22"/>
        </w:rPr>
        <w:t xml:space="preserve">Section 3 of </w:t>
      </w:r>
      <w:r w:rsidRPr="00957E2A">
        <w:rPr>
          <w:sz w:val="22"/>
          <w:szCs w:val="22"/>
        </w:rPr>
        <w:t xml:space="preserve">Annex </w:t>
      </w:r>
      <w:r w:rsidR="001E54E8" w:rsidRPr="00957E2A">
        <w:rPr>
          <w:sz w:val="22"/>
          <w:szCs w:val="22"/>
        </w:rPr>
        <w:t>2</w:t>
      </w:r>
      <w:r w:rsidRPr="00957E2A">
        <w:rPr>
          <w:sz w:val="22"/>
          <w:szCs w:val="22"/>
        </w:rPr>
        <w:t>)</w:t>
      </w:r>
    </w:p>
    <w:p w14:paraId="69A051E8" w14:textId="77777777" w:rsidR="003B139C" w:rsidRPr="00957E2A" w:rsidRDefault="003B139C" w:rsidP="00957E2A">
      <w:pPr>
        <w:spacing w:line="276" w:lineRule="auto"/>
        <w:jc w:val="both"/>
        <w:rPr>
          <w:sz w:val="22"/>
          <w:szCs w:val="22"/>
        </w:rPr>
      </w:pPr>
    </w:p>
    <w:p w14:paraId="467326FE" w14:textId="77777777" w:rsidR="00957E2A" w:rsidRDefault="00E23BE6" w:rsidP="00957E2A">
      <w:pPr>
        <w:spacing w:line="276" w:lineRule="auto"/>
        <w:ind w:left="360"/>
        <w:jc w:val="both"/>
        <w:rPr>
          <w:sz w:val="22"/>
          <w:szCs w:val="22"/>
        </w:rPr>
      </w:pPr>
      <w:r w:rsidRPr="00957E2A">
        <w:rPr>
          <w:sz w:val="22"/>
          <w:szCs w:val="22"/>
        </w:rPr>
        <w:t>1</w:t>
      </w:r>
      <w:r w:rsidR="009C5DC6" w:rsidRPr="00957E2A">
        <w:rPr>
          <w:sz w:val="22"/>
          <w:szCs w:val="22"/>
        </w:rPr>
        <w:t>3</w:t>
      </w:r>
      <w:r w:rsidRPr="00957E2A">
        <w:rPr>
          <w:sz w:val="22"/>
          <w:szCs w:val="22"/>
        </w:rPr>
        <w:t>.</w:t>
      </w:r>
      <w:r w:rsidR="00052F0C" w:rsidRPr="00957E2A">
        <w:rPr>
          <w:sz w:val="22"/>
          <w:szCs w:val="22"/>
        </w:rPr>
        <w:t xml:space="preserve"> </w:t>
      </w:r>
      <w:r w:rsidR="00287119" w:rsidRPr="00957E2A">
        <w:rPr>
          <w:sz w:val="22"/>
          <w:szCs w:val="22"/>
        </w:rPr>
        <w:t>Any other information.</w:t>
      </w:r>
    </w:p>
    <w:p w14:paraId="4AABC5D3" w14:textId="77777777" w:rsidR="00957E2A" w:rsidRDefault="00957E2A" w:rsidP="00957E2A">
      <w:pPr>
        <w:spacing w:line="276" w:lineRule="auto"/>
        <w:ind w:left="360"/>
        <w:jc w:val="both"/>
        <w:rPr>
          <w:sz w:val="22"/>
          <w:szCs w:val="22"/>
        </w:rPr>
        <w:sectPr w:rsidR="00957E2A" w:rsidSect="0048093F">
          <w:footerReference w:type="even" r:id="rId7"/>
          <w:footerReference w:type="default" r:id="rId8"/>
          <w:headerReference w:type="first" r:id="rId9"/>
          <w:pgSz w:w="11907" w:h="16840" w:code="9"/>
          <w:pgMar w:top="1138" w:right="850" w:bottom="1138" w:left="850" w:header="706" w:footer="709" w:gutter="0"/>
          <w:cols w:space="708"/>
          <w:titlePg/>
          <w:docGrid w:linePitch="360"/>
        </w:sectPr>
      </w:pPr>
    </w:p>
    <w:p w14:paraId="3AD10A8A" w14:textId="77777777" w:rsidR="00052F0C" w:rsidRPr="00957E2A" w:rsidRDefault="00052F0C" w:rsidP="00957E2A">
      <w:pPr>
        <w:keepNext/>
        <w:pageBreakBefore/>
        <w:jc w:val="both"/>
        <w:rPr>
          <w:b/>
        </w:rPr>
      </w:pPr>
      <w:r w:rsidRPr="00957E2A">
        <w:rPr>
          <w:b/>
        </w:rPr>
        <w:lastRenderedPageBreak/>
        <w:t>A</w:t>
      </w:r>
      <w:r w:rsidR="00957E2A">
        <w:rPr>
          <w:b/>
        </w:rPr>
        <w:t>NNEX</w:t>
      </w:r>
      <w:r w:rsidRPr="00957E2A">
        <w:rPr>
          <w:b/>
        </w:rPr>
        <w:t xml:space="preserve"> 1</w:t>
      </w:r>
    </w:p>
    <w:p w14:paraId="008E36A4" w14:textId="77777777" w:rsidR="008B4DA9" w:rsidRPr="00957E2A" w:rsidRDefault="008B4DA9" w:rsidP="00957E2A">
      <w:pPr>
        <w:jc w:val="both"/>
        <w:rPr>
          <w:b/>
          <w:sz w:val="22"/>
          <w:szCs w:val="22"/>
        </w:rPr>
      </w:pPr>
    </w:p>
    <w:p w14:paraId="6AD2D145" w14:textId="4BC3B827" w:rsidR="00455E0D" w:rsidRPr="00957E2A" w:rsidRDefault="00455E0D" w:rsidP="00957E2A">
      <w:pPr>
        <w:jc w:val="both"/>
        <w:rPr>
          <w:i/>
          <w:sz w:val="22"/>
          <w:szCs w:val="22"/>
        </w:rPr>
      </w:pPr>
      <w:r w:rsidRPr="00957E2A">
        <w:rPr>
          <w:b/>
          <w:sz w:val="22"/>
          <w:szCs w:val="22"/>
        </w:rPr>
        <w:t xml:space="preserve">Division of the Agreement area into nine regions </w:t>
      </w:r>
      <w:r w:rsidRPr="00957E2A">
        <w:rPr>
          <w:sz w:val="22"/>
          <w:szCs w:val="22"/>
        </w:rPr>
        <w:t>for the purpose of appointment of regional representatives to the Technical Committee as described in document AEWA/MOP 1.11/Rev 1</w:t>
      </w:r>
      <w:r w:rsidRPr="00957E2A">
        <w:rPr>
          <w:i/>
          <w:sz w:val="22"/>
          <w:szCs w:val="22"/>
        </w:rPr>
        <w:t xml:space="preserve"> (with pertinent amendments in country names and status of </w:t>
      </w:r>
      <w:r w:rsidR="00B754B7">
        <w:rPr>
          <w:i/>
          <w:sz w:val="22"/>
          <w:szCs w:val="22"/>
        </w:rPr>
        <w:t xml:space="preserve">accession </w:t>
      </w:r>
      <w:r w:rsidRPr="00957E2A">
        <w:rPr>
          <w:i/>
          <w:sz w:val="22"/>
          <w:szCs w:val="22"/>
        </w:rPr>
        <w:t xml:space="preserve">as of </w:t>
      </w:r>
      <w:r w:rsidR="008F4A55">
        <w:rPr>
          <w:i/>
          <w:sz w:val="22"/>
          <w:szCs w:val="22"/>
        </w:rPr>
        <w:t>January 2021</w:t>
      </w:r>
      <w:r w:rsidRPr="00957E2A">
        <w:rPr>
          <w:i/>
          <w:sz w:val="22"/>
          <w:szCs w:val="22"/>
        </w:rPr>
        <w:t>).</w:t>
      </w:r>
    </w:p>
    <w:p w14:paraId="34B33DE7" w14:textId="77777777" w:rsidR="00455E0D" w:rsidRPr="00957E2A" w:rsidRDefault="00455E0D" w:rsidP="00957E2A">
      <w:pPr>
        <w:jc w:val="both"/>
        <w:rPr>
          <w:sz w:val="22"/>
          <w:szCs w:val="22"/>
        </w:rPr>
      </w:pPr>
    </w:p>
    <w:p w14:paraId="5B5A9345" w14:textId="77777777" w:rsidR="00455E0D" w:rsidRPr="00957E2A" w:rsidRDefault="00455E0D" w:rsidP="00957E2A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87"/>
        <w:gridCol w:w="6204"/>
      </w:tblGrid>
      <w:tr w:rsidR="00455E0D" w:rsidRPr="00957E2A" w14:paraId="32C78AE4" w14:textId="77777777" w:rsidTr="008911C4">
        <w:trPr>
          <w:trHeight w:val="729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CD09B6D" w14:textId="77777777" w:rsidR="00455E0D" w:rsidRPr="008911C4" w:rsidRDefault="00455E0D" w:rsidP="00957E2A">
            <w:pPr>
              <w:pStyle w:val="Default"/>
              <w:rPr>
                <w:b/>
              </w:rPr>
            </w:pPr>
            <w:r w:rsidRPr="008911C4">
              <w:rPr>
                <w:b/>
                <w:bCs/>
              </w:rPr>
              <w:t xml:space="preserve">Region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9E78AE0" w14:textId="23FA5A91" w:rsidR="008911C4" w:rsidRPr="008911C4" w:rsidRDefault="00455E0D" w:rsidP="008911C4">
            <w:pPr>
              <w:pStyle w:val="Default"/>
              <w:rPr>
                <w:b/>
              </w:rPr>
            </w:pPr>
            <w:r w:rsidRPr="008911C4">
              <w:rPr>
                <w:b/>
                <w:bCs/>
              </w:rPr>
              <w:t xml:space="preserve">Names of the Range States and regional economic </w:t>
            </w:r>
            <w:r w:rsidR="000D6CF3" w:rsidRPr="008911C4">
              <w:rPr>
                <w:b/>
                <w:bCs/>
              </w:rPr>
              <w:t>organizations</w:t>
            </w:r>
            <w:r w:rsidRPr="008911C4">
              <w:rPr>
                <w:b/>
                <w:bCs/>
              </w:rPr>
              <w:t xml:space="preserve"> </w:t>
            </w:r>
            <w:r w:rsidRPr="008911C4">
              <w:rPr>
                <w:bCs/>
                <w:i/>
              </w:rPr>
              <w:t xml:space="preserve">(current AEWA Parties are in </w:t>
            </w:r>
            <w:r w:rsidRPr="008911C4">
              <w:rPr>
                <w:b/>
                <w:bCs/>
                <w:i/>
              </w:rPr>
              <w:t>bold</w:t>
            </w:r>
            <w:r w:rsidRPr="008911C4">
              <w:rPr>
                <w:bCs/>
                <w:i/>
              </w:rPr>
              <w:t>)</w:t>
            </w:r>
          </w:p>
        </w:tc>
      </w:tr>
      <w:tr w:rsidR="00455E0D" w:rsidRPr="00957E2A" w14:paraId="4C7D3F63" w14:textId="77777777" w:rsidTr="00957E2A">
        <w:trPr>
          <w:trHeight w:val="1315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282CAA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NORTH- AND SOUTHWESTERN EUROPE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C463573" w14:textId="77777777" w:rsidR="00455E0D" w:rsidRPr="00957E2A" w:rsidRDefault="00455E0D" w:rsidP="00957E2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iCs/>
                <w:sz w:val="22"/>
                <w:szCs w:val="22"/>
              </w:rPr>
              <w:t xml:space="preserve">Andorra, </w:t>
            </w:r>
            <w:r w:rsidRPr="00957E2A">
              <w:rPr>
                <w:b/>
                <w:sz w:val="22"/>
                <w:szCs w:val="22"/>
              </w:rPr>
              <w:t>Belgium</w:t>
            </w:r>
            <w:r w:rsidRPr="00957E2A">
              <w:rPr>
                <w:iCs/>
                <w:sz w:val="22"/>
                <w:szCs w:val="22"/>
              </w:rPr>
              <w:t>, Canada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Denmark</w:t>
            </w:r>
            <w:r w:rsidRPr="00957E2A">
              <w:rPr>
                <w:iCs/>
                <w:sz w:val="22"/>
                <w:szCs w:val="22"/>
              </w:rPr>
              <w:t xml:space="preserve"> (incl. Greenland), </w:t>
            </w:r>
            <w:r w:rsidR="004F0E06" w:rsidRPr="004F0E06">
              <w:rPr>
                <w:b/>
                <w:iCs/>
                <w:sz w:val="22"/>
                <w:szCs w:val="22"/>
              </w:rPr>
              <w:t>European Union</w:t>
            </w:r>
            <w:r w:rsidR="004F0E06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Finland</w:t>
            </w:r>
            <w:r w:rsidRPr="00957E2A">
              <w:rPr>
                <w:bCs/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France</w:t>
            </w:r>
            <w:r w:rsidRPr="00957E2A">
              <w:rPr>
                <w:bCs/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Germany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A05F0F">
              <w:rPr>
                <w:b/>
                <w:iCs/>
                <w:sz w:val="22"/>
                <w:szCs w:val="22"/>
              </w:rPr>
              <w:t>Iceland,</w:t>
            </w:r>
            <w:r w:rsidRPr="00957E2A">
              <w:rPr>
                <w:iCs/>
                <w:sz w:val="22"/>
                <w:szCs w:val="22"/>
              </w:rPr>
              <w:t xml:space="preserve"> </w:t>
            </w:r>
            <w:r w:rsidRPr="00957E2A">
              <w:rPr>
                <w:b/>
                <w:sz w:val="22"/>
                <w:szCs w:val="22"/>
              </w:rPr>
              <w:t>Ireland</w:t>
            </w:r>
            <w:r w:rsidRPr="00957E2A">
              <w:rPr>
                <w:sz w:val="22"/>
                <w:szCs w:val="22"/>
              </w:rPr>
              <w:t xml:space="preserve">, Liechtenstein, </w:t>
            </w:r>
            <w:r w:rsidRPr="00957E2A">
              <w:rPr>
                <w:b/>
                <w:sz w:val="22"/>
                <w:szCs w:val="22"/>
              </w:rPr>
              <w:t>Luxembourg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Monaco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the Netherlands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Norway</w:t>
            </w:r>
            <w:r w:rsidRPr="00957E2A">
              <w:rPr>
                <w:iCs/>
                <w:sz w:val="22"/>
                <w:szCs w:val="22"/>
              </w:rPr>
              <w:t>,</w:t>
            </w:r>
            <w:r w:rsidRPr="00957E2A">
              <w:rPr>
                <w:b/>
                <w:iCs/>
                <w:sz w:val="22"/>
                <w:szCs w:val="22"/>
              </w:rPr>
              <w:t xml:space="preserve"> Portugal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Spain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Sweden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Switzerland</w:t>
            </w:r>
            <w:r w:rsidRPr="00957E2A">
              <w:rPr>
                <w:bCs/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 xml:space="preserve">United Kingdom of Great Britain and Northern Ireland </w:t>
            </w:r>
          </w:p>
        </w:tc>
      </w:tr>
      <w:tr w:rsidR="00455E0D" w:rsidRPr="00957E2A" w14:paraId="0E1C3DE8" w14:textId="77777777" w:rsidTr="00957E2A">
        <w:trPr>
          <w:trHeight w:val="1055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F5A528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CENTRAL EUROPE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CDFAD3" w14:textId="77777777" w:rsidR="00455E0D" w:rsidRPr="00957E2A" w:rsidRDefault="00455E0D" w:rsidP="00957E2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b/>
                <w:iCs/>
                <w:sz w:val="22"/>
                <w:szCs w:val="22"/>
              </w:rPr>
              <w:t>Albania</w:t>
            </w:r>
            <w:r w:rsidRPr="00957E2A">
              <w:rPr>
                <w:iCs/>
                <w:sz w:val="22"/>
                <w:szCs w:val="22"/>
              </w:rPr>
              <w:t>, Austria, Bosnia</w:t>
            </w:r>
            <w:r w:rsidR="00957E2A">
              <w:rPr>
                <w:iCs/>
                <w:sz w:val="22"/>
                <w:szCs w:val="22"/>
              </w:rPr>
              <w:t xml:space="preserve"> and </w:t>
            </w:r>
            <w:r w:rsidRPr="00957E2A">
              <w:rPr>
                <w:iCs/>
                <w:sz w:val="22"/>
                <w:szCs w:val="22"/>
              </w:rPr>
              <w:t>Herzegovina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Bulgaria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Croatia</w:t>
            </w:r>
            <w:r w:rsidRPr="00957E2A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Czech Republic</w:t>
            </w:r>
            <w:r w:rsidRPr="00957E2A">
              <w:rPr>
                <w:sz w:val="22"/>
                <w:szCs w:val="22"/>
              </w:rPr>
              <w:t xml:space="preserve">, </w:t>
            </w:r>
            <w:r w:rsidR="004F0E06" w:rsidRPr="004F0E06">
              <w:rPr>
                <w:b/>
                <w:sz w:val="22"/>
                <w:szCs w:val="22"/>
              </w:rPr>
              <w:t>European Union</w:t>
            </w:r>
            <w:r w:rsidR="004F0E06">
              <w:rPr>
                <w:sz w:val="22"/>
                <w:szCs w:val="22"/>
              </w:rPr>
              <w:t xml:space="preserve">, </w:t>
            </w:r>
            <w:r w:rsidRPr="00957E2A">
              <w:rPr>
                <w:sz w:val="22"/>
                <w:szCs w:val="22"/>
              </w:rPr>
              <w:t xml:space="preserve">Greece, </w:t>
            </w:r>
            <w:r w:rsidRPr="00957E2A">
              <w:rPr>
                <w:b/>
                <w:iCs/>
                <w:sz w:val="22"/>
                <w:szCs w:val="22"/>
              </w:rPr>
              <w:t>Italy</w:t>
            </w:r>
            <w:r w:rsidRPr="00957E2A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Hungary</w:t>
            </w:r>
            <w:r w:rsidRPr="00957E2A">
              <w:rPr>
                <w:iCs/>
                <w:sz w:val="22"/>
                <w:szCs w:val="22"/>
              </w:rPr>
              <w:t xml:space="preserve">, Malta, </w:t>
            </w:r>
            <w:r w:rsidRPr="00A05F0F">
              <w:rPr>
                <w:b/>
                <w:iCs/>
                <w:sz w:val="22"/>
                <w:szCs w:val="22"/>
              </w:rPr>
              <w:t>Montenegro,</w:t>
            </w:r>
            <w:r w:rsidRPr="00957E2A">
              <w:rPr>
                <w:iCs/>
                <w:sz w:val="22"/>
                <w:szCs w:val="22"/>
              </w:rPr>
              <w:t xml:space="preserve"> Poland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Romania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iCs/>
                <w:sz w:val="22"/>
                <w:szCs w:val="22"/>
              </w:rPr>
              <w:t xml:space="preserve">San Marino, </w:t>
            </w:r>
            <w:r w:rsidRPr="00891F5A">
              <w:rPr>
                <w:b/>
                <w:bCs/>
                <w:iCs/>
                <w:sz w:val="22"/>
                <w:szCs w:val="22"/>
              </w:rPr>
              <w:t>Serbia</w:t>
            </w:r>
            <w:r w:rsidRPr="00957E2A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Slovakia</w:t>
            </w:r>
            <w:r w:rsidRPr="00957E2A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iCs/>
                <w:sz w:val="22"/>
                <w:szCs w:val="22"/>
              </w:rPr>
              <w:t>Slovenia</w:t>
            </w:r>
            <w:r w:rsidRPr="00957E2A">
              <w:rPr>
                <w:iCs/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the Former Yugoslav Republic of Macedonia</w:t>
            </w:r>
          </w:p>
        </w:tc>
      </w:tr>
      <w:tr w:rsidR="00455E0D" w:rsidRPr="00957E2A" w14:paraId="5AB27E12" w14:textId="77777777" w:rsidTr="00957E2A">
        <w:trPr>
          <w:trHeight w:val="532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7FAB2B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EASTERN EUROPE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D6922B" w14:textId="77777777" w:rsidR="00455E0D" w:rsidRPr="00957E2A" w:rsidRDefault="00455E0D" w:rsidP="00957E2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91F5A">
              <w:rPr>
                <w:b/>
                <w:bCs/>
                <w:sz w:val="22"/>
                <w:szCs w:val="22"/>
              </w:rPr>
              <w:t>Armenia</w:t>
            </w:r>
            <w:r w:rsidRPr="00957E2A">
              <w:rPr>
                <w:sz w:val="22"/>
                <w:szCs w:val="22"/>
              </w:rPr>
              <w:t xml:space="preserve">, Azerbaijan, </w:t>
            </w:r>
            <w:r w:rsidRPr="000A789A">
              <w:rPr>
                <w:b/>
                <w:sz w:val="22"/>
                <w:szCs w:val="22"/>
              </w:rPr>
              <w:t>Belarus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Estonia</w:t>
            </w:r>
            <w:r w:rsidRPr="00957E2A">
              <w:rPr>
                <w:sz w:val="22"/>
                <w:szCs w:val="22"/>
              </w:rPr>
              <w:t xml:space="preserve">, </w:t>
            </w:r>
            <w:r w:rsidR="004F0E06" w:rsidRPr="004F0E06">
              <w:rPr>
                <w:b/>
                <w:sz w:val="22"/>
                <w:szCs w:val="22"/>
              </w:rPr>
              <w:t>European Union</w:t>
            </w:r>
            <w:r w:rsidR="004F0E06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Georgia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Latvia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Lithuania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Republic of Moldova</w:t>
            </w:r>
            <w:r w:rsidRPr="00957E2A">
              <w:rPr>
                <w:sz w:val="22"/>
                <w:szCs w:val="22"/>
              </w:rPr>
              <w:t xml:space="preserve">, Russian Federation (European part), </w:t>
            </w:r>
            <w:r w:rsidRPr="00957E2A">
              <w:rPr>
                <w:b/>
                <w:sz w:val="22"/>
                <w:szCs w:val="22"/>
              </w:rPr>
              <w:t>Ukraine</w:t>
            </w:r>
          </w:p>
        </w:tc>
      </w:tr>
      <w:tr w:rsidR="00455E0D" w:rsidRPr="00957E2A" w14:paraId="50874EB2" w14:textId="77777777" w:rsidTr="00957E2A">
        <w:trPr>
          <w:trHeight w:val="1055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9B5B86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SOUTHWESTERN ASIA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2D522" w14:textId="7F3B5CF2" w:rsidR="00455E0D" w:rsidRPr="00957E2A" w:rsidRDefault="00455E0D" w:rsidP="00957E2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sz w:val="22"/>
                <w:szCs w:val="22"/>
              </w:rPr>
              <w:t xml:space="preserve">Bahrain, </w:t>
            </w:r>
            <w:r w:rsidRPr="00957E2A">
              <w:rPr>
                <w:b/>
                <w:sz w:val="22"/>
                <w:szCs w:val="22"/>
              </w:rPr>
              <w:t>Cyprus</w:t>
            </w:r>
            <w:r w:rsidRPr="00957E2A">
              <w:rPr>
                <w:sz w:val="22"/>
                <w:szCs w:val="22"/>
              </w:rPr>
              <w:t>,</w:t>
            </w:r>
            <w:r w:rsidR="000E019D">
              <w:rPr>
                <w:sz w:val="22"/>
                <w:szCs w:val="22"/>
              </w:rPr>
              <w:t xml:space="preserve"> </w:t>
            </w:r>
            <w:r w:rsidR="000E019D" w:rsidRPr="000E019D">
              <w:rPr>
                <w:b/>
                <w:sz w:val="22"/>
                <w:szCs w:val="22"/>
              </w:rPr>
              <w:t>European Union</w:t>
            </w:r>
            <w:r w:rsidR="000E019D">
              <w:rPr>
                <w:sz w:val="22"/>
                <w:szCs w:val="22"/>
              </w:rPr>
              <w:t>,</w:t>
            </w:r>
            <w:r w:rsidRPr="00957E2A">
              <w:rPr>
                <w:sz w:val="22"/>
                <w:szCs w:val="22"/>
              </w:rPr>
              <w:t xml:space="preserve"> Iran (Islamic Republic of), Iraq, </w:t>
            </w:r>
            <w:r w:rsidRPr="00957E2A">
              <w:rPr>
                <w:b/>
                <w:sz w:val="22"/>
                <w:szCs w:val="22"/>
              </w:rPr>
              <w:t>Israel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Jordan</w:t>
            </w:r>
            <w:r w:rsidRPr="00957E2A">
              <w:rPr>
                <w:sz w:val="22"/>
                <w:szCs w:val="22"/>
              </w:rPr>
              <w:t xml:space="preserve">, Kazakhstan, Kuwait, </w:t>
            </w:r>
            <w:r w:rsidRPr="00957E2A">
              <w:rPr>
                <w:b/>
                <w:sz w:val="22"/>
                <w:szCs w:val="22"/>
              </w:rPr>
              <w:t>Lebanon</w:t>
            </w:r>
            <w:r w:rsidRPr="00957E2A">
              <w:rPr>
                <w:sz w:val="22"/>
                <w:szCs w:val="22"/>
              </w:rPr>
              <w:t xml:space="preserve">, Oman, Qatar, Russian Federation (Asian part), Saudi Arabia, </w:t>
            </w:r>
            <w:r w:rsidRPr="00957E2A">
              <w:rPr>
                <w:b/>
                <w:sz w:val="22"/>
                <w:szCs w:val="22"/>
              </w:rPr>
              <w:t>Syrian Arab Republic</w:t>
            </w:r>
            <w:r w:rsidRPr="00957E2A">
              <w:rPr>
                <w:sz w:val="22"/>
                <w:szCs w:val="22"/>
              </w:rPr>
              <w:t xml:space="preserve">, Turkey, </w:t>
            </w:r>
            <w:r w:rsidRPr="00D91DD9">
              <w:rPr>
                <w:b/>
                <w:bCs/>
                <w:sz w:val="22"/>
                <w:szCs w:val="22"/>
              </w:rPr>
              <w:t>Turkmenistan</w:t>
            </w:r>
            <w:r w:rsidRPr="00957E2A">
              <w:rPr>
                <w:sz w:val="22"/>
                <w:szCs w:val="22"/>
              </w:rPr>
              <w:t xml:space="preserve">, United Arab Emirates, </w:t>
            </w:r>
            <w:r w:rsidRPr="00957E2A">
              <w:rPr>
                <w:b/>
                <w:sz w:val="22"/>
                <w:szCs w:val="22"/>
              </w:rPr>
              <w:t>Uzbekistan</w:t>
            </w:r>
            <w:r w:rsidRPr="00957E2A">
              <w:rPr>
                <w:sz w:val="22"/>
                <w:szCs w:val="22"/>
              </w:rPr>
              <w:t>, Yemen</w:t>
            </w:r>
          </w:p>
        </w:tc>
      </w:tr>
      <w:tr w:rsidR="00455E0D" w:rsidRPr="00957E2A" w14:paraId="39505778" w14:textId="77777777" w:rsidTr="00957E2A">
        <w:trPr>
          <w:trHeight w:val="532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E2D83B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NORTHERN AFRICA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68E39E9" w14:textId="3ED5D193" w:rsidR="00455E0D" w:rsidRPr="00957E2A" w:rsidRDefault="00455E0D" w:rsidP="0037119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b/>
                <w:sz w:val="22"/>
                <w:szCs w:val="22"/>
              </w:rPr>
              <w:t>Algeria</w:t>
            </w:r>
            <w:r w:rsidRPr="00957E2A">
              <w:rPr>
                <w:sz w:val="22"/>
                <w:szCs w:val="22"/>
              </w:rPr>
              <w:t>,</w:t>
            </w:r>
            <w:r w:rsidR="000E019D" w:rsidRPr="000E019D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E019D" w:rsidRPr="000E019D">
              <w:rPr>
                <w:b/>
                <w:bCs/>
                <w:iCs/>
                <w:sz w:val="22"/>
                <w:szCs w:val="22"/>
              </w:rPr>
              <w:t>Canary Islands (Spain</w:t>
            </w:r>
            <w:r w:rsidR="000E019D" w:rsidRPr="000E019D">
              <w:rPr>
                <w:b/>
                <w:bCs/>
                <w:sz w:val="22"/>
                <w:szCs w:val="22"/>
              </w:rPr>
              <w:t>)</w:t>
            </w:r>
            <w:r w:rsidR="000E019D">
              <w:rPr>
                <w:b/>
                <w:bCs/>
                <w:sz w:val="22"/>
                <w:szCs w:val="22"/>
              </w:rPr>
              <w:t xml:space="preserve">, Egypt, </w:t>
            </w:r>
            <w:r w:rsidRPr="00957E2A">
              <w:rPr>
                <w:b/>
                <w:sz w:val="22"/>
                <w:szCs w:val="22"/>
              </w:rPr>
              <w:t>Libya</w:t>
            </w:r>
            <w:r w:rsidRPr="00957E2A">
              <w:rPr>
                <w:sz w:val="22"/>
                <w:szCs w:val="22"/>
              </w:rPr>
              <w:t>,</w:t>
            </w:r>
            <w:r w:rsidR="000E019D">
              <w:rPr>
                <w:sz w:val="22"/>
                <w:szCs w:val="22"/>
              </w:rPr>
              <w:t xml:space="preserve"> </w:t>
            </w:r>
            <w:r w:rsidR="000E019D" w:rsidRPr="000E019D">
              <w:rPr>
                <w:b/>
                <w:sz w:val="22"/>
                <w:szCs w:val="22"/>
              </w:rPr>
              <w:t>Madeira (Portugal)</w:t>
            </w:r>
            <w:r w:rsidR="000E019D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Morocco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Tunisia</w:t>
            </w:r>
          </w:p>
        </w:tc>
      </w:tr>
      <w:tr w:rsidR="00455E0D" w:rsidRPr="00957E2A" w14:paraId="6B863EF7" w14:textId="77777777" w:rsidTr="00957E2A">
        <w:trPr>
          <w:trHeight w:val="797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38566E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>CENTRAL AFRICA</w:t>
            </w:r>
            <w:r w:rsidRPr="00957E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E58B0DF" w14:textId="15C3BEC3" w:rsidR="00455E0D" w:rsidRPr="00957E2A" w:rsidRDefault="00455E0D" w:rsidP="00EE6DA2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sz w:val="22"/>
                <w:szCs w:val="22"/>
              </w:rPr>
              <w:t xml:space="preserve">Cameroon, </w:t>
            </w:r>
            <w:r w:rsidRPr="00526AC3">
              <w:rPr>
                <w:b/>
                <w:sz w:val="22"/>
                <w:szCs w:val="22"/>
              </w:rPr>
              <w:t>Central African Republic</w:t>
            </w:r>
            <w:r w:rsidRPr="00957E2A">
              <w:rPr>
                <w:sz w:val="22"/>
                <w:szCs w:val="22"/>
              </w:rPr>
              <w:t>,</w:t>
            </w:r>
            <w:r w:rsidR="00526AC3">
              <w:rPr>
                <w:sz w:val="22"/>
                <w:szCs w:val="22"/>
              </w:rPr>
              <w:t xml:space="preserve"> </w:t>
            </w:r>
            <w:r w:rsidR="00526AC3" w:rsidRPr="00526AC3">
              <w:rPr>
                <w:b/>
                <w:sz w:val="22"/>
                <w:szCs w:val="22"/>
              </w:rPr>
              <w:t>Chad</w:t>
            </w:r>
            <w:r w:rsidR="00526AC3">
              <w:rPr>
                <w:sz w:val="22"/>
                <w:szCs w:val="22"/>
              </w:rPr>
              <w:t>,</w:t>
            </w:r>
            <w:r w:rsidRPr="00957E2A">
              <w:rPr>
                <w:sz w:val="22"/>
                <w:szCs w:val="22"/>
              </w:rPr>
              <w:t xml:space="preserve"> </w:t>
            </w:r>
            <w:r w:rsidRPr="00957E2A">
              <w:rPr>
                <w:b/>
                <w:bCs/>
                <w:sz w:val="22"/>
                <w:szCs w:val="22"/>
              </w:rPr>
              <w:t>Congo</w:t>
            </w:r>
            <w:r w:rsidRPr="00957E2A">
              <w:rPr>
                <w:sz w:val="22"/>
                <w:szCs w:val="22"/>
              </w:rPr>
              <w:t xml:space="preserve">, Democratic Republic of Congo, </w:t>
            </w:r>
            <w:r w:rsidRPr="00957E2A">
              <w:rPr>
                <w:b/>
                <w:sz w:val="22"/>
                <w:szCs w:val="22"/>
              </w:rPr>
              <w:t>Equatorial Guinea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Gabon</w:t>
            </w:r>
            <w:r w:rsidRPr="00957E2A">
              <w:rPr>
                <w:sz w:val="22"/>
                <w:szCs w:val="22"/>
              </w:rPr>
              <w:t xml:space="preserve">, </w:t>
            </w:r>
            <w:r w:rsidR="00957E2A" w:rsidRPr="00957E2A">
              <w:rPr>
                <w:sz w:val="22"/>
                <w:szCs w:val="22"/>
              </w:rPr>
              <w:t>S</w:t>
            </w:r>
            <w:r w:rsidR="00EE6DA2">
              <w:rPr>
                <w:sz w:val="22"/>
                <w:szCs w:val="22"/>
              </w:rPr>
              <w:t>ao</w:t>
            </w:r>
            <w:r w:rsidR="00957E2A" w:rsidRPr="00957E2A">
              <w:rPr>
                <w:sz w:val="22"/>
                <w:szCs w:val="22"/>
              </w:rPr>
              <w:t xml:space="preserve"> Tom</w:t>
            </w:r>
            <w:r w:rsidR="00EE6DA2">
              <w:rPr>
                <w:sz w:val="22"/>
                <w:szCs w:val="22"/>
              </w:rPr>
              <w:t>e</w:t>
            </w:r>
            <w:r w:rsidR="00957E2A" w:rsidRPr="00957E2A">
              <w:rPr>
                <w:sz w:val="22"/>
                <w:szCs w:val="22"/>
              </w:rPr>
              <w:t xml:space="preserve"> </w:t>
            </w:r>
            <w:r w:rsidR="00EE6DA2">
              <w:rPr>
                <w:sz w:val="22"/>
                <w:szCs w:val="22"/>
              </w:rPr>
              <w:t>and</w:t>
            </w:r>
            <w:r w:rsidR="00957E2A" w:rsidRPr="00957E2A">
              <w:rPr>
                <w:sz w:val="22"/>
                <w:szCs w:val="22"/>
              </w:rPr>
              <w:t xml:space="preserve"> Pr</w:t>
            </w:r>
            <w:r w:rsidR="00EE6DA2">
              <w:rPr>
                <w:sz w:val="22"/>
                <w:szCs w:val="22"/>
              </w:rPr>
              <w:t>i</w:t>
            </w:r>
            <w:r w:rsidR="00957E2A" w:rsidRPr="00957E2A">
              <w:rPr>
                <w:sz w:val="22"/>
                <w:szCs w:val="22"/>
              </w:rPr>
              <w:t xml:space="preserve">ncipe </w:t>
            </w:r>
          </w:p>
        </w:tc>
      </w:tr>
      <w:tr w:rsidR="00455E0D" w:rsidRPr="00957E2A" w14:paraId="4E05BF1A" w14:textId="77777777" w:rsidTr="00957E2A">
        <w:trPr>
          <w:trHeight w:val="797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2A6F69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>WESTERN AFRICA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00D55B" w14:textId="40073422" w:rsidR="00455E0D" w:rsidRPr="00957E2A" w:rsidRDefault="00455E0D" w:rsidP="00BB69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b/>
                <w:sz w:val="22"/>
                <w:szCs w:val="22"/>
              </w:rPr>
              <w:t>Benin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Burkina Faso</w:t>
            </w:r>
            <w:r w:rsidRPr="00957E2A">
              <w:rPr>
                <w:sz w:val="22"/>
                <w:szCs w:val="22"/>
              </w:rPr>
              <w:t>, Ca</w:t>
            </w:r>
            <w:r w:rsidR="00957E2A">
              <w:rPr>
                <w:sz w:val="22"/>
                <w:szCs w:val="22"/>
              </w:rPr>
              <w:t>bo Verde</w:t>
            </w:r>
            <w:r w:rsidRPr="00957E2A">
              <w:rPr>
                <w:sz w:val="22"/>
                <w:szCs w:val="22"/>
              </w:rPr>
              <w:t>,</w:t>
            </w:r>
            <w:r w:rsidR="00526AC3" w:rsidRPr="00526AC3">
              <w:rPr>
                <w:b/>
                <w:color w:val="auto"/>
                <w:sz w:val="22"/>
                <w:szCs w:val="22"/>
              </w:rPr>
              <w:t xml:space="preserve"> </w:t>
            </w:r>
            <w:r w:rsidR="00526AC3" w:rsidRPr="00526AC3">
              <w:rPr>
                <w:b/>
                <w:sz w:val="22"/>
                <w:szCs w:val="22"/>
              </w:rPr>
              <w:t>Côte d’Ivoire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Gambia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Ghana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Guinea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Guinea-</w:t>
            </w:r>
            <w:r w:rsidR="000A789A" w:rsidRPr="00957E2A">
              <w:rPr>
                <w:b/>
                <w:sz w:val="22"/>
                <w:szCs w:val="22"/>
              </w:rPr>
              <w:t>Bissau</w:t>
            </w:r>
            <w:r w:rsidR="000A789A" w:rsidRPr="00957E2A">
              <w:rPr>
                <w:sz w:val="22"/>
                <w:szCs w:val="22"/>
              </w:rPr>
              <w:t>, Liberia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Mali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47084A">
              <w:rPr>
                <w:b/>
                <w:sz w:val="22"/>
                <w:szCs w:val="22"/>
              </w:rPr>
              <w:t>Mauritania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Niger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Nigeria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bCs/>
                <w:sz w:val="22"/>
                <w:szCs w:val="22"/>
              </w:rPr>
              <w:t>Senegal</w:t>
            </w:r>
            <w:r w:rsidRPr="00957E2A">
              <w:rPr>
                <w:sz w:val="22"/>
                <w:szCs w:val="22"/>
              </w:rPr>
              <w:t xml:space="preserve">, Sierra Leone, </w:t>
            </w:r>
            <w:r w:rsidRPr="00957E2A">
              <w:rPr>
                <w:b/>
                <w:bCs/>
                <w:sz w:val="22"/>
                <w:szCs w:val="22"/>
              </w:rPr>
              <w:t>Togo</w:t>
            </w:r>
          </w:p>
        </w:tc>
      </w:tr>
      <w:tr w:rsidR="00455E0D" w:rsidRPr="00957E2A" w14:paraId="52B37DC1" w14:textId="77777777" w:rsidTr="00957E2A">
        <w:trPr>
          <w:trHeight w:val="532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812761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EASTERN AFRICA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D09365" w14:textId="1D963C04" w:rsidR="00455E0D" w:rsidRPr="00957E2A" w:rsidRDefault="00526AC3" w:rsidP="008911C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Burundi, </w:t>
            </w:r>
            <w:r w:rsidR="00455E0D" w:rsidRPr="00957E2A">
              <w:rPr>
                <w:b/>
                <w:sz w:val="22"/>
                <w:szCs w:val="22"/>
              </w:rPr>
              <w:t>Djibouti</w:t>
            </w:r>
            <w:r w:rsidR="00455E0D" w:rsidRPr="00957E2A">
              <w:rPr>
                <w:sz w:val="22"/>
                <w:szCs w:val="22"/>
              </w:rPr>
              <w:t xml:space="preserve">, Eritrea, </w:t>
            </w:r>
            <w:r w:rsidR="00455E0D" w:rsidRPr="00957E2A">
              <w:rPr>
                <w:b/>
                <w:sz w:val="22"/>
                <w:szCs w:val="22"/>
              </w:rPr>
              <w:t>Ethiopia</w:t>
            </w:r>
            <w:r w:rsidR="00455E0D" w:rsidRPr="00957E2A">
              <w:rPr>
                <w:sz w:val="22"/>
                <w:szCs w:val="22"/>
              </w:rPr>
              <w:t xml:space="preserve">, </w:t>
            </w:r>
            <w:r w:rsidR="00455E0D" w:rsidRPr="00957E2A">
              <w:rPr>
                <w:b/>
                <w:sz w:val="22"/>
                <w:szCs w:val="22"/>
              </w:rPr>
              <w:t>Kenya</w:t>
            </w:r>
            <w:r w:rsidR="00455E0D" w:rsidRPr="00957E2A">
              <w:rPr>
                <w:sz w:val="22"/>
                <w:szCs w:val="22"/>
              </w:rPr>
              <w:t xml:space="preserve">, </w:t>
            </w:r>
            <w:r w:rsidR="00957E2A" w:rsidRPr="00957E2A">
              <w:rPr>
                <w:b/>
                <w:sz w:val="22"/>
                <w:szCs w:val="22"/>
              </w:rPr>
              <w:t>Mayotte (France)</w:t>
            </w:r>
            <w:r w:rsidR="00957E2A">
              <w:rPr>
                <w:b/>
                <w:sz w:val="22"/>
                <w:szCs w:val="22"/>
              </w:rPr>
              <w:t>,</w:t>
            </w:r>
            <w:r w:rsidR="00957E2A" w:rsidRPr="00957E2A">
              <w:rPr>
                <w:b/>
                <w:sz w:val="22"/>
                <w:szCs w:val="22"/>
              </w:rPr>
              <w:t xml:space="preserve"> </w:t>
            </w:r>
            <w:r w:rsidR="008911C4" w:rsidRPr="00957E2A">
              <w:rPr>
                <w:b/>
                <w:sz w:val="22"/>
                <w:szCs w:val="22"/>
              </w:rPr>
              <w:t>Réunion (France)</w:t>
            </w:r>
            <w:r w:rsidR="008911C4" w:rsidRPr="00957E2A">
              <w:rPr>
                <w:sz w:val="22"/>
                <w:szCs w:val="22"/>
              </w:rPr>
              <w:t xml:space="preserve">, </w:t>
            </w:r>
            <w:r w:rsidRPr="00526AC3">
              <w:rPr>
                <w:b/>
                <w:sz w:val="22"/>
                <w:szCs w:val="22"/>
              </w:rPr>
              <w:t>Rwanda</w:t>
            </w:r>
            <w:r>
              <w:rPr>
                <w:sz w:val="22"/>
                <w:szCs w:val="22"/>
              </w:rPr>
              <w:t xml:space="preserve">, </w:t>
            </w:r>
            <w:r w:rsidR="00455E0D" w:rsidRPr="00957E2A">
              <w:rPr>
                <w:sz w:val="22"/>
                <w:szCs w:val="22"/>
              </w:rPr>
              <w:t xml:space="preserve">Somalia, </w:t>
            </w:r>
            <w:r w:rsidR="00957E2A">
              <w:rPr>
                <w:sz w:val="22"/>
                <w:szCs w:val="22"/>
              </w:rPr>
              <w:t xml:space="preserve">South Sudan, </w:t>
            </w:r>
            <w:r w:rsidR="00455E0D" w:rsidRPr="00957E2A">
              <w:rPr>
                <w:b/>
                <w:bCs/>
                <w:sz w:val="22"/>
                <w:szCs w:val="22"/>
              </w:rPr>
              <w:t>Sudan</w:t>
            </w:r>
            <w:r w:rsidR="00455E0D" w:rsidRPr="00957E2A">
              <w:rPr>
                <w:sz w:val="22"/>
                <w:szCs w:val="22"/>
              </w:rPr>
              <w:t xml:space="preserve">, </w:t>
            </w:r>
            <w:r w:rsidR="00957E2A" w:rsidRPr="00957E2A">
              <w:rPr>
                <w:b/>
                <w:sz w:val="22"/>
                <w:szCs w:val="22"/>
              </w:rPr>
              <w:t>Uganda</w:t>
            </w:r>
            <w:r w:rsidR="00957E2A" w:rsidRPr="00957E2A">
              <w:rPr>
                <w:sz w:val="22"/>
                <w:szCs w:val="22"/>
              </w:rPr>
              <w:t>,</w:t>
            </w:r>
            <w:r w:rsidR="00957E2A" w:rsidRPr="00957E2A">
              <w:rPr>
                <w:bCs/>
                <w:sz w:val="22"/>
                <w:szCs w:val="22"/>
              </w:rPr>
              <w:t xml:space="preserve"> </w:t>
            </w:r>
            <w:r w:rsidR="00957E2A" w:rsidRPr="00957E2A">
              <w:rPr>
                <w:b/>
                <w:bCs/>
                <w:sz w:val="22"/>
                <w:szCs w:val="22"/>
              </w:rPr>
              <w:t>United Republic of Tanzania</w:t>
            </w:r>
          </w:p>
        </w:tc>
      </w:tr>
      <w:tr w:rsidR="00455E0D" w:rsidRPr="00957E2A" w14:paraId="73247E1D" w14:textId="77777777" w:rsidTr="00957E2A">
        <w:trPr>
          <w:trHeight w:val="1055"/>
        </w:trPr>
        <w:tc>
          <w:tcPr>
            <w:tcW w:w="19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EC3CE3" w14:textId="77777777" w:rsidR="00455E0D" w:rsidRPr="00957E2A" w:rsidRDefault="00455E0D" w:rsidP="00957E2A">
            <w:pPr>
              <w:pStyle w:val="Default"/>
              <w:rPr>
                <w:b/>
                <w:sz w:val="22"/>
                <w:szCs w:val="22"/>
              </w:rPr>
            </w:pPr>
            <w:r w:rsidRPr="00957E2A">
              <w:rPr>
                <w:b/>
                <w:bCs/>
                <w:sz w:val="22"/>
                <w:szCs w:val="22"/>
              </w:rPr>
              <w:t xml:space="preserve">SOUTHERN AFRICA </w:t>
            </w:r>
          </w:p>
        </w:tc>
        <w:tc>
          <w:tcPr>
            <w:tcW w:w="304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E8C042" w14:textId="4A9DA9D4" w:rsidR="00455E0D" w:rsidRPr="00957E2A" w:rsidRDefault="00455E0D" w:rsidP="00957E2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57E2A">
              <w:rPr>
                <w:sz w:val="22"/>
                <w:szCs w:val="22"/>
              </w:rPr>
              <w:t xml:space="preserve">Angola, </w:t>
            </w:r>
            <w:r w:rsidR="00526AC3" w:rsidRPr="00526AC3">
              <w:rPr>
                <w:b/>
                <w:sz w:val="22"/>
                <w:szCs w:val="22"/>
              </w:rPr>
              <w:t>Ascension Island (United Kingdom)</w:t>
            </w:r>
            <w:r w:rsidR="00526AC3">
              <w:rPr>
                <w:b/>
                <w:sz w:val="22"/>
                <w:szCs w:val="22"/>
              </w:rPr>
              <w:t>,</w:t>
            </w:r>
            <w:r w:rsidR="00526AC3" w:rsidRPr="00526AC3">
              <w:rPr>
                <w:b/>
                <w:sz w:val="22"/>
                <w:szCs w:val="22"/>
              </w:rPr>
              <w:t xml:space="preserve"> </w:t>
            </w:r>
            <w:r w:rsidRPr="00C94821">
              <w:rPr>
                <w:b/>
                <w:sz w:val="22"/>
                <w:szCs w:val="22"/>
              </w:rPr>
              <w:t>Botswana</w:t>
            </w:r>
            <w:r w:rsidRPr="00957E2A">
              <w:rPr>
                <w:sz w:val="22"/>
                <w:szCs w:val="22"/>
              </w:rPr>
              <w:t>, Comoros,</w:t>
            </w:r>
            <w:r w:rsidR="00526AC3">
              <w:rPr>
                <w:sz w:val="22"/>
                <w:szCs w:val="22"/>
              </w:rPr>
              <w:t xml:space="preserve"> </w:t>
            </w:r>
            <w:r w:rsidR="00526AC3" w:rsidRPr="00526AC3">
              <w:rPr>
                <w:b/>
                <w:sz w:val="22"/>
                <w:szCs w:val="22"/>
              </w:rPr>
              <w:t>Eswatini</w:t>
            </w:r>
            <w:r w:rsidR="00526AC3">
              <w:rPr>
                <w:sz w:val="22"/>
                <w:szCs w:val="22"/>
              </w:rPr>
              <w:t>,</w:t>
            </w:r>
            <w:r w:rsidRPr="00957E2A">
              <w:rPr>
                <w:sz w:val="22"/>
                <w:szCs w:val="22"/>
              </w:rPr>
              <w:t xml:space="preserve"> Lesotho, </w:t>
            </w:r>
            <w:r w:rsidRPr="00957E2A">
              <w:rPr>
                <w:b/>
                <w:sz w:val="22"/>
                <w:szCs w:val="22"/>
              </w:rPr>
              <w:t>Madagascar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891F5A">
              <w:rPr>
                <w:b/>
                <w:bCs/>
                <w:sz w:val="22"/>
                <w:szCs w:val="22"/>
              </w:rPr>
              <w:t>Malawi</w:t>
            </w:r>
            <w:r w:rsidRPr="00957E2A">
              <w:rPr>
                <w:sz w:val="22"/>
                <w:szCs w:val="22"/>
              </w:rPr>
              <w:t xml:space="preserve">, </w:t>
            </w:r>
            <w:r w:rsidRPr="00957E2A">
              <w:rPr>
                <w:b/>
                <w:sz w:val="22"/>
                <w:szCs w:val="22"/>
              </w:rPr>
              <w:t>Mauritius</w:t>
            </w:r>
            <w:r w:rsidRPr="00957E2A">
              <w:rPr>
                <w:sz w:val="22"/>
                <w:szCs w:val="22"/>
              </w:rPr>
              <w:t xml:space="preserve">, Mozambique, Namibia, Seychelles, </w:t>
            </w:r>
            <w:r w:rsidRPr="00957E2A">
              <w:rPr>
                <w:b/>
                <w:sz w:val="22"/>
                <w:szCs w:val="22"/>
              </w:rPr>
              <w:t>South Africa</w:t>
            </w:r>
            <w:r w:rsidRPr="00957E2A">
              <w:rPr>
                <w:sz w:val="22"/>
                <w:szCs w:val="22"/>
              </w:rPr>
              <w:t xml:space="preserve">, </w:t>
            </w:r>
            <w:r w:rsidR="00526AC3" w:rsidRPr="00526AC3">
              <w:rPr>
                <w:b/>
                <w:sz w:val="22"/>
                <w:szCs w:val="22"/>
              </w:rPr>
              <w:t>St. Helena (United Kingdom)</w:t>
            </w:r>
            <w:r w:rsidR="00526AC3">
              <w:rPr>
                <w:b/>
                <w:sz w:val="22"/>
                <w:szCs w:val="22"/>
              </w:rPr>
              <w:t xml:space="preserve">, </w:t>
            </w:r>
            <w:r w:rsidRPr="00957E2A">
              <w:rPr>
                <w:sz w:val="22"/>
                <w:szCs w:val="22"/>
              </w:rPr>
              <w:t xml:space="preserve">Zambia, </w:t>
            </w:r>
            <w:r w:rsidRPr="00957E2A">
              <w:rPr>
                <w:b/>
                <w:sz w:val="22"/>
                <w:szCs w:val="22"/>
              </w:rPr>
              <w:t>Zimbabwe</w:t>
            </w:r>
          </w:p>
        </w:tc>
      </w:tr>
    </w:tbl>
    <w:p w14:paraId="5A070C14" w14:textId="77777777" w:rsidR="00052F0C" w:rsidRPr="00957E2A" w:rsidRDefault="00052F0C" w:rsidP="00957E2A">
      <w:pPr>
        <w:jc w:val="both"/>
        <w:rPr>
          <w:sz w:val="22"/>
          <w:szCs w:val="22"/>
        </w:rPr>
      </w:pPr>
    </w:p>
    <w:p w14:paraId="5B674AAF" w14:textId="77777777" w:rsidR="002E20ED" w:rsidRPr="00957E2A" w:rsidRDefault="00052F0C" w:rsidP="00957E2A">
      <w:pPr>
        <w:keepNext/>
        <w:pageBreakBefore/>
        <w:jc w:val="both"/>
        <w:rPr>
          <w:b/>
          <w:sz w:val="22"/>
          <w:szCs w:val="22"/>
        </w:rPr>
      </w:pPr>
      <w:r w:rsidRPr="00957E2A">
        <w:rPr>
          <w:b/>
          <w:sz w:val="22"/>
          <w:szCs w:val="22"/>
        </w:rPr>
        <w:lastRenderedPageBreak/>
        <w:t>A</w:t>
      </w:r>
      <w:r w:rsidR="008911C4">
        <w:rPr>
          <w:b/>
          <w:sz w:val="22"/>
          <w:szCs w:val="22"/>
        </w:rPr>
        <w:t>NNEX</w:t>
      </w:r>
      <w:r w:rsidRPr="00957E2A">
        <w:rPr>
          <w:b/>
          <w:sz w:val="22"/>
          <w:szCs w:val="22"/>
        </w:rPr>
        <w:t xml:space="preserve"> 2</w:t>
      </w:r>
    </w:p>
    <w:p w14:paraId="24A8F93D" w14:textId="77777777" w:rsidR="002E20ED" w:rsidRPr="00957E2A" w:rsidRDefault="002E20ED" w:rsidP="002E20ED">
      <w:pPr>
        <w:jc w:val="both"/>
        <w:rPr>
          <w:sz w:val="22"/>
          <w:szCs w:val="22"/>
        </w:rPr>
      </w:pPr>
    </w:p>
    <w:p w14:paraId="016E4E97" w14:textId="77777777" w:rsidR="008B4DA9" w:rsidRPr="00957E2A" w:rsidRDefault="008B4DA9" w:rsidP="008B4DA9">
      <w:pPr>
        <w:jc w:val="both"/>
        <w:rPr>
          <w:sz w:val="22"/>
          <w:szCs w:val="22"/>
        </w:rPr>
      </w:pPr>
      <w:r w:rsidRPr="00957E2A">
        <w:rPr>
          <w:sz w:val="22"/>
          <w:szCs w:val="22"/>
        </w:rPr>
        <w:t xml:space="preserve">1) </w:t>
      </w:r>
      <w:r w:rsidR="008911C4">
        <w:rPr>
          <w:sz w:val="22"/>
          <w:szCs w:val="22"/>
        </w:rPr>
        <w:t xml:space="preserve">AEWA </w:t>
      </w:r>
      <w:r w:rsidRPr="00957E2A">
        <w:rPr>
          <w:sz w:val="22"/>
          <w:szCs w:val="22"/>
        </w:rPr>
        <w:t xml:space="preserve">Species Action Plans </w:t>
      </w:r>
      <w:r w:rsidR="008911C4">
        <w:rPr>
          <w:sz w:val="22"/>
          <w:szCs w:val="22"/>
        </w:rPr>
        <w:t>are available here:</w:t>
      </w:r>
    </w:p>
    <w:p w14:paraId="7FC99785" w14:textId="77777777" w:rsidR="008B4DA9" w:rsidRPr="00957E2A" w:rsidRDefault="008B4DA9" w:rsidP="008B4DA9">
      <w:pPr>
        <w:jc w:val="both"/>
        <w:rPr>
          <w:sz w:val="22"/>
          <w:szCs w:val="22"/>
        </w:rPr>
      </w:pPr>
    </w:p>
    <w:p w14:paraId="73C6D103" w14:textId="77777777" w:rsidR="008B4DA9" w:rsidRPr="00957E2A" w:rsidRDefault="000C6839" w:rsidP="008B4DA9">
      <w:pPr>
        <w:jc w:val="both"/>
        <w:rPr>
          <w:sz w:val="22"/>
          <w:szCs w:val="22"/>
        </w:rPr>
      </w:pPr>
      <w:hyperlink r:id="rId10" w:history="1">
        <w:r w:rsidR="00BB69DF" w:rsidRPr="00663537">
          <w:rPr>
            <w:rStyle w:val="Hyperlink"/>
            <w:sz w:val="22"/>
            <w:szCs w:val="22"/>
          </w:rPr>
          <w:t>http://www.unep-aewa.org/en/publications/technical-publications?field_publication_type_tid=1417</w:t>
        </w:r>
      </w:hyperlink>
      <w:r w:rsidR="00BB69DF">
        <w:rPr>
          <w:sz w:val="22"/>
          <w:szCs w:val="22"/>
        </w:rPr>
        <w:t xml:space="preserve"> </w:t>
      </w:r>
      <w:r w:rsidR="008B4DA9" w:rsidRPr="00957E2A">
        <w:rPr>
          <w:sz w:val="22"/>
          <w:szCs w:val="22"/>
        </w:rPr>
        <w:t xml:space="preserve"> </w:t>
      </w:r>
    </w:p>
    <w:p w14:paraId="2D4D43AC" w14:textId="77777777" w:rsidR="00455E0D" w:rsidRPr="00957E2A" w:rsidRDefault="00455E0D" w:rsidP="008B4DA9">
      <w:pPr>
        <w:jc w:val="both"/>
        <w:rPr>
          <w:sz w:val="22"/>
          <w:szCs w:val="22"/>
        </w:rPr>
      </w:pPr>
    </w:p>
    <w:p w14:paraId="0829E066" w14:textId="77777777" w:rsidR="008B4DA9" w:rsidRPr="00957E2A" w:rsidRDefault="008B4DA9" w:rsidP="008B4DA9">
      <w:pPr>
        <w:jc w:val="both"/>
        <w:rPr>
          <w:sz w:val="22"/>
          <w:szCs w:val="22"/>
        </w:rPr>
      </w:pPr>
    </w:p>
    <w:p w14:paraId="49926466" w14:textId="77777777" w:rsidR="008B4DA9" w:rsidRPr="00957E2A" w:rsidRDefault="008B4DA9" w:rsidP="008B4DA9">
      <w:pPr>
        <w:jc w:val="both"/>
        <w:rPr>
          <w:i/>
          <w:sz w:val="22"/>
          <w:szCs w:val="22"/>
        </w:rPr>
      </w:pPr>
    </w:p>
    <w:p w14:paraId="10227181" w14:textId="77777777" w:rsidR="008B4DA9" w:rsidRPr="00957E2A" w:rsidRDefault="00B754B7" w:rsidP="008B4DA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B4DA9" w:rsidRPr="00957E2A">
        <w:rPr>
          <w:sz w:val="22"/>
          <w:szCs w:val="22"/>
        </w:rPr>
        <w:t xml:space="preserve">) The AEWA Conservation Guidelines are available here: </w:t>
      </w:r>
    </w:p>
    <w:p w14:paraId="14690A2D" w14:textId="77777777" w:rsidR="008B4DA9" w:rsidRPr="00957E2A" w:rsidRDefault="008B4DA9" w:rsidP="008B4DA9">
      <w:pPr>
        <w:jc w:val="both"/>
        <w:rPr>
          <w:sz w:val="22"/>
          <w:szCs w:val="22"/>
        </w:rPr>
      </w:pPr>
    </w:p>
    <w:p w14:paraId="1CB82F8D" w14:textId="77777777" w:rsidR="008B4DA9" w:rsidRPr="00957E2A" w:rsidRDefault="000C6839" w:rsidP="008B4DA9">
      <w:pPr>
        <w:jc w:val="both"/>
        <w:rPr>
          <w:sz w:val="22"/>
          <w:szCs w:val="22"/>
        </w:rPr>
      </w:pPr>
      <w:hyperlink r:id="rId11" w:history="1">
        <w:r w:rsidR="00BB69DF" w:rsidRPr="00663537">
          <w:rPr>
            <w:rStyle w:val="Hyperlink"/>
            <w:sz w:val="22"/>
            <w:szCs w:val="22"/>
          </w:rPr>
          <w:t>http://www.unep-aewa.org/en/publications/technical-publications?field_publication_type_tid=369</w:t>
        </w:r>
      </w:hyperlink>
      <w:r w:rsidR="00BB69DF">
        <w:rPr>
          <w:sz w:val="22"/>
          <w:szCs w:val="22"/>
        </w:rPr>
        <w:t xml:space="preserve"> </w:t>
      </w:r>
      <w:r w:rsidR="008B4DA9" w:rsidRPr="00957E2A">
        <w:rPr>
          <w:sz w:val="22"/>
          <w:szCs w:val="22"/>
        </w:rPr>
        <w:t xml:space="preserve"> </w:t>
      </w:r>
    </w:p>
    <w:p w14:paraId="6104E779" w14:textId="77777777" w:rsidR="008B4DA9" w:rsidRPr="00957E2A" w:rsidRDefault="008B4DA9" w:rsidP="008B4DA9">
      <w:pPr>
        <w:jc w:val="both"/>
        <w:rPr>
          <w:i/>
          <w:sz w:val="22"/>
          <w:szCs w:val="22"/>
        </w:rPr>
      </w:pPr>
    </w:p>
    <w:p w14:paraId="1430F017" w14:textId="77777777" w:rsidR="002E20ED" w:rsidRPr="00957E2A" w:rsidRDefault="002E20ED" w:rsidP="002E20ED">
      <w:pPr>
        <w:jc w:val="both"/>
        <w:rPr>
          <w:sz w:val="22"/>
          <w:szCs w:val="22"/>
        </w:rPr>
      </w:pPr>
    </w:p>
    <w:p w14:paraId="344FD844" w14:textId="04FDD21B" w:rsidR="00287119" w:rsidRDefault="00287119" w:rsidP="00287119">
      <w:pPr>
        <w:jc w:val="both"/>
        <w:rPr>
          <w:sz w:val="22"/>
          <w:szCs w:val="22"/>
        </w:rPr>
      </w:pPr>
    </w:p>
    <w:p w14:paraId="590CDF93" w14:textId="49AE88A5" w:rsidR="008D3582" w:rsidRPr="008D3582" w:rsidRDefault="008D3582" w:rsidP="008D3582">
      <w:pPr>
        <w:jc w:val="both"/>
        <w:rPr>
          <w:sz w:val="22"/>
          <w:szCs w:val="22"/>
        </w:rPr>
      </w:pPr>
      <w:r w:rsidRPr="008D3582">
        <w:rPr>
          <w:b/>
          <w:sz w:val="22"/>
          <w:szCs w:val="22"/>
        </w:rPr>
        <w:t>[Please note</w:t>
      </w:r>
      <w:r w:rsidRPr="008D3582">
        <w:rPr>
          <w:sz w:val="22"/>
          <w:szCs w:val="22"/>
        </w:rPr>
        <w:t xml:space="preserve">: Further Species Action Plans and Conservation Guidelines were approved by MOP6 in November 2015 </w:t>
      </w:r>
      <w:r w:rsidR="00DA1C71">
        <w:rPr>
          <w:sz w:val="22"/>
          <w:szCs w:val="22"/>
        </w:rPr>
        <w:t xml:space="preserve">and MOP7 in December 2018 </w:t>
      </w:r>
      <w:r w:rsidRPr="008D3582">
        <w:rPr>
          <w:sz w:val="22"/>
          <w:szCs w:val="22"/>
        </w:rPr>
        <w:t xml:space="preserve">but are not yet published. They are available here: </w:t>
      </w:r>
    </w:p>
    <w:p w14:paraId="5DE9FE8A" w14:textId="77777777" w:rsidR="008D3582" w:rsidRPr="008D3582" w:rsidRDefault="008D3582" w:rsidP="008D3582">
      <w:pPr>
        <w:jc w:val="both"/>
        <w:rPr>
          <w:sz w:val="22"/>
          <w:szCs w:val="22"/>
        </w:rPr>
      </w:pPr>
    </w:p>
    <w:p w14:paraId="37E31B87" w14:textId="77777777" w:rsidR="00DA1C71" w:rsidRDefault="000C6839" w:rsidP="008D3582">
      <w:pPr>
        <w:jc w:val="both"/>
        <w:rPr>
          <w:rStyle w:val="Hyperlink"/>
          <w:sz w:val="22"/>
          <w:szCs w:val="22"/>
        </w:rPr>
      </w:pPr>
      <w:hyperlink r:id="rId12" w:history="1">
        <w:r w:rsidR="008D3582" w:rsidRPr="008D3582">
          <w:rPr>
            <w:rStyle w:val="Hyperlink"/>
            <w:sz w:val="22"/>
            <w:szCs w:val="22"/>
          </w:rPr>
          <w:t>http://www.unep-aewa.org/en/meeting/6th-meeting-parti</w:t>
        </w:r>
        <w:r w:rsidR="008D3582" w:rsidRPr="008D3582">
          <w:rPr>
            <w:rStyle w:val="Hyperlink"/>
            <w:sz w:val="22"/>
            <w:szCs w:val="22"/>
          </w:rPr>
          <w:t>e</w:t>
        </w:r>
        <w:r w:rsidR="008D3582" w:rsidRPr="008D3582">
          <w:rPr>
            <w:rStyle w:val="Hyperlink"/>
            <w:sz w:val="22"/>
            <w:szCs w:val="22"/>
          </w:rPr>
          <w:t>s-aewa</w:t>
        </w:r>
      </w:hyperlink>
    </w:p>
    <w:p w14:paraId="72C7B72C" w14:textId="57004F69" w:rsidR="008D3582" w:rsidRPr="008D3582" w:rsidRDefault="000C6839" w:rsidP="008D3582">
      <w:pPr>
        <w:jc w:val="both"/>
        <w:rPr>
          <w:sz w:val="22"/>
          <w:szCs w:val="22"/>
        </w:rPr>
      </w:pPr>
      <w:hyperlink r:id="rId13" w:history="1">
        <w:r w:rsidR="00A55C3E" w:rsidRPr="0023336D">
          <w:rPr>
            <w:rStyle w:val="Hyperlink"/>
            <w:sz w:val="22"/>
            <w:szCs w:val="22"/>
          </w:rPr>
          <w:t>https://www.unep-aewa.org/en/meeting/7th-session-meeting-parties-aewa</w:t>
        </w:r>
      </w:hyperlink>
      <w:r w:rsidR="00A55C3E">
        <w:rPr>
          <w:sz w:val="22"/>
          <w:szCs w:val="22"/>
        </w:rPr>
        <w:t xml:space="preserve"> </w:t>
      </w:r>
    </w:p>
    <w:p w14:paraId="18721427" w14:textId="6B7BD470" w:rsidR="008D3582" w:rsidRDefault="008D3582" w:rsidP="00287119">
      <w:pPr>
        <w:jc w:val="both"/>
        <w:rPr>
          <w:sz w:val="22"/>
          <w:szCs w:val="22"/>
        </w:rPr>
      </w:pPr>
    </w:p>
    <w:p w14:paraId="0891B657" w14:textId="77777777" w:rsidR="008D3582" w:rsidRPr="00957E2A" w:rsidRDefault="008D3582" w:rsidP="00287119">
      <w:pPr>
        <w:jc w:val="both"/>
        <w:rPr>
          <w:sz w:val="22"/>
          <w:szCs w:val="22"/>
        </w:rPr>
      </w:pPr>
    </w:p>
    <w:sectPr w:rsidR="008D3582" w:rsidRPr="00957E2A" w:rsidSect="0048093F">
      <w:footerReference w:type="default" r:id="rId14"/>
      <w:pgSz w:w="11907" w:h="16840" w:code="9"/>
      <w:pgMar w:top="1138" w:right="850" w:bottom="1138" w:left="85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6B8E" w14:textId="77777777" w:rsidR="0071266A" w:rsidRDefault="0071266A">
      <w:r>
        <w:separator/>
      </w:r>
    </w:p>
  </w:endnote>
  <w:endnote w:type="continuationSeparator" w:id="0">
    <w:p w14:paraId="0669F66C" w14:textId="77777777" w:rsidR="0071266A" w:rsidRDefault="0071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FD59" w14:textId="77777777" w:rsidR="008B4DA9" w:rsidRDefault="008B4DA9" w:rsidP="00DD4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42F59" w14:textId="77777777" w:rsidR="008B4DA9" w:rsidRDefault="008B4DA9" w:rsidP="00386F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1BEE" w14:textId="77777777" w:rsidR="008B4DA9" w:rsidRPr="000A6BB2" w:rsidRDefault="008B4DA9" w:rsidP="000A6BB2">
    <w:pPr>
      <w:pStyle w:val="Footer"/>
      <w:ind w:right="360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E50B" w14:textId="77777777" w:rsidR="00957E2A" w:rsidRPr="00957E2A" w:rsidRDefault="00957E2A">
    <w:pPr>
      <w:pStyle w:val="Footer"/>
      <w:jc w:val="center"/>
      <w:rPr>
        <w:sz w:val="20"/>
        <w:szCs w:val="20"/>
      </w:rPr>
    </w:pPr>
    <w:r w:rsidRPr="00957E2A">
      <w:rPr>
        <w:sz w:val="20"/>
        <w:szCs w:val="20"/>
      </w:rPr>
      <w:fldChar w:fldCharType="begin"/>
    </w:r>
    <w:r w:rsidRPr="00957E2A">
      <w:rPr>
        <w:sz w:val="20"/>
        <w:szCs w:val="20"/>
      </w:rPr>
      <w:instrText xml:space="preserve"> PAGE   \* MERGEFORMAT </w:instrText>
    </w:r>
    <w:r w:rsidRPr="00957E2A">
      <w:rPr>
        <w:sz w:val="20"/>
        <w:szCs w:val="20"/>
      </w:rPr>
      <w:fldChar w:fldCharType="separate"/>
    </w:r>
    <w:r w:rsidR="009F4AF3">
      <w:rPr>
        <w:noProof/>
        <w:sz w:val="20"/>
        <w:szCs w:val="20"/>
      </w:rPr>
      <w:t>2</w:t>
    </w:r>
    <w:r w:rsidRPr="00957E2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8963" w14:textId="77777777" w:rsidR="0071266A" w:rsidRDefault="0071266A">
      <w:r>
        <w:separator/>
      </w:r>
    </w:p>
  </w:footnote>
  <w:footnote w:type="continuationSeparator" w:id="0">
    <w:p w14:paraId="4E2F053F" w14:textId="77777777" w:rsidR="0071266A" w:rsidRDefault="0071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D56B" w14:textId="3E129D60" w:rsidR="0048093F" w:rsidRPr="0048093F" w:rsidRDefault="0048093F" w:rsidP="0048093F">
    <w:pPr>
      <w:tabs>
        <w:tab w:val="left" w:pos="-720"/>
        <w:tab w:val="left" w:pos="310"/>
        <w:tab w:val="left" w:pos="835"/>
      </w:tabs>
      <w:spacing w:line="151" w:lineRule="auto"/>
      <w:jc w:val="center"/>
      <w:rPr>
        <w:lang w:val="en-GB"/>
      </w:rPr>
    </w:pPr>
    <w:r w:rsidRPr="0048093F">
      <w:rPr>
        <w:rFonts w:ascii="Calibri" w:eastAsia="Calibri" w:hAnsi="Calibri"/>
        <w:noProof/>
        <w:sz w:val="22"/>
        <w:szCs w:val="22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820DF" wp14:editId="2625426E">
              <wp:simplePos x="0" y="0"/>
              <wp:positionH relativeFrom="column">
                <wp:posOffset>5144160</wp:posOffset>
              </wp:positionH>
              <wp:positionV relativeFrom="paragraph">
                <wp:posOffset>78384</wp:posOffset>
              </wp:positionV>
              <wp:extent cx="1447648" cy="571500"/>
              <wp:effectExtent l="0" t="0" r="63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648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1D7C9" w14:textId="5D141A83" w:rsidR="0048093F" w:rsidRDefault="0048093F" w:rsidP="0048093F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Doc. AEWA/TC16 Inf.3</w:t>
                          </w:r>
                        </w:p>
                        <w:p w14:paraId="2D0A5F9D" w14:textId="791E5C66" w:rsidR="0048093F" w:rsidRDefault="0048093F" w:rsidP="0048093F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2</w:t>
                          </w:r>
                          <w:r w:rsidR="00D91DD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December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820D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05.05pt;margin-top:6.15pt;width:11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" stroked="f">
              <v:textbox>
                <w:txbxContent>
                  <w:p w14:paraId="0A21D7C9" w14:textId="5D141A83" w:rsidR="0048093F" w:rsidRDefault="0048093F" w:rsidP="0048093F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Doc. AEWA/TC16 Inf.3</w:t>
                    </w:r>
                  </w:p>
                  <w:p w14:paraId="2D0A5F9D" w14:textId="791E5C66" w:rsidR="0048093F" w:rsidRDefault="0048093F" w:rsidP="0048093F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2</w:t>
                    </w:r>
                    <w:r w:rsidR="00D91DD9">
                      <w:rPr>
                        <w:i/>
                        <w:iCs/>
                        <w:sz w:val="20"/>
                        <w:szCs w:val="20"/>
                      </w:rPr>
                      <w:t>3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 December 2020</w:t>
                    </w:r>
                  </w:p>
                </w:txbxContent>
              </v:textbox>
            </v:shape>
          </w:pict>
        </mc:Fallback>
      </mc:AlternateContent>
    </w:r>
    <w:r w:rsidRPr="0048093F">
      <w:rPr>
        <w:rFonts w:ascii="Calibri" w:eastAsia="Calibri" w:hAnsi="Calibri"/>
        <w:noProof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3735A0E1" wp14:editId="0B3F0A5D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028700" cy="851535"/>
          <wp:effectExtent l="0" t="0" r="0" b="5715"/>
          <wp:wrapNone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21302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  <w:r w:rsidRPr="0048093F">
      <w:rPr>
        <w:i/>
        <w:sz w:val="22"/>
        <w:szCs w:val="22"/>
        <w:lang w:val="en-GB"/>
      </w:rPr>
      <w:t xml:space="preserve">AGREEMENT ON THE CONSERVATION OF </w:t>
    </w:r>
  </w:p>
  <w:p w14:paraId="4D6002DA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  <w:r w:rsidRPr="0048093F">
      <w:rPr>
        <w:i/>
        <w:sz w:val="22"/>
        <w:szCs w:val="22"/>
        <w:lang w:val="en-GB"/>
      </w:rPr>
      <w:t>AFRICAN-EURASIAN MIGRATORY WATERBIRDS</w:t>
    </w:r>
  </w:p>
  <w:p w14:paraId="775A4ED7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</w:p>
  <w:p w14:paraId="5E8F92A7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</w:p>
  <w:p w14:paraId="44F9F6F2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</w:p>
  <w:p w14:paraId="4483796E" w14:textId="77777777" w:rsidR="0048093F" w:rsidRPr="0048093F" w:rsidRDefault="0048093F" w:rsidP="0048093F">
    <w:pPr>
      <w:tabs>
        <w:tab w:val="left" w:pos="-720"/>
      </w:tabs>
      <w:jc w:val="center"/>
      <w:rPr>
        <w:i/>
        <w:sz w:val="22"/>
        <w:szCs w:val="22"/>
        <w:lang w:val="en-GB"/>
      </w:rPr>
    </w:pPr>
  </w:p>
  <w:p w14:paraId="02D650CC" w14:textId="77777777" w:rsidR="0048093F" w:rsidRPr="0048093F" w:rsidRDefault="0048093F" w:rsidP="0048093F">
    <w:pPr>
      <w:tabs>
        <w:tab w:val="left" w:pos="-720"/>
        <w:tab w:val="left" w:pos="381"/>
        <w:tab w:val="left" w:pos="835"/>
      </w:tabs>
      <w:spacing w:line="223" w:lineRule="auto"/>
      <w:jc w:val="center"/>
      <w:rPr>
        <w:lang w:val="en-GB"/>
      </w:rPr>
    </w:pPr>
    <w:r w:rsidRPr="0048093F">
      <w:rPr>
        <w:b/>
        <w:bCs/>
        <w:sz w:val="26"/>
        <w:szCs w:val="26"/>
        <w:lang w:val="en-GB"/>
      </w:rPr>
      <w:t>16</w:t>
    </w:r>
    <w:r w:rsidRPr="0048093F">
      <w:rPr>
        <w:b/>
        <w:bCs/>
        <w:sz w:val="26"/>
        <w:szCs w:val="26"/>
        <w:vertAlign w:val="superscript"/>
        <w:lang w:val="en-GB"/>
      </w:rPr>
      <w:t>th</w:t>
    </w:r>
    <w:r w:rsidRPr="0048093F">
      <w:rPr>
        <w:b/>
        <w:bCs/>
        <w:sz w:val="26"/>
        <w:szCs w:val="26"/>
        <w:lang w:val="en-GB"/>
      </w:rPr>
      <w:t xml:space="preserve"> MEETING OF THE TECHNICAL COMMITTEE</w:t>
    </w:r>
  </w:p>
  <w:p w14:paraId="72E661CC" w14:textId="77777777" w:rsidR="0048093F" w:rsidRPr="0048093F" w:rsidRDefault="0048093F" w:rsidP="0048093F">
    <w:pPr>
      <w:tabs>
        <w:tab w:val="left" w:pos="-720"/>
        <w:tab w:val="left" w:pos="381"/>
        <w:tab w:val="left" w:pos="835"/>
      </w:tabs>
      <w:spacing w:line="223" w:lineRule="auto"/>
      <w:jc w:val="center"/>
      <w:rPr>
        <w:i/>
        <w:iCs/>
        <w:lang w:val="en-GB"/>
      </w:rPr>
    </w:pPr>
    <w:r w:rsidRPr="0048093F">
      <w:rPr>
        <w:i/>
        <w:iCs/>
        <w:lang w:val="en-GB"/>
      </w:rPr>
      <w:t xml:space="preserve"> 25-29 January 2021, Virtual conference format</w:t>
    </w:r>
  </w:p>
  <w:p w14:paraId="0B42B817" w14:textId="77777777" w:rsidR="0048093F" w:rsidRPr="0048093F" w:rsidRDefault="0048093F" w:rsidP="0048093F">
    <w:pPr>
      <w:keepNext/>
      <w:pBdr>
        <w:bottom w:val="single" w:sz="4" w:space="1" w:color="auto"/>
      </w:pBdr>
      <w:jc w:val="center"/>
      <w:outlineLvl w:val="0"/>
      <w:rPr>
        <w:b/>
        <w:bCs/>
        <w:sz w:val="28"/>
        <w:lang w:val="en-GB"/>
      </w:rPr>
    </w:pPr>
  </w:p>
  <w:p w14:paraId="199D00D5" w14:textId="77777777" w:rsidR="0048093F" w:rsidRPr="0048093F" w:rsidRDefault="0048093F" w:rsidP="0048093F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</w:rPr>
    </w:pPr>
  </w:p>
  <w:p w14:paraId="428005A6" w14:textId="77777777" w:rsidR="0048093F" w:rsidRDefault="0048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450A"/>
    <w:multiLevelType w:val="hybridMultilevel"/>
    <w:tmpl w:val="1970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A781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92B25"/>
    <w:multiLevelType w:val="multilevel"/>
    <w:tmpl w:val="8FF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EC52DCB"/>
    <w:multiLevelType w:val="hybridMultilevel"/>
    <w:tmpl w:val="CD445C06"/>
    <w:lvl w:ilvl="0" w:tplc="0C50A95C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E356E68"/>
    <w:multiLevelType w:val="multilevel"/>
    <w:tmpl w:val="0DA0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79935237"/>
    <w:multiLevelType w:val="multilevel"/>
    <w:tmpl w:val="A33E0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DF"/>
    <w:rsid w:val="00012531"/>
    <w:rsid w:val="00033413"/>
    <w:rsid w:val="000449E5"/>
    <w:rsid w:val="00052F0C"/>
    <w:rsid w:val="000559F8"/>
    <w:rsid w:val="00072B9D"/>
    <w:rsid w:val="000A05BC"/>
    <w:rsid w:val="000A5212"/>
    <w:rsid w:val="000A6BB2"/>
    <w:rsid w:val="000A789A"/>
    <w:rsid w:val="000B110F"/>
    <w:rsid w:val="000C6839"/>
    <w:rsid w:val="000D6CF3"/>
    <w:rsid w:val="000E019D"/>
    <w:rsid w:val="00116FB2"/>
    <w:rsid w:val="001257AF"/>
    <w:rsid w:val="00137FCB"/>
    <w:rsid w:val="00145AEE"/>
    <w:rsid w:val="00163A08"/>
    <w:rsid w:val="001A0C2B"/>
    <w:rsid w:val="001C2C9F"/>
    <w:rsid w:val="001D0353"/>
    <w:rsid w:val="001E3D80"/>
    <w:rsid w:val="001E54E8"/>
    <w:rsid w:val="00234C49"/>
    <w:rsid w:val="002730B6"/>
    <w:rsid w:val="00287119"/>
    <w:rsid w:val="002E20ED"/>
    <w:rsid w:val="002F7B7B"/>
    <w:rsid w:val="00333CAE"/>
    <w:rsid w:val="00334B32"/>
    <w:rsid w:val="0035203A"/>
    <w:rsid w:val="00364B53"/>
    <w:rsid w:val="0037119F"/>
    <w:rsid w:val="00386FCD"/>
    <w:rsid w:val="003A233E"/>
    <w:rsid w:val="003A4567"/>
    <w:rsid w:val="003B139C"/>
    <w:rsid w:val="003B40A6"/>
    <w:rsid w:val="003B4652"/>
    <w:rsid w:val="003C1964"/>
    <w:rsid w:val="003D0576"/>
    <w:rsid w:val="003F308B"/>
    <w:rsid w:val="00417CC1"/>
    <w:rsid w:val="00455E0D"/>
    <w:rsid w:val="0045766B"/>
    <w:rsid w:val="0047084A"/>
    <w:rsid w:val="00477EBF"/>
    <w:rsid w:val="0048093F"/>
    <w:rsid w:val="00482BC3"/>
    <w:rsid w:val="004B3025"/>
    <w:rsid w:val="004B6DC1"/>
    <w:rsid w:val="004E1FBE"/>
    <w:rsid w:val="004F0E06"/>
    <w:rsid w:val="005074CC"/>
    <w:rsid w:val="00513033"/>
    <w:rsid w:val="00526352"/>
    <w:rsid w:val="00526AC3"/>
    <w:rsid w:val="0052756E"/>
    <w:rsid w:val="0053670A"/>
    <w:rsid w:val="0056334D"/>
    <w:rsid w:val="00572D49"/>
    <w:rsid w:val="00593DEF"/>
    <w:rsid w:val="005B64DF"/>
    <w:rsid w:val="005C12D2"/>
    <w:rsid w:val="005F00D0"/>
    <w:rsid w:val="006050C0"/>
    <w:rsid w:val="00624109"/>
    <w:rsid w:val="00642FA4"/>
    <w:rsid w:val="0064340F"/>
    <w:rsid w:val="006527C8"/>
    <w:rsid w:val="00660FD9"/>
    <w:rsid w:val="0067710A"/>
    <w:rsid w:val="006A0F10"/>
    <w:rsid w:val="006B17CC"/>
    <w:rsid w:val="006F52E9"/>
    <w:rsid w:val="006F7324"/>
    <w:rsid w:val="0070358B"/>
    <w:rsid w:val="0071266A"/>
    <w:rsid w:val="0072361E"/>
    <w:rsid w:val="00743B10"/>
    <w:rsid w:val="0075739C"/>
    <w:rsid w:val="007A559D"/>
    <w:rsid w:val="007F2F7C"/>
    <w:rsid w:val="00841266"/>
    <w:rsid w:val="00853020"/>
    <w:rsid w:val="00865926"/>
    <w:rsid w:val="00872B49"/>
    <w:rsid w:val="008911C4"/>
    <w:rsid w:val="00891F5A"/>
    <w:rsid w:val="008B4DA9"/>
    <w:rsid w:val="008B6078"/>
    <w:rsid w:val="008D20DF"/>
    <w:rsid w:val="008D3582"/>
    <w:rsid w:val="008E0B73"/>
    <w:rsid w:val="008E36F2"/>
    <w:rsid w:val="008F4A55"/>
    <w:rsid w:val="00927162"/>
    <w:rsid w:val="00930A08"/>
    <w:rsid w:val="009335DB"/>
    <w:rsid w:val="00934128"/>
    <w:rsid w:val="00936858"/>
    <w:rsid w:val="00957E2A"/>
    <w:rsid w:val="00964DF6"/>
    <w:rsid w:val="009B5767"/>
    <w:rsid w:val="009C267B"/>
    <w:rsid w:val="009C5DC6"/>
    <w:rsid w:val="009F4AF3"/>
    <w:rsid w:val="009F4CEA"/>
    <w:rsid w:val="00A05F0F"/>
    <w:rsid w:val="00A111AF"/>
    <w:rsid w:val="00A4023B"/>
    <w:rsid w:val="00A43E74"/>
    <w:rsid w:val="00A43E95"/>
    <w:rsid w:val="00A46277"/>
    <w:rsid w:val="00A55C3E"/>
    <w:rsid w:val="00A90881"/>
    <w:rsid w:val="00A91173"/>
    <w:rsid w:val="00AB2BF6"/>
    <w:rsid w:val="00AE28AF"/>
    <w:rsid w:val="00B04060"/>
    <w:rsid w:val="00B2749B"/>
    <w:rsid w:val="00B46CBE"/>
    <w:rsid w:val="00B51CCD"/>
    <w:rsid w:val="00B51EE1"/>
    <w:rsid w:val="00B64306"/>
    <w:rsid w:val="00B754B7"/>
    <w:rsid w:val="00B96975"/>
    <w:rsid w:val="00BA3D85"/>
    <w:rsid w:val="00BA781F"/>
    <w:rsid w:val="00BB69DF"/>
    <w:rsid w:val="00BC648B"/>
    <w:rsid w:val="00BD37FA"/>
    <w:rsid w:val="00BD734E"/>
    <w:rsid w:val="00C47532"/>
    <w:rsid w:val="00C778B7"/>
    <w:rsid w:val="00C90488"/>
    <w:rsid w:val="00C94821"/>
    <w:rsid w:val="00CB460D"/>
    <w:rsid w:val="00CC65A4"/>
    <w:rsid w:val="00CD4915"/>
    <w:rsid w:val="00CD7C6D"/>
    <w:rsid w:val="00D05C42"/>
    <w:rsid w:val="00D91DD9"/>
    <w:rsid w:val="00DA1C71"/>
    <w:rsid w:val="00DA32B1"/>
    <w:rsid w:val="00DD4D36"/>
    <w:rsid w:val="00DD515D"/>
    <w:rsid w:val="00E03DF1"/>
    <w:rsid w:val="00E23BE6"/>
    <w:rsid w:val="00E26BB1"/>
    <w:rsid w:val="00E6128B"/>
    <w:rsid w:val="00E75652"/>
    <w:rsid w:val="00E7598F"/>
    <w:rsid w:val="00EA26BF"/>
    <w:rsid w:val="00ED63C2"/>
    <w:rsid w:val="00EE431D"/>
    <w:rsid w:val="00EE5070"/>
    <w:rsid w:val="00EE6DA2"/>
    <w:rsid w:val="00F17AFF"/>
    <w:rsid w:val="00F21983"/>
    <w:rsid w:val="00F6261D"/>
    <w:rsid w:val="00F632E3"/>
    <w:rsid w:val="00F74CBE"/>
    <w:rsid w:val="00F761EC"/>
    <w:rsid w:val="00F80AC6"/>
    <w:rsid w:val="00F8479E"/>
    <w:rsid w:val="00F86F38"/>
    <w:rsid w:val="00F94BB9"/>
    <w:rsid w:val="00FA3BBD"/>
    <w:rsid w:val="00FA56BB"/>
    <w:rsid w:val="00FA6EBE"/>
    <w:rsid w:val="00FB7AC7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711A2E"/>
  <w15:chartTrackingRefBased/>
  <w15:docId w15:val="{E70D7EB1-F594-45E1-B8C2-1851F5E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20DF"/>
    <w:pPr>
      <w:spacing w:before="100" w:beforeAutospacing="1" w:after="100" w:afterAutospacing="1"/>
    </w:pPr>
  </w:style>
  <w:style w:type="paragraph" w:styleId="Header">
    <w:name w:val="header"/>
    <w:basedOn w:val="Normal"/>
    <w:rsid w:val="00386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F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FCD"/>
  </w:style>
  <w:style w:type="paragraph" w:styleId="FootnoteText">
    <w:name w:val="footnote text"/>
    <w:basedOn w:val="Normal"/>
    <w:semiHidden/>
    <w:rsid w:val="003B4652"/>
    <w:rPr>
      <w:sz w:val="20"/>
      <w:szCs w:val="20"/>
    </w:rPr>
  </w:style>
  <w:style w:type="character" w:styleId="FootnoteReference">
    <w:name w:val="footnote reference"/>
    <w:semiHidden/>
    <w:rsid w:val="003B4652"/>
    <w:rPr>
      <w:vertAlign w:val="superscript"/>
    </w:rPr>
  </w:style>
  <w:style w:type="paragraph" w:customStyle="1" w:styleId="Default">
    <w:name w:val="Default"/>
    <w:rsid w:val="00F17A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2">
    <w:name w:val="xl32"/>
    <w:basedOn w:val="Normal"/>
    <w:rsid w:val="005F00D0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0B110F"/>
    <w:pPr>
      <w:ind w:left="240" w:hanging="240"/>
    </w:pPr>
    <w:rPr>
      <w:lang w:val="en-GB"/>
    </w:rPr>
  </w:style>
  <w:style w:type="paragraph" w:customStyle="1" w:styleId="Textedebulles">
    <w:name w:val="Texte de bulles"/>
    <w:basedOn w:val="Normal"/>
    <w:semiHidden/>
    <w:rsid w:val="005F00D0"/>
    <w:rPr>
      <w:rFonts w:ascii="Tahoma" w:hAnsi="Tahoma" w:cs="Tahoma"/>
      <w:sz w:val="16"/>
      <w:szCs w:val="16"/>
    </w:rPr>
  </w:style>
  <w:style w:type="character" w:styleId="Hyperlink">
    <w:name w:val="Hyperlink"/>
    <w:rsid w:val="006F52E9"/>
    <w:rPr>
      <w:color w:val="0000FF"/>
      <w:u w:val="single"/>
    </w:rPr>
  </w:style>
  <w:style w:type="character" w:styleId="CommentReference">
    <w:name w:val="annotation reference"/>
    <w:semiHidden/>
    <w:rsid w:val="00930A08"/>
    <w:rPr>
      <w:sz w:val="16"/>
      <w:szCs w:val="16"/>
    </w:rPr>
  </w:style>
  <w:style w:type="paragraph" w:styleId="CommentText">
    <w:name w:val="annotation text"/>
    <w:basedOn w:val="Normal"/>
    <w:semiHidden/>
    <w:rsid w:val="0093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0A08"/>
    <w:rPr>
      <w:b/>
      <w:bCs/>
    </w:rPr>
  </w:style>
  <w:style w:type="paragraph" w:styleId="BalloonText">
    <w:name w:val="Balloon Text"/>
    <w:basedOn w:val="Normal"/>
    <w:semiHidden/>
    <w:rsid w:val="00930A0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5E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57E2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358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3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unep-aewa.org/en/meeting/7th-session-meeting-parties-aew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nep-aewa.org/en/meeting/6th-meeting-parties-ae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p-aewa.org/en/publications/technical-publications?field_publication_type_tid=3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ep-aewa.org/en/publications/technical-publications?field_publication_type_tid=141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nomination of new Technical Committee members and alternates</vt:lpstr>
    </vt:vector>
  </TitlesOfParts>
  <Company>UNEP</Company>
  <LinksUpToDate>false</LinksUpToDate>
  <CharactersWithSpaces>5246</CharactersWithSpaces>
  <SharedDoc>false</SharedDoc>
  <HLinks>
    <vt:vector size="18" baseType="variant"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http://www.unep-aewa.org/en/meeting/6th-meeting-parties-aewa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http://www.unep-aewa.org/en/publications/technical-publications?field_publication_type_tid=369</vt:lpwstr>
      </vt:variant>
      <vt:variant>
        <vt:lpwstr/>
      </vt:variant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http://www.unep-aewa.org/en/publications/technical-publications?field_publication_type_tid=1417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nomination of new Technical Committee members and alternates</dc:title>
  <dc:subject/>
  <dc:creator>sdereliev</dc:creator>
  <cp:keywords/>
  <dc:description/>
  <cp:lastModifiedBy>Jeannine Dicken</cp:lastModifiedBy>
  <cp:revision>2</cp:revision>
  <cp:lastPrinted>2016-01-11T12:25:00Z</cp:lastPrinted>
  <dcterms:created xsi:type="dcterms:W3CDTF">2020-12-23T09:00:00Z</dcterms:created>
  <dcterms:modified xsi:type="dcterms:W3CDTF">2020-12-23T09:00:00Z</dcterms:modified>
</cp:coreProperties>
</file>