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0A1E" w14:textId="77777777" w:rsidR="005B2016" w:rsidRDefault="005B2016" w:rsidP="005B2016">
      <w:pPr>
        <w:widowControl w:val="0"/>
        <w:autoSpaceDE w:val="0"/>
        <w:autoSpaceDN w:val="0"/>
        <w:adjustRightInd w:val="0"/>
        <w:spacing w:line="276" w:lineRule="auto"/>
        <w:contextualSpacing/>
        <w:jc w:val="center"/>
        <w:rPr>
          <w:rFonts w:eastAsia="Calibri"/>
          <w:b/>
          <w:u w:val="single"/>
          <w:lang w:val="en-GB"/>
        </w:rPr>
      </w:pPr>
    </w:p>
    <w:p w14:paraId="589BE8D3" w14:textId="77777777" w:rsidR="005B2016" w:rsidRDefault="005B2016" w:rsidP="005B2016">
      <w:pPr>
        <w:widowControl w:val="0"/>
        <w:autoSpaceDE w:val="0"/>
        <w:autoSpaceDN w:val="0"/>
        <w:adjustRightInd w:val="0"/>
        <w:spacing w:line="276" w:lineRule="auto"/>
        <w:contextualSpacing/>
        <w:jc w:val="center"/>
        <w:rPr>
          <w:rFonts w:eastAsia="Calibri"/>
          <w:b/>
          <w:u w:val="single"/>
          <w:lang w:val="en-GB"/>
        </w:rPr>
      </w:pPr>
    </w:p>
    <w:p w14:paraId="7EEC01E7" w14:textId="5883F006" w:rsidR="005B2016" w:rsidRPr="005B2016" w:rsidRDefault="005B2016" w:rsidP="005B2016">
      <w:pPr>
        <w:widowControl w:val="0"/>
        <w:autoSpaceDE w:val="0"/>
        <w:autoSpaceDN w:val="0"/>
        <w:adjustRightInd w:val="0"/>
        <w:spacing w:line="276" w:lineRule="auto"/>
        <w:contextualSpacing/>
        <w:jc w:val="center"/>
        <w:rPr>
          <w:rFonts w:eastAsia="Calibri"/>
          <w:b/>
          <w:u w:val="single"/>
          <w:lang w:val="en-GB"/>
        </w:rPr>
      </w:pPr>
      <w:r w:rsidRPr="005B2016">
        <w:rPr>
          <w:rFonts w:eastAsia="Calibri"/>
          <w:b/>
          <w:u w:val="single"/>
          <w:lang w:val="en-GB"/>
        </w:rPr>
        <w:t xml:space="preserve">REPORT OF THE DEPOSITARY </w:t>
      </w:r>
    </w:p>
    <w:p w14:paraId="3F11E7F0" w14:textId="77777777" w:rsidR="005B2016" w:rsidRPr="005B2016" w:rsidRDefault="005B2016" w:rsidP="005B2016">
      <w:pPr>
        <w:widowControl w:val="0"/>
        <w:autoSpaceDE w:val="0"/>
        <w:autoSpaceDN w:val="0"/>
        <w:adjustRightInd w:val="0"/>
        <w:spacing w:line="276" w:lineRule="auto"/>
        <w:contextualSpacing/>
        <w:jc w:val="both"/>
        <w:rPr>
          <w:rFonts w:eastAsia="Calibri"/>
          <w:b/>
          <w:sz w:val="22"/>
          <w:szCs w:val="22"/>
          <w:lang w:val="en-GB"/>
        </w:rPr>
      </w:pPr>
    </w:p>
    <w:p w14:paraId="2CFBC71E" w14:textId="7349AFDD" w:rsidR="005B2016" w:rsidRPr="005B2016" w:rsidRDefault="005B2016" w:rsidP="005B2016">
      <w:pPr>
        <w:widowControl w:val="0"/>
        <w:autoSpaceDE w:val="0"/>
        <w:autoSpaceDN w:val="0"/>
        <w:adjustRightInd w:val="0"/>
        <w:spacing w:line="276" w:lineRule="auto"/>
        <w:contextualSpacing/>
        <w:jc w:val="both"/>
        <w:rPr>
          <w:rFonts w:eastAsia="Calibri"/>
          <w:sz w:val="22"/>
          <w:szCs w:val="22"/>
          <w:lang w:val="en-GB"/>
        </w:rPr>
      </w:pPr>
      <w:r w:rsidRPr="005B2016">
        <w:rPr>
          <w:rFonts w:eastAsia="Calibri"/>
          <w:sz w:val="22"/>
          <w:szCs w:val="22"/>
          <w:lang w:val="en-GB"/>
        </w:rPr>
        <w:t>This report provides the latest information on the accession of Range States to the Agreement and other depositary news following the 15</w:t>
      </w:r>
      <w:r w:rsidRPr="005B2016">
        <w:rPr>
          <w:rFonts w:eastAsia="Calibri"/>
          <w:sz w:val="22"/>
          <w:szCs w:val="22"/>
          <w:vertAlign w:val="superscript"/>
          <w:lang w:val="en-GB"/>
        </w:rPr>
        <w:t>th</w:t>
      </w:r>
      <w:r w:rsidRPr="005B2016">
        <w:rPr>
          <w:rFonts w:eastAsia="Calibri"/>
          <w:sz w:val="22"/>
          <w:szCs w:val="22"/>
          <w:lang w:val="en-GB"/>
        </w:rPr>
        <w:t xml:space="preserve"> Meeting of the Standing Committee of 11 - 13 December 2019 in Bristol.</w:t>
      </w:r>
    </w:p>
    <w:p w14:paraId="52129713" w14:textId="77777777" w:rsidR="005B2016" w:rsidRPr="005B2016" w:rsidRDefault="005B2016" w:rsidP="005B2016">
      <w:pPr>
        <w:widowControl w:val="0"/>
        <w:autoSpaceDE w:val="0"/>
        <w:autoSpaceDN w:val="0"/>
        <w:adjustRightInd w:val="0"/>
        <w:spacing w:line="276" w:lineRule="auto"/>
        <w:contextualSpacing/>
        <w:jc w:val="both"/>
        <w:rPr>
          <w:rFonts w:eastAsia="Calibri"/>
          <w:b/>
          <w:sz w:val="22"/>
          <w:szCs w:val="22"/>
          <w:lang w:val="en-GB"/>
        </w:rPr>
      </w:pPr>
    </w:p>
    <w:p w14:paraId="2E3A9131" w14:textId="77777777" w:rsidR="005B2016" w:rsidRPr="005B2016" w:rsidRDefault="005B2016" w:rsidP="005B2016">
      <w:pPr>
        <w:widowControl w:val="0"/>
        <w:autoSpaceDE w:val="0"/>
        <w:autoSpaceDN w:val="0"/>
        <w:adjustRightInd w:val="0"/>
        <w:spacing w:line="276" w:lineRule="auto"/>
        <w:contextualSpacing/>
        <w:jc w:val="both"/>
        <w:rPr>
          <w:rFonts w:eastAsia="Calibri"/>
          <w:b/>
          <w:sz w:val="22"/>
          <w:szCs w:val="22"/>
          <w:lang w:val="en-GB"/>
        </w:rPr>
      </w:pPr>
      <w:r w:rsidRPr="005B2016">
        <w:rPr>
          <w:rFonts w:eastAsia="Calibri"/>
          <w:b/>
          <w:sz w:val="22"/>
          <w:szCs w:val="22"/>
          <w:lang w:val="en-GB"/>
        </w:rPr>
        <w:t>ACCESSIONS OF RANGE STATES</w:t>
      </w:r>
    </w:p>
    <w:p w14:paraId="17E0BDC0" w14:textId="77777777" w:rsidR="005B2016" w:rsidRPr="005B2016" w:rsidRDefault="005B2016" w:rsidP="005B2016">
      <w:pPr>
        <w:widowControl w:val="0"/>
        <w:autoSpaceDE w:val="0"/>
        <w:autoSpaceDN w:val="0"/>
        <w:adjustRightInd w:val="0"/>
        <w:spacing w:line="276" w:lineRule="auto"/>
        <w:jc w:val="both"/>
        <w:rPr>
          <w:rFonts w:eastAsia="Calibri"/>
          <w:sz w:val="22"/>
          <w:szCs w:val="22"/>
          <w:lang w:val="en-GB"/>
        </w:rPr>
      </w:pPr>
      <w:r w:rsidRPr="005B2016">
        <w:rPr>
          <w:rFonts w:eastAsia="Calibri"/>
          <w:sz w:val="22"/>
          <w:szCs w:val="22"/>
          <w:lang w:val="en-GB"/>
        </w:rPr>
        <w:t>In 2020 Armenia and Turkmenistan acceded to the Agreement. The acceding states did not make any reservations at the moment of deposit of their instruments of accession.</w:t>
      </w:r>
    </w:p>
    <w:p w14:paraId="23DC2407" w14:textId="77777777" w:rsidR="005B2016" w:rsidRPr="005B2016" w:rsidRDefault="005B2016" w:rsidP="005B2016">
      <w:pPr>
        <w:pBdr>
          <w:bottom w:val="single" w:sz="18" w:space="0" w:color="FF8A00"/>
        </w:pBdr>
        <w:spacing w:before="100" w:beforeAutospacing="1" w:after="100" w:afterAutospacing="1" w:line="276" w:lineRule="auto"/>
        <w:jc w:val="both"/>
        <w:outlineLvl w:val="2"/>
        <w:rPr>
          <w:b/>
          <w:bCs/>
          <w:color w:val="E67C00"/>
          <w:sz w:val="22"/>
          <w:szCs w:val="22"/>
          <w:lang w:val="en-GB" w:eastAsia="nl-NL"/>
        </w:rPr>
      </w:pPr>
      <w:r w:rsidRPr="005B2016">
        <w:rPr>
          <w:b/>
          <w:bCs/>
          <w:color w:val="E67C00"/>
          <w:sz w:val="22"/>
          <w:szCs w:val="22"/>
          <w:lang w:val="en-GB" w:eastAsia="nl-NL"/>
        </w:rPr>
        <w:t xml:space="preserve">Parties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70"/>
        <w:gridCol w:w="3113"/>
        <w:gridCol w:w="3096"/>
      </w:tblGrid>
      <w:tr w:rsidR="005B2016" w:rsidRPr="005B2016" w14:paraId="6C25C6E7" w14:textId="77777777" w:rsidTr="00F72F40">
        <w:trPr>
          <w:tblHeader/>
        </w:trPr>
        <w:tc>
          <w:tcPr>
            <w:tcW w:w="1759" w:type="pct"/>
            <w:tcBorders>
              <w:bottom w:val="single" w:sz="6" w:space="0" w:color="FF8A00"/>
              <w:right w:val="single" w:sz="48" w:space="0" w:color="FFFFFF"/>
            </w:tcBorders>
            <w:shd w:val="clear" w:color="auto" w:fill="EAECEF"/>
            <w:tcMar>
              <w:top w:w="45" w:type="dxa"/>
              <w:left w:w="45" w:type="dxa"/>
              <w:bottom w:w="45" w:type="dxa"/>
              <w:right w:w="225" w:type="dxa"/>
            </w:tcMar>
            <w:hideMark/>
          </w:tcPr>
          <w:p w14:paraId="4F5ED9A3" w14:textId="77777777" w:rsidR="005B2016" w:rsidRPr="005B2016" w:rsidRDefault="005B2016" w:rsidP="005B2016">
            <w:pPr>
              <w:spacing w:after="375" w:line="276" w:lineRule="auto"/>
              <w:jc w:val="both"/>
              <w:rPr>
                <w:b/>
                <w:bCs/>
                <w:color w:val="E67C00"/>
                <w:sz w:val="22"/>
                <w:szCs w:val="22"/>
                <w:lang w:val="en-GB" w:eastAsia="nl-NL"/>
              </w:rPr>
            </w:pPr>
            <w:r w:rsidRPr="005B2016">
              <w:rPr>
                <w:b/>
                <w:bCs/>
                <w:color w:val="E67C00"/>
                <w:sz w:val="22"/>
                <w:szCs w:val="22"/>
                <w:lang w:val="en-GB" w:eastAsia="nl-NL"/>
              </w:rPr>
              <w:t>Party</w:t>
            </w:r>
          </w:p>
        </w:tc>
        <w:tc>
          <w:tcPr>
            <w:tcW w:w="1625" w:type="pct"/>
            <w:tcBorders>
              <w:bottom w:val="single" w:sz="6" w:space="0" w:color="FF8A00"/>
              <w:right w:val="single" w:sz="48" w:space="0" w:color="FFFFFF"/>
            </w:tcBorders>
            <w:shd w:val="clear" w:color="auto" w:fill="FFFFFF"/>
            <w:tcMar>
              <w:top w:w="45" w:type="dxa"/>
              <w:left w:w="0" w:type="dxa"/>
              <w:bottom w:w="45" w:type="dxa"/>
              <w:right w:w="225" w:type="dxa"/>
            </w:tcMar>
            <w:hideMark/>
          </w:tcPr>
          <w:p w14:paraId="04D02BCB" w14:textId="77777777" w:rsidR="005B2016" w:rsidRPr="005B2016" w:rsidRDefault="005B2016" w:rsidP="005B2016">
            <w:pPr>
              <w:spacing w:after="375" w:line="276" w:lineRule="auto"/>
              <w:jc w:val="both"/>
              <w:rPr>
                <w:b/>
                <w:bCs/>
                <w:color w:val="E67C00"/>
                <w:sz w:val="22"/>
                <w:szCs w:val="22"/>
                <w:lang w:val="en-GB" w:eastAsia="nl-NL"/>
              </w:rPr>
            </w:pPr>
            <w:r w:rsidRPr="005B2016">
              <w:rPr>
                <w:b/>
                <w:bCs/>
                <w:color w:val="E67C00"/>
                <w:sz w:val="22"/>
                <w:szCs w:val="22"/>
                <w:lang w:val="en-GB" w:eastAsia="nl-NL"/>
              </w:rPr>
              <w:t>Accession</w:t>
            </w:r>
          </w:p>
        </w:tc>
        <w:tc>
          <w:tcPr>
            <w:tcW w:w="1616" w:type="pct"/>
            <w:tcBorders>
              <w:bottom w:val="single" w:sz="6" w:space="0" w:color="FF8A00"/>
              <w:right w:val="single" w:sz="48" w:space="0" w:color="FFFFFF"/>
            </w:tcBorders>
            <w:shd w:val="clear" w:color="auto" w:fill="FFFFFF"/>
            <w:noWrap/>
            <w:tcMar>
              <w:top w:w="45" w:type="dxa"/>
              <w:left w:w="0" w:type="dxa"/>
              <w:bottom w:w="45" w:type="dxa"/>
              <w:right w:w="225" w:type="dxa"/>
            </w:tcMar>
            <w:hideMark/>
          </w:tcPr>
          <w:p w14:paraId="412CBB99" w14:textId="77777777" w:rsidR="005B2016" w:rsidRPr="005B2016" w:rsidRDefault="005B2016" w:rsidP="005B2016">
            <w:pPr>
              <w:spacing w:line="276" w:lineRule="auto"/>
              <w:jc w:val="both"/>
              <w:rPr>
                <w:b/>
                <w:bCs/>
                <w:color w:val="E67C00"/>
                <w:sz w:val="22"/>
                <w:szCs w:val="22"/>
                <w:lang w:val="en-GB" w:eastAsia="nl-NL"/>
              </w:rPr>
            </w:pPr>
            <w:r w:rsidRPr="005B2016">
              <w:rPr>
                <w:b/>
                <w:bCs/>
                <w:color w:val="E67C00"/>
                <w:sz w:val="22"/>
                <w:szCs w:val="22"/>
                <w:lang w:val="en-GB" w:eastAsia="nl-NL"/>
              </w:rPr>
              <w:t>Entry into force</w:t>
            </w:r>
          </w:p>
        </w:tc>
      </w:tr>
      <w:tr w:rsidR="005B2016" w:rsidRPr="005B2016" w14:paraId="49C9A833" w14:textId="77777777" w:rsidTr="00F72F40">
        <w:tc>
          <w:tcPr>
            <w:tcW w:w="1759" w:type="pct"/>
            <w:tcBorders>
              <w:bottom w:val="single" w:sz="6" w:space="0" w:color="E5E5E5"/>
              <w:right w:val="single" w:sz="48" w:space="0" w:color="FFFFFF"/>
            </w:tcBorders>
            <w:shd w:val="clear" w:color="auto" w:fill="EAECEF"/>
            <w:tcMar>
              <w:top w:w="45" w:type="dxa"/>
              <w:left w:w="45" w:type="dxa"/>
              <w:bottom w:w="45" w:type="dxa"/>
              <w:right w:w="225" w:type="dxa"/>
            </w:tcMar>
            <w:hideMark/>
          </w:tcPr>
          <w:p w14:paraId="004C8275" w14:textId="77777777" w:rsidR="005B2016" w:rsidRPr="005B2016" w:rsidRDefault="005B2016" w:rsidP="005B2016">
            <w:pPr>
              <w:spacing w:line="276" w:lineRule="auto"/>
              <w:jc w:val="both"/>
              <w:rPr>
                <w:sz w:val="22"/>
                <w:szCs w:val="22"/>
                <w:lang w:val="en-GB" w:eastAsia="nl-NL"/>
              </w:rPr>
            </w:pPr>
            <w:r w:rsidRPr="005B2016">
              <w:rPr>
                <w:sz w:val="22"/>
                <w:szCs w:val="22"/>
                <w:lang w:val="en-GB" w:eastAsia="nl-NL"/>
              </w:rPr>
              <w:t>Armenia</w:t>
            </w:r>
          </w:p>
        </w:tc>
        <w:tc>
          <w:tcPr>
            <w:tcW w:w="1625"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123583C5" w14:textId="77777777" w:rsidR="005B2016" w:rsidRPr="005B2016" w:rsidRDefault="005B2016" w:rsidP="005B2016">
            <w:pPr>
              <w:spacing w:line="276" w:lineRule="auto"/>
              <w:jc w:val="both"/>
              <w:rPr>
                <w:sz w:val="22"/>
                <w:szCs w:val="22"/>
                <w:lang w:val="en-GB" w:eastAsia="nl-NL"/>
              </w:rPr>
            </w:pPr>
            <w:r w:rsidRPr="005B2016">
              <w:rPr>
                <w:sz w:val="22"/>
                <w:szCs w:val="22"/>
                <w:lang w:val="en-GB" w:eastAsia="nl-NL"/>
              </w:rPr>
              <w:t xml:space="preserve"> 09-04-2020  </w:t>
            </w:r>
          </w:p>
        </w:tc>
        <w:tc>
          <w:tcPr>
            <w:tcW w:w="1616" w:type="pct"/>
            <w:tcBorders>
              <w:bottom w:val="single" w:sz="6" w:space="0" w:color="E5E5E5"/>
              <w:right w:val="single" w:sz="48" w:space="0" w:color="FFFFFF"/>
            </w:tcBorders>
            <w:shd w:val="clear" w:color="auto" w:fill="FFFFFF"/>
            <w:noWrap/>
            <w:tcMar>
              <w:top w:w="45" w:type="dxa"/>
              <w:left w:w="0" w:type="dxa"/>
              <w:bottom w:w="45" w:type="dxa"/>
              <w:right w:w="225" w:type="dxa"/>
            </w:tcMar>
            <w:hideMark/>
          </w:tcPr>
          <w:p w14:paraId="2A0CD810" w14:textId="77777777" w:rsidR="005B2016" w:rsidRPr="005B2016" w:rsidRDefault="005B2016" w:rsidP="005B2016">
            <w:pPr>
              <w:spacing w:line="276" w:lineRule="auto"/>
              <w:jc w:val="both"/>
              <w:rPr>
                <w:sz w:val="22"/>
                <w:szCs w:val="22"/>
                <w:lang w:val="en-GB" w:eastAsia="nl-NL"/>
              </w:rPr>
            </w:pPr>
            <w:r w:rsidRPr="005B2016">
              <w:rPr>
                <w:sz w:val="22"/>
                <w:szCs w:val="22"/>
                <w:lang w:val="en-GB" w:eastAsia="nl-NL"/>
              </w:rPr>
              <w:t xml:space="preserve"> 01-07-2020</w:t>
            </w:r>
          </w:p>
        </w:tc>
      </w:tr>
      <w:tr w:rsidR="005B2016" w:rsidRPr="005B2016" w14:paraId="0104FF3D" w14:textId="77777777" w:rsidTr="00F72F40">
        <w:tc>
          <w:tcPr>
            <w:tcW w:w="1759" w:type="pct"/>
            <w:tcBorders>
              <w:right w:val="single" w:sz="48" w:space="0" w:color="FFFFFF"/>
            </w:tcBorders>
            <w:shd w:val="clear" w:color="auto" w:fill="EAECEF"/>
            <w:tcMar>
              <w:top w:w="45" w:type="dxa"/>
              <w:left w:w="45" w:type="dxa"/>
              <w:bottom w:w="45" w:type="dxa"/>
              <w:right w:w="225" w:type="dxa"/>
            </w:tcMar>
            <w:hideMark/>
          </w:tcPr>
          <w:p w14:paraId="58467608" w14:textId="77777777" w:rsidR="005B2016" w:rsidRPr="005B2016" w:rsidRDefault="005B2016" w:rsidP="005B2016">
            <w:pPr>
              <w:spacing w:line="276" w:lineRule="auto"/>
              <w:jc w:val="both"/>
              <w:rPr>
                <w:sz w:val="22"/>
                <w:szCs w:val="22"/>
                <w:lang w:val="en-GB" w:eastAsia="nl-NL"/>
              </w:rPr>
            </w:pPr>
            <w:r w:rsidRPr="005B2016">
              <w:rPr>
                <w:sz w:val="22"/>
                <w:szCs w:val="22"/>
                <w:lang w:val="en-GB" w:eastAsia="nl-NL"/>
              </w:rPr>
              <w:t>Turkmenistan</w:t>
            </w:r>
          </w:p>
        </w:tc>
        <w:tc>
          <w:tcPr>
            <w:tcW w:w="1625" w:type="pct"/>
            <w:tcBorders>
              <w:right w:val="single" w:sz="48" w:space="0" w:color="FFFFFF"/>
            </w:tcBorders>
            <w:shd w:val="clear" w:color="auto" w:fill="FFFFFF"/>
            <w:noWrap/>
            <w:tcMar>
              <w:top w:w="45" w:type="dxa"/>
              <w:left w:w="0" w:type="dxa"/>
              <w:bottom w:w="45" w:type="dxa"/>
              <w:right w:w="225" w:type="dxa"/>
            </w:tcMar>
            <w:hideMark/>
          </w:tcPr>
          <w:p w14:paraId="222AF204" w14:textId="77777777" w:rsidR="005B2016" w:rsidRPr="005B2016" w:rsidRDefault="005B2016" w:rsidP="005B2016">
            <w:pPr>
              <w:spacing w:line="276" w:lineRule="auto"/>
              <w:jc w:val="both"/>
              <w:rPr>
                <w:sz w:val="22"/>
                <w:szCs w:val="22"/>
                <w:lang w:val="en-GB" w:eastAsia="nl-NL"/>
              </w:rPr>
            </w:pPr>
            <w:r w:rsidRPr="005B2016">
              <w:rPr>
                <w:sz w:val="22"/>
                <w:szCs w:val="22"/>
                <w:lang w:val="en-GB" w:eastAsia="nl-NL"/>
              </w:rPr>
              <w:t xml:space="preserve"> 27-10-2020 </w:t>
            </w:r>
          </w:p>
        </w:tc>
        <w:tc>
          <w:tcPr>
            <w:tcW w:w="1616" w:type="pct"/>
            <w:tcBorders>
              <w:right w:val="single" w:sz="48" w:space="0" w:color="FFFFFF"/>
            </w:tcBorders>
            <w:shd w:val="clear" w:color="auto" w:fill="FFFFFF"/>
            <w:noWrap/>
            <w:tcMar>
              <w:top w:w="45" w:type="dxa"/>
              <w:left w:w="0" w:type="dxa"/>
              <w:bottom w:w="45" w:type="dxa"/>
              <w:right w:w="225" w:type="dxa"/>
            </w:tcMar>
            <w:hideMark/>
          </w:tcPr>
          <w:p w14:paraId="64934683" w14:textId="77777777" w:rsidR="005B2016" w:rsidRPr="005B2016" w:rsidRDefault="005B2016" w:rsidP="005B2016">
            <w:pPr>
              <w:spacing w:line="276" w:lineRule="auto"/>
              <w:jc w:val="both"/>
              <w:rPr>
                <w:sz w:val="22"/>
                <w:szCs w:val="22"/>
                <w:lang w:val="en-GB" w:eastAsia="nl-NL"/>
              </w:rPr>
            </w:pPr>
            <w:r w:rsidRPr="005B2016">
              <w:rPr>
                <w:sz w:val="22"/>
                <w:szCs w:val="22"/>
                <w:lang w:val="en-GB" w:eastAsia="nl-NL"/>
              </w:rPr>
              <w:t xml:space="preserve"> 01-01-2021</w:t>
            </w:r>
          </w:p>
        </w:tc>
      </w:tr>
    </w:tbl>
    <w:p w14:paraId="37C06D00" w14:textId="77777777" w:rsidR="005B2016" w:rsidRPr="005B2016" w:rsidRDefault="005B2016" w:rsidP="005B2016">
      <w:pPr>
        <w:spacing w:line="276" w:lineRule="auto"/>
        <w:jc w:val="both"/>
        <w:rPr>
          <w:b/>
          <w:bCs/>
          <w:color w:val="000000"/>
          <w:sz w:val="22"/>
          <w:szCs w:val="22"/>
          <w:lang w:val="en-GB" w:eastAsia="nl-NL"/>
        </w:rPr>
      </w:pPr>
    </w:p>
    <w:p w14:paraId="6C22686C" w14:textId="77777777" w:rsidR="005B2016" w:rsidRPr="005B2016" w:rsidRDefault="005B2016" w:rsidP="005B2016">
      <w:pPr>
        <w:widowControl w:val="0"/>
        <w:autoSpaceDE w:val="0"/>
        <w:autoSpaceDN w:val="0"/>
        <w:adjustRightInd w:val="0"/>
        <w:spacing w:line="276" w:lineRule="auto"/>
        <w:jc w:val="both"/>
        <w:rPr>
          <w:rFonts w:eastAsia="Calibri"/>
          <w:b/>
          <w:sz w:val="22"/>
          <w:szCs w:val="22"/>
          <w:lang w:val="en-GB"/>
        </w:rPr>
      </w:pPr>
      <w:r w:rsidRPr="005B2016">
        <w:rPr>
          <w:rFonts w:eastAsia="Calibri"/>
          <w:b/>
          <w:sz w:val="22"/>
          <w:szCs w:val="22"/>
          <w:lang w:val="en-GB"/>
        </w:rPr>
        <w:t>ACCEPTANCE OF LATE RESERVATION TO AMENDMENTS ADOPTED DURING THE 7</w:t>
      </w:r>
      <w:r w:rsidRPr="005B2016">
        <w:rPr>
          <w:rFonts w:eastAsia="Calibri"/>
          <w:b/>
          <w:sz w:val="22"/>
          <w:szCs w:val="22"/>
          <w:vertAlign w:val="superscript"/>
          <w:lang w:val="en-GB"/>
        </w:rPr>
        <w:t>TH</w:t>
      </w:r>
      <w:r w:rsidRPr="005B2016">
        <w:rPr>
          <w:rFonts w:eastAsia="Calibri"/>
          <w:b/>
          <w:sz w:val="22"/>
          <w:szCs w:val="22"/>
          <w:lang w:val="en-GB"/>
        </w:rPr>
        <w:t xml:space="preserve"> MEETING OF THE PARTIES TO AEWA (MOP 7)</w:t>
      </w:r>
    </w:p>
    <w:p w14:paraId="7F0CF137" w14:textId="77777777" w:rsidR="005B2016" w:rsidRPr="005B2016" w:rsidRDefault="005B2016" w:rsidP="005B2016">
      <w:pPr>
        <w:widowControl w:val="0"/>
        <w:autoSpaceDE w:val="0"/>
        <w:autoSpaceDN w:val="0"/>
        <w:adjustRightInd w:val="0"/>
        <w:spacing w:line="276" w:lineRule="auto"/>
        <w:jc w:val="both"/>
        <w:rPr>
          <w:rFonts w:eastAsia="Calibri"/>
          <w:sz w:val="22"/>
          <w:szCs w:val="22"/>
          <w:lang w:val="en-GB"/>
        </w:rPr>
      </w:pPr>
    </w:p>
    <w:p w14:paraId="2E8EC018" w14:textId="77777777" w:rsidR="005B2016" w:rsidRPr="005B2016" w:rsidRDefault="005B2016" w:rsidP="005B2016">
      <w:pPr>
        <w:widowControl w:val="0"/>
        <w:autoSpaceDE w:val="0"/>
        <w:autoSpaceDN w:val="0"/>
        <w:adjustRightInd w:val="0"/>
        <w:spacing w:line="276" w:lineRule="auto"/>
        <w:jc w:val="both"/>
        <w:rPr>
          <w:rFonts w:eastAsia="Calibri"/>
          <w:sz w:val="22"/>
          <w:szCs w:val="22"/>
          <w:lang w:val="en-GB"/>
        </w:rPr>
      </w:pPr>
      <w:r w:rsidRPr="005B2016">
        <w:rPr>
          <w:rFonts w:eastAsia="Calibri"/>
          <w:sz w:val="22"/>
          <w:szCs w:val="22"/>
          <w:lang w:val="en-GB"/>
        </w:rPr>
        <w:t>The previous depositary report (December 2019) mentioned the late reservation deposited by the European Union concerning the amendments adopted during MOP 7, as well as how the depositary responded to the late reservation. It can now be reported that within the twelve-month objection period, n</w:t>
      </w:r>
      <w:r w:rsidRPr="005B2016">
        <w:rPr>
          <w:rFonts w:eastAsia="Calibri"/>
          <w:sz w:val="22"/>
          <w:szCs w:val="22"/>
        </w:rPr>
        <w:t xml:space="preserve">o objection on the part of any of the Parties, either to the late deposit of the EU reservation itself or to the chosen procedure, was received by the depositary. The EU reservation is thus deemed to have been accepted by the Parties to the Agreement as of the date on which it was made, as was communicated by means of </w:t>
      </w:r>
      <w:r w:rsidRPr="005B2016">
        <w:rPr>
          <w:rFonts w:eastAsia="Calibri"/>
          <w:sz w:val="22"/>
          <w:szCs w:val="22"/>
          <w:lang w:val="en-GB"/>
        </w:rPr>
        <w:t xml:space="preserve">Depositary Notification </w:t>
      </w:r>
      <w:hyperlink r:id="rId8" w:history="1">
        <w:r w:rsidRPr="005B2016">
          <w:rPr>
            <w:rFonts w:eastAsia="Calibri"/>
            <w:color w:val="0563C1"/>
            <w:sz w:val="22"/>
            <w:szCs w:val="22"/>
            <w:u w:val="single"/>
            <w:lang w:val="en-GB"/>
          </w:rPr>
          <w:t>Migratory Waterbirds No. 01/2020</w:t>
        </w:r>
      </w:hyperlink>
      <w:r w:rsidRPr="005B2016">
        <w:rPr>
          <w:rFonts w:eastAsia="Calibri"/>
          <w:sz w:val="22"/>
          <w:szCs w:val="22"/>
          <w:lang w:val="en-GB"/>
        </w:rPr>
        <w:t xml:space="preserve"> of 7 April 2020</w:t>
      </w:r>
      <w:r w:rsidRPr="005B2016">
        <w:rPr>
          <w:rFonts w:eastAsia="Calibri"/>
          <w:sz w:val="22"/>
          <w:szCs w:val="22"/>
        </w:rPr>
        <w:t xml:space="preserve">. </w:t>
      </w:r>
    </w:p>
    <w:p w14:paraId="356C2EF6" w14:textId="77777777" w:rsidR="005B2016" w:rsidRPr="005B2016" w:rsidRDefault="005B2016" w:rsidP="005B2016">
      <w:pPr>
        <w:autoSpaceDE w:val="0"/>
        <w:autoSpaceDN w:val="0"/>
        <w:adjustRightInd w:val="0"/>
        <w:spacing w:line="276" w:lineRule="auto"/>
        <w:rPr>
          <w:rFonts w:eastAsia="Calibri"/>
          <w:b/>
          <w:sz w:val="22"/>
          <w:szCs w:val="22"/>
        </w:rPr>
      </w:pPr>
    </w:p>
    <w:p w14:paraId="12526FD5" w14:textId="77777777" w:rsidR="005B2016" w:rsidRPr="005B2016" w:rsidRDefault="005B2016" w:rsidP="005B2016">
      <w:pPr>
        <w:autoSpaceDE w:val="0"/>
        <w:autoSpaceDN w:val="0"/>
        <w:adjustRightInd w:val="0"/>
        <w:spacing w:line="276" w:lineRule="auto"/>
        <w:rPr>
          <w:rFonts w:eastAsia="Calibri"/>
          <w:b/>
          <w:sz w:val="22"/>
          <w:szCs w:val="22"/>
        </w:rPr>
      </w:pPr>
      <w:r w:rsidRPr="005B2016">
        <w:rPr>
          <w:rFonts w:eastAsia="Calibri"/>
          <w:b/>
          <w:sz w:val="22"/>
          <w:szCs w:val="22"/>
        </w:rPr>
        <w:t>OTHER NEWS</w:t>
      </w:r>
    </w:p>
    <w:p w14:paraId="7F98F765" w14:textId="77777777" w:rsidR="005B2016" w:rsidRPr="005B2016" w:rsidRDefault="005B2016" w:rsidP="005B2016">
      <w:pPr>
        <w:widowControl w:val="0"/>
        <w:autoSpaceDE w:val="0"/>
        <w:autoSpaceDN w:val="0"/>
        <w:adjustRightInd w:val="0"/>
        <w:spacing w:line="276" w:lineRule="auto"/>
        <w:jc w:val="both"/>
        <w:rPr>
          <w:rFonts w:eastAsia="Calibri"/>
          <w:sz w:val="22"/>
          <w:szCs w:val="22"/>
          <w:lang w:val="en-GB"/>
        </w:rPr>
      </w:pPr>
    </w:p>
    <w:p w14:paraId="2A57E6A9" w14:textId="77777777" w:rsidR="005B2016" w:rsidRPr="005B2016" w:rsidRDefault="005B2016" w:rsidP="005B2016">
      <w:pPr>
        <w:widowControl w:val="0"/>
        <w:autoSpaceDE w:val="0"/>
        <w:autoSpaceDN w:val="0"/>
        <w:adjustRightInd w:val="0"/>
        <w:spacing w:line="276" w:lineRule="auto"/>
        <w:jc w:val="both"/>
        <w:rPr>
          <w:rFonts w:eastAsia="Calibri"/>
          <w:sz w:val="22"/>
          <w:szCs w:val="22"/>
          <w:lang w:val="en-GB"/>
        </w:rPr>
      </w:pPr>
      <w:r w:rsidRPr="005B2016">
        <w:rPr>
          <w:rFonts w:eastAsia="Calibri"/>
          <w:sz w:val="22"/>
          <w:szCs w:val="22"/>
          <w:lang w:val="en-GB"/>
        </w:rPr>
        <w:t xml:space="preserve">By means of Depositary Notification </w:t>
      </w:r>
      <w:hyperlink r:id="rId9" w:history="1">
        <w:r w:rsidRPr="005B2016">
          <w:rPr>
            <w:rFonts w:eastAsia="Calibri"/>
            <w:color w:val="0563C1"/>
            <w:sz w:val="22"/>
            <w:szCs w:val="22"/>
            <w:u w:val="single"/>
            <w:lang w:val="en-GB"/>
          </w:rPr>
          <w:t>Migratory Waterbirds No. 03/2020</w:t>
        </w:r>
      </w:hyperlink>
      <w:r w:rsidRPr="005B2016">
        <w:rPr>
          <w:rFonts w:eastAsia="Calibri"/>
          <w:sz w:val="22"/>
          <w:szCs w:val="22"/>
          <w:lang w:val="en-GB"/>
        </w:rPr>
        <w:t xml:space="preserve"> of 7 May 2020, the depositary published the consolidated Russian version of the Agreement, including Annexes and Table, as in force since 8 March 2019.</w:t>
      </w:r>
    </w:p>
    <w:p w14:paraId="0938BCBC" w14:textId="77777777" w:rsidR="005B2016" w:rsidRPr="005B2016" w:rsidRDefault="005B2016" w:rsidP="005B2016">
      <w:pPr>
        <w:autoSpaceDE w:val="0"/>
        <w:autoSpaceDN w:val="0"/>
        <w:adjustRightInd w:val="0"/>
        <w:spacing w:line="276" w:lineRule="auto"/>
        <w:rPr>
          <w:rFonts w:eastAsia="Calibri"/>
          <w:sz w:val="22"/>
          <w:szCs w:val="22"/>
        </w:rPr>
      </w:pPr>
    </w:p>
    <w:p w14:paraId="60AD3BE1" w14:textId="77777777" w:rsidR="005B2016" w:rsidRPr="005B2016" w:rsidRDefault="005B2016" w:rsidP="005B2016">
      <w:pPr>
        <w:autoSpaceDE w:val="0"/>
        <w:autoSpaceDN w:val="0"/>
        <w:adjustRightInd w:val="0"/>
        <w:spacing w:line="276" w:lineRule="auto"/>
        <w:rPr>
          <w:rFonts w:eastAsia="Calibri"/>
          <w:b/>
          <w:sz w:val="22"/>
          <w:szCs w:val="22"/>
        </w:rPr>
      </w:pPr>
      <w:r w:rsidRPr="005B2016">
        <w:rPr>
          <w:rFonts w:eastAsia="Calibri"/>
          <w:b/>
          <w:sz w:val="22"/>
          <w:szCs w:val="22"/>
        </w:rPr>
        <w:t xml:space="preserve">TREATY DATABASE </w:t>
      </w:r>
    </w:p>
    <w:p w14:paraId="70DF20CB" w14:textId="77777777" w:rsidR="005B2016" w:rsidRPr="005B2016" w:rsidRDefault="005B2016" w:rsidP="005B2016">
      <w:pPr>
        <w:autoSpaceDE w:val="0"/>
        <w:autoSpaceDN w:val="0"/>
        <w:adjustRightInd w:val="0"/>
        <w:spacing w:line="276" w:lineRule="auto"/>
        <w:rPr>
          <w:rFonts w:eastAsia="Calibri"/>
          <w:sz w:val="22"/>
          <w:szCs w:val="22"/>
        </w:rPr>
      </w:pPr>
    </w:p>
    <w:p w14:paraId="4216FEFC" w14:textId="68E9DCD4" w:rsidR="0087707B" w:rsidRPr="005B2016" w:rsidRDefault="005B2016" w:rsidP="005B2016">
      <w:pPr>
        <w:autoSpaceDE w:val="0"/>
        <w:autoSpaceDN w:val="0"/>
        <w:adjustRightInd w:val="0"/>
        <w:spacing w:line="276" w:lineRule="auto"/>
        <w:rPr>
          <w:rFonts w:eastAsia="Calibri"/>
          <w:sz w:val="22"/>
          <w:szCs w:val="22"/>
        </w:rPr>
      </w:pPr>
      <w:r w:rsidRPr="005B2016">
        <w:rPr>
          <w:rFonts w:eastAsia="Calibri"/>
          <w:sz w:val="22"/>
          <w:szCs w:val="22"/>
        </w:rPr>
        <w:t>The depositary kindly refers the Parties to the Treaty Database of the Kingdom of the Netherlands, where all the relevant information of the Agreement, including all the depositary notifications, certified true copies and an up to date list of Parties, can be found:</w:t>
      </w:r>
      <w:r>
        <w:rPr>
          <w:rFonts w:eastAsia="Calibri"/>
          <w:sz w:val="22"/>
          <w:szCs w:val="22"/>
        </w:rPr>
        <w:t xml:space="preserve"> </w:t>
      </w:r>
      <w:hyperlink r:id="rId10" w:history="1">
        <w:r w:rsidRPr="00825179">
          <w:rPr>
            <w:rStyle w:val="Hyperlink"/>
            <w:rFonts w:eastAsia="Calibri"/>
            <w:sz w:val="22"/>
            <w:szCs w:val="22"/>
            <w:lang w:val="en-GB"/>
          </w:rPr>
          <w:t>https://verdragenbank.overheid.nl/en/Treaty/Details/007342.html</w:t>
        </w:r>
      </w:hyperlink>
    </w:p>
    <w:sectPr w:rsidR="0087707B" w:rsidRPr="005B2016" w:rsidSect="000C7C68">
      <w:footerReference w:type="even" r:id="rId11"/>
      <w:footerReference w:type="default" r:id="rId12"/>
      <w:headerReference w:type="first" r:id="rId13"/>
      <w:pgSz w:w="11907" w:h="16840" w:code="9"/>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F643" w14:textId="77777777" w:rsidR="008D48A9" w:rsidRDefault="008D48A9">
      <w:r>
        <w:separator/>
      </w:r>
    </w:p>
  </w:endnote>
  <w:endnote w:type="continuationSeparator" w:id="0">
    <w:p w14:paraId="7C41DEF0" w14:textId="77777777" w:rsidR="008D48A9" w:rsidRDefault="008D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0050" w14:textId="77777777" w:rsidR="008D48A9" w:rsidRDefault="008D48A9">
      <w:r>
        <w:separator/>
      </w:r>
    </w:p>
  </w:footnote>
  <w:footnote w:type="continuationSeparator" w:id="0">
    <w:p w14:paraId="5B5BCC1C" w14:textId="77777777" w:rsidR="008D48A9" w:rsidRDefault="008D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EC0B00" w:rsidRPr="001575B2" w14:paraId="322848BC" w14:textId="77777777" w:rsidTr="0087707B">
      <w:trPr>
        <w:trHeight w:val="1256"/>
      </w:trPr>
      <w:tc>
        <w:tcPr>
          <w:tcW w:w="2406" w:type="dxa"/>
        </w:tcPr>
        <w:p w14:paraId="6A1CFBBC" w14:textId="77777777" w:rsidR="00EC0B00" w:rsidRDefault="00EC0B00" w:rsidP="004B57A6">
          <w:r>
            <w:rPr>
              <w:noProof/>
              <w:lang w:val="de-DE" w:eastAsia="de-DE"/>
            </w:rPr>
            <w:drawing>
              <wp:inline distT="0" distB="0" distL="0" distR="0" wp14:anchorId="60E27989" wp14:editId="6B5D5F86">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59A562F6" w14:textId="77777777" w:rsidR="00F63E2C" w:rsidRDefault="00F63E2C" w:rsidP="00F63E2C">
          <w:pPr>
            <w:jc w:val="center"/>
            <w:rPr>
              <w:i/>
              <w:sz w:val="22"/>
              <w:szCs w:val="22"/>
              <w:lang w:val="en-GB"/>
            </w:rPr>
          </w:pPr>
          <w:r>
            <w:rPr>
              <w:i/>
              <w:sz w:val="22"/>
              <w:szCs w:val="22"/>
              <w:lang w:val="en-GB"/>
            </w:rPr>
            <w:t>AGREEMENT ON THE CONSERVATION OF</w:t>
          </w:r>
        </w:p>
        <w:p w14:paraId="0BD906C9" w14:textId="66866D8B" w:rsidR="00EC0B00" w:rsidRPr="007E1121" w:rsidRDefault="00F63E2C" w:rsidP="00F63E2C">
          <w:pPr>
            <w:jc w:val="center"/>
          </w:pPr>
          <w:r>
            <w:rPr>
              <w:i/>
              <w:sz w:val="22"/>
              <w:szCs w:val="22"/>
              <w:lang w:val="en-GB"/>
            </w:rPr>
            <w:t>AFRICAN-EURASIAN MIGRATORY WATERBIRDS</w:t>
          </w:r>
        </w:p>
      </w:tc>
      <w:tc>
        <w:tcPr>
          <w:tcW w:w="2505" w:type="dxa"/>
        </w:tcPr>
        <w:p w14:paraId="1FE60764" w14:textId="6CEE05E2" w:rsidR="00EC0B00" w:rsidRPr="001575B2" w:rsidRDefault="00EC0B00" w:rsidP="004B57A6">
          <w:pPr>
            <w:jc w:val="right"/>
            <w:rPr>
              <w:bCs/>
              <w:i/>
              <w:iCs/>
              <w:sz w:val="20"/>
              <w:szCs w:val="20"/>
            </w:rPr>
          </w:pPr>
          <w:r w:rsidRPr="001575B2">
            <w:rPr>
              <w:i/>
              <w:iCs/>
              <w:sz w:val="20"/>
              <w:szCs w:val="20"/>
            </w:rPr>
            <w:t xml:space="preserve">Doc </w:t>
          </w:r>
          <w:r w:rsidR="00253E85">
            <w:rPr>
              <w:i/>
              <w:iCs/>
              <w:sz w:val="20"/>
              <w:szCs w:val="20"/>
            </w:rPr>
            <w:t>AEWA/</w:t>
          </w:r>
          <w:proofErr w:type="spellStart"/>
          <w:r w:rsidRPr="001575B2">
            <w:rPr>
              <w:i/>
              <w:iCs/>
              <w:sz w:val="20"/>
              <w:szCs w:val="20"/>
            </w:rPr>
            <w:t>StC</w:t>
          </w:r>
          <w:proofErr w:type="spellEnd"/>
          <w:r w:rsidRPr="001575B2">
            <w:rPr>
              <w:i/>
              <w:iCs/>
              <w:sz w:val="20"/>
              <w:szCs w:val="20"/>
            </w:rPr>
            <w:t xml:space="preserve"> </w:t>
          </w:r>
          <w:r w:rsidR="009F5C64">
            <w:rPr>
              <w:i/>
              <w:iCs/>
              <w:sz w:val="20"/>
              <w:szCs w:val="20"/>
            </w:rPr>
            <w:t>1</w:t>
          </w:r>
          <w:r w:rsidR="00884051">
            <w:rPr>
              <w:i/>
              <w:iCs/>
              <w:sz w:val="20"/>
              <w:szCs w:val="20"/>
            </w:rPr>
            <w:t>6</w:t>
          </w:r>
          <w:r w:rsidRPr="001575B2">
            <w:rPr>
              <w:i/>
              <w:iCs/>
              <w:sz w:val="20"/>
              <w:szCs w:val="20"/>
            </w:rPr>
            <w:t>.</w:t>
          </w:r>
          <w:r w:rsidR="005B2016">
            <w:rPr>
              <w:i/>
              <w:iCs/>
              <w:sz w:val="20"/>
              <w:szCs w:val="20"/>
            </w:rPr>
            <w:t>4</w:t>
          </w:r>
        </w:p>
        <w:p w14:paraId="56B64DE9" w14:textId="4897DA49" w:rsidR="00EC0B00" w:rsidRPr="001575B2" w:rsidRDefault="00EC0B00" w:rsidP="004B57A6">
          <w:pPr>
            <w:jc w:val="right"/>
            <w:rPr>
              <w:bCs/>
              <w:i/>
              <w:iCs/>
              <w:sz w:val="20"/>
              <w:szCs w:val="20"/>
            </w:rPr>
          </w:pPr>
          <w:r w:rsidRPr="001575B2">
            <w:rPr>
              <w:i/>
              <w:iCs/>
              <w:sz w:val="20"/>
              <w:szCs w:val="20"/>
            </w:rPr>
            <w:t xml:space="preserve">Agenda item </w:t>
          </w:r>
          <w:r w:rsidR="005B2016">
            <w:rPr>
              <w:i/>
              <w:iCs/>
              <w:sz w:val="20"/>
              <w:szCs w:val="20"/>
            </w:rPr>
            <w:t>4c</w:t>
          </w:r>
        </w:p>
        <w:p w14:paraId="2AD7C188" w14:textId="05212FCE" w:rsidR="00EC0B00" w:rsidRPr="001575B2" w:rsidRDefault="005B2016" w:rsidP="001C5919">
          <w:pPr>
            <w:jc w:val="right"/>
          </w:pPr>
          <w:r>
            <w:rPr>
              <w:i/>
              <w:iCs/>
              <w:sz w:val="20"/>
              <w:szCs w:val="20"/>
            </w:rPr>
            <w:t>26 March</w:t>
          </w:r>
          <w:r w:rsidR="009F5C64" w:rsidRPr="001C5919">
            <w:rPr>
              <w:i/>
              <w:iCs/>
              <w:sz w:val="20"/>
              <w:szCs w:val="20"/>
            </w:rPr>
            <w:t xml:space="preserve"> 20</w:t>
          </w:r>
          <w:r w:rsidR="00884051">
            <w:rPr>
              <w:i/>
              <w:iCs/>
              <w:sz w:val="20"/>
              <w:szCs w:val="20"/>
            </w:rPr>
            <w:t>21</w:t>
          </w:r>
        </w:p>
      </w:tc>
    </w:tr>
    <w:tr w:rsidR="00EC0B00" w14:paraId="5B2052DB" w14:textId="77777777" w:rsidTr="0087707B">
      <w:tc>
        <w:tcPr>
          <w:tcW w:w="10491" w:type="dxa"/>
          <w:gridSpan w:val="3"/>
        </w:tcPr>
        <w:p w14:paraId="4E7B3554" w14:textId="11C3BAF4" w:rsidR="00EC0B00" w:rsidRPr="007C0034" w:rsidRDefault="00AD6A77" w:rsidP="004B57A6">
          <w:pPr>
            <w:pStyle w:val="BodyText2"/>
            <w:jc w:val="center"/>
            <w:rPr>
              <w:b/>
              <w:bCs/>
              <w:caps/>
              <w:sz w:val="26"/>
              <w:szCs w:val="26"/>
            </w:rPr>
          </w:pPr>
          <w:r>
            <w:rPr>
              <w:b/>
              <w:bCs/>
              <w:caps/>
              <w:sz w:val="26"/>
              <w:szCs w:val="26"/>
            </w:rPr>
            <w:t>1</w:t>
          </w:r>
          <w:r w:rsidR="00884051">
            <w:rPr>
              <w:b/>
              <w:bCs/>
              <w:caps/>
              <w:sz w:val="26"/>
              <w:szCs w:val="26"/>
            </w:rPr>
            <w:t>6</w:t>
          </w:r>
          <w:r w:rsidRPr="00FD35E3">
            <w:rPr>
              <w:b/>
              <w:bCs/>
              <w:sz w:val="26"/>
              <w:szCs w:val="26"/>
              <w:vertAlign w:val="superscript"/>
            </w:rPr>
            <w:t>th</w:t>
          </w:r>
          <w:r>
            <w:rPr>
              <w:b/>
              <w:bCs/>
              <w:caps/>
              <w:sz w:val="26"/>
              <w:szCs w:val="26"/>
            </w:rPr>
            <w:t xml:space="preserve"> </w:t>
          </w:r>
          <w:r w:rsidR="00EC0B00" w:rsidRPr="007C0034">
            <w:rPr>
              <w:b/>
              <w:bCs/>
              <w:caps/>
              <w:sz w:val="26"/>
              <w:szCs w:val="26"/>
            </w:rPr>
            <w:t>Meeting of the STANDING COMMITTEE</w:t>
          </w:r>
        </w:p>
        <w:p w14:paraId="67B9B9F8" w14:textId="1E02D9A9" w:rsidR="00EC0B00" w:rsidRPr="000017B4" w:rsidRDefault="00884051" w:rsidP="001860C4">
          <w:pPr>
            <w:jc w:val="center"/>
            <w:rPr>
              <w:i/>
            </w:rPr>
          </w:pPr>
          <w:r>
            <w:rPr>
              <w:i/>
              <w:iCs/>
            </w:rPr>
            <w:t>4</w:t>
          </w:r>
          <w:r w:rsidR="00F50D36">
            <w:rPr>
              <w:i/>
              <w:iCs/>
            </w:rPr>
            <w:t>-</w:t>
          </w:r>
          <w:r>
            <w:rPr>
              <w:i/>
              <w:iCs/>
            </w:rPr>
            <w:t>6</w:t>
          </w:r>
          <w:r w:rsidR="000734CA" w:rsidRPr="001C5919">
            <w:rPr>
              <w:i/>
              <w:iCs/>
            </w:rPr>
            <w:t xml:space="preserve"> </w:t>
          </w:r>
          <w:r>
            <w:rPr>
              <w:i/>
              <w:iCs/>
            </w:rPr>
            <w:t>May</w:t>
          </w:r>
          <w:r w:rsidR="00EC0B00" w:rsidRPr="001C5919">
            <w:rPr>
              <w:i/>
              <w:iCs/>
            </w:rPr>
            <w:t xml:space="preserve"> 20</w:t>
          </w:r>
          <w:r>
            <w:rPr>
              <w:i/>
              <w:iCs/>
            </w:rPr>
            <w:t>21</w:t>
          </w:r>
          <w:r w:rsidR="00EC0B00" w:rsidRPr="001C5919">
            <w:rPr>
              <w:i/>
              <w:iCs/>
            </w:rPr>
            <w:t xml:space="preserve">, </w:t>
          </w:r>
          <w:r w:rsidR="0040315B">
            <w:rPr>
              <w:i/>
              <w:iCs/>
            </w:rPr>
            <w:t>Virtual M</w:t>
          </w:r>
          <w:r w:rsidR="00D22E64">
            <w:rPr>
              <w:i/>
              <w:iCs/>
            </w:rPr>
            <w:t>eeting</w:t>
          </w:r>
          <w:r w:rsidR="00F50D36">
            <w:rPr>
              <w:i/>
              <w:iCs/>
            </w:rPr>
            <w:t xml:space="preserve"> </w:t>
          </w:r>
          <w:r w:rsidR="0040315B">
            <w:rPr>
              <w:i/>
              <w:iCs/>
            </w:rPr>
            <w:t>F</w:t>
          </w:r>
          <w:r>
            <w:rPr>
              <w:i/>
              <w:iCs/>
            </w:rPr>
            <w:t>ormat</w:t>
          </w:r>
        </w:p>
      </w:tc>
    </w:tr>
    <w:tr w:rsidR="00EC0B00" w14:paraId="5CA5D1B2" w14:textId="77777777" w:rsidTr="00145E99">
      <w:trPr>
        <w:trHeight w:val="270"/>
      </w:trPr>
      <w:tc>
        <w:tcPr>
          <w:tcW w:w="10491" w:type="dxa"/>
          <w:gridSpan w:val="3"/>
          <w:vAlign w:val="center"/>
        </w:tcPr>
        <w:p w14:paraId="02178DC1" w14:textId="77777777" w:rsidR="00EC0B00" w:rsidRPr="00365117" w:rsidRDefault="00EC0B00" w:rsidP="00145E99">
          <w:pPr>
            <w:pStyle w:val="BodyText2"/>
            <w:rPr>
              <w:bCs/>
              <w:i/>
              <w:lang w:val="en-US"/>
            </w:rPr>
          </w:pPr>
        </w:p>
      </w:tc>
    </w:tr>
  </w:tbl>
  <w:p w14:paraId="606A766D" w14:textId="77777777" w:rsidR="00EC0B00" w:rsidRDefault="00EC0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4"/>
  </w:num>
  <w:num w:numId="5">
    <w:abstractNumId w:val="10"/>
  </w:num>
  <w:num w:numId="6">
    <w:abstractNumId w:val="1"/>
  </w:num>
  <w:num w:numId="7">
    <w:abstractNumId w:val="17"/>
  </w:num>
  <w:num w:numId="8">
    <w:abstractNumId w:val="7"/>
  </w:num>
  <w:num w:numId="9">
    <w:abstractNumId w:val="4"/>
  </w:num>
  <w:num w:numId="10">
    <w:abstractNumId w:val="3"/>
  </w:num>
  <w:num w:numId="11">
    <w:abstractNumId w:val="2"/>
  </w:num>
  <w:num w:numId="12">
    <w:abstractNumId w:val="12"/>
  </w:num>
  <w:num w:numId="13">
    <w:abstractNumId w:val="6"/>
  </w:num>
  <w:num w:numId="14">
    <w:abstractNumId w:val="11"/>
  </w:num>
  <w:num w:numId="15">
    <w:abstractNumId w:val="8"/>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45E99"/>
    <w:rsid w:val="00147B09"/>
    <w:rsid w:val="001524B5"/>
    <w:rsid w:val="001575B2"/>
    <w:rsid w:val="00167D59"/>
    <w:rsid w:val="00182DCC"/>
    <w:rsid w:val="001860C4"/>
    <w:rsid w:val="00186687"/>
    <w:rsid w:val="00193EB2"/>
    <w:rsid w:val="00196E67"/>
    <w:rsid w:val="00196FDD"/>
    <w:rsid w:val="001A00B6"/>
    <w:rsid w:val="001B1538"/>
    <w:rsid w:val="001B186D"/>
    <w:rsid w:val="001B6546"/>
    <w:rsid w:val="001C5919"/>
    <w:rsid w:val="001D21F7"/>
    <w:rsid w:val="001E72CB"/>
    <w:rsid w:val="001F1D9A"/>
    <w:rsid w:val="001F59EF"/>
    <w:rsid w:val="00200A23"/>
    <w:rsid w:val="00206C45"/>
    <w:rsid w:val="00207325"/>
    <w:rsid w:val="002364D1"/>
    <w:rsid w:val="00253E85"/>
    <w:rsid w:val="00264C60"/>
    <w:rsid w:val="0027676B"/>
    <w:rsid w:val="002773FA"/>
    <w:rsid w:val="00286103"/>
    <w:rsid w:val="002A3D00"/>
    <w:rsid w:val="002C1B48"/>
    <w:rsid w:val="002D1CC3"/>
    <w:rsid w:val="002E28DA"/>
    <w:rsid w:val="002E4C1F"/>
    <w:rsid w:val="002E6092"/>
    <w:rsid w:val="002F0141"/>
    <w:rsid w:val="002F4C1E"/>
    <w:rsid w:val="002F7147"/>
    <w:rsid w:val="00301571"/>
    <w:rsid w:val="00303606"/>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D4276"/>
    <w:rsid w:val="003E0DB9"/>
    <w:rsid w:val="0040315B"/>
    <w:rsid w:val="00407D1C"/>
    <w:rsid w:val="004313BF"/>
    <w:rsid w:val="0043278D"/>
    <w:rsid w:val="00433BF4"/>
    <w:rsid w:val="004370A6"/>
    <w:rsid w:val="00446782"/>
    <w:rsid w:val="00451ADC"/>
    <w:rsid w:val="004623B2"/>
    <w:rsid w:val="00476CF7"/>
    <w:rsid w:val="00497689"/>
    <w:rsid w:val="004A7F49"/>
    <w:rsid w:val="004B2A81"/>
    <w:rsid w:val="004B57A6"/>
    <w:rsid w:val="004B75C0"/>
    <w:rsid w:val="004C7522"/>
    <w:rsid w:val="004F3152"/>
    <w:rsid w:val="004F4E6A"/>
    <w:rsid w:val="004F71B1"/>
    <w:rsid w:val="00511343"/>
    <w:rsid w:val="00517C62"/>
    <w:rsid w:val="00526654"/>
    <w:rsid w:val="005426DD"/>
    <w:rsid w:val="005564EA"/>
    <w:rsid w:val="00561AE1"/>
    <w:rsid w:val="00564C82"/>
    <w:rsid w:val="00567628"/>
    <w:rsid w:val="00575367"/>
    <w:rsid w:val="005970C7"/>
    <w:rsid w:val="005B2016"/>
    <w:rsid w:val="005D54ED"/>
    <w:rsid w:val="005E62BD"/>
    <w:rsid w:val="005F11C9"/>
    <w:rsid w:val="005F1841"/>
    <w:rsid w:val="005F79E9"/>
    <w:rsid w:val="00601118"/>
    <w:rsid w:val="006048E5"/>
    <w:rsid w:val="006075EE"/>
    <w:rsid w:val="00611ADF"/>
    <w:rsid w:val="006122CD"/>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70257F"/>
    <w:rsid w:val="00703647"/>
    <w:rsid w:val="00704B4A"/>
    <w:rsid w:val="00710C7F"/>
    <w:rsid w:val="00723BA5"/>
    <w:rsid w:val="00770565"/>
    <w:rsid w:val="0077760E"/>
    <w:rsid w:val="00786AF1"/>
    <w:rsid w:val="00792FD1"/>
    <w:rsid w:val="0079698D"/>
    <w:rsid w:val="007A2975"/>
    <w:rsid w:val="007C0034"/>
    <w:rsid w:val="007D5C0B"/>
    <w:rsid w:val="007E054A"/>
    <w:rsid w:val="007E1121"/>
    <w:rsid w:val="007E17FD"/>
    <w:rsid w:val="007E5503"/>
    <w:rsid w:val="007F2881"/>
    <w:rsid w:val="007F376F"/>
    <w:rsid w:val="008026BD"/>
    <w:rsid w:val="008115B4"/>
    <w:rsid w:val="0082215E"/>
    <w:rsid w:val="008235E1"/>
    <w:rsid w:val="0083280E"/>
    <w:rsid w:val="008565D4"/>
    <w:rsid w:val="00862FB4"/>
    <w:rsid w:val="008650A4"/>
    <w:rsid w:val="00875A6D"/>
    <w:rsid w:val="0087707B"/>
    <w:rsid w:val="00880D7C"/>
    <w:rsid w:val="00884051"/>
    <w:rsid w:val="008B3285"/>
    <w:rsid w:val="008D305B"/>
    <w:rsid w:val="008D48A9"/>
    <w:rsid w:val="008D6E84"/>
    <w:rsid w:val="008F0DEA"/>
    <w:rsid w:val="008F4E75"/>
    <w:rsid w:val="00903E6E"/>
    <w:rsid w:val="00907DE9"/>
    <w:rsid w:val="009131DC"/>
    <w:rsid w:val="009164F2"/>
    <w:rsid w:val="00916FB7"/>
    <w:rsid w:val="00960705"/>
    <w:rsid w:val="0096757D"/>
    <w:rsid w:val="0096780E"/>
    <w:rsid w:val="009703F0"/>
    <w:rsid w:val="00990AB9"/>
    <w:rsid w:val="009A3356"/>
    <w:rsid w:val="009B352F"/>
    <w:rsid w:val="009C7E36"/>
    <w:rsid w:val="009E320C"/>
    <w:rsid w:val="009E5168"/>
    <w:rsid w:val="009F5C64"/>
    <w:rsid w:val="009F6DE5"/>
    <w:rsid w:val="00A13B54"/>
    <w:rsid w:val="00A207CF"/>
    <w:rsid w:val="00A36A12"/>
    <w:rsid w:val="00A43C8F"/>
    <w:rsid w:val="00A45D79"/>
    <w:rsid w:val="00A659BF"/>
    <w:rsid w:val="00A84DF2"/>
    <w:rsid w:val="00A86EF9"/>
    <w:rsid w:val="00AB2BA4"/>
    <w:rsid w:val="00AC55DC"/>
    <w:rsid w:val="00AD6A77"/>
    <w:rsid w:val="00AE4FDE"/>
    <w:rsid w:val="00B01E05"/>
    <w:rsid w:val="00B04408"/>
    <w:rsid w:val="00B30BE0"/>
    <w:rsid w:val="00B37692"/>
    <w:rsid w:val="00B37E95"/>
    <w:rsid w:val="00B40C42"/>
    <w:rsid w:val="00B56DEB"/>
    <w:rsid w:val="00B61FA1"/>
    <w:rsid w:val="00B66A27"/>
    <w:rsid w:val="00B71F68"/>
    <w:rsid w:val="00B74D13"/>
    <w:rsid w:val="00B76565"/>
    <w:rsid w:val="00B96ADC"/>
    <w:rsid w:val="00B97F1B"/>
    <w:rsid w:val="00BA39A7"/>
    <w:rsid w:val="00BA505E"/>
    <w:rsid w:val="00BA790F"/>
    <w:rsid w:val="00BB60C5"/>
    <w:rsid w:val="00BC39F4"/>
    <w:rsid w:val="00BC6FFD"/>
    <w:rsid w:val="00BD17AE"/>
    <w:rsid w:val="00C10107"/>
    <w:rsid w:val="00C31A30"/>
    <w:rsid w:val="00C31CA8"/>
    <w:rsid w:val="00C36FD2"/>
    <w:rsid w:val="00C37179"/>
    <w:rsid w:val="00C52BF2"/>
    <w:rsid w:val="00C62C75"/>
    <w:rsid w:val="00C645F5"/>
    <w:rsid w:val="00C65168"/>
    <w:rsid w:val="00C72EF1"/>
    <w:rsid w:val="00C83EC9"/>
    <w:rsid w:val="00CA0009"/>
    <w:rsid w:val="00CB0359"/>
    <w:rsid w:val="00CB1CAA"/>
    <w:rsid w:val="00CC09E3"/>
    <w:rsid w:val="00CC3F9D"/>
    <w:rsid w:val="00CC509F"/>
    <w:rsid w:val="00CF5F07"/>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719DA"/>
    <w:rsid w:val="00E7532A"/>
    <w:rsid w:val="00E8634F"/>
    <w:rsid w:val="00E965A8"/>
    <w:rsid w:val="00EA1BA4"/>
    <w:rsid w:val="00EA561D"/>
    <w:rsid w:val="00EB38A4"/>
    <w:rsid w:val="00EC0B00"/>
    <w:rsid w:val="00EC1768"/>
    <w:rsid w:val="00EE02FE"/>
    <w:rsid w:val="00EE5257"/>
    <w:rsid w:val="00F23ED1"/>
    <w:rsid w:val="00F26B86"/>
    <w:rsid w:val="00F356C6"/>
    <w:rsid w:val="00F50D36"/>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character" w:styleId="Hyperlink">
    <w:name w:val="Hyperlink"/>
    <w:basedOn w:val="DefaultParagraphFont"/>
    <w:unhideWhenUsed/>
    <w:rsid w:val="005B2016"/>
    <w:rPr>
      <w:color w:val="0000FF" w:themeColor="hyperlink"/>
      <w:u w:val="single"/>
    </w:rPr>
  </w:style>
  <w:style w:type="character" w:styleId="UnresolvedMention">
    <w:name w:val="Unresolved Mention"/>
    <w:basedOn w:val="DefaultParagraphFont"/>
    <w:uiPriority w:val="99"/>
    <w:semiHidden/>
    <w:unhideWhenUsed/>
    <w:rsid w:val="005B2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sitory.overheid.nl/frbr/vd/007342/1/pdf/007342_Notificaties_5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rdragenbank.overheid.nl/en/Treaty/Details/007342.html" TargetMode="External"/><Relationship Id="rId4" Type="http://schemas.openxmlformats.org/officeDocument/2006/relationships/settings" Target="settings.xml"/><Relationship Id="rId9" Type="http://schemas.openxmlformats.org/officeDocument/2006/relationships/hyperlink" Target="https://repository.overheid.nl/frbr/vd/007342/1/pdf/007342_Notificaties_5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Catherine Lehmann</cp:lastModifiedBy>
  <cp:revision>3</cp:revision>
  <cp:lastPrinted>2016-11-10T16:25:00Z</cp:lastPrinted>
  <dcterms:created xsi:type="dcterms:W3CDTF">2021-03-26T09:20:00Z</dcterms:created>
  <dcterms:modified xsi:type="dcterms:W3CDTF">2021-03-26T09:23:00Z</dcterms:modified>
</cp:coreProperties>
</file>