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40B53" w14:textId="77777777" w:rsidR="00343BBB" w:rsidRDefault="00343BBB" w:rsidP="006305FC">
      <w:pPr>
        <w:pStyle w:val="NoSpacing"/>
        <w:jc w:val="center"/>
        <w:rPr>
          <w:rFonts w:ascii="Times New Roman" w:hAnsi="Times New Roman" w:cs="Times New Roman"/>
          <w:lang w:val="en-GB"/>
        </w:rPr>
      </w:pPr>
    </w:p>
    <w:p w14:paraId="0889B28B" w14:textId="6A3DE47B" w:rsidR="006305FC" w:rsidRPr="00355707" w:rsidRDefault="00C95369" w:rsidP="006305FC">
      <w:pPr>
        <w:pStyle w:val="NoSpacing"/>
        <w:jc w:val="center"/>
        <w:rPr>
          <w:rFonts w:ascii="Times New Roman" w:hAnsi="Times New Roman" w:cs="Times New Roman"/>
          <w:lang w:val="fr-FR"/>
        </w:rPr>
      </w:pPr>
      <w:r w:rsidRPr="00355707">
        <w:rPr>
          <w:rFonts w:ascii="Times New Roman" w:hAnsi="Times New Roman" w:cs="Times New Roman"/>
          <w:lang w:val="fr-FR"/>
        </w:rPr>
        <w:t xml:space="preserve">DRAFT RESOLUTION </w:t>
      </w:r>
      <w:r w:rsidR="00355707" w:rsidRPr="00355707">
        <w:rPr>
          <w:rFonts w:ascii="Times New Roman" w:hAnsi="Times New Roman" w:cs="Times New Roman"/>
          <w:lang w:val="fr-FR"/>
        </w:rPr>
        <w:t>Ex</w:t>
      </w:r>
      <w:r w:rsidR="006A7852" w:rsidRPr="00355707">
        <w:rPr>
          <w:rFonts w:ascii="Times New Roman" w:hAnsi="Times New Roman" w:cs="Times New Roman"/>
          <w:lang w:val="fr-FR"/>
        </w:rPr>
        <w:t>.</w:t>
      </w:r>
      <w:r w:rsidR="007D303D" w:rsidRPr="00355707">
        <w:rPr>
          <w:rFonts w:ascii="Times New Roman" w:hAnsi="Times New Roman" w:cs="Times New Roman"/>
          <w:lang w:val="fr-FR"/>
        </w:rPr>
        <w:t>2</w:t>
      </w:r>
      <w:r w:rsidR="003029CF" w:rsidRPr="00355707">
        <w:rPr>
          <w:rFonts w:ascii="Times New Roman" w:hAnsi="Times New Roman" w:cs="Times New Roman"/>
          <w:lang w:val="fr-FR"/>
        </w:rPr>
        <w:t xml:space="preserve"> (StC/DR</w:t>
      </w:r>
      <w:r w:rsidR="00D75E4E" w:rsidRPr="00355707">
        <w:rPr>
          <w:rFonts w:ascii="Times New Roman" w:hAnsi="Times New Roman" w:cs="Times New Roman"/>
          <w:lang w:val="fr-FR"/>
        </w:rPr>
        <w:t>2</w:t>
      </w:r>
      <w:r w:rsidR="003029CF" w:rsidRPr="00355707">
        <w:rPr>
          <w:rFonts w:ascii="Times New Roman" w:hAnsi="Times New Roman" w:cs="Times New Roman"/>
          <w:lang w:val="fr-FR"/>
        </w:rPr>
        <w:t>)</w:t>
      </w:r>
    </w:p>
    <w:p w14:paraId="25934335" w14:textId="77777777" w:rsidR="002E0DFD" w:rsidRPr="00355707" w:rsidRDefault="002E0DFD" w:rsidP="002E0DFD">
      <w:pPr>
        <w:jc w:val="center"/>
        <w:rPr>
          <w:rFonts w:ascii="Times New Roman" w:hAnsi="Times New Roman" w:cs="Times New Roman"/>
          <w:lang w:val="fr-FR"/>
        </w:rPr>
      </w:pPr>
    </w:p>
    <w:p w14:paraId="1D861163" w14:textId="018C1534" w:rsidR="002E0DFD" w:rsidRDefault="00D75E4E" w:rsidP="002E0DFD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FINANCIAL AND ADMINISTRATIVE MATTERS</w:t>
      </w:r>
    </w:p>
    <w:p w14:paraId="3B55C13B" w14:textId="77777777" w:rsidR="002E0DFD" w:rsidRDefault="002E0DFD" w:rsidP="002E0DF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63E2CC19" w14:textId="77777777" w:rsidR="006A7852" w:rsidRDefault="006A7852" w:rsidP="002E0DF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D421B5C" w14:textId="138852AF" w:rsidR="00D75E4E" w:rsidRDefault="00D75E4E" w:rsidP="00D75E4E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A0146">
        <w:rPr>
          <w:rFonts w:ascii="Times New Roman" w:hAnsi="Times New Roman" w:cs="Times New Roman"/>
          <w:i/>
          <w:iCs/>
          <w:sz w:val="22"/>
          <w:szCs w:val="22"/>
        </w:rPr>
        <w:t>Recalling</w:t>
      </w:r>
      <w:r w:rsidRPr="008A0146">
        <w:rPr>
          <w:rFonts w:ascii="Times New Roman" w:hAnsi="Times New Roman" w:cs="Times New Roman"/>
          <w:sz w:val="22"/>
          <w:szCs w:val="22"/>
        </w:rPr>
        <w:t xml:space="preserve"> the provisions of Article V, Paragraph 2 (a) and (b), of the Agreement, relating to budgetary matters, </w:t>
      </w:r>
    </w:p>
    <w:p w14:paraId="6FD8C522" w14:textId="2D6CED5C" w:rsidR="00E877F0" w:rsidRDefault="00E877F0" w:rsidP="00D75E4E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Further recalling Resolution 7.12 through which the Parties adopted the budget of the Agreement for the triennium 2019-2021,</w:t>
      </w:r>
    </w:p>
    <w:p w14:paraId="0C6DE9E9" w14:textId="77777777" w:rsidR="00E877F0" w:rsidRPr="00E877F0" w:rsidRDefault="00E877F0" w:rsidP="00E877F0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877F0">
        <w:rPr>
          <w:rFonts w:ascii="Times New Roman" w:hAnsi="Times New Roman" w:cs="Times New Roman"/>
          <w:i/>
          <w:iCs/>
          <w:sz w:val="22"/>
          <w:szCs w:val="22"/>
        </w:rPr>
        <w:t>Acknowledging</w:t>
      </w:r>
      <w:r w:rsidRPr="00E877F0">
        <w:rPr>
          <w:rFonts w:ascii="Times New Roman" w:hAnsi="Times New Roman" w:cs="Times New Roman"/>
          <w:sz w:val="22"/>
          <w:szCs w:val="22"/>
        </w:rPr>
        <w:t xml:space="preserve"> that MOP8 cannot take place in 2021 as planned due to the situation caused by the COVID-19 pandemic,</w:t>
      </w:r>
    </w:p>
    <w:p w14:paraId="7C8F90F0" w14:textId="3C30E623" w:rsidR="00E877F0" w:rsidRDefault="00E877F0" w:rsidP="00D75E4E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Noting</w:t>
      </w:r>
      <w:r w:rsidRPr="00E877F0">
        <w:rPr>
          <w:rFonts w:ascii="Times New Roman" w:hAnsi="Times New Roman" w:cs="Times New Roman"/>
          <w:sz w:val="22"/>
          <w:szCs w:val="22"/>
        </w:rPr>
        <w:t xml:space="preserve"> </w:t>
      </w:r>
      <w:r w:rsidR="00D647AD">
        <w:rPr>
          <w:rFonts w:ascii="Times New Roman" w:hAnsi="Times New Roman" w:cs="Times New Roman"/>
          <w:sz w:val="22"/>
          <w:szCs w:val="22"/>
        </w:rPr>
        <w:t>Resolution Ex.1</w:t>
      </w:r>
      <w:r w:rsidRPr="00E877F0">
        <w:rPr>
          <w:rFonts w:ascii="Times New Roman" w:hAnsi="Times New Roman" w:cs="Times New Roman"/>
          <w:sz w:val="22"/>
          <w:szCs w:val="22"/>
        </w:rPr>
        <w:t xml:space="preserve"> </w:t>
      </w:r>
      <w:r w:rsidR="00D647AD">
        <w:rPr>
          <w:rFonts w:ascii="Times New Roman" w:hAnsi="Times New Roman" w:cs="Times New Roman"/>
          <w:sz w:val="22"/>
          <w:szCs w:val="22"/>
        </w:rPr>
        <w:t>which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E877F0">
        <w:rPr>
          <w:rFonts w:ascii="Times New Roman" w:hAnsi="Times New Roman" w:cs="Times New Roman"/>
          <w:sz w:val="22"/>
          <w:szCs w:val="22"/>
        </w:rPr>
        <w:t>postpone</w:t>
      </w:r>
      <w:r w:rsidR="00D647AD">
        <w:rPr>
          <w:rFonts w:ascii="Times New Roman" w:hAnsi="Times New Roman" w:cs="Times New Roman"/>
          <w:sz w:val="22"/>
          <w:szCs w:val="22"/>
        </w:rPr>
        <w:t>s</w:t>
      </w:r>
      <w:r w:rsidRPr="00E877F0">
        <w:rPr>
          <w:rFonts w:ascii="Times New Roman" w:hAnsi="Times New Roman" w:cs="Times New Roman"/>
          <w:sz w:val="22"/>
          <w:szCs w:val="22"/>
        </w:rPr>
        <w:t xml:space="preserve"> the 8</w:t>
      </w:r>
      <w:r w:rsidRPr="00E877F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E877F0">
        <w:rPr>
          <w:rFonts w:ascii="Times New Roman" w:hAnsi="Times New Roman" w:cs="Times New Roman"/>
          <w:sz w:val="22"/>
          <w:szCs w:val="22"/>
        </w:rPr>
        <w:t xml:space="preserve"> Session of the Meeting of the Parties to the second half of 2022</w:t>
      </w:r>
      <w:r w:rsidR="0054317D">
        <w:rPr>
          <w:rFonts w:ascii="Times New Roman" w:hAnsi="Times New Roman" w:cs="Times New Roman"/>
          <w:sz w:val="22"/>
          <w:szCs w:val="22"/>
        </w:rPr>
        <w:t>,</w:t>
      </w:r>
    </w:p>
    <w:p w14:paraId="7997C4A8" w14:textId="07F89BA3" w:rsidR="00E877F0" w:rsidRDefault="00CA41CF" w:rsidP="00D75E4E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Taking note </w:t>
      </w:r>
      <w:r w:rsidRPr="00CA41CF">
        <w:rPr>
          <w:rFonts w:ascii="Times New Roman" w:hAnsi="Times New Roman" w:cs="Times New Roman"/>
          <w:sz w:val="22"/>
          <w:szCs w:val="22"/>
        </w:rPr>
        <w:t xml:space="preserve">of the decision of the Standing Committee to submit a one-year budget for 2022 to the Parties for adoption based on a zero </w:t>
      </w:r>
      <w:r w:rsidR="003E3245">
        <w:rPr>
          <w:rFonts w:ascii="Times New Roman" w:hAnsi="Times New Roman" w:cs="Times New Roman"/>
          <w:sz w:val="22"/>
          <w:szCs w:val="22"/>
        </w:rPr>
        <w:t>nominal</w:t>
      </w:r>
      <w:r w:rsidRPr="00CA41CF">
        <w:rPr>
          <w:rFonts w:ascii="Times New Roman" w:hAnsi="Times New Roman" w:cs="Times New Roman"/>
          <w:sz w:val="22"/>
          <w:szCs w:val="22"/>
        </w:rPr>
        <w:t xml:space="preserve"> growth scenario</w:t>
      </w:r>
      <w:r w:rsidR="009B40A4">
        <w:rPr>
          <w:rFonts w:ascii="Times New Roman" w:hAnsi="Times New Roman" w:cs="Times New Roman"/>
          <w:sz w:val="22"/>
          <w:szCs w:val="22"/>
        </w:rPr>
        <w:t xml:space="preserve"> for the contributions of Parties</w:t>
      </w:r>
      <w:r w:rsidRPr="00CA41CF">
        <w:rPr>
          <w:rFonts w:ascii="Times New Roman" w:hAnsi="Times New Roman" w:cs="Times New Roman"/>
          <w:sz w:val="22"/>
          <w:szCs w:val="22"/>
        </w:rPr>
        <w:t>,</w:t>
      </w:r>
    </w:p>
    <w:p w14:paraId="2E1D465B" w14:textId="022EFB06" w:rsidR="00A14A77" w:rsidRDefault="00A14A77" w:rsidP="00D75E4E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651A0">
        <w:rPr>
          <w:rFonts w:ascii="Times New Roman" w:hAnsi="Times New Roman" w:cs="Times New Roman"/>
          <w:i/>
          <w:iCs/>
          <w:sz w:val="22"/>
          <w:szCs w:val="22"/>
        </w:rPr>
        <w:t>Acknowledging</w:t>
      </w:r>
      <w:r>
        <w:rPr>
          <w:rFonts w:ascii="Times New Roman" w:hAnsi="Times New Roman" w:cs="Times New Roman"/>
          <w:sz w:val="22"/>
          <w:szCs w:val="22"/>
        </w:rPr>
        <w:t xml:space="preserve"> that</w:t>
      </w:r>
      <w:r w:rsidR="00F651A0">
        <w:rPr>
          <w:rFonts w:ascii="Times New Roman" w:hAnsi="Times New Roman" w:cs="Times New Roman"/>
          <w:sz w:val="22"/>
          <w:szCs w:val="22"/>
        </w:rPr>
        <w:t xml:space="preserve"> the </w:t>
      </w:r>
      <w:r w:rsidR="009B40A4">
        <w:rPr>
          <w:rFonts w:ascii="Times New Roman" w:hAnsi="Times New Roman" w:cs="Times New Roman"/>
          <w:sz w:val="22"/>
          <w:szCs w:val="22"/>
        </w:rPr>
        <w:t xml:space="preserve">progressive implementation </w:t>
      </w:r>
      <w:r>
        <w:rPr>
          <w:rFonts w:ascii="Times New Roman" w:hAnsi="Times New Roman" w:cs="Times New Roman"/>
          <w:sz w:val="22"/>
          <w:szCs w:val="22"/>
        </w:rPr>
        <w:t xml:space="preserve">of the </w:t>
      </w:r>
      <w:r w:rsidR="00F651A0">
        <w:rPr>
          <w:rFonts w:ascii="Times New Roman" w:hAnsi="Times New Roman" w:cs="Times New Roman"/>
          <w:sz w:val="22"/>
          <w:szCs w:val="22"/>
        </w:rPr>
        <w:t xml:space="preserve">enterprise resource planning </w:t>
      </w:r>
      <w:r>
        <w:rPr>
          <w:rFonts w:ascii="Times New Roman" w:hAnsi="Times New Roman" w:cs="Times New Roman"/>
          <w:sz w:val="22"/>
          <w:szCs w:val="22"/>
        </w:rPr>
        <w:t xml:space="preserve">system </w:t>
      </w:r>
      <w:r w:rsidR="00F651A0">
        <w:rPr>
          <w:rFonts w:ascii="Times New Roman" w:hAnsi="Times New Roman" w:cs="Times New Roman"/>
          <w:sz w:val="22"/>
          <w:szCs w:val="22"/>
        </w:rPr>
        <w:t xml:space="preserve">“Umoja” </w:t>
      </w:r>
      <w:r w:rsidR="009B40A4">
        <w:rPr>
          <w:rFonts w:ascii="Times New Roman" w:hAnsi="Times New Roman" w:cs="Times New Roman"/>
          <w:sz w:val="22"/>
          <w:szCs w:val="22"/>
        </w:rPr>
        <w:t xml:space="preserve">adopted by the UN General Assembly </w:t>
      </w:r>
      <w:r w:rsidR="00C52A98">
        <w:rPr>
          <w:rFonts w:ascii="Times New Roman" w:hAnsi="Times New Roman" w:cs="Times New Roman"/>
          <w:sz w:val="22"/>
          <w:szCs w:val="22"/>
        </w:rPr>
        <w:t xml:space="preserve">and the revised cost apportionment methodology </w:t>
      </w:r>
      <w:r>
        <w:rPr>
          <w:rFonts w:ascii="Times New Roman" w:hAnsi="Times New Roman" w:cs="Times New Roman"/>
          <w:sz w:val="22"/>
          <w:szCs w:val="22"/>
        </w:rPr>
        <w:t xml:space="preserve">causes higher </w:t>
      </w:r>
      <w:r w:rsidR="00C52A98">
        <w:rPr>
          <w:rFonts w:ascii="Times New Roman" w:hAnsi="Times New Roman" w:cs="Times New Roman"/>
          <w:sz w:val="22"/>
          <w:szCs w:val="22"/>
        </w:rPr>
        <w:t xml:space="preserve">Corporate Initiative Costs (Umoja costs) </w:t>
      </w:r>
      <w:r>
        <w:rPr>
          <w:rFonts w:ascii="Times New Roman" w:hAnsi="Times New Roman" w:cs="Times New Roman"/>
          <w:sz w:val="22"/>
          <w:szCs w:val="22"/>
        </w:rPr>
        <w:t>and can</w:t>
      </w:r>
      <w:r w:rsidR="009B40A4">
        <w:rPr>
          <w:rFonts w:ascii="Times New Roman" w:hAnsi="Times New Roman" w:cs="Times New Roman"/>
          <w:sz w:val="22"/>
          <w:szCs w:val="22"/>
        </w:rPr>
        <w:t xml:space="preserve"> no longer</w:t>
      </w:r>
      <w:r>
        <w:rPr>
          <w:rFonts w:ascii="Times New Roman" w:hAnsi="Times New Roman" w:cs="Times New Roman"/>
          <w:sz w:val="22"/>
          <w:szCs w:val="22"/>
        </w:rPr>
        <w:t xml:space="preserve"> be absorbed by the</w:t>
      </w:r>
      <w:r w:rsidR="00F651A0">
        <w:rPr>
          <w:rFonts w:ascii="Times New Roman" w:hAnsi="Times New Roman" w:cs="Times New Roman"/>
          <w:sz w:val="22"/>
          <w:szCs w:val="22"/>
        </w:rPr>
        <w:t xml:space="preserve"> standard rate of</w:t>
      </w:r>
      <w:r>
        <w:rPr>
          <w:rFonts w:ascii="Times New Roman" w:hAnsi="Times New Roman" w:cs="Times New Roman"/>
          <w:sz w:val="22"/>
          <w:szCs w:val="22"/>
        </w:rPr>
        <w:t xml:space="preserve"> 13</w:t>
      </w:r>
      <w:r w:rsidR="00F651A0">
        <w:rPr>
          <w:rFonts w:ascii="Times New Roman" w:hAnsi="Times New Roman" w:cs="Times New Roman"/>
          <w:sz w:val="22"/>
          <w:szCs w:val="22"/>
        </w:rPr>
        <w:t xml:space="preserve"> per cent</w:t>
      </w:r>
      <w:r>
        <w:rPr>
          <w:rFonts w:ascii="Times New Roman" w:hAnsi="Times New Roman" w:cs="Times New Roman"/>
          <w:sz w:val="22"/>
          <w:szCs w:val="22"/>
        </w:rPr>
        <w:t xml:space="preserve"> Pro</w:t>
      </w:r>
      <w:r w:rsidR="00F651A0">
        <w:rPr>
          <w:rFonts w:ascii="Times New Roman" w:hAnsi="Times New Roman" w:cs="Times New Roman"/>
          <w:sz w:val="22"/>
          <w:szCs w:val="22"/>
        </w:rPr>
        <w:t>gramme</w:t>
      </w:r>
      <w:r>
        <w:rPr>
          <w:rFonts w:ascii="Times New Roman" w:hAnsi="Times New Roman" w:cs="Times New Roman"/>
          <w:sz w:val="22"/>
          <w:szCs w:val="22"/>
        </w:rPr>
        <w:t xml:space="preserve"> Support Costs,</w:t>
      </w:r>
    </w:p>
    <w:p w14:paraId="66BB949B" w14:textId="6F713850" w:rsidR="009B40A4" w:rsidRDefault="009B40A4" w:rsidP="00D75E4E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823EE">
        <w:rPr>
          <w:rFonts w:ascii="Times New Roman" w:hAnsi="Times New Roman" w:cs="Times New Roman"/>
          <w:i/>
          <w:iCs/>
          <w:sz w:val="22"/>
          <w:szCs w:val="22"/>
        </w:rPr>
        <w:t>Further acknowledging</w:t>
      </w:r>
      <w:r>
        <w:rPr>
          <w:rFonts w:ascii="Times New Roman" w:hAnsi="Times New Roman" w:cs="Times New Roman"/>
          <w:sz w:val="22"/>
          <w:szCs w:val="22"/>
        </w:rPr>
        <w:t xml:space="preserve"> the request </w:t>
      </w:r>
      <w:r w:rsidR="009823EE">
        <w:rPr>
          <w:rFonts w:ascii="Times New Roman" w:hAnsi="Times New Roman" w:cs="Times New Roman"/>
          <w:sz w:val="22"/>
          <w:szCs w:val="22"/>
        </w:rPr>
        <w:t>of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823EE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he United Nations Environment Program</w:t>
      </w:r>
      <w:r w:rsidR="009823EE">
        <w:rPr>
          <w:rFonts w:ascii="Times New Roman" w:hAnsi="Times New Roman" w:cs="Times New Roman"/>
          <w:sz w:val="22"/>
          <w:szCs w:val="22"/>
        </w:rPr>
        <w:t>me</w:t>
      </w:r>
      <w:r>
        <w:rPr>
          <w:rFonts w:ascii="Times New Roman" w:hAnsi="Times New Roman" w:cs="Times New Roman"/>
          <w:sz w:val="22"/>
          <w:szCs w:val="22"/>
        </w:rPr>
        <w:t xml:space="preserve"> to support th</w:t>
      </w:r>
      <w:r w:rsidR="009823EE">
        <w:rPr>
          <w:rFonts w:ascii="Times New Roman" w:hAnsi="Times New Roman" w:cs="Times New Roman"/>
          <w:sz w:val="22"/>
          <w:szCs w:val="22"/>
        </w:rPr>
        <w:t>ese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52A98">
        <w:rPr>
          <w:rFonts w:ascii="Times New Roman" w:hAnsi="Times New Roman" w:cs="Times New Roman"/>
          <w:sz w:val="22"/>
          <w:szCs w:val="22"/>
        </w:rPr>
        <w:t xml:space="preserve">Umoja </w:t>
      </w:r>
      <w:r w:rsidR="009823EE">
        <w:rPr>
          <w:rFonts w:ascii="Times New Roman" w:hAnsi="Times New Roman" w:cs="Times New Roman"/>
          <w:sz w:val="22"/>
          <w:szCs w:val="22"/>
        </w:rPr>
        <w:t>costs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04CE3">
        <w:rPr>
          <w:rFonts w:ascii="Times New Roman" w:hAnsi="Times New Roman" w:cs="Times New Roman"/>
          <w:sz w:val="22"/>
          <w:szCs w:val="22"/>
        </w:rPr>
        <w:t>through</w:t>
      </w:r>
      <w:r>
        <w:rPr>
          <w:rFonts w:ascii="Times New Roman" w:hAnsi="Times New Roman" w:cs="Times New Roman"/>
          <w:sz w:val="22"/>
          <w:szCs w:val="22"/>
        </w:rPr>
        <w:t xml:space="preserve"> the core budget,</w:t>
      </w:r>
    </w:p>
    <w:p w14:paraId="4A883D58" w14:textId="004A0F07" w:rsidR="00CA41CF" w:rsidRDefault="00CA41CF" w:rsidP="00D75E4E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A41CF">
        <w:rPr>
          <w:rFonts w:ascii="Times New Roman" w:hAnsi="Times New Roman" w:cs="Times New Roman"/>
          <w:i/>
          <w:iCs/>
          <w:sz w:val="22"/>
          <w:szCs w:val="22"/>
        </w:rPr>
        <w:t>Recognizing</w:t>
      </w:r>
      <w:r>
        <w:rPr>
          <w:rFonts w:ascii="Times New Roman" w:hAnsi="Times New Roman" w:cs="Times New Roman"/>
          <w:sz w:val="22"/>
          <w:szCs w:val="22"/>
        </w:rPr>
        <w:t xml:space="preserve"> the exceptional circumstances caused by the COVID-19 pandemic,</w:t>
      </w:r>
    </w:p>
    <w:p w14:paraId="08C6ABF9" w14:textId="21D51AFE" w:rsidR="00CA41CF" w:rsidRPr="00CA41CF" w:rsidRDefault="00CA41CF" w:rsidP="00CA41CF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A41CF">
        <w:rPr>
          <w:rFonts w:ascii="Times New Roman" w:hAnsi="Times New Roman" w:cs="Times New Roman"/>
          <w:i/>
          <w:iCs/>
          <w:sz w:val="22"/>
          <w:szCs w:val="22"/>
        </w:rPr>
        <w:t>The Meeting of the Parties</w:t>
      </w:r>
      <w:r w:rsidRPr="00CA41CF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4507CF9" w14:textId="77777777" w:rsidR="00CA41CF" w:rsidRDefault="00CA41CF" w:rsidP="00CA41CF">
      <w:pPr>
        <w:widowControl w:val="0"/>
        <w:numPr>
          <w:ilvl w:val="0"/>
          <w:numId w:val="2"/>
        </w:numPr>
        <w:autoSpaceDE w:val="0"/>
        <w:spacing w:after="252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Decides </w:t>
      </w:r>
      <w:r>
        <w:rPr>
          <w:rFonts w:ascii="Times New Roman" w:hAnsi="Times New Roman" w:cs="Times New Roman"/>
          <w:sz w:val="22"/>
          <w:szCs w:val="22"/>
        </w:rPr>
        <w:t xml:space="preserve">that Resolution 7.12 remains valid in the year </w:t>
      </w:r>
      <w:proofErr w:type="gramStart"/>
      <w:r>
        <w:rPr>
          <w:rFonts w:ascii="Times New Roman" w:hAnsi="Times New Roman" w:cs="Times New Roman"/>
          <w:sz w:val="22"/>
          <w:szCs w:val="22"/>
        </w:rPr>
        <w:t>2022;</w:t>
      </w:r>
      <w:proofErr w:type="gramEnd"/>
    </w:p>
    <w:p w14:paraId="355D30F1" w14:textId="30DF354D" w:rsidR="00CA41CF" w:rsidRPr="00572DF2" w:rsidRDefault="00CA41CF" w:rsidP="00CA41CF">
      <w:pPr>
        <w:widowControl w:val="0"/>
        <w:numPr>
          <w:ilvl w:val="0"/>
          <w:numId w:val="2"/>
        </w:numPr>
        <w:autoSpaceDE w:val="0"/>
        <w:spacing w:after="252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Adopts </w:t>
      </w:r>
      <w:r w:rsidRPr="00CA41CF">
        <w:rPr>
          <w:rFonts w:ascii="Times New Roman" w:hAnsi="Times New Roman" w:cs="Times New Roman"/>
          <w:sz w:val="22"/>
          <w:szCs w:val="22"/>
        </w:rPr>
        <w:t xml:space="preserve">the budget to the </w:t>
      </w:r>
      <w:r w:rsidRPr="00572DF2">
        <w:rPr>
          <w:rFonts w:ascii="Times New Roman" w:hAnsi="Times New Roman" w:cs="Times New Roman"/>
          <w:sz w:val="22"/>
          <w:szCs w:val="22"/>
        </w:rPr>
        <w:t xml:space="preserve">amount of </w:t>
      </w:r>
      <w:r w:rsidR="00572DF2" w:rsidRPr="00572DF2">
        <w:rPr>
          <w:rFonts w:ascii="Times New Roman" w:hAnsi="Times New Roman" w:cs="Times New Roman"/>
          <w:sz w:val="22"/>
          <w:szCs w:val="22"/>
        </w:rPr>
        <w:t>1,</w:t>
      </w:r>
      <w:r w:rsidR="003E3245">
        <w:rPr>
          <w:rFonts w:ascii="Times New Roman" w:hAnsi="Times New Roman" w:cs="Times New Roman"/>
          <w:sz w:val="22"/>
          <w:szCs w:val="22"/>
        </w:rPr>
        <w:t>089,988</w:t>
      </w:r>
      <w:r w:rsidR="00572DF2" w:rsidRPr="00572DF2">
        <w:rPr>
          <w:rFonts w:ascii="Times New Roman" w:hAnsi="Times New Roman" w:cs="Times New Roman"/>
          <w:sz w:val="22"/>
          <w:szCs w:val="22"/>
        </w:rPr>
        <w:t xml:space="preserve"> EUR </w:t>
      </w:r>
      <w:r w:rsidR="00572DF2">
        <w:rPr>
          <w:rFonts w:ascii="Times New Roman" w:hAnsi="Times New Roman" w:cs="Times New Roman"/>
          <w:sz w:val="22"/>
          <w:szCs w:val="22"/>
        </w:rPr>
        <w:t xml:space="preserve">for the year 2022, attached as Appendix I to the present Resolution which is complementary to Resolution </w:t>
      </w:r>
      <w:proofErr w:type="gramStart"/>
      <w:r w:rsidR="00572DF2">
        <w:rPr>
          <w:rFonts w:ascii="Times New Roman" w:hAnsi="Times New Roman" w:cs="Times New Roman"/>
          <w:sz w:val="22"/>
          <w:szCs w:val="22"/>
        </w:rPr>
        <w:t>7.12;</w:t>
      </w:r>
      <w:proofErr w:type="gramEnd"/>
    </w:p>
    <w:p w14:paraId="242EF9FA" w14:textId="77777777" w:rsidR="009823EE" w:rsidRDefault="00CA41CF" w:rsidP="00CA41CF">
      <w:pPr>
        <w:widowControl w:val="0"/>
        <w:numPr>
          <w:ilvl w:val="0"/>
          <w:numId w:val="2"/>
        </w:numPr>
        <w:autoSpaceDE w:val="0"/>
        <w:spacing w:after="252" w:line="276" w:lineRule="auto"/>
        <w:jc w:val="both"/>
        <w:rPr>
          <w:rFonts w:ascii="Times New Roman" w:hAnsi="Times New Roman" w:cs="Times New Roman"/>
          <w:sz w:val="22"/>
          <w:szCs w:val="22"/>
        </w:rPr>
        <w:sectPr w:rsidR="009823EE" w:rsidSect="0054317D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576" w:footer="288" w:gutter="0"/>
          <w:cols w:space="720"/>
          <w:docGrid w:linePitch="360"/>
        </w:sectPr>
      </w:pPr>
      <w:r w:rsidRPr="00CA41CF">
        <w:rPr>
          <w:rFonts w:ascii="Times New Roman" w:hAnsi="Times New Roman" w:cs="Times New Roman"/>
          <w:i/>
          <w:iCs/>
          <w:sz w:val="22"/>
          <w:szCs w:val="22"/>
        </w:rPr>
        <w:t>C</w:t>
      </w:r>
      <w:r>
        <w:rPr>
          <w:rFonts w:ascii="Times New Roman" w:hAnsi="Times New Roman" w:cs="Times New Roman"/>
          <w:i/>
          <w:iCs/>
          <w:sz w:val="22"/>
          <w:szCs w:val="22"/>
        </w:rPr>
        <w:t>onfirms</w:t>
      </w:r>
      <w:r w:rsidRPr="00CA41C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A41CF">
        <w:rPr>
          <w:rFonts w:ascii="Times New Roman" w:hAnsi="Times New Roman" w:cs="Times New Roman"/>
          <w:iCs/>
          <w:sz w:val="22"/>
          <w:szCs w:val="22"/>
        </w:rPr>
        <w:t>that Parties shall contribute to the budget adopted at the scale agreed upon by the Meeting</w:t>
      </w:r>
      <w:r w:rsidRPr="00CA41C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8C01D3D" w14:textId="0F0DEC4D" w:rsidR="00CA41CF" w:rsidRPr="00CA41CF" w:rsidRDefault="00CA41CF" w:rsidP="00734AE1">
      <w:pPr>
        <w:widowControl w:val="0"/>
        <w:autoSpaceDE w:val="0"/>
        <w:spacing w:after="252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41CF">
        <w:rPr>
          <w:rFonts w:ascii="Times New Roman" w:hAnsi="Times New Roman" w:cs="Times New Roman"/>
          <w:sz w:val="22"/>
          <w:szCs w:val="22"/>
        </w:rPr>
        <w:lastRenderedPageBreak/>
        <w:t xml:space="preserve">of the Parties in accordance with Article V, Paragraph 2 (a) and (b), of the </w:t>
      </w:r>
      <w:proofErr w:type="gramStart"/>
      <w:r w:rsidRPr="00CA41CF">
        <w:rPr>
          <w:rFonts w:ascii="Times New Roman" w:hAnsi="Times New Roman" w:cs="Times New Roman"/>
          <w:sz w:val="22"/>
          <w:szCs w:val="22"/>
        </w:rPr>
        <w:t>Agreement;</w:t>
      </w:r>
      <w:proofErr w:type="gramEnd"/>
      <w:r w:rsidRPr="00CA41C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6159E6" w14:textId="28573BCE" w:rsidR="00572DF2" w:rsidRPr="009823EE" w:rsidRDefault="00572DF2" w:rsidP="00FF7966">
      <w:pPr>
        <w:widowControl w:val="0"/>
        <w:numPr>
          <w:ilvl w:val="0"/>
          <w:numId w:val="2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823EE">
        <w:rPr>
          <w:rFonts w:ascii="Times New Roman" w:hAnsi="Times New Roman" w:cs="Times New Roman"/>
          <w:i/>
          <w:iCs/>
          <w:sz w:val="22"/>
          <w:szCs w:val="22"/>
        </w:rPr>
        <w:t>Adopts</w:t>
      </w:r>
      <w:r w:rsidRPr="009823E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823EE">
        <w:rPr>
          <w:rFonts w:ascii="Times New Roman" w:hAnsi="Times New Roman" w:cs="Times New Roman"/>
          <w:iCs/>
          <w:sz w:val="22"/>
          <w:szCs w:val="22"/>
        </w:rPr>
        <w:t>the scale of contributions for Parties to the Agreement as listed in Appendix II</w:t>
      </w:r>
      <w:r w:rsidR="006B09E7">
        <w:rPr>
          <w:rFonts w:ascii="Times New Roman" w:hAnsi="Times New Roman" w:cs="Times New Roman"/>
          <w:iCs/>
          <w:sz w:val="22"/>
          <w:szCs w:val="22"/>
        </w:rPr>
        <w:t>I</w:t>
      </w:r>
      <w:r w:rsidRPr="009823EE">
        <w:rPr>
          <w:rFonts w:ascii="Times New Roman" w:hAnsi="Times New Roman" w:cs="Times New Roman"/>
          <w:iCs/>
          <w:sz w:val="22"/>
          <w:szCs w:val="22"/>
        </w:rPr>
        <w:t xml:space="preserve"> to the present</w:t>
      </w:r>
      <w:r w:rsidR="009823EE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9823EE">
        <w:rPr>
          <w:rFonts w:ascii="Times New Roman" w:hAnsi="Times New Roman" w:cs="Times New Roman"/>
          <w:iCs/>
          <w:sz w:val="22"/>
          <w:szCs w:val="22"/>
        </w:rPr>
        <w:t xml:space="preserve">Resolution, and to the application of that scale </w:t>
      </w:r>
      <w:r w:rsidRPr="009823EE">
        <w:rPr>
          <w:rFonts w:ascii="Times New Roman" w:hAnsi="Times New Roman" w:cs="Times New Roman"/>
          <w:i/>
          <w:iCs/>
          <w:sz w:val="22"/>
          <w:szCs w:val="22"/>
        </w:rPr>
        <w:t>pro rata</w:t>
      </w:r>
      <w:r w:rsidRPr="009823EE">
        <w:rPr>
          <w:rFonts w:ascii="Times New Roman" w:hAnsi="Times New Roman" w:cs="Times New Roman"/>
          <w:iCs/>
          <w:sz w:val="22"/>
          <w:szCs w:val="22"/>
        </w:rPr>
        <w:t xml:space="preserve"> to new </w:t>
      </w:r>
      <w:proofErr w:type="gramStart"/>
      <w:r w:rsidRPr="009823EE">
        <w:rPr>
          <w:rFonts w:ascii="Times New Roman" w:hAnsi="Times New Roman" w:cs="Times New Roman"/>
          <w:iCs/>
          <w:sz w:val="22"/>
          <w:szCs w:val="22"/>
        </w:rPr>
        <w:t>Parties;</w:t>
      </w:r>
      <w:proofErr w:type="gramEnd"/>
      <w:r w:rsidRPr="009823EE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14:paraId="61F352CD" w14:textId="46DFD1ED" w:rsidR="00572DF2" w:rsidRDefault="00572DF2" w:rsidP="00572DF2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022E1072" w14:textId="344334D0" w:rsidR="00C94EA5" w:rsidRPr="003F23C8" w:rsidRDefault="008A4FEA" w:rsidP="00A733CC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spacing w:line="276" w:lineRule="auto"/>
        <w:ind w:left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21040">
        <w:rPr>
          <w:rFonts w:ascii="Times New Roman" w:hAnsi="Times New Roman" w:cs="Times New Roman"/>
          <w:i/>
          <w:iCs/>
          <w:sz w:val="22"/>
          <w:szCs w:val="22"/>
        </w:rPr>
        <w:t>C</w:t>
      </w:r>
      <w:r w:rsidR="00F4343A" w:rsidRPr="00B21040">
        <w:rPr>
          <w:rFonts w:ascii="Times New Roman" w:hAnsi="Times New Roman" w:cs="Times New Roman"/>
          <w:i/>
          <w:iCs/>
          <w:sz w:val="22"/>
          <w:szCs w:val="22"/>
        </w:rPr>
        <w:t>onfirms</w:t>
      </w:r>
      <w:r w:rsidR="00F4343A" w:rsidRPr="00B21040">
        <w:rPr>
          <w:rFonts w:ascii="Times New Roman" w:hAnsi="Times New Roman" w:cs="Times New Roman"/>
          <w:iCs/>
          <w:sz w:val="22"/>
          <w:szCs w:val="22"/>
        </w:rPr>
        <w:t xml:space="preserve"> the </w:t>
      </w:r>
      <w:r w:rsidR="00C94EA5" w:rsidRPr="00B21040">
        <w:rPr>
          <w:rFonts w:ascii="Times New Roman" w:hAnsi="Times New Roman" w:cs="Times New Roman"/>
          <w:iCs/>
          <w:sz w:val="22"/>
          <w:szCs w:val="22"/>
        </w:rPr>
        <w:t xml:space="preserve">staffing table </w:t>
      </w:r>
      <w:r w:rsidR="00D32880" w:rsidRPr="00B21040">
        <w:rPr>
          <w:rFonts w:ascii="Times New Roman" w:hAnsi="Times New Roman" w:cs="Times New Roman"/>
          <w:iCs/>
          <w:sz w:val="22"/>
          <w:szCs w:val="22"/>
        </w:rPr>
        <w:t xml:space="preserve">as set </w:t>
      </w:r>
      <w:r w:rsidR="00F4343A" w:rsidRPr="00B21040">
        <w:rPr>
          <w:rFonts w:ascii="Times New Roman" w:hAnsi="Times New Roman" w:cs="Times New Roman"/>
          <w:iCs/>
          <w:sz w:val="22"/>
          <w:szCs w:val="22"/>
        </w:rPr>
        <w:t>out in Appendi</w:t>
      </w:r>
      <w:r w:rsidR="006B09E7">
        <w:rPr>
          <w:rFonts w:ascii="Times New Roman" w:hAnsi="Times New Roman" w:cs="Times New Roman"/>
          <w:iCs/>
          <w:sz w:val="22"/>
          <w:szCs w:val="22"/>
        </w:rPr>
        <w:t>x</w:t>
      </w:r>
      <w:r w:rsidR="00C94EA5" w:rsidRPr="00B21040">
        <w:rPr>
          <w:rFonts w:ascii="Times New Roman" w:hAnsi="Times New Roman" w:cs="Times New Roman"/>
          <w:iCs/>
          <w:sz w:val="22"/>
          <w:szCs w:val="22"/>
        </w:rPr>
        <w:t xml:space="preserve"> II </w:t>
      </w:r>
      <w:r w:rsidR="00F4343A" w:rsidRPr="00B21040">
        <w:rPr>
          <w:rFonts w:ascii="Times New Roman" w:hAnsi="Times New Roman" w:cs="Times New Roman"/>
          <w:iCs/>
          <w:sz w:val="22"/>
          <w:szCs w:val="22"/>
        </w:rPr>
        <w:t xml:space="preserve">to Resolution </w:t>
      </w:r>
      <w:proofErr w:type="gramStart"/>
      <w:r w:rsidR="00F4343A" w:rsidRPr="00B21040">
        <w:rPr>
          <w:rFonts w:ascii="Times New Roman" w:hAnsi="Times New Roman" w:cs="Times New Roman"/>
          <w:iCs/>
          <w:sz w:val="22"/>
          <w:szCs w:val="22"/>
        </w:rPr>
        <w:t>7.12</w:t>
      </w:r>
      <w:r w:rsidR="00B21040">
        <w:rPr>
          <w:rFonts w:ascii="Times New Roman" w:hAnsi="Times New Roman" w:cs="Times New Roman"/>
          <w:iCs/>
          <w:sz w:val="22"/>
          <w:szCs w:val="22"/>
        </w:rPr>
        <w:t>;</w:t>
      </w:r>
      <w:proofErr w:type="gramEnd"/>
    </w:p>
    <w:p w14:paraId="28715BE8" w14:textId="77777777" w:rsidR="003F23C8" w:rsidRPr="00B21040" w:rsidRDefault="003F23C8" w:rsidP="003F23C8">
      <w:pPr>
        <w:pStyle w:val="ListParagraph"/>
        <w:widowControl w:val="0"/>
        <w:suppressAutoHyphens/>
        <w:autoSpaceDE w:val="0"/>
        <w:autoSpaceDN w:val="0"/>
        <w:spacing w:line="276" w:lineRule="auto"/>
        <w:ind w:left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76135B56" w14:textId="68CC8544" w:rsidR="00C94EA5" w:rsidRDefault="00C94EA5" w:rsidP="001147B1">
      <w:pPr>
        <w:widowControl w:val="0"/>
        <w:numPr>
          <w:ilvl w:val="0"/>
          <w:numId w:val="2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D32880">
        <w:rPr>
          <w:rFonts w:ascii="Times New Roman" w:hAnsi="Times New Roman" w:cs="Times New Roman"/>
          <w:i/>
          <w:iCs/>
          <w:sz w:val="22"/>
          <w:szCs w:val="22"/>
        </w:rPr>
        <w:t>Decides</w:t>
      </w:r>
      <w:r>
        <w:rPr>
          <w:rFonts w:ascii="Times New Roman" w:hAnsi="Times New Roman" w:cs="Times New Roman"/>
          <w:sz w:val="22"/>
          <w:szCs w:val="22"/>
        </w:rPr>
        <w:t xml:space="preserve"> that the terms of reference for the </w:t>
      </w:r>
      <w:r w:rsidR="00D647AD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dministration of the budget as </w:t>
      </w:r>
      <w:r w:rsidR="00D32880">
        <w:rPr>
          <w:rFonts w:ascii="Times New Roman" w:hAnsi="Times New Roman" w:cs="Times New Roman"/>
          <w:sz w:val="22"/>
          <w:szCs w:val="22"/>
        </w:rPr>
        <w:t>set out</w:t>
      </w:r>
      <w:r>
        <w:rPr>
          <w:rFonts w:ascii="Times New Roman" w:hAnsi="Times New Roman" w:cs="Times New Roman"/>
          <w:sz w:val="22"/>
          <w:szCs w:val="22"/>
        </w:rPr>
        <w:t xml:space="preserve"> in Appendix IV </w:t>
      </w:r>
      <w:r w:rsidR="00D32880">
        <w:rPr>
          <w:rFonts w:ascii="Times New Roman" w:hAnsi="Times New Roman" w:cs="Times New Roman"/>
          <w:sz w:val="22"/>
          <w:szCs w:val="22"/>
        </w:rPr>
        <w:t xml:space="preserve">to Resolution 7.12 </w:t>
      </w:r>
      <w:r>
        <w:rPr>
          <w:rFonts w:ascii="Times New Roman" w:hAnsi="Times New Roman" w:cs="Times New Roman"/>
          <w:sz w:val="22"/>
          <w:szCs w:val="22"/>
        </w:rPr>
        <w:t xml:space="preserve">shall be applied </w:t>
      </w:r>
      <w:r w:rsidRPr="00D32880">
        <w:rPr>
          <w:rFonts w:ascii="Times New Roman" w:hAnsi="Times New Roman" w:cs="Times New Roman"/>
          <w:i/>
          <w:iCs/>
          <w:sz w:val="22"/>
          <w:szCs w:val="22"/>
        </w:rPr>
        <w:t>in toto</w:t>
      </w:r>
      <w:r>
        <w:rPr>
          <w:rFonts w:ascii="Times New Roman" w:hAnsi="Times New Roman" w:cs="Times New Roman"/>
          <w:sz w:val="22"/>
          <w:szCs w:val="22"/>
        </w:rPr>
        <w:t xml:space="preserve"> to the year 2022 and shall remain effective until 31 December </w:t>
      </w:r>
      <w:proofErr w:type="gramStart"/>
      <w:r>
        <w:rPr>
          <w:rFonts w:ascii="Times New Roman" w:hAnsi="Times New Roman" w:cs="Times New Roman"/>
          <w:sz w:val="22"/>
          <w:szCs w:val="22"/>
        </w:rPr>
        <w:t>2022;</w:t>
      </w:r>
      <w:proofErr w:type="gramEnd"/>
    </w:p>
    <w:p w14:paraId="04154F31" w14:textId="77777777" w:rsidR="00D32880" w:rsidRPr="00C94EA5" w:rsidRDefault="00D32880" w:rsidP="00C94EA5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4773D88A" w14:textId="27E3FFE8" w:rsidR="00D32880" w:rsidRPr="00D32880" w:rsidRDefault="008A4FEA" w:rsidP="00D32880">
      <w:pPr>
        <w:widowControl w:val="0"/>
        <w:numPr>
          <w:ilvl w:val="0"/>
          <w:numId w:val="2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C</w:t>
      </w:r>
      <w:r w:rsidR="00D32880" w:rsidRPr="00D32880">
        <w:rPr>
          <w:rFonts w:ascii="Times New Roman" w:hAnsi="Times New Roman" w:cs="Times New Roman"/>
          <w:i/>
          <w:iCs/>
          <w:sz w:val="22"/>
          <w:szCs w:val="22"/>
        </w:rPr>
        <w:t>onfirms</w:t>
      </w:r>
      <w:r w:rsidR="00D32880">
        <w:rPr>
          <w:rFonts w:ascii="Times New Roman" w:hAnsi="Times New Roman" w:cs="Times New Roman"/>
          <w:sz w:val="22"/>
          <w:szCs w:val="22"/>
        </w:rPr>
        <w:t xml:space="preserve"> that</w:t>
      </w:r>
      <w:r w:rsidR="00D32880" w:rsidRPr="00D32880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the threshold of eligibility for funding of delegates to attend AEWA meetings at 0.200 on the UN Scale of Assessment and, as a general rule, to exclude countries from the European Union, European countries with strong economies and OECD countries, as listed in Appendix V </w:t>
      </w:r>
      <w:r w:rsidR="00D32880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to Resolution 7.12 </w:t>
      </w:r>
      <w:r w:rsidR="00D32880" w:rsidRPr="00D32880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and/or countries that have payments in arrears of more than three </w:t>
      </w:r>
      <w:proofErr w:type="gramStart"/>
      <w:r w:rsidR="00D32880" w:rsidRPr="00D32880">
        <w:rPr>
          <w:rFonts w:ascii="Times New Roman" w:hAnsi="Times New Roman" w:cs="Times New Roman"/>
          <w:iCs/>
          <w:sz w:val="22"/>
          <w:szCs w:val="22"/>
          <w:lang w:val="en-GB"/>
        </w:rPr>
        <w:t>years;</w:t>
      </w:r>
      <w:proofErr w:type="gramEnd"/>
      <w:r w:rsidR="00D32880" w:rsidRPr="00D32880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</w:t>
      </w:r>
    </w:p>
    <w:p w14:paraId="4AF00866" w14:textId="4246F2C9" w:rsidR="00D32880" w:rsidRPr="00D32880" w:rsidRDefault="00D32880" w:rsidP="00D61C74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5A00734A" w14:textId="408BB6C9" w:rsidR="00C95369" w:rsidRPr="00F4343A" w:rsidRDefault="00572DF2" w:rsidP="001147B1">
      <w:pPr>
        <w:widowControl w:val="0"/>
        <w:numPr>
          <w:ilvl w:val="0"/>
          <w:numId w:val="2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94EA5">
        <w:rPr>
          <w:rFonts w:ascii="Times New Roman" w:hAnsi="Times New Roman" w:cs="Times New Roman"/>
          <w:i/>
          <w:iCs/>
          <w:sz w:val="22"/>
          <w:szCs w:val="22"/>
        </w:rPr>
        <w:t xml:space="preserve">Decides </w:t>
      </w:r>
      <w:r w:rsidRPr="00F4343A">
        <w:rPr>
          <w:rFonts w:ascii="Times New Roman" w:hAnsi="Times New Roman" w:cs="Times New Roman"/>
          <w:sz w:val="22"/>
          <w:szCs w:val="22"/>
        </w:rPr>
        <w:t>that in the case of unforeseen circumstances the Standing Committee may decide on budgetary matters until the Meeting of the Parties reconvenes in 2022</w:t>
      </w:r>
      <w:r w:rsidR="00F4343A">
        <w:rPr>
          <w:rFonts w:ascii="Times New Roman" w:hAnsi="Times New Roman" w:cs="Times New Roman"/>
          <w:sz w:val="22"/>
          <w:szCs w:val="22"/>
        </w:rPr>
        <w:t>.</w:t>
      </w:r>
    </w:p>
    <w:p w14:paraId="01CFD775" w14:textId="77777777" w:rsidR="00572DF2" w:rsidRDefault="00572DF2" w:rsidP="00D75E4E">
      <w:pPr>
        <w:spacing w:after="1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1968E3E8" w14:textId="77777777" w:rsidR="002A6952" w:rsidRDefault="002A6952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br w:type="page"/>
      </w:r>
    </w:p>
    <w:p w14:paraId="2517D67C" w14:textId="77777777" w:rsidR="000123F4" w:rsidRPr="000123F4" w:rsidRDefault="000123F4" w:rsidP="00D75E4E">
      <w:pPr>
        <w:spacing w:after="160" w:line="276" w:lineRule="auto"/>
        <w:jc w:val="center"/>
        <w:rPr>
          <w:rFonts w:ascii="Times New Roman" w:hAnsi="Times New Roman" w:cs="Times New Roman"/>
          <w:b/>
          <w:bCs/>
        </w:rPr>
      </w:pPr>
      <w:r w:rsidRPr="000123F4">
        <w:rPr>
          <w:rFonts w:ascii="Times New Roman" w:hAnsi="Times New Roman" w:cs="Times New Roman"/>
          <w:b/>
          <w:bCs/>
          <w:lang w:val="en-GB"/>
        </w:rPr>
        <w:lastRenderedPageBreak/>
        <w:t>APPENDIX IA</w:t>
      </w:r>
      <w:r w:rsidRPr="000123F4">
        <w:rPr>
          <w:rFonts w:ascii="Times New Roman" w:hAnsi="Times New Roman" w:cs="Times New Roman"/>
          <w:b/>
          <w:bCs/>
        </w:rPr>
        <w:t xml:space="preserve"> </w:t>
      </w:r>
    </w:p>
    <w:p w14:paraId="08A342E5" w14:textId="2B59B69D" w:rsidR="00D75E4E" w:rsidRDefault="000123F4" w:rsidP="00D75E4E">
      <w:pPr>
        <w:spacing w:after="160" w:line="276" w:lineRule="auto"/>
        <w:jc w:val="center"/>
        <w:rPr>
          <w:rFonts w:ascii="Times New Roman" w:hAnsi="Times New Roman" w:cs="Times New Roman"/>
          <w:b/>
          <w:bCs/>
        </w:rPr>
      </w:pPr>
      <w:r w:rsidRPr="000123F4">
        <w:rPr>
          <w:rFonts w:ascii="Times New Roman" w:hAnsi="Times New Roman" w:cs="Times New Roman"/>
          <w:b/>
          <w:bCs/>
        </w:rPr>
        <w:t>CORE BUDGET FOR THE YEAR 2022 (IN EURO)</w:t>
      </w:r>
    </w:p>
    <w:tbl>
      <w:tblPr>
        <w:tblW w:w="102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408"/>
        <w:gridCol w:w="1980"/>
        <w:gridCol w:w="2256"/>
      </w:tblGrid>
      <w:tr w:rsidR="009129D4" w:rsidRPr="000123F4" w14:paraId="65B775D0" w14:textId="77777777" w:rsidTr="00B95AA8">
        <w:trPr>
          <w:trHeight w:val="377"/>
          <w:tblHeader/>
        </w:trPr>
        <w:tc>
          <w:tcPr>
            <w:tcW w:w="616" w:type="dxa"/>
            <w:shd w:val="clear" w:color="000000" w:fill="EDEDED"/>
            <w:noWrap/>
            <w:vAlign w:val="center"/>
            <w:hideMark/>
          </w:tcPr>
          <w:p w14:paraId="539E45C3" w14:textId="77777777" w:rsidR="009129D4" w:rsidRPr="000123F4" w:rsidRDefault="009129D4" w:rsidP="00B95A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</w:t>
            </w:r>
          </w:p>
        </w:tc>
        <w:tc>
          <w:tcPr>
            <w:tcW w:w="5408" w:type="dxa"/>
            <w:shd w:val="clear" w:color="000000" w:fill="EDEDED"/>
            <w:noWrap/>
            <w:vAlign w:val="center"/>
            <w:hideMark/>
          </w:tcPr>
          <w:p w14:paraId="79E73270" w14:textId="3AB8B512" w:rsidR="009129D4" w:rsidRPr="000123F4" w:rsidRDefault="009129D4" w:rsidP="00B95A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Budget Item</w:t>
            </w:r>
          </w:p>
        </w:tc>
        <w:tc>
          <w:tcPr>
            <w:tcW w:w="1980" w:type="dxa"/>
            <w:shd w:val="clear" w:color="000000" w:fill="EDEDED"/>
            <w:noWrap/>
            <w:vAlign w:val="center"/>
            <w:hideMark/>
          </w:tcPr>
          <w:p w14:paraId="3586E268" w14:textId="560A6A1A" w:rsidR="009129D4" w:rsidRPr="000123F4" w:rsidRDefault="000123F4" w:rsidP="00B95A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Umoja budget class</w:t>
            </w:r>
          </w:p>
        </w:tc>
        <w:tc>
          <w:tcPr>
            <w:tcW w:w="2256" w:type="dxa"/>
            <w:shd w:val="clear" w:color="000000" w:fill="EDEDED"/>
            <w:noWrap/>
            <w:vAlign w:val="center"/>
            <w:hideMark/>
          </w:tcPr>
          <w:p w14:paraId="12A88308" w14:textId="77777777" w:rsidR="009129D4" w:rsidRPr="000123F4" w:rsidRDefault="009129D4" w:rsidP="00B95A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9129D4" w:rsidRPr="000123F4" w14:paraId="507877EE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D58174A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8" w:type="dxa"/>
            <w:shd w:val="clear" w:color="auto" w:fill="auto"/>
            <w:noWrap/>
            <w:vAlign w:val="center"/>
            <w:hideMark/>
          </w:tcPr>
          <w:p w14:paraId="17825B16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EED0F5D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677361B6" w14:textId="77777777" w:rsidR="009129D4" w:rsidRPr="000123F4" w:rsidRDefault="009129D4" w:rsidP="0091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29D4" w:rsidRPr="000123F4" w14:paraId="74620623" w14:textId="77777777" w:rsidTr="000123F4">
        <w:trPr>
          <w:trHeight w:val="267"/>
        </w:trPr>
        <w:tc>
          <w:tcPr>
            <w:tcW w:w="616" w:type="dxa"/>
            <w:shd w:val="clear" w:color="000000" w:fill="EDEDED"/>
            <w:noWrap/>
            <w:vAlign w:val="bottom"/>
            <w:hideMark/>
          </w:tcPr>
          <w:p w14:paraId="389DC61F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8" w:type="dxa"/>
            <w:shd w:val="clear" w:color="000000" w:fill="EDEDED"/>
            <w:noWrap/>
            <w:vAlign w:val="center"/>
            <w:hideMark/>
          </w:tcPr>
          <w:p w14:paraId="17C652E1" w14:textId="77777777" w:rsidR="009129D4" w:rsidRPr="00B95AA8" w:rsidRDefault="009129D4" w:rsidP="009129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 MANAGEMENT</w:t>
            </w:r>
          </w:p>
        </w:tc>
        <w:tc>
          <w:tcPr>
            <w:tcW w:w="1980" w:type="dxa"/>
            <w:shd w:val="clear" w:color="000000" w:fill="EDEDED"/>
            <w:noWrap/>
            <w:vAlign w:val="center"/>
            <w:hideMark/>
          </w:tcPr>
          <w:p w14:paraId="2E663D62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6" w:type="dxa"/>
            <w:shd w:val="clear" w:color="000000" w:fill="EDEDED"/>
            <w:noWrap/>
            <w:vAlign w:val="bottom"/>
            <w:hideMark/>
          </w:tcPr>
          <w:p w14:paraId="234DA28F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29D4" w:rsidRPr="000123F4" w14:paraId="047DDEA2" w14:textId="77777777" w:rsidTr="000123F4">
        <w:trPr>
          <w:trHeight w:val="368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F9263C6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5E0A94E5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Professional Staff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6FEF9AB" w14:textId="77777777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Staff Costs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0EBD0538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623,482 </w:t>
            </w:r>
          </w:p>
        </w:tc>
      </w:tr>
      <w:tr w:rsidR="009129D4" w:rsidRPr="000123F4" w14:paraId="0595960A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BD2A38C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1305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0AD922A1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General Service Staff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123C33" w14:textId="77777777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Staff Costs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19C55D5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217,417 </w:t>
            </w:r>
          </w:p>
        </w:tc>
      </w:tr>
      <w:tr w:rsidR="009129D4" w:rsidRPr="000123F4" w14:paraId="0ABF8310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6A99FF3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446A0E76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Translators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B98EE6" w14:textId="7EFFB92E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Contract</w:t>
            </w:r>
            <w:r w:rsidR="000123F4">
              <w:rPr>
                <w:rFonts w:ascii="Times New Roman" w:hAnsi="Times New Roman" w:cs="Times New Roman"/>
                <w:sz w:val="20"/>
                <w:szCs w:val="20"/>
              </w:rPr>
              <w:t xml:space="preserve">ual </w:t>
            </w: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70ABD2B6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8,000 </w:t>
            </w:r>
          </w:p>
        </w:tc>
      </w:tr>
      <w:tr w:rsidR="009129D4" w:rsidRPr="000123F4" w14:paraId="43870900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013A280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3C4DF05A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Official Travel AEWA Staff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0A7D3F" w14:textId="77777777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Travel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4E73977A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24,500 </w:t>
            </w:r>
          </w:p>
        </w:tc>
      </w:tr>
      <w:tr w:rsidR="009129D4" w:rsidRPr="000123F4" w14:paraId="2D39BB2E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E710B22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3201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41C4F1CA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Training of Staff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7CB570" w14:textId="77777777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Operating costs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3A496879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2,040 </w:t>
            </w:r>
          </w:p>
        </w:tc>
      </w:tr>
      <w:tr w:rsidR="009129D4" w:rsidRPr="000123F4" w14:paraId="0257FAA1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ACEA9A8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4101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054F52A0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Miscellaneous office supplies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216744" w14:textId="77777777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Supplies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4F837CCF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4,080 </w:t>
            </w:r>
          </w:p>
        </w:tc>
      </w:tr>
      <w:tr w:rsidR="009129D4" w:rsidRPr="000123F4" w14:paraId="67E55D32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4369569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4201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3D0E82FC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Office equipment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C3E3F6" w14:textId="77777777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Furniture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60D50E6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6,120 </w:t>
            </w:r>
          </w:p>
        </w:tc>
      </w:tr>
      <w:tr w:rsidR="009129D4" w:rsidRPr="000123F4" w14:paraId="0184A8C1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535389B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45C96C4C" w14:textId="43AEA2B6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Rent and maintenance costs 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B4C7F37" w14:textId="123DA833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0B9587E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-   </w:t>
            </w:r>
          </w:p>
        </w:tc>
      </w:tr>
      <w:tr w:rsidR="009129D4" w:rsidRPr="000123F4" w14:paraId="10FCED31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94A9275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4302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1CE18200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IT service provider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24503BC" w14:textId="77777777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Operating costs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7CACEC94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39,000 </w:t>
            </w:r>
          </w:p>
        </w:tc>
      </w:tr>
      <w:tr w:rsidR="009129D4" w:rsidRPr="000123F4" w14:paraId="08519B51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2243B5B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4303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5305E1A2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Umoja costs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3ADD9F2" w14:textId="77777777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Operating costs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5F8EE770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7,000 </w:t>
            </w:r>
          </w:p>
        </w:tc>
      </w:tr>
      <w:tr w:rsidR="009129D4" w:rsidRPr="000123F4" w14:paraId="770D35C4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DC02DEB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5101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10AE72C1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Operation/maintenance of computers, photocopiers &amp; others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751C8D" w14:textId="77777777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Operating costs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1AD4F6CF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5,100 </w:t>
            </w:r>
          </w:p>
        </w:tc>
      </w:tr>
      <w:tr w:rsidR="009129D4" w:rsidRPr="000123F4" w14:paraId="68C9C58A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0D4A6D9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5201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0911BC69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Document production (external)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75B900" w14:textId="626A7595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746F8F6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-   </w:t>
            </w:r>
          </w:p>
        </w:tc>
      </w:tr>
      <w:tr w:rsidR="009129D4" w:rsidRPr="000123F4" w14:paraId="63D9FE23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FAC269C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5203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2A520298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Reference material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73A457B" w14:textId="292DB2CA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0188455F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-   </w:t>
            </w:r>
          </w:p>
        </w:tc>
      </w:tr>
      <w:tr w:rsidR="009129D4" w:rsidRPr="000123F4" w14:paraId="094F8BAE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CF78080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5301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7E097022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Telephone, Fax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1FCD0D" w14:textId="77777777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Operating costs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1E0A3993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5,200 </w:t>
            </w:r>
          </w:p>
        </w:tc>
      </w:tr>
      <w:tr w:rsidR="009129D4" w:rsidRPr="000123F4" w14:paraId="6A339A77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BAE4C6E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5302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78B6F6F8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Postage and miscellaneous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2D6E39" w14:textId="77777777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Operating costs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4FEA4A5C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2,550 </w:t>
            </w:r>
          </w:p>
        </w:tc>
      </w:tr>
      <w:tr w:rsidR="009129D4" w:rsidRPr="000123F4" w14:paraId="24817E8F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8B9A869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5303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657EB489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Bank charges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E0D74B" w14:textId="77777777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Operating costs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74B024D2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102 </w:t>
            </w:r>
          </w:p>
        </w:tc>
      </w:tr>
      <w:tr w:rsidR="009129D4" w:rsidRPr="000123F4" w14:paraId="346FC893" w14:textId="77777777" w:rsidTr="000123F4">
        <w:trPr>
          <w:trHeight w:val="267"/>
        </w:trPr>
        <w:tc>
          <w:tcPr>
            <w:tcW w:w="616" w:type="dxa"/>
            <w:shd w:val="clear" w:color="000000" w:fill="EDEDED"/>
            <w:noWrap/>
            <w:vAlign w:val="bottom"/>
            <w:hideMark/>
          </w:tcPr>
          <w:p w14:paraId="16E0E794" w14:textId="77777777" w:rsidR="009129D4" w:rsidRPr="000123F4" w:rsidRDefault="009129D4" w:rsidP="009129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8" w:type="dxa"/>
            <w:shd w:val="clear" w:color="000000" w:fill="EDEDED"/>
            <w:noWrap/>
            <w:vAlign w:val="bottom"/>
            <w:hideMark/>
          </w:tcPr>
          <w:p w14:paraId="4D20D203" w14:textId="77777777" w:rsidR="009129D4" w:rsidRPr="000123F4" w:rsidRDefault="009129D4" w:rsidP="009129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980" w:type="dxa"/>
            <w:shd w:val="clear" w:color="000000" w:fill="EDEDED"/>
            <w:noWrap/>
            <w:vAlign w:val="bottom"/>
            <w:hideMark/>
          </w:tcPr>
          <w:p w14:paraId="7F258E3C" w14:textId="5930CB2B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  <w:shd w:val="clear" w:color="000000" w:fill="EDEDED"/>
            <w:noWrap/>
            <w:vAlign w:val="bottom"/>
            <w:hideMark/>
          </w:tcPr>
          <w:p w14:paraId="5ECE8922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944,591 </w:t>
            </w:r>
          </w:p>
        </w:tc>
      </w:tr>
      <w:tr w:rsidR="009129D4" w:rsidRPr="000123F4" w14:paraId="044B2BAB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F6E8678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0E2985FC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05C699" w14:textId="3FEF1E04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7AA0C24E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29D4" w:rsidRPr="000123F4" w14:paraId="493B4919" w14:textId="77777777" w:rsidTr="000123F4">
        <w:trPr>
          <w:trHeight w:val="267"/>
        </w:trPr>
        <w:tc>
          <w:tcPr>
            <w:tcW w:w="616" w:type="dxa"/>
            <w:shd w:val="clear" w:color="000000" w:fill="EDEDED"/>
            <w:noWrap/>
            <w:vAlign w:val="bottom"/>
            <w:hideMark/>
          </w:tcPr>
          <w:p w14:paraId="52D6E004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8" w:type="dxa"/>
            <w:shd w:val="clear" w:color="000000" w:fill="EDEDED"/>
            <w:noWrap/>
            <w:vAlign w:val="center"/>
            <w:hideMark/>
          </w:tcPr>
          <w:p w14:paraId="185CC954" w14:textId="77777777" w:rsidR="009129D4" w:rsidRPr="00B95AA8" w:rsidRDefault="009129D4" w:rsidP="009129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IMPLEMENTATION OF THE AFRICAN INITIATIVE</w:t>
            </w:r>
          </w:p>
        </w:tc>
        <w:tc>
          <w:tcPr>
            <w:tcW w:w="1980" w:type="dxa"/>
            <w:shd w:val="clear" w:color="000000" w:fill="EDEDED"/>
            <w:noWrap/>
            <w:vAlign w:val="center"/>
            <w:hideMark/>
          </w:tcPr>
          <w:p w14:paraId="3AA4671E" w14:textId="535F60C9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shd w:val="clear" w:color="000000" w:fill="EDEDED"/>
            <w:noWrap/>
            <w:vAlign w:val="bottom"/>
            <w:hideMark/>
          </w:tcPr>
          <w:p w14:paraId="5014CE4D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29D4" w:rsidRPr="000123F4" w14:paraId="77F503C6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27017DB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2203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214FE2E2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Small Grant Fund Projects in African Countries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BFC608" w14:textId="0D10D6FD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81CE7CA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-   </w:t>
            </w:r>
          </w:p>
        </w:tc>
      </w:tr>
      <w:tr w:rsidR="009129D4" w:rsidRPr="000123F4" w14:paraId="781BCDD1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D9EC981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2204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1FA51608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Implementation of the African action plan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4B0547" w14:textId="2B774D5D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8163C80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-   </w:t>
            </w:r>
          </w:p>
        </w:tc>
      </w:tr>
      <w:tr w:rsidR="009129D4" w:rsidRPr="000123F4" w14:paraId="51BD00E4" w14:textId="77777777" w:rsidTr="000123F4">
        <w:trPr>
          <w:trHeight w:val="267"/>
        </w:trPr>
        <w:tc>
          <w:tcPr>
            <w:tcW w:w="616" w:type="dxa"/>
            <w:shd w:val="clear" w:color="000000" w:fill="EDEDED"/>
            <w:noWrap/>
            <w:vAlign w:val="bottom"/>
            <w:hideMark/>
          </w:tcPr>
          <w:p w14:paraId="5DB3CA87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8" w:type="dxa"/>
            <w:shd w:val="clear" w:color="000000" w:fill="EDEDED"/>
            <w:noWrap/>
            <w:vAlign w:val="bottom"/>
            <w:hideMark/>
          </w:tcPr>
          <w:p w14:paraId="556D83C5" w14:textId="77777777" w:rsidR="009129D4" w:rsidRPr="000123F4" w:rsidRDefault="009129D4" w:rsidP="009129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980" w:type="dxa"/>
            <w:shd w:val="clear" w:color="000000" w:fill="EDEDED"/>
            <w:noWrap/>
            <w:vAlign w:val="bottom"/>
            <w:hideMark/>
          </w:tcPr>
          <w:p w14:paraId="6564F787" w14:textId="5A1464D3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shd w:val="clear" w:color="000000" w:fill="EDEDED"/>
            <w:noWrap/>
            <w:vAlign w:val="bottom"/>
            <w:hideMark/>
          </w:tcPr>
          <w:p w14:paraId="6D78E383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-   </w:t>
            </w:r>
          </w:p>
        </w:tc>
      </w:tr>
      <w:tr w:rsidR="009129D4" w:rsidRPr="000123F4" w14:paraId="152D9DCA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5AD7FEAC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2B51F024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1765EE3" w14:textId="5B6CE657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3522DAB8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29D4" w:rsidRPr="000123F4" w14:paraId="57B6F158" w14:textId="77777777" w:rsidTr="000123F4">
        <w:trPr>
          <w:trHeight w:val="267"/>
        </w:trPr>
        <w:tc>
          <w:tcPr>
            <w:tcW w:w="616" w:type="dxa"/>
            <w:shd w:val="clear" w:color="000000" w:fill="EDEDED"/>
            <w:noWrap/>
            <w:vAlign w:val="bottom"/>
            <w:hideMark/>
          </w:tcPr>
          <w:p w14:paraId="120AFE4D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8" w:type="dxa"/>
            <w:shd w:val="clear" w:color="000000" w:fill="EDEDED"/>
            <w:noWrap/>
            <w:vAlign w:val="center"/>
            <w:hideMark/>
          </w:tcPr>
          <w:p w14:paraId="4ACA9CBD" w14:textId="77777777" w:rsidR="009129D4" w:rsidRPr="00B95AA8" w:rsidRDefault="009129D4" w:rsidP="009129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SERVICING THE MEETING OF THE PARTIES </w:t>
            </w:r>
          </w:p>
        </w:tc>
        <w:tc>
          <w:tcPr>
            <w:tcW w:w="1980" w:type="dxa"/>
            <w:shd w:val="clear" w:color="000000" w:fill="EDEDED"/>
            <w:noWrap/>
            <w:vAlign w:val="center"/>
            <w:hideMark/>
          </w:tcPr>
          <w:p w14:paraId="59EBC8CD" w14:textId="7BCD82D3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shd w:val="clear" w:color="000000" w:fill="EDEDED"/>
            <w:noWrap/>
            <w:vAlign w:val="bottom"/>
            <w:hideMark/>
          </w:tcPr>
          <w:p w14:paraId="4583433A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29D4" w:rsidRPr="000123F4" w14:paraId="573A0C70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0559EAD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0FB5274C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Report Writers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B136EC" w14:textId="7121FE21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Contract</w:t>
            </w:r>
            <w:r w:rsidR="000123F4">
              <w:rPr>
                <w:rFonts w:ascii="Times New Roman" w:hAnsi="Times New Roman" w:cs="Times New Roman"/>
                <w:sz w:val="20"/>
                <w:szCs w:val="20"/>
              </w:rPr>
              <w:t>ual</w:t>
            </w: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Services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3094CAEF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20,000 </w:t>
            </w:r>
          </w:p>
        </w:tc>
      </w:tr>
      <w:tr w:rsidR="009129D4" w:rsidRPr="000123F4" w14:paraId="2BBFBDAB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68FC07D1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27C4C2AE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Interpreters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6D5A50" w14:textId="1620D616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782E8560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-   </w:t>
            </w:r>
          </w:p>
        </w:tc>
      </w:tr>
      <w:tr w:rsidR="009129D4" w:rsidRPr="000123F4" w14:paraId="35FB7AB2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5DC2475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196F8675" w14:textId="6F953B42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Consultancies for MOP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85E3FC" w14:textId="04C1C02B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39881E34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-   </w:t>
            </w:r>
          </w:p>
        </w:tc>
      </w:tr>
      <w:tr w:rsidR="009129D4" w:rsidRPr="000123F4" w14:paraId="51BACA26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B9ED549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1602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67690418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Travel of Staff to the MOP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CEFDDC" w14:textId="17F5F19D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19EDC567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-   </w:t>
            </w:r>
          </w:p>
        </w:tc>
      </w:tr>
      <w:tr w:rsidR="009129D4" w:rsidRPr="000123F4" w14:paraId="0C9D2B18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5E9E375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2201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78C7B633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Organization of MOP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A5B34C" w14:textId="1ADFAEB2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0FDC2C53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-   </w:t>
            </w:r>
          </w:p>
        </w:tc>
      </w:tr>
      <w:tr w:rsidR="009129D4" w:rsidRPr="000123F4" w14:paraId="139875BE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48B0161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5201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63C0888E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Document production (external)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4390C4" w14:textId="5142CC28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77159F98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-   </w:t>
            </w:r>
          </w:p>
        </w:tc>
      </w:tr>
      <w:tr w:rsidR="009129D4" w:rsidRPr="000123F4" w14:paraId="0104202F" w14:textId="77777777" w:rsidTr="000123F4">
        <w:trPr>
          <w:trHeight w:val="267"/>
        </w:trPr>
        <w:tc>
          <w:tcPr>
            <w:tcW w:w="616" w:type="dxa"/>
            <w:shd w:val="clear" w:color="000000" w:fill="EDEDED"/>
            <w:noWrap/>
            <w:vAlign w:val="bottom"/>
            <w:hideMark/>
          </w:tcPr>
          <w:p w14:paraId="5AE9C6AC" w14:textId="77777777" w:rsidR="009129D4" w:rsidRPr="000123F4" w:rsidRDefault="009129D4" w:rsidP="009129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8" w:type="dxa"/>
            <w:shd w:val="clear" w:color="000000" w:fill="EDEDED"/>
            <w:noWrap/>
            <w:vAlign w:val="bottom"/>
            <w:hideMark/>
          </w:tcPr>
          <w:p w14:paraId="5577ADB8" w14:textId="77777777" w:rsidR="009129D4" w:rsidRPr="000123F4" w:rsidRDefault="009129D4" w:rsidP="009129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980" w:type="dxa"/>
            <w:shd w:val="clear" w:color="000000" w:fill="EDEDED"/>
            <w:noWrap/>
            <w:vAlign w:val="bottom"/>
            <w:hideMark/>
          </w:tcPr>
          <w:p w14:paraId="6B5041A2" w14:textId="0A9EF63F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  <w:shd w:val="clear" w:color="000000" w:fill="EDEDED"/>
            <w:noWrap/>
            <w:vAlign w:val="bottom"/>
            <w:hideMark/>
          </w:tcPr>
          <w:p w14:paraId="00F2E33C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20,000 </w:t>
            </w:r>
          </w:p>
        </w:tc>
      </w:tr>
      <w:tr w:rsidR="009129D4" w:rsidRPr="000123F4" w14:paraId="7209869A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6536513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18593925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F20437" w14:textId="0F598EF4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C9883EB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29D4" w:rsidRPr="000123F4" w14:paraId="6B4CB173" w14:textId="77777777" w:rsidTr="000123F4">
        <w:trPr>
          <w:trHeight w:val="267"/>
        </w:trPr>
        <w:tc>
          <w:tcPr>
            <w:tcW w:w="616" w:type="dxa"/>
            <w:shd w:val="clear" w:color="000000" w:fill="EDEDED"/>
            <w:noWrap/>
            <w:vAlign w:val="bottom"/>
            <w:hideMark/>
          </w:tcPr>
          <w:p w14:paraId="727DBB4A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8" w:type="dxa"/>
            <w:shd w:val="clear" w:color="000000" w:fill="EDEDED"/>
            <w:noWrap/>
            <w:vAlign w:val="center"/>
            <w:hideMark/>
          </w:tcPr>
          <w:p w14:paraId="5C86F959" w14:textId="77777777" w:rsidR="009129D4" w:rsidRPr="00B95AA8" w:rsidRDefault="009129D4" w:rsidP="009129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SERVICING THE TECHNICAL COMMITTEE</w:t>
            </w:r>
          </w:p>
        </w:tc>
        <w:tc>
          <w:tcPr>
            <w:tcW w:w="1980" w:type="dxa"/>
            <w:shd w:val="clear" w:color="000000" w:fill="EDEDED"/>
            <w:noWrap/>
            <w:vAlign w:val="center"/>
            <w:hideMark/>
          </w:tcPr>
          <w:p w14:paraId="4118A1BA" w14:textId="79CDE5BA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shd w:val="clear" w:color="000000" w:fill="EDEDED"/>
            <w:noWrap/>
            <w:vAlign w:val="bottom"/>
            <w:hideMark/>
          </w:tcPr>
          <w:p w14:paraId="6901209A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29D4" w:rsidRPr="000123F4" w14:paraId="65FC45D9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8406C21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5A8128CB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Report Writers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06E8DC" w14:textId="6AF30E86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C201617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-   </w:t>
            </w:r>
          </w:p>
        </w:tc>
      </w:tr>
      <w:tr w:rsidR="009129D4" w:rsidRPr="000123F4" w14:paraId="473A34B8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A107957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050BBA7A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Interpreters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FD92D1" w14:textId="0981118F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73F6341D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-   </w:t>
            </w:r>
          </w:p>
        </w:tc>
      </w:tr>
      <w:tr w:rsidR="009129D4" w:rsidRPr="000123F4" w14:paraId="159904FE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1F055E2C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3302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2BFA83F8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Meetings of the TC (travel/</w:t>
            </w:r>
            <w:proofErr w:type="spellStart"/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dsa</w:t>
            </w:r>
            <w:proofErr w:type="spellEnd"/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organisational</w:t>
            </w:r>
            <w:proofErr w:type="spellEnd"/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costs)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A58D98" w14:textId="0604E16F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1E35EB85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-   </w:t>
            </w:r>
          </w:p>
        </w:tc>
      </w:tr>
      <w:tr w:rsidR="009129D4" w:rsidRPr="000123F4" w14:paraId="23EF67B3" w14:textId="77777777" w:rsidTr="000123F4">
        <w:trPr>
          <w:trHeight w:val="267"/>
        </w:trPr>
        <w:tc>
          <w:tcPr>
            <w:tcW w:w="616" w:type="dxa"/>
            <w:shd w:val="clear" w:color="000000" w:fill="EDEDED"/>
            <w:noWrap/>
            <w:vAlign w:val="bottom"/>
            <w:hideMark/>
          </w:tcPr>
          <w:p w14:paraId="2A61362D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8" w:type="dxa"/>
            <w:shd w:val="clear" w:color="000000" w:fill="EDEDED"/>
            <w:noWrap/>
            <w:vAlign w:val="bottom"/>
            <w:hideMark/>
          </w:tcPr>
          <w:p w14:paraId="6E683523" w14:textId="77777777" w:rsidR="009129D4" w:rsidRPr="000123F4" w:rsidRDefault="009129D4" w:rsidP="009129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980" w:type="dxa"/>
            <w:shd w:val="clear" w:color="000000" w:fill="EDEDED"/>
            <w:noWrap/>
            <w:vAlign w:val="bottom"/>
            <w:hideMark/>
          </w:tcPr>
          <w:p w14:paraId="2ECB62EC" w14:textId="378B5D90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shd w:val="clear" w:color="000000" w:fill="EDEDED"/>
            <w:noWrap/>
            <w:vAlign w:val="bottom"/>
            <w:hideMark/>
          </w:tcPr>
          <w:p w14:paraId="4B9EBE17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-   </w:t>
            </w:r>
          </w:p>
        </w:tc>
      </w:tr>
      <w:tr w:rsidR="009129D4" w:rsidRPr="000123F4" w14:paraId="1CE8C772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326A14B8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2AA9B6C1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D4D0C5" w14:textId="78912324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3E59FA6C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29D4" w:rsidRPr="000123F4" w14:paraId="4312401B" w14:textId="77777777" w:rsidTr="000123F4">
        <w:trPr>
          <w:trHeight w:val="267"/>
        </w:trPr>
        <w:tc>
          <w:tcPr>
            <w:tcW w:w="616" w:type="dxa"/>
            <w:shd w:val="clear" w:color="000000" w:fill="EDEDED"/>
            <w:noWrap/>
            <w:vAlign w:val="bottom"/>
            <w:hideMark/>
          </w:tcPr>
          <w:p w14:paraId="29381B76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8" w:type="dxa"/>
            <w:shd w:val="clear" w:color="000000" w:fill="EDEDED"/>
            <w:noWrap/>
            <w:vAlign w:val="center"/>
            <w:hideMark/>
          </w:tcPr>
          <w:p w14:paraId="68823670" w14:textId="77777777" w:rsidR="009129D4" w:rsidRPr="00B95AA8" w:rsidRDefault="009129D4" w:rsidP="009129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SERVICING THE STANDING COMMITTEE</w:t>
            </w:r>
          </w:p>
        </w:tc>
        <w:tc>
          <w:tcPr>
            <w:tcW w:w="1980" w:type="dxa"/>
            <w:shd w:val="clear" w:color="000000" w:fill="EDEDED"/>
            <w:noWrap/>
            <w:vAlign w:val="center"/>
            <w:hideMark/>
          </w:tcPr>
          <w:p w14:paraId="666F45D8" w14:textId="72FE275E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shd w:val="clear" w:color="000000" w:fill="EDEDED"/>
            <w:noWrap/>
            <w:vAlign w:val="bottom"/>
            <w:hideMark/>
          </w:tcPr>
          <w:p w14:paraId="55D76388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29D4" w:rsidRPr="000123F4" w14:paraId="49D31705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E3234A2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571A091C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Report Writers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CDC6458" w14:textId="1B3934C4" w:rsidR="009129D4" w:rsidRPr="000123F4" w:rsidRDefault="009129D4" w:rsidP="0001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4E025065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-   </w:t>
            </w:r>
          </w:p>
        </w:tc>
      </w:tr>
      <w:tr w:rsidR="009129D4" w:rsidRPr="000123F4" w14:paraId="574F05D0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4226FCF9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1205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6CC3B458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Interpreters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EA96A5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04A20964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-   </w:t>
            </w:r>
          </w:p>
        </w:tc>
      </w:tr>
      <w:tr w:rsidR="009129D4" w:rsidRPr="000123F4" w14:paraId="11ED337B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0D9ED727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3303</w:t>
            </w: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21B0BDCC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Meeting of the StC (travel/</w:t>
            </w:r>
            <w:proofErr w:type="spellStart"/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dsa</w:t>
            </w:r>
            <w:proofErr w:type="spellEnd"/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organisational</w:t>
            </w:r>
            <w:proofErr w:type="spellEnd"/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costs)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6E11A8" w14:textId="05A87AAF" w:rsidR="009129D4" w:rsidRPr="000123F4" w:rsidRDefault="009129D4" w:rsidP="0091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5DA805A3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-   </w:t>
            </w:r>
          </w:p>
        </w:tc>
      </w:tr>
      <w:tr w:rsidR="009129D4" w:rsidRPr="000123F4" w14:paraId="7D3D29B8" w14:textId="77777777" w:rsidTr="000123F4">
        <w:trPr>
          <w:trHeight w:val="280"/>
        </w:trPr>
        <w:tc>
          <w:tcPr>
            <w:tcW w:w="616" w:type="dxa"/>
            <w:shd w:val="clear" w:color="000000" w:fill="EDEDED"/>
            <w:noWrap/>
            <w:vAlign w:val="bottom"/>
            <w:hideMark/>
          </w:tcPr>
          <w:p w14:paraId="53DCB36C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8" w:type="dxa"/>
            <w:shd w:val="clear" w:color="000000" w:fill="EDEDED"/>
            <w:noWrap/>
            <w:vAlign w:val="bottom"/>
            <w:hideMark/>
          </w:tcPr>
          <w:p w14:paraId="54DC29D9" w14:textId="77777777" w:rsidR="009129D4" w:rsidRPr="000123F4" w:rsidRDefault="009129D4" w:rsidP="009129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980" w:type="dxa"/>
            <w:shd w:val="clear" w:color="000000" w:fill="EDEDED"/>
            <w:noWrap/>
            <w:vAlign w:val="bottom"/>
            <w:hideMark/>
          </w:tcPr>
          <w:p w14:paraId="1D3E4E17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6" w:type="dxa"/>
            <w:shd w:val="clear" w:color="000000" w:fill="EDEDED"/>
            <w:noWrap/>
            <w:vAlign w:val="bottom"/>
            <w:hideMark/>
          </w:tcPr>
          <w:p w14:paraId="7A467D2D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-   </w:t>
            </w:r>
          </w:p>
        </w:tc>
      </w:tr>
      <w:tr w:rsidR="009129D4" w:rsidRPr="000123F4" w14:paraId="1DBD0308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E767A25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1238B27D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241F1B" w14:textId="77777777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18CA2368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29D4" w:rsidRPr="000123F4" w14:paraId="73B6296C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772A10DC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  <w:shd w:val="clear" w:color="000000" w:fill="EDEDED"/>
            <w:noWrap/>
            <w:vAlign w:val="bottom"/>
            <w:hideMark/>
          </w:tcPr>
          <w:p w14:paraId="23D5C8A7" w14:textId="77777777" w:rsidR="009129D4" w:rsidRPr="000123F4" w:rsidRDefault="009129D4" w:rsidP="009129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80" w:type="dxa"/>
            <w:shd w:val="clear" w:color="000000" w:fill="EDEDED"/>
            <w:noWrap/>
            <w:vAlign w:val="bottom"/>
            <w:hideMark/>
          </w:tcPr>
          <w:p w14:paraId="5B7F648A" w14:textId="77777777" w:rsidR="009129D4" w:rsidRPr="000123F4" w:rsidRDefault="009129D4" w:rsidP="009129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6" w:type="dxa"/>
            <w:shd w:val="clear" w:color="000000" w:fill="EDEDED"/>
            <w:noWrap/>
            <w:vAlign w:val="bottom"/>
            <w:hideMark/>
          </w:tcPr>
          <w:p w14:paraId="4140F2FA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964,591 </w:t>
            </w:r>
          </w:p>
        </w:tc>
      </w:tr>
      <w:tr w:rsidR="009129D4" w:rsidRPr="000123F4" w14:paraId="0C2242FC" w14:textId="77777777" w:rsidTr="000123F4">
        <w:trPr>
          <w:trHeight w:val="26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14:paraId="2E6014D0" w14:textId="77777777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  <w:noWrap/>
            <w:vAlign w:val="bottom"/>
            <w:hideMark/>
          </w:tcPr>
          <w:p w14:paraId="370B3DB7" w14:textId="4ED0D384" w:rsidR="009129D4" w:rsidRPr="000123F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13 % P</w:t>
            </w:r>
            <w:r w:rsidR="000123F4">
              <w:rPr>
                <w:rFonts w:ascii="Times New Roman" w:hAnsi="Times New Roman" w:cs="Times New Roman"/>
                <w:sz w:val="20"/>
                <w:szCs w:val="20"/>
              </w:rPr>
              <w:t xml:space="preserve">rogramme </w:t>
            </w: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123F4">
              <w:rPr>
                <w:rFonts w:ascii="Times New Roman" w:hAnsi="Times New Roman" w:cs="Times New Roman"/>
                <w:sz w:val="20"/>
                <w:szCs w:val="20"/>
              </w:rPr>
              <w:t xml:space="preserve">upport </w:t>
            </w: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123F4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3F4">
              <w:rPr>
                <w:rFonts w:ascii="Times New Roman" w:hAnsi="Times New Roman" w:cs="Times New Roman"/>
                <w:sz w:val="20"/>
                <w:szCs w:val="20"/>
              </w:rPr>
              <w:t>(PSC)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4B5A44" w14:textId="4715F786" w:rsidR="009129D4" w:rsidRPr="000123F4" w:rsidRDefault="009129D4" w:rsidP="00912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123F4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76D2B2CC" w14:textId="741110E3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125,397 </w:t>
            </w:r>
          </w:p>
        </w:tc>
      </w:tr>
      <w:tr w:rsidR="009129D4" w:rsidRPr="000123F4" w14:paraId="3745CDBE" w14:textId="77777777" w:rsidTr="000123F4">
        <w:trPr>
          <w:trHeight w:val="267"/>
        </w:trPr>
        <w:tc>
          <w:tcPr>
            <w:tcW w:w="616" w:type="dxa"/>
            <w:shd w:val="clear" w:color="auto" w:fill="E7E6E6" w:themeFill="background2"/>
            <w:noWrap/>
            <w:vAlign w:val="bottom"/>
            <w:hideMark/>
          </w:tcPr>
          <w:p w14:paraId="19706F3A" w14:textId="77777777" w:rsidR="009129D4" w:rsidRPr="000123F4" w:rsidRDefault="009129D4" w:rsidP="009129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8" w:type="dxa"/>
            <w:shd w:val="clear" w:color="000000" w:fill="EDEDED"/>
            <w:noWrap/>
            <w:vAlign w:val="bottom"/>
            <w:hideMark/>
          </w:tcPr>
          <w:p w14:paraId="0967C7F6" w14:textId="77777777" w:rsidR="009129D4" w:rsidRPr="000123F4" w:rsidRDefault="009129D4" w:rsidP="009129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980" w:type="dxa"/>
            <w:shd w:val="clear" w:color="000000" w:fill="EDEDED"/>
            <w:noWrap/>
            <w:vAlign w:val="bottom"/>
            <w:hideMark/>
          </w:tcPr>
          <w:p w14:paraId="6D6ECB35" w14:textId="77777777" w:rsidR="009129D4" w:rsidRPr="000123F4" w:rsidRDefault="009129D4" w:rsidP="009129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6" w:type="dxa"/>
            <w:shd w:val="clear" w:color="000000" w:fill="EDEDED"/>
            <w:noWrap/>
            <w:vAlign w:val="bottom"/>
            <w:hideMark/>
          </w:tcPr>
          <w:p w14:paraId="4E769BDA" w14:textId="5B15FB13" w:rsidR="009129D4" w:rsidRPr="000123F4" w:rsidRDefault="009129D4" w:rsidP="009129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1,089,988 </w:t>
            </w:r>
          </w:p>
        </w:tc>
      </w:tr>
    </w:tbl>
    <w:p w14:paraId="74613F92" w14:textId="754DFEF6" w:rsidR="00D75E4E" w:rsidRPr="009129D4" w:rsidRDefault="00D75E4E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4C3B1542" w14:textId="11AB626A" w:rsidR="009129D4" w:rsidRDefault="009129D4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76EB4363" w14:textId="3A8526B9" w:rsidR="009129D4" w:rsidRDefault="009129D4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212B677E" w14:textId="192E0FE9" w:rsidR="009129D4" w:rsidRDefault="009129D4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17252DE5" w14:textId="085E7247" w:rsidR="009129D4" w:rsidRDefault="009129D4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2A52B73B" w14:textId="424C1711" w:rsidR="009129D4" w:rsidRDefault="009129D4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7C1DCFB3" w14:textId="1EB5EEC8" w:rsidR="009129D4" w:rsidRDefault="009129D4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44961FBC" w14:textId="4E4C4829" w:rsidR="009129D4" w:rsidRDefault="009129D4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5F793711" w14:textId="48426FC7" w:rsidR="009129D4" w:rsidRDefault="009129D4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37C6EEA6" w14:textId="65BE2979" w:rsidR="009129D4" w:rsidRDefault="009129D4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4B49F89F" w14:textId="6FD3DAA7" w:rsidR="009129D4" w:rsidRDefault="009129D4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2D783247" w14:textId="772DA023" w:rsidR="009129D4" w:rsidRDefault="009129D4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2C655075" w14:textId="45CC6827" w:rsidR="009129D4" w:rsidRDefault="009129D4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4DC47D3A" w14:textId="06050AD7" w:rsidR="009129D4" w:rsidRDefault="009129D4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0A7D9BBF" w14:textId="0FCCA65D" w:rsidR="009129D4" w:rsidRDefault="009129D4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3916E533" w14:textId="3E639DD5" w:rsidR="009129D4" w:rsidRDefault="009129D4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0EAAD916" w14:textId="4B56D943" w:rsidR="009129D4" w:rsidRDefault="009129D4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5DD9C8FD" w14:textId="07007019" w:rsidR="009129D4" w:rsidRDefault="009129D4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36D92EEC" w14:textId="44E9E448" w:rsidR="009129D4" w:rsidRDefault="009129D4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5BE7821C" w14:textId="5B7751D9" w:rsidR="009129D4" w:rsidRDefault="009129D4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0B8BDE55" w14:textId="0FDD16F5" w:rsidR="009129D4" w:rsidRDefault="009129D4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2FC671B2" w14:textId="6B049872" w:rsidR="009129D4" w:rsidRDefault="009129D4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79F67F54" w14:textId="77777777" w:rsidR="009129D4" w:rsidRPr="008A4FEA" w:rsidRDefault="009129D4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77C9D0BF" w14:textId="7A2E4502" w:rsidR="00D75E4E" w:rsidRPr="00C52A98" w:rsidRDefault="00D75E4E" w:rsidP="00D75E4E">
      <w:pPr>
        <w:jc w:val="center"/>
        <w:rPr>
          <w:rFonts w:ascii="Times New Roman" w:hAnsi="Times New Roman"/>
          <w:b/>
        </w:rPr>
      </w:pPr>
      <w:r w:rsidRPr="00C52A98">
        <w:rPr>
          <w:rFonts w:ascii="Times New Roman" w:hAnsi="Times New Roman"/>
          <w:b/>
        </w:rPr>
        <w:lastRenderedPageBreak/>
        <w:t xml:space="preserve">APPENDIX </w:t>
      </w:r>
      <w:r w:rsidR="009129D4" w:rsidRPr="00C52A98">
        <w:rPr>
          <w:rFonts w:ascii="Times New Roman" w:hAnsi="Times New Roman"/>
          <w:b/>
        </w:rPr>
        <w:t>I</w:t>
      </w:r>
      <w:r w:rsidRPr="00C52A98">
        <w:rPr>
          <w:rFonts w:ascii="Times New Roman" w:hAnsi="Times New Roman"/>
          <w:b/>
        </w:rPr>
        <w:t>B</w:t>
      </w:r>
    </w:p>
    <w:p w14:paraId="5C1A5C6E" w14:textId="77777777" w:rsidR="000123F4" w:rsidRPr="00C52A98" w:rsidRDefault="000123F4" w:rsidP="00D75E4E">
      <w:pPr>
        <w:jc w:val="center"/>
        <w:rPr>
          <w:rFonts w:ascii="Times New Roman" w:hAnsi="Times New Roman"/>
          <w:b/>
        </w:rPr>
      </w:pPr>
    </w:p>
    <w:p w14:paraId="26CB518A" w14:textId="1E6846FE" w:rsidR="009129D4" w:rsidRPr="00C52A98" w:rsidRDefault="000123F4" w:rsidP="00D75E4E">
      <w:pPr>
        <w:jc w:val="center"/>
        <w:rPr>
          <w:rFonts w:ascii="Times New Roman" w:hAnsi="Times New Roman"/>
          <w:b/>
        </w:rPr>
      </w:pPr>
      <w:r w:rsidRPr="00C52A98">
        <w:rPr>
          <w:rFonts w:ascii="Times New Roman" w:hAnsi="Times New Roman" w:cs="Times New Roman"/>
          <w:b/>
          <w:bCs/>
          <w:color w:val="000000"/>
        </w:rPr>
        <w:t xml:space="preserve">CORE BUDGET FOR THE </w:t>
      </w:r>
      <w:r w:rsidR="00B95AA8" w:rsidRPr="00C52A98">
        <w:rPr>
          <w:rFonts w:ascii="Times New Roman" w:hAnsi="Times New Roman" w:cs="Times New Roman"/>
          <w:b/>
          <w:bCs/>
          <w:color w:val="000000"/>
        </w:rPr>
        <w:t>YEAR</w:t>
      </w:r>
      <w:r w:rsidRPr="00C52A98">
        <w:rPr>
          <w:rFonts w:ascii="Times New Roman" w:hAnsi="Times New Roman" w:cs="Times New Roman"/>
          <w:b/>
          <w:bCs/>
          <w:color w:val="000000"/>
        </w:rPr>
        <w:t xml:space="preserve"> 2022 (IN EURO) - UN UMOJA FORMAT</w:t>
      </w:r>
    </w:p>
    <w:tbl>
      <w:tblPr>
        <w:tblW w:w="9640" w:type="dxa"/>
        <w:tblInd w:w="-270" w:type="dxa"/>
        <w:tblLook w:val="04A0" w:firstRow="1" w:lastRow="0" w:firstColumn="1" w:lastColumn="0" w:noHBand="0" w:noVBand="1"/>
      </w:tblPr>
      <w:tblGrid>
        <w:gridCol w:w="628"/>
        <w:gridCol w:w="5072"/>
        <w:gridCol w:w="1819"/>
        <w:gridCol w:w="2121"/>
      </w:tblGrid>
      <w:tr w:rsidR="009129D4" w:rsidRPr="009129D4" w14:paraId="71B04417" w14:textId="77777777" w:rsidTr="00B95AA8">
        <w:trPr>
          <w:trHeight w:val="358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FA99" w14:textId="77777777" w:rsidR="009129D4" w:rsidRPr="009129D4" w:rsidRDefault="009129D4" w:rsidP="00912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AEA0" w14:textId="77777777" w:rsidR="009129D4" w:rsidRPr="009129D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114F" w14:textId="77777777" w:rsidR="009129D4" w:rsidRPr="009129D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CDBB" w14:textId="77777777" w:rsidR="009129D4" w:rsidRPr="009129D4" w:rsidRDefault="009129D4" w:rsidP="00912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AA8" w:rsidRPr="009129D4" w14:paraId="27E9144A" w14:textId="77777777" w:rsidTr="00B95AA8">
        <w:trPr>
          <w:trHeight w:val="35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DE409AF" w14:textId="43E03DCF" w:rsidR="00B95AA8" w:rsidRPr="009129D4" w:rsidRDefault="00B95AA8" w:rsidP="00B95AA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1231194C" w14:textId="0CB004F8" w:rsidR="00B95AA8" w:rsidRPr="009129D4" w:rsidRDefault="00B95AA8" w:rsidP="00B95AA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Commitment Item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A444AA" w14:textId="77777777" w:rsidR="00B95AA8" w:rsidRPr="009129D4" w:rsidRDefault="00B95AA8" w:rsidP="00B95AA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8EAEF3F" w14:textId="77777777" w:rsidR="00B95AA8" w:rsidRPr="009129D4" w:rsidRDefault="00B95AA8" w:rsidP="00B95AA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</w:t>
            </w:r>
          </w:p>
        </w:tc>
      </w:tr>
      <w:tr w:rsidR="009129D4" w:rsidRPr="009129D4" w14:paraId="4438DB72" w14:textId="77777777" w:rsidTr="00B95AA8">
        <w:trPr>
          <w:trHeight w:val="35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1601" w14:textId="77777777" w:rsidR="009129D4" w:rsidRPr="009129D4" w:rsidRDefault="009129D4" w:rsidP="009129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E3E7" w14:textId="77777777" w:rsidR="009129D4" w:rsidRPr="009129D4" w:rsidRDefault="009129D4" w:rsidP="009129D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Staff and Other Personnel Costs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EFF5" w14:textId="77777777" w:rsidR="009129D4" w:rsidRPr="009129D4" w:rsidRDefault="009129D4" w:rsidP="000123F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840,900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5814" w14:textId="77777777" w:rsidR="009129D4" w:rsidRPr="009129D4" w:rsidRDefault="009129D4" w:rsidP="000123F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840,900 </w:t>
            </w:r>
          </w:p>
        </w:tc>
      </w:tr>
      <w:tr w:rsidR="009129D4" w:rsidRPr="009129D4" w14:paraId="41FF702A" w14:textId="77777777" w:rsidTr="00B95AA8">
        <w:trPr>
          <w:trHeight w:val="35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78A2" w14:textId="77777777" w:rsidR="009129D4" w:rsidRPr="009129D4" w:rsidRDefault="009129D4" w:rsidP="009129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BEFC" w14:textId="77777777" w:rsidR="009129D4" w:rsidRPr="009129D4" w:rsidRDefault="009129D4" w:rsidP="009129D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Contractual Services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A51B" w14:textId="77777777" w:rsidR="009129D4" w:rsidRPr="009129D4" w:rsidRDefault="009129D4" w:rsidP="000123F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28,000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FBA9" w14:textId="77777777" w:rsidR="009129D4" w:rsidRPr="009129D4" w:rsidRDefault="009129D4" w:rsidP="000123F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28,000 </w:t>
            </w:r>
          </w:p>
        </w:tc>
      </w:tr>
      <w:tr w:rsidR="009129D4" w:rsidRPr="009129D4" w14:paraId="2C2AC509" w14:textId="77777777" w:rsidTr="00B95AA8">
        <w:trPr>
          <w:trHeight w:val="35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D924" w14:textId="77777777" w:rsidR="009129D4" w:rsidRPr="009129D4" w:rsidRDefault="009129D4" w:rsidP="009129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2AC5" w14:textId="77777777" w:rsidR="009129D4" w:rsidRPr="009129D4" w:rsidRDefault="009129D4" w:rsidP="009129D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A899" w14:textId="77777777" w:rsidR="009129D4" w:rsidRPr="009129D4" w:rsidRDefault="009129D4" w:rsidP="000123F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24,500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D809" w14:textId="77777777" w:rsidR="009129D4" w:rsidRPr="009129D4" w:rsidRDefault="009129D4" w:rsidP="000123F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24,500 </w:t>
            </w:r>
          </w:p>
        </w:tc>
      </w:tr>
      <w:tr w:rsidR="009129D4" w:rsidRPr="009129D4" w14:paraId="606432EC" w14:textId="77777777" w:rsidTr="00B95AA8">
        <w:trPr>
          <w:trHeight w:val="35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B62B" w14:textId="77777777" w:rsidR="009129D4" w:rsidRPr="009129D4" w:rsidRDefault="009129D4" w:rsidP="009129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8FE6" w14:textId="77777777" w:rsidR="009129D4" w:rsidRPr="009129D4" w:rsidRDefault="009129D4" w:rsidP="009129D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Equipment, Vehicles and Furniture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4332" w14:textId="77777777" w:rsidR="009129D4" w:rsidRPr="009129D4" w:rsidRDefault="009129D4" w:rsidP="000123F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6,120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AA6E" w14:textId="77777777" w:rsidR="009129D4" w:rsidRPr="009129D4" w:rsidRDefault="009129D4" w:rsidP="000123F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6,120 </w:t>
            </w:r>
          </w:p>
        </w:tc>
      </w:tr>
      <w:tr w:rsidR="009129D4" w:rsidRPr="009129D4" w14:paraId="24B78FD0" w14:textId="77777777" w:rsidTr="00B95AA8">
        <w:trPr>
          <w:trHeight w:val="35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7653" w14:textId="77777777" w:rsidR="009129D4" w:rsidRPr="009129D4" w:rsidRDefault="009129D4" w:rsidP="009129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5241" w14:textId="77777777" w:rsidR="009129D4" w:rsidRPr="009129D4" w:rsidRDefault="009129D4" w:rsidP="009129D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Operating and Other Direct Costs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4414" w14:textId="77777777" w:rsidR="009129D4" w:rsidRPr="009129D4" w:rsidRDefault="009129D4" w:rsidP="000123F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60,992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A383" w14:textId="77777777" w:rsidR="009129D4" w:rsidRPr="009129D4" w:rsidRDefault="009129D4" w:rsidP="000123F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60,992 </w:t>
            </w:r>
          </w:p>
        </w:tc>
      </w:tr>
      <w:tr w:rsidR="009129D4" w:rsidRPr="009129D4" w14:paraId="4EAC2E10" w14:textId="77777777" w:rsidTr="00B95AA8">
        <w:trPr>
          <w:trHeight w:val="35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F362" w14:textId="77777777" w:rsidR="009129D4" w:rsidRPr="009129D4" w:rsidRDefault="009129D4" w:rsidP="009129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C1C2" w14:textId="77777777" w:rsidR="009129D4" w:rsidRPr="009129D4" w:rsidRDefault="009129D4" w:rsidP="009129D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Supplies, Commodities and Materials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EA12" w14:textId="77777777" w:rsidR="009129D4" w:rsidRPr="009129D4" w:rsidRDefault="009129D4" w:rsidP="000123F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4,080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9006" w14:textId="77777777" w:rsidR="009129D4" w:rsidRPr="009129D4" w:rsidRDefault="009129D4" w:rsidP="000123F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4,080 </w:t>
            </w:r>
          </w:p>
        </w:tc>
      </w:tr>
      <w:tr w:rsidR="009129D4" w:rsidRPr="009129D4" w14:paraId="1F0222FD" w14:textId="77777777" w:rsidTr="00B95AA8">
        <w:trPr>
          <w:trHeight w:val="37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0DA1" w14:textId="77777777" w:rsidR="009129D4" w:rsidRPr="009129D4" w:rsidRDefault="009129D4" w:rsidP="009129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AFF4" w14:textId="77777777" w:rsidR="009129D4" w:rsidRPr="009129D4" w:rsidRDefault="009129D4" w:rsidP="009129D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UN-PSC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1501" w14:textId="77777777" w:rsidR="009129D4" w:rsidRPr="009129D4" w:rsidRDefault="009129D4" w:rsidP="000123F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125,397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C0D2" w14:textId="77777777" w:rsidR="009129D4" w:rsidRPr="009129D4" w:rsidRDefault="009129D4" w:rsidP="000123F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125,397 </w:t>
            </w:r>
          </w:p>
        </w:tc>
      </w:tr>
      <w:tr w:rsidR="009129D4" w:rsidRPr="009129D4" w14:paraId="6CE5C781" w14:textId="77777777" w:rsidTr="00B95AA8">
        <w:trPr>
          <w:trHeight w:val="37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1090" w14:textId="77777777" w:rsidR="009129D4" w:rsidRPr="009129D4" w:rsidRDefault="009129D4" w:rsidP="009129D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9372F" w14:textId="6160ABF4" w:rsidR="009129D4" w:rsidRPr="009129D4" w:rsidRDefault="009129D4" w:rsidP="009129D4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6DBDD" w14:textId="77777777" w:rsidR="009129D4" w:rsidRPr="009129D4" w:rsidRDefault="009129D4" w:rsidP="000123F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1,089,988 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DACAB" w14:textId="77777777" w:rsidR="009129D4" w:rsidRPr="009129D4" w:rsidRDefault="009129D4" w:rsidP="000123F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129D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1,089,988 </w:t>
            </w:r>
          </w:p>
        </w:tc>
      </w:tr>
    </w:tbl>
    <w:p w14:paraId="240A3221" w14:textId="3631E6FE" w:rsidR="00D75E4E" w:rsidRPr="002A6952" w:rsidRDefault="00D75E4E" w:rsidP="00D75E4E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3377714C" w14:textId="3CA614CE" w:rsidR="00D75E4E" w:rsidRPr="00D75E4E" w:rsidRDefault="00D75E4E" w:rsidP="00D75E4E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4F9560D3" w14:textId="5B94F115" w:rsidR="00D75E4E" w:rsidRDefault="00D75E4E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7BF1A770" w14:textId="00B17AB6" w:rsidR="00D75E4E" w:rsidRDefault="00D75E4E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6BD6F816" w14:textId="30F843C0" w:rsidR="00D75E4E" w:rsidRDefault="00D75E4E" w:rsidP="00D75E4E">
      <w:pPr>
        <w:jc w:val="center"/>
        <w:rPr>
          <w:rFonts w:ascii="Times New Roman" w:hAnsi="Times New Roman"/>
          <w:b/>
          <w:bCs/>
        </w:rPr>
      </w:pPr>
    </w:p>
    <w:p w14:paraId="759D8923" w14:textId="77777777" w:rsidR="002A6952" w:rsidRDefault="002A6952" w:rsidP="00CF39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48093F" w14:textId="77777777" w:rsidR="002A6952" w:rsidRDefault="002A6952" w:rsidP="00CF39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97B09A" w14:textId="77777777" w:rsidR="002A6952" w:rsidRDefault="002A6952" w:rsidP="00CF39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A2CBDC" w14:textId="77777777" w:rsidR="002A6952" w:rsidRDefault="002A6952" w:rsidP="00CF39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DD1E3A" w14:textId="77777777" w:rsidR="002A6952" w:rsidRDefault="002A6952" w:rsidP="00CF39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6DBAF2" w14:textId="77777777" w:rsidR="002A6952" w:rsidRDefault="002A6952" w:rsidP="00CF39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82FCF1" w14:textId="77777777" w:rsidR="002A6952" w:rsidRDefault="002A6952" w:rsidP="00CF39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10FB5B" w14:textId="77777777" w:rsidR="002A6952" w:rsidRDefault="002A6952" w:rsidP="00CF39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424CDD8" w14:textId="77777777" w:rsidR="002A6952" w:rsidRDefault="002A6952" w:rsidP="00CF39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0813075" w14:textId="77777777" w:rsidR="002A6952" w:rsidRDefault="002A6952" w:rsidP="00CF39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D0468DA" w14:textId="77777777" w:rsidR="002A6952" w:rsidRDefault="002A6952" w:rsidP="00CF39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D0C0A06" w14:textId="77777777" w:rsidR="002A6952" w:rsidRDefault="002A6952" w:rsidP="00CF39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D90B40" w14:textId="77777777" w:rsidR="002A6952" w:rsidRDefault="002A6952" w:rsidP="00CF39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7899BD" w14:textId="77777777" w:rsidR="002A6952" w:rsidRDefault="002A6952" w:rsidP="00CF39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DDE86C3" w14:textId="77777777" w:rsidR="002A6952" w:rsidRDefault="002A6952" w:rsidP="00CF39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5DFBDF" w14:textId="77777777" w:rsidR="002A6952" w:rsidRDefault="002A6952" w:rsidP="00CF39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23AC9BF" w14:textId="77777777" w:rsidR="002A6952" w:rsidRDefault="002A6952" w:rsidP="00CF39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FA25A14" w14:textId="77777777" w:rsidR="002A6952" w:rsidRDefault="002A6952" w:rsidP="009129D4">
      <w:pPr>
        <w:rPr>
          <w:rFonts w:ascii="Times New Roman" w:hAnsi="Times New Roman"/>
          <w:b/>
          <w:sz w:val="28"/>
          <w:szCs w:val="28"/>
        </w:rPr>
      </w:pPr>
    </w:p>
    <w:p w14:paraId="4939148D" w14:textId="77777777" w:rsidR="002A6952" w:rsidRDefault="002A6952" w:rsidP="009129D4">
      <w:pPr>
        <w:rPr>
          <w:rFonts w:ascii="Times New Roman" w:hAnsi="Times New Roman"/>
          <w:b/>
          <w:sz w:val="28"/>
          <w:szCs w:val="28"/>
        </w:rPr>
      </w:pPr>
    </w:p>
    <w:p w14:paraId="69E706DB" w14:textId="77777777" w:rsidR="00B95AA8" w:rsidRDefault="00B95AA8" w:rsidP="00CF39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343536" w14:textId="77777777" w:rsidR="00B95AA8" w:rsidRDefault="00B95AA8" w:rsidP="00CF39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FE9423E" w14:textId="3A0D392D" w:rsidR="00CF391C" w:rsidRDefault="00CF391C" w:rsidP="00CF391C">
      <w:pPr>
        <w:jc w:val="center"/>
        <w:rPr>
          <w:rFonts w:ascii="Times New Roman" w:hAnsi="Times New Roman"/>
          <w:b/>
          <w:sz w:val="28"/>
          <w:szCs w:val="28"/>
        </w:rPr>
      </w:pPr>
      <w:r w:rsidRPr="00433A9A">
        <w:rPr>
          <w:rFonts w:ascii="Times New Roman" w:hAnsi="Times New Roman"/>
          <w:b/>
          <w:sz w:val="28"/>
          <w:szCs w:val="28"/>
        </w:rPr>
        <w:lastRenderedPageBreak/>
        <w:t>APPENDIX II</w:t>
      </w:r>
      <w:r w:rsidR="006B09E7">
        <w:rPr>
          <w:rFonts w:ascii="Times New Roman" w:hAnsi="Times New Roman"/>
          <w:b/>
          <w:sz w:val="28"/>
          <w:szCs w:val="28"/>
        </w:rPr>
        <w:t>I</w:t>
      </w:r>
    </w:p>
    <w:p w14:paraId="662D644F" w14:textId="77777777" w:rsidR="00B95AA8" w:rsidRDefault="00B95AA8" w:rsidP="00CF391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29F0CD5" w14:textId="77777777" w:rsidR="00CF391C" w:rsidRDefault="00CF391C" w:rsidP="00CF39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SCALE OF CONTRIBUTIONS BY PARTIES TO THE AEWA TRUST FUND </w:t>
      </w:r>
    </w:p>
    <w:p w14:paraId="4ABC05B8" w14:textId="1E84393B" w:rsidR="00CF391C" w:rsidRPr="007D07F4" w:rsidRDefault="00CF391C" w:rsidP="00CF39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</w:t>
      </w:r>
      <w:r w:rsidRPr="007D07F4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22 (in Euro)</w:t>
      </w:r>
    </w:p>
    <w:p w14:paraId="62A737E3" w14:textId="7681444B" w:rsidR="009548E4" w:rsidRPr="00343BBB" w:rsidRDefault="009548E4" w:rsidP="00D75E4E">
      <w:pPr>
        <w:jc w:val="center"/>
        <w:rPr>
          <w:rFonts w:ascii="Times New Roman" w:hAnsi="Times New Roman"/>
        </w:rPr>
      </w:pPr>
    </w:p>
    <w:tbl>
      <w:tblPr>
        <w:tblW w:w="9832" w:type="dxa"/>
        <w:tblLook w:val="04A0" w:firstRow="1" w:lastRow="0" w:firstColumn="1" w:lastColumn="0" w:noHBand="0" w:noVBand="1"/>
      </w:tblPr>
      <w:tblGrid>
        <w:gridCol w:w="710"/>
        <w:gridCol w:w="7155"/>
        <w:gridCol w:w="1967"/>
      </w:tblGrid>
      <w:tr w:rsidR="00A806E6" w:rsidRPr="000F23FE" w14:paraId="6311F0CD" w14:textId="77777777" w:rsidTr="000F23FE">
        <w:trPr>
          <w:trHeight w:val="62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EBD2F6" w14:textId="6A316CAF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</w:t>
            </w:r>
            <w:r w:rsidR="000F23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09101D" w14:textId="77777777" w:rsidR="00A806E6" w:rsidRPr="000F23FE" w:rsidRDefault="00A806E6" w:rsidP="000F23F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Party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BC2631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A806E6" w:rsidRPr="000F23FE" w14:paraId="45FA6C87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E1DB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724B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Albania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51A8" w14:textId="27B5DB20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A806E6" w:rsidRPr="000F23FE" w14:paraId="50392E98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505C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A0AE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Algeria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0316" w14:textId="06A4251C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3,330</w:t>
            </w:r>
          </w:p>
        </w:tc>
      </w:tr>
      <w:tr w:rsidR="00A806E6" w:rsidRPr="000F23FE" w14:paraId="3848D37C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61A0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F9E3" w14:textId="6D5DCD73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Armenia</w:t>
            </w:r>
            <w:r w:rsid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4D3C" w14:textId="6230456A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A806E6" w:rsidRPr="000F23FE" w14:paraId="097830CD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09F9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6BB4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Belarus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8E7D" w14:textId="70E3CDB8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A806E6" w:rsidRPr="000F23FE" w14:paraId="7F95A427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CBFD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867E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8AF4" w14:textId="6E58005B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27,028</w:t>
            </w:r>
          </w:p>
        </w:tc>
      </w:tr>
      <w:tr w:rsidR="00A806E6" w:rsidRPr="000F23FE" w14:paraId="54E82880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737D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5E0C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Benin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D1D1" w14:textId="41128E48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A806E6" w:rsidRPr="000F23FE" w14:paraId="1E380E34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8DB7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8FCE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Botswana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A203" w14:textId="7FE9374B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A806E6" w:rsidRPr="000F23FE" w14:paraId="7D40393B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B4CF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53D3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Bulgaria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8B56" w14:textId="30FB41F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A806E6" w:rsidRPr="000F23FE" w14:paraId="4331D6F8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8838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8284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Burkina Faso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E84D" w14:textId="321E752D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A806E6" w:rsidRPr="000F23FE" w14:paraId="47332841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D1D1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2415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Burundi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F559" w14:textId="55820E05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A806E6" w:rsidRPr="000F23FE" w14:paraId="20A40AB6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260D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6B6E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Central African Republic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4955" w14:textId="7960CB60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A806E6" w:rsidRPr="000F23FE" w14:paraId="7FD6FF27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B0DF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432A" w14:textId="429F973C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Chad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682B" w14:textId="116721DB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A806E6" w:rsidRPr="000F23FE" w14:paraId="2B84F8CD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6A95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DA3B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Congo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C5E6" w14:textId="3C8A8B53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A806E6" w:rsidRPr="000F23FE" w14:paraId="5A7BF1E4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87D9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4C39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Cote d'Ivoire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0FFC" w14:textId="2A0FD4E8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A806E6" w:rsidRPr="000F23FE" w14:paraId="665F1D57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8C45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281B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Croatia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6301" w14:textId="3C679562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3,093</w:t>
            </w:r>
          </w:p>
        </w:tc>
      </w:tr>
      <w:tr w:rsidR="00A806E6" w:rsidRPr="000F23FE" w14:paraId="779E42F7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75BC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930E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Cyprus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26D3" w14:textId="6CDAA6EB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A806E6" w:rsidRPr="000F23FE" w14:paraId="0C676D1E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787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7B04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Czech Republic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3267" w14:textId="1B4268CE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5,874</w:t>
            </w:r>
          </w:p>
        </w:tc>
      </w:tr>
      <w:tr w:rsidR="00A806E6" w:rsidRPr="000F23FE" w14:paraId="79E6D931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C740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DAA8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Denmark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5B56" w14:textId="5DBB5BCF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22,932</w:t>
            </w:r>
          </w:p>
        </w:tc>
      </w:tr>
      <w:tr w:rsidR="00A806E6" w:rsidRPr="000F23FE" w14:paraId="03CFA2DE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1CD2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6D0A" w14:textId="7F79A658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Djibouti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2725" w14:textId="77BDFE25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A806E6" w:rsidRPr="000F23FE" w14:paraId="18A6B4FE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CBC1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9249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Egypt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FF4C" w14:textId="4ECBCB80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4,664</w:t>
            </w:r>
          </w:p>
        </w:tc>
      </w:tr>
      <w:tr w:rsidR="00A806E6" w:rsidRPr="000F23FE" w14:paraId="7057DF90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3875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595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Equatorial Guinea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C03F" w14:textId="7B4AC34A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A806E6" w:rsidRPr="000F23FE" w14:paraId="5B7105A9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9DBB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0A0B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Estonia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0C41" w14:textId="7E32ED42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A806E6" w:rsidRPr="000F23FE" w14:paraId="1343CB7A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FB8A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9A21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Eswatini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91EB" w14:textId="02C4F51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A806E6" w:rsidRPr="000F23FE" w14:paraId="231F3B19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B866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F9EC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Ethiopia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968C" w14:textId="58FB2D6C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A806E6" w:rsidRPr="000F23FE" w14:paraId="3723E4FB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F771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56DD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Finland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0139" w14:textId="370A7FAC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17,195</w:t>
            </w:r>
          </w:p>
        </w:tc>
      </w:tr>
      <w:tr w:rsidR="00A806E6" w:rsidRPr="000F23FE" w14:paraId="129A7AF1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307F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64A2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754A" w14:textId="28D0C87F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138,276</w:t>
            </w:r>
          </w:p>
        </w:tc>
      </w:tr>
      <w:tr w:rsidR="00A806E6" w:rsidRPr="000F23FE" w14:paraId="0F14101F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27F9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4CAD" w14:textId="78EF7E18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Gabon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8527" w14:textId="6CA86FE6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A806E6" w:rsidRPr="000F23FE" w14:paraId="1613CAE8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3EC5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C650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Gambia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AE20" w14:textId="14D9BA80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A806E6" w:rsidRPr="000F23FE" w14:paraId="3D5D6F4D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F27D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4E79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401C" w14:textId="7FD4825C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A806E6" w:rsidRPr="000F23FE" w14:paraId="3EE0D0F2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C3D9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44BC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9F29" w14:textId="1699F6AA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186,248</w:t>
            </w:r>
          </w:p>
        </w:tc>
      </w:tr>
      <w:tr w:rsidR="00A806E6" w:rsidRPr="000F23FE" w14:paraId="5ACFE516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A0B7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6D4A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7D6F" w14:textId="2B989952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A806E6" w:rsidRPr="000F23FE" w14:paraId="0CE174B2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6E0E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12F5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Guinea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3537" w14:textId="183EB629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A806E6" w:rsidRPr="000F23FE" w14:paraId="24034569" w14:textId="77777777" w:rsidTr="000F23F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91DA" w14:textId="77777777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3315" w14:textId="77777777" w:rsidR="00A806E6" w:rsidRPr="000F23FE" w:rsidRDefault="00A806E6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Guinea - Bissau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9321" w14:textId="38DEEE6E" w:rsidR="00A806E6" w:rsidRPr="000F23FE" w:rsidRDefault="00A806E6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23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</w:tbl>
    <w:p w14:paraId="2E70967A" w14:textId="77777777" w:rsidR="00A806E6" w:rsidRDefault="00A806E6" w:rsidP="000F23FE">
      <w:r>
        <w:br w:type="page"/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7015"/>
        <w:gridCol w:w="2158"/>
      </w:tblGrid>
      <w:tr w:rsidR="000F23FE" w:rsidRPr="00A806E6" w14:paraId="43635796" w14:textId="77777777" w:rsidTr="001B2A7A">
        <w:trPr>
          <w:trHeight w:val="575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68D5A8" w14:textId="2D248F36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No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D96147" w14:textId="6E96D16C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Party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75B310" w14:textId="2AED0F0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0F23FE" w:rsidRPr="00A806E6" w14:paraId="64010D7D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C8AA0B1" w14:textId="3FE77B43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5D436E15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Hungary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7EE2F5EA" w14:textId="164193FE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5,024</w:t>
            </w:r>
          </w:p>
        </w:tc>
      </w:tr>
      <w:tr w:rsidR="000F23FE" w:rsidRPr="00A806E6" w14:paraId="03B2E68B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76F5B70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2613A82A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Iceland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5B2709E1" w14:textId="6CD72E0B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19FE46A0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14301E5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02AC65CB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2AC9C7AF" w14:textId="160E53BC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10,200</w:t>
            </w:r>
          </w:p>
        </w:tc>
      </w:tr>
      <w:tr w:rsidR="000F23FE" w:rsidRPr="00A806E6" w14:paraId="763E2F44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AE81C3D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45902385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45AF6EE5" w14:textId="3EAF10F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14,915</w:t>
            </w:r>
          </w:p>
        </w:tc>
      </w:tr>
      <w:tr w:rsidR="000F23FE" w:rsidRPr="00A806E6" w14:paraId="78B75656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AA82901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3039FB62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3B6DA748" w14:textId="5D2A9A03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109,672</w:t>
            </w:r>
          </w:p>
        </w:tc>
      </w:tr>
      <w:tr w:rsidR="000F23FE" w:rsidRPr="00A806E6" w14:paraId="3FB6D80B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C7811A3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15495F60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3ADCB274" w14:textId="46634D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2F3192FC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48AF7E8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42557E49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64DA8BC9" w14:textId="6A9FA90B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77E138E1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BE095C8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11DED108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Latvia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2C05DC4D" w14:textId="0A24EA89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1C21B89A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65017D0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19AE34A5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Lebanon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4B266C9E" w14:textId="45462D96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3E5AC81A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4B39F32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09EF244C" w14:textId="34F475E9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Libya 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36503700" w14:textId="304FA69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3,830</w:t>
            </w:r>
          </w:p>
        </w:tc>
      </w:tr>
      <w:tr w:rsidR="000F23FE" w:rsidRPr="00A806E6" w14:paraId="5BAF8E7F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BBB63C3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1EEF1346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Lithuania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54C31954" w14:textId="7AB6B330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2,189</w:t>
            </w:r>
          </w:p>
        </w:tc>
      </w:tr>
      <w:tr w:rsidR="000F23FE" w:rsidRPr="00A806E6" w14:paraId="22D14DE2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8FA75F3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3B8BE6FC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Luxembourg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01292732" w14:textId="4E052B74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2,088</w:t>
            </w:r>
          </w:p>
        </w:tc>
      </w:tr>
      <w:tr w:rsidR="000F23FE" w:rsidRPr="00A806E6" w14:paraId="15783F2E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2A58ABA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33C7ECAE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Madagascar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17CFAEF9" w14:textId="3760D416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7425A7CC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11C8E72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7F9170DE" w14:textId="69CBCFC5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Malawi</w:t>
            </w:r>
            <w:r w:rsidR="00C52A98"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09A40377" w14:textId="18B52CC2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07D5341B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3A32675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05073F55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Mali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021557C8" w14:textId="7982BD01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1764EAE1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93C95E1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444E8756" w14:textId="4AEEB792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Mauritania 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13AAB816" w14:textId="2799C7DA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6C13643C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59366C6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52DA73C6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Mauritius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21985576" w14:textId="5194ACAB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3F3E6E6C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EF93FDE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7B13FB0A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Monaco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4892B534" w14:textId="4FB0F7FC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7AF5302B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91EF99A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145A7705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Montenegro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6D94A7C5" w14:textId="53264C8C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58CC61AC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B45C859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2F23D95F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Morocco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0D56DF97" w14:textId="7F537411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761EE703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3CBD7B4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2E1EF486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7497943D" w14:textId="3F98AEE1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53,977</w:t>
            </w:r>
          </w:p>
        </w:tc>
      </w:tr>
      <w:tr w:rsidR="000F23FE" w:rsidRPr="00A806E6" w14:paraId="6B710313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A914BDD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531814CE" w14:textId="4305314F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Niger 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5DE31387" w14:textId="5F79CD92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43077769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98FD25B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4D85E0F9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Nigeria 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24148A39" w14:textId="5ED0401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3,330</w:t>
            </w:r>
          </w:p>
        </w:tc>
      </w:tr>
      <w:tr w:rsidR="000F23FE" w:rsidRPr="00A806E6" w14:paraId="5D318A75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07CD4A9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1FF6FEE2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North Macedonia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619CF360" w14:textId="76379B54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70AB2F4F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0998983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2D3D4CB8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Norway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23B4F86D" w14:textId="4E4ED1B6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26,616</w:t>
            </w:r>
          </w:p>
        </w:tc>
      </w:tr>
      <w:tr w:rsidR="000F23FE" w:rsidRPr="00A806E6" w14:paraId="559BAC30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242CF00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080C2306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54A83F92" w14:textId="40D0180C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11,838</w:t>
            </w:r>
          </w:p>
        </w:tc>
      </w:tr>
      <w:tr w:rsidR="000F23FE" w:rsidRPr="00A806E6" w14:paraId="578669DE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02999B5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66FAA0A6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Republic of Moldova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37F1EFB9" w14:textId="0A37518A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61A75A50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A98456F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1EACA0B9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Romania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5F9E942D" w14:textId="073FD20F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5,000</w:t>
            </w:r>
          </w:p>
        </w:tc>
      </w:tr>
      <w:tr w:rsidR="000F23FE" w:rsidRPr="00A806E6" w14:paraId="2858D9AA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C409257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043B074C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Rwanda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6793B377" w14:textId="366A4265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09B1CDAB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3A304C7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4FFB4512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Senegal 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7595AA43" w14:textId="2581F855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5CAD7831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52BE062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7F4BB91C" w14:textId="1ECABC35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Serbia</w:t>
            </w:r>
            <w:r w:rsidR="00C52A98"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17095924" w14:textId="06208DFA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06F65807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5E8DFE6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51E223D7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Slovakia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6B85CC2A" w14:textId="29F37308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4,220</w:t>
            </w:r>
          </w:p>
        </w:tc>
      </w:tr>
      <w:tr w:rsidR="000F23FE" w:rsidRPr="00A806E6" w14:paraId="5ABE424C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39BC642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7A1190EA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Slovenia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0EF15107" w14:textId="7B90D11F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2,574</w:t>
            </w:r>
          </w:p>
        </w:tc>
      </w:tr>
      <w:tr w:rsidR="000F23FE" w:rsidRPr="00A806E6" w14:paraId="2F42FF94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00245C2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023B0FC1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South Africa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2ED7FE49" w14:textId="7DB37C95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11,153</w:t>
            </w:r>
          </w:p>
        </w:tc>
      </w:tr>
      <w:tr w:rsidR="000F23FE" w:rsidRPr="00A806E6" w14:paraId="32F1697A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8539F11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7B0A21E5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4EC33C69" w14:textId="69BF56BD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74,859</w:t>
            </w:r>
          </w:p>
        </w:tc>
      </w:tr>
      <w:tr w:rsidR="000F23FE" w:rsidRPr="00A806E6" w14:paraId="4A28B234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2684549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2536E4CD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45F459E0" w14:textId="6C6F7F2D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03D20A9A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64947D7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1455B982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37BA5EC2" w14:textId="0C6EDE7B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31,874</w:t>
            </w:r>
          </w:p>
        </w:tc>
      </w:tr>
      <w:tr w:rsidR="000F23FE" w:rsidRPr="00A806E6" w14:paraId="241D32D2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BED6C6B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4E6520BC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Switzerland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18A59A4D" w14:textId="1459D55A" w:rsidR="000F23FE" w:rsidRPr="001B2A7A" w:rsidRDefault="000F23FE" w:rsidP="00C52A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38,230</w:t>
            </w:r>
          </w:p>
        </w:tc>
      </w:tr>
      <w:tr w:rsidR="000F23FE" w:rsidRPr="00A806E6" w14:paraId="74652C30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F337AA2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44F4523F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Syrian Arab Republic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6C0419F8" w14:textId="555A87CE" w:rsidR="000F23FE" w:rsidRPr="001B2A7A" w:rsidRDefault="000F23FE" w:rsidP="00C52A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6704728A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85D1942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569EE180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Togo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283DD440" w14:textId="62A2F4A0" w:rsidR="000F23FE" w:rsidRPr="001B2A7A" w:rsidRDefault="000F23FE" w:rsidP="00C52A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7B178CED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0AB096D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2C9566A7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Tunisia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7A8FD627" w14:textId="6060C070" w:rsidR="000F23FE" w:rsidRPr="001B2A7A" w:rsidRDefault="000F23FE" w:rsidP="00C52A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2DDF04DC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1865C8E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2A998230" w14:textId="3C502103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Turkmenistan</w:t>
            </w:r>
            <w:r w:rsidR="00C52A98"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5E2433AB" w14:textId="7AC37388" w:rsidR="000F23FE" w:rsidRPr="001B2A7A" w:rsidRDefault="000F23FE" w:rsidP="00C52A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4F32D0B9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FCA2850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69796E56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Uganda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728ABAF2" w14:textId="3734295C" w:rsidR="000F23FE" w:rsidRPr="001B2A7A" w:rsidRDefault="000F23FE" w:rsidP="00C52A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05D0AC92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B7E17F4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5F69E82B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Ukraine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7CFCB5A0" w14:textId="67237920" w:rsidR="000F23FE" w:rsidRPr="001B2A7A" w:rsidRDefault="000F23FE" w:rsidP="00C52A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3,226</w:t>
            </w:r>
          </w:p>
        </w:tc>
      </w:tr>
      <w:tr w:rsidR="000F23FE" w:rsidRPr="00A806E6" w14:paraId="3C6EEEFD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17910D1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0C86E91C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United Kingdom of Great Britain and Northern Ireland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2EA9A014" w14:textId="56EA9E22" w:rsidR="000F23FE" w:rsidRPr="001B2A7A" w:rsidRDefault="000F23FE" w:rsidP="00C52A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134,729</w:t>
            </w:r>
          </w:p>
        </w:tc>
      </w:tr>
      <w:tr w:rsidR="000F23FE" w:rsidRPr="00A806E6" w14:paraId="5735F800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6D343F1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71E23AD5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United Republic of Tanzania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0EF7E5C2" w14:textId="01C17292" w:rsidR="000F23FE" w:rsidRPr="001B2A7A" w:rsidRDefault="000F23FE" w:rsidP="00C52A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1F0ADF12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C77FE80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326B60EC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Uzbekistan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5C721134" w14:textId="7554F3F2" w:rsidR="000F23FE" w:rsidRPr="001B2A7A" w:rsidRDefault="000F23FE" w:rsidP="00C52A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0B4464EC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F1C6D95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00A4E83E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Zimbabwe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516E306B" w14:textId="571F91DC" w:rsidR="000F23FE" w:rsidRPr="001B2A7A" w:rsidRDefault="000F23FE" w:rsidP="00C52A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2,000</w:t>
            </w:r>
          </w:p>
        </w:tc>
      </w:tr>
      <w:tr w:rsidR="000F23FE" w:rsidRPr="00A806E6" w14:paraId="556B6CF9" w14:textId="77777777" w:rsidTr="001B2A7A">
        <w:trPr>
          <w:trHeight w:val="325"/>
        </w:trPr>
        <w:tc>
          <w:tcPr>
            <w:tcW w:w="714" w:type="dxa"/>
            <w:shd w:val="clear" w:color="auto" w:fill="E7E6E6" w:themeFill="background2"/>
            <w:noWrap/>
            <w:vAlign w:val="bottom"/>
            <w:hideMark/>
          </w:tcPr>
          <w:p w14:paraId="59E06DD3" w14:textId="7DE39963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E7E6E6" w:themeFill="background2"/>
            <w:noWrap/>
            <w:vAlign w:val="bottom"/>
            <w:hideMark/>
          </w:tcPr>
          <w:p w14:paraId="11E22B6B" w14:textId="77777777" w:rsidR="000F23FE" w:rsidRPr="001B2A7A" w:rsidRDefault="000F23FE" w:rsidP="000F23FE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2158" w:type="dxa"/>
            <w:shd w:val="clear" w:color="auto" w:fill="E7E6E6" w:themeFill="background2"/>
            <w:noWrap/>
            <w:vAlign w:val="bottom"/>
            <w:hideMark/>
          </w:tcPr>
          <w:p w14:paraId="2CA873B3" w14:textId="712B9AEE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1,062,184</w:t>
            </w:r>
          </w:p>
        </w:tc>
      </w:tr>
      <w:tr w:rsidR="000F23FE" w:rsidRPr="00A806E6" w14:paraId="719ED2FD" w14:textId="77777777" w:rsidTr="001B2A7A">
        <w:trPr>
          <w:trHeight w:val="32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5406939" w14:textId="77777777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14:paraId="63115E3C" w14:textId="77777777" w:rsidR="000F23FE" w:rsidRPr="001B2A7A" w:rsidRDefault="000F23FE" w:rsidP="000F23F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EU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14:paraId="2C591C48" w14:textId="30E39FE3" w:rsidR="000F23FE" w:rsidRPr="001B2A7A" w:rsidRDefault="000F23FE" w:rsidP="000F23F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27,804</w:t>
            </w:r>
          </w:p>
        </w:tc>
      </w:tr>
      <w:tr w:rsidR="000F23FE" w:rsidRPr="00A806E6" w14:paraId="15BD114C" w14:textId="77777777" w:rsidTr="001B2A7A">
        <w:trPr>
          <w:trHeight w:val="458"/>
        </w:trPr>
        <w:tc>
          <w:tcPr>
            <w:tcW w:w="714" w:type="dxa"/>
            <w:shd w:val="clear" w:color="auto" w:fill="E7E6E6" w:themeFill="background2"/>
            <w:noWrap/>
            <w:vAlign w:val="center"/>
            <w:hideMark/>
          </w:tcPr>
          <w:p w14:paraId="75113622" w14:textId="1F80676C" w:rsidR="000F23FE" w:rsidRPr="001B2A7A" w:rsidRDefault="000F23FE" w:rsidP="001B2A7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E7E6E6" w:themeFill="background2"/>
            <w:noWrap/>
            <w:vAlign w:val="center"/>
            <w:hideMark/>
          </w:tcPr>
          <w:p w14:paraId="3056AADE" w14:textId="77777777" w:rsidR="000F23FE" w:rsidRPr="001B2A7A" w:rsidRDefault="000F23FE" w:rsidP="001B2A7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TOTAL TO BE SHARED BY PARTIES</w:t>
            </w:r>
          </w:p>
        </w:tc>
        <w:tc>
          <w:tcPr>
            <w:tcW w:w="2158" w:type="dxa"/>
            <w:shd w:val="clear" w:color="auto" w:fill="E7E6E6" w:themeFill="background2"/>
            <w:noWrap/>
            <w:vAlign w:val="center"/>
            <w:hideMark/>
          </w:tcPr>
          <w:p w14:paraId="07E5CB83" w14:textId="27799205" w:rsidR="000F23FE" w:rsidRPr="001B2A7A" w:rsidRDefault="000F23FE" w:rsidP="001B2A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A7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1,089,988</w:t>
            </w:r>
          </w:p>
        </w:tc>
      </w:tr>
    </w:tbl>
    <w:p w14:paraId="5A5C46CF" w14:textId="77777777" w:rsidR="00761757" w:rsidRPr="00EE0698" w:rsidRDefault="00761757" w:rsidP="00761757">
      <w:pPr>
        <w:spacing w:after="160" w:line="259" w:lineRule="auto"/>
        <w:rPr>
          <w:rFonts w:ascii="Times New Roman" w:hAnsi="Times New Roman"/>
          <w:color w:val="FF0000"/>
          <w:sz w:val="22"/>
          <w:szCs w:val="22"/>
        </w:rPr>
      </w:pPr>
      <w:r w:rsidRPr="00734AE1">
        <w:rPr>
          <w:rFonts w:ascii="Times New Roman" w:hAnsi="Times New Roman"/>
          <w:sz w:val="22"/>
          <w:szCs w:val="22"/>
        </w:rPr>
        <w:t xml:space="preserve">* </w:t>
      </w:r>
      <w:r w:rsidRPr="00734AE1">
        <w:rPr>
          <w:rFonts w:ascii="Times New Roman" w:hAnsi="Times New Roman"/>
          <w:sz w:val="20"/>
          <w:szCs w:val="20"/>
        </w:rPr>
        <w:t>Parties joined the Agreement after the adoption of AEWA Resolution 7.12 Finance and Administrative Matters</w:t>
      </w:r>
      <w:r w:rsidRPr="00734AE1">
        <w:rPr>
          <w:rFonts w:ascii="Times New Roman" w:hAnsi="Times New Roman"/>
          <w:sz w:val="22"/>
          <w:szCs w:val="22"/>
        </w:rPr>
        <w:t xml:space="preserve"> </w:t>
      </w:r>
    </w:p>
    <w:p w14:paraId="18CF356E" w14:textId="1527B352" w:rsidR="002A6952" w:rsidRPr="00761757" w:rsidRDefault="002A6952" w:rsidP="00761757">
      <w:pPr>
        <w:spacing w:after="160" w:line="259" w:lineRule="auto"/>
        <w:rPr>
          <w:rFonts w:ascii="Times New Roman" w:hAnsi="Times New Roman"/>
          <w:b/>
          <w:bCs/>
          <w:sz w:val="22"/>
          <w:szCs w:val="22"/>
        </w:rPr>
      </w:pPr>
    </w:p>
    <w:p w14:paraId="4A18C3A2" w14:textId="77777777" w:rsidR="002A6952" w:rsidRDefault="002A6952" w:rsidP="002A6952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125131" w14:textId="3FA4216E" w:rsidR="00CF391C" w:rsidRDefault="002A6952" w:rsidP="002A6952">
      <w:pPr>
        <w:tabs>
          <w:tab w:val="left" w:pos="578"/>
          <w:tab w:val="left" w:pos="1157"/>
          <w:tab w:val="left" w:pos="1735"/>
        </w:tabs>
        <w:spacing w:line="276" w:lineRule="auto"/>
        <w:jc w:val="center"/>
        <w:rPr>
          <w:rFonts w:ascii="Times New Roman" w:hAnsi="Times New Roman"/>
        </w:rPr>
      </w:pPr>
      <w:r w:rsidRPr="002A6952">
        <w:rPr>
          <w:rFonts w:ascii="Times New Roman" w:hAnsi="Times New Roman"/>
        </w:rPr>
        <w:t xml:space="preserve"> </w:t>
      </w:r>
    </w:p>
    <w:p w14:paraId="0119B8EB" w14:textId="41623976" w:rsidR="009548E4" w:rsidRDefault="009548E4" w:rsidP="002A6952">
      <w:pPr>
        <w:tabs>
          <w:tab w:val="left" w:pos="578"/>
          <w:tab w:val="left" w:pos="1157"/>
          <w:tab w:val="left" w:pos="1735"/>
        </w:tabs>
        <w:spacing w:line="276" w:lineRule="auto"/>
        <w:jc w:val="center"/>
        <w:rPr>
          <w:rFonts w:ascii="Times New Roman" w:hAnsi="Times New Roman"/>
        </w:rPr>
      </w:pPr>
    </w:p>
    <w:p w14:paraId="704340DA" w14:textId="135BAC42" w:rsidR="009548E4" w:rsidRDefault="009548E4" w:rsidP="002A6952">
      <w:pPr>
        <w:tabs>
          <w:tab w:val="left" w:pos="578"/>
          <w:tab w:val="left" w:pos="1157"/>
          <w:tab w:val="left" w:pos="1735"/>
        </w:tabs>
        <w:spacing w:line="276" w:lineRule="auto"/>
        <w:jc w:val="center"/>
        <w:rPr>
          <w:rFonts w:ascii="Times New Roman" w:hAnsi="Times New Roman"/>
        </w:rPr>
      </w:pPr>
    </w:p>
    <w:p w14:paraId="0ADE467E" w14:textId="7F37316A" w:rsidR="002A6952" w:rsidRDefault="002A6952" w:rsidP="002A6952">
      <w:pPr>
        <w:tabs>
          <w:tab w:val="left" w:pos="578"/>
          <w:tab w:val="left" w:pos="1157"/>
          <w:tab w:val="left" w:pos="1735"/>
        </w:tabs>
        <w:spacing w:line="276" w:lineRule="auto"/>
        <w:jc w:val="center"/>
        <w:rPr>
          <w:rFonts w:ascii="Times New Roman" w:hAnsi="Times New Roman"/>
        </w:rPr>
      </w:pPr>
    </w:p>
    <w:p w14:paraId="036FAA9F" w14:textId="323135EB" w:rsidR="002A6952" w:rsidRDefault="002A6952" w:rsidP="002A6952">
      <w:pPr>
        <w:tabs>
          <w:tab w:val="left" w:pos="578"/>
          <w:tab w:val="left" w:pos="1157"/>
          <w:tab w:val="left" w:pos="1735"/>
        </w:tabs>
        <w:spacing w:line="276" w:lineRule="auto"/>
        <w:jc w:val="center"/>
        <w:rPr>
          <w:rFonts w:ascii="Times New Roman" w:hAnsi="Times New Roman"/>
        </w:rPr>
      </w:pPr>
    </w:p>
    <w:p w14:paraId="2839D418" w14:textId="1DDE6A9F" w:rsidR="00F10566" w:rsidRDefault="00F10566" w:rsidP="002A6952">
      <w:pPr>
        <w:tabs>
          <w:tab w:val="left" w:pos="578"/>
          <w:tab w:val="left" w:pos="1157"/>
          <w:tab w:val="left" w:pos="1735"/>
        </w:tabs>
        <w:spacing w:line="276" w:lineRule="auto"/>
        <w:jc w:val="center"/>
        <w:rPr>
          <w:rFonts w:ascii="Times New Roman" w:hAnsi="Times New Roman"/>
        </w:rPr>
      </w:pPr>
    </w:p>
    <w:p w14:paraId="78AD1E37" w14:textId="0C5BA0B7" w:rsidR="00F10566" w:rsidRDefault="00F10566" w:rsidP="002A6952">
      <w:pPr>
        <w:tabs>
          <w:tab w:val="left" w:pos="578"/>
          <w:tab w:val="left" w:pos="1157"/>
          <w:tab w:val="left" w:pos="1735"/>
        </w:tabs>
        <w:spacing w:line="276" w:lineRule="auto"/>
        <w:jc w:val="center"/>
        <w:rPr>
          <w:rFonts w:ascii="Times New Roman" w:hAnsi="Times New Roman"/>
        </w:rPr>
      </w:pPr>
    </w:p>
    <w:sectPr w:rsidR="00F10566" w:rsidSect="00B95AA8">
      <w:headerReference w:type="default" r:id="rId11"/>
      <w:headerReference w:type="first" r:id="rId12"/>
      <w:pgSz w:w="12240" w:h="15840"/>
      <w:pgMar w:top="1170" w:right="1440" w:bottom="1440" w:left="1440" w:header="720" w:footer="2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86192" w14:textId="77777777" w:rsidR="003424D4" w:rsidRDefault="003424D4" w:rsidP="006305FC">
      <w:r>
        <w:separator/>
      </w:r>
    </w:p>
  </w:endnote>
  <w:endnote w:type="continuationSeparator" w:id="0">
    <w:p w14:paraId="1E8453D2" w14:textId="77777777" w:rsidR="003424D4" w:rsidRDefault="003424D4" w:rsidP="0063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26140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D76B8CF" w14:textId="77777777" w:rsidR="00A75DC3" w:rsidRPr="003B55E6" w:rsidRDefault="00A75DC3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B55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B55E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55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55E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3739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471283D" w14:textId="44132BB3" w:rsidR="00DA7C82" w:rsidRPr="00DA7C82" w:rsidRDefault="00DA7C8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A7C8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A7C8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A7C8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A7C82">
          <w:rPr>
            <w:rFonts w:ascii="Times New Roman" w:hAnsi="Times New Roman" w:cs="Times New Roman"/>
            <w:sz w:val="20"/>
            <w:szCs w:val="20"/>
            <w:lang w:val="de-DE"/>
          </w:rPr>
          <w:t>2</w:t>
        </w:r>
        <w:r w:rsidRPr="00DA7C8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3E428" w14:textId="77777777" w:rsidR="003424D4" w:rsidRDefault="003424D4" w:rsidP="006305FC">
      <w:r>
        <w:separator/>
      </w:r>
    </w:p>
  </w:footnote>
  <w:footnote w:type="continuationSeparator" w:id="0">
    <w:p w14:paraId="10F8FD24" w14:textId="77777777" w:rsidR="003424D4" w:rsidRDefault="003424D4" w:rsidP="00630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245"/>
      <w:gridCol w:w="2409"/>
    </w:tblGrid>
    <w:tr w:rsidR="00343BBB" w:rsidRPr="008E7AD8" w14:paraId="7F95AF25" w14:textId="77777777" w:rsidTr="00DA2A98">
      <w:trPr>
        <w:trHeight w:val="1256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60B7B3B" w14:textId="77777777" w:rsidR="00343BBB" w:rsidRPr="006A7852" w:rsidRDefault="00343BBB" w:rsidP="00343BBB">
          <w:pPr>
            <w:suppressAutoHyphens/>
            <w:autoSpaceDN w:val="0"/>
            <w:textAlignment w:val="baseline"/>
            <w:rPr>
              <w:rFonts w:ascii="Times New Roman" w:hAnsi="Times New Roman" w:cs="Times New Roman"/>
            </w:rPr>
          </w:pPr>
          <w:r w:rsidRPr="006A7852">
            <w:rPr>
              <w:rFonts w:ascii="Times New Roman" w:hAnsi="Times New Roman" w:cs="Times New Roman"/>
              <w:noProof/>
              <w:lang w:val="en-GB" w:eastAsia="en-GB"/>
            </w:rPr>
            <w:drawing>
              <wp:inline distT="0" distB="0" distL="0" distR="0" wp14:anchorId="5849D48C" wp14:editId="236BD2EE">
                <wp:extent cx="853436" cy="711202"/>
                <wp:effectExtent l="0" t="0" r="3814" b="0"/>
                <wp:docPr id="2" name="Picture 2" descr="Description: 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36" cy="711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18349CB" w14:textId="77777777" w:rsidR="00343BBB" w:rsidRPr="006A7852" w:rsidRDefault="00343BBB" w:rsidP="00343BBB">
          <w:pPr>
            <w:suppressAutoHyphens/>
            <w:autoSpaceDN w:val="0"/>
            <w:jc w:val="center"/>
            <w:textAlignment w:val="baseline"/>
            <w:rPr>
              <w:rFonts w:ascii="Times New Roman" w:hAnsi="Times New Roman" w:cs="Times New Roman"/>
              <w:i/>
              <w:caps/>
            </w:rPr>
          </w:pPr>
          <w:r w:rsidRPr="006A7852">
            <w:rPr>
              <w:rFonts w:ascii="Times New Roman" w:hAnsi="Times New Roman" w:cs="Times New Roman"/>
              <w:i/>
              <w:caps/>
              <w:sz w:val="22"/>
              <w:szCs w:val="22"/>
            </w:rPr>
            <w:t xml:space="preserve">Agreement on the Conservation of </w:t>
          </w:r>
        </w:p>
        <w:p w14:paraId="34B2D5E6" w14:textId="77777777" w:rsidR="00343BBB" w:rsidRPr="006A7852" w:rsidRDefault="00343BBB" w:rsidP="00343BBB">
          <w:pPr>
            <w:tabs>
              <w:tab w:val="left" w:pos="2415"/>
            </w:tabs>
            <w:suppressAutoHyphens/>
            <w:autoSpaceDN w:val="0"/>
            <w:jc w:val="center"/>
            <w:textAlignment w:val="baseline"/>
            <w:rPr>
              <w:rFonts w:ascii="Times New Roman" w:hAnsi="Times New Roman" w:cs="Times New Roman"/>
            </w:rPr>
          </w:pPr>
          <w:r w:rsidRPr="006A7852">
            <w:rPr>
              <w:rFonts w:ascii="Times New Roman" w:hAnsi="Times New Roman" w:cs="Times New Roman"/>
              <w:i/>
              <w:caps/>
              <w:sz w:val="22"/>
              <w:szCs w:val="22"/>
            </w:rPr>
            <w:t>African-Eurasian Migratory Waterbirds</w:t>
          </w:r>
        </w:p>
      </w:tc>
      <w:tc>
        <w:tcPr>
          <w:tcW w:w="24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BC4BAA3" w14:textId="1B6F7095" w:rsidR="00343BBB" w:rsidRPr="00355707" w:rsidRDefault="00343BBB" w:rsidP="00343BBB">
          <w:pPr>
            <w:suppressAutoHyphens/>
            <w:autoSpaceDN w:val="0"/>
            <w:spacing w:line="276" w:lineRule="auto"/>
            <w:jc w:val="right"/>
            <w:textAlignment w:val="baseline"/>
            <w:rPr>
              <w:rFonts w:ascii="Times New Roman" w:hAnsi="Times New Roman" w:cs="Times New Roman"/>
            </w:rPr>
          </w:pPr>
          <w:r w:rsidRPr="00355707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Doc. </w:t>
          </w:r>
          <w:r w:rsidRPr="00355707">
            <w:rPr>
              <w:rFonts w:ascii="Times New Roman" w:hAnsi="Times New Roman" w:cs="Times New Roman"/>
              <w:bCs/>
              <w:i/>
              <w:iCs/>
              <w:sz w:val="20"/>
              <w:szCs w:val="20"/>
            </w:rPr>
            <w:t>AEWA/StC1</w:t>
          </w:r>
          <w:r w:rsidR="00355707" w:rsidRPr="00355707">
            <w:rPr>
              <w:rFonts w:ascii="Times New Roman" w:hAnsi="Times New Roman" w:cs="Times New Roman"/>
              <w:bCs/>
              <w:i/>
              <w:iCs/>
              <w:sz w:val="20"/>
              <w:szCs w:val="20"/>
            </w:rPr>
            <w:t>9</w:t>
          </w:r>
          <w:r w:rsidRPr="00355707">
            <w:rPr>
              <w:rFonts w:ascii="Times New Roman" w:hAnsi="Times New Roman" w:cs="Times New Roman"/>
              <w:bCs/>
              <w:i/>
              <w:iCs/>
              <w:sz w:val="20"/>
              <w:szCs w:val="20"/>
            </w:rPr>
            <w:t xml:space="preserve"> DR</w:t>
          </w:r>
          <w:r w:rsidR="00355707" w:rsidRPr="00355707">
            <w:rPr>
              <w:rFonts w:ascii="Times New Roman" w:hAnsi="Times New Roman" w:cs="Times New Roman"/>
              <w:bCs/>
              <w:i/>
              <w:iCs/>
              <w:sz w:val="20"/>
              <w:szCs w:val="20"/>
            </w:rPr>
            <w:t>.</w:t>
          </w:r>
          <w:r w:rsidRPr="00355707">
            <w:rPr>
              <w:rFonts w:ascii="Times New Roman" w:hAnsi="Times New Roman" w:cs="Times New Roman"/>
              <w:bCs/>
              <w:i/>
              <w:iCs/>
              <w:sz w:val="20"/>
              <w:szCs w:val="20"/>
            </w:rPr>
            <w:t xml:space="preserve">2 </w:t>
          </w:r>
          <w:r w:rsidRPr="00355707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Agenda item </w:t>
          </w:r>
          <w:r w:rsidR="009A6DB5" w:rsidRPr="00355707">
            <w:rPr>
              <w:rFonts w:ascii="Times New Roman" w:hAnsi="Times New Roman" w:cs="Times New Roman"/>
              <w:i/>
              <w:iCs/>
              <w:sz w:val="20"/>
              <w:szCs w:val="20"/>
            </w:rPr>
            <w:t>5</w:t>
          </w:r>
        </w:p>
        <w:p w14:paraId="5538D023" w14:textId="2227800A" w:rsidR="00343BBB" w:rsidRPr="00355707" w:rsidRDefault="00734AE1" w:rsidP="00343BBB">
          <w:pPr>
            <w:suppressAutoHyphens/>
            <w:autoSpaceDN w:val="0"/>
            <w:spacing w:line="276" w:lineRule="auto"/>
            <w:jc w:val="right"/>
            <w:textAlignment w:val="baseline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22</w:t>
          </w:r>
          <w:r w:rsidR="009A6DB5" w:rsidRPr="00734AE1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r w:rsidR="00355707" w:rsidRPr="00734AE1">
            <w:rPr>
              <w:rFonts w:ascii="Times New Roman" w:hAnsi="Times New Roman" w:cs="Times New Roman"/>
              <w:i/>
              <w:iCs/>
              <w:sz w:val="20"/>
              <w:szCs w:val="20"/>
            </w:rPr>
            <w:t>September</w:t>
          </w:r>
          <w:r w:rsidR="00343BBB" w:rsidRPr="00734AE1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2021</w:t>
          </w:r>
        </w:p>
      </w:tc>
    </w:tr>
    <w:tr w:rsidR="00343BBB" w:rsidRPr="006A7852" w14:paraId="7713C7F5" w14:textId="77777777" w:rsidTr="008002F2"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C6D15E1" w14:textId="31CF22F7" w:rsidR="00343BBB" w:rsidRPr="006A7852" w:rsidRDefault="00343BBB" w:rsidP="00343BBB">
          <w:pPr>
            <w:suppressAutoHyphens/>
            <w:autoSpaceDN w:val="0"/>
            <w:jc w:val="center"/>
            <w:textAlignment w:val="baseline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  <w:sz w:val="26"/>
              <w:szCs w:val="26"/>
            </w:rPr>
            <w:t>1</w:t>
          </w:r>
          <w:r w:rsidR="0054317D">
            <w:rPr>
              <w:rFonts w:ascii="Times New Roman" w:hAnsi="Times New Roman" w:cs="Times New Roman"/>
              <w:b/>
              <w:bCs/>
              <w:sz w:val="26"/>
              <w:szCs w:val="26"/>
            </w:rPr>
            <w:t>9</w:t>
          </w:r>
          <w:r w:rsidRPr="006A7852">
            <w:rPr>
              <w:rFonts w:ascii="Times New Roman" w:hAnsi="Times New Roman" w:cs="Times New Roman"/>
              <w:b/>
              <w:bCs/>
              <w:sz w:val="26"/>
              <w:szCs w:val="26"/>
              <w:vertAlign w:val="superscript"/>
            </w:rPr>
            <w:t>th</w:t>
          </w:r>
          <w:r w:rsidRPr="006A7852">
            <w:rPr>
              <w:rFonts w:ascii="Times New Roman" w:hAnsi="Times New Roman" w:cs="Times New Roman"/>
              <w:b/>
              <w:bCs/>
              <w:sz w:val="26"/>
              <w:szCs w:val="26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6"/>
              <w:szCs w:val="26"/>
            </w:rPr>
            <w:t>MEETING OF THE STANDING COMMITTEE</w:t>
          </w:r>
        </w:p>
        <w:p w14:paraId="6FED20E4" w14:textId="0DBFAE6C" w:rsidR="00343BBB" w:rsidRPr="006A7852" w:rsidRDefault="001E45E5" w:rsidP="00343BBB">
          <w:pPr>
            <w:suppressAutoHyphens/>
            <w:autoSpaceDN w:val="0"/>
            <w:jc w:val="center"/>
            <w:textAlignment w:val="baseline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i/>
              <w:iCs/>
            </w:rPr>
            <w:t>2</w:t>
          </w:r>
          <w:r w:rsidR="00355707">
            <w:rPr>
              <w:rFonts w:ascii="Times New Roman" w:hAnsi="Times New Roman" w:cs="Times New Roman"/>
              <w:i/>
              <w:iCs/>
            </w:rPr>
            <w:t>7</w:t>
          </w:r>
          <w:r w:rsidR="009A6DB5">
            <w:rPr>
              <w:rFonts w:ascii="Times New Roman" w:hAnsi="Times New Roman" w:cs="Times New Roman"/>
              <w:i/>
              <w:iCs/>
            </w:rPr>
            <w:t xml:space="preserve"> </w:t>
          </w:r>
          <w:r w:rsidR="00355707">
            <w:rPr>
              <w:rFonts w:ascii="Times New Roman" w:hAnsi="Times New Roman" w:cs="Times New Roman"/>
              <w:i/>
              <w:iCs/>
            </w:rPr>
            <w:t>September</w:t>
          </w:r>
          <w:r w:rsidR="00343BBB" w:rsidRPr="006A7852">
            <w:rPr>
              <w:rFonts w:ascii="Times New Roman" w:hAnsi="Times New Roman" w:cs="Times New Roman"/>
              <w:i/>
              <w:iCs/>
            </w:rPr>
            <w:t xml:space="preserve"> 20</w:t>
          </w:r>
          <w:r w:rsidR="00343BBB">
            <w:rPr>
              <w:rFonts w:ascii="Times New Roman" w:hAnsi="Times New Roman" w:cs="Times New Roman"/>
              <w:i/>
              <w:iCs/>
            </w:rPr>
            <w:t>21</w:t>
          </w:r>
          <w:r w:rsidR="00343BBB" w:rsidRPr="006A7852">
            <w:rPr>
              <w:rFonts w:ascii="Times New Roman" w:hAnsi="Times New Roman" w:cs="Times New Roman"/>
              <w:i/>
              <w:iCs/>
            </w:rPr>
            <w:t xml:space="preserve">, </w:t>
          </w:r>
          <w:r w:rsidR="00343BBB">
            <w:rPr>
              <w:rFonts w:ascii="Times New Roman" w:hAnsi="Times New Roman" w:cs="Times New Roman"/>
              <w:i/>
              <w:iCs/>
            </w:rPr>
            <w:t>Virtual Meeting Format</w:t>
          </w:r>
        </w:p>
      </w:tc>
    </w:tr>
    <w:tr w:rsidR="00343BBB" w:rsidRPr="006A7852" w14:paraId="6AFAA874" w14:textId="77777777" w:rsidTr="008002F2">
      <w:trPr>
        <w:trHeight w:val="444"/>
      </w:trPr>
      <w:tc>
        <w:tcPr>
          <w:tcW w:w="9639" w:type="dxa"/>
          <w:gridSpan w:val="3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CEAE908" w14:textId="77777777" w:rsidR="00343BBB" w:rsidRPr="006A7852" w:rsidRDefault="00343BBB" w:rsidP="00343BBB">
          <w:pPr>
            <w:suppressAutoHyphens/>
            <w:autoSpaceDN w:val="0"/>
            <w:textAlignment w:val="baseline"/>
            <w:rPr>
              <w:rFonts w:ascii="Times New Roman" w:hAnsi="Times New Roman" w:cs="Times New Roman"/>
              <w:i/>
            </w:rPr>
          </w:pPr>
        </w:p>
      </w:tc>
    </w:tr>
  </w:tbl>
  <w:p w14:paraId="2D1D4E19" w14:textId="77777777" w:rsidR="00343BBB" w:rsidRDefault="00343BBB" w:rsidP="00343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3E51F" w14:textId="77777777" w:rsidR="00343BBB" w:rsidRPr="00A75DC3" w:rsidRDefault="00343BBB" w:rsidP="00A75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4AEFE" w14:textId="77777777" w:rsidR="00343BBB" w:rsidRDefault="00343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94DFE"/>
    <w:multiLevelType w:val="multilevel"/>
    <w:tmpl w:val="36C82868"/>
    <w:lvl w:ilvl="0">
      <w:start w:val="1"/>
      <w:numFmt w:val="lowerLetter"/>
      <w:lvlText w:val="(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 w15:restartNumberingAfterBreak="0">
    <w:nsid w:val="0F252720"/>
    <w:multiLevelType w:val="hybridMultilevel"/>
    <w:tmpl w:val="B644EAE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929CF"/>
    <w:multiLevelType w:val="singleLevel"/>
    <w:tmpl w:val="0520F80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578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49DE0DCE"/>
    <w:multiLevelType w:val="multilevel"/>
    <w:tmpl w:val="09985F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4" w15:restartNumberingAfterBreak="0">
    <w:nsid w:val="68084AEE"/>
    <w:multiLevelType w:val="hybridMultilevel"/>
    <w:tmpl w:val="806892C0"/>
    <w:lvl w:ilvl="0" w:tplc="1AD82F2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3NDAxMLMwNjSxMLdQ0lEKTi0uzszPAykwqQUAJBt9lSwAAAA="/>
  </w:docVars>
  <w:rsids>
    <w:rsidRoot w:val="002E0DFD"/>
    <w:rsid w:val="000123F4"/>
    <w:rsid w:val="000A1093"/>
    <w:rsid w:val="000C59B2"/>
    <w:rsid w:val="000E4585"/>
    <w:rsid w:val="000F23FE"/>
    <w:rsid w:val="0014450E"/>
    <w:rsid w:val="001B2A7A"/>
    <w:rsid w:val="001D5967"/>
    <w:rsid w:val="001E45E5"/>
    <w:rsid w:val="001E5C05"/>
    <w:rsid w:val="00256797"/>
    <w:rsid w:val="00276F8F"/>
    <w:rsid w:val="0029688E"/>
    <w:rsid w:val="002A6952"/>
    <w:rsid w:val="002C5665"/>
    <w:rsid w:val="002E0DFD"/>
    <w:rsid w:val="002F1E06"/>
    <w:rsid w:val="003029CF"/>
    <w:rsid w:val="003135CA"/>
    <w:rsid w:val="003424D4"/>
    <w:rsid w:val="00343BBB"/>
    <w:rsid w:val="00355707"/>
    <w:rsid w:val="00371C76"/>
    <w:rsid w:val="003B55E6"/>
    <w:rsid w:val="003C7F51"/>
    <w:rsid w:val="003E3245"/>
    <w:rsid w:val="003F23C8"/>
    <w:rsid w:val="004626D2"/>
    <w:rsid w:val="00464789"/>
    <w:rsid w:val="004979F1"/>
    <w:rsid w:val="004B4B5E"/>
    <w:rsid w:val="004F1E7B"/>
    <w:rsid w:val="0054317D"/>
    <w:rsid w:val="00572DF2"/>
    <w:rsid w:val="005B69FB"/>
    <w:rsid w:val="005C3A45"/>
    <w:rsid w:val="005F09DC"/>
    <w:rsid w:val="006305FC"/>
    <w:rsid w:val="00635233"/>
    <w:rsid w:val="00641FDA"/>
    <w:rsid w:val="006A7852"/>
    <w:rsid w:val="006B09E7"/>
    <w:rsid w:val="00734AE1"/>
    <w:rsid w:val="00745B58"/>
    <w:rsid w:val="007472B4"/>
    <w:rsid w:val="0075018F"/>
    <w:rsid w:val="00761757"/>
    <w:rsid w:val="007D303D"/>
    <w:rsid w:val="008002F2"/>
    <w:rsid w:val="00804CE3"/>
    <w:rsid w:val="008A0146"/>
    <w:rsid w:val="008A276E"/>
    <w:rsid w:val="008A4FEA"/>
    <w:rsid w:val="008C2516"/>
    <w:rsid w:val="008E1832"/>
    <w:rsid w:val="008E7AD8"/>
    <w:rsid w:val="009129D4"/>
    <w:rsid w:val="00923FBF"/>
    <w:rsid w:val="009548E4"/>
    <w:rsid w:val="009823EE"/>
    <w:rsid w:val="00985FFB"/>
    <w:rsid w:val="009A6DB5"/>
    <w:rsid w:val="009B40A4"/>
    <w:rsid w:val="009D0715"/>
    <w:rsid w:val="009E4F53"/>
    <w:rsid w:val="009F7F01"/>
    <w:rsid w:val="00A14A77"/>
    <w:rsid w:val="00A36512"/>
    <w:rsid w:val="00A435CC"/>
    <w:rsid w:val="00A56408"/>
    <w:rsid w:val="00A75DC3"/>
    <w:rsid w:val="00A806E6"/>
    <w:rsid w:val="00AC2D30"/>
    <w:rsid w:val="00AD7FE7"/>
    <w:rsid w:val="00AE07D3"/>
    <w:rsid w:val="00AF1A43"/>
    <w:rsid w:val="00B21040"/>
    <w:rsid w:val="00B33999"/>
    <w:rsid w:val="00B66A88"/>
    <w:rsid w:val="00B70B51"/>
    <w:rsid w:val="00B85E1B"/>
    <w:rsid w:val="00B95AA8"/>
    <w:rsid w:val="00C52A98"/>
    <w:rsid w:val="00C86860"/>
    <w:rsid w:val="00C94EA5"/>
    <w:rsid w:val="00C95369"/>
    <w:rsid w:val="00CA41CF"/>
    <w:rsid w:val="00CB5ADF"/>
    <w:rsid w:val="00CF391C"/>
    <w:rsid w:val="00D32880"/>
    <w:rsid w:val="00D4324C"/>
    <w:rsid w:val="00D54023"/>
    <w:rsid w:val="00D61C74"/>
    <w:rsid w:val="00D647AD"/>
    <w:rsid w:val="00D75E4E"/>
    <w:rsid w:val="00DA7C82"/>
    <w:rsid w:val="00DD0B59"/>
    <w:rsid w:val="00DE48C9"/>
    <w:rsid w:val="00DE72A8"/>
    <w:rsid w:val="00E00ADD"/>
    <w:rsid w:val="00E03EDD"/>
    <w:rsid w:val="00E06E55"/>
    <w:rsid w:val="00E877F0"/>
    <w:rsid w:val="00E9176A"/>
    <w:rsid w:val="00EB2512"/>
    <w:rsid w:val="00ED589A"/>
    <w:rsid w:val="00EE0698"/>
    <w:rsid w:val="00EE63AF"/>
    <w:rsid w:val="00EF2E1A"/>
    <w:rsid w:val="00EF6CE3"/>
    <w:rsid w:val="00F10566"/>
    <w:rsid w:val="00F2102E"/>
    <w:rsid w:val="00F223C4"/>
    <w:rsid w:val="00F365E8"/>
    <w:rsid w:val="00F4343A"/>
    <w:rsid w:val="00F651A0"/>
    <w:rsid w:val="00F83299"/>
    <w:rsid w:val="00FA41FC"/>
    <w:rsid w:val="00FA4DFD"/>
    <w:rsid w:val="00FC70F9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D9584C"/>
  <w15:chartTrackingRefBased/>
  <w15:docId w15:val="{0A72C136-0681-4680-A3A2-4D1D41BA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D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D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2E0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6305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05FC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rsid w:val="006305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5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5E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5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E6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6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435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2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3C4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3C4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3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8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7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30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86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22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68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60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85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721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21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1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7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88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01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08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05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3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46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36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14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06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68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77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77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4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9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7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62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03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8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7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C7DE-2AB2-49BB-951B-39EBCFFC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1263</Words>
  <Characters>7203</Characters>
  <Application>Microsoft Office Word</Application>
  <DocSecurity>4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Lehmann</dc:creator>
  <cp:keywords/>
  <dc:description/>
  <cp:lastModifiedBy>Jeannine Dicken</cp:lastModifiedBy>
  <cp:revision>2</cp:revision>
  <cp:lastPrinted>2021-09-23T08:05:00Z</cp:lastPrinted>
  <dcterms:created xsi:type="dcterms:W3CDTF">2021-09-23T09:24:00Z</dcterms:created>
  <dcterms:modified xsi:type="dcterms:W3CDTF">2021-09-23T09:24:00Z</dcterms:modified>
</cp:coreProperties>
</file>