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53550" w14:textId="77777777" w:rsidR="00915D0B" w:rsidRPr="009834EE" w:rsidRDefault="00915D0B" w:rsidP="00C473A3">
      <w:pPr>
        <w:jc w:val="center"/>
        <w:rPr>
          <w:b/>
        </w:rPr>
      </w:pPr>
    </w:p>
    <w:p w14:paraId="66E4FB3F" w14:textId="77777777" w:rsidR="009834EE" w:rsidRDefault="00173F5B" w:rsidP="009834EE">
      <w:pPr>
        <w:pStyle w:val="Heading2"/>
        <w:jc w:val="center"/>
        <w:rPr>
          <w:rFonts w:ascii="Times New Roman" w:hAnsi="Times New Roman"/>
          <w:b/>
          <w:color w:val="auto"/>
          <w:sz w:val="24"/>
          <w:szCs w:val="24"/>
        </w:rPr>
      </w:pPr>
      <w:r w:rsidRPr="009834EE">
        <w:rPr>
          <w:rFonts w:ascii="Times New Roman" w:hAnsi="Times New Roman"/>
          <w:b/>
          <w:color w:val="auto"/>
          <w:sz w:val="24"/>
          <w:szCs w:val="24"/>
        </w:rPr>
        <w:t>UNEP I</w:t>
      </w:r>
      <w:r w:rsidRPr="009834EE">
        <w:rPr>
          <w:rFonts w:ascii="Times New Roman" w:hAnsi="Times New Roman"/>
          <w:b/>
          <w:color w:val="auto"/>
          <w:sz w:val="24"/>
          <w:szCs w:val="24"/>
        </w:rPr>
        <w:t xml:space="preserve">NFORMATION DOCUMENT </w:t>
      </w:r>
    </w:p>
    <w:p w14:paraId="40D103D9" w14:textId="36AEB1BA" w:rsidR="00173F5B" w:rsidRPr="009834EE" w:rsidRDefault="00173F5B" w:rsidP="009834EE">
      <w:pPr>
        <w:pStyle w:val="Heading2"/>
        <w:jc w:val="center"/>
        <w:rPr>
          <w:rFonts w:ascii="Times New Roman" w:hAnsi="Times New Roman"/>
          <w:b/>
          <w:color w:val="auto"/>
          <w:sz w:val="24"/>
          <w:szCs w:val="24"/>
        </w:rPr>
      </w:pPr>
      <w:r w:rsidRPr="009834EE">
        <w:rPr>
          <w:rFonts w:ascii="Times New Roman" w:hAnsi="Times New Roman"/>
          <w:b/>
          <w:color w:val="auto"/>
          <w:sz w:val="24"/>
          <w:szCs w:val="24"/>
        </w:rPr>
        <w:t xml:space="preserve">FOR THE </w:t>
      </w:r>
      <w:r w:rsidRPr="009834EE">
        <w:rPr>
          <w:rFonts w:ascii="Times New Roman" w:hAnsi="Times New Roman"/>
          <w:b/>
          <w:color w:val="auto"/>
          <w:sz w:val="24"/>
          <w:szCs w:val="24"/>
        </w:rPr>
        <w:t>16</w:t>
      </w:r>
      <w:r w:rsidRPr="009834EE">
        <w:rPr>
          <w:rFonts w:ascii="Times New Roman" w:hAnsi="Times New Roman"/>
          <w:b/>
          <w:color w:val="auto"/>
          <w:sz w:val="24"/>
          <w:szCs w:val="24"/>
          <w:vertAlign w:val="superscript"/>
        </w:rPr>
        <w:t>th</w:t>
      </w:r>
      <w:r w:rsidRPr="009834EE">
        <w:rPr>
          <w:rFonts w:ascii="Times New Roman" w:hAnsi="Times New Roman"/>
          <w:b/>
          <w:color w:val="auto"/>
          <w:sz w:val="24"/>
          <w:szCs w:val="24"/>
        </w:rPr>
        <w:t xml:space="preserve"> </w:t>
      </w:r>
      <w:r w:rsidRPr="009834EE">
        <w:rPr>
          <w:rFonts w:ascii="Times New Roman" w:hAnsi="Times New Roman"/>
          <w:b/>
          <w:color w:val="auto"/>
          <w:sz w:val="24"/>
          <w:szCs w:val="24"/>
        </w:rPr>
        <w:t>MEETING OF THE STANDING COMMITTEE OF THE AGREEMENT ON THE CONSERVATION OF AFRICAN-EURASIAN MIGRATORY WATERBIRDS</w:t>
      </w:r>
      <w:r w:rsidRPr="009834EE">
        <w:rPr>
          <w:rFonts w:ascii="Times New Roman" w:hAnsi="Times New Roman"/>
          <w:b/>
          <w:color w:val="auto"/>
          <w:sz w:val="24"/>
          <w:szCs w:val="24"/>
        </w:rPr>
        <w:t xml:space="preserve"> (AEWA)</w:t>
      </w:r>
    </w:p>
    <w:p w14:paraId="2D8D6DCE" w14:textId="77777777" w:rsidR="00173F5B" w:rsidRPr="009834EE" w:rsidRDefault="00173F5B" w:rsidP="00173F5B">
      <w:pPr>
        <w:rPr>
          <w:sz w:val="22"/>
          <w:szCs w:val="22"/>
        </w:rPr>
      </w:pPr>
    </w:p>
    <w:p w14:paraId="705602AB" w14:textId="77777777" w:rsidR="00173F5B" w:rsidRPr="009834EE" w:rsidRDefault="00173F5B" w:rsidP="00173F5B">
      <w:pPr>
        <w:jc w:val="both"/>
        <w:rPr>
          <w:sz w:val="22"/>
          <w:szCs w:val="22"/>
        </w:rPr>
      </w:pPr>
      <w:r w:rsidRPr="009834EE">
        <w:rPr>
          <w:sz w:val="22"/>
          <w:szCs w:val="22"/>
        </w:rPr>
        <w:t xml:space="preserve">This Information Document is in support to the long-standing and well-established synergetic cooperation between the United Nations Environment </w:t>
      </w:r>
      <w:proofErr w:type="spellStart"/>
      <w:r w:rsidRPr="009834EE">
        <w:rPr>
          <w:sz w:val="22"/>
          <w:szCs w:val="22"/>
        </w:rPr>
        <w:t>Programme</w:t>
      </w:r>
      <w:proofErr w:type="spellEnd"/>
      <w:r w:rsidRPr="009834EE">
        <w:rPr>
          <w:sz w:val="22"/>
          <w:szCs w:val="22"/>
        </w:rPr>
        <w:t xml:space="preserve"> (UNEP) and the Agreement on the Conservation of African-Eurasian Migratory Waterbirds (AEWA). UNEP has continued to strengthen its programmatic support to the work of the Convention on the Conservation of Migratory Species of Wild Animals (CMS) and its agreements. The outcomes of the meetings of the governing bodies of UNEP and the CMS family provide the overarching framework for this mutually beneficial cooperation. </w:t>
      </w:r>
    </w:p>
    <w:p w14:paraId="2EB13E74" w14:textId="77777777" w:rsidR="00173F5B" w:rsidRPr="009834EE" w:rsidRDefault="00173F5B" w:rsidP="00173F5B">
      <w:pPr>
        <w:jc w:val="both"/>
        <w:rPr>
          <w:sz w:val="22"/>
          <w:szCs w:val="22"/>
        </w:rPr>
      </w:pPr>
    </w:p>
    <w:p w14:paraId="60B5A402" w14:textId="77777777" w:rsidR="00173F5B" w:rsidRPr="009834EE" w:rsidRDefault="00173F5B" w:rsidP="00173F5B">
      <w:pPr>
        <w:jc w:val="both"/>
        <w:rPr>
          <w:sz w:val="22"/>
          <w:szCs w:val="22"/>
        </w:rPr>
      </w:pPr>
      <w:r w:rsidRPr="009834EE">
        <w:rPr>
          <w:sz w:val="22"/>
          <w:szCs w:val="22"/>
        </w:rPr>
        <w:t xml:space="preserve">The overall theme of UNEA-5 is “Strengthening Actions for Nature to Achieve Sustainable Development Goals”. The theme calls for strengthened action to protect and restore nature and the nature-based solutions to achieve the SDGs in its three dimensions (social, </w:t>
      </w:r>
      <w:proofErr w:type="gramStart"/>
      <w:r w:rsidRPr="009834EE">
        <w:rPr>
          <w:sz w:val="22"/>
          <w:szCs w:val="22"/>
        </w:rPr>
        <w:t>economic</w:t>
      </w:r>
      <w:proofErr w:type="gramEnd"/>
      <w:r w:rsidRPr="009834EE">
        <w:rPr>
          <w:sz w:val="22"/>
          <w:szCs w:val="22"/>
        </w:rPr>
        <w:t xml:space="preserve"> and environmental). It also provides an opportunity for Member States and stakeholders to take ambitious steps towards building back better and greener by ensuring that investments in economic recovery after the COVID-19 pandemic contribute to sustainable development.</w:t>
      </w:r>
    </w:p>
    <w:p w14:paraId="3361BF96" w14:textId="77777777" w:rsidR="00173F5B" w:rsidRPr="009834EE" w:rsidRDefault="00173F5B" w:rsidP="00173F5B">
      <w:pPr>
        <w:jc w:val="both"/>
        <w:rPr>
          <w:sz w:val="22"/>
          <w:szCs w:val="22"/>
        </w:rPr>
      </w:pPr>
    </w:p>
    <w:p w14:paraId="47FFB5AF" w14:textId="77777777" w:rsidR="00173F5B" w:rsidRPr="009834EE" w:rsidRDefault="00173F5B" w:rsidP="00173F5B">
      <w:pPr>
        <w:jc w:val="both"/>
        <w:rPr>
          <w:sz w:val="22"/>
          <w:szCs w:val="22"/>
        </w:rPr>
      </w:pPr>
      <w:r w:rsidRPr="009834EE">
        <w:rPr>
          <w:sz w:val="22"/>
          <w:szCs w:val="22"/>
        </w:rPr>
        <w:t xml:space="preserve">Due to the specific context of the COVID-19 pandemic and based on consultations with Member States and stakeholders, it was decided that UNEA-5 would take place in a two-step approach in two phases. While the first phase (UNEA-5.1) was conducted virtually on 22-26 February 2021 with focus on urgent and procedural decisions, the second phase (UNEA-5.2) will be held on substantive matters in-person session in February 2022. </w:t>
      </w:r>
    </w:p>
    <w:p w14:paraId="37E9CC66" w14:textId="77777777" w:rsidR="00173F5B" w:rsidRPr="009834EE" w:rsidRDefault="00173F5B" w:rsidP="00173F5B">
      <w:pPr>
        <w:jc w:val="both"/>
        <w:rPr>
          <w:sz w:val="22"/>
          <w:szCs w:val="22"/>
        </w:rPr>
      </w:pPr>
    </w:p>
    <w:p w14:paraId="1F532605" w14:textId="77777777" w:rsidR="00173F5B" w:rsidRPr="009834EE" w:rsidRDefault="00173F5B" w:rsidP="00173F5B">
      <w:pPr>
        <w:jc w:val="both"/>
        <w:rPr>
          <w:sz w:val="22"/>
          <w:szCs w:val="22"/>
        </w:rPr>
      </w:pPr>
      <w:r w:rsidRPr="009834EE">
        <w:rPr>
          <w:sz w:val="22"/>
          <w:szCs w:val="22"/>
          <w:u w:val="single"/>
        </w:rPr>
        <w:t>1) Decisions adopted at UNEA-5.1</w:t>
      </w:r>
      <w:r w:rsidRPr="009834EE">
        <w:rPr>
          <w:sz w:val="22"/>
          <w:szCs w:val="22"/>
        </w:rPr>
        <w:t xml:space="preserve"> can be downloaded here under ‘</w:t>
      </w:r>
      <w:hyperlink w:history="1">
        <w:r w:rsidRPr="009834EE">
          <w:rPr>
            <w:rStyle w:val="Hyperlink"/>
            <w:sz w:val="22"/>
            <w:szCs w:val="22"/>
          </w:rPr>
          <w:t>Adopted decisions from online UNEA-5</w:t>
        </w:r>
      </w:hyperlink>
      <w:r w:rsidRPr="009834EE">
        <w:rPr>
          <w:rStyle w:val="Hyperlink"/>
          <w:sz w:val="22"/>
          <w:szCs w:val="22"/>
        </w:rPr>
        <w:t>.1</w:t>
      </w:r>
      <w:r w:rsidRPr="009834EE">
        <w:rPr>
          <w:sz w:val="22"/>
          <w:szCs w:val="22"/>
        </w:rPr>
        <w:t xml:space="preserve">. </w:t>
      </w:r>
    </w:p>
    <w:p w14:paraId="53E653CC" w14:textId="77777777" w:rsidR="00173F5B" w:rsidRPr="009834EE" w:rsidRDefault="00173F5B" w:rsidP="00173F5B">
      <w:pPr>
        <w:jc w:val="both"/>
        <w:rPr>
          <w:sz w:val="22"/>
          <w:szCs w:val="22"/>
        </w:rPr>
      </w:pPr>
    </w:p>
    <w:p w14:paraId="4629ABF9" w14:textId="77777777" w:rsidR="00173F5B" w:rsidRPr="009834EE" w:rsidRDefault="00173F5B" w:rsidP="00173F5B">
      <w:pPr>
        <w:jc w:val="both"/>
        <w:rPr>
          <w:sz w:val="22"/>
          <w:szCs w:val="22"/>
        </w:rPr>
      </w:pPr>
      <w:r w:rsidRPr="009834EE">
        <w:rPr>
          <w:sz w:val="22"/>
          <w:szCs w:val="22"/>
        </w:rPr>
        <w:t xml:space="preserve">Firstly, UNEA-5.1 adopted a decision on the Management of trust funds and earmarked contributions. With regards to trust funds in support of the regional seas </w:t>
      </w:r>
      <w:proofErr w:type="spellStart"/>
      <w:r w:rsidRPr="009834EE">
        <w:rPr>
          <w:sz w:val="22"/>
          <w:szCs w:val="22"/>
        </w:rPr>
        <w:t>programmes</w:t>
      </w:r>
      <w:proofErr w:type="spellEnd"/>
      <w:r w:rsidRPr="009834EE">
        <w:rPr>
          <w:sz w:val="22"/>
          <w:szCs w:val="22"/>
        </w:rPr>
        <w:t xml:space="preserve">, conventions, protocols and special funds, UNEA noted and approved the extension of funds as requested notably by the thirteenth meeting of the Conference of the Parties to the Convention on the Conservation (I assume, of Migratory Species). These trust funds include the two funds related to AEWA: The core budget called AWL – General Trust Fund for AEWA, and the AVL fund – General Trust Fund for Voluntary Contributions to AEWA, which were both extended up to 31 December 2024. </w:t>
      </w:r>
    </w:p>
    <w:p w14:paraId="47B75AC1" w14:textId="77777777" w:rsidR="00173F5B" w:rsidRPr="009834EE" w:rsidRDefault="00173F5B" w:rsidP="00173F5B">
      <w:pPr>
        <w:jc w:val="both"/>
        <w:rPr>
          <w:sz w:val="22"/>
          <w:szCs w:val="22"/>
        </w:rPr>
      </w:pPr>
    </w:p>
    <w:p w14:paraId="60217C26" w14:textId="77777777" w:rsidR="00173F5B" w:rsidRPr="009834EE" w:rsidRDefault="00173F5B" w:rsidP="00173F5B">
      <w:pPr>
        <w:jc w:val="both"/>
        <w:rPr>
          <w:sz w:val="22"/>
          <w:szCs w:val="22"/>
        </w:rPr>
      </w:pPr>
      <w:r w:rsidRPr="009834EE">
        <w:rPr>
          <w:sz w:val="22"/>
          <w:szCs w:val="22"/>
        </w:rPr>
        <w:t xml:space="preserve">Secondly, the UNEA adopted a new Medium-Term Strategy for 2022-2025 and </w:t>
      </w:r>
      <w:proofErr w:type="spellStart"/>
      <w:r w:rsidRPr="009834EE">
        <w:rPr>
          <w:sz w:val="22"/>
          <w:szCs w:val="22"/>
        </w:rPr>
        <w:t>programme</w:t>
      </w:r>
      <w:proofErr w:type="spellEnd"/>
      <w:r w:rsidRPr="009834EE">
        <w:rPr>
          <w:sz w:val="22"/>
          <w:szCs w:val="22"/>
        </w:rPr>
        <w:t xml:space="preserve"> of work and budget for the biennium 2022-2023. UNEA-5.1 approved appropriations for the Environment Fund in the amount of USD 200 million for the years 2022-2023. Its budget envelope remains stable compared to 2020-2021.</w:t>
      </w:r>
    </w:p>
    <w:p w14:paraId="7FA49611" w14:textId="77777777" w:rsidR="00173F5B" w:rsidRPr="009834EE" w:rsidRDefault="00173F5B" w:rsidP="00173F5B">
      <w:pPr>
        <w:jc w:val="both"/>
        <w:rPr>
          <w:sz w:val="22"/>
          <w:szCs w:val="22"/>
        </w:rPr>
      </w:pPr>
    </w:p>
    <w:p w14:paraId="14CD065B" w14:textId="77777777" w:rsidR="005C1438" w:rsidRPr="009834EE" w:rsidRDefault="00173F5B" w:rsidP="00173F5B">
      <w:pPr>
        <w:jc w:val="both"/>
        <w:rPr>
          <w:sz w:val="22"/>
          <w:szCs w:val="22"/>
        </w:rPr>
        <w:sectPr w:rsidR="005C1438" w:rsidRPr="009834EE" w:rsidSect="00C473A3">
          <w:headerReference w:type="default" r:id="rId8"/>
          <w:footerReference w:type="even" r:id="rId9"/>
          <w:footerReference w:type="first" r:id="rId10"/>
          <w:pgSz w:w="11907" w:h="16840" w:code="9"/>
          <w:pgMar w:top="1134" w:right="1134" w:bottom="1134" w:left="1134" w:header="709" w:footer="709" w:gutter="0"/>
          <w:cols w:space="708"/>
          <w:docGrid w:linePitch="360"/>
        </w:sectPr>
      </w:pPr>
      <w:r w:rsidRPr="009834EE">
        <w:rPr>
          <w:sz w:val="22"/>
          <w:szCs w:val="22"/>
        </w:rPr>
        <w:t xml:space="preserve">Thirdly, UNEA decided to resume the fifth session of UNEA for an in-person meeting from 28 February to 2 March 2022 in Nairobi, Kenya, where substantive items will be </w:t>
      </w:r>
      <w:proofErr w:type="gramStart"/>
      <w:r w:rsidRPr="009834EE">
        <w:rPr>
          <w:sz w:val="22"/>
          <w:szCs w:val="22"/>
        </w:rPr>
        <w:t>considered</w:t>
      </w:r>
      <w:proofErr w:type="gramEnd"/>
      <w:r w:rsidRPr="009834EE">
        <w:rPr>
          <w:sz w:val="22"/>
          <w:szCs w:val="22"/>
        </w:rPr>
        <w:t xml:space="preserve"> and relevant resolutions and outcome documents adopted.</w:t>
      </w:r>
    </w:p>
    <w:p w14:paraId="722857EC" w14:textId="087C91D8" w:rsidR="00173F5B" w:rsidRPr="009834EE" w:rsidRDefault="00173F5B" w:rsidP="00173F5B">
      <w:pPr>
        <w:jc w:val="both"/>
        <w:rPr>
          <w:b/>
          <w:sz w:val="22"/>
          <w:szCs w:val="22"/>
          <w:u w:val="single"/>
        </w:rPr>
      </w:pPr>
      <w:r w:rsidRPr="009834EE">
        <w:rPr>
          <w:sz w:val="22"/>
          <w:szCs w:val="22"/>
          <w:u w:val="single"/>
        </w:rPr>
        <w:lastRenderedPageBreak/>
        <w:t>2) Focus on UNEP and Environmental Governance &amp; Multilateral Environmental Agreements (MEAs) in the Medium-Term Strategy 2022-2025</w:t>
      </w:r>
    </w:p>
    <w:p w14:paraId="10C1FB7D" w14:textId="77777777" w:rsidR="00173F5B" w:rsidRPr="009834EE" w:rsidRDefault="00173F5B" w:rsidP="00173F5B">
      <w:pPr>
        <w:jc w:val="both"/>
        <w:rPr>
          <w:sz w:val="22"/>
          <w:szCs w:val="22"/>
        </w:rPr>
      </w:pPr>
      <w:r w:rsidRPr="009834EE">
        <w:rPr>
          <w:sz w:val="22"/>
          <w:szCs w:val="22"/>
        </w:rPr>
        <w:t>In response to UNEA decision 4/1, UNEP submitted the ‘</w:t>
      </w:r>
      <w:r w:rsidRPr="009834EE">
        <w:rPr>
          <w:sz w:val="22"/>
          <w:szCs w:val="22"/>
          <w:u w:val="single"/>
        </w:rPr>
        <w:t>Proposed Medium-Term Strategy 2022-2025: Report of the Executive Director’ (</w:t>
      </w:r>
      <w:hyperlink r:id="rId11" w:history="1">
        <w:r w:rsidRPr="009834EE">
          <w:rPr>
            <w:rStyle w:val="Hyperlink"/>
            <w:sz w:val="22"/>
            <w:szCs w:val="22"/>
          </w:rPr>
          <w:t>UNEP/EA.5/3/Rev.1</w:t>
        </w:r>
      </w:hyperlink>
      <w:r w:rsidRPr="009834EE">
        <w:rPr>
          <w:sz w:val="22"/>
          <w:szCs w:val="22"/>
          <w:u w:val="single"/>
        </w:rPr>
        <w:t>)</w:t>
      </w:r>
      <w:r w:rsidRPr="009834EE">
        <w:rPr>
          <w:sz w:val="22"/>
          <w:szCs w:val="22"/>
        </w:rPr>
        <w:t xml:space="preserve"> that maps out actions needed to reshape consumption and production patterns towards sustainability and to tackle climate change, biodiversity loss and pollution. The medium-term strategy (MTS) seeks to provide a stronger, more </w:t>
      </w:r>
      <w:proofErr w:type="gramStart"/>
      <w:r w:rsidRPr="009834EE">
        <w:rPr>
          <w:sz w:val="22"/>
          <w:szCs w:val="22"/>
        </w:rPr>
        <w:t>coordinated</w:t>
      </w:r>
      <w:proofErr w:type="gramEnd"/>
      <w:r w:rsidRPr="009834EE">
        <w:rPr>
          <w:sz w:val="22"/>
          <w:szCs w:val="22"/>
        </w:rPr>
        <w:t xml:space="preserve"> and mutually supportive environmental action. </w:t>
      </w:r>
    </w:p>
    <w:p w14:paraId="7CD99C89" w14:textId="77777777" w:rsidR="00173F5B" w:rsidRPr="009834EE" w:rsidRDefault="00173F5B" w:rsidP="00173F5B">
      <w:pPr>
        <w:jc w:val="both"/>
        <w:rPr>
          <w:sz w:val="22"/>
          <w:szCs w:val="22"/>
        </w:rPr>
      </w:pPr>
    </w:p>
    <w:p w14:paraId="43572177" w14:textId="77777777" w:rsidR="00173F5B" w:rsidRPr="009834EE" w:rsidRDefault="00173F5B" w:rsidP="00173F5B">
      <w:pPr>
        <w:jc w:val="both"/>
        <w:rPr>
          <w:sz w:val="22"/>
          <w:szCs w:val="22"/>
        </w:rPr>
      </w:pPr>
      <w:r w:rsidRPr="009834EE">
        <w:rPr>
          <w:sz w:val="22"/>
          <w:szCs w:val="22"/>
        </w:rPr>
        <w:t xml:space="preserve">The first introductory part of the MTS gives an analysis of the negative impact of a rapidly deteriorating environment on human development, as well as of the MTS’ contribution towards the 2030 Agenda for Sustainable Development. The second and core part of the MTS presents UNEP’s focus, articulated around three principal areas of action also called thematic subprograms (climate action, nature action, and chemicals and pollution action) underpinned by two foundational subprograms (science policy and environmental governance) and facilitated by two enabling subprograms (finance and economic transformation, and digital transformation). </w:t>
      </w:r>
    </w:p>
    <w:p w14:paraId="00ABA914" w14:textId="77777777" w:rsidR="00173F5B" w:rsidRPr="009834EE" w:rsidRDefault="00173F5B" w:rsidP="00173F5B">
      <w:pPr>
        <w:jc w:val="both"/>
        <w:rPr>
          <w:sz w:val="22"/>
          <w:szCs w:val="22"/>
        </w:rPr>
      </w:pPr>
    </w:p>
    <w:p w14:paraId="54820562" w14:textId="77777777" w:rsidR="00173F5B" w:rsidRPr="009834EE" w:rsidRDefault="00173F5B" w:rsidP="00173F5B">
      <w:pPr>
        <w:jc w:val="both"/>
        <w:rPr>
          <w:sz w:val="22"/>
          <w:szCs w:val="22"/>
        </w:rPr>
      </w:pPr>
      <w:r w:rsidRPr="009834EE">
        <w:rPr>
          <w:sz w:val="22"/>
          <w:szCs w:val="22"/>
        </w:rPr>
        <w:t xml:space="preserve">With regards to Environmental Governance, UNEP’s Medium-Term Strategy 2022-2025 notably focuses on supporting countries in developing and implementing environmental policies, strengthening the role of UNEA as the highest global environmental decision-making body to deliver on the environmental dimension of the 2030 Agenda, and enhancing cooperation with the </w:t>
      </w:r>
      <w:proofErr w:type="spellStart"/>
      <w:r w:rsidRPr="009834EE">
        <w:rPr>
          <w:sz w:val="22"/>
          <w:szCs w:val="22"/>
        </w:rPr>
        <w:t>MEAs.</w:t>
      </w:r>
      <w:proofErr w:type="spellEnd"/>
      <w:r w:rsidRPr="009834EE">
        <w:rPr>
          <w:sz w:val="22"/>
          <w:szCs w:val="22"/>
        </w:rPr>
        <w:t xml:space="preserve"> The later includes cooperation with the respective secretariats and bodies of the 15 MEAs UNEP administers, and support for the development for the agreed post-2020 global biodiversity framework.</w:t>
      </w:r>
    </w:p>
    <w:p w14:paraId="1B156562" w14:textId="77777777" w:rsidR="00173F5B" w:rsidRPr="009834EE" w:rsidRDefault="00173F5B" w:rsidP="00173F5B">
      <w:pPr>
        <w:jc w:val="both"/>
        <w:rPr>
          <w:sz w:val="22"/>
          <w:szCs w:val="22"/>
        </w:rPr>
      </w:pPr>
    </w:p>
    <w:p w14:paraId="1EDF2B4F" w14:textId="77777777" w:rsidR="00173F5B" w:rsidRPr="009834EE" w:rsidRDefault="00173F5B" w:rsidP="00173F5B">
      <w:pPr>
        <w:jc w:val="both"/>
        <w:rPr>
          <w:sz w:val="22"/>
          <w:szCs w:val="22"/>
        </w:rPr>
      </w:pPr>
      <w:r w:rsidRPr="009834EE">
        <w:rPr>
          <w:sz w:val="22"/>
          <w:szCs w:val="22"/>
        </w:rPr>
        <w:t xml:space="preserve">MEAs “multiplier effect” and inclusive multilateralism for stronger global environmental governance are considered by UNEP as two of the four levers of change, alongside with the United Nations reform process and innovative communication for environmental advocacy. UNEP will promote coherent and synergized cooperation across all MEAs – recognized as the foundational stones of the work of UNEP – and enhance UNEA’s relationship with MEAs while respecting their legal autonomy. </w:t>
      </w:r>
    </w:p>
    <w:p w14:paraId="728D2CD8" w14:textId="77777777" w:rsidR="00173F5B" w:rsidRPr="009834EE" w:rsidRDefault="00173F5B" w:rsidP="00173F5B">
      <w:pPr>
        <w:jc w:val="both"/>
        <w:rPr>
          <w:sz w:val="22"/>
          <w:szCs w:val="22"/>
        </w:rPr>
      </w:pPr>
    </w:p>
    <w:p w14:paraId="2CFE4EAF" w14:textId="77777777" w:rsidR="00173F5B" w:rsidRPr="009834EE" w:rsidRDefault="00173F5B" w:rsidP="00173F5B">
      <w:pPr>
        <w:jc w:val="both"/>
        <w:rPr>
          <w:sz w:val="22"/>
          <w:szCs w:val="22"/>
          <w:u w:val="single"/>
        </w:rPr>
      </w:pPr>
      <w:r w:rsidRPr="009834EE">
        <w:rPr>
          <w:sz w:val="22"/>
          <w:szCs w:val="22"/>
          <w:u w:val="single"/>
        </w:rPr>
        <w:t xml:space="preserve">3) Focus on UNEP, Environmental Governance and Multilateral Environmental Agreements (MEAs) in the </w:t>
      </w:r>
      <w:proofErr w:type="spellStart"/>
      <w:r w:rsidRPr="009834EE">
        <w:rPr>
          <w:sz w:val="22"/>
          <w:szCs w:val="22"/>
          <w:u w:val="single"/>
        </w:rPr>
        <w:t>Programme</w:t>
      </w:r>
      <w:proofErr w:type="spellEnd"/>
      <w:r w:rsidRPr="009834EE">
        <w:rPr>
          <w:sz w:val="22"/>
          <w:szCs w:val="22"/>
          <w:u w:val="single"/>
        </w:rPr>
        <w:t xml:space="preserve"> of Work and Budget for the biennium 2022-2023</w:t>
      </w:r>
    </w:p>
    <w:p w14:paraId="331D5EED" w14:textId="77777777" w:rsidR="00173F5B" w:rsidRPr="009834EE" w:rsidRDefault="00173F5B" w:rsidP="00173F5B">
      <w:pPr>
        <w:jc w:val="both"/>
        <w:rPr>
          <w:sz w:val="22"/>
          <w:szCs w:val="22"/>
        </w:rPr>
      </w:pPr>
    </w:p>
    <w:p w14:paraId="08CF6B4A" w14:textId="77777777" w:rsidR="00173F5B" w:rsidRPr="009834EE" w:rsidRDefault="00173F5B" w:rsidP="00173F5B">
      <w:pPr>
        <w:jc w:val="both"/>
        <w:rPr>
          <w:sz w:val="22"/>
          <w:szCs w:val="22"/>
        </w:rPr>
      </w:pPr>
      <w:r w:rsidRPr="009834EE">
        <w:rPr>
          <w:sz w:val="22"/>
          <w:szCs w:val="22"/>
        </w:rPr>
        <w:t xml:space="preserve">UNEP also submitted the </w:t>
      </w:r>
      <w:r w:rsidRPr="009834EE">
        <w:rPr>
          <w:sz w:val="22"/>
          <w:szCs w:val="22"/>
          <w:u w:val="single"/>
        </w:rPr>
        <w:t xml:space="preserve">‘Proposed </w:t>
      </w:r>
      <w:proofErr w:type="spellStart"/>
      <w:r w:rsidRPr="009834EE">
        <w:rPr>
          <w:sz w:val="22"/>
          <w:szCs w:val="22"/>
          <w:u w:val="single"/>
        </w:rPr>
        <w:t>Programme</w:t>
      </w:r>
      <w:proofErr w:type="spellEnd"/>
      <w:r w:rsidRPr="009834EE">
        <w:rPr>
          <w:sz w:val="22"/>
          <w:szCs w:val="22"/>
          <w:u w:val="single"/>
        </w:rPr>
        <w:t xml:space="preserve"> of Work and Budget for 2022-2023: Report of the Executive Director’ (</w:t>
      </w:r>
      <w:hyperlink r:id="rId12" w:history="1">
        <w:r w:rsidRPr="009834EE">
          <w:rPr>
            <w:rStyle w:val="Hyperlink"/>
            <w:sz w:val="22"/>
            <w:szCs w:val="22"/>
          </w:rPr>
          <w:t>UNEP/EA.5/3/Add.1</w:t>
        </w:r>
      </w:hyperlink>
      <w:r w:rsidRPr="009834EE">
        <w:rPr>
          <w:sz w:val="22"/>
          <w:szCs w:val="22"/>
          <w:u w:val="single"/>
        </w:rPr>
        <w:t>)</w:t>
      </w:r>
      <w:r w:rsidRPr="009834EE">
        <w:rPr>
          <w:sz w:val="22"/>
          <w:szCs w:val="22"/>
        </w:rPr>
        <w:t xml:space="preserve"> in response to UNEA decision 4/1, that presents UNEP results framework, leadership and </w:t>
      </w:r>
      <w:proofErr w:type="spellStart"/>
      <w:r w:rsidRPr="009834EE">
        <w:rPr>
          <w:sz w:val="22"/>
          <w:szCs w:val="22"/>
        </w:rPr>
        <w:t>programme</w:t>
      </w:r>
      <w:proofErr w:type="spellEnd"/>
      <w:r w:rsidRPr="009834EE">
        <w:rPr>
          <w:sz w:val="22"/>
          <w:szCs w:val="22"/>
        </w:rPr>
        <w:t xml:space="preserve"> management, budget and resource mobilization for the next two years. More specifically, the document gives four key indicators measuring governance performance to deliver climate, nature, and chemicals and pollution outcomes, as follow: </w:t>
      </w:r>
    </w:p>
    <w:p w14:paraId="1853AA69" w14:textId="77777777" w:rsidR="00173F5B" w:rsidRPr="009834EE" w:rsidRDefault="00173F5B" w:rsidP="00173F5B">
      <w:pPr>
        <w:jc w:val="both"/>
        <w:rPr>
          <w:sz w:val="22"/>
          <w:szCs w:val="22"/>
        </w:rPr>
      </w:pPr>
    </w:p>
    <w:p w14:paraId="5CBD3E48" w14:textId="77777777" w:rsidR="00173F5B" w:rsidRPr="009834EE" w:rsidRDefault="00173F5B" w:rsidP="00173F5B">
      <w:pPr>
        <w:numPr>
          <w:ilvl w:val="0"/>
          <w:numId w:val="33"/>
        </w:numPr>
        <w:jc w:val="both"/>
        <w:rPr>
          <w:sz w:val="22"/>
          <w:szCs w:val="22"/>
        </w:rPr>
      </w:pPr>
      <w:r w:rsidRPr="009834EE">
        <w:rPr>
          <w:sz w:val="22"/>
          <w:szCs w:val="22"/>
        </w:rPr>
        <w:t xml:space="preserve">Number of countries supported by UNEP under the Montevideo </w:t>
      </w:r>
      <w:proofErr w:type="spellStart"/>
      <w:r w:rsidRPr="009834EE">
        <w:rPr>
          <w:sz w:val="22"/>
          <w:szCs w:val="22"/>
        </w:rPr>
        <w:t>Programme</w:t>
      </w:r>
      <w:proofErr w:type="spellEnd"/>
      <w:r w:rsidRPr="009834EE">
        <w:rPr>
          <w:sz w:val="22"/>
          <w:szCs w:val="22"/>
        </w:rPr>
        <w:t xml:space="preserve"> in developing and implementing environmental rule of law and related technical and institutional capacities to address internationally agreed environmental goals, </w:t>
      </w:r>
    </w:p>
    <w:p w14:paraId="630B3C93" w14:textId="77777777" w:rsidR="00173F5B" w:rsidRPr="009834EE" w:rsidRDefault="00173F5B" w:rsidP="00173F5B">
      <w:pPr>
        <w:pStyle w:val="NormalWeb"/>
        <w:numPr>
          <w:ilvl w:val="0"/>
          <w:numId w:val="33"/>
        </w:numPr>
        <w:jc w:val="both"/>
        <w:rPr>
          <w:sz w:val="22"/>
          <w:szCs w:val="22"/>
        </w:rPr>
      </w:pPr>
      <w:r w:rsidRPr="009834EE">
        <w:rPr>
          <w:sz w:val="22"/>
          <w:szCs w:val="22"/>
        </w:rPr>
        <w:t xml:space="preserve">Number of international legal agreements or instruments advanced or developed with UNEP support to address internationally agreed environmental goals, </w:t>
      </w:r>
    </w:p>
    <w:p w14:paraId="411FCD3C" w14:textId="77777777" w:rsidR="00173F5B" w:rsidRPr="009834EE" w:rsidRDefault="00173F5B" w:rsidP="00173F5B">
      <w:pPr>
        <w:pStyle w:val="NormalWeb"/>
        <w:numPr>
          <w:ilvl w:val="0"/>
          <w:numId w:val="33"/>
        </w:numPr>
        <w:jc w:val="both"/>
        <w:rPr>
          <w:sz w:val="22"/>
          <w:szCs w:val="22"/>
        </w:rPr>
      </w:pPr>
      <w:r w:rsidRPr="009834EE">
        <w:rPr>
          <w:sz w:val="22"/>
          <w:szCs w:val="22"/>
        </w:rPr>
        <w:t xml:space="preserve">Number of plans, approaches, strategies, policies, action plans or budgeting processes of entities at the national, </w:t>
      </w:r>
      <w:proofErr w:type="gramStart"/>
      <w:r w:rsidRPr="009834EE">
        <w:rPr>
          <w:sz w:val="22"/>
          <w:szCs w:val="22"/>
        </w:rPr>
        <w:t>regional</w:t>
      </w:r>
      <w:proofErr w:type="gramEnd"/>
      <w:r w:rsidRPr="009834EE">
        <w:rPr>
          <w:sz w:val="22"/>
          <w:szCs w:val="22"/>
        </w:rPr>
        <w:t xml:space="preserve"> and global levels that include environmental goals as a result of UNEP support, </w:t>
      </w:r>
    </w:p>
    <w:p w14:paraId="7C115DF8" w14:textId="77777777" w:rsidR="00173F5B" w:rsidRPr="009834EE" w:rsidRDefault="00173F5B" w:rsidP="00173F5B">
      <w:pPr>
        <w:pStyle w:val="NormalWeb"/>
        <w:numPr>
          <w:ilvl w:val="0"/>
          <w:numId w:val="33"/>
        </w:numPr>
        <w:jc w:val="both"/>
        <w:rPr>
          <w:sz w:val="22"/>
          <w:szCs w:val="22"/>
        </w:rPr>
      </w:pPr>
      <w:r w:rsidRPr="009834EE">
        <w:rPr>
          <w:sz w:val="22"/>
          <w:szCs w:val="22"/>
        </w:rPr>
        <w:t xml:space="preserve">Number of entities at the national, </w:t>
      </w:r>
      <w:proofErr w:type="gramStart"/>
      <w:r w:rsidRPr="009834EE">
        <w:rPr>
          <w:sz w:val="22"/>
          <w:szCs w:val="22"/>
        </w:rPr>
        <w:t>regional</w:t>
      </w:r>
      <w:proofErr w:type="gramEnd"/>
      <w:r w:rsidRPr="009834EE">
        <w:rPr>
          <w:sz w:val="22"/>
          <w:szCs w:val="22"/>
        </w:rPr>
        <w:t xml:space="preserve"> or global levels that UNEP has supported in developing integrated approaches and tools for enhanced coordination, cooperation and synergies for the coherent implementation of </w:t>
      </w:r>
      <w:proofErr w:type="spellStart"/>
      <w:r w:rsidRPr="009834EE">
        <w:rPr>
          <w:sz w:val="22"/>
          <w:szCs w:val="22"/>
        </w:rPr>
        <w:t>MEAs.</w:t>
      </w:r>
      <w:proofErr w:type="spellEnd"/>
      <w:r w:rsidRPr="009834EE">
        <w:rPr>
          <w:sz w:val="22"/>
          <w:szCs w:val="22"/>
        </w:rPr>
        <w:t xml:space="preserve"> </w:t>
      </w:r>
    </w:p>
    <w:p w14:paraId="414EF7DE" w14:textId="77777777" w:rsidR="00173F5B" w:rsidRPr="009834EE" w:rsidRDefault="00173F5B" w:rsidP="00173F5B">
      <w:pPr>
        <w:jc w:val="both"/>
        <w:rPr>
          <w:sz w:val="22"/>
          <w:szCs w:val="22"/>
        </w:rPr>
      </w:pPr>
      <w:r w:rsidRPr="009834EE">
        <w:rPr>
          <w:sz w:val="22"/>
          <w:szCs w:val="22"/>
        </w:rPr>
        <w:t xml:space="preserve">With respect to UNEP leadership and </w:t>
      </w:r>
      <w:proofErr w:type="spellStart"/>
      <w:r w:rsidRPr="009834EE">
        <w:rPr>
          <w:sz w:val="22"/>
          <w:szCs w:val="22"/>
        </w:rPr>
        <w:t>programme</w:t>
      </w:r>
      <w:proofErr w:type="spellEnd"/>
      <w:r w:rsidRPr="009834EE">
        <w:rPr>
          <w:sz w:val="22"/>
          <w:szCs w:val="22"/>
        </w:rPr>
        <w:t xml:space="preserve"> management, UNEP is expected to attract interest from key-decision makers and stakeholders, including from </w:t>
      </w:r>
      <w:proofErr w:type="spellStart"/>
      <w:r w:rsidRPr="009834EE">
        <w:rPr>
          <w:sz w:val="22"/>
          <w:szCs w:val="22"/>
        </w:rPr>
        <w:t>MEAs.</w:t>
      </w:r>
      <w:proofErr w:type="spellEnd"/>
      <w:r w:rsidRPr="009834EE">
        <w:rPr>
          <w:sz w:val="22"/>
          <w:szCs w:val="22"/>
        </w:rPr>
        <w:t xml:space="preserve"> To measure this, one of the four policymaking organs key performance indicators is the ‘Sustained engagement of Member States and United Nations representatives, </w:t>
      </w:r>
      <w:proofErr w:type="gramStart"/>
      <w:r w:rsidRPr="009834EE">
        <w:rPr>
          <w:sz w:val="22"/>
          <w:szCs w:val="22"/>
        </w:rPr>
        <w:t>in particular from</w:t>
      </w:r>
      <w:proofErr w:type="gramEnd"/>
      <w:r w:rsidRPr="009834EE">
        <w:rPr>
          <w:sz w:val="22"/>
          <w:szCs w:val="22"/>
        </w:rPr>
        <w:t xml:space="preserve"> the secretariats of MEAs in the Environment Assembly’. Performance will be measured by the number of representatives from secretariats of MEAs attending UNEA sessions. </w:t>
      </w:r>
    </w:p>
    <w:p w14:paraId="2EEBEAE1" w14:textId="77777777" w:rsidR="00173F5B" w:rsidRPr="009834EE" w:rsidRDefault="00173F5B" w:rsidP="00173F5B">
      <w:pPr>
        <w:jc w:val="both"/>
        <w:rPr>
          <w:sz w:val="22"/>
          <w:szCs w:val="22"/>
          <w:u w:val="single"/>
        </w:rPr>
      </w:pPr>
      <w:r w:rsidRPr="009834EE">
        <w:rPr>
          <w:sz w:val="22"/>
          <w:szCs w:val="22"/>
          <w:u w:val="single"/>
        </w:rPr>
        <w:t>4) Pre-session Working Documents and Information Documents on Biodiversity, Multilateral Environmental Agreements (MEAs) and their corresponding Trust Funds, and the Convention on the Conservation of Migratory Species of Wild Animals (CMS)</w:t>
      </w:r>
    </w:p>
    <w:p w14:paraId="2B9E7874" w14:textId="77777777" w:rsidR="00173F5B" w:rsidRPr="009834EE" w:rsidRDefault="00173F5B" w:rsidP="00173F5B">
      <w:pPr>
        <w:jc w:val="both"/>
        <w:rPr>
          <w:sz w:val="22"/>
          <w:szCs w:val="22"/>
        </w:rPr>
      </w:pPr>
    </w:p>
    <w:p w14:paraId="797FD540" w14:textId="77777777" w:rsidR="00173F5B" w:rsidRPr="009834EE" w:rsidRDefault="00173F5B" w:rsidP="00173F5B">
      <w:pPr>
        <w:jc w:val="both"/>
        <w:rPr>
          <w:sz w:val="22"/>
          <w:szCs w:val="22"/>
        </w:rPr>
      </w:pPr>
      <w:r w:rsidRPr="009834EE">
        <w:rPr>
          <w:sz w:val="22"/>
          <w:szCs w:val="22"/>
        </w:rPr>
        <w:t>Both working documents and information documents give an update on UNEP’s progress in the implementation of UNEA-4 resolutions. For more information on relevant UNEA-4 resolutions, please refer to ‘UNEP Information Document for the 15</w:t>
      </w:r>
      <w:r w:rsidRPr="009834EE">
        <w:rPr>
          <w:sz w:val="22"/>
          <w:szCs w:val="22"/>
          <w:vertAlign w:val="superscript"/>
        </w:rPr>
        <w:t>th</w:t>
      </w:r>
      <w:r w:rsidRPr="009834EE">
        <w:rPr>
          <w:sz w:val="22"/>
          <w:szCs w:val="22"/>
        </w:rPr>
        <w:t xml:space="preserve"> meeting of the Standing Committee of AEWA, 11-13 December 2019, Bristol, United Kingdom’. To access all progress reports on UNEA-4 resolutions mentioned in the later document, follow the links provided below for UNEA-5 ‘pre-session’ documents. </w:t>
      </w:r>
    </w:p>
    <w:p w14:paraId="3824F3A8" w14:textId="77777777" w:rsidR="00173F5B" w:rsidRPr="009834EE" w:rsidRDefault="00173F5B" w:rsidP="00173F5B">
      <w:pPr>
        <w:jc w:val="both"/>
        <w:rPr>
          <w:sz w:val="22"/>
          <w:szCs w:val="22"/>
        </w:rPr>
      </w:pPr>
    </w:p>
    <w:p w14:paraId="7CA45429" w14:textId="77777777" w:rsidR="00173F5B" w:rsidRPr="009834EE" w:rsidRDefault="00173F5B" w:rsidP="00173F5B">
      <w:pPr>
        <w:jc w:val="both"/>
        <w:rPr>
          <w:sz w:val="22"/>
          <w:szCs w:val="22"/>
        </w:rPr>
      </w:pPr>
      <w:r w:rsidRPr="009834EE">
        <w:rPr>
          <w:b/>
          <w:sz w:val="22"/>
          <w:szCs w:val="22"/>
        </w:rPr>
        <w:t>‘</w:t>
      </w:r>
      <w:hyperlink r:id="rId13" w:history="1">
        <w:r w:rsidRPr="009834EE">
          <w:rPr>
            <w:rStyle w:val="Hyperlink"/>
            <w:b/>
            <w:sz w:val="22"/>
            <w:szCs w:val="22"/>
          </w:rPr>
          <w:t>Pre-session: Working documents for UNEA 5</w:t>
        </w:r>
      </w:hyperlink>
      <w:r w:rsidRPr="009834EE">
        <w:rPr>
          <w:b/>
          <w:sz w:val="22"/>
          <w:szCs w:val="22"/>
        </w:rPr>
        <w:t>’</w:t>
      </w:r>
      <w:r w:rsidRPr="009834EE">
        <w:rPr>
          <w:sz w:val="22"/>
          <w:szCs w:val="22"/>
        </w:rPr>
        <w:t xml:space="preserve"> are reports on progress achieved in the implementation of 21 resolutions of the Assembly adopted mostly during UNEA-4 but also at UNEA-3 and UNEA-2. These progress reports – submitted by the Executive Director of UNEP to UNEA – will be reviewed at the annual subcommittee meetings in 2021 and action will be taken at UNEA-5.2. Of these 21 progress reports, 3 are particularly relevant for AEWA, as they give an update on action taken on biodiversity, wildlife, and marine litter:</w:t>
      </w:r>
    </w:p>
    <w:p w14:paraId="473DAAD2" w14:textId="77777777" w:rsidR="00173F5B" w:rsidRPr="009834EE" w:rsidRDefault="00173F5B" w:rsidP="00173F5B">
      <w:pPr>
        <w:jc w:val="both"/>
        <w:rPr>
          <w:b/>
          <w:sz w:val="22"/>
          <w:szCs w:val="22"/>
        </w:rPr>
      </w:pPr>
    </w:p>
    <w:p w14:paraId="23CF12EE" w14:textId="77777777" w:rsidR="00173F5B" w:rsidRPr="009834EE" w:rsidRDefault="00173F5B" w:rsidP="00173F5B">
      <w:pPr>
        <w:numPr>
          <w:ilvl w:val="0"/>
          <w:numId w:val="34"/>
        </w:numPr>
        <w:jc w:val="both"/>
        <w:rPr>
          <w:sz w:val="22"/>
          <w:szCs w:val="22"/>
        </w:rPr>
      </w:pPr>
      <w:r w:rsidRPr="009834EE">
        <w:rPr>
          <w:b/>
          <w:sz w:val="22"/>
          <w:szCs w:val="22"/>
        </w:rPr>
        <w:t xml:space="preserve">UNEP/EA.5/8 </w:t>
      </w:r>
      <w:hyperlink r:id="rId14" w:history="1">
        <w:r w:rsidRPr="009834EE">
          <w:rPr>
            <w:rStyle w:val="Hyperlink"/>
            <w:sz w:val="22"/>
            <w:szCs w:val="22"/>
          </w:rPr>
          <w:t>Progress on the implementation of resolution 4/6 on marine litter and microplastics: Report of the Executive Director</w:t>
        </w:r>
      </w:hyperlink>
      <w:r w:rsidRPr="009834EE">
        <w:rPr>
          <w:sz w:val="22"/>
          <w:szCs w:val="22"/>
        </w:rPr>
        <w:t xml:space="preserve"> details action taken by UNEP, which supported the coordination of actors through the Global Partnership on Marine Litter, helped regions to develop their regional marine litter plan, provided capacity-building through the training-of-trainers </w:t>
      </w:r>
      <w:proofErr w:type="spellStart"/>
      <w:r w:rsidRPr="009834EE">
        <w:rPr>
          <w:sz w:val="22"/>
          <w:szCs w:val="22"/>
        </w:rPr>
        <w:t>programme</w:t>
      </w:r>
      <w:proofErr w:type="spellEnd"/>
      <w:r w:rsidRPr="009834EE">
        <w:rPr>
          <w:sz w:val="22"/>
          <w:szCs w:val="22"/>
        </w:rPr>
        <w:t xml:space="preserve"> for the monitoring and assessment of marine litter and microplastics, and is currently working on an assessment on sources, pathways, and hazard of litter, including plastic litter and microplastics pollution (assessment that will be made available for UNEA-5.2).  </w:t>
      </w:r>
    </w:p>
    <w:p w14:paraId="5A1609BA" w14:textId="77777777" w:rsidR="00173F5B" w:rsidRPr="009834EE" w:rsidRDefault="00173F5B" w:rsidP="00173F5B">
      <w:pPr>
        <w:ind w:left="720"/>
        <w:jc w:val="both"/>
        <w:rPr>
          <w:sz w:val="22"/>
          <w:szCs w:val="22"/>
        </w:rPr>
      </w:pPr>
    </w:p>
    <w:p w14:paraId="1A801989" w14:textId="77777777" w:rsidR="00173F5B" w:rsidRPr="009834EE" w:rsidRDefault="00173F5B" w:rsidP="00173F5B">
      <w:pPr>
        <w:numPr>
          <w:ilvl w:val="0"/>
          <w:numId w:val="34"/>
        </w:numPr>
        <w:jc w:val="both"/>
        <w:rPr>
          <w:sz w:val="22"/>
          <w:szCs w:val="22"/>
        </w:rPr>
      </w:pPr>
      <w:r w:rsidRPr="009834EE">
        <w:rPr>
          <w:b/>
          <w:sz w:val="22"/>
          <w:szCs w:val="22"/>
        </w:rPr>
        <w:t>UNEP/EA.5/10</w:t>
      </w:r>
      <w:r w:rsidRPr="009834EE">
        <w:rPr>
          <w:sz w:val="22"/>
          <w:szCs w:val="22"/>
        </w:rPr>
        <w:t xml:space="preserve"> </w:t>
      </w:r>
      <w:hyperlink r:id="rId15" w:history="1">
        <w:r w:rsidRPr="009834EE">
          <w:rPr>
            <w:rStyle w:val="Hyperlink"/>
            <w:sz w:val="22"/>
            <w:szCs w:val="22"/>
          </w:rPr>
          <w:t xml:space="preserve">Progress in the implementation of resolution 4/10 on innovation on biodiversity and land degradation: Report of the Executive Director </w:t>
        </w:r>
      </w:hyperlink>
      <w:r w:rsidRPr="009834EE">
        <w:rPr>
          <w:sz w:val="22"/>
          <w:szCs w:val="22"/>
        </w:rPr>
        <w:t xml:space="preserve">notably presents key progress made on advancing the global biodiversity agenda (A), and promoting human-wildlife coexistence (B). </w:t>
      </w:r>
    </w:p>
    <w:p w14:paraId="3F606500" w14:textId="77777777" w:rsidR="00173F5B" w:rsidRPr="009834EE" w:rsidRDefault="00173F5B" w:rsidP="00173F5B">
      <w:pPr>
        <w:ind w:left="720"/>
        <w:jc w:val="both"/>
        <w:rPr>
          <w:sz w:val="22"/>
          <w:szCs w:val="22"/>
        </w:rPr>
      </w:pPr>
      <w:r w:rsidRPr="009834EE">
        <w:rPr>
          <w:sz w:val="22"/>
          <w:szCs w:val="22"/>
        </w:rPr>
        <w:t xml:space="preserve">On item (A), UNEP: 1) provided technical assistance to 137 countries on national biodiversity reports (measuring achievements of Aichi Biodiversity Targets) resulting in the submission of 6 reports, 2) supported the Secretariat of the Convention on Biological Diversity in making progress on the post-2020 biodiversity framework including processing the peer review with the help of the UNEP World Conservation Monitoring Centre (UNEP-WCMC), 3) supported the United Nations Summit on Biodiversity held in September 2020, 4) worked with other UN entities and Member States to advance synergies across MEAs, 5) worked with the support of the European Union and Switzerland to develop the Data Reporting Tool for </w:t>
      </w:r>
      <w:proofErr w:type="spellStart"/>
      <w:r w:rsidRPr="009834EE">
        <w:rPr>
          <w:sz w:val="22"/>
          <w:szCs w:val="22"/>
        </w:rPr>
        <w:t>MEAs.</w:t>
      </w:r>
      <w:proofErr w:type="spellEnd"/>
      <w:r w:rsidRPr="009834EE">
        <w:rPr>
          <w:sz w:val="22"/>
          <w:szCs w:val="22"/>
        </w:rPr>
        <w:t xml:space="preserve"> This tool provides a private and secure platform for Parties to share national data and monitoring and reporting synergies across the biodiversity-related conventions. </w:t>
      </w:r>
    </w:p>
    <w:p w14:paraId="700F8EBC" w14:textId="77777777" w:rsidR="00173F5B" w:rsidRPr="009834EE" w:rsidRDefault="00173F5B" w:rsidP="00173F5B">
      <w:pPr>
        <w:ind w:left="720"/>
        <w:jc w:val="both"/>
        <w:rPr>
          <w:sz w:val="22"/>
          <w:szCs w:val="22"/>
        </w:rPr>
      </w:pPr>
      <w:r w:rsidRPr="009834EE">
        <w:rPr>
          <w:sz w:val="22"/>
          <w:szCs w:val="22"/>
        </w:rPr>
        <w:t xml:space="preserve">On item (B), UNEP: 1) hosted the inaugural Africa Wildlife Economy Summit in June 2019 with the support of the African Union and Zimbabwe, 2) worked on wildlife conservation areas based on local shareholder knowledge in Southern Africa and the Congo basin, 3) undertook a scientific assessment on preventing </w:t>
      </w:r>
      <w:hyperlink r:id="rId16" w:history="1">
        <w:r w:rsidRPr="009834EE">
          <w:rPr>
            <w:rStyle w:val="Hyperlink"/>
            <w:sz w:val="22"/>
            <w:szCs w:val="22"/>
          </w:rPr>
          <w:t xml:space="preserve">zoonotic diseases </w:t>
        </w:r>
      </w:hyperlink>
      <w:r w:rsidRPr="009834EE">
        <w:rPr>
          <w:sz w:val="22"/>
          <w:szCs w:val="22"/>
        </w:rPr>
        <w:t xml:space="preserve"> and the potential next pandemic. </w:t>
      </w:r>
    </w:p>
    <w:p w14:paraId="1FE3A50E" w14:textId="77777777" w:rsidR="00173F5B" w:rsidRPr="009834EE" w:rsidRDefault="00173F5B" w:rsidP="00173F5B">
      <w:pPr>
        <w:ind w:left="921"/>
        <w:jc w:val="both"/>
        <w:rPr>
          <w:sz w:val="22"/>
          <w:szCs w:val="22"/>
        </w:rPr>
      </w:pPr>
    </w:p>
    <w:p w14:paraId="363B5955" w14:textId="71E306AA" w:rsidR="00173F5B" w:rsidRPr="009834EE" w:rsidRDefault="00173F5B" w:rsidP="00DE106A">
      <w:pPr>
        <w:numPr>
          <w:ilvl w:val="0"/>
          <w:numId w:val="34"/>
        </w:numPr>
        <w:jc w:val="both"/>
        <w:rPr>
          <w:sz w:val="22"/>
          <w:szCs w:val="22"/>
        </w:rPr>
      </w:pPr>
      <w:r w:rsidRPr="009834EE">
        <w:rPr>
          <w:b/>
          <w:sz w:val="22"/>
          <w:szCs w:val="22"/>
        </w:rPr>
        <w:t>UNEP/EA.5/21</w:t>
      </w:r>
      <w:r w:rsidRPr="009834EE">
        <w:rPr>
          <w:sz w:val="22"/>
          <w:szCs w:val="22"/>
        </w:rPr>
        <w:t xml:space="preserve"> </w:t>
      </w:r>
      <w:hyperlink r:id="rId17" w:history="1">
        <w:r w:rsidRPr="009834EE">
          <w:rPr>
            <w:rStyle w:val="Hyperlink"/>
            <w:sz w:val="22"/>
            <w:szCs w:val="22"/>
          </w:rPr>
          <w:t>Progress in the implementation of resolution 2/14 on illegal trade in wildlife and wild products: Report of the Executive Director</w:t>
        </w:r>
      </w:hyperlink>
      <w:r w:rsidRPr="009834EE">
        <w:rPr>
          <w:sz w:val="22"/>
          <w:szCs w:val="22"/>
        </w:rPr>
        <w:t xml:space="preserve"> focuses on actions undertaken by UNEP to fight against illegal trade and trafficking in wildlife and its products in collaboration with the Convention on International Trade in Endangered Species of Wild Fauna and Flora (CITES). The report highlights UNEP’s efforts to update online resource to access information on species listed on CITES, CMS and the EU wildlife trade regulations through </w:t>
      </w:r>
      <w:hyperlink r:id="rId18" w:history="1">
        <w:r w:rsidRPr="009834EE">
          <w:rPr>
            <w:rStyle w:val="Hyperlink"/>
            <w:sz w:val="22"/>
            <w:szCs w:val="22"/>
          </w:rPr>
          <w:t>Species+</w:t>
        </w:r>
      </w:hyperlink>
      <w:r w:rsidRPr="009834EE">
        <w:rPr>
          <w:sz w:val="22"/>
          <w:szCs w:val="22"/>
        </w:rPr>
        <w:t xml:space="preserve">. It also presents new global spatial data portals supported by UNEP-WCMC to assess threats to wildlife and biodiversity and facilitate policy-making: UN Biodiversity Lab, the Integrated Biodiversity Assessment Tool and the International Union for the Conservation of Nature and Natural Resources (IUCN) Red List of Threatened Species website. </w:t>
      </w:r>
    </w:p>
    <w:sectPr w:rsidR="00173F5B" w:rsidRPr="009834EE" w:rsidSect="00173F5B">
      <w:headerReference w:type="default" r:id="rId19"/>
      <w:footerReference w:type="even" r:id="rId20"/>
      <w:footerReference w:type="default" r:id="rId21"/>
      <w:headerReference w:type="first" r:id="rId22"/>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DD3F3" w14:textId="77777777" w:rsidR="00D505C7" w:rsidRDefault="00D505C7">
      <w:r>
        <w:separator/>
      </w:r>
    </w:p>
  </w:endnote>
  <w:endnote w:type="continuationSeparator" w:id="0">
    <w:p w14:paraId="7ED62497" w14:textId="77777777" w:rsidR="00D505C7" w:rsidRDefault="00D5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BAD29" w14:textId="77777777" w:rsidR="00C87EF7" w:rsidRDefault="00C04086" w:rsidP="00DD4D36">
    <w:pPr>
      <w:pStyle w:val="Footer"/>
      <w:framePr w:wrap="around" w:vAnchor="text" w:hAnchor="margin" w:xAlign="right" w:y="1"/>
      <w:rPr>
        <w:rStyle w:val="PageNumber"/>
      </w:rPr>
    </w:pPr>
    <w:r>
      <w:rPr>
        <w:rStyle w:val="PageNumber"/>
      </w:rPr>
      <w:fldChar w:fldCharType="begin"/>
    </w:r>
    <w:r w:rsidR="00C87EF7">
      <w:rPr>
        <w:rStyle w:val="PageNumber"/>
      </w:rPr>
      <w:instrText xml:space="preserve">PAGE  </w:instrText>
    </w:r>
    <w:r>
      <w:rPr>
        <w:rStyle w:val="PageNumber"/>
      </w:rPr>
      <w:fldChar w:fldCharType="end"/>
    </w:r>
  </w:p>
  <w:p w14:paraId="094EF329" w14:textId="77777777" w:rsidR="00C87EF7" w:rsidRDefault="00C87EF7" w:rsidP="00386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115090"/>
      <w:docPartObj>
        <w:docPartGallery w:val="Page Numbers (Bottom of Page)"/>
        <w:docPartUnique/>
      </w:docPartObj>
    </w:sdtPr>
    <w:sdtEndPr>
      <w:rPr>
        <w:noProof/>
      </w:rPr>
    </w:sdtEndPr>
    <w:sdtContent>
      <w:p w14:paraId="41528AFE" w14:textId="3875C34E" w:rsidR="00B75521" w:rsidRDefault="00B755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189C25" w14:textId="77777777" w:rsidR="00B75521" w:rsidRDefault="00B75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9BAEB" w14:textId="77777777" w:rsidR="00C87EF7" w:rsidRDefault="00C04086" w:rsidP="00606344">
    <w:pPr>
      <w:pStyle w:val="Footer"/>
      <w:framePr w:wrap="around" w:vAnchor="text" w:hAnchor="margin" w:xAlign="right" w:y="1"/>
      <w:rPr>
        <w:rStyle w:val="PageNumber"/>
      </w:rPr>
    </w:pPr>
    <w:r>
      <w:rPr>
        <w:rStyle w:val="PageNumber"/>
      </w:rPr>
      <w:fldChar w:fldCharType="begin"/>
    </w:r>
    <w:r w:rsidR="00C87EF7">
      <w:rPr>
        <w:rStyle w:val="PageNumber"/>
      </w:rPr>
      <w:instrText xml:space="preserve">PAGE  </w:instrText>
    </w:r>
    <w:r>
      <w:rPr>
        <w:rStyle w:val="PageNumber"/>
      </w:rPr>
      <w:fldChar w:fldCharType="end"/>
    </w:r>
  </w:p>
  <w:p w14:paraId="2204BEF0" w14:textId="77777777" w:rsidR="00C87EF7" w:rsidRDefault="00C87EF7" w:rsidP="00B72BE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69BD2" w14:textId="77777777" w:rsidR="00C473A3" w:rsidRPr="00B75521" w:rsidRDefault="00C04086">
    <w:pPr>
      <w:pStyle w:val="Footer"/>
      <w:jc w:val="center"/>
      <w:rPr>
        <w:sz w:val="22"/>
        <w:szCs w:val="22"/>
      </w:rPr>
    </w:pPr>
    <w:r w:rsidRPr="00B75521">
      <w:rPr>
        <w:sz w:val="22"/>
        <w:szCs w:val="22"/>
      </w:rPr>
      <w:fldChar w:fldCharType="begin"/>
    </w:r>
    <w:r w:rsidR="00C473A3" w:rsidRPr="00B75521">
      <w:rPr>
        <w:sz w:val="22"/>
        <w:szCs w:val="22"/>
      </w:rPr>
      <w:instrText xml:space="preserve"> PAGE   \* MERGEFORMAT </w:instrText>
    </w:r>
    <w:r w:rsidRPr="00B75521">
      <w:rPr>
        <w:sz w:val="22"/>
        <w:szCs w:val="22"/>
      </w:rPr>
      <w:fldChar w:fldCharType="separate"/>
    </w:r>
    <w:r w:rsidR="004C7D60" w:rsidRPr="00B75521">
      <w:rPr>
        <w:noProof/>
        <w:sz w:val="22"/>
        <w:szCs w:val="22"/>
      </w:rPr>
      <w:t>5</w:t>
    </w:r>
    <w:r w:rsidRPr="00B75521">
      <w:rPr>
        <w:noProof/>
        <w:sz w:val="22"/>
        <w:szCs w:val="22"/>
      </w:rPr>
      <w:fldChar w:fldCharType="end"/>
    </w:r>
  </w:p>
  <w:p w14:paraId="719486AD" w14:textId="77777777" w:rsidR="00C87EF7" w:rsidRDefault="00C87EF7" w:rsidP="00B72BE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C4DAC" w14:textId="77777777" w:rsidR="00D505C7" w:rsidRDefault="00D505C7">
      <w:r>
        <w:separator/>
      </w:r>
    </w:p>
  </w:footnote>
  <w:footnote w:type="continuationSeparator" w:id="0">
    <w:p w14:paraId="431C3335" w14:textId="77777777" w:rsidR="00D505C7" w:rsidRDefault="00D50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47" w:type="pct"/>
      <w:tblBorders>
        <w:bottom w:val="single" w:sz="2" w:space="0" w:color="auto"/>
      </w:tblBorders>
      <w:tblLook w:val="04A0" w:firstRow="1" w:lastRow="0" w:firstColumn="1" w:lastColumn="0" w:noHBand="0" w:noVBand="1"/>
    </w:tblPr>
    <w:tblGrid>
      <w:gridCol w:w="2210"/>
      <w:gridCol w:w="5126"/>
      <w:gridCol w:w="2586"/>
    </w:tblGrid>
    <w:tr w:rsidR="00C473A3" w14:paraId="4DBD64E7" w14:textId="77777777" w:rsidTr="00701A91">
      <w:trPr>
        <w:trHeight w:val="1256"/>
      </w:trPr>
      <w:tc>
        <w:tcPr>
          <w:tcW w:w="1114" w:type="pct"/>
          <w:tcBorders>
            <w:top w:val="nil"/>
            <w:left w:val="nil"/>
            <w:bottom w:val="nil"/>
            <w:right w:val="nil"/>
          </w:tcBorders>
          <w:hideMark/>
        </w:tcPr>
        <w:p w14:paraId="7F6DC9E5" w14:textId="77777777" w:rsidR="00C473A3" w:rsidRDefault="006B23B9" w:rsidP="00C473A3">
          <w:pPr>
            <w:rPr>
              <w:lang w:val="en-GB"/>
            </w:rPr>
          </w:pPr>
          <w:bookmarkStart w:id="0" w:name="_Hlk513643711"/>
          <w:r>
            <w:rPr>
              <w:noProof/>
              <w:lang w:val="de-DE" w:eastAsia="de-DE"/>
            </w:rPr>
            <w:drawing>
              <wp:inline distT="0" distB="0" distL="0" distR="0" wp14:anchorId="482D3013" wp14:editId="089A19AE">
                <wp:extent cx="802640" cy="676275"/>
                <wp:effectExtent l="19050" t="0" r="0" b="0"/>
                <wp:docPr id="1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srcRect/>
                        <a:stretch>
                          <a:fillRect/>
                        </a:stretch>
                      </pic:blipFill>
                      <pic:spPr bwMode="auto">
                        <a:xfrm>
                          <a:off x="0" y="0"/>
                          <a:ext cx="802640" cy="676275"/>
                        </a:xfrm>
                        <a:prstGeom prst="rect">
                          <a:avLst/>
                        </a:prstGeom>
                        <a:noFill/>
                        <a:ln w="9525">
                          <a:noFill/>
                          <a:miter lim="800000"/>
                          <a:headEnd/>
                          <a:tailEnd/>
                        </a:ln>
                      </pic:spPr>
                    </pic:pic>
                  </a:graphicData>
                </a:graphic>
              </wp:inline>
            </w:drawing>
          </w:r>
        </w:p>
      </w:tc>
      <w:tc>
        <w:tcPr>
          <w:tcW w:w="2583" w:type="pct"/>
          <w:tcBorders>
            <w:top w:val="nil"/>
            <w:left w:val="nil"/>
            <w:bottom w:val="nil"/>
            <w:right w:val="nil"/>
          </w:tcBorders>
          <w:hideMark/>
        </w:tcPr>
        <w:p w14:paraId="31E758F1" w14:textId="77777777" w:rsidR="00C473A3" w:rsidRDefault="00C473A3" w:rsidP="00C473A3">
          <w:pPr>
            <w:jc w:val="center"/>
            <w:rPr>
              <w:i/>
              <w:sz w:val="22"/>
              <w:szCs w:val="22"/>
              <w:lang w:val="en-GB"/>
            </w:rPr>
          </w:pPr>
          <w:r>
            <w:rPr>
              <w:i/>
              <w:sz w:val="22"/>
              <w:szCs w:val="22"/>
              <w:lang w:val="en-GB"/>
            </w:rPr>
            <w:t>AGREEMENT ON THE CONSERVATION OF</w:t>
          </w:r>
        </w:p>
        <w:p w14:paraId="134BEE0B" w14:textId="77777777" w:rsidR="00C473A3" w:rsidRDefault="00C473A3" w:rsidP="00C473A3">
          <w:pPr>
            <w:jc w:val="center"/>
            <w:rPr>
              <w:lang w:val="en-GB"/>
            </w:rPr>
          </w:pPr>
          <w:r>
            <w:rPr>
              <w:i/>
              <w:sz w:val="22"/>
              <w:szCs w:val="22"/>
              <w:lang w:val="en-GB"/>
            </w:rPr>
            <w:t>AFRICAN-EURASIAN MIGRATORY WATERBIRDS</w:t>
          </w:r>
        </w:p>
      </w:tc>
      <w:tc>
        <w:tcPr>
          <w:tcW w:w="1303" w:type="pct"/>
          <w:tcBorders>
            <w:top w:val="nil"/>
            <w:left w:val="nil"/>
            <w:bottom w:val="nil"/>
            <w:right w:val="nil"/>
          </w:tcBorders>
          <w:hideMark/>
        </w:tcPr>
        <w:p w14:paraId="3A182F43" w14:textId="245CC55C" w:rsidR="00701A91" w:rsidRDefault="006B23B9" w:rsidP="00701A91">
          <w:pPr>
            <w:ind w:left="-300"/>
            <w:jc w:val="right"/>
            <w:rPr>
              <w:i/>
              <w:iCs/>
              <w:sz w:val="20"/>
              <w:szCs w:val="20"/>
              <w:lang w:val="en-GB"/>
            </w:rPr>
          </w:pPr>
          <w:r>
            <w:rPr>
              <w:i/>
              <w:iCs/>
              <w:sz w:val="20"/>
              <w:szCs w:val="20"/>
              <w:lang w:val="en-GB"/>
            </w:rPr>
            <w:t>Doc. AEWA/</w:t>
          </w:r>
          <w:proofErr w:type="spellStart"/>
          <w:r>
            <w:rPr>
              <w:i/>
              <w:iCs/>
              <w:sz w:val="20"/>
              <w:szCs w:val="20"/>
              <w:lang w:val="en-GB"/>
            </w:rPr>
            <w:t>StC</w:t>
          </w:r>
          <w:proofErr w:type="spellEnd"/>
          <w:r>
            <w:rPr>
              <w:i/>
              <w:iCs/>
              <w:sz w:val="20"/>
              <w:szCs w:val="20"/>
              <w:lang w:val="en-GB"/>
            </w:rPr>
            <w:t xml:space="preserve"> Inf.1</w:t>
          </w:r>
          <w:r w:rsidR="00701A91">
            <w:rPr>
              <w:i/>
              <w:iCs/>
              <w:sz w:val="20"/>
              <w:szCs w:val="20"/>
              <w:lang w:val="en-GB"/>
            </w:rPr>
            <w:t>6</w:t>
          </w:r>
          <w:r>
            <w:rPr>
              <w:i/>
              <w:iCs/>
              <w:sz w:val="20"/>
              <w:szCs w:val="20"/>
              <w:lang w:val="en-GB"/>
            </w:rPr>
            <w:t>.</w:t>
          </w:r>
          <w:r w:rsidR="006C31A7">
            <w:rPr>
              <w:i/>
              <w:iCs/>
              <w:sz w:val="20"/>
              <w:szCs w:val="20"/>
              <w:lang w:val="en-GB"/>
            </w:rPr>
            <w:t>4</w:t>
          </w:r>
          <w:r w:rsidR="00D544CA">
            <w:rPr>
              <w:i/>
              <w:iCs/>
              <w:sz w:val="20"/>
              <w:szCs w:val="20"/>
              <w:lang w:val="en-GB"/>
            </w:rPr>
            <w:t xml:space="preserve"> </w:t>
          </w:r>
        </w:p>
        <w:p w14:paraId="5AD8E45B" w14:textId="68777E61" w:rsidR="00C473A3" w:rsidRDefault="006C31A7" w:rsidP="00701A91">
          <w:pPr>
            <w:ind w:left="-300"/>
            <w:jc w:val="right"/>
            <w:rPr>
              <w:lang w:val="en-GB"/>
            </w:rPr>
          </w:pPr>
          <w:r>
            <w:rPr>
              <w:i/>
              <w:iCs/>
              <w:sz w:val="20"/>
              <w:szCs w:val="20"/>
              <w:lang w:val="en-GB"/>
            </w:rPr>
            <w:t>19</w:t>
          </w:r>
          <w:r w:rsidR="00701A91">
            <w:rPr>
              <w:i/>
              <w:iCs/>
              <w:sz w:val="20"/>
              <w:szCs w:val="20"/>
              <w:lang w:val="en-GB"/>
            </w:rPr>
            <w:t xml:space="preserve"> </w:t>
          </w:r>
          <w:r>
            <w:rPr>
              <w:i/>
              <w:iCs/>
              <w:sz w:val="20"/>
              <w:szCs w:val="20"/>
              <w:lang w:val="en-GB"/>
            </w:rPr>
            <w:t>April</w:t>
          </w:r>
          <w:r w:rsidR="00C473A3">
            <w:rPr>
              <w:i/>
              <w:iCs/>
              <w:sz w:val="20"/>
              <w:szCs w:val="20"/>
              <w:lang w:val="en-GB"/>
            </w:rPr>
            <w:t xml:space="preserve"> 20</w:t>
          </w:r>
          <w:r w:rsidR="00701A91">
            <w:rPr>
              <w:i/>
              <w:iCs/>
              <w:sz w:val="20"/>
              <w:szCs w:val="20"/>
              <w:lang w:val="en-GB"/>
            </w:rPr>
            <w:t>21</w:t>
          </w:r>
        </w:p>
      </w:tc>
    </w:tr>
    <w:tr w:rsidR="00C473A3" w14:paraId="283D263C" w14:textId="77777777" w:rsidTr="00701A91">
      <w:trPr>
        <w:trHeight w:val="153"/>
      </w:trPr>
      <w:tc>
        <w:tcPr>
          <w:tcW w:w="5000" w:type="pct"/>
          <w:gridSpan w:val="3"/>
          <w:tcBorders>
            <w:top w:val="nil"/>
            <w:left w:val="nil"/>
            <w:bottom w:val="nil"/>
            <w:right w:val="nil"/>
          </w:tcBorders>
          <w:hideMark/>
        </w:tcPr>
        <w:p w14:paraId="75D4D6B2" w14:textId="79B1A9D9" w:rsidR="00C473A3" w:rsidRDefault="00C473A3" w:rsidP="00C473A3">
          <w:pPr>
            <w:jc w:val="center"/>
            <w:rPr>
              <w:b/>
              <w:bCs/>
              <w:caps/>
              <w:sz w:val="26"/>
              <w:szCs w:val="26"/>
              <w:lang w:val="en-GB"/>
            </w:rPr>
          </w:pPr>
          <w:r>
            <w:rPr>
              <w:b/>
              <w:bCs/>
              <w:sz w:val="26"/>
              <w:szCs w:val="26"/>
              <w:lang w:val="en-GB"/>
            </w:rPr>
            <w:t>1</w:t>
          </w:r>
          <w:r w:rsidR="00701A91">
            <w:rPr>
              <w:b/>
              <w:bCs/>
              <w:sz w:val="26"/>
              <w:szCs w:val="26"/>
              <w:lang w:val="en-GB"/>
            </w:rPr>
            <w:t>6</w:t>
          </w:r>
          <w:r>
            <w:rPr>
              <w:b/>
              <w:bCs/>
              <w:sz w:val="26"/>
              <w:szCs w:val="26"/>
              <w:vertAlign w:val="superscript"/>
              <w:lang w:val="en-GB"/>
            </w:rPr>
            <w:t>th</w:t>
          </w:r>
          <w:r>
            <w:rPr>
              <w:b/>
              <w:bCs/>
              <w:sz w:val="26"/>
              <w:szCs w:val="26"/>
              <w:lang w:val="en-GB"/>
            </w:rPr>
            <w:t xml:space="preserve"> </w:t>
          </w:r>
          <w:r>
            <w:rPr>
              <w:b/>
              <w:bCs/>
              <w:caps/>
              <w:sz w:val="26"/>
              <w:szCs w:val="26"/>
              <w:lang w:val="en-GB"/>
            </w:rPr>
            <w:t>Meeting of the STANDING COMMITTEE</w:t>
          </w:r>
        </w:p>
        <w:p w14:paraId="013D5045" w14:textId="793BF073" w:rsidR="00C473A3" w:rsidRDefault="00701A91" w:rsidP="00C473A3">
          <w:pPr>
            <w:jc w:val="center"/>
            <w:rPr>
              <w:i/>
              <w:sz w:val="22"/>
              <w:szCs w:val="22"/>
              <w:lang w:val="en-GB"/>
            </w:rPr>
          </w:pPr>
          <w:r>
            <w:rPr>
              <w:i/>
              <w:iCs/>
              <w:sz w:val="22"/>
              <w:szCs w:val="22"/>
              <w:lang w:val="en-GB"/>
            </w:rPr>
            <w:t>4</w:t>
          </w:r>
          <w:r w:rsidR="006B23B9">
            <w:rPr>
              <w:i/>
              <w:iCs/>
              <w:sz w:val="22"/>
              <w:szCs w:val="22"/>
              <w:lang w:val="en-GB"/>
            </w:rPr>
            <w:t>-</w:t>
          </w:r>
          <w:r>
            <w:rPr>
              <w:i/>
              <w:iCs/>
              <w:sz w:val="22"/>
              <w:szCs w:val="22"/>
              <w:lang w:val="en-GB"/>
            </w:rPr>
            <w:t>6</w:t>
          </w:r>
          <w:r w:rsidR="006B23B9">
            <w:rPr>
              <w:i/>
              <w:iCs/>
              <w:sz w:val="22"/>
              <w:szCs w:val="22"/>
              <w:lang w:val="en-GB"/>
            </w:rPr>
            <w:t xml:space="preserve"> </w:t>
          </w:r>
          <w:r>
            <w:rPr>
              <w:i/>
              <w:iCs/>
              <w:sz w:val="22"/>
              <w:szCs w:val="22"/>
              <w:lang w:val="en-GB"/>
            </w:rPr>
            <w:t>May</w:t>
          </w:r>
          <w:r w:rsidR="00C473A3">
            <w:rPr>
              <w:i/>
              <w:iCs/>
              <w:sz w:val="22"/>
              <w:szCs w:val="22"/>
              <w:lang w:val="en-GB"/>
            </w:rPr>
            <w:t xml:space="preserve"> </w:t>
          </w:r>
          <w:r w:rsidR="006B23B9">
            <w:rPr>
              <w:i/>
              <w:iCs/>
              <w:sz w:val="22"/>
              <w:szCs w:val="22"/>
              <w:lang w:val="en-GB"/>
            </w:rPr>
            <w:t>20</w:t>
          </w:r>
          <w:r>
            <w:rPr>
              <w:i/>
              <w:iCs/>
              <w:sz w:val="22"/>
              <w:szCs w:val="22"/>
              <w:lang w:val="en-GB"/>
            </w:rPr>
            <w:t>21</w:t>
          </w:r>
          <w:r w:rsidR="006B23B9">
            <w:rPr>
              <w:i/>
              <w:iCs/>
              <w:sz w:val="22"/>
              <w:szCs w:val="22"/>
              <w:lang w:val="en-GB"/>
            </w:rPr>
            <w:t xml:space="preserve">, </w:t>
          </w:r>
          <w:r>
            <w:rPr>
              <w:i/>
              <w:iCs/>
              <w:sz w:val="22"/>
              <w:szCs w:val="22"/>
              <w:lang w:val="en-GB"/>
            </w:rPr>
            <w:t>Virtual Meeting Format</w:t>
          </w:r>
        </w:p>
      </w:tc>
    </w:tr>
    <w:tr w:rsidR="00C473A3" w14:paraId="42049575" w14:textId="77777777" w:rsidTr="00701A91">
      <w:trPr>
        <w:trHeight w:val="270"/>
      </w:trPr>
      <w:tc>
        <w:tcPr>
          <w:tcW w:w="5000" w:type="pct"/>
          <w:gridSpan w:val="3"/>
          <w:tcBorders>
            <w:top w:val="nil"/>
            <w:left w:val="nil"/>
            <w:bottom w:val="single" w:sz="2" w:space="0" w:color="auto"/>
            <w:right w:val="nil"/>
          </w:tcBorders>
          <w:vAlign w:val="center"/>
        </w:tcPr>
        <w:p w14:paraId="4CF083FE" w14:textId="77777777" w:rsidR="00C473A3" w:rsidRDefault="00C473A3" w:rsidP="00C473A3">
          <w:pPr>
            <w:rPr>
              <w:bCs/>
              <w:i/>
              <w:lang w:val="en-GB"/>
            </w:rPr>
          </w:pPr>
        </w:p>
      </w:tc>
      <w:bookmarkEnd w:id="0"/>
    </w:tr>
  </w:tbl>
  <w:p w14:paraId="44E67422" w14:textId="77777777" w:rsidR="00C87EF7" w:rsidRDefault="00C87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93EA" w14:textId="77777777" w:rsidR="00173F5B" w:rsidRPr="00173F5B" w:rsidRDefault="00173F5B" w:rsidP="00173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7E93A" w14:textId="77777777" w:rsidR="00C87EF7" w:rsidRPr="00173F5B" w:rsidRDefault="00C87EF7" w:rsidP="00173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5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89481F"/>
    <w:multiLevelType w:val="hybridMultilevel"/>
    <w:tmpl w:val="31DC1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F2C66"/>
    <w:multiLevelType w:val="hybridMultilevel"/>
    <w:tmpl w:val="95EC0CD8"/>
    <w:lvl w:ilvl="0" w:tplc="84983256">
      <w:start w:val="4"/>
      <w:numFmt w:val="lowerLetter"/>
      <w:lvlText w:val="(%1)"/>
      <w:lvlJc w:val="left"/>
      <w:pPr>
        <w:tabs>
          <w:tab w:val="num" w:pos="1733"/>
        </w:tabs>
        <w:ind w:left="1733" w:hanging="1155"/>
      </w:pPr>
      <w:rPr>
        <w:rFonts w:hint="default"/>
      </w:rPr>
    </w:lvl>
    <w:lvl w:ilvl="1" w:tplc="08090019" w:tentative="1">
      <w:start w:val="1"/>
      <w:numFmt w:val="lowerLetter"/>
      <w:lvlText w:val="%2."/>
      <w:lvlJc w:val="left"/>
      <w:pPr>
        <w:tabs>
          <w:tab w:val="num" w:pos="1658"/>
        </w:tabs>
        <w:ind w:left="1658" w:hanging="360"/>
      </w:p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3" w15:restartNumberingAfterBreak="0">
    <w:nsid w:val="0D0764AA"/>
    <w:multiLevelType w:val="hybridMultilevel"/>
    <w:tmpl w:val="867CB33A"/>
    <w:lvl w:ilvl="0" w:tplc="959AD868">
      <w:start w:val="1"/>
      <w:numFmt w:val="lowerLetter"/>
      <w:lvlText w:val="(%1)"/>
      <w:lvlJc w:val="left"/>
      <w:pPr>
        <w:tabs>
          <w:tab w:val="num" w:pos="1733"/>
        </w:tabs>
        <w:ind w:left="1733" w:hanging="1155"/>
      </w:pPr>
      <w:rPr>
        <w:rFonts w:hint="default"/>
      </w:rPr>
    </w:lvl>
    <w:lvl w:ilvl="1" w:tplc="08090019" w:tentative="1">
      <w:start w:val="1"/>
      <w:numFmt w:val="lowerLetter"/>
      <w:lvlText w:val="%2."/>
      <w:lvlJc w:val="left"/>
      <w:pPr>
        <w:tabs>
          <w:tab w:val="num" w:pos="1658"/>
        </w:tabs>
        <w:ind w:left="1658" w:hanging="360"/>
      </w:p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4" w15:restartNumberingAfterBreak="0">
    <w:nsid w:val="125D1FDA"/>
    <w:multiLevelType w:val="hybridMultilevel"/>
    <w:tmpl w:val="68A027AC"/>
    <w:lvl w:ilvl="0" w:tplc="CB90E6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C7EB3"/>
    <w:multiLevelType w:val="hybridMultilevel"/>
    <w:tmpl w:val="F2FC65E2"/>
    <w:lvl w:ilvl="0" w:tplc="5F58413A">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30118"/>
    <w:multiLevelType w:val="hybridMultilevel"/>
    <w:tmpl w:val="95EE5402"/>
    <w:lvl w:ilvl="0" w:tplc="F93C088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2C1195"/>
    <w:multiLevelType w:val="multilevel"/>
    <w:tmpl w:val="CE1EE276"/>
    <w:lvl w:ilvl="0">
      <w:numFmt w:val="bullet"/>
      <w:lvlText w:val="-"/>
      <w:lvlJc w:val="left"/>
      <w:pPr>
        <w:tabs>
          <w:tab w:val="num" w:pos="1298"/>
        </w:tabs>
        <w:ind w:left="1298" w:hanging="360"/>
      </w:pPr>
      <w:rPr>
        <w:rFonts w:ascii="Times New Roman" w:eastAsia="Times New Roman" w:hAnsi="Times New Roman" w:cs="Times New Roman" w:hint="default"/>
      </w:rPr>
    </w:lvl>
    <w:lvl w:ilvl="1">
      <w:start w:val="1"/>
      <w:numFmt w:val="bullet"/>
      <w:lvlText w:val=""/>
      <w:lvlJc w:val="left"/>
      <w:pPr>
        <w:tabs>
          <w:tab w:val="num" w:pos="2018"/>
        </w:tabs>
        <w:ind w:left="2018" w:hanging="360"/>
      </w:pPr>
      <w:rPr>
        <w:rFonts w:ascii="Symbol" w:hAnsi="Symbol" w:hint="default"/>
      </w:rPr>
    </w:lvl>
    <w:lvl w:ilvl="2">
      <w:start w:val="1"/>
      <w:numFmt w:val="bullet"/>
      <w:lvlText w:val=""/>
      <w:lvlJc w:val="left"/>
      <w:pPr>
        <w:tabs>
          <w:tab w:val="num" w:pos="2738"/>
        </w:tabs>
        <w:ind w:left="2738" w:hanging="360"/>
      </w:pPr>
      <w:rPr>
        <w:rFonts w:ascii="Wingdings" w:hAnsi="Wingdings" w:hint="default"/>
      </w:rPr>
    </w:lvl>
    <w:lvl w:ilvl="3">
      <w:start w:val="1"/>
      <w:numFmt w:val="bullet"/>
      <w:lvlText w:val=""/>
      <w:lvlJc w:val="left"/>
      <w:pPr>
        <w:tabs>
          <w:tab w:val="num" w:pos="3458"/>
        </w:tabs>
        <w:ind w:left="3458" w:hanging="360"/>
      </w:pPr>
      <w:rPr>
        <w:rFonts w:ascii="Symbol" w:hAnsi="Symbol" w:hint="default"/>
      </w:rPr>
    </w:lvl>
    <w:lvl w:ilvl="4">
      <w:start w:val="1"/>
      <w:numFmt w:val="bullet"/>
      <w:lvlText w:val="o"/>
      <w:lvlJc w:val="left"/>
      <w:pPr>
        <w:tabs>
          <w:tab w:val="num" w:pos="4178"/>
        </w:tabs>
        <w:ind w:left="4178" w:hanging="360"/>
      </w:pPr>
      <w:rPr>
        <w:rFonts w:ascii="Courier New" w:hAnsi="Courier New" w:cs="Courier New" w:hint="default"/>
      </w:rPr>
    </w:lvl>
    <w:lvl w:ilvl="5">
      <w:start w:val="1"/>
      <w:numFmt w:val="bullet"/>
      <w:lvlText w:val=""/>
      <w:lvlJc w:val="left"/>
      <w:pPr>
        <w:tabs>
          <w:tab w:val="num" w:pos="4898"/>
        </w:tabs>
        <w:ind w:left="4898" w:hanging="360"/>
      </w:pPr>
      <w:rPr>
        <w:rFonts w:ascii="Wingdings" w:hAnsi="Wingdings" w:hint="default"/>
      </w:rPr>
    </w:lvl>
    <w:lvl w:ilvl="6">
      <w:start w:val="1"/>
      <w:numFmt w:val="bullet"/>
      <w:lvlText w:val=""/>
      <w:lvlJc w:val="left"/>
      <w:pPr>
        <w:tabs>
          <w:tab w:val="num" w:pos="5618"/>
        </w:tabs>
        <w:ind w:left="5618" w:hanging="360"/>
      </w:pPr>
      <w:rPr>
        <w:rFonts w:ascii="Symbol" w:hAnsi="Symbol" w:hint="default"/>
      </w:rPr>
    </w:lvl>
    <w:lvl w:ilvl="7">
      <w:start w:val="1"/>
      <w:numFmt w:val="bullet"/>
      <w:lvlText w:val="o"/>
      <w:lvlJc w:val="left"/>
      <w:pPr>
        <w:tabs>
          <w:tab w:val="num" w:pos="6338"/>
        </w:tabs>
        <w:ind w:left="6338" w:hanging="360"/>
      </w:pPr>
      <w:rPr>
        <w:rFonts w:ascii="Courier New" w:hAnsi="Courier New" w:cs="Courier New" w:hint="default"/>
      </w:rPr>
    </w:lvl>
    <w:lvl w:ilvl="8">
      <w:start w:val="1"/>
      <w:numFmt w:val="bullet"/>
      <w:lvlText w:val=""/>
      <w:lvlJc w:val="left"/>
      <w:pPr>
        <w:tabs>
          <w:tab w:val="num" w:pos="7058"/>
        </w:tabs>
        <w:ind w:left="7058" w:hanging="360"/>
      </w:pPr>
      <w:rPr>
        <w:rFonts w:ascii="Wingdings" w:hAnsi="Wingdings" w:hint="default"/>
      </w:rPr>
    </w:lvl>
  </w:abstractNum>
  <w:abstractNum w:abstractNumId="8" w15:restartNumberingAfterBreak="0">
    <w:nsid w:val="204F3449"/>
    <w:multiLevelType w:val="multilevel"/>
    <w:tmpl w:val="D17AD12C"/>
    <w:lvl w:ilvl="0">
      <w:start w:val="1"/>
      <w:numFmt w:val="decimal"/>
      <w:lvlText w:val="%1."/>
      <w:lvlJc w:val="left"/>
      <w:pPr>
        <w:tabs>
          <w:tab w:val="num" w:pos="732"/>
        </w:tabs>
        <w:ind w:left="732" w:hanging="372"/>
      </w:pPr>
      <w:rPr>
        <w:rFonts w:hint="default"/>
        <w:i w:val="0"/>
      </w:rPr>
    </w:lvl>
    <w:lvl w:ilvl="1">
      <w:start w:val="2"/>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2F95D6D"/>
    <w:multiLevelType w:val="hybridMultilevel"/>
    <w:tmpl w:val="192AA270"/>
    <w:lvl w:ilvl="0" w:tplc="34CCBC36">
      <w:start w:val="1"/>
      <w:numFmt w:val="lowerLetter"/>
      <w:lvlText w:val="(%1)"/>
      <w:lvlJc w:val="left"/>
      <w:pPr>
        <w:tabs>
          <w:tab w:val="num" w:pos="1733"/>
        </w:tabs>
        <w:ind w:left="1733" w:hanging="1155"/>
      </w:pPr>
      <w:rPr>
        <w:rFonts w:hint="default"/>
      </w:rPr>
    </w:lvl>
    <w:lvl w:ilvl="1" w:tplc="08090019" w:tentative="1">
      <w:start w:val="1"/>
      <w:numFmt w:val="lowerLetter"/>
      <w:lvlText w:val="%2."/>
      <w:lvlJc w:val="left"/>
      <w:pPr>
        <w:tabs>
          <w:tab w:val="num" w:pos="1658"/>
        </w:tabs>
        <w:ind w:left="1658" w:hanging="360"/>
      </w:p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10" w15:restartNumberingAfterBreak="0">
    <w:nsid w:val="2D014534"/>
    <w:multiLevelType w:val="hybridMultilevel"/>
    <w:tmpl w:val="4A306EA4"/>
    <w:lvl w:ilvl="0" w:tplc="5F58413A">
      <w:numFmt w:val="bullet"/>
      <w:lvlText w:val="-"/>
      <w:lvlJc w:val="left"/>
      <w:pPr>
        <w:tabs>
          <w:tab w:val="num" w:pos="1298"/>
        </w:tabs>
        <w:ind w:left="1298" w:hanging="360"/>
      </w:pPr>
      <w:rPr>
        <w:rFonts w:ascii="Times New Roman" w:eastAsia="Times New Roman" w:hAnsi="Times New Roman" w:cs="Times New Roman" w:hint="default"/>
      </w:rPr>
    </w:lvl>
    <w:lvl w:ilvl="1" w:tplc="08090001">
      <w:start w:val="1"/>
      <w:numFmt w:val="bullet"/>
      <w:lvlText w:val=""/>
      <w:lvlJc w:val="left"/>
      <w:pPr>
        <w:tabs>
          <w:tab w:val="num" w:pos="2018"/>
        </w:tabs>
        <w:ind w:left="2018" w:hanging="360"/>
      </w:pPr>
      <w:rPr>
        <w:rFonts w:ascii="Symbol" w:hAnsi="Symbol"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Courier New"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Courier New"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11" w15:restartNumberingAfterBreak="0">
    <w:nsid w:val="2F5A5858"/>
    <w:multiLevelType w:val="singleLevel"/>
    <w:tmpl w:val="CFB008EA"/>
    <w:lvl w:ilvl="0">
      <w:start w:val="1"/>
      <w:numFmt w:val="lowerLetter"/>
      <w:lvlText w:val="(%1)"/>
      <w:lvlJc w:val="left"/>
      <w:pPr>
        <w:tabs>
          <w:tab w:val="num" w:pos="1148"/>
        </w:tabs>
        <w:ind w:left="1148" w:hanging="570"/>
      </w:pPr>
      <w:rPr>
        <w:rFonts w:hint="default"/>
      </w:rPr>
    </w:lvl>
  </w:abstractNum>
  <w:abstractNum w:abstractNumId="12" w15:restartNumberingAfterBreak="0">
    <w:nsid w:val="32E7797E"/>
    <w:multiLevelType w:val="hybridMultilevel"/>
    <w:tmpl w:val="4072B60A"/>
    <w:lvl w:ilvl="0" w:tplc="00E4A56A">
      <w:start w:val="2"/>
      <w:numFmt w:val="decimal"/>
      <w:lvlText w:val="%1."/>
      <w:lvlJc w:val="left"/>
      <w:pPr>
        <w:tabs>
          <w:tab w:val="num" w:pos="945"/>
        </w:tabs>
        <w:ind w:left="945" w:hanging="5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8E575D"/>
    <w:multiLevelType w:val="hybridMultilevel"/>
    <w:tmpl w:val="F932BF5A"/>
    <w:lvl w:ilvl="0" w:tplc="08090001">
      <w:start w:val="1"/>
      <w:numFmt w:val="bullet"/>
      <w:lvlText w:val=""/>
      <w:lvlJc w:val="left"/>
      <w:pPr>
        <w:tabs>
          <w:tab w:val="num" w:pos="1298"/>
        </w:tabs>
        <w:ind w:left="129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Courier New"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Courier New"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Courier New"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14" w15:restartNumberingAfterBreak="0">
    <w:nsid w:val="39F2450A"/>
    <w:multiLevelType w:val="hybridMultilevel"/>
    <w:tmpl w:val="197031FC"/>
    <w:lvl w:ilvl="0" w:tplc="0409000F">
      <w:start w:val="1"/>
      <w:numFmt w:val="decimal"/>
      <w:lvlText w:val="%1."/>
      <w:lvlJc w:val="left"/>
      <w:pPr>
        <w:tabs>
          <w:tab w:val="num" w:pos="720"/>
        </w:tabs>
        <w:ind w:left="720" w:hanging="360"/>
      </w:pPr>
      <w:rPr>
        <w:rFonts w:hint="default"/>
      </w:rPr>
    </w:lvl>
    <w:lvl w:ilvl="1" w:tplc="0D2A7816">
      <w:start w:val="1"/>
      <w:numFmt w:val="lowerRoman"/>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6166CB"/>
    <w:multiLevelType w:val="hybridMultilevel"/>
    <w:tmpl w:val="94C4B320"/>
    <w:lvl w:ilvl="0" w:tplc="5F58413A">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232AAF"/>
    <w:multiLevelType w:val="hybridMultilevel"/>
    <w:tmpl w:val="901AAC20"/>
    <w:lvl w:ilvl="0" w:tplc="E5F8D95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26CAC"/>
    <w:multiLevelType w:val="hybridMultilevel"/>
    <w:tmpl w:val="AF968358"/>
    <w:lvl w:ilvl="0" w:tplc="5F58413A">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53B43"/>
    <w:multiLevelType w:val="hybridMultilevel"/>
    <w:tmpl w:val="60983F8A"/>
    <w:lvl w:ilvl="0" w:tplc="0407000B">
      <w:start w:val="1"/>
      <w:numFmt w:val="bullet"/>
      <w:lvlText w:val=""/>
      <w:lvlJc w:val="left"/>
      <w:pPr>
        <w:tabs>
          <w:tab w:val="num" w:pos="1298"/>
        </w:tabs>
        <w:ind w:left="1298" w:hanging="360"/>
      </w:pPr>
      <w:rPr>
        <w:rFonts w:ascii="Wingdings" w:hAnsi="Wingdings" w:hint="default"/>
      </w:rPr>
    </w:lvl>
    <w:lvl w:ilvl="1" w:tplc="08090001">
      <w:start w:val="1"/>
      <w:numFmt w:val="bullet"/>
      <w:lvlText w:val=""/>
      <w:lvlJc w:val="left"/>
      <w:pPr>
        <w:tabs>
          <w:tab w:val="num" w:pos="2018"/>
        </w:tabs>
        <w:ind w:left="2018" w:hanging="360"/>
      </w:pPr>
      <w:rPr>
        <w:rFonts w:ascii="Symbol" w:hAnsi="Symbol"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Courier New"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Courier New"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19" w15:restartNumberingAfterBreak="0">
    <w:nsid w:val="46C660C8"/>
    <w:multiLevelType w:val="hybridMultilevel"/>
    <w:tmpl w:val="27C61CB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47292387"/>
    <w:multiLevelType w:val="hybridMultilevel"/>
    <w:tmpl w:val="40D81BE4"/>
    <w:lvl w:ilvl="0" w:tplc="5F58413A">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B92B25"/>
    <w:multiLevelType w:val="multilevel"/>
    <w:tmpl w:val="16703F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15:restartNumberingAfterBreak="0">
    <w:nsid w:val="4D8D6123"/>
    <w:multiLevelType w:val="hybridMultilevel"/>
    <w:tmpl w:val="661E2778"/>
    <w:lvl w:ilvl="0" w:tplc="9C5E35A4">
      <w:start w:val="7"/>
      <w:numFmt w:val="lowerLetter"/>
      <w:lvlText w:val="(%1)"/>
      <w:lvlJc w:val="left"/>
      <w:pPr>
        <w:tabs>
          <w:tab w:val="num" w:pos="1733"/>
        </w:tabs>
        <w:ind w:left="1733" w:hanging="1155"/>
      </w:pPr>
      <w:rPr>
        <w:rFonts w:hint="default"/>
      </w:rPr>
    </w:lvl>
    <w:lvl w:ilvl="1" w:tplc="08090019" w:tentative="1">
      <w:start w:val="1"/>
      <w:numFmt w:val="lowerLetter"/>
      <w:lvlText w:val="%2."/>
      <w:lvlJc w:val="left"/>
      <w:pPr>
        <w:tabs>
          <w:tab w:val="num" w:pos="1658"/>
        </w:tabs>
        <w:ind w:left="1658" w:hanging="360"/>
      </w:p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23" w15:restartNumberingAfterBreak="0">
    <w:nsid w:val="4EC52DCB"/>
    <w:multiLevelType w:val="hybridMultilevel"/>
    <w:tmpl w:val="CD445C06"/>
    <w:lvl w:ilvl="0" w:tplc="0C50A95C">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4F0F3DD5"/>
    <w:multiLevelType w:val="hybridMultilevel"/>
    <w:tmpl w:val="89B0C474"/>
    <w:lvl w:ilvl="0" w:tplc="5F58413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281444"/>
    <w:multiLevelType w:val="multilevel"/>
    <w:tmpl w:val="94C4B32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03B69"/>
    <w:multiLevelType w:val="multilevel"/>
    <w:tmpl w:val="F932BF5A"/>
    <w:lvl w:ilvl="0">
      <w:start w:val="1"/>
      <w:numFmt w:val="bullet"/>
      <w:lvlText w:val=""/>
      <w:lvlJc w:val="left"/>
      <w:pPr>
        <w:tabs>
          <w:tab w:val="num" w:pos="1298"/>
        </w:tabs>
        <w:ind w:left="1298" w:hanging="360"/>
      </w:pPr>
      <w:rPr>
        <w:rFonts w:ascii="Symbol" w:hAnsi="Symbol" w:hint="default"/>
      </w:rPr>
    </w:lvl>
    <w:lvl w:ilvl="1">
      <w:start w:val="1"/>
      <w:numFmt w:val="bullet"/>
      <w:lvlText w:val="o"/>
      <w:lvlJc w:val="left"/>
      <w:pPr>
        <w:tabs>
          <w:tab w:val="num" w:pos="2018"/>
        </w:tabs>
        <w:ind w:left="2018" w:hanging="360"/>
      </w:pPr>
      <w:rPr>
        <w:rFonts w:ascii="Courier New" w:hAnsi="Courier New" w:cs="Courier New" w:hint="default"/>
      </w:rPr>
    </w:lvl>
    <w:lvl w:ilvl="2">
      <w:start w:val="1"/>
      <w:numFmt w:val="bullet"/>
      <w:lvlText w:val=""/>
      <w:lvlJc w:val="left"/>
      <w:pPr>
        <w:tabs>
          <w:tab w:val="num" w:pos="2738"/>
        </w:tabs>
        <w:ind w:left="2738" w:hanging="360"/>
      </w:pPr>
      <w:rPr>
        <w:rFonts w:ascii="Wingdings" w:hAnsi="Wingdings" w:hint="default"/>
      </w:rPr>
    </w:lvl>
    <w:lvl w:ilvl="3">
      <w:start w:val="1"/>
      <w:numFmt w:val="bullet"/>
      <w:lvlText w:val=""/>
      <w:lvlJc w:val="left"/>
      <w:pPr>
        <w:tabs>
          <w:tab w:val="num" w:pos="3458"/>
        </w:tabs>
        <w:ind w:left="3458" w:hanging="360"/>
      </w:pPr>
      <w:rPr>
        <w:rFonts w:ascii="Symbol" w:hAnsi="Symbol" w:hint="default"/>
      </w:rPr>
    </w:lvl>
    <w:lvl w:ilvl="4">
      <w:start w:val="1"/>
      <w:numFmt w:val="bullet"/>
      <w:lvlText w:val="o"/>
      <w:lvlJc w:val="left"/>
      <w:pPr>
        <w:tabs>
          <w:tab w:val="num" w:pos="4178"/>
        </w:tabs>
        <w:ind w:left="4178" w:hanging="360"/>
      </w:pPr>
      <w:rPr>
        <w:rFonts w:ascii="Courier New" w:hAnsi="Courier New" w:cs="Courier New" w:hint="default"/>
      </w:rPr>
    </w:lvl>
    <w:lvl w:ilvl="5">
      <w:start w:val="1"/>
      <w:numFmt w:val="bullet"/>
      <w:lvlText w:val=""/>
      <w:lvlJc w:val="left"/>
      <w:pPr>
        <w:tabs>
          <w:tab w:val="num" w:pos="4898"/>
        </w:tabs>
        <w:ind w:left="4898" w:hanging="360"/>
      </w:pPr>
      <w:rPr>
        <w:rFonts w:ascii="Wingdings" w:hAnsi="Wingdings" w:hint="default"/>
      </w:rPr>
    </w:lvl>
    <w:lvl w:ilvl="6">
      <w:start w:val="1"/>
      <w:numFmt w:val="bullet"/>
      <w:lvlText w:val=""/>
      <w:lvlJc w:val="left"/>
      <w:pPr>
        <w:tabs>
          <w:tab w:val="num" w:pos="5618"/>
        </w:tabs>
        <w:ind w:left="5618" w:hanging="360"/>
      </w:pPr>
      <w:rPr>
        <w:rFonts w:ascii="Symbol" w:hAnsi="Symbol" w:hint="default"/>
      </w:rPr>
    </w:lvl>
    <w:lvl w:ilvl="7">
      <w:start w:val="1"/>
      <w:numFmt w:val="bullet"/>
      <w:lvlText w:val="o"/>
      <w:lvlJc w:val="left"/>
      <w:pPr>
        <w:tabs>
          <w:tab w:val="num" w:pos="6338"/>
        </w:tabs>
        <w:ind w:left="6338" w:hanging="360"/>
      </w:pPr>
      <w:rPr>
        <w:rFonts w:ascii="Courier New" w:hAnsi="Courier New" w:cs="Courier New" w:hint="default"/>
      </w:rPr>
    </w:lvl>
    <w:lvl w:ilvl="8">
      <w:start w:val="1"/>
      <w:numFmt w:val="bullet"/>
      <w:lvlText w:val=""/>
      <w:lvlJc w:val="left"/>
      <w:pPr>
        <w:tabs>
          <w:tab w:val="num" w:pos="7058"/>
        </w:tabs>
        <w:ind w:left="7058" w:hanging="360"/>
      </w:pPr>
      <w:rPr>
        <w:rFonts w:ascii="Wingdings" w:hAnsi="Wingdings" w:hint="default"/>
      </w:rPr>
    </w:lvl>
  </w:abstractNum>
  <w:abstractNum w:abstractNumId="27" w15:restartNumberingAfterBreak="0">
    <w:nsid w:val="57B2214B"/>
    <w:multiLevelType w:val="multilevel"/>
    <w:tmpl w:val="89B0C47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66DAC"/>
    <w:multiLevelType w:val="multilevel"/>
    <w:tmpl w:val="CE1EE276"/>
    <w:lvl w:ilvl="0">
      <w:numFmt w:val="bullet"/>
      <w:lvlText w:val="-"/>
      <w:lvlJc w:val="left"/>
      <w:pPr>
        <w:tabs>
          <w:tab w:val="num" w:pos="1298"/>
        </w:tabs>
        <w:ind w:left="1298" w:hanging="360"/>
      </w:pPr>
      <w:rPr>
        <w:rFonts w:ascii="Times New Roman" w:eastAsia="Times New Roman" w:hAnsi="Times New Roman" w:cs="Times New Roman" w:hint="default"/>
      </w:rPr>
    </w:lvl>
    <w:lvl w:ilvl="1">
      <w:start w:val="1"/>
      <w:numFmt w:val="bullet"/>
      <w:lvlText w:val=""/>
      <w:lvlJc w:val="left"/>
      <w:pPr>
        <w:tabs>
          <w:tab w:val="num" w:pos="2018"/>
        </w:tabs>
        <w:ind w:left="2018" w:hanging="360"/>
      </w:pPr>
      <w:rPr>
        <w:rFonts w:ascii="Symbol" w:hAnsi="Symbol" w:hint="default"/>
      </w:rPr>
    </w:lvl>
    <w:lvl w:ilvl="2">
      <w:start w:val="1"/>
      <w:numFmt w:val="bullet"/>
      <w:lvlText w:val=""/>
      <w:lvlJc w:val="left"/>
      <w:pPr>
        <w:tabs>
          <w:tab w:val="num" w:pos="2738"/>
        </w:tabs>
        <w:ind w:left="2738" w:hanging="360"/>
      </w:pPr>
      <w:rPr>
        <w:rFonts w:ascii="Wingdings" w:hAnsi="Wingdings" w:hint="default"/>
      </w:rPr>
    </w:lvl>
    <w:lvl w:ilvl="3">
      <w:start w:val="1"/>
      <w:numFmt w:val="bullet"/>
      <w:lvlText w:val=""/>
      <w:lvlJc w:val="left"/>
      <w:pPr>
        <w:tabs>
          <w:tab w:val="num" w:pos="3458"/>
        </w:tabs>
        <w:ind w:left="3458" w:hanging="360"/>
      </w:pPr>
      <w:rPr>
        <w:rFonts w:ascii="Symbol" w:hAnsi="Symbol" w:hint="default"/>
      </w:rPr>
    </w:lvl>
    <w:lvl w:ilvl="4">
      <w:start w:val="1"/>
      <w:numFmt w:val="bullet"/>
      <w:lvlText w:val="o"/>
      <w:lvlJc w:val="left"/>
      <w:pPr>
        <w:tabs>
          <w:tab w:val="num" w:pos="4178"/>
        </w:tabs>
        <w:ind w:left="4178" w:hanging="360"/>
      </w:pPr>
      <w:rPr>
        <w:rFonts w:ascii="Courier New" w:hAnsi="Courier New" w:cs="Courier New" w:hint="default"/>
      </w:rPr>
    </w:lvl>
    <w:lvl w:ilvl="5">
      <w:start w:val="1"/>
      <w:numFmt w:val="bullet"/>
      <w:lvlText w:val=""/>
      <w:lvlJc w:val="left"/>
      <w:pPr>
        <w:tabs>
          <w:tab w:val="num" w:pos="4898"/>
        </w:tabs>
        <w:ind w:left="4898" w:hanging="360"/>
      </w:pPr>
      <w:rPr>
        <w:rFonts w:ascii="Wingdings" w:hAnsi="Wingdings" w:hint="default"/>
      </w:rPr>
    </w:lvl>
    <w:lvl w:ilvl="6">
      <w:start w:val="1"/>
      <w:numFmt w:val="bullet"/>
      <w:lvlText w:val=""/>
      <w:lvlJc w:val="left"/>
      <w:pPr>
        <w:tabs>
          <w:tab w:val="num" w:pos="5618"/>
        </w:tabs>
        <w:ind w:left="5618" w:hanging="360"/>
      </w:pPr>
      <w:rPr>
        <w:rFonts w:ascii="Symbol" w:hAnsi="Symbol" w:hint="default"/>
      </w:rPr>
    </w:lvl>
    <w:lvl w:ilvl="7">
      <w:start w:val="1"/>
      <w:numFmt w:val="bullet"/>
      <w:lvlText w:val="o"/>
      <w:lvlJc w:val="left"/>
      <w:pPr>
        <w:tabs>
          <w:tab w:val="num" w:pos="6338"/>
        </w:tabs>
        <w:ind w:left="6338" w:hanging="360"/>
      </w:pPr>
      <w:rPr>
        <w:rFonts w:ascii="Courier New" w:hAnsi="Courier New" w:cs="Courier New" w:hint="default"/>
      </w:rPr>
    </w:lvl>
    <w:lvl w:ilvl="8">
      <w:start w:val="1"/>
      <w:numFmt w:val="bullet"/>
      <w:lvlText w:val=""/>
      <w:lvlJc w:val="left"/>
      <w:pPr>
        <w:tabs>
          <w:tab w:val="num" w:pos="7058"/>
        </w:tabs>
        <w:ind w:left="7058" w:hanging="360"/>
      </w:pPr>
      <w:rPr>
        <w:rFonts w:ascii="Wingdings" w:hAnsi="Wingdings" w:hint="default"/>
      </w:rPr>
    </w:lvl>
  </w:abstractNum>
  <w:abstractNum w:abstractNumId="29" w15:restartNumberingAfterBreak="0">
    <w:nsid w:val="585A36D8"/>
    <w:multiLevelType w:val="hybridMultilevel"/>
    <w:tmpl w:val="A5D09E86"/>
    <w:lvl w:ilvl="0" w:tplc="0407000B">
      <w:start w:val="1"/>
      <w:numFmt w:val="bullet"/>
      <w:lvlText w:val=""/>
      <w:lvlJc w:val="left"/>
      <w:pPr>
        <w:tabs>
          <w:tab w:val="num" w:pos="1298"/>
        </w:tabs>
        <w:ind w:left="1298" w:hanging="360"/>
      </w:pPr>
      <w:rPr>
        <w:rFonts w:ascii="Wingdings" w:hAnsi="Wingdings" w:hint="default"/>
      </w:rPr>
    </w:lvl>
    <w:lvl w:ilvl="1" w:tplc="08090001">
      <w:start w:val="1"/>
      <w:numFmt w:val="bullet"/>
      <w:lvlText w:val=""/>
      <w:lvlJc w:val="left"/>
      <w:pPr>
        <w:tabs>
          <w:tab w:val="num" w:pos="2018"/>
        </w:tabs>
        <w:ind w:left="2018" w:hanging="360"/>
      </w:pPr>
      <w:rPr>
        <w:rFonts w:ascii="Symbol" w:hAnsi="Symbol"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Courier New"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Courier New"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30" w15:restartNumberingAfterBreak="0">
    <w:nsid w:val="5C7132EF"/>
    <w:multiLevelType w:val="hybridMultilevel"/>
    <w:tmpl w:val="B99E80BE"/>
    <w:lvl w:ilvl="0" w:tplc="5F58413A">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56E68"/>
    <w:multiLevelType w:val="multilevel"/>
    <w:tmpl w:val="063470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2" w15:restartNumberingAfterBreak="0">
    <w:nsid w:val="79935237"/>
    <w:multiLevelType w:val="multilevel"/>
    <w:tmpl w:val="A33E0D8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A5472B"/>
    <w:multiLevelType w:val="multilevel"/>
    <w:tmpl w:val="EAEE6550"/>
    <w:lvl w:ilvl="0">
      <w:start w:val="1"/>
      <w:numFmt w:val="lowerLetter"/>
      <w:lvlText w:val="%1)"/>
      <w:lvlJc w:val="left"/>
      <w:pPr>
        <w:tabs>
          <w:tab w:val="num" w:pos="1080"/>
        </w:tabs>
        <w:ind w:left="1080" w:hanging="720"/>
      </w:pPr>
      <w:rPr>
        <w:rFonts w:hint="default"/>
      </w:rPr>
    </w:lvl>
    <w:lvl w:ilvl="1">
      <w:start w:val="3"/>
      <w:numFmt w:val="decimal"/>
      <w:lvlText w:val="%2."/>
      <w:lvlJc w:val="left"/>
      <w:pPr>
        <w:tabs>
          <w:tab w:val="num" w:pos="1455"/>
        </w:tabs>
        <w:ind w:left="1455" w:hanging="375"/>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3"/>
  </w:num>
  <w:num w:numId="2">
    <w:abstractNumId w:val="21"/>
  </w:num>
  <w:num w:numId="3">
    <w:abstractNumId w:val="31"/>
  </w:num>
  <w:num w:numId="4">
    <w:abstractNumId w:val="32"/>
  </w:num>
  <w:num w:numId="5">
    <w:abstractNumId w:val="14"/>
  </w:num>
  <w:num w:numId="6">
    <w:abstractNumId w:val="19"/>
  </w:num>
  <w:num w:numId="7">
    <w:abstractNumId w:val="33"/>
  </w:num>
  <w:num w:numId="8">
    <w:abstractNumId w:val="8"/>
  </w:num>
  <w:num w:numId="9">
    <w:abstractNumId w:val="11"/>
  </w:num>
  <w:num w:numId="10">
    <w:abstractNumId w:val="6"/>
  </w:num>
  <w:num w:numId="11">
    <w:abstractNumId w:val="13"/>
  </w:num>
  <w:num w:numId="12">
    <w:abstractNumId w:val="3"/>
  </w:num>
  <w:num w:numId="13">
    <w:abstractNumId w:val="2"/>
  </w:num>
  <w:num w:numId="14">
    <w:abstractNumId w:val="22"/>
  </w:num>
  <w:num w:numId="15">
    <w:abstractNumId w:val="30"/>
  </w:num>
  <w:num w:numId="16">
    <w:abstractNumId w:val="20"/>
  </w:num>
  <w:num w:numId="17">
    <w:abstractNumId w:val="26"/>
  </w:num>
  <w:num w:numId="18">
    <w:abstractNumId w:val="29"/>
  </w:num>
  <w:num w:numId="19">
    <w:abstractNumId w:val="24"/>
  </w:num>
  <w:num w:numId="20">
    <w:abstractNumId w:val="27"/>
  </w:num>
  <w:num w:numId="21">
    <w:abstractNumId w:val="1"/>
  </w:num>
  <w:num w:numId="22">
    <w:abstractNumId w:val="12"/>
  </w:num>
  <w:num w:numId="23">
    <w:abstractNumId w:val="9"/>
  </w:num>
  <w:num w:numId="24">
    <w:abstractNumId w:val="7"/>
  </w:num>
  <w:num w:numId="25">
    <w:abstractNumId w:val="15"/>
  </w:num>
  <w:num w:numId="26">
    <w:abstractNumId w:val="25"/>
  </w:num>
  <w:num w:numId="27">
    <w:abstractNumId w:val="5"/>
  </w:num>
  <w:num w:numId="28">
    <w:abstractNumId w:val="0"/>
  </w:num>
  <w:num w:numId="29">
    <w:abstractNumId w:val="17"/>
  </w:num>
  <w:num w:numId="30">
    <w:abstractNumId w:val="28"/>
  </w:num>
  <w:num w:numId="31">
    <w:abstractNumId w:val="10"/>
  </w:num>
  <w:num w:numId="32">
    <w:abstractNumId w:val="18"/>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DF"/>
    <w:rsid w:val="0000159D"/>
    <w:rsid w:val="00004C17"/>
    <w:rsid w:val="000176EA"/>
    <w:rsid w:val="00033413"/>
    <w:rsid w:val="000449E5"/>
    <w:rsid w:val="00052F0C"/>
    <w:rsid w:val="0005426B"/>
    <w:rsid w:val="000559F8"/>
    <w:rsid w:val="00056CD5"/>
    <w:rsid w:val="00071A55"/>
    <w:rsid w:val="000A05BC"/>
    <w:rsid w:val="000A30D0"/>
    <w:rsid w:val="000A5212"/>
    <w:rsid w:val="000A542C"/>
    <w:rsid w:val="000A6BB2"/>
    <w:rsid w:val="000B110F"/>
    <w:rsid w:val="000C6959"/>
    <w:rsid w:val="00103A2B"/>
    <w:rsid w:val="00116FB2"/>
    <w:rsid w:val="00117EDF"/>
    <w:rsid w:val="00145AEE"/>
    <w:rsid w:val="00157779"/>
    <w:rsid w:val="00163EEE"/>
    <w:rsid w:val="00163FA5"/>
    <w:rsid w:val="00173F5B"/>
    <w:rsid w:val="00176ACC"/>
    <w:rsid w:val="00180CB0"/>
    <w:rsid w:val="00181CEC"/>
    <w:rsid w:val="001A0C2B"/>
    <w:rsid w:val="001A0F71"/>
    <w:rsid w:val="001B1874"/>
    <w:rsid w:val="001C0206"/>
    <w:rsid w:val="001C2C9F"/>
    <w:rsid w:val="001C79EF"/>
    <w:rsid w:val="001D0353"/>
    <w:rsid w:val="001D519C"/>
    <w:rsid w:val="001E3D80"/>
    <w:rsid w:val="001E54E8"/>
    <w:rsid w:val="001E60F6"/>
    <w:rsid w:val="001F4B85"/>
    <w:rsid w:val="001F7A6E"/>
    <w:rsid w:val="00220E37"/>
    <w:rsid w:val="00230E86"/>
    <w:rsid w:val="00234C49"/>
    <w:rsid w:val="002414ED"/>
    <w:rsid w:val="00242AC0"/>
    <w:rsid w:val="002434DE"/>
    <w:rsid w:val="002519AB"/>
    <w:rsid w:val="00262BF9"/>
    <w:rsid w:val="002730B6"/>
    <w:rsid w:val="002848B5"/>
    <w:rsid w:val="00287119"/>
    <w:rsid w:val="002954C9"/>
    <w:rsid w:val="002A475B"/>
    <w:rsid w:val="002A4C45"/>
    <w:rsid w:val="002B5CB8"/>
    <w:rsid w:val="002C572C"/>
    <w:rsid w:val="002C5B92"/>
    <w:rsid w:val="002D6939"/>
    <w:rsid w:val="002D79F5"/>
    <w:rsid w:val="002E20ED"/>
    <w:rsid w:val="002F68DE"/>
    <w:rsid w:val="002F7B7B"/>
    <w:rsid w:val="00321127"/>
    <w:rsid w:val="00333CAE"/>
    <w:rsid w:val="00334B32"/>
    <w:rsid w:val="003459E0"/>
    <w:rsid w:val="0035203A"/>
    <w:rsid w:val="003535D8"/>
    <w:rsid w:val="003761A8"/>
    <w:rsid w:val="00386FCD"/>
    <w:rsid w:val="00395700"/>
    <w:rsid w:val="003A233E"/>
    <w:rsid w:val="003A348B"/>
    <w:rsid w:val="003A4567"/>
    <w:rsid w:val="003B139C"/>
    <w:rsid w:val="003B40A6"/>
    <w:rsid w:val="003B463C"/>
    <w:rsid w:val="003B4652"/>
    <w:rsid w:val="003C1964"/>
    <w:rsid w:val="003C200C"/>
    <w:rsid w:val="003C67C0"/>
    <w:rsid w:val="003D0576"/>
    <w:rsid w:val="003F308B"/>
    <w:rsid w:val="00403DDD"/>
    <w:rsid w:val="0040523F"/>
    <w:rsid w:val="00413A09"/>
    <w:rsid w:val="00417CC1"/>
    <w:rsid w:val="004465A7"/>
    <w:rsid w:val="00455E0D"/>
    <w:rsid w:val="0045766B"/>
    <w:rsid w:val="00462EFE"/>
    <w:rsid w:val="00477EBF"/>
    <w:rsid w:val="00482BC3"/>
    <w:rsid w:val="0048335A"/>
    <w:rsid w:val="004A4174"/>
    <w:rsid w:val="004B3025"/>
    <w:rsid w:val="004B6DC1"/>
    <w:rsid w:val="004C44DA"/>
    <w:rsid w:val="004C7D60"/>
    <w:rsid w:val="004F4DFC"/>
    <w:rsid w:val="00503D72"/>
    <w:rsid w:val="00504FBE"/>
    <w:rsid w:val="00506C5D"/>
    <w:rsid w:val="005074CC"/>
    <w:rsid w:val="005125D6"/>
    <w:rsid w:val="00513033"/>
    <w:rsid w:val="00516274"/>
    <w:rsid w:val="005213EC"/>
    <w:rsid w:val="00526352"/>
    <w:rsid w:val="005265E8"/>
    <w:rsid w:val="00527248"/>
    <w:rsid w:val="0052756E"/>
    <w:rsid w:val="00530387"/>
    <w:rsid w:val="005361D4"/>
    <w:rsid w:val="0053670A"/>
    <w:rsid w:val="00551BE5"/>
    <w:rsid w:val="00553699"/>
    <w:rsid w:val="0056334D"/>
    <w:rsid w:val="00572D49"/>
    <w:rsid w:val="0059158E"/>
    <w:rsid w:val="00593DEF"/>
    <w:rsid w:val="00595295"/>
    <w:rsid w:val="005A43D9"/>
    <w:rsid w:val="005A6004"/>
    <w:rsid w:val="005A63FD"/>
    <w:rsid w:val="005A71EC"/>
    <w:rsid w:val="005C009B"/>
    <w:rsid w:val="005C12D2"/>
    <w:rsid w:val="005C1438"/>
    <w:rsid w:val="005D3E4C"/>
    <w:rsid w:val="005D5D2D"/>
    <w:rsid w:val="005E10F5"/>
    <w:rsid w:val="005E18CD"/>
    <w:rsid w:val="005E45FB"/>
    <w:rsid w:val="005F00D0"/>
    <w:rsid w:val="0060445F"/>
    <w:rsid w:val="00605F8F"/>
    <w:rsid w:val="00606344"/>
    <w:rsid w:val="00607508"/>
    <w:rsid w:val="0061424D"/>
    <w:rsid w:val="00624109"/>
    <w:rsid w:val="00624A46"/>
    <w:rsid w:val="006275BA"/>
    <w:rsid w:val="006331C5"/>
    <w:rsid w:val="00637C1B"/>
    <w:rsid w:val="00642FA4"/>
    <w:rsid w:val="0064340F"/>
    <w:rsid w:val="006527C8"/>
    <w:rsid w:val="00660FD9"/>
    <w:rsid w:val="0066746C"/>
    <w:rsid w:val="0067710A"/>
    <w:rsid w:val="00681F3D"/>
    <w:rsid w:val="0068510F"/>
    <w:rsid w:val="006A0F10"/>
    <w:rsid w:val="006A525B"/>
    <w:rsid w:val="006B0CD0"/>
    <w:rsid w:val="006B17CC"/>
    <w:rsid w:val="006B23B9"/>
    <w:rsid w:val="006C2782"/>
    <w:rsid w:val="006C31A7"/>
    <w:rsid w:val="006C5AB7"/>
    <w:rsid w:val="006C751B"/>
    <w:rsid w:val="006D57D0"/>
    <w:rsid w:val="006F142E"/>
    <w:rsid w:val="006F52E9"/>
    <w:rsid w:val="006F6F45"/>
    <w:rsid w:val="006F7247"/>
    <w:rsid w:val="006F7324"/>
    <w:rsid w:val="00701A91"/>
    <w:rsid w:val="0070358B"/>
    <w:rsid w:val="007152DF"/>
    <w:rsid w:val="0072361E"/>
    <w:rsid w:val="007339B9"/>
    <w:rsid w:val="007428D9"/>
    <w:rsid w:val="00743B10"/>
    <w:rsid w:val="00744704"/>
    <w:rsid w:val="00745D4A"/>
    <w:rsid w:val="0074794C"/>
    <w:rsid w:val="007725C8"/>
    <w:rsid w:val="007742BB"/>
    <w:rsid w:val="00784081"/>
    <w:rsid w:val="00784688"/>
    <w:rsid w:val="007A559D"/>
    <w:rsid w:val="007B3772"/>
    <w:rsid w:val="007C5E5A"/>
    <w:rsid w:val="007C7F12"/>
    <w:rsid w:val="007D6004"/>
    <w:rsid w:val="007F2F7C"/>
    <w:rsid w:val="00815A74"/>
    <w:rsid w:val="00817A0C"/>
    <w:rsid w:val="00825484"/>
    <w:rsid w:val="00841266"/>
    <w:rsid w:val="00853020"/>
    <w:rsid w:val="008535A6"/>
    <w:rsid w:val="0085540C"/>
    <w:rsid w:val="00860CFC"/>
    <w:rsid w:val="00864FB2"/>
    <w:rsid w:val="00865926"/>
    <w:rsid w:val="00870E9E"/>
    <w:rsid w:val="00872B49"/>
    <w:rsid w:val="00874C57"/>
    <w:rsid w:val="00877D45"/>
    <w:rsid w:val="008B4DA9"/>
    <w:rsid w:val="008C1A4C"/>
    <w:rsid w:val="008C1B20"/>
    <w:rsid w:val="008C238E"/>
    <w:rsid w:val="008C3AAD"/>
    <w:rsid w:val="008D0FAC"/>
    <w:rsid w:val="008D1320"/>
    <w:rsid w:val="008D20DF"/>
    <w:rsid w:val="008E0B73"/>
    <w:rsid w:val="008E2019"/>
    <w:rsid w:val="008E36F2"/>
    <w:rsid w:val="00901D30"/>
    <w:rsid w:val="00915D0B"/>
    <w:rsid w:val="00927162"/>
    <w:rsid w:val="00930A08"/>
    <w:rsid w:val="009335DB"/>
    <w:rsid w:val="00934128"/>
    <w:rsid w:val="00936858"/>
    <w:rsid w:val="00963525"/>
    <w:rsid w:val="00964DF6"/>
    <w:rsid w:val="009834EE"/>
    <w:rsid w:val="009A36A0"/>
    <w:rsid w:val="009A3F42"/>
    <w:rsid w:val="009B060A"/>
    <w:rsid w:val="009B5767"/>
    <w:rsid w:val="009C267B"/>
    <w:rsid w:val="009C5DC6"/>
    <w:rsid w:val="009E7631"/>
    <w:rsid w:val="009F4CEA"/>
    <w:rsid w:val="00A1049B"/>
    <w:rsid w:val="00A111AF"/>
    <w:rsid w:val="00A161E0"/>
    <w:rsid w:val="00A17000"/>
    <w:rsid w:val="00A17DC9"/>
    <w:rsid w:val="00A24166"/>
    <w:rsid w:val="00A24745"/>
    <w:rsid w:val="00A306F9"/>
    <w:rsid w:val="00A4023B"/>
    <w:rsid w:val="00A46277"/>
    <w:rsid w:val="00A57C04"/>
    <w:rsid w:val="00A6587B"/>
    <w:rsid w:val="00A91173"/>
    <w:rsid w:val="00A9302E"/>
    <w:rsid w:val="00A94667"/>
    <w:rsid w:val="00AA4194"/>
    <w:rsid w:val="00AA63E7"/>
    <w:rsid w:val="00AB2BF6"/>
    <w:rsid w:val="00AB5C2F"/>
    <w:rsid w:val="00AC0A91"/>
    <w:rsid w:val="00AF0A73"/>
    <w:rsid w:val="00AF16A8"/>
    <w:rsid w:val="00B029F2"/>
    <w:rsid w:val="00B04060"/>
    <w:rsid w:val="00B1458F"/>
    <w:rsid w:val="00B168A7"/>
    <w:rsid w:val="00B2749B"/>
    <w:rsid w:val="00B335BD"/>
    <w:rsid w:val="00B4014E"/>
    <w:rsid w:val="00B43698"/>
    <w:rsid w:val="00B46CBE"/>
    <w:rsid w:val="00B51CCD"/>
    <w:rsid w:val="00B51EE1"/>
    <w:rsid w:val="00B568E9"/>
    <w:rsid w:val="00B64306"/>
    <w:rsid w:val="00B72B4A"/>
    <w:rsid w:val="00B72BEF"/>
    <w:rsid w:val="00B72F91"/>
    <w:rsid w:val="00B73FAE"/>
    <w:rsid w:val="00B75521"/>
    <w:rsid w:val="00B918B2"/>
    <w:rsid w:val="00B96054"/>
    <w:rsid w:val="00B96975"/>
    <w:rsid w:val="00B97AF3"/>
    <w:rsid w:val="00BA31BC"/>
    <w:rsid w:val="00BB2F10"/>
    <w:rsid w:val="00BC4DED"/>
    <w:rsid w:val="00BC648B"/>
    <w:rsid w:val="00BC78F3"/>
    <w:rsid w:val="00BD37FA"/>
    <w:rsid w:val="00BD6C3D"/>
    <w:rsid w:val="00BD734E"/>
    <w:rsid w:val="00BE4691"/>
    <w:rsid w:val="00BF34A7"/>
    <w:rsid w:val="00C015DC"/>
    <w:rsid w:val="00C04086"/>
    <w:rsid w:val="00C13E74"/>
    <w:rsid w:val="00C16BB9"/>
    <w:rsid w:val="00C27BCB"/>
    <w:rsid w:val="00C3009E"/>
    <w:rsid w:val="00C363FA"/>
    <w:rsid w:val="00C473A3"/>
    <w:rsid w:val="00C47532"/>
    <w:rsid w:val="00C63E0F"/>
    <w:rsid w:val="00C72291"/>
    <w:rsid w:val="00C758B5"/>
    <w:rsid w:val="00C778B7"/>
    <w:rsid w:val="00C87EF7"/>
    <w:rsid w:val="00C90488"/>
    <w:rsid w:val="00C96CA3"/>
    <w:rsid w:val="00CA3D3B"/>
    <w:rsid w:val="00CA70E1"/>
    <w:rsid w:val="00CB460D"/>
    <w:rsid w:val="00CC65A4"/>
    <w:rsid w:val="00CC7085"/>
    <w:rsid w:val="00CC7D70"/>
    <w:rsid w:val="00CD7C6D"/>
    <w:rsid w:val="00CE00B4"/>
    <w:rsid w:val="00CE6C28"/>
    <w:rsid w:val="00D03F72"/>
    <w:rsid w:val="00D16D17"/>
    <w:rsid w:val="00D30780"/>
    <w:rsid w:val="00D37CFC"/>
    <w:rsid w:val="00D505C7"/>
    <w:rsid w:val="00D544CA"/>
    <w:rsid w:val="00D658FC"/>
    <w:rsid w:val="00D710BD"/>
    <w:rsid w:val="00D727C1"/>
    <w:rsid w:val="00D852C3"/>
    <w:rsid w:val="00D91641"/>
    <w:rsid w:val="00DA1068"/>
    <w:rsid w:val="00DA32B1"/>
    <w:rsid w:val="00DB0707"/>
    <w:rsid w:val="00DD4D36"/>
    <w:rsid w:val="00DD515D"/>
    <w:rsid w:val="00DE3B5B"/>
    <w:rsid w:val="00E03DF1"/>
    <w:rsid w:val="00E14DD1"/>
    <w:rsid w:val="00E23BE6"/>
    <w:rsid w:val="00E26196"/>
    <w:rsid w:val="00E6128B"/>
    <w:rsid w:val="00E655ED"/>
    <w:rsid w:val="00E75652"/>
    <w:rsid w:val="00E7598F"/>
    <w:rsid w:val="00E81E6A"/>
    <w:rsid w:val="00E82068"/>
    <w:rsid w:val="00E930A7"/>
    <w:rsid w:val="00E96752"/>
    <w:rsid w:val="00EA26BF"/>
    <w:rsid w:val="00EB5C60"/>
    <w:rsid w:val="00EC283D"/>
    <w:rsid w:val="00ED63C2"/>
    <w:rsid w:val="00EE431D"/>
    <w:rsid w:val="00EE5070"/>
    <w:rsid w:val="00F17AFF"/>
    <w:rsid w:val="00F20285"/>
    <w:rsid w:val="00F21983"/>
    <w:rsid w:val="00F219C5"/>
    <w:rsid w:val="00F37EAC"/>
    <w:rsid w:val="00F610BB"/>
    <w:rsid w:val="00F6261D"/>
    <w:rsid w:val="00F62E22"/>
    <w:rsid w:val="00F632E3"/>
    <w:rsid w:val="00F63F0A"/>
    <w:rsid w:val="00F6568F"/>
    <w:rsid w:val="00F70E90"/>
    <w:rsid w:val="00F761EC"/>
    <w:rsid w:val="00F7645C"/>
    <w:rsid w:val="00F80AC6"/>
    <w:rsid w:val="00F8479E"/>
    <w:rsid w:val="00F86F38"/>
    <w:rsid w:val="00F87763"/>
    <w:rsid w:val="00F87FD6"/>
    <w:rsid w:val="00F94617"/>
    <w:rsid w:val="00F94BB9"/>
    <w:rsid w:val="00FA3BBD"/>
    <w:rsid w:val="00FA4E1B"/>
    <w:rsid w:val="00FA56BB"/>
    <w:rsid w:val="00FA6EBE"/>
    <w:rsid w:val="00FB7AC7"/>
    <w:rsid w:val="00FC66E6"/>
    <w:rsid w:val="00FD7185"/>
    <w:rsid w:val="00FE6452"/>
    <w:rsid w:val="00FF1FA5"/>
    <w:rsid w:val="00FF4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AE0CFE"/>
  <w15:docId w15:val="{743C9D06-7081-480C-A882-0CA1E696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086"/>
    <w:rPr>
      <w:sz w:val="24"/>
      <w:szCs w:val="24"/>
      <w:lang w:val="en-US" w:eastAsia="en-US"/>
    </w:rPr>
  </w:style>
  <w:style w:type="paragraph" w:styleId="Heading2">
    <w:name w:val="heading 2"/>
    <w:basedOn w:val="Normal"/>
    <w:next w:val="Normal"/>
    <w:link w:val="Heading2Char"/>
    <w:uiPriority w:val="9"/>
    <w:unhideWhenUsed/>
    <w:qFormat/>
    <w:rsid w:val="00173F5B"/>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20DF"/>
    <w:pPr>
      <w:spacing w:before="100" w:beforeAutospacing="1" w:after="100" w:afterAutospacing="1"/>
    </w:pPr>
  </w:style>
  <w:style w:type="paragraph" w:styleId="Header">
    <w:name w:val="header"/>
    <w:basedOn w:val="Normal"/>
    <w:rsid w:val="00386FCD"/>
    <w:pPr>
      <w:tabs>
        <w:tab w:val="center" w:pos="4320"/>
        <w:tab w:val="right" w:pos="8640"/>
      </w:tabs>
    </w:pPr>
  </w:style>
  <w:style w:type="paragraph" w:styleId="Footer">
    <w:name w:val="footer"/>
    <w:basedOn w:val="Normal"/>
    <w:link w:val="FooterChar"/>
    <w:uiPriority w:val="99"/>
    <w:rsid w:val="00386FCD"/>
    <w:pPr>
      <w:tabs>
        <w:tab w:val="center" w:pos="4320"/>
        <w:tab w:val="right" w:pos="8640"/>
      </w:tabs>
    </w:pPr>
  </w:style>
  <w:style w:type="character" w:styleId="PageNumber">
    <w:name w:val="page number"/>
    <w:basedOn w:val="DefaultParagraphFont"/>
    <w:rsid w:val="00386FCD"/>
  </w:style>
  <w:style w:type="paragraph" w:styleId="FootnoteText">
    <w:name w:val="footnote text"/>
    <w:basedOn w:val="Normal"/>
    <w:semiHidden/>
    <w:rsid w:val="003B4652"/>
    <w:rPr>
      <w:sz w:val="20"/>
      <w:szCs w:val="20"/>
    </w:rPr>
  </w:style>
  <w:style w:type="character" w:styleId="FootnoteReference">
    <w:name w:val="footnote reference"/>
    <w:semiHidden/>
    <w:rsid w:val="003B4652"/>
    <w:rPr>
      <w:vertAlign w:val="superscript"/>
    </w:rPr>
  </w:style>
  <w:style w:type="paragraph" w:customStyle="1" w:styleId="Default">
    <w:name w:val="Default"/>
    <w:rsid w:val="00F17AFF"/>
    <w:pPr>
      <w:widowControl w:val="0"/>
      <w:autoSpaceDE w:val="0"/>
      <w:autoSpaceDN w:val="0"/>
      <w:adjustRightInd w:val="0"/>
    </w:pPr>
    <w:rPr>
      <w:color w:val="000000"/>
      <w:sz w:val="24"/>
      <w:szCs w:val="24"/>
      <w:lang w:val="en-US" w:eastAsia="en-US"/>
    </w:rPr>
  </w:style>
  <w:style w:type="table" w:styleId="TableGrid">
    <w:name w:val="Table Grid"/>
    <w:basedOn w:val="TableNormal"/>
    <w:rsid w:val="005F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2">
    <w:name w:val="xl32"/>
    <w:basedOn w:val="Normal"/>
    <w:rsid w:val="005F00D0"/>
    <w:pPr>
      <w:spacing w:before="100" w:beforeAutospacing="1" w:after="100" w:afterAutospacing="1"/>
    </w:pPr>
    <w:rPr>
      <w:rFonts w:eastAsia="Arial Unicode MS"/>
      <w:sz w:val="22"/>
      <w:szCs w:val="22"/>
    </w:rPr>
  </w:style>
  <w:style w:type="paragraph" w:styleId="Index1">
    <w:name w:val="index 1"/>
    <w:basedOn w:val="Normal"/>
    <w:next w:val="Normal"/>
    <w:autoRedefine/>
    <w:semiHidden/>
    <w:rsid w:val="000B110F"/>
    <w:pPr>
      <w:ind w:left="240" w:hanging="240"/>
    </w:pPr>
    <w:rPr>
      <w:lang w:val="en-GB"/>
    </w:rPr>
  </w:style>
  <w:style w:type="paragraph" w:customStyle="1" w:styleId="Textedebulles">
    <w:name w:val="Texte de bulles"/>
    <w:basedOn w:val="Normal"/>
    <w:semiHidden/>
    <w:rsid w:val="005F00D0"/>
    <w:rPr>
      <w:rFonts w:ascii="Tahoma" w:hAnsi="Tahoma" w:cs="Tahoma"/>
      <w:sz w:val="16"/>
      <w:szCs w:val="16"/>
    </w:rPr>
  </w:style>
  <w:style w:type="character" w:styleId="Hyperlink">
    <w:name w:val="Hyperlink"/>
    <w:rsid w:val="006F52E9"/>
    <w:rPr>
      <w:color w:val="0000FF"/>
      <w:u w:val="single"/>
    </w:rPr>
  </w:style>
  <w:style w:type="character" w:styleId="CommentReference">
    <w:name w:val="annotation reference"/>
    <w:semiHidden/>
    <w:rsid w:val="00930A08"/>
    <w:rPr>
      <w:sz w:val="16"/>
      <w:szCs w:val="16"/>
    </w:rPr>
  </w:style>
  <w:style w:type="paragraph" w:styleId="CommentText">
    <w:name w:val="annotation text"/>
    <w:basedOn w:val="Normal"/>
    <w:semiHidden/>
    <w:rsid w:val="00930A08"/>
    <w:rPr>
      <w:sz w:val="20"/>
      <w:szCs w:val="20"/>
    </w:rPr>
  </w:style>
  <w:style w:type="paragraph" w:styleId="CommentSubject">
    <w:name w:val="annotation subject"/>
    <w:basedOn w:val="CommentText"/>
    <w:next w:val="CommentText"/>
    <w:semiHidden/>
    <w:rsid w:val="00930A08"/>
    <w:rPr>
      <w:b/>
      <w:bCs/>
    </w:rPr>
  </w:style>
  <w:style w:type="paragraph" w:styleId="BalloonText">
    <w:name w:val="Balloon Text"/>
    <w:basedOn w:val="Normal"/>
    <w:semiHidden/>
    <w:rsid w:val="00930A08"/>
    <w:rPr>
      <w:rFonts w:ascii="Tahoma" w:hAnsi="Tahoma" w:cs="Tahoma"/>
      <w:sz w:val="16"/>
      <w:szCs w:val="16"/>
    </w:rPr>
  </w:style>
  <w:style w:type="character" w:styleId="FollowedHyperlink">
    <w:name w:val="FollowedHyperlink"/>
    <w:rsid w:val="00455E0D"/>
    <w:rPr>
      <w:color w:val="800080"/>
      <w:u w:val="single"/>
    </w:rPr>
  </w:style>
  <w:style w:type="character" w:customStyle="1" w:styleId="body1">
    <w:name w:val="body1"/>
    <w:rsid w:val="002848B5"/>
    <w:rPr>
      <w:rFonts w:ascii="Arial" w:hAnsi="Arial" w:cs="Arial" w:hint="default"/>
      <w:b w:val="0"/>
      <w:bCs w:val="0"/>
      <w:color w:val="003366"/>
      <w:sz w:val="18"/>
      <w:szCs w:val="18"/>
    </w:rPr>
  </w:style>
  <w:style w:type="character" w:customStyle="1" w:styleId="bdrerup">
    <w:name w:val="bdrerup"/>
    <w:semiHidden/>
    <w:rsid w:val="00E930A7"/>
    <w:rPr>
      <w:rFonts w:ascii="Arial" w:hAnsi="Arial" w:cs="Arial"/>
      <w:color w:val="000080"/>
      <w:sz w:val="20"/>
      <w:szCs w:val="20"/>
    </w:rPr>
  </w:style>
  <w:style w:type="paragraph" w:styleId="BodyText2">
    <w:name w:val="Body Text 2"/>
    <w:basedOn w:val="Normal"/>
    <w:rsid w:val="00551BE5"/>
    <w:pPr>
      <w:jc w:val="center"/>
    </w:pPr>
  </w:style>
  <w:style w:type="paragraph" w:styleId="IndexHeading">
    <w:name w:val="index heading"/>
    <w:basedOn w:val="Normal"/>
    <w:next w:val="Index1"/>
    <w:semiHidden/>
    <w:rsid w:val="00551BE5"/>
  </w:style>
  <w:style w:type="paragraph" w:styleId="BodyTextIndent">
    <w:name w:val="Body Text Indent"/>
    <w:basedOn w:val="Normal"/>
    <w:rsid w:val="00551BE5"/>
    <w:pPr>
      <w:ind w:left="720" w:hanging="720"/>
    </w:pPr>
    <w:rPr>
      <w:lang w:val="en-GB"/>
    </w:rPr>
  </w:style>
  <w:style w:type="character" w:customStyle="1" w:styleId="FooterChar">
    <w:name w:val="Footer Char"/>
    <w:link w:val="Footer"/>
    <w:uiPriority w:val="99"/>
    <w:rsid w:val="00874C57"/>
    <w:rPr>
      <w:sz w:val="24"/>
      <w:szCs w:val="24"/>
      <w:lang w:val="en-US" w:eastAsia="en-US"/>
    </w:rPr>
  </w:style>
  <w:style w:type="character" w:customStyle="1" w:styleId="UnresolvedMention1">
    <w:name w:val="Unresolved Mention1"/>
    <w:uiPriority w:val="99"/>
    <w:semiHidden/>
    <w:unhideWhenUsed/>
    <w:rsid w:val="00624A46"/>
    <w:rPr>
      <w:color w:val="808080"/>
      <w:shd w:val="clear" w:color="auto" w:fill="E6E6E6"/>
    </w:rPr>
  </w:style>
  <w:style w:type="paragraph" w:styleId="ListParagraph">
    <w:name w:val="List Paragraph"/>
    <w:basedOn w:val="Normal"/>
    <w:uiPriority w:val="34"/>
    <w:qFormat/>
    <w:rsid w:val="00E26196"/>
    <w:pPr>
      <w:ind w:left="720"/>
    </w:pPr>
  </w:style>
  <w:style w:type="character" w:styleId="Strong">
    <w:name w:val="Strong"/>
    <w:basedOn w:val="DefaultParagraphFont"/>
    <w:uiPriority w:val="22"/>
    <w:qFormat/>
    <w:rsid w:val="00B568E9"/>
    <w:rPr>
      <w:b/>
      <w:bCs/>
    </w:rPr>
  </w:style>
  <w:style w:type="character" w:customStyle="1" w:styleId="Heading2Char">
    <w:name w:val="Heading 2 Char"/>
    <w:basedOn w:val="DefaultParagraphFont"/>
    <w:link w:val="Heading2"/>
    <w:uiPriority w:val="9"/>
    <w:rsid w:val="00173F5B"/>
    <w:rPr>
      <w:rFonts w:ascii="Calibri Light" w:hAnsi="Calibri Light"/>
      <w:color w:val="2F5496"/>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7767">
      <w:bodyDiv w:val="1"/>
      <w:marLeft w:val="0"/>
      <w:marRight w:val="0"/>
      <w:marTop w:val="0"/>
      <w:marBottom w:val="0"/>
      <w:divBdr>
        <w:top w:val="none" w:sz="0" w:space="0" w:color="auto"/>
        <w:left w:val="none" w:sz="0" w:space="0" w:color="auto"/>
        <w:bottom w:val="none" w:sz="0" w:space="0" w:color="auto"/>
        <w:right w:val="none" w:sz="0" w:space="0" w:color="auto"/>
      </w:divBdr>
    </w:div>
    <w:div w:id="149177376">
      <w:bodyDiv w:val="1"/>
      <w:marLeft w:val="0"/>
      <w:marRight w:val="0"/>
      <w:marTop w:val="0"/>
      <w:marBottom w:val="0"/>
      <w:divBdr>
        <w:top w:val="none" w:sz="0" w:space="0" w:color="auto"/>
        <w:left w:val="none" w:sz="0" w:space="0" w:color="auto"/>
        <w:bottom w:val="none" w:sz="0" w:space="0" w:color="auto"/>
        <w:right w:val="none" w:sz="0" w:space="0" w:color="auto"/>
      </w:divBdr>
    </w:div>
    <w:div w:id="660356750">
      <w:bodyDiv w:val="1"/>
      <w:marLeft w:val="0"/>
      <w:marRight w:val="0"/>
      <w:marTop w:val="0"/>
      <w:marBottom w:val="0"/>
      <w:divBdr>
        <w:top w:val="none" w:sz="0" w:space="0" w:color="auto"/>
        <w:left w:val="none" w:sz="0" w:space="0" w:color="auto"/>
        <w:bottom w:val="none" w:sz="0" w:space="0" w:color="auto"/>
        <w:right w:val="none" w:sz="0" w:space="0" w:color="auto"/>
      </w:divBdr>
    </w:div>
    <w:div w:id="763107455">
      <w:bodyDiv w:val="1"/>
      <w:marLeft w:val="0"/>
      <w:marRight w:val="0"/>
      <w:marTop w:val="0"/>
      <w:marBottom w:val="0"/>
      <w:divBdr>
        <w:top w:val="none" w:sz="0" w:space="0" w:color="auto"/>
        <w:left w:val="none" w:sz="0" w:space="0" w:color="auto"/>
        <w:bottom w:val="none" w:sz="0" w:space="0" w:color="auto"/>
        <w:right w:val="none" w:sz="0" w:space="0" w:color="auto"/>
      </w:divBdr>
    </w:div>
    <w:div w:id="889807505">
      <w:bodyDiv w:val="1"/>
      <w:marLeft w:val="0"/>
      <w:marRight w:val="0"/>
      <w:marTop w:val="0"/>
      <w:marBottom w:val="0"/>
      <w:divBdr>
        <w:top w:val="none" w:sz="0" w:space="0" w:color="auto"/>
        <w:left w:val="none" w:sz="0" w:space="0" w:color="auto"/>
        <w:bottom w:val="none" w:sz="0" w:space="0" w:color="auto"/>
        <w:right w:val="none" w:sz="0" w:space="0" w:color="auto"/>
      </w:divBdr>
    </w:div>
    <w:div w:id="1305742920">
      <w:bodyDiv w:val="1"/>
      <w:marLeft w:val="0"/>
      <w:marRight w:val="0"/>
      <w:marTop w:val="0"/>
      <w:marBottom w:val="0"/>
      <w:divBdr>
        <w:top w:val="none" w:sz="0" w:space="0" w:color="auto"/>
        <w:left w:val="none" w:sz="0" w:space="0" w:color="auto"/>
        <w:bottom w:val="none" w:sz="0" w:space="0" w:color="auto"/>
        <w:right w:val="none" w:sz="0" w:space="0" w:color="auto"/>
      </w:divBdr>
    </w:div>
    <w:div w:id="1453207603">
      <w:bodyDiv w:val="1"/>
      <w:marLeft w:val="0"/>
      <w:marRight w:val="0"/>
      <w:marTop w:val="0"/>
      <w:marBottom w:val="0"/>
      <w:divBdr>
        <w:top w:val="none" w:sz="0" w:space="0" w:color="auto"/>
        <w:left w:val="none" w:sz="0" w:space="0" w:color="auto"/>
        <w:bottom w:val="none" w:sz="0" w:space="0" w:color="auto"/>
        <w:right w:val="none" w:sz="0" w:space="0" w:color="auto"/>
      </w:divBdr>
    </w:div>
    <w:div w:id="1585802133">
      <w:bodyDiv w:val="1"/>
      <w:marLeft w:val="0"/>
      <w:marRight w:val="0"/>
      <w:marTop w:val="0"/>
      <w:marBottom w:val="0"/>
      <w:divBdr>
        <w:top w:val="none" w:sz="0" w:space="0" w:color="auto"/>
        <w:left w:val="none" w:sz="0" w:space="0" w:color="auto"/>
        <w:bottom w:val="none" w:sz="0" w:space="0" w:color="auto"/>
        <w:right w:val="none" w:sz="0" w:space="0" w:color="auto"/>
      </w:divBdr>
    </w:div>
    <w:div w:id="1780443891">
      <w:bodyDiv w:val="1"/>
      <w:marLeft w:val="0"/>
      <w:marRight w:val="0"/>
      <w:marTop w:val="0"/>
      <w:marBottom w:val="0"/>
      <w:divBdr>
        <w:top w:val="none" w:sz="0" w:space="0" w:color="auto"/>
        <w:left w:val="none" w:sz="0" w:space="0" w:color="auto"/>
        <w:bottom w:val="none" w:sz="0" w:space="0" w:color="auto"/>
        <w:right w:val="none" w:sz="0" w:space="0" w:color="auto"/>
      </w:divBdr>
    </w:div>
    <w:div w:id="18383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ep.org/environmentassembly/pre-session-working-documents-unea-5?%2Fpre-session-working-douments-unea-5=&amp;_ga=2.120915144.1726114820.1616999714-1924377860.1597130405" TargetMode="External"/><Relationship Id="rId18" Type="http://schemas.openxmlformats.org/officeDocument/2006/relationships/hyperlink" Target="https://speciesplus.net/"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edocs.unep.org/bitstream/handle/20.500.11822/35087/Doc%205-3Add1K2002827.pdf?sequence=1&amp;isAllowed=y" TargetMode="External"/><Relationship Id="rId17" Type="http://schemas.openxmlformats.org/officeDocument/2006/relationships/hyperlink" Target="https://wedocs.unep.org/bitstream/handle/20.500.11822/34672/K2002756-E.pdf?sequence=1&amp;isAllowed=y" TargetMode="External"/><Relationship Id="rId2" Type="http://schemas.openxmlformats.org/officeDocument/2006/relationships/numbering" Target="numbering.xml"/><Relationship Id="rId16" Type="http://schemas.openxmlformats.org/officeDocument/2006/relationships/hyperlink" Target="https://www.unep.org/resources/report/preventing-future-zoonotic-disease-outbreaks-protecting-environment-animals-and"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docs.unep.org/bitstream/handle/20.500.11822/35162/Doc3%20Reve1%20EnglishK2100501.pdf?sequence=1&amp;isAllowed=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docs.unep.org/bitstream/handle/20.500.11822/34634/K2002605.pdf?sequence=23&amp;isAllowed=y"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edocs.unep.org/bitstream/handle/20.500.11822/34634/K2002575.pdf?sequence=8&amp;isAllowed=y"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3C678-F76F-4688-9386-F1E32BF1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1659</Words>
  <Characters>10845</Characters>
  <Application>Microsoft Office Word</Application>
  <DocSecurity>0</DocSecurity>
  <Lines>90</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Procedure for nomination of new Technical Committee members and alternates</vt:lpstr>
      <vt:lpstr>Procedure for nomination of new Technical Committee members and alternates</vt:lpstr>
    </vt:vector>
  </TitlesOfParts>
  <Company>UNEP</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nomination of new Technical Committee members and alternates</dc:title>
  <dc:creator>sdereliev</dc:creator>
  <cp:lastModifiedBy>Catherine Lehmann</cp:lastModifiedBy>
  <cp:revision>5</cp:revision>
  <cp:lastPrinted>2021-04-18T11:19:00Z</cp:lastPrinted>
  <dcterms:created xsi:type="dcterms:W3CDTF">2021-04-18T11:07:00Z</dcterms:created>
  <dcterms:modified xsi:type="dcterms:W3CDTF">2021-04-18T11:20:00Z</dcterms:modified>
</cp:coreProperties>
</file>